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073F84" w:rsidRDefault="00AE3DA7" w:rsidP="00073F84">
          <w:pPr>
            <w:pStyle w:val="TtulodeTDC"/>
            <w:spacing w:before="0" w:line="240" w:lineRule="auto"/>
            <w:rPr>
              <w:rFonts w:ascii="Palatino Linotype" w:hAnsi="Palatino Linotype"/>
              <w:color w:val="auto"/>
              <w:sz w:val="24"/>
              <w:szCs w:val="24"/>
              <w:lang w:val="es-ES"/>
            </w:rPr>
          </w:pPr>
          <w:r w:rsidRPr="00073F84">
            <w:rPr>
              <w:rFonts w:ascii="Palatino Linotype" w:hAnsi="Palatino Linotype"/>
              <w:color w:val="auto"/>
              <w:sz w:val="24"/>
              <w:szCs w:val="24"/>
              <w:lang w:val="es-ES"/>
            </w:rPr>
            <w:t>Contenido</w:t>
          </w:r>
        </w:p>
        <w:p w14:paraId="3EB312A7" w14:textId="77777777" w:rsidR="00AA6EA9" w:rsidRPr="00073F84" w:rsidRDefault="00AA6EA9" w:rsidP="00073F84">
          <w:pPr>
            <w:spacing w:line="240" w:lineRule="auto"/>
            <w:rPr>
              <w:sz w:val="16"/>
              <w:szCs w:val="16"/>
              <w:lang w:val="es-ES" w:eastAsia="es-MX"/>
            </w:rPr>
          </w:pPr>
        </w:p>
        <w:p w14:paraId="203873BD" w14:textId="77777777" w:rsidR="00073F84" w:rsidRDefault="00AE3DA7">
          <w:pPr>
            <w:pStyle w:val="TDC1"/>
            <w:tabs>
              <w:tab w:val="right" w:leader="dot" w:pos="9034"/>
            </w:tabs>
            <w:rPr>
              <w:rFonts w:asciiTheme="minorHAnsi" w:eastAsiaTheme="minorEastAsia" w:hAnsiTheme="minorHAnsi" w:cstheme="minorBidi"/>
              <w:noProof/>
              <w:szCs w:val="22"/>
              <w:lang w:eastAsia="es-MX"/>
            </w:rPr>
          </w:pPr>
          <w:r w:rsidRPr="00073F84">
            <w:rPr>
              <w:sz w:val="16"/>
              <w:szCs w:val="16"/>
            </w:rPr>
            <w:fldChar w:fldCharType="begin"/>
          </w:r>
          <w:r w:rsidRPr="00073F84">
            <w:rPr>
              <w:sz w:val="16"/>
              <w:szCs w:val="16"/>
            </w:rPr>
            <w:instrText xml:space="preserve"> TOC \o "1-3" \h \z \u </w:instrText>
          </w:r>
          <w:r w:rsidRPr="00073F84">
            <w:rPr>
              <w:sz w:val="16"/>
              <w:szCs w:val="16"/>
            </w:rPr>
            <w:fldChar w:fldCharType="separate"/>
          </w:r>
          <w:hyperlink w:anchor="_Toc181799789" w:history="1">
            <w:r w:rsidR="00073F84" w:rsidRPr="00A540E4">
              <w:rPr>
                <w:rStyle w:val="Hipervnculo"/>
                <w:noProof/>
              </w:rPr>
              <w:t>ANTECEDENTES</w:t>
            </w:r>
            <w:r w:rsidR="00073F84">
              <w:rPr>
                <w:noProof/>
                <w:webHidden/>
              </w:rPr>
              <w:tab/>
            </w:r>
            <w:r w:rsidR="00073F84">
              <w:rPr>
                <w:noProof/>
                <w:webHidden/>
              </w:rPr>
              <w:fldChar w:fldCharType="begin"/>
            </w:r>
            <w:r w:rsidR="00073F84">
              <w:rPr>
                <w:noProof/>
                <w:webHidden/>
              </w:rPr>
              <w:instrText xml:space="preserve"> PAGEREF _Toc181799789 \h </w:instrText>
            </w:r>
            <w:r w:rsidR="00073F84">
              <w:rPr>
                <w:noProof/>
                <w:webHidden/>
              </w:rPr>
            </w:r>
            <w:r w:rsidR="00073F84">
              <w:rPr>
                <w:noProof/>
                <w:webHidden/>
              </w:rPr>
              <w:fldChar w:fldCharType="separate"/>
            </w:r>
            <w:r w:rsidR="00C42767">
              <w:rPr>
                <w:noProof/>
                <w:webHidden/>
              </w:rPr>
              <w:t>1</w:t>
            </w:r>
            <w:r w:rsidR="00073F84">
              <w:rPr>
                <w:noProof/>
                <w:webHidden/>
              </w:rPr>
              <w:fldChar w:fldCharType="end"/>
            </w:r>
          </w:hyperlink>
        </w:p>
        <w:p w14:paraId="30BCCFFC" w14:textId="77777777" w:rsidR="00073F84" w:rsidRDefault="000922F6">
          <w:pPr>
            <w:pStyle w:val="TDC2"/>
            <w:rPr>
              <w:rFonts w:asciiTheme="minorHAnsi" w:eastAsiaTheme="minorEastAsia" w:hAnsiTheme="minorHAnsi" w:cstheme="minorBidi"/>
              <w:noProof/>
              <w:szCs w:val="22"/>
              <w:lang w:eastAsia="es-MX"/>
            </w:rPr>
          </w:pPr>
          <w:hyperlink w:anchor="_Toc181799790" w:history="1">
            <w:r w:rsidR="00073F84" w:rsidRPr="00A540E4">
              <w:rPr>
                <w:rStyle w:val="Hipervnculo"/>
                <w:noProof/>
              </w:rPr>
              <w:t>DE LA SOLICITUD DE INFORMACIÓN</w:t>
            </w:r>
            <w:r w:rsidR="00073F84">
              <w:rPr>
                <w:noProof/>
                <w:webHidden/>
              </w:rPr>
              <w:tab/>
            </w:r>
            <w:r w:rsidR="00073F84">
              <w:rPr>
                <w:noProof/>
                <w:webHidden/>
              </w:rPr>
              <w:fldChar w:fldCharType="begin"/>
            </w:r>
            <w:r w:rsidR="00073F84">
              <w:rPr>
                <w:noProof/>
                <w:webHidden/>
              </w:rPr>
              <w:instrText xml:space="preserve"> PAGEREF _Toc181799790 \h </w:instrText>
            </w:r>
            <w:r w:rsidR="00073F84">
              <w:rPr>
                <w:noProof/>
                <w:webHidden/>
              </w:rPr>
            </w:r>
            <w:r w:rsidR="00073F84">
              <w:rPr>
                <w:noProof/>
                <w:webHidden/>
              </w:rPr>
              <w:fldChar w:fldCharType="separate"/>
            </w:r>
            <w:r w:rsidR="00C42767">
              <w:rPr>
                <w:noProof/>
                <w:webHidden/>
              </w:rPr>
              <w:t>1</w:t>
            </w:r>
            <w:r w:rsidR="00073F84">
              <w:rPr>
                <w:noProof/>
                <w:webHidden/>
              </w:rPr>
              <w:fldChar w:fldCharType="end"/>
            </w:r>
          </w:hyperlink>
        </w:p>
        <w:p w14:paraId="5683C479" w14:textId="77777777" w:rsidR="00073F84" w:rsidRDefault="000922F6">
          <w:pPr>
            <w:pStyle w:val="TDC3"/>
            <w:rPr>
              <w:rFonts w:asciiTheme="minorHAnsi" w:eastAsiaTheme="minorEastAsia" w:hAnsiTheme="minorHAnsi" w:cstheme="minorBidi"/>
              <w:noProof/>
              <w:szCs w:val="22"/>
              <w:lang w:eastAsia="es-MX"/>
            </w:rPr>
          </w:pPr>
          <w:hyperlink w:anchor="_Toc181799791" w:history="1">
            <w:r w:rsidR="00073F84" w:rsidRPr="00A540E4">
              <w:rPr>
                <w:rStyle w:val="Hipervnculo"/>
                <w:noProof/>
              </w:rPr>
              <w:t>a) Solicitud de información</w:t>
            </w:r>
            <w:r w:rsidR="00073F84">
              <w:rPr>
                <w:noProof/>
                <w:webHidden/>
              </w:rPr>
              <w:tab/>
            </w:r>
            <w:r w:rsidR="00073F84">
              <w:rPr>
                <w:noProof/>
                <w:webHidden/>
              </w:rPr>
              <w:fldChar w:fldCharType="begin"/>
            </w:r>
            <w:r w:rsidR="00073F84">
              <w:rPr>
                <w:noProof/>
                <w:webHidden/>
              </w:rPr>
              <w:instrText xml:space="preserve"> PAGEREF _Toc181799791 \h </w:instrText>
            </w:r>
            <w:r w:rsidR="00073F84">
              <w:rPr>
                <w:noProof/>
                <w:webHidden/>
              </w:rPr>
            </w:r>
            <w:r w:rsidR="00073F84">
              <w:rPr>
                <w:noProof/>
                <w:webHidden/>
              </w:rPr>
              <w:fldChar w:fldCharType="separate"/>
            </w:r>
            <w:r w:rsidR="00C42767">
              <w:rPr>
                <w:noProof/>
                <w:webHidden/>
              </w:rPr>
              <w:t>1</w:t>
            </w:r>
            <w:r w:rsidR="00073F84">
              <w:rPr>
                <w:noProof/>
                <w:webHidden/>
              </w:rPr>
              <w:fldChar w:fldCharType="end"/>
            </w:r>
          </w:hyperlink>
        </w:p>
        <w:p w14:paraId="18152C34" w14:textId="77777777" w:rsidR="00073F84" w:rsidRDefault="000922F6">
          <w:pPr>
            <w:pStyle w:val="TDC3"/>
            <w:rPr>
              <w:rFonts w:asciiTheme="minorHAnsi" w:eastAsiaTheme="minorEastAsia" w:hAnsiTheme="minorHAnsi" w:cstheme="minorBidi"/>
              <w:noProof/>
              <w:szCs w:val="22"/>
              <w:lang w:eastAsia="es-MX"/>
            </w:rPr>
          </w:pPr>
          <w:hyperlink w:anchor="_Toc181799792" w:history="1">
            <w:r w:rsidR="00073F84" w:rsidRPr="00A540E4">
              <w:rPr>
                <w:rStyle w:val="Hipervnculo"/>
                <w:noProof/>
              </w:rPr>
              <w:t>b) Turno de la solicitud de información</w:t>
            </w:r>
            <w:r w:rsidR="00073F84">
              <w:rPr>
                <w:noProof/>
                <w:webHidden/>
              </w:rPr>
              <w:tab/>
            </w:r>
            <w:r w:rsidR="00073F84">
              <w:rPr>
                <w:noProof/>
                <w:webHidden/>
              </w:rPr>
              <w:fldChar w:fldCharType="begin"/>
            </w:r>
            <w:r w:rsidR="00073F84">
              <w:rPr>
                <w:noProof/>
                <w:webHidden/>
              </w:rPr>
              <w:instrText xml:space="preserve"> PAGEREF _Toc181799792 \h </w:instrText>
            </w:r>
            <w:r w:rsidR="00073F84">
              <w:rPr>
                <w:noProof/>
                <w:webHidden/>
              </w:rPr>
            </w:r>
            <w:r w:rsidR="00073F84">
              <w:rPr>
                <w:noProof/>
                <w:webHidden/>
              </w:rPr>
              <w:fldChar w:fldCharType="separate"/>
            </w:r>
            <w:r w:rsidR="00C42767">
              <w:rPr>
                <w:noProof/>
                <w:webHidden/>
              </w:rPr>
              <w:t>2</w:t>
            </w:r>
            <w:r w:rsidR="00073F84">
              <w:rPr>
                <w:noProof/>
                <w:webHidden/>
              </w:rPr>
              <w:fldChar w:fldCharType="end"/>
            </w:r>
          </w:hyperlink>
        </w:p>
        <w:p w14:paraId="7F4D7CFC" w14:textId="77777777" w:rsidR="00073F84" w:rsidRDefault="000922F6">
          <w:pPr>
            <w:pStyle w:val="TDC3"/>
            <w:rPr>
              <w:rFonts w:asciiTheme="minorHAnsi" w:eastAsiaTheme="minorEastAsia" w:hAnsiTheme="minorHAnsi" w:cstheme="minorBidi"/>
              <w:noProof/>
              <w:szCs w:val="22"/>
              <w:lang w:eastAsia="es-MX"/>
            </w:rPr>
          </w:pPr>
          <w:hyperlink w:anchor="_Toc181799793" w:history="1">
            <w:r w:rsidR="00073F84" w:rsidRPr="00A540E4">
              <w:rPr>
                <w:rStyle w:val="Hipervnculo"/>
                <w:noProof/>
              </w:rPr>
              <w:t xml:space="preserve">c) </w:t>
            </w:r>
            <w:r w:rsidR="00073F84" w:rsidRPr="00A540E4">
              <w:rPr>
                <w:rStyle w:val="Hipervnculo"/>
                <w:noProof/>
                <w:lang w:val="es-ES"/>
              </w:rPr>
              <w:t xml:space="preserve">Respuesta </w:t>
            </w:r>
            <w:r w:rsidR="00073F84" w:rsidRPr="00A540E4">
              <w:rPr>
                <w:rStyle w:val="Hipervnculo"/>
                <w:rFonts w:eastAsia="Calibri"/>
                <w:noProof/>
                <w:lang w:eastAsia="en-US"/>
              </w:rPr>
              <w:t>del Sujeto Obligado</w:t>
            </w:r>
            <w:r w:rsidR="00073F84">
              <w:rPr>
                <w:noProof/>
                <w:webHidden/>
              </w:rPr>
              <w:tab/>
            </w:r>
            <w:r w:rsidR="00073F84">
              <w:rPr>
                <w:noProof/>
                <w:webHidden/>
              </w:rPr>
              <w:fldChar w:fldCharType="begin"/>
            </w:r>
            <w:r w:rsidR="00073F84">
              <w:rPr>
                <w:noProof/>
                <w:webHidden/>
              </w:rPr>
              <w:instrText xml:space="preserve"> PAGEREF _Toc181799793 \h </w:instrText>
            </w:r>
            <w:r w:rsidR="00073F84">
              <w:rPr>
                <w:noProof/>
                <w:webHidden/>
              </w:rPr>
            </w:r>
            <w:r w:rsidR="00073F84">
              <w:rPr>
                <w:noProof/>
                <w:webHidden/>
              </w:rPr>
              <w:fldChar w:fldCharType="separate"/>
            </w:r>
            <w:r w:rsidR="00C42767">
              <w:rPr>
                <w:noProof/>
                <w:webHidden/>
              </w:rPr>
              <w:t>2</w:t>
            </w:r>
            <w:r w:rsidR="00073F84">
              <w:rPr>
                <w:noProof/>
                <w:webHidden/>
              </w:rPr>
              <w:fldChar w:fldCharType="end"/>
            </w:r>
          </w:hyperlink>
        </w:p>
        <w:p w14:paraId="5AC0D54B" w14:textId="77777777" w:rsidR="00073F84" w:rsidRDefault="000922F6">
          <w:pPr>
            <w:pStyle w:val="TDC2"/>
            <w:rPr>
              <w:rFonts w:asciiTheme="minorHAnsi" w:eastAsiaTheme="minorEastAsia" w:hAnsiTheme="minorHAnsi" w:cstheme="minorBidi"/>
              <w:noProof/>
              <w:szCs w:val="22"/>
              <w:lang w:eastAsia="es-MX"/>
            </w:rPr>
          </w:pPr>
          <w:hyperlink w:anchor="_Toc181799794" w:history="1">
            <w:r w:rsidR="00073F84" w:rsidRPr="00A540E4">
              <w:rPr>
                <w:rStyle w:val="Hipervnculo"/>
                <w:noProof/>
              </w:rPr>
              <w:t>DEL RECURSO DE REVISIÓN</w:t>
            </w:r>
            <w:r w:rsidR="00073F84">
              <w:rPr>
                <w:noProof/>
                <w:webHidden/>
              </w:rPr>
              <w:tab/>
            </w:r>
            <w:r w:rsidR="00073F84">
              <w:rPr>
                <w:noProof/>
                <w:webHidden/>
              </w:rPr>
              <w:fldChar w:fldCharType="begin"/>
            </w:r>
            <w:r w:rsidR="00073F84">
              <w:rPr>
                <w:noProof/>
                <w:webHidden/>
              </w:rPr>
              <w:instrText xml:space="preserve"> PAGEREF _Toc181799794 \h </w:instrText>
            </w:r>
            <w:r w:rsidR="00073F84">
              <w:rPr>
                <w:noProof/>
                <w:webHidden/>
              </w:rPr>
            </w:r>
            <w:r w:rsidR="00073F84">
              <w:rPr>
                <w:noProof/>
                <w:webHidden/>
              </w:rPr>
              <w:fldChar w:fldCharType="separate"/>
            </w:r>
            <w:r w:rsidR="00C42767">
              <w:rPr>
                <w:noProof/>
                <w:webHidden/>
              </w:rPr>
              <w:t>3</w:t>
            </w:r>
            <w:r w:rsidR="00073F84">
              <w:rPr>
                <w:noProof/>
                <w:webHidden/>
              </w:rPr>
              <w:fldChar w:fldCharType="end"/>
            </w:r>
          </w:hyperlink>
        </w:p>
        <w:p w14:paraId="32C380EE" w14:textId="77777777" w:rsidR="00073F84" w:rsidRDefault="000922F6">
          <w:pPr>
            <w:pStyle w:val="TDC3"/>
            <w:rPr>
              <w:rFonts w:asciiTheme="minorHAnsi" w:eastAsiaTheme="minorEastAsia" w:hAnsiTheme="minorHAnsi" w:cstheme="minorBidi"/>
              <w:noProof/>
              <w:szCs w:val="22"/>
              <w:lang w:eastAsia="es-MX"/>
            </w:rPr>
          </w:pPr>
          <w:hyperlink w:anchor="_Toc181799795" w:history="1">
            <w:r w:rsidR="00073F84" w:rsidRPr="00A540E4">
              <w:rPr>
                <w:rStyle w:val="Hipervnculo"/>
                <w:noProof/>
              </w:rPr>
              <w:t>a) Interposición del Recurso de Revisión</w:t>
            </w:r>
            <w:r w:rsidR="00073F84">
              <w:rPr>
                <w:noProof/>
                <w:webHidden/>
              </w:rPr>
              <w:tab/>
            </w:r>
            <w:r w:rsidR="00073F84">
              <w:rPr>
                <w:noProof/>
                <w:webHidden/>
              </w:rPr>
              <w:fldChar w:fldCharType="begin"/>
            </w:r>
            <w:r w:rsidR="00073F84">
              <w:rPr>
                <w:noProof/>
                <w:webHidden/>
              </w:rPr>
              <w:instrText xml:space="preserve"> PAGEREF _Toc181799795 \h </w:instrText>
            </w:r>
            <w:r w:rsidR="00073F84">
              <w:rPr>
                <w:noProof/>
                <w:webHidden/>
              </w:rPr>
            </w:r>
            <w:r w:rsidR="00073F84">
              <w:rPr>
                <w:noProof/>
                <w:webHidden/>
              </w:rPr>
              <w:fldChar w:fldCharType="separate"/>
            </w:r>
            <w:r w:rsidR="00C42767">
              <w:rPr>
                <w:noProof/>
                <w:webHidden/>
              </w:rPr>
              <w:t>3</w:t>
            </w:r>
            <w:r w:rsidR="00073F84">
              <w:rPr>
                <w:noProof/>
                <w:webHidden/>
              </w:rPr>
              <w:fldChar w:fldCharType="end"/>
            </w:r>
          </w:hyperlink>
        </w:p>
        <w:p w14:paraId="1135E668" w14:textId="77777777" w:rsidR="00073F84" w:rsidRDefault="000922F6">
          <w:pPr>
            <w:pStyle w:val="TDC3"/>
            <w:rPr>
              <w:rFonts w:asciiTheme="minorHAnsi" w:eastAsiaTheme="minorEastAsia" w:hAnsiTheme="minorHAnsi" w:cstheme="minorBidi"/>
              <w:noProof/>
              <w:szCs w:val="22"/>
              <w:lang w:eastAsia="es-MX"/>
            </w:rPr>
          </w:pPr>
          <w:hyperlink w:anchor="_Toc181799796" w:history="1">
            <w:r w:rsidR="00073F84" w:rsidRPr="00A540E4">
              <w:rPr>
                <w:rStyle w:val="Hipervnculo"/>
                <w:noProof/>
              </w:rPr>
              <w:t>b) Turno del Recurso de Revisión</w:t>
            </w:r>
            <w:r w:rsidR="00073F84">
              <w:rPr>
                <w:noProof/>
                <w:webHidden/>
              </w:rPr>
              <w:tab/>
            </w:r>
            <w:r w:rsidR="00073F84">
              <w:rPr>
                <w:noProof/>
                <w:webHidden/>
              </w:rPr>
              <w:fldChar w:fldCharType="begin"/>
            </w:r>
            <w:r w:rsidR="00073F84">
              <w:rPr>
                <w:noProof/>
                <w:webHidden/>
              </w:rPr>
              <w:instrText xml:space="preserve"> PAGEREF _Toc181799796 \h </w:instrText>
            </w:r>
            <w:r w:rsidR="00073F84">
              <w:rPr>
                <w:noProof/>
                <w:webHidden/>
              </w:rPr>
            </w:r>
            <w:r w:rsidR="00073F84">
              <w:rPr>
                <w:noProof/>
                <w:webHidden/>
              </w:rPr>
              <w:fldChar w:fldCharType="separate"/>
            </w:r>
            <w:r w:rsidR="00C42767">
              <w:rPr>
                <w:noProof/>
                <w:webHidden/>
              </w:rPr>
              <w:t>4</w:t>
            </w:r>
            <w:r w:rsidR="00073F84">
              <w:rPr>
                <w:noProof/>
                <w:webHidden/>
              </w:rPr>
              <w:fldChar w:fldCharType="end"/>
            </w:r>
          </w:hyperlink>
        </w:p>
        <w:p w14:paraId="5BD4E33F" w14:textId="77777777" w:rsidR="00073F84" w:rsidRDefault="000922F6">
          <w:pPr>
            <w:pStyle w:val="TDC3"/>
            <w:rPr>
              <w:rFonts w:asciiTheme="minorHAnsi" w:eastAsiaTheme="minorEastAsia" w:hAnsiTheme="minorHAnsi" w:cstheme="minorBidi"/>
              <w:noProof/>
              <w:szCs w:val="22"/>
              <w:lang w:eastAsia="es-MX"/>
            </w:rPr>
          </w:pPr>
          <w:hyperlink w:anchor="_Toc181799797" w:history="1">
            <w:r w:rsidR="00073F84" w:rsidRPr="00A540E4">
              <w:rPr>
                <w:rStyle w:val="Hipervnculo"/>
                <w:noProof/>
              </w:rPr>
              <w:t>c) Admisión del Recurso de Revisión</w:t>
            </w:r>
            <w:r w:rsidR="00073F84">
              <w:rPr>
                <w:noProof/>
                <w:webHidden/>
              </w:rPr>
              <w:tab/>
            </w:r>
            <w:r w:rsidR="00073F84">
              <w:rPr>
                <w:noProof/>
                <w:webHidden/>
              </w:rPr>
              <w:fldChar w:fldCharType="begin"/>
            </w:r>
            <w:r w:rsidR="00073F84">
              <w:rPr>
                <w:noProof/>
                <w:webHidden/>
              </w:rPr>
              <w:instrText xml:space="preserve"> PAGEREF _Toc181799797 \h </w:instrText>
            </w:r>
            <w:r w:rsidR="00073F84">
              <w:rPr>
                <w:noProof/>
                <w:webHidden/>
              </w:rPr>
            </w:r>
            <w:r w:rsidR="00073F84">
              <w:rPr>
                <w:noProof/>
                <w:webHidden/>
              </w:rPr>
              <w:fldChar w:fldCharType="separate"/>
            </w:r>
            <w:r w:rsidR="00C42767">
              <w:rPr>
                <w:noProof/>
                <w:webHidden/>
              </w:rPr>
              <w:t>4</w:t>
            </w:r>
            <w:r w:rsidR="00073F84">
              <w:rPr>
                <w:noProof/>
                <w:webHidden/>
              </w:rPr>
              <w:fldChar w:fldCharType="end"/>
            </w:r>
          </w:hyperlink>
        </w:p>
        <w:p w14:paraId="111EBBF6" w14:textId="77777777" w:rsidR="00073F84" w:rsidRDefault="000922F6">
          <w:pPr>
            <w:pStyle w:val="TDC3"/>
            <w:rPr>
              <w:rFonts w:asciiTheme="minorHAnsi" w:eastAsiaTheme="minorEastAsia" w:hAnsiTheme="minorHAnsi" w:cstheme="minorBidi"/>
              <w:noProof/>
              <w:szCs w:val="22"/>
              <w:lang w:eastAsia="es-MX"/>
            </w:rPr>
          </w:pPr>
          <w:hyperlink w:anchor="_Toc181799798" w:history="1">
            <w:r w:rsidR="00073F84" w:rsidRPr="00A540E4">
              <w:rPr>
                <w:rStyle w:val="Hipervnculo"/>
                <w:noProof/>
              </w:rPr>
              <w:t>d) Informe Justificado del Sujeto Obligado</w:t>
            </w:r>
            <w:r w:rsidR="00073F84">
              <w:rPr>
                <w:noProof/>
                <w:webHidden/>
              </w:rPr>
              <w:tab/>
            </w:r>
            <w:r w:rsidR="00073F84">
              <w:rPr>
                <w:noProof/>
                <w:webHidden/>
              </w:rPr>
              <w:fldChar w:fldCharType="begin"/>
            </w:r>
            <w:r w:rsidR="00073F84">
              <w:rPr>
                <w:noProof/>
                <w:webHidden/>
              </w:rPr>
              <w:instrText xml:space="preserve"> PAGEREF _Toc181799798 \h </w:instrText>
            </w:r>
            <w:r w:rsidR="00073F84">
              <w:rPr>
                <w:noProof/>
                <w:webHidden/>
              </w:rPr>
            </w:r>
            <w:r w:rsidR="00073F84">
              <w:rPr>
                <w:noProof/>
                <w:webHidden/>
              </w:rPr>
              <w:fldChar w:fldCharType="separate"/>
            </w:r>
            <w:r w:rsidR="00C42767">
              <w:rPr>
                <w:noProof/>
                <w:webHidden/>
              </w:rPr>
              <w:t>4</w:t>
            </w:r>
            <w:r w:rsidR="00073F84">
              <w:rPr>
                <w:noProof/>
                <w:webHidden/>
              </w:rPr>
              <w:fldChar w:fldCharType="end"/>
            </w:r>
          </w:hyperlink>
        </w:p>
        <w:p w14:paraId="631D7833" w14:textId="77777777" w:rsidR="00073F84" w:rsidRDefault="000922F6">
          <w:pPr>
            <w:pStyle w:val="TDC3"/>
            <w:rPr>
              <w:rFonts w:asciiTheme="minorHAnsi" w:eastAsiaTheme="minorEastAsia" w:hAnsiTheme="minorHAnsi" w:cstheme="minorBidi"/>
              <w:noProof/>
              <w:szCs w:val="22"/>
              <w:lang w:eastAsia="es-MX"/>
            </w:rPr>
          </w:pPr>
          <w:hyperlink w:anchor="_Toc181799799" w:history="1">
            <w:r w:rsidR="00073F84" w:rsidRPr="00A540E4">
              <w:rPr>
                <w:rStyle w:val="Hipervnculo"/>
                <w:rFonts w:eastAsia="Calibri"/>
                <w:bCs/>
                <w:noProof/>
                <w:lang w:eastAsia="en-US"/>
              </w:rPr>
              <w:t>e)</w:t>
            </w:r>
            <w:r w:rsidR="00073F84" w:rsidRPr="00A540E4">
              <w:rPr>
                <w:rStyle w:val="Hipervnculo"/>
                <w:noProof/>
              </w:rPr>
              <w:t xml:space="preserve"> </w:t>
            </w:r>
            <w:r w:rsidR="00073F84" w:rsidRPr="00A540E4">
              <w:rPr>
                <w:rStyle w:val="Hipervnculo"/>
                <w:noProof/>
                <w:lang w:val="es-ES"/>
              </w:rPr>
              <w:t>Manifestaciones de la Parte Recurrente</w:t>
            </w:r>
            <w:r w:rsidR="00073F84">
              <w:rPr>
                <w:noProof/>
                <w:webHidden/>
              </w:rPr>
              <w:tab/>
            </w:r>
            <w:r w:rsidR="00073F84">
              <w:rPr>
                <w:noProof/>
                <w:webHidden/>
              </w:rPr>
              <w:fldChar w:fldCharType="begin"/>
            </w:r>
            <w:r w:rsidR="00073F84">
              <w:rPr>
                <w:noProof/>
                <w:webHidden/>
              </w:rPr>
              <w:instrText xml:space="preserve"> PAGEREF _Toc181799799 \h </w:instrText>
            </w:r>
            <w:r w:rsidR="00073F84">
              <w:rPr>
                <w:noProof/>
                <w:webHidden/>
              </w:rPr>
            </w:r>
            <w:r w:rsidR="00073F84">
              <w:rPr>
                <w:noProof/>
                <w:webHidden/>
              </w:rPr>
              <w:fldChar w:fldCharType="separate"/>
            </w:r>
            <w:r w:rsidR="00C42767">
              <w:rPr>
                <w:noProof/>
                <w:webHidden/>
              </w:rPr>
              <w:t>5</w:t>
            </w:r>
            <w:r w:rsidR="00073F84">
              <w:rPr>
                <w:noProof/>
                <w:webHidden/>
              </w:rPr>
              <w:fldChar w:fldCharType="end"/>
            </w:r>
          </w:hyperlink>
        </w:p>
        <w:p w14:paraId="7C992054" w14:textId="77777777" w:rsidR="00073F84" w:rsidRDefault="000922F6">
          <w:pPr>
            <w:pStyle w:val="TDC3"/>
            <w:rPr>
              <w:rFonts w:asciiTheme="minorHAnsi" w:eastAsiaTheme="minorEastAsia" w:hAnsiTheme="minorHAnsi" w:cstheme="minorBidi"/>
              <w:noProof/>
              <w:szCs w:val="22"/>
              <w:lang w:eastAsia="es-MX"/>
            </w:rPr>
          </w:pPr>
          <w:hyperlink w:anchor="_Toc181799800" w:history="1">
            <w:r w:rsidR="00073F84" w:rsidRPr="00A540E4">
              <w:rPr>
                <w:rStyle w:val="Hipervnculo"/>
                <w:rFonts w:eastAsia="Calibri"/>
                <w:noProof/>
              </w:rPr>
              <w:t xml:space="preserve">f) </w:t>
            </w:r>
            <w:r w:rsidR="00073F84" w:rsidRPr="00A540E4">
              <w:rPr>
                <w:rStyle w:val="Hipervnculo"/>
                <w:noProof/>
              </w:rPr>
              <w:t>Cierre de instrucción</w:t>
            </w:r>
            <w:r w:rsidR="00073F84">
              <w:rPr>
                <w:noProof/>
                <w:webHidden/>
              </w:rPr>
              <w:tab/>
            </w:r>
            <w:r w:rsidR="00073F84">
              <w:rPr>
                <w:noProof/>
                <w:webHidden/>
              </w:rPr>
              <w:fldChar w:fldCharType="begin"/>
            </w:r>
            <w:r w:rsidR="00073F84">
              <w:rPr>
                <w:noProof/>
                <w:webHidden/>
              </w:rPr>
              <w:instrText xml:space="preserve"> PAGEREF _Toc181799800 \h </w:instrText>
            </w:r>
            <w:r w:rsidR="00073F84">
              <w:rPr>
                <w:noProof/>
                <w:webHidden/>
              </w:rPr>
            </w:r>
            <w:r w:rsidR="00073F84">
              <w:rPr>
                <w:noProof/>
                <w:webHidden/>
              </w:rPr>
              <w:fldChar w:fldCharType="separate"/>
            </w:r>
            <w:r w:rsidR="00C42767">
              <w:rPr>
                <w:noProof/>
                <w:webHidden/>
              </w:rPr>
              <w:t>6</w:t>
            </w:r>
            <w:r w:rsidR="00073F84">
              <w:rPr>
                <w:noProof/>
                <w:webHidden/>
              </w:rPr>
              <w:fldChar w:fldCharType="end"/>
            </w:r>
          </w:hyperlink>
        </w:p>
        <w:p w14:paraId="197A349F" w14:textId="77777777" w:rsidR="00073F84" w:rsidRDefault="000922F6">
          <w:pPr>
            <w:pStyle w:val="TDC1"/>
            <w:tabs>
              <w:tab w:val="right" w:leader="dot" w:pos="9034"/>
            </w:tabs>
            <w:rPr>
              <w:rFonts w:asciiTheme="minorHAnsi" w:eastAsiaTheme="minorEastAsia" w:hAnsiTheme="minorHAnsi" w:cstheme="minorBidi"/>
              <w:noProof/>
              <w:szCs w:val="22"/>
              <w:lang w:eastAsia="es-MX"/>
            </w:rPr>
          </w:pPr>
          <w:hyperlink w:anchor="_Toc181799801" w:history="1">
            <w:r w:rsidR="00073F84" w:rsidRPr="00A540E4">
              <w:rPr>
                <w:rStyle w:val="Hipervnculo"/>
                <w:rFonts w:eastAsiaTheme="minorHAnsi"/>
                <w:noProof/>
                <w:lang w:eastAsia="en-US"/>
              </w:rPr>
              <w:t>CONSIDERANDOS</w:t>
            </w:r>
            <w:r w:rsidR="00073F84">
              <w:rPr>
                <w:noProof/>
                <w:webHidden/>
              </w:rPr>
              <w:tab/>
            </w:r>
            <w:r w:rsidR="00073F84">
              <w:rPr>
                <w:noProof/>
                <w:webHidden/>
              </w:rPr>
              <w:fldChar w:fldCharType="begin"/>
            </w:r>
            <w:r w:rsidR="00073F84">
              <w:rPr>
                <w:noProof/>
                <w:webHidden/>
              </w:rPr>
              <w:instrText xml:space="preserve"> PAGEREF _Toc181799801 \h </w:instrText>
            </w:r>
            <w:r w:rsidR="00073F84">
              <w:rPr>
                <w:noProof/>
                <w:webHidden/>
              </w:rPr>
            </w:r>
            <w:r w:rsidR="00073F84">
              <w:rPr>
                <w:noProof/>
                <w:webHidden/>
              </w:rPr>
              <w:fldChar w:fldCharType="separate"/>
            </w:r>
            <w:r w:rsidR="00C42767">
              <w:rPr>
                <w:noProof/>
                <w:webHidden/>
              </w:rPr>
              <w:t>6</w:t>
            </w:r>
            <w:r w:rsidR="00073F84">
              <w:rPr>
                <w:noProof/>
                <w:webHidden/>
              </w:rPr>
              <w:fldChar w:fldCharType="end"/>
            </w:r>
          </w:hyperlink>
        </w:p>
        <w:p w14:paraId="00418637" w14:textId="77777777" w:rsidR="00073F84" w:rsidRDefault="000922F6">
          <w:pPr>
            <w:pStyle w:val="TDC2"/>
            <w:rPr>
              <w:rFonts w:asciiTheme="minorHAnsi" w:eastAsiaTheme="minorEastAsia" w:hAnsiTheme="minorHAnsi" w:cstheme="minorBidi"/>
              <w:noProof/>
              <w:szCs w:val="22"/>
              <w:lang w:eastAsia="es-MX"/>
            </w:rPr>
          </w:pPr>
          <w:hyperlink w:anchor="_Toc181799802" w:history="1">
            <w:r w:rsidR="00073F84" w:rsidRPr="00A540E4">
              <w:rPr>
                <w:rStyle w:val="Hipervnculo"/>
                <w:rFonts w:eastAsia="Batang"/>
                <w:noProof/>
              </w:rPr>
              <w:t>PRIMERO. Procedibilidad</w:t>
            </w:r>
            <w:r w:rsidR="00073F84">
              <w:rPr>
                <w:noProof/>
                <w:webHidden/>
              </w:rPr>
              <w:tab/>
            </w:r>
            <w:r w:rsidR="00073F84">
              <w:rPr>
                <w:noProof/>
                <w:webHidden/>
              </w:rPr>
              <w:fldChar w:fldCharType="begin"/>
            </w:r>
            <w:r w:rsidR="00073F84">
              <w:rPr>
                <w:noProof/>
                <w:webHidden/>
              </w:rPr>
              <w:instrText xml:space="preserve"> PAGEREF _Toc181799802 \h </w:instrText>
            </w:r>
            <w:r w:rsidR="00073F84">
              <w:rPr>
                <w:noProof/>
                <w:webHidden/>
              </w:rPr>
            </w:r>
            <w:r w:rsidR="00073F84">
              <w:rPr>
                <w:noProof/>
                <w:webHidden/>
              </w:rPr>
              <w:fldChar w:fldCharType="separate"/>
            </w:r>
            <w:r w:rsidR="00C42767">
              <w:rPr>
                <w:noProof/>
                <w:webHidden/>
              </w:rPr>
              <w:t>6</w:t>
            </w:r>
            <w:r w:rsidR="00073F84">
              <w:rPr>
                <w:noProof/>
                <w:webHidden/>
              </w:rPr>
              <w:fldChar w:fldCharType="end"/>
            </w:r>
          </w:hyperlink>
        </w:p>
        <w:p w14:paraId="6CC6A646" w14:textId="77777777" w:rsidR="00073F84" w:rsidRDefault="000922F6">
          <w:pPr>
            <w:pStyle w:val="TDC3"/>
            <w:rPr>
              <w:rFonts w:asciiTheme="minorHAnsi" w:eastAsiaTheme="minorEastAsia" w:hAnsiTheme="minorHAnsi" w:cstheme="minorBidi"/>
              <w:noProof/>
              <w:szCs w:val="22"/>
              <w:lang w:eastAsia="es-MX"/>
            </w:rPr>
          </w:pPr>
          <w:hyperlink w:anchor="_Toc181799803" w:history="1">
            <w:r w:rsidR="00073F84" w:rsidRPr="00A540E4">
              <w:rPr>
                <w:rStyle w:val="Hipervnculo"/>
                <w:noProof/>
              </w:rPr>
              <w:t>a) Competencia del Instituto</w:t>
            </w:r>
            <w:r w:rsidR="00073F84">
              <w:rPr>
                <w:noProof/>
                <w:webHidden/>
              </w:rPr>
              <w:tab/>
            </w:r>
            <w:r w:rsidR="00073F84">
              <w:rPr>
                <w:noProof/>
                <w:webHidden/>
              </w:rPr>
              <w:fldChar w:fldCharType="begin"/>
            </w:r>
            <w:r w:rsidR="00073F84">
              <w:rPr>
                <w:noProof/>
                <w:webHidden/>
              </w:rPr>
              <w:instrText xml:space="preserve"> PAGEREF _Toc181799803 \h </w:instrText>
            </w:r>
            <w:r w:rsidR="00073F84">
              <w:rPr>
                <w:noProof/>
                <w:webHidden/>
              </w:rPr>
            </w:r>
            <w:r w:rsidR="00073F84">
              <w:rPr>
                <w:noProof/>
                <w:webHidden/>
              </w:rPr>
              <w:fldChar w:fldCharType="separate"/>
            </w:r>
            <w:r w:rsidR="00C42767">
              <w:rPr>
                <w:noProof/>
                <w:webHidden/>
              </w:rPr>
              <w:t>6</w:t>
            </w:r>
            <w:r w:rsidR="00073F84">
              <w:rPr>
                <w:noProof/>
                <w:webHidden/>
              </w:rPr>
              <w:fldChar w:fldCharType="end"/>
            </w:r>
          </w:hyperlink>
        </w:p>
        <w:p w14:paraId="1BE5B169" w14:textId="77777777" w:rsidR="00073F84" w:rsidRDefault="000922F6">
          <w:pPr>
            <w:pStyle w:val="TDC3"/>
            <w:rPr>
              <w:rFonts w:asciiTheme="minorHAnsi" w:eastAsiaTheme="minorEastAsia" w:hAnsiTheme="minorHAnsi" w:cstheme="minorBidi"/>
              <w:noProof/>
              <w:szCs w:val="22"/>
              <w:lang w:eastAsia="es-MX"/>
            </w:rPr>
          </w:pPr>
          <w:hyperlink w:anchor="_Toc181799804" w:history="1">
            <w:r w:rsidR="00073F84" w:rsidRPr="00A540E4">
              <w:rPr>
                <w:rStyle w:val="Hipervnculo"/>
                <w:noProof/>
              </w:rPr>
              <w:t>b) Legitimidad de la parte recurrente</w:t>
            </w:r>
            <w:r w:rsidR="00073F84">
              <w:rPr>
                <w:noProof/>
                <w:webHidden/>
              </w:rPr>
              <w:tab/>
            </w:r>
            <w:r w:rsidR="00073F84">
              <w:rPr>
                <w:noProof/>
                <w:webHidden/>
              </w:rPr>
              <w:fldChar w:fldCharType="begin"/>
            </w:r>
            <w:r w:rsidR="00073F84">
              <w:rPr>
                <w:noProof/>
                <w:webHidden/>
              </w:rPr>
              <w:instrText xml:space="preserve"> PAGEREF _Toc181799804 \h </w:instrText>
            </w:r>
            <w:r w:rsidR="00073F84">
              <w:rPr>
                <w:noProof/>
                <w:webHidden/>
              </w:rPr>
            </w:r>
            <w:r w:rsidR="00073F84">
              <w:rPr>
                <w:noProof/>
                <w:webHidden/>
              </w:rPr>
              <w:fldChar w:fldCharType="separate"/>
            </w:r>
            <w:r w:rsidR="00C42767">
              <w:rPr>
                <w:noProof/>
                <w:webHidden/>
              </w:rPr>
              <w:t>7</w:t>
            </w:r>
            <w:r w:rsidR="00073F84">
              <w:rPr>
                <w:noProof/>
                <w:webHidden/>
              </w:rPr>
              <w:fldChar w:fldCharType="end"/>
            </w:r>
          </w:hyperlink>
        </w:p>
        <w:p w14:paraId="55D3D33F" w14:textId="77777777" w:rsidR="00073F84" w:rsidRDefault="000922F6">
          <w:pPr>
            <w:pStyle w:val="TDC3"/>
            <w:rPr>
              <w:rFonts w:asciiTheme="minorHAnsi" w:eastAsiaTheme="minorEastAsia" w:hAnsiTheme="minorHAnsi" w:cstheme="minorBidi"/>
              <w:noProof/>
              <w:szCs w:val="22"/>
              <w:lang w:eastAsia="es-MX"/>
            </w:rPr>
          </w:pPr>
          <w:hyperlink w:anchor="_Toc181799805" w:history="1">
            <w:r w:rsidR="00073F84" w:rsidRPr="00A540E4">
              <w:rPr>
                <w:rStyle w:val="Hipervnculo"/>
                <w:rFonts w:eastAsia="Calibri"/>
                <w:noProof/>
                <w:lang w:eastAsia="es-ES_tradnl"/>
              </w:rPr>
              <w:t>c) Plazo para interponer el recurso</w:t>
            </w:r>
            <w:r w:rsidR="00073F84">
              <w:rPr>
                <w:noProof/>
                <w:webHidden/>
              </w:rPr>
              <w:tab/>
            </w:r>
            <w:r w:rsidR="00073F84">
              <w:rPr>
                <w:noProof/>
                <w:webHidden/>
              </w:rPr>
              <w:fldChar w:fldCharType="begin"/>
            </w:r>
            <w:r w:rsidR="00073F84">
              <w:rPr>
                <w:noProof/>
                <w:webHidden/>
              </w:rPr>
              <w:instrText xml:space="preserve"> PAGEREF _Toc181799805 \h </w:instrText>
            </w:r>
            <w:r w:rsidR="00073F84">
              <w:rPr>
                <w:noProof/>
                <w:webHidden/>
              </w:rPr>
            </w:r>
            <w:r w:rsidR="00073F84">
              <w:rPr>
                <w:noProof/>
                <w:webHidden/>
              </w:rPr>
              <w:fldChar w:fldCharType="separate"/>
            </w:r>
            <w:r w:rsidR="00C42767">
              <w:rPr>
                <w:noProof/>
                <w:webHidden/>
              </w:rPr>
              <w:t>7</w:t>
            </w:r>
            <w:r w:rsidR="00073F84">
              <w:rPr>
                <w:noProof/>
                <w:webHidden/>
              </w:rPr>
              <w:fldChar w:fldCharType="end"/>
            </w:r>
          </w:hyperlink>
        </w:p>
        <w:p w14:paraId="3A5C0A61" w14:textId="77777777" w:rsidR="00073F84" w:rsidRDefault="000922F6">
          <w:pPr>
            <w:pStyle w:val="TDC3"/>
            <w:rPr>
              <w:rFonts w:asciiTheme="minorHAnsi" w:eastAsiaTheme="minorEastAsia" w:hAnsiTheme="minorHAnsi" w:cstheme="minorBidi"/>
              <w:noProof/>
              <w:szCs w:val="22"/>
              <w:lang w:eastAsia="es-MX"/>
            </w:rPr>
          </w:pPr>
          <w:hyperlink w:anchor="_Toc181799806" w:history="1">
            <w:r w:rsidR="00073F84" w:rsidRPr="00A540E4">
              <w:rPr>
                <w:rStyle w:val="Hipervnculo"/>
                <w:rFonts w:eastAsia="Calibri"/>
                <w:noProof/>
                <w:lang w:eastAsia="es-ES_tradnl"/>
              </w:rPr>
              <w:t>d) Causal de Procedencia</w:t>
            </w:r>
            <w:r w:rsidR="00073F84">
              <w:rPr>
                <w:noProof/>
                <w:webHidden/>
              </w:rPr>
              <w:tab/>
            </w:r>
            <w:r w:rsidR="00073F84">
              <w:rPr>
                <w:noProof/>
                <w:webHidden/>
              </w:rPr>
              <w:fldChar w:fldCharType="begin"/>
            </w:r>
            <w:r w:rsidR="00073F84">
              <w:rPr>
                <w:noProof/>
                <w:webHidden/>
              </w:rPr>
              <w:instrText xml:space="preserve"> PAGEREF _Toc181799806 \h </w:instrText>
            </w:r>
            <w:r w:rsidR="00073F84">
              <w:rPr>
                <w:noProof/>
                <w:webHidden/>
              </w:rPr>
            </w:r>
            <w:r w:rsidR="00073F84">
              <w:rPr>
                <w:noProof/>
                <w:webHidden/>
              </w:rPr>
              <w:fldChar w:fldCharType="separate"/>
            </w:r>
            <w:r w:rsidR="00C42767">
              <w:rPr>
                <w:noProof/>
                <w:webHidden/>
              </w:rPr>
              <w:t>7</w:t>
            </w:r>
            <w:r w:rsidR="00073F84">
              <w:rPr>
                <w:noProof/>
                <w:webHidden/>
              </w:rPr>
              <w:fldChar w:fldCharType="end"/>
            </w:r>
          </w:hyperlink>
        </w:p>
        <w:p w14:paraId="7806F3B1" w14:textId="77777777" w:rsidR="00073F84" w:rsidRDefault="000922F6">
          <w:pPr>
            <w:pStyle w:val="TDC3"/>
            <w:rPr>
              <w:rFonts w:asciiTheme="minorHAnsi" w:eastAsiaTheme="minorEastAsia" w:hAnsiTheme="minorHAnsi" w:cstheme="minorBidi"/>
              <w:noProof/>
              <w:szCs w:val="22"/>
              <w:lang w:eastAsia="es-MX"/>
            </w:rPr>
          </w:pPr>
          <w:hyperlink w:anchor="_Toc181799807" w:history="1">
            <w:r w:rsidR="00073F84" w:rsidRPr="00A540E4">
              <w:rPr>
                <w:rStyle w:val="Hipervnculo"/>
                <w:noProof/>
              </w:rPr>
              <w:t>e) Requisitos formales para la interposición del recurso</w:t>
            </w:r>
            <w:r w:rsidR="00073F84">
              <w:rPr>
                <w:noProof/>
                <w:webHidden/>
              </w:rPr>
              <w:tab/>
            </w:r>
            <w:r w:rsidR="00073F84">
              <w:rPr>
                <w:noProof/>
                <w:webHidden/>
              </w:rPr>
              <w:fldChar w:fldCharType="begin"/>
            </w:r>
            <w:r w:rsidR="00073F84">
              <w:rPr>
                <w:noProof/>
                <w:webHidden/>
              </w:rPr>
              <w:instrText xml:space="preserve"> PAGEREF _Toc181799807 \h </w:instrText>
            </w:r>
            <w:r w:rsidR="00073F84">
              <w:rPr>
                <w:noProof/>
                <w:webHidden/>
              </w:rPr>
            </w:r>
            <w:r w:rsidR="00073F84">
              <w:rPr>
                <w:noProof/>
                <w:webHidden/>
              </w:rPr>
              <w:fldChar w:fldCharType="separate"/>
            </w:r>
            <w:r w:rsidR="00C42767">
              <w:rPr>
                <w:noProof/>
                <w:webHidden/>
              </w:rPr>
              <w:t>7</w:t>
            </w:r>
            <w:r w:rsidR="00073F84">
              <w:rPr>
                <w:noProof/>
                <w:webHidden/>
              </w:rPr>
              <w:fldChar w:fldCharType="end"/>
            </w:r>
          </w:hyperlink>
        </w:p>
        <w:p w14:paraId="3DBFBFF1" w14:textId="77777777" w:rsidR="00073F84" w:rsidRDefault="000922F6">
          <w:pPr>
            <w:pStyle w:val="TDC2"/>
            <w:rPr>
              <w:rFonts w:asciiTheme="minorHAnsi" w:eastAsiaTheme="minorEastAsia" w:hAnsiTheme="minorHAnsi" w:cstheme="minorBidi"/>
              <w:noProof/>
              <w:szCs w:val="22"/>
              <w:lang w:eastAsia="es-MX"/>
            </w:rPr>
          </w:pPr>
          <w:hyperlink w:anchor="_Toc181799808" w:history="1">
            <w:r w:rsidR="00073F84" w:rsidRPr="00A540E4">
              <w:rPr>
                <w:rStyle w:val="Hipervnculo"/>
                <w:noProof/>
              </w:rPr>
              <w:t>SEGUNDO. Estudio de Fondo</w:t>
            </w:r>
            <w:r w:rsidR="00073F84">
              <w:rPr>
                <w:noProof/>
                <w:webHidden/>
              </w:rPr>
              <w:tab/>
            </w:r>
            <w:r w:rsidR="00073F84">
              <w:rPr>
                <w:noProof/>
                <w:webHidden/>
              </w:rPr>
              <w:fldChar w:fldCharType="begin"/>
            </w:r>
            <w:r w:rsidR="00073F84">
              <w:rPr>
                <w:noProof/>
                <w:webHidden/>
              </w:rPr>
              <w:instrText xml:space="preserve"> PAGEREF _Toc181799808 \h </w:instrText>
            </w:r>
            <w:r w:rsidR="00073F84">
              <w:rPr>
                <w:noProof/>
                <w:webHidden/>
              </w:rPr>
            </w:r>
            <w:r w:rsidR="00073F84">
              <w:rPr>
                <w:noProof/>
                <w:webHidden/>
              </w:rPr>
              <w:fldChar w:fldCharType="separate"/>
            </w:r>
            <w:r w:rsidR="00C42767">
              <w:rPr>
                <w:noProof/>
                <w:webHidden/>
              </w:rPr>
              <w:t>8</w:t>
            </w:r>
            <w:r w:rsidR="00073F84">
              <w:rPr>
                <w:noProof/>
                <w:webHidden/>
              </w:rPr>
              <w:fldChar w:fldCharType="end"/>
            </w:r>
          </w:hyperlink>
        </w:p>
        <w:p w14:paraId="00335719" w14:textId="77777777" w:rsidR="00073F84" w:rsidRDefault="000922F6">
          <w:pPr>
            <w:pStyle w:val="TDC3"/>
            <w:rPr>
              <w:rFonts w:asciiTheme="minorHAnsi" w:eastAsiaTheme="minorEastAsia" w:hAnsiTheme="minorHAnsi" w:cstheme="minorBidi"/>
              <w:noProof/>
              <w:szCs w:val="22"/>
              <w:lang w:eastAsia="es-MX"/>
            </w:rPr>
          </w:pPr>
          <w:hyperlink w:anchor="_Toc181799809" w:history="1">
            <w:r w:rsidR="00073F84" w:rsidRPr="00A540E4">
              <w:rPr>
                <w:rStyle w:val="Hipervnculo"/>
                <w:noProof/>
              </w:rPr>
              <w:t>a) Mandato de transparencia y responsabilidad del Sujeto Obligado</w:t>
            </w:r>
            <w:r w:rsidR="00073F84">
              <w:rPr>
                <w:noProof/>
                <w:webHidden/>
              </w:rPr>
              <w:tab/>
            </w:r>
            <w:r w:rsidR="00073F84">
              <w:rPr>
                <w:noProof/>
                <w:webHidden/>
              </w:rPr>
              <w:fldChar w:fldCharType="begin"/>
            </w:r>
            <w:r w:rsidR="00073F84">
              <w:rPr>
                <w:noProof/>
                <w:webHidden/>
              </w:rPr>
              <w:instrText xml:space="preserve"> PAGEREF _Toc181799809 \h </w:instrText>
            </w:r>
            <w:r w:rsidR="00073F84">
              <w:rPr>
                <w:noProof/>
                <w:webHidden/>
              </w:rPr>
            </w:r>
            <w:r w:rsidR="00073F84">
              <w:rPr>
                <w:noProof/>
                <w:webHidden/>
              </w:rPr>
              <w:fldChar w:fldCharType="separate"/>
            </w:r>
            <w:r w:rsidR="00C42767">
              <w:rPr>
                <w:noProof/>
                <w:webHidden/>
              </w:rPr>
              <w:t>8</w:t>
            </w:r>
            <w:r w:rsidR="00073F84">
              <w:rPr>
                <w:noProof/>
                <w:webHidden/>
              </w:rPr>
              <w:fldChar w:fldCharType="end"/>
            </w:r>
          </w:hyperlink>
        </w:p>
        <w:p w14:paraId="4CA105B1" w14:textId="77777777" w:rsidR="00073F84" w:rsidRDefault="000922F6">
          <w:pPr>
            <w:pStyle w:val="TDC3"/>
            <w:rPr>
              <w:rFonts w:asciiTheme="minorHAnsi" w:eastAsiaTheme="minorEastAsia" w:hAnsiTheme="minorHAnsi" w:cstheme="minorBidi"/>
              <w:noProof/>
              <w:szCs w:val="22"/>
              <w:lang w:eastAsia="es-MX"/>
            </w:rPr>
          </w:pPr>
          <w:hyperlink w:anchor="_Toc181799810" w:history="1">
            <w:r w:rsidR="00073F84" w:rsidRPr="00A540E4">
              <w:rPr>
                <w:rStyle w:val="Hipervnculo"/>
                <w:rFonts w:eastAsia="Calibri"/>
                <w:noProof/>
                <w:lang w:eastAsia="es-ES_tradnl"/>
              </w:rPr>
              <w:t>b) Controversia a resolver</w:t>
            </w:r>
            <w:r w:rsidR="00073F84">
              <w:rPr>
                <w:noProof/>
                <w:webHidden/>
              </w:rPr>
              <w:tab/>
            </w:r>
            <w:r w:rsidR="00073F84">
              <w:rPr>
                <w:noProof/>
                <w:webHidden/>
              </w:rPr>
              <w:fldChar w:fldCharType="begin"/>
            </w:r>
            <w:r w:rsidR="00073F84">
              <w:rPr>
                <w:noProof/>
                <w:webHidden/>
              </w:rPr>
              <w:instrText xml:space="preserve"> PAGEREF _Toc181799810 \h </w:instrText>
            </w:r>
            <w:r w:rsidR="00073F84">
              <w:rPr>
                <w:noProof/>
                <w:webHidden/>
              </w:rPr>
            </w:r>
            <w:r w:rsidR="00073F84">
              <w:rPr>
                <w:noProof/>
                <w:webHidden/>
              </w:rPr>
              <w:fldChar w:fldCharType="separate"/>
            </w:r>
            <w:r w:rsidR="00C42767">
              <w:rPr>
                <w:noProof/>
                <w:webHidden/>
              </w:rPr>
              <w:t>11</w:t>
            </w:r>
            <w:r w:rsidR="00073F84">
              <w:rPr>
                <w:noProof/>
                <w:webHidden/>
              </w:rPr>
              <w:fldChar w:fldCharType="end"/>
            </w:r>
          </w:hyperlink>
        </w:p>
        <w:p w14:paraId="58642633" w14:textId="77777777" w:rsidR="00073F84" w:rsidRDefault="000922F6">
          <w:pPr>
            <w:pStyle w:val="TDC3"/>
            <w:rPr>
              <w:rFonts w:asciiTheme="minorHAnsi" w:eastAsiaTheme="minorEastAsia" w:hAnsiTheme="minorHAnsi" w:cstheme="minorBidi"/>
              <w:noProof/>
              <w:szCs w:val="22"/>
              <w:lang w:eastAsia="es-MX"/>
            </w:rPr>
          </w:pPr>
          <w:hyperlink w:anchor="_Toc181799811" w:history="1">
            <w:r w:rsidR="00073F84" w:rsidRPr="00A540E4">
              <w:rPr>
                <w:rStyle w:val="Hipervnculo"/>
                <w:rFonts w:eastAsia="Palatino Linotype"/>
                <w:noProof/>
              </w:rPr>
              <w:t>c) Estudio de la controversia</w:t>
            </w:r>
            <w:r w:rsidR="00073F84">
              <w:rPr>
                <w:noProof/>
                <w:webHidden/>
              </w:rPr>
              <w:tab/>
            </w:r>
            <w:r w:rsidR="00073F84">
              <w:rPr>
                <w:noProof/>
                <w:webHidden/>
              </w:rPr>
              <w:fldChar w:fldCharType="begin"/>
            </w:r>
            <w:r w:rsidR="00073F84">
              <w:rPr>
                <w:noProof/>
                <w:webHidden/>
              </w:rPr>
              <w:instrText xml:space="preserve"> PAGEREF _Toc181799811 \h </w:instrText>
            </w:r>
            <w:r w:rsidR="00073F84">
              <w:rPr>
                <w:noProof/>
                <w:webHidden/>
              </w:rPr>
            </w:r>
            <w:r w:rsidR="00073F84">
              <w:rPr>
                <w:noProof/>
                <w:webHidden/>
              </w:rPr>
              <w:fldChar w:fldCharType="separate"/>
            </w:r>
            <w:r w:rsidR="00C42767">
              <w:rPr>
                <w:noProof/>
                <w:webHidden/>
              </w:rPr>
              <w:t>12</w:t>
            </w:r>
            <w:r w:rsidR="00073F84">
              <w:rPr>
                <w:noProof/>
                <w:webHidden/>
              </w:rPr>
              <w:fldChar w:fldCharType="end"/>
            </w:r>
          </w:hyperlink>
        </w:p>
        <w:p w14:paraId="151A6505" w14:textId="77777777" w:rsidR="00073F84" w:rsidRDefault="000922F6">
          <w:pPr>
            <w:pStyle w:val="TDC3"/>
            <w:rPr>
              <w:rFonts w:asciiTheme="minorHAnsi" w:eastAsiaTheme="minorEastAsia" w:hAnsiTheme="minorHAnsi" w:cstheme="minorBidi"/>
              <w:noProof/>
              <w:szCs w:val="22"/>
              <w:lang w:eastAsia="es-MX"/>
            </w:rPr>
          </w:pPr>
          <w:hyperlink w:anchor="_Toc181799812" w:history="1">
            <w:r w:rsidR="00073F84" w:rsidRPr="00A540E4">
              <w:rPr>
                <w:rStyle w:val="Hipervnculo"/>
                <w:rFonts w:eastAsia="Calibri"/>
                <w:noProof/>
              </w:rPr>
              <w:t xml:space="preserve">d) </w:t>
            </w:r>
            <w:r w:rsidR="00073F84" w:rsidRPr="00A540E4">
              <w:rPr>
                <w:rStyle w:val="Hipervnculo"/>
                <w:noProof/>
              </w:rPr>
              <w:t>Conclusión</w:t>
            </w:r>
            <w:r w:rsidR="00073F84">
              <w:rPr>
                <w:noProof/>
                <w:webHidden/>
              </w:rPr>
              <w:tab/>
            </w:r>
            <w:r w:rsidR="00073F84">
              <w:rPr>
                <w:noProof/>
                <w:webHidden/>
              </w:rPr>
              <w:fldChar w:fldCharType="begin"/>
            </w:r>
            <w:r w:rsidR="00073F84">
              <w:rPr>
                <w:noProof/>
                <w:webHidden/>
              </w:rPr>
              <w:instrText xml:space="preserve"> PAGEREF _Toc181799812 \h </w:instrText>
            </w:r>
            <w:r w:rsidR="00073F84">
              <w:rPr>
                <w:noProof/>
                <w:webHidden/>
              </w:rPr>
            </w:r>
            <w:r w:rsidR="00073F84">
              <w:rPr>
                <w:noProof/>
                <w:webHidden/>
              </w:rPr>
              <w:fldChar w:fldCharType="separate"/>
            </w:r>
            <w:r w:rsidR="00C42767">
              <w:rPr>
                <w:noProof/>
                <w:webHidden/>
              </w:rPr>
              <w:t>22</w:t>
            </w:r>
            <w:r w:rsidR="00073F84">
              <w:rPr>
                <w:noProof/>
                <w:webHidden/>
              </w:rPr>
              <w:fldChar w:fldCharType="end"/>
            </w:r>
          </w:hyperlink>
        </w:p>
        <w:p w14:paraId="30A23946" w14:textId="77777777" w:rsidR="00073F84" w:rsidRDefault="000922F6">
          <w:pPr>
            <w:pStyle w:val="TDC1"/>
            <w:tabs>
              <w:tab w:val="right" w:leader="dot" w:pos="9034"/>
            </w:tabs>
            <w:rPr>
              <w:rFonts w:asciiTheme="minorHAnsi" w:eastAsiaTheme="minorEastAsia" w:hAnsiTheme="minorHAnsi" w:cstheme="minorBidi"/>
              <w:noProof/>
              <w:szCs w:val="22"/>
              <w:lang w:eastAsia="es-MX"/>
            </w:rPr>
          </w:pPr>
          <w:hyperlink w:anchor="_Toc181799813" w:history="1">
            <w:r w:rsidR="00073F84" w:rsidRPr="00A540E4">
              <w:rPr>
                <w:rStyle w:val="Hipervnculo"/>
                <w:noProof/>
              </w:rPr>
              <w:t>RESUELVE</w:t>
            </w:r>
            <w:r w:rsidR="00073F84">
              <w:rPr>
                <w:noProof/>
                <w:webHidden/>
              </w:rPr>
              <w:tab/>
            </w:r>
            <w:r w:rsidR="00073F84">
              <w:rPr>
                <w:noProof/>
                <w:webHidden/>
              </w:rPr>
              <w:fldChar w:fldCharType="begin"/>
            </w:r>
            <w:r w:rsidR="00073F84">
              <w:rPr>
                <w:noProof/>
                <w:webHidden/>
              </w:rPr>
              <w:instrText xml:space="preserve"> PAGEREF _Toc181799813 \h </w:instrText>
            </w:r>
            <w:r w:rsidR="00073F84">
              <w:rPr>
                <w:noProof/>
                <w:webHidden/>
              </w:rPr>
            </w:r>
            <w:r w:rsidR="00073F84">
              <w:rPr>
                <w:noProof/>
                <w:webHidden/>
              </w:rPr>
              <w:fldChar w:fldCharType="separate"/>
            </w:r>
            <w:r w:rsidR="00C42767">
              <w:rPr>
                <w:noProof/>
                <w:webHidden/>
              </w:rPr>
              <w:t>22</w:t>
            </w:r>
            <w:r w:rsidR="00073F84">
              <w:rPr>
                <w:noProof/>
                <w:webHidden/>
              </w:rPr>
              <w:fldChar w:fldCharType="end"/>
            </w:r>
          </w:hyperlink>
        </w:p>
        <w:p w14:paraId="0C82FD7A" w14:textId="62BC1D07" w:rsidR="009B2945" w:rsidRPr="00073F84" w:rsidRDefault="00AE3DA7" w:rsidP="00073F84">
          <w:pPr>
            <w:pStyle w:val="TDC1"/>
            <w:tabs>
              <w:tab w:val="right" w:leader="dot" w:pos="9034"/>
            </w:tabs>
            <w:rPr>
              <w:b/>
              <w:bCs/>
              <w:lang w:val="es-ES"/>
            </w:rPr>
          </w:pPr>
          <w:r w:rsidRPr="00073F84">
            <w:rPr>
              <w:b/>
              <w:bCs/>
              <w:sz w:val="16"/>
              <w:szCs w:val="16"/>
              <w:lang w:val="es-ES"/>
            </w:rPr>
            <w:fldChar w:fldCharType="end"/>
          </w:r>
        </w:p>
      </w:sdtContent>
    </w:sdt>
    <w:p w14:paraId="603A07E2" w14:textId="77777777" w:rsidR="00646436" w:rsidRPr="00073F84" w:rsidRDefault="00646436" w:rsidP="00073F84">
      <w:pPr>
        <w:rPr>
          <w:rFonts w:cs="Tahoma"/>
          <w:szCs w:val="22"/>
        </w:rPr>
        <w:sectPr w:rsidR="00646436" w:rsidRPr="00073F8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218E3F" w:rsidR="00775BFC" w:rsidRPr="00073F84" w:rsidRDefault="00775BFC" w:rsidP="00073F84">
      <w:pPr>
        <w:rPr>
          <w:b/>
          <w:szCs w:val="22"/>
        </w:rPr>
      </w:pPr>
      <w:r w:rsidRPr="00073F84">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3D71C4" w:rsidRPr="00073F84">
        <w:rPr>
          <w:b/>
          <w:szCs w:val="22"/>
        </w:rPr>
        <w:t>seis de noviembre</w:t>
      </w:r>
      <w:r w:rsidR="00ED7170" w:rsidRPr="00073F84">
        <w:rPr>
          <w:b/>
          <w:szCs w:val="22"/>
        </w:rPr>
        <w:t xml:space="preserve"> de dos mil veinticuatro.</w:t>
      </w:r>
    </w:p>
    <w:p w14:paraId="0AF3AAC4" w14:textId="77777777" w:rsidR="00775BFC" w:rsidRPr="00073F84" w:rsidRDefault="00775BFC" w:rsidP="00073F84">
      <w:pPr>
        <w:rPr>
          <w:szCs w:val="22"/>
        </w:rPr>
      </w:pPr>
    </w:p>
    <w:p w14:paraId="40EAE038" w14:textId="15D8AD57" w:rsidR="00775BFC" w:rsidRPr="00073F84" w:rsidRDefault="00775BFC" w:rsidP="00073F84">
      <w:pPr>
        <w:rPr>
          <w:szCs w:val="22"/>
        </w:rPr>
      </w:pPr>
      <w:r w:rsidRPr="00073F84">
        <w:rPr>
          <w:b/>
          <w:szCs w:val="22"/>
        </w:rPr>
        <w:t xml:space="preserve">VISTO </w:t>
      </w:r>
      <w:r w:rsidRPr="00073F84">
        <w:rPr>
          <w:szCs w:val="22"/>
        </w:rPr>
        <w:t xml:space="preserve">el expediente formado con motivo del Recurso de Revisión </w:t>
      </w:r>
      <w:r w:rsidR="002A633F" w:rsidRPr="00073F84">
        <w:rPr>
          <w:rFonts w:eastAsia="Calibri"/>
          <w:b/>
          <w:szCs w:val="22"/>
          <w:lang w:eastAsia="en-US"/>
        </w:rPr>
        <w:t>06292/INFOEM/IP/RR/2024</w:t>
      </w:r>
      <w:r w:rsidR="005314A3" w:rsidRPr="00073F84">
        <w:rPr>
          <w:rFonts w:eastAsia="Calibri"/>
          <w:b/>
          <w:szCs w:val="22"/>
          <w:lang w:eastAsia="en-US"/>
        </w:rPr>
        <w:t xml:space="preserve"> </w:t>
      </w:r>
      <w:r w:rsidRPr="00073F84">
        <w:rPr>
          <w:szCs w:val="22"/>
        </w:rPr>
        <w:t xml:space="preserve">interpuesto por </w:t>
      </w:r>
      <w:r w:rsidR="006A5D90" w:rsidRPr="00073F84">
        <w:rPr>
          <w:b/>
          <w:bCs/>
          <w:szCs w:val="22"/>
        </w:rPr>
        <w:t>una persona usuaria que no se identificó</w:t>
      </w:r>
      <w:r w:rsidRPr="00073F84">
        <w:rPr>
          <w:szCs w:val="22"/>
        </w:rPr>
        <w:t xml:space="preserve">, a quien en lo subsecuente se le denominará </w:t>
      </w:r>
      <w:r w:rsidRPr="00073F84">
        <w:rPr>
          <w:b/>
          <w:bCs/>
          <w:szCs w:val="22"/>
        </w:rPr>
        <w:t>LA PARTE RECURRENTE</w:t>
      </w:r>
      <w:r w:rsidRPr="00073F84">
        <w:rPr>
          <w:szCs w:val="22"/>
        </w:rPr>
        <w:t>, en contra de la respuesta emitida por</w:t>
      </w:r>
      <w:r w:rsidR="00A0449B" w:rsidRPr="00073F84">
        <w:rPr>
          <w:szCs w:val="22"/>
        </w:rPr>
        <w:t xml:space="preserve"> </w:t>
      </w:r>
      <w:r w:rsidR="005F3813" w:rsidRPr="00073F84">
        <w:rPr>
          <w:szCs w:val="22"/>
        </w:rPr>
        <w:t>l</w:t>
      </w:r>
      <w:r w:rsidR="00BC145E" w:rsidRPr="00073F84">
        <w:rPr>
          <w:szCs w:val="22"/>
        </w:rPr>
        <w:t>a</w:t>
      </w:r>
      <w:r w:rsidR="000748DF" w:rsidRPr="00073F84">
        <w:rPr>
          <w:szCs w:val="22"/>
        </w:rPr>
        <w:t xml:space="preserve"> </w:t>
      </w:r>
      <w:r w:rsidR="003F35B7" w:rsidRPr="00073F84">
        <w:rPr>
          <w:b/>
          <w:bCs/>
          <w:szCs w:val="22"/>
        </w:rPr>
        <w:t>Secretaría de Finanzas</w:t>
      </w:r>
      <w:r w:rsidRPr="00073F84">
        <w:rPr>
          <w:szCs w:val="22"/>
        </w:rPr>
        <w:t xml:space="preserve">, en adelante </w:t>
      </w:r>
      <w:r w:rsidRPr="00073F84">
        <w:rPr>
          <w:b/>
          <w:bCs/>
          <w:szCs w:val="22"/>
        </w:rPr>
        <w:t>EL SUJETO OBLIGADO</w:t>
      </w:r>
      <w:r w:rsidRPr="00073F84">
        <w:rPr>
          <w:rFonts w:eastAsia="Calibri"/>
          <w:szCs w:val="22"/>
          <w:lang w:eastAsia="en-US"/>
        </w:rPr>
        <w:t xml:space="preserve">, </w:t>
      </w:r>
      <w:r w:rsidRPr="00073F84">
        <w:rPr>
          <w:szCs w:val="22"/>
        </w:rPr>
        <w:t>se emite la presente Resolución con base en los Antecedentes y Considerandos que se exponen a continuación:</w:t>
      </w:r>
    </w:p>
    <w:p w14:paraId="2116968C" w14:textId="77777777" w:rsidR="00775BFC" w:rsidRPr="00073F84" w:rsidRDefault="00775BFC" w:rsidP="00073F84">
      <w:pPr>
        <w:rPr>
          <w:szCs w:val="22"/>
        </w:rPr>
      </w:pPr>
    </w:p>
    <w:p w14:paraId="5A444FB6" w14:textId="639D3567" w:rsidR="00664420" w:rsidRPr="00073F84" w:rsidRDefault="00664420" w:rsidP="00073F84">
      <w:pPr>
        <w:pStyle w:val="Ttulo1"/>
        <w:rPr>
          <w:szCs w:val="22"/>
        </w:rPr>
      </w:pPr>
      <w:bookmarkStart w:id="3" w:name="_Toc181799789"/>
      <w:r w:rsidRPr="00073F84">
        <w:rPr>
          <w:szCs w:val="22"/>
        </w:rPr>
        <w:t>ANTECEDENTES</w:t>
      </w:r>
      <w:bookmarkEnd w:id="3"/>
    </w:p>
    <w:p w14:paraId="7CE9E53D" w14:textId="77777777" w:rsidR="00E37A3F" w:rsidRPr="00073F84" w:rsidRDefault="00E37A3F" w:rsidP="00073F84">
      <w:pPr>
        <w:rPr>
          <w:szCs w:val="22"/>
        </w:rPr>
      </w:pPr>
    </w:p>
    <w:p w14:paraId="09B2D38F" w14:textId="6E49D146" w:rsidR="00664420" w:rsidRPr="00073F84" w:rsidRDefault="00E37A3F" w:rsidP="00073F84">
      <w:pPr>
        <w:pStyle w:val="Ttulo2"/>
        <w:rPr>
          <w:szCs w:val="22"/>
        </w:rPr>
      </w:pPr>
      <w:bookmarkStart w:id="4" w:name="_Toc181799790"/>
      <w:r w:rsidRPr="00073F84">
        <w:rPr>
          <w:szCs w:val="22"/>
        </w:rPr>
        <w:t>DE LA SOLICITUD DE INFORMACIÓN</w:t>
      </w:r>
      <w:bookmarkEnd w:id="4"/>
    </w:p>
    <w:p w14:paraId="2C6AD1A5" w14:textId="0405B3CD" w:rsidR="00664420" w:rsidRPr="00073F84" w:rsidRDefault="00E37A3F" w:rsidP="00073F84">
      <w:pPr>
        <w:pStyle w:val="Ttulo3"/>
        <w:rPr>
          <w:szCs w:val="22"/>
        </w:rPr>
      </w:pPr>
      <w:bookmarkStart w:id="5" w:name="_Toc181799791"/>
      <w:r w:rsidRPr="00073F84">
        <w:rPr>
          <w:szCs w:val="22"/>
        </w:rPr>
        <w:t xml:space="preserve">a) </w:t>
      </w:r>
      <w:r w:rsidR="006B10B0" w:rsidRPr="00073F84">
        <w:rPr>
          <w:szCs w:val="22"/>
        </w:rPr>
        <w:t>S</w:t>
      </w:r>
      <w:r w:rsidR="00664420" w:rsidRPr="00073F84">
        <w:rPr>
          <w:szCs w:val="22"/>
        </w:rPr>
        <w:t xml:space="preserve">olicitud de </w:t>
      </w:r>
      <w:r w:rsidR="006B10B0" w:rsidRPr="00073F84">
        <w:rPr>
          <w:szCs w:val="22"/>
        </w:rPr>
        <w:t>i</w:t>
      </w:r>
      <w:r w:rsidR="00664420" w:rsidRPr="00073F84">
        <w:rPr>
          <w:szCs w:val="22"/>
        </w:rPr>
        <w:t>nformación</w:t>
      </w:r>
      <w:bookmarkEnd w:id="5"/>
    </w:p>
    <w:p w14:paraId="63FC8527" w14:textId="7E569077" w:rsidR="006A28B4" w:rsidRPr="00073F84" w:rsidRDefault="006A28B4" w:rsidP="00073F84">
      <w:pPr>
        <w:pBdr>
          <w:top w:val="nil"/>
          <w:left w:val="nil"/>
          <w:bottom w:val="nil"/>
          <w:right w:val="nil"/>
          <w:between w:val="nil"/>
        </w:pBdr>
        <w:tabs>
          <w:tab w:val="left" w:pos="0"/>
        </w:tabs>
        <w:rPr>
          <w:rFonts w:eastAsia="Palatino Linotype" w:cs="Palatino Linotype"/>
          <w:szCs w:val="22"/>
        </w:rPr>
      </w:pPr>
      <w:r w:rsidRPr="00073F84">
        <w:rPr>
          <w:rFonts w:eastAsia="Palatino Linotype" w:cs="Palatino Linotype"/>
          <w:szCs w:val="22"/>
        </w:rPr>
        <w:t xml:space="preserve">El </w:t>
      </w:r>
      <w:r w:rsidR="002A633F" w:rsidRPr="00073F84">
        <w:rPr>
          <w:rFonts w:eastAsia="Palatino Linotype" w:cs="Palatino Linotype"/>
          <w:b/>
          <w:szCs w:val="22"/>
        </w:rPr>
        <w:t>treinta</w:t>
      </w:r>
      <w:r w:rsidR="006A5D90" w:rsidRPr="00073F84">
        <w:rPr>
          <w:rFonts w:eastAsia="Palatino Linotype" w:cs="Palatino Linotype"/>
          <w:b/>
          <w:szCs w:val="22"/>
        </w:rPr>
        <w:t xml:space="preserve"> de septiembre</w:t>
      </w:r>
      <w:r w:rsidRPr="00073F84">
        <w:rPr>
          <w:rFonts w:eastAsia="Palatino Linotype" w:cs="Palatino Linotype"/>
          <w:b/>
          <w:szCs w:val="22"/>
        </w:rPr>
        <w:t xml:space="preserve"> de dos mil veinticuatro</w:t>
      </w:r>
      <w:r w:rsidR="00721C9E" w:rsidRPr="00073F84">
        <w:rPr>
          <w:rFonts w:eastAsia="Palatino Linotype" w:cs="Palatino Linotype"/>
          <w:b/>
          <w:szCs w:val="22"/>
        </w:rPr>
        <w:t>,</w:t>
      </w:r>
      <w:r w:rsidRPr="00073F84">
        <w:rPr>
          <w:rFonts w:eastAsia="Palatino Linotype" w:cs="Palatino Linotype"/>
          <w:szCs w:val="22"/>
        </w:rPr>
        <w:t xml:space="preserve"> </w:t>
      </w:r>
      <w:r w:rsidRPr="00073F84">
        <w:rPr>
          <w:rFonts w:eastAsia="Palatino Linotype" w:cs="Palatino Linotype"/>
          <w:b/>
          <w:szCs w:val="22"/>
        </w:rPr>
        <w:t>LA PARTE RECURRENTE</w:t>
      </w:r>
      <w:r w:rsidRPr="00073F84">
        <w:rPr>
          <w:rFonts w:eastAsia="Palatino Linotype" w:cs="Palatino Linotype"/>
          <w:szCs w:val="22"/>
        </w:rPr>
        <w:t xml:space="preserve"> presentó una solicitud de acceso a la información pública ante el </w:t>
      </w:r>
      <w:r w:rsidRPr="00073F84">
        <w:rPr>
          <w:rFonts w:eastAsia="Palatino Linotype" w:cs="Palatino Linotype"/>
          <w:b/>
          <w:szCs w:val="22"/>
        </w:rPr>
        <w:t>SUJETO OBLIGADO</w:t>
      </w:r>
      <w:r w:rsidRPr="00073F84">
        <w:rPr>
          <w:rFonts w:eastAsia="Palatino Linotype" w:cs="Palatino Linotype"/>
          <w:szCs w:val="22"/>
        </w:rPr>
        <w:t xml:space="preserve">, a través </w:t>
      </w:r>
      <w:r w:rsidR="007E42B7" w:rsidRPr="00073F84">
        <w:rPr>
          <w:rFonts w:eastAsia="Palatino Linotype" w:cs="Palatino Linotype"/>
          <w:szCs w:val="22"/>
        </w:rPr>
        <w:t>del</w:t>
      </w:r>
      <w:r w:rsidRPr="00073F84">
        <w:rPr>
          <w:rFonts w:eastAsia="Palatino Linotype" w:cs="Palatino Linotype"/>
          <w:szCs w:val="22"/>
        </w:rPr>
        <w:t xml:space="preserve"> Sistema de Acceso a la Información Mexiquense (SAIMEX). Dicha solicitud quedó registrada con el número de folio</w:t>
      </w:r>
      <w:r w:rsidRPr="00073F84">
        <w:rPr>
          <w:rFonts w:eastAsia="Palatino Linotype" w:cs="Palatino Linotype"/>
          <w:b/>
          <w:szCs w:val="22"/>
        </w:rPr>
        <w:t xml:space="preserve"> </w:t>
      </w:r>
      <w:r w:rsidR="002A633F" w:rsidRPr="00073F84">
        <w:rPr>
          <w:rFonts w:eastAsia="Palatino Linotype" w:cs="Palatino Linotype"/>
          <w:b/>
          <w:szCs w:val="22"/>
        </w:rPr>
        <w:t>00717/SF/IP/2024</w:t>
      </w:r>
      <w:r w:rsidRPr="00073F84">
        <w:rPr>
          <w:rFonts w:eastAsia="Palatino Linotype" w:cs="Palatino Linotype"/>
          <w:b/>
          <w:szCs w:val="22"/>
        </w:rPr>
        <w:t xml:space="preserve"> </w:t>
      </w:r>
      <w:r w:rsidRPr="00073F84">
        <w:rPr>
          <w:rFonts w:eastAsia="Palatino Linotype" w:cs="Palatino Linotype"/>
          <w:szCs w:val="22"/>
        </w:rPr>
        <w:t>y en ella se requirió la siguiente información:</w:t>
      </w:r>
    </w:p>
    <w:p w14:paraId="596FDDE9" w14:textId="77777777" w:rsidR="002E2C99" w:rsidRPr="00073F84" w:rsidRDefault="002E2C99" w:rsidP="00073F84">
      <w:pPr>
        <w:tabs>
          <w:tab w:val="left" w:pos="4667"/>
        </w:tabs>
        <w:ind w:right="567"/>
        <w:rPr>
          <w:rFonts w:eastAsiaTheme="majorEastAsia" w:cstheme="majorBidi"/>
          <w:i/>
          <w:kern w:val="28"/>
          <w:szCs w:val="56"/>
        </w:rPr>
      </w:pPr>
    </w:p>
    <w:p w14:paraId="2C2E2916" w14:textId="38EE6319" w:rsidR="003F35B7" w:rsidRPr="00073F84" w:rsidRDefault="003F35B7" w:rsidP="00073F84">
      <w:pPr>
        <w:pStyle w:val="Puesto"/>
      </w:pPr>
      <w:r w:rsidRPr="00073F84">
        <w:t xml:space="preserve">“Se solicita cédula profesional de la C. Claudia </w:t>
      </w:r>
      <w:proofErr w:type="spellStart"/>
      <w:r w:rsidRPr="00073F84">
        <w:t>Noguez</w:t>
      </w:r>
      <w:proofErr w:type="spellEnd"/>
      <w:r w:rsidRPr="00073F84">
        <w:t xml:space="preserve"> </w:t>
      </w:r>
      <w:proofErr w:type="spellStart"/>
      <w:r w:rsidRPr="00073F84">
        <w:t>Gonzalez</w:t>
      </w:r>
      <w:proofErr w:type="spellEnd"/>
      <w:r w:rsidRPr="00073F84">
        <w:t xml:space="preserve">, servidora </w:t>
      </w:r>
      <w:proofErr w:type="spellStart"/>
      <w:r w:rsidRPr="00073F84">
        <w:t>publica</w:t>
      </w:r>
      <w:proofErr w:type="spellEnd"/>
      <w:r w:rsidRPr="00073F84">
        <w:t xml:space="preserve"> adscrita a la Secretaria de Finanzas.” Sic</w:t>
      </w:r>
    </w:p>
    <w:p w14:paraId="300E6A6F" w14:textId="77777777" w:rsidR="003F35B7" w:rsidRPr="00073F84" w:rsidRDefault="003F35B7" w:rsidP="00073F84">
      <w:pPr>
        <w:tabs>
          <w:tab w:val="left" w:pos="4667"/>
        </w:tabs>
        <w:ind w:right="567"/>
        <w:rPr>
          <w:rFonts w:eastAsiaTheme="majorEastAsia" w:cstheme="majorBidi"/>
          <w:i/>
          <w:kern w:val="28"/>
          <w:szCs w:val="56"/>
        </w:rPr>
      </w:pPr>
    </w:p>
    <w:p w14:paraId="0BD6321D" w14:textId="01EB043E" w:rsidR="00664420" w:rsidRPr="00073F84" w:rsidRDefault="009A2D78" w:rsidP="00073F84">
      <w:pPr>
        <w:tabs>
          <w:tab w:val="left" w:pos="4667"/>
        </w:tabs>
        <w:ind w:right="567"/>
        <w:rPr>
          <w:rFonts w:cs="Tahoma"/>
          <w:bCs/>
          <w:i/>
          <w:szCs w:val="22"/>
        </w:rPr>
      </w:pPr>
      <w:r w:rsidRPr="00073F84">
        <w:rPr>
          <w:rFonts w:cs="Tahoma"/>
          <w:b/>
          <w:bCs/>
          <w:szCs w:val="22"/>
        </w:rPr>
        <w:t>Modalidad de entrega</w:t>
      </w:r>
      <w:r w:rsidRPr="00073F84">
        <w:rPr>
          <w:rFonts w:cs="Tahoma"/>
          <w:bCs/>
          <w:szCs w:val="22"/>
        </w:rPr>
        <w:t>: a</w:t>
      </w:r>
      <w:r w:rsidR="00664420" w:rsidRPr="00073F84">
        <w:rPr>
          <w:rFonts w:cs="Tahoma"/>
          <w:bCs/>
          <w:szCs w:val="22"/>
        </w:rPr>
        <w:t xml:space="preserve"> través </w:t>
      </w:r>
      <w:r w:rsidR="00C84660" w:rsidRPr="00073F84">
        <w:rPr>
          <w:rFonts w:cs="Tahoma"/>
          <w:bCs/>
          <w:szCs w:val="22"/>
        </w:rPr>
        <w:t>de</w:t>
      </w:r>
      <w:r w:rsidR="00664420" w:rsidRPr="00073F84">
        <w:rPr>
          <w:rFonts w:cs="Tahoma"/>
          <w:bCs/>
          <w:szCs w:val="22"/>
        </w:rPr>
        <w:t>l</w:t>
      </w:r>
      <w:r w:rsidR="00664420" w:rsidRPr="00073F84">
        <w:rPr>
          <w:rFonts w:cs="Tahoma"/>
          <w:bCs/>
          <w:i/>
          <w:szCs w:val="22"/>
        </w:rPr>
        <w:t xml:space="preserve"> </w:t>
      </w:r>
      <w:r w:rsidR="00664420" w:rsidRPr="00073F84">
        <w:rPr>
          <w:rFonts w:cs="Tahoma"/>
          <w:b/>
          <w:bCs/>
          <w:i/>
          <w:szCs w:val="22"/>
        </w:rPr>
        <w:t>SAIMEX</w:t>
      </w:r>
      <w:r w:rsidRPr="00073F84">
        <w:rPr>
          <w:rFonts w:cs="Tahoma"/>
          <w:bCs/>
          <w:i/>
          <w:szCs w:val="22"/>
        </w:rPr>
        <w:t>.</w:t>
      </w:r>
    </w:p>
    <w:p w14:paraId="23D7A976" w14:textId="12B88A7F" w:rsidR="000748DF" w:rsidRPr="00073F84" w:rsidRDefault="000748DF" w:rsidP="00073F84">
      <w:pPr>
        <w:tabs>
          <w:tab w:val="left" w:pos="4667"/>
        </w:tabs>
        <w:ind w:right="567"/>
        <w:rPr>
          <w:rFonts w:cs="Tahoma"/>
          <w:b/>
          <w:bCs/>
          <w:szCs w:val="22"/>
        </w:rPr>
      </w:pPr>
    </w:p>
    <w:p w14:paraId="7783AB28" w14:textId="77777777" w:rsidR="002A633F" w:rsidRPr="00073F84" w:rsidRDefault="002A633F" w:rsidP="00073F84">
      <w:pPr>
        <w:pStyle w:val="Ttulo3"/>
      </w:pPr>
      <w:bookmarkStart w:id="6" w:name="_Toc170932807"/>
      <w:bookmarkStart w:id="7" w:name="_Toc180069803"/>
      <w:bookmarkStart w:id="8" w:name="_Toc181125882"/>
      <w:bookmarkStart w:id="9" w:name="_Toc181799792"/>
      <w:r w:rsidRPr="00073F84">
        <w:lastRenderedPageBreak/>
        <w:t>b) Turno de la solicitud de información</w:t>
      </w:r>
      <w:bookmarkEnd w:id="6"/>
      <w:bookmarkEnd w:id="7"/>
      <w:bookmarkEnd w:id="8"/>
      <w:bookmarkEnd w:id="9"/>
    </w:p>
    <w:p w14:paraId="114A096E" w14:textId="4A0C1BA9" w:rsidR="002A633F" w:rsidRPr="00073F84" w:rsidRDefault="002A633F" w:rsidP="00073F84">
      <w:r w:rsidRPr="00073F84">
        <w:t xml:space="preserve">En cumplimiento al artículo 162 de la Ley de Transparencia y Acceso a la Información Pública del Estado de México y Municipios, el </w:t>
      </w:r>
      <w:r w:rsidRPr="00073F84">
        <w:rPr>
          <w:rFonts w:eastAsia="Palatino Linotype" w:cs="Palatino Linotype"/>
          <w:b/>
        </w:rPr>
        <w:t>nueve de octubre de dos mil veinticuatro</w:t>
      </w:r>
      <w:r w:rsidRPr="00073F84">
        <w:t xml:space="preserve">, el Titular de la Unidad de Transparencia del </w:t>
      </w:r>
      <w:r w:rsidRPr="00073F84">
        <w:rPr>
          <w:b/>
        </w:rPr>
        <w:t>SUJETO OBLIGADO</w:t>
      </w:r>
      <w:r w:rsidRPr="00073F84">
        <w:t xml:space="preserve"> turnó la solicitud de información al servidor público habilitado que estimó pertinente.</w:t>
      </w:r>
    </w:p>
    <w:p w14:paraId="5EF1A63F" w14:textId="77777777" w:rsidR="002A633F" w:rsidRPr="00073F84" w:rsidRDefault="002A633F" w:rsidP="00073F84">
      <w:pPr>
        <w:tabs>
          <w:tab w:val="left" w:pos="4667"/>
        </w:tabs>
        <w:ind w:right="567"/>
        <w:rPr>
          <w:rFonts w:cs="Tahoma"/>
          <w:bCs/>
          <w:szCs w:val="22"/>
        </w:rPr>
      </w:pPr>
    </w:p>
    <w:p w14:paraId="3212BA4D" w14:textId="3FB3991D" w:rsidR="00664420" w:rsidRPr="00073F84" w:rsidRDefault="002A633F" w:rsidP="00073F84">
      <w:pPr>
        <w:pStyle w:val="Ttulo3"/>
        <w:rPr>
          <w:szCs w:val="22"/>
        </w:rPr>
      </w:pPr>
      <w:bookmarkStart w:id="10" w:name="_Toc181799793"/>
      <w:r w:rsidRPr="00073F84">
        <w:rPr>
          <w:szCs w:val="22"/>
        </w:rPr>
        <w:t>c</w:t>
      </w:r>
      <w:r w:rsidR="008F3837" w:rsidRPr="00073F84">
        <w:rPr>
          <w:szCs w:val="22"/>
        </w:rPr>
        <w:t xml:space="preserve">) </w:t>
      </w:r>
      <w:r w:rsidR="00664420" w:rsidRPr="00073F84">
        <w:rPr>
          <w:szCs w:val="22"/>
          <w:lang w:val="es-ES"/>
        </w:rPr>
        <w:t xml:space="preserve">Respuesta </w:t>
      </w:r>
      <w:r w:rsidR="00664420" w:rsidRPr="00073F84">
        <w:rPr>
          <w:rFonts w:eastAsia="Calibri"/>
          <w:szCs w:val="22"/>
          <w:lang w:eastAsia="en-US"/>
        </w:rPr>
        <w:t>del Sujeto Obligado</w:t>
      </w:r>
      <w:bookmarkEnd w:id="10"/>
    </w:p>
    <w:p w14:paraId="79199CC1" w14:textId="245A241B" w:rsidR="00664420" w:rsidRPr="00073F84" w:rsidRDefault="00664420" w:rsidP="00073F84">
      <w:pPr>
        <w:pStyle w:val="Sinespaciado"/>
        <w:spacing w:line="360" w:lineRule="auto"/>
        <w:rPr>
          <w:szCs w:val="22"/>
          <w:lang w:val="es-ES"/>
        </w:rPr>
      </w:pPr>
      <w:r w:rsidRPr="00073F84">
        <w:rPr>
          <w:szCs w:val="22"/>
          <w:lang w:val="es-ES"/>
        </w:rPr>
        <w:t xml:space="preserve">El </w:t>
      </w:r>
      <w:r w:rsidR="002A633F" w:rsidRPr="00073F84">
        <w:rPr>
          <w:rFonts w:eastAsia="Calibri" w:cs="Arial"/>
          <w:b/>
          <w:bCs/>
          <w:szCs w:val="22"/>
          <w:lang w:val="es-ES" w:eastAsia="en-US"/>
        </w:rPr>
        <w:t>nueve de octubre</w:t>
      </w:r>
      <w:r w:rsidR="000748DF" w:rsidRPr="00073F84">
        <w:rPr>
          <w:rFonts w:eastAsia="Calibri" w:cs="Arial"/>
          <w:b/>
          <w:bCs/>
          <w:szCs w:val="22"/>
          <w:lang w:val="es-ES" w:eastAsia="en-US"/>
        </w:rPr>
        <w:t xml:space="preserve"> </w:t>
      </w:r>
      <w:r w:rsidR="000748DF" w:rsidRPr="00073F84">
        <w:rPr>
          <w:rFonts w:eastAsia="Calibri" w:cs="Arial"/>
          <w:b/>
          <w:szCs w:val="22"/>
          <w:lang w:val="es-ES" w:eastAsia="en-US"/>
        </w:rPr>
        <w:t>de dos mil veinticuatro</w:t>
      </w:r>
      <w:r w:rsidR="00983EEF" w:rsidRPr="00073F84">
        <w:rPr>
          <w:b/>
          <w:szCs w:val="22"/>
          <w:lang w:val="es-ES"/>
        </w:rPr>
        <w:t xml:space="preserve">, </w:t>
      </w:r>
      <w:r w:rsidR="00F07EE6" w:rsidRPr="00073F84">
        <w:rPr>
          <w:szCs w:val="22"/>
          <w:lang w:val="es-ES"/>
        </w:rPr>
        <w:t>l</w:t>
      </w:r>
      <w:r w:rsidR="002268D4" w:rsidRPr="00073F84">
        <w:rPr>
          <w:szCs w:val="22"/>
          <w:lang w:val="es-ES"/>
        </w:rPr>
        <w:t>a</w:t>
      </w:r>
      <w:r w:rsidR="00F07EE6" w:rsidRPr="00073F84">
        <w:rPr>
          <w:szCs w:val="22"/>
          <w:lang w:val="es-ES"/>
        </w:rPr>
        <w:t xml:space="preserve"> Titular de la Unidad de Transparencia del </w:t>
      </w:r>
      <w:r w:rsidR="00F07EE6" w:rsidRPr="00073F84">
        <w:rPr>
          <w:b/>
          <w:szCs w:val="22"/>
          <w:lang w:val="es-ES"/>
        </w:rPr>
        <w:t>SUJETO OBLIGADO</w:t>
      </w:r>
      <w:r w:rsidR="00F07EE6" w:rsidRPr="00073F84">
        <w:rPr>
          <w:szCs w:val="22"/>
          <w:lang w:val="es-ES"/>
        </w:rPr>
        <w:t xml:space="preserve"> notificó la siguiente respuesta a través del </w:t>
      </w:r>
      <w:r w:rsidRPr="00073F84">
        <w:rPr>
          <w:szCs w:val="22"/>
          <w:lang w:val="es-ES"/>
        </w:rPr>
        <w:t>SAIMEX</w:t>
      </w:r>
      <w:r w:rsidR="00F07EE6" w:rsidRPr="00073F84">
        <w:rPr>
          <w:szCs w:val="22"/>
          <w:lang w:val="es-ES"/>
        </w:rPr>
        <w:t>:</w:t>
      </w:r>
    </w:p>
    <w:p w14:paraId="66410657" w14:textId="77777777" w:rsidR="002268D4" w:rsidRPr="00073F84" w:rsidRDefault="002268D4" w:rsidP="00073F84">
      <w:pPr>
        <w:pStyle w:val="Puesto"/>
        <w:ind w:left="0"/>
      </w:pPr>
    </w:p>
    <w:p w14:paraId="79D7DF3F" w14:textId="77777777" w:rsidR="003F35B7" w:rsidRPr="00073F84" w:rsidRDefault="003F35B7" w:rsidP="00073F84">
      <w:pPr>
        <w:pStyle w:val="Puesto"/>
        <w:jc w:val="right"/>
      </w:pPr>
      <w:r w:rsidRPr="00073F84">
        <w:t>Folio de la solicitud: 00717/SF/IP/2024</w:t>
      </w:r>
    </w:p>
    <w:p w14:paraId="323751AD" w14:textId="77777777" w:rsidR="003F35B7" w:rsidRPr="00073F84" w:rsidRDefault="003F35B7" w:rsidP="00073F84">
      <w:pPr>
        <w:pStyle w:val="Puesto"/>
      </w:pPr>
    </w:p>
    <w:p w14:paraId="699C7A61" w14:textId="77777777" w:rsidR="003F35B7" w:rsidRPr="00073F84" w:rsidRDefault="003F35B7" w:rsidP="00073F84">
      <w:pPr>
        <w:pStyle w:val="Puesto"/>
      </w:pPr>
      <w:r w:rsidRPr="00073F84">
        <w:t>En respuesta a la solicitud recibida, nos permitimos hacer de su conocimiento que con fundamento en el artículo 53, Fracciones: II, V y VI de la Ley de Transparencia y Acceso a la Información Pública del Estado de México y Municipios, le contestamos que:</w:t>
      </w:r>
    </w:p>
    <w:p w14:paraId="6D07D6AB" w14:textId="77777777" w:rsidR="003F35B7" w:rsidRPr="00073F84" w:rsidRDefault="003F35B7" w:rsidP="00073F84">
      <w:pPr>
        <w:pStyle w:val="Puesto"/>
      </w:pPr>
    </w:p>
    <w:p w14:paraId="330FDD3D" w14:textId="77777777" w:rsidR="003F35B7" w:rsidRPr="00073F84" w:rsidRDefault="003F35B7" w:rsidP="00073F84">
      <w:pPr>
        <w:pStyle w:val="Puesto"/>
      </w:pPr>
      <w:r w:rsidRPr="00073F84">
        <w:t>Sobre el particular, sírvase encontrar en archivo adjunto copia del oficio de notificación número 20700004S/UT-1976/2024, mediante el cual se detalla lo referente a su solicitud.</w:t>
      </w:r>
    </w:p>
    <w:p w14:paraId="0F4534D0" w14:textId="77777777" w:rsidR="003F35B7" w:rsidRPr="00073F84" w:rsidRDefault="003F35B7" w:rsidP="00073F84">
      <w:pPr>
        <w:pStyle w:val="Puesto"/>
      </w:pPr>
    </w:p>
    <w:p w14:paraId="02A74C9F" w14:textId="77777777" w:rsidR="003F35B7" w:rsidRPr="00073F84" w:rsidRDefault="003F35B7" w:rsidP="00073F84">
      <w:pPr>
        <w:pStyle w:val="Puesto"/>
      </w:pPr>
      <w:r w:rsidRPr="00073F84">
        <w:t>ATENTAMENTE</w:t>
      </w:r>
    </w:p>
    <w:p w14:paraId="59EF45C9" w14:textId="673332F8" w:rsidR="00DC71C4" w:rsidRPr="00073F84" w:rsidRDefault="003F35B7" w:rsidP="00073F84">
      <w:pPr>
        <w:pStyle w:val="Puesto"/>
        <w:rPr>
          <w:rFonts w:cs="Tahoma"/>
          <w:bCs/>
          <w:szCs w:val="22"/>
        </w:rPr>
      </w:pPr>
      <w:r w:rsidRPr="00073F84">
        <w:t>M. en D. Mario Reyes Santos</w:t>
      </w:r>
    </w:p>
    <w:p w14:paraId="2554C7E0" w14:textId="77777777" w:rsidR="00044474" w:rsidRPr="00073F84" w:rsidRDefault="00044474" w:rsidP="00073F84">
      <w:pPr>
        <w:autoSpaceDE w:val="0"/>
        <w:autoSpaceDN w:val="0"/>
        <w:adjustRightInd w:val="0"/>
        <w:ind w:right="-28"/>
        <w:rPr>
          <w:rFonts w:cs="Tahoma"/>
          <w:bCs/>
          <w:szCs w:val="22"/>
          <w:lang w:val="es-ES"/>
        </w:rPr>
      </w:pPr>
    </w:p>
    <w:p w14:paraId="2211D1AB" w14:textId="29E878DB" w:rsidR="00983EEF" w:rsidRPr="00073F84" w:rsidRDefault="00F07EE6" w:rsidP="00073F84">
      <w:pPr>
        <w:autoSpaceDE w:val="0"/>
        <w:autoSpaceDN w:val="0"/>
        <w:adjustRightInd w:val="0"/>
        <w:ind w:right="-28"/>
        <w:rPr>
          <w:rFonts w:cs="Tahoma"/>
          <w:bCs/>
          <w:szCs w:val="22"/>
          <w:lang w:val="es-ES"/>
        </w:rPr>
      </w:pPr>
      <w:r w:rsidRPr="00073F84">
        <w:rPr>
          <w:rFonts w:cs="Tahoma"/>
          <w:bCs/>
          <w:szCs w:val="22"/>
          <w:lang w:val="es-ES"/>
        </w:rPr>
        <w:t xml:space="preserve">Asimismo, </w:t>
      </w:r>
      <w:r w:rsidRPr="00073F84">
        <w:rPr>
          <w:rFonts w:cs="Tahoma"/>
          <w:b/>
          <w:szCs w:val="22"/>
          <w:lang w:val="es-ES"/>
        </w:rPr>
        <w:t xml:space="preserve">EL SUJETO OBLIGADO </w:t>
      </w:r>
      <w:r w:rsidRPr="00073F84">
        <w:rPr>
          <w:rFonts w:cs="Tahoma"/>
          <w:bCs/>
          <w:szCs w:val="22"/>
          <w:lang w:val="es-ES"/>
        </w:rPr>
        <w:t xml:space="preserve">adjuntó a su respuesta </w:t>
      </w:r>
      <w:r w:rsidR="00044474" w:rsidRPr="00073F84">
        <w:rPr>
          <w:rFonts w:cs="Tahoma"/>
          <w:bCs/>
          <w:szCs w:val="22"/>
          <w:lang w:val="es-ES"/>
        </w:rPr>
        <w:t>el</w:t>
      </w:r>
      <w:r w:rsidR="002E2C99" w:rsidRPr="00073F84">
        <w:rPr>
          <w:rFonts w:cs="Tahoma"/>
          <w:bCs/>
          <w:szCs w:val="22"/>
          <w:lang w:val="es-ES"/>
        </w:rPr>
        <w:t xml:space="preserve"> </w:t>
      </w:r>
      <w:r w:rsidRPr="00073F84">
        <w:rPr>
          <w:rFonts w:cs="Tahoma"/>
          <w:bCs/>
          <w:szCs w:val="22"/>
          <w:lang w:val="es-ES"/>
        </w:rPr>
        <w:t>archivo electrónico</w:t>
      </w:r>
      <w:r w:rsidR="004252F1" w:rsidRPr="00073F84">
        <w:rPr>
          <w:rFonts w:cs="Tahoma"/>
          <w:bCs/>
          <w:szCs w:val="22"/>
          <w:lang w:val="es-ES"/>
        </w:rPr>
        <w:t xml:space="preserve"> </w:t>
      </w:r>
      <w:r w:rsidR="00721C9E" w:rsidRPr="00073F84">
        <w:rPr>
          <w:rFonts w:cs="Tahoma"/>
          <w:bCs/>
          <w:szCs w:val="22"/>
          <w:lang w:val="es-ES"/>
        </w:rPr>
        <w:t xml:space="preserve">que se </w:t>
      </w:r>
      <w:r w:rsidR="00044474" w:rsidRPr="00073F84">
        <w:rPr>
          <w:rFonts w:cs="Tahoma"/>
          <w:bCs/>
          <w:szCs w:val="22"/>
          <w:lang w:val="es-ES"/>
        </w:rPr>
        <w:t>describe</w:t>
      </w:r>
      <w:r w:rsidR="00721C9E" w:rsidRPr="00073F84">
        <w:rPr>
          <w:rFonts w:cs="Tahoma"/>
          <w:bCs/>
          <w:szCs w:val="22"/>
          <w:lang w:val="es-ES"/>
        </w:rPr>
        <w:t xml:space="preserve"> a continuación:</w:t>
      </w:r>
    </w:p>
    <w:p w14:paraId="0F94FCEA" w14:textId="01181CB9" w:rsidR="00C70866" w:rsidRPr="00073F84" w:rsidRDefault="00C70866" w:rsidP="00073F84">
      <w:pPr>
        <w:pStyle w:val="Puesto"/>
        <w:rPr>
          <w:lang w:val="es-ES"/>
        </w:rPr>
      </w:pPr>
    </w:p>
    <w:p w14:paraId="4CE55F8A" w14:textId="77777777" w:rsidR="00E5030B" w:rsidRPr="00073F84" w:rsidRDefault="00E5030B" w:rsidP="00073F84">
      <w:pPr>
        <w:rPr>
          <w:lang w:val="es-ES"/>
        </w:rPr>
      </w:pPr>
    </w:p>
    <w:p w14:paraId="03F7E524" w14:textId="77777777" w:rsidR="003F35B7" w:rsidRPr="00073F84" w:rsidRDefault="003F35B7" w:rsidP="00073F84">
      <w:pPr>
        <w:pStyle w:val="Prrafodelista"/>
        <w:numPr>
          <w:ilvl w:val="0"/>
          <w:numId w:val="13"/>
        </w:numPr>
        <w:rPr>
          <w:b/>
          <w:i/>
          <w:lang w:val="es-ES"/>
        </w:rPr>
      </w:pPr>
      <w:r w:rsidRPr="00073F84">
        <w:rPr>
          <w:b/>
          <w:i/>
          <w:lang w:val="es-ES"/>
        </w:rPr>
        <w:t>00717 COORDINACION ADMINISTRATIVA.pdf</w:t>
      </w:r>
    </w:p>
    <w:p w14:paraId="47128F5C" w14:textId="04B9A37E" w:rsidR="003F35B7" w:rsidRPr="00073F84" w:rsidRDefault="0002268F" w:rsidP="00073F84">
      <w:pPr>
        <w:ind w:left="360"/>
      </w:pPr>
      <w:r w:rsidRPr="00073F84">
        <w:rPr>
          <w:lang w:val="es-ES"/>
        </w:rPr>
        <w:t xml:space="preserve">Documental en la que se aprecia el oficio número </w:t>
      </w:r>
      <w:r w:rsidRPr="00073F84">
        <w:t xml:space="preserve">20700002000100S/IP/0215/2024 de fecha 07 de octubre de 2024, suscrito por la Servidora Pública Habilitada de la Coordinación Administrativa, dirigido al Jefe de la Unidad de Información, Planeación, Programación y </w:t>
      </w:r>
      <w:r w:rsidRPr="00073F84">
        <w:lastRenderedPageBreak/>
        <w:t>Evaluación y Titular de la Unidad de Transparencia de la Secretaría de Finanzas, en el que le indica:</w:t>
      </w:r>
    </w:p>
    <w:p w14:paraId="60C1CE02" w14:textId="77777777" w:rsidR="0002268F" w:rsidRPr="00073F84" w:rsidRDefault="0002268F" w:rsidP="00073F84">
      <w:pPr>
        <w:ind w:left="360"/>
      </w:pPr>
    </w:p>
    <w:p w14:paraId="060911E3" w14:textId="4CC06934" w:rsidR="0002268F" w:rsidRPr="00073F84" w:rsidRDefault="0002268F" w:rsidP="00073F84">
      <w:pPr>
        <w:pStyle w:val="Puesto"/>
        <w:rPr>
          <w:lang w:val="es-ES"/>
        </w:rPr>
      </w:pPr>
      <w:r w:rsidRPr="00073F84">
        <w:t xml:space="preserve">“…me permito hacer de su conocimiento que conforme a la documentación que obra en el expediente personal de la C. Claudia </w:t>
      </w:r>
      <w:proofErr w:type="spellStart"/>
      <w:r w:rsidRPr="00073F84">
        <w:t>Noguez</w:t>
      </w:r>
      <w:proofErr w:type="spellEnd"/>
      <w:r w:rsidRPr="00073F84">
        <w:t xml:space="preserve"> </w:t>
      </w:r>
      <w:proofErr w:type="spellStart"/>
      <w:r w:rsidRPr="00073F84">
        <w:t>Gonzalez</w:t>
      </w:r>
      <w:proofErr w:type="spellEnd"/>
      <w:r w:rsidRPr="00073F84">
        <w:t>, no se cuenta con la cédula profesional, por lo que no es posible adjuntar el documento solicitado.</w:t>
      </w:r>
    </w:p>
    <w:p w14:paraId="543C9244" w14:textId="77777777" w:rsidR="003F35B7" w:rsidRPr="00073F84" w:rsidRDefault="003F35B7" w:rsidP="00073F84">
      <w:pPr>
        <w:rPr>
          <w:lang w:val="es-ES"/>
        </w:rPr>
      </w:pPr>
    </w:p>
    <w:p w14:paraId="60C3466B" w14:textId="581E51A5" w:rsidR="003F35B7" w:rsidRPr="00073F84" w:rsidRDefault="003F35B7" w:rsidP="00073F84">
      <w:pPr>
        <w:pStyle w:val="Prrafodelista"/>
        <w:numPr>
          <w:ilvl w:val="0"/>
          <w:numId w:val="13"/>
        </w:numPr>
        <w:rPr>
          <w:b/>
          <w:i/>
          <w:lang w:val="es-ES"/>
        </w:rPr>
      </w:pPr>
      <w:r w:rsidRPr="00073F84">
        <w:rPr>
          <w:b/>
          <w:i/>
          <w:lang w:val="es-ES"/>
        </w:rPr>
        <w:t>00717 SOLICITANTE.pdf</w:t>
      </w:r>
    </w:p>
    <w:p w14:paraId="5541597A" w14:textId="239E5155" w:rsidR="003F35B7" w:rsidRPr="00073F84" w:rsidRDefault="0002268F" w:rsidP="00073F84">
      <w:pPr>
        <w:ind w:left="360"/>
      </w:pPr>
      <w:r w:rsidRPr="00073F84">
        <w:rPr>
          <w:lang w:val="es-ES"/>
        </w:rPr>
        <w:t xml:space="preserve">Documental en la que se aprecia el oficio número </w:t>
      </w:r>
      <w:r w:rsidRPr="00073F84">
        <w:t xml:space="preserve">20700004S/UT-1976/2024 suscrito por el Jefe de la UIPPE y Titular de la Unidad de Transparencia de la Secretaría de Finanzas, en el que le indica que en archivo adjunto encontrará el oficio </w:t>
      </w:r>
      <w:r w:rsidRPr="00073F84">
        <w:rPr>
          <w:lang w:val="es-ES"/>
        </w:rPr>
        <w:t xml:space="preserve">número </w:t>
      </w:r>
      <w:r w:rsidRPr="00073F84">
        <w:t>20700002000100S/IP/0215/2024 de fecha 07 de octubre de 2024, suscrito por la Servidora Pública Habilitada de la Coordinación Administrativa, en el que se detalla lo referente a su solicitud.</w:t>
      </w:r>
    </w:p>
    <w:p w14:paraId="044983CD" w14:textId="77777777" w:rsidR="0002268F" w:rsidRPr="00073F84" w:rsidRDefault="0002268F" w:rsidP="00073F84">
      <w:pPr>
        <w:ind w:left="360"/>
        <w:rPr>
          <w:lang w:val="es-ES"/>
        </w:rPr>
      </w:pPr>
    </w:p>
    <w:p w14:paraId="5A5DAB9E" w14:textId="7AFC5D98" w:rsidR="00E37A3F" w:rsidRPr="00073F84" w:rsidRDefault="00E37A3F" w:rsidP="00073F84">
      <w:pPr>
        <w:pStyle w:val="Ttulo2"/>
        <w:jc w:val="left"/>
        <w:rPr>
          <w:szCs w:val="22"/>
        </w:rPr>
      </w:pPr>
      <w:bookmarkStart w:id="11" w:name="_Toc181799794"/>
      <w:r w:rsidRPr="00073F84">
        <w:rPr>
          <w:szCs w:val="22"/>
        </w:rPr>
        <w:t>DEL RECURSO DE REVISIÓN</w:t>
      </w:r>
      <w:bookmarkEnd w:id="11"/>
    </w:p>
    <w:p w14:paraId="2B216813" w14:textId="61ADBB2B" w:rsidR="00664420" w:rsidRPr="00073F84" w:rsidRDefault="006E25BC" w:rsidP="00073F84">
      <w:pPr>
        <w:pStyle w:val="Ttulo3"/>
        <w:rPr>
          <w:szCs w:val="22"/>
        </w:rPr>
      </w:pPr>
      <w:bookmarkStart w:id="12" w:name="_Toc181799795"/>
      <w:r w:rsidRPr="00073F84">
        <w:rPr>
          <w:szCs w:val="22"/>
        </w:rPr>
        <w:t xml:space="preserve">a) </w:t>
      </w:r>
      <w:r w:rsidR="00664420" w:rsidRPr="00073F84">
        <w:rPr>
          <w:szCs w:val="22"/>
        </w:rPr>
        <w:t>Interposición del Recurso de Revisión</w:t>
      </w:r>
      <w:bookmarkEnd w:id="12"/>
    </w:p>
    <w:p w14:paraId="6279C622" w14:textId="2ADC3530" w:rsidR="00664420" w:rsidRPr="00073F84" w:rsidRDefault="00664420" w:rsidP="00073F84">
      <w:pPr>
        <w:autoSpaceDE w:val="0"/>
        <w:autoSpaceDN w:val="0"/>
        <w:adjustRightInd w:val="0"/>
        <w:ind w:right="-28"/>
        <w:rPr>
          <w:rFonts w:cs="Tahoma"/>
          <w:szCs w:val="22"/>
        </w:rPr>
      </w:pPr>
      <w:r w:rsidRPr="00073F84">
        <w:rPr>
          <w:rFonts w:cs="Tahoma"/>
          <w:szCs w:val="22"/>
        </w:rPr>
        <w:t xml:space="preserve">El </w:t>
      </w:r>
      <w:r w:rsidR="002A633F" w:rsidRPr="00073F84">
        <w:rPr>
          <w:rFonts w:cs="Tahoma"/>
          <w:b/>
          <w:bCs/>
          <w:szCs w:val="22"/>
        </w:rPr>
        <w:t>catorce</w:t>
      </w:r>
      <w:r w:rsidR="002411A0" w:rsidRPr="00073F84">
        <w:rPr>
          <w:rFonts w:cs="Tahoma"/>
          <w:b/>
          <w:bCs/>
          <w:szCs w:val="22"/>
        </w:rPr>
        <w:t xml:space="preserve"> de octubre</w:t>
      </w:r>
      <w:r w:rsidRPr="00073F84">
        <w:rPr>
          <w:rFonts w:cs="Tahoma"/>
          <w:b/>
          <w:bCs/>
          <w:szCs w:val="22"/>
        </w:rPr>
        <w:t xml:space="preserve"> de dos mil </w:t>
      </w:r>
      <w:r w:rsidR="00E810F7" w:rsidRPr="00073F84">
        <w:rPr>
          <w:rFonts w:cs="Tahoma"/>
          <w:b/>
          <w:bCs/>
          <w:szCs w:val="22"/>
        </w:rPr>
        <w:t>veinticuatro</w:t>
      </w:r>
      <w:r w:rsidR="009C7CDB" w:rsidRPr="00073F84">
        <w:rPr>
          <w:rFonts w:cs="Tahoma"/>
          <w:b/>
          <w:bCs/>
          <w:szCs w:val="22"/>
        </w:rPr>
        <w:t>,</w:t>
      </w:r>
      <w:r w:rsidRPr="00073F84">
        <w:rPr>
          <w:rFonts w:cs="Tahoma"/>
          <w:szCs w:val="22"/>
        </w:rPr>
        <w:t xml:space="preserve"> </w:t>
      </w:r>
      <w:r w:rsidR="00F75D23" w:rsidRPr="00073F84">
        <w:rPr>
          <w:rFonts w:cs="Tahoma"/>
          <w:b/>
          <w:bCs/>
          <w:szCs w:val="22"/>
        </w:rPr>
        <w:t>LA PARTE RECURRENTE</w:t>
      </w:r>
      <w:r w:rsidR="00F75D23" w:rsidRPr="00073F84">
        <w:rPr>
          <w:rFonts w:cs="Tahoma"/>
          <w:szCs w:val="22"/>
        </w:rPr>
        <w:t xml:space="preserve"> interpuso el recurso de revisión en contra de la respuesta emitida por el </w:t>
      </w:r>
      <w:r w:rsidR="00F75D23" w:rsidRPr="00073F84">
        <w:rPr>
          <w:rFonts w:cs="Tahoma"/>
          <w:b/>
          <w:bCs/>
          <w:szCs w:val="22"/>
        </w:rPr>
        <w:t>SUJETO OBLIGADO</w:t>
      </w:r>
      <w:r w:rsidR="00953430" w:rsidRPr="00073F84">
        <w:rPr>
          <w:rFonts w:cs="Tahoma"/>
          <w:szCs w:val="22"/>
        </w:rPr>
        <w:t xml:space="preserve">, mismo que fue registrado en el </w:t>
      </w:r>
      <w:r w:rsidR="00953430" w:rsidRPr="00073F84">
        <w:rPr>
          <w:rFonts w:cs="Tahoma"/>
          <w:b/>
          <w:szCs w:val="22"/>
        </w:rPr>
        <w:t>SAIMEX</w:t>
      </w:r>
      <w:r w:rsidR="00953430" w:rsidRPr="00073F84">
        <w:rPr>
          <w:rFonts w:cs="Tahoma"/>
          <w:szCs w:val="22"/>
        </w:rPr>
        <w:t xml:space="preserve"> con el número de expediente </w:t>
      </w:r>
      <w:r w:rsidR="002A633F" w:rsidRPr="00073F84">
        <w:rPr>
          <w:rFonts w:cs="Tahoma"/>
          <w:b/>
          <w:bCs/>
          <w:szCs w:val="22"/>
        </w:rPr>
        <w:t>06292/INFOEM/IP/RR/2024</w:t>
      </w:r>
      <w:r w:rsidR="00953430" w:rsidRPr="00073F84">
        <w:rPr>
          <w:rFonts w:cs="Tahoma"/>
          <w:szCs w:val="22"/>
        </w:rPr>
        <w:t>, y en el cual manifiesta lo siguiente</w:t>
      </w:r>
      <w:r w:rsidRPr="00073F84">
        <w:rPr>
          <w:rFonts w:cs="Tahoma"/>
          <w:szCs w:val="22"/>
        </w:rPr>
        <w:t>:</w:t>
      </w:r>
    </w:p>
    <w:p w14:paraId="74B30008" w14:textId="77777777" w:rsidR="00664420" w:rsidRPr="00073F84" w:rsidRDefault="00664420" w:rsidP="00073F84">
      <w:pPr>
        <w:tabs>
          <w:tab w:val="left" w:pos="4667"/>
        </w:tabs>
        <w:ind w:right="539"/>
        <w:rPr>
          <w:rFonts w:cs="Tahoma"/>
          <w:szCs w:val="22"/>
        </w:rPr>
      </w:pPr>
    </w:p>
    <w:p w14:paraId="6900A410" w14:textId="77777777" w:rsidR="0009347C" w:rsidRPr="00073F84" w:rsidRDefault="00664420" w:rsidP="00073F84">
      <w:pPr>
        <w:tabs>
          <w:tab w:val="left" w:pos="4667"/>
        </w:tabs>
        <w:ind w:left="567" w:right="539"/>
        <w:rPr>
          <w:rFonts w:cs="Tahoma"/>
          <w:b/>
          <w:iCs/>
          <w:szCs w:val="22"/>
        </w:rPr>
      </w:pPr>
      <w:r w:rsidRPr="00073F84">
        <w:rPr>
          <w:rFonts w:cs="Tahoma"/>
          <w:b/>
          <w:iCs/>
          <w:szCs w:val="22"/>
        </w:rPr>
        <w:t>ACTO IMPUGNADO</w:t>
      </w:r>
    </w:p>
    <w:p w14:paraId="02BB8BCF" w14:textId="77777777" w:rsidR="007C5727" w:rsidRPr="00073F84" w:rsidRDefault="007C5727" w:rsidP="00073F84">
      <w:pPr>
        <w:tabs>
          <w:tab w:val="left" w:pos="4667"/>
        </w:tabs>
        <w:ind w:left="567" w:right="539"/>
        <w:rPr>
          <w:rFonts w:cs="Tahoma"/>
          <w:b/>
          <w:iCs/>
          <w:szCs w:val="22"/>
        </w:rPr>
      </w:pPr>
    </w:p>
    <w:p w14:paraId="5DFB14D6" w14:textId="11F7C88E" w:rsidR="00260F26" w:rsidRPr="00073F84" w:rsidRDefault="0002268F" w:rsidP="00073F84">
      <w:pPr>
        <w:pStyle w:val="Puesto"/>
      </w:pPr>
      <w:r w:rsidRPr="00073F84">
        <w:t>No entregan CEDULA PROFESIONAL ni documento que acredite su grado de estudios.</w:t>
      </w:r>
    </w:p>
    <w:p w14:paraId="57799293" w14:textId="77777777" w:rsidR="007C5727" w:rsidRPr="00073F84" w:rsidRDefault="007C5727" w:rsidP="00073F84"/>
    <w:p w14:paraId="047D036B" w14:textId="77777777" w:rsidR="00664420" w:rsidRPr="00073F84" w:rsidRDefault="00664420" w:rsidP="00073F84">
      <w:pPr>
        <w:tabs>
          <w:tab w:val="left" w:pos="4667"/>
        </w:tabs>
        <w:ind w:left="567" w:right="539"/>
        <w:rPr>
          <w:rFonts w:cs="Tahoma"/>
          <w:b/>
          <w:iCs/>
          <w:szCs w:val="22"/>
        </w:rPr>
      </w:pPr>
      <w:r w:rsidRPr="00073F84">
        <w:rPr>
          <w:rFonts w:cs="Tahoma"/>
          <w:b/>
          <w:iCs/>
          <w:szCs w:val="22"/>
        </w:rPr>
        <w:t>RAZONES O MOTIVOS DE LA INCONFORMIDAD</w:t>
      </w:r>
      <w:r w:rsidRPr="00073F84">
        <w:rPr>
          <w:rFonts w:cs="Tahoma"/>
          <w:b/>
          <w:iCs/>
          <w:szCs w:val="22"/>
        </w:rPr>
        <w:tab/>
      </w:r>
    </w:p>
    <w:p w14:paraId="6DF8F428" w14:textId="77777777" w:rsidR="007C5727" w:rsidRPr="00073F84" w:rsidRDefault="007C5727" w:rsidP="00073F84">
      <w:pPr>
        <w:tabs>
          <w:tab w:val="left" w:pos="4667"/>
        </w:tabs>
        <w:ind w:left="567" w:right="539"/>
        <w:rPr>
          <w:rFonts w:cs="Tahoma"/>
          <w:b/>
          <w:iCs/>
          <w:szCs w:val="22"/>
        </w:rPr>
      </w:pPr>
    </w:p>
    <w:p w14:paraId="70613F9B" w14:textId="64690408" w:rsidR="00A96D91" w:rsidRPr="00073F84" w:rsidRDefault="0002268F" w:rsidP="00073F84">
      <w:pPr>
        <w:pStyle w:val="Puesto"/>
      </w:pPr>
      <w:r w:rsidRPr="00073F84">
        <w:t>No es posible que la servidora pública no CUENTE CON CEDULA PROFESIONAL, solito documento que acredite su profesión, para tener un cargo dentro de la Secretaria de Finanzas.</w:t>
      </w:r>
    </w:p>
    <w:p w14:paraId="388DC4B9" w14:textId="77777777" w:rsidR="00A96D91" w:rsidRPr="00073F84" w:rsidRDefault="00A96D91" w:rsidP="00073F84">
      <w:pPr>
        <w:rPr>
          <w:b/>
        </w:rPr>
      </w:pPr>
    </w:p>
    <w:p w14:paraId="6804DEF1" w14:textId="3C4F6CB5" w:rsidR="00664420" w:rsidRPr="00073F84" w:rsidRDefault="006E25BC" w:rsidP="00073F84">
      <w:pPr>
        <w:pStyle w:val="Ttulo3"/>
        <w:rPr>
          <w:szCs w:val="22"/>
        </w:rPr>
      </w:pPr>
      <w:bookmarkStart w:id="13" w:name="_Toc181799796"/>
      <w:r w:rsidRPr="00073F84">
        <w:rPr>
          <w:szCs w:val="22"/>
        </w:rPr>
        <w:t>b</w:t>
      </w:r>
      <w:r w:rsidR="00664420" w:rsidRPr="00073F84">
        <w:rPr>
          <w:szCs w:val="22"/>
        </w:rPr>
        <w:t>) Turno del Recurso de Revisión</w:t>
      </w:r>
      <w:bookmarkEnd w:id="13"/>
    </w:p>
    <w:p w14:paraId="1173671B" w14:textId="01288E1F" w:rsidR="00C72DAA" w:rsidRPr="00073F84" w:rsidRDefault="00C72DAA" w:rsidP="00073F84">
      <w:pPr>
        <w:rPr>
          <w:szCs w:val="22"/>
        </w:rPr>
      </w:pPr>
      <w:r w:rsidRPr="00073F84">
        <w:rPr>
          <w:szCs w:val="22"/>
        </w:rPr>
        <w:t>Con fundamento en el artículo 185, fracción I de la Ley de Transparencia y Acceso a la Información Pública del Estado de México y Municipios, el</w:t>
      </w:r>
      <w:r w:rsidRPr="00073F84">
        <w:rPr>
          <w:b/>
          <w:bCs/>
          <w:szCs w:val="22"/>
        </w:rPr>
        <w:t xml:space="preserve"> </w:t>
      </w:r>
      <w:r w:rsidR="002A633F" w:rsidRPr="00073F84">
        <w:rPr>
          <w:rFonts w:cs="Tahoma"/>
          <w:b/>
          <w:bCs/>
          <w:szCs w:val="22"/>
        </w:rPr>
        <w:t>catorce</w:t>
      </w:r>
      <w:r w:rsidR="002411A0" w:rsidRPr="00073F84">
        <w:rPr>
          <w:rFonts w:cs="Tahoma"/>
          <w:b/>
          <w:bCs/>
          <w:szCs w:val="22"/>
        </w:rPr>
        <w:t xml:space="preserve"> de octubre</w:t>
      </w:r>
      <w:r w:rsidR="004252F1" w:rsidRPr="00073F84">
        <w:rPr>
          <w:rFonts w:cs="Tahoma"/>
          <w:b/>
          <w:bCs/>
          <w:szCs w:val="22"/>
        </w:rPr>
        <w:t xml:space="preserve"> de dos mil veinticuatro</w:t>
      </w:r>
      <w:r w:rsidR="00003628" w:rsidRPr="00073F84">
        <w:rPr>
          <w:rFonts w:cs="Tahoma"/>
          <w:b/>
          <w:bCs/>
          <w:szCs w:val="22"/>
        </w:rPr>
        <w:t>,</w:t>
      </w:r>
      <w:r w:rsidRPr="00073F84">
        <w:rPr>
          <w:szCs w:val="22"/>
        </w:rPr>
        <w:t xml:space="preserve"> se turnó el recurso de revisión a través del</w:t>
      </w:r>
      <w:r w:rsidRPr="00073F84">
        <w:rPr>
          <w:rFonts w:eastAsia="Arial Unicode MS"/>
          <w:szCs w:val="22"/>
        </w:rPr>
        <w:t xml:space="preserve"> </w:t>
      </w:r>
      <w:r w:rsidRPr="00073F84">
        <w:rPr>
          <w:rFonts w:eastAsia="Arial Unicode MS"/>
          <w:bCs/>
          <w:szCs w:val="22"/>
        </w:rPr>
        <w:t>SAIMEX</w:t>
      </w:r>
      <w:r w:rsidRPr="00073F84">
        <w:rPr>
          <w:szCs w:val="22"/>
        </w:rPr>
        <w:t xml:space="preserve"> a la </w:t>
      </w:r>
      <w:r w:rsidRPr="00073F84">
        <w:rPr>
          <w:b/>
          <w:szCs w:val="22"/>
        </w:rPr>
        <w:t>Comisionada Sharon Cristina Morales Martínez</w:t>
      </w:r>
      <w:r w:rsidRPr="00073F84">
        <w:rPr>
          <w:bCs/>
          <w:szCs w:val="22"/>
        </w:rPr>
        <w:t xml:space="preserve">, </w:t>
      </w:r>
      <w:r w:rsidRPr="00073F84">
        <w:rPr>
          <w:szCs w:val="22"/>
        </w:rPr>
        <w:t xml:space="preserve">a efecto de decretar su admisión o desechamiento. </w:t>
      </w:r>
    </w:p>
    <w:p w14:paraId="18F305CB" w14:textId="77777777" w:rsidR="00664420" w:rsidRPr="00073F84" w:rsidRDefault="00664420" w:rsidP="00073F84">
      <w:pPr>
        <w:rPr>
          <w:rFonts w:eastAsia="Batang" w:cs="Tahoma"/>
          <w:bCs/>
          <w:szCs w:val="22"/>
        </w:rPr>
      </w:pPr>
    </w:p>
    <w:p w14:paraId="3E31EC2D" w14:textId="295256A1" w:rsidR="00664420" w:rsidRPr="00073F84" w:rsidRDefault="006E25BC" w:rsidP="00073F84">
      <w:pPr>
        <w:pStyle w:val="Ttulo3"/>
        <w:rPr>
          <w:szCs w:val="22"/>
        </w:rPr>
      </w:pPr>
      <w:bookmarkStart w:id="14" w:name="_Toc181799797"/>
      <w:r w:rsidRPr="00073F84">
        <w:rPr>
          <w:szCs w:val="22"/>
        </w:rPr>
        <w:t>c</w:t>
      </w:r>
      <w:r w:rsidR="00664420" w:rsidRPr="00073F84">
        <w:rPr>
          <w:szCs w:val="22"/>
        </w:rPr>
        <w:t>) Admisión del Recurso de Revisión</w:t>
      </w:r>
      <w:bookmarkEnd w:id="14"/>
    </w:p>
    <w:p w14:paraId="240447D5" w14:textId="7C986823" w:rsidR="000E09C4" w:rsidRPr="00073F84" w:rsidRDefault="000E09C4" w:rsidP="00073F84">
      <w:pPr>
        <w:rPr>
          <w:rFonts w:cs="Arial"/>
          <w:szCs w:val="22"/>
        </w:rPr>
      </w:pPr>
      <w:r w:rsidRPr="00073F84">
        <w:rPr>
          <w:rFonts w:cs="Arial"/>
          <w:szCs w:val="22"/>
        </w:rPr>
        <w:t xml:space="preserve">El </w:t>
      </w:r>
      <w:r w:rsidR="002A633F" w:rsidRPr="00073F84">
        <w:rPr>
          <w:rFonts w:cs="Arial"/>
          <w:b/>
          <w:bCs/>
          <w:szCs w:val="22"/>
        </w:rPr>
        <w:t>diecisiete</w:t>
      </w:r>
      <w:r w:rsidR="002411A0" w:rsidRPr="00073F84">
        <w:rPr>
          <w:rFonts w:cs="Arial"/>
          <w:b/>
          <w:bCs/>
          <w:szCs w:val="22"/>
        </w:rPr>
        <w:t xml:space="preserve"> de octubre</w:t>
      </w:r>
      <w:r w:rsidR="004252F1" w:rsidRPr="00073F84">
        <w:rPr>
          <w:rFonts w:cs="Arial"/>
          <w:b/>
          <w:bCs/>
          <w:szCs w:val="22"/>
        </w:rPr>
        <w:t xml:space="preserve"> de dos mil veinticuatro</w:t>
      </w:r>
      <w:r w:rsidR="00003628" w:rsidRPr="00073F84">
        <w:rPr>
          <w:rFonts w:cs="Arial"/>
          <w:b/>
          <w:bCs/>
          <w:szCs w:val="22"/>
        </w:rPr>
        <w:t>,</w:t>
      </w:r>
      <w:r w:rsidR="004252F1" w:rsidRPr="00073F84">
        <w:rPr>
          <w:rFonts w:cs="Arial"/>
          <w:szCs w:val="22"/>
        </w:rPr>
        <w:t xml:space="preserve"> </w:t>
      </w:r>
      <w:r w:rsidRPr="00073F84">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73F84">
        <w:rPr>
          <w:rFonts w:cs="Arial"/>
          <w:szCs w:val="22"/>
        </w:rPr>
        <w:t>, fracción II</w:t>
      </w:r>
      <w:r w:rsidRPr="00073F84">
        <w:rPr>
          <w:rFonts w:cs="Arial"/>
          <w:szCs w:val="22"/>
        </w:rPr>
        <w:t xml:space="preserve"> de la Ley de Transparencia y Acceso a la Información Pública del Estado de México y Municipios.</w:t>
      </w:r>
    </w:p>
    <w:p w14:paraId="34EC3F86" w14:textId="77777777" w:rsidR="00D2790D" w:rsidRPr="00073F84" w:rsidRDefault="00D2790D" w:rsidP="00073F84">
      <w:pPr>
        <w:rPr>
          <w:rFonts w:cs="Arial"/>
          <w:szCs w:val="22"/>
        </w:rPr>
      </w:pPr>
    </w:p>
    <w:p w14:paraId="3B820F58" w14:textId="4FFAE290" w:rsidR="00865CF4" w:rsidRPr="00073F84" w:rsidRDefault="006E25BC" w:rsidP="00073F84">
      <w:pPr>
        <w:pStyle w:val="Ttulo3"/>
        <w:rPr>
          <w:szCs w:val="22"/>
        </w:rPr>
      </w:pPr>
      <w:bookmarkStart w:id="15" w:name="_Toc181799798"/>
      <w:r w:rsidRPr="00073F84">
        <w:rPr>
          <w:szCs w:val="22"/>
        </w:rPr>
        <w:t>d</w:t>
      </w:r>
      <w:r w:rsidR="00D2790D" w:rsidRPr="00073F84">
        <w:rPr>
          <w:szCs w:val="22"/>
        </w:rPr>
        <w:t xml:space="preserve">) </w:t>
      </w:r>
      <w:r w:rsidR="00865CF4" w:rsidRPr="00073F84">
        <w:rPr>
          <w:szCs w:val="22"/>
        </w:rPr>
        <w:t>Informe Justificado del Sujeto Obligado</w:t>
      </w:r>
      <w:bookmarkEnd w:id="15"/>
    </w:p>
    <w:p w14:paraId="43992FF4" w14:textId="799C76D9" w:rsidR="00260CEB" w:rsidRPr="00073F84" w:rsidRDefault="00260CEB" w:rsidP="00073F84">
      <w:r w:rsidRPr="00073F84">
        <w:t xml:space="preserve">El </w:t>
      </w:r>
      <w:r w:rsidR="002A633F" w:rsidRPr="00073F84">
        <w:rPr>
          <w:b/>
        </w:rPr>
        <w:t>veinticuatro</w:t>
      </w:r>
      <w:r w:rsidR="002411A0" w:rsidRPr="00073F84">
        <w:rPr>
          <w:b/>
        </w:rPr>
        <w:t xml:space="preserve"> de octubre</w:t>
      </w:r>
      <w:r w:rsidRPr="00073F84">
        <w:rPr>
          <w:b/>
        </w:rPr>
        <w:t xml:space="preserve"> de dos mil veinticuatro, EL SUJETO OBLIGADO</w:t>
      </w:r>
      <w:r w:rsidRPr="00073F84">
        <w:t xml:space="preserve"> rindió su informe justificado a través del SAIMEX, a través de</w:t>
      </w:r>
      <w:r w:rsidR="006A5D90" w:rsidRPr="00073F84">
        <w:t xml:space="preserve"> los </w:t>
      </w:r>
      <w:r w:rsidRPr="00073F84">
        <w:t>archivo</w:t>
      </w:r>
      <w:r w:rsidR="006A5D90" w:rsidRPr="00073F84">
        <w:t>s</w:t>
      </w:r>
      <w:r w:rsidR="006740EA" w:rsidRPr="00073F84">
        <w:t xml:space="preserve"> siguiente</w:t>
      </w:r>
      <w:r w:rsidR="006A5D90" w:rsidRPr="00073F84">
        <w:t>s</w:t>
      </w:r>
      <w:r w:rsidRPr="00073F84">
        <w:t>:</w:t>
      </w:r>
    </w:p>
    <w:p w14:paraId="3FB682D4" w14:textId="77777777" w:rsidR="00AE00A8" w:rsidRPr="00073F84" w:rsidRDefault="00AE00A8" w:rsidP="00073F84"/>
    <w:p w14:paraId="65DDB105" w14:textId="6E7F0884" w:rsidR="00EB6A4C" w:rsidRPr="00073F84" w:rsidRDefault="002A633F" w:rsidP="00073F84">
      <w:pPr>
        <w:pStyle w:val="Prrafodelista"/>
        <w:numPr>
          <w:ilvl w:val="0"/>
          <w:numId w:val="13"/>
        </w:numPr>
        <w:rPr>
          <w:b/>
          <w:i/>
        </w:rPr>
      </w:pPr>
      <w:r w:rsidRPr="00073F84">
        <w:rPr>
          <w:b/>
          <w:i/>
        </w:rPr>
        <w:t>RR 06292-2024 Informe Justificado.pdf</w:t>
      </w:r>
    </w:p>
    <w:p w14:paraId="1A76A704" w14:textId="57EF1733" w:rsidR="002A633F" w:rsidRPr="00073F84" w:rsidRDefault="00377247" w:rsidP="00073F84">
      <w:pPr>
        <w:ind w:left="708"/>
      </w:pPr>
      <w:r w:rsidRPr="00073F84">
        <w:t>Archivo constante de 6 páginas, dirigido a la Comisionada Ponente, suscrito por el Jefe de la UIPPE y Titular de la Unidad de Transparencia de la Secretaría de Finanzas, en el que le informa de manera medular:</w:t>
      </w:r>
    </w:p>
    <w:p w14:paraId="698BEB2C" w14:textId="7844C738" w:rsidR="00377247" w:rsidRPr="00073F84" w:rsidRDefault="00D13D24" w:rsidP="00073F84">
      <w:pPr>
        <w:pStyle w:val="Puesto"/>
      </w:pPr>
      <w:r w:rsidRPr="00073F84">
        <w:lastRenderedPageBreak/>
        <w:t xml:space="preserve">“…se ratifica en todas y cada una de sus partes la respuesta proporcionada…asimismo, refiere que conforme a la fracción VIII del artículo 47 de la Ley del Trabajo de los Servidores Públicos del Estado y Municipios dentro del catálogo de puestos del Gobierno del Estado de México, donde se establecen los requisitos para ocupar los puestos que conforman la Administración Pública, entre los que se encuentra la escolaridad, este requisito sólo aplica para los niveles 1 al 23. Toda vez que Claudia </w:t>
      </w:r>
      <w:proofErr w:type="spellStart"/>
      <w:r w:rsidRPr="00073F84">
        <w:t>Noguez</w:t>
      </w:r>
      <w:proofErr w:type="spellEnd"/>
      <w:r w:rsidRPr="00073F84">
        <w:t xml:space="preserve"> González, ocupa un puesto de Directora de área con nivel 28 (plaza de confianza), no es requisito para ella; sin embargo, si cuenta con título profesional.” Sic.</w:t>
      </w:r>
    </w:p>
    <w:p w14:paraId="54F2100E" w14:textId="77777777" w:rsidR="002A633F" w:rsidRPr="00073F84" w:rsidRDefault="002A633F" w:rsidP="00073F84">
      <w:pPr>
        <w:pStyle w:val="Prrafodelista"/>
        <w:ind w:left="1080"/>
      </w:pPr>
    </w:p>
    <w:p w14:paraId="655ECD7D" w14:textId="03C760F9" w:rsidR="002A633F" w:rsidRPr="00073F84" w:rsidRDefault="002A633F" w:rsidP="00073F84">
      <w:pPr>
        <w:pStyle w:val="Prrafodelista"/>
        <w:numPr>
          <w:ilvl w:val="0"/>
          <w:numId w:val="13"/>
        </w:numPr>
        <w:rPr>
          <w:b/>
          <w:i/>
        </w:rPr>
      </w:pPr>
      <w:r w:rsidRPr="00073F84">
        <w:rPr>
          <w:b/>
          <w:i/>
        </w:rPr>
        <w:t>RR 06292-2024 COORDINACIÓN ADMINISTRATIVA.pdf</w:t>
      </w:r>
    </w:p>
    <w:p w14:paraId="7F553B45" w14:textId="1670C02E" w:rsidR="00D13D24" w:rsidRPr="00073F84" w:rsidRDefault="00D13D24" w:rsidP="00073F84">
      <w:pPr>
        <w:ind w:left="360"/>
      </w:pPr>
      <w:r w:rsidRPr="00073F84">
        <w:t xml:space="preserve">Documental en la que se aprecia el oficio </w:t>
      </w:r>
      <w:r w:rsidRPr="00073F84">
        <w:rPr>
          <w:lang w:val="es-ES"/>
        </w:rPr>
        <w:t xml:space="preserve">número </w:t>
      </w:r>
      <w:r w:rsidRPr="00073F84">
        <w:t xml:space="preserve">20700002000100S/IP/0235/2024 de fecha 17 de octubre de 2024, suscrito por la Servidora Pública Habilitada de la Coordinación Administrativa, en el que de manera general ratifica su respuesta y precisa que la escolaridad, este requisito sólo aplica para los niveles 1 al 23. Toda vez que Claudia </w:t>
      </w:r>
      <w:proofErr w:type="spellStart"/>
      <w:r w:rsidRPr="00073F84">
        <w:t>Noguez</w:t>
      </w:r>
      <w:proofErr w:type="spellEnd"/>
      <w:r w:rsidRPr="00073F84">
        <w:t xml:space="preserve"> González, ocupa un puesto de Directora de área con nivel 28 (plaza de confianza), no es requisito para ella; sin embargo, si cuenta con título profesional.</w:t>
      </w:r>
    </w:p>
    <w:p w14:paraId="662C046C" w14:textId="77777777" w:rsidR="00D13D24" w:rsidRPr="00073F84" w:rsidRDefault="00D13D24" w:rsidP="00073F84">
      <w:pPr>
        <w:rPr>
          <w:b/>
          <w:i/>
        </w:rPr>
      </w:pPr>
    </w:p>
    <w:p w14:paraId="757C0A8D" w14:textId="044B8B7B" w:rsidR="00113E1A" w:rsidRPr="00073F84" w:rsidRDefault="00113E1A" w:rsidP="00073F84">
      <w:r w:rsidRPr="00073F84">
        <w:t xml:space="preserve">Esta información fue puesta a la vista de </w:t>
      </w:r>
      <w:r w:rsidRPr="00073F84">
        <w:rPr>
          <w:b/>
        </w:rPr>
        <w:t xml:space="preserve">LA PARTE RECURRENTE </w:t>
      </w:r>
      <w:r w:rsidRPr="00073F84">
        <w:t xml:space="preserve">el </w:t>
      </w:r>
      <w:r w:rsidR="00AE00A8" w:rsidRPr="00073F84">
        <w:rPr>
          <w:b/>
        </w:rPr>
        <w:t>veintiocho</w:t>
      </w:r>
      <w:r w:rsidRPr="00073F84">
        <w:rPr>
          <w:b/>
        </w:rPr>
        <w:t xml:space="preserve"> de octubre de dos mil veinticuatro, </w:t>
      </w:r>
      <w:r w:rsidRPr="00073F84">
        <w:t>para que, en un plazo de tres días hábiles, manifestara lo que a su derecho conviniera, de conformidad con lo establecido en el artículo 185, fracción III de la Ley de Transparencia y Acceso a la Información Pública del Estado de México y Municipios.</w:t>
      </w:r>
    </w:p>
    <w:p w14:paraId="6132A4AE" w14:textId="77777777" w:rsidR="00AE00A8" w:rsidRPr="00073F84" w:rsidRDefault="00AE00A8" w:rsidP="00073F84"/>
    <w:p w14:paraId="755B7730" w14:textId="2A0EB956" w:rsidR="00664420" w:rsidRPr="00073F84" w:rsidRDefault="00E810F7" w:rsidP="00073F84">
      <w:pPr>
        <w:pStyle w:val="Ttulo3"/>
        <w:rPr>
          <w:szCs w:val="22"/>
          <w:lang w:val="es-ES"/>
        </w:rPr>
      </w:pPr>
      <w:bookmarkStart w:id="16" w:name="_Toc181799799"/>
      <w:r w:rsidRPr="00073F84">
        <w:rPr>
          <w:rFonts w:eastAsia="Calibri"/>
          <w:bCs/>
          <w:szCs w:val="22"/>
          <w:lang w:eastAsia="en-US"/>
        </w:rPr>
        <w:t>e</w:t>
      </w:r>
      <w:r w:rsidR="00664420" w:rsidRPr="00073F84">
        <w:rPr>
          <w:rFonts w:eastAsia="Calibri"/>
          <w:bCs/>
          <w:szCs w:val="22"/>
          <w:lang w:eastAsia="en-US"/>
        </w:rPr>
        <w:t>)</w:t>
      </w:r>
      <w:r w:rsidR="00664420" w:rsidRPr="00073F84">
        <w:rPr>
          <w:szCs w:val="22"/>
        </w:rPr>
        <w:t xml:space="preserve"> </w:t>
      </w:r>
      <w:r w:rsidR="00865CF4" w:rsidRPr="00073F84">
        <w:rPr>
          <w:szCs w:val="22"/>
          <w:lang w:val="es-ES"/>
        </w:rPr>
        <w:t>Manifestaciones de la Parte Recurrente</w:t>
      </w:r>
      <w:bookmarkEnd w:id="16"/>
    </w:p>
    <w:p w14:paraId="71411900" w14:textId="77777777" w:rsidR="00AE00A8" w:rsidRPr="00073F84" w:rsidRDefault="00AE00A8" w:rsidP="00073F84">
      <w:r w:rsidRPr="00073F84">
        <w:rPr>
          <w:b/>
        </w:rPr>
        <w:t xml:space="preserve">LA PARTE RECURRENTE </w:t>
      </w:r>
      <w:r w:rsidRPr="00073F84">
        <w:t>no realizó manifestación alguna dentro del término legalmente concedido para tal efecto, ni presentó pruebas o alegatos.</w:t>
      </w:r>
    </w:p>
    <w:p w14:paraId="3DDA0D73" w14:textId="77777777" w:rsidR="006408BF" w:rsidRPr="00073F84" w:rsidRDefault="006408BF" w:rsidP="00073F84"/>
    <w:p w14:paraId="0E651988" w14:textId="57633342" w:rsidR="00664420" w:rsidRPr="00073F84" w:rsidRDefault="000863CE" w:rsidP="00073F84">
      <w:pPr>
        <w:pStyle w:val="Ttulo3"/>
        <w:rPr>
          <w:szCs w:val="22"/>
        </w:rPr>
      </w:pPr>
      <w:bookmarkStart w:id="17" w:name="_Toc181799800"/>
      <w:r w:rsidRPr="00073F84">
        <w:rPr>
          <w:rFonts w:eastAsia="Calibri"/>
          <w:szCs w:val="22"/>
        </w:rPr>
        <w:lastRenderedPageBreak/>
        <w:t>f</w:t>
      </w:r>
      <w:r w:rsidR="00664420" w:rsidRPr="00073F84">
        <w:rPr>
          <w:rFonts w:eastAsia="Calibri"/>
          <w:szCs w:val="22"/>
        </w:rPr>
        <w:t xml:space="preserve">) </w:t>
      </w:r>
      <w:r w:rsidR="00664420" w:rsidRPr="00073F84">
        <w:rPr>
          <w:szCs w:val="22"/>
        </w:rPr>
        <w:t>Cierre de instrucción</w:t>
      </w:r>
      <w:bookmarkEnd w:id="17"/>
    </w:p>
    <w:p w14:paraId="79AF95DC" w14:textId="64CFC49E" w:rsidR="00664420" w:rsidRPr="00073F84" w:rsidRDefault="00BF091A" w:rsidP="00073F84">
      <w:pPr>
        <w:rPr>
          <w:rFonts w:cs="Tahoma"/>
          <w:szCs w:val="22"/>
        </w:rPr>
      </w:pPr>
      <w:r w:rsidRPr="00073F84">
        <w:rPr>
          <w:rFonts w:cs="Tahoma"/>
          <w:szCs w:val="22"/>
        </w:rPr>
        <w:t>Al no existir diligencias pendientes por desahogar</w:t>
      </w:r>
      <w:r w:rsidRPr="00073F84">
        <w:rPr>
          <w:rFonts w:cs="Arial"/>
          <w:szCs w:val="22"/>
        </w:rPr>
        <w:t xml:space="preserve">, el </w:t>
      </w:r>
      <w:r w:rsidR="00EB6A4C" w:rsidRPr="00073F84">
        <w:rPr>
          <w:rFonts w:cs="Tahoma"/>
          <w:b/>
          <w:bCs/>
          <w:szCs w:val="22"/>
        </w:rPr>
        <w:t>cinco de noviembre</w:t>
      </w:r>
      <w:r w:rsidR="00E810F7" w:rsidRPr="00073F84">
        <w:rPr>
          <w:rFonts w:cs="Tahoma"/>
          <w:b/>
          <w:bCs/>
          <w:szCs w:val="22"/>
        </w:rPr>
        <w:t xml:space="preserve"> de dos mil veinticuatro</w:t>
      </w:r>
      <w:r w:rsidR="00003628" w:rsidRPr="00073F84">
        <w:rPr>
          <w:rFonts w:cs="Tahoma"/>
          <w:b/>
          <w:bCs/>
          <w:szCs w:val="22"/>
        </w:rPr>
        <w:t>,</w:t>
      </w:r>
      <w:r w:rsidR="00E810F7" w:rsidRPr="00073F84">
        <w:rPr>
          <w:rFonts w:cs="Tahoma"/>
          <w:szCs w:val="22"/>
        </w:rPr>
        <w:t xml:space="preserve"> </w:t>
      </w:r>
      <w:r w:rsidRPr="00073F84">
        <w:rPr>
          <w:rFonts w:cs="Arial"/>
          <w:szCs w:val="22"/>
        </w:rPr>
        <w:t xml:space="preserve">la </w:t>
      </w:r>
      <w:r w:rsidRPr="00073F84">
        <w:rPr>
          <w:rFonts w:cs="Arial"/>
          <w:b/>
          <w:bCs/>
          <w:szCs w:val="22"/>
        </w:rPr>
        <w:t xml:space="preserve">Comisionada </w:t>
      </w:r>
      <w:r w:rsidRPr="00073F84">
        <w:rPr>
          <w:b/>
          <w:szCs w:val="22"/>
        </w:rPr>
        <w:t xml:space="preserve">Sharon Cristina Morales Martínez </w:t>
      </w:r>
      <w:r w:rsidRPr="00073F84">
        <w:rPr>
          <w:rFonts w:cs="Arial"/>
          <w:szCs w:val="22"/>
        </w:rPr>
        <w:t>acordó el cierre de instrucción</w:t>
      </w:r>
      <w:r w:rsidR="0011350D" w:rsidRPr="00073F84">
        <w:rPr>
          <w:rFonts w:cs="Arial"/>
          <w:szCs w:val="22"/>
        </w:rPr>
        <w:t xml:space="preserve"> y</w:t>
      </w:r>
      <w:r w:rsidRPr="00073F84">
        <w:rPr>
          <w:rFonts w:cs="Arial"/>
          <w:szCs w:val="22"/>
        </w:rPr>
        <w:t xml:space="preserve"> </w:t>
      </w:r>
      <w:r w:rsidR="0011350D" w:rsidRPr="00073F84">
        <w:rPr>
          <w:rFonts w:cs="Arial"/>
          <w:szCs w:val="22"/>
        </w:rPr>
        <w:t xml:space="preserve">la </w:t>
      </w:r>
      <w:r w:rsidRPr="00073F84">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073F84">
        <w:rPr>
          <w:szCs w:val="22"/>
        </w:rPr>
        <w:t>.</w:t>
      </w:r>
      <w:r w:rsidR="0011350D" w:rsidRPr="00073F84">
        <w:rPr>
          <w:szCs w:val="22"/>
        </w:rPr>
        <w:t xml:space="preserve"> Dicho acuerdo </w:t>
      </w:r>
      <w:r w:rsidR="00664420" w:rsidRPr="00073F84">
        <w:rPr>
          <w:rFonts w:cs="Tahoma"/>
          <w:szCs w:val="22"/>
        </w:rPr>
        <w:t xml:space="preserve">fue notificado a las partes el mismo día a través del </w:t>
      </w:r>
      <w:r w:rsidR="00664420" w:rsidRPr="00073F84">
        <w:rPr>
          <w:rFonts w:cs="Tahoma"/>
          <w:szCs w:val="22"/>
          <w:lang w:val="es-ES"/>
        </w:rPr>
        <w:t>SAIMEX</w:t>
      </w:r>
      <w:r w:rsidR="00664420" w:rsidRPr="00073F84">
        <w:rPr>
          <w:rFonts w:cs="Tahoma"/>
          <w:szCs w:val="22"/>
        </w:rPr>
        <w:t>.</w:t>
      </w:r>
    </w:p>
    <w:p w14:paraId="36B05AB7" w14:textId="77777777" w:rsidR="006041A0" w:rsidRPr="00073F84" w:rsidRDefault="006041A0" w:rsidP="00073F84">
      <w:pPr>
        <w:rPr>
          <w:szCs w:val="22"/>
        </w:rPr>
      </w:pPr>
    </w:p>
    <w:p w14:paraId="7A9629DE" w14:textId="77777777" w:rsidR="00664420" w:rsidRPr="00073F84" w:rsidRDefault="00664420" w:rsidP="00073F84">
      <w:pPr>
        <w:pStyle w:val="Ttulo1"/>
        <w:rPr>
          <w:rFonts w:eastAsiaTheme="minorHAnsi"/>
          <w:szCs w:val="22"/>
          <w:lang w:eastAsia="en-US"/>
        </w:rPr>
      </w:pPr>
      <w:bookmarkStart w:id="18" w:name="_Toc181799801"/>
      <w:r w:rsidRPr="00073F84">
        <w:rPr>
          <w:rFonts w:eastAsiaTheme="minorHAnsi"/>
          <w:szCs w:val="22"/>
          <w:lang w:eastAsia="en-US"/>
        </w:rPr>
        <w:t>CONSIDERANDOS</w:t>
      </w:r>
      <w:bookmarkEnd w:id="18"/>
    </w:p>
    <w:p w14:paraId="6DD1243B" w14:textId="77777777" w:rsidR="00664420" w:rsidRPr="00073F84" w:rsidRDefault="00664420" w:rsidP="00073F84">
      <w:pPr>
        <w:contextualSpacing/>
        <w:jc w:val="center"/>
        <w:rPr>
          <w:rFonts w:eastAsiaTheme="minorHAnsi" w:cs="Tahoma"/>
          <w:b/>
          <w:szCs w:val="22"/>
          <w:lang w:eastAsia="en-US"/>
        </w:rPr>
      </w:pPr>
    </w:p>
    <w:p w14:paraId="0B67CB92" w14:textId="2E307D3B" w:rsidR="00664420" w:rsidRPr="00073F84" w:rsidRDefault="00664420" w:rsidP="00073F84">
      <w:pPr>
        <w:pStyle w:val="Ttulo2"/>
        <w:rPr>
          <w:rFonts w:eastAsia="Batang"/>
          <w:szCs w:val="22"/>
        </w:rPr>
      </w:pPr>
      <w:bookmarkStart w:id="19" w:name="_Toc181799802"/>
      <w:r w:rsidRPr="00073F84">
        <w:rPr>
          <w:rFonts w:eastAsia="Batang"/>
          <w:szCs w:val="22"/>
        </w:rPr>
        <w:t xml:space="preserve">PRIMERO. </w:t>
      </w:r>
      <w:r w:rsidR="00BA55A8" w:rsidRPr="00073F84">
        <w:rPr>
          <w:rFonts w:eastAsia="Batang"/>
          <w:szCs w:val="22"/>
        </w:rPr>
        <w:t>Procedibilidad</w:t>
      </w:r>
      <w:bookmarkEnd w:id="19"/>
    </w:p>
    <w:p w14:paraId="39C52BC1" w14:textId="56FCC20D" w:rsidR="00BA55A8" w:rsidRPr="00073F84" w:rsidRDefault="00BA55A8" w:rsidP="00073F84">
      <w:pPr>
        <w:pStyle w:val="Ttulo3"/>
        <w:rPr>
          <w:szCs w:val="22"/>
        </w:rPr>
      </w:pPr>
      <w:bookmarkStart w:id="20" w:name="_Toc181799803"/>
      <w:r w:rsidRPr="00073F84">
        <w:rPr>
          <w:szCs w:val="22"/>
        </w:rPr>
        <w:t>a) Competencia</w:t>
      </w:r>
      <w:r w:rsidR="00150C49" w:rsidRPr="00073F84">
        <w:rPr>
          <w:szCs w:val="22"/>
        </w:rPr>
        <w:t xml:space="preserve"> del Instituto</w:t>
      </w:r>
      <w:bookmarkEnd w:id="20"/>
    </w:p>
    <w:p w14:paraId="56E64942" w14:textId="6572EDF7" w:rsidR="0011350D" w:rsidRPr="00073F84" w:rsidRDefault="0011350D" w:rsidP="00073F84">
      <w:pPr>
        <w:rPr>
          <w:rFonts w:cs="Arial"/>
          <w:szCs w:val="22"/>
        </w:rPr>
      </w:pPr>
      <w:r w:rsidRPr="00073F84">
        <w:rPr>
          <w:szCs w:val="22"/>
        </w:rPr>
        <w:t xml:space="preserve">Este Instituto de Transparencia, Acceso a la Información Pública y Protección de Datos Personales del Estado de México y Municipios es competente para conocer y resolver </w:t>
      </w:r>
      <w:r w:rsidR="005F65B7" w:rsidRPr="00073F84">
        <w:rPr>
          <w:szCs w:val="22"/>
        </w:rPr>
        <w:t xml:space="preserve">el </w:t>
      </w:r>
      <w:r w:rsidRPr="00073F84">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73F84">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073F84" w:rsidRDefault="00DB1C09" w:rsidP="00073F84">
      <w:pPr>
        <w:rPr>
          <w:rFonts w:cs="Arial"/>
          <w:szCs w:val="22"/>
        </w:rPr>
      </w:pPr>
    </w:p>
    <w:p w14:paraId="517A2DD6" w14:textId="4169BE4D" w:rsidR="00664420" w:rsidRPr="00073F84" w:rsidRDefault="00BA55A8" w:rsidP="00073F84">
      <w:pPr>
        <w:pStyle w:val="Ttulo3"/>
        <w:rPr>
          <w:szCs w:val="22"/>
        </w:rPr>
      </w:pPr>
      <w:bookmarkStart w:id="21" w:name="_Toc181799804"/>
      <w:r w:rsidRPr="00073F84">
        <w:rPr>
          <w:szCs w:val="22"/>
        </w:rPr>
        <w:lastRenderedPageBreak/>
        <w:t>b)</w:t>
      </w:r>
      <w:r w:rsidR="00664420" w:rsidRPr="00073F84">
        <w:rPr>
          <w:szCs w:val="22"/>
        </w:rPr>
        <w:t xml:space="preserve"> </w:t>
      </w:r>
      <w:r w:rsidR="00D91CB4" w:rsidRPr="00073F84">
        <w:rPr>
          <w:szCs w:val="22"/>
        </w:rPr>
        <w:t>Legitimidad</w:t>
      </w:r>
      <w:r w:rsidRPr="00073F84">
        <w:rPr>
          <w:szCs w:val="22"/>
        </w:rPr>
        <w:t xml:space="preserve"> de la parte recurrente</w:t>
      </w:r>
      <w:bookmarkEnd w:id="21"/>
    </w:p>
    <w:p w14:paraId="26FEA382" w14:textId="0B06695C" w:rsidR="00D91CB4" w:rsidRPr="00073F84" w:rsidRDefault="00D91CB4" w:rsidP="00073F84">
      <w:pPr>
        <w:rPr>
          <w:rFonts w:cs="Arial"/>
          <w:bCs/>
          <w:szCs w:val="22"/>
        </w:rPr>
      </w:pPr>
      <w:r w:rsidRPr="00073F84">
        <w:rPr>
          <w:rFonts w:cs="Arial"/>
          <w:bCs/>
          <w:szCs w:val="22"/>
        </w:rPr>
        <w:t>El recurso de revisión fue interpuesto por parte legítima, ya que se presentó por la misma persona que formuló la solicitud de acceso a la Información Pública,</w:t>
      </w:r>
      <w:r w:rsidRPr="00073F84">
        <w:rPr>
          <w:rFonts w:cs="Arial"/>
          <w:b/>
          <w:bCs/>
          <w:szCs w:val="22"/>
        </w:rPr>
        <w:t xml:space="preserve"> </w:t>
      </w:r>
      <w:r w:rsidRPr="00073F84">
        <w:rPr>
          <w:rFonts w:cs="Arial"/>
          <w:szCs w:val="22"/>
        </w:rPr>
        <w:t>debido a que los datos de acceso</w:t>
      </w:r>
      <w:r w:rsidRPr="00073F84">
        <w:rPr>
          <w:rFonts w:cs="Arial"/>
          <w:b/>
          <w:bCs/>
          <w:szCs w:val="22"/>
        </w:rPr>
        <w:t xml:space="preserve"> </w:t>
      </w:r>
      <w:r w:rsidRPr="00073F84">
        <w:rPr>
          <w:rFonts w:cs="Arial"/>
          <w:szCs w:val="22"/>
        </w:rPr>
        <w:t>SAIMEX</w:t>
      </w:r>
      <w:r w:rsidRPr="00073F84">
        <w:rPr>
          <w:rFonts w:eastAsia="Calibri" w:cs="Arial"/>
          <w:szCs w:val="22"/>
          <w:lang w:eastAsia="en-US"/>
        </w:rPr>
        <w:t xml:space="preserve"> son personales e irrepetibles.</w:t>
      </w:r>
    </w:p>
    <w:p w14:paraId="2C367810" w14:textId="77777777" w:rsidR="00D91CB4" w:rsidRPr="00073F84" w:rsidRDefault="00D91CB4" w:rsidP="00073F84">
      <w:pPr>
        <w:rPr>
          <w:szCs w:val="22"/>
        </w:rPr>
      </w:pPr>
    </w:p>
    <w:p w14:paraId="496490FC" w14:textId="1A5F3FDB" w:rsidR="00D91CB4" w:rsidRPr="00073F84" w:rsidRDefault="00BA55A8" w:rsidP="00073F84">
      <w:pPr>
        <w:pStyle w:val="Ttulo3"/>
        <w:rPr>
          <w:rFonts w:eastAsia="Calibri"/>
          <w:szCs w:val="22"/>
          <w:lang w:eastAsia="es-ES_tradnl"/>
        </w:rPr>
      </w:pPr>
      <w:bookmarkStart w:id="22" w:name="_Toc181799805"/>
      <w:r w:rsidRPr="00073F84">
        <w:rPr>
          <w:rFonts w:eastAsia="Calibri"/>
          <w:szCs w:val="22"/>
          <w:lang w:eastAsia="es-ES_tradnl"/>
        </w:rPr>
        <w:t>c)</w:t>
      </w:r>
      <w:r w:rsidR="00664420" w:rsidRPr="00073F84">
        <w:rPr>
          <w:rFonts w:eastAsia="Calibri"/>
          <w:szCs w:val="22"/>
          <w:lang w:eastAsia="es-ES_tradnl"/>
        </w:rPr>
        <w:t xml:space="preserve"> </w:t>
      </w:r>
      <w:r w:rsidR="00D91CB4" w:rsidRPr="00073F84">
        <w:rPr>
          <w:rFonts w:eastAsia="Calibri"/>
          <w:szCs w:val="22"/>
          <w:lang w:eastAsia="es-ES_tradnl"/>
        </w:rPr>
        <w:t>Plazo para interponer el recurso</w:t>
      </w:r>
      <w:bookmarkEnd w:id="22"/>
    </w:p>
    <w:p w14:paraId="106D37EE" w14:textId="05654FCE" w:rsidR="00D91CB4" w:rsidRPr="00073F84" w:rsidRDefault="00D91CB4" w:rsidP="00073F84">
      <w:pPr>
        <w:rPr>
          <w:rFonts w:eastAsiaTheme="minorEastAsia" w:cs="Arial"/>
          <w:szCs w:val="22"/>
          <w:lang w:val="es-ES_tradnl"/>
        </w:rPr>
      </w:pPr>
      <w:r w:rsidRPr="00073F84">
        <w:rPr>
          <w:rFonts w:cs="Arial"/>
          <w:b/>
          <w:szCs w:val="22"/>
        </w:rPr>
        <w:t>EL SUJETO OBLIGADO</w:t>
      </w:r>
      <w:r w:rsidRPr="00073F84">
        <w:rPr>
          <w:rFonts w:cs="Arial"/>
          <w:szCs w:val="22"/>
        </w:rPr>
        <w:t xml:space="preserve"> notificó la respuesta a la solicitud de acceso a la Información Pública el </w:t>
      </w:r>
      <w:r w:rsidR="002729F7" w:rsidRPr="00073F84">
        <w:rPr>
          <w:rFonts w:cs="Tahoma"/>
          <w:b/>
          <w:bCs/>
          <w:szCs w:val="22"/>
        </w:rPr>
        <w:t>nueve de octubre</w:t>
      </w:r>
      <w:r w:rsidR="00DE285A" w:rsidRPr="00073F84">
        <w:rPr>
          <w:rFonts w:cs="Tahoma"/>
          <w:b/>
          <w:bCs/>
          <w:szCs w:val="22"/>
        </w:rPr>
        <w:t xml:space="preserve"> de dos mil veinticuatro</w:t>
      </w:r>
      <w:r w:rsidR="00DE285A" w:rsidRPr="00073F84">
        <w:rPr>
          <w:rFonts w:cs="Tahoma"/>
          <w:szCs w:val="22"/>
        </w:rPr>
        <w:t xml:space="preserve"> </w:t>
      </w:r>
      <w:r w:rsidR="00A53315" w:rsidRPr="00073F84">
        <w:rPr>
          <w:rFonts w:cs="Arial"/>
          <w:szCs w:val="22"/>
        </w:rPr>
        <w:t xml:space="preserve">y el recurso </w:t>
      </w:r>
      <w:r w:rsidR="00A53315" w:rsidRPr="00073F84">
        <w:rPr>
          <w:rFonts w:eastAsia="Palatino Linotype" w:cs="Palatino Linotype"/>
          <w:szCs w:val="22"/>
        </w:rPr>
        <w:t xml:space="preserve">que nos ocupa se </w:t>
      </w:r>
      <w:r w:rsidR="006A61F1" w:rsidRPr="00073F84">
        <w:rPr>
          <w:rFonts w:eastAsia="Palatino Linotype" w:cs="Palatino Linotype"/>
          <w:szCs w:val="22"/>
        </w:rPr>
        <w:t>tuvo por presentado</w:t>
      </w:r>
      <w:r w:rsidR="00A53315" w:rsidRPr="00073F84">
        <w:rPr>
          <w:rFonts w:eastAsia="Palatino Linotype" w:cs="Palatino Linotype"/>
          <w:szCs w:val="22"/>
        </w:rPr>
        <w:t xml:space="preserve"> el </w:t>
      </w:r>
      <w:r w:rsidR="002729F7" w:rsidRPr="00073F84">
        <w:rPr>
          <w:rFonts w:cs="Tahoma"/>
          <w:b/>
          <w:bCs/>
          <w:szCs w:val="22"/>
        </w:rPr>
        <w:t>catorce</w:t>
      </w:r>
      <w:r w:rsidR="006041A0" w:rsidRPr="00073F84">
        <w:rPr>
          <w:rFonts w:cs="Tahoma"/>
          <w:b/>
          <w:bCs/>
          <w:szCs w:val="22"/>
        </w:rPr>
        <w:t xml:space="preserve"> de octubre</w:t>
      </w:r>
      <w:r w:rsidR="00DE285A" w:rsidRPr="00073F84">
        <w:rPr>
          <w:rFonts w:cs="Tahoma"/>
          <w:b/>
          <w:bCs/>
          <w:szCs w:val="22"/>
        </w:rPr>
        <w:t xml:space="preserve"> de dos mil veinticuatro</w:t>
      </w:r>
      <w:r w:rsidR="00A53315" w:rsidRPr="00073F84">
        <w:rPr>
          <w:rFonts w:eastAsia="Palatino Linotype" w:cs="Palatino Linotype"/>
          <w:bCs/>
          <w:szCs w:val="22"/>
        </w:rPr>
        <w:t>;</w:t>
      </w:r>
      <w:r w:rsidR="00A53315" w:rsidRPr="00073F84">
        <w:rPr>
          <w:rFonts w:eastAsia="Palatino Linotype" w:cs="Palatino Linotype"/>
          <w:szCs w:val="22"/>
        </w:rPr>
        <w:t xml:space="preserve"> por lo tanto, éste se encuentra dentro del margen temporal previsto en el artículo 178 de la </w:t>
      </w:r>
      <w:r w:rsidR="00A53315" w:rsidRPr="00073F84">
        <w:rPr>
          <w:rFonts w:cs="Arial"/>
          <w:szCs w:val="22"/>
        </w:rPr>
        <w:t>Ley de Transparencia y Acceso a la Información Pública del Estado de México y Municipios</w:t>
      </w:r>
      <w:r w:rsidR="007328F2" w:rsidRPr="00073F84">
        <w:rPr>
          <w:rFonts w:cs="Arial"/>
          <w:szCs w:val="22"/>
        </w:rPr>
        <w:t>.</w:t>
      </w:r>
    </w:p>
    <w:p w14:paraId="49076992" w14:textId="77777777" w:rsidR="00D91CB4" w:rsidRPr="00073F84" w:rsidRDefault="00D91CB4" w:rsidP="00073F84">
      <w:pPr>
        <w:rPr>
          <w:rFonts w:eastAsia="Palatino Linotype" w:cs="Palatino Linotype"/>
          <w:szCs w:val="22"/>
        </w:rPr>
      </w:pPr>
    </w:p>
    <w:p w14:paraId="46C0EB3A" w14:textId="28FD0C2E" w:rsidR="00A53315" w:rsidRPr="00073F84" w:rsidRDefault="00BA55A8" w:rsidP="00073F84">
      <w:pPr>
        <w:pStyle w:val="Ttulo3"/>
        <w:rPr>
          <w:rFonts w:eastAsia="Calibri"/>
          <w:szCs w:val="22"/>
          <w:lang w:eastAsia="es-ES_tradnl"/>
        </w:rPr>
      </w:pPr>
      <w:bookmarkStart w:id="23" w:name="_Toc181799806"/>
      <w:r w:rsidRPr="00073F84">
        <w:rPr>
          <w:rFonts w:eastAsia="Calibri"/>
          <w:szCs w:val="22"/>
          <w:lang w:eastAsia="es-ES_tradnl"/>
        </w:rPr>
        <w:t>d)</w:t>
      </w:r>
      <w:r w:rsidR="00D91CB4" w:rsidRPr="00073F84">
        <w:rPr>
          <w:rFonts w:eastAsia="Calibri"/>
          <w:szCs w:val="22"/>
          <w:lang w:eastAsia="es-ES_tradnl"/>
        </w:rPr>
        <w:t xml:space="preserve"> </w:t>
      </w:r>
      <w:r w:rsidR="00E325AD" w:rsidRPr="00073F84">
        <w:rPr>
          <w:rFonts w:eastAsia="Calibri"/>
          <w:szCs w:val="22"/>
          <w:lang w:eastAsia="es-ES_tradnl"/>
        </w:rPr>
        <w:t>Causal de Procedencia</w:t>
      </w:r>
      <w:bookmarkEnd w:id="23"/>
    </w:p>
    <w:p w14:paraId="190404A6" w14:textId="17AF94DD" w:rsidR="00BA55A8" w:rsidRPr="00073F84" w:rsidRDefault="00BA55A8" w:rsidP="00073F84">
      <w:pPr>
        <w:rPr>
          <w:szCs w:val="22"/>
        </w:rPr>
      </w:pPr>
      <w:r w:rsidRPr="00073F84">
        <w:rPr>
          <w:rFonts w:cs="Arial"/>
          <w:szCs w:val="22"/>
        </w:rPr>
        <w:t xml:space="preserve">Resulta procedente la interposición del recurso de revisión, ya que </w:t>
      </w:r>
      <w:r w:rsidRPr="00073F84">
        <w:rPr>
          <w:rFonts w:eastAsia="Calibri" w:cs="Tahoma"/>
          <w:szCs w:val="22"/>
          <w:lang w:eastAsia="es-MX"/>
        </w:rPr>
        <w:t>se actualiza la causal de procedencia señalada en el artículo 179, fracci</w:t>
      </w:r>
      <w:r w:rsidR="007B7B00" w:rsidRPr="00073F84">
        <w:rPr>
          <w:rFonts w:eastAsia="Calibri" w:cs="Tahoma"/>
          <w:szCs w:val="22"/>
          <w:lang w:eastAsia="es-MX"/>
        </w:rPr>
        <w:t xml:space="preserve">ón </w:t>
      </w:r>
      <w:r w:rsidR="003F780F" w:rsidRPr="00073F84">
        <w:rPr>
          <w:rFonts w:eastAsia="Calibri" w:cs="Tahoma"/>
          <w:szCs w:val="22"/>
          <w:lang w:eastAsia="es-MX"/>
        </w:rPr>
        <w:t>I</w:t>
      </w:r>
      <w:r w:rsidR="00EE1B1C" w:rsidRPr="00073F84">
        <w:rPr>
          <w:rFonts w:eastAsia="Calibri" w:cs="Tahoma"/>
          <w:szCs w:val="22"/>
          <w:lang w:eastAsia="es-MX"/>
        </w:rPr>
        <w:t xml:space="preserve"> </w:t>
      </w:r>
      <w:r w:rsidRPr="00073F84">
        <w:rPr>
          <w:rFonts w:cs="Arial"/>
          <w:szCs w:val="22"/>
        </w:rPr>
        <w:t xml:space="preserve">de la </w:t>
      </w:r>
      <w:r w:rsidRPr="00073F84">
        <w:rPr>
          <w:szCs w:val="22"/>
        </w:rPr>
        <w:t>Ley de Transparencia y Acceso a la Información Pública del Estado de México y Municipios.</w:t>
      </w:r>
    </w:p>
    <w:p w14:paraId="0EFF7141" w14:textId="77777777" w:rsidR="00362A11" w:rsidRPr="00073F84" w:rsidRDefault="00362A11" w:rsidP="00073F84">
      <w:pPr>
        <w:rPr>
          <w:szCs w:val="22"/>
        </w:rPr>
      </w:pPr>
    </w:p>
    <w:p w14:paraId="2284D7EB" w14:textId="3EE1D036" w:rsidR="00BA55A8" w:rsidRPr="00073F84" w:rsidRDefault="00362A11" w:rsidP="00073F84">
      <w:pPr>
        <w:pStyle w:val="Ttulo3"/>
        <w:rPr>
          <w:szCs w:val="22"/>
        </w:rPr>
      </w:pPr>
      <w:bookmarkStart w:id="24" w:name="_Toc181799807"/>
      <w:r w:rsidRPr="00073F84">
        <w:rPr>
          <w:szCs w:val="22"/>
        </w:rPr>
        <w:t>e) Requisitos formales para la interposición del recurso</w:t>
      </w:r>
      <w:bookmarkEnd w:id="24"/>
    </w:p>
    <w:p w14:paraId="40EB441B" w14:textId="77777777" w:rsidR="00AE00A8" w:rsidRPr="00073F84" w:rsidRDefault="00AE00A8" w:rsidP="00073F84">
      <w:pPr>
        <w:rPr>
          <w:rFonts w:cs="Arial"/>
          <w:szCs w:val="22"/>
        </w:rPr>
      </w:pPr>
      <w:r w:rsidRPr="00073F84">
        <w:rPr>
          <w:rFonts w:cs="Arial"/>
          <w:szCs w:val="22"/>
        </w:rPr>
        <w:t xml:space="preserve">Es importante mencionar que, de la revisión del expediente electrónico del </w:t>
      </w:r>
      <w:r w:rsidRPr="00073F84">
        <w:rPr>
          <w:rFonts w:cs="Arial"/>
          <w:b/>
          <w:bCs/>
          <w:szCs w:val="22"/>
        </w:rPr>
        <w:t>SAIMEX</w:t>
      </w:r>
      <w:r w:rsidRPr="00073F84">
        <w:rPr>
          <w:rFonts w:cs="Arial"/>
          <w:szCs w:val="22"/>
        </w:rPr>
        <w:t xml:space="preserve">, se observa que </w:t>
      </w:r>
      <w:r w:rsidRPr="00073F84">
        <w:rPr>
          <w:rFonts w:cs="Arial"/>
          <w:b/>
          <w:bCs/>
          <w:szCs w:val="22"/>
        </w:rPr>
        <w:t>LA PARTE RECURRENTE</w:t>
      </w:r>
      <w:r w:rsidRPr="00073F84">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w:t>
      </w:r>
      <w:r w:rsidRPr="00073F84">
        <w:rPr>
          <w:rFonts w:cs="Arial"/>
          <w:szCs w:val="22"/>
        </w:rPr>
        <w:lastRenderedPageBreak/>
        <w:t xml:space="preserve">se infiere que </w:t>
      </w:r>
      <w:r w:rsidRPr="00073F84">
        <w:rPr>
          <w:rFonts w:cs="Arial"/>
          <w:b/>
          <w:bCs/>
          <w:szCs w:val="22"/>
          <w:u w:val="single"/>
        </w:rPr>
        <w:t>el nombre no es un requisito indispensable</w:t>
      </w:r>
      <w:r w:rsidRPr="00073F84">
        <w:rPr>
          <w:rFonts w:cs="Arial"/>
          <w:szCs w:val="22"/>
        </w:rPr>
        <w:t xml:space="preserve"> para que las y los ciudadanos ejerzan el derecho de acceso a la información pública. </w:t>
      </w:r>
    </w:p>
    <w:p w14:paraId="1CA08904" w14:textId="77777777" w:rsidR="00AE00A8" w:rsidRPr="00073F84" w:rsidRDefault="00AE00A8" w:rsidP="00073F84">
      <w:pPr>
        <w:rPr>
          <w:rFonts w:cs="Arial"/>
          <w:szCs w:val="22"/>
        </w:rPr>
      </w:pPr>
    </w:p>
    <w:p w14:paraId="55B523B0" w14:textId="77777777" w:rsidR="00AE00A8" w:rsidRPr="00073F84" w:rsidRDefault="00AE00A8" w:rsidP="00073F84">
      <w:pPr>
        <w:rPr>
          <w:rFonts w:cs="Arial"/>
          <w:szCs w:val="22"/>
        </w:rPr>
      </w:pPr>
      <w:r w:rsidRPr="00073F84">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73F84">
        <w:rPr>
          <w:rFonts w:cs="Arial"/>
          <w:b/>
          <w:bCs/>
          <w:szCs w:val="22"/>
        </w:rPr>
        <w:t>LA PARTE RECURRENTE</w:t>
      </w:r>
      <w:r w:rsidRPr="00073F84">
        <w:rPr>
          <w:rFonts w:cs="Arial"/>
          <w:szCs w:val="22"/>
        </w:rPr>
        <w:t xml:space="preserve">; por lo que, en el presente caso, al haber sido presentado el recurso de revisión vía </w:t>
      </w:r>
      <w:r w:rsidRPr="00073F84">
        <w:rPr>
          <w:rFonts w:cs="Arial"/>
          <w:b/>
          <w:bCs/>
          <w:szCs w:val="22"/>
        </w:rPr>
        <w:t>SAIMEX</w:t>
      </w:r>
      <w:r w:rsidRPr="00073F84">
        <w:rPr>
          <w:rFonts w:cs="Arial"/>
          <w:szCs w:val="22"/>
        </w:rPr>
        <w:t>, dicho requisito resulta innecesario.</w:t>
      </w:r>
    </w:p>
    <w:p w14:paraId="2126EA7C" w14:textId="77777777" w:rsidR="00AE00A8" w:rsidRPr="00073F84" w:rsidRDefault="00AE00A8" w:rsidP="00073F84"/>
    <w:p w14:paraId="457548E9" w14:textId="3F7AF03B" w:rsidR="00C71CEF" w:rsidRPr="00073F84" w:rsidRDefault="00C71CEF" w:rsidP="00073F84">
      <w:pPr>
        <w:pStyle w:val="Ttulo2"/>
        <w:rPr>
          <w:szCs w:val="22"/>
        </w:rPr>
      </w:pPr>
      <w:bookmarkStart w:id="25" w:name="_Toc181799808"/>
      <w:r w:rsidRPr="00073F84">
        <w:rPr>
          <w:szCs w:val="22"/>
        </w:rPr>
        <w:t>SEGUNDO. Estudio de Fondo</w:t>
      </w:r>
      <w:bookmarkEnd w:id="25"/>
    </w:p>
    <w:p w14:paraId="2A308F59" w14:textId="0FF373F0" w:rsidR="00C049E2" w:rsidRPr="00073F84" w:rsidRDefault="00C71CEF" w:rsidP="00073F84">
      <w:pPr>
        <w:pStyle w:val="Ttulo3"/>
        <w:rPr>
          <w:szCs w:val="22"/>
        </w:rPr>
      </w:pPr>
      <w:bookmarkStart w:id="26" w:name="_Toc181799809"/>
      <w:r w:rsidRPr="00073F84">
        <w:rPr>
          <w:szCs w:val="22"/>
        </w:rPr>
        <w:t>a</w:t>
      </w:r>
      <w:r w:rsidR="00C049E2" w:rsidRPr="00073F84">
        <w:rPr>
          <w:szCs w:val="22"/>
        </w:rPr>
        <w:t>) Mandato de transparencia y responsabilidad del Sujeto Obligado</w:t>
      </w:r>
      <w:bookmarkEnd w:id="26"/>
    </w:p>
    <w:p w14:paraId="6901A889" w14:textId="59EEDAE1" w:rsidR="00C049E2" w:rsidRPr="00073F84" w:rsidRDefault="00C049E2" w:rsidP="00073F84">
      <w:pPr>
        <w:rPr>
          <w:rFonts w:eastAsia="Palatino Linotype"/>
          <w:szCs w:val="22"/>
        </w:rPr>
      </w:pPr>
      <w:r w:rsidRPr="00073F84">
        <w:rPr>
          <w:rFonts w:eastAsia="Palatino Linotype"/>
          <w:szCs w:val="22"/>
        </w:rPr>
        <w:t xml:space="preserve">El </w:t>
      </w:r>
      <w:r w:rsidR="00717E59" w:rsidRPr="00073F84">
        <w:rPr>
          <w:rFonts w:eastAsia="Palatino Linotype"/>
          <w:szCs w:val="22"/>
        </w:rPr>
        <w:t>d</w:t>
      </w:r>
      <w:r w:rsidRPr="00073F84">
        <w:rPr>
          <w:rFonts w:eastAsia="Palatino Linotype"/>
          <w:szCs w:val="22"/>
        </w:rPr>
        <w:t xml:space="preserve">erecho de </w:t>
      </w:r>
      <w:r w:rsidR="00717E59" w:rsidRPr="00073F84">
        <w:rPr>
          <w:rFonts w:eastAsia="Palatino Linotype"/>
          <w:szCs w:val="22"/>
        </w:rPr>
        <w:t>a</w:t>
      </w:r>
      <w:r w:rsidRPr="00073F84">
        <w:rPr>
          <w:rFonts w:eastAsia="Palatino Linotype"/>
          <w:szCs w:val="22"/>
        </w:rPr>
        <w:t xml:space="preserve">cceso a la </w:t>
      </w:r>
      <w:r w:rsidR="00717E59" w:rsidRPr="00073F84">
        <w:rPr>
          <w:rFonts w:eastAsia="Palatino Linotype"/>
          <w:szCs w:val="22"/>
        </w:rPr>
        <w:t>i</w:t>
      </w:r>
      <w:r w:rsidRPr="00073F84">
        <w:rPr>
          <w:rFonts w:eastAsia="Palatino Linotype"/>
          <w:szCs w:val="22"/>
        </w:rPr>
        <w:t xml:space="preserve">nformación </w:t>
      </w:r>
      <w:r w:rsidR="00717E59" w:rsidRPr="00073F84">
        <w:rPr>
          <w:rFonts w:eastAsia="Palatino Linotype"/>
          <w:szCs w:val="22"/>
        </w:rPr>
        <w:t>p</w:t>
      </w:r>
      <w:r w:rsidRPr="00073F84">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073F84">
        <w:rPr>
          <w:rFonts w:eastAsia="Palatino Linotype"/>
          <w:szCs w:val="22"/>
        </w:rPr>
        <w:t>:</w:t>
      </w:r>
    </w:p>
    <w:p w14:paraId="7FAB8D32" w14:textId="77777777" w:rsidR="00C049E2" w:rsidRPr="00073F84" w:rsidRDefault="00C049E2" w:rsidP="00073F84">
      <w:pPr>
        <w:rPr>
          <w:rFonts w:eastAsia="Palatino Linotype"/>
          <w:szCs w:val="22"/>
        </w:rPr>
      </w:pPr>
    </w:p>
    <w:p w14:paraId="05320813" w14:textId="77777777" w:rsidR="00C049E2" w:rsidRPr="00073F84" w:rsidRDefault="00C049E2" w:rsidP="00073F84">
      <w:pPr>
        <w:spacing w:line="240" w:lineRule="auto"/>
        <w:ind w:left="567" w:right="539"/>
        <w:rPr>
          <w:rFonts w:eastAsia="Palatino Linotype"/>
          <w:b/>
          <w:i/>
          <w:szCs w:val="22"/>
        </w:rPr>
      </w:pPr>
      <w:r w:rsidRPr="00073F84">
        <w:rPr>
          <w:rFonts w:eastAsia="Palatino Linotype"/>
          <w:b/>
          <w:i/>
          <w:szCs w:val="22"/>
        </w:rPr>
        <w:t>Constitución Política de los Estados Unidos Mexicanos</w:t>
      </w:r>
    </w:p>
    <w:p w14:paraId="6B6C67B6" w14:textId="77777777" w:rsidR="00C049E2" w:rsidRPr="00073F84" w:rsidRDefault="00C049E2" w:rsidP="00073F84">
      <w:pPr>
        <w:spacing w:line="240" w:lineRule="auto"/>
        <w:ind w:left="567" w:right="539"/>
        <w:rPr>
          <w:rFonts w:eastAsia="Palatino Linotype"/>
          <w:b/>
          <w:i/>
          <w:szCs w:val="22"/>
        </w:rPr>
      </w:pPr>
      <w:r w:rsidRPr="00073F84">
        <w:rPr>
          <w:rFonts w:eastAsia="Palatino Linotype"/>
          <w:b/>
          <w:i/>
          <w:szCs w:val="22"/>
        </w:rPr>
        <w:t>“Artículo 6.</w:t>
      </w:r>
    </w:p>
    <w:p w14:paraId="38D3B4C4" w14:textId="77777777" w:rsidR="00C049E2" w:rsidRPr="00073F84" w:rsidRDefault="00C049E2" w:rsidP="00073F84">
      <w:pPr>
        <w:spacing w:line="240" w:lineRule="auto"/>
        <w:ind w:left="567" w:right="539"/>
        <w:rPr>
          <w:rFonts w:eastAsia="Palatino Linotype"/>
          <w:i/>
          <w:szCs w:val="22"/>
        </w:rPr>
      </w:pPr>
      <w:r w:rsidRPr="00073F84">
        <w:rPr>
          <w:rFonts w:eastAsia="Palatino Linotype"/>
          <w:i/>
          <w:szCs w:val="22"/>
        </w:rPr>
        <w:t>(…)</w:t>
      </w:r>
    </w:p>
    <w:p w14:paraId="2CCAA297" w14:textId="6602827B" w:rsidR="00C049E2" w:rsidRPr="00073F84" w:rsidRDefault="00C049E2" w:rsidP="00073F84">
      <w:pPr>
        <w:spacing w:line="240" w:lineRule="auto"/>
        <w:ind w:left="567" w:right="539"/>
        <w:rPr>
          <w:rFonts w:eastAsia="Palatino Linotype"/>
          <w:i/>
          <w:szCs w:val="22"/>
        </w:rPr>
      </w:pPr>
      <w:r w:rsidRPr="00073F84">
        <w:rPr>
          <w:rFonts w:eastAsia="Palatino Linotype"/>
          <w:i/>
          <w:szCs w:val="22"/>
        </w:rPr>
        <w:t>Para efectos de lo dispuesto en el presente artículo se observará lo siguiente:</w:t>
      </w:r>
    </w:p>
    <w:p w14:paraId="74CC3718" w14:textId="77777777" w:rsidR="00C049E2" w:rsidRPr="00073F84" w:rsidRDefault="00C049E2" w:rsidP="00073F84">
      <w:pPr>
        <w:spacing w:line="240" w:lineRule="auto"/>
        <w:ind w:left="567" w:right="539"/>
        <w:rPr>
          <w:rFonts w:eastAsia="Palatino Linotype"/>
          <w:b/>
          <w:i/>
          <w:szCs w:val="22"/>
        </w:rPr>
      </w:pPr>
      <w:r w:rsidRPr="00073F84">
        <w:rPr>
          <w:rFonts w:eastAsia="Palatino Linotype"/>
          <w:b/>
          <w:i/>
          <w:szCs w:val="22"/>
        </w:rPr>
        <w:t>A</w:t>
      </w:r>
      <w:r w:rsidRPr="00073F84">
        <w:rPr>
          <w:rFonts w:eastAsia="Palatino Linotype"/>
          <w:i/>
          <w:szCs w:val="22"/>
        </w:rPr>
        <w:t xml:space="preserve">. </w:t>
      </w:r>
      <w:r w:rsidRPr="00073F84">
        <w:rPr>
          <w:rFonts w:eastAsia="Palatino Linotype"/>
          <w:b/>
          <w:i/>
          <w:szCs w:val="22"/>
        </w:rPr>
        <w:t>Para el ejercicio del derecho de acceso a la información</w:t>
      </w:r>
      <w:r w:rsidRPr="00073F84">
        <w:rPr>
          <w:rFonts w:eastAsia="Palatino Linotype"/>
          <w:i/>
          <w:szCs w:val="22"/>
        </w:rPr>
        <w:t xml:space="preserve">, la Federación y </w:t>
      </w:r>
      <w:r w:rsidRPr="00073F84">
        <w:rPr>
          <w:rFonts w:eastAsia="Palatino Linotype"/>
          <w:b/>
          <w:i/>
          <w:szCs w:val="22"/>
        </w:rPr>
        <w:t>las entidades federativas, en el ámbito de sus respectivas competencias, se regirán por los siguientes principios y bases:</w:t>
      </w:r>
    </w:p>
    <w:p w14:paraId="596A956B" w14:textId="77777777" w:rsidR="00C049E2" w:rsidRPr="00073F84" w:rsidRDefault="00C049E2" w:rsidP="00073F84">
      <w:pPr>
        <w:spacing w:line="240" w:lineRule="auto"/>
        <w:ind w:left="567" w:right="539"/>
        <w:rPr>
          <w:rFonts w:eastAsia="Palatino Linotype"/>
          <w:i/>
          <w:szCs w:val="22"/>
        </w:rPr>
      </w:pPr>
      <w:r w:rsidRPr="00073F84">
        <w:rPr>
          <w:rFonts w:eastAsia="Palatino Linotype"/>
          <w:b/>
          <w:i/>
          <w:szCs w:val="22"/>
        </w:rPr>
        <w:t xml:space="preserve">I. </w:t>
      </w:r>
      <w:r w:rsidRPr="00073F84">
        <w:rPr>
          <w:rFonts w:eastAsia="Palatino Linotype"/>
          <w:b/>
          <w:i/>
          <w:szCs w:val="22"/>
        </w:rPr>
        <w:tab/>
        <w:t>Toda la información en posesión de cualquier</w:t>
      </w:r>
      <w:r w:rsidRPr="00073F84">
        <w:rPr>
          <w:rFonts w:eastAsia="Palatino Linotype"/>
          <w:i/>
          <w:szCs w:val="22"/>
        </w:rPr>
        <w:t xml:space="preserve"> </w:t>
      </w:r>
      <w:r w:rsidRPr="00073F84">
        <w:rPr>
          <w:rFonts w:eastAsia="Palatino Linotype"/>
          <w:b/>
          <w:i/>
          <w:szCs w:val="22"/>
        </w:rPr>
        <w:t>autoridad</w:t>
      </w:r>
      <w:r w:rsidRPr="00073F84">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73F84">
        <w:rPr>
          <w:rFonts w:eastAsia="Palatino Linotype"/>
          <w:b/>
          <w:i/>
          <w:szCs w:val="22"/>
        </w:rPr>
        <w:t>municipal</w:t>
      </w:r>
      <w:r w:rsidRPr="00073F84">
        <w:rPr>
          <w:rFonts w:eastAsia="Palatino Linotype"/>
          <w:i/>
          <w:szCs w:val="22"/>
        </w:rPr>
        <w:t xml:space="preserve">, </w:t>
      </w:r>
      <w:r w:rsidRPr="00073F84">
        <w:rPr>
          <w:rFonts w:eastAsia="Palatino Linotype"/>
          <w:b/>
          <w:i/>
          <w:szCs w:val="22"/>
        </w:rPr>
        <w:t>es pública</w:t>
      </w:r>
      <w:r w:rsidRPr="00073F84">
        <w:rPr>
          <w:rFonts w:eastAsia="Palatino Linotype"/>
          <w:i/>
          <w:szCs w:val="22"/>
        </w:rPr>
        <w:t xml:space="preserve"> y sólo podrá ser reservada temporalmente por razones de interés público y seguridad nacional, en los términos que fijen las leyes. </w:t>
      </w:r>
      <w:r w:rsidRPr="00073F84">
        <w:rPr>
          <w:rFonts w:eastAsia="Palatino Linotype"/>
          <w:b/>
          <w:i/>
          <w:szCs w:val="22"/>
        </w:rPr>
        <w:t xml:space="preserve">En la </w:t>
      </w:r>
      <w:r w:rsidRPr="00073F84">
        <w:rPr>
          <w:rFonts w:eastAsia="Palatino Linotype"/>
          <w:b/>
          <w:i/>
          <w:szCs w:val="22"/>
        </w:rPr>
        <w:lastRenderedPageBreak/>
        <w:t>interpretación de este derecho deberá prevalecer el principio de máxima publicidad. Los sujetos obligados deberán documentar todo acto que derive del ejercicio de sus facultades, competencias o funciones</w:t>
      </w:r>
      <w:r w:rsidRPr="00073F84">
        <w:rPr>
          <w:rFonts w:eastAsia="Palatino Linotype"/>
          <w:i/>
          <w:szCs w:val="22"/>
        </w:rPr>
        <w:t>, la ley determinará los supuestos específicos bajo los cuales procederá la declaración de inexistencia de la información.”</w:t>
      </w:r>
    </w:p>
    <w:p w14:paraId="68F313E4" w14:textId="77777777" w:rsidR="00C049E2" w:rsidRPr="00073F84" w:rsidRDefault="00C049E2" w:rsidP="00073F84">
      <w:pPr>
        <w:spacing w:line="240" w:lineRule="auto"/>
        <w:ind w:left="567" w:right="539"/>
        <w:rPr>
          <w:rFonts w:eastAsia="Palatino Linotype"/>
          <w:b/>
          <w:i/>
          <w:szCs w:val="22"/>
        </w:rPr>
      </w:pPr>
    </w:p>
    <w:p w14:paraId="504F12DB" w14:textId="77777777" w:rsidR="00C049E2" w:rsidRPr="00073F84" w:rsidRDefault="00C049E2" w:rsidP="00073F84">
      <w:pPr>
        <w:spacing w:line="240" w:lineRule="auto"/>
        <w:ind w:left="567" w:right="539"/>
        <w:rPr>
          <w:rFonts w:eastAsia="Palatino Linotype"/>
          <w:b/>
          <w:i/>
          <w:szCs w:val="22"/>
        </w:rPr>
      </w:pPr>
      <w:r w:rsidRPr="00073F84">
        <w:rPr>
          <w:rFonts w:eastAsia="Palatino Linotype"/>
          <w:b/>
          <w:i/>
          <w:szCs w:val="22"/>
        </w:rPr>
        <w:t>Constitución Política del Estado Libre y Soberano de México</w:t>
      </w:r>
    </w:p>
    <w:p w14:paraId="04932D29" w14:textId="77777777" w:rsidR="00C049E2" w:rsidRPr="00073F84" w:rsidRDefault="00C049E2" w:rsidP="00073F84">
      <w:pPr>
        <w:spacing w:line="240" w:lineRule="auto"/>
        <w:ind w:left="567" w:right="539"/>
        <w:rPr>
          <w:rFonts w:eastAsia="Palatino Linotype"/>
          <w:i/>
          <w:szCs w:val="22"/>
        </w:rPr>
      </w:pPr>
      <w:r w:rsidRPr="00073F84">
        <w:rPr>
          <w:rFonts w:eastAsia="Palatino Linotype"/>
          <w:b/>
          <w:i/>
          <w:szCs w:val="22"/>
        </w:rPr>
        <w:t>“Artículo 5</w:t>
      </w:r>
      <w:r w:rsidRPr="00073F84">
        <w:rPr>
          <w:rFonts w:eastAsia="Palatino Linotype"/>
          <w:i/>
          <w:szCs w:val="22"/>
        </w:rPr>
        <w:t xml:space="preserve">.- </w:t>
      </w:r>
    </w:p>
    <w:p w14:paraId="1D3829F4" w14:textId="77777777" w:rsidR="00C049E2" w:rsidRPr="00073F84" w:rsidRDefault="00C049E2" w:rsidP="00073F84">
      <w:pPr>
        <w:spacing w:line="240" w:lineRule="auto"/>
        <w:ind w:left="567" w:right="539"/>
        <w:rPr>
          <w:rFonts w:eastAsia="Palatino Linotype"/>
          <w:i/>
          <w:szCs w:val="22"/>
        </w:rPr>
      </w:pPr>
      <w:r w:rsidRPr="00073F84">
        <w:rPr>
          <w:rFonts w:eastAsia="Palatino Linotype"/>
          <w:i/>
          <w:szCs w:val="22"/>
        </w:rPr>
        <w:t>(…)</w:t>
      </w:r>
    </w:p>
    <w:p w14:paraId="0EAE47FD" w14:textId="77777777" w:rsidR="00C049E2" w:rsidRPr="00073F84" w:rsidRDefault="00C049E2" w:rsidP="00073F84">
      <w:pPr>
        <w:spacing w:line="240" w:lineRule="auto"/>
        <w:ind w:left="567" w:right="539"/>
        <w:rPr>
          <w:rFonts w:eastAsia="Palatino Linotype"/>
          <w:i/>
          <w:szCs w:val="22"/>
        </w:rPr>
      </w:pPr>
      <w:r w:rsidRPr="00073F84">
        <w:rPr>
          <w:rFonts w:eastAsia="Palatino Linotype"/>
          <w:b/>
          <w:i/>
          <w:szCs w:val="22"/>
        </w:rPr>
        <w:t>El derecho a la información será garantizado por el Estado. La ley establecerá las previsiones que permitan asegurar la protección, el respeto y la difusión de este derecho</w:t>
      </w:r>
      <w:r w:rsidRPr="00073F84">
        <w:rPr>
          <w:rFonts w:eastAsia="Palatino Linotype"/>
          <w:i/>
          <w:szCs w:val="22"/>
        </w:rPr>
        <w:t>.</w:t>
      </w:r>
    </w:p>
    <w:p w14:paraId="4F0C804A" w14:textId="77777777" w:rsidR="00C049E2" w:rsidRPr="00073F84" w:rsidRDefault="00C049E2" w:rsidP="00073F84">
      <w:pPr>
        <w:spacing w:line="240" w:lineRule="auto"/>
        <w:ind w:left="567" w:right="539"/>
        <w:rPr>
          <w:rFonts w:eastAsia="Palatino Linotype"/>
          <w:i/>
          <w:szCs w:val="22"/>
        </w:rPr>
      </w:pPr>
      <w:r w:rsidRPr="00073F84">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73F84" w:rsidRDefault="00C049E2" w:rsidP="00073F84">
      <w:pPr>
        <w:spacing w:line="240" w:lineRule="auto"/>
        <w:ind w:left="567" w:right="539"/>
        <w:rPr>
          <w:rFonts w:eastAsia="Palatino Linotype"/>
          <w:i/>
          <w:szCs w:val="22"/>
        </w:rPr>
      </w:pPr>
      <w:r w:rsidRPr="00073F84">
        <w:rPr>
          <w:rFonts w:eastAsia="Palatino Linotype"/>
          <w:b/>
          <w:i/>
          <w:szCs w:val="22"/>
        </w:rPr>
        <w:t>Este derecho se regirá por los principios y bases siguientes</w:t>
      </w:r>
      <w:r w:rsidRPr="00073F84">
        <w:rPr>
          <w:rFonts w:eastAsia="Palatino Linotype"/>
          <w:i/>
          <w:szCs w:val="22"/>
        </w:rPr>
        <w:t>:</w:t>
      </w:r>
    </w:p>
    <w:p w14:paraId="4A3E8CBA" w14:textId="77777777" w:rsidR="00C049E2" w:rsidRPr="00073F84" w:rsidRDefault="00C049E2" w:rsidP="00073F84">
      <w:pPr>
        <w:spacing w:line="240" w:lineRule="auto"/>
        <w:ind w:left="567" w:right="539"/>
        <w:rPr>
          <w:rFonts w:eastAsia="Palatino Linotype"/>
          <w:i/>
          <w:szCs w:val="22"/>
        </w:rPr>
      </w:pPr>
      <w:r w:rsidRPr="00073F84">
        <w:rPr>
          <w:rFonts w:eastAsia="Palatino Linotype"/>
          <w:b/>
          <w:i/>
          <w:szCs w:val="22"/>
        </w:rPr>
        <w:t>I. Toda la información en posesión de cualquier autoridad, entidad, órgano y organismos de los</w:t>
      </w:r>
      <w:r w:rsidRPr="00073F84">
        <w:rPr>
          <w:rFonts w:eastAsia="Palatino Linotype"/>
          <w:i/>
          <w:szCs w:val="22"/>
        </w:rPr>
        <w:t xml:space="preserve"> Poderes Ejecutivo, Legislativo y Judicial, órganos autónomos, partidos políticos, fideicomisos y fondos públicos estatales y </w:t>
      </w:r>
      <w:r w:rsidRPr="00073F84">
        <w:rPr>
          <w:rFonts w:eastAsia="Palatino Linotype"/>
          <w:b/>
          <w:i/>
          <w:szCs w:val="22"/>
        </w:rPr>
        <w:t>municipales</w:t>
      </w:r>
      <w:r w:rsidRPr="00073F84">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73F84">
        <w:rPr>
          <w:rFonts w:eastAsia="Palatino Linotype"/>
          <w:b/>
          <w:i/>
          <w:szCs w:val="22"/>
        </w:rPr>
        <w:t>es pública</w:t>
      </w:r>
      <w:r w:rsidRPr="00073F84">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073F84">
        <w:rPr>
          <w:rFonts w:eastAsia="Palatino Linotype"/>
          <w:b/>
          <w:i/>
          <w:szCs w:val="22"/>
        </w:rPr>
        <w:t>En la interpretación de este derecho deberá prevalecer el principio de máxima publicidad</w:t>
      </w:r>
      <w:r w:rsidRPr="00073F84">
        <w:rPr>
          <w:rFonts w:eastAsia="Palatino Linotype"/>
          <w:i/>
          <w:szCs w:val="22"/>
        </w:rPr>
        <w:t xml:space="preserve">. </w:t>
      </w:r>
      <w:r w:rsidRPr="00073F84">
        <w:rPr>
          <w:rFonts w:eastAsia="Palatino Linotype"/>
          <w:b/>
          <w:i/>
          <w:szCs w:val="22"/>
        </w:rPr>
        <w:t>Los sujetos obligados deberán documentar todo acto que derive del ejercicio de sus facultades, competencias o funciones</w:t>
      </w:r>
      <w:r w:rsidRPr="00073F84">
        <w:rPr>
          <w:rFonts w:eastAsia="Palatino Linotype"/>
          <w:i/>
          <w:szCs w:val="22"/>
        </w:rPr>
        <w:t>, la ley determinará los supuestos específicos bajo los cuales procederá la declaración de inexistencia de la información.”</w:t>
      </w:r>
    </w:p>
    <w:p w14:paraId="5CA98E37" w14:textId="77777777" w:rsidR="00C049E2" w:rsidRPr="00073F84" w:rsidRDefault="00C049E2" w:rsidP="00073F84">
      <w:pPr>
        <w:rPr>
          <w:rFonts w:eastAsia="Palatino Linotype"/>
          <w:b/>
          <w:i/>
          <w:szCs w:val="22"/>
        </w:rPr>
      </w:pPr>
    </w:p>
    <w:p w14:paraId="6FC1BB3B" w14:textId="3BF4A33D" w:rsidR="00C049E2" w:rsidRPr="00073F84" w:rsidRDefault="00717E59" w:rsidP="00073F84">
      <w:pPr>
        <w:rPr>
          <w:rFonts w:eastAsia="Palatino Linotype"/>
          <w:i/>
          <w:szCs w:val="22"/>
        </w:rPr>
      </w:pPr>
      <w:r w:rsidRPr="00073F84">
        <w:rPr>
          <w:rFonts w:eastAsia="Palatino Linotype"/>
          <w:szCs w:val="22"/>
        </w:rPr>
        <w:t xml:space="preserve">Asimismo, </w:t>
      </w:r>
      <w:r w:rsidR="00C049E2" w:rsidRPr="00073F84">
        <w:rPr>
          <w:rFonts w:eastAsia="Palatino Linotype"/>
          <w:szCs w:val="22"/>
        </w:rPr>
        <w:t>el artículo 150 de la Ley de Transparencia y Acceso a la Información Pública del Estado de México y Municipios</w:t>
      </w:r>
      <w:r w:rsidR="00057B2D" w:rsidRPr="00073F84">
        <w:rPr>
          <w:rFonts w:eastAsia="Palatino Linotype"/>
          <w:szCs w:val="22"/>
        </w:rPr>
        <w:t xml:space="preserve"> </w:t>
      </w:r>
      <w:r w:rsidR="00E9335C" w:rsidRPr="00073F84">
        <w:rPr>
          <w:rFonts w:eastAsia="Palatino Linotype"/>
          <w:szCs w:val="22"/>
        </w:rPr>
        <w:t xml:space="preserve">indica </w:t>
      </w:r>
      <w:r w:rsidR="00057B2D" w:rsidRPr="00073F84">
        <w:rPr>
          <w:rFonts w:eastAsia="Palatino Linotype"/>
          <w:szCs w:val="22"/>
        </w:rPr>
        <w:t>que</w:t>
      </w:r>
      <w:r w:rsidR="00C049E2" w:rsidRPr="00073F84">
        <w:rPr>
          <w:rFonts w:eastAsia="Palatino Linotype"/>
          <w:szCs w:val="22"/>
        </w:rPr>
        <w:t xml:space="preserve"> la solicitud es la garantía primaria del Derecho de Acceso a la Información, además, establece que se regirá </w:t>
      </w:r>
      <w:r w:rsidR="00C049E2" w:rsidRPr="00073F84">
        <w:rPr>
          <w:rFonts w:eastAsia="Palatino Linotype"/>
          <w:i/>
          <w:szCs w:val="22"/>
        </w:rPr>
        <w:t>por los principios de simplicidad, rapidez</w:t>
      </w:r>
      <w:r w:rsidR="005F65B7" w:rsidRPr="00073F84">
        <w:rPr>
          <w:rFonts w:eastAsia="Palatino Linotype"/>
          <w:i/>
          <w:szCs w:val="22"/>
        </w:rPr>
        <w:t>,</w:t>
      </w:r>
      <w:r w:rsidR="00C049E2" w:rsidRPr="00073F84">
        <w:rPr>
          <w:rFonts w:eastAsia="Palatino Linotype"/>
          <w:i/>
          <w:szCs w:val="22"/>
        </w:rPr>
        <w:t xml:space="preserve"> gratuidad del procedimiento, auxilio y orientación a los particulare</w:t>
      </w:r>
      <w:r w:rsidR="001A58B3" w:rsidRPr="00073F84">
        <w:rPr>
          <w:rFonts w:eastAsia="Palatino Linotype"/>
          <w:i/>
          <w:szCs w:val="22"/>
        </w:rPr>
        <w:t>s.</w:t>
      </w:r>
    </w:p>
    <w:p w14:paraId="033466A6" w14:textId="77777777" w:rsidR="001A58B3" w:rsidRPr="00073F84" w:rsidRDefault="001A58B3" w:rsidP="00073F84">
      <w:pPr>
        <w:rPr>
          <w:rFonts w:eastAsia="Palatino Linotype"/>
          <w:i/>
          <w:szCs w:val="22"/>
        </w:rPr>
      </w:pPr>
    </w:p>
    <w:p w14:paraId="04ADA10B" w14:textId="574A944A" w:rsidR="001A58B3" w:rsidRPr="00073F84" w:rsidRDefault="00233F17" w:rsidP="00073F84">
      <w:pPr>
        <w:rPr>
          <w:rFonts w:eastAsia="Palatino Linotype" w:cs="Palatino Linotype"/>
          <w:i/>
          <w:szCs w:val="22"/>
        </w:rPr>
      </w:pPr>
      <w:r w:rsidRPr="00073F84">
        <w:rPr>
          <w:rFonts w:eastAsia="Palatino Linotype" w:cs="Palatino Linotype"/>
          <w:szCs w:val="22"/>
        </w:rPr>
        <w:lastRenderedPageBreak/>
        <w:t xml:space="preserve">Por su parte, el artículo 4 de </w:t>
      </w:r>
      <w:r w:rsidR="001A58B3" w:rsidRPr="00073F84">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73F84">
        <w:rPr>
          <w:rFonts w:eastAsia="Palatino Linotype" w:cs="Palatino Linotype"/>
          <w:szCs w:val="22"/>
        </w:rPr>
        <w:t>.</w:t>
      </w:r>
    </w:p>
    <w:p w14:paraId="1407DBB8" w14:textId="77777777" w:rsidR="001A58B3" w:rsidRPr="00073F84" w:rsidRDefault="001A58B3" w:rsidP="00073F84">
      <w:pPr>
        <w:rPr>
          <w:rFonts w:eastAsia="Palatino Linotype" w:cs="Palatino Linotype"/>
          <w:szCs w:val="22"/>
        </w:rPr>
      </w:pPr>
    </w:p>
    <w:p w14:paraId="7552AA79" w14:textId="5C52E4A4" w:rsidR="001A58B3" w:rsidRPr="00073F84" w:rsidRDefault="001A58B3" w:rsidP="00073F84">
      <w:pPr>
        <w:rPr>
          <w:rFonts w:eastAsia="Palatino Linotype" w:cs="Palatino Linotype"/>
          <w:szCs w:val="22"/>
        </w:rPr>
      </w:pPr>
      <w:r w:rsidRPr="00073F84">
        <w:rPr>
          <w:rFonts w:eastAsia="Palatino Linotype" w:cs="Palatino Linotype"/>
          <w:szCs w:val="22"/>
        </w:rPr>
        <w:t xml:space="preserve">Esto es, que los Sujetos Obligados </w:t>
      </w:r>
      <w:r w:rsidR="00FA5957" w:rsidRPr="00073F84">
        <w:rPr>
          <w:rFonts w:eastAsia="Palatino Linotype" w:cs="Palatino Linotype"/>
          <w:szCs w:val="22"/>
        </w:rPr>
        <w:t>deben</w:t>
      </w:r>
      <w:r w:rsidRPr="00073F84">
        <w:rPr>
          <w:rFonts w:eastAsia="Palatino Linotype" w:cs="Palatino Linotype"/>
          <w:szCs w:val="22"/>
        </w:rPr>
        <w:t xml:space="preserve"> atender las solicitudes de acceso a la información pública que se les </w:t>
      </w:r>
      <w:r w:rsidR="00FA5957" w:rsidRPr="00073F84">
        <w:rPr>
          <w:rFonts w:eastAsia="Palatino Linotype" w:cs="Palatino Linotype"/>
          <w:szCs w:val="22"/>
        </w:rPr>
        <w:t>sean realizadas,</w:t>
      </w:r>
      <w:r w:rsidRPr="00073F84">
        <w:rPr>
          <w:rFonts w:eastAsia="Palatino Linotype" w:cs="Palatino Linotype"/>
          <w:szCs w:val="22"/>
        </w:rPr>
        <w:t xml:space="preserve"> y proporcionar la información pública que obre en su poder</w:t>
      </w:r>
      <w:r w:rsidR="00FA5957" w:rsidRPr="00073F84">
        <w:rPr>
          <w:rFonts w:eastAsia="Palatino Linotype" w:cs="Palatino Linotype"/>
          <w:szCs w:val="22"/>
        </w:rPr>
        <w:t>,</w:t>
      </w:r>
      <w:r w:rsidRPr="00073F84">
        <w:rPr>
          <w:rFonts w:eastAsia="Palatino Linotype" w:cs="Palatino Linotype"/>
          <w:szCs w:val="22"/>
        </w:rPr>
        <w:t xml:space="preserve"> conforme </w:t>
      </w:r>
      <w:r w:rsidR="00FA5957" w:rsidRPr="00073F84">
        <w:rPr>
          <w:rFonts w:eastAsia="Palatino Linotype" w:cs="Palatino Linotype"/>
          <w:szCs w:val="22"/>
        </w:rPr>
        <w:t>a</w:t>
      </w:r>
      <w:r w:rsidRPr="00073F84">
        <w:rPr>
          <w:rFonts w:eastAsia="Palatino Linotype" w:cs="Palatino Linotype"/>
          <w:szCs w:val="22"/>
        </w:rPr>
        <w:t xml:space="preserve">l estado </w:t>
      </w:r>
      <w:r w:rsidR="00FA5957" w:rsidRPr="00073F84">
        <w:rPr>
          <w:rFonts w:eastAsia="Palatino Linotype" w:cs="Palatino Linotype"/>
          <w:szCs w:val="22"/>
        </w:rPr>
        <w:t xml:space="preserve">en </w:t>
      </w:r>
      <w:r w:rsidRPr="00073F84">
        <w:rPr>
          <w:rFonts w:eastAsia="Palatino Linotype" w:cs="Palatino Linotype"/>
          <w:szCs w:val="22"/>
        </w:rPr>
        <w:t>que se encuentr</w:t>
      </w:r>
      <w:r w:rsidR="00FA5957" w:rsidRPr="00073F84">
        <w:rPr>
          <w:rFonts w:eastAsia="Palatino Linotype" w:cs="Palatino Linotype"/>
          <w:szCs w:val="22"/>
        </w:rPr>
        <w:t>e, sin que sea necesario</w:t>
      </w:r>
      <w:r w:rsidRPr="00073F84">
        <w:rPr>
          <w:rFonts w:eastAsia="Palatino Linotype" w:cs="Palatino Linotype"/>
          <w:szCs w:val="22"/>
        </w:rPr>
        <w:t xml:space="preserve"> </w:t>
      </w:r>
      <w:r w:rsidR="00FA5957" w:rsidRPr="00073F84">
        <w:rPr>
          <w:rFonts w:eastAsia="Palatino Linotype" w:cs="Palatino Linotype"/>
          <w:szCs w:val="22"/>
        </w:rPr>
        <w:t>procesar</w:t>
      </w:r>
      <w:r w:rsidRPr="00073F84">
        <w:rPr>
          <w:rFonts w:eastAsia="Palatino Linotype" w:cs="Palatino Linotype"/>
          <w:szCs w:val="22"/>
        </w:rPr>
        <w:t xml:space="preserve"> la misma, ni presentarla conforme al interés del solicitante; </w:t>
      </w:r>
      <w:r w:rsidR="00FA5957" w:rsidRPr="00073F84">
        <w:rPr>
          <w:rFonts w:eastAsia="Palatino Linotype" w:cs="Palatino Linotype"/>
          <w:szCs w:val="22"/>
        </w:rPr>
        <w:t>tal y como</w:t>
      </w:r>
      <w:r w:rsidRPr="00073F84">
        <w:rPr>
          <w:rFonts w:eastAsia="Palatino Linotype" w:cs="Palatino Linotype"/>
          <w:szCs w:val="22"/>
        </w:rPr>
        <w:t xml:space="preserve"> lo establece el artículo 12 de la Ley de Transparencia y Acceso a la Información Pública del Estado de México y Municipios</w:t>
      </w:r>
      <w:r w:rsidR="00970EB3" w:rsidRPr="00073F84">
        <w:rPr>
          <w:rFonts w:eastAsia="Palatino Linotype" w:cs="Palatino Linotype"/>
          <w:szCs w:val="22"/>
        </w:rPr>
        <w:t>.</w:t>
      </w:r>
    </w:p>
    <w:p w14:paraId="73245195" w14:textId="77777777" w:rsidR="00970EB3" w:rsidRPr="00073F84" w:rsidRDefault="00970EB3" w:rsidP="00073F84">
      <w:pPr>
        <w:rPr>
          <w:rFonts w:eastAsia="Palatino Linotype" w:cs="Palatino Linotype"/>
          <w:szCs w:val="22"/>
        </w:rPr>
      </w:pPr>
    </w:p>
    <w:p w14:paraId="7F62D4DF" w14:textId="775730E1" w:rsidR="001A58B3" w:rsidRPr="00073F84" w:rsidRDefault="001A58B3" w:rsidP="00073F84">
      <w:pPr>
        <w:rPr>
          <w:rFonts w:eastAsia="Palatino Linotype" w:cs="Palatino Linotype"/>
          <w:szCs w:val="22"/>
        </w:rPr>
      </w:pPr>
      <w:r w:rsidRPr="00073F84">
        <w:rPr>
          <w:rFonts w:eastAsia="Palatino Linotype" w:cs="Palatino Linotype"/>
          <w:szCs w:val="22"/>
        </w:rPr>
        <w:t>Es decir, que todo sujeto obligado que genere, recopile, administre, procese, archive, posea o conserven, son responsables de la misma</w:t>
      </w:r>
      <w:r w:rsidR="00970EB3" w:rsidRPr="00073F84">
        <w:rPr>
          <w:rFonts w:eastAsia="Palatino Linotype" w:cs="Palatino Linotype"/>
          <w:szCs w:val="22"/>
        </w:rPr>
        <w:t>,</w:t>
      </w:r>
      <w:r w:rsidRPr="00073F84">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073F84">
        <w:rPr>
          <w:rFonts w:eastAsia="Palatino Linotype" w:cs="Palatino Linotype"/>
          <w:szCs w:val="22"/>
        </w:rPr>
        <w:t>o</w:t>
      </w:r>
      <w:r w:rsidRPr="00073F84">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73F84" w:rsidRDefault="001A58B3" w:rsidP="00073F84">
      <w:pPr>
        <w:rPr>
          <w:rFonts w:eastAsia="Palatino Linotype" w:cs="Palatino Linotype"/>
          <w:szCs w:val="22"/>
        </w:rPr>
      </w:pPr>
    </w:p>
    <w:p w14:paraId="04E42DFE" w14:textId="573F1198" w:rsidR="001A58B3" w:rsidRPr="00073F84" w:rsidRDefault="001A58B3" w:rsidP="00073F84">
      <w:pPr>
        <w:rPr>
          <w:rFonts w:eastAsia="Palatino Linotype" w:cs="Palatino Linotype"/>
          <w:szCs w:val="22"/>
        </w:rPr>
      </w:pPr>
      <w:r w:rsidRPr="00073F84">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73F84">
        <w:rPr>
          <w:rFonts w:eastAsia="Palatino Linotype" w:cs="Palatino Linotype"/>
          <w:szCs w:val="22"/>
        </w:rPr>
        <w:t>, s</w:t>
      </w:r>
      <w:r w:rsidRPr="00073F84">
        <w:rPr>
          <w:rFonts w:eastAsia="Palatino Linotype" w:cs="Palatino Linotype"/>
          <w:szCs w:val="22"/>
        </w:rPr>
        <w:t xml:space="preserve">iempre y cuando no se trate de información reservada o </w:t>
      </w:r>
      <w:r w:rsidR="00331F35" w:rsidRPr="00073F84">
        <w:rPr>
          <w:rFonts w:eastAsia="Palatino Linotype" w:cs="Palatino Linotype"/>
          <w:szCs w:val="22"/>
        </w:rPr>
        <w:t>confidencial.</w:t>
      </w:r>
    </w:p>
    <w:p w14:paraId="40C5219F" w14:textId="77777777" w:rsidR="001A58B3" w:rsidRPr="00073F84" w:rsidRDefault="001A58B3" w:rsidP="00073F84">
      <w:pPr>
        <w:rPr>
          <w:rFonts w:eastAsia="Palatino Linotype" w:cs="Palatino Linotype"/>
          <w:szCs w:val="22"/>
        </w:rPr>
      </w:pPr>
    </w:p>
    <w:p w14:paraId="51A0E8B4" w14:textId="676DCA47" w:rsidR="00664420" w:rsidRPr="00073F84" w:rsidRDefault="00C71CEF" w:rsidP="00073F84">
      <w:pPr>
        <w:pStyle w:val="Ttulo3"/>
        <w:rPr>
          <w:rFonts w:eastAsia="Calibri"/>
          <w:szCs w:val="22"/>
          <w:lang w:eastAsia="es-ES_tradnl"/>
        </w:rPr>
      </w:pPr>
      <w:bookmarkStart w:id="27" w:name="_heading=h.2s8eyo1" w:colFirst="0" w:colLast="0"/>
      <w:bookmarkStart w:id="28" w:name="_Toc181799810"/>
      <w:bookmarkEnd w:id="27"/>
      <w:r w:rsidRPr="00073F84">
        <w:rPr>
          <w:rFonts w:eastAsia="Calibri"/>
          <w:szCs w:val="22"/>
          <w:lang w:eastAsia="es-ES_tradnl"/>
        </w:rPr>
        <w:lastRenderedPageBreak/>
        <w:t>b)</w:t>
      </w:r>
      <w:r w:rsidR="00A53315" w:rsidRPr="00073F84">
        <w:rPr>
          <w:rFonts w:eastAsia="Calibri"/>
          <w:szCs w:val="22"/>
          <w:lang w:eastAsia="es-ES_tradnl"/>
        </w:rPr>
        <w:t xml:space="preserve"> </w:t>
      </w:r>
      <w:r w:rsidR="00A21A20" w:rsidRPr="00073F84">
        <w:rPr>
          <w:rFonts w:eastAsia="Calibri"/>
          <w:szCs w:val="22"/>
          <w:lang w:eastAsia="es-ES_tradnl"/>
        </w:rPr>
        <w:t>Controversia a resolver</w:t>
      </w:r>
      <w:bookmarkEnd w:id="28"/>
    </w:p>
    <w:p w14:paraId="0C5CB4A8" w14:textId="772F16D2" w:rsidR="00054DD6" w:rsidRPr="00073F84" w:rsidRDefault="00054DD6" w:rsidP="00073F84">
      <w:r w:rsidRPr="00073F84">
        <w:t xml:space="preserve">Con el objeto de ilustrar la controversia planteada, resulta conveniente precisar que, una vez realizado el estudio de las constancias que integran el expediente en que se actúa, se desprende que </w:t>
      </w:r>
      <w:r w:rsidRPr="00073F84">
        <w:rPr>
          <w:b/>
        </w:rPr>
        <w:t>LA PARTE RECURRENTE</w:t>
      </w:r>
      <w:r w:rsidRPr="00073F84">
        <w:t xml:space="preserve"> solicitó </w:t>
      </w:r>
      <w:r w:rsidR="002729F7" w:rsidRPr="00073F84">
        <w:t xml:space="preserve">la cédula profesional de la C. Claudia </w:t>
      </w:r>
      <w:proofErr w:type="spellStart"/>
      <w:r w:rsidR="002729F7" w:rsidRPr="00073F84">
        <w:t>Noguez</w:t>
      </w:r>
      <w:proofErr w:type="spellEnd"/>
      <w:r w:rsidR="002729F7" w:rsidRPr="00073F84">
        <w:t xml:space="preserve"> </w:t>
      </w:r>
      <w:r w:rsidR="004D6DBF" w:rsidRPr="00073F84">
        <w:t>González</w:t>
      </w:r>
      <w:r w:rsidR="002729F7" w:rsidRPr="00073F84">
        <w:t xml:space="preserve">, servidora </w:t>
      </w:r>
      <w:r w:rsidR="004D6DBF" w:rsidRPr="00073F84">
        <w:t>pública</w:t>
      </w:r>
      <w:r w:rsidR="002729F7" w:rsidRPr="00073F84">
        <w:t xml:space="preserve"> adscrita a la Secretaria de Finanzas.</w:t>
      </w:r>
    </w:p>
    <w:p w14:paraId="42AA3301" w14:textId="77777777" w:rsidR="003B11EE" w:rsidRPr="00073F84" w:rsidRDefault="003B11EE" w:rsidP="00073F84">
      <w:pPr>
        <w:tabs>
          <w:tab w:val="left" w:pos="4962"/>
        </w:tabs>
      </w:pPr>
    </w:p>
    <w:p w14:paraId="587BCE4E" w14:textId="1ADE085C" w:rsidR="00054DD6" w:rsidRPr="00073F84" w:rsidRDefault="00054DD6" w:rsidP="00073F84">
      <w:pPr>
        <w:tabs>
          <w:tab w:val="left" w:pos="4962"/>
        </w:tabs>
      </w:pPr>
      <w:r w:rsidRPr="00073F84">
        <w:t xml:space="preserve">En respuesta, </w:t>
      </w:r>
      <w:r w:rsidRPr="00073F84">
        <w:rPr>
          <w:b/>
        </w:rPr>
        <w:t>EL SUJETO OBLIGADO</w:t>
      </w:r>
      <w:r w:rsidRPr="00073F84">
        <w:t xml:space="preserve"> se pronunció por conducto de</w:t>
      </w:r>
      <w:r w:rsidR="0097187E" w:rsidRPr="00073F84">
        <w:t xml:space="preserve"> </w:t>
      </w:r>
      <w:r w:rsidR="004D6DBF" w:rsidRPr="00073F84">
        <w:t>la Servidora Pública Habilitada de la Coordinación Administrativa, quien manifestó que, no se cuenta con la cédula profesional, por lo que no es posible adjuntar el documento solicitado.</w:t>
      </w:r>
    </w:p>
    <w:p w14:paraId="20A66679" w14:textId="77777777" w:rsidR="00054DD6" w:rsidRPr="00073F84" w:rsidRDefault="00054DD6" w:rsidP="00073F84">
      <w:pPr>
        <w:tabs>
          <w:tab w:val="left" w:pos="4962"/>
        </w:tabs>
      </w:pPr>
    </w:p>
    <w:p w14:paraId="2AB5E528" w14:textId="3CD84698" w:rsidR="00054DD6" w:rsidRPr="00073F84" w:rsidRDefault="00054DD6" w:rsidP="00073F84">
      <w:pPr>
        <w:tabs>
          <w:tab w:val="left" w:pos="4962"/>
        </w:tabs>
      </w:pPr>
      <w:r w:rsidRPr="00073F84">
        <w:t xml:space="preserve">Ahora bien, en la interposición del presente recurso </w:t>
      </w:r>
      <w:r w:rsidRPr="00073F84">
        <w:rPr>
          <w:b/>
        </w:rPr>
        <w:t>LA PARTE RECURRENTE</w:t>
      </w:r>
      <w:r w:rsidRPr="00073F84">
        <w:t xml:space="preserve"> se inconformó </w:t>
      </w:r>
      <w:r w:rsidR="006B7F3A" w:rsidRPr="00073F84">
        <w:t>en contra de la negativa de la entrega de la información</w:t>
      </w:r>
      <w:r w:rsidR="00344723" w:rsidRPr="00073F84">
        <w:t>.</w:t>
      </w:r>
    </w:p>
    <w:p w14:paraId="1F250806" w14:textId="77777777" w:rsidR="00054DD6" w:rsidRPr="00073F84" w:rsidRDefault="00054DD6" w:rsidP="00073F84">
      <w:pPr>
        <w:tabs>
          <w:tab w:val="left" w:pos="4962"/>
        </w:tabs>
      </w:pPr>
    </w:p>
    <w:p w14:paraId="1AD3FED6" w14:textId="7008896B" w:rsidR="006B7F3A" w:rsidRPr="00073F84" w:rsidRDefault="00054DD6" w:rsidP="00073F84">
      <w:pPr>
        <w:tabs>
          <w:tab w:val="left" w:pos="4962"/>
        </w:tabs>
        <w:rPr>
          <w:lang w:val="es-ES"/>
        </w:rPr>
      </w:pPr>
      <w:r w:rsidRPr="00073F84">
        <w:rPr>
          <w:lang w:val="es-ES"/>
        </w:rPr>
        <w:t xml:space="preserve">Abierta la etapa de instrucción, </w:t>
      </w:r>
      <w:r w:rsidRPr="00073F84">
        <w:rPr>
          <w:b/>
          <w:lang w:val="es-ES"/>
        </w:rPr>
        <w:t>EL SUJETO OBLIGADO</w:t>
      </w:r>
      <w:r w:rsidRPr="00073F84">
        <w:rPr>
          <w:lang w:val="es-ES"/>
        </w:rPr>
        <w:t xml:space="preserve"> rindió su Informe Justificado, en el que </w:t>
      </w:r>
      <w:r w:rsidR="004D6DBF" w:rsidRPr="00073F84">
        <w:rPr>
          <w:lang w:val="es-ES"/>
        </w:rPr>
        <w:t xml:space="preserve">de manera general ratificó su respuesta y precisó que el requisito de la escolaridad, sólo aplica para los niveles 1 al 23. Toda vez que Claudia </w:t>
      </w:r>
      <w:proofErr w:type="spellStart"/>
      <w:r w:rsidR="004D6DBF" w:rsidRPr="00073F84">
        <w:rPr>
          <w:lang w:val="es-ES"/>
        </w:rPr>
        <w:t>Noguez</w:t>
      </w:r>
      <w:proofErr w:type="spellEnd"/>
      <w:r w:rsidR="004D6DBF" w:rsidRPr="00073F84">
        <w:rPr>
          <w:lang w:val="es-ES"/>
        </w:rPr>
        <w:t xml:space="preserve"> González, ocupa un puesto de Directora de área con nivel 28 (plaza de confianza), no es requisito para ella; sin embargo, si cuenta con título profesional.</w:t>
      </w:r>
    </w:p>
    <w:p w14:paraId="378612E0" w14:textId="77777777" w:rsidR="006B7F3A" w:rsidRPr="00073F84" w:rsidRDefault="006B7F3A" w:rsidP="00073F84">
      <w:pPr>
        <w:tabs>
          <w:tab w:val="left" w:pos="4962"/>
        </w:tabs>
        <w:rPr>
          <w:lang w:val="es-ES"/>
        </w:rPr>
      </w:pPr>
    </w:p>
    <w:p w14:paraId="34EB074E" w14:textId="1F9221B7" w:rsidR="00C8162B" w:rsidRPr="00073F84" w:rsidRDefault="00C8162B" w:rsidP="00073F84">
      <w:pPr>
        <w:rPr>
          <w:rFonts w:eastAsia="Palatino Linotype" w:cs="Palatino Linotype"/>
          <w:szCs w:val="22"/>
        </w:rPr>
      </w:pPr>
      <w:r w:rsidRPr="00073F84">
        <w:rPr>
          <w:rFonts w:eastAsia="Palatino Linotype" w:cs="Palatino Linotype"/>
          <w:szCs w:val="22"/>
        </w:rPr>
        <w:t xml:space="preserve">Bajo las premisas anteriores, se concluye que la controversia a dilucidar en el presente medio de impugnación será </w:t>
      </w:r>
      <w:r w:rsidRPr="00073F84">
        <w:rPr>
          <w:rFonts w:eastAsia="Palatino Linotype" w:cs="Palatino Linotype"/>
          <w:b/>
          <w:szCs w:val="22"/>
        </w:rPr>
        <w:t xml:space="preserve">verificar si la información proporcionada en respuesta e informe justificado por EL SUJETO OBLIGADO es adecuada y suficiente para satisfacer el derecho de acceso a la información pública </w:t>
      </w:r>
      <w:r w:rsidRPr="00073F84">
        <w:rPr>
          <w:rFonts w:eastAsia="Palatino Linotype" w:cs="Palatino Linotype"/>
          <w:szCs w:val="22"/>
        </w:rPr>
        <w:t xml:space="preserve">de </w:t>
      </w:r>
      <w:r w:rsidRPr="00073F84">
        <w:rPr>
          <w:rFonts w:eastAsia="Palatino Linotype" w:cs="Palatino Linotype"/>
          <w:b/>
          <w:szCs w:val="22"/>
        </w:rPr>
        <w:t>LA PARTE RECURRENTE.</w:t>
      </w:r>
    </w:p>
    <w:p w14:paraId="4067099D" w14:textId="77777777" w:rsidR="00054DD6" w:rsidRPr="00073F84" w:rsidRDefault="00054DD6" w:rsidP="00073F84"/>
    <w:p w14:paraId="023E5381" w14:textId="77777777" w:rsidR="00A6131F" w:rsidRPr="00073F84" w:rsidRDefault="00A6131F" w:rsidP="00073F84">
      <w:pPr>
        <w:pStyle w:val="Ttulo3"/>
        <w:rPr>
          <w:rFonts w:eastAsia="Palatino Linotype"/>
          <w:szCs w:val="22"/>
          <w:lang w:eastAsia="es-MX"/>
        </w:rPr>
      </w:pPr>
      <w:bookmarkStart w:id="29" w:name="_Toc174021582"/>
      <w:bookmarkStart w:id="30" w:name="_Toc179458038"/>
      <w:bookmarkStart w:id="31" w:name="_Toc181799811"/>
      <w:r w:rsidRPr="00073F84">
        <w:rPr>
          <w:rFonts w:eastAsia="Palatino Linotype"/>
          <w:szCs w:val="22"/>
        </w:rPr>
        <w:lastRenderedPageBreak/>
        <w:t>c) Estudio de la controversia</w:t>
      </w:r>
      <w:bookmarkEnd w:id="29"/>
      <w:bookmarkEnd w:id="30"/>
      <w:bookmarkEnd w:id="31"/>
    </w:p>
    <w:p w14:paraId="6EA42F4A" w14:textId="77777777" w:rsidR="00C03758" w:rsidRPr="00073F84" w:rsidRDefault="00C03758" w:rsidP="00073F84">
      <w:pPr>
        <w:spacing w:before="240" w:after="240"/>
        <w:rPr>
          <w:rFonts w:eastAsia="Palatino Linotype" w:cs="Palatino Linotype"/>
          <w:i/>
          <w:szCs w:val="22"/>
          <w:lang w:val="es-ES"/>
        </w:rPr>
      </w:pPr>
      <w:r w:rsidRPr="00073F84">
        <w:rPr>
          <w:rFonts w:eastAsia="Palatino Linotype" w:cs="Palatino Linotype"/>
          <w:szCs w:val="22"/>
          <w:lang w:val="es-ES"/>
        </w:rPr>
        <w:t xml:space="preserve">Por principio es importante enfatizar que el Derecho de Acceso a la Información Pública consiste en que la </w:t>
      </w:r>
      <w:r w:rsidRPr="00073F84">
        <w:rPr>
          <w:rFonts w:eastAsia="Palatino Linotype" w:cs="Palatino Linotype"/>
          <w:b/>
          <w:szCs w:val="22"/>
          <w:u w:val="single"/>
          <w:lang w:val="es-ES"/>
        </w:rPr>
        <w:t>información solicitada conste en un soporte documental</w:t>
      </w:r>
      <w:r w:rsidRPr="00073F84">
        <w:rPr>
          <w:rFonts w:eastAsia="Palatino Linotype" w:cs="Palatino Linotype"/>
          <w:szCs w:val="22"/>
          <w:lang w:val="es-ES"/>
        </w:rPr>
        <w:t xml:space="preserve"> en cualquiera de sus formas, a saber: expedientes, reportes, estudios, actas</w:t>
      </w:r>
      <w:r w:rsidRPr="00073F84">
        <w:rPr>
          <w:rFonts w:eastAsia="Palatino Linotype" w:cs="Palatino Linotype"/>
          <w:b/>
          <w:szCs w:val="22"/>
          <w:lang w:val="es-ES"/>
        </w:rPr>
        <w:t>,</w:t>
      </w:r>
      <w:r w:rsidRPr="00073F84">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BB727C4" w14:textId="77777777" w:rsidR="00C03758" w:rsidRPr="00073F84" w:rsidRDefault="00C03758" w:rsidP="00073F84">
      <w:pPr>
        <w:pStyle w:val="Puesto"/>
        <w:rPr>
          <w:rFonts w:eastAsia="Palatino Linotype"/>
          <w:szCs w:val="22"/>
          <w:lang w:val="es-ES"/>
        </w:rPr>
      </w:pPr>
      <w:r w:rsidRPr="00073F84">
        <w:rPr>
          <w:rFonts w:eastAsia="Palatino Linotype"/>
          <w:szCs w:val="22"/>
          <w:lang w:val="es-ES"/>
        </w:rPr>
        <w:t>“</w:t>
      </w:r>
      <w:r w:rsidRPr="00073F84">
        <w:rPr>
          <w:rFonts w:eastAsia="Palatino Linotype"/>
          <w:b/>
          <w:szCs w:val="22"/>
          <w:lang w:val="es-ES"/>
        </w:rPr>
        <w:t xml:space="preserve">Artículo 3. </w:t>
      </w:r>
      <w:r w:rsidRPr="00073F84">
        <w:rPr>
          <w:rFonts w:eastAsia="Palatino Linotype"/>
          <w:szCs w:val="22"/>
          <w:lang w:val="es-ES"/>
        </w:rPr>
        <w:t>Para los efectos de la presente Ley se entenderá por:</w:t>
      </w:r>
    </w:p>
    <w:p w14:paraId="2C7D43AD" w14:textId="77777777" w:rsidR="00C03758" w:rsidRPr="00073F84" w:rsidRDefault="00C03758" w:rsidP="00073F84">
      <w:pPr>
        <w:pStyle w:val="Puesto"/>
        <w:rPr>
          <w:rFonts w:eastAsia="Palatino Linotype"/>
          <w:szCs w:val="22"/>
          <w:lang w:val="es-ES"/>
        </w:rPr>
      </w:pPr>
      <w:r w:rsidRPr="00073F84">
        <w:rPr>
          <w:rFonts w:eastAsia="Palatino Linotype"/>
          <w:szCs w:val="22"/>
          <w:lang w:val="es-ES"/>
        </w:rPr>
        <w:t>…</w:t>
      </w:r>
    </w:p>
    <w:p w14:paraId="5C9A0389" w14:textId="77777777" w:rsidR="00C03758" w:rsidRPr="00073F84" w:rsidRDefault="00C03758" w:rsidP="00073F84">
      <w:pPr>
        <w:pStyle w:val="Puesto"/>
        <w:rPr>
          <w:rFonts w:eastAsia="Palatino Linotype"/>
          <w:szCs w:val="22"/>
          <w:lang w:val="es-ES"/>
        </w:rPr>
      </w:pPr>
      <w:r w:rsidRPr="00073F84">
        <w:rPr>
          <w:rFonts w:eastAsia="Palatino Linotype"/>
          <w:b/>
          <w:szCs w:val="22"/>
          <w:lang w:val="es-ES"/>
        </w:rPr>
        <w:t>XI. Documento:</w:t>
      </w:r>
      <w:r w:rsidRPr="00073F84">
        <w:rPr>
          <w:rFonts w:eastAsia="Palatino Linotype"/>
          <w:szCs w:val="22"/>
          <w:lang w:val="es-ES"/>
        </w:rPr>
        <w:t xml:space="preserve"> Los expedientes, reportes, estudios, actas, resoluciones,</w:t>
      </w:r>
      <w:r w:rsidRPr="00073F84">
        <w:rPr>
          <w:rFonts w:eastAsia="Palatino Linotype"/>
          <w:b/>
          <w:szCs w:val="22"/>
          <w:lang w:val="es-ES"/>
        </w:rPr>
        <w:t xml:space="preserve"> </w:t>
      </w:r>
      <w:r w:rsidRPr="00073F84">
        <w:rPr>
          <w:rFonts w:eastAsia="Palatino Linotype"/>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B8687BF" w14:textId="77777777" w:rsidR="00C03758" w:rsidRPr="00073F84" w:rsidRDefault="00C03758" w:rsidP="00073F84">
      <w:pPr>
        <w:ind w:left="1134" w:right="901"/>
        <w:rPr>
          <w:rFonts w:eastAsia="Palatino Linotype" w:cs="Palatino Linotype"/>
          <w:szCs w:val="22"/>
          <w:lang w:val="es-ES"/>
        </w:rPr>
      </w:pPr>
    </w:p>
    <w:p w14:paraId="13127039" w14:textId="77777777" w:rsidR="00C03758" w:rsidRPr="00073F84" w:rsidRDefault="00C03758" w:rsidP="00073F84">
      <w:pPr>
        <w:rPr>
          <w:rFonts w:eastAsia="Palatino Linotype" w:cs="Palatino Linotype"/>
          <w:szCs w:val="22"/>
          <w:lang w:val="es-ES"/>
        </w:rPr>
      </w:pPr>
      <w:r w:rsidRPr="00073F84">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567F946" w14:textId="77777777" w:rsidR="00C03758" w:rsidRPr="00073F84" w:rsidRDefault="00C03758" w:rsidP="00073F84">
      <w:pPr>
        <w:ind w:left="851" w:right="850"/>
        <w:rPr>
          <w:rFonts w:eastAsia="Palatino Linotype" w:cs="Palatino Linotype"/>
          <w:szCs w:val="22"/>
          <w:lang w:val="es-ES"/>
        </w:rPr>
      </w:pPr>
    </w:p>
    <w:p w14:paraId="40D2BF9B" w14:textId="77777777" w:rsidR="00C03758" w:rsidRPr="00073F84" w:rsidRDefault="00C03758" w:rsidP="00073F84">
      <w:pPr>
        <w:pStyle w:val="Puesto"/>
        <w:jc w:val="center"/>
        <w:rPr>
          <w:rFonts w:eastAsia="Palatino Linotype"/>
          <w:b/>
          <w:bCs/>
          <w:szCs w:val="22"/>
          <w:lang w:val="es-ES"/>
        </w:rPr>
      </w:pPr>
      <w:r w:rsidRPr="00073F84">
        <w:rPr>
          <w:rFonts w:eastAsia="Palatino Linotype"/>
          <w:szCs w:val="22"/>
          <w:lang w:val="es-ES"/>
        </w:rPr>
        <w:t>“</w:t>
      </w:r>
      <w:r w:rsidRPr="00073F84">
        <w:rPr>
          <w:rFonts w:eastAsia="Palatino Linotype"/>
          <w:b/>
          <w:bCs/>
          <w:szCs w:val="22"/>
          <w:lang w:val="es-ES"/>
        </w:rPr>
        <w:t>CRITERIO 0002-11</w:t>
      </w:r>
    </w:p>
    <w:p w14:paraId="700D7A97" w14:textId="77777777" w:rsidR="00C03758" w:rsidRPr="00073F84" w:rsidRDefault="00C03758" w:rsidP="00073F84">
      <w:pPr>
        <w:pStyle w:val="Puesto"/>
        <w:rPr>
          <w:rFonts w:eastAsia="Palatino Linotype"/>
          <w:szCs w:val="22"/>
          <w:lang w:val="es-ES"/>
        </w:rPr>
      </w:pPr>
      <w:r w:rsidRPr="00073F84">
        <w:rPr>
          <w:rFonts w:eastAsia="Palatino Linotype"/>
          <w:b/>
          <w:bCs/>
          <w:szCs w:val="22"/>
          <w:u w:val="single"/>
          <w:lang w:val="es-ES"/>
        </w:rPr>
        <w:lastRenderedPageBreak/>
        <w:t>INFORMACIÓN PÚBLICA, CONCEPTO DE, EN MATERIA DE TRANSPARENCIA. INTERPRETACIÓN SISTEMÁTICA DE LOS ARTÍCULOS 2°, FRACCIÓN V, XV, Y XVI, 3°, 4°, 11 Y 41.</w:t>
      </w:r>
      <w:r w:rsidRPr="00073F84">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024F887" w14:textId="77777777" w:rsidR="00C03758" w:rsidRPr="00073F84" w:rsidRDefault="00C03758" w:rsidP="00073F84">
      <w:pPr>
        <w:pStyle w:val="Puesto"/>
        <w:rPr>
          <w:rFonts w:eastAsia="Palatino Linotype"/>
          <w:szCs w:val="22"/>
          <w:lang w:val="es-ES"/>
        </w:rPr>
      </w:pPr>
      <w:r w:rsidRPr="00073F84">
        <w:rPr>
          <w:rFonts w:eastAsia="Palatino Linotype"/>
          <w:szCs w:val="22"/>
          <w:lang w:val="es-ES"/>
        </w:rPr>
        <w:t>En consecuencia el acceso a la información se refiere a que se cumplan cualquiera de los siguientes tres supuestos:</w:t>
      </w:r>
    </w:p>
    <w:p w14:paraId="355F2EAE" w14:textId="77777777" w:rsidR="00C03758" w:rsidRPr="00073F84" w:rsidRDefault="00C03758" w:rsidP="00073F84">
      <w:pPr>
        <w:pStyle w:val="Puesto"/>
        <w:rPr>
          <w:rFonts w:eastAsia="Palatino Linotype"/>
          <w:szCs w:val="22"/>
          <w:lang w:val="es-ES"/>
        </w:rPr>
      </w:pPr>
      <w:r w:rsidRPr="00073F84">
        <w:rPr>
          <w:rFonts w:eastAsia="Palatino Linotype"/>
          <w:szCs w:val="22"/>
          <w:lang w:val="es-ES"/>
        </w:rPr>
        <w:t xml:space="preserve">1) Que se trate de información </w:t>
      </w:r>
      <w:r w:rsidRPr="00073F84">
        <w:rPr>
          <w:rFonts w:eastAsia="Palatino Linotype"/>
          <w:szCs w:val="22"/>
          <w:u w:val="single"/>
          <w:lang w:val="es-ES"/>
        </w:rPr>
        <w:t>registrada en cualquier soporte documental</w:t>
      </w:r>
      <w:r w:rsidRPr="00073F84">
        <w:rPr>
          <w:rFonts w:eastAsia="Palatino Linotype"/>
          <w:szCs w:val="22"/>
          <w:lang w:val="es-ES"/>
        </w:rPr>
        <w:t>, que en ejercicio de las atribuciones conferidas, sea generada por los Sujetos Obligados;</w:t>
      </w:r>
    </w:p>
    <w:p w14:paraId="1F8EA8AC" w14:textId="77777777" w:rsidR="00C03758" w:rsidRPr="00073F84" w:rsidRDefault="00C03758" w:rsidP="00073F84">
      <w:pPr>
        <w:pStyle w:val="Puesto"/>
        <w:rPr>
          <w:rFonts w:eastAsia="Palatino Linotype"/>
          <w:szCs w:val="22"/>
          <w:lang w:val="es-ES"/>
        </w:rPr>
      </w:pPr>
      <w:r w:rsidRPr="00073F84">
        <w:rPr>
          <w:rFonts w:eastAsia="Palatino Linotype"/>
          <w:szCs w:val="22"/>
          <w:lang w:val="es-ES"/>
        </w:rPr>
        <w:t xml:space="preserve">2) Que se trate de información </w:t>
      </w:r>
      <w:r w:rsidRPr="00073F84">
        <w:rPr>
          <w:rFonts w:eastAsia="Palatino Linotype"/>
          <w:szCs w:val="22"/>
          <w:u w:val="single"/>
          <w:lang w:val="es-ES"/>
        </w:rPr>
        <w:t>registrada en cualquier soporte documental</w:t>
      </w:r>
      <w:r w:rsidRPr="00073F84">
        <w:rPr>
          <w:rFonts w:eastAsia="Palatino Linotype"/>
          <w:szCs w:val="22"/>
          <w:lang w:val="es-ES"/>
        </w:rPr>
        <w:t>, que en ejercicio de las atribuciones conferidas, sea administrada por los Sujetos Obligados, y</w:t>
      </w:r>
    </w:p>
    <w:p w14:paraId="3EE991B2" w14:textId="77777777" w:rsidR="00C03758" w:rsidRPr="00073F84" w:rsidRDefault="00C03758" w:rsidP="00073F84">
      <w:pPr>
        <w:pStyle w:val="Puesto"/>
        <w:rPr>
          <w:rFonts w:eastAsia="Palatino Linotype"/>
          <w:szCs w:val="22"/>
          <w:lang w:val="es-ES"/>
        </w:rPr>
      </w:pPr>
      <w:r w:rsidRPr="00073F84">
        <w:rPr>
          <w:rFonts w:eastAsia="Palatino Linotype"/>
          <w:szCs w:val="22"/>
          <w:lang w:val="es-ES"/>
        </w:rPr>
        <w:t xml:space="preserve">3) Que se trate de información </w:t>
      </w:r>
      <w:r w:rsidRPr="00073F84">
        <w:rPr>
          <w:rFonts w:eastAsia="Palatino Linotype"/>
          <w:szCs w:val="22"/>
          <w:u w:val="single"/>
          <w:lang w:val="es-ES"/>
        </w:rPr>
        <w:t>registrada en cualquier soporte documental</w:t>
      </w:r>
      <w:r w:rsidRPr="00073F84">
        <w:rPr>
          <w:rFonts w:eastAsia="Palatino Linotype"/>
          <w:szCs w:val="22"/>
          <w:lang w:val="es-ES"/>
        </w:rPr>
        <w:t>, que en ejercicio de las atribuciones conferidas, se encuentre en posesión de los Sujetos Obligados.” (Sic)</w:t>
      </w:r>
    </w:p>
    <w:p w14:paraId="218730E2" w14:textId="77777777" w:rsidR="00C03758" w:rsidRPr="00073F84" w:rsidRDefault="00C03758" w:rsidP="00073F84">
      <w:pPr>
        <w:spacing w:before="240" w:after="240"/>
        <w:rPr>
          <w:rFonts w:eastAsia="Palatino Linotype" w:cs="Palatino Linotype"/>
          <w:szCs w:val="22"/>
          <w:lang w:val="es-ES"/>
        </w:rPr>
      </w:pPr>
      <w:r w:rsidRPr="00073F84">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073F84">
        <w:rPr>
          <w:rFonts w:eastAsia="Palatino Linotype" w:cs="Palatino Linotype"/>
          <w:b/>
          <w:szCs w:val="22"/>
          <w:lang w:val="es-ES"/>
        </w:rPr>
        <w:t>EL SUJETO OBLIGADO</w:t>
      </w:r>
      <w:r w:rsidRPr="00073F84">
        <w:rPr>
          <w:rFonts w:eastAsia="Palatino Linotype" w:cs="Palatino Linotype"/>
          <w:szCs w:val="22"/>
          <w:lang w:val="es-ES"/>
        </w:rPr>
        <w:t xml:space="preserve"> la generó o porque como parte del ejercicio de sus funciones la recibió y por consiguiente, la administra y posee. </w:t>
      </w:r>
    </w:p>
    <w:p w14:paraId="5A6B120F" w14:textId="77777777" w:rsidR="00C03758" w:rsidRPr="00073F84" w:rsidRDefault="00C03758" w:rsidP="00073F84">
      <w:pPr>
        <w:ind w:right="51"/>
        <w:rPr>
          <w:rFonts w:eastAsia="Palatino Linotype" w:cs="Palatino Linotype"/>
          <w:bCs/>
          <w:szCs w:val="22"/>
        </w:rPr>
      </w:pPr>
      <w:r w:rsidRPr="00073F84">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entregar la información conforme al interés del solicitante.  </w:t>
      </w:r>
    </w:p>
    <w:p w14:paraId="58A0BFFC" w14:textId="77777777" w:rsidR="00C03758" w:rsidRPr="00073F84" w:rsidRDefault="00C03758" w:rsidP="00073F84">
      <w:pPr>
        <w:rPr>
          <w:rFonts w:eastAsia="Palatino Linotype" w:cs="Palatino Linotype"/>
          <w:szCs w:val="22"/>
        </w:rPr>
      </w:pPr>
    </w:p>
    <w:p w14:paraId="29F20E06" w14:textId="77777777" w:rsidR="00C03758" w:rsidRPr="00073F84" w:rsidRDefault="00C03758" w:rsidP="00073F84">
      <w:pPr>
        <w:rPr>
          <w:rFonts w:eastAsia="Palatino Linotype" w:cs="Palatino Linotype"/>
          <w:szCs w:val="22"/>
        </w:rPr>
      </w:pPr>
      <w:r w:rsidRPr="00073F84">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4610D019" w14:textId="77777777" w:rsidR="00C03758" w:rsidRPr="00073F84" w:rsidRDefault="00C03758" w:rsidP="00073F84">
      <w:pPr>
        <w:rPr>
          <w:rFonts w:eastAsia="Palatino Linotype" w:cs="Palatino Linotype"/>
          <w:szCs w:val="22"/>
        </w:rPr>
      </w:pPr>
    </w:p>
    <w:p w14:paraId="0E0C39B5" w14:textId="77777777" w:rsidR="00C03758" w:rsidRPr="00073F84" w:rsidRDefault="00C03758" w:rsidP="00073F84">
      <w:pPr>
        <w:pStyle w:val="Puesto"/>
        <w:rPr>
          <w:rFonts w:eastAsia="Palatino Linotype"/>
          <w:szCs w:val="22"/>
        </w:rPr>
      </w:pPr>
      <w:r w:rsidRPr="00073F84">
        <w:rPr>
          <w:rFonts w:eastAsia="Palatino Linotype"/>
          <w:szCs w:val="22"/>
        </w:rPr>
        <w:lastRenderedPageBreak/>
        <w:t>“</w:t>
      </w:r>
      <w:r w:rsidRPr="00073F84">
        <w:rPr>
          <w:rFonts w:eastAsia="Palatino Linotype"/>
          <w:b/>
          <w:szCs w:val="22"/>
        </w:rPr>
        <w:t xml:space="preserve">No existe obligación de elaborar documentos ad hoc para atender las solicitudes de acceso a la información. </w:t>
      </w:r>
      <w:r w:rsidRPr="00073F84">
        <w:rPr>
          <w:rFonts w:eastAsia="Palatino Linotype"/>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509B4F25" w14:textId="77777777" w:rsidR="00C03758" w:rsidRPr="00073F84" w:rsidRDefault="00C03758" w:rsidP="00073F84">
      <w:pPr>
        <w:rPr>
          <w:bCs/>
          <w:szCs w:val="22"/>
        </w:rPr>
      </w:pPr>
    </w:p>
    <w:p w14:paraId="060E9A71" w14:textId="37061C30" w:rsidR="00C03758" w:rsidRPr="00073F84" w:rsidRDefault="00C03758" w:rsidP="00073F84">
      <w:pPr>
        <w:rPr>
          <w:szCs w:val="22"/>
        </w:rPr>
      </w:pPr>
      <w:r w:rsidRPr="00073F84">
        <w:rPr>
          <w:bCs/>
          <w:szCs w:val="22"/>
        </w:rPr>
        <w:t xml:space="preserve">En ese tenor, y considerando tanto el motivo de la inconformidad como el pronunciamiento emitido por </w:t>
      </w:r>
      <w:r w:rsidRPr="00073F84">
        <w:rPr>
          <w:b/>
          <w:bCs/>
          <w:szCs w:val="22"/>
        </w:rPr>
        <w:t xml:space="preserve">EL SUJETO OBLIGADO </w:t>
      </w:r>
      <w:r w:rsidRPr="00073F84">
        <w:rPr>
          <w:bCs/>
          <w:szCs w:val="22"/>
        </w:rPr>
        <w:t xml:space="preserve">en respuesta, se procede a analizar si dicha información es suficiente para tener por colmado el derecho de acceso a la información de la </w:t>
      </w:r>
      <w:r w:rsidR="008D49A5" w:rsidRPr="00073F84">
        <w:rPr>
          <w:b/>
          <w:bCs/>
          <w:szCs w:val="22"/>
        </w:rPr>
        <w:t>PARTE</w:t>
      </w:r>
      <w:r w:rsidRPr="00073F84">
        <w:rPr>
          <w:b/>
          <w:bCs/>
          <w:szCs w:val="22"/>
        </w:rPr>
        <w:t xml:space="preserve"> RECURRENTE</w:t>
      </w:r>
      <w:r w:rsidRPr="00073F84">
        <w:rPr>
          <w:szCs w:val="22"/>
        </w:rPr>
        <w:t xml:space="preserve"> o en su caso, ordenar la entrega de la información correspondiente.</w:t>
      </w:r>
    </w:p>
    <w:p w14:paraId="4BBB38A3" w14:textId="77777777" w:rsidR="00F453C0" w:rsidRPr="00073F84" w:rsidRDefault="00F453C0" w:rsidP="00073F84">
      <w:pPr>
        <w:rPr>
          <w:szCs w:val="22"/>
        </w:rPr>
      </w:pPr>
    </w:p>
    <w:p w14:paraId="76CB2A22" w14:textId="37598D93" w:rsidR="00F453C0" w:rsidRPr="00073F84" w:rsidRDefault="00F453C0" w:rsidP="00073F84">
      <w:pPr>
        <w:spacing w:after="160"/>
        <w:rPr>
          <w:i/>
        </w:rPr>
      </w:pPr>
      <w:r w:rsidRPr="00073F84">
        <w:rPr>
          <w:rFonts w:eastAsiaTheme="minorHAnsi" w:cstheme="minorBidi"/>
          <w:szCs w:val="22"/>
          <w:lang w:eastAsia="en-US"/>
        </w:rPr>
        <w:t xml:space="preserve">Primeramente, </w:t>
      </w:r>
      <w:r w:rsidRPr="00073F84">
        <w:rPr>
          <w:rFonts w:cs="Tahoma"/>
          <w:bCs/>
          <w:iCs/>
          <w:szCs w:val="22"/>
        </w:rPr>
        <w:t xml:space="preserve">es  posible advertir que </w:t>
      </w:r>
      <w:r w:rsidRPr="00073F84">
        <w:rPr>
          <w:rFonts w:cs="Tahoma"/>
          <w:b/>
          <w:bCs/>
          <w:iCs/>
          <w:szCs w:val="22"/>
        </w:rPr>
        <w:t xml:space="preserve">LA PARTE RECURRENTE </w:t>
      </w:r>
      <w:r w:rsidRPr="00073F84">
        <w:rPr>
          <w:rFonts w:cs="Tahoma"/>
          <w:bCs/>
          <w:iCs/>
          <w:szCs w:val="22"/>
        </w:rPr>
        <w:t xml:space="preserve">al momento de presentar su medio de impugnación, realiza nuevos pedimentos, al referir </w:t>
      </w:r>
      <w:r w:rsidRPr="00073F84">
        <w:rPr>
          <w:rFonts w:cs="Tahoma"/>
          <w:bCs/>
          <w:i/>
          <w:iCs/>
          <w:szCs w:val="22"/>
        </w:rPr>
        <w:t>“…</w:t>
      </w:r>
      <w:r w:rsidR="006A5EC5" w:rsidRPr="00073F84">
        <w:rPr>
          <w:i/>
        </w:rPr>
        <w:t xml:space="preserve">solito documento que acredite su profesión, para tener un cargo dentro de la Secretaria de Finanzas. </w:t>
      </w:r>
      <w:r w:rsidRPr="00073F84">
        <w:rPr>
          <w:i/>
        </w:rPr>
        <w:t>…” Sic.</w:t>
      </w:r>
    </w:p>
    <w:p w14:paraId="6B1C59CD" w14:textId="77777777" w:rsidR="00F453C0" w:rsidRPr="00073F84" w:rsidRDefault="00F453C0" w:rsidP="00073F84">
      <w:pPr>
        <w:rPr>
          <w:szCs w:val="22"/>
        </w:rPr>
      </w:pPr>
      <w:r w:rsidRPr="00073F84">
        <w:rPr>
          <w:szCs w:val="22"/>
        </w:rPr>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39AE0CA0" w14:textId="77777777" w:rsidR="00F453C0" w:rsidRPr="00073F84" w:rsidRDefault="00F453C0" w:rsidP="00073F84">
      <w:pPr>
        <w:pBdr>
          <w:top w:val="nil"/>
          <w:left w:val="nil"/>
          <w:bottom w:val="nil"/>
          <w:right w:val="nil"/>
          <w:between w:val="nil"/>
        </w:pBdr>
        <w:spacing w:before="240" w:after="240"/>
        <w:rPr>
          <w:rFonts w:eastAsia="Palatino Linotype" w:cs="Palatino Linotype"/>
          <w:szCs w:val="22"/>
        </w:rPr>
      </w:pPr>
      <w:r w:rsidRPr="00073F84">
        <w:rPr>
          <w:rFonts w:eastAsia="Palatino Linotype" w:cs="Palatino Linotype"/>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65273967" w14:textId="77777777" w:rsidR="00F453C0" w:rsidRPr="00073F84" w:rsidRDefault="00F453C0" w:rsidP="00073F84">
      <w:pPr>
        <w:pStyle w:val="Puesto"/>
        <w:rPr>
          <w:rFonts w:eastAsia="Palatino Linotype"/>
        </w:rPr>
      </w:pPr>
      <w:r w:rsidRPr="00073F84">
        <w:rPr>
          <w:rFonts w:eastAsia="Palatino Linotype"/>
        </w:rPr>
        <w:lastRenderedPageBreak/>
        <w:t>“</w:t>
      </w:r>
      <w:r w:rsidRPr="00073F84">
        <w:rPr>
          <w:rFonts w:eastAsia="Palatino Linotype"/>
          <w:b/>
        </w:rPr>
        <w:t xml:space="preserve">Es improcedente ampliar las solicitudes de acceso a información, a través de la interposición del recurso de revisión. </w:t>
      </w:r>
      <w:r w:rsidRPr="00073F84">
        <w:rPr>
          <w:rFonts w:eastAsia="Palatino Linotype"/>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073F84">
        <w:rPr>
          <w:rFonts w:eastAsia="Palatino Linotype"/>
          <w:b/>
        </w:rPr>
        <w:t>.</w:t>
      </w:r>
      <w:r w:rsidRPr="00073F84">
        <w:rPr>
          <w:rFonts w:eastAsia="Palatino Linotype"/>
        </w:rPr>
        <w:t>”(Sic)</w:t>
      </w:r>
    </w:p>
    <w:p w14:paraId="0092B02A" w14:textId="77777777" w:rsidR="00466D34" w:rsidRPr="00073F84" w:rsidRDefault="00466D34" w:rsidP="00073F84"/>
    <w:p w14:paraId="49AC95A1" w14:textId="3C339486" w:rsidR="00C03758" w:rsidRPr="00073F84" w:rsidRDefault="00F453C0" w:rsidP="00073F84">
      <w:pPr>
        <w:rPr>
          <w:szCs w:val="22"/>
        </w:rPr>
      </w:pPr>
      <w:r w:rsidRPr="00073F84">
        <w:rPr>
          <w:bCs/>
          <w:szCs w:val="22"/>
        </w:rPr>
        <w:t xml:space="preserve">En consecuencia, el estudio únicamente se realizará respecto a la información solicitada por </w:t>
      </w:r>
      <w:r w:rsidRPr="00073F84">
        <w:rPr>
          <w:b/>
          <w:bCs/>
          <w:szCs w:val="22"/>
        </w:rPr>
        <w:t>LA PERSONA</w:t>
      </w:r>
      <w:r w:rsidRPr="00073F84">
        <w:rPr>
          <w:bCs/>
          <w:szCs w:val="22"/>
        </w:rPr>
        <w:t xml:space="preserve"> </w:t>
      </w:r>
      <w:r w:rsidRPr="00073F84">
        <w:rPr>
          <w:b/>
          <w:bCs/>
          <w:szCs w:val="22"/>
        </w:rPr>
        <w:t>RECURRENTE</w:t>
      </w:r>
      <w:r w:rsidRPr="00073F84">
        <w:rPr>
          <w:szCs w:val="22"/>
        </w:rPr>
        <w:t xml:space="preserve"> de origen, es decir, respecto de </w:t>
      </w:r>
      <w:r w:rsidR="00C03758" w:rsidRPr="00073F84">
        <w:rPr>
          <w:szCs w:val="22"/>
        </w:rPr>
        <w:t xml:space="preserve">la Cédula Profesional de la servidora pública de nombre Claudia </w:t>
      </w:r>
      <w:proofErr w:type="spellStart"/>
      <w:r w:rsidR="00C03758" w:rsidRPr="00073F84">
        <w:rPr>
          <w:szCs w:val="22"/>
        </w:rPr>
        <w:t>Noguez</w:t>
      </w:r>
      <w:proofErr w:type="spellEnd"/>
      <w:r w:rsidR="00C03758" w:rsidRPr="00073F84">
        <w:rPr>
          <w:szCs w:val="22"/>
        </w:rPr>
        <w:t xml:space="preserve"> </w:t>
      </w:r>
      <w:proofErr w:type="spellStart"/>
      <w:r w:rsidR="00C03758" w:rsidRPr="00073F84">
        <w:rPr>
          <w:szCs w:val="22"/>
        </w:rPr>
        <w:t>Gonzalez</w:t>
      </w:r>
      <w:proofErr w:type="spellEnd"/>
      <w:r w:rsidR="00C03758" w:rsidRPr="00073F84">
        <w:rPr>
          <w:szCs w:val="22"/>
        </w:rPr>
        <w:t>.</w:t>
      </w:r>
    </w:p>
    <w:p w14:paraId="7CF51E05" w14:textId="77777777" w:rsidR="00C03758" w:rsidRPr="00073F84" w:rsidRDefault="00C03758" w:rsidP="00073F84">
      <w:pPr>
        <w:rPr>
          <w:szCs w:val="22"/>
        </w:rPr>
      </w:pPr>
    </w:p>
    <w:p w14:paraId="596908C9" w14:textId="77777777" w:rsidR="00C03758" w:rsidRPr="00073F84" w:rsidRDefault="00C03758" w:rsidP="00073F84">
      <w:pPr>
        <w:ind w:right="-28"/>
        <w:rPr>
          <w:szCs w:val="22"/>
        </w:rPr>
      </w:pPr>
      <w:r w:rsidRPr="00073F84">
        <w:rPr>
          <w:szCs w:val="22"/>
        </w:rPr>
        <w:t xml:space="preserve">Establecido lo anterior, se tiene que respecto de lo peticionado por la persona usuaria del </w:t>
      </w:r>
      <w:r w:rsidRPr="00073F84">
        <w:rPr>
          <w:b/>
          <w:szCs w:val="22"/>
        </w:rPr>
        <w:t xml:space="preserve">SAIMEX, EL SUJETO OBLIGADO </w:t>
      </w:r>
      <w:r w:rsidRPr="00073F84">
        <w:rPr>
          <w:szCs w:val="22"/>
        </w:rPr>
        <w:t>manifestó en su respuesta que no genera información relacionado con lo solicitado.</w:t>
      </w:r>
    </w:p>
    <w:p w14:paraId="2D82ECC6" w14:textId="77777777" w:rsidR="00C03758" w:rsidRPr="00073F84" w:rsidRDefault="00C03758" w:rsidP="00073F84">
      <w:pPr>
        <w:ind w:right="-28"/>
        <w:rPr>
          <w:szCs w:val="22"/>
        </w:rPr>
      </w:pPr>
    </w:p>
    <w:p w14:paraId="12C23509" w14:textId="77777777" w:rsidR="00C03758" w:rsidRPr="00073F84" w:rsidRDefault="00C03758" w:rsidP="00073F84">
      <w:pPr>
        <w:ind w:right="-28"/>
      </w:pPr>
      <w:r w:rsidRPr="00073F84">
        <w:rPr>
          <w:szCs w:val="22"/>
        </w:rPr>
        <w:t xml:space="preserve">De lo que se advierte que es un pronunciamiento en sentido negativo, </w:t>
      </w:r>
      <w:r w:rsidRPr="00073F84">
        <w:rPr>
          <w:rFonts w:eastAsia="Palatino Linotype" w:cs="Palatino Linotype"/>
        </w:rPr>
        <w:t xml:space="preserve">actualizándose de esta manera </w:t>
      </w:r>
      <w:r w:rsidRPr="00073F84">
        <w:rPr>
          <w:rFonts w:cs="Arial"/>
        </w:rPr>
        <w:t xml:space="preserve">el supuesto jurídico de hechos negativos. </w:t>
      </w:r>
    </w:p>
    <w:p w14:paraId="3F794A39" w14:textId="77777777" w:rsidR="00C03758" w:rsidRPr="00073F84" w:rsidRDefault="00C03758" w:rsidP="00073F84">
      <w:pPr>
        <w:widowControl w:val="0"/>
        <w:autoSpaceDE w:val="0"/>
        <w:autoSpaceDN w:val="0"/>
        <w:adjustRightInd w:val="0"/>
        <w:ind w:right="-28"/>
        <w:rPr>
          <w:rFonts w:cs="Arial"/>
        </w:rPr>
      </w:pPr>
    </w:p>
    <w:p w14:paraId="2B215023" w14:textId="77777777" w:rsidR="00C03758" w:rsidRPr="00073F84" w:rsidRDefault="00C03758" w:rsidP="00073F84">
      <w:pPr>
        <w:widowControl w:val="0"/>
        <w:autoSpaceDE w:val="0"/>
        <w:autoSpaceDN w:val="0"/>
        <w:adjustRightInd w:val="0"/>
        <w:ind w:right="-28"/>
        <w:rPr>
          <w:rFonts w:cs="Arial"/>
        </w:rPr>
      </w:pPr>
      <w:r w:rsidRPr="00073F84">
        <w:rPr>
          <w:rFonts w:cs="Arial"/>
        </w:rPr>
        <w:t xml:space="preserve">Así, si se considera el hecho negativo, por lo que se advierte que el </w:t>
      </w:r>
      <w:r w:rsidRPr="00073F84">
        <w:rPr>
          <w:rFonts w:cs="Arial"/>
          <w:b/>
          <w:bCs/>
        </w:rPr>
        <w:t>SUJETO OBLIGADO</w:t>
      </w:r>
      <w:r w:rsidRPr="00073F84">
        <w:rPr>
          <w:rFonts w:cs="Arial"/>
        </w:rPr>
        <w:t>, no contaba con esos archivos o información a la fecha de la solicitud, ya que no puede probarse por ser lógica y materialmente imposible.</w:t>
      </w:r>
    </w:p>
    <w:p w14:paraId="380C29FA" w14:textId="77777777" w:rsidR="00C03758" w:rsidRPr="00073F84" w:rsidRDefault="00C03758" w:rsidP="00073F84">
      <w:pPr>
        <w:widowControl w:val="0"/>
        <w:autoSpaceDE w:val="0"/>
        <w:autoSpaceDN w:val="0"/>
        <w:adjustRightInd w:val="0"/>
        <w:ind w:right="-28"/>
        <w:rPr>
          <w:rFonts w:cs="Arial"/>
        </w:rPr>
      </w:pPr>
    </w:p>
    <w:p w14:paraId="45B33ECD" w14:textId="77777777" w:rsidR="00C03758" w:rsidRPr="00073F84" w:rsidRDefault="00C03758" w:rsidP="00073F84">
      <w:pPr>
        <w:widowControl w:val="0"/>
        <w:autoSpaceDE w:val="0"/>
        <w:autoSpaceDN w:val="0"/>
        <w:adjustRightInd w:val="0"/>
        <w:ind w:right="-28"/>
        <w:rPr>
          <w:rFonts w:cs="Arial"/>
        </w:rPr>
      </w:pPr>
      <w:r w:rsidRPr="00073F84">
        <w:rPr>
          <w:rFonts w:cs="Arial"/>
        </w:rPr>
        <w:t>Asimismo, no se trata de un caso por el cual la negación del hecho implique la afirmación del mismo, simplemente se está ante una notoria y evidente inexistencia fáctica de la información solicitada.</w:t>
      </w:r>
    </w:p>
    <w:p w14:paraId="087D164B" w14:textId="77777777" w:rsidR="00C03758" w:rsidRPr="00073F84" w:rsidRDefault="00C03758" w:rsidP="00073F84">
      <w:pPr>
        <w:widowControl w:val="0"/>
        <w:autoSpaceDE w:val="0"/>
        <w:autoSpaceDN w:val="0"/>
        <w:adjustRightInd w:val="0"/>
        <w:ind w:right="-28"/>
        <w:rPr>
          <w:rFonts w:cs="Arial"/>
        </w:rPr>
      </w:pPr>
    </w:p>
    <w:p w14:paraId="41CCEA3A" w14:textId="77777777" w:rsidR="00C03758" w:rsidRPr="00073F84" w:rsidRDefault="00C03758" w:rsidP="00073F84">
      <w:pPr>
        <w:widowControl w:val="0"/>
        <w:autoSpaceDE w:val="0"/>
        <w:autoSpaceDN w:val="0"/>
        <w:adjustRightInd w:val="0"/>
        <w:ind w:right="-28"/>
        <w:rPr>
          <w:rFonts w:cs="Arial"/>
        </w:rPr>
      </w:pPr>
      <w:r w:rsidRPr="00073F84">
        <w:rPr>
          <w:rFonts w:cs="Arial"/>
        </w:rPr>
        <w:lastRenderedPageBreak/>
        <w:t xml:space="preserve">En atención a lo anterior, de conformidad con lo establecido en el artículo 12 de la Ley de Transparencia y Acceso a la Información Pública del Estado de México y Municipios de aplicación supletoria a la materia </w:t>
      </w:r>
      <w:r w:rsidRPr="00073F84">
        <w:rPr>
          <w:rFonts w:cs="Arial"/>
          <w:b/>
        </w:rPr>
        <w:t>EL SUJETO OBLIGADO</w:t>
      </w:r>
      <w:r w:rsidRPr="00073F84">
        <w:rPr>
          <w:rFonts w:cs="Arial"/>
        </w:rPr>
        <w:t xml:space="preserve"> sólo proporcionará los datos personales que obren en sus archivos, lo que a </w:t>
      </w:r>
      <w:r w:rsidRPr="00073F84">
        <w:rPr>
          <w:rFonts w:cs="Arial"/>
          <w:i/>
        </w:rPr>
        <w:t>contrario sensu</w:t>
      </w:r>
      <w:r w:rsidRPr="00073F84">
        <w:rPr>
          <w:rFonts w:cs="Arial"/>
        </w:rPr>
        <w:t xml:space="preserve"> significa que no se está obligado a proporcionar lo que no obre en sus archivos.</w:t>
      </w:r>
    </w:p>
    <w:p w14:paraId="6D4288A3" w14:textId="77777777" w:rsidR="00C03758" w:rsidRPr="00073F84" w:rsidRDefault="00C03758" w:rsidP="00073F84">
      <w:pPr>
        <w:widowControl w:val="0"/>
        <w:autoSpaceDE w:val="0"/>
        <w:autoSpaceDN w:val="0"/>
        <w:adjustRightInd w:val="0"/>
        <w:ind w:right="-28"/>
        <w:rPr>
          <w:rFonts w:cs="Arial"/>
        </w:rPr>
      </w:pPr>
    </w:p>
    <w:p w14:paraId="2C80BFB1" w14:textId="77777777" w:rsidR="00C03758" w:rsidRPr="00073F84" w:rsidRDefault="00C03758" w:rsidP="00073F84">
      <w:pPr>
        <w:widowControl w:val="0"/>
        <w:autoSpaceDE w:val="0"/>
        <w:autoSpaceDN w:val="0"/>
        <w:adjustRightInd w:val="0"/>
        <w:ind w:right="-28"/>
        <w:rPr>
          <w:rFonts w:cs="Arial"/>
        </w:rPr>
      </w:pPr>
      <w:r w:rsidRPr="00073F84">
        <w:rPr>
          <w:rFonts w:cs="Arial"/>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6246A11F" w14:textId="77777777" w:rsidR="00C03758" w:rsidRPr="00073F84" w:rsidRDefault="00C03758" w:rsidP="00073F84">
      <w:pPr>
        <w:widowControl w:val="0"/>
        <w:autoSpaceDE w:val="0"/>
        <w:autoSpaceDN w:val="0"/>
        <w:adjustRightInd w:val="0"/>
        <w:ind w:right="-28"/>
        <w:rPr>
          <w:rFonts w:cs="Arial"/>
        </w:rPr>
      </w:pPr>
    </w:p>
    <w:p w14:paraId="4AA00877" w14:textId="77777777" w:rsidR="00C03758" w:rsidRPr="00073F84" w:rsidRDefault="00C03758" w:rsidP="00073F84">
      <w:pPr>
        <w:pStyle w:val="Puesto"/>
      </w:pPr>
      <w:r w:rsidRPr="00073F84">
        <w:rPr>
          <w:b/>
        </w:rPr>
        <w:t xml:space="preserve">“HECHOS NEGATIVOS, NO SON SUSCEPTIBLES DE DEMOSTRACIÓN. </w:t>
      </w:r>
      <w:r w:rsidRPr="00073F84">
        <w:t>Tratándose de un hecho negativo, el Juez no tiene por qué invocar prueba alguna de la que se desprenda, ya que es bien sabido que esta clase de hechos no son susceptibles de demostración.”</w:t>
      </w:r>
    </w:p>
    <w:p w14:paraId="78718DC6" w14:textId="77777777" w:rsidR="00C03758" w:rsidRPr="00073F84" w:rsidRDefault="00C03758" w:rsidP="00073F84">
      <w:pPr>
        <w:pStyle w:val="Puesto"/>
        <w:rPr>
          <w:rFonts w:eastAsia="Calibri"/>
          <w:lang w:val="es-ES_tradnl"/>
        </w:rPr>
      </w:pPr>
      <w:r w:rsidRPr="00073F84">
        <w:rPr>
          <w:rFonts w:eastAsia="Calibri"/>
        </w:rPr>
        <w:t>(Énfasis añadido)</w:t>
      </w:r>
    </w:p>
    <w:p w14:paraId="3758EF40" w14:textId="77777777" w:rsidR="00C03758" w:rsidRPr="00073F84" w:rsidRDefault="00C03758" w:rsidP="00073F84">
      <w:pPr>
        <w:widowControl w:val="0"/>
        <w:autoSpaceDE w:val="0"/>
        <w:autoSpaceDN w:val="0"/>
        <w:adjustRightInd w:val="0"/>
        <w:ind w:left="850" w:right="-28"/>
        <w:jc w:val="right"/>
        <w:rPr>
          <w:rFonts w:cs="Arial"/>
          <w:i/>
        </w:rPr>
      </w:pPr>
    </w:p>
    <w:p w14:paraId="69DF29B6" w14:textId="77777777" w:rsidR="00C03758" w:rsidRPr="00073F84" w:rsidRDefault="00C03758" w:rsidP="00073F84">
      <w:pPr>
        <w:ind w:right="-28"/>
      </w:pPr>
      <w:r w:rsidRPr="00073F84">
        <w:t>Por lo anterior, para robustecer lo siguiente, se anexa el siguiente criterio:</w:t>
      </w:r>
    </w:p>
    <w:p w14:paraId="3150258D" w14:textId="77777777" w:rsidR="00C03758" w:rsidRPr="00073F84" w:rsidRDefault="00C03758" w:rsidP="00073F84">
      <w:pPr>
        <w:ind w:right="-28"/>
      </w:pPr>
    </w:p>
    <w:p w14:paraId="6ABD646B" w14:textId="77777777" w:rsidR="00C03758" w:rsidRPr="00073F84" w:rsidRDefault="00C03758" w:rsidP="00073F84">
      <w:pPr>
        <w:pStyle w:val="Puesto"/>
      </w:pPr>
      <w:r w:rsidRPr="00073F84">
        <w:t>“</w:t>
      </w:r>
      <w:r w:rsidRPr="00073F84">
        <w:rPr>
          <w:b/>
        </w:rPr>
        <w:t>HECHO NEGATIVO. DIFERENCIA CON LA INEXISTENCIA DE LA INFORMACIÓN A LA QUE REFIERE EL ARTICULO 19 DE LA LEY DE TRANSPARENCIA Y ACCESO A LA INFORMACIÓN PÚBLICA DEL ESTADO DE MÉXICO Y MUNICIPIOS.</w:t>
      </w:r>
      <w:r w:rsidRPr="00073F84">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w:t>
      </w:r>
      <w:r w:rsidRPr="00073F84">
        <w:lastRenderedPageBreak/>
        <w:t>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7EC240AC" w14:textId="77777777" w:rsidR="00C03758" w:rsidRPr="00073F84" w:rsidRDefault="00C03758" w:rsidP="00073F84">
      <w:pPr>
        <w:pStyle w:val="Puesto"/>
      </w:pPr>
    </w:p>
    <w:p w14:paraId="7D380496" w14:textId="77777777" w:rsidR="00C03758" w:rsidRPr="00073F84" w:rsidRDefault="00C03758" w:rsidP="00073F84">
      <w:pPr>
        <w:pStyle w:val="Puesto"/>
        <w:rPr>
          <w:rFonts w:eastAsia="Calibri"/>
          <w:lang w:val="es-ES_tradnl"/>
        </w:rPr>
      </w:pPr>
      <w:r w:rsidRPr="00073F84">
        <w:rPr>
          <w:rFonts w:eastAsia="Calibri"/>
        </w:rPr>
        <w:t>(Énfasis añadido)</w:t>
      </w:r>
    </w:p>
    <w:p w14:paraId="6914E34E" w14:textId="77777777" w:rsidR="00C03758" w:rsidRPr="00073F84" w:rsidRDefault="00C03758" w:rsidP="00073F84">
      <w:pPr>
        <w:tabs>
          <w:tab w:val="left" w:pos="7938"/>
        </w:tabs>
        <w:contextualSpacing/>
        <w:rPr>
          <w:szCs w:val="22"/>
        </w:rPr>
      </w:pPr>
    </w:p>
    <w:p w14:paraId="55E88F58" w14:textId="634DCD6A" w:rsidR="00901187" w:rsidRPr="00073F84" w:rsidRDefault="00901187" w:rsidP="00073F84">
      <w:pPr>
        <w:tabs>
          <w:tab w:val="left" w:pos="7938"/>
        </w:tabs>
        <w:contextualSpacing/>
        <w:rPr>
          <w:rFonts w:cs="Arial"/>
          <w:sz w:val="24"/>
          <w:szCs w:val="24"/>
        </w:rPr>
      </w:pPr>
      <w:r w:rsidRPr="00073F84">
        <w:rPr>
          <w:rFonts w:cs="Arial"/>
          <w:sz w:val="24"/>
          <w:szCs w:val="24"/>
        </w:rPr>
        <w:t xml:space="preserve">Pronunciamiento que fortaleció con lo manifestado en el informe justificado, en el que señaló que </w:t>
      </w:r>
      <w:r w:rsidR="005C0515" w:rsidRPr="00073F84">
        <w:rPr>
          <w:rFonts w:cs="Arial"/>
          <w:sz w:val="24"/>
          <w:szCs w:val="24"/>
        </w:rPr>
        <w:t xml:space="preserve">el requisito de escolaridad </w:t>
      </w:r>
      <w:r w:rsidRPr="00073F84">
        <w:rPr>
          <w:rFonts w:cs="Arial"/>
          <w:sz w:val="24"/>
          <w:szCs w:val="24"/>
        </w:rPr>
        <w:t xml:space="preserve">sólo aplica para los niveles </w:t>
      </w:r>
      <w:r w:rsidR="005C0515" w:rsidRPr="00073F84">
        <w:rPr>
          <w:rFonts w:cs="Arial"/>
          <w:sz w:val="24"/>
          <w:szCs w:val="24"/>
        </w:rPr>
        <w:t xml:space="preserve">del </w:t>
      </w:r>
      <w:r w:rsidRPr="00073F84">
        <w:rPr>
          <w:rFonts w:cs="Arial"/>
          <w:sz w:val="24"/>
          <w:szCs w:val="24"/>
        </w:rPr>
        <w:t>1 al 23</w:t>
      </w:r>
      <w:r w:rsidR="005C0515" w:rsidRPr="00073F84">
        <w:rPr>
          <w:rFonts w:cs="Arial"/>
          <w:sz w:val="24"/>
          <w:szCs w:val="24"/>
        </w:rPr>
        <w:t>; y t</w:t>
      </w:r>
      <w:r w:rsidRPr="00073F84">
        <w:rPr>
          <w:rFonts w:cs="Arial"/>
          <w:sz w:val="24"/>
          <w:szCs w:val="24"/>
        </w:rPr>
        <w:t>oda vez que</w:t>
      </w:r>
      <w:r w:rsidR="005C0515" w:rsidRPr="00073F84">
        <w:rPr>
          <w:rFonts w:cs="Arial"/>
          <w:sz w:val="24"/>
          <w:szCs w:val="24"/>
        </w:rPr>
        <w:t xml:space="preserve"> la C.</w:t>
      </w:r>
      <w:r w:rsidRPr="00073F84">
        <w:rPr>
          <w:rFonts w:cs="Arial"/>
          <w:sz w:val="24"/>
          <w:szCs w:val="24"/>
        </w:rPr>
        <w:t xml:space="preserve"> Claudia </w:t>
      </w:r>
      <w:proofErr w:type="spellStart"/>
      <w:r w:rsidRPr="00073F84">
        <w:rPr>
          <w:rFonts w:cs="Arial"/>
          <w:sz w:val="24"/>
          <w:szCs w:val="24"/>
        </w:rPr>
        <w:t>Noguez</w:t>
      </w:r>
      <w:proofErr w:type="spellEnd"/>
      <w:r w:rsidRPr="00073F84">
        <w:rPr>
          <w:rFonts w:cs="Arial"/>
          <w:sz w:val="24"/>
          <w:szCs w:val="24"/>
        </w:rPr>
        <w:t xml:space="preserve"> González, ocupa un puesto de Directora de área con nivel 28 (plaza de confianza), no es requisito para ella; sin embargo, si cuenta con t</w:t>
      </w:r>
      <w:r w:rsidR="005C0515" w:rsidRPr="00073F84">
        <w:rPr>
          <w:rFonts w:cs="Arial"/>
          <w:sz w:val="24"/>
          <w:szCs w:val="24"/>
        </w:rPr>
        <w:t>ítulo profesional.</w:t>
      </w:r>
    </w:p>
    <w:p w14:paraId="3ACE520C" w14:textId="77777777" w:rsidR="005C0515" w:rsidRPr="00073F84" w:rsidRDefault="005C0515" w:rsidP="00073F84">
      <w:pPr>
        <w:tabs>
          <w:tab w:val="left" w:pos="7938"/>
        </w:tabs>
        <w:contextualSpacing/>
        <w:rPr>
          <w:rFonts w:cs="Arial"/>
          <w:sz w:val="24"/>
          <w:szCs w:val="24"/>
        </w:rPr>
      </w:pPr>
    </w:p>
    <w:p w14:paraId="182E577A" w14:textId="0F2F5430" w:rsidR="005C0515" w:rsidRPr="00073F84" w:rsidRDefault="00E971F5" w:rsidP="00073F84">
      <w:pPr>
        <w:tabs>
          <w:tab w:val="left" w:pos="7938"/>
        </w:tabs>
        <w:contextualSpacing/>
        <w:rPr>
          <w:rFonts w:cs="Arial"/>
          <w:sz w:val="24"/>
          <w:szCs w:val="24"/>
        </w:rPr>
      </w:pPr>
      <w:r w:rsidRPr="00073F84">
        <w:rPr>
          <w:rFonts w:cs="Arial"/>
          <w:sz w:val="24"/>
          <w:szCs w:val="24"/>
        </w:rPr>
        <w:t xml:space="preserve">En ese sentido, se procedió a verificar </w:t>
      </w:r>
      <w:r w:rsidR="003D5071" w:rsidRPr="00073F84">
        <w:rPr>
          <w:rFonts w:cs="Arial"/>
          <w:sz w:val="24"/>
          <w:szCs w:val="24"/>
        </w:rPr>
        <w:t xml:space="preserve">el portal de </w:t>
      </w:r>
      <w:proofErr w:type="spellStart"/>
      <w:r w:rsidR="003D5071" w:rsidRPr="00073F84">
        <w:rPr>
          <w:rFonts w:cs="Arial"/>
          <w:sz w:val="24"/>
          <w:szCs w:val="24"/>
        </w:rPr>
        <w:t>Ipomex</w:t>
      </w:r>
      <w:proofErr w:type="spellEnd"/>
      <w:r w:rsidR="003D5071" w:rsidRPr="00073F84">
        <w:rPr>
          <w:rFonts w:cs="Arial"/>
          <w:sz w:val="24"/>
          <w:szCs w:val="24"/>
        </w:rPr>
        <w:t xml:space="preserve"> localizando que la servidora pública de la que se peticiona la información, ocupa el cargo de directora de área, como se ilustra:</w:t>
      </w:r>
    </w:p>
    <w:p w14:paraId="25BD71FB" w14:textId="7140B68E" w:rsidR="003D5071" w:rsidRPr="00073F84" w:rsidRDefault="00933F8B" w:rsidP="00073F84">
      <w:pPr>
        <w:tabs>
          <w:tab w:val="left" w:pos="7938"/>
        </w:tabs>
        <w:contextualSpacing/>
        <w:rPr>
          <w:rFonts w:cs="Arial"/>
          <w:sz w:val="24"/>
          <w:szCs w:val="24"/>
        </w:rPr>
      </w:pPr>
      <w:r w:rsidRPr="00073F84">
        <w:rPr>
          <w:rFonts w:cs="Arial"/>
          <w:noProof/>
          <w:sz w:val="24"/>
          <w:szCs w:val="24"/>
          <w:lang w:eastAsia="es-MX"/>
          <w14:ligatures w14:val="standardContextual"/>
        </w:rPr>
        <w:lastRenderedPageBreak/>
        <mc:AlternateContent>
          <mc:Choice Requires="wps">
            <w:drawing>
              <wp:anchor distT="0" distB="0" distL="114300" distR="114300" simplePos="0" relativeHeight="251659264" behindDoc="0" locked="0" layoutInCell="1" allowOverlap="1" wp14:anchorId="5AA85095" wp14:editId="68333AFE">
                <wp:simplePos x="0" y="0"/>
                <wp:positionH relativeFrom="column">
                  <wp:posOffset>3239770</wp:posOffset>
                </wp:positionH>
                <wp:positionV relativeFrom="paragraph">
                  <wp:posOffset>1056005</wp:posOffset>
                </wp:positionV>
                <wp:extent cx="1009650" cy="821055"/>
                <wp:effectExtent l="19050" t="19050" r="19050" b="17145"/>
                <wp:wrapNone/>
                <wp:docPr id="7" name="Rectángulo 7"/>
                <wp:cNvGraphicFramePr/>
                <a:graphic xmlns:a="http://schemas.openxmlformats.org/drawingml/2006/main">
                  <a:graphicData uri="http://schemas.microsoft.com/office/word/2010/wordprocessingShape">
                    <wps:wsp>
                      <wps:cNvSpPr/>
                      <wps:spPr>
                        <a:xfrm>
                          <a:off x="0" y="0"/>
                          <a:ext cx="1009650" cy="8210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0BBE2" id="Rectángulo 7" o:spid="_x0000_s1026" style="position:absolute;margin-left:255.1pt;margin-top:83.15pt;width:79.5pt;height:6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" filled="f" strokecolor="red" strokeweight="2.25pt"/>
            </w:pict>
          </mc:Fallback>
        </mc:AlternateContent>
      </w:r>
      <w:r w:rsidR="003D5071" w:rsidRPr="00073F84">
        <w:rPr>
          <w:rFonts w:cs="Arial"/>
          <w:noProof/>
          <w:sz w:val="24"/>
          <w:szCs w:val="24"/>
          <w:lang w:eastAsia="es-MX"/>
        </w:rPr>
        <w:drawing>
          <wp:inline distT="0" distB="0" distL="0" distR="0" wp14:anchorId="3E84464B" wp14:editId="790C386B">
            <wp:extent cx="5742940" cy="18783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878330"/>
                    </a:xfrm>
                    <a:prstGeom prst="rect">
                      <a:avLst/>
                    </a:prstGeom>
                  </pic:spPr>
                </pic:pic>
              </a:graphicData>
            </a:graphic>
          </wp:inline>
        </w:drawing>
      </w:r>
    </w:p>
    <w:p w14:paraId="64DD66B1" w14:textId="77777777" w:rsidR="003D5071" w:rsidRPr="00073F84" w:rsidRDefault="003D5071" w:rsidP="00073F84">
      <w:pPr>
        <w:tabs>
          <w:tab w:val="left" w:pos="7938"/>
        </w:tabs>
        <w:contextualSpacing/>
        <w:rPr>
          <w:rFonts w:cs="Arial"/>
          <w:sz w:val="24"/>
          <w:szCs w:val="24"/>
        </w:rPr>
      </w:pPr>
    </w:p>
    <w:p w14:paraId="0872D504" w14:textId="77777777" w:rsidR="00335A0B" w:rsidRPr="00073F84" w:rsidRDefault="00335A0B" w:rsidP="00073F84">
      <w:pPr>
        <w:ind w:right="49"/>
        <w:rPr>
          <w:rFonts w:eastAsia="Calibri" w:cs="Tahoma"/>
          <w:iCs/>
          <w:noProof/>
          <w:szCs w:val="22"/>
          <w:lang w:val="es-ES" w:eastAsia="es-ES_tradnl"/>
        </w:rPr>
      </w:pPr>
      <w:r w:rsidRPr="00073F84">
        <w:rPr>
          <w:rFonts w:eastAsia="Calibri" w:cs="Tahoma"/>
          <w:iCs/>
          <w:noProof/>
          <w:szCs w:val="22"/>
          <w:lang w:val="es-ES" w:eastAsia="es-ES_tradnl"/>
        </w:rPr>
        <w:t xml:space="preserve">Aunado a lo anterior, se debe considerar el </w:t>
      </w:r>
      <w:r w:rsidRPr="00073F84">
        <w:rPr>
          <w:rFonts w:eastAsia="Calibri" w:cs="Tahoma"/>
          <w:b/>
          <w:i/>
          <w:iCs/>
          <w:noProof/>
          <w:szCs w:val="22"/>
          <w:lang w:val="es-ES" w:eastAsia="es-ES_tradnl"/>
        </w:rPr>
        <w:t>Manual de Normas y Procedimientos de Desarrollo y Administración de Personal</w:t>
      </w:r>
      <w:r w:rsidRPr="00073F84">
        <w:rPr>
          <w:rFonts w:eastAsia="Calibri" w:cs="Tahoma"/>
          <w:iCs/>
          <w:noProof/>
          <w:szCs w:val="22"/>
          <w:lang w:val="es-ES" w:eastAsia="es-ES_tradnl"/>
        </w:rPr>
        <w:t xml:space="preserve"> que es de obsevancia obligatoria en las dependencias del sector central del Poder Ejecutivo, el cual contiene dentro de sus apartados el “</w:t>
      </w:r>
      <w:r w:rsidRPr="00073F84">
        <w:rPr>
          <w:rFonts w:eastAsia="Calibri" w:cs="Tahoma"/>
          <w:i/>
          <w:iCs/>
          <w:noProof/>
          <w:szCs w:val="22"/>
          <w:lang w:val="es-ES" w:eastAsia="es-ES_tradnl"/>
        </w:rPr>
        <w:t>Procedimiento: 021 Alta o Reingreso de Servidoras Públicas y Servidores Públicos Generales y de Confianza</w:t>
      </w:r>
      <w:r w:rsidRPr="00073F84">
        <w:rPr>
          <w:rFonts w:eastAsia="Calibri" w:cs="Tahoma"/>
          <w:iCs/>
          <w:noProof/>
          <w:szCs w:val="22"/>
          <w:lang w:val="es-ES" w:eastAsia="es-ES_tradnl"/>
        </w:rPr>
        <w:t xml:space="preserve">” disponible en </w:t>
      </w:r>
      <w:hyperlink r:id="rId15" w:history="1">
        <w:r w:rsidRPr="00073F84">
          <w:rPr>
            <w:rStyle w:val="Hipervnculo"/>
            <w:rFonts w:eastAsia="Calibri" w:cs="Tahoma"/>
            <w:iCs/>
            <w:noProof/>
            <w:color w:val="auto"/>
            <w:szCs w:val="22"/>
            <w:lang w:val="es-ES" w:eastAsia="es-ES_tradnl"/>
          </w:rPr>
          <w:t>https://finanzas.edomex.gob.mx/sites/finanzas.edomex.gob.mx/files/files/Servidores%20Publicos/MANUAL/Procedimientos/021_2019.pdf</w:t>
        </w:r>
      </w:hyperlink>
      <w:r w:rsidRPr="00073F84">
        <w:rPr>
          <w:rFonts w:eastAsia="Calibri" w:cs="Tahoma"/>
          <w:iCs/>
          <w:noProof/>
          <w:szCs w:val="22"/>
          <w:lang w:val="es-ES" w:eastAsia="es-ES_tradnl"/>
        </w:rPr>
        <w:t xml:space="preserve"> en el que se advierte que el objetivo es procesar el movimiento de alta de las candidatas o los candidatos que ingresen o reingresen en cualquiera de las dependencias del sector central, con el propósito de emitir su pago quincenal y establecer, mediante su nombramiento, la relación laboral entre la servidora pública o el servidor público y el Gobierno del Estado, resultado de interés la política </w:t>
      </w:r>
      <w:r w:rsidRPr="00073F84">
        <w:rPr>
          <w:rFonts w:eastAsia="Calibri" w:cs="Tahoma"/>
          <w:b/>
          <w:bCs/>
          <w:iCs/>
          <w:noProof/>
          <w:szCs w:val="22"/>
          <w:lang w:val="es-ES" w:eastAsia="es-ES_tradnl"/>
        </w:rPr>
        <w:t xml:space="preserve">0301/021-08, </w:t>
      </w:r>
      <w:r w:rsidRPr="00073F84">
        <w:rPr>
          <w:rFonts w:eastAsia="Calibri" w:cs="Tahoma"/>
          <w:iCs/>
          <w:noProof/>
          <w:szCs w:val="22"/>
          <w:lang w:val="es-ES" w:eastAsia="es-ES_tradnl"/>
        </w:rPr>
        <w:t xml:space="preserve">en la que establece que </w:t>
      </w:r>
      <w:r w:rsidRPr="00073F84">
        <w:rPr>
          <w:rFonts w:eastAsia="Calibri" w:cs="Tahoma"/>
          <w:b/>
          <w:bCs/>
          <w:iCs/>
          <w:noProof/>
          <w:szCs w:val="22"/>
          <w:u w:val="single"/>
          <w:lang w:val="es-ES" w:eastAsia="es-ES_tradnl"/>
        </w:rPr>
        <w:t>una vez aceptado para ocupar un puesto, la candidata o el candidato deberá presentar la documentación requerida que formará parte de su expediente personal. No podrá realizarse el trámite de alta sin haberse cumplido previamente este requisito</w:t>
      </w:r>
      <w:r w:rsidRPr="00073F84">
        <w:rPr>
          <w:rFonts w:eastAsia="Calibri" w:cs="Tahoma"/>
          <w:iCs/>
          <w:noProof/>
          <w:szCs w:val="22"/>
          <w:lang w:val="es-ES" w:eastAsia="es-ES_tradnl"/>
        </w:rPr>
        <w:t>, como se advierte enseguida:</w:t>
      </w:r>
    </w:p>
    <w:p w14:paraId="3862BD37" w14:textId="77777777" w:rsidR="00335A0B" w:rsidRPr="00073F84" w:rsidRDefault="00335A0B" w:rsidP="00073F84">
      <w:pPr>
        <w:ind w:right="49"/>
        <w:rPr>
          <w:rFonts w:eastAsia="Calibri" w:cs="Tahoma"/>
          <w:iCs/>
          <w:noProof/>
          <w:szCs w:val="22"/>
          <w:lang w:val="es-ES" w:eastAsia="es-ES_tradnl"/>
        </w:rPr>
      </w:pPr>
    </w:p>
    <w:p w14:paraId="3F01BAC0" w14:textId="77777777" w:rsidR="00335A0B" w:rsidRPr="00073F84" w:rsidRDefault="00335A0B" w:rsidP="00073F84">
      <w:pPr>
        <w:ind w:right="49"/>
        <w:rPr>
          <w:rFonts w:eastAsia="Calibri" w:cs="Tahoma"/>
          <w:iCs/>
          <w:noProof/>
          <w:szCs w:val="22"/>
          <w:lang w:val="es-ES" w:eastAsia="es-ES_tradnl"/>
        </w:rPr>
      </w:pPr>
      <w:r w:rsidRPr="00073F84">
        <w:rPr>
          <w:noProof/>
          <w:lang w:eastAsia="es-MX"/>
        </w:rPr>
        <w:lastRenderedPageBreak/>
        <w:drawing>
          <wp:inline distT="0" distB="0" distL="0" distR="0" wp14:anchorId="6EF689F8" wp14:editId="0317D5E6">
            <wp:extent cx="5791835" cy="6864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1835" cy="686435"/>
                    </a:xfrm>
                    <a:prstGeom prst="rect">
                      <a:avLst/>
                    </a:prstGeom>
                  </pic:spPr>
                </pic:pic>
              </a:graphicData>
            </a:graphic>
          </wp:inline>
        </w:drawing>
      </w:r>
    </w:p>
    <w:p w14:paraId="40663470" w14:textId="77777777" w:rsidR="00335A0B" w:rsidRPr="00073F84" w:rsidRDefault="00335A0B" w:rsidP="00073F84">
      <w:pPr>
        <w:ind w:right="49"/>
        <w:rPr>
          <w:rFonts w:eastAsia="Calibri" w:cs="Tahoma"/>
          <w:iCs/>
          <w:noProof/>
          <w:szCs w:val="22"/>
          <w:lang w:val="es-ES" w:eastAsia="es-ES_tradnl"/>
        </w:rPr>
      </w:pPr>
    </w:p>
    <w:p w14:paraId="2BF67A9D" w14:textId="77777777" w:rsidR="00335A0B" w:rsidRPr="00073F84" w:rsidRDefault="00335A0B" w:rsidP="00073F84">
      <w:pPr>
        <w:ind w:right="49"/>
        <w:rPr>
          <w:rFonts w:eastAsia="Calibri" w:cs="Tahoma"/>
          <w:iCs/>
          <w:noProof/>
          <w:szCs w:val="22"/>
          <w:lang w:val="es-ES" w:eastAsia="es-ES_tradnl"/>
        </w:rPr>
      </w:pPr>
      <w:r w:rsidRPr="00073F84">
        <w:rPr>
          <w:rFonts w:eastAsia="Calibri" w:cs="Tahoma"/>
          <w:iCs/>
          <w:noProof/>
          <w:szCs w:val="22"/>
          <w:lang w:val="es-ES" w:eastAsia="es-ES_tradnl"/>
        </w:rPr>
        <w:t xml:space="preserve">En el mismo procedimiento en mención, nos indica cuales son los documentos que el Candidato (a) debe de presentar ante dicha Autoridad para que se procese el movimiento de Alta, siendo los siguientes: </w:t>
      </w:r>
    </w:p>
    <w:p w14:paraId="68FCEC31" w14:textId="77777777" w:rsidR="007C5727" w:rsidRPr="00073F84" w:rsidRDefault="007C5727" w:rsidP="00073F84">
      <w:pPr>
        <w:ind w:right="49"/>
        <w:rPr>
          <w:rFonts w:eastAsia="Calibri" w:cs="Tahoma"/>
          <w:iCs/>
          <w:noProof/>
          <w:szCs w:val="22"/>
          <w:lang w:val="es-ES" w:eastAsia="es-ES_tradnl"/>
        </w:rPr>
      </w:pPr>
    </w:p>
    <w:tbl>
      <w:tblPr>
        <w:tblStyle w:val="Tablaconcuadrcula"/>
        <w:tblW w:w="0" w:type="auto"/>
        <w:tblLayout w:type="fixed"/>
        <w:tblLook w:val="04A0" w:firstRow="1" w:lastRow="0" w:firstColumn="1" w:lastColumn="0" w:noHBand="0" w:noVBand="1"/>
      </w:tblPr>
      <w:tblGrid>
        <w:gridCol w:w="704"/>
        <w:gridCol w:w="2835"/>
        <w:gridCol w:w="5572"/>
      </w:tblGrid>
      <w:tr w:rsidR="00073F84" w:rsidRPr="00073F84" w14:paraId="5332B03E" w14:textId="77777777" w:rsidTr="007C5727">
        <w:trPr>
          <w:tblHeader/>
        </w:trPr>
        <w:tc>
          <w:tcPr>
            <w:tcW w:w="704" w:type="dxa"/>
            <w:shd w:val="clear" w:color="auto" w:fill="BFBFBF" w:themeFill="background1" w:themeFillShade="BF"/>
          </w:tcPr>
          <w:p w14:paraId="29CAAF48" w14:textId="77777777" w:rsidR="00335A0B" w:rsidRPr="00073F84" w:rsidRDefault="00335A0B" w:rsidP="00073F84">
            <w:pPr>
              <w:spacing w:line="276" w:lineRule="auto"/>
              <w:jc w:val="center"/>
              <w:rPr>
                <w:b/>
                <w:i/>
              </w:rPr>
            </w:pPr>
            <w:r w:rsidRPr="00073F84">
              <w:rPr>
                <w:b/>
                <w:i/>
              </w:rPr>
              <w:t>No.</w:t>
            </w:r>
          </w:p>
        </w:tc>
        <w:tc>
          <w:tcPr>
            <w:tcW w:w="2835" w:type="dxa"/>
            <w:shd w:val="clear" w:color="auto" w:fill="BFBFBF" w:themeFill="background1" w:themeFillShade="BF"/>
          </w:tcPr>
          <w:p w14:paraId="5FB31341" w14:textId="77777777" w:rsidR="00335A0B" w:rsidRPr="00073F84" w:rsidRDefault="00335A0B" w:rsidP="00073F84">
            <w:pPr>
              <w:spacing w:line="276" w:lineRule="auto"/>
              <w:jc w:val="center"/>
              <w:rPr>
                <w:b/>
                <w:i/>
              </w:rPr>
            </w:pPr>
            <w:r w:rsidRPr="00073F84">
              <w:rPr>
                <w:b/>
                <w:i/>
              </w:rPr>
              <w:t>RESPONSABLE</w:t>
            </w:r>
          </w:p>
        </w:tc>
        <w:tc>
          <w:tcPr>
            <w:tcW w:w="5572" w:type="dxa"/>
            <w:shd w:val="clear" w:color="auto" w:fill="BFBFBF" w:themeFill="background1" w:themeFillShade="BF"/>
          </w:tcPr>
          <w:p w14:paraId="73F683FF" w14:textId="77777777" w:rsidR="00335A0B" w:rsidRPr="00073F84" w:rsidRDefault="00335A0B" w:rsidP="00073F84">
            <w:pPr>
              <w:spacing w:line="276" w:lineRule="auto"/>
              <w:jc w:val="center"/>
              <w:rPr>
                <w:b/>
                <w:i/>
              </w:rPr>
            </w:pPr>
            <w:r w:rsidRPr="00073F84">
              <w:rPr>
                <w:b/>
                <w:i/>
              </w:rPr>
              <w:t>ACTIVIDAD</w:t>
            </w:r>
          </w:p>
        </w:tc>
      </w:tr>
      <w:tr w:rsidR="00335A0B" w:rsidRPr="00073F84" w14:paraId="525FFFD5" w14:textId="77777777" w:rsidTr="003633A9">
        <w:tc>
          <w:tcPr>
            <w:tcW w:w="704" w:type="dxa"/>
          </w:tcPr>
          <w:p w14:paraId="5AA015DC" w14:textId="77777777" w:rsidR="00335A0B" w:rsidRPr="00073F84" w:rsidRDefault="00335A0B" w:rsidP="00073F84">
            <w:pPr>
              <w:spacing w:line="276" w:lineRule="auto"/>
              <w:ind w:right="616"/>
              <w:rPr>
                <w:rFonts w:eastAsia="Calibri" w:cs="Tahoma"/>
                <w:i/>
                <w:iCs/>
                <w:noProof/>
                <w:lang w:eastAsia="es-ES_tradnl"/>
              </w:rPr>
            </w:pPr>
            <w:r w:rsidRPr="00073F84">
              <w:rPr>
                <w:rFonts w:eastAsia="Calibri" w:cs="Tahoma"/>
                <w:i/>
                <w:iCs/>
                <w:noProof/>
                <w:lang w:eastAsia="es-ES_tradnl"/>
              </w:rPr>
              <w:t>1</w:t>
            </w:r>
          </w:p>
        </w:tc>
        <w:tc>
          <w:tcPr>
            <w:tcW w:w="2835" w:type="dxa"/>
          </w:tcPr>
          <w:p w14:paraId="4A7382DF" w14:textId="77777777" w:rsidR="00335A0B" w:rsidRPr="00073F84" w:rsidRDefault="00335A0B" w:rsidP="00073F84">
            <w:pPr>
              <w:spacing w:line="276" w:lineRule="auto"/>
              <w:ind w:right="616"/>
              <w:rPr>
                <w:rFonts w:eastAsia="Calibri" w:cs="Tahoma"/>
                <w:i/>
                <w:iCs/>
                <w:noProof/>
                <w:lang w:eastAsia="es-ES_tradnl"/>
              </w:rPr>
            </w:pPr>
            <w:r w:rsidRPr="00073F84">
              <w:rPr>
                <w:i/>
              </w:rPr>
              <w:t>Candidata/Candidato</w:t>
            </w:r>
          </w:p>
        </w:tc>
        <w:tc>
          <w:tcPr>
            <w:tcW w:w="5572" w:type="dxa"/>
          </w:tcPr>
          <w:p w14:paraId="4C7078B5" w14:textId="77777777" w:rsidR="00335A0B" w:rsidRPr="00073F84" w:rsidRDefault="00335A0B" w:rsidP="00073F84">
            <w:pPr>
              <w:spacing w:line="276" w:lineRule="auto"/>
              <w:ind w:right="77"/>
              <w:rPr>
                <w:i/>
              </w:rPr>
            </w:pPr>
            <w:r w:rsidRPr="00073F84">
              <w:rPr>
                <w:i/>
              </w:rPr>
              <w:t xml:space="preserve">Presenta la siguiente documentación a la coordinación administrativa o equivalente: </w:t>
            </w:r>
          </w:p>
          <w:p w14:paraId="11D38D7A" w14:textId="77777777" w:rsidR="00335A0B" w:rsidRPr="00073F84" w:rsidRDefault="00335A0B" w:rsidP="00073F84">
            <w:pPr>
              <w:spacing w:line="276" w:lineRule="auto"/>
              <w:ind w:right="77"/>
              <w:rPr>
                <w:b/>
                <w:i/>
                <w:u w:val="single"/>
              </w:rPr>
            </w:pPr>
            <w:r w:rsidRPr="00073F84">
              <w:rPr>
                <w:b/>
                <w:i/>
                <w:u w:val="single"/>
              </w:rPr>
              <w:t xml:space="preserve">Original de: </w:t>
            </w:r>
          </w:p>
          <w:p w14:paraId="7BE72D00" w14:textId="77777777" w:rsidR="00335A0B" w:rsidRPr="00073F84" w:rsidRDefault="00335A0B" w:rsidP="00073F84">
            <w:pPr>
              <w:spacing w:line="276" w:lineRule="auto"/>
              <w:ind w:right="77"/>
              <w:rPr>
                <w:i/>
              </w:rPr>
            </w:pPr>
            <w:r w:rsidRPr="00073F84">
              <w:rPr>
                <w:i/>
              </w:rPr>
              <w:t xml:space="preserve">− Solicitud de empleo Formato </w:t>
            </w:r>
            <w:r w:rsidRPr="00073F84">
              <w:rPr>
                <w:b/>
                <w:i/>
              </w:rPr>
              <w:t>20301/NP-104/19</w:t>
            </w:r>
            <w:r w:rsidRPr="00073F84">
              <w:rPr>
                <w:i/>
              </w:rPr>
              <w:t xml:space="preserve">, con la declaración de ser o no pensionado de ISSEMYM. </w:t>
            </w:r>
          </w:p>
          <w:p w14:paraId="6EB6553B" w14:textId="77777777" w:rsidR="00335A0B" w:rsidRPr="00073F84" w:rsidRDefault="00335A0B" w:rsidP="00073F84">
            <w:pPr>
              <w:spacing w:line="276" w:lineRule="auto"/>
              <w:ind w:right="77"/>
              <w:rPr>
                <w:i/>
              </w:rPr>
            </w:pPr>
            <w:r w:rsidRPr="00073F84">
              <w:rPr>
                <w:i/>
              </w:rPr>
              <w:t xml:space="preserve">− 2 fotografías recientes (tamaño infantil). </w:t>
            </w:r>
          </w:p>
          <w:p w14:paraId="63F09891" w14:textId="77777777" w:rsidR="00335A0B" w:rsidRPr="00073F84" w:rsidRDefault="00335A0B" w:rsidP="00073F84">
            <w:pPr>
              <w:spacing w:line="276" w:lineRule="auto"/>
              <w:ind w:right="77"/>
              <w:rPr>
                <w:i/>
              </w:rPr>
            </w:pPr>
            <w:r w:rsidRPr="00073F84">
              <w:rPr>
                <w:i/>
              </w:rPr>
              <w:t xml:space="preserve">− Original del resultado del examen de conocimientos y aptitudes, en su caso. </w:t>
            </w:r>
          </w:p>
          <w:p w14:paraId="2019CE51" w14:textId="77777777" w:rsidR="00335A0B" w:rsidRPr="00073F84" w:rsidRDefault="00335A0B" w:rsidP="00073F84">
            <w:pPr>
              <w:spacing w:line="276" w:lineRule="auto"/>
              <w:ind w:right="77"/>
              <w:rPr>
                <w:i/>
              </w:rPr>
            </w:pPr>
            <w:r w:rsidRPr="00073F84">
              <w:rPr>
                <w:i/>
              </w:rPr>
              <w:t xml:space="preserve">− 2 Cartas de Recomendación. </w:t>
            </w:r>
          </w:p>
          <w:p w14:paraId="190CB286" w14:textId="77777777" w:rsidR="00335A0B" w:rsidRPr="00073F84" w:rsidRDefault="00335A0B" w:rsidP="00073F84">
            <w:pPr>
              <w:spacing w:line="276" w:lineRule="auto"/>
              <w:ind w:right="77"/>
              <w:rPr>
                <w:i/>
              </w:rPr>
            </w:pPr>
            <w:r w:rsidRPr="00073F84">
              <w:rPr>
                <w:i/>
              </w:rPr>
              <w:t xml:space="preserve">− Currículum Vitae. </w:t>
            </w:r>
          </w:p>
          <w:p w14:paraId="172981E5" w14:textId="77777777" w:rsidR="00335A0B" w:rsidRPr="00073F84" w:rsidRDefault="00335A0B" w:rsidP="00073F84">
            <w:pPr>
              <w:spacing w:line="276" w:lineRule="auto"/>
              <w:ind w:right="77"/>
              <w:rPr>
                <w:i/>
              </w:rPr>
            </w:pPr>
            <w:r w:rsidRPr="00073F84">
              <w:rPr>
                <w:i/>
              </w:rPr>
              <w:t xml:space="preserve">− Contrato de apertura de cuenta bancaria de nómina a la que le depositarán sus percepciones (con los Bancos que el GEM tiene convenio). </w:t>
            </w:r>
          </w:p>
          <w:p w14:paraId="2E68DF0C" w14:textId="77777777" w:rsidR="00335A0B" w:rsidRPr="00073F84" w:rsidRDefault="00335A0B" w:rsidP="00073F84">
            <w:pPr>
              <w:spacing w:line="276" w:lineRule="auto"/>
              <w:ind w:right="77"/>
              <w:rPr>
                <w:b/>
                <w:i/>
              </w:rPr>
            </w:pPr>
            <w:r w:rsidRPr="00073F84">
              <w:rPr>
                <w:b/>
                <w:i/>
              </w:rPr>
              <w:t xml:space="preserve">Original y copia de: </w:t>
            </w:r>
          </w:p>
          <w:p w14:paraId="08419353" w14:textId="77777777" w:rsidR="00335A0B" w:rsidRPr="00073F84" w:rsidRDefault="00335A0B" w:rsidP="00073F84">
            <w:pPr>
              <w:spacing w:line="276" w:lineRule="auto"/>
              <w:ind w:right="77"/>
              <w:rPr>
                <w:i/>
              </w:rPr>
            </w:pPr>
            <w:r w:rsidRPr="00073F84">
              <w:rPr>
                <w:i/>
              </w:rPr>
              <w:t xml:space="preserve">− Acta de Nacimiento (certificada). </w:t>
            </w:r>
          </w:p>
          <w:p w14:paraId="56BD80F6" w14:textId="77777777" w:rsidR="00335A0B" w:rsidRPr="00073F84" w:rsidRDefault="00335A0B" w:rsidP="00073F84">
            <w:pPr>
              <w:spacing w:line="276" w:lineRule="auto"/>
              <w:ind w:right="77"/>
              <w:rPr>
                <w:i/>
              </w:rPr>
            </w:pPr>
            <w:r w:rsidRPr="00073F84">
              <w:rPr>
                <w:i/>
              </w:rPr>
              <w:t xml:space="preserve">− CURP (Clave Única de Registro de Población). </w:t>
            </w:r>
          </w:p>
          <w:p w14:paraId="3F0944D8" w14:textId="77777777" w:rsidR="00335A0B" w:rsidRPr="00073F84" w:rsidRDefault="00335A0B" w:rsidP="00073F84">
            <w:pPr>
              <w:spacing w:line="276" w:lineRule="auto"/>
              <w:ind w:right="77"/>
              <w:rPr>
                <w:i/>
              </w:rPr>
            </w:pPr>
            <w:r w:rsidRPr="00073F84">
              <w:rPr>
                <w:i/>
              </w:rPr>
              <w:t xml:space="preserve">− Comprobante de grado máximo de estudios. </w:t>
            </w:r>
          </w:p>
          <w:p w14:paraId="61A2E663" w14:textId="77777777" w:rsidR="00335A0B" w:rsidRPr="00073F84" w:rsidRDefault="00335A0B" w:rsidP="00073F84">
            <w:pPr>
              <w:spacing w:line="276" w:lineRule="auto"/>
              <w:ind w:right="77"/>
              <w:rPr>
                <w:i/>
              </w:rPr>
            </w:pPr>
            <w:r w:rsidRPr="00073F84">
              <w:rPr>
                <w:i/>
              </w:rPr>
              <w:t xml:space="preserve">− Cartilla del Servicio Militar Nacional liberada, en su caso. </w:t>
            </w:r>
          </w:p>
          <w:p w14:paraId="416D4E97" w14:textId="77777777" w:rsidR="00335A0B" w:rsidRPr="00073F84" w:rsidRDefault="00335A0B" w:rsidP="00073F84">
            <w:pPr>
              <w:spacing w:line="276" w:lineRule="auto"/>
              <w:ind w:right="77"/>
              <w:rPr>
                <w:i/>
              </w:rPr>
            </w:pPr>
            <w:r w:rsidRPr="00073F84">
              <w:rPr>
                <w:i/>
              </w:rPr>
              <w:t xml:space="preserve">− Comprobante domiciliario (credencial para votar, recibo telefónico, de luz, de agua o de predial). </w:t>
            </w:r>
          </w:p>
          <w:p w14:paraId="196CBC8B" w14:textId="77777777" w:rsidR="00335A0B" w:rsidRPr="00073F84" w:rsidRDefault="00335A0B" w:rsidP="00073F84">
            <w:pPr>
              <w:spacing w:line="276" w:lineRule="auto"/>
              <w:ind w:right="77"/>
              <w:rPr>
                <w:i/>
              </w:rPr>
            </w:pPr>
            <w:r w:rsidRPr="00073F84">
              <w:rPr>
                <w:i/>
              </w:rPr>
              <w:t xml:space="preserve">− Identificación Oficial con fotografía vigente. </w:t>
            </w:r>
          </w:p>
          <w:p w14:paraId="7B89D11F" w14:textId="77777777" w:rsidR="00335A0B" w:rsidRPr="00073F84" w:rsidRDefault="00335A0B" w:rsidP="00073F84">
            <w:pPr>
              <w:spacing w:line="276" w:lineRule="auto"/>
              <w:ind w:right="77"/>
              <w:rPr>
                <w:i/>
              </w:rPr>
            </w:pPr>
            <w:r w:rsidRPr="00073F84">
              <w:rPr>
                <w:i/>
              </w:rPr>
              <w:lastRenderedPageBreak/>
              <w:t xml:space="preserve">− Certificado expedido por la Unidad de Registro de Deudores Alimentarios Morosos en el que conste si se encuentra inscrito o no en el mismo (se tramita en la Dirección General del Registro Civil). </w:t>
            </w:r>
          </w:p>
          <w:p w14:paraId="71288E0A" w14:textId="77777777" w:rsidR="00335A0B" w:rsidRPr="00073F84" w:rsidRDefault="00335A0B" w:rsidP="00073F84">
            <w:pPr>
              <w:spacing w:line="276" w:lineRule="auto"/>
              <w:ind w:right="77"/>
              <w:rPr>
                <w:i/>
              </w:rPr>
            </w:pPr>
            <w:r w:rsidRPr="00073F84">
              <w:rPr>
                <w:i/>
              </w:rPr>
              <w:t xml:space="preserve">Copia de: </w:t>
            </w:r>
          </w:p>
          <w:p w14:paraId="3BDE1888" w14:textId="77777777" w:rsidR="00335A0B" w:rsidRPr="00073F84" w:rsidRDefault="00335A0B" w:rsidP="00073F84">
            <w:pPr>
              <w:spacing w:line="276" w:lineRule="auto"/>
              <w:ind w:right="77"/>
              <w:rPr>
                <w:rFonts w:eastAsia="Calibri" w:cs="Tahoma"/>
                <w:i/>
                <w:iCs/>
                <w:noProof/>
                <w:lang w:eastAsia="es-ES_tradnl"/>
              </w:rPr>
            </w:pPr>
            <w:r w:rsidRPr="00073F84">
              <w:rPr>
                <w:i/>
              </w:rPr>
              <w:t>− R.F.C. con homoclave, en su caso, emitido por el SAT.</w:t>
            </w:r>
          </w:p>
        </w:tc>
      </w:tr>
    </w:tbl>
    <w:p w14:paraId="47E673D5" w14:textId="77777777" w:rsidR="00335A0B" w:rsidRPr="00073F84" w:rsidRDefault="00335A0B" w:rsidP="00073F84">
      <w:pPr>
        <w:ind w:right="49"/>
        <w:rPr>
          <w:rFonts w:eastAsia="Calibri" w:cs="Tahoma"/>
          <w:iCs/>
          <w:noProof/>
          <w:szCs w:val="22"/>
          <w:lang w:val="es-ES" w:eastAsia="es-ES_tradnl"/>
        </w:rPr>
      </w:pPr>
    </w:p>
    <w:p w14:paraId="4475941F" w14:textId="2C681DB6" w:rsidR="00335A0B" w:rsidRPr="00073F84" w:rsidRDefault="00335A0B" w:rsidP="00073F84">
      <w:pPr>
        <w:tabs>
          <w:tab w:val="left" w:pos="7938"/>
        </w:tabs>
        <w:contextualSpacing/>
        <w:rPr>
          <w:rFonts w:cs="Arial"/>
          <w:sz w:val="24"/>
          <w:szCs w:val="24"/>
        </w:rPr>
      </w:pPr>
      <w:r w:rsidRPr="00073F84">
        <w:rPr>
          <w:rFonts w:cs="Arial"/>
          <w:sz w:val="24"/>
          <w:szCs w:val="24"/>
        </w:rPr>
        <w:t xml:space="preserve">Cabe señalar, que del análisis al marco normativo que regula lo relativo al expediente laboral de los servidores públicos, no se advierte que la presentación de la Cédula Profesional sea un documento que </w:t>
      </w:r>
      <w:r w:rsidRPr="00073F84">
        <w:rPr>
          <w:rFonts w:eastAsia="Calibri" w:cs="Tahoma"/>
          <w:b/>
          <w:bCs/>
          <w:iCs/>
          <w:noProof/>
          <w:szCs w:val="22"/>
          <w:u w:val="single"/>
          <w:lang w:val="es-ES" w:eastAsia="es-ES_tradnl"/>
        </w:rPr>
        <w:t>deberán de  presentar para ocupar un puesto, la candidata o el candidato que formará parte de su expediente personal.</w:t>
      </w:r>
    </w:p>
    <w:p w14:paraId="063B8D7D" w14:textId="77777777" w:rsidR="00335A0B" w:rsidRPr="00073F84" w:rsidRDefault="00335A0B" w:rsidP="00073F84">
      <w:pPr>
        <w:tabs>
          <w:tab w:val="left" w:pos="7938"/>
        </w:tabs>
        <w:contextualSpacing/>
        <w:rPr>
          <w:rFonts w:cs="Arial"/>
          <w:sz w:val="24"/>
          <w:szCs w:val="24"/>
        </w:rPr>
      </w:pPr>
    </w:p>
    <w:p w14:paraId="61610811" w14:textId="1E0F5C38" w:rsidR="00C03758" w:rsidRPr="00073F84" w:rsidRDefault="00C03758" w:rsidP="00073F84">
      <w:pPr>
        <w:tabs>
          <w:tab w:val="left" w:pos="7938"/>
        </w:tabs>
        <w:contextualSpacing/>
        <w:rPr>
          <w:rFonts w:cs="Arial"/>
          <w:sz w:val="24"/>
          <w:szCs w:val="24"/>
        </w:rPr>
      </w:pPr>
      <w:r w:rsidRPr="00073F84">
        <w:rPr>
          <w:rFonts w:cs="Arial"/>
          <w:sz w:val="24"/>
          <w:szCs w:val="24"/>
        </w:rPr>
        <w:t xml:space="preserve">Por lo que una vez analizada la información que proporcionó </w:t>
      </w:r>
      <w:r w:rsidRPr="00073F84">
        <w:rPr>
          <w:rFonts w:cs="Arial"/>
          <w:b/>
          <w:sz w:val="24"/>
          <w:szCs w:val="24"/>
        </w:rPr>
        <w:t>EL SUJETO OBLIGADO</w:t>
      </w:r>
      <w:r w:rsidRPr="00073F84">
        <w:rPr>
          <w:rFonts w:cs="Arial"/>
          <w:sz w:val="24"/>
          <w:szCs w:val="24"/>
        </w:rPr>
        <w:t xml:space="preserve"> en respuesta e Informe</w:t>
      </w:r>
      <w:r w:rsidR="00BE342A" w:rsidRPr="00073F84">
        <w:rPr>
          <w:rFonts w:cs="Arial"/>
          <w:sz w:val="24"/>
          <w:szCs w:val="24"/>
        </w:rPr>
        <w:t xml:space="preserve"> Justificado, se estima que este</w:t>
      </w:r>
      <w:r w:rsidRPr="00073F84">
        <w:rPr>
          <w:rFonts w:cs="Arial"/>
          <w:sz w:val="24"/>
          <w:szCs w:val="24"/>
        </w:rPr>
        <w:t xml:space="preserve"> colmó los requerimientos originales formulados por el solicitante, por lo que es importante señalar que, dicha solicitud fue turnada al Servidor Público Habilitado competente, es decir, a la Coordinación Administrativa; situación, que se advierte de las constancias que obran en el expediente electrónico del SAIMEX y, específicamente en el apartado de </w:t>
      </w:r>
      <w:r w:rsidRPr="00073F84">
        <w:rPr>
          <w:rFonts w:cs="Arial"/>
          <w:i/>
          <w:sz w:val="24"/>
          <w:szCs w:val="24"/>
        </w:rPr>
        <w:t>Requerimientos</w:t>
      </w:r>
      <w:r w:rsidRPr="00073F84">
        <w:rPr>
          <w:rFonts w:cs="Arial"/>
          <w:sz w:val="24"/>
          <w:szCs w:val="24"/>
        </w:rPr>
        <w:t>, donde se aprecia que la solicitud de información fue turnada, de conformidad con la siguiente captura de pantalla:</w:t>
      </w:r>
    </w:p>
    <w:p w14:paraId="627F611F" w14:textId="77777777" w:rsidR="00C03758" w:rsidRPr="00073F84" w:rsidRDefault="00C03758" w:rsidP="00073F84">
      <w:pPr>
        <w:rPr>
          <w:rFonts w:eastAsiaTheme="minorHAnsi" w:cstheme="minorBidi"/>
          <w:lang w:eastAsia="es-MX"/>
        </w:rPr>
      </w:pPr>
    </w:p>
    <w:p w14:paraId="4BBDC025" w14:textId="7595242C" w:rsidR="00C03758" w:rsidRPr="00073F84" w:rsidRDefault="00C03758" w:rsidP="00073F84">
      <w:pPr>
        <w:rPr>
          <w:rFonts w:eastAsiaTheme="minorHAnsi" w:cstheme="minorBidi"/>
          <w:lang w:eastAsia="es-MX"/>
        </w:rPr>
      </w:pPr>
      <w:r w:rsidRPr="00073F84">
        <w:rPr>
          <w:rFonts w:eastAsiaTheme="minorHAnsi" w:cstheme="minorBidi"/>
          <w:noProof/>
          <w:lang w:eastAsia="es-MX"/>
        </w:rPr>
        <w:drawing>
          <wp:inline distT="0" distB="0" distL="0" distR="0" wp14:anchorId="7599ABA9" wp14:editId="54F1B831">
            <wp:extent cx="5742940" cy="5073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507365"/>
                    </a:xfrm>
                    <a:prstGeom prst="rect">
                      <a:avLst/>
                    </a:prstGeom>
                  </pic:spPr>
                </pic:pic>
              </a:graphicData>
            </a:graphic>
          </wp:inline>
        </w:drawing>
      </w:r>
    </w:p>
    <w:p w14:paraId="49813C22" w14:textId="77777777" w:rsidR="00C03758" w:rsidRPr="00073F84" w:rsidRDefault="00C03758" w:rsidP="00073F84"/>
    <w:p w14:paraId="7DECC561" w14:textId="77777777" w:rsidR="00C03758" w:rsidRPr="00073F84" w:rsidRDefault="00C03758" w:rsidP="00073F84">
      <w:pPr>
        <w:rPr>
          <w:rFonts w:cs="Arial"/>
          <w:sz w:val="24"/>
          <w:szCs w:val="24"/>
        </w:rPr>
      </w:pPr>
      <w:r w:rsidRPr="00073F84">
        <w:rPr>
          <w:rFonts w:cs="Arial"/>
          <w:sz w:val="24"/>
          <w:szCs w:val="24"/>
        </w:rPr>
        <w:lastRenderedPageBreak/>
        <w:t xml:space="preserve">Ello, es así, porque conforme al artículo 20 del reglamento interior del </w:t>
      </w:r>
      <w:r w:rsidRPr="00073F84">
        <w:rPr>
          <w:rFonts w:cs="Arial"/>
          <w:b/>
          <w:sz w:val="24"/>
          <w:szCs w:val="24"/>
        </w:rPr>
        <w:t xml:space="preserve">SUJETO OBLIGADO </w:t>
      </w:r>
      <w:r w:rsidRPr="00073F84">
        <w:rPr>
          <w:rFonts w:cs="Arial"/>
          <w:sz w:val="24"/>
          <w:szCs w:val="24"/>
        </w:rPr>
        <w:t>dicha unidad administrativa cuenta con las atribuciones relacionadas con la materia de la solicitud, las siguientes:</w:t>
      </w:r>
    </w:p>
    <w:p w14:paraId="7F5D230E" w14:textId="77777777" w:rsidR="00C03758" w:rsidRPr="00073F84" w:rsidRDefault="00C03758" w:rsidP="00073F84">
      <w:pPr>
        <w:rPr>
          <w:rFonts w:cs="Arial"/>
          <w:sz w:val="24"/>
          <w:szCs w:val="24"/>
        </w:rPr>
      </w:pPr>
    </w:p>
    <w:p w14:paraId="064710FF" w14:textId="77777777" w:rsidR="00C03758" w:rsidRPr="00073F84" w:rsidRDefault="00C03758" w:rsidP="00073F84">
      <w:pPr>
        <w:pStyle w:val="Puesto"/>
        <w:rPr>
          <w:rFonts w:ascii="Times New Roman" w:hAnsi="Times New Roman"/>
          <w:lang w:eastAsia="es-MX"/>
        </w:rPr>
      </w:pPr>
      <w:r w:rsidRPr="00073F84">
        <w:rPr>
          <w:b/>
        </w:rPr>
        <w:t>Artículo 34.</w:t>
      </w:r>
      <w:r w:rsidRPr="00073F84">
        <w:t xml:space="preserve"> Corresponde a la Coordinación Administrativa:</w:t>
      </w:r>
    </w:p>
    <w:p w14:paraId="6F63A7AD" w14:textId="77777777" w:rsidR="00C03758" w:rsidRPr="00073F84" w:rsidRDefault="00C03758" w:rsidP="00073F84">
      <w:pPr>
        <w:pStyle w:val="Puesto"/>
      </w:pPr>
      <w:r w:rsidRPr="00073F84">
        <w:t>I. Planear, programar, organizar y controlar el suministro, aprovechamiento y aplicación de los recursos humanos, materiales, financieros y técnicos, así como los servicios generales de la Secretaría, en coordinación con las demás unidades administrativas</w:t>
      </w:r>
    </w:p>
    <w:p w14:paraId="664478DF" w14:textId="03CE42E0" w:rsidR="00C03758" w:rsidRPr="00073F84" w:rsidRDefault="00C03758" w:rsidP="00073F84">
      <w:pPr>
        <w:pStyle w:val="Puesto"/>
        <w:rPr>
          <w:rFonts w:cs="Arial"/>
          <w:sz w:val="24"/>
          <w:szCs w:val="24"/>
        </w:rPr>
      </w:pPr>
      <w:r w:rsidRPr="00073F84">
        <w:rPr>
          <w:rFonts w:cs="Arial"/>
          <w:sz w:val="24"/>
          <w:szCs w:val="24"/>
        </w:rPr>
        <w:t>…</w:t>
      </w:r>
    </w:p>
    <w:p w14:paraId="1AE83616" w14:textId="1E587977" w:rsidR="00C03758" w:rsidRPr="00073F84" w:rsidRDefault="00C03758" w:rsidP="00073F84">
      <w:pPr>
        <w:pStyle w:val="Puesto"/>
      </w:pPr>
      <w:r w:rsidRPr="00073F84">
        <w:t>XV. Tramitar previo acuerdo de la persona titular de la Secretaría, los movimientos de altas, bajas, cambios, promociones, permisos, licencias y demás movimientos de las personas servidoras públicas de la Secretaría, en términos de las disposiciones legales aplicables;</w:t>
      </w:r>
    </w:p>
    <w:p w14:paraId="43389349" w14:textId="77777777" w:rsidR="00C03758" w:rsidRPr="00073F84" w:rsidRDefault="00C03758" w:rsidP="00073F84">
      <w:pPr>
        <w:rPr>
          <w:rFonts w:cs="Arial"/>
          <w:sz w:val="24"/>
          <w:szCs w:val="24"/>
        </w:rPr>
      </w:pPr>
    </w:p>
    <w:p w14:paraId="6BDDFC18" w14:textId="77777777" w:rsidR="00C03758" w:rsidRPr="00073F84" w:rsidRDefault="00C03758" w:rsidP="00073F84">
      <w:pPr>
        <w:rPr>
          <w:lang w:eastAsia="es-MX"/>
        </w:rPr>
      </w:pPr>
      <w:r w:rsidRPr="00073F84">
        <w:rPr>
          <w:rFonts w:cs="Arial"/>
          <w:sz w:val="24"/>
          <w:szCs w:val="24"/>
        </w:rPr>
        <w:t xml:space="preserve">Así, </w:t>
      </w:r>
      <w:r w:rsidRPr="00073F84">
        <w:rPr>
          <w:rFonts w:cs="Arial"/>
        </w:rPr>
        <w:t xml:space="preserve">ante el pronunciamiento por parte del Servidor Público Habilitado competente, se agotó la búsqueda exhaustiva y razonable por parte del </w:t>
      </w:r>
      <w:r w:rsidRPr="00073F84">
        <w:rPr>
          <w:rFonts w:cs="Arial"/>
          <w:b/>
          <w:bCs/>
        </w:rPr>
        <w:t>SUJETO OBLIGADO</w:t>
      </w:r>
      <w:r w:rsidRPr="00073F84">
        <w:rPr>
          <w:rFonts w:cs="Arial"/>
        </w:rPr>
        <w:t xml:space="preserve">, </w:t>
      </w:r>
      <w:r w:rsidRPr="00073F84">
        <w:rPr>
          <w:lang w:eastAsia="es-MX"/>
        </w:rPr>
        <w:t>que para tal efecto dispone el artículo 162, de la Ley de Transparencia y Acceso a la Información Pública del Estado de México y Municipios, que índica:</w:t>
      </w:r>
    </w:p>
    <w:p w14:paraId="3E1D12F0" w14:textId="77777777" w:rsidR="00C03758" w:rsidRPr="00073F84" w:rsidRDefault="00C03758" w:rsidP="00073F84">
      <w:pPr>
        <w:rPr>
          <w:sz w:val="10"/>
          <w:lang w:eastAsia="es-MX"/>
        </w:rPr>
      </w:pPr>
    </w:p>
    <w:p w14:paraId="7C6C6284" w14:textId="77777777" w:rsidR="00C03758" w:rsidRPr="00073F84" w:rsidRDefault="00C03758" w:rsidP="00073F84">
      <w:pPr>
        <w:rPr>
          <w:sz w:val="10"/>
          <w:lang w:eastAsia="es-MX"/>
        </w:rPr>
      </w:pPr>
    </w:p>
    <w:p w14:paraId="650C6048" w14:textId="77777777" w:rsidR="00C03758" w:rsidRPr="00073F84" w:rsidRDefault="00C03758" w:rsidP="00073F84">
      <w:pPr>
        <w:pStyle w:val="Puesto"/>
        <w:rPr>
          <w:sz w:val="18"/>
          <w:lang w:eastAsia="es-MX"/>
        </w:rPr>
      </w:pPr>
      <w:r w:rsidRPr="00073F84">
        <w:rPr>
          <w:lang w:eastAsia="es-MX"/>
        </w:rPr>
        <w:t>“</w:t>
      </w:r>
      <w:r w:rsidRPr="00073F84">
        <w:rPr>
          <w:b/>
          <w:bCs/>
          <w:lang w:eastAsia="es-MX"/>
        </w:rPr>
        <w:t xml:space="preserve">Artículo 162. </w:t>
      </w:r>
      <w:r w:rsidRPr="00073F84">
        <w:rPr>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6D68D97" w14:textId="77777777" w:rsidR="00C03758" w:rsidRPr="00073F84" w:rsidRDefault="00C03758" w:rsidP="00073F84">
      <w:pPr>
        <w:spacing w:after="160"/>
        <w:rPr>
          <w:rFonts w:eastAsiaTheme="minorHAnsi" w:cstheme="minorBidi"/>
          <w:szCs w:val="22"/>
          <w:lang w:eastAsia="en-US"/>
        </w:rPr>
      </w:pPr>
    </w:p>
    <w:p w14:paraId="10028EC2" w14:textId="77777777" w:rsidR="00C03758" w:rsidRPr="00073F84" w:rsidRDefault="00C03758" w:rsidP="00073F84">
      <w:pPr>
        <w:spacing w:after="160"/>
        <w:rPr>
          <w:rFonts w:eastAsiaTheme="minorHAnsi" w:cstheme="minorBidi"/>
          <w:szCs w:val="22"/>
          <w:lang w:eastAsia="en-US"/>
        </w:rPr>
      </w:pPr>
      <w:r w:rsidRPr="00073F84">
        <w:rPr>
          <w:rFonts w:eastAsiaTheme="minorHAnsi" w:cstheme="minorBidi"/>
          <w:szCs w:val="22"/>
          <w:lang w:eastAsia="en-US"/>
        </w:rPr>
        <w:t xml:space="preserve">Además debe señalarse que al existir un pronunciamiento por parte del </w:t>
      </w:r>
      <w:r w:rsidRPr="00073F84">
        <w:rPr>
          <w:rFonts w:eastAsiaTheme="minorHAnsi" w:cstheme="minorBidi"/>
          <w:b/>
          <w:szCs w:val="22"/>
          <w:lang w:eastAsia="en-US"/>
        </w:rPr>
        <w:t xml:space="preserve">SUJETO OBLIGADO </w:t>
      </w:r>
      <w:r w:rsidRPr="00073F84">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37EDD20B" w14:textId="77777777" w:rsidR="00F453C0" w:rsidRPr="00073F84" w:rsidRDefault="00F453C0" w:rsidP="00073F84">
      <w:pPr>
        <w:spacing w:after="160"/>
      </w:pPr>
    </w:p>
    <w:p w14:paraId="4BEDD63A" w14:textId="77777777" w:rsidR="00F453C0" w:rsidRPr="00073F84" w:rsidRDefault="00F453C0" w:rsidP="00073F84">
      <w:pPr>
        <w:spacing w:after="160"/>
        <w:rPr>
          <w:rFonts w:eastAsiaTheme="minorHAnsi" w:cstheme="minorBidi"/>
          <w:szCs w:val="22"/>
          <w:lang w:eastAsia="en-US"/>
        </w:rPr>
      </w:pPr>
    </w:p>
    <w:p w14:paraId="4D2B6518" w14:textId="77777777" w:rsidR="00C03758" w:rsidRPr="00073F84" w:rsidRDefault="00C03758" w:rsidP="00073F84">
      <w:pPr>
        <w:pStyle w:val="Ttulo3"/>
      </w:pPr>
      <w:bookmarkStart w:id="32" w:name="_Toc174021583"/>
      <w:bookmarkStart w:id="33" w:name="_Toc175179084"/>
      <w:bookmarkStart w:id="34" w:name="_Toc178097411"/>
      <w:bookmarkStart w:id="35" w:name="_Toc179308049"/>
      <w:bookmarkStart w:id="36" w:name="_Toc181799812"/>
      <w:r w:rsidRPr="00073F84">
        <w:rPr>
          <w:rFonts w:eastAsia="Calibri"/>
        </w:rPr>
        <w:lastRenderedPageBreak/>
        <w:t xml:space="preserve">d) </w:t>
      </w:r>
      <w:r w:rsidRPr="00073F84">
        <w:t>Conclusión</w:t>
      </w:r>
      <w:bookmarkEnd w:id="32"/>
      <w:bookmarkEnd w:id="33"/>
      <w:bookmarkEnd w:id="34"/>
      <w:bookmarkEnd w:id="35"/>
      <w:bookmarkEnd w:id="36"/>
    </w:p>
    <w:p w14:paraId="14D2218A" w14:textId="77777777" w:rsidR="00C03758" w:rsidRPr="00073F84" w:rsidRDefault="00C03758" w:rsidP="00073F84">
      <w:pPr>
        <w:rPr>
          <w:rFonts w:eastAsia="Calibri"/>
          <w:b/>
          <w:lang w:val="es-ES"/>
        </w:rPr>
      </w:pPr>
      <w:r w:rsidRPr="00073F84">
        <w:rPr>
          <w:rFonts w:eastAsia="Calibri"/>
          <w:lang w:val="es-ES"/>
        </w:rPr>
        <w:t xml:space="preserve">Por lo anteriormente expuesto, </w:t>
      </w:r>
      <w:r w:rsidRPr="00073F84">
        <w:rPr>
          <w:bCs/>
        </w:rPr>
        <w:t xml:space="preserve">este Instituto estima </w:t>
      </w:r>
      <w:r w:rsidRPr="00073F84">
        <w:rPr>
          <w:rFonts w:eastAsia="Calibri"/>
          <w:lang w:val="es-ES"/>
        </w:rPr>
        <w:t xml:space="preserve">que las </w:t>
      </w:r>
      <w:r w:rsidRPr="00073F84">
        <w:rPr>
          <w:rFonts w:cs="Arial"/>
          <w:lang w:val="es-ES"/>
        </w:rPr>
        <w:t>razones o motivos de inconformidad planteadas resultan infundadas;</w:t>
      </w:r>
      <w:r w:rsidRPr="00073F84">
        <w:rPr>
          <w:rFonts w:eastAsia="Calibri"/>
          <w:lang w:val="es-ES"/>
        </w:rPr>
        <w:t xml:space="preserve"> en consecuencia, este Órgano Garante determina </w:t>
      </w:r>
      <w:r w:rsidRPr="00073F84">
        <w:rPr>
          <w:rFonts w:eastAsia="Calibri"/>
          <w:b/>
          <w:lang w:val="es-ES"/>
        </w:rPr>
        <w:t xml:space="preserve">CONFIRMAR </w:t>
      </w:r>
      <w:r w:rsidRPr="00073F84">
        <w:rPr>
          <w:rFonts w:eastAsia="Calibri"/>
          <w:lang w:val="es-ES"/>
        </w:rPr>
        <w:t xml:space="preserve">la respuesta otorgada por el </w:t>
      </w:r>
      <w:r w:rsidRPr="00073F84">
        <w:rPr>
          <w:rFonts w:eastAsia="Calibri"/>
          <w:b/>
          <w:lang w:val="es-ES"/>
        </w:rPr>
        <w:t>SUJETO OBLIGADO.</w:t>
      </w:r>
    </w:p>
    <w:p w14:paraId="5C5D5A1D" w14:textId="77777777" w:rsidR="00C03758" w:rsidRPr="00073F84" w:rsidRDefault="00C03758" w:rsidP="00073F84">
      <w:pPr>
        <w:rPr>
          <w:rFonts w:cs="Arial"/>
          <w:szCs w:val="22"/>
        </w:rPr>
      </w:pPr>
    </w:p>
    <w:p w14:paraId="0456E01B" w14:textId="77777777" w:rsidR="00C03758" w:rsidRPr="00073F84" w:rsidRDefault="00C03758" w:rsidP="00073F84">
      <w:pPr>
        <w:ind w:right="-93"/>
        <w:rPr>
          <w:rFonts w:cs="Tahoma"/>
          <w:bCs/>
          <w:szCs w:val="22"/>
        </w:rPr>
      </w:pPr>
      <w:bookmarkStart w:id="37" w:name="_Hlk165381027"/>
      <w:r w:rsidRPr="00073F8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13E02FEC" w14:textId="77777777" w:rsidR="00C03758" w:rsidRPr="00073F84" w:rsidRDefault="00C03758" w:rsidP="00073F84">
      <w:pPr>
        <w:rPr>
          <w:szCs w:val="22"/>
        </w:rPr>
      </w:pPr>
    </w:p>
    <w:p w14:paraId="1A9B287C" w14:textId="77777777" w:rsidR="00C03758" w:rsidRPr="00073F84" w:rsidRDefault="00C03758" w:rsidP="00073F84">
      <w:pPr>
        <w:pStyle w:val="Ttulo1"/>
        <w:rPr>
          <w:szCs w:val="22"/>
        </w:rPr>
      </w:pPr>
      <w:bookmarkStart w:id="38" w:name="_Toc172203622"/>
      <w:bookmarkStart w:id="39" w:name="_Toc174614255"/>
      <w:bookmarkStart w:id="40" w:name="_Toc175179085"/>
      <w:bookmarkStart w:id="41" w:name="_Toc178097412"/>
      <w:bookmarkStart w:id="42" w:name="_Toc179308050"/>
      <w:bookmarkStart w:id="43" w:name="_Toc181799813"/>
      <w:r w:rsidRPr="00073F84">
        <w:rPr>
          <w:szCs w:val="22"/>
        </w:rPr>
        <w:t>RESUELVE</w:t>
      </w:r>
      <w:bookmarkEnd w:id="38"/>
      <w:bookmarkEnd w:id="39"/>
      <w:bookmarkEnd w:id="40"/>
      <w:bookmarkEnd w:id="41"/>
      <w:bookmarkEnd w:id="42"/>
      <w:bookmarkEnd w:id="43"/>
    </w:p>
    <w:p w14:paraId="4D6CD5EB" w14:textId="77777777" w:rsidR="00C03758" w:rsidRPr="00073F84" w:rsidRDefault="00C03758" w:rsidP="00073F84">
      <w:pPr>
        <w:ind w:right="113"/>
        <w:rPr>
          <w:rFonts w:cs="Arial"/>
          <w:b/>
          <w:szCs w:val="22"/>
        </w:rPr>
      </w:pPr>
    </w:p>
    <w:p w14:paraId="63576D0A" w14:textId="2D666489" w:rsidR="00C03758" w:rsidRPr="00073F84" w:rsidRDefault="00C03758" w:rsidP="00073F84">
      <w:pPr>
        <w:widowControl w:val="0"/>
        <w:rPr>
          <w:rFonts w:eastAsia="Calibri" w:cs="Tahoma"/>
          <w:bCs/>
          <w:lang w:eastAsia="en-US"/>
        </w:rPr>
      </w:pPr>
      <w:r w:rsidRPr="00073F84">
        <w:rPr>
          <w:b/>
          <w:bCs/>
        </w:rPr>
        <w:t>PRIMERO.</w:t>
      </w:r>
      <w:r w:rsidRPr="00073F84">
        <w:t xml:space="preserve"> </w:t>
      </w:r>
      <w:r w:rsidRPr="00073F84">
        <w:rPr>
          <w:rFonts w:cs="Tahoma"/>
        </w:rPr>
        <w:t xml:space="preserve">Se </w:t>
      </w:r>
      <w:r w:rsidRPr="00073F84">
        <w:rPr>
          <w:rFonts w:cs="Tahoma"/>
          <w:b/>
          <w:bCs/>
        </w:rPr>
        <w:t>CONFIRMA</w:t>
      </w:r>
      <w:r w:rsidRPr="00073F84">
        <w:rPr>
          <w:rFonts w:cs="Tahoma"/>
        </w:rPr>
        <w:t xml:space="preserve"> la respuesta entregada por el </w:t>
      </w:r>
      <w:r w:rsidRPr="00073F84">
        <w:rPr>
          <w:rFonts w:cs="Tahoma"/>
          <w:b/>
          <w:bCs/>
        </w:rPr>
        <w:t>SUJETO OBLIGADO</w:t>
      </w:r>
      <w:r w:rsidRPr="00073F84">
        <w:rPr>
          <w:rFonts w:cs="Tahoma"/>
        </w:rPr>
        <w:t xml:space="preserve"> en la solicitud de información </w:t>
      </w:r>
      <w:r w:rsidRPr="00073F84">
        <w:rPr>
          <w:b/>
        </w:rPr>
        <w:t>00717/SF/IP/2024</w:t>
      </w:r>
      <w:r w:rsidRPr="00073F84">
        <w:rPr>
          <w:rFonts w:cs="Tahoma"/>
          <w:bCs/>
        </w:rPr>
        <w:t xml:space="preserve">, </w:t>
      </w:r>
      <w:r w:rsidRPr="00073F84">
        <w:rPr>
          <w:rFonts w:eastAsia="Calibri" w:cs="Tahoma"/>
          <w:bCs/>
          <w:lang w:eastAsia="en-US"/>
        </w:rPr>
        <w:t xml:space="preserve">por resultar </w:t>
      </w:r>
      <w:r w:rsidRPr="00073F84">
        <w:rPr>
          <w:rFonts w:eastAsia="Calibri" w:cs="Tahoma"/>
          <w:b/>
          <w:lang w:eastAsia="en-US"/>
        </w:rPr>
        <w:t>IN</w:t>
      </w:r>
      <w:r w:rsidRPr="00073F84">
        <w:rPr>
          <w:rFonts w:eastAsia="Calibri" w:cs="Tahoma"/>
          <w:b/>
          <w:bCs/>
          <w:lang w:eastAsia="en-US"/>
        </w:rPr>
        <w:t>FUNDADAS</w:t>
      </w:r>
      <w:r w:rsidRPr="00073F84">
        <w:rPr>
          <w:rFonts w:eastAsia="Calibri" w:cs="Tahoma"/>
          <w:bCs/>
          <w:lang w:eastAsia="en-US"/>
        </w:rPr>
        <w:t xml:space="preserve"> las razones o motivos de inconformidad hechos valer por </w:t>
      </w:r>
      <w:r w:rsidRPr="00073F84">
        <w:rPr>
          <w:rFonts w:eastAsia="Calibri" w:cs="Tahoma"/>
          <w:b/>
          <w:lang w:eastAsia="en-US"/>
        </w:rPr>
        <w:t>LA PARTE RECURRENTE</w:t>
      </w:r>
      <w:r w:rsidRPr="00073F84">
        <w:rPr>
          <w:rFonts w:eastAsia="Calibri" w:cs="Tahoma"/>
          <w:bCs/>
          <w:lang w:eastAsia="en-US"/>
        </w:rPr>
        <w:t xml:space="preserve"> en el Recurso de Revisión </w:t>
      </w:r>
      <w:r w:rsidRPr="00073F84">
        <w:rPr>
          <w:b/>
        </w:rPr>
        <w:t>06292/INFOEM/IP/RR/2024</w:t>
      </w:r>
      <w:r w:rsidRPr="00073F84">
        <w:rPr>
          <w:rFonts w:eastAsiaTheme="minorHAnsi" w:cstheme="minorBidi"/>
          <w:lang w:eastAsia="en-US"/>
        </w:rPr>
        <w:t>,</w:t>
      </w:r>
      <w:r w:rsidRPr="00073F84">
        <w:rPr>
          <w:rFonts w:cs="Tahoma"/>
          <w:b/>
        </w:rPr>
        <w:t xml:space="preserve"> </w:t>
      </w:r>
      <w:r w:rsidRPr="00073F84">
        <w:rPr>
          <w:rFonts w:eastAsia="Calibri" w:cs="Tahoma"/>
          <w:bCs/>
          <w:lang w:eastAsia="en-US"/>
        </w:rPr>
        <w:t xml:space="preserve">en términos del considerando </w:t>
      </w:r>
      <w:r w:rsidRPr="00073F84">
        <w:rPr>
          <w:rFonts w:eastAsia="Calibri" w:cs="Tahoma"/>
          <w:b/>
          <w:lang w:eastAsia="en-US"/>
        </w:rPr>
        <w:t>SEGUNDO</w:t>
      </w:r>
      <w:r w:rsidRPr="00073F84">
        <w:rPr>
          <w:rFonts w:eastAsia="Calibri" w:cs="Tahoma"/>
          <w:bCs/>
          <w:lang w:eastAsia="en-US"/>
        </w:rPr>
        <w:t xml:space="preserve"> de la presente Resolución.</w:t>
      </w:r>
    </w:p>
    <w:p w14:paraId="2BFEFC37" w14:textId="77777777" w:rsidR="00C03758" w:rsidRPr="00073F84" w:rsidRDefault="00C03758" w:rsidP="00073F84">
      <w:pPr>
        <w:widowControl w:val="0"/>
        <w:rPr>
          <w:rFonts w:eastAsia="Calibri" w:cs="Tahoma"/>
          <w:bCs/>
          <w:lang w:eastAsia="en-US"/>
        </w:rPr>
      </w:pPr>
    </w:p>
    <w:p w14:paraId="701E8CD0" w14:textId="77777777" w:rsidR="00C03758" w:rsidRPr="00073F84" w:rsidRDefault="00C03758" w:rsidP="00073F84">
      <w:pPr>
        <w:ind w:right="-93"/>
      </w:pPr>
      <w:r w:rsidRPr="00073F84">
        <w:rPr>
          <w:rFonts w:eastAsia="Calibri" w:cs="Tahoma"/>
          <w:b/>
          <w:bCs/>
          <w:lang w:eastAsia="en-US"/>
        </w:rPr>
        <w:t>SEGUNDO.</w:t>
      </w:r>
      <w:r w:rsidRPr="00073F84">
        <w:rPr>
          <w:rFonts w:eastAsia="Calibri" w:cs="Tahoma"/>
        </w:rPr>
        <w:t xml:space="preserve"> </w:t>
      </w:r>
      <w:r w:rsidRPr="00073F84">
        <w:rPr>
          <w:b/>
        </w:rPr>
        <w:t>Notifíquese</w:t>
      </w:r>
      <w:r w:rsidRPr="00073F84">
        <w:t xml:space="preserve"> la presente resolución mediante Sistema de Acceso a la Información Mexiquense </w:t>
      </w:r>
      <w:r w:rsidRPr="00073F84">
        <w:rPr>
          <w:b/>
          <w:bCs/>
        </w:rPr>
        <w:t>(SAIMEX)</w:t>
      </w:r>
      <w:r w:rsidRPr="00073F84">
        <w:t xml:space="preserve"> al Titular de la Unidad de Transparencia del </w:t>
      </w:r>
      <w:r w:rsidRPr="00073F84">
        <w:rPr>
          <w:b/>
          <w:bCs/>
        </w:rPr>
        <w:t>SUJETO OBLIGADO</w:t>
      </w:r>
      <w:r w:rsidRPr="00073F84">
        <w:t>, para su conocimiento.</w:t>
      </w:r>
    </w:p>
    <w:p w14:paraId="5F0D08AA" w14:textId="77777777" w:rsidR="00C03758" w:rsidRPr="00073F84" w:rsidRDefault="00C03758" w:rsidP="00073F84">
      <w:pPr>
        <w:ind w:right="-93"/>
      </w:pPr>
    </w:p>
    <w:p w14:paraId="12123A67" w14:textId="77777777" w:rsidR="00C03758" w:rsidRPr="00073F84" w:rsidRDefault="00C03758" w:rsidP="00073F84">
      <w:r w:rsidRPr="00073F84">
        <w:rPr>
          <w:b/>
          <w:bCs/>
        </w:rPr>
        <w:t>TERCERO.</w:t>
      </w:r>
      <w:r w:rsidRPr="00073F84">
        <w:t xml:space="preserve"> Notifíquese a </w:t>
      </w:r>
      <w:r w:rsidRPr="00073F84">
        <w:rPr>
          <w:b/>
          <w:bCs/>
        </w:rPr>
        <w:t>LA PARTE RECURRENTE</w:t>
      </w:r>
      <w:r w:rsidRPr="00073F84">
        <w:t xml:space="preserve"> la presente resolución vía Sistema de Acceso a la Información Mexiquense (</w:t>
      </w:r>
      <w:r w:rsidRPr="00073F84">
        <w:rPr>
          <w:b/>
        </w:rPr>
        <w:t>SAIMEX</w:t>
      </w:r>
      <w:r w:rsidRPr="00073F84">
        <w:t>).</w:t>
      </w:r>
    </w:p>
    <w:p w14:paraId="60573052" w14:textId="77777777" w:rsidR="00C03758" w:rsidRPr="00073F84" w:rsidRDefault="00C03758" w:rsidP="00073F84"/>
    <w:p w14:paraId="0BE5AEC1" w14:textId="77777777" w:rsidR="00C03758" w:rsidRPr="00073F84" w:rsidRDefault="00C03758" w:rsidP="00073F84">
      <w:r w:rsidRPr="00073F84">
        <w:rPr>
          <w:b/>
          <w:bCs/>
        </w:rPr>
        <w:lastRenderedPageBreak/>
        <w:t>CUARTO</w:t>
      </w:r>
      <w:r w:rsidRPr="00073F84">
        <w:t xml:space="preserve">. Hágase del conocimiento a </w:t>
      </w:r>
      <w:r w:rsidRPr="00073F84">
        <w:rPr>
          <w:b/>
          <w:bCs/>
        </w:rPr>
        <w:t>LA PARTE RECURRENTE</w:t>
      </w:r>
      <w:r w:rsidRPr="00073F8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4FBD4D6" w14:textId="77777777" w:rsidR="00C464CD" w:rsidRPr="00073F84" w:rsidRDefault="00C464CD" w:rsidP="00073F84">
      <w:pPr>
        <w:rPr>
          <w:rFonts w:eastAsia="Palatino Linotype" w:cs="Palatino Linotype"/>
          <w:szCs w:val="22"/>
        </w:rPr>
      </w:pPr>
    </w:p>
    <w:p w14:paraId="719A5C63" w14:textId="74966430" w:rsidR="00664420" w:rsidRPr="00073F84" w:rsidRDefault="00664420" w:rsidP="00073F84">
      <w:pPr>
        <w:rPr>
          <w:rFonts w:eastAsia="Palatino Linotype" w:cs="Palatino Linotype"/>
          <w:szCs w:val="22"/>
        </w:rPr>
      </w:pPr>
      <w:r w:rsidRPr="00073F8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073F84">
        <w:rPr>
          <w:rFonts w:eastAsia="Palatino Linotype" w:cs="Palatino Linotype"/>
          <w:szCs w:val="22"/>
        </w:rPr>
        <w:t>TRIGÉSIMA</w:t>
      </w:r>
      <w:r w:rsidR="00336B4B" w:rsidRPr="00073F84">
        <w:rPr>
          <w:rFonts w:eastAsia="Palatino Linotype" w:cs="Palatino Linotype"/>
          <w:szCs w:val="22"/>
        </w:rPr>
        <w:t xml:space="preserve"> </w:t>
      </w:r>
      <w:r w:rsidR="00335A0B" w:rsidRPr="00073F84">
        <w:rPr>
          <w:rFonts w:eastAsia="Palatino Linotype" w:cs="Palatino Linotype"/>
          <w:szCs w:val="22"/>
        </w:rPr>
        <w:t>OCTAV</w:t>
      </w:r>
      <w:r w:rsidR="007B06EA" w:rsidRPr="00073F84">
        <w:rPr>
          <w:rFonts w:eastAsia="Palatino Linotype" w:cs="Palatino Linotype"/>
          <w:szCs w:val="22"/>
        </w:rPr>
        <w:t>A</w:t>
      </w:r>
      <w:r w:rsidR="00C5325A" w:rsidRPr="00073F84">
        <w:rPr>
          <w:rFonts w:eastAsia="Palatino Linotype" w:cs="Palatino Linotype"/>
          <w:szCs w:val="22"/>
        </w:rPr>
        <w:t xml:space="preserve"> </w:t>
      </w:r>
      <w:r w:rsidRPr="00073F84">
        <w:rPr>
          <w:rFonts w:eastAsia="Palatino Linotype" w:cs="Palatino Linotype"/>
          <w:szCs w:val="22"/>
        </w:rPr>
        <w:t xml:space="preserve">SESIÓN ORDINARIA, CELEBRADA EL </w:t>
      </w:r>
      <w:r w:rsidR="007B06EA" w:rsidRPr="00073F84">
        <w:rPr>
          <w:rFonts w:eastAsia="Palatino Linotype" w:cs="Palatino Linotype"/>
          <w:szCs w:val="22"/>
        </w:rPr>
        <w:t>SEIS DE NOVIEMBRE</w:t>
      </w:r>
      <w:r w:rsidR="00336B4B" w:rsidRPr="00073F84">
        <w:rPr>
          <w:rFonts w:eastAsia="Palatino Linotype" w:cs="Palatino Linotype"/>
          <w:szCs w:val="22"/>
        </w:rPr>
        <w:t xml:space="preserve"> DE DOS MIL VEINTICUATRO, </w:t>
      </w:r>
      <w:r w:rsidRPr="00073F84">
        <w:rPr>
          <w:rFonts w:eastAsia="Palatino Linotype" w:cs="Palatino Linotype"/>
          <w:szCs w:val="22"/>
        </w:rPr>
        <w:t>ANTE EL SECRETARIO TÉCNICO DEL PLENO, ALEXIS TAPIA RAMÍREZ.</w:t>
      </w:r>
    </w:p>
    <w:p w14:paraId="26F5FDEB" w14:textId="77777777" w:rsidR="008629A5" w:rsidRPr="00073F84" w:rsidRDefault="008629A5" w:rsidP="00073F84">
      <w:pPr>
        <w:ind w:right="-93"/>
      </w:pPr>
      <w:r w:rsidRPr="00073F84">
        <w:rPr>
          <w:rFonts w:eastAsia="Palatino Linotype" w:cs="Palatino Linotype"/>
          <w:sz w:val="18"/>
          <w:szCs w:val="14"/>
        </w:rPr>
        <w:t>SCMM/AGZ/DEMF/PAG</w:t>
      </w:r>
    </w:p>
    <w:p w14:paraId="49D72DA3" w14:textId="77777777" w:rsidR="00664420" w:rsidRPr="00073F84" w:rsidRDefault="00664420" w:rsidP="00073F84">
      <w:pPr>
        <w:ind w:right="-93"/>
        <w:rPr>
          <w:rFonts w:eastAsia="Calibri" w:cs="Tahoma"/>
          <w:bCs/>
          <w:szCs w:val="22"/>
          <w:lang w:eastAsia="en-US"/>
        </w:rPr>
      </w:pPr>
    </w:p>
    <w:p w14:paraId="5EFEA0CD" w14:textId="77777777" w:rsidR="00664420" w:rsidRPr="00073F84" w:rsidRDefault="00664420" w:rsidP="00073F84">
      <w:pPr>
        <w:ind w:right="-93"/>
        <w:rPr>
          <w:rFonts w:eastAsia="Calibri" w:cs="Tahoma"/>
          <w:szCs w:val="22"/>
          <w:lang w:val="es-ES"/>
        </w:rPr>
      </w:pPr>
    </w:p>
    <w:p w14:paraId="696BC976" w14:textId="77777777" w:rsidR="00664420" w:rsidRPr="00073F84" w:rsidRDefault="00664420" w:rsidP="00073F84">
      <w:pPr>
        <w:ind w:right="-93"/>
        <w:rPr>
          <w:rFonts w:eastAsia="Calibri" w:cs="Tahoma"/>
          <w:bCs/>
          <w:szCs w:val="22"/>
          <w:lang w:val="es-ES" w:eastAsia="en-US"/>
        </w:rPr>
      </w:pPr>
    </w:p>
    <w:p w14:paraId="671CB0C5" w14:textId="77777777" w:rsidR="00664420" w:rsidRPr="00073F84" w:rsidRDefault="00664420" w:rsidP="00073F84">
      <w:pPr>
        <w:ind w:right="-93"/>
        <w:rPr>
          <w:rFonts w:eastAsia="Calibri" w:cs="Tahoma"/>
          <w:bCs/>
          <w:szCs w:val="22"/>
          <w:lang w:val="es-ES_tradnl" w:eastAsia="en-US"/>
        </w:rPr>
      </w:pPr>
    </w:p>
    <w:p w14:paraId="52B66DE7" w14:textId="77777777" w:rsidR="00664420" w:rsidRPr="00073F84" w:rsidRDefault="00664420" w:rsidP="00073F84">
      <w:pPr>
        <w:ind w:right="-93"/>
        <w:rPr>
          <w:rFonts w:eastAsia="Calibri" w:cs="Tahoma"/>
          <w:bCs/>
          <w:szCs w:val="22"/>
          <w:lang w:val="es-ES_tradnl" w:eastAsia="en-US"/>
        </w:rPr>
      </w:pPr>
    </w:p>
    <w:p w14:paraId="3BA305D1" w14:textId="77777777" w:rsidR="00664420" w:rsidRPr="00073F84" w:rsidRDefault="00664420" w:rsidP="00073F84">
      <w:pPr>
        <w:ind w:right="-93"/>
        <w:rPr>
          <w:rFonts w:eastAsia="Calibri" w:cs="Tahoma"/>
          <w:bCs/>
          <w:szCs w:val="22"/>
          <w:lang w:val="es-ES_tradnl" w:eastAsia="en-US"/>
        </w:rPr>
      </w:pPr>
    </w:p>
    <w:p w14:paraId="78230707" w14:textId="77777777" w:rsidR="00664420" w:rsidRPr="00073F84" w:rsidRDefault="00664420" w:rsidP="00073F84">
      <w:pPr>
        <w:ind w:right="-93"/>
        <w:rPr>
          <w:rFonts w:eastAsia="Calibri" w:cs="Tahoma"/>
          <w:bCs/>
          <w:szCs w:val="22"/>
          <w:lang w:val="es-ES_tradnl" w:eastAsia="en-US"/>
        </w:rPr>
      </w:pPr>
    </w:p>
    <w:p w14:paraId="72D18B28" w14:textId="77777777" w:rsidR="00664420" w:rsidRPr="00073F84" w:rsidRDefault="00664420" w:rsidP="00073F84">
      <w:pPr>
        <w:ind w:right="-93"/>
        <w:rPr>
          <w:rFonts w:eastAsia="Calibri" w:cs="Tahoma"/>
          <w:bCs/>
          <w:szCs w:val="22"/>
          <w:lang w:val="es-ES_tradnl" w:eastAsia="en-US"/>
        </w:rPr>
      </w:pPr>
    </w:p>
    <w:p w14:paraId="6BD461DC" w14:textId="77777777" w:rsidR="00664420" w:rsidRPr="00073F84" w:rsidRDefault="00664420" w:rsidP="00073F84">
      <w:pPr>
        <w:tabs>
          <w:tab w:val="center" w:pos="4568"/>
        </w:tabs>
        <w:ind w:right="-93"/>
        <w:rPr>
          <w:rFonts w:eastAsia="Calibri" w:cs="Tahoma"/>
          <w:bCs/>
          <w:szCs w:val="22"/>
          <w:lang w:eastAsia="en-US"/>
        </w:rPr>
      </w:pPr>
    </w:p>
    <w:p w14:paraId="4DBB1727" w14:textId="77777777" w:rsidR="00664420" w:rsidRPr="00073F84" w:rsidRDefault="00664420" w:rsidP="00073F84">
      <w:pPr>
        <w:tabs>
          <w:tab w:val="center" w:pos="4568"/>
        </w:tabs>
        <w:ind w:right="-93"/>
        <w:rPr>
          <w:rFonts w:eastAsia="Calibri" w:cs="Tahoma"/>
          <w:bCs/>
          <w:szCs w:val="22"/>
          <w:lang w:eastAsia="en-US"/>
        </w:rPr>
      </w:pPr>
    </w:p>
    <w:p w14:paraId="1D74121B" w14:textId="77777777" w:rsidR="00664420" w:rsidRPr="00073F84" w:rsidRDefault="00664420" w:rsidP="00073F84">
      <w:pPr>
        <w:tabs>
          <w:tab w:val="center" w:pos="4568"/>
        </w:tabs>
        <w:ind w:right="-93"/>
        <w:rPr>
          <w:rFonts w:eastAsia="Calibri" w:cs="Tahoma"/>
          <w:bCs/>
          <w:szCs w:val="22"/>
          <w:lang w:eastAsia="en-US"/>
        </w:rPr>
      </w:pPr>
    </w:p>
    <w:p w14:paraId="08E74E9C" w14:textId="77777777" w:rsidR="00664420" w:rsidRPr="00073F84" w:rsidRDefault="00664420" w:rsidP="00073F84">
      <w:pPr>
        <w:tabs>
          <w:tab w:val="center" w:pos="4568"/>
        </w:tabs>
        <w:ind w:right="-93"/>
        <w:rPr>
          <w:rFonts w:eastAsia="Calibri" w:cs="Tahoma"/>
          <w:bCs/>
          <w:szCs w:val="22"/>
          <w:lang w:eastAsia="en-US"/>
        </w:rPr>
      </w:pPr>
    </w:p>
    <w:p w14:paraId="2CBF5E03" w14:textId="77777777" w:rsidR="00664420" w:rsidRPr="00073F84" w:rsidRDefault="00664420" w:rsidP="00073F84">
      <w:pPr>
        <w:tabs>
          <w:tab w:val="center" w:pos="4568"/>
        </w:tabs>
        <w:ind w:right="-93"/>
        <w:rPr>
          <w:rFonts w:eastAsia="Calibri" w:cs="Tahoma"/>
          <w:bCs/>
          <w:szCs w:val="22"/>
          <w:lang w:eastAsia="en-US"/>
        </w:rPr>
      </w:pPr>
    </w:p>
    <w:p w14:paraId="44865A6D" w14:textId="77777777" w:rsidR="00664420" w:rsidRPr="00073F84" w:rsidRDefault="00664420" w:rsidP="00073F84">
      <w:pPr>
        <w:tabs>
          <w:tab w:val="center" w:pos="4568"/>
        </w:tabs>
        <w:ind w:right="-93"/>
        <w:rPr>
          <w:rFonts w:eastAsia="Calibri" w:cs="Tahoma"/>
          <w:bCs/>
          <w:szCs w:val="22"/>
          <w:lang w:eastAsia="en-US"/>
        </w:rPr>
      </w:pPr>
    </w:p>
    <w:p w14:paraId="7147F06B" w14:textId="77777777" w:rsidR="00664420" w:rsidRPr="00073F84" w:rsidRDefault="00664420" w:rsidP="00073F84">
      <w:pPr>
        <w:tabs>
          <w:tab w:val="center" w:pos="4568"/>
        </w:tabs>
        <w:ind w:right="-93"/>
        <w:rPr>
          <w:rFonts w:eastAsia="Calibri" w:cs="Tahoma"/>
          <w:bCs/>
          <w:szCs w:val="22"/>
          <w:lang w:eastAsia="en-US"/>
        </w:rPr>
      </w:pPr>
    </w:p>
    <w:p w14:paraId="6FDF3D7E" w14:textId="77777777" w:rsidR="00664420" w:rsidRPr="00073F84" w:rsidRDefault="00664420" w:rsidP="00073F84">
      <w:pPr>
        <w:tabs>
          <w:tab w:val="center" w:pos="4568"/>
        </w:tabs>
        <w:ind w:right="-93"/>
        <w:rPr>
          <w:rFonts w:eastAsia="Calibri" w:cs="Tahoma"/>
          <w:bCs/>
          <w:szCs w:val="22"/>
          <w:lang w:eastAsia="en-US"/>
        </w:rPr>
      </w:pPr>
    </w:p>
    <w:p w14:paraId="6246F818" w14:textId="77777777" w:rsidR="00664420" w:rsidRPr="00073F84" w:rsidRDefault="00664420" w:rsidP="00073F84">
      <w:pPr>
        <w:tabs>
          <w:tab w:val="center" w:pos="4568"/>
        </w:tabs>
        <w:ind w:right="-93"/>
        <w:rPr>
          <w:rFonts w:eastAsia="Calibri" w:cs="Tahoma"/>
          <w:bCs/>
          <w:szCs w:val="22"/>
          <w:lang w:eastAsia="en-US"/>
        </w:rPr>
      </w:pPr>
    </w:p>
    <w:p w14:paraId="57A88B28" w14:textId="77777777" w:rsidR="00664420" w:rsidRPr="00073F84" w:rsidRDefault="00664420" w:rsidP="00073F84">
      <w:pPr>
        <w:tabs>
          <w:tab w:val="center" w:pos="4568"/>
        </w:tabs>
        <w:ind w:right="-93"/>
        <w:rPr>
          <w:rFonts w:eastAsia="Calibri" w:cs="Tahoma"/>
          <w:bCs/>
          <w:szCs w:val="22"/>
          <w:lang w:eastAsia="en-US"/>
        </w:rPr>
      </w:pPr>
    </w:p>
    <w:p w14:paraId="77EF6095" w14:textId="77777777" w:rsidR="00664420" w:rsidRPr="00073F84" w:rsidRDefault="00664420" w:rsidP="00073F84">
      <w:pPr>
        <w:tabs>
          <w:tab w:val="center" w:pos="4568"/>
        </w:tabs>
        <w:ind w:right="-93"/>
        <w:rPr>
          <w:rFonts w:eastAsia="Calibri" w:cs="Tahoma"/>
          <w:bCs/>
          <w:szCs w:val="22"/>
          <w:lang w:eastAsia="en-US"/>
        </w:rPr>
      </w:pPr>
    </w:p>
    <w:p w14:paraId="35593947" w14:textId="77777777" w:rsidR="00664420" w:rsidRPr="00073F84" w:rsidRDefault="00664420" w:rsidP="00073F84">
      <w:pPr>
        <w:tabs>
          <w:tab w:val="center" w:pos="4568"/>
        </w:tabs>
        <w:ind w:right="-93"/>
        <w:rPr>
          <w:rFonts w:eastAsia="Calibri" w:cs="Tahoma"/>
          <w:bCs/>
          <w:szCs w:val="22"/>
          <w:lang w:eastAsia="en-US"/>
        </w:rPr>
      </w:pPr>
    </w:p>
    <w:p w14:paraId="3AF72A17" w14:textId="77777777" w:rsidR="00664420" w:rsidRPr="00073F84" w:rsidRDefault="00664420" w:rsidP="00073F84">
      <w:pPr>
        <w:tabs>
          <w:tab w:val="center" w:pos="4568"/>
        </w:tabs>
        <w:ind w:right="-93"/>
        <w:rPr>
          <w:rFonts w:eastAsia="Calibri" w:cs="Tahoma"/>
          <w:bCs/>
          <w:szCs w:val="22"/>
          <w:lang w:eastAsia="en-US"/>
        </w:rPr>
      </w:pPr>
    </w:p>
    <w:p w14:paraId="37169144" w14:textId="77777777" w:rsidR="00664420" w:rsidRPr="00073F84" w:rsidRDefault="00664420" w:rsidP="00073F84">
      <w:pPr>
        <w:tabs>
          <w:tab w:val="center" w:pos="4568"/>
        </w:tabs>
        <w:ind w:right="-93"/>
        <w:rPr>
          <w:rFonts w:eastAsia="Calibri" w:cs="Tahoma"/>
          <w:bCs/>
          <w:szCs w:val="22"/>
          <w:lang w:eastAsia="en-US"/>
        </w:rPr>
      </w:pPr>
    </w:p>
    <w:p w14:paraId="77CFC088" w14:textId="77777777" w:rsidR="00664420" w:rsidRPr="00073F84" w:rsidRDefault="00664420" w:rsidP="00073F84">
      <w:pPr>
        <w:tabs>
          <w:tab w:val="center" w:pos="4568"/>
        </w:tabs>
        <w:ind w:right="-93"/>
        <w:rPr>
          <w:rFonts w:eastAsia="Calibri" w:cs="Tahoma"/>
          <w:bCs/>
          <w:szCs w:val="22"/>
          <w:lang w:eastAsia="en-US"/>
        </w:rPr>
      </w:pPr>
    </w:p>
    <w:p w14:paraId="781A11A5" w14:textId="77777777" w:rsidR="00664420" w:rsidRPr="00073F84" w:rsidRDefault="00664420" w:rsidP="00073F84">
      <w:pPr>
        <w:tabs>
          <w:tab w:val="center" w:pos="4568"/>
        </w:tabs>
        <w:ind w:right="-93"/>
        <w:rPr>
          <w:rFonts w:eastAsia="Calibri" w:cs="Tahoma"/>
          <w:bCs/>
          <w:szCs w:val="22"/>
          <w:lang w:eastAsia="en-US"/>
        </w:rPr>
      </w:pPr>
    </w:p>
    <w:p w14:paraId="5B4ADFF3" w14:textId="77777777" w:rsidR="00A131AC" w:rsidRPr="00073F84" w:rsidRDefault="00A131AC" w:rsidP="00073F84"/>
    <w:sectPr w:rsidR="00A131AC" w:rsidRPr="00073F84"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66DAE" w14:textId="77777777" w:rsidR="000922F6" w:rsidRDefault="000922F6" w:rsidP="00664420">
      <w:pPr>
        <w:spacing w:line="240" w:lineRule="auto"/>
      </w:pPr>
      <w:r>
        <w:separator/>
      </w:r>
    </w:p>
  </w:endnote>
  <w:endnote w:type="continuationSeparator" w:id="0">
    <w:p w14:paraId="7FD9917C" w14:textId="77777777" w:rsidR="000922F6" w:rsidRDefault="000922F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125AD" w:rsidRDefault="00E125AD">
    <w:pPr>
      <w:tabs>
        <w:tab w:val="center" w:pos="4550"/>
        <w:tab w:val="left" w:pos="5818"/>
      </w:tabs>
      <w:ind w:right="260"/>
      <w:jc w:val="right"/>
      <w:rPr>
        <w:color w:val="071320" w:themeColor="text2" w:themeShade="80"/>
        <w:sz w:val="24"/>
        <w:szCs w:val="24"/>
      </w:rPr>
    </w:pPr>
  </w:p>
  <w:p w14:paraId="1BCA7F23" w14:textId="77777777" w:rsidR="00E125AD" w:rsidRDefault="00E125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125AD" w:rsidRDefault="00E125A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42767" w:rsidRPr="00C42767">
      <w:rPr>
        <w:noProof/>
        <w:color w:val="0A1D30" w:themeColor="text2" w:themeShade="BF"/>
        <w:sz w:val="24"/>
        <w:szCs w:val="24"/>
        <w:lang w:val="es-ES"/>
      </w:rPr>
      <w:t>22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42767" w:rsidRPr="00C42767">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E125AD" w:rsidRDefault="00E125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A68D" w14:textId="77777777" w:rsidR="000922F6" w:rsidRDefault="000922F6" w:rsidP="00664420">
      <w:pPr>
        <w:spacing w:line="240" w:lineRule="auto"/>
      </w:pPr>
      <w:r>
        <w:separator/>
      </w:r>
    </w:p>
  </w:footnote>
  <w:footnote w:type="continuationSeparator" w:id="0">
    <w:p w14:paraId="369CAE30" w14:textId="77777777" w:rsidR="000922F6" w:rsidRDefault="000922F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125AD" w:rsidRPr="00330DA7" w14:paraId="070A4B18" w14:textId="77777777" w:rsidTr="003F35FD">
      <w:trPr>
        <w:trHeight w:val="144"/>
        <w:jc w:val="right"/>
      </w:trPr>
      <w:tc>
        <w:tcPr>
          <w:tcW w:w="2727" w:type="dxa"/>
        </w:tcPr>
        <w:p w14:paraId="62B7493A" w14:textId="77777777" w:rsidR="00E125AD" w:rsidRPr="00330DA7" w:rsidRDefault="00E125A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DE82E23" w:rsidR="00E125AD" w:rsidRPr="00A90C72" w:rsidRDefault="00E125AD" w:rsidP="000748DF">
          <w:pPr>
            <w:tabs>
              <w:tab w:val="right" w:pos="8838"/>
            </w:tabs>
            <w:ind w:left="-74" w:right="-105"/>
            <w:rPr>
              <w:rFonts w:eastAsia="Calibri" w:cs="Tahoma"/>
              <w:szCs w:val="22"/>
              <w:lang w:eastAsia="en-US"/>
            </w:rPr>
          </w:pPr>
          <w:r w:rsidRPr="002A633F">
            <w:rPr>
              <w:rFonts w:eastAsia="Calibri" w:cs="Tahoma"/>
              <w:szCs w:val="22"/>
              <w:lang w:eastAsia="en-US"/>
            </w:rPr>
            <w:t>06292/INFOEM/IP/RR/2024</w:t>
          </w:r>
        </w:p>
      </w:tc>
    </w:tr>
    <w:tr w:rsidR="00E125AD" w:rsidRPr="00330DA7" w14:paraId="4521E058" w14:textId="77777777" w:rsidTr="003F35FD">
      <w:trPr>
        <w:trHeight w:val="283"/>
        <w:jc w:val="right"/>
      </w:trPr>
      <w:tc>
        <w:tcPr>
          <w:tcW w:w="2727" w:type="dxa"/>
        </w:tcPr>
        <w:p w14:paraId="0B68C086" w14:textId="77777777" w:rsidR="00E125AD" w:rsidRPr="00330DA7" w:rsidRDefault="00E125A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983B5CA" w:rsidR="00E125AD" w:rsidRPr="00952DD0" w:rsidRDefault="00E125AD" w:rsidP="003F35B7">
          <w:pPr>
            <w:tabs>
              <w:tab w:val="left" w:pos="2834"/>
              <w:tab w:val="right" w:pos="8838"/>
            </w:tabs>
            <w:ind w:left="-108" w:right="-105"/>
            <w:rPr>
              <w:rFonts w:eastAsia="Calibri" w:cs="Tahoma"/>
              <w:szCs w:val="22"/>
              <w:lang w:eastAsia="en-US"/>
            </w:rPr>
          </w:pPr>
          <w:r w:rsidRPr="003F35B7">
            <w:rPr>
              <w:rFonts w:eastAsia="Calibri" w:cs="Tahoma"/>
              <w:szCs w:val="22"/>
              <w:lang w:eastAsia="en-US"/>
            </w:rPr>
            <w:t>Secretaría de Finanzas</w:t>
          </w:r>
        </w:p>
      </w:tc>
    </w:tr>
    <w:tr w:rsidR="00E125AD" w:rsidRPr="00330DA7" w14:paraId="6331D9B6" w14:textId="77777777" w:rsidTr="003F35FD">
      <w:trPr>
        <w:trHeight w:val="283"/>
        <w:jc w:val="right"/>
      </w:trPr>
      <w:tc>
        <w:tcPr>
          <w:tcW w:w="2727" w:type="dxa"/>
        </w:tcPr>
        <w:p w14:paraId="3FA86BAE" w14:textId="68E88B1D" w:rsidR="00E125AD" w:rsidRPr="00330DA7" w:rsidRDefault="00E125A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125AD" w:rsidRPr="00EA66FC" w:rsidRDefault="00E125A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125AD" w:rsidRPr="00443C6B" w:rsidRDefault="00E125A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125AD" w:rsidRPr="00330DA7" w14:paraId="29CFF901" w14:textId="77777777" w:rsidTr="004B56B4">
      <w:trPr>
        <w:trHeight w:val="1435"/>
      </w:trPr>
      <w:tc>
        <w:tcPr>
          <w:tcW w:w="283" w:type="dxa"/>
          <w:shd w:val="clear" w:color="auto" w:fill="auto"/>
        </w:tcPr>
        <w:p w14:paraId="046B9F8F" w14:textId="56D2D896" w:rsidR="00E125AD" w:rsidRPr="00330DA7" w:rsidRDefault="00E125AD"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125AD" w:rsidRPr="00330DA7" w14:paraId="04F272D2" w14:textId="77777777" w:rsidTr="004B56B4">
            <w:trPr>
              <w:trHeight w:val="144"/>
            </w:trPr>
            <w:tc>
              <w:tcPr>
                <w:tcW w:w="2727" w:type="dxa"/>
              </w:tcPr>
              <w:p w14:paraId="2FD4DBF6" w14:textId="77777777" w:rsidR="00E125AD" w:rsidRPr="00330DA7" w:rsidRDefault="00E125AD"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33F7B31" w:rsidR="00E125AD" w:rsidRPr="00A90C72" w:rsidRDefault="00E125AD" w:rsidP="005F3813">
                <w:pPr>
                  <w:tabs>
                    <w:tab w:val="right" w:pos="8838"/>
                  </w:tabs>
                  <w:spacing w:line="240" w:lineRule="auto"/>
                  <w:ind w:left="-74" w:right="-108"/>
                  <w:rPr>
                    <w:rFonts w:eastAsia="Calibri" w:cs="Tahoma"/>
                    <w:szCs w:val="22"/>
                    <w:lang w:eastAsia="en-US"/>
                  </w:rPr>
                </w:pPr>
                <w:r w:rsidRPr="002A633F">
                  <w:rPr>
                    <w:rFonts w:eastAsia="Calibri" w:cs="Tahoma"/>
                    <w:szCs w:val="22"/>
                    <w:lang w:eastAsia="en-US"/>
                  </w:rPr>
                  <w:t>06292/INFOEM/IP/RR/2024</w:t>
                </w:r>
              </w:p>
            </w:tc>
            <w:tc>
              <w:tcPr>
                <w:tcW w:w="3402" w:type="dxa"/>
              </w:tcPr>
              <w:p w14:paraId="71DEA1CF" w14:textId="77777777" w:rsidR="00E125AD" w:rsidRDefault="00E125AD" w:rsidP="005F3813">
                <w:pPr>
                  <w:tabs>
                    <w:tab w:val="right" w:pos="8838"/>
                  </w:tabs>
                  <w:spacing w:line="240" w:lineRule="auto"/>
                  <w:ind w:left="-74" w:right="-108"/>
                  <w:rPr>
                    <w:rFonts w:eastAsia="Calibri" w:cs="Tahoma"/>
                    <w:szCs w:val="22"/>
                    <w:lang w:eastAsia="en-US"/>
                  </w:rPr>
                </w:pPr>
              </w:p>
            </w:tc>
          </w:tr>
          <w:tr w:rsidR="00E125AD" w:rsidRPr="00330DA7" w14:paraId="05C58951" w14:textId="77777777" w:rsidTr="004B56B4">
            <w:trPr>
              <w:trHeight w:val="144"/>
            </w:trPr>
            <w:tc>
              <w:tcPr>
                <w:tcW w:w="2727" w:type="dxa"/>
              </w:tcPr>
              <w:p w14:paraId="642B9610" w14:textId="77777777" w:rsidR="00E125AD" w:rsidRPr="00330DA7" w:rsidRDefault="00E125AD"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15E4AA9" w:rsidR="00E125AD" w:rsidRPr="005F19B1" w:rsidRDefault="00E125AD"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E125AD" w:rsidRPr="005F19B1" w:rsidRDefault="00E125AD" w:rsidP="005F3813">
                <w:pPr>
                  <w:tabs>
                    <w:tab w:val="left" w:pos="3122"/>
                    <w:tab w:val="right" w:pos="8838"/>
                  </w:tabs>
                  <w:spacing w:line="240" w:lineRule="auto"/>
                  <w:ind w:left="-105" w:right="-108"/>
                  <w:rPr>
                    <w:rFonts w:eastAsia="Calibri" w:cs="Tahoma"/>
                    <w:szCs w:val="22"/>
                    <w:lang w:eastAsia="en-US"/>
                  </w:rPr>
                </w:pPr>
              </w:p>
            </w:tc>
          </w:tr>
          <w:bookmarkEnd w:id="2"/>
          <w:tr w:rsidR="00E125AD" w:rsidRPr="00330DA7" w14:paraId="00E6CDC1" w14:textId="77777777" w:rsidTr="004B56B4">
            <w:trPr>
              <w:trHeight w:val="283"/>
            </w:trPr>
            <w:tc>
              <w:tcPr>
                <w:tcW w:w="2727" w:type="dxa"/>
              </w:tcPr>
              <w:p w14:paraId="0631AD24" w14:textId="77777777" w:rsidR="00E125AD" w:rsidRPr="00330DA7" w:rsidRDefault="00E125AD"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6E97446" w:rsidR="00E125AD" w:rsidRPr="00952DD0" w:rsidRDefault="00E125AD" w:rsidP="003F35B7">
                <w:pPr>
                  <w:tabs>
                    <w:tab w:val="left" w:pos="2834"/>
                    <w:tab w:val="right" w:pos="8838"/>
                  </w:tabs>
                  <w:spacing w:line="240" w:lineRule="auto"/>
                  <w:ind w:left="-108" w:right="-108"/>
                  <w:rPr>
                    <w:rFonts w:eastAsia="Calibri" w:cs="Tahoma"/>
                    <w:szCs w:val="22"/>
                    <w:lang w:eastAsia="en-US"/>
                  </w:rPr>
                </w:pPr>
                <w:r w:rsidRPr="003F35B7">
                  <w:rPr>
                    <w:rFonts w:eastAsia="Calibri" w:cs="Tahoma"/>
                    <w:szCs w:val="22"/>
                    <w:lang w:eastAsia="en-US"/>
                  </w:rPr>
                  <w:t>Secretaría de Finanzas</w:t>
                </w:r>
              </w:p>
            </w:tc>
            <w:tc>
              <w:tcPr>
                <w:tcW w:w="3402" w:type="dxa"/>
              </w:tcPr>
              <w:p w14:paraId="3A7DA319" w14:textId="77777777" w:rsidR="00E125AD" w:rsidRPr="00A90C72" w:rsidRDefault="00E125AD" w:rsidP="005F3813">
                <w:pPr>
                  <w:tabs>
                    <w:tab w:val="left" w:pos="2834"/>
                    <w:tab w:val="right" w:pos="8838"/>
                  </w:tabs>
                  <w:spacing w:line="240" w:lineRule="auto"/>
                  <w:ind w:left="-108" w:right="-108"/>
                  <w:rPr>
                    <w:rFonts w:eastAsia="Calibri" w:cs="Tahoma"/>
                    <w:szCs w:val="22"/>
                    <w:lang w:eastAsia="en-US"/>
                  </w:rPr>
                </w:pPr>
              </w:p>
            </w:tc>
          </w:tr>
          <w:tr w:rsidR="00E125AD" w:rsidRPr="00330DA7" w14:paraId="0F6CD8D2" w14:textId="77777777" w:rsidTr="004B56B4">
            <w:trPr>
              <w:trHeight w:val="283"/>
            </w:trPr>
            <w:tc>
              <w:tcPr>
                <w:tcW w:w="2727" w:type="dxa"/>
              </w:tcPr>
              <w:p w14:paraId="31700628" w14:textId="032DD90E" w:rsidR="00E125AD" w:rsidRPr="00330DA7" w:rsidRDefault="00E125AD"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125AD" w:rsidRPr="00EA66FC" w:rsidRDefault="00E125AD"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125AD" w:rsidRPr="00330DA7" w:rsidRDefault="00E125AD" w:rsidP="005F3813">
                <w:pPr>
                  <w:tabs>
                    <w:tab w:val="right" w:pos="8838"/>
                  </w:tabs>
                  <w:spacing w:line="240" w:lineRule="auto"/>
                  <w:ind w:left="-108" w:right="-108"/>
                  <w:rPr>
                    <w:rFonts w:eastAsia="Calibri" w:cs="Tahoma"/>
                    <w:szCs w:val="22"/>
                    <w:lang w:eastAsia="en-US"/>
                  </w:rPr>
                </w:pPr>
              </w:p>
            </w:tc>
          </w:tr>
        </w:tbl>
        <w:p w14:paraId="5DC6AC61" w14:textId="77777777" w:rsidR="00E125AD" w:rsidRPr="00330DA7" w:rsidRDefault="00E125AD" w:rsidP="004B56B4">
          <w:pPr>
            <w:tabs>
              <w:tab w:val="right" w:pos="8838"/>
            </w:tabs>
            <w:ind w:left="-28"/>
            <w:rPr>
              <w:rFonts w:ascii="Arial" w:eastAsia="Calibri" w:hAnsi="Arial" w:cs="Arial"/>
              <w:b/>
              <w:szCs w:val="22"/>
              <w:lang w:eastAsia="en-US"/>
            </w:rPr>
          </w:pPr>
        </w:p>
      </w:tc>
    </w:tr>
  </w:tbl>
  <w:p w14:paraId="2A906731" w14:textId="77777777" w:rsidR="00E125AD" w:rsidRPr="00765661" w:rsidRDefault="000922F6"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121CBB"/>
    <w:multiLevelType w:val="hybridMultilevel"/>
    <w:tmpl w:val="A0463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12"/>
  </w:num>
  <w:num w:numId="6">
    <w:abstractNumId w:val="5"/>
  </w:num>
  <w:num w:numId="7">
    <w:abstractNumId w:val="9"/>
  </w:num>
  <w:num w:numId="8">
    <w:abstractNumId w:val="6"/>
  </w:num>
  <w:num w:numId="9">
    <w:abstractNumId w:val="11"/>
  </w:num>
  <w:num w:numId="10">
    <w:abstractNumId w:val="10"/>
  </w:num>
  <w:num w:numId="11">
    <w:abstractNumId w:val="3"/>
  </w:num>
  <w:num w:numId="12">
    <w:abstractNumId w:val="7"/>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268F"/>
    <w:rsid w:val="00023457"/>
    <w:rsid w:val="000318BC"/>
    <w:rsid w:val="00034097"/>
    <w:rsid w:val="00036589"/>
    <w:rsid w:val="00036CBB"/>
    <w:rsid w:val="00043F62"/>
    <w:rsid w:val="00044474"/>
    <w:rsid w:val="00044BDF"/>
    <w:rsid w:val="00047F9E"/>
    <w:rsid w:val="00054DD6"/>
    <w:rsid w:val="00057B2D"/>
    <w:rsid w:val="00073F84"/>
    <w:rsid w:val="00073F86"/>
    <w:rsid w:val="000748DF"/>
    <w:rsid w:val="00075514"/>
    <w:rsid w:val="00080071"/>
    <w:rsid w:val="000820ED"/>
    <w:rsid w:val="00082A7D"/>
    <w:rsid w:val="000853B7"/>
    <w:rsid w:val="00085830"/>
    <w:rsid w:val="000863CE"/>
    <w:rsid w:val="00086B1B"/>
    <w:rsid w:val="000871BE"/>
    <w:rsid w:val="000922F6"/>
    <w:rsid w:val="000925BE"/>
    <w:rsid w:val="000931F8"/>
    <w:rsid w:val="0009347C"/>
    <w:rsid w:val="0009480D"/>
    <w:rsid w:val="000A57F7"/>
    <w:rsid w:val="000B193A"/>
    <w:rsid w:val="000B3962"/>
    <w:rsid w:val="000B4579"/>
    <w:rsid w:val="000C7151"/>
    <w:rsid w:val="000D0D67"/>
    <w:rsid w:val="000D13AD"/>
    <w:rsid w:val="000E09C4"/>
    <w:rsid w:val="000E3851"/>
    <w:rsid w:val="000E4D48"/>
    <w:rsid w:val="000E5A90"/>
    <w:rsid w:val="000F2B80"/>
    <w:rsid w:val="00104035"/>
    <w:rsid w:val="00113286"/>
    <w:rsid w:val="0011350D"/>
    <w:rsid w:val="00113CFA"/>
    <w:rsid w:val="00113E1A"/>
    <w:rsid w:val="00122332"/>
    <w:rsid w:val="00124714"/>
    <w:rsid w:val="001259D3"/>
    <w:rsid w:val="00125D09"/>
    <w:rsid w:val="00126BAB"/>
    <w:rsid w:val="0013398A"/>
    <w:rsid w:val="00134ED3"/>
    <w:rsid w:val="00141876"/>
    <w:rsid w:val="0014207B"/>
    <w:rsid w:val="00150C49"/>
    <w:rsid w:val="00164403"/>
    <w:rsid w:val="00167FA5"/>
    <w:rsid w:val="00176CA6"/>
    <w:rsid w:val="00181F30"/>
    <w:rsid w:val="00182B71"/>
    <w:rsid w:val="00186A19"/>
    <w:rsid w:val="001913B7"/>
    <w:rsid w:val="00192B07"/>
    <w:rsid w:val="00197F95"/>
    <w:rsid w:val="001A3C48"/>
    <w:rsid w:val="001A5691"/>
    <w:rsid w:val="001A58B3"/>
    <w:rsid w:val="001A684C"/>
    <w:rsid w:val="001A7F6E"/>
    <w:rsid w:val="001B469C"/>
    <w:rsid w:val="001C0C12"/>
    <w:rsid w:val="001C1234"/>
    <w:rsid w:val="001C1AE4"/>
    <w:rsid w:val="001C5F83"/>
    <w:rsid w:val="001C7688"/>
    <w:rsid w:val="001C7E98"/>
    <w:rsid w:val="001D0C50"/>
    <w:rsid w:val="001D321F"/>
    <w:rsid w:val="001D4CD0"/>
    <w:rsid w:val="001F0527"/>
    <w:rsid w:val="001F0AEA"/>
    <w:rsid w:val="001F1BE3"/>
    <w:rsid w:val="001F3515"/>
    <w:rsid w:val="0020698B"/>
    <w:rsid w:val="00207DEA"/>
    <w:rsid w:val="00211229"/>
    <w:rsid w:val="00212CEC"/>
    <w:rsid w:val="00214FC7"/>
    <w:rsid w:val="002163E8"/>
    <w:rsid w:val="00224352"/>
    <w:rsid w:val="00225C9B"/>
    <w:rsid w:val="00225D98"/>
    <w:rsid w:val="002268D4"/>
    <w:rsid w:val="002277ED"/>
    <w:rsid w:val="00227FB3"/>
    <w:rsid w:val="00233005"/>
    <w:rsid w:val="00233F17"/>
    <w:rsid w:val="002346E6"/>
    <w:rsid w:val="002411A0"/>
    <w:rsid w:val="00241ACF"/>
    <w:rsid w:val="00242B28"/>
    <w:rsid w:val="00244FA6"/>
    <w:rsid w:val="0024744C"/>
    <w:rsid w:val="00250799"/>
    <w:rsid w:val="00253742"/>
    <w:rsid w:val="00255111"/>
    <w:rsid w:val="0025601C"/>
    <w:rsid w:val="00257B6D"/>
    <w:rsid w:val="002601D0"/>
    <w:rsid w:val="00260CEB"/>
    <w:rsid w:val="00260F26"/>
    <w:rsid w:val="00267635"/>
    <w:rsid w:val="002729F7"/>
    <w:rsid w:val="002807DD"/>
    <w:rsid w:val="00283C65"/>
    <w:rsid w:val="00285B81"/>
    <w:rsid w:val="00286AFF"/>
    <w:rsid w:val="00286F15"/>
    <w:rsid w:val="00290BCB"/>
    <w:rsid w:val="002939DF"/>
    <w:rsid w:val="0029492C"/>
    <w:rsid w:val="0029656A"/>
    <w:rsid w:val="002A10C4"/>
    <w:rsid w:val="002A1160"/>
    <w:rsid w:val="002A3601"/>
    <w:rsid w:val="002A633F"/>
    <w:rsid w:val="002B1314"/>
    <w:rsid w:val="002B3577"/>
    <w:rsid w:val="002B4A8C"/>
    <w:rsid w:val="002B6ADA"/>
    <w:rsid w:val="002B7C6F"/>
    <w:rsid w:val="002C1A33"/>
    <w:rsid w:val="002D111C"/>
    <w:rsid w:val="002D4497"/>
    <w:rsid w:val="002E0855"/>
    <w:rsid w:val="002E08BE"/>
    <w:rsid w:val="002E2C99"/>
    <w:rsid w:val="002E434E"/>
    <w:rsid w:val="002E6465"/>
    <w:rsid w:val="002E69F0"/>
    <w:rsid w:val="002E6DBB"/>
    <w:rsid w:val="002F1C00"/>
    <w:rsid w:val="002F46FE"/>
    <w:rsid w:val="002F4DBD"/>
    <w:rsid w:val="00302476"/>
    <w:rsid w:val="00315789"/>
    <w:rsid w:val="003171F3"/>
    <w:rsid w:val="00321E0C"/>
    <w:rsid w:val="00321E6F"/>
    <w:rsid w:val="00321F51"/>
    <w:rsid w:val="003244E0"/>
    <w:rsid w:val="003266B3"/>
    <w:rsid w:val="00331F35"/>
    <w:rsid w:val="00333057"/>
    <w:rsid w:val="0033442A"/>
    <w:rsid w:val="0033585B"/>
    <w:rsid w:val="00335A0B"/>
    <w:rsid w:val="00335CDF"/>
    <w:rsid w:val="00336B4B"/>
    <w:rsid w:val="00336D38"/>
    <w:rsid w:val="0034310E"/>
    <w:rsid w:val="00344723"/>
    <w:rsid w:val="00347000"/>
    <w:rsid w:val="00360C31"/>
    <w:rsid w:val="00360DDD"/>
    <w:rsid w:val="00362A11"/>
    <w:rsid w:val="00372AF0"/>
    <w:rsid w:val="00377247"/>
    <w:rsid w:val="0038205E"/>
    <w:rsid w:val="0038284C"/>
    <w:rsid w:val="003907A4"/>
    <w:rsid w:val="003A16C4"/>
    <w:rsid w:val="003A1B9D"/>
    <w:rsid w:val="003A2C1C"/>
    <w:rsid w:val="003A36BE"/>
    <w:rsid w:val="003A40C1"/>
    <w:rsid w:val="003A552F"/>
    <w:rsid w:val="003A7ED3"/>
    <w:rsid w:val="003B11EE"/>
    <w:rsid w:val="003B3762"/>
    <w:rsid w:val="003B5D3E"/>
    <w:rsid w:val="003B62E6"/>
    <w:rsid w:val="003B77A8"/>
    <w:rsid w:val="003C1E36"/>
    <w:rsid w:val="003D37E4"/>
    <w:rsid w:val="003D43DC"/>
    <w:rsid w:val="003D5071"/>
    <w:rsid w:val="003D71C4"/>
    <w:rsid w:val="003E45CF"/>
    <w:rsid w:val="003E5FDB"/>
    <w:rsid w:val="003F35B7"/>
    <w:rsid w:val="003F35FD"/>
    <w:rsid w:val="003F5E69"/>
    <w:rsid w:val="003F71AC"/>
    <w:rsid w:val="003F780F"/>
    <w:rsid w:val="004004E2"/>
    <w:rsid w:val="004010FF"/>
    <w:rsid w:val="00406F5A"/>
    <w:rsid w:val="00413154"/>
    <w:rsid w:val="0041385B"/>
    <w:rsid w:val="0041709A"/>
    <w:rsid w:val="004252F1"/>
    <w:rsid w:val="00426B43"/>
    <w:rsid w:val="00426E7F"/>
    <w:rsid w:val="00430A6E"/>
    <w:rsid w:val="004325D2"/>
    <w:rsid w:val="004326C1"/>
    <w:rsid w:val="00435F18"/>
    <w:rsid w:val="00441BFA"/>
    <w:rsid w:val="004427CC"/>
    <w:rsid w:val="00442D21"/>
    <w:rsid w:val="004530CC"/>
    <w:rsid w:val="00453B6D"/>
    <w:rsid w:val="00454FBD"/>
    <w:rsid w:val="00455859"/>
    <w:rsid w:val="00456274"/>
    <w:rsid w:val="00456D52"/>
    <w:rsid w:val="00464F6A"/>
    <w:rsid w:val="004650AF"/>
    <w:rsid w:val="00466B34"/>
    <w:rsid w:val="00466D34"/>
    <w:rsid w:val="00475583"/>
    <w:rsid w:val="00480006"/>
    <w:rsid w:val="0048159A"/>
    <w:rsid w:val="00497BFA"/>
    <w:rsid w:val="004A115C"/>
    <w:rsid w:val="004A44B6"/>
    <w:rsid w:val="004A7CF3"/>
    <w:rsid w:val="004B05E0"/>
    <w:rsid w:val="004B4CBF"/>
    <w:rsid w:val="004B56B4"/>
    <w:rsid w:val="004C1BD1"/>
    <w:rsid w:val="004C2719"/>
    <w:rsid w:val="004C629E"/>
    <w:rsid w:val="004D019F"/>
    <w:rsid w:val="004D18AD"/>
    <w:rsid w:val="004D3B91"/>
    <w:rsid w:val="004D6DBF"/>
    <w:rsid w:val="004D7988"/>
    <w:rsid w:val="004D7CD8"/>
    <w:rsid w:val="004E10F6"/>
    <w:rsid w:val="004E38B6"/>
    <w:rsid w:val="004E4108"/>
    <w:rsid w:val="004E4B78"/>
    <w:rsid w:val="004E5068"/>
    <w:rsid w:val="004E547E"/>
    <w:rsid w:val="004E771B"/>
    <w:rsid w:val="004F0690"/>
    <w:rsid w:val="004F24B3"/>
    <w:rsid w:val="004F6E7A"/>
    <w:rsid w:val="004F7A00"/>
    <w:rsid w:val="00501282"/>
    <w:rsid w:val="005065D2"/>
    <w:rsid w:val="0050792D"/>
    <w:rsid w:val="0051076F"/>
    <w:rsid w:val="00513801"/>
    <w:rsid w:val="005158C0"/>
    <w:rsid w:val="00517A43"/>
    <w:rsid w:val="00517FE7"/>
    <w:rsid w:val="0052341D"/>
    <w:rsid w:val="00523F48"/>
    <w:rsid w:val="00524E6D"/>
    <w:rsid w:val="005272BD"/>
    <w:rsid w:val="005314A3"/>
    <w:rsid w:val="00535015"/>
    <w:rsid w:val="005365FA"/>
    <w:rsid w:val="00546D39"/>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2C1"/>
    <w:rsid w:val="005856CA"/>
    <w:rsid w:val="00586796"/>
    <w:rsid w:val="00590892"/>
    <w:rsid w:val="005928D2"/>
    <w:rsid w:val="005A2DBC"/>
    <w:rsid w:val="005A2E48"/>
    <w:rsid w:val="005B0A1D"/>
    <w:rsid w:val="005B18AF"/>
    <w:rsid w:val="005B2E16"/>
    <w:rsid w:val="005C0515"/>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53F0"/>
    <w:rsid w:val="006159AD"/>
    <w:rsid w:val="00623941"/>
    <w:rsid w:val="006273C6"/>
    <w:rsid w:val="00633C99"/>
    <w:rsid w:val="0063740E"/>
    <w:rsid w:val="006408BF"/>
    <w:rsid w:val="006425AC"/>
    <w:rsid w:val="00644A42"/>
    <w:rsid w:val="00644E92"/>
    <w:rsid w:val="00646436"/>
    <w:rsid w:val="0065172E"/>
    <w:rsid w:val="00655F38"/>
    <w:rsid w:val="00661924"/>
    <w:rsid w:val="00662193"/>
    <w:rsid w:val="00664420"/>
    <w:rsid w:val="00670197"/>
    <w:rsid w:val="00670D3E"/>
    <w:rsid w:val="006740EA"/>
    <w:rsid w:val="00674B17"/>
    <w:rsid w:val="00675166"/>
    <w:rsid w:val="00682F10"/>
    <w:rsid w:val="00682FB7"/>
    <w:rsid w:val="0068416B"/>
    <w:rsid w:val="00685CF1"/>
    <w:rsid w:val="00686502"/>
    <w:rsid w:val="00692552"/>
    <w:rsid w:val="0069268F"/>
    <w:rsid w:val="0069541A"/>
    <w:rsid w:val="006A0C80"/>
    <w:rsid w:val="006A28B4"/>
    <w:rsid w:val="006A5D90"/>
    <w:rsid w:val="006A5EC5"/>
    <w:rsid w:val="006A61F1"/>
    <w:rsid w:val="006A646A"/>
    <w:rsid w:val="006B10B0"/>
    <w:rsid w:val="006B2561"/>
    <w:rsid w:val="006B43A3"/>
    <w:rsid w:val="006B7F3A"/>
    <w:rsid w:val="006C3622"/>
    <w:rsid w:val="006D2613"/>
    <w:rsid w:val="006D4095"/>
    <w:rsid w:val="006D42B5"/>
    <w:rsid w:val="006D67D6"/>
    <w:rsid w:val="006E15EB"/>
    <w:rsid w:val="006E1893"/>
    <w:rsid w:val="006E23FF"/>
    <w:rsid w:val="006E25BC"/>
    <w:rsid w:val="006E6BBC"/>
    <w:rsid w:val="006F05A0"/>
    <w:rsid w:val="006F64E7"/>
    <w:rsid w:val="006F7071"/>
    <w:rsid w:val="006F7768"/>
    <w:rsid w:val="00703BC7"/>
    <w:rsid w:val="00707158"/>
    <w:rsid w:val="00712200"/>
    <w:rsid w:val="00717362"/>
    <w:rsid w:val="00717E59"/>
    <w:rsid w:val="00721C72"/>
    <w:rsid w:val="00721C9E"/>
    <w:rsid w:val="00725300"/>
    <w:rsid w:val="007328F2"/>
    <w:rsid w:val="00733526"/>
    <w:rsid w:val="007369BE"/>
    <w:rsid w:val="0075086A"/>
    <w:rsid w:val="007530D0"/>
    <w:rsid w:val="00760756"/>
    <w:rsid w:val="00761E54"/>
    <w:rsid w:val="0076345F"/>
    <w:rsid w:val="00766ECE"/>
    <w:rsid w:val="00770ADC"/>
    <w:rsid w:val="0077232C"/>
    <w:rsid w:val="0077382A"/>
    <w:rsid w:val="00773E03"/>
    <w:rsid w:val="00775BFC"/>
    <w:rsid w:val="007771D7"/>
    <w:rsid w:val="0078291B"/>
    <w:rsid w:val="00783C1E"/>
    <w:rsid w:val="0078615D"/>
    <w:rsid w:val="007861AF"/>
    <w:rsid w:val="00797492"/>
    <w:rsid w:val="007978D7"/>
    <w:rsid w:val="007A2722"/>
    <w:rsid w:val="007A2AD8"/>
    <w:rsid w:val="007A3459"/>
    <w:rsid w:val="007B034E"/>
    <w:rsid w:val="007B06EA"/>
    <w:rsid w:val="007B6074"/>
    <w:rsid w:val="007B7451"/>
    <w:rsid w:val="007B7B00"/>
    <w:rsid w:val="007C17CC"/>
    <w:rsid w:val="007C1C17"/>
    <w:rsid w:val="007C487D"/>
    <w:rsid w:val="007C5727"/>
    <w:rsid w:val="007C6519"/>
    <w:rsid w:val="007D0316"/>
    <w:rsid w:val="007D1C55"/>
    <w:rsid w:val="007D317F"/>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7517"/>
    <w:rsid w:val="008422F0"/>
    <w:rsid w:val="008436D6"/>
    <w:rsid w:val="008457C6"/>
    <w:rsid w:val="00851468"/>
    <w:rsid w:val="00860FE2"/>
    <w:rsid w:val="008629A5"/>
    <w:rsid w:val="00865CF4"/>
    <w:rsid w:val="00866058"/>
    <w:rsid w:val="008669DA"/>
    <w:rsid w:val="00874B50"/>
    <w:rsid w:val="008750D5"/>
    <w:rsid w:val="0087567C"/>
    <w:rsid w:val="00876DBC"/>
    <w:rsid w:val="008842E9"/>
    <w:rsid w:val="00893BA2"/>
    <w:rsid w:val="00893F31"/>
    <w:rsid w:val="008944C8"/>
    <w:rsid w:val="00896AF7"/>
    <w:rsid w:val="008A09B9"/>
    <w:rsid w:val="008A46A1"/>
    <w:rsid w:val="008A6003"/>
    <w:rsid w:val="008A6656"/>
    <w:rsid w:val="008A6AB7"/>
    <w:rsid w:val="008A6F88"/>
    <w:rsid w:val="008B1E16"/>
    <w:rsid w:val="008B21DD"/>
    <w:rsid w:val="008B38DB"/>
    <w:rsid w:val="008B62FA"/>
    <w:rsid w:val="008C1615"/>
    <w:rsid w:val="008C1B87"/>
    <w:rsid w:val="008C7FAF"/>
    <w:rsid w:val="008D49A5"/>
    <w:rsid w:val="008E1316"/>
    <w:rsid w:val="008E19A7"/>
    <w:rsid w:val="008E5FF0"/>
    <w:rsid w:val="008F3837"/>
    <w:rsid w:val="008F6A6B"/>
    <w:rsid w:val="00900DC0"/>
    <w:rsid w:val="00901187"/>
    <w:rsid w:val="00903511"/>
    <w:rsid w:val="00910FD2"/>
    <w:rsid w:val="0091206F"/>
    <w:rsid w:val="009124C0"/>
    <w:rsid w:val="00912AB1"/>
    <w:rsid w:val="0091733B"/>
    <w:rsid w:val="00923307"/>
    <w:rsid w:val="00931437"/>
    <w:rsid w:val="00933F51"/>
    <w:rsid w:val="00933F8B"/>
    <w:rsid w:val="00934ECD"/>
    <w:rsid w:val="00940F4F"/>
    <w:rsid w:val="00942A3F"/>
    <w:rsid w:val="00944EFF"/>
    <w:rsid w:val="009527DA"/>
    <w:rsid w:val="00953430"/>
    <w:rsid w:val="00955DCC"/>
    <w:rsid w:val="00960309"/>
    <w:rsid w:val="00960996"/>
    <w:rsid w:val="0096391B"/>
    <w:rsid w:val="00964368"/>
    <w:rsid w:val="0096663A"/>
    <w:rsid w:val="00970EB3"/>
    <w:rsid w:val="0097187E"/>
    <w:rsid w:val="00975CA6"/>
    <w:rsid w:val="00977BCC"/>
    <w:rsid w:val="009839F1"/>
    <w:rsid w:val="00983EEF"/>
    <w:rsid w:val="00984ADE"/>
    <w:rsid w:val="009855AA"/>
    <w:rsid w:val="0098569A"/>
    <w:rsid w:val="00987343"/>
    <w:rsid w:val="00991944"/>
    <w:rsid w:val="0099459E"/>
    <w:rsid w:val="009A1803"/>
    <w:rsid w:val="009A2D78"/>
    <w:rsid w:val="009A42BF"/>
    <w:rsid w:val="009A7A3B"/>
    <w:rsid w:val="009A7C10"/>
    <w:rsid w:val="009B2945"/>
    <w:rsid w:val="009B38F6"/>
    <w:rsid w:val="009C0E17"/>
    <w:rsid w:val="009C644C"/>
    <w:rsid w:val="009C7CDB"/>
    <w:rsid w:val="009D2BEA"/>
    <w:rsid w:val="009D39D4"/>
    <w:rsid w:val="009D5BDE"/>
    <w:rsid w:val="009D69F6"/>
    <w:rsid w:val="009E2D18"/>
    <w:rsid w:val="009E2DEE"/>
    <w:rsid w:val="009E3CDF"/>
    <w:rsid w:val="009E57D9"/>
    <w:rsid w:val="009F797C"/>
    <w:rsid w:val="00A00828"/>
    <w:rsid w:val="00A0449B"/>
    <w:rsid w:val="00A053F2"/>
    <w:rsid w:val="00A10E0E"/>
    <w:rsid w:val="00A131AC"/>
    <w:rsid w:val="00A13713"/>
    <w:rsid w:val="00A13828"/>
    <w:rsid w:val="00A16CEE"/>
    <w:rsid w:val="00A16D85"/>
    <w:rsid w:val="00A17A46"/>
    <w:rsid w:val="00A20FEB"/>
    <w:rsid w:val="00A21A20"/>
    <w:rsid w:val="00A24A46"/>
    <w:rsid w:val="00A24D6A"/>
    <w:rsid w:val="00A32CA5"/>
    <w:rsid w:val="00A33BDB"/>
    <w:rsid w:val="00A36929"/>
    <w:rsid w:val="00A36A99"/>
    <w:rsid w:val="00A42706"/>
    <w:rsid w:val="00A45D1C"/>
    <w:rsid w:val="00A53315"/>
    <w:rsid w:val="00A5371E"/>
    <w:rsid w:val="00A6131F"/>
    <w:rsid w:val="00A627DA"/>
    <w:rsid w:val="00A64191"/>
    <w:rsid w:val="00A64C3F"/>
    <w:rsid w:val="00A665E5"/>
    <w:rsid w:val="00A70EF0"/>
    <w:rsid w:val="00A71845"/>
    <w:rsid w:val="00A72AEE"/>
    <w:rsid w:val="00A742B6"/>
    <w:rsid w:val="00A75AC7"/>
    <w:rsid w:val="00A81896"/>
    <w:rsid w:val="00A81DC8"/>
    <w:rsid w:val="00A82387"/>
    <w:rsid w:val="00A82F04"/>
    <w:rsid w:val="00A84F9F"/>
    <w:rsid w:val="00A850A3"/>
    <w:rsid w:val="00A9208D"/>
    <w:rsid w:val="00A93106"/>
    <w:rsid w:val="00A93923"/>
    <w:rsid w:val="00A96D91"/>
    <w:rsid w:val="00A97CF8"/>
    <w:rsid w:val="00AA1DCB"/>
    <w:rsid w:val="00AA364B"/>
    <w:rsid w:val="00AA3E55"/>
    <w:rsid w:val="00AA4517"/>
    <w:rsid w:val="00AA4FA7"/>
    <w:rsid w:val="00AA6EA9"/>
    <w:rsid w:val="00AB07CD"/>
    <w:rsid w:val="00AB1BE1"/>
    <w:rsid w:val="00AB2729"/>
    <w:rsid w:val="00AB497D"/>
    <w:rsid w:val="00AB52D6"/>
    <w:rsid w:val="00AC0209"/>
    <w:rsid w:val="00AC05F1"/>
    <w:rsid w:val="00AC2DB8"/>
    <w:rsid w:val="00AC3CA0"/>
    <w:rsid w:val="00AC3F25"/>
    <w:rsid w:val="00AC51DA"/>
    <w:rsid w:val="00AC5356"/>
    <w:rsid w:val="00AD0E9E"/>
    <w:rsid w:val="00AD71A7"/>
    <w:rsid w:val="00AE00A8"/>
    <w:rsid w:val="00AE0232"/>
    <w:rsid w:val="00AE3DA7"/>
    <w:rsid w:val="00AE6FFC"/>
    <w:rsid w:val="00AE7030"/>
    <w:rsid w:val="00AF03C4"/>
    <w:rsid w:val="00AF6BE6"/>
    <w:rsid w:val="00B0006C"/>
    <w:rsid w:val="00B00941"/>
    <w:rsid w:val="00B03976"/>
    <w:rsid w:val="00B03AB8"/>
    <w:rsid w:val="00B047A8"/>
    <w:rsid w:val="00B05F2B"/>
    <w:rsid w:val="00B1412F"/>
    <w:rsid w:val="00B22A80"/>
    <w:rsid w:val="00B23C0A"/>
    <w:rsid w:val="00B32A27"/>
    <w:rsid w:val="00B34960"/>
    <w:rsid w:val="00B36404"/>
    <w:rsid w:val="00B416E8"/>
    <w:rsid w:val="00B50E12"/>
    <w:rsid w:val="00B540DC"/>
    <w:rsid w:val="00B54463"/>
    <w:rsid w:val="00B55F8F"/>
    <w:rsid w:val="00B562C2"/>
    <w:rsid w:val="00B60BFC"/>
    <w:rsid w:val="00B61741"/>
    <w:rsid w:val="00B62F57"/>
    <w:rsid w:val="00B660FB"/>
    <w:rsid w:val="00B763DD"/>
    <w:rsid w:val="00B82086"/>
    <w:rsid w:val="00B83675"/>
    <w:rsid w:val="00B96520"/>
    <w:rsid w:val="00B97A00"/>
    <w:rsid w:val="00BA07E0"/>
    <w:rsid w:val="00BA0CF7"/>
    <w:rsid w:val="00BA55A8"/>
    <w:rsid w:val="00BB262E"/>
    <w:rsid w:val="00BB2ABF"/>
    <w:rsid w:val="00BB3CAA"/>
    <w:rsid w:val="00BB64F4"/>
    <w:rsid w:val="00BB7B48"/>
    <w:rsid w:val="00BC145E"/>
    <w:rsid w:val="00BC17A4"/>
    <w:rsid w:val="00BC2617"/>
    <w:rsid w:val="00BC67B0"/>
    <w:rsid w:val="00BC7CDB"/>
    <w:rsid w:val="00BD0200"/>
    <w:rsid w:val="00BD3F4F"/>
    <w:rsid w:val="00BD5A7C"/>
    <w:rsid w:val="00BD63AB"/>
    <w:rsid w:val="00BD78C4"/>
    <w:rsid w:val="00BD7F14"/>
    <w:rsid w:val="00BE342A"/>
    <w:rsid w:val="00BE413E"/>
    <w:rsid w:val="00BE4A8B"/>
    <w:rsid w:val="00BE5FAE"/>
    <w:rsid w:val="00BE7A1B"/>
    <w:rsid w:val="00BF0221"/>
    <w:rsid w:val="00BF091A"/>
    <w:rsid w:val="00BF4236"/>
    <w:rsid w:val="00BF47DD"/>
    <w:rsid w:val="00BF4EAD"/>
    <w:rsid w:val="00BF70F9"/>
    <w:rsid w:val="00C018EB"/>
    <w:rsid w:val="00C01FF8"/>
    <w:rsid w:val="00C02B2B"/>
    <w:rsid w:val="00C02F8E"/>
    <w:rsid w:val="00C03758"/>
    <w:rsid w:val="00C049E2"/>
    <w:rsid w:val="00C05AB7"/>
    <w:rsid w:val="00C14971"/>
    <w:rsid w:val="00C14B8D"/>
    <w:rsid w:val="00C219BE"/>
    <w:rsid w:val="00C22DCF"/>
    <w:rsid w:val="00C23074"/>
    <w:rsid w:val="00C2691C"/>
    <w:rsid w:val="00C27E28"/>
    <w:rsid w:val="00C32E8B"/>
    <w:rsid w:val="00C348DE"/>
    <w:rsid w:val="00C36795"/>
    <w:rsid w:val="00C42767"/>
    <w:rsid w:val="00C458D6"/>
    <w:rsid w:val="00C46120"/>
    <w:rsid w:val="00C461EC"/>
    <w:rsid w:val="00C464CD"/>
    <w:rsid w:val="00C5073C"/>
    <w:rsid w:val="00C507D4"/>
    <w:rsid w:val="00C5325A"/>
    <w:rsid w:val="00C5633B"/>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50EE"/>
    <w:rsid w:val="00C97FC6"/>
    <w:rsid w:val="00CA1018"/>
    <w:rsid w:val="00CA25D9"/>
    <w:rsid w:val="00CA3A28"/>
    <w:rsid w:val="00CA434C"/>
    <w:rsid w:val="00CA6053"/>
    <w:rsid w:val="00CB3913"/>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10BE"/>
    <w:rsid w:val="00CF2D8B"/>
    <w:rsid w:val="00CF3C01"/>
    <w:rsid w:val="00CF4BF4"/>
    <w:rsid w:val="00CF58C0"/>
    <w:rsid w:val="00CF63D9"/>
    <w:rsid w:val="00CF7586"/>
    <w:rsid w:val="00D02CF1"/>
    <w:rsid w:val="00D036D3"/>
    <w:rsid w:val="00D06018"/>
    <w:rsid w:val="00D070C7"/>
    <w:rsid w:val="00D07A10"/>
    <w:rsid w:val="00D107BD"/>
    <w:rsid w:val="00D1261A"/>
    <w:rsid w:val="00D13782"/>
    <w:rsid w:val="00D13A56"/>
    <w:rsid w:val="00D13D24"/>
    <w:rsid w:val="00D201B7"/>
    <w:rsid w:val="00D239ED"/>
    <w:rsid w:val="00D27906"/>
    <w:rsid w:val="00D2790D"/>
    <w:rsid w:val="00D43F40"/>
    <w:rsid w:val="00D51ECD"/>
    <w:rsid w:val="00D52C04"/>
    <w:rsid w:val="00D568DC"/>
    <w:rsid w:val="00D6170E"/>
    <w:rsid w:val="00D64B5C"/>
    <w:rsid w:val="00D67CEF"/>
    <w:rsid w:val="00D713EE"/>
    <w:rsid w:val="00D75D31"/>
    <w:rsid w:val="00D75EE6"/>
    <w:rsid w:val="00D84088"/>
    <w:rsid w:val="00D84FB9"/>
    <w:rsid w:val="00D8666D"/>
    <w:rsid w:val="00D8720E"/>
    <w:rsid w:val="00D907F2"/>
    <w:rsid w:val="00D91CB4"/>
    <w:rsid w:val="00D94DDB"/>
    <w:rsid w:val="00DA4BBD"/>
    <w:rsid w:val="00DB024D"/>
    <w:rsid w:val="00DB1C09"/>
    <w:rsid w:val="00DB24ED"/>
    <w:rsid w:val="00DB28CE"/>
    <w:rsid w:val="00DB3665"/>
    <w:rsid w:val="00DC367D"/>
    <w:rsid w:val="00DC71C4"/>
    <w:rsid w:val="00DD43D8"/>
    <w:rsid w:val="00DD45ED"/>
    <w:rsid w:val="00DD5AAA"/>
    <w:rsid w:val="00DD6A3F"/>
    <w:rsid w:val="00DE1133"/>
    <w:rsid w:val="00DE285A"/>
    <w:rsid w:val="00DE656C"/>
    <w:rsid w:val="00DF008B"/>
    <w:rsid w:val="00DF01A7"/>
    <w:rsid w:val="00DF039B"/>
    <w:rsid w:val="00DF60AF"/>
    <w:rsid w:val="00DF7FEF"/>
    <w:rsid w:val="00E03991"/>
    <w:rsid w:val="00E071FF"/>
    <w:rsid w:val="00E07597"/>
    <w:rsid w:val="00E11702"/>
    <w:rsid w:val="00E125AD"/>
    <w:rsid w:val="00E16BF5"/>
    <w:rsid w:val="00E17291"/>
    <w:rsid w:val="00E21995"/>
    <w:rsid w:val="00E22F2B"/>
    <w:rsid w:val="00E236E1"/>
    <w:rsid w:val="00E304CA"/>
    <w:rsid w:val="00E325AD"/>
    <w:rsid w:val="00E33714"/>
    <w:rsid w:val="00E37A3F"/>
    <w:rsid w:val="00E37D3C"/>
    <w:rsid w:val="00E37D46"/>
    <w:rsid w:val="00E400A7"/>
    <w:rsid w:val="00E40CD8"/>
    <w:rsid w:val="00E415FE"/>
    <w:rsid w:val="00E41722"/>
    <w:rsid w:val="00E42F58"/>
    <w:rsid w:val="00E47B8A"/>
    <w:rsid w:val="00E5030B"/>
    <w:rsid w:val="00E50FA5"/>
    <w:rsid w:val="00E572D8"/>
    <w:rsid w:val="00E62E6A"/>
    <w:rsid w:val="00E65CDD"/>
    <w:rsid w:val="00E727BA"/>
    <w:rsid w:val="00E77468"/>
    <w:rsid w:val="00E810F7"/>
    <w:rsid w:val="00E832DA"/>
    <w:rsid w:val="00E83333"/>
    <w:rsid w:val="00E8367E"/>
    <w:rsid w:val="00E83EF5"/>
    <w:rsid w:val="00E9137B"/>
    <w:rsid w:val="00E9335C"/>
    <w:rsid w:val="00E971F5"/>
    <w:rsid w:val="00EA2677"/>
    <w:rsid w:val="00EA5674"/>
    <w:rsid w:val="00EA5B2F"/>
    <w:rsid w:val="00EA5BA9"/>
    <w:rsid w:val="00EA66FE"/>
    <w:rsid w:val="00EB5C66"/>
    <w:rsid w:val="00EB6A4C"/>
    <w:rsid w:val="00EC7CC9"/>
    <w:rsid w:val="00EC7E8F"/>
    <w:rsid w:val="00ED1788"/>
    <w:rsid w:val="00ED1C1E"/>
    <w:rsid w:val="00ED3CA2"/>
    <w:rsid w:val="00ED5B8A"/>
    <w:rsid w:val="00ED7170"/>
    <w:rsid w:val="00EE1B1C"/>
    <w:rsid w:val="00EE2AF2"/>
    <w:rsid w:val="00EE44F7"/>
    <w:rsid w:val="00EE69EA"/>
    <w:rsid w:val="00EE78BF"/>
    <w:rsid w:val="00EF1CA6"/>
    <w:rsid w:val="00EF4FF9"/>
    <w:rsid w:val="00EF6E4A"/>
    <w:rsid w:val="00EF70F1"/>
    <w:rsid w:val="00F00010"/>
    <w:rsid w:val="00F0562A"/>
    <w:rsid w:val="00F05B15"/>
    <w:rsid w:val="00F0679F"/>
    <w:rsid w:val="00F0712F"/>
    <w:rsid w:val="00F07EE6"/>
    <w:rsid w:val="00F12AB4"/>
    <w:rsid w:val="00F14E9C"/>
    <w:rsid w:val="00F16986"/>
    <w:rsid w:val="00F16ACE"/>
    <w:rsid w:val="00F171D8"/>
    <w:rsid w:val="00F23C4F"/>
    <w:rsid w:val="00F27EB1"/>
    <w:rsid w:val="00F302EC"/>
    <w:rsid w:val="00F33CC8"/>
    <w:rsid w:val="00F34811"/>
    <w:rsid w:val="00F35BC2"/>
    <w:rsid w:val="00F36527"/>
    <w:rsid w:val="00F37AB2"/>
    <w:rsid w:val="00F4124A"/>
    <w:rsid w:val="00F41723"/>
    <w:rsid w:val="00F4481C"/>
    <w:rsid w:val="00F453C0"/>
    <w:rsid w:val="00F45BEB"/>
    <w:rsid w:val="00F4655B"/>
    <w:rsid w:val="00F46F46"/>
    <w:rsid w:val="00F53E56"/>
    <w:rsid w:val="00F54A8C"/>
    <w:rsid w:val="00F560A8"/>
    <w:rsid w:val="00F57997"/>
    <w:rsid w:val="00F57C01"/>
    <w:rsid w:val="00F616E2"/>
    <w:rsid w:val="00F617C4"/>
    <w:rsid w:val="00F72670"/>
    <w:rsid w:val="00F7584E"/>
    <w:rsid w:val="00F75D23"/>
    <w:rsid w:val="00F86C94"/>
    <w:rsid w:val="00F942D9"/>
    <w:rsid w:val="00F9535C"/>
    <w:rsid w:val="00FA5957"/>
    <w:rsid w:val="00FA5B5E"/>
    <w:rsid w:val="00FA7155"/>
    <w:rsid w:val="00FA7829"/>
    <w:rsid w:val="00FB1AF5"/>
    <w:rsid w:val="00FB1C2A"/>
    <w:rsid w:val="00FB2AE7"/>
    <w:rsid w:val="00FB5587"/>
    <w:rsid w:val="00FB7410"/>
    <w:rsid w:val="00FB7BC4"/>
    <w:rsid w:val="00FC1EAB"/>
    <w:rsid w:val="00FC1FFB"/>
    <w:rsid w:val="00FC289E"/>
    <w:rsid w:val="00FC3CE0"/>
    <w:rsid w:val="00FC406D"/>
    <w:rsid w:val="00FC6CBC"/>
    <w:rsid w:val="00FC7519"/>
    <w:rsid w:val="00FD06A8"/>
    <w:rsid w:val="00FD31FC"/>
    <w:rsid w:val="00FD6C50"/>
    <w:rsid w:val="00FD7B88"/>
    <w:rsid w:val="00FE23C1"/>
    <w:rsid w:val="00FE4F1F"/>
    <w:rsid w:val="00FF4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UnresolvedMention">
    <w:name w:val="Unresolved Mention"/>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86120488">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56309811">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75987592">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29275668">
      <w:bodyDiv w:val="1"/>
      <w:marLeft w:val="0"/>
      <w:marRight w:val="0"/>
      <w:marTop w:val="0"/>
      <w:marBottom w:val="0"/>
      <w:divBdr>
        <w:top w:val="none" w:sz="0" w:space="0" w:color="auto"/>
        <w:left w:val="none" w:sz="0" w:space="0" w:color="auto"/>
        <w:bottom w:val="none" w:sz="0" w:space="0" w:color="auto"/>
        <w:right w:val="none" w:sz="0" w:space="0" w:color="auto"/>
      </w:divBdr>
    </w:div>
    <w:div w:id="2132899077">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inanzas.edomex.gob.mx/sites/finanzas.edomex.gob.mx/files/files/Servidores%20Publicos/MANUAL/Procedimientos/021_2019.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7C9D3F52-45F0-4DED-8697-EB34F2A0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6062</Words>
  <Characters>33347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2024-11-07T18:18:00Z</cp:lastPrinted>
  <dcterms:created xsi:type="dcterms:W3CDTF">2024-11-04T22:17:00Z</dcterms:created>
  <dcterms:modified xsi:type="dcterms:W3CDTF">2024-11-07T18:18:00Z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