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574F6" w:rsidRDefault="00AE3DA7" w:rsidP="004574F6">
          <w:pPr>
            <w:pStyle w:val="TtuloTDC"/>
            <w:spacing w:before="0" w:line="240" w:lineRule="auto"/>
            <w:rPr>
              <w:rFonts w:ascii="Palatino Linotype" w:hAnsi="Palatino Linotype"/>
              <w:color w:val="auto"/>
              <w:sz w:val="24"/>
              <w:szCs w:val="24"/>
              <w:lang w:val="es-ES"/>
            </w:rPr>
          </w:pPr>
          <w:r w:rsidRPr="004574F6">
            <w:rPr>
              <w:rFonts w:ascii="Palatino Linotype" w:hAnsi="Palatino Linotype"/>
              <w:color w:val="auto"/>
              <w:sz w:val="24"/>
              <w:szCs w:val="24"/>
              <w:lang w:val="es-ES"/>
            </w:rPr>
            <w:t>Contenido</w:t>
          </w:r>
        </w:p>
        <w:p w14:paraId="3EB312A7" w14:textId="77777777" w:rsidR="00AA6EA9" w:rsidRPr="004574F6" w:rsidRDefault="00AA6EA9" w:rsidP="004574F6">
          <w:pPr>
            <w:spacing w:line="240" w:lineRule="auto"/>
            <w:rPr>
              <w:sz w:val="16"/>
              <w:szCs w:val="16"/>
              <w:lang w:val="es-ES" w:eastAsia="es-MX"/>
            </w:rPr>
          </w:pPr>
        </w:p>
        <w:p w14:paraId="1A17ACD7" w14:textId="78381259" w:rsidR="004574F6" w:rsidRDefault="00AE3DA7">
          <w:pPr>
            <w:pStyle w:val="TDC1"/>
            <w:tabs>
              <w:tab w:val="right" w:leader="dot" w:pos="9034"/>
            </w:tabs>
            <w:rPr>
              <w:rFonts w:asciiTheme="minorHAnsi" w:eastAsiaTheme="minorEastAsia" w:hAnsiTheme="minorHAnsi" w:cstheme="minorBidi"/>
              <w:noProof/>
              <w:szCs w:val="22"/>
              <w:lang w:eastAsia="es-MX"/>
            </w:rPr>
          </w:pPr>
          <w:r w:rsidRPr="004574F6">
            <w:rPr>
              <w:sz w:val="16"/>
              <w:szCs w:val="16"/>
            </w:rPr>
            <w:fldChar w:fldCharType="begin"/>
          </w:r>
          <w:r w:rsidRPr="004574F6">
            <w:rPr>
              <w:sz w:val="16"/>
              <w:szCs w:val="16"/>
            </w:rPr>
            <w:instrText xml:space="preserve"> TOC \o "1-3" \h \z \u </w:instrText>
          </w:r>
          <w:r w:rsidRPr="004574F6">
            <w:rPr>
              <w:sz w:val="16"/>
              <w:szCs w:val="16"/>
            </w:rPr>
            <w:fldChar w:fldCharType="separate"/>
          </w:r>
          <w:hyperlink w:anchor="_Toc178186916" w:history="1">
            <w:r w:rsidR="004574F6" w:rsidRPr="001D63E6">
              <w:rPr>
                <w:rStyle w:val="Hipervnculo"/>
                <w:noProof/>
              </w:rPr>
              <w:t>ANTECEDENTES</w:t>
            </w:r>
            <w:r w:rsidR="004574F6">
              <w:rPr>
                <w:noProof/>
                <w:webHidden/>
              </w:rPr>
              <w:tab/>
            </w:r>
            <w:r w:rsidR="004574F6">
              <w:rPr>
                <w:noProof/>
                <w:webHidden/>
              </w:rPr>
              <w:fldChar w:fldCharType="begin"/>
            </w:r>
            <w:r w:rsidR="004574F6">
              <w:rPr>
                <w:noProof/>
                <w:webHidden/>
              </w:rPr>
              <w:instrText xml:space="preserve"> PAGEREF _Toc178186916 \h </w:instrText>
            </w:r>
            <w:r w:rsidR="004574F6">
              <w:rPr>
                <w:noProof/>
                <w:webHidden/>
              </w:rPr>
            </w:r>
            <w:r w:rsidR="004574F6">
              <w:rPr>
                <w:noProof/>
                <w:webHidden/>
              </w:rPr>
              <w:fldChar w:fldCharType="separate"/>
            </w:r>
            <w:r w:rsidR="00083A43">
              <w:rPr>
                <w:noProof/>
                <w:webHidden/>
              </w:rPr>
              <w:t>1</w:t>
            </w:r>
            <w:r w:rsidR="004574F6">
              <w:rPr>
                <w:noProof/>
                <w:webHidden/>
              </w:rPr>
              <w:fldChar w:fldCharType="end"/>
            </w:r>
          </w:hyperlink>
        </w:p>
        <w:p w14:paraId="194E68C8" w14:textId="071186E8" w:rsidR="004574F6" w:rsidRDefault="0069091F">
          <w:pPr>
            <w:pStyle w:val="TDC2"/>
            <w:rPr>
              <w:rFonts w:asciiTheme="minorHAnsi" w:eastAsiaTheme="minorEastAsia" w:hAnsiTheme="minorHAnsi" w:cstheme="minorBidi"/>
              <w:noProof/>
              <w:szCs w:val="22"/>
              <w:lang w:eastAsia="es-MX"/>
            </w:rPr>
          </w:pPr>
          <w:hyperlink w:anchor="_Toc178186917" w:history="1">
            <w:r w:rsidR="004574F6" w:rsidRPr="001D63E6">
              <w:rPr>
                <w:rStyle w:val="Hipervnculo"/>
                <w:noProof/>
              </w:rPr>
              <w:t>DE LA SOLICITUD DE INFORMACIÓN</w:t>
            </w:r>
            <w:r w:rsidR="004574F6">
              <w:rPr>
                <w:noProof/>
                <w:webHidden/>
              </w:rPr>
              <w:tab/>
            </w:r>
            <w:r w:rsidR="004574F6">
              <w:rPr>
                <w:noProof/>
                <w:webHidden/>
              </w:rPr>
              <w:fldChar w:fldCharType="begin"/>
            </w:r>
            <w:r w:rsidR="004574F6">
              <w:rPr>
                <w:noProof/>
                <w:webHidden/>
              </w:rPr>
              <w:instrText xml:space="preserve"> PAGEREF _Toc178186917 \h </w:instrText>
            </w:r>
            <w:r w:rsidR="004574F6">
              <w:rPr>
                <w:noProof/>
                <w:webHidden/>
              </w:rPr>
            </w:r>
            <w:r w:rsidR="004574F6">
              <w:rPr>
                <w:noProof/>
                <w:webHidden/>
              </w:rPr>
              <w:fldChar w:fldCharType="separate"/>
            </w:r>
            <w:r w:rsidR="00083A43">
              <w:rPr>
                <w:noProof/>
                <w:webHidden/>
              </w:rPr>
              <w:t>1</w:t>
            </w:r>
            <w:r w:rsidR="004574F6">
              <w:rPr>
                <w:noProof/>
                <w:webHidden/>
              </w:rPr>
              <w:fldChar w:fldCharType="end"/>
            </w:r>
          </w:hyperlink>
        </w:p>
        <w:p w14:paraId="70168EBB" w14:textId="189AB9F6" w:rsidR="004574F6" w:rsidRDefault="0069091F">
          <w:pPr>
            <w:pStyle w:val="TDC3"/>
            <w:rPr>
              <w:rFonts w:asciiTheme="minorHAnsi" w:eastAsiaTheme="minorEastAsia" w:hAnsiTheme="minorHAnsi" w:cstheme="minorBidi"/>
              <w:noProof/>
              <w:szCs w:val="22"/>
              <w:lang w:eastAsia="es-MX"/>
            </w:rPr>
          </w:pPr>
          <w:hyperlink w:anchor="_Toc178186918" w:history="1">
            <w:r w:rsidR="004574F6" w:rsidRPr="001D63E6">
              <w:rPr>
                <w:rStyle w:val="Hipervnculo"/>
                <w:noProof/>
              </w:rPr>
              <w:t>a) Solicitud de información</w:t>
            </w:r>
            <w:r w:rsidR="004574F6">
              <w:rPr>
                <w:noProof/>
                <w:webHidden/>
              </w:rPr>
              <w:tab/>
            </w:r>
            <w:r w:rsidR="004574F6">
              <w:rPr>
                <w:noProof/>
                <w:webHidden/>
              </w:rPr>
              <w:fldChar w:fldCharType="begin"/>
            </w:r>
            <w:r w:rsidR="004574F6">
              <w:rPr>
                <w:noProof/>
                <w:webHidden/>
              </w:rPr>
              <w:instrText xml:space="preserve"> PAGEREF _Toc178186918 \h </w:instrText>
            </w:r>
            <w:r w:rsidR="004574F6">
              <w:rPr>
                <w:noProof/>
                <w:webHidden/>
              </w:rPr>
            </w:r>
            <w:r w:rsidR="004574F6">
              <w:rPr>
                <w:noProof/>
                <w:webHidden/>
              </w:rPr>
              <w:fldChar w:fldCharType="separate"/>
            </w:r>
            <w:r w:rsidR="00083A43">
              <w:rPr>
                <w:noProof/>
                <w:webHidden/>
              </w:rPr>
              <w:t>1</w:t>
            </w:r>
            <w:r w:rsidR="004574F6">
              <w:rPr>
                <w:noProof/>
                <w:webHidden/>
              </w:rPr>
              <w:fldChar w:fldCharType="end"/>
            </w:r>
          </w:hyperlink>
        </w:p>
        <w:p w14:paraId="2C6E801D" w14:textId="5AE7FCFC" w:rsidR="004574F6" w:rsidRDefault="0069091F">
          <w:pPr>
            <w:pStyle w:val="TDC3"/>
            <w:rPr>
              <w:rFonts w:asciiTheme="minorHAnsi" w:eastAsiaTheme="minorEastAsia" w:hAnsiTheme="minorHAnsi" w:cstheme="minorBidi"/>
              <w:noProof/>
              <w:szCs w:val="22"/>
              <w:lang w:eastAsia="es-MX"/>
            </w:rPr>
          </w:pPr>
          <w:hyperlink w:anchor="_Toc178186919" w:history="1">
            <w:r w:rsidR="004574F6" w:rsidRPr="001D63E6">
              <w:rPr>
                <w:rStyle w:val="Hipervnculo"/>
                <w:noProof/>
              </w:rPr>
              <w:t>b) Turno de la solicitud de información</w:t>
            </w:r>
            <w:r w:rsidR="004574F6">
              <w:rPr>
                <w:noProof/>
                <w:webHidden/>
              </w:rPr>
              <w:tab/>
            </w:r>
            <w:r w:rsidR="004574F6">
              <w:rPr>
                <w:noProof/>
                <w:webHidden/>
              </w:rPr>
              <w:fldChar w:fldCharType="begin"/>
            </w:r>
            <w:r w:rsidR="004574F6">
              <w:rPr>
                <w:noProof/>
                <w:webHidden/>
              </w:rPr>
              <w:instrText xml:space="preserve"> PAGEREF _Toc178186919 \h </w:instrText>
            </w:r>
            <w:r w:rsidR="004574F6">
              <w:rPr>
                <w:noProof/>
                <w:webHidden/>
              </w:rPr>
            </w:r>
            <w:r w:rsidR="004574F6">
              <w:rPr>
                <w:noProof/>
                <w:webHidden/>
              </w:rPr>
              <w:fldChar w:fldCharType="separate"/>
            </w:r>
            <w:r w:rsidR="00083A43">
              <w:rPr>
                <w:noProof/>
                <w:webHidden/>
              </w:rPr>
              <w:t>2</w:t>
            </w:r>
            <w:r w:rsidR="004574F6">
              <w:rPr>
                <w:noProof/>
                <w:webHidden/>
              </w:rPr>
              <w:fldChar w:fldCharType="end"/>
            </w:r>
          </w:hyperlink>
        </w:p>
        <w:p w14:paraId="2635ACD5" w14:textId="261EB8ED" w:rsidR="004574F6" w:rsidRDefault="0069091F">
          <w:pPr>
            <w:pStyle w:val="TDC3"/>
            <w:rPr>
              <w:rFonts w:asciiTheme="minorHAnsi" w:eastAsiaTheme="minorEastAsia" w:hAnsiTheme="minorHAnsi" w:cstheme="minorBidi"/>
              <w:noProof/>
              <w:szCs w:val="22"/>
              <w:lang w:eastAsia="es-MX"/>
            </w:rPr>
          </w:pPr>
          <w:hyperlink w:anchor="_Toc178186920" w:history="1">
            <w:r w:rsidR="004574F6" w:rsidRPr="001D63E6">
              <w:rPr>
                <w:rStyle w:val="Hipervnculo"/>
                <w:noProof/>
              </w:rPr>
              <w:t>c) Prórroga</w:t>
            </w:r>
            <w:r w:rsidR="004574F6">
              <w:rPr>
                <w:noProof/>
                <w:webHidden/>
              </w:rPr>
              <w:tab/>
            </w:r>
            <w:r w:rsidR="004574F6">
              <w:rPr>
                <w:noProof/>
                <w:webHidden/>
              </w:rPr>
              <w:fldChar w:fldCharType="begin"/>
            </w:r>
            <w:r w:rsidR="004574F6">
              <w:rPr>
                <w:noProof/>
                <w:webHidden/>
              </w:rPr>
              <w:instrText xml:space="preserve"> PAGEREF _Toc178186920 \h </w:instrText>
            </w:r>
            <w:r w:rsidR="004574F6">
              <w:rPr>
                <w:noProof/>
                <w:webHidden/>
              </w:rPr>
            </w:r>
            <w:r w:rsidR="004574F6">
              <w:rPr>
                <w:noProof/>
                <w:webHidden/>
              </w:rPr>
              <w:fldChar w:fldCharType="separate"/>
            </w:r>
            <w:r w:rsidR="00083A43">
              <w:rPr>
                <w:noProof/>
                <w:webHidden/>
              </w:rPr>
              <w:t>2</w:t>
            </w:r>
            <w:r w:rsidR="004574F6">
              <w:rPr>
                <w:noProof/>
                <w:webHidden/>
              </w:rPr>
              <w:fldChar w:fldCharType="end"/>
            </w:r>
          </w:hyperlink>
        </w:p>
        <w:p w14:paraId="7434281D" w14:textId="18EFA598" w:rsidR="004574F6" w:rsidRDefault="0069091F">
          <w:pPr>
            <w:pStyle w:val="TDC3"/>
            <w:rPr>
              <w:rFonts w:asciiTheme="minorHAnsi" w:eastAsiaTheme="minorEastAsia" w:hAnsiTheme="minorHAnsi" w:cstheme="minorBidi"/>
              <w:noProof/>
              <w:szCs w:val="22"/>
              <w:lang w:eastAsia="es-MX"/>
            </w:rPr>
          </w:pPr>
          <w:hyperlink w:anchor="_Toc178186921" w:history="1">
            <w:r w:rsidR="004574F6" w:rsidRPr="001D63E6">
              <w:rPr>
                <w:rStyle w:val="Hipervnculo"/>
                <w:noProof/>
                <w:lang w:val="es-ES"/>
              </w:rPr>
              <w:t xml:space="preserve">d) Respuesta </w:t>
            </w:r>
            <w:r w:rsidR="004574F6" w:rsidRPr="001D63E6">
              <w:rPr>
                <w:rStyle w:val="Hipervnculo"/>
                <w:rFonts w:eastAsia="Calibri"/>
                <w:noProof/>
                <w:lang w:eastAsia="en-US"/>
              </w:rPr>
              <w:t>del Sujeto Obligado</w:t>
            </w:r>
            <w:r w:rsidR="004574F6">
              <w:rPr>
                <w:noProof/>
                <w:webHidden/>
              </w:rPr>
              <w:tab/>
            </w:r>
            <w:r w:rsidR="004574F6">
              <w:rPr>
                <w:noProof/>
                <w:webHidden/>
              </w:rPr>
              <w:fldChar w:fldCharType="begin"/>
            </w:r>
            <w:r w:rsidR="004574F6">
              <w:rPr>
                <w:noProof/>
                <w:webHidden/>
              </w:rPr>
              <w:instrText xml:space="preserve"> PAGEREF _Toc178186921 \h </w:instrText>
            </w:r>
            <w:r w:rsidR="004574F6">
              <w:rPr>
                <w:noProof/>
                <w:webHidden/>
              </w:rPr>
            </w:r>
            <w:r w:rsidR="004574F6">
              <w:rPr>
                <w:noProof/>
                <w:webHidden/>
              </w:rPr>
              <w:fldChar w:fldCharType="separate"/>
            </w:r>
            <w:r w:rsidR="00083A43">
              <w:rPr>
                <w:noProof/>
                <w:webHidden/>
              </w:rPr>
              <w:t>3</w:t>
            </w:r>
            <w:r w:rsidR="004574F6">
              <w:rPr>
                <w:noProof/>
                <w:webHidden/>
              </w:rPr>
              <w:fldChar w:fldCharType="end"/>
            </w:r>
          </w:hyperlink>
        </w:p>
        <w:p w14:paraId="0FF3DE58" w14:textId="4E4519D4" w:rsidR="004574F6" w:rsidRDefault="0069091F">
          <w:pPr>
            <w:pStyle w:val="TDC2"/>
            <w:rPr>
              <w:rFonts w:asciiTheme="minorHAnsi" w:eastAsiaTheme="minorEastAsia" w:hAnsiTheme="minorHAnsi" w:cstheme="minorBidi"/>
              <w:noProof/>
              <w:szCs w:val="22"/>
              <w:lang w:eastAsia="es-MX"/>
            </w:rPr>
          </w:pPr>
          <w:hyperlink w:anchor="_Toc178186922" w:history="1">
            <w:r w:rsidR="004574F6" w:rsidRPr="001D63E6">
              <w:rPr>
                <w:rStyle w:val="Hipervnculo"/>
                <w:noProof/>
              </w:rPr>
              <w:t>DEL RECURSO DE REVISIÓN</w:t>
            </w:r>
            <w:r w:rsidR="004574F6">
              <w:rPr>
                <w:noProof/>
                <w:webHidden/>
              </w:rPr>
              <w:tab/>
            </w:r>
            <w:r w:rsidR="004574F6">
              <w:rPr>
                <w:noProof/>
                <w:webHidden/>
              </w:rPr>
              <w:fldChar w:fldCharType="begin"/>
            </w:r>
            <w:r w:rsidR="004574F6">
              <w:rPr>
                <w:noProof/>
                <w:webHidden/>
              </w:rPr>
              <w:instrText xml:space="preserve"> PAGEREF _Toc178186922 \h </w:instrText>
            </w:r>
            <w:r w:rsidR="004574F6">
              <w:rPr>
                <w:noProof/>
                <w:webHidden/>
              </w:rPr>
            </w:r>
            <w:r w:rsidR="004574F6">
              <w:rPr>
                <w:noProof/>
                <w:webHidden/>
              </w:rPr>
              <w:fldChar w:fldCharType="separate"/>
            </w:r>
            <w:r w:rsidR="00083A43">
              <w:rPr>
                <w:noProof/>
                <w:webHidden/>
              </w:rPr>
              <w:t>7</w:t>
            </w:r>
            <w:r w:rsidR="004574F6">
              <w:rPr>
                <w:noProof/>
                <w:webHidden/>
              </w:rPr>
              <w:fldChar w:fldCharType="end"/>
            </w:r>
          </w:hyperlink>
        </w:p>
        <w:p w14:paraId="19A5888C" w14:textId="4FB511DE" w:rsidR="004574F6" w:rsidRDefault="0069091F">
          <w:pPr>
            <w:pStyle w:val="TDC3"/>
            <w:rPr>
              <w:rFonts w:asciiTheme="minorHAnsi" w:eastAsiaTheme="minorEastAsia" w:hAnsiTheme="minorHAnsi" w:cstheme="minorBidi"/>
              <w:noProof/>
              <w:szCs w:val="22"/>
              <w:lang w:eastAsia="es-MX"/>
            </w:rPr>
          </w:pPr>
          <w:hyperlink w:anchor="_Toc178186923" w:history="1">
            <w:r w:rsidR="004574F6" w:rsidRPr="001D63E6">
              <w:rPr>
                <w:rStyle w:val="Hipervnculo"/>
                <w:noProof/>
              </w:rPr>
              <w:t>a) Interposición del Recurso de Revisión</w:t>
            </w:r>
            <w:r w:rsidR="004574F6">
              <w:rPr>
                <w:noProof/>
                <w:webHidden/>
              </w:rPr>
              <w:tab/>
            </w:r>
            <w:r w:rsidR="004574F6">
              <w:rPr>
                <w:noProof/>
                <w:webHidden/>
              </w:rPr>
              <w:fldChar w:fldCharType="begin"/>
            </w:r>
            <w:r w:rsidR="004574F6">
              <w:rPr>
                <w:noProof/>
                <w:webHidden/>
              </w:rPr>
              <w:instrText xml:space="preserve"> PAGEREF _Toc178186923 \h </w:instrText>
            </w:r>
            <w:r w:rsidR="004574F6">
              <w:rPr>
                <w:noProof/>
                <w:webHidden/>
              </w:rPr>
            </w:r>
            <w:r w:rsidR="004574F6">
              <w:rPr>
                <w:noProof/>
                <w:webHidden/>
              </w:rPr>
              <w:fldChar w:fldCharType="separate"/>
            </w:r>
            <w:r w:rsidR="00083A43">
              <w:rPr>
                <w:noProof/>
                <w:webHidden/>
              </w:rPr>
              <w:t>7</w:t>
            </w:r>
            <w:r w:rsidR="004574F6">
              <w:rPr>
                <w:noProof/>
                <w:webHidden/>
              </w:rPr>
              <w:fldChar w:fldCharType="end"/>
            </w:r>
          </w:hyperlink>
        </w:p>
        <w:p w14:paraId="7E742DA2" w14:textId="619D1F79" w:rsidR="004574F6" w:rsidRDefault="0069091F">
          <w:pPr>
            <w:pStyle w:val="TDC3"/>
            <w:rPr>
              <w:rFonts w:asciiTheme="minorHAnsi" w:eastAsiaTheme="minorEastAsia" w:hAnsiTheme="minorHAnsi" w:cstheme="minorBidi"/>
              <w:noProof/>
              <w:szCs w:val="22"/>
              <w:lang w:eastAsia="es-MX"/>
            </w:rPr>
          </w:pPr>
          <w:hyperlink w:anchor="_Toc178186924" w:history="1">
            <w:r w:rsidR="004574F6" w:rsidRPr="001D63E6">
              <w:rPr>
                <w:rStyle w:val="Hipervnculo"/>
                <w:noProof/>
              </w:rPr>
              <w:t>b) Turno del Recurso de Revisión</w:t>
            </w:r>
            <w:r w:rsidR="004574F6">
              <w:rPr>
                <w:noProof/>
                <w:webHidden/>
              </w:rPr>
              <w:tab/>
            </w:r>
            <w:r w:rsidR="004574F6">
              <w:rPr>
                <w:noProof/>
                <w:webHidden/>
              </w:rPr>
              <w:fldChar w:fldCharType="begin"/>
            </w:r>
            <w:r w:rsidR="004574F6">
              <w:rPr>
                <w:noProof/>
                <w:webHidden/>
              </w:rPr>
              <w:instrText xml:space="preserve"> PAGEREF _Toc178186924 \h </w:instrText>
            </w:r>
            <w:r w:rsidR="004574F6">
              <w:rPr>
                <w:noProof/>
                <w:webHidden/>
              </w:rPr>
            </w:r>
            <w:r w:rsidR="004574F6">
              <w:rPr>
                <w:noProof/>
                <w:webHidden/>
              </w:rPr>
              <w:fldChar w:fldCharType="separate"/>
            </w:r>
            <w:r w:rsidR="00083A43">
              <w:rPr>
                <w:noProof/>
                <w:webHidden/>
              </w:rPr>
              <w:t>8</w:t>
            </w:r>
            <w:r w:rsidR="004574F6">
              <w:rPr>
                <w:noProof/>
                <w:webHidden/>
              </w:rPr>
              <w:fldChar w:fldCharType="end"/>
            </w:r>
          </w:hyperlink>
        </w:p>
        <w:p w14:paraId="4A07AAB2" w14:textId="3D7F563B" w:rsidR="004574F6" w:rsidRDefault="0069091F">
          <w:pPr>
            <w:pStyle w:val="TDC3"/>
            <w:rPr>
              <w:rFonts w:asciiTheme="minorHAnsi" w:eastAsiaTheme="minorEastAsia" w:hAnsiTheme="minorHAnsi" w:cstheme="minorBidi"/>
              <w:noProof/>
              <w:szCs w:val="22"/>
              <w:lang w:eastAsia="es-MX"/>
            </w:rPr>
          </w:pPr>
          <w:hyperlink w:anchor="_Toc178186925" w:history="1">
            <w:r w:rsidR="004574F6" w:rsidRPr="001D63E6">
              <w:rPr>
                <w:rStyle w:val="Hipervnculo"/>
                <w:noProof/>
              </w:rPr>
              <w:t>c) Admisión del Recurso de Revisión</w:t>
            </w:r>
            <w:r w:rsidR="004574F6">
              <w:rPr>
                <w:noProof/>
                <w:webHidden/>
              </w:rPr>
              <w:tab/>
            </w:r>
            <w:r w:rsidR="004574F6">
              <w:rPr>
                <w:noProof/>
                <w:webHidden/>
              </w:rPr>
              <w:fldChar w:fldCharType="begin"/>
            </w:r>
            <w:r w:rsidR="004574F6">
              <w:rPr>
                <w:noProof/>
                <w:webHidden/>
              </w:rPr>
              <w:instrText xml:space="preserve"> PAGEREF _Toc178186925 \h </w:instrText>
            </w:r>
            <w:r w:rsidR="004574F6">
              <w:rPr>
                <w:noProof/>
                <w:webHidden/>
              </w:rPr>
            </w:r>
            <w:r w:rsidR="004574F6">
              <w:rPr>
                <w:noProof/>
                <w:webHidden/>
              </w:rPr>
              <w:fldChar w:fldCharType="separate"/>
            </w:r>
            <w:r w:rsidR="00083A43">
              <w:rPr>
                <w:noProof/>
                <w:webHidden/>
              </w:rPr>
              <w:t>8</w:t>
            </w:r>
            <w:r w:rsidR="004574F6">
              <w:rPr>
                <w:noProof/>
                <w:webHidden/>
              </w:rPr>
              <w:fldChar w:fldCharType="end"/>
            </w:r>
          </w:hyperlink>
        </w:p>
        <w:p w14:paraId="232C3878" w14:textId="19320931" w:rsidR="004574F6" w:rsidRDefault="0069091F">
          <w:pPr>
            <w:pStyle w:val="TDC3"/>
            <w:rPr>
              <w:rFonts w:asciiTheme="minorHAnsi" w:eastAsiaTheme="minorEastAsia" w:hAnsiTheme="minorHAnsi" w:cstheme="minorBidi"/>
              <w:noProof/>
              <w:szCs w:val="22"/>
              <w:lang w:eastAsia="es-MX"/>
            </w:rPr>
          </w:pPr>
          <w:hyperlink w:anchor="_Toc178186926" w:history="1">
            <w:r w:rsidR="004574F6" w:rsidRPr="001D63E6">
              <w:rPr>
                <w:rStyle w:val="Hipervnculo"/>
                <w:noProof/>
              </w:rPr>
              <w:t>d) Informe Justificado del Sujeto Obligado</w:t>
            </w:r>
            <w:r w:rsidR="004574F6">
              <w:rPr>
                <w:noProof/>
                <w:webHidden/>
              </w:rPr>
              <w:tab/>
            </w:r>
            <w:r w:rsidR="004574F6">
              <w:rPr>
                <w:noProof/>
                <w:webHidden/>
              </w:rPr>
              <w:fldChar w:fldCharType="begin"/>
            </w:r>
            <w:r w:rsidR="004574F6">
              <w:rPr>
                <w:noProof/>
                <w:webHidden/>
              </w:rPr>
              <w:instrText xml:space="preserve"> PAGEREF _Toc178186926 \h </w:instrText>
            </w:r>
            <w:r w:rsidR="004574F6">
              <w:rPr>
                <w:noProof/>
                <w:webHidden/>
              </w:rPr>
            </w:r>
            <w:r w:rsidR="004574F6">
              <w:rPr>
                <w:noProof/>
                <w:webHidden/>
              </w:rPr>
              <w:fldChar w:fldCharType="separate"/>
            </w:r>
            <w:r w:rsidR="00083A43">
              <w:rPr>
                <w:noProof/>
                <w:webHidden/>
              </w:rPr>
              <w:t>9</w:t>
            </w:r>
            <w:r w:rsidR="004574F6">
              <w:rPr>
                <w:noProof/>
                <w:webHidden/>
              </w:rPr>
              <w:fldChar w:fldCharType="end"/>
            </w:r>
          </w:hyperlink>
        </w:p>
        <w:p w14:paraId="727F2A35" w14:textId="76919A80" w:rsidR="004574F6" w:rsidRDefault="0069091F">
          <w:pPr>
            <w:pStyle w:val="TDC3"/>
            <w:rPr>
              <w:rFonts w:asciiTheme="minorHAnsi" w:eastAsiaTheme="minorEastAsia" w:hAnsiTheme="minorHAnsi" w:cstheme="minorBidi"/>
              <w:noProof/>
              <w:szCs w:val="22"/>
              <w:lang w:eastAsia="es-MX"/>
            </w:rPr>
          </w:pPr>
          <w:hyperlink w:anchor="_Toc178186927" w:history="1">
            <w:r w:rsidR="004574F6" w:rsidRPr="001D63E6">
              <w:rPr>
                <w:rStyle w:val="Hipervnculo"/>
                <w:rFonts w:eastAsia="Calibri"/>
                <w:bCs/>
                <w:noProof/>
                <w:lang w:eastAsia="en-US"/>
              </w:rPr>
              <w:t>e)</w:t>
            </w:r>
            <w:r w:rsidR="004574F6" w:rsidRPr="001D63E6">
              <w:rPr>
                <w:rStyle w:val="Hipervnculo"/>
                <w:noProof/>
              </w:rPr>
              <w:t xml:space="preserve"> </w:t>
            </w:r>
            <w:r w:rsidR="004574F6" w:rsidRPr="001D63E6">
              <w:rPr>
                <w:rStyle w:val="Hipervnculo"/>
                <w:noProof/>
                <w:lang w:val="es-ES"/>
              </w:rPr>
              <w:t>Manifestaciones de la Parte Recurrente</w:t>
            </w:r>
            <w:r w:rsidR="004574F6">
              <w:rPr>
                <w:noProof/>
                <w:webHidden/>
              </w:rPr>
              <w:tab/>
            </w:r>
            <w:r w:rsidR="004574F6">
              <w:rPr>
                <w:noProof/>
                <w:webHidden/>
              </w:rPr>
              <w:fldChar w:fldCharType="begin"/>
            </w:r>
            <w:r w:rsidR="004574F6">
              <w:rPr>
                <w:noProof/>
                <w:webHidden/>
              </w:rPr>
              <w:instrText xml:space="preserve"> PAGEREF _Toc178186927 \h </w:instrText>
            </w:r>
            <w:r w:rsidR="004574F6">
              <w:rPr>
                <w:noProof/>
                <w:webHidden/>
              </w:rPr>
            </w:r>
            <w:r w:rsidR="004574F6">
              <w:rPr>
                <w:noProof/>
                <w:webHidden/>
              </w:rPr>
              <w:fldChar w:fldCharType="separate"/>
            </w:r>
            <w:r w:rsidR="00083A43">
              <w:rPr>
                <w:noProof/>
                <w:webHidden/>
              </w:rPr>
              <w:t>9</w:t>
            </w:r>
            <w:r w:rsidR="004574F6">
              <w:rPr>
                <w:noProof/>
                <w:webHidden/>
              </w:rPr>
              <w:fldChar w:fldCharType="end"/>
            </w:r>
          </w:hyperlink>
        </w:p>
        <w:p w14:paraId="1383328F" w14:textId="54BD85D5" w:rsidR="004574F6" w:rsidRDefault="0069091F">
          <w:pPr>
            <w:pStyle w:val="TDC3"/>
            <w:rPr>
              <w:rFonts w:asciiTheme="minorHAnsi" w:eastAsiaTheme="minorEastAsia" w:hAnsiTheme="minorHAnsi" w:cstheme="minorBidi"/>
              <w:noProof/>
              <w:szCs w:val="22"/>
              <w:lang w:eastAsia="es-MX"/>
            </w:rPr>
          </w:pPr>
          <w:hyperlink w:anchor="_Toc178186928" w:history="1">
            <w:r w:rsidR="004574F6" w:rsidRPr="001D63E6">
              <w:rPr>
                <w:rStyle w:val="Hipervnculo"/>
                <w:rFonts w:eastAsia="Calibri"/>
                <w:noProof/>
              </w:rPr>
              <w:t>f) Ampliación de plazo para resolver el Recurso de Revisión</w:t>
            </w:r>
            <w:r w:rsidR="004574F6">
              <w:rPr>
                <w:noProof/>
                <w:webHidden/>
              </w:rPr>
              <w:tab/>
            </w:r>
            <w:r w:rsidR="004574F6">
              <w:rPr>
                <w:noProof/>
                <w:webHidden/>
              </w:rPr>
              <w:fldChar w:fldCharType="begin"/>
            </w:r>
            <w:r w:rsidR="004574F6">
              <w:rPr>
                <w:noProof/>
                <w:webHidden/>
              </w:rPr>
              <w:instrText xml:space="preserve"> PAGEREF _Toc178186928 \h </w:instrText>
            </w:r>
            <w:r w:rsidR="004574F6">
              <w:rPr>
                <w:noProof/>
                <w:webHidden/>
              </w:rPr>
            </w:r>
            <w:r w:rsidR="004574F6">
              <w:rPr>
                <w:noProof/>
                <w:webHidden/>
              </w:rPr>
              <w:fldChar w:fldCharType="separate"/>
            </w:r>
            <w:r w:rsidR="00083A43">
              <w:rPr>
                <w:noProof/>
                <w:webHidden/>
              </w:rPr>
              <w:t>9</w:t>
            </w:r>
            <w:r w:rsidR="004574F6">
              <w:rPr>
                <w:noProof/>
                <w:webHidden/>
              </w:rPr>
              <w:fldChar w:fldCharType="end"/>
            </w:r>
          </w:hyperlink>
        </w:p>
        <w:p w14:paraId="2B3762CE" w14:textId="47687052" w:rsidR="004574F6" w:rsidRDefault="0069091F">
          <w:pPr>
            <w:pStyle w:val="TDC3"/>
            <w:rPr>
              <w:rFonts w:asciiTheme="minorHAnsi" w:eastAsiaTheme="minorEastAsia" w:hAnsiTheme="minorHAnsi" w:cstheme="minorBidi"/>
              <w:noProof/>
              <w:szCs w:val="22"/>
              <w:lang w:eastAsia="es-MX"/>
            </w:rPr>
          </w:pPr>
          <w:hyperlink w:anchor="_Toc178186929" w:history="1">
            <w:r w:rsidR="004574F6" w:rsidRPr="001D63E6">
              <w:rPr>
                <w:rStyle w:val="Hipervnculo"/>
                <w:noProof/>
              </w:rPr>
              <w:t>g) Cierre de instrucción</w:t>
            </w:r>
            <w:r w:rsidR="004574F6">
              <w:rPr>
                <w:noProof/>
                <w:webHidden/>
              </w:rPr>
              <w:tab/>
            </w:r>
            <w:r w:rsidR="004574F6">
              <w:rPr>
                <w:noProof/>
                <w:webHidden/>
              </w:rPr>
              <w:fldChar w:fldCharType="begin"/>
            </w:r>
            <w:r w:rsidR="004574F6">
              <w:rPr>
                <w:noProof/>
                <w:webHidden/>
              </w:rPr>
              <w:instrText xml:space="preserve"> PAGEREF _Toc178186929 \h </w:instrText>
            </w:r>
            <w:r w:rsidR="004574F6">
              <w:rPr>
                <w:noProof/>
                <w:webHidden/>
              </w:rPr>
            </w:r>
            <w:r w:rsidR="004574F6">
              <w:rPr>
                <w:noProof/>
                <w:webHidden/>
              </w:rPr>
              <w:fldChar w:fldCharType="separate"/>
            </w:r>
            <w:r w:rsidR="00083A43">
              <w:rPr>
                <w:noProof/>
                <w:webHidden/>
              </w:rPr>
              <w:t>13</w:t>
            </w:r>
            <w:r w:rsidR="004574F6">
              <w:rPr>
                <w:noProof/>
                <w:webHidden/>
              </w:rPr>
              <w:fldChar w:fldCharType="end"/>
            </w:r>
          </w:hyperlink>
        </w:p>
        <w:p w14:paraId="06D63DEC" w14:textId="403335A0" w:rsidR="004574F6" w:rsidRDefault="0069091F">
          <w:pPr>
            <w:pStyle w:val="TDC1"/>
            <w:tabs>
              <w:tab w:val="right" w:leader="dot" w:pos="9034"/>
            </w:tabs>
            <w:rPr>
              <w:rFonts w:asciiTheme="minorHAnsi" w:eastAsiaTheme="minorEastAsia" w:hAnsiTheme="minorHAnsi" w:cstheme="minorBidi"/>
              <w:noProof/>
              <w:szCs w:val="22"/>
              <w:lang w:eastAsia="es-MX"/>
            </w:rPr>
          </w:pPr>
          <w:hyperlink w:anchor="_Toc178186930" w:history="1">
            <w:r w:rsidR="004574F6" w:rsidRPr="001D63E6">
              <w:rPr>
                <w:rStyle w:val="Hipervnculo"/>
                <w:rFonts w:eastAsiaTheme="minorHAnsi"/>
                <w:noProof/>
                <w:lang w:eastAsia="en-US"/>
              </w:rPr>
              <w:t>CONSIDERANDOS</w:t>
            </w:r>
            <w:r w:rsidR="004574F6">
              <w:rPr>
                <w:noProof/>
                <w:webHidden/>
              </w:rPr>
              <w:tab/>
            </w:r>
            <w:r w:rsidR="004574F6">
              <w:rPr>
                <w:noProof/>
                <w:webHidden/>
              </w:rPr>
              <w:fldChar w:fldCharType="begin"/>
            </w:r>
            <w:r w:rsidR="004574F6">
              <w:rPr>
                <w:noProof/>
                <w:webHidden/>
              </w:rPr>
              <w:instrText xml:space="preserve"> PAGEREF _Toc178186930 \h </w:instrText>
            </w:r>
            <w:r w:rsidR="004574F6">
              <w:rPr>
                <w:noProof/>
                <w:webHidden/>
              </w:rPr>
            </w:r>
            <w:r w:rsidR="004574F6">
              <w:rPr>
                <w:noProof/>
                <w:webHidden/>
              </w:rPr>
              <w:fldChar w:fldCharType="separate"/>
            </w:r>
            <w:r w:rsidR="00083A43">
              <w:rPr>
                <w:noProof/>
                <w:webHidden/>
              </w:rPr>
              <w:t>13</w:t>
            </w:r>
            <w:r w:rsidR="004574F6">
              <w:rPr>
                <w:noProof/>
                <w:webHidden/>
              </w:rPr>
              <w:fldChar w:fldCharType="end"/>
            </w:r>
          </w:hyperlink>
        </w:p>
        <w:p w14:paraId="64124C57" w14:textId="151CA13A" w:rsidR="004574F6" w:rsidRDefault="0069091F">
          <w:pPr>
            <w:pStyle w:val="TDC2"/>
            <w:rPr>
              <w:rFonts w:asciiTheme="minorHAnsi" w:eastAsiaTheme="minorEastAsia" w:hAnsiTheme="minorHAnsi" w:cstheme="minorBidi"/>
              <w:noProof/>
              <w:szCs w:val="22"/>
              <w:lang w:eastAsia="es-MX"/>
            </w:rPr>
          </w:pPr>
          <w:hyperlink w:anchor="_Toc178186931" w:history="1">
            <w:r w:rsidR="004574F6" w:rsidRPr="001D63E6">
              <w:rPr>
                <w:rStyle w:val="Hipervnculo"/>
                <w:rFonts w:eastAsia="Batang"/>
                <w:noProof/>
              </w:rPr>
              <w:t>PRIMERO. Procedibilidad</w:t>
            </w:r>
            <w:r w:rsidR="004574F6">
              <w:rPr>
                <w:noProof/>
                <w:webHidden/>
              </w:rPr>
              <w:tab/>
            </w:r>
            <w:r w:rsidR="004574F6">
              <w:rPr>
                <w:noProof/>
                <w:webHidden/>
              </w:rPr>
              <w:fldChar w:fldCharType="begin"/>
            </w:r>
            <w:r w:rsidR="004574F6">
              <w:rPr>
                <w:noProof/>
                <w:webHidden/>
              </w:rPr>
              <w:instrText xml:space="preserve"> PAGEREF _Toc178186931 \h </w:instrText>
            </w:r>
            <w:r w:rsidR="004574F6">
              <w:rPr>
                <w:noProof/>
                <w:webHidden/>
              </w:rPr>
            </w:r>
            <w:r w:rsidR="004574F6">
              <w:rPr>
                <w:noProof/>
                <w:webHidden/>
              </w:rPr>
              <w:fldChar w:fldCharType="separate"/>
            </w:r>
            <w:r w:rsidR="00083A43">
              <w:rPr>
                <w:noProof/>
                <w:webHidden/>
              </w:rPr>
              <w:t>13</w:t>
            </w:r>
            <w:r w:rsidR="004574F6">
              <w:rPr>
                <w:noProof/>
                <w:webHidden/>
              </w:rPr>
              <w:fldChar w:fldCharType="end"/>
            </w:r>
          </w:hyperlink>
        </w:p>
        <w:p w14:paraId="2D079BFE" w14:textId="431F8DEE" w:rsidR="004574F6" w:rsidRDefault="0069091F">
          <w:pPr>
            <w:pStyle w:val="TDC3"/>
            <w:rPr>
              <w:rFonts w:asciiTheme="minorHAnsi" w:eastAsiaTheme="minorEastAsia" w:hAnsiTheme="minorHAnsi" w:cstheme="minorBidi"/>
              <w:noProof/>
              <w:szCs w:val="22"/>
              <w:lang w:eastAsia="es-MX"/>
            </w:rPr>
          </w:pPr>
          <w:hyperlink w:anchor="_Toc178186932" w:history="1">
            <w:r w:rsidR="004574F6" w:rsidRPr="001D63E6">
              <w:rPr>
                <w:rStyle w:val="Hipervnculo"/>
                <w:noProof/>
              </w:rPr>
              <w:t>a) Competencia del Instituto</w:t>
            </w:r>
            <w:r w:rsidR="004574F6">
              <w:rPr>
                <w:noProof/>
                <w:webHidden/>
              </w:rPr>
              <w:tab/>
            </w:r>
            <w:r w:rsidR="004574F6">
              <w:rPr>
                <w:noProof/>
                <w:webHidden/>
              </w:rPr>
              <w:fldChar w:fldCharType="begin"/>
            </w:r>
            <w:r w:rsidR="004574F6">
              <w:rPr>
                <w:noProof/>
                <w:webHidden/>
              </w:rPr>
              <w:instrText xml:space="preserve"> PAGEREF _Toc178186932 \h </w:instrText>
            </w:r>
            <w:r w:rsidR="004574F6">
              <w:rPr>
                <w:noProof/>
                <w:webHidden/>
              </w:rPr>
            </w:r>
            <w:r w:rsidR="004574F6">
              <w:rPr>
                <w:noProof/>
                <w:webHidden/>
              </w:rPr>
              <w:fldChar w:fldCharType="separate"/>
            </w:r>
            <w:r w:rsidR="00083A43">
              <w:rPr>
                <w:noProof/>
                <w:webHidden/>
              </w:rPr>
              <w:t>13</w:t>
            </w:r>
            <w:r w:rsidR="004574F6">
              <w:rPr>
                <w:noProof/>
                <w:webHidden/>
              </w:rPr>
              <w:fldChar w:fldCharType="end"/>
            </w:r>
          </w:hyperlink>
        </w:p>
        <w:p w14:paraId="17F838D1" w14:textId="62CE6462" w:rsidR="004574F6" w:rsidRDefault="0069091F">
          <w:pPr>
            <w:pStyle w:val="TDC3"/>
            <w:rPr>
              <w:rFonts w:asciiTheme="minorHAnsi" w:eastAsiaTheme="minorEastAsia" w:hAnsiTheme="minorHAnsi" w:cstheme="minorBidi"/>
              <w:noProof/>
              <w:szCs w:val="22"/>
              <w:lang w:eastAsia="es-MX"/>
            </w:rPr>
          </w:pPr>
          <w:hyperlink w:anchor="_Toc178186933" w:history="1">
            <w:r w:rsidR="004574F6" w:rsidRPr="001D63E6">
              <w:rPr>
                <w:rStyle w:val="Hipervnculo"/>
                <w:noProof/>
              </w:rPr>
              <w:t>b) Legitimidad de la parte recurrente</w:t>
            </w:r>
            <w:r w:rsidR="004574F6">
              <w:rPr>
                <w:noProof/>
                <w:webHidden/>
              </w:rPr>
              <w:tab/>
            </w:r>
            <w:r w:rsidR="004574F6">
              <w:rPr>
                <w:noProof/>
                <w:webHidden/>
              </w:rPr>
              <w:fldChar w:fldCharType="begin"/>
            </w:r>
            <w:r w:rsidR="004574F6">
              <w:rPr>
                <w:noProof/>
                <w:webHidden/>
              </w:rPr>
              <w:instrText xml:space="preserve"> PAGEREF _Toc178186933 \h </w:instrText>
            </w:r>
            <w:r w:rsidR="004574F6">
              <w:rPr>
                <w:noProof/>
                <w:webHidden/>
              </w:rPr>
            </w:r>
            <w:r w:rsidR="004574F6">
              <w:rPr>
                <w:noProof/>
                <w:webHidden/>
              </w:rPr>
              <w:fldChar w:fldCharType="separate"/>
            </w:r>
            <w:r w:rsidR="00083A43">
              <w:rPr>
                <w:noProof/>
                <w:webHidden/>
              </w:rPr>
              <w:t>14</w:t>
            </w:r>
            <w:r w:rsidR="004574F6">
              <w:rPr>
                <w:noProof/>
                <w:webHidden/>
              </w:rPr>
              <w:fldChar w:fldCharType="end"/>
            </w:r>
          </w:hyperlink>
        </w:p>
        <w:p w14:paraId="28A85FBA" w14:textId="166C7C7D" w:rsidR="004574F6" w:rsidRDefault="0069091F">
          <w:pPr>
            <w:pStyle w:val="TDC3"/>
            <w:rPr>
              <w:rFonts w:asciiTheme="minorHAnsi" w:eastAsiaTheme="minorEastAsia" w:hAnsiTheme="minorHAnsi" w:cstheme="minorBidi"/>
              <w:noProof/>
              <w:szCs w:val="22"/>
              <w:lang w:eastAsia="es-MX"/>
            </w:rPr>
          </w:pPr>
          <w:hyperlink w:anchor="_Toc178186934" w:history="1">
            <w:r w:rsidR="004574F6" w:rsidRPr="001D63E6">
              <w:rPr>
                <w:rStyle w:val="Hipervnculo"/>
                <w:rFonts w:eastAsia="Calibri"/>
                <w:noProof/>
                <w:lang w:eastAsia="es-ES_tradnl"/>
              </w:rPr>
              <w:t>c) Plazo para interponer el recurso</w:t>
            </w:r>
            <w:r w:rsidR="004574F6">
              <w:rPr>
                <w:noProof/>
                <w:webHidden/>
              </w:rPr>
              <w:tab/>
            </w:r>
            <w:r w:rsidR="004574F6">
              <w:rPr>
                <w:noProof/>
                <w:webHidden/>
              </w:rPr>
              <w:fldChar w:fldCharType="begin"/>
            </w:r>
            <w:r w:rsidR="004574F6">
              <w:rPr>
                <w:noProof/>
                <w:webHidden/>
              </w:rPr>
              <w:instrText xml:space="preserve"> PAGEREF _Toc178186934 \h </w:instrText>
            </w:r>
            <w:r w:rsidR="004574F6">
              <w:rPr>
                <w:noProof/>
                <w:webHidden/>
              </w:rPr>
            </w:r>
            <w:r w:rsidR="004574F6">
              <w:rPr>
                <w:noProof/>
                <w:webHidden/>
              </w:rPr>
              <w:fldChar w:fldCharType="separate"/>
            </w:r>
            <w:r w:rsidR="00083A43">
              <w:rPr>
                <w:noProof/>
                <w:webHidden/>
              </w:rPr>
              <w:t>14</w:t>
            </w:r>
            <w:r w:rsidR="004574F6">
              <w:rPr>
                <w:noProof/>
                <w:webHidden/>
              </w:rPr>
              <w:fldChar w:fldCharType="end"/>
            </w:r>
          </w:hyperlink>
        </w:p>
        <w:p w14:paraId="5E6D2614" w14:textId="7A7659B8" w:rsidR="004574F6" w:rsidRDefault="0069091F">
          <w:pPr>
            <w:pStyle w:val="TDC3"/>
            <w:rPr>
              <w:rFonts w:asciiTheme="minorHAnsi" w:eastAsiaTheme="minorEastAsia" w:hAnsiTheme="minorHAnsi" w:cstheme="minorBidi"/>
              <w:noProof/>
              <w:szCs w:val="22"/>
              <w:lang w:eastAsia="es-MX"/>
            </w:rPr>
          </w:pPr>
          <w:hyperlink w:anchor="_Toc178186935" w:history="1">
            <w:r w:rsidR="004574F6" w:rsidRPr="001D63E6">
              <w:rPr>
                <w:rStyle w:val="Hipervnculo"/>
                <w:rFonts w:eastAsia="Calibri"/>
                <w:noProof/>
                <w:lang w:eastAsia="es-ES_tradnl"/>
              </w:rPr>
              <w:t>d) Causal de procedencia</w:t>
            </w:r>
            <w:r w:rsidR="004574F6">
              <w:rPr>
                <w:noProof/>
                <w:webHidden/>
              </w:rPr>
              <w:tab/>
            </w:r>
            <w:r w:rsidR="004574F6">
              <w:rPr>
                <w:noProof/>
                <w:webHidden/>
              </w:rPr>
              <w:fldChar w:fldCharType="begin"/>
            </w:r>
            <w:r w:rsidR="004574F6">
              <w:rPr>
                <w:noProof/>
                <w:webHidden/>
              </w:rPr>
              <w:instrText xml:space="preserve"> PAGEREF _Toc178186935 \h </w:instrText>
            </w:r>
            <w:r w:rsidR="004574F6">
              <w:rPr>
                <w:noProof/>
                <w:webHidden/>
              </w:rPr>
            </w:r>
            <w:r w:rsidR="004574F6">
              <w:rPr>
                <w:noProof/>
                <w:webHidden/>
              </w:rPr>
              <w:fldChar w:fldCharType="separate"/>
            </w:r>
            <w:r w:rsidR="00083A43">
              <w:rPr>
                <w:noProof/>
                <w:webHidden/>
              </w:rPr>
              <w:t>15</w:t>
            </w:r>
            <w:r w:rsidR="004574F6">
              <w:rPr>
                <w:noProof/>
                <w:webHidden/>
              </w:rPr>
              <w:fldChar w:fldCharType="end"/>
            </w:r>
          </w:hyperlink>
        </w:p>
        <w:p w14:paraId="1C5AC05C" w14:textId="67AE5C8B" w:rsidR="004574F6" w:rsidRDefault="0069091F">
          <w:pPr>
            <w:pStyle w:val="TDC3"/>
            <w:rPr>
              <w:rFonts w:asciiTheme="minorHAnsi" w:eastAsiaTheme="minorEastAsia" w:hAnsiTheme="minorHAnsi" w:cstheme="minorBidi"/>
              <w:noProof/>
              <w:szCs w:val="22"/>
              <w:lang w:eastAsia="es-MX"/>
            </w:rPr>
          </w:pPr>
          <w:hyperlink w:anchor="_Toc178186936" w:history="1">
            <w:r w:rsidR="004574F6" w:rsidRPr="001D63E6">
              <w:rPr>
                <w:rStyle w:val="Hipervnculo"/>
                <w:noProof/>
              </w:rPr>
              <w:t>e) Requisitos formales para la interposición del recurso</w:t>
            </w:r>
            <w:r w:rsidR="004574F6">
              <w:rPr>
                <w:noProof/>
                <w:webHidden/>
              </w:rPr>
              <w:tab/>
            </w:r>
            <w:r w:rsidR="004574F6">
              <w:rPr>
                <w:noProof/>
                <w:webHidden/>
              </w:rPr>
              <w:fldChar w:fldCharType="begin"/>
            </w:r>
            <w:r w:rsidR="004574F6">
              <w:rPr>
                <w:noProof/>
                <w:webHidden/>
              </w:rPr>
              <w:instrText xml:space="preserve"> PAGEREF _Toc178186936 \h </w:instrText>
            </w:r>
            <w:r w:rsidR="004574F6">
              <w:rPr>
                <w:noProof/>
                <w:webHidden/>
              </w:rPr>
            </w:r>
            <w:r w:rsidR="004574F6">
              <w:rPr>
                <w:noProof/>
                <w:webHidden/>
              </w:rPr>
              <w:fldChar w:fldCharType="separate"/>
            </w:r>
            <w:r w:rsidR="00083A43">
              <w:rPr>
                <w:noProof/>
                <w:webHidden/>
              </w:rPr>
              <w:t>15</w:t>
            </w:r>
            <w:r w:rsidR="004574F6">
              <w:rPr>
                <w:noProof/>
                <w:webHidden/>
              </w:rPr>
              <w:fldChar w:fldCharType="end"/>
            </w:r>
          </w:hyperlink>
        </w:p>
        <w:p w14:paraId="60923CE5" w14:textId="784779D9" w:rsidR="004574F6" w:rsidRDefault="0069091F">
          <w:pPr>
            <w:pStyle w:val="TDC2"/>
            <w:rPr>
              <w:rFonts w:asciiTheme="minorHAnsi" w:eastAsiaTheme="minorEastAsia" w:hAnsiTheme="minorHAnsi" w:cstheme="minorBidi"/>
              <w:noProof/>
              <w:szCs w:val="22"/>
              <w:lang w:eastAsia="es-MX"/>
            </w:rPr>
          </w:pPr>
          <w:hyperlink w:anchor="_Toc178186937" w:history="1">
            <w:r w:rsidR="004574F6" w:rsidRPr="001D63E6">
              <w:rPr>
                <w:rStyle w:val="Hipervnculo"/>
                <w:noProof/>
              </w:rPr>
              <w:t>SEGUNDO. Estudio de Fondo</w:t>
            </w:r>
            <w:r w:rsidR="004574F6">
              <w:rPr>
                <w:noProof/>
                <w:webHidden/>
              </w:rPr>
              <w:tab/>
            </w:r>
            <w:r w:rsidR="004574F6">
              <w:rPr>
                <w:noProof/>
                <w:webHidden/>
              </w:rPr>
              <w:fldChar w:fldCharType="begin"/>
            </w:r>
            <w:r w:rsidR="004574F6">
              <w:rPr>
                <w:noProof/>
                <w:webHidden/>
              </w:rPr>
              <w:instrText xml:space="preserve"> PAGEREF _Toc178186937 \h </w:instrText>
            </w:r>
            <w:r w:rsidR="004574F6">
              <w:rPr>
                <w:noProof/>
                <w:webHidden/>
              </w:rPr>
            </w:r>
            <w:r w:rsidR="004574F6">
              <w:rPr>
                <w:noProof/>
                <w:webHidden/>
              </w:rPr>
              <w:fldChar w:fldCharType="separate"/>
            </w:r>
            <w:r w:rsidR="00083A43">
              <w:rPr>
                <w:noProof/>
                <w:webHidden/>
              </w:rPr>
              <w:t>16</w:t>
            </w:r>
            <w:r w:rsidR="004574F6">
              <w:rPr>
                <w:noProof/>
                <w:webHidden/>
              </w:rPr>
              <w:fldChar w:fldCharType="end"/>
            </w:r>
          </w:hyperlink>
        </w:p>
        <w:p w14:paraId="65371539" w14:textId="2A26FBEA" w:rsidR="004574F6" w:rsidRDefault="0069091F">
          <w:pPr>
            <w:pStyle w:val="TDC3"/>
            <w:rPr>
              <w:rFonts w:asciiTheme="minorHAnsi" w:eastAsiaTheme="minorEastAsia" w:hAnsiTheme="minorHAnsi" w:cstheme="minorBidi"/>
              <w:noProof/>
              <w:szCs w:val="22"/>
              <w:lang w:eastAsia="es-MX"/>
            </w:rPr>
          </w:pPr>
          <w:hyperlink w:anchor="_Toc178186938" w:history="1">
            <w:r w:rsidR="004574F6" w:rsidRPr="001D63E6">
              <w:rPr>
                <w:rStyle w:val="Hipervnculo"/>
                <w:noProof/>
              </w:rPr>
              <w:t>a) Mandato de transparencia y responsabilidad del Sujeto Obligado</w:t>
            </w:r>
            <w:r w:rsidR="004574F6">
              <w:rPr>
                <w:noProof/>
                <w:webHidden/>
              </w:rPr>
              <w:tab/>
            </w:r>
            <w:r w:rsidR="004574F6">
              <w:rPr>
                <w:noProof/>
                <w:webHidden/>
              </w:rPr>
              <w:fldChar w:fldCharType="begin"/>
            </w:r>
            <w:r w:rsidR="004574F6">
              <w:rPr>
                <w:noProof/>
                <w:webHidden/>
              </w:rPr>
              <w:instrText xml:space="preserve"> PAGEREF _Toc178186938 \h </w:instrText>
            </w:r>
            <w:r w:rsidR="004574F6">
              <w:rPr>
                <w:noProof/>
                <w:webHidden/>
              </w:rPr>
            </w:r>
            <w:r w:rsidR="004574F6">
              <w:rPr>
                <w:noProof/>
                <w:webHidden/>
              </w:rPr>
              <w:fldChar w:fldCharType="separate"/>
            </w:r>
            <w:r w:rsidR="00083A43">
              <w:rPr>
                <w:noProof/>
                <w:webHidden/>
              </w:rPr>
              <w:t>16</w:t>
            </w:r>
            <w:r w:rsidR="004574F6">
              <w:rPr>
                <w:noProof/>
                <w:webHidden/>
              </w:rPr>
              <w:fldChar w:fldCharType="end"/>
            </w:r>
          </w:hyperlink>
        </w:p>
        <w:p w14:paraId="0D362B77" w14:textId="6F15E37D" w:rsidR="004574F6" w:rsidRDefault="0069091F">
          <w:pPr>
            <w:pStyle w:val="TDC3"/>
            <w:rPr>
              <w:rFonts w:asciiTheme="minorHAnsi" w:eastAsiaTheme="minorEastAsia" w:hAnsiTheme="minorHAnsi" w:cstheme="minorBidi"/>
              <w:noProof/>
              <w:szCs w:val="22"/>
              <w:lang w:eastAsia="es-MX"/>
            </w:rPr>
          </w:pPr>
          <w:hyperlink w:anchor="_Toc178186939" w:history="1">
            <w:r w:rsidR="004574F6" w:rsidRPr="001D63E6">
              <w:rPr>
                <w:rStyle w:val="Hipervnculo"/>
                <w:rFonts w:eastAsia="Calibri"/>
                <w:noProof/>
                <w:lang w:eastAsia="es-ES_tradnl"/>
              </w:rPr>
              <w:t>b) Controversia a resolver</w:t>
            </w:r>
            <w:r w:rsidR="004574F6">
              <w:rPr>
                <w:noProof/>
                <w:webHidden/>
              </w:rPr>
              <w:tab/>
            </w:r>
            <w:r w:rsidR="004574F6">
              <w:rPr>
                <w:noProof/>
                <w:webHidden/>
              </w:rPr>
              <w:fldChar w:fldCharType="begin"/>
            </w:r>
            <w:r w:rsidR="004574F6">
              <w:rPr>
                <w:noProof/>
                <w:webHidden/>
              </w:rPr>
              <w:instrText xml:space="preserve"> PAGEREF _Toc178186939 \h </w:instrText>
            </w:r>
            <w:r w:rsidR="004574F6">
              <w:rPr>
                <w:noProof/>
                <w:webHidden/>
              </w:rPr>
            </w:r>
            <w:r w:rsidR="004574F6">
              <w:rPr>
                <w:noProof/>
                <w:webHidden/>
              </w:rPr>
              <w:fldChar w:fldCharType="separate"/>
            </w:r>
            <w:r w:rsidR="00083A43">
              <w:rPr>
                <w:noProof/>
                <w:webHidden/>
              </w:rPr>
              <w:t>19</w:t>
            </w:r>
            <w:r w:rsidR="004574F6">
              <w:rPr>
                <w:noProof/>
                <w:webHidden/>
              </w:rPr>
              <w:fldChar w:fldCharType="end"/>
            </w:r>
          </w:hyperlink>
        </w:p>
        <w:p w14:paraId="722E1C17" w14:textId="759BF784" w:rsidR="004574F6" w:rsidRDefault="0069091F">
          <w:pPr>
            <w:pStyle w:val="TDC3"/>
            <w:rPr>
              <w:rFonts w:asciiTheme="minorHAnsi" w:eastAsiaTheme="minorEastAsia" w:hAnsiTheme="minorHAnsi" w:cstheme="minorBidi"/>
              <w:noProof/>
              <w:szCs w:val="22"/>
              <w:lang w:eastAsia="es-MX"/>
            </w:rPr>
          </w:pPr>
          <w:hyperlink w:anchor="_Toc178186940" w:history="1">
            <w:r w:rsidR="004574F6" w:rsidRPr="001D63E6">
              <w:rPr>
                <w:rStyle w:val="Hipervnculo"/>
                <w:noProof/>
              </w:rPr>
              <w:t>c) Estudio de la controversia</w:t>
            </w:r>
            <w:r w:rsidR="004574F6">
              <w:rPr>
                <w:noProof/>
                <w:webHidden/>
              </w:rPr>
              <w:tab/>
            </w:r>
            <w:r w:rsidR="004574F6">
              <w:rPr>
                <w:noProof/>
                <w:webHidden/>
              </w:rPr>
              <w:fldChar w:fldCharType="begin"/>
            </w:r>
            <w:r w:rsidR="004574F6">
              <w:rPr>
                <w:noProof/>
                <w:webHidden/>
              </w:rPr>
              <w:instrText xml:space="preserve"> PAGEREF _Toc178186940 \h </w:instrText>
            </w:r>
            <w:r w:rsidR="004574F6">
              <w:rPr>
                <w:noProof/>
                <w:webHidden/>
              </w:rPr>
            </w:r>
            <w:r w:rsidR="004574F6">
              <w:rPr>
                <w:noProof/>
                <w:webHidden/>
              </w:rPr>
              <w:fldChar w:fldCharType="separate"/>
            </w:r>
            <w:r w:rsidR="00083A43">
              <w:rPr>
                <w:noProof/>
                <w:webHidden/>
              </w:rPr>
              <w:t>20</w:t>
            </w:r>
            <w:r w:rsidR="004574F6">
              <w:rPr>
                <w:noProof/>
                <w:webHidden/>
              </w:rPr>
              <w:fldChar w:fldCharType="end"/>
            </w:r>
          </w:hyperlink>
        </w:p>
        <w:p w14:paraId="6DF89078" w14:textId="0B55700A" w:rsidR="004574F6" w:rsidRDefault="0069091F">
          <w:pPr>
            <w:pStyle w:val="TDC3"/>
            <w:rPr>
              <w:rFonts w:asciiTheme="minorHAnsi" w:eastAsiaTheme="minorEastAsia" w:hAnsiTheme="minorHAnsi" w:cstheme="minorBidi"/>
              <w:noProof/>
              <w:szCs w:val="22"/>
              <w:lang w:eastAsia="es-MX"/>
            </w:rPr>
          </w:pPr>
          <w:hyperlink w:anchor="_Toc178186941" w:history="1">
            <w:r w:rsidR="004574F6" w:rsidRPr="001D63E6">
              <w:rPr>
                <w:rStyle w:val="Hipervnculo"/>
                <w:noProof/>
              </w:rPr>
              <w:t>d) Versión pública</w:t>
            </w:r>
            <w:r w:rsidR="004574F6">
              <w:rPr>
                <w:noProof/>
                <w:webHidden/>
              </w:rPr>
              <w:tab/>
            </w:r>
            <w:r w:rsidR="004574F6">
              <w:rPr>
                <w:noProof/>
                <w:webHidden/>
              </w:rPr>
              <w:fldChar w:fldCharType="begin"/>
            </w:r>
            <w:r w:rsidR="004574F6">
              <w:rPr>
                <w:noProof/>
                <w:webHidden/>
              </w:rPr>
              <w:instrText xml:space="preserve"> PAGEREF _Toc178186941 \h </w:instrText>
            </w:r>
            <w:r w:rsidR="004574F6">
              <w:rPr>
                <w:noProof/>
                <w:webHidden/>
              </w:rPr>
            </w:r>
            <w:r w:rsidR="004574F6">
              <w:rPr>
                <w:noProof/>
                <w:webHidden/>
              </w:rPr>
              <w:fldChar w:fldCharType="separate"/>
            </w:r>
            <w:r w:rsidR="00083A43">
              <w:rPr>
                <w:noProof/>
                <w:webHidden/>
              </w:rPr>
              <w:t>36</w:t>
            </w:r>
            <w:r w:rsidR="004574F6">
              <w:rPr>
                <w:noProof/>
                <w:webHidden/>
              </w:rPr>
              <w:fldChar w:fldCharType="end"/>
            </w:r>
          </w:hyperlink>
        </w:p>
        <w:p w14:paraId="73CB3E02" w14:textId="18BFBC7D" w:rsidR="004574F6" w:rsidRDefault="0069091F">
          <w:pPr>
            <w:pStyle w:val="TDC3"/>
            <w:rPr>
              <w:rFonts w:asciiTheme="minorHAnsi" w:eastAsiaTheme="minorEastAsia" w:hAnsiTheme="minorHAnsi" w:cstheme="minorBidi"/>
              <w:noProof/>
              <w:szCs w:val="22"/>
              <w:lang w:eastAsia="es-MX"/>
            </w:rPr>
          </w:pPr>
          <w:hyperlink w:anchor="_Toc178186942" w:history="1">
            <w:r w:rsidR="004574F6" w:rsidRPr="001D63E6">
              <w:rPr>
                <w:rStyle w:val="Hipervnculo"/>
                <w:noProof/>
              </w:rPr>
              <w:t>e) Conclusión</w:t>
            </w:r>
            <w:r w:rsidR="004574F6">
              <w:rPr>
                <w:noProof/>
                <w:webHidden/>
              </w:rPr>
              <w:tab/>
            </w:r>
            <w:r w:rsidR="004574F6">
              <w:rPr>
                <w:noProof/>
                <w:webHidden/>
              </w:rPr>
              <w:fldChar w:fldCharType="begin"/>
            </w:r>
            <w:r w:rsidR="004574F6">
              <w:rPr>
                <w:noProof/>
                <w:webHidden/>
              </w:rPr>
              <w:instrText xml:space="preserve"> PAGEREF _Toc178186942 \h </w:instrText>
            </w:r>
            <w:r w:rsidR="004574F6">
              <w:rPr>
                <w:noProof/>
                <w:webHidden/>
              </w:rPr>
            </w:r>
            <w:r w:rsidR="004574F6">
              <w:rPr>
                <w:noProof/>
                <w:webHidden/>
              </w:rPr>
              <w:fldChar w:fldCharType="separate"/>
            </w:r>
            <w:r w:rsidR="00083A43">
              <w:rPr>
                <w:noProof/>
                <w:webHidden/>
              </w:rPr>
              <w:t>47</w:t>
            </w:r>
            <w:r w:rsidR="004574F6">
              <w:rPr>
                <w:noProof/>
                <w:webHidden/>
              </w:rPr>
              <w:fldChar w:fldCharType="end"/>
            </w:r>
          </w:hyperlink>
        </w:p>
        <w:p w14:paraId="5716BAA7" w14:textId="16E057ED" w:rsidR="004574F6" w:rsidRDefault="0069091F">
          <w:pPr>
            <w:pStyle w:val="TDC1"/>
            <w:tabs>
              <w:tab w:val="right" w:leader="dot" w:pos="9034"/>
            </w:tabs>
            <w:rPr>
              <w:rFonts w:asciiTheme="minorHAnsi" w:eastAsiaTheme="minorEastAsia" w:hAnsiTheme="minorHAnsi" w:cstheme="minorBidi"/>
              <w:noProof/>
              <w:szCs w:val="22"/>
              <w:lang w:eastAsia="es-MX"/>
            </w:rPr>
          </w:pPr>
          <w:hyperlink w:anchor="_Toc178186943" w:history="1">
            <w:r w:rsidR="004574F6" w:rsidRPr="001D63E6">
              <w:rPr>
                <w:rStyle w:val="Hipervnculo"/>
                <w:noProof/>
              </w:rPr>
              <w:t>RESUELVE</w:t>
            </w:r>
            <w:r w:rsidR="004574F6">
              <w:rPr>
                <w:noProof/>
                <w:webHidden/>
              </w:rPr>
              <w:tab/>
            </w:r>
            <w:r w:rsidR="004574F6">
              <w:rPr>
                <w:noProof/>
                <w:webHidden/>
              </w:rPr>
              <w:fldChar w:fldCharType="begin"/>
            </w:r>
            <w:r w:rsidR="004574F6">
              <w:rPr>
                <w:noProof/>
                <w:webHidden/>
              </w:rPr>
              <w:instrText xml:space="preserve"> PAGEREF _Toc178186943 \h </w:instrText>
            </w:r>
            <w:r w:rsidR="004574F6">
              <w:rPr>
                <w:noProof/>
                <w:webHidden/>
              </w:rPr>
            </w:r>
            <w:r w:rsidR="004574F6">
              <w:rPr>
                <w:noProof/>
                <w:webHidden/>
              </w:rPr>
              <w:fldChar w:fldCharType="separate"/>
            </w:r>
            <w:r w:rsidR="00083A43">
              <w:rPr>
                <w:noProof/>
                <w:webHidden/>
              </w:rPr>
              <w:t>47</w:t>
            </w:r>
            <w:r w:rsidR="004574F6">
              <w:rPr>
                <w:noProof/>
                <w:webHidden/>
              </w:rPr>
              <w:fldChar w:fldCharType="end"/>
            </w:r>
          </w:hyperlink>
        </w:p>
        <w:p w14:paraId="0C82FD7A" w14:textId="1E03701D" w:rsidR="009B2945" w:rsidRPr="004574F6" w:rsidRDefault="00AE3DA7" w:rsidP="004574F6">
          <w:pPr>
            <w:spacing w:line="240" w:lineRule="auto"/>
            <w:rPr>
              <w:b/>
              <w:bCs/>
              <w:lang w:val="es-ES"/>
            </w:rPr>
          </w:pPr>
          <w:r w:rsidRPr="004574F6">
            <w:rPr>
              <w:b/>
              <w:bCs/>
              <w:sz w:val="16"/>
              <w:szCs w:val="16"/>
              <w:lang w:val="es-ES"/>
            </w:rPr>
            <w:fldChar w:fldCharType="end"/>
          </w:r>
        </w:p>
      </w:sdtContent>
    </w:sdt>
    <w:p w14:paraId="603A07E2" w14:textId="77777777" w:rsidR="00646436" w:rsidRPr="004574F6" w:rsidRDefault="00646436" w:rsidP="004574F6">
      <w:pPr>
        <w:rPr>
          <w:rFonts w:cs="Tahoma"/>
          <w:szCs w:val="22"/>
        </w:rPr>
        <w:sectPr w:rsidR="00646436" w:rsidRPr="004574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0AF3AAC4" w14:textId="265F3C57" w:rsidR="00775BFC" w:rsidRPr="004574F6" w:rsidRDefault="00775BFC" w:rsidP="004574F6">
      <w:r w:rsidRPr="004574F6">
        <w:lastRenderedPageBreak/>
        <w:t xml:space="preserve">Resolución del Pleno del Instituto de Transparencia, Acceso a la Información Pública y Protección de Datos Personales del Estado de México y Municipios, con domicilio en Metepec, Estado de México, </w:t>
      </w:r>
      <w:r w:rsidR="004574F6">
        <w:t xml:space="preserve">del </w:t>
      </w:r>
      <w:r w:rsidR="00104AFF" w:rsidRPr="004574F6">
        <w:rPr>
          <w:b/>
          <w:bCs/>
        </w:rPr>
        <w:t>veinticinco</w:t>
      </w:r>
      <w:r w:rsidR="00CB607E" w:rsidRPr="004574F6">
        <w:rPr>
          <w:b/>
          <w:bCs/>
        </w:rPr>
        <w:t xml:space="preserve"> de septiembre de dos mil veinticuatro</w:t>
      </w:r>
      <w:r w:rsidR="00CB607E" w:rsidRPr="004574F6">
        <w:t>.</w:t>
      </w:r>
    </w:p>
    <w:p w14:paraId="418B9445" w14:textId="77777777" w:rsidR="00CB607E" w:rsidRPr="004574F6" w:rsidRDefault="00CB607E" w:rsidP="004574F6"/>
    <w:p w14:paraId="40EAE038" w14:textId="3F6DF9BB" w:rsidR="00775BFC" w:rsidRPr="004574F6" w:rsidRDefault="00775BFC" w:rsidP="004574F6">
      <w:r w:rsidRPr="004574F6">
        <w:rPr>
          <w:b/>
        </w:rPr>
        <w:t xml:space="preserve">VISTO </w:t>
      </w:r>
      <w:r w:rsidRPr="004574F6">
        <w:t xml:space="preserve">el expediente formado con motivo del Recurso de Revisión </w:t>
      </w:r>
      <w:r w:rsidR="00B1609B" w:rsidRPr="004574F6">
        <w:rPr>
          <w:rFonts w:eastAsia="Calibri" w:cs="Tahoma"/>
          <w:b/>
          <w:bCs/>
          <w:szCs w:val="22"/>
          <w:lang w:eastAsia="en-US"/>
        </w:rPr>
        <w:t>03212</w:t>
      </w:r>
      <w:r w:rsidR="00CB607E" w:rsidRPr="004574F6">
        <w:rPr>
          <w:rFonts w:eastAsia="Calibri" w:cs="Tahoma"/>
          <w:b/>
          <w:bCs/>
          <w:szCs w:val="22"/>
          <w:lang w:eastAsia="en-US"/>
        </w:rPr>
        <w:t>/INFOEM/IP/RR/2024</w:t>
      </w:r>
      <w:r w:rsidR="00CB607E" w:rsidRPr="004574F6">
        <w:rPr>
          <w:rFonts w:eastAsia="Calibri" w:cs="Tahoma"/>
          <w:szCs w:val="22"/>
          <w:lang w:eastAsia="en-US"/>
        </w:rPr>
        <w:t>,</w:t>
      </w:r>
      <w:r w:rsidRPr="004574F6">
        <w:rPr>
          <w:rFonts w:eastAsia="Calibri"/>
          <w:lang w:eastAsia="en-US"/>
        </w:rPr>
        <w:t xml:space="preserve"> </w:t>
      </w:r>
      <w:r w:rsidRPr="004574F6">
        <w:t xml:space="preserve">interpuesto </w:t>
      </w:r>
      <w:r w:rsidR="00B1609B" w:rsidRPr="004574F6">
        <w:t xml:space="preserve">por </w:t>
      </w:r>
      <w:bookmarkStart w:id="2" w:name="_GoBack"/>
      <w:r w:rsidR="002515B8">
        <w:rPr>
          <w:b/>
        </w:rPr>
        <w:t>XXXXXXXXXXX X XXXXXX</w:t>
      </w:r>
      <w:bookmarkEnd w:id="2"/>
      <w:r w:rsidRPr="004574F6">
        <w:t xml:space="preserve">, a quien en lo subsecuente se le denominará </w:t>
      </w:r>
      <w:r w:rsidRPr="004574F6">
        <w:rPr>
          <w:b/>
          <w:bCs/>
        </w:rPr>
        <w:t>LA PARTE RECURRENTE</w:t>
      </w:r>
      <w:r w:rsidRPr="004574F6">
        <w:t>, en contra de la respuesta emitida por</w:t>
      </w:r>
      <w:r w:rsidR="00CB607E" w:rsidRPr="004574F6">
        <w:t xml:space="preserve"> </w:t>
      </w:r>
      <w:r w:rsidR="00CB607E" w:rsidRPr="004574F6">
        <w:rPr>
          <w:rFonts w:eastAsia="Calibri" w:cs="Tahoma"/>
          <w:b/>
          <w:bCs/>
          <w:szCs w:val="22"/>
          <w:lang w:eastAsia="en-US"/>
        </w:rPr>
        <w:t>Sistema Municipal Para el Desarrollo Integral de la Familia de Tlalnepantla de Baz</w:t>
      </w:r>
      <w:r w:rsidRPr="004574F6">
        <w:t xml:space="preserve">, en adelante </w:t>
      </w:r>
      <w:r w:rsidRPr="004574F6">
        <w:rPr>
          <w:b/>
          <w:bCs/>
        </w:rPr>
        <w:t>EL SUJETO OBLIGADO</w:t>
      </w:r>
      <w:r w:rsidRPr="004574F6">
        <w:rPr>
          <w:rFonts w:eastAsia="Calibri"/>
          <w:lang w:eastAsia="en-US"/>
        </w:rPr>
        <w:t xml:space="preserve">, </w:t>
      </w:r>
      <w:r w:rsidRPr="004574F6">
        <w:t>se emite la presente Resolución con base en los Antecedentes y Considerandos que se exponen a continuación:</w:t>
      </w:r>
    </w:p>
    <w:p w14:paraId="2116968C" w14:textId="77777777" w:rsidR="00775BFC" w:rsidRPr="004574F6" w:rsidRDefault="00775BFC" w:rsidP="004574F6"/>
    <w:p w14:paraId="5A444FB6" w14:textId="639D3567" w:rsidR="00664420" w:rsidRPr="004574F6" w:rsidRDefault="00664420" w:rsidP="004574F6">
      <w:pPr>
        <w:pStyle w:val="Ttulo1"/>
      </w:pPr>
      <w:bookmarkStart w:id="3" w:name="_Toc178186916"/>
      <w:r w:rsidRPr="004574F6">
        <w:t>ANTECEDENTES</w:t>
      </w:r>
      <w:bookmarkEnd w:id="3"/>
    </w:p>
    <w:p w14:paraId="7CE9E53D" w14:textId="77777777" w:rsidR="00E37A3F" w:rsidRPr="004574F6" w:rsidRDefault="00E37A3F" w:rsidP="004574F6"/>
    <w:p w14:paraId="5CB5034E" w14:textId="77777777" w:rsidR="00AC2DB8" w:rsidRPr="004574F6" w:rsidRDefault="00AC2DB8" w:rsidP="004574F6"/>
    <w:p w14:paraId="09B2D38F" w14:textId="6E49D146" w:rsidR="00664420" w:rsidRPr="004574F6" w:rsidRDefault="00E37A3F" w:rsidP="004574F6">
      <w:pPr>
        <w:pStyle w:val="Ttulo2"/>
      </w:pPr>
      <w:bookmarkStart w:id="4" w:name="_Toc178186917"/>
      <w:r w:rsidRPr="004574F6">
        <w:t>DE LA SOLICITUD DE INFORMACIÓN</w:t>
      </w:r>
      <w:bookmarkEnd w:id="4"/>
    </w:p>
    <w:p w14:paraId="7B7535DF" w14:textId="77777777" w:rsidR="00E37A3F" w:rsidRPr="004574F6" w:rsidRDefault="00E37A3F" w:rsidP="004574F6"/>
    <w:p w14:paraId="2C6AD1A5" w14:textId="0405B3CD" w:rsidR="00664420" w:rsidRPr="004574F6" w:rsidRDefault="00E37A3F" w:rsidP="004574F6">
      <w:pPr>
        <w:pStyle w:val="Ttulo3"/>
      </w:pPr>
      <w:bookmarkStart w:id="5" w:name="_Toc178186918"/>
      <w:r w:rsidRPr="004574F6">
        <w:t xml:space="preserve">a) </w:t>
      </w:r>
      <w:r w:rsidR="006B10B0" w:rsidRPr="004574F6">
        <w:t>S</w:t>
      </w:r>
      <w:r w:rsidR="00664420" w:rsidRPr="004574F6">
        <w:t xml:space="preserve">olicitud de </w:t>
      </w:r>
      <w:r w:rsidR="006B10B0" w:rsidRPr="004574F6">
        <w:t>i</w:t>
      </w:r>
      <w:r w:rsidR="00664420" w:rsidRPr="004574F6">
        <w:t>nformación</w:t>
      </w:r>
      <w:bookmarkEnd w:id="5"/>
    </w:p>
    <w:p w14:paraId="06DCD29D" w14:textId="08F0D5C9" w:rsidR="009A2D78" w:rsidRPr="004574F6" w:rsidRDefault="006B10B0" w:rsidP="004574F6">
      <w:pPr>
        <w:pStyle w:val="Prrafodelista"/>
        <w:tabs>
          <w:tab w:val="left" w:pos="0"/>
        </w:tabs>
        <w:ind w:left="0"/>
        <w:contextualSpacing w:val="0"/>
        <w:rPr>
          <w:rFonts w:cs="Tahoma"/>
        </w:rPr>
      </w:pPr>
      <w:r w:rsidRPr="004574F6">
        <w:rPr>
          <w:rFonts w:cs="Tahoma"/>
        </w:rPr>
        <w:t>El</w:t>
      </w:r>
      <w:r w:rsidR="00664420" w:rsidRPr="004574F6">
        <w:rPr>
          <w:rFonts w:cs="Tahoma"/>
        </w:rPr>
        <w:t xml:space="preserve"> </w:t>
      </w:r>
      <w:r w:rsidR="008C6A2D" w:rsidRPr="004574F6">
        <w:rPr>
          <w:rFonts w:cs="Tahoma"/>
          <w:b/>
          <w:bCs/>
        </w:rPr>
        <w:t xml:space="preserve">cinco de abril </w:t>
      </w:r>
      <w:r w:rsidR="00CB607E" w:rsidRPr="004574F6">
        <w:rPr>
          <w:rFonts w:cs="Tahoma"/>
          <w:b/>
          <w:bCs/>
        </w:rPr>
        <w:t>de dos mil veinticuatro</w:t>
      </w:r>
      <w:r w:rsidR="00664420" w:rsidRPr="004574F6">
        <w:rPr>
          <w:rFonts w:cs="Tahoma"/>
        </w:rPr>
        <w:t xml:space="preserve">, </w:t>
      </w:r>
      <w:r w:rsidRPr="004574F6">
        <w:rPr>
          <w:b/>
          <w:bCs/>
        </w:rPr>
        <w:t>LA PARTE RECURRENTE</w:t>
      </w:r>
      <w:r w:rsidR="00664420" w:rsidRPr="004574F6">
        <w:rPr>
          <w:rFonts w:cs="Tahoma"/>
        </w:rPr>
        <w:t xml:space="preserve"> presentó una solicitud de acceso a la información pública </w:t>
      </w:r>
      <w:r w:rsidR="001F3515" w:rsidRPr="004574F6">
        <w:rPr>
          <w:rFonts w:cs="Tahoma"/>
        </w:rPr>
        <w:t xml:space="preserve">ante el </w:t>
      </w:r>
      <w:r w:rsidR="001F3515" w:rsidRPr="004574F6">
        <w:rPr>
          <w:rFonts w:cs="Tahoma"/>
          <w:b/>
          <w:bCs/>
        </w:rPr>
        <w:t>SUJETO OBLIGADO</w:t>
      </w:r>
      <w:r w:rsidR="001F3515" w:rsidRPr="004574F6">
        <w:rPr>
          <w:rFonts w:cs="Tahoma"/>
        </w:rPr>
        <w:t xml:space="preserve">, </w:t>
      </w:r>
      <w:r w:rsidR="00664420" w:rsidRPr="004574F6">
        <w:rPr>
          <w:rFonts w:cs="Tahoma"/>
        </w:rPr>
        <w:t>a través del Sistema de Acceso a la Información Mexiquense</w:t>
      </w:r>
      <w:r w:rsidRPr="004574F6">
        <w:rPr>
          <w:rFonts w:cs="Tahoma"/>
        </w:rPr>
        <w:t xml:space="preserve"> </w:t>
      </w:r>
      <w:r w:rsidR="009A2D78" w:rsidRPr="004574F6">
        <w:rPr>
          <w:rFonts w:cs="Tahoma"/>
        </w:rPr>
        <w:t>(</w:t>
      </w:r>
      <w:r w:rsidRPr="004574F6">
        <w:rPr>
          <w:rFonts w:cs="Tahoma"/>
        </w:rPr>
        <w:t>SAIMEX</w:t>
      </w:r>
      <w:r w:rsidR="009A2D78" w:rsidRPr="004574F6">
        <w:rPr>
          <w:rFonts w:cs="Tahoma"/>
        </w:rPr>
        <w:t>). Dicha solicitud quedó</w:t>
      </w:r>
      <w:r w:rsidRPr="004574F6">
        <w:rPr>
          <w:rFonts w:cs="Tahoma"/>
        </w:rPr>
        <w:t xml:space="preserve"> registrada c</w:t>
      </w:r>
      <w:r w:rsidR="00664420" w:rsidRPr="004574F6">
        <w:rPr>
          <w:rFonts w:cs="Tahoma"/>
        </w:rPr>
        <w:t>on el número de folio</w:t>
      </w:r>
      <w:r w:rsidR="00664420" w:rsidRPr="004574F6">
        <w:rPr>
          <w:rFonts w:cs="Tahoma"/>
          <w:b/>
          <w:bCs/>
        </w:rPr>
        <w:t xml:space="preserve"> </w:t>
      </w:r>
      <w:r w:rsidR="00B1609B" w:rsidRPr="004574F6">
        <w:rPr>
          <w:rFonts w:cs="Tahoma"/>
          <w:b/>
          <w:bCs/>
        </w:rPr>
        <w:t>00064/DIFTLALNE/IP/2024</w:t>
      </w:r>
      <w:r w:rsidR="002A3601" w:rsidRPr="004574F6">
        <w:rPr>
          <w:rFonts w:cs="Tahoma"/>
        </w:rPr>
        <w:t xml:space="preserve"> y en ella </w:t>
      </w:r>
      <w:r w:rsidR="009A2D78" w:rsidRPr="004574F6">
        <w:rPr>
          <w:rFonts w:cs="Tahoma"/>
        </w:rPr>
        <w:t>se requirió la siguiente información:</w:t>
      </w:r>
    </w:p>
    <w:p w14:paraId="0459D6AC" w14:textId="77777777" w:rsidR="00664420" w:rsidRPr="004574F6" w:rsidRDefault="00664420" w:rsidP="004574F6">
      <w:pPr>
        <w:tabs>
          <w:tab w:val="left" w:pos="4667"/>
        </w:tabs>
        <w:ind w:left="567" w:right="567"/>
        <w:rPr>
          <w:rFonts w:cs="Tahoma"/>
          <w:b/>
          <w:bCs/>
        </w:rPr>
      </w:pPr>
    </w:p>
    <w:p w14:paraId="77FBA3B3" w14:textId="77777777" w:rsidR="00B1609B" w:rsidRPr="004574F6" w:rsidRDefault="00B1609B" w:rsidP="004574F6">
      <w:pPr>
        <w:pStyle w:val="Ttulo"/>
      </w:pPr>
      <w:r w:rsidRPr="004574F6">
        <w:t xml:space="preserve">Atendiendo los principios de Ley de Protección de Datos y haciendo referencia a los datos personales que serán sometidos a tratamiento en todos los avisos de privacidad integral publicados en la página oficial del Sistema Municipal Dif de Tlalnepantla, solicitamos a </w:t>
      </w:r>
      <w:r w:rsidRPr="004574F6">
        <w:lastRenderedPageBreak/>
        <w:t xml:space="preserve">través de esta plataforma Saimex, </w:t>
      </w:r>
      <w:r w:rsidRPr="004574F6">
        <w:rPr>
          <w:b/>
        </w:rPr>
        <w:t>las cedulas de bases de datos personales</w:t>
      </w:r>
      <w:r w:rsidRPr="004574F6">
        <w:t xml:space="preserve"> que refiere cada uno de los avisos de privacidad ya que la mayoría de los avisos contienen la leyenda “Los datos referidos en el proceso de Gestión, Trámite y Entrega de Testamentos a Bajo Costo, mediante los cuales se obtiene su consentimiento tácito para el tratamiento de los datos personales en las finalidades previstas en el presente aviso de privacidad, en el momento que se pone a su disposición”. También solicitamos copia de todos los </w:t>
      </w:r>
      <w:r w:rsidRPr="004574F6">
        <w:rPr>
          <w:b/>
        </w:rPr>
        <w:t>oficios firmados en este año y el anterior por la particular de la presidenta horaria Mari Gomez</w:t>
      </w:r>
    </w:p>
    <w:p w14:paraId="78B862F9" w14:textId="77777777" w:rsidR="00B1609B" w:rsidRPr="004574F6" w:rsidRDefault="00B1609B" w:rsidP="004574F6">
      <w:pPr>
        <w:pStyle w:val="Ttulo"/>
      </w:pPr>
    </w:p>
    <w:p w14:paraId="54B9E830" w14:textId="77777777" w:rsidR="00B1609B" w:rsidRPr="004574F6" w:rsidRDefault="00B1609B" w:rsidP="004574F6">
      <w:pPr>
        <w:pStyle w:val="Ttulo"/>
      </w:pPr>
    </w:p>
    <w:p w14:paraId="0BD6321D" w14:textId="07C972F7" w:rsidR="00664420" w:rsidRPr="004574F6" w:rsidRDefault="009A2D78" w:rsidP="004574F6">
      <w:pPr>
        <w:tabs>
          <w:tab w:val="left" w:pos="4667"/>
        </w:tabs>
        <w:ind w:left="567" w:right="567"/>
        <w:rPr>
          <w:rFonts w:cs="Tahoma"/>
          <w:bCs/>
          <w:i/>
          <w:szCs w:val="22"/>
        </w:rPr>
      </w:pPr>
      <w:r w:rsidRPr="004574F6">
        <w:rPr>
          <w:rFonts w:cs="Tahoma"/>
          <w:b/>
          <w:bCs/>
          <w:szCs w:val="22"/>
        </w:rPr>
        <w:t>Modalidad de entrega</w:t>
      </w:r>
      <w:r w:rsidRPr="004574F6">
        <w:rPr>
          <w:rFonts w:cs="Tahoma"/>
          <w:bCs/>
          <w:szCs w:val="22"/>
        </w:rPr>
        <w:t>: a</w:t>
      </w:r>
      <w:r w:rsidR="00664420" w:rsidRPr="004574F6">
        <w:rPr>
          <w:rFonts w:cs="Tahoma"/>
          <w:bCs/>
          <w:i/>
          <w:szCs w:val="22"/>
        </w:rPr>
        <w:t xml:space="preserve"> través del SAIMEX</w:t>
      </w:r>
      <w:r w:rsidRPr="004574F6">
        <w:rPr>
          <w:rFonts w:cs="Tahoma"/>
          <w:bCs/>
          <w:i/>
          <w:szCs w:val="22"/>
        </w:rPr>
        <w:t>.</w:t>
      </w:r>
    </w:p>
    <w:p w14:paraId="243D2169" w14:textId="77777777" w:rsidR="00E62394" w:rsidRPr="004574F6" w:rsidRDefault="00E62394" w:rsidP="004574F6">
      <w:pPr>
        <w:tabs>
          <w:tab w:val="left" w:pos="4667"/>
        </w:tabs>
        <w:ind w:left="567" w:right="567"/>
        <w:rPr>
          <w:rFonts w:cs="Tahoma"/>
          <w:bCs/>
          <w:i/>
          <w:szCs w:val="22"/>
        </w:rPr>
      </w:pPr>
    </w:p>
    <w:p w14:paraId="3BFBF2F9" w14:textId="77777777" w:rsidR="008C6A2D" w:rsidRPr="004574F6" w:rsidRDefault="008C6A2D" w:rsidP="004574F6">
      <w:pPr>
        <w:pStyle w:val="Ttulo3"/>
      </w:pPr>
      <w:bookmarkStart w:id="6" w:name="_Toc174621958"/>
      <w:bookmarkStart w:id="7" w:name="_Toc178186919"/>
      <w:r w:rsidRPr="004574F6">
        <w:t>b) Turno de la solicitud de información</w:t>
      </w:r>
      <w:bookmarkEnd w:id="6"/>
      <w:bookmarkEnd w:id="7"/>
    </w:p>
    <w:p w14:paraId="4BA51472" w14:textId="2A652C82" w:rsidR="008C6A2D" w:rsidRPr="004574F6" w:rsidRDefault="008C6A2D" w:rsidP="004574F6">
      <w:r w:rsidRPr="004574F6">
        <w:t xml:space="preserve">En cumplimiento al artículo 162 de la Ley de Transparencia y Acceso a la Información Pública del Estado de México y Municipios, el </w:t>
      </w:r>
      <w:r w:rsidRPr="004574F6">
        <w:rPr>
          <w:b/>
          <w:bCs/>
        </w:rPr>
        <w:t>veintitrés de abril de dos mil veinticuatro</w:t>
      </w:r>
      <w:r w:rsidRPr="004574F6">
        <w:t xml:space="preserve">, el Titular de la Unidad de Transparencia del </w:t>
      </w:r>
      <w:r w:rsidRPr="004574F6">
        <w:rPr>
          <w:b/>
        </w:rPr>
        <w:t>SUJETO OBLIGADO</w:t>
      </w:r>
      <w:r w:rsidRPr="004574F6">
        <w:t xml:space="preserve"> turnó la solicitud de información al servidor público habilitado.</w:t>
      </w:r>
    </w:p>
    <w:p w14:paraId="26B204BC" w14:textId="77777777" w:rsidR="008C6A2D" w:rsidRPr="004574F6" w:rsidRDefault="008C6A2D" w:rsidP="004574F6"/>
    <w:p w14:paraId="3577AFD8" w14:textId="77777777" w:rsidR="008C6A2D" w:rsidRPr="004574F6" w:rsidRDefault="008C6A2D" w:rsidP="004574F6">
      <w:pPr>
        <w:pStyle w:val="Ttulo3"/>
      </w:pPr>
      <w:bookmarkStart w:id="8" w:name="_Toc178186920"/>
      <w:r w:rsidRPr="004574F6">
        <w:t>c) Prórroga</w:t>
      </w:r>
      <w:bookmarkEnd w:id="8"/>
    </w:p>
    <w:p w14:paraId="4BA1AEE9" w14:textId="2B33BFBD" w:rsidR="008C6A2D" w:rsidRPr="004574F6" w:rsidRDefault="008C6A2D" w:rsidP="004574F6">
      <w:r w:rsidRPr="004574F6">
        <w:t xml:space="preserve">De las constancias que obran en el SAIMEX, se advierte que el </w:t>
      </w:r>
      <w:r w:rsidRPr="004574F6">
        <w:rPr>
          <w:b/>
        </w:rPr>
        <w:t>veinticuatro de abril de dos mil veinticuatro</w:t>
      </w:r>
      <w:r w:rsidRPr="004574F6">
        <w:t xml:space="preserve">, </w:t>
      </w:r>
      <w:r w:rsidRPr="004574F6">
        <w:rPr>
          <w:b/>
          <w:bCs/>
        </w:rPr>
        <w:t>EL SUJETO OBLIGADO</w:t>
      </w:r>
      <w:r w:rsidRPr="004574F6">
        <w:t xml:space="preserve"> notificó una prórroga de siete días para dar respuesta a la solicitud de información planteada por </w:t>
      </w:r>
      <w:r w:rsidRPr="004574F6">
        <w:rPr>
          <w:b/>
          <w:bCs/>
        </w:rPr>
        <w:t>LA PARTE RECURRENTE</w:t>
      </w:r>
      <w:r w:rsidRPr="004574F6">
        <w:t>, en los siguientes términos:</w:t>
      </w:r>
    </w:p>
    <w:p w14:paraId="14BFF863" w14:textId="77777777" w:rsidR="008C6A2D" w:rsidRPr="004574F6" w:rsidRDefault="008C6A2D" w:rsidP="004574F6"/>
    <w:p w14:paraId="50CD99F8" w14:textId="77777777" w:rsidR="008C6A2D" w:rsidRPr="004574F6" w:rsidRDefault="008C6A2D" w:rsidP="004574F6">
      <w:pPr>
        <w:pStyle w:val="Ttulo"/>
      </w:pPr>
      <w:r w:rsidRPr="004574F6">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3A8BC58" w14:textId="7A989B7A" w:rsidR="008C6A2D" w:rsidRPr="004574F6" w:rsidRDefault="008C6A2D" w:rsidP="004574F6">
      <w:pPr>
        <w:pStyle w:val="Ttulo"/>
      </w:pPr>
      <w:r w:rsidRPr="004574F6">
        <w:lastRenderedPageBreak/>
        <w:t>En virtud de la carga excesiva de trabajo, otorgo la prorroga con la finalidad de que en los siete días sea entregada la información solicitada.”</w:t>
      </w:r>
    </w:p>
    <w:p w14:paraId="1B4E2F4C" w14:textId="77777777" w:rsidR="008C6A2D" w:rsidRPr="004574F6" w:rsidRDefault="008C6A2D" w:rsidP="004574F6"/>
    <w:p w14:paraId="6022986B" w14:textId="77777777" w:rsidR="008C6A2D" w:rsidRPr="004574F6" w:rsidRDefault="008C6A2D" w:rsidP="004574F6">
      <w:r w:rsidRPr="004574F6">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4574F6">
        <w:rPr>
          <w:b/>
          <w:bCs/>
        </w:rPr>
        <w:t>EL SUJETO OBLIGADO</w:t>
      </w:r>
      <w:r w:rsidRPr="004574F6">
        <w:t xml:space="preserve"> haya acompañó a la solicitud de prórroga el acuerdo mediante el cual el Comité de Transparencia aprobó la ampliación de plazo para dar respuesta a la solicitud de información.</w:t>
      </w:r>
    </w:p>
    <w:p w14:paraId="2A3E3A08" w14:textId="77777777" w:rsidR="008C6A2D" w:rsidRPr="004574F6" w:rsidRDefault="008C6A2D" w:rsidP="004574F6"/>
    <w:p w14:paraId="3212BA4D" w14:textId="65DA37BD" w:rsidR="00664420" w:rsidRPr="004574F6" w:rsidRDefault="00FC4AB2" w:rsidP="004574F6">
      <w:pPr>
        <w:pStyle w:val="Ttulo3"/>
        <w:rPr>
          <w:rFonts w:eastAsia="Calibri"/>
          <w:lang w:eastAsia="en-US"/>
        </w:rPr>
      </w:pPr>
      <w:bookmarkStart w:id="9" w:name="_Toc178186921"/>
      <w:r w:rsidRPr="004574F6">
        <w:rPr>
          <w:lang w:val="es-ES"/>
        </w:rPr>
        <w:t>d</w:t>
      </w:r>
      <w:r w:rsidR="00E37A3F" w:rsidRPr="004574F6">
        <w:rPr>
          <w:lang w:val="es-ES"/>
        </w:rPr>
        <w:t xml:space="preserve">) </w:t>
      </w:r>
      <w:r w:rsidR="00664420" w:rsidRPr="004574F6">
        <w:rPr>
          <w:lang w:val="es-ES"/>
        </w:rPr>
        <w:t xml:space="preserve">Respuesta </w:t>
      </w:r>
      <w:r w:rsidR="00664420" w:rsidRPr="004574F6">
        <w:rPr>
          <w:rFonts w:eastAsia="Calibri"/>
          <w:lang w:eastAsia="en-US"/>
        </w:rPr>
        <w:t>del Sujeto Obligado</w:t>
      </w:r>
      <w:bookmarkEnd w:id="9"/>
    </w:p>
    <w:p w14:paraId="79199CC1" w14:textId="1DEAA377" w:rsidR="00664420" w:rsidRPr="004574F6" w:rsidRDefault="00664420" w:rsidP="004574F6">
      <w:pPr>
        <w:pStyle w:val="Sinespaciado"/>
        <w:spacing w:line="360" w:lineRule="auto"/>
        <w:rPr>
          <w:lang w:val="es-ES"/>
        </w:rPr>
      </w:pPr>
      <w:r w:rsidRPr="004574F6">
        <w:rPr>
          <w:lang w:val="es-ES"/>
        </w:rPr>
        <w:t xml:space="preserve">El </w:t>
      </w:r>
      <w:r w:rsidR="008C6A2D" w:rsidRPr="004574F6">
        <w:rPr>
          <w:b/>
          <w:bCs/>
          <w:lang w:val="es-ES"/>
        </w:rPr>
        <w:t xml:space="preserve">siete de mayo de </w:t>
      </w:r>
      <w:r w:rsidR="00CB607E" w:rsidRPr="004574F6">
        <w:rPr>
          <w:b/>
          <w:bCs/>
          <w:lang w:val="es-ES"/>
        </w:rPr>
        <w:t>dos mil veinticuatro</w:t>
      </w:r>
      <w:r w:rsidRPr="004574F6">
        <w:rPr>
          <w:lang w:val="es-ES"/>
        </w:rPr>
        <w:t xml:space="preserve">, </w:t>
      </w:r>
      <w:r w:rsidR="00F07EE6" w:rsidRPr="004574F6">
        <w:rPr>
          <w:lang w:val="es-ES"/>
        </w:rPr>
        <w:t xml:space="preserve">el Titular de la Unidad de Transparencia del </w:t>
      </w:r>
      <w:r w:rsidR="00F07EE6" w:rsidRPr="004574F6">
        <w:rPr>
          <w:b/>
          <w:lang w:val="es-ES"/>
        </w:rPr>
        <w:t>SUJETO OBLIGADO</w:t>
      </w:r>
      <w:r w:rsidR="00F07EE6" w:rsidRPr="004574F6">
        <w:rPr>
          <w:lang w:val="es-ES"/>
        </w:rPr>
        <w:t xml:space="preserve"> notificó la siguiente respuesta a través del </w:t>
      </w:r>
      <w:r w:rsidRPr="004574F6">
        <w:rPr>
          <w:lang w:val="es-ES"/>
        </w:rPr>
        <w:t>SAIMEX</w:t>
      </w:r>
      <w:r w:rsidR="00F07EE6" w:rsidRPr="004574F6">
        <w:rPr>
          <w:lang w:val="es-ES"/>
        </w:rPr>
        <w:t>:</w:t>
      </w:r>
    </w:p>
    <w:p w14:paraId="669F7EFD" w14:textId="77777777" w:rsidR="00664420" w:rsidRPr="004574F6" w:rsidRDefault="00664420" w:rsidP="004574F6">
      <w:pPr>
        <w:tabs>
          <w:tab w:val="left" w:pos="4667"/>
        </w:tabs>
        <w:ind w:left="567" w:right="567"/>
        <w:rPr>
          <w:rFonts w:cs="Tahoma"/>
          <w:b/>
          <w:bCs/>
        </w:rPr>
      </w:pPr>
    </w:p>
    <w:p w14:paraId="2A1705A1" w14:textId="77777777" w:rsidR="008C6A2D" w:rsidRPr="004574F6" w:rsidRDefault="008C6A2D" w:rsidP="004574F6">
      <w:pPr>
        <w:autoSpaceDE w:val="0"/>
        <w:autoSpaceDN w:val="0"/>
        <w:adjustRightInd w:val="0"/>
        <w:ind w:left="851" w:right="822"/>
        <w:rPr>
          <w:rFonts w:cs="Tahoma"/>
          <w:bCs/>
          <w:i/>
          <w:iCs/>
          <w:szCs w:val="22"/>
          <w:lang w:val="es-ES"/>
        </w:rPr>
      </w:pPr>
      <w:r w:rsidRPr="004574F6">
        <w:rPr>
          <w:rFonts w:cs="Tahoma"/>
          <w:bCs/>
          <w:i/>
          <w:iCs/>
          <w:szCs w:val="22"/>
          <w:lang w:val="es-ES"/>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0064/DIFTLALNE/IP/2024, la que dice a la letra; “Atendiendo los principios de Ley de Protección de Datos y haciendo referencia a los datos personales que serán sometidos a tratamiento en todos los avisos de privacidad integral publicados en la página oficial del Sistema Municipal Dif de Tlalnepantla, solicitamos a través de esta plataforma </w:t>
      </w:r>
      <w:proofErr w:type="spellStart"/>
      <w:r w:rsidRPr="004574F6">
        <w:rPr>
          <w:rFonts w:cs="Tahoma"/>
          <w:bCs/>
          <w:i/>
          <w:iCs/>
          <w:szCs w:val="22"/>
          <w:lang w:val="es-ES"/>
        </w:rPr>
        <w:t>Saimex</w:t>
      </w:r>
      <w:proofErr w:type="spellEnd"/>
      <w:r w:rsidRPr="004574F6">
        <w:rPr>
          <w:rFonts w:cs="Tahoma"/>
          <w:bCs/>
          <w:i/>
          <w:iCs/>
          <w:szCs w:val="22"/>
          <w:lang w:val="es-ES"/>
        </w:rPr>
        <w:t xml:space="preserve">, las cedulas de bases de datos personales que refiere cada uno de los avisos de privacidad ya que la mayoría de los avisos contienen la leyenda “Los datos referidos en el proceso de Gestión, Trámite y </w:t>
      </w:r>
      <w:r w:rsidRPr="004574F6">
        <w:rPr>
          <w:rFonts w:cs="Tahoma"/>
          <w:bCs/>
          <w:i/>
          <w:iCs/>
          <w:szCs w:val="22"/>
          <w:lang w:val="es-ES"/>
        </w:rPr>
        <w:lastRenderedPageBreak/>
        <w:t xml:space="preserve">Entrega de Testamentos a Bajo Costo, mediante los cuales se obtiene su consentimiento tácito para el tratamiento de los datos personales en las finalidades previstas en el presente aviso de privacidad, en el momento que se pone a su disposición”. También solicitamos copia de todos los oficios firmados en este año y el anterior por la particular de la presidenta horaria Mari </w:t>
      </w:r>
      <w:proofErr w:type="spellStart"/>
      <w:r w:rsidRPr="004574F6">
        <w:rPr>
          <w:rFonts w:cs="Tahoma"/>
          <w:bCs/>
          <w:i/>
          <w:iCs/>
          <w:szCs w:val="22"/>
          <w:lang w:val="es-ES"/>
        </w:rPr>
        <w:t>Gomez</w:t>
      </w:r>
      <w:proofErr w:type="spellEnd"/>
      <w:r w:rsidRPr="004574F6">
        <w:rPr>
          <w:rFonts w:cs="Tahoma"/>
          <w:bCs/>
          <w:i/>
          <w:iCs/>
          <w:szCs w:val="22"/>
          <w:lang w:val="es-ES"/>
        </w:rPr>
        <w:t xml:space="preserve">.”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w:t>
      </w:r>
      <w:r w:rsidRPr="004574F6">
        <w:rPr>
          <w:rFonts w:cs="Tahoma"/>
          <w:bCs/>
          <w:i/>
          <w:iCs/>
          <w:szCs w:val="22"/>
          <w:lang w:val="es-ES"/>
        </w:rPr>
        <w:lastRenderedPageBreak/>
        <w:t>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Cedulas de bases de datos personales que refiere cada uno de los avisos de privacidad. 2.- Oficios firmados por la Particular de la Presidenta 3.- Acta de Comité de Transparencia.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39571379" w14:textId="77777777" w:rsidR="008C6A2D" w:rsidRPr="004574F6" w:rsidRDefault="008C6A2D" w:rsidP="004574F6">
      <w:pPr>
        <w:autoSpaceDE w:val="0"/>
        <w:autoSpaceDN w:val="0"/>
        <w:adjustRightInd w:val="0"/>
        <w:ind w:right="-28"/>
        <w:rPr>
          <w:rFonts w:cs="Tahoma"/>
          <w:bCs/>
          <w:szCs w:val="22"/>
          <w:lang w:val="es-ES"/>
        </w:rPr>
      </w:pPr>
    </w:p>
    <w:p w14:paraId="70920289" w14:textId="503FC435" w:rsidR="00664420" w:rsidRPr="004574F6" w:rsidRDefault="00F07EE6" w:rsidP="004574F6">
      <w:pPr>
        <w:autoSpaceDE w:val="0"/>
        <w:autoSpaceDN w:val="0"/>
        <w:adjustRightInd w:val="0"/>
        <w:ind w:right="-28"/>
        <w:rPr>
          <w:rFonts w:cs="Tahoma"/>
          <w:bCs/>
          <w:szCs w:val="22"/>
          <w:lang w:val="es-ES"/>
        </w:rPr>
      </w:pPr>
      <w:r w:rsidRPr="004574F6">
        <w:rPr>
          <w:rFonts w:cs="Tahoma"/>
          <w:bCs/>
          <w:szCs w:val="22"/>
          <w:lang w:val="es-ES"/>
        </w:rPr>
        <w:t xml:space="preserve">Asimismo, </w:t>
      </w:r>
      <w:r w:rsidRPr="004574F6">
        <w:rPr>
          <w:rFonts w:cs="Tahoma"/>
          <w:b/>
          <w:szCs w:val="22"/>
          <w:lang w:val="es-ES"/>
        </w:rPr>
        <w:t xml:space="preserve">EL SUJETO OBLIGADO </w:t>
      </w:r>
      <w:r w:rsidRPr="004574F6">
        <w:rPr>
          <w:rFonts w:cs="Tahoma"/>
          <w:bCs/>
          <w:szCs w:val="22"/>
          <w:lang w:val="es-ES"/>
        </w:rPr>
        <w:t>adjuntó a su respuesta los archivos electrónicos que se describen a continuación</w:t>
      </w:r>
      <w:r w:rsidR="00664420" w:rsidRPr="004574F6">
        <w:rPr>
          <w:rFonts w:cs="Tahoma"/>
          <w:bCs/>
          <w:szCs w:val="22"/>
          <w:lang w:val="es-ES"/>
        </w:rPr>
        <w:t>:</w:t>
      </w:r>
    </w:p>
    <w:p w14:paraId="2C78354F" w14:textId="77777777" w:rsidR="00664420" w:rsidRPr="004574F6" w:rsidRDefault="00664420" w:rsidP="004574F6">
      <w:pPr>
        <w:autoSpaceDE w:val="0"/>
        <w:autoSpaceDN w:val="0"/>
        <w:adjustRightInd w:val="0"/>
        <w:ind w:right="-28"/>
        <w:rPr>
          <w:rFonts w:cs="Tahoma"/>
          <w:bCs/>
          <w:szCs w:val="22"/>
          <w:lang w:val="es-ES"/>
        </w:rPr>
      </w:pPr>
    </w:p>
    <w:p w14:paraId="18890BFD" w14:textId="4AF5A013" w:rsidR="00DE1133" w:rsidRPr="004574F6" w:rsidRDefault="00284C6C" w:rsidP="004574F6">
      <w:pPr>
        <w:autoSpaceDE w:val="0"/>
        <w:autoSpaceDN w:val="0"/>
        <w:adjustRightInd w:val="0"/>
        <w:ind w:right="-28"/>
        <w:rPr>
          <w:rFonts w:cs="Tahoma"/>
          <w:bCs/>
          <w:szCs w:val="22"/>
          <w:lang w:val="es-ES"/>
        </w:rPr>
      </w:pPr>
      <w:r w:rsidRPr="004574F6">
        <w:rPr>
          <w:rFonts w:cs="Tahoma"/>
          <w:b/>
          <w:szCs w:val="22"/>
          <w:lang w:val="es-ES"/>
        </w:rPr>
        <w:lastRenderedPageBreak/>
        <w:t>-</w:t>
      </w:r>
      <w:r w:rsidR="00920B2F" w:rsidRPr="004574F6">
        <w:t xml:space="preserve"> </w:t>
      </w:r>
      <w:r w:rsidR="00920B2F" w:rsidRPr="004574F6">
        <w:rPr>
          <w:rFonts w:cs="Tahoma"/>
          <w:b/>
          <w:szCs w:val="22"/>
          <w:lang w:val="es-ES"/>
        </w:rPr>
        <w:t>3.RESPUESTA SAIMEX 0110 SECPART (1).</w:t>
      </w:r>
      <w:proofErr w:type="spellStart"/>
      <w:r w:rsidR="00920B2F" w:rsidRPr="004574F6">
        <w:rPr>
          <w:rFonts w:cs="Tahoma"/>
          <w:b/>
          <w:szCs w:val="22"/>
          <w:lang w:val="es-ES"/>
        </w:rPr>
        <w:t>pdf</w:t>
      </w:r>
      <w:proofErr w:type="spellEnd"/>
      <w:r w:rsidRPr="004574F6">
        <w:rPr>
          <w:rFonts w:cs="Tahoma"/>
          <w:b/>
          <w:szCs w:val="22"/>
          <w:lang w:val="es-ES"/>
        </w:rPr>
        <w:t xml:space="preserve">. – </w:t>
      </w:r>
      <w:r w:rsidRPr="004574F6">
        <w:rPr>
          <w:rFonts w:cs="Tahoma"/>
          <w:bCs/>
          <w:szCs w:val="22"/>
          <w:lang w:val="es-ES"/>
        </w:rPr>
        <w:t xml:space="preserve">Archivo que contiene </w:t>
      </w:r>
      <w:r w:rsidR="00920B2F" w:rsidRPr="004574F6">
        <w:rPr>
          <w:rFonts w:cs="Tahoma"/>
          <w:bCs/>
          <w:szCs w:val="22"/>
          <w:lang w:val="es-ES"/>
        </w:rPr>
        <w:t xml:space="preserve">oficio firmado por la Secretaría </w:t>
      </w:r>
      <w:r w:rsidR="00632F6B" w:rsidRPr="004574F6">
        <w:rPr>
          <w:rFonts w:cs="Tahoma"/>
          <w:bCs/>
          <w:szCs w:val="22"/>
          <w:lang w:val="es-ES"/>
        </w:rPr>
        <w:t>Particular de</w:t>
      </w:r>
      <w:r w:rsidR="00920B2F" w:rsidRPr="004574F6">
        <w:rPr>
          <w:rFonts w:cs="Tahoma"/>
          <w:bCs/>
          <w:szCs w:val="22"/>
          <w:lang w:val="es-ES"/>
        </w:rPr>
        <w:t xml:space="preserve"> la presidencia del Sistema Municipal DIF, mediante el cual solicita la intervención del Comité de Transparencia para efecto de que se apruebe la propuesta de clasificación parcial de la información como confidencial, relativa a los oficios emitidos por la secretaría particular de presidencia.</w:t>
      </w:r>
    </w:p>
    <w:p w14:paraId="416ECBE1" w14:textId="529059A5" w:rsidR="00284C6C" w:rsidRPr="004574F6" w:rsidRDefault="00284C6C" w:rsidP="004574F6">
      <w:pPr>
        <w:autoSpaceDE w:val="0"/>
        <w:autoSpaceDN w:val="0"/>
        <w:adjustRightInd w:val="0"/>
        <w:ind w:right="-28"/>
        <w:rPr>
          <w:rFonts w:cs="Tahoma"/>
          <w:bCs/>
          <w:szCs w:val="22"/>
          <w:lang w:val="es-ES"/>
        </w:rPr>
      </w:pPr>
    </w:p>
    <w:p w14:paraId="06CBDFCB" w14:textId="1CF4ECEC" w:rsidR="00284C6C" w:rsidRPr="004574F6" w:rsidRDefault="00920B2F" w:rsidP="004574F6">
      <w:pPr>
        <w:autoSpaceDE w:val="0"/>
        <w:autoSpaceDN w:val="0"/>
        <w:adjustRightInd w:val="0"/>
        <w:ind w:right="-28"/>
        <w:rPr>
          <w:rFonts w:cs="Tahoma"/>
          <w:bCs/>
          <w:szCs w:val="22"/>
          <w:lang w:val="es-ES"/>
        </w:rPr>
      </w:pPr>
      <w:r w:rsidRPr="004574F6">
        <w:rPr>
          <w:rFonts w:cs="Tahoma"/>
          <w:b/>
          <w:szCs w:val="22"/>
          <w:lang w:val="es-ES"/>
        </w:rPr>
        <w:t>-</w:t>
      </w:r>
      <w:r w:rsidRPr="004574F6">
        <w:t xml:space="preserve"> </w:t>
      </w:r>
      <w:r w:rsidRPr="004574F6">
        <w:rPr>
          <w:rFonts w:cs="Tahoma"/>
          <w:b/>
          <w:szCs w:val="22"/>
          <w:lang w:val="es-ES"/>
        </w:rPr>
        <w:t>Solicitud 64.pdf</w:t>
      </w:r>
      <w:r w:rsidR="00284C6C" w:rsidRPr="004574F6">
        <w:rPr>
          <w:rFonts w:cs="Tahoma"/>
          <w:b/>
          <w:szCs w:val="22"/>
          <w:lang w:val="es-ES"/>
        </w:rPr>
        <w:t xml:space="preserve">. </w:t>
      </w:r>
      <w:r w:rsidR="00CE377A" w:rsidRPr="004574F6">
        <w:rPr>
          <w:rFonts w:cs="Tahoma"/>
          <w:b/>
          <w:szCs w:val="22"/>
          <w:lang w:val="es-ES"/>
        </w:rPr>
        <w:t>–</w:t>
      </w:r>
      <w:r w:rsidR="00284C6C" w:rsidRPr="004574F6">
        <w:rPr>
          <w:rFonts w:cs="Tahoma"/>
          <w:b/>
          <w:szCs w:val="22"/>
          <w:lang w:val="es-ES"/>
        </w:rPr>
        <w:t xml:space="preserve"> </w:t>
      </w:r>
      <w:r w:rsidR="00CE377A" w:rsidRPr="004574F6">
        <w:rPr>
          <w:rFonts w:cs="Tahoma"/>
          <w:bCs/>
          <w:szCs w:val="22"/>
          <w:lang w:val="es-ES"/>
        </w:rPr>
        <w:t xml:space="preserve">Archivo que contiene </w:t>
      </w:r>
      <w:r w:rsidRPr="004574F6">
        <w:rPr>
          <w:rFonts w:cs="Tahoma"/>
          <w:bCs/>
          <w:szCs w:val="22"/>
          <w:lang w:val="es-ES"/>
        </w:rPr>
        <w:t xml:space="preserve">oficio firmado por el Titular de la Coordinación de Transparencia del DIF, mediante el cual hace del conocimiento del solicitante que entrega la siguiente información: </w:t>
      </w:r>
      <w:r w:rsidRPr="004574F6">
        <w:t>1.- Cedulas de bases de datos personales que refiere cada uno de los avisos de privacidad, 2.- Oficios firmados por la Particular de la Presidenta y 3.- Acta de Comité de Transparencia.</w:t>
      </w:r>
    </w:p>
    <w:p w14:paraId="0A99E8E6" w14:textId="4D8873B5" w:rsidR="00CE377A" w:rsidRPr="004574F6" w:rsidRDefault="00CE377A" w:rsidP="004574F6">
      <w:pPr>
        <w:autoSpaceDE w:val="0"/>
        <w:autoSpaceDN w:val="0"/>
        <w:adjustRightInd w:val="0"/>
        <w:ind w:right="-28"/>
        <w:rPr>
          <w:rFonts w:cs="Tahoma"/>
          <w:b/>
          <w:szCs w:val="22"/>
          <w:lang w:val="es-ES"/>
        </w:rPr>
      </w:pPr>
    </w:p>
    <w:p w14:paraId="06CBC169" w14:textId="11E217AF" w:rsidR="00CE377A" w:rsidRPr="004574F6" w:rsidRDefault="00920B2F" w:rsidP="004574F6">
      <w:pPr>
        <w:autoSpaceDE w:val="0"/>
        <w:autoSpaceDN w:val="0"/>
        <w:adjustRightInd w:val="0"/>
        <w:ind w:right="-28"/>
        <w:rPr>
          <w:rFonts w:cs="Tahoma"/>
          <w:bCs/>
          <w:szCs w:val="22"/>
          <w:lang w:val="es-ES"/>
        </w:rPr>
      </w:pPr>
      <w:r w:rsidRPr="004574F6">
        <w:rPr>
          <w:rFonts w:cs="Tahoma"/>
          <w:b/>
          <w:szCs w:val="22"/>
          <w:lang w:val="es-ES"/>
        </w:rPr>
        <w:t>-</w:t>
      </w:r>
      <w:r w:rsidRPr="004574F6">
        <w:t xml:space="preserve"> </w:t>
      </w:r>
      <w:r w:rsidRPr="004574F6">
        <w:rPr>
          <w:rFonts w:cs="Tahoma"/>
          <w:b/>
          <w:szCs w:val="22"/>
          <w:lang w:val="es-ES"/>
        </w:rPr>
        <w:t>4.VersionPublicaIP00110a (3).</w:t>
      </w:r>
      <w:proofErr w:type="spellStart"/>
      <w:r w:rsidRPr="004574F6">
        <w:rPr>
          <w:rFonts w:cs="Tahoma"/>
          <w:b/>
          <w:szCs w:val="22"/>
          <w:lang w:val="es-ES"/>
        </w:rPr>
        <w:t>pdf</w:t>
      </w:r>
      <w:proofErr w:type="spellEnd"/>
      <w:r w:rsidR="00CE377A" w:rsidRPr="004574F6">
        <w:rPr>
          <w:rFonts w:cs="Tahoma"/>
          <w:b/>
          <w:szCs w:val="22"/>
          <w:lang w:val="es-ES"/>
        </w:rPr>
        <w:t>.-</w:t>
      </w:r>
      <w:r w:rsidRPr="004574F6">
        <w:rPr>
          <w:rFonts w:cs="Tahoma"/>
          <w:bCs/>
          <w:szCs w:val="22"/>
          <w:lang w:val="es-ES"/>
        </w:rPr>
        <w:t xml:space="preserve"> Archivo que contiene </w:t>
      </w:r>
      <w:r w:rsidR="00DE65E8" w:rsidRPr="004574F6">
        <w:rPr>
          <w:rFonts w:cs="Tahoma"/>
          <w:bCs/>
          <w:szCs w:val="22"/>
          <w:lang w:val="es-ES"/>
        </w:rPr>
        <w:t xml:space="preserve">los oficios firmados por </w:t>
      </w:r>
      <w:r w:rsidR="00DE65E8" w:rsidRPr="004574F6">
        <w:t>la secretaria particular de la presidenta en la temporalidad de 2023.</w:t>
      </w:r>
    </w:p>
    <w:p w14:paraId="777342F0" w14:textId="1BDBEA46" w:rsidR="00CE377A" w:rsidRPr="004574F6" w:rsidRDefault="00CE377A" w:rsidP="004574F6">
      <w:pPr>
        <w:autoSpaceDE w:val="0"/>
        <w:autoSpaceDN w:val="0"/>
        <w:adjustRightInd w:val="0"/>
        <w:ind w:right="-28"/>
        <w:rPr>
          <w:rFonts w:cs="Tahoma"/>
          <w:bCs/>
          <w:szCs w:val="22"/>
          <w:lang w:val="es-ES"/>
        </w:rPr>
      </w:pPr>
    </w:p>
    <w:p w14:paraId="5EB74749" w14:textId="4C0AD058" w:rsidR="00CE377A" w:rsidRPr="004574F6" w:rsidRDefault="00DE65E8" w:rsidP="004574F6">
      <w:pPr>
        <w:autoSpaceDE w:val="0"/>
        <w:autoSpaceDN w:val="0"/>
        <w:adjustRightInd w:val="0"/>
        <w:ind w:right="-28"/>
        <w:rPr>
          <w:rFonts w:cs="Tahoma"/>
          <w:bCs/>
          <w:szCs w:val="22"/>
          <w:lang w:val="es-ES"/>
        </w:rPr>
      </w:pPr>
      <w:r w:rsidRPr="004574F6">
        <w:rPr>
          <w:rFonts w:cs="Tahoma"/>
          <w:b/>
          <w:szCs w:val="22"/>
          <w:lang w:val="es-ES"/>
        </w:rPr>
        <w:t>-</w:t>
      </w:r>
      <w:r w:rsidRPr="004574F6">
        <w:t xml:space="preserve"> </w:t>
      </w:r>
      <w:r w:rsidRPr="004574F6">
        <w:rPr>
          <w:rFonts w:cs="Tahoma"/>
          <w:b/>
          <w:szCs w:val="22"/>
          <w:lang w:val="es-ES"/>
        </w:rPr>
        <w:t xml:space="preserve">6.DecimaSeptimaSesionExtraordinaria (3).pdf </w:t>
      </w:r>
      <w:r w:rsidR="00CE377A" w:rsidRPr="004574F6">
        <w:rPr>
          <w:rFonts w:cs="Tahoma"/>
          <w:b/>
          <w:szCs w:val="22"/>
          <w:lang w:val="es-ES"/>
        </w:rPr>
        <w:t xml:space="preserve">- </w:t>
      </w:r>
      <w:r w:rsidRPr="004574F6">
        <w:rPr>
          <w:rFonts w:cs="Tahoma"/>
          <w:bCs/>
          <w:szCs w:val="22"/>
          <w:lang w:val="es-ES"/>
        </w:rPr>
        <w:t>Archivo que contiene el Acta del comité interno de transparencia correspondiente a la décima séptima sesión extraordinaria de fecha veintiocho de agosto de dos mil veintitrés, mediante la cual se pronuncia de diversa solicitud de información.</w:t>
      </w:r>
    </w:p>
    <w:p w14:paraId="49629248" w14:textId="6592B03E" w:rsidR="005F20F5" w:rsidRPr="004574F6" w:rsidRDefault="005F20F5" w:rsidP="004574F6">
      <w:pPr>
        <w:autoSpaceDE w:val="0"/>
        <w:autoSpaceDN w:val="0"/>
        <w:adjustRightInd w:val="0"/>
        <w:ind w:right="-28"/>
        <w:rPr>
          <w:rFonts w:cs="Tahoma"/>
          <w:bCs/>
          <w:szCs w:val="22"/>
          <w:lang w:val="es-ES"/>
        </w:rPr>
      </w:pPr>
    </w:p>
    <w:p w14:paraId="57E46C34" w14:textId="44258FAE" w:rsidR="00911302" w:rsidRPr="004574F6" w:rsidRDefault="005F20F5" w:rsidP="004574F6">
      <w:pPr>
        <w:autoSpaceDE w:val="0"/>
        <w:autoSpaceDN w:val="0"/>
        <w:adjustRightInd w:val="0"/>
        <w:ind w:right="-28"/>
      </w:pPr>
      <w:r w:rsidRPr="004574F6">
        <w:rPr>
          <w:rFonts w:cs="Tahoma"/>
          <w:b/>
          <w:szCs w:val="22"/>
          <w:lang w:val="es-ES"/>
        </w:rPr>
        <w:t>-</w:t>
      </w:r>
      <w:r w:rsidR="004D3DFE" w:rsidRPr="004574F6">
        <w:t xml:space="preserve"> </w:t>
      </w:r>
      <w:r w:rsidR="004D3DFE" w:rsidRPr="004574F6">
        <w:rPr>
          <w:rFonts w:cs="Tahoma"/>
          <w:b/>
          <w:szCs w:val="22"/>
          <w:lang w:val="es-ES"/>
        </w:rPr>
        <w:t>CBDP.zip</w:t>
      </w:r>
      <w:r w:rsidR="00911302" w:rsidRPr="004574F6">
        <w:rPr>
          <w:rFonts w:cs="Tahoma"/>
          <w:b/>
          <w:szCs w:val="22"/>
          <w:lang w:val="es-ES"/>
        </w:rPr>
        <w:t xml:space="preserve"> -</w:t>
      </w:r>
      <w:r w:rsidRPr="004574F6">
        <w:rPr>
          <w:rFonts w:cs="Tahoma"/>
          <w:b/>
          <w:szCs w:val="22"/>
          <w:lang w:val="es-ES"/>
        </w:rPr>
        <w:t xml:space="preserve"> </w:t>
      </w:r>
      <w:r w:rsidR="00911302" w:rsidRPr="004574F6">
        <w:rPr>
          <w:rFonts w:cs="Tahoma"/>
          <w:bCs/>
          <w:szCs w:val="22"/>
          <w:lang w:val="es-ES"/>
        </w:rPr>
        <w:t>Archivo que contiene la r</w:t>
      </w:r>
      <w:r w:rsidR="00911302" w:rsidRPr="004574F6">
        <w:rPr>
          <w:bCs/>
        </w:rPr>
        <w:t>elación</w:t>
      </w:r>
      <w:r w:rsidR="00911302" w:rsidRPr="004574F6">
        <w:t xml:space="preserve"> de Cedulas de Bases de Datos Personales del Sistema Municipal DIF de Tlalnepantla de Baz 2023.</w:t>
      </w:r>
    </w:p>
    <w:p w14:paraId="106D6D1D" w14:textId="50FFA23D" w:rsidR="00911302" w:rsidRPr="004574F6" w:rsidRDefault="00911302" w:rsidP="004574F6">
      <w:pPr>
        <w:autoSpaceDE w:val="0"/>
        <w:autoSpaceDN w:val="0"/>
        <w:adjustRightInd w:val="0"/>
        <w:ind w:right="-28"/>
      </w:pPr>
    </w:p>
    <w:p w14:paraId="5A5DAB9E" w14:textId="77777777" w:rsidR="00E37A3F" w:rsidRPr="004574F6" w:rsidRDefault="00E37A3F" w:rsidP="004574F6">
      <w:pPr>
        <w:pStyle w:val="Ttulo2"/>
        <w:jc w:val="left"/>
      </w:pPr>
      <w:bookmarkStart w:id="10" w:name="_Toc178186922"/>
      <w:r w:rsidRPr="004574F6">
        <w:lastRenderedPageBreak/>
        <w:t>DEL RECURSO DE REVISIÓN</w:t>
      </w:r>
      <w:bookmarkEnd w:id="10"/>
    </w:p>
    <w:p w14:paraId="0B17CD08" w14:textId="77777777" w:rsidR="00664420" w:rsidRPr="004574F6" w:rsidRDefault="00664420" w:rsidP="004574F6">
      <w:pPr>
        <w:autoSpaceDE w:val="0"/>
        <w:autoSpaceDN w:val="0"/>
        <w:adjustRightInd w:val="0"/>
        <w:ind w:right="-28"/>
        <w:rPr>
          <w:rFonts w:cs="Tahoma"/>
          <w:bCs/>
          <w:szCs w:val="22"/>
          <w:lang w:val="es-ES"/>
        </w:rPr>
      </w:pPr>
    </w:p>
    <w:p w14:paraId="2B216813" w14:textId="61ADBB2B" w:rsidR="00664420" w:rsidRPr="004574F6" w:rsidRDefault="006E25BC" w:rsidP="004574F6">
      <w:pPr>
        <w:pStyle w:val="Ttulo3"/>
      </w:pPr>
      <w:bookmarkStart w:id="11" w:name="_Toc178186923"/>
      <w:r w:rsidRPr="004574F6">
        <w:rPr>
          <w:szCs w:val="32"/>
        </w:rPr>
        <w:t>a)</w:t>
      </w:r>
      <w:r w:rsidRPr="004574F6">
        <w:t xml:space="preserve"> </w:t>
      </w:r>
      <w:r w:rsidR="00664420" w:rsidRPr="004574F6">
        <w:t>Interposición del Recurso de Revisión</w:t>
      </w:r>
      <w:bookmarkEnd w:id="11"/>
    </w:p>
    <w:p w14:paraId="6279C622" w14:textId="665765C8" w:rsidR="00664420" w:rsidRPr="004574F6" w:rsidRDefault="00664420" w:rsidP="004574F6">
      <w:pPr>
        <w:autoSpaceDE w:val="0"/>
        <w:autoSpaceDN w:val="0"/>
        <w:adjustRightInd w:val="0"/>
        <w:ind w:right="-28"/>
        <w:rPr>
          <w:rFonts w:cs="Tahoma"/>
          <w:szCs w:val="22"/>
        </w:rPr>
      </w:pPr>
      <w:r w:rsidRPr="004574F6">
        <w:rPr>
          <w:rFonts w:cs="Tahoma"/>
          <w:szCs w:val="22"/>
        </w:rPr>
        <w:t xml:space="preserve">El </w:t>
      </w:r>
      <w:r w:rsidR="004412FC" w:rsidRPr="004574F6">
        <w:rPr>
          <w:rFonts w:cs="Tahoma"/>
          <w:b/>
          <w:bCs/>
          <w:szCs w:val="22"/>
        </w:rPr>
        <w:t>veintiuno de mayo</w:t>
      </w:r>
      <w:r w:rsidR="00F24952" w:rsidRPr="004574F6">
        <w:rPr>
          <w:rFonts w:cs="Tahoma"/>
          <w:b/>
          <w:bCs/>
          <w:szCs w:val="22"/>
        </w:rPr>
        <w:t xml:space="preserve"> de dos mil veinticuatro,</w:t>
      </w:r>
      <w:r w:rsidRPr="004574F6">
        <w:rPr>
          <w:rFonts w:cs="Tahoma"/>
          <w:szCs w:val="22"/>
        </w:rPr>
        <w:t xml:space="preserve"> </w:t>
      </w:r>
      <w:r w:rsidR="00F75D23" w:rsidRPr="004574F6">
        <w:rPr>
          <w:rFonts w:cs="Tahoma"/>
          <w:b/>
          <w:bCs/>
          <w:szCs w:val="22"/>
        </w:rPr>
        <w:t>LA PARTE RECURRENTE</w:t>
      </w:r>
      <w:r w:rsidR="00F75D23" w:rsidRPr="004574F6">
        <w:rPr>
          <w:rFonts w:cs="Tahoma"/>
          <w:szCs w:val="22"/>
        </w:rPr>
        <w:t xml:space="preserve"> interpuso el recurso de revisión en contra de la respuesta emitida por el </w:t>
      </w:r>
      <w:r w:rsidR="00F75D23" w:rsidRPr="004574F6">
        <w:rPr>
          <w:rFonts w:cs="Tahoma"/>
          <w:b/>
          <w:bCs/>
          <w:szCs w:val="22"/>
        </w:rPr>
        <w:t>SUJETO OBLIGADO</w:t>
      </w:r>
      <w:r w:rsidR="00953430" w:rsidRPr="004574F6">
        <w:rPr>
          <w:rFonts w:cs="Tahoma"/>
          <w:szCs w:val="22"/>
        </w:rPr>
        <w:t xml:space="preserve">, mismo que fue registrado en el SAIMEX con el número de expediente </w:t>
      </w:r>
      <w:r w:rsidR="004412FC" w:rsidRPr="004574F6">
        <w:rPr>
          <w:rFonts w:eastAsia="Calibri" w:cs="Tahoma"/>
          <w:b/>
          <w:szCs w:val="22"/>
          <w:lang w:eastAsia="en-US"/>
        </w:rPr>
        <w:t>03212</w:t>
      </w:r>
      <w:r w:rsidR="00F24952" w:rsidRPr="004574F6">
        <w:rPr>
          <w:rFonts w:eastAsia="Calibri" w:cs="Tahoma"/>
          <w:b/>
          <w:szCs w:val="22"/>
          <w:lang w:eastAsia="en-US"/>
        </w:rPr>
        <w:t>/INFOEM/IP/RR/2024</w:t>
      </w:r>
      <w:r w:rsidR="00953430" w:rsidRPr="004574F6">
        <w:rPr>
          <w:rFonts w:cs="Tahoma"/>
          <w:szCs w:val="22"/>
        </w:rPr>
        <w:t xml:space="preserve"> y en el cual manifiesta lo siguiente</w:t>
      </w:r>
      <w:r w:rsidRPr="004574F6">
        <w:rPr>
          <w:rFonts w:cs="Tahoma"/>
          <w:szCs w:val="22"/>
        </w:rPr>
        <w:t>:</w:t>
      </w:r>
    </w:p>
    <w:p w14:paraId="74B30008" w14:textId="77777777" w:rsidR="00664420" w:rsidRPr="004574F6" w:rsidRDefault="00664420" w:rsidP="004574F6">
      <w:pPr>
        <w:tabs>
          <w:tab w:val="left" w:pos="4667"/>
        </w:tabs>
        <w:ind w:right="539"/>
        <w:rPr>
          <w:rFonts w:cs="Tahoma"/>
          <w:szCs w:val="22"/>
        </w:rPr>
      </w:pPr>
    </w:p>
    <w:p w14:paraId="12153283" w14:textId="77777777" w:rsidR="00664420" w:rsidRPr="004574F6" w:rsidRDefault="00664420" w:rsidP="004574F6">
      <w:pPr>
        <w:tabs>
          <w:tab w:val="left" w:pos="4667"/>
        </w:tabs>
        <w:ind w:left="567" w:right="539"/>
        <w:rPr>
          <w:rFonts w:cs="Tahoma"/>
          <w:b/>
          <w:iCs/>
        </w:rPr>
      </w:pPr>
      <w:r w:rsidRPr="004574F6">
        <w:rPr>
          <w:rFonts w:cs="Tahoma"/>
          <w:b/>
          <w:iCs/>
        </w:rPr>
        <w:t>ACTO IMPUGNADO</w:t>
      </w:r>
      <w:r w:rsidRPr="004574F6">
        <w:rPr>
          <w:rFonts w:cs="Tahoma"/>
          <w:b/>
          <w:iCs/>
        </w:rPr>
        <w:tab/>
      </w:r>
    </w:p>
    <w:p w14:paraId="523F8BF4" w14:textId="1F1491F1" w:rsidR="00664420" w:rsidRPr="004574F6" w:rsidRDefault="00F24952" w:rsidP="004574F6">
      <w:pPr>
        <w:tabs>
          <w:tab w:val="left" w:pos="4667"/>
        </w:tabs>
        <w:ind w:left="567" w:right="539"/>
        <w:rPr>
          <w:rFonts w:cs="Tahoma"/>
          <w:bCs/>
          <w:i/>
        </w:rPr>
      </w:pPr>
      <w:r w:rsidRPr="004574F6">
        <w:rPr>
          <w:rFonts w:cs="Tahoma"/>
          <w:bCs/>
          <w:i/>
        </w:rPr>
        <w:t>“</w:t>
      </w:r>
      <w:r w:rsidR="004412FC" w:rsidRPr="004574F6">
        <w:rPr>
          <w:rFonts w:cs="Tahoma"/>
          <w:bCs/>
          <w:i/>
        </w:rPr>
        <w:t>La entrega de la información incompleta.</w:t>
      </w:r>
      <w:r w:rsidRPr="004574F6">
        <w:rPr>
          <w:rFonts w:cs="Tahoma"/>
          <w:bCs/>
          <w:i/>
        </w:rPr>
        <w:t>”</w:t>
      </w:r>
    </w:p>
    <w:p w14:paraId="6AE8EA9A" w14:textId="77777777" w:rsidR="00664420" w:rsidRPr="004574F6" w:rsidRDefault="00664420" w:rsidP="004574F6">
      <w:pPr>
        <w:tabs>
          <w:tab w:val="left" w:pos="4667"/>
        </w:tabs>
        <w:ind w:left="567" w:right="539"/>
        <w:rPr>
          <w:rFonts w:cs="Tahoma"/>
          <w:bCs/>
          <w:i/>
        </w:rPr>
      </w:pPr>
    </w:p>
    <w:p w14:paraId="047D036B" w14:textId="7D2649AF" w:rsidR="00664420" w:rsidRPr="004574F6" w:rsidRDefault="00664420" w:rsidP="004574F6">
      <w:pPr>
        <w:tabs>
          <w:tab w:val="left" w:pos="4667"/>
        </w:tabs>
        <w:ind w:left="567" w:right="539"/>
        <w:rPr>
          <w:rFonts w:cs="Tahoma"/>
          <w:b/>
          <w:iCs/>
        </w:rPr>
      </w:pPr>
      <w:r w:rsidRPr="004574F6">
        <w:rPr>
          <w:rFonts w:cs="Tahoma"/>
          <w:b/>
          <w:iCs/>
        </w:rPr>
        <w:t>RAZONES O MOTIVOS DE LA INCONFORMIDAD</w:t>
      </w:r>
      <w:r w:rsidRPr="004574F6">
        <w:rPr>
          <w:rFonts w:cs="Tahoma"/>
          <w:b/>
          <w:iCs/>
        </w:rPr>
        <w:tab/>
      </w:r>
    </w:p>
    <w:p w14:paraId="40E5BC74" w14:textId="77777777" w:rsidR="00F24952" w:rsidRPr="004574F6" w:rsidRDefault="00F24952" w:rsidP="004574F6">
      <w:pPr>
        <w:tabs>
          <w:tab w:val="left" w:pos="4667"/>
        </w:tabs>
        <w:ind w:left="567" w:right="539"/>
        <w:rPr>
          <w:rFonts w:cs="Tahoma"/>
          <w:b/>
          <w:iCs/>
        </w:rPr>
      </w:pPr>
    </w:p>
    <w:p w14:paraId="1DAE2563" w14:textId="0B098354" w:rsidR="00953430" w:rsidRPr="004574F6" w:rsidRDefault="00F24952" w:rsidP="004574F6">
      <w:pPr>
        <w:tabs>
          <w:tab w:val="left" w:pos="4667"/>
        </w:tabs>
        <w:ind w:left="567" w:right="539"/>
        <w:rPr>
          <w:rFonts w:cs="Tahoma"/>
          <w:bCs/>
          <w:i/>
        </w:rPr>
      </w:pPr>
      <w:r w:rsidRPr="004574F6">
        <w:rPr>
          <w:rFonts w:cs="Tahoma"/>
          <w:bCs/>
          <w:i/>
        </w:rPr>
        <w:t>“</w:t>
      </w:r>
      <w:r w:rsidR="004412FC" w:rsidRPr="004574F6">
        <w:rPr>
          <w:rFonts w:cs="Tahoma"/>
          <w:bCs/>
          <w:i/>
        </w:rPr>
        <w:t xml:space="preserve">Con fundamento en el artículo 179 de la Ley de Transparencia y Acceso a la Información Pública del Estado de México y Municipios en su fracción V. Toda vez que el sujeto obligado denominado SMDIF de Tlalnepantla de Baz, realizo una entrega de información incompleta. Solicitamos a través de la plataforma Saimex, las cedulas de bases de datos personales que refieren cada uno de los Avisos de Privacidad, debido a que en su mayoría contenían la leyenda; “Los datos referidos en el proceso de Gestión, Trámite y Entrega de Testamentos a Bajo Costo, mediante los cuales se obtiene su consentimiento tácito para el tratamiento de los datos personales en las finalidades previstas en el presente aviso de privacidad, en el momento que se pone a su disposición”. Así misma copia de los oficios firmados en este año (2024) y el anterior (2023) por la particular de la presidenta honoraria Mari Gómez. En respuesta recibimos zip (CBDP) y la versión publica de los oficios </w:t>
      </w:r>
      <w:r w:rsidR="004412FC" w:rsidRPr="004574F6">
        <w:rPr>
          <w:rFonts w:cs="Tahoma"/>
          <w:bCs/>
          <w:i/>
        </w:rPr>
        <w:lastRenderedPageBreak/>
        <w:t>firmados por la particular por el periodo del 5 de enero al 7 de agosto de 2023. Por esta versión publica anexan una sesión de comité de transparencia que no corresponde al periodo de respuesta de la presente solicitud de información. Falta información por el complemento del mes de agosto, así como del mes de septiembre, octubre, noviembre, diciembre de 2023, enero, febrero, marzo de 2024. Es claro que esta información no requería de una ampliación de plazo, tal y como fue solicitada. Cabe destacar que faltan Avisos de Privacidad que no están publicados, así como cedulas de bases de datos personales. Se precisa que, en la solicitud de prórroga de la información de esta solicitud, el sujeto obligado no anexa la sesión de comité de transparencia que refieren en el acuse de prórroga de la plataforma Saimex, tampoco se presenta la documental en la que se pueda ver los argumentos, fundamentos y motivación de la unidad administrativa que solicitó la ampliación del plazo.</w:t>
      </w:r>
      <w:r w:rsidRPr="004574F6">
        <w:rPr>
          <w:rFonts w:cs="Tahoma"/>
          <w:bCs/>
          <w:i/>
        </w:rPr>
        <w:t>”</w:t>
      </w:r>
    </w:p>
    <w:p w14:paraId="48FE75EA" w14:textId="77777777" w:rsidR="00664420" w:rsidRPr="004574F6" w:rsidRDefault="00664420" w:rsidP="004574F6">
      <w:pPr>
        <w:tabs>
          <w:tab w:val="left" w:pos="4667"/>
        </w:tabs>
        <w:ind w:right="567"/>
        <w:rPr>
          <w:rFonts w:cs="Tahoma"/>
          <w:b/>
          <w:bCs/>
        </w:rPr>
      </w:pPr>
    </w:p>
    <w:p w14:paraId="6804DEF1" w14:textId="3C4F6CB5" w:rsidR="00664420" w:rsidRPr="004574F6" w:rsidRDefault="006E25BC" w:rsidP="004574F6">
      <w:pPr>
        <w:pStyle w:val="Ttulo3"/>
      </w:pPr>
      <w:bookmarkStart w:id="12" w:name="_Toc178186924"/>
      <w:r w:rsidRPr="004574F6">
        <w:t>b</w:t>
      </w:r>
      <w:r w:rsidR="00664420" w:rsidRPr="004574F6">
        <w:t>) Turno del Recurso de Revisión</w:t>
      </w:r>
      <w:bookmarkEnd w:id="12"/>
    </w:p>
    <w:p w14:paraId="1173671B" w14:textId="6BC10587" w:rsidR="00C72DAA" w:rsidRPr="004574F6" w:rsidRDefault="00C72DAA" w:rsidP="004574F6">
      <w:r w:rsidRPr="004574F6">
        <w:t>Con fundamento en el artículo 185, fracción I de la Ley de Transparencia y Acceso a la Información Pública del Estado de México y Municipios, el</w:t>
      </w:r>
      <w:r w:rsidRPr="004574F6">
        <w:rPr>
          <w:b/>
          <w:bCs/>
        </w:rPr>
        <w:t xml:space="preserve"> </w:t>
      </w:r>
      <w:r w:rsidR="004412FC" w:rsidRPr="004574F6">
        <w:rPr>
          <w:b/>
          <w:bCs/>
        </w:rPr>
        <w:t>veintiuno de mayo</w:t>
      </w:r>
      <w:r w:rsidR="00F24952" w:rsidRPr="004574F6">
        <w:rPr>
          <w:b/>
          <w:bCs/>
        </w:rPr>
        <w:t xml:space="preserve"> de dos mil veinticuatro,</w:t>
      </w:r>
      <w:r w:rsidRPr="004574F6">
        <w:t xml:space="preserve"> se turnó el recurso de revisión a través del</w:t>
      </w:r>
      <w:r w:rsidRPr="004574F6">
        <w:rPr>
          <w:rFonts w:eastAsia="Arial Unicode MS"/>
        </w:rPr>
        <w:t xml:space="preserve"> </w:t>
      </w:r>
      <w:r w:rsidRPr="004574F6">
        <w:rPr>
          <w:rFonts w:eastAsia="Arial Unicode MS"/>
          <w:bCs/>
        </w:rPr>
        <w:t>SAIMEX</w:t>
      </w:r>
      <w:r w:rsidRPr="004574F6">
        <w:t xml:space="preserve"> a la </w:t>
      </w:r>
      <w:r w:rsidRPr="004574F6">
        <w:rPr>
          <w:b/>
        </w:rPr>
        <w:t>Comisionada Sharon Cristina Morales Martínez</w:t>
      </w:r>
      <w:r w:rsidRPr="004574F6">
        <w:rPr>
          <w:bCs/>
        </w:rPr>
        <w:t xml:space="preserve">, </w:t>
      </w:r>
      <w:r w:rsidRPr="004574F6">
        <w:t xml:space="preserve">a efecto de decretar su admisión o desechamiento. </w:t>
      </w:r>
    </w:p>
    <w:p w14:paraId="18F305CB" w14:textId="77777777" w:rsidR="00664420" w:rsidRPr="004574F6" w:rsidRDefault="00664420" w:rsidP="004574F6">
      <w:pPr>
        <w:rPr>
          <w:rFonts w:eastAsia="Batang" w:cs="Tahoma"/>
          <w:bCs/>
          <w:szCs w:val="22"/>
        </w:rPr>
      </w:pPr>
    </w:p>
    <w:p w14:paraId="3E31EC2D" w14:textId="295256A1" w:rsidR="00664420" w:rsidRPr="004574F6" w:rsidRDefault="006E25BC" w:rsidP="004574F6">
      <w:pPr>
        <w:pStyle w:val="Ttulo3"/>
      </w:pPr>
      <w:bookmarkStart w:id="13" w:name="_Toc178186925"/>
      <w:r w:rsidRPr="004574F6">
        <w:t>c</w:t>
      </w:r>
      <w:r w:rsidR="00664420" w:rsidRPr="004574F6">
        <w:t>) Admisión del Recurso de Revisión</w:t>
      </w:r>
      <w:bookmarkEnd w:id="13"/>
    </w:p>
    <w:p w14:paraId="240447D5" w14:textId="2471C5EE" w:rsidR="000E09C4" w:rsidRPr="004574F6" w:rsidRDefault="000E09C4" w:rsidP="004574F6">
      <w:pPr>
        <w:rPr>
          <w:rFonts w:cs="Arial"/>
        </w:rPr>
      </w:pPr>
      <w:r w:rsidRPr="004574F6">
        <w:rPr>
          <w:rFonts w:cs="Arial"/>
        </w:rPr>
        <w:t xml:space="preserve">El </w:t>
      </w:r>
      <w:r w:rsidR="004412FC" w:rsidRPr="004574F6">
        <w:rPr>
          <w:rFonts w:eastAsia="Palatino Linotype" w:cs="Palatino Linotype"/>
          <w:b/>
        </w:rPr>
        <w:t xml:space="preserve">veintitrés de mayo </w:t>
      </w:r>
      <w:r w:rsidR="00F24952" w:rsidRPr="004574F6">
        <w:rPr>
          <w:rFonts w:eastAsia="Palatino Linotype" w:cs="Palatino Linotype"/>
          <w:b/>
        </w:rPr>
        <w:t>de dos mil veinticuatro,</w:t>
      </w:r>
      <w:r w:rsidRPr="004574F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4574F6">
        <w:rPr>
          <w:rFonts w:cs="Arial"/>
        </w:rPr>
        <w:lastRenderedPageBreak/>
        <w:t>conforme a lo dispuesto por el artículo 185</w:t>
      </w:r>
      <w:r w:rsidR="00865CF4" w:rsidRPr="004574F6">
        <w:rPr>
          <w:rFonts w:cs="Arial"/>
        </w:rPr>
        <w:t>, fracción II</w:t>
      </w:r>
      <w:r w:rsidRPr="004574F6">
        <w:rPr>
          <w:rFonts w:cs="Arial"/>
        </w:rPr>
        <w:t xml:space="preserve"> de la Ley de Transparencia y Acceso a la Información Pública del Estado de México y Municipios.</w:t>
      </w:r>
    </w:p>
    <w:p w14:paraId="3916E33D" w14:textId="77777777" w:rsidR="004412FC" w:rsidRPr="004574F6" w:rsidRDefault="004412FC" w:rsidP="004574F6">
      <w:pPr>
        <w:rPr>
          <w:rFonts w:cs="Tahoma"/>
          <w:b/>
          <w:szCs w:val="22"/>
        </w:rPr>
      </w:pPr>
    </w:p>
    <w:p w14:paraId="3E18675D" w14:textId="357E1DC8" w:rsidR="004412FC" w:rsidRPr="004574F6" w:rsidRDefault="00FC4AB2" w:rsidP="004574F6">
      <w:pPr>
        <w:pStyle w:val="Ttulo3"/>
      </w:pPr>
      <w:bookmarkStart w:id="14" w:name="_Toc178186926"/>
      <w:r w:rsidRPr="004574F6">
        <w:t>d</w:t>
      </w:r>
      <w:r w:rsidR="004412FC" w:rsidRPr="004574F6">
        <w:t>) Informe Justificado del Sujeto Obligado</w:t>
      </w:r>
      <w:bookmarkEnd w:id="14"/>
    </w:p>
    <w:p w14:paraId="1D62D8AF" w14:textId="23C67E5F" w:rsidR="004412FC" w:rsidRPr="004574F6" w:rsidRDefault="004412FC" w:rsidP="004574F6">
      <w:pPr>
        <w:rPr>
          <w:rFonts w:eastAsia="Calibri" w:cs="Tahoma"/>
          <w:szCs w:val="22"/>
          <w:lang w:eastAsia="en-US"/>
        </w:rPr>
      </w:pPr>
      <w:r w:rsidRPr="004574F6">
        <w:rPr>
          <w:rFonts w:cs="Tahoma"/>
          <w:bCs/>
          <w:szCs w:val="24"/>
        </w:rPr>
        <w:t xml:space="preserve">El </w:t>
      </w:r>
      <w:r w:rsidR="00593093" w:rsidRPr="004574F6">
        <w:rPr>
          <w:rFonts w:cs="Tahoma"/>
          <w:b/>
          <w:szCs w:val="24"/>
        </w:rPr>
        <w:t>veintiocho de mayo de dos mil veinticuatro,</w:t>
      </w:r>
      <w:r w:rsidRPr="004574F6">
        <w:rPr>
          <w:rFonts w:cs="Tahoma"/>
          <w:b/>
          <w:szCs w:val="24"/>
        </w:rPr>
        <w:t xml:space="preserve"> EL SUJETO OBLIGADO</w:t>
      </w:r>
      <w:r w:rsidRPr="004574F6">
        <w:rPr>
          <w:rFonts w:cs="Tahoma"/>
          <w:bCs/>
          <w:szCs w:val="24"/>
        </w:rPr>
        <w:t xml:space="preserve"> rindió su informe justificado a través del SAIMEX, </w:t>
      </w:r>
      <w:r w:rsidRPr="004574F6">
        <w:rPr>
          <w:rFonts w:eastAsia="Calibri" w:cs="Tahoma"/>
          <w:szCs w:val="22"/>
          <w:lang w:eastAsia="en-US"/>
        </w:rPr>
        <w:t xml:space="preserve">en el cual </w:t>
      </w:r>
      <w:r w:rsidR="00B552AA" w:rsidRPr="004574F6">
        <w:rPr>
          <w:rFonts w:eastAsia="Calibri" w:cs="Tahoma"/>
          <w:szCs w:val="22"/>
          <w:lang w:eastAsia="en-US"/>
        </w:rPr>
        <w:t>entregó el siguiente archivo</w:t>
      </w:r>
      <w:r w:rsidRPr="004574F6">
        <w:rPr>
          <w:rFonts w:eastAsia="Calibri" w:cs="Tahoma"/>
          <w:szCs w:val="22"/>
          <w:lang w:eastAsia="en-US"/>
        </w:rPr>
        <w:t>:</w:t>
      </w:r>
    </w:p>
    <w:p w14:paraId="7C8A6419" w14:textId="77777777" w:rsidR="00593093" w:rsidRPr="004574F6" w:rsidRDefault="00593093" w:rsidP="004574F6">
      <w:pPr>
        <w:rPr>
          <w:rFonts w:eastAsia="Calibri" w:cs="Tahoma"/>
          <w:szCs w:val="22"/>
          <w:lang w:eastAsia="en-US"/>
        </w:rPr>
      </w:pPr>
    </w:p>
    <w:p w14:paraId="642F0280" w14:textId="21793B7B" w:rsidR="00593093" w:rsidRPr="004574F6" w:rsidRDefault="00593093" w:rsidP="004574F6">
      <w:pPr>
        <w:rPr>
          <w:rFonts w:eastAsia="Calibri" w:cs="Tahoma"/>
          <w:szCs w:val="22"/>
          <w:lang w:eastAsia="en-US"/>
        </w:rPr>
      </w:pPr>
      <w:r w:rsidRPr="004574F6">
        <w:rPr>
          <w:rFonts w:eastAsia="Calibri" w:cs="Tahoma"/>
          <w:b/>
          <w:szCs w:val="22"/>
          <w:lang w:eastAsia="en-US"/>
        </w:rPr>
        <w:t xml:space="preserve">-ACTA OCTAVA SESIÓN EXTRAORDINARIA 2024.pdf.- </w:t>
      </w:r>
      <w:r w:rsidR="00B552AA" w:rsidRPr="004574F6">
        <w:rPr>
          <w:rFonts w:eastAsia="Calibri" w:cs="Tahoma"/>
          <w:szCs w:val="22"/>
          <w:lang w:eastAsia="en-US"/>
        </w:rPr>
        <w:t xml:space="preserve">El cual contiene </w:t>
      </w:r>
      <w:r w:rsidR="00CD290C" w:rsidRPr="004574F6">
        <w:rPr>
          <w:rFonts w:eastAsia="Calibri" w:cs="Tahoma"/>
          <w:szCs w:val="22"/>
          <w:lang w:eastAsia="en-US"/>
        </w:rPr>
        <w:t xml:space="preserve">el acta del comité de transparencia relativa a la octava sesión extraordinaria, donde se autoriza la </w:t>
      </w:r>
      <w:r w:rsidR="00104AFF" w:rsidRPr="004574F6">
        <w:rPr>
          <w:rFonts w:eastAsia="Calibri" w:cs="Tahoma"/>
          <w:szCs w:val="22"/>
          <w:lang w:eastAsia="en-US"/>
        </w:rPr>
        <w:t>prórroga</w:t>
      </w:r>
      <w:r w:rsidR="00CD290C" w:rsidRPr="004574F6">
        <w:rPr>
          <w:rFonts w:eastAsia="Calibri" w:cs="Tahoma"/>
          <w:szCs w:val="22"/>
          <w:lang w:eastAsia="en-US"/>
        </w:rPr>
        <w:t xml:space="preserve"> de siete días más para la entrega de información solicitada.</w:t>
      </w:r>
    </w:p>
    <w:p w14:paraId="4C0FE6A3" w14:textId="77777777" w:rsidR="004412FC" w:rsidRPr="004574F6" w:rsidRDefault="004412FC" w:rsidP="004574F6">
      <w:pPr>
        <w:rPr>
          <w:rFonts w:eastAsia="Calibri" w:cs="Tahoma"/>
          <w:szCs w:val="22"/>
          <w:lang w:eastAsia="en-US"/>
        </w:rPr>
      </w:pPr>
    </w:p>
    <w:p w14:paraId="190FE28B" w14:textId="00446C2D" w:rsidR="004412FC" w:rsidRPr="004574F6" w:rsidRDefault="004412FC" w:rsidP="004574F6">
      <w:pPr>
        <w:rPr>
          <w:rFonts w:cs="Tahoma"/>
          <w:bCs/>
          <w:szCs w:val="24"/>
        </w:rPr>
      </w:pPr>
      <w:r w:rsidRPr="004574F6">
        <w:rPr>
          <w:rFonts w:cs="Tahoma"/>
          <w:bCs/>
          <w:szCs w:val="24"/>
        </w:rPr>
        <w:t xml:space="preserve">Esta información fue puesta a la vista de </w:t>
      </w:r>
      <w:r w:rsidRPr="004574F6">
        <w:rPr>
          <w:rFonts w:cs="Tahoma"/>
          <w:b/>
          <w:szCs w:val="24"/>
        </w:rPr>
        <w:t xml:space="preserve">LA PARTE RECURRENTE </w:t>
      </w:r>
      <w:r w:rsidRPr="004574F6">
        <w:rPr>
          <w:rFonts w:cs="Tahoma"/>
          <w:bCs/>
          <w:szCs w:val="24"/>
        </w:rPr>
        <w:t xml:space="preserve">el </w:t>
      </w:r>
      <w:r w:rsidR="00EA3A6C" w:rsidRPr="004574F6">
        <w:rPr>
          <w:rFonts w:cs="Tahoma"/>
          <w:b/>
          <w:bCs/>
          <w:szCs w:val="24"/>
        </w:rPr>
        <w:t>once de septiembre de dos mil veinticuatro</w:t>
      </w:r>
      <w:r w:rsidRPr="004574F6">
        <w:rPr>
          <w:rFonts w:cs="Tahoma"/>
          <w:bCs/>
          <w:szCs w:val="24"/>
        </w:rPr>
        <w:t xml:space="preserve"> para que, en un plazo de tres días hábiles, manifestara lo que a su derecho conviniera, de conformidad con lo establecido en el </w:t>
      </w:r>
      <w:r w:rsidRPr="004574F6">
        <w:rPr>
          <w:rFonts w:cs="Arial"/>
        </w:rPr>
        <w:t>artículo 185, fracción III de la Ley de Transparencia y Acceso a la Información Pública del Estado de México y Municipios</w:t>
      </w:r>
      <w:r w:rsidRPr="004574F6">
        <w:rPr>
          <w:rFonts w:cs="Tahoma"/>
          <w:bCs/>
          <w:szCs w:val="24"/>
        </w:rPr>
        <w:t>.</w:t>
      </w:r>
    </w:p>
    <w:p w14:paraId="1172B47B" w14:textId="77777777" w:rsidR="004412FC" w:rsidRPr="004574F6" w:rsidRDefault="004412FC" w:rsidP="004574F6">
      <w:pPr>
        <w:ind w:right="539"/>
        <w:rPr>
          <w:rFonts w:cs="Tahoma"/>
          <w:bCs/>
          <w:szCs w:val="24"/>
        </w:rPr>
      </w:pPr>
    </w:p>
    <w:p w14:paraId="78829F2F" w14:textId="739A59B3" w:rsidR="004412FC" w:rsidRPr="004574F6" w:rsidRDefault="00EA3A6C" w:rsidP="004574F6">
      <w:pPr>
        <w:pStyle w:val="Ttulo3"/>
        <w:rPr>
          <w:lang w:val="es-ES"/>
        </w:rPr>
      </w:pPr>
      <w:bookmarkStart w:id="15" w:name="_Toc178186927"/>
      <w:r w:rsidRPr="004574F6">
        <w:rPr>
          <w:rFonts w:eastAsia="Calibri"/>
          <w:bCs/>
          <w:lang w:eastAsia="en-US"/>
        </w:rPr>
        <w:t>e</w:t>
      </w:r>
      <w:r w:rsidR="004412FC" w:rsidRPr="004574F6">
        <w:rPr>
          <w:rFonts w:eastAsia="Calibri"/>
          <w:bCs/>
          <w:lang w:eastAsia="en-US"/>
        </w:rPr>
        <w:t>)</w:t>
      </w:r>
      <w:r w:rsidR="004412FC" w:rsidRPr="004574F6">
        <w:t xml:space="preserve"> </w:t>
      </w:r>
      <w:r w:rsidR="004412FC" w:rsidRPr="004574F6">
        <w:rPr>
          <w:lang w:val="es-ES"/>
        </w:rPr>
        <w:t>Manifestaciones de la Parte Recurrente</w:t>
      </w:r>
      <w:bookmarkEnd w:id="15"/>
    </w:p>
    <w:p w14:paraId="76E5861F" w14:textId="1C02D035" w:rsidR="004412FC" w:rsidRPr="004574F6" w:rsidRDefault="004412FC" w:rsidP="004574F6">
      <w:pPr>
        <w:rPr>
          <w:rFonts w:cs="Tahoma"/>
          <w:bCs/>
          <w:szCs w:val="24"/>
        </w:rPr>
      </w:pPr>
      <w:r w:rsidRPr="004574F6">
        <w:rPr>
          <w:rFonts w:cs="Tahoma"/>
          <w:b/>
          <w:szCs w:val="24"/>
        </w:rPr>
        <w:t xml:space="preserve">LA PARTE RECURRENTE </w:t>
      </w:r>
      <w:r w:rsidRPr="004574F6">
        <w:rPr>
          <w:rFonts w:cs="Tahoma"/>
          <w:bCs/>
          <w:szCs w:val="24"/>
        </w:rPr>
        <w:t xml:space="preserve">remitió sus manifestaciones a través del SAIMEX el </w:t>
      </w:r>
      <w:r w:rsidR="00EA3A6C" w:rsidRPr="004574F6">
        <w:rPr>
          <w:rFonts w:cs="Tahoma"/>
          <w:b/>
          <w:bCs/>
          <w:szCs w:val="24"/>
        </w:rPr>
        <w:t>tres de junio de dos mil veinticuatro</w:t>
      </w:r>
      <w:r w:rsidRPr="004574F6">
        <w:rPr>
          <w:rFonts w:cs="Tahoma"/>
          <w:bCs/>
          <w:szCs w:val="24"/>
        </w:rPr>
        <w:t xml:space="preserve">, en las cuales </w:t>
      </w:r>
      <w:r w:rsidR="00EA3A6C" w:rsidRPr="004574F6">
        <w:rPr>
          <w:rFonts w:cs="Tahoma"/>
          <w:bCs/>
          <w:szCs w:val="24"/>
        </w:rPr>
        <w:t>medularmente ratificó sus motivos de inconformidad.</w:t>
      </w:r>
    </w:p>
    <w:p w14:paraId="31AB070B" w14:textId="77777777" w:rsidR="00EA3A6C" w:rsidRPr="004574F6" w:rsidRDefault="00EA3A6C" w:rsidP="004574F6">
      <w:pPr>
        <w:rPr>
          <w:rFonts w:cs="Tahoma"/>
          <w:bCs/>
          <w:szCs w:val="24"/>
        </w:rPr>
      </w:pPr>
    </w:p>
    <w:p w14:paraId="093A079E" w14:textId="0F2BD825" w:rsidR="00EA3A6C" w:rsidRPr="004574F6" w:rsidRDefault="00FC4AB2" w:rsidP="004574F6">
      <w:pPr>
        <w:pStyle w:val="Ttulo3"/>
        <w:rPr>
          <w:rFonts w:eastAsia="Calibri"/>
        </w:rPr>
      </w:pPr>
      <w:bookmarkStart w:id="16" w:name="_Toc178186928"/>
      <w:r w:rsidRPr="004574F6">
        <w:rPr>
          <w:rFonts w:eastAsia="Calibri"/>
        </w:rPr>
        <w:t>f</w:t>
      </w:r>
      <w:r w:rsidR="00EA3A6C" w:rsidRPr="004574F6">
        <w:rPr>
          <w:rFonts w:eastAsia="Calibri"/>
        </w:rPr>
        <w:t>) Ampliación de plazo para resolver el Recurso de Revisión</w:t>
      </w:r>
      <w:bookmarkEnd w:id="16"/>
    </w:p>
    <w:p w14:paraId="1242EAFA" w14:textId="42BFFC90" w:rsidR="00EA3A6C" w:rsidRPr="004574F6" w:rsidRDefault="00EA3A6C" w:rsidP="004574F6">
      <w:pPr>
        <w:tabs>
          <w:tab w:val="left" w:pos="3261"/>
        </w:tabs>
        <w:rPr>
          <w:rFonts w:eastAsia="Calibri" w:cs="Tahoma"/>
          <w:szCs w:val="22"/>
        </w:rPr>
      </w:pPr>
      <w:r w:rsidRPr="004574F6">
        <w:rPr>
          <w:rFonts w:eastAsia="Calibri" w:cs="Tahoma"/>
          <w:szCs w:val="22"/>
        </w:rPr>
        <w:t xml:space="preserve">Con fundamento en lo dispuesto en el artículo 181, párrafo tercero, de la Ley de Transparencia y Acceso a la Información Pública del Estado de México y Municipios, el </w:t>
      </w:r>
      <w:r w:rsidRPr="004574F6">
        <w:rPr>
          <w:rFonts w:eastAsia="Calibri" w:cs="Tahoma"/>
          <w:b/>
          <w:szCs w:val="22"/>
        </w:rPr>
        <w:t xml:space="preserve">once de septiembre </w:t>
      </w:r>
      <w:r w:rsidRPr="004574F6">
        <w:rPr>
          <w:rFonts w:eastAsia="Calibri" w:cs="Tahoma"/>
          <w:b/>
          <w:szCs w:val="22"/>
        </w:rPr>
        <w:lastRenderedPageBreak/>
        <w:t>de dos mil veinticuatro</w:t>
      </w:r>
      <w:r w:rsidRPr="004574F6">
        <w:rPr>
          <w:rFonts w:eastAsia="Calibri" w:cs="Tahoma"/>
          <w:szCs w:val="22"/>
        </w:rPr>
        <w:t>, se acordó ampliar por un periodo razonable el plazo para resolver el presente Recurso de Revisión; acuerdo que fue notificado a las partes a través del SAIMEX el mismo día.</w:t>
      </w:r>
    </w:p>
    <w:p w14:paraId="2C3D439A" w14:textId="77777777" w:rsidR="00EA3A6C" w:rsidRPr="004574F6" w:rsidRDefault="00EA3A6C" w:rsidP="004574F6">
      <w:pPr>
        <w:tabs>
          <w:tab w:val="left" w:pos="3261"/>
        </w:tabs>
        <w:rPr>
          <w:rFonts w:eastAsia="Calibri" w:cs="Tahoma"/>
          <w:szCs w:val="22"/>
        </w:rPr>
      </w:pPr>
    </w:p>
    <w:p w14:paraId="45572910"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3BCF148B"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1253E826"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37FDB081"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1A690F45"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4B7B8BB4"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5DAB56B9"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lastRenderedPageBreak/>
        <w:t>Por ello, excepcionalmente, si un asunto es resuelto con posterioridad a los plazos señalados por la norma, debe analizarse la razonabilidad del tiempo necesario para su resolución, atentos a los siguientes criterios:</w:t>
      </w:r>
    </w:p>
    <w:p w14:paraId="112AEB59"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36937DA4"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2"/>
          <w:szCs w:val="22"/>
        </w:rPr>
      </w:pPr>
      <w:r w:rsidRPr="004574F6">
        <w:rPr>
          <w:rStyle w:val="eop"/>
          <w:rFonts w:cs="Segoe UI"/>
          <w:b/>
          <w:bCs/>
          <w:sz w:val="22"/>
          <w:szCs w:val="22"/>
        </w:rPr>
        <w:t>Complejidad del asunto:</w:t>
      </w:r>
      <w:r w:rsidRPr="004574F6">
        <w:rPr>
          <w:rStyle w:val="eop"/>
          <w:rFonts w:cs="Segoe UI"/>
          <w:sz w:val="22"/>
          <w:szCs w:val="22"/>
        </w:rPr>
        <w:t xml:space="preserve"> La complejidad de la prueba, la pluralidad de sujetos procesales, el tiempo transcurrido, las características y contexto del recurso.</w:t>
      </w:r>
    </w:p>
    <w:p w14:paraId="5347BAEB"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2"/>
          <w:szCs w:val="22"/>
        </w:rPr>
      </w:pPr>
      <w:r w:rsidRPr="004574F6">
        <w:rPr>
          <w:rStyle w:val="eop"/>
          <w:rFonts w:cs="Segoe UI"/>
          <w:b/>
          <w:bCs/>
          <w:sz w:val="22"/>
          <w:szCs w:val="22"/>
        </w:rPr>
        <w:t>Actividad Procesal del interesado:</w:t>
      </w:r>
      <w:r w:rsidRPr="004574F6">
        <w:rPr>
          <w:rStyle w:val="eop"/>
          <w:rFonts w:cs="Segoe UI"/>
          <w:sz w:val="22"/>
          <w:szCs w:val="22"/>
        </w:rPr>
        <w:t xml:space="preserve"> Acciones u omisiones del interesado.</w:t>
      </w:r>
    </w:p>
    <w:p w14:paraId="01DAA802"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2"/>
          <w:szCs w:val="22"/>
        </w:rPr>
      </w:pPr>
      <w:r w:rsidRPr="004574F6">
        <w:rPr>
          <w:rStyle w:val="eop"/>
          <w:rFonts w:cs="Segoe UI"/>
          <w:b/>
          <w:bCs/>
          <w:sz w:val="22"/>
          <w:szCs w:val="22"/>
        </w:rPr>
        <w:t>Conducta de la Autoridad:</w:t>
      </w:r>
      <w:r w:rsidRPr="004574F6">
        <w:rPr>
          <w:rStyle w:val="eop"/>
          <w:rFonts w:cs="Segoe UI"/>
          <w:sz w:val="22"/>
          <w:szCs w:val="22"/>
        </w:rPr>
        <w:t xml:space="preserve"> Las Acciones u omisiones realizadas en el procedimiento. Así como si la autoridad actuó con la debida diligencia.</w:t>
      </w:r>
    </w:p>
    <w:p w14:paraId="3C6C1803"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2"/>
          <w:szCs w:val="22"/>
        </w:rPr>
      </w:pPr>
      <w:r w:rsidRPr="004574F6">
        <w:rPr>
          <w:rStyle w:val="eop"/>
          <w:rFonts w:cs="Segoe UI"/>
          <w:b/>
          <w:bCs/>
          <w:sz w:val="22"/>
          <w:szCs w:val="22"/>
        </w:rPr>
        <w:t>La afectación generada en la situación jurídica de la persona involucrada en el proceso:</w:t>
      </w:r>
      <w:r w:rsidRPr="004574F6">
        <w:rPr>
          <w:rStyle w:val="eop"/>
          <w:rFonts w:cs="Segoe UI"/>
          <w:sz w:val="22"/>
          <w:szCs w:val="22"/>
        </w:rPr>
        <w:t xml:space="preserve"> Violación a sus derechos humanos.</w:t>
      </w:r>
    </w:p>
    <w:p w14:paraId="19E20948"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2"/>
          <w:szCs w:val="22"/>
        </w:rPr>
      </w:pPr>
    </w:p>
    <w:p w14:paraId="0F8ABFA3"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8E697B2"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21566C72"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Argumento que encuentra sustento en la jurisprudencia P./J. 32/92 emitida por el Pleno de la Suprema Corte de Justicia de la Nación de rubro “</w:t>
      </w:r>
      <w:r w:rsidRPr="004574F6">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4574F6">
        <w:rPr>
          <w:rStyle w:val="eop"/>
          <w:rFonts w:cs="Segoe UI"/>
          <w:sz w:val="22"/>
          <w:szCs w:val="22"/>
        </w:rPr>
        <w:t>.”, visible en la Gaceta del Seminario Judicial de la Federación con el registro digital 205635.</w:t>
      </w:r>
    </w:p>
    <w:p w14:paraId="0B8B10A8"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710ABC31"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3E2A8B9"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696FA409"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7AF4DD82"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1EE2C82D"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0"/>
          <w:szCs w:val="20"/>
        </w:rPr>
      </w:pPr>
      <w:r w:rsidRPr="004574F6">
        <w:rPr>
          <w:rStyle w:val="eop"/>
          <w:rFonts w:cs="Segoe UI"/>
          <w:b/>
          <w:bCs/>
          <w:sz w:val="20"/>
          <w:szCs w:val="20"/>
        </w:rPr>
        <w:t>“PLAZO RAZONABLE PARA RESOLVER. DIMENSIÓN Y EFECTOS DE ESTE CONCEPTO CUANDO SE ADUCE EXCESIVA CARGA DE TRABAJO.”</w:t>
      </w:r>
      <w:r w:rsidRPr="004574F6">
        <w:rPr>
          <w:rStyle w:val="eop"/>
          <w:rFonts w:cs="Segoe UI"/>
          <w:sz w:val="20"/>
          <w:szCs w:val="20"/>
        </w:rPr>
        <w:t xml:space="preserve"> consultable en el Seminario Judicial de la Federación y su gaceta, con el registro digital 2002351.</w:t>
      </w:r>
    </w:p>
    <w:p w14:paraId="7D263B3D"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0"/>
          <w:szCs w:val="20"/>
        </w:rPr>
      </w:pPr>
    </w:p>
    <w:p w14:paraId="3EBB8BA5" w14:textId="77777777" w:rsidR="00EA3A6C" w:rsidRPr="004574F6" w:rsidRDefault="00EA3A6C" w:rsidP="004574F6">
      <w:pPr>
        <w:pStyle w:val="paragraph"/>
        <w:spacing w:before="0" w:beforeAutospacing="0" w:after="0" w:afterAutospacing="0"/>
        <w:ind w:left="567" w:right="539"/>
        <w:textAlignment w:val="baseline"/>
        <w:rPr>
          <w:rStyle w:val="eop"/>
          <w:rFonts w:cs="Segoe UI"/>
          <w:sz w:val="20"/>
          <w:szCs w:val="20"/>
        </w:rPr>
      </w:pPr>
      <w:r w:rsidRPr="004574F6">
        <w:rPr>
          <w:rStyle w:val="eop"/>
          <w:rFonts w:cs="Segoe UI"/>
          <w:b/>
          <w:bCs/>
          <w:sz w:val="20"/>
          <w:szCs w:val="20"/>
        </w:rPr>
        <w:t>“PLAZO RAZONABLE PARA RESOLVER. CONCEPTO Y ELEMENTOS QUE LO INTEGRAN A LA LUZ DEL DERECHO INTERNACIONAL DE LOS DERECHOS HUMANOS</w:t>
      </w:r>
      <w:r w:rsidRPr="004574F6">
        <w:rPr>
          <w:rStyle w:val="eop"/>
          <w:rFonts w:cs="Segoe UI"/>
          <w:sz w:val="20"/>
          <w:szCs w:val="20"/>
        </w:rPr>
        <w:t>.”, visible en el Seminario Judicial de la Federación y su gaceta, con el registro digital 2002350.</w:t>
      </w:r>
    </w:p>
    <w:p w14:paraId="3BE915C7"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p>
    <w:p w14:paraId="77F54F27" w14:textId="77777777" w:rsidR="00EA3A6C" w:rsidRPr="004574F6" w:rsidRDefault="00EA3A6C" w:rsidP="004574F6">
      <w:pPr>
        <w:pStyle w:val="paragraph"/>
        <w:spacing w:before="0" w:beforeAutospacing="0" w:after="0" w:afterAutospacing="0"/>
        <w:textAlignment w:val="baseline"/>
        <w:rPr>
          <w:rStyle w:val="eop"/>
          <w:rFonts w:cs="Segoe UI"/>
          <w:sz w:val="22"/>
          <w:szCs w:val="22"/>
        </w:rPr>
      </w:pPr>
      <w:r w:rsidRPr="004574F6">
        <w:rPr>
          <w:rStyle w:val="eop"/>
          <w:rFonts w:cs="Segoe UI"/>
          <w:sz w:val="22"/>
          <w:szCs w:val="22"/>
        </w:rPr>
        <w:lastRenderedPageBreak/>
        <w:t>Por ello, este organismo garante comprometido con la tutela de los derechos humanos confiados señala que este exceso del plazo legal para resolver el asunto resulta de carácter excepcional.</w:t>
      </w:r>
    </w:p>
    <w:p w14:paraId="7EC1551D" w14:textId="77777777" w:rsidR="00EA3A6C" w:rsidRPr="004574F6" w:rsidRDefault="00EA3A6C" w:rsidP="004574F6">
      <w:pPr>
        <w:rPr>
          <w:rFonts w:cs="Tahoma"/>
          <w:bCs/>
          <w:szCs w:val="24"/>
        </w:rPr>
      </w:pPr>
    </w:p>
    <w:p w14:paraId="5DEE4C1B" w14:textId="17A992DF" w:rsidR="00EA3A6C" w:rsidRPr="004574F6" w:rsidRDefault="00FC4AB2" w:rsidP="004574F6">
      <w:pPr>
        <w:pStyle w:val="Ttulo3"/>
      </w:pPr>
      <w:bookmarkStart w:id="17" w:name="_Toc178186929"/>
      <w:r w:rsidRPr="004574F6">
        <w:t>g</w:t>
      </w:r>
      <w:r w:rsidR="00EA3A6C" w:rsidRPr="004574F6">
        <w:t>) Cierre de instrucción</w:t>
      </w:r>
      <w:bookmarkEnd w:id="17"/>
    </w:p>
    <w:p w14:paraId="19EA7F07" w14:textId="616FC5E2" w:rsidR="00EA3A6C" w:rsidRPr="004574F6" w:rsidRDefault="00EA3A6C" w:rsidP="004574F6">
      <w:r w:rsidRPr="004574F6">
        <w:rPr>
          <w:rFonts w:cs="Tahoma"/>
          <w:szCs w:val="22"/>
        </w:rPr>
        <w:t>Al no existir diligencias pendientes por desahogar</w:t>
      </w:r>
      <w:r w:rsidRPr="004574F6">
        <w:rPr>
          <w:rFonts w:cs="Arial"/>
        </w:rPr>
        <w:t xml:space="preserve">, el </w:t>
      </w:r>
      <w:bookmarkStart w:id="18" w:name="_Hlk104892386"/>
      <w:r w:rsidR="00DA780B" w:rsidRPr="004574F6">
        <w:rPr>
          <w:rFonts w:cs="Arial"/>
          <w:b/>
        </w:rPr>
        <w:t>once de septiembre</w:t>
      </w:r>
      <w:bookmarkEnd w:id="18"/>
      <w:r w:rsidR="00DA780B" w:rsidRPr="004574F6">
        <w:rPr>
          <w:rFonts w:cs="Arial"/>
          <w:b/>
        </w:rPr>
        <w:t xml:space="preserve"> de dos mil veinticuatro</w:t>
      </w:r>
      <w:r w:rsidR="00DA780B" w:rsidRPr="004574F6">
        <w:rPr>
          <w:rFonts w:cs="Arial"/>
        </w:rPr>
        <w:t>,</w:t>
      </w:r>
      <w:r w:rsidRPr="004574F6">
        <w:rPr>
          <w:rFonts w:cs="Arial"/>
        </w:rPr>
        <w:t xml:space="preserve"> la </w:t>
      </w:r>
      <w:r w:rsidRPr="004574F6">
        <w:rPr>
          <w:rFonts w:cs="Arial"/>
          <w:b/>
          <w:bCs/>
        </w:rPr>
        <w:t xml:space="preserve">Comisionada </w:t>
      </w:r>
      <w:r w:rsidRPr="004574F6">
        <w:rPr>
          <w:b/>
        </w:rPr>
        <w:t xml:space="preserve">Sharon Cristina Morales Martínez </w:t>
      </w:r>
      <w:r w:rsidRPr="004574F6">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4574F6">
        <w:t xml:space="preserve">. Dicho acuerdo </w:t>
      </w:r>
      <w:r w:rsidRPr="004574F6">
        <w:rPr>
          <w:rFonts w:cs="Tahoma"/>
          <w:szCs w:val="22"/>
        </w:rPr>
        <w:t xml:space="preserve">fue notificado a las partes el mismo día a través del </w:t>
      </w:r>
      <w:r w:rsidRPr="004574F6">
        <w:rPr>
          <w:rFonts w:cs="Tahoma"/>
          <w:szCs w:val="22"/>
          <w:lang w:val="es-ES"/>
        </w:rPr>
        <w:t>SAIMEX</w:t>
      </w:r>
      <w:r w:rsidRPr="004574F6">
        <w:rPr>
          <w:rFonts w:cs="Tahoma"/>
          <w:szCs w:val="22"/>
        </w:rPr>
        <w:t>.</w:t>
      </w:r>
    </w:p>
    <w:p w14:paraId="5417F381" w14:textId="77777777" w:rsidR="00EA3A6C" w:rsidRPr="004574F6" w:rsidRDefault="00EA3A6C" w:rsidP="004574F6">
      <w:pPr>
        <w:rPr>
          <w:rFonts w:cs="Tahoma"/>
          <w:szCs w:val="22"/>
        </w:rPr>
      </w:pPr>
    </w:p>
    <w:p w14:paraId="741683E3" w14:textId="77777777" w:rsidR="0011350D" w:rsidRPr="004574F6" w:rsidRDefault="0011350D" w:rsidP="004574F6">
      <w:pPr>
        <w:rPr>
          <w:rFonts w:cs="Tahoma"/>
          <w:szCs w:val="22"/>
        </w:rPr>
      </w:pPr>
    </w:p>
    <w:p w14:paraId="7A9629DE" w14:textId="77777777" w:rsidR="00664420" w:rsidRPr="004574F6" w:rsidRDefault="00664420" w:rsidP="004574F6">
      <w:pPr>
        <w:pStyle w:val="Ttulo1"/>
        <w:rPr>
          <w:rFonts w:eastAsiaTheme="minorHAnsi"/>
          <w:lang w:eastAsia="en-US"/>
        </w:rPr>
      </w:pPr>
      <w:bookmarkStart w:id="19" w:name="_Toc178186930"/>
      <w:r w:rsidRPr="004574F6">
        <w:rPr>
          <w:rFonts w:eastAsiaTheme="minorHAnsi"/>
          <w:lang w:eastAsia="en-US"/>
        </w:rPr>
        <w:t>CONSIDERANDOS</w:t>
      </w:r>
      <w:bookmarkEnd w:id="19"/>
    </w:p>
    <w:p w14:paraId="6DD1243B" w14:textId="77777777" w:rsidR="00664420" w:rsidRPr="004574F6" w:rsidRDefault="00664420" w:rsidP="004574F6">
      <w:pPr>
        <w:contextualSpacing/>
        <w:jc w:val="center"/>
        <w:rPr>
          <w:rFonts w:eastAsiaTheme="minorHAnsi" w:cs="Tahoma"/>
          <w:b/>
          <w:szCs w:val="22"/>
          <w:lang w:eastAsia="en-US"/>
        </w:rPr>
      </w:pPr>
    </w:p>
    <w:p w14:paraId="0B67CB92" w14:textId="2E307D3B" w:rsidR="00664420" w:rsidRPr="004574F6" w:rsidRDefault="00664420" w:rsidP="004574F6">
      <w:pPr>
        <w:pStyle w:val="Ttulo2"/>
        <w:rPr>
          <w:rFonts w:eastAsia="Batang"/>
        </w:rPr>
      </w:pPr>
      <w:bookmarkStart w:id="20" w:name="_Toc178186931"/>
      <w:r w:rsidRPr="004574F6">
        <w:rPr>
          <w:rFonts w:eastAsia="Batang"/>
        </w:rPr>
        <w:t xml:space="preserve">PRIMERO. </w:t>
      </w:r>
      <w:r w:rsidR="00BA55A8" w:rsidRPr="004574F6">
        <w:rPr>
          <w:rFonts w:eastAsia="Batang"/>
        </w:rPr>
        <w:t>Procedibilidad</w:t>
      </w:r>
      <w:bookmarkEnd w:id="20"/>
    </w:p>
    <w:p w14:paraId="39C52BC1" w14:textId="56FCC20D" w:rsidR="00BA55A8" w:rsidRPr="004574F6" w:rsidRDefault="00BA55A8" w:rsidP="004574F6">
      <w:pPr>
        <w:pStyle w:val="Ttulo3"/>
      </w:pPr>
      <w:bookmarkStart w:id="21" w:name="_Toc178186932"/>
      <w:r w:rsidRPr="004574F6">
        <w:t>a) Competencia</w:t>
      </w:r>
      <w:r w:rsidR="00150C49" w:rsidRPr="004574F6">
        <w:t xml:space="preserve"> del Instituto</w:t>
      </w:r>
      <w:bookmarkEnd w:id="21"/>
    </w:p>
    <w:p w14:paraId="56E64942" w14:textId="6572EDF7" w:rsidR="0011350D" w:rsidRPr="004574F6" w:rsidRDefault="0011350D" w:rsidP="004574F6">
      <w:pPr>
        <w:rPr>
          <w:rFonts w:cs="Arial"/>
        </w:rPr>
      </w:pPr>
      <w:r w:rsidRPr="004574F6">
        <w:t xml:space="preserve">Este Instituto de Transparencia, Acceso a la Información Pública y Protección de Datos Personales del Estado de México y Municipios es competente para conocer y resolver </w:t>
      </w:r>
      <w:r w:rsidR="005F65B7" w:rsidRPr="004574F6">
        <w:t xml:space="preserve">el </w:t>
      </w:r>
      <w:r w:rsidRPr="004574F6">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4574F6">
        <w:lastRenderedPageBreak/>
        <w:t>de México y Municipios</w:t>
      </w:r>
      <w:r w:rsidRPr="004574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574F6" w:rsidRDefault="00DB1C09" w:rsidP="004574F6">
      <w:pPr>
        <w:rPr>
          <w:rFonts w:cs="Arial"/>
        </w:rPr>
      </w:pPr>
    </w:p>
    <w:p w14:paraId="517A2DD6" w14:textId="4169BE4D" w:rsidR="00664420" w:rsidRPr="004574F6" w:rsidRDefault="00BA55A8" w:rsidP="004574F6">
      <w:pPr>
        <w:pStyle w:val="Ttulo3"/>
      </w:pPr>
      <w:bookmarkStart w:id="22" w:name="_Toc178186933"/>
      <w:r w:rsidRPr="004574F6">
        <w:t>b)</w:t>
      </w:r>
      <w:r w:rsidR="00664420" w:rsidRPr="004574F6">
        <w:t xml:space="preserve"> </w:t>
      </w:r>
      <w:r w:rsidR="00D91CB4" w:rsidRPr="004574F6">
        <w:t>Legitimidad</w:t>
      </w:r>
      <w:r w:rsidRPr="004574F6">
        <w:t xml:space="preserve"> de la parte recurrente</w:t>
      </w:r>
      <w:bookmarkEnd w:id="22"/>
    </w:p>
    <w:p w14:paraId="26FEA382" w14:textId="0B06695C" w:rsidR="00D91CB4" w:rsidRPr="004574F6" w:rsidRDefault="00D91CB4" w:rsidP="004574F6">
      <w:pPr>
        <w:rPr>
          <w:rFonts w:cs="Arial"/>
          <w:bCs/>
        </w:rPr>
      </w:pPr>
      <w:r w:rsidRPr="004574F6">
        <w:rPr>
          <w:rFonts w:cs="Arial"/>
          <w:bCs/>
        </w:rPr>
        <w:t>El recurso de revisión fue interpuesto por parte legítima, ya que se presentó por la misma persona que formuló la solicitud de acceso a la Información Pública,</w:t>
      </w:r>
      <w:r w:rsidRPr="004574F6">
        <w:rPr>
          <w:rFonts w:cs="Arial"/>
          <w:b/>
          <w:bCs/>
        </w:rPr>
        <w:t xml:space="preserve"> </w:t>
      </w:r>
      <w:r w:rsidRPr="004574F6">
        <w:rPr>
          <w:rFonts w:cs="Arial"/>
        </w:rPr>
        <w:t>debido a que los datos de acceso</w:t>
      </w:r>
      <w:r w:rsidRPr="004574F6">
        <w:rPr>
          <w:rFonts w:cs="Arial"/>
          <w:b/>
          <w:bCs/>
        </w:rPr>
        <w:t xml:space="preserve"> </w:t>
      </w:r>
      <w:r w:rsidRPr="004574F6">
        <w:rPr>
          <w:rFonts w:cs="Arial"/>
        </w:rPr>
        <w:t>SAIMEX</w:t>
      </w:r>
      <w:r w:rsidRPr="004574F6">
        <w:rPr>
          <w:rFonts w:eastAsia="Calibri" w:cs="Arial"/>
          <w:lang w:eastAsia="en-US"/>
        </w:rPr>
        <w:t xml:space="preserve"> son personales e irrepetibles.</w:t>
      </w:r>
    </w:p>
    <w:p w14:paraId="2C367810" w14:textId="77777777" w:rsidR="00D91CB4" w:rsidRPr="004574F6" w:rsidRDefault="00D91CB4" w:rsidP="004574F6"/>
    <w:p w14:paraId="496490FC" w14:textId="1A5F3FDB" w:rsidR="00D91CB4" w:rsidRPr="004574F6" w:rsidRDefault="00BA55A8" w:rsidP="004574F6">
      <w:pPr>
        <w:pStyle w:val="Ttulo3"/>
        <w:rPr>
          <w:rFonts w:eastAsia="Calibri"/>
          <w:lang w:eastAsia="es-ES_tradnl"/>
        </w:rPr>
      </w:pPr>
      <w:bookmarkStart w:id="23" w:name="_Toc178186934"/>
      <w:r w:rsidRPr="004574F6">
        <w:rPr>
          <w:rFonts w:eastAsia="Calibri"/>
          <w:lang w:eastAsia="es-ES_tradnl"/>
        </w:rPr>
        <w:t>c)</w:t>
      </w:r>
      <w:r w:rsidR="00664420" w:rsidRPr="004574F6">
        <w:rPr>
          <w:rFonts w:eastAsia="Calibri"/>
          <w:lang w:eastAsia="es-ES_tradnl"/>
        </w:rPr>
        <w:t xml:space="preserve"> </w:t>
      </w:r>
      <w:r w:rsidR="00D91CB4" w:rsidRPr="004574F6">
        <w:rPr>
          <w:rFonts w:eastAsia="Calibri"/>
          <w:lang w:eastAsia="es-ES_tradnl"/>
        </w:rPr>
        <w:t>Plazo para interponer el recurso</w:t>
      </w:r>
      <w:bookmarkEnd w:id="23"/>
    </w:p>
    <w:p w14:paraId="106D37EE" w14:textId="730F77A4" w:rsidR="00D91CB4" w:rsidRPr="004574F6" w:rsidRDefault="00D91CB4" w:rsidP="004574F6">
      <w:pPr>
        <w:rPr>
          <w:rFonts w:eastAsiaTheme="minorEastAsia" w:cs="Arial"/>
          <w:lang w:val="es-ES_tradnl"/>
        </w:rPr>
      </w:pPr>
      <w:r w:rsidRPr="004574F6">
        <w:rPr>
          <w:rFonts w:cs="Arial"/>
          <w:b/>
        </w:rPr>
        <w:t>EL SUJETO OBLIGADO</w:t>
      </w:r>
      <w:r w:rsidRPr="004574F6">
        <w:rPr>
          <w:rFonts w:cs="Arial"/>
        </w:rPr>
        <w:t xml:space="preserve"> notificó la respuesta a la solicitud de acceso a la Información Pública el </w:t>
      </w:r>
      <w:r w:rsidR="008015F8" w:rsidRPr="004574F6">
        <w:rPr>
          <w:rFonts w:cs="Arial"/>
          <w:b/>
          <w:bCs/>
        </w:rPr>
        <w:t>siete de mayo</w:t>
      </w:r>
      <w:r w:rsidR="008E5B49" w:rsidRPr="004574F6">
        <w:rPr>
          <w:rFonts w:cs="Arial"/>
          <w:b/>
          <w:bCs/>
        </w:rPr>
        <w:t xml:space="preserve"> de dos mil veinticuatro</w:t>
      </w:r>
      <w:r w:rsidR="008E5B49" w:rsidRPr="004574F6">
        <w:rPr>
          <w:rFonts w:cs="Arial"/>
        </w:rPr>
        <w:t xml:space="preserve"> </w:t>
      </w:r>
      <w:r w:rsidR="00A53315" w:rsidRPr="004574F6">
        <w:rPr>
          <w:rFonts w:cs="Arial"/>
        </w:rPr>
        <w:t xml:space="preserve">y el recurso </w:t>
      </w:r>
      <w:r w:rsidR="00A53315" w:rsidRPr="004574F6">
        <w:rPr>
          <w:rFonts w:eastAsia="Palatino Linotype" w:cs="Palatino Linotype"/>
        </w:rPr>
        <w:t xml:space="preserve">que nos ocupa se interpuso el </w:t>
      </w:r>
      <w:r w:rsidR="008015F8" w:rsidRPr="004574F6">
        <w:rPr>
          <w:rFonts w:eastAsia="Palatino Linotype" w:cs="Palatino Linotype"/>
          <w:b/>
          <w:bCs/>
        </w:rPr>
        <w:t>veintiuno de mayo</w:t>
      </w:r>
      <w:r w:rsidR="008E5B49" w:rsidRPr="004574F6">
        <w:rPr>
          <w:rFonts w:eastAsia="Palatino Linotype" w:cs="Palatino Linotype"/>
          <w:b/>
          <w:bCs/>
        </w:rPr>
        <w:t xml:space="preserve"> de dos mil veinticuatro</w:t>
      </w:r>
      <w:r w:rsidR="00A53315" w:rsidRPr="004574F6">
        <w:rPr>
          <w:rFonts w:eastAsia="Palatino Linotype" w:cs="Palatino Linotype"/>
          <w:bCs/>
        </w:rPr>
        <w:t>;</w:t>
      </w:r>
      <w:r w:rsidR="00A53315" w:rsidRPr="004574F6">
        <w:rPr>
          <w:rFonts w:eastAsia="Palatino Linotype" w:cs="Palatino Linotype"/>
        </w:rPr>
        <w:t xml:space="preserve"> por lo tanto, éste se encuentra dentro del margen temporal previsto en el artículo 178 de la </w:t>
      </w:r>
      <w:r w:rsidR="00A53315" w:rsidRPr="004574F6">
        <w:rPr>
          <w:rFonts w:cs="Arial"/>
        </w:rPr>
        <w:t xml:space="preserve">Ley de Transparencia y Acceso a la Información Pública del Estado de México y Municipios, </w:t>
      </w:r>
      <w:r w:rsidR="00A53315" w:rsidRPr="004574F6">
        <w:rPr>
          <w:rFonts w:eastAsia="Calibri"/>
          <w:lang w:eastAsia="es-ES_tradnl"/>
        </w:rPr>
        <w:t xml:space="preserve">el cual </w:t>
      </w:r>
      <w:r w:rsidRPr="004574F6">
        <w:rPr>
          <w:rFonts w:cs="Arial"/>
        </w:rPr>
        <w:t xml:space="preserve">transcurrió del </w:t>
      </w:r>
      <w:r w:rsidR="008015F8" w:rsidRPr="004574F6">
        <w:rPr>
          <w:rFonts w:cs="Arial"/>
          <w:b/>
        </w:rPr>
        <w:t>ocho al veintiocho de mayo de dos mil veinticuatro</w:t>
      </w:r>
      <w:r w:rsidRPr="004574F6">
        <w:rPr>
          <w:rFonts w:cs="Arial"/>
        </w:rPr>
        <w:t xml:space="preserve">, </w:t>
      </w:r>
      <w:r w:rsidRPr="004574F6">
        <w:rPr>
          <w:rFonts w:eastAsiaTheme="minorEastAsia" w:cs="Arial"/>
          <w:lang w:val="es-ES_tradnl"/>
        </w:rPr>
        <w:t xml:space="preserve">sin contemplar en el cómputo los días </w:t>
      </w:r>
      <w:bookmarkStart w:id="24" w:name="_Hlk62134391"/>
      <w:r w:rsidRPr="004574F6">
        <w:rPr>
          <w:rFonts w:eastAsiaTheme="minorEastAsia" w:cs="Arial"/>
          <w:lang w:val="es-ES_tradnl"/>
        </w:rPr>
        <w:t>sábados</w:t>
      </w:r>
      <w:r w:rsidR="00CB7E9A" w:rsidRPr="004574F6">
        <w:rPr>
          <w:rFonts w:eastAsiaTheme="minorEastAsia" w:cs="Arial"/>
          <w:lang w:val="es-ES_tradnl"/>
        </w:rPr>
        <w:t xml:space="preserve">, </w:t>
      </w:r>
      <w:r w:rsidRPr="004574F6">
        <w:rPr>
          <w:rFonts w:eastAsiaTheme="minorEastAsia" w:cs="Arial"/>
          <w:lang w:val="es-ES_tradnl"/>
        </w:rPr>
        <w:t>domingos</w:t>
      </w:r>
      <w:r w:rsidR="00CB7E9A" w:rsidRPr="004574F6">
        <w:rPr>
          <w:rFonts w:eastAsiaTheme="minorEastAsia" w:cs="Arial"/>
          <w:lang w:val="es-ES_tradnl"/>
        </w:rPr>
        <w:t xml:space="preserve"> y aquellos</w:t>
      </w:r>
      <w:r w:rsidRPr="004574F6">
        <w:rPr>
          <w:rFonts w:eastAsiaTheme="minorEastAsia" w:cs="Arial"/>
          <w:lang w:val="es-ES_tradnl"/>
        </w:rPr>
        <w:t xml:space="preserve"> considerados como días inhábiles</w:t>
      </w:r>
      <w:r w:rsidR="00CB7E9A" w:rsidRPr="004574F6">
        <w:rPr>
          <w:rFonts w:eastAsiaTheme="minorEastAsia" w:cs="Arial"/>
          <w:lang w:val="es-ES_tradnl"/>
        </w:rPr>
        <w:t xml:space="preserve"> </w:t>
      </w:r>
      <w:r w:rsidRPr="004574F6">
        <w:rPr>
          <w:rFonts w:eastAsiaTheme="minorEastAsia" w:cs="Arial"/>
          <w:lang w:val="es-ES_tradnl"/>
        </w:rPr>
        <w:t xml:space="preserve">en términos del </w:t>
      </w:r>
      <w:bookmarkEnd w:id="24"/>
      <w:r w:rsidRPr="004574F6">
        <w:rPr>
          <w:rFonts w:eastAsiaTheme="minorEastAsia" w:cs="Arial"/>
          <w:lang w:val="es-ES_tradnl"/>
        </w:rPr>
        <w:t>Calendario oficia</w:t>
      </w:r>
      <w:r w:rsidR="00CB7E9A" w:rsidRPr="004574F6">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4574F6" w:rsidRDefault="00D91CB4" w:rsidP="004574F6">
      <w:pPr>
        <w:rPr>
          <w:rFonts w:eastAsia="Palatino Linotype" w:cs="Palatino Linotype"/>
        </w:rPr>
      </w:pPr>
    </w:p>
    <w:p w14:paraId="46C0EB3A" w14:textId="5792CA99" w:rsidR="00A53315" w:rsidRPr="004574F6" w:rsidRDefault="00BA55A8" w:rsidP="004574F6">
      <w:pPr>
        <w:pStyle w:val="Ttulo3"/>
        <w:rPr>
          <w:rFonts w:eastAsia="Calibri"/>
          <w:lang w:eastAsia="es-ES_tradnl"/>
        </w:rPr>
      </w:pPr>
      <w:bookmarkStart w:id="25" w:name="_Toc178186935"/>
      <w:r w:rsidRPr="004574F6">
        <w:rPr>
          <w:rFonts w:eastAsia="Calibri"/>
          <w:lang w:eastAsia="es-ES_tradnl"/>
        </w:rPr>
        <w:lastRenderedPageBreak/>
        <w:t>d)</w:t>
      </w:r>
      <w:r w:rsidR="00D91CB4" w:rsidRPr="004574F6">
        <w:rPr>
          <w:rFonts w:eastAsia="Calibri"/>
          <w:lang w:eastAsia="es-ES_tradnl"/>
        </w:rPr>
        <w:t xml:space="preserve"> </w:t>
      </w:r>
      <w:r w:rsidR="008E5B49" w:rsidRPr="004574F6">
        <w:rPr>
          <w:rFonts w:eastAsia="Calibri"/>
          <w:lang w:eastAsia="es-ES_tradnl"/>
        </w:rPr>
        <w:t>Causal de procedencia</w:t>
      </w:r>
      <w:bookmarkEnd w:id="25"/>
    </w:p>
    <w:p w14:paraId="190404A6" w14:textId="6C2C84D0" w:rsidR="00BA55A8" w:rsidRPr="004574F6" w:rsidRDefault="00BA55A8" w:rsidP="004574F6">
      <w:r w:rsidRPr="004574F6">
        <w:rPr>
          <w:rFonts w:cs="Arial"/>
        </w:rPr>
        <w:t xml:space="preserve">Resulta procedente la interposición del recurso de revisión, ya que </w:t>
      </w:r>
      <w:r w:rsidRPr="004574F6">
        <w:rPr>
          <w:rFonts w:eastAsia="Calibri" w:cs="Tahoma"/>
          <w:szCs w:val="22"/>
          <w:lang w:eastAsia="es-MX"/>
        </w:rPr>
        <w:t xml:space="preserve">se actualiza la causal de procedencia señalada en el artículo 179, fracción </w:t>
      </w:r>
      <w:r w:rsidR="008E5B49" w:rsidRPr="004574F6">
        <w:rPr>
          <w:rFonts w:eastAsia="Calibri" w:cs="Tahoma"/>
          <w:szCs w:val="22"/>
          <w:lang w:eastAsia="es-MX"/>
        </w:rPr>
        <w:t>V</w:t>
      </w:r>
      <w:r w:rsidR="00F75C32" w:rsidRPr="004574F6">
        <w:rPr>
          <w:rFonts w:eastAsia="Calibri" w:cs="Tahoma"/>
          <w:szCs w:val="22"/>
          <w:lang w:eastAsia="es-MX"/>
        </w:rPr>
        <w:t>I</w:t>
      </w:r>
      <w:r w:rsidRPr="004574F6">
        <w:rPr>
          <w:rFonts w:cs="Arial"/>
        </w:rPr>
        <w:t xml:space="preserve"> de la </w:t>
      </w:r>
      <w:r w:rsidRPr="004574F6">
        <w:t>Ley de Transparencia y Acceso a la Información Pública del Estado de México y Municipios.</w:t>
      </w:r>
    </w:p>
    <w:p w14:paraId="0EFF7141" w14:textId="77777777" w:rsidR="00362A11" w:rsidRPr="004574F6" w:rsidRDefault="00362A11" w:rsidP="004574F6"/>
    <w:p w14:paraId="2284D7EB" w14:textId="3EE1D036" w:rsidR="00BA55A8" w:rsidRPr="004574F6" w:rsidRDefault="00362A11" w:rsidP="004574F6">
      <w:pPr>
        <w:pStyle w:val="Ttulo3"/>
      </w:pPr>
      <w:bookmarkStart w:id="26" w:name="_Toc178186936"/>
      <w:r w:rsidRPr="004574F6">
        <w:t>e) Requisitos formales para la interposición del recurso</w:t>
      </w:r>
      <w:bookmarkEnd w:id="26"/>
    </w:p>
    <w:p w14:paraId="6390674A" w14:textId="78A894DD" w:rsidR="00BA55A8" w:rsidRPr="004574F6" w:rsidRDefault="00BA55A8" w:rsidP="004574F6">
      <w:pPr>
        <w:rPr>
          <w:rFonts w:cs="Arial"/>
        </w:rPr>
      </w:pPr>
      <w:r w:rsidRPr="004574F6">
        <w:rPr>
          <w:rFonts w:cs="Arial"/>
          <w:b/>
          <w:bCs/>
        </w:rPr>
        <w:t xml:space="preserve">LA PARTE RECURRENTE </w:t>
      </w:r>
      <w:r w:rsidRPr="004574F6">
        <w:rPr>
          <w:rFonts w:cs="Arial"/>
        </w:rPr>
        <w:t>acreditó todos y cada uno de los elementos formales exigidos por el artículo 180 de la misma normatividad.</w:t>
      </w:r>
    </w:p>
    <w:p w14:paraId="20BDA7EE" w14:textId="77777777" w:rsidR="005F5301" w:rsidRPr="004574F6" w:rsidRDefault="005F5301" w:rsidP="004574F6">
      <w:pPr>
        <w:rPr>
          <w:rFonts w:cs="Arial"/>
        </w:rPr>
      </w:pPr>
    </w:p>
    <w:p w14:paraId="1E5C9B96" w14:textId="77777777" w:rsidR="005F5301" w:rsidRPr="004574F6" w:rsidRDefault="005F5301" w:rsidP="004574F6">
      <w:pPr>
        <w:rPr>
          <w:rFonts w:cs="Arial"/>
          <w:sz w:val="24"/>
          <w:szCs w:val="24"/>
          <w:lang w:val="es-ES"/>
        </w:rPr>
      </w:pPr>
      <w:r w:rsidRPr="004574F6">
        <w:rPr>
          <w:sz w:val="24"/>
          <w:szCs w:val="24"/>
          <w:lang w:val="es-ES"/>
        </w:rPr>
        <w:t xml:space="preserve">Es importante mencionar que, de la revisión del expediente electrónico del </w:t>
      </w:r>
      <w:r w:rsidRPr="004574F6">
        <w:rPr>
          <w:bCs/>
          <w:sz w:val="24"/>
          <w:szCs w:val="24"/>
          <w:lang w:val="es-ES"/>
        </w:rPr>
        <w:t>SAIMEX,</w:t>
      </w:r>
      <w:r w:rsidRPr="004574F6">
        <w:rPr>
          <w:sz w:val="24"/>
          <w:szCs w:val="24"/>
          <w:lang w:val="es-ES"/>
        </w:rPr>
        <w:t xml:space="preserve"> se observa que </w:t>
      </w:r>
      <w:r w:rsidRPr="004574F6">
        <w:rPr>
          <w:b/>
          <w:bCs/>
          <w:sz w:val="24"/>
          <w:szCs w:val="24"/>
          <w:lang w:val="es-ES"/>
        </w:rPr>
        <w:t>LA PARTE RECURRENTE</w:t>
      </w:r>
      <w:r w:rsidRPr="004574F6">
        <w:rPr>
          <w:sz w:val="24"/>
          <w:szCs w:val="24"/>
          <w:lang w:val="es-ES"/>
        </w:rPr>
        <w:t xml:space="preserve"> no proporcionó su nombre para ser identificado, lo que en estricto sentido provoca que </w:t>
      </w:r>
      <w:r w:rsidRPr="004574F6">
        <w:rPr>
          <w:rFonts w:cs="Arial"/>
          <w:sz w:val="24"/>
          <w:szCs w:val="24"/>
          <w:lang w:val="es-ES"/>
        </w:rPr>
        <w:t>no</w:t>
      </w:r>
      <w:r w:rsidRPr="004574F6">
        <w:rPr>
          <w:sz w:val="24"/>
          <w:szCs w:val="24"/>
          <w:lang w:val="es-ES"/>
        </w:rPr>
        <w:t xml:space="preserve"> se colmen los requisitos establecidos en el artículo 180 de la Ley de Transparencia; sin embargo, el artículo 15 de </w:t>
      </w:r>
      <w:r w:rsidRPr="004574F6">
        <w:rPr>
          <w:rFonts w:cs="Arial"/>
          <w:sz w:val="24"/>
          <w:szCs w:val="24"/>
          <w:lang w:val="es-ES" w:eastAsia="es-MX"/>
        </w:rPr>
        <w:t xml:space="preserve">Ley de Transparencia y Acceso a la </w:t>
      </w:r>
      <w:r w:rsidRPr="004574F6">
        <w:rPr>
          <w:rFonts w:cs="Arial"/>
          <w:sz w:val="24"/>
          <w:szCs w:val="24"/>
          <w:lang w:val="es-ES"/>
        </w:rPr>
        <w:t>Información</w:t>
      </w:r>
      <w:r w:rsidRPr="004574F6">
        <w:rPr>
          <w:rFonts w:cs="Arial"/>
          <w:sz w:val="24"/>
          <w:szCs w:val="24"/>
          <w:lang w:val="es-ES" w:eastAsia="es-MX"/>
        </w:rPr>
        <w:t xml:space="preserve"> Pública del Estado de México y Municipios </w:t>
      </w:r>
      <w:r w:rsidRPr="004574F6">
        <w:rPr>
          <w:rFonts w:cs="Arial"/>
          <w:iCs/>
          <w:sz w:val="24"/>
          <w:szCs w:val="24"/>
          <w:lang w:val="es-ES"/>
        </w:rPr>
        <w:t xml:space="preserve">prevé que </w:t>
      </w:r>
      <w:r w:rsidRPr="004574F6">
        <w:rPr>
          <w:sz w:val="24"/>
          <w:szCs w:val="24"/>
          <w:lang w:val="es-ES"/>
        </w:rPr>
        <w:t xml:space="preserve">toda persona tendrá acceso a la información </w:t>
      </w:r>
      <w:r w:rsidRPr="004574F6">
        <w:rPr>
          <w:rFonts w:cs="Arial"/>
          <w:sz w:val="24"/>
          <w:szCs w:val="24"/>
          <w:lang w:val="es-ES"/>
        </w:rPr>
        <w:t xml:space="preserve">sin necesidad de acreditar interés alguno o justificar su utilización, de lo que se infiere que </w:t>
      </w:r>
      <w:r w:rsidRPr="004574F6">
        <w:rPr>
          <w:rFonts w:cs="Arial"/>
          <w:b/>
          <w:sz w:val="24"/>
          <w:szCs w:val="24"/>
          <w:u w:val="single"/>
          <w:lang w:val="es-ES"/>
        </w:rPr>
        <w:t xml:space="preserve">el nombre no es un requisito </w:t>
      </w:r>
      <w:r w:rsidRPr="004574F6">
        <w:rPr>
          <w:rFonts w:cs="Arial"/>
          <w:b/>
          <w:iCs/>
          <w:sz w:val="24"/>
          <w:szCs w:val="24"/>
          <w:u w:val="single"/>
          <w:lang w:val="es-ES"/>
        </w:rPr>
        <w:t>indispensable</w:t>
      </w:r>
      <w:r w:rsidRPr="004574F6">
        <w:rPr>
          <w:rFonts w:cs="Arial"/>
          <w:sz w:val="24"/>
          <w:szCs w:val="24"/>
          <w:lang w:val="es-ES"/>
        </w:rPr>
        <w:t xml:space="preserve"> para que las y los ciudadanos ejerzan el derecho de acceso a la información pública. </w:t>
      </w:r>
    </w:p>
    <w:p w14:paraId="0DBCFA60" w14:textId="77777777" w:rsidR="005F5301" w:rsidRPr="004574F6" w:rsidRDefault="005F5301" w:rsidP="004574F6">
      <w:pPr>
        <w:rPr>
          <w:rFonts w:cs="Arial"/>
          <w:sz w:val="24"/>
          <w:szCs w:val="24"/>
          <w:lang w:val="es-ES"/>
        </w:rPr>
      </w:pPr>
    </w:p>
    <w:p w14:paraId="4B63C5CE" w14:textId="647DDEF6" w:rsidR="005F5301" w:rsidRPr="004574F6" w:rsidRDefault="005F5301" w:rsidP="004574F6">
      <w:pPr>
        <w:rPr>
          <w:sz w:val="24"/>
          <w:szCs w:val="24"/>
          <w:lang w:val="es-ES"/>
        </w:rPr>
      </w:pPr>
      <w:r w:rsidRPr="004574F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4574F6">
        <w:rPr>
          <w:sz w:val="24"/>
          <w:szCs w:val="24"/>
          <w:lang w:val="es-ES"/>
        </w:rPr>
        <w:t xml:space="preserve"> </w:t>
      </w:r>
      <w:r w:rsidRPr="004574F6">
        <w:rPr>
          <w:sz w:val="24"/>
          <w:szCs w:val="24"/>
          <w:lang w:val="es-ES"/>
        </w:rPr>
        <w:t xml:space="preserve">En adición a lo anterior, el propio artículo 180, </w:t>
      </w:r>
      <w:r w:rsidRPr="004574F6">
        <w:rPr>
          <w:sz w:val="24"/>
          <w:szCs w:val="24"/>
          <w:lang w:val="es-ES"/>
        </w:rPr>
        <w:lastRenderedPageBreak/>
        <w:t xml:space="preserve">en su último párrafo, establece que cuando el recurso de revisión se interponga de manera electrónica no será indispensable que contenga </w:t>
      </w:r>
      <w:r w:rsidR="00057B2D" w:rsidRPr="004574F6">
        <w:rPr>
          <w:sz w:val="24"/>
          <w:szCs w:val="24"/>
          <w:lang w:val="es-ES"/>
        </w:rPr>
        <w:t>algunos</w:t>
      </w:r>
      <w:r w:rsidRPr="004574F6">
        <w:rPr>
          <w:sz w:val="24"/>
          <w:szCs w:val="24"/>
          <w:lang w:val="es-ES"/>
        </w:rPr>
        <w:t xml:space="preserve"> requisitos, entre ellos, el nombre de</w:t>
      </w:r>
      <w:r w:rsidR="00057B2D" w:rsidRPr="004574F6">
        <w:rPr>
          <w:sz w:val="24"/>
          <w:szCs w:val="24"/>
          <w:lang w:val="es-ES"/>
        </w:rPr>
        <w:t xml:space="preserve"> </w:t>
      </w:r>
      <w:r w:rsidR="00057B2D" w:rsidRPr="004574F6">
        <w:rPr>
          <w:b/>
          <w:bCs/>
          <w:sz w:val="24"/>
          <w:szCs w:val="24"/>
          <w:lang w:val="es-ES"/>
        </w:rPr>
        <w:t>LA PARTE RECURRENTE</w:t>
      </w:r>
      <w:r w:rsidRPr="004574F6">
        <w:rPr>
          <w:rFonts w:cs="Arial"/>
          <w:b/>
          <w:sz w:val="24"/>
          <w:szCs w:val="24"/>
          <w:lang w:val="es-ES"/>
        </w:rPr>
        <w:t>;</w:t>
      </w:r>
      <w:r w:rsidRPr="004574F6">
        <w:rPr>
          <w:sz w:val="24"/>
          <w:szCs w:val="24"/>
          <w:lang w:val="es-ES"/>
        </w:rPr>
        <w:t xml:space="preserve"> por lo que, en el presente caso, al haber sido presentado el recurso de revisión vía </w:t>
      </w:r>
      <w:r w:rsidRPr="004574F6">
        <w:rPr>
          <w:bCs/>
          <w:sz w:val="24"/>
          <w:szCs w:val="24"/>
          <w:lang w:val="es-ES"/>
        </w:rPr>
        <w:t>SAIMEX</w:t>
      </w:r>
      <w:r w:rsidRPr="004574F6">
        <w:rPr>
          <w:sz w:val="24"/>
          <w:szCs w:val="24"/>
          <w:lang w:val="es-ES"/>
        </w:rPr>
        <w:t>, dicho requisito resulta innecesario.</w:t>
      </w:r>
    </w:p>
    <w:p w14:paraId="3A121826" w14:textId="77777777" w:rsidR="00C461EC" w:rsidRPr="004574F6" w:rsidRDefault="00C461EC" w:rsidP="004574F6">
      <w:pPr>
        <w:ind w:left="-57"/>
        <w:rPr>
          <w:bCs/>
          <w:lang w:val="es-ES_tradnl"/>
        </w:rPr>
      </w:pPr>
    </w:p>
    <w:p w14:paraId="457548E9" w14:textId="3F7AF03B" w:rsidR="00C71CEF" w:rsidRPr="004574F6" w:rsidRDefault="00C71CEF" w:rsidP="004574F6">
      <w:pPr>
        <w:pStyle w:val="Ttulo2"/>
      </w:pPr>
      <w:bookmarkStart w:id="27" w:name="_Toc178186937"/>
      <w:r w:rsidRPr="004574F6">
        <w:t>SEGUNDO. Estudio de Fondo</w:t>
      </w:r>
      <w:bookmarkEnd w:id="27"/>
    </w:p>
    <w:p w14:paraId="2A308F59" w14:textId="0FF373F0" w:rsidR="00C049E2" w:rsidRPr="004574F6" w:rsidRDefault="00C71CEF" w:rsidP="004574F6">
      <w:pPr>
        <w:pStyle w:val="Ttulo3"/>
      </w:pPr>
      <w:bookmarkStart w:id="28" w:name="_Toc178186938"/>
      <w:r w:rsidRPr="004574F6">
        <w:t>a</w:t>
      </w:r>
      <w:r w:rsidR="00C049E2" w:rsidRPr="004574F6">
        <w:t>) Mandato de transparencia y responsabilidad del Sujeto Obligado</w:t>
      </w:r>
      <w:bookmarkEnd w:id="28"/>
    </w:p>
    <w:p w14:paraId="6901A889" w14:textId="59EEDAE1" w:rsidR="00C049E2" w:rsidRPr="004574F6" w:rsidRDefault="00C049E2" w:rsidP="004574F6">
      <w:pPr>
        <w:rPr>
          <w:rFonts w:eastAsia="Palatino Linotype"/>
        </w:rPr>
      </w:pPr>
      <w:r w:rsidRPr="004574F6">
        <w:rPr>
          <w:rFonts w:eastAsia="Palatino Linotype"/>
        </w:rPr>
        <w:t xml:space="preserve">El </w:t>
      </w:r>
      <w:r w:rsidR="00717E59" w:rsidRPr="004574F6">
        <w:rPr>
          <w:rFonts w:eastAsia="Palatino Linotype"/>
        </w:rPr>
        <w:t>d</w:t>
      </w:r>
      <w:r w:rsidRPr="004574F6">
        <w:rPr>
          <w:rFonts w:eastAsia="Palatino Linotype"/>
        </w:rPr>
        <w:t xml:space="preserve">erecho de </w:t>
      </w:r>
      <w:r w:rsidR="00717E59" w:rsidRPr="004574F6">
        <w:rPr>
          <w:rFonts w:eastAsia="Palatino Linotype"/>
        </w:rPr>
        <w:t>a</w:t>
      </w:r>
      <w:r w:rsidRPr="004574F6">
        <w:rPr>
          <w:rFonts w:eastAsia="Palatino Linotype"/>
        </w:rPr>
        <w:t xml:space="preserve">cceso a la </w:t>
      </w:r>
      <w:r w:rsidR="00717E59" w:rsidRPr="004574F6">
        <w:rPr>
          <w:rFonts w:eastAsia="Palatino Linotype"/>
        </w:rPr>
        <w:t>i</w:t>
      </w:r>
      <w:r w:rsidRPr="004574F6">
        <w:rPr>
          <w:rFonts w:eastAsia="Palatino Linotype"/>
        </w:rPr>
        <w:t xml:space="preserve">nformación </w:t>
      </w:r>
      <w:r w:rsidR="00717E59" w:rsidRPr="004574F6">
        <w:rPr>
          <w:rFonts w:eastAsia="Palatino Linotype"/>
        </w:rPr>
        <w:t>p</w:t>
      </w:r>
      <w:r w:rsidRPr="004574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574F6">
        <w:rPr>
          <w:rFonts w:eastAsia="Palatino Linotype"/>
        </w:rPr>
        <w:t>:</w:t>
      </w:r>
    </w:p>
    <w:p w14:paraId="7FAB8D32" w14:textId="77777777" w:rsidR="00C049E2" w:rsidRPr="004574F6" w:rsidRDefault="00C049E2" w:rsidP="004574F6">
      <w:pPr>
        <w:rPr>
          <w:rFonts w:eastAsia="Palatino Linotype"/>
        </w:rPr>
      </w:pPr>
    </w:p>
    <w:p w14:paraId="05320813" w14:textId="77777777" w:rsidR="00C049E2" w:rsidRPr="004574F6" w:rsidRDefault="00C049E2" w:rsidP="004574F6">
      <w:pPr>
        <w:spacing w:line="240" w:lineRule="auto"/>
        <w:ind w:left="567" w:right="539"/>
        <w:rPr>
          <w:rFonts w:eastAsia="Palatino Linotype"/>
          <w:b/>
          <w:i/>
        </w:rPr>
      </w:pPr>
      <w:r w:rsidRPr="004574F6">
        <w:rPr>
          <w:rFonts w:eastAsia="Palatino Linotype"/>
          <w:b/>
          <w:i/>
        </w:rPr>
        <w:t>Constitución Política de los Estados Unidos Mexicanos</w:t>
      </w:r>
    </w:p>
    <w:p w14:paraId="6B6C67B6" w14:textId="77777777" w:rsidR="00C049E2" w:rsidRPr="004574F6" w:rsidRDefault="00C049E2" w:rsidP="004574F6">
      <w:pPr>
        <w:spacing w:line="240" w:lineRule="auto"/>
        <w:ind w:left="567" w:right="539"/>
        <w:rPr>
          <w:rFonts w:eastAsia="Palatino Linotype"/>
          <w:b/>
          <w:i/>
        </w:rPr>
      </w:pPr>
      <w:r w:rsidRPr="004574F6">
        <w:rPr>
          <w:rFonts w:eastAsia="Palatino Linotype"/>
          <w:b/>
          <w:i/>
        </w:rPr>
        <w:t>“Artículo 6.</w:t>
      </w:r>
    </w:p>
    <w:p w14:paraId="38D3B4C4" w14:textId="77777777" w:rsidR="00C049E2" w:rsidRPr="004574F6" w:rsidRDefault="00C049E2" w:rsidP="004574F6">
      <w:pPr>
        <w:spacing w:line="240" w:lineRule="auto"/>
        <w:ind w:left="567" w:right="539"/>
        <w:rPr>
          <w:rFonts w:eastAsia="Palatino Linotype"/>
          <w:i/>
        </w:rPr>
      </w:pPr>
      <w:r w:rsidRPr="004574F6">
        <w:rPr>
          <w:rFonts w:eastAsia="Palatino Linotype"/>
          <w:i/>
        </w:rPr>
        <w:t>(…)</w:t>
      </w:r>
    </w:p>
    <w:p w14:paraId="2CCAA297" w14:textId="6602827B" w:rsidR="00C049E2" w:rsidRPr="004574F6" w:rsidRDefault="00C049E2" w:rsidP="004574F6">
      <w:pPr>
        <w:spacing w:line="240" w:lineRule="auto"/>
        <w:ind w:left="567" w:right="539"/>
        <w:rPr>
          <w:rFonts w:eastAsia="Palatino Linotype"/>
          <w:i/>
        </w:rPr>
      </w:pPr>
      <w:r w:rsidRPr="004574F6">
        <w:rPr>
          <w:rFonts w:eastAsia="Palatino Linotype"/>
          <w:i/>
        </w:rPr>
        <w:t>Para efectos de lo dispuesto en el presente artículo se observará lo siguiente:</w:t>
      </w:r>
    </w:p>
    <w:p w14:paraId="74CC3718" w14:textId="77777777" w:rsidR="00C049E2" w:rsidRPr="004574F6" w:rsidRDefault="00C049E2" w:rsidP="004574F6">
      <w:pPr>
        <w:spacing w:line="240" w:lineRule="auto"/>
        <w:ind w:left="567" w:right="539"/>
        <w:rPr>
          <w:rFonts w:eastAsia="Palatino Linotype"/>
          <w:b/>
          <w:i/>
        </w:rPr>
      </w:pPr>
      <w:r w:rsidRPr="004574F6">
        <w:rPr>
          <w:rFonts w:eastAsia="Palatino Linotype"/>
          <w:b/>
          <w:i/>
        </w:rPr>
        <w:t>A</w:t>
      </w:r>
      <w:r w:rsidRPr="004574F6">
        <w:rPr>
          <w:rFonts w:eastAsia="Palatino Linotype"/>
          <w:i/>
        </w:rPr>
        <w:t xml:space="preserve">. </w:t>
      </w:r>
      <w:r w:rsidRPr="004574F6">
        <w:rPr>
          <w:rFonts w:eastAsia="Palatino Linotype"/>
          <w:b/>
          <w:i/>
        </w:rPr>
        <w:t>Para el ejercicio del derecho de acceso a la información</w:t>
      </w:r>
      <w:r w:rsidRPr="004574F6">
        <w:rPr>
          <w:rFonts w:eastAsia="Palatino Linotype"/>
          <w:i/>
        </w:rPr>
        <w:t xml:space="preserve">, la Federación y </w:t>
      </w:r>
      <w:r w:rsidRPr="004574F6">
        <w:rPr>
          <w:rFonts w:eastAsia="Palatino Linotype"/>
          <w:b/>
          <w:i/>
        </w:rPr>
        <w:t>las entidades federativas, en el ámbito de sus respectivas competencias, se regirán por los siguientes principios y bases:</w:t>
      </w:r>
    </w:p>
    <w:p w14:paraId="596A956B" w14:textId="77777777" w:rsidR="00C049E2" w:rsidRPr="004574F6" w:rsidRDefault="00C049E2" w:rsidP="004574F6">
      <w:pPr>
        <w:spacing w:line="240" w:lineRule="auto"/>
        <w:ind w:left="567" w:right="539"/>
        <w:rPr>
          <w:rFonts w:eastAsia="Palatino Linotype"/>
          <w:i/>
        </w:rPr>
      </w:pPr>
      <w:r w:rsidRPr="004574F6">
        <w:rPr>
          <w:rFonts w:eastAsia="Palatino Linotype"/>
          <w:b/>
          <w:i/>
        </w:rPr>
        <w:t xml:space="preserve">I. </w:t>
      </w:r>
      <w:r w:rsidRPr="004574F6">
        <w:rPr>
          <w:rFonts w:eastAsia="Palatino Linotype"/>
          <w:b/>
          <w:i/>
        </w:rPr>
        <w:tab/>
        <w:t>Toda la información en posesión de cualquier</w:t>
      </w:r>
      <w:r w:rsidRPr="004574F6">
        <w:rPr>
          <w:rFonts w:eastAsia="Palatino Linotype"/>
          <w:i/>
        </w:rPr>
        <w:t xml:space="preserve"> </w:t>
      </w:r>
      <w:r w:rsidRPr="004574F6">
        <w:rPr>
          <w:rFonts w:eastAsia="Palatino Linotype"/>
          <w:b/>
          <w:i/>
        </w:rPr>
        <w:t>autoridad</w:t>
      </w:r>
      <w:r w:rsidRPr="004574F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574F6">
        <w:rPr>
          <w:rFonts w:eastAsia="Palatino Linotype"/>
          <w:b/>
          <w:i/>
        </w:rPr>
        <w:t>municipal</w:t>
      </w:r>
      <w:r w:rsidRPr="004574F6">
        <w:rPr>
          <w:rFonts w:eastAsia="Palatino Linotype"/>
          <w:i/>
        </w:rPr>
        <w:t xml:space="preserve">, </w:t>
      </w:r>
      <w:r w:rsidRPr="004574F6">
        <w:rPr>
          <w:rFonts w:eastAsia="Palatino Linotype"/>
          <w:b/>
          <w:i/>
        </w:rPr>
        <w:t>es pública</w:t>
      </w:r>
      <w:r w:rsidRPr="004574F6">
        <w:rPr>
          <w:rFonts w:eastAsia="Palatino Linotype"/>
          <w:i/>
        </w:rPr>
        <w:t xml:space="preserve"> y sólo podrá ser reservada temporalmente por razones de interés público y seguridad nacional, en los términos que fijen las leyes. </w:t>
      </w:r>
      <w:r w:rsidRPr="004574F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574F6">
        <w:rPr>
          <w:rFonts w:eastAsia="Palatino Linotype"/>
          <w:i/>
        </w:rPr>
        <w:t>, la ley determinará los supuestos específicos bajo los cuales procederá la declaración de inexistencia de la información.”</w:t>
      </w:r>
    </w:p>
    <w:p w14:paraId="68F313E4" w14:textId="77777777" w:rsidR="00C049E2" w:rsidRPr="004574F6" w:rsidRDefault="00C049E2" w:rsidP="004574F6">
      <w:pPr>
        <w:spacing w:line="240" w:lineRule="auto"/>
        <w:ind w:left="567" w:right="539"/>
        <w:rPr>
          <w:rFonts w:eastAsia="Palatino Linotype"/>
          <w:b/>
          <w:i/>
        </w:rPr>
      </w:pPr>
    </w:p>
    <w:p w14:paraId="504F12DB" w14:textId="77777777" w:rsidR="00C049E2" w:rsidRPr="004574F6" w:rsidRDefault="00C049E2" w:rsidP="004574F6">
      <w:pPr>
        <w:spacing w:line="240" w:lineRule="auto"/>
        <w:ind w:left="567" w:right="539"/>
        <w:rPr>
          <w:rFonts w:eastAsia="Palatino Linotype"/>
          <w:b/>
          <w:i/>
        </w:rPr>
      </w:pPr>
      <w:r w:rsidRPr="004574F6">
        <w:rPr>
          <w:rFonts w:eastAsia="Palatino Linotype"/>
          <w:b/>
          <w:i/>
        </w:rPr>
        <w:t>Constitución Política del Estado Libre y Soberano de México</w:t>
      </w:r>
    </w:p>
    <w:p w14:paraId="04932D29" w14:textId="77777777" w:rsidR="00C049E2" w:rsidRPr="004574F6" w:rsidRDefault="00C049E2" w:rsidP="004574F6">
      <w:pPr>
        <w:spacing w:line="240" w:lineRule="auto"/>
        <w:ind w:left="567" w:right="539"/>
        <w:rPr>
          <w:rFonts w:eastAsia="Palatino Linotype"/>
          <w:i/>
        </w:rPr>
      </w:pPr>
      <w:r w:rsidRPr="004574F6">
        <w:rPr>
          <w:rFonts w:eastAsia="Palatino Linotype"/>
          <w:b/>
          <w:i/>
        </w:rPr>
        <w:lastRenderedPageBreak/>
        <w:t>“Artículo 5</w:t>
      </w:r>
      <w:r w:rsidRPr="004574F6">
        <w:rPr>
          <w:rFonts w:eastAsia="Palatino Linotype"/>
          <w:i/>
        </w:rPr>
        <w:t xml:space="preserve">.- </w:t>
      </w:r>
    </w:p>
    <w:p w14:paraId="1D3829F4" w14:textId="77777777" w:rsidR="00C049E2" w:rsidRPr="004574F6" w:rsidRDefault="00C049E2" w:rsidP="004574F6">
      <w:pPr>
        <w:spacing w:line="240" w:lineRule="auto"/>
        <w:ind w:left="567" w:right="539"/>
        <w:rPr>
          <w:rFonts w:eastAsia="Palatino Linotype"/>
          <w:i/>
        </w:rPr>
      </w:pPr>
      <w:r w:rsidRPr="004574F6">
        <w:rPr>
          <w:rFonts w:eastAsia="Palatino Linotype"/>
          <w:i/>
        </w:rPr>
        <w:t>(…)</w:t>
      </w:r>
    </w:p>
    <w:p w14:paraId="0EAE47FD" w14:textId="77777777" w:rsidR="00C049E2" w:rsidRPr="004574F6" w:rsidRDefault="00C049E2" w:rsidP="004574F6">
      <w:pPr>
        <w:spacing w:line="240" w:lineRule="auto"/>
        <w:ind w:left="567" w:right="539"/>
        <w:rPr>
          <w:rFonts w:eastAsia="Palatino Linotype"/>
          <w:i/>
        </w:rPr>
      </w:pPr>
      <w:r w:rsidRPr="004574F6">
        <w:rPr>
          <w:rFonts w:eastAsia="Palatino Linotype"/>
          <w:b/>
          <w:i/>
        </w:rPr>
        <w:t>El derecho a la información será garantizado por el Estado. La ley establecerá las previsiones que permitan asegurar la protección, el respeto y la difusión de este derecho</w:t>
      </w:r>
      <w:r w:rsidRPr="004574F6">
        <w:rPr>
          <w:rFonts w:eastAsia="Palatino Linotype"/>
          <w:i/>
        </w:rPr>
        <w:t>.</w:t>
      </w:r>
    </w:p>
    <w:p w14:paraId="4F0C804A" w14:textId="77777777" w:rsidR="00C049E2" w:rsidRPr="004574F6" w:rsidRDefault="00C049E2" w:rsidP="004574F6">
      <w:pPr>
        <w:spacing w:line="240" w:lineRule="auto"/>
        <w:ind w:left="567" w:right="539"/>
        <w:rPr>
          <w:rFonts w:eastAsia="Palatino Linotype"/>
          <w:i/>
        </w:rPr>
      </w:pPr>
      <w:r w:rsidRPr="004574F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574F6" w:rsidRDefault="00C049E2" w:rsidP="004574F6">
      <w:pPr>
        <w:spacing w:line="240" w:lineRule="auto"/>
        <w:ind w:left="567" w:right="539"/>
        <w:rPr>
          <w:rFonts w:eastAsia="Palatino Linotype"/>
          <w:i/>
        </w:rPr>
      </w:pPr>
      <w:r w:rsidRPr="004574F6">
        <w:rPr>
          <w:rFonts w:eastAsia="Palatino Linotype"/>
          <w:b/>
          <w:i/>
        </w:rPr>
        <w:t>Este derecho se regirá por los principios y bases siguientes</w:t>
      </w:r>
      <w:r w:rsidRPr="004574F6">
        <w:rPr>
          <w:rFonts w:eastAsia="Palatino Linotype"/>
          <w:i/>
        </w:rPr>
        <w:t>:</w:t>
      </w:r>
    </w:p>
    <w:p w14:paraId="4A3E8CBA" w14:textId="77777777" w:rsidR="00C049E2" w:rsidRPr="004574F6" w:rsidRDefault="00C049E2" w:rsidP="004574F6">
      <w:pPr>
        <w:spacing w:line="240" w:lineRule="auto"/>
        <w:ind w:left="567" w:right="539"/>
        <w:rPr>
          <w:rFonts w:eastAsia="Palatino Linotype"/>
          <w:i/>
        </w:rPr>
      </w:pPr>
      <w:r w:rsidRPr="004574F6">
        <w:rPr>
          <w:rFonts w:eastAsia="Palatino Linotype"/>
          <w:b/>
          <w:i/>
        </w:rPr>
        <w:t>I. Toda la información en posesión de cualquier autoridad, entidad, órgano y organismos de los</w:t>
      </w:r>
      <w:r w:rsidRPr="004574F6">
        <w:rPr>
          <w:rFonts w:eastAsia="Palatino Linotype"/>
          <w:i/>
        </w:rPr>
        <w:t xml:space="preserve"> Poderes Ejecutivo, Legislativo y Judicial, órganos autónomos, partidos políticos, fideicomisos y fondos públicos estatales y </w:t>
      </w:r>
      <w:r w:rsidRPr="004574F6">
        <w:rPr>
          <w:rFonts w:eastAsia="Palatino Linotype"/>
          <w:b/>
          <w:i/>
        </w:rPr>
        <w:t>municipales</w:t>
      </w:r>
      <w:r w:rsidRPr="004574F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574F6">
        <w:rPr>
          <w:rFonts w:eastAsia="Palatino Linotype"/>
          <w:b/>
          <w:i/>
        </w:rPr>
        <w:t>es pública</w:t>
      </w:r>
      <w:r w:rsidRPr="004574F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574F6">
        <w:rPr>
          <w:rFonts w:eastAsia="Palatino Linotype"/>
          <w:b/>
          <w:i/>
        </w:rPr>
        <w:t>En la interpretación de este derecho deberá prevalecer el principio de máxima publicidad</w:t>
      </w:r>
      <w:r w:rsidRPr="004574F6">
        <w:rPr>
          <w:rFonts w:eastAsia="Palatino Linotype"/>
          <w:i/>
        </w:rPr>
        <w:t xml:space="preserve">. </w:t>
      </w:r>
      <w:r w:rsidRPr="004574F6">
        <w:rPr>
          <w:rFonts w:eastAsia="Palatino Linotype"/>
          <w:b/>
          <w:i/>
        </w:rPr>
        <w:t>Los sujetos obligados deberán documentar todo acto que derive del ejercicio de sus facultades, competencias o funciones</w:t>
      </w:r>
      <w:r w:rsidRPr="004574F6">
        <w:rPr>
          <w:rFonts w:eastAsia="Palatino Linotype"/>
          <w:i/>
        </w:rPr>
        <w:t>, la ley determinará los supuestos específicos bajo los cuales procederá la declaración de inexistencia de la información.”</w:t>
      </w:r>
    </w:p>
    <w:p w14:paraId="5CA98E37" w14:textId="77777777" w:rsidR="00C049E2" w:rsidRPr="004574F6" w:rsidRDefault="00C049E2" w:rsidP="004574F6">
      <w:pPr>
        <w:rPr>
          <w:rFonts w:eastAsia="Palatino Linotype"/>
          <w:b/>
          <w:i/>
        </w:rPr>
      </w:pPr>
    </w:p>
    <w:p w14:paraId="6FC1BB3B" w14:textId="3BF4A33D" w:rsidR="00C049E2" w:rsidRPr="004574F6" w:rsidRDefault="00717E59" w:rsidP="004574F6">
      <w:pPr>
        <w:rPr>
          <w:rFonts w:eastAsia="Palatino Linotype"/>
          <w:i/>
        </w:rPr>
      </w:pPr>
      <w:r w:rsidRPr="004574F6">
        <w:rPr>
          <w:rFonts w:eastAsia="Palatino Linotype"/>
        </w:rPr>
        <w:t xml:space="preserve">Asimismo, </w:t>
      </w:r>
      <w:r w:rsidR="00C049E2" w:rsidRPr="004574F6">
        <w:rPr>
          <w:rFonts w:eastAsia="Palatino Linotype"/>
        </w:rPr>
        <w:t>el artículo 150 de la Ley de Transparencia y Acceso a la Información Pública del Estado de México y Municipios</w:t>
      </w:r>
      <w:r w:rsidR="00057B2D" w:rsidRPr="004574F6">
        <w:rPr>
          <w:rFonts w:eastAsia="Palatino Linotype"/>
        </w:rPr>
        <w:t xml:space="preserve"> </w:t>
      </w:r>
      <w:r w:rsidR="00E9335C" w:rsidRPr="004574F6">
        <w:rPr>
          <w:rFonts w:eastAsia="Palatino Linotype"/>
        </w:rPr>
        <w:t xml:space="preserve">indica </w:t>
      </w:r>
      <w:r w:rsidR="00057B2D" w:rsidRPr="004574F6">
        <w:rPr>
          <w:rFonts w:eastAsia="Palatino Linotype"/>
        </w:rPr>
        <w:t>que</w:t>
      </w:r>
      <w:r w:rsidR="00C049E2" w:rsidRPr="004574F6">
        <w:rPr>
          <w:rFonts w:eastAsia="Palatino Linotype"/>
        </w:rPr>
        <w:t xml:space="preserve"> la solicitud es la garantía primaria del Derecho de Acceso a la Información, además, establece que se regirá </w:t>
      </w:r>
      <w:r w:rsidR="00C049E2" w:rsidRPr="004574F6">
        <w:rPr>
          <w:rFonts w:eastAsia="Palatino Linotype"/>
          <w:i/>
        </w:rPr>
        <w:t>por los principios de simplicidad, rapidez</w:t>
      </w:r>
      <w:r w:rsidR="005F65B7" w:rsidRPr="004574F6">
        <w:rPr>
          <w:rFonts w:eastAsia="Palatino Linotype"/>
          <w:i/>
        </w:rPr>
        <w:t>,</w:t>
      </w:r>
      <w:r w:rsidR="00C049E2" w:rsidRPr="004574F6">
        <w:rPr>
          <w:rFonts w:eastAsia="Palatino Linotype"/>
          <w:i/>
        </w:rPr>
        <w:t xml:space="preserve"> gratuidad del procedimiento, auxilio y orientación a los particulare</w:t>
      </w:r>
      <w:r w:rsidR="001A58B3" w:rsidRPr="004574F6">
        <w:rPr>
          <w:rFonts w:eastAsia="Palatino Linotype"/>
          <w:i/>
        </w:rPr>
        <w:t>s.</w:t>
      </w:r>
    </w:p>
    <w:p w14:paraId="033466A6" w14:textId="77777777" w:rsidR="001A58B3" w:rsidRPr="004574F6" w:rsidRDefault="001A58B3" w:rsidP="004574F6">
      <w:pPr>
        <w:rPr>
          <w:rFonts w:eastAsia="Palatino Linotype"/>
          <w:i/>
        </w:rPr>
      </w:pPr>
    </w:p>
    <w:p w14:paraId="04ADA10B" w14:textId="574A944A" w:rsidR="001A58B3" w:rsidRPr="004574F6" w:rsidRDefault="00233F17" w:rsidP="004574F6">
      <w:pPr>
        <w:rPr>
          <w:rFonts w:eastAsia="Palatino Linotype" w:cs="Palatino Linotype"/>
          <w:i/>
          <w:szCs w:val="22"/>
        </w:rPr>
      </w:pPr>
      <w:r w:rsidRPr="004574F6">
        <w:rPr>
          <w:rFonts w:eastAsia="Palatino Linotype" w:cs="Palatino Linotype"/>
        </w:rPr>
        <w:t xml:space="preserve">Por su parte, el artículo 4 de </w:t>
      </w:r>
      <w:r w:rsidR="001A58B3" w:rsidRPr="004574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574F6">
        <w:rPr>
          <w:rFonts w:eastAsia="Palatino Linotype" w:cs="Palatino Linotype"/>
        </w:rPr>
        <w:t>.</w:t>
      </w:r>
    </w:p>
    <w:p w14:paraId="7552AA79" w14:textId="5C52E4A4" w:rsidR="001A58B3" w:rsidRPr="004574F6" w:rsidRDefault="001A58B3" w:rsidP="004574F6">
      <w:pPr>
        <w:rPr>
          <w:rFonts w:eastAsia="Palatino Linotype" w:cs="Palatino Linotype"/>
        </w:rPr>
      </w:pPr>
      <w:r w:rsidRPr="004574F6">
        <w:rPr>
          <w:rFonts w:eastAsia="Palatino Linotype" w:cs="Palatino Linotype"/>
        </w:rPr>
        <w:lastRenderedPageBreak/>
        <w:t xml:space="preserve">Esto es, que los Sujetos Obligados </w:t>
      </w:r>
      <w:r w:rsidR="00FA5957" w:rsidRPr="004574F6">
        <w:rPr>
          <w:rFonts w:eastAsia="Palatino Linotype" w:cs="Palatino Linotype"/>
        </w:rPr>
        <w:t>deben</w:t>
      </w:r>
      <w:r w:rsidRPr="004574F6">
        <w:rPr>
          <w:rFonts w:eastAsia="Palatino Linotype" w:cs="Palatino Linotype"/>
        </w:rPr>
        <w:t xml:space="preserve"> atender las solicitudes de acceso a la información pública que se les </w:t>
      </w:r>
      <w:r w:rsidR="00FA5957" w:rsidRPr="004574F6">
        <w:rPr>
          <w:rFonts w:eastAsia="Palatino Linotype" w:cs="Palatino Linotype"/>
        </w:rPr>
        <w:t>sean realizadas,</w:t>
      </w:r>
      <w:r w:rsidRPr="004574F6">
        <w:rPr>
          <w:rFonts w:eastAsia="Palatino Linotype" w:cs="Palatino Linotype"/>
        </w:rPr>
        <w:t xml:space="preserve"> y proporcionar la información pública que obre en su poder</w:t>
      </w:r>
      <w:r w:rsidR="00FA5957" w:rsidRPr="004574F6">
        <w:rPr>
          <w:rFonts w:eastAsia="Palatino Linotype" w:cs="Palatino Linotype"/>
        </w:rPr>
        <w:t>,</w:t>
      </w:r>
      <w:r w:rsidRPr="004574F6">
        <w:rPr>
          <w:rFonts w:eastAsia="Palatino Linotype" w:cs="Palatino Linotype"/>
        </w:rPr>
        <w:t xml:space="preserve"> conforme </w:t>
      </w:r>
      <w:r w:rsidR="00FA5957" w:rsidRPr="004574F6">
        <w:rPr>
          <w:rFonts w:eastAsia="Palatino Linotype" w:cs="Palatino Linotype"/>
        </w:rPr>
        <w:t>a</w:t>
      </w:r>
      <w:r w:rsidRPr="004574F6">
        <w:rPr>
          <w:rFonts w:eastAsia="Palatino Linotype" w:cs="Palatino Linotype"/>
        </w:rPr>
        <w:t xml:space="preserve">l estado </w:t>
      </w:r>
      <w:r w:rsidR="00FA5957" w:rsidRPr="004574F6">
        <w:rPr>
          <w:rFonts w:eastAsia="Palatino Linotype" w:cs="Palatino Linotype"/>
        </w:rPr>
        <w:t xml:space="preserve">en </w:t>
      </w:r>
      <w:r w:rsidRPr="004574F6">
        <w:rPr>
          <w:rFonts w:eastAsia="Palatino Linotype" w:cs="Palatino Linotype"/>
        </w:rPr>
        <w:t>que se encuentr</w:t>
      </w:r>
      <w:r w:rsidR="00FA5957" w:rsidRPr="004574F6">
        <w:rPr>
          <w:rFonts w:eastAsia="Palatino Linotype" w:cs="Palatino Linotype"/>
        </w:rPr>
        <w:t>e, sin que sea necesario</w:t>
      </w:r>
      <w:r w:rsidRPr="004574F6">
        <w:rPr>
          <w:rFonts w:eastAsia="Palatino Linotype" w:cs="Palatino Linotype"/>
        </w:rPr>
        <w:t xml:space="preserve"> </w:t>
      </w:r>
      <w:r w:rsidR="00FA5957" w:rsidRPr="004574F6">
        <w:rPr>
          <w:rFonts w:eastAsia="Palatino Linotype" w:cs="Palatino Linotype"/>
        </w:rPr>
        <w:t>procesar</w:t>
      </w:r>
      <w:r w:rsidRPr="004574F6">
        <w:rPr>
          <w:rFonts w:eastAsia="Palatino Linotype" w:cs="Palatino Linotype"/>
        </w:rPr>
        <w:t xml:space="preserve"> la misma, ni presentarla conforme al interés del solicitante; </w:t>
      </w:r>
      <w:r w:rsidR="00FA5957" w:rsidRPr="004574F6">
        <w:rPr>
          <w:rFonts w:eastAsia="Palatino Linotype" w:cs="Palatino Linotype"/>
        </w:rPr>
        <w:t>tal y como</w:t>
      </w:r>
      <w:r w:rsidRPr="004574F6">
        <w:rPr>
          <w:rFonts w:eastAsia="Palatino Linotype" w:cs="Palatino Linotype"/>
        </w:rPr>
        <w:t xml:space="preserve"> lo establece el artículo 12 de la Ley de Transparencia y Acceso a la Información Pública del Estado de México y Municipios</w:t>
      </w:r>
      <w:r w:rsidR="00970EB3" w:rsidRPr="004574F6">
        <w:rPr>
          <w:rFonts w:eastAsia="Palatino Linotype" w:cs="Palatino Linotype"/>
        </w:rPr>
        <w:t>.</w:t>
      </w:r>
    </w:p>
    <w:p w14:paraId="73245195" w14:textId="77777777" w:rsidR="00970EB3" w:rsidRPr="004574F6" w:rsidRDefault="00970EB3" w:rsidP="004574F6">
      <w:pPr>
        <w:rPr>
          <w:rFonts w:eastAsia="Palatino Linotype" w:cs="Palatino Linotype"/>
        </w:rPr>
      </w:pPr>
    </w:p>
    <w:p w14:paraId="7F62D4DF" w14:textId="775730E1" w:rsidR="001A58B3" w:rsidRPr="004574F6" w:rsidRDefault="001A58B3" w:rsidP="004574F6">
      <w:pPr>
        <w:rPr>
          <w:rFonts w:eastAsia="Palatino Linotype" w:cs="Palatino Linotype"/>
        </w:rPr>
      </w:pPr>
      <w:r w:rsidRPr="004574F6">
        <w:rPr>
          <w:rFonts w:eastAsia="Palatino Linotype" w:cs="Palatino Linotype"/>
        </w:rPr>
        <w:t>Es decir, que todo sujeto obligado que genere, recopile, administre, procese, archive, posea o conserven, son responsables de la misma</w:t>
      </w:r>
      <w:r w:rsidR="00970EB3" w:rsidRPr="004574F6">
        <w:rPr>
          <w:rFonts w:eastAsia="Palatino Linotype" w:cs="Palatino Linotype"/>
        </w:rPr>
        <w:t>,</w:t>
      </w:r>
      <w:r w:rsidRPr="004574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574F6">
        <w:rPr>
          <w:rFonts w:eastAsia="Palatino Linotype" w:cs="Palatino Linotype"/>
        </w:rPr>
        <w:t>o</w:t>
      </w:r>
      <w:r w:rsidRPr="004574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574F6" w:rsidRDefault="001A58B3" w:rsidP="004574F6">
      <w:pPr>
        <w:rPr>
          <w:rFonts w:eastAsia="Palatino Linotype" w:cs="Palatino Linotype"/>
        </w:rPr>
      </w:pPr>
    </w:p>
    <w:p w14:paraId="04E42DFE" w14:textId="573F1198" w:rsidR="001A58B3" w:rsidRPr="004574F6" w:rsidRDefault="001A58B3" w:rsidP="004574F6">
      <w:pPr>
        <w:rPr>
          <w:rFonts w:eastAsia="Palatino Linotype" w:cs="Palatino Linotype"/>
        </w:rPr>
      </w:pPr>
      <w:r w:rsidRPr="004574F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574F6">
        <w:rPr>
          <w:rFonts w:eastAsia="Palatino Linotype" w:cs="Palatino Linotype"/>
        </w:rPr>
        <w:t>, s</w:t>
      </w:r>
      <w:r w:rsidRPr="004574F6">
        <w:rPr>
          <w:rFonts w:eastAsia="Palatino Linotype" w:cs="Palatino Linotype"/>
        </w:rPr>
        <w:t xml:space="preserve">iempre y cuando no se trate de información reservada o </w:t>
      </w:r>
      <w:r w:rsidR="00331F35" w:rsidRPr="004574F6">
        <w:rPr>
          <w:rFonts w:eastAsia="Palatino Linotype" w:cs="Palatino Linotype"/>
        </w:rPr>
        <w:t>confidencial.</w:t>
      </w:r>
    </w:p>
    <w:p w14:paraId="40C5219F" w14:textId="77777777" w:rsidR="001A58B3" w:rsidRPr="004574F6" w:rsidRDefault="001A58B3" w:rsidP="004574F6">
      <w:pPr>
        <w:rPr>
          <w:rFonts w:eastAsia="Palatino Linotype" w:cs="Palatino Linotype"/>
        </w:rPr>
      </w:pPr>
    </w:p>
    <w:p w14:paraId="2E629608" w14:textId="01727E15" w:rsidR="00C049E2" w:rsidRPr="004574F6" w:rsidRDefault="006067C7" w:rsidP="004574F6">
      <w:pPr>
        <w:rPr>
          <w:rFonts w:eastAsia="Palatino Linotype"/>
        </w:rPr>
      </w:pPr>
      <w:bookmarkStart w:id="29" w:name="_heading=h.2s8eyo1" w:colFirst="0" w:colLast="0"/>
      <w:bookmarkEnd w:id="29"/>
      <w:r w:rsidRPr="004574F6">
        <w:rPr>
          <w:rFonts w:eastAsia="Palatino Linotype"/>
        </w:rPr>
        <w:t>Con base en lo anterior</w:t>
      </w:r>
      <w:r w:rsidR="00B22A80" w:rsidRPr="004574F6">
        <w:rPr>
          <w:rFonts w:eastAsia="Palatino Linotype"/>
        </w:rPr>
        <w:t>, se considera que</w:t>
      </w:r>
      <w:r w:rsidR="00C049E2" w:rsidRPr="004574F6">
        <w:rPr>
          <w:rFonts w:eastAsia="Palatino Linotype"/>
        </w:rPr>
        <w:t xml:space="preserve"> </w:t>
      </w:r>
      <w:r w:rsidR="00B22A80" w:rsidRPr="004574F6">
        <w:rPr>
          <w:rFonts w:eastAsia="Palatino Linotype"/>
          <w:b/>
          <w:bCs/>
        </w:rPr>
        <w:t>EL</w:t>
      </w:r>
      <w:r w:rsidR="00C049E2" w:rsidRPr="004574F6">
        <w:rPr>
          <w:rFonts w:eastAsia="Palatino Linotype"/>
        </w:rPr>
        <w:t xml:space="preserve"> </w:t>
      </w:r>
      <w:r w:rsidR="00C049E2" w:rsidRPr="004574F6">
        <w:rPr>
          <w:rFonts w:eastAsia="Palatino Linotype"/>
          <w:b/>
        </w:rPr>
        <w:t>SUJETO OBLIGADO</w:t>
      </w:r>
      <w:r w:rsidR="00C049E2" w:rsidRPr="004574F6">
        <w:rPr>
          <w:rFonts w:eastAsia="Palatino Linotype"/>
        </w:rPr>
        <w:t xml:space="preserve"> </w:t>
      </w:r>
      <w:r w:rsidR="00B22A80" w:rsidRPr="004574F6">
        <w:rPr>
          <w:rFonts w:eastAsia="Palatino Linotype"/>
        </w:rPr>
        <w:t xml:space="preserve">se </w:t>
      </w:r>
      <w:r w:rsidR="00717E59" w:rsidRPr="004574F6">
        <w:rPr>
          <w:rFonts w:eastAsia="Palatino Linotype"/>
        </w:rPr>
        <w:t>encontraba</w:t>
      </w:r>
      <w:r w:rsidR="00B22A80" w:rsidRPr="004574F6">
        <w:rPr>
          <w:rFonts w:eastAsia="Palatino Linotype"/>
        </w:rPr>
        <w:t xml:space="preserve"> compelido a</w:t>
      </w:r>
      <w:r w:rsidR="00C049E2" w:rsidRPr="004574F6">
        <w:rPr>
          <w:rFonts w:eastAsia="Palatino Linotype"/>
        </w:rPr>
        <w:t xml:space="preserve"> atender la solicitud de acceso a la información </w:t>
      </w:r>
      <w:r w:rsidR="00B22A80" w:rsidRPr="004574F6">
        <w:rPr>
          <w:rFonts w:eastAsia="Palatino Linotype"/>
        </w:rPr>
        <w:t xml:space="preserve">realizada por </w:t>
      </w:r>
      <w:r w:rsidR="00B22A80" w:rsidRPr="004574F6">
        <w:rPr>
          <w:rFonts w:eastAsia="Palatino Linotype"/>
          <w:b/>
          <w:bCs/>
        </w:rPr>
        <w:t>LA PARTE RECURRENTE</w:t>
      </w:r>
      <w:r w:rsidR="00331F35" w:rsidRPr="004574F6">
        <w:rPr>
          <w:rFonts w:eastAsia="Palatino Linotype"/>
        </w:rPr>
        <w:t>.</w:t>
      </w:r>
    </w:p>
    <w:p w14:paraId="51A0E8B4" w14:textId="676DCA47" w:rsidR="00664420" w:rsidRPr="004574F6" w:rsidRDefault="00C71CEF" w:rsidP="004574F6">
      <w:pPr>
        <w:pStyle w:val="Ttulo3"/>
        <w:rPr>
          <w:rFonts w:eastAsia="Calibri"/>
          <w:lang w:eastAsia="es-ES_tradnl"/>
        </w:rPr>
      </w:pPr>
      <w:bookmarkStart w:id="30" w:name="_Toc178186939"/>
      <w:r w:rsidRPr="004574F6">
        <w:rPr>
          <w:rFonts w:eastAsia="Calibri"/>
          <w:lang w:eastAsia="es-ES_tradnl"/>
        </w:rPr>
        <w:lastRenderedPageBreak/>
        <w:t>b)</w:t>
      </w:r>
      <w:r w:rsidR="00A53315" w:rsidRPr="004574F6">
        <w:rPr>
          <w:rFonts w:eastAsia="Calibri"/>
          <w:lang w:eastAsia="es-ES_tradnl"/>
        </w:rPr>
        <w:t xml:space="preserve"> </w:t>
      </w:r>
      <w:r w:rsidR="00A21A20" w:rsidRPr="004574F6">
        <w:rPr>
          <w:rFonts w:eastAsia="Calibri"/>
          <w:lang w:eastAsia="es-ES_tradnl"/>
        </w:rPr>
        <w:t>Controversia a resolver</w:t>
      </w:r>
      <w:bookmarkEnd w:id="30"/>
    </w:p>
    <w:p w14:paraId="5DAE2A65" w14:textId="64E0E089" w:rsidR="00664420" w:rsidRPr="004574F6" w:rsidRDefault="00664420" w:rsidP="004574F6">
      <w:pPr>
        <w:rPr>
          <w:rFonts w:eastAsia="Calibri"/>
          <w:lang w:eastAsia="es-ES_tradnl"/>
        </w:rPr>
      </w:pPr>
      <w:r w:rsidRPr="004574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574F6">
        <w:rPr>
          <w:rFonts w:eastAsia="Calibri"/>
          <w:b/>
          <w:bCs/>
          <w:lang w:eastAsia="es-ES_tradnl"/>
        </w:rPr>
        <w:t>LA PARTE RECURRENTE</w:t>
      </w:r>
      <w:r w:rsidRPr="004574F6">
        <w:rPr>
          <w:rFonts w:eastAsia="Calibri"/>
          <w:lang w:eastAsia="es-ES_tradnl"/>
        </w:rPr>
        <w:t xml:space="preserve"> solicitó lo siguiente:</w:t>
      </w:r>
    </w:p>
    <w:p w14:paraId="509EE4E6" w14:textId="77777777" w:rsidR="00AD6635" w:rsidRPr="004574F6" w:rsidRDefault="00AD6635" w:rsidP="004574F6">
      <w:pPr>
        <w:pStyle w:val="Prrafodelista"/>
        <w:ind w:left="851" w:right="822"/>
        <w:rPr>
          <w:rFonts w:eastAsia="Calibri"/>
          <w:iCs/>
          <w:lang w:eastAsia="es-ES_tradnl"/>
        </w:rPr>
      </w:pPr>
    </w:p>
    <w:p w14:paraId="7C07938A" w14:textId="1D84382C" w:rsidR="00780875" w:rsidRPr="004574F6" w:rsidRDefault="00780875" w:rsidP="004574F6">
      <w:pPr>
        <w:pStyle w:val="Ttulo"/>
        <w:numPr>
          <w:ilvl w:val="0"/>
          <w:numId w:val="16"/>
        </w:numPr>
        <w:ind w:left="851" w:right="822"/>
        <w:rPr>
          <w:i w:val="0"/>
          <w:iCs/>
        </w:rPr>
      </w:pPr>
      <w:r w:rsidRPr="004574F6">
        <w:rPr>
          <w:i w:val="0"/>
          <w:iCs/>
        </w:rPr>
        <w:t>Las cedulas de bases de datos personales que refiere cada uno de los avisos de privacidad.</w:t>
      </w:r>
    </w:p>
    <w:p w14:paraId="18704107" w14:textId="77777777" w:rsidR="00780875" w:rsidRPr="004574F6" w:rsidRDefault="00780875" w:rsidP="004574F6">
      <w:pPr>
        <w:ind w:left="851" w:right="822"/>
        <w:rPr>
          <w:iCs/>
        </w:rPr>
      </w:pPr>
    </w:p>
    <w:p w14:paraId="1D69ACFE" w14:textId="648E2417" w:rsidR="00780875" w:rsidRPr="004574F6" w:rsidRDefault="00780875" w:rsidP="004574F6">
      <w:pPr>
        <w:pStyle w:val="Ttulo"/>
        <w:numPr>
          <w:ilvl w:val="0"/>
          <w:numId w:val="16"/>
        </w:numPr>
        <w:ind w:left="851" w:right="822"/>
        <w:rPr>
          <w:i w:val="0"/>
          <w:iCs/>
        </w:rPr>
      </w:pPr>
      <w:r w:rsidRPr="004574F6">
        <w:rPr>
          <w:i w:val="0"/>
          <w:iCs/>
        </w:rPr>
        <w:t>Copia de todos los oficios firmados 2023 y 2024 por la secretaria particular de la presidenta del DIF.</w:t>
      </w:r>
    </w:p>
    <w:p w14:paraId="684E1223" w14:textId="77777777" w:rsidR="00780875" w:rsidRPr="004574F6" w:rsidRDefault="00780875" w:rsidP="004574F6"/>
    <w:p w14:paraId="7D9D559B" w14:textId="5048EB81" w:rsidR="00664420" w:rsidRPr="004574F6" w:rsidRDefault="00664420" w:rsidP="004574F6">
      <w:pPr>
        <w:tabs>
          <w:tab w:val="left" w:pos="4962"/>
        </w:tabs>
        <w:contextualSpacing/>
        <w:rPr>
          <w:rFonts w:eastAsia="Calibri" w:cs="Tahoma"/>
          <w:iCs/>
          <w:szCs w:val="22"/>
          <w:lang w:eastAsia="es-ES_tradnl"/>
        </w:rPr>
      </w:pPr>
    </w:p>
    <w:p w14:paraId="1CED052A" w14:textId="0C4E9DB2" w:rsidR="00664420" w:rsidRPr="004574F6" w:rsidRDefault="00664420" w:rsidP="004574F6">
      <w:pPr>
        <w:tabs>
          <w:tab w:val="left" w:pos="4962"/>
        </w:tabs>
        <w:contextualSpacing/>
        <w:rPr>
          <w:rFonts w:eastAsiaTheme="minorHAnsi" w:cs="Tahoma"/>
          <w:bCs/>
          <w:iCs/>
          <w:szCs w:val="22"/>
          <w:lang w:eastAsia="en-US"/>
        </w:rPr>
      </w:pPr>
      <w:r w:rsidRPr="004574F6">
        <w:rPr>
          <w:rFonts w:eastAsiaTheme="minorHAnsi" w:cs="Tahoma"/>
          <w:bCs/>
          <w:iCs/>
          <w:szCs w:val="22"/>
          <w:lang w:eastAsia="en-US"/>
        </w:rPr>
        <w:t xml:space="preserve">En respuesta, </w:t>
      </w:r>
      <w:r w:rsidR="005D5A50" w:rsidRPr="004574F6">
        <w:rPr>
          <w:rFonts w:eastAsiaTheme="minorHAnsi" w:cs="Tahoma"/>
          <w:b/>
          <w:iCs/>
          <w:szCs w:val="22"/>
          <w:lang w:eastAsia="en-US"/>
        </w:rPr>
        <w:t>EL SUJETO OBLIGADO</w:t>
      </w:r>
      <w:r w:rsidRPr="004574F6">
        <w:rPr>
          <w:rFonts w:eastAsiaTheme="minorHAnsi" w:cs="Tahoma"/>
          <w:bCs/>
          <w:iCs/>
          <w:szCs w:val="22"/>
          <w:lang w:eastAsia="en-US"/>
        </w:rPr>
        <w:t xml:space="preserve"> se pronunció por conducto de</w:t>
      </w:r>
      <w:r w:rsidR="00D74AC1" w:rsidRPr="004574F6">
        <w:rPr>
          <w:rFonts w:eastAsiaTheme="minorHAnsi" w:cs="Tahoma"/>
          <w:bCs/>
          <w:iCs/>
          <w:szCs w:val="22"/>
          <w:lang w:eastAsia="en-US"/>
        </w:rPr>
        <w:t>l Titular de la Unidad de Transparencia</w:t>
      </w:r>
      <w:r w:rsidRPr="004574F6">
        <w:rPr>
          <w:rFonts w:eastAsiaTheme="minorHAnsi" w:cs="Tahoma"/>
          <w:bCs/>
          <w:iCs/>
          <w:szCs w:val="22"/>
          <w:lang w:eastAsia="en-US"/>
        </w:rPr>
        <w:t xml:space="preserve"> quien refirió que </w:t>
      </w:r>
      <w:r w:rsidR="00CF7586" w:rsidRPr="004574F6">
        <w:rPr>
          <w:rFonts w:eastAsiaTheme="minorHAnsi" w:cs="Tahoma"/>
          <w:bCs/>
          <w:iCs/>
          <w:szCs w:val="22"/>
          <w:lang w:eastAsia="en-US"/>
        </w:rPr>
        <w:t xml:space="preserve">adjunta a su respuesta los siguientes documentos: </w:t>
      </w:r>
    </w:p>
    <w:p w14:paraId="3C3BCC99" w14:textId="77777777" w:rsidR="00633C01" w:rsidRPr="004574F6" w:rsidRDefault="00633C01" w:rsidP="004574F6">
      <w:pPr>
        <w:tabs>
          <w:tab w:val="left" w:pos="4962"/>
        </w:tabs>
        <w:contextualSpacing/>
        <w:rPr>
          <w:rFonts w:eastAsiaTheme="minorHAnsi" w:cs="Tahoma"/>
          <w:bCs/>
          <w:iCs/>
          <w:szCs w:val="22"/>
          <w:lang w:eastAsia="en-US"/>
        </w:rPr>
      </w:pPr>
    </w:p>
    <w:p w14:paraId="5D24CDFD" w14:textId="7E20678F" w:rsidR="00633C01" w:rsidRPr="004574F6" w:rsidRDefault="00633C01" w:rsidP="004574F6">
      <w:pPr>
        <w:pStyle w:val="Prrafodelista"/>
        <w:numPr>
          <w:ilvl w:val="0"/>
          <w:numId w:val="24"/>
        </w:numPr>
        <w:tabs>
          <w:tab w:val="left" w:pos="4962"/>
        </w:tabs>
        <w:rPr>
          <w:rFonts w:eastAsiaTheme="minorHAnsi" w:cs="Tahoma"/>
          <w:bCs/>
          <w:iCs/>
          <w:szCs w:val="22"/>
          <w:lang w:eastAsia="en-US"/>
        </w:rPr>
      </w:pPr>
      <w:r w:rsidRPr="004574F6">
        <w:rPr>
          <w:rFonts w:eastAsiaTheme="minorHAnsi" w:cs="Tahoma"/>
          <w:bCs/>
          <w:iCs/>
          <w:szCs w:val="22"/>
          <w:lang w:eastAsia="en-US"/>
        </w:rPr>
        <w:t>Propuesta de clasificación como confidencial relativo a los oficios emitidos por secretaría particular de presidencia</w:t>
      </w:r>
    </w:p>
    <w:p w14:paraId="3C31E5F7" w14:textId="5671528A" w:rsidR="00633C01" w:rsidRPr="004574F6" w:rsidRDefault="00633C01" w:rsidP="004574F6">
      <w:pPr>
        <w:pStyle w:val="Prrafodelista"/>
        <w:numPr>
          <w:ilvl w:val="0"/>
          <w:numId w:val="24"/>
        </w:numPr>
        <w:tabs>
          <w:tab w:val="left" w:pos="4962"/>
        </w:tabs>
        <w:rPr>
          <w:rFonts w:eastAsiaTheme="minorHAnsi" w:cs="Tahoma"/>
          <w:bCs/>
          <w:iCs/>
          <w:szCs w:val="22"/>
          <w:lang w:eastAsia="en-US"/>
        </w:rPr>
      </w:pPr>
      <w:r w:rsidRPr="004574F6">
        <w:rPr>
          <w:rFonts w:cs="Tahoma"/>
          <w:bCs/>
          <w:szCs w:val="22"/>
          <w:lang w:val="es-ES"/>
        </w:rPr>
        <w:t xml:space="preserve">Archivo que contiene los oficios firmados por </w:t>
      </w:r>
      <w:r w:rsidRPr="004574F6">
        <w:t>la secretaria particular de la presidenta en la temporalidad de 2023</w:t>
      </w:r>
    </w:p>
    <w:p w14:paraId="3A0CCD48" w14:textId="77777777" w:rsidR="00633C01" w:rsidRPr="004574F6" w:rsidRDefault="00633C01" w:rsidP="004574F6">
      <w:pPr>
        <w:pStyle w:val="Prrafodelista"/>
        <w:numPr>
          <w:ilvl w:val="0"/>
          <w:numId w:val="24"/>
        </w:numPr>
        <w:autoSpaceDE w:val="0"/>
        <w:autoSpaceDN w:val="0"/>
        <w:adjustRightInd w:val="0"/>
        <w:ind w:right="-28"/>
        <w:rPr>
          <w:rFonts w:cs="Tahoma"/>
          <w:bCs/>
          <w:szCs w:val="22"/>
          <w:lang w:val="es-ES"/>
        </w:rPr>
      </w:pPr>
      <w:r w:rsidRPr="004574F6">
        <w:rPr>
          <w:rFonts w:cs="Tahoma"/>
          <w:bCs/>
          <w:szCs w:val="22"/>
          <w:lang w:val="es-ES"/>
        </w:rPr>
        <w:t>Archivo que contiene el Acta del comité interno de transparencia correspondiente a la décima séptima sesión extraordinaria de fecha veintiocho de agosto de dos mil veintitrés, mediante la cual se pronuncia de diversa solicitud de información.</w:t>
      </w:r>
    </w:p>
    <w:p w14:paraId="1C0D01DA" w14:textId="5795B3A5" w:rsidR="00633C01" w:rsidRPr="004574F6" w:rsidRDefault="00633C01" w:rsidP="004574F6">
      <w:pPr>
        <w:pStyle w:val="Prrafodelista"/>
        <w:numPr>
          <w:ilvl w:val="0"/>
          <w:numId w:val="24"/>
        </w:numPr>
        <w:tabs>
          <w:tab w:val="left" w:pos="4962"/>
        </w:tabs>
        <w:rPr>
          <w:rFonts w:eastAsiaTheme="minorHAnsi" w:cs="Tahoma"/>
          <w:bCs/>
          <w:iCs/>
          <w:szCs w:val="22"/>
          <w:lang w:eastAsia="en-US"/>
        </w:rPr>
      </w:pPr>
      <w:r w:rsidRPr="004574F6">
        <w:rPr>
          <w:rFonts w:cs="Tahoma"/>
          <w:bCs/>
          <w:szCs w:val="22"/>
          <w:lang w:val="es-ES"/>
        </w:rPr>
        <w:t>Archivo que contiene la r</w:t>
      </w:r>
      <w:r w:rsidRPr="004574F6">
        <w:rPr>
          <w:bCs/>
        </w:rPr>
        <w:t>elación</w:t>
      </w:r>
      <w:r w:rsidRPr="004574F6">
        <w:t xml:space="preserve"> de Cedulas de Bases de Datos Personales del Sistema Municipal DIF de Tlalnepantla de Baz 2023</w:t>
      </w:r>
    </w:p>
    <w:p w14:paraId="3F046D09" w14:textId="27D7D507" w:rsidR="005D74D3" w:rsidRPr="004574F6" w:rsidRDefault="005D74D3" w:rsidP="004574F6">
      <w:pPr>
        <w:tabs>
          <w:tab w:val="left" w:pos="4962"/>
        </w:tabs>
        <w:contextualSpacing/>
        <w:rPr>
          <w:rFonts w:eastAsiaTheme="minorHAnsi" w:cs="Tahoma"/>
          <w:bCs/>
          <w:iCs/>
          <w:szCs w:val="22"/>
          <w:lang w:eastAsia="en-US"/>
        </w:rPr>
      </w:pPr>
    </w:p>
    <w:p w14:paraId="31DD81D7" w14:textId="02E4190D" w:rsidR="00664420" w:rsidRPr="004574F6" w:rsidRDefault="00CF7586" w:rsidP="004574F6">
      <w:pPr>
        <w:tabs>
          <w:tab w:val="left" w:pos="4962"/>
        </w:tabs>
        <w:contextualSpacing/>
        <w:rPr>
          <w:rFonts w:eastAsiaTheme="minorHAnsi" w:cs="Tahoma"/>
          <w:bCs/>
          <w:iCs/>
          <w:szCs w:val="22"/>
          <w:lang w:eastAsia="en-US"/>
        </w:rPr>
      </w:pPr>
      <w:r w:rsidRPr="004574F6">
        <w:rPr>
          <w:rFonts w:eastAsiaTheme="minorHAnsi" w:cs="Tahoma"/>
          <w:bCs/>
          <w:iCs/>
          <w:szCs w:val="22"/>
          <w:lang w:eastAsia="en-US"/>
        </w:rPr>
        <w:lastRenderedPageBreak/>
        <w:t xml:space="preserve">Ahora bien, en la interposición del presente recurso </w:t>
      </w:r>
      <w:r w:rsidRPr="004574F6">
        <w:rPr>
          <w:rFonts w:eastAsiaTheme="minorHAnsi" w:cs="Tahoma"/>
          <w:b/>
          <w:iCs/>
          <w:szCs w:val="22"/>
          <w:lang w:eastAsia="en-US"/>
        </w:rPr>
        <w:t>LA PARTE RECURRENTE</w:t>
      </w:r>
      <w:r w:rsidR="00664420" w:rsidRPr="004574F6">
        <w:rPr>
          <w:rFonts w:eastAsiaTheme="minorHAnsi" w:cs="Tahoma"/>
          <w:bCs/>
          <w:iCs/>
          <w:szCs w:val="22"/>
          <w:lang w:eastAsia="en-US"/>
        </w:rPr>
        <w:t xml:space="preserve"> se inconformó de</w:t>
      </w:r>
      <w:r w:rsidR="006545F6" w:rsidRPr="004574F6">
        <w:rPr>
          <w:rFonts w:eastAsiaTheme="minorHAnsi" w:cs="Tahoma"/>
          <w:bCs/>
          <w:iCs/>
          <w:szCs w:val="22"/>
          <w:lang w:eastAsia="en-US"/>
        </w:rPr>
        <w:t xml:space="preserve"> </w:t>
      </w:r>
      <w:r w:rsidR="00633C01" w:rsidRPr="004574F6">
        <w:rPr>
          <w:rFonts w:eastAsiaTheme="minorHAnsi" w:cs="Tahoma"/>
          <w:bCs/>
          <w:iCs/>
          <w:szCs w:val="22"/>
          <w:lang w:eastAsia="en-US"/>
        </w:rPr>
        <w:t>la entrega de información incompleta pues solo se entregan oficios del 5 de enero al 7 de agosto de 2023, faltando información del mes de agosto, septiembre, octubre, noviembre, diciembre de 2023, enero, febrero y marzo de 2024; además se queja de la ampliación de plazo</w:t>
      </w:r>
      <w:r w:rsidR="000A7EB0" w:rsidRPr="004574F6">
        <w:rPr>
          <w:rFonts w:eastAsiaTheme="minorHAnsi" w:cs="Tahoma"/>
          <w:bCs/>
          <w:iCs/>
          <w:szCs w:val="22"/>
          <w:lang w:eastAsia="en-US"/>
        </w:rPr>
        <w:t>.</w:t>
      </w:r>
    </w:p>
    <w:p w14:paraId="060BFB8E" w14:textId="77777777" w:rsidR="00633C01" w:rsidRPr="004574F6" w:rsidRDefault="00633C01" w:rsidP="004574F6">
      <w:pPr>
        <w:tabs>
          <w:tab w:val="left" w:pos="4667"/>
        </w:tabs>
        <w:ind w:left="567" w:right="539"/>
        <w:rPr>
          <w:rFonts w:cs="Tahoma"/>
          <w:bCs/>
          <w:i/>
        </w:rPr>
      </w:pPr>
    </w:p>
    <w:p w14:paraId="414FD2D5" w14:textId="4408E416" w:rsidR="00664420" w:rsidRPr="004574F6" w:rsidRDefault="00A21A20" w:rsidP="004574F6">
      <w:pPr>
        <w:pStyle w:val="Ttulo3"/>
      </w:pPr>
      <w:bookmarkStart w:id="31" w:name="_Toc178186940"/>
      <w:r w:rsidRPr="004574F6">
        <w:t>c)</w:t>
      </w:r>
      <w:r w:rsidR="00664420" w:rsidRPr="004574F6">
        <w:t xml:space="preserve"> </w:t>
      </w:r>
      <w:r w:rsidRPr="004574F6">
        <w:t>Estudio de la controversia</w:t>
      </w:r>
      <w:bookmarkEnd w:id="31"/>
    </w:p>
    <w:p w14:paraId="027A9D2D" w14:textId="77777777" w:rsidR="00D603A7" w:rsidRPr="004574F6" w:rsidRDefault="00D603A7" w:rsidP="004574F6">
      <w:r w:rsidRPr="004574F6">
        <w:t>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CDD2B81" w14:textId="77777777" w:rsidR="00FF582F" w:rsidRPr="004574F6" w:rsidRDefault="00FF582F" w:rsidP="004574F6"/>
    <w:p w14:paraId="3E36F88B" w14:textId="40150D8C" w:rsidR="000A7EB0" w:rsidRPr="004574F6" w:rsidRDefault="00B615D9" w:rsidP="004574F6">
      <w:pPr>
        <w:spacing w:before="240" w:after="240"/>
        <w:ind w:right="49"/>
        <w:rPr>
          <w:rFonts w:eastAsia="Calibri"/>
          <w:iCs/>
          <w:lang w:eastAsia="es-ES_tradnl"/>
        </w:rPr>
      </w:pPr>
      <w:r w:rsidRPr="004574F6">
        <w:rPr>
          <w:rFonts w:eastAsia="Palatino Linotype" w:cs="Palatino Linotype"/>
        </w:rPr>
        <w:t xml:space="preserve">Acotado lo anterior, resulta pertinente señalar que el presente estudio versará sobre </w:t>
      </w:r>
      <w:r w:rsidR="004C7691" w:rsidRPr="004574F6">
        <w:rPr>
          <w:rFonts w:eastAsia="Palatino Linotype" w:cs="Palatino Linotype"/>
        </w:rPr>
        <w:t>la entrega de las</w:t>
      </w:r>
      <w:r w:rsidRPr="004574F6">
        <w:rPr>
          <w:rFonts w:eastAsia="Palatino Linotype" w:cs="Palatino Linotype"/>
        </w:rPr>
        <w:t xml:space="preserve"> </w:t>
      </w:r>
    </w:p>
    <w:p w14:paraId="5DE9C67C" w14:textId="77777777" w:rsidR="000A7EB0" w:rsidRPr="004574F6" w:rsidRDefault="000A7EB0" w:rsidP="004574F6">
      <w:pPr>
        <w:pStyle w:val="Ttulo"/>
        <w:numPr>
          <w:ilvl w:val="0"/>
          <w:numId w:val="25"/>
        </w:numPr>
        <w:ind w:right="822"/>
        <w:rPr>
          <w:i w:val="0"/>
          <w:iCs/>
        </w:rPr>
      </w:pPr>
      <w:r w:rsidRPr="004574F6">
        <w:rPr>
          <w:i w:val="0"/>
          <w:iCs/>
        </w:rPr>
        <w:t>Las cedulas de bases de datos personales que refiere cada uno de los avisos de privacidad.</w:t>
      </w:r>
    </w:p>
    <w:p w14:paraId="6C7062A7" w14:textId="77777777" w:rsidR="000A7EB0" w:rsidRPr="004574F6" w:rsidRDefault="000A7EB0" w:rsidP="004574F6">
      <w:pPr>
        <w:ind w:left="851" w:right="822"/>
        <w:rPr>
          <w:iCs/>
        </w:rPr>
      </w:pPr>
    </w:p>
    <w:p w14:paraId="2E85982E" w14:textId="77777777" w:rsidR="000A7EB0" w:rsidRPr="004574F6" w:rsidRDefault="000A7EB0" w:rsidP="004574F6">
      <w:pPr>
        <w:pStyle w:val="Ttulo"/>
        <w:numPr>
          <w:ilvl w:val="0"/>
          <w:numId w:val="25"/>
        </w:numPr>
        <w:ind w:left="851" w:right="822"/>
        <w:rPr>
          <w:i w:val="0"/>
          <w:iCs/>
        </w:rPr>
      </w:pPr>
      <w:r w:rsidRPr="004574F6">
        <w:rPr>
          <w:i w:val="0"/>
          <w:iCs/>
        </w:rPr>
        <w:t>Copia de todos los oficios firmados 2023 y 2024 por la secretaria particular de la presidenta del DIF.</w:t>
      </w:r>
    </w:p>
    <w:p w14:paraId="780A4CF3" w14:textId="77777777" w:rsidR="000A7EB0" w:rsidRPr="004574F6" w:rsidRDefault="000A7EB0" w:rsidP="004574F6">
      <w:pPr>
        <w:spacing w:before="240" w:after="240"/>
        <w:ind w:right="49"/>
        <w:rPr>
          <w:rFonts w:eastAsia="Palatino Linotype" w:cs="Palatino Linotype"/>
        </w:rPr>
      </w:pPr>
    </w:p>
    <w:p w14:paraId="52741822" w14:textId="66C63058" w:rsidR="000A7EB0" w:rsidRPr="004574F6" w:rsidRDefault="000A7EB0" w:rsidP="004574F6">
      <w:pPr>
        <w:spacing w:before="240" w:after="240"/>
        <w:ind w:right="49"/>
        <w:rPr>
          <w:rFonts w:eastAsia="Palatino Linotype" w:cs="Palatino Linotype"/>
        </w:rPr>
      </w:pPr>
      <w:r w:rsidRPr="004574F6">
        <w:rPr>
          <w:rFonts w:eastAsia="Palatino Linotype" w:cs="Palatino Linotype"/>
        </w:rPr>
        <w:lastRenderedPageBreak/>
        <w:t>Ahora bien relativo al punto 1 atinente a lo siguiente:</w:t>
      </w:r>
    </w:p>
    <w:p w14:paraId="347D0029" w14:textId="77777777" w:rsidR="00B615D9" w:rsidRPr="004574F6" w:rsidRDefault="00B615D9" w:rsidP="004574F6">
      <w:pPr>
        <w:pStyle w:val="Prrafodelista"/>
        <w:numPr>
          <w:ilvl w:val="0"/>
          <w:numId w:val="27"/>
        </w:numPr>
        <w:spacing w:before="240" w:after="240"/>
        <w:ind w:right="49"/>
        <w:rPr>
          <w:rFonts w:eastAsia="Palatino Linotype" w:cs="Palatino Linotype"/>
          <w:b/>
          <w:u w:val="single"/>
        </w:rPr>
      </w:pPr>
      <w:r w:rsidRPr="004574F6">
        <w:rPr>
          <w:rFonts w:eastAsia="Palatino Linotype" w:cs="Palatino Linotype"/>
          <w:b/>
          <w:u w:val="single"/>
        </w:rPr>
        <w:t>De las cédulas de bases de datos personales</w:t>
      </w:r>
    </w:p>
    <w:p w14:paraId="3A7BE748" w14:textId="77777777" w:rsidR="00B615D9" w:rsidRPr="004574F6" w:rsidRDefault="00B615D9" w:rsidP="004574F6">
      <w:pPr>
        <w:spacing w:before="240" w:after="240"/>
        <w:ind w:right="49"/>
        <w:rPr>
          <w:rFonts w:eastAsia="Palatino Linotype" w:cs="Palatino Linotype"/>
        </w:rPr>
      </w:pPr>
      <w:r w:rsidRPr="004574F6">
        <w:rPr>
          <w:rFonts w:eastAsia="Palatino Linotype" w:cs="Palatino Linotype"/>
        </w:rPr>
        <w:t xml:space="preserve">En primera instancia, conviene traer a colación el contenido normativo de los siguientes artículos de la Ley de Protección de Datos Personales en Posesión de Sujetos Obligados del Estado de México y Municipios: </w:t>
      </w:r>
    </w:p>
    <w:p w14:paraId="3E648C73" w14:textId="77777777" w:rsidR="00B615D9" w:rsidRPr="004574F6" w:rsidRDefault="00B615D9" w:rsidP="004574F6">
      <w:pPr>
        <w:spacing w:before="240" w:after="240" w:line="276" w:lineRule="auto"/>
        <w:ind w:left="567" w:right="758"/>
        <w:rPr>
          <w:rFonts w:eastAsia="Palatino Linotype" w:cs="Palatino Linotype"/>
          <w:i/>
        </w:rPr>
      </w:pPr>
      <w:r w:rsidRPr="004574F6">
        <w:rPr>
          <w:rFonts w:eastAsia="Palatino Linotype" w:cs="Palatino Linotype"/>
          <w:i/>
        </w:rPr>
        <w:t>“…</w:t>
      </w:r>
    </w:p>
    <w:p w14:paraId="326CE2B5" w14:textId="77777777" w:rsidR="00B615D9" w:rsidRPr="004574F6" w:rsidRDefault="00B615D9" w:rsidP="004574F6">
      <w:pPr>
        <w:spacing w:before="240" w:after="240" w:line="276" w:lineRule="auto"/>
        <w:ind w:left="567" w:right="758"/>
        <w:rPr>
          <w:rFonts w:eastAsia="Palatino Linotype" w:cs="Palatino Linotype"/>
          <w:i/>
        </w:rPr>
      </w:pPr>
      <w:r w:rsidRPr="004574F6">
        <w:rPr>
          <w:rFonts w:eastAsia="Palatino Linotype" w:cs="Palatino Linotype"/>
          <w:b/>
          <w:i/>
        </w:rPr>
        <w:t>XI. Datos personales</w:t>
      </w:r>
      <w:r w:rsidRPr="004574F6">
        <w:rPr>
          <w:rFonts w:eastAsia="Palatino Linotype" w:cs="Palatino Linotype"/>
          <w:i/>
        </w:rPr>
        <w:t xml:space="preserve">: a </w:t>
      </w:r>
      <w:r w:rsidRPr="004574F6">
        <w:rPr>
          <w:rFonts w:eastAsia="Palatino Linotype" w:cs="Palatino Linotype"/>
          <w:b/>
          <w:i/>
        </w:rPr>
        <w:t>la información concerniente a una persona física o jurídica colectiva identificada o identificable, establecida en cualquier formato o modalidad, y</w:t>
      </w:r>
      <w:r w:rsidRPr="004574F6">
        <w:rPr>
          <w:rFonts w:eastAsia="Palatino Linotype" w:cs="Palatino Linotype"/>
          <w:i/>
        </w:rPr>
        <w:t xml:space="preserve"> </w:t>
      </w:r>
      <w:r w:rsidRPr="004574F6">
        <w:rPr>
          <w:rFonts w:eastAsia="Palatino Linotype" w:cs="Palatino Linotype"/>
          <w:b/>
          <w:i/>
        </w:rPr>
        <w:t>que esté almacenada en los sistemas y bases de datos</w:t>
      </w:r>
      <w:r w:rsidRPr="004574F6">
        <w:rPr>
          <w:rFonts w:eastAsia="Palatino Linotype" w:cs="Palatino Linotype"/>
          <w:i/>
        </w:rPr>
        <w:t>, se considerará que una persona es identificable cuando su identidad pueda determinarse directa o indirectamente a través de cualquier documento informativo físico o electrónico.</w:t>
      </w:r>
    </w:p>
    <w:p w14:paraId="164205CF" w14:textId="77777777" w:rsidR="00B615D9" w:rsidRPr="004574F6" w:rsidRDefault="00B615D9" w:rsidP="004574F6">
      <w:pPr>
        <w:spacing w:before="240" w:after="240" w:line="276" w:lineRule="auto"/>
        <w:ind w:left="567" w:right="758"/>
        <w:rPr>
          <w:rFonts w:eastAsia="Palatino Linotype" w:cs="Palatino Linotype"/>
          <w:i/>
        </w:rPr>
      </w:pPr>
      <w:r w:rsidRPr="004574F6">
        <w:rPr>
          <w:rFonts w:eastAsia="Palatino Linotype" w:cs="Palatino Linotype"/>
          <w:i/>
        </w:rPr>
        <w:t>…</w:t>
      </w:r>
    </w:p>
    <w:p w14:paraId="7DE597AF" w14:textId="77777777" w:rsidR="00B615D9" w:rsidRPr="004574F6" w:rsidRDefault="00B615D9" w:rsidP="004574F6">
      <w:pPr>
        <w:spacing w:before="240" w:after="240" w:line="276" w:lineRule="auto"/>
        <w:ind w:left="567" w:right="758"/>
        <w:rPr>
          <w:rFonts w:eastAsia="Palatino Linotype" w:cs="Palatino Linotype"/>
          <w:b/>
          <w:i/>
        </w:rPr>
      </w:pPr>
      <w:r w:rsidRPr="004574F6">
        <w:rPr>
          <w:rFonts w:eastAsia="Palatino Linotype" w:cs="Palatino Linotype"/>
          <w:b/>
          <w:i/>
        </w:rPr>
        <w:t>XLIII. Sistema de datos personales</w:t>
      </w:r>
      <w:r w:rsidRPr="004574F6">
        <w:rPr>
          <w:rFonts w:eastAsia="Palatino Linotype" w:cs="Palatino Linotype"/>
          <w:i/>
        </w:rPr>
        <w:t xml:space="preserve">: </w:t>
      </w:r>
      <w:r w:rsidRPr="004574F6">
        <w:rPr>
          <w:rFonts w:eastAsia="Palatino Linotype" w:cs="Palatino Linotype"/>
          <w:b/>
          <w:i/>
        </w:rPr>
        <w:t>a los datos personales contenidos en los archivos de un sujeto obligado que puede comprender el tratamiento de una o diversas bases de datos para el cumplimiento de una o diversas finalidades.</w:t>
      </w:r>
    </w:p>
    <w:p w14:paraId="6BF90B55" w14:textId="77777777" w:rsidR="00B615D9" w:rsidRPr="004574F6" w:rsidRDefault="00B615D9" w:rsidP="004574F6">
      <w:pPr>
        <w:spacing w:before="240" w:after="240" w:line="276" w:lineRule="auto"/>
        <w:ind w:left="567" w:right="758"/>
        <w:rPr>
          <w:rFonts w:eastAsia="Palatino Linotype" w:cs="Palatino Linotype"/>
          <w:b/>
          <w:i/>
        </w:rPr>
      </w:pPr>
      <w:r w:rsidRPr="004574F6">
        <w:rPr>
          <w:rFonts w:eastAsia="Palatino Linotype" w:cs="Palatino Linotype"/>
          <w:b/>
          <w:i/>
        </w:rPr>
        <w:t>…</w:t>
      </w:r>
    </w:p>
    <w:p w14:paraId="4C34B856" w14:textId="77777777" w:rsidR="00B615D9" w:rsidRPr="004574F6" w:rsidRDefault="00B615D9" w:rsidP="004574F6">
      <w:pPr>
        <w:spacing w:before="240" w:after="240" w:line="276" w:lineRule="auto"/>
        <w:ind w:left="567" w:right="758"/>
        <w:rPr>
          <w:rFonts w:eastAsia="Palatino Linotype" w:cs="Palatino Linotype"/>
          <w:b/>
          <w:i/>
        </w:rPr>
      </w:pPr>
      <w:r w:rsidRPr="004574F6">
        <w:rPr>
          <w:rFonts w:eastAsia="Palatino Linotype" w:cs="Palatino Linotype"/>
          <w:b/>
          <w:i/>
        </w:rPr>
        <w:t>Artículo 35. Corresponde a cada sujeto obligado determinar, a través de su titular, órgano competente o Comité de Transparencia, la creación, modificación o supresión de sistemas y bases de datos personales, conforme a su respectivo ámbito de competencia.</w:t>
      </w:r>
    </w:p>
    <w:p w14:paraId="1D9089D8" w14:textId="77777777" w:rsidR="00B615D9" w:rsidRPr="004574F6" w:rsidRDefault="00B615D9" w:rsidP="004574F6">
      <w:pPr>
        <w:spacing w:before="240" w:after="240"/>
        <w:ind w:right="49"/>
        <w:rPr>
          <w:rFonts w:eastAsia="Palatino Linotype" w:cs="Palatino Linotype"/>
        </w:rPr>
      </w:pPr>
      <w:r w:rsidRPr="004574F6">
        <w:rPr>
          <w:rFonts w:eastAsia="Palatino Linotype" w:cs="Palatino Linotype"/>
        </w:rPr>
        <w:t xml:space="preserve">Como se puede visualizar en la cita insertada previamente, los datos personales podrán almacenarse en bases de datos, las cuales son creadas previamente por el Comité de </w:t>
      </w:r>
      <w:r w:rsidRPr="004574F6">
        <w:rPr>
          <w:rFonts w:eastAsia="Palatino Linotype" w:cs="Palatino Linotype"/>
        </w:rPr>
        <w:lastRenderedPageBreak/>
        <w:t xml:space="preserve">Transparencia de los sujetos obligados y deberán ceñirse al cumplimiento de los siguientes preceptos legales de la legislación referida con antelación: </w:t>
      </w:r>
    </w:p>
    <w:p w14:paraId="4D04EBB3" w14:textId="77777777" w:rsidR="00B615D9" w:rsidRPr="004574F6" w:rsidRDefault="00B615D9" w:rsidP="004574F6">
      <w:pPr>
        <w:spacing w:before="240" w:after="240" w:line="276" w:lineRule="auto"/>
        <w:ind w:left="567" w:right="900"/>
        <w:rPr>
          <w:rFonts w:eastAsia="Palatino Linotype" w:cs="Palatino Linotype"/>
          <w:b/>
          <w:i/>
        </w:rPr>
      </w:pPr>
      <w:r w:rsidRPr="004574F6">
        <w:rPr>
          <w:rFonts w:eastAsia="Palatino Linotype" w:cs="Palatino Linotype"/>
          <w:i/>
        </w:rPr>
        <w:t>“</w:t>
      </w:r>
      <w:r w:rsidRPr="004574F6">
        <w:rPr>
          <w:rFonts w:eastAsia="Palatino Linotype" w:cs="Palatino Linotype"/>
          <w:b/>
          <w:i/>
        </w:rPr>
        <w:t xml:space="preserve">Artículo 36. La integración, tratamiento y tutela de los sistemas de datos personales se regirán por las disposiciones siguientes: </w:t>
      </w:r>
    </w:p>
    <w:p w14:paraId="50D30FC3" w14:textId="77777777" w:rsidR="00B615D9" w:rsidRPr="004574F6" w:rsidRDefault="00B615D9" w:rsidP="004574F6">
      <w:pPr>
        <w:spacing w:before="240" w:after="240" w:line="276" w:lineRule="auto"/>
        <w:ind w:left="567" w:right="900"/>
        <w:rPr>
          <w:rFonts w:eastAsia="Palatino Linotype" w:cs="Palatino Linotype"/>
          <w:b/>
          <w:i/>
        </w:rPr>
      </w:pPr>
      <w:r w:rsidRPr="004574F6">
        <w:rPr>
          <w:rFonts w:eastAsia="Palatino Linotype" w:cs="Palatino Linotype"/>
          <w:b/>
          <w:i/>
        </w:rPr>
        <w:t xml:space="preserve">I. Cada sujeto obligado deberá informar al Instituto sobre la creación, modificación o supresión de sus sistemas de datos personales. </w:t>
      </w:r>
    </w:p>
    <w:p w14:paraId="4C108E98"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II. En caso de creación o modificación de sistemas de datos personales, se incluirá en el registro, los datos previstos la presente Ley. </w:t>
      </w:r>
    </w:p>
    <w:p w14:paraId="323B467F"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III. En las disposiciones que se dicten para la supresión de los sistemas de datos personales, se establecerá el destino de los datos contenidos en los mismos o, en su caso, las previsiones que se adopten para su destrucción. </w:t>
      </w:r>
    </w:p>
    <w:p w14:paraId="270C317B"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IV. De la destrucción de los datos personales podrán ser excluidos aquellos que, con finalidades estadísticas o históricas, sean previamente sometidos al procedimiento de disociación. </w:t>
      </w:r>
    </w:p>
    <w:p w14:paraId="19D31021"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El registro de Sistemas de Datos Personales deberá realizarse a más tardar dentro de los seis meses siguientes al inicio del tratamiento por parte del responsable. </w:t>
      </w:r>
    </w:p>
    <w:p w14:paraId="511E90AA" w14:textId="77777777" w:rsidR="00B615D9" w:rsidRPr="004574F6" w:rsidRDefault="00B615D9" w:rsidP="004574F6">
      <w:pPr>
        <w:spacing w:before="240" w:after="240" w:line="276" w:lineRule="auto"/>
        <w:ind w:left="567" w:right="900"/>
        <w:rPr>
          <w:rFonts w:eastAsia="Palatino Linotype" w:cs="Palatino Linotype"/>
          <w:b/>
          <w:i/>
        </w:rPr>
      </w:pPr>
      <w:r w:rsidRPr="004574F6">
        <w:rPr>
          <w:rFonts w:eastAsia="Palatino Linotype" w:cs="Palatino Linotype"/>
          <w:b/>
          <w:i/>
        </w:rPr>
        <w:t xml:space="preserve">Registro de Sistemas de Datos Personales </w:t>
      </w:r>
    </w:p>
    <w:p w14:paraId="1CA098F6" w14:textId="77777777" w:rsidR="00B615D9" w:rsidRPr="004574F6" w:rsidRDefault="00B615D9" w:rsidP="004574F6">
      <w:pPr>
        <w:spacing w:before="240" w:after="240" w:line="276" w:lineRule="auto"/>
        <w:ind w:left="567" w:right="900"/>
        <w:rPr>
          <w:rFonts w:eastAsia="Palatino Linotype" w:cs="Palatino Linotype"/>
          <w:b/>
          <w:i/>
        </w:rPr>
      </w:pPr>
      <w:r w:rsidRPr="004574F6">
        <w:rPr>
          <w:rFonts w:eastAsia="Palatino Linotype" w:cs="Palatino Linotype"/>
          <w:b/>
          <w:i/>
        </w:rPr>
        <w:t xml:space="preserve">Artículo 37. Los sujetos obligados registrarán ante el Instituto los sistemas de datos personales que posean. </w:t>
      </w:r>
    </w:p>
    <w:p w14:paraId="5818C89E"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El registro deberá indicar por lo menos los datos siguientes: </w:t>
      </w:r>
    </w:p>
    <w:p w14:paraId="49D53887"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 El sujeto obligado que tiene a su cargo el sistema de datos personales. </w:t>
      </w:r>
    </w:p>
    <w:p w14:paraId="13E678CC"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II. La denominación del sistema de datos personales, la base de datos y el tipo de datos personales objeto de tratamiento. </w:t>
      </w:r>
    </w:p>
    <w:p w14:paraId="0BB4F737"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lastRenderedPageBreak/>
        <w:t xml:space="preserve">III. El nombre y cargo del administrador, así como el área o unidad administrativa a la que se encuentra adscrito. </w:t>
      </w:r>
    </w:p>
    <w:p w14:paraId="387CA8EF"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IV. El nombre y cargo del encargado. </w:t>
      </w:r>
    </w:p>
    <w:p w14:paraId="2169BC42"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V. La normatividad aplicable que dé fundamento al tratamiento en términos de los principios de finalidad y licitud. </w:t>
      </w:r>
    </w:p>
    <w:p w14:paraId="7067E4E0"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VI. La finalidad del tratamiento. </w:t>
      </w:r>
    </w:p>
    <w:p w14:paraId="5CC4485B"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VII. El origen, la forma de recolección y actualización de datos. </w:t>
      </w:r>
    </w:p>
    <w:p w14:paraId="7118A2F2"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VIII. Datos transferidos, lugar de destino e identidad de los destinatarios, en el caso de que se registren transferencias.</w:t>
      </w:r>
    </w:p>
    <w:p w14:paraId="59302096"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IX. El modo de interrelacionar la información registrada, o en su caso, la trazabilidad de los datos en el sistema de datos personales. </w:t>
      </w:r>
    </w:p>
    <w:p w14:paraId="265F124E"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 xml:space="preserve">X. El domicilio de la Unidad de Transparencia, así como de las áreas o unidades administrativas ante las que podrán ejercitarse de manera directa los derechos ARCO. </w:t>
      </w:r>
    </w:p>
    <w:p w14:paraId="284DFED2" w14:textId="77777777" w:rsidR="00B615D9" w:rsidRPr="004574F6" w:rsidRDefault="00B615D9" w:rsidP="004574F6">
      <w:pPr>
        <w:spacing w:before="240" w:after="240" w:line="276" w:lineRule="auto"/>
        <w:ind w:left="567" w:right="49"/>
        <w:rPr>
          <w:rFonts w:eastAsia="Palatino Linotype" w:cs="Palatino Linotype"/>
          <w:i/>
        </w:rPr>
      </w:pPr>
      <w:r w:rsidRPr="004574F6">
        <w:rPr>
          <w:rFonts w:eastAsia="Palatino Linotype" w:cs="Palatino Linotype"/>
          <w:i/>
        </w:rPr>
        <w:t xml:space="preserve">XI. El tiempo de conservación de los datos. </w:t>
      </w:r>
    </w:p>
    <w:p w14:paraId="533598E0" w14:textId="77777777" w:rsidR="00B615D9" w:rsidRPr="004574F6" w:rsidRDefault="00B615D9" w:rsidP="004574F6">
      <w:pPr>
        <w:spacing w:before="240" w:after="240" w:line="276" w:lineRule="auto"/>
        <w:ind w:left="567" w:right="49"/>
        <w:rPr>
          <w:rFonts w:eastAsia="Palatino Linotype" w:cs="Palatino Linotype"/>
          <w:i/>
        </w:rPr>
      </w:pPr>
      <w:r w:rsidRPr="004574F6">
        <w:rPr>
          <w:rFonts w:eastAsia="Palatino Linotype" w:cs="Palatino Linotype"/>
          <w:i/>
        </w:rPr>
        <w:t xml:space="preserve">XII. El nivel de seguridad. </w:t>
      </w:r>
    </w:p>
    <w:p w14:paraId="4A36BA5E" w14:textId="77777777" w:rsidR="00B615D9" w:rsidRPr="004574F6" w:rsidRDefault="00B615D9" w:rsidP="004574F6">
      <w:pPr>
        <w:spacing w:before="240" w:after="240" w:line="276" w:lineRule="auto"/>
        <w:ind w:left="567" w:right="900"/>
        <w:rPr>
          <w:rFonts w:eastAsia="Palatino Linotype" w:cs="Palatino Linotype"/>
          <w:i/>
        </w:rPr>
      </w:pPr>
      <w:r w:rsidRPr="004574F6">
        <w:rPr>
          <w:rFonts w:eastAsia="Palatino Linotype" w:cs="Palatino Linotype"/>
          <w:i/>
        </w:rPr>
        <w:t>XIII. En caso de que se hubiera presentado una violación de la seguridad de los datos personales se indicará la fecha de ocurrencia, la de detección y la de atención. Dicha información deberá permanecer en el registro un año calendario posterior a la fecha de su atención.” (Sic) (Énfasis añadido)</w:t>
      </w:r>
    </w:p>
    <w:p w14:paraId="30987EB1" w14:textId="77777777" w:rsidR="00B615D9" w:rsidRPr="004574F6" w:rsidRDefault="00B615D9" w:rsidP="004574F6">
      <w:pPr>
        <w:spacing w:before="240" w:after="240"/>
        <w:ind w:right="49"/>
        <w:rPr>
          <w:rFonts w:eastAsia="Palatino Linotype" w:cs="Palatino Linotype"/>
        </w:rPr>
      </w:pPr>
      <w:r w:rsidRPr="004574F6">
        <w:rPr>
          <w:rFonts w:eastAsia="Palatino Linotype" w:cs="Palatino Linotype"/>
        </w:rPr>
        <w:t xml:space="preserve">Bajo esta línea de pensamiento, se tiene que efectivamente las bases de datos generadas para almacenar los datos personales, deberá registrarse ante este Instituto y dicho registro deberá contener una serie de elementos, de entre los cuales destaca la denominación de la base de </w:t>
      </w:r>
      <w:r w:rsidRPr="004574F6">
        <w:rPr>
          <w:rFonts w:eastAsia="Palatino Linotype" w:cs="Palatino Linotype"/>
        </w:rPr>
        <w:lastRenderedPageBreak/>
        <w:t>datos, tipo de datos personales objeto del tratamiento, finalidad del tratamiento, tiempo de conservación de los datos, nivel de seguridad, etc.</w:t>
      </w:r>
    </w:p>
    <w:p w14:paraId="5F84E0EF" w14:textId="2BBEEA6A" w:rsidR="0080789C" w:rsidRPr="004574F6" w:rsidRDefault="00B615D9" w:rsidP="004574F6">
      <w:pPr>
        <w:spacing w:before="240" w:after="240"/>
        <w:ind w:right="49"/>
        <w:rPr>
          <w:rFonts w:eastAsia="Palatino Linotype" w:cs="Palatino Linotype"/>
        </w:rPr>
      </w:pPr>
      <w:r w:rsidRPr="004574F6">
        <w:rPr>
          <w:rFonts w:eastAsia="Palatino Linotype" w:cs="Palatino Linotype"/>
        </w:rPr>
        <w:t xml:space="preserve">Una vez establecido el marco normativo que determina la naturaleza de este registro, conviene señalar </w:t>
      </w:r>
      <w:r w:rsidR="009E02DD" w:rsidRPr="004574F6">
        <w:rPr>
          <w:rFonts w:eastAsia="Palatino Linotype" w:cs="Palatino Linotype"/>
        </w:rPr>
        <w:t>que,</w:t>
      </w:r>
      <w:r w:rsidRPr="004574F6">
        <w:rPr>
          <w:rFonts w:eastAsia="Palatino Linotype" w:cs="Palatino Linotype"/>
        </w:rPr>
        <w:t xml:space="preserve"> del análisis a su respuesta, el </w:t>
      </w:r>
      <w:r w:rsidRPr="004574F6">
        <w:rPr>
          <w:rFonts w:eastAsia="Palatino Linotype" w:cs="Palatino Linotype"/>
          <w:b/>
        </w:rPr>
        <w:t>Sujeto Obligado</w:t>
      </w:r>
      <w:r w:rsidRPr="004574F6">
        <w:rPr>
          <w:rFonts w:eastAsia="Palatino Linotype" w:cs="Palatino Linotype"/>
        </w:rPr>
        <w:t xml:space="preserve"> </w:t>
      </w:r>
      <w:r w:rsidR="009E02DD" w:rsidRPr="004574F6">
        <w:rPr>
          <w:rFonts w:eastAsia="Palatino Linotype" w:cs="Palatino Linotype"/>
        </w:rPr>
        <w:t xml:space="preserve">entregó en respuesta una carpeta que contiene </w:t>
      </w:r>
      <w:r w:rsidR="00786656" w:rsidRPr="004574F6">
        <w:rPr>
          <w:rFonts w:eastAsia="Palatino Linotype" w:cs="Palatino Linotype"/>
        </w:rPr>
        <w:t xml:space="preserve">los registros de cédulas </w:t>
      </w:r>
      <w:r w:rsidRPr="004574F6">
        <w:rPr>
          <w:rFonts w:eastAsia="Palatino Linotype" w:cs="Palatino Linotype"/>
        </w:rPr>
        <w:t>de bases de datos</w:t>
      </w:r>
      <w:r w:rsidR="00786656" w:rsidRPr="004574F6">
        <w:rPr>
          <w:rFonts w:eastAsia="Palatino Linotype" w:cs="Palatino Linotype"/>
        </w:rPr>
        <w:t xml:space="preserve"> de todas sus áreas</w:t>
      </w:r>
      <w:r w:rsidRPr="004574F6">
        <w:rPr>
          <w:rFonts w:eastAsia="Palatino Linotype" w:cs="Palatino Linotype"/>
        </w:rPr>
        <w:t xml:space="preserve"> </w:t>
      </w:r>
      <w:r w:rsidR="009B45CA" w:rsidRPr="004574F6">
        <w:rPr>
          <w:rFonts w:eastAsia="Palatino Linotype" w:cs="Palatino Linotype"/>
        </w:rPr>
        <w:t>del periodo 2023,</w:t>
      </w:r>
      <w:r w:rsidRPr="004574F6">
        <w:rPr>
          <w:rFonts w:eastAsia="Palatino Linotype" w:cs="Palatino Linotype"/>
        </w:rPr>
        <w:t xml:space="preserve"> sirven de referencia las siguientes ilustraciones:</w:t>
      </w:r>
    </w:p>
    <w:p w14:paraId="50D04ED9" w14:textId="7D4A5A6B" w:rsidR="0080789C" w:rsidRPr="004574F6" w:rsidRDefault="00786656" w:rsidP="004574F6">
      <w:pPr>
        <w:spacing w:before="240" w:after="240"/>
        <w:ind w:right="49"/>
        <w:rPr>
          <w:rFonts w:eastAsia="Palatino Linotype" w:cs="Palatino Linotype"/>
        </w:rPr>
      </w:pPr>
      <w:r w:rsidRPr="004574F6">
        <w:rPr>
          <w:rFonts w:eastAsia="Palatino Linotype" w:cs="Palatino Linotype"/>
          <w:noProof/>
          <w:lang w:eastAsia="es-MX"/>
        </w:rPr>
        <w:drawing>
          <wp:inline distT="0" distB="0" distL="0" distR="0" wp14:anchorId="287BB6E1" wp14:editId="3999E1C0">
            <wp:extent cx="5742940" cy="401383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4013835"/>
                    </a:xfrm>
                    <a:prstGeom prst="rect">
                      <a:avLst/>
                    </a:prstGeom>
                  </pic:spPr>
                </pic:pic>
              </a:graphicData>
            </a:graphic>
          </wp:inline>
        </w:drawing>
      </w:r>
    </w:p>
    <w:p w14:paraId="2F0DB67E" w14:textId="77777777" w:rsidR="00786656" w:rsidRPr="004574F6" w:rsidRDefault="00786656" w:rsidP="004574F6">
      <w:pPr>
        <w:spacing w:before="240" w:after="240"/>
        <w:ind w:right="49"/>
        <w:rPr>
          <w:rFonts w:eastAsia="Palatino Linotype" w:cs="Palatino Linotype"/>
        </w:rPr>
      </w:pPr>
    </w:p>
    <w:p w14:paraId="643EF83F" w14:textId="7557D0EE" w:rsidR="00970866" w:rsidRPr="004574F6" w:rsidRDefault="00970866" w:rsidP="004574F6">
      <w:pPr>
        <w:spacing w:before="240" w:after="240"/>
        <w:ind w:right="49"/>
        <w:rPr>
          <w:rFonts w:eastAsia="Palatino Linotype" w:cs="Palatino Linotype"/>
        </w:rPr>
      </w:pPr>
      <w:r w:rsidRPr="004574F6">
        <w:rPr>
          <w:rFonts w:eastAsia="Palatino Linotype" w:cs="Palatino Linotype"/>
        </w:rPr>
        <w:lastRenderedPageBreak/>
        <w:t xml:space="preserve">Conviene citar lo relativo al </w:t>
      </w:r>
      <w:r w:rsidR="00192E68" w:rsidRPr="004574F6">
        <w:rPr>
          <w:rFonts w:eastAsia="Palatino Linotype" w:cs="Palatino Linotype"/>
        </w:rPr>
        <w:t>Reglamento Interno del Sistema Municipal para el Desarrollo Integral de la Familia de Tlalnepantla de Baz, en lo que concierne a su estructura y las áreas que la componen, como se advierte a continuación:</w:t>
      </w:r>
    </w:p>
    <w:p w14:paraId="11BA7D94" w14:textId="77777777" w:rsidR="00970866" w:rsidRPr="004574F6" w:rsidRDefault="00970866" w:rsidP="004574F6">
      <w:pPr>
        <w:spacing w:before="240" w:after="240" w:line="240" w:lineRule="auto"/>
        <w:ind w:left="851" w:right="822"/>
        <w:contextualSpacing/>
        <w:jc w:val="center"/>
        <w:rPr>
          <w:rFonts w:eastAsia="Palatino Linotype" w:cs="Palatino Linotype"/>
          <w:b/>
          <w:i/>
        </w:rPr>
      </w:pPr>
      <w:r w:rsidRPr="004574F6">
        <w:rPr>
          <w:rFonts w:eastAsia="Palatino Linotype" w:cs="Palatino Linotype"/>
          <w:b/>
          <w:i/>
        </w:rPr>
        <w:t>TITULO TERCERO</w:t>
      </w:r>
    </w:p>
    <w:p w14:paraId="5EC6839E" w14:textId="3A704406" w:rsidR="00970866" w:rsidRPr="004574F6" w:rsidRDefault="00970866" w:rsidP="004574F6">
      <w:pPr>
        <w:spacing w:before="240" w:after="240" w:line="240" w:lineRule="auto"/>
        <w:ind w:left="851" w:right="822"/>
        <w:contextualSpacing/>
        <w:jc w:val="center"/>
        <w:rPr>
          <w:rFonts w:eastAsia="Palatino Linotype" w:cs="Palatino Linotype"/>
          <w:b/>
          <w:i/>
        </w:rPr>
      </w:pPr>
      <w:r w:rsidRPr="004574F6">
        <w:rPr>
          <w:rFonts w:eastAsia="Palatino Linotype" w:cs="Palatino Linotype"/>
          <w:b/>
          <w:i/>
        </w:rPr>
        <w:t>DE LA INTEGRACIÓN DE LA ADMINISTRACIÓN PÚBLICA DEL SMDIF</w:t>
      </w:r>
    </w:p>
    <w:p w14:paraId="05623AD3" w14:textId="504A6F1E" w:rsidR="00970866" w:rsidRPr="004574F6" w:rsidRDefault="00970866" w:rsidP="004574F6">
      <w:pPr>
        <w:spacing w:before="240" w:after="240" w:line="240" w:lineRule="auto"/>
        <w:ind w:left="851" w:right="822"/>
        <w:contextualSpacing/>
        <w:rPr>
          <w:i/>
        </w:rPr>
      </w:pPr>
      <w:r w:rsidRPr="004574F6">
        <w:rPr>
          <w:b/>
          <w:i/>
        </w:rPr>
        <w:t>Artículo 34.-</w:t>
      </w:r>
      <w:r w:rsidRPr="004574F6">
        <w:rPr>
          <w:i/>
        </w:rPr>
        <w:t xml:space="preserve"> En el ejercicio de sus atribuciones y para el despacho eficiente y eficaz de las responsabilidades del SMDIF, éste contará con las siguientes Dependencias y Unidades Administrativas:</w:t>
      </w:r>
    </w:p>
    <w:p w14:paraId="0B619561"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l. Presidencia del SMDIF;</w:t>
      </w:r>
    </w:p>
    <w:p w14:paraId="39AC5852"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11. Dirección General;</w:t>
      </w:r>
    </w:p>
    <w:p w14:paraId="23C51077"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111. Dirección de Salud;</w:t>
      </w:r>
    </w:p>
    <w:p w14:paraId="5A15746E"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IV. Dirección Jurídica;</w:t>
      </w:r>
    </w:p>
    <w:p w14:paraId="04207994"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V. Dirección de Administración y Finanzas;</w:t>
      </w:r>
    </w:p>
    <w:p w14:paraId="6CE4DF88"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VI. Dirección de Prevención y Desarrollo Familiar;</w:t>
      </w:r>
    </w:p>
    <w:p w14:paraId="23604A29"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VII. Órgano Interno de Control;</w:t>
      </w:r>
    </w:p>
    <w:p w14:paraId="4009D425"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VIII. Procuraduría Municipal de Protección de Niñas. Nif\os y Adolescentes;</w:t>
      </w:r>
    </w:p>
    <w:p w14:paraId="541C73B2"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IX. Secretaría Técnica;</w:t>
      </w:r>
    </w:p>
    <w:p w14:paraId="628F4EDA"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X. Coordinación del Centro de Desarrollo Integral para la Mujer;</w:t>
      </w:r>
    </w:p>
    <w:p w14:paraId="2ED0DD35"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XI. Coordinación de Transparencia;</w:t>
      </w:r>
    </w:p>
    <w:p w14:paraId="1DC31631"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XII. Coordinación de Procuración de Fondos y Asistencia Social;</w:t>
      </w:r>
    </w:p>
    <w:p w14:paraId="60372AC5" w14:textId="77777777"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XIII. Coordinación de Subsistemas; y</w:t>
      </w:r>
    </w:p>
    <w:p w14:paraId="1828E1AD" w14:textId="3F70A0A8" w:rsidR="00970866" w:rsidRPr="004574F6" w:rsidRDefault="00970866" w:rsidP="004574F6">
      <w:pPr>
        <w:spacing w:before="240" w:after="240" w:line="240" w:lineRule="auto"/>
        <w:ind w:left="851" w:right="822"/>
        <w:contextualSpacing/>
        <w:rPr>
          <w:rFonts w:eastAsia="Palatino Linotype" w:cs="Palatino Linotype"/>
          <w:i/>
        </w:rPr>
      </w:pPr>
      <w:r w:rsidRPr="004574F6">
        <w:rPr>
          <w:rFonts w:eastAsia="Palatino Linotype" w:cs="Palatino Linotype"/>
          <w:i/>
        </w:rPr>
        <w:t>XIV. Coordinación del Adulto Mayor</w:t>
      </w:r>
    </w:p>
    <w:p w14:paraId="00B43279" w14:textId="77777777" w:rsidR="00970866" w:rsidRPr="004574F6" w:rsidRDefault="00970866" w:rsidP="004574F6">
      <w:pPr>
        <w:spacing w:before="240" w:after="240"/>
        <w:ind w:right="49"/>
        <w:rPr>
          <w:rFonts w:eastAsia="Palatino Linotype" w:cs="Palatino Linotype"/>
        </w:rPr>
      </w:pPr>
    </w:p>
    <w:p w14:paraId="7FEE68ED" w14:textId="5F36B78B" w:rsidR="00970866" w:rsidRPr="004574F6" w:rsidRDefault="00192E68" w:rsidP="004574F6">
      <w:pPr>
        <w:spacing w:before="240" w:after="240"/>
        <w:ind w:right="49"/>
        <w:rPr>
          <w:rFonts w:eastAsia="Palatino Linotype" w:cs="Palatino Linotype"/>
        </w:rPr>
      </w:pPr>
      <w:r w:rsidRPr="004574F6">
        <w:rPr>
          <w:rFonts w:eastAsia="Palatino Linotype" w:cs="Palatino Linotype"/>
        </w:rPr>
        <w:t xml:space="preserve">Realizando un comparativo de las áreas que componen la estructura del SUJETO OBLIGADO, se advierte congruencia con lo entregado, </w:t>
      </w:r>
      <w:r w:rsidR="00F100E4" w:rsidRPr="004574F6">
        <w:rPr>
          <w:rFonts w:eastAsia="Palatino Linotype" w:cs="Palatino Linotype"/>
        </w:rPr>
        <w:t>como se advierte a continuación:</w:t>
      </w:r>
    </w:p>
    <w:p w14:paraId="5CB0CDFF" w14:textId="59C335AB" w:rsidR="00F100E4" w:rsidRPr="004574F6" w:rsidRDefault="00F100E4" w:rsidP="004574F6">
      <w:pPr>
        <w:spacing w:before="240" w:after="240"/>
        <w:ind w:right="49"/>
        <w:rPr>
          <w:rFonts w:eastAsia="Palatino Linotype" w:cs="Palatino Linotype"/>
        </w:rPr>
      </w:pPr>
      <w:r w:rsidRPr="004574F6">
        <w:rPr>
          <w:rFonts w:eastAsia="Palatino Linotype" w:cs="Palatino Linotype"/>
          <w:noProof/>
          <w:lang w:eastAsia="es-MX"/>
        </w:rPr>
        <w:lastRenderedPageBreak/>
        <w:drawing>
          <wp:inline distT="0" distB="0" distL="0" distR="0" wp14:anchorId="65213D68" wp14:editId="77F91342">
            <wp:extent cx="5742940" cy="59956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5995670"/>
                    </a:xfrm>
                    <a:prstGeom prst="rect">
                      <a:avLst/>
                    </a:prstGeom>
                  </pic:spPr>
                </pic:pic>
              </a:graphicData>
            </a:graphic>
          </wp:inline>
        </w:drawing>
      </w:r>
      <w:r w:rsidRPr="004574F6">
        <w:rPr>
          <w:noProof/>
          <w:lang w:eastAsia="es-MX"/>
          <w14:ligatures w14:val="standardContextual"/>
        </w:rPr>
        <w:t xml:space="preserve"> </w:t>
      </w:r>
      <w:r w:rsidRPr="004574F6">
        <w:rPr>
          <w:rFonts w:eastAsia="Palatino Linotype" w:cs="Palatino Linotype"/>
          <w:noProof/>
          <w:lang w:eastAsia="es-MX"/>
        </w:rPr>
        <w:drawing>
          <wp:inline distT="0" distB="0" distL="0" distR="0" wp14:anchorId="36BE3D46" wp14:editId="67B5A921">
            <wp:extent cx="5742940" cy="4044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04495"/>
                    </a:xfrm>
                    <a:prstGeom prst="rect">
                      <a:avLst/>
                    </a:prstGeom>
                  </pic:spPr>
                </pic:pic>
              </a:graphicData>
            </a:graphic>
          </wp:inline>
        </w:drawing>
      </w:r>
    </w:p>
    <w:p w14:paraId="783C48A0" w14:textId="77777777" w:rsidR="00970866" w:rsidRPr="004574F6" w:rsidRDefault="00970866" w:rsidP="004574F6">
      <w:pPr>
        <w:spacing w:before="240" w:after="240"/>
        <w:ind w:right="49"/>
        <w:rPr>
          <w:rFonts w:eastAsia="Palatino Linotype" w:cs="Palatino Linotype"/>
        </w:rPr>
      </w:pPr>
    </w:p>
    <w:p w14:paraId="3C1EDBF0" w14:textId="1A88FA02" w:rsidR="00786656" w:rsidRPr="004574F6" w:rsidRDefault="009B3511" w:rsidP="004574F6">
      <w:pPr>
        <w:spacing w:before="240" w:after="240"/>
        <w:ind w:right="49"/>
        <w:rPr>
          <w:rFonts w:eastAsia="Palatino Linotype" w:cs="Palatino Linotype"/>
        </w:rPr>
      </w:pPr>
      <w:r w:rsidRPr="004574F6">
        <w:rPr>
          <w:rFonts w:eastAsia="Palatino Linotype" w:cs="Palatino Linotype"/>
        </w:rPr>
        <w:lastRenderedPageBreak/>
        <w:t>P</w:t>
      </w:r>
      <w:r w:rsidR="00936570" w:rsidRPr="004574F6">
        <w:rPr>
          <w:rFonts w:eastAsia="Palatino Linotype" w:cs="Palatino Linotype"/>
        </w:rPr>
        <w:t xml:space="preserve">or </w:t>
      </w:r>
      <w:r w:rsidRPr="004574F6">
        <w:rPr>
          <w:rFonts w:eastAsia="Palatino Linotype" w:cs="Palatino Linotype"/>
        </w:rPr>
        <w:t xml:space="preserve">ende se considera colmado dicho requerimiento e infundados los motivos de inconformidad expuestos por </w:t>
      </w:r>
      <w:r w:rsidRPr="004574F6">
        <w:rPr>
          <w:rFonts w:eastAsia="Palatino Linotype" w:cs="Palatino Linotype"/>
          <w:b/>
        </w:rPr>
        <w:t>LA PARTE RECURRENTE</w:t>
      </w:r>
      <w:r w:rsidRPr="004574F6">
        <w:rPr>
          <w:rFonts w:eastAsia="Palatino Linotype" w:cs="Palatino Linotype"/>
        </w:rPr>
        <w:t>.</w:t>
      </w:r>
    </w:p>
    <w:p w14:paraId="1B48514D" w14:textId="77777777" w:rsidR="0080789C" w:rsidRPr="004574F6" w:rsidRDefault="0080789C" w:rsidP="004574F6">
      <w:pPr>
        <w:ind w:right="-93"/>
      </w:pPr>
      <w:r w:rsidRPr="004574F6">
        <w:t xml:space="preserve">Cabe precisar que de la normatividad aplicable, no se contempla dentro de los preceptos legales, el concepto de “cédula” de base de datos, únicamente se hace referencia a la obligación de todas las Instituciones Públicas de registrar ante este Instituto los </w:t>
      </w:r>
      <w:r w:rsidRPr="004574F6">
        <w:rPr>
          <w:b/>
        </w:rPr>
        <w:t>sistemas de base de datos personales que posean</w:t>
      </w:r>
      <w:r w:rsidRPr="004574F6">
        <w:t>, no a través de una cedula en específico, sino de toda la base de datos administrada por la autoridad competente, vigilando el cumplimiento a lo dispuesto en las fracciones que contempla el artículo 37 de la Ley de Protección de Datos Personales del Estado de México.</w:t>
      </w:r>
    </w:p>
    <w:p w14:paraId="6B867546" w14:textId="07B6245E" w:rsidR="00B615D9" w:rsidRPr="004574F6" w:rsidRDefault="0080789C" w:rsidP="004574F6">
      <w:pPr>
        <w:spacing w:before="240" w:after="240"/>
        <w:ind w:right="49"/>
        <w:rPr>
          <w:rFonts w:eastAsia="Palatino Linotype" w:cs="Palatino Linotype"/>
        </w:rPr>
      </w:pPr>
      <w:r w:rsidRPr="004574F6">
        <w:rPr>
          <w:rFonts w:eastAsia="Palatino Linotype" w:cs="Palatino Linotype"/>
        </w:rPr>
        <w:tab/>
      </w:r>
    </w:p>
    <w:p w14:paraId="5AC5989C" w14:textId="77777777" w:rsidR="006A67B7" w:rsidRPr="004574F6" w:rsidRDefault="006A67B7" w:rsidP="004574F6">
      <w:pPr>
        <w:pStyle w:val="Ttulo"/>
        <w:numPr>
          <w:ilvl w:val="0"/>
          <w:numId w:val="27"/>
        </w:numPr>
        <w:ind w:right="822"/>
        <w:rPr>
          <w:i w:val="0"/>
          <w:iCs/>
          <w:u w:val="single"/>
        </w:rPr>
      </w:pPr>
      <w:r w:rsidRPr="004574F6">
        <w:rPr>
          <w:i w:val="0"/>
          <w:iCs/>
          <w:u w:val="single"/>
        </w:rPr>
        <w:t>Copia de todos los oficios firmados 2023 y 2024 por la secretaria particular de la presidenta del DIF.</w:t>
      </w:r>
    </w:p>
    <w:p w14:paraId="697C7761" w14:textId="77777777" w:rsidR="006A67B7" w:rsidRPr="004574F6" w:rsidRDefault="006A67B7" w:rsidP="004574F6">
      <w:pPr>
        <w:spacing w:before="240" w:after="240"/>
        <w:ind w:right="49"/>
        <w:rPr>
          <w:rFonts w:eastAsia="Palatino Linotype" w:cs="Palatino Linotype"/>
        </w:rPr>
      </w:pPr>
    </w:p>
    <w:p w14:paraId="56E930E4" w14:textId="7FEB4BFA" w:rsidR="006A67B7" w:rsidRPr="004574F6" w:rsidRDefault="006A67B7" w:rsidP="004574F6">
      <w:pPr>
        <w:spacing w:before="240" w:after="240"/>
        <w:rPr>
          <w:rFonts w:eastAsia="Palatino Linotype" w:cs="Palatino Linotype"/>
          <w:b/>
        </w:rPr>
      </w:pPr>
      <w:r w:rsidRPr="004574F6">
        <w:rPr>
          <w:rFonts w:eastAsia="Palatino Linotype" w:cs="Palatino Linotype"/>
        </w:rPr>
        <w:t xml:space="preserve">Atento a dicho requerimiento, se tiene que los documentos que sirven de comunicación entre las diferentes unidades administrativas de una institución pública pueden ser a través de oficios, como </w:t>
      </w:r>
      <w:r w:rsidRPr="004574F6">
        <w:rPr>
          <w:rFonts w:eastAsia="Palatino Linotype" w:cs="Palatino Linotype"/>
          <w:b/>
        </w:rPr>
        <w:t xml:space="preserve">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4B0576C4" w14:textId="77777777" w:rsidR="006A67B7" w:rsidRPr="004574F6" w:rsidRDefault="006A67B7" w:rsidP="004574F6">
      <w:pPr>
        <w:spacing w:before="240" w:after="240"/>
        <w:ind w:right="49"/>
        <w:contextualSpacing/>
        <w:rPr>
          <w:rFonts w:eastAsia="Palatino Linotype" w:cs="Palatino Linotype"/>
        </w:rPr>
      </w:pPr>
      <w:r w:rsidRPr="004574F6">
        <w:rPr>
          <w:rFonts w:eastAsia="Palatino Linotype" w:cs="Palatino Linotype"/>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w:t>
      </w:r>
      <w:r w:rsidRPr="004574F6">
        <w:rPr>
          <w:rFonts w:eastAsia="Palatino Linotype" w:cs="Palatino Linotype"/>
        </w:rPr>
        <w:lastRenderedPageBreak/>
        <w:t xml:space="preserve">público comprenda las actividades que llevan a cabo los sujetos obligados que se registran en documentos, tales como expedientes, reportes, estudios, actas, resoluciones, </w:t>
      </w:r>
      <w:r w:rsidRPr="004574F6">
        <w:rPr>
          <w:rFonts w:eastAsia="Palatino Linotype" w:cs="Palatino Linotype"/>
          <w:b/>
        </w:rPr>
        <w:t>oficios</w:t>
      </w:r>
      <w:r w:rsidRPr="004574F6">
        <w:rPr>
          <w:rFonts w:eastAsia="Palatino Linotype" w:cs="Palatino Linotype"/>
        </w:rPr>
        <w:t>,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w:t>
      </w:r>
    </w:p>
    <w:p w14:paraId="20891C4D" w14:textId="77777777" w:rsidR="00B00E9B" w:rsidRPr="004574F6" w:rsidRDefault="00B00E9B" w:rsidP="004574F6">
      <w:pPr>
        <w:spacing w:before="240" w:after="240"/>
        <w:ind w:right="49"/>
        <w:contextualSpacing/>
        <w:rPr>
          <w:rFonts w:eastAsia="Palatino Linotype" w:cs="Palatino Linotype"/>
        </w:rPr>
      </w:pPr>
    </w:p>
    <w:p w14:paraId="2BAA122C" w14:textId="77777777" w:rsidR="006A67B7" w:rsidRPr="004574F6" w:rsidRDefault="006A67B7" w:rsidP="004574F6">
      <w:pPr>
        <w:spacing w:before="240" w:after="240"/>
        <w:ind w:right="49"/>
        <w:contextualSpacing/>
        <w:rPr>
          <w:rFonts w:eastAsia="Palatino Linotype" w:cs="Palatino Linotype"/>
        </w:rPr>
      </w:pPr>
      <w:r w:rsidRPr="004574F6">
        <w:rPr>
          <w:rFonts w:eastAsia="Palatino Linotype" w:cs="Palatino Linotype"/>
        </w:rPr>
        <w:t>De lo que se deriva que el alcance del Derecho de Acceso a la Información Pública, se refiere a los siguientes tres supuestos:</w:t>
      </w:r>
    </w:p>
    <w:p w14:paraId="1E279C2F" w14:textId="77777777" w:rsidR="00B00E9B" w:rsidRPr="004574F6" w:rsidRDefault="00B00E9B" w:rsidP="004574F6">
      <w:pPr>
        <w:spacing w:before="240" w:after="240"/>
        <w:ind w:right="49"/>
        <w:contextualSpacing/>
        <w:rPr>
          <w:rFonts w:eastAsia="Palatino Linotype" w:cs="Palatino Linotype"/>
        </w:rPr>
      </w:pPr>
    </w:p>
    <w:p w14:paraId="3687FB13" w14:textId="77777777" w:rsidR="006A67B7" w:rsidRPr="004574F6" w:rsidRDefault="006A67B7" w:rsidP="004574F6">
      <w:pPr>
        <w:spacing w:before="240" w:after="240"/>
        <w:ind w:left="851" w:right="822"/>
        <w:contextualSpacing/>
        <w:rPr>
          <w:rFonts w:eastAsia="Palatino Linotype" w:cs="Palatino Linotype"/>
        </w:rPr>
      </w:pPr>
      <w:r w:rsidRPr="004574F6">
        <w:rPr>
          <w:rFonts w:eastAsia="Palatino Linotype" w:cs="Palatino Linotype"/>
        </w:rPr>
        <w:t>1º) Que se trate de información registrada en cualquier soporte, que en ejercicio de sus atribuciones, sea generada por los Sujetos Obligados;</w:t>
      </w:r>
    </w:p>
    <w:p w14:paraId="19B7E09F" w14:textId="77777777" w:rsidR="006A67B7" w:rsidRPr="004574F6" w:rsidRDefault="006A67B7" w:rsidP="004574F6">
      <w:pPr>
        <w:spacing w:before="240" w:after="240"/>
        <w:ind w:left="851" w:right="822"/>
        <w:contextualSpacing/>
        <w:rPr>
          <w:rFonts w:eastAsia="Palatino Linotype" w:cs="Palatino Linotype"/>
        </w:rPr>
      </w:pPr>
      <w:r w:rsidRPr="004574F6">
        <w:rPr>
          <w:rFonts w:eastAsia="Palatino Linotype" w:cs="Palatino Linotype"/>
        </w:rPr>
        <w:t>2º) Que se trate de información registrada en cualquier soporte, que en ejercicio de sus atribuciones, se encuentre en posesión de los Sujetos Obligados, y</w:t>
      </w:r>
    </w:p>
    <w:p w14:paraId="3E30E9A3" w14:textId="77777777" w:rsidR="006A67B7" w:rsidRPr="004574F6" w:rsidRDefault="006A67B7" w:rsidP="004574F6">
      <w:pPr>
        <w:spacing w:before="240" w:after="240"/>
        <w:ind w:left="851" w:right="822"/>
        <w:contextualSpacing/>
        <w:rPr>
          <w:rFonts w:eastAsia="Palatino Linotype" w:cs="Palatino Linotype"/>
        </w:rPr>
      </w:pPr>
      <w:r w:rsidRPr="004574F6">
        <w:rPr>
          <w:rFonts w:eastAsia="Palatino Linotype" w:cs="Palatino Linotype"/>
        </w:rPr>
        <w:t>3º) Que se trate de información registrada en cualquier soporte, que en ejercicio de sus atribuciones, sea administrada por los Sujetos Obligados.</w:t>
      </w:r>
    </w:p>
    <w:p w14:paraId="470F74EA" w14:textId="77777777" w:rsidR="00B00E9B" w:rsidRPr="004574F6" w:rsidRDefault="00B00E9B" w:rsidP="004574F6">
      <w:pPr>
        <w:spacing w:before="240" w:after="240"/>
        <w:ind w:left="851" w:right="822"/>
        <w:rPr>
          <w:rFonts w:eastAsia="Palatino Linotype" w:cs="Palatino Linotype"/>
        </w:rPr>
      </w:pPr>
    </w:p>
    <w:p w14:paraId="757FDCB1" w14:textId="77777777" w:rsidR="006A67B7" w:rsidRPr="004574F6" w:rsidRDefault="006A67B7" w:rsidP="004574F6">
      <w:pPr>
        <w:spacing w:before="240" w:after="240"/>
        <w:ind w:right="49"/>
        <w:contextualSpacing/>
        <w:rPr>
          <w:rFonts w:eastAsia="Palatino Linotype" w:cs="Palatino Linotype"/>
        </w:rPr>
      </w:pPr>
      <w:r w:rsidRPr="004574F6">
        <w:rPr>
          <w:rFonts w:eastAsia="Palatino Linotype" w:cs="Palatino Linotype"/>
        </w:rPr>
        <w:t>Mientras que el diverso 166 de la Ley de Transparencia y Acceso a la Información Pública del Estado de México y Municipios, señala que las dependencias y entidades estarán obligadas a entregar los documentos que se encuentren en sus archivos.</w:t>
      </w:r>
    </w:p>
    <w:p w14:paraId="1C0DB784" w14:textId="77777777" w:rsidR="00D957EE" w:rsidRPr="004574F6" w:rsidRDefault="00D957EE" w:rsidP="004574F6">
      <w:pPr>
        <w:widowControl w:val="0"/>
        <w:tabs>
          <w:tab w:val="center" w:pos="4522"/>
        </w:tabs>
        <w:spacing w:after="160"/>
        <w:contextualSpacing/>
        <w:rPr>
          <w:rFonts w:cs="Calibri"/>
          <w:szCs w:val="22"/>
          <w:lang w:eastAsia="es-MX"/>
        </w:rPr>
      </w:pPr>
    </w:p>
    <w:p w14:paraId="299C34A6" w14:textId="65F77991" w:rsidR="00D957EE" w:rsidRPr="004574F6" w:rsidRDefault="00D957EE" w:rsidP="004574F6">
      <w:pPr>
        <w:widowControl w:val="0"/>
        <w:tabs>
          <w:tab w:val="center" w:pos="4522"/>
        </w:tabs>
        <w:spacing w:after="160"/>
        <w:contextualSpacing/>
        <w:rPr>
          <w:rFonts w:cs="Calibri"/>
          <w:szCs w:val="22"/>
          <w:lang w:eastAsia="es-MX"/>
        </w:rPr>
      </w:pPr>
      <w:r w:rsidRPr="004574F6">
        <w:rPr>
          <w:rFonts w:cs="Calibri"/>
          <w:szCs w:val="22"/>
          <w:lang w:eastAsia="es-MX"/>
        </w:rPr>
        <w:t xml:space="preserve">En ese orden de ideas, de la revisión remitida en respuesta primigenia, no se tiene certeza de que sea la totalidad de los oficios requeridos, pues existen discrepancias en su </w:t>
      </w:r>
      <w:r w:rsidRPr="004574F6">
        <w:rPr>
          <w:rFonts w:cs="Calibri"/>
          <w:szCs w:val="22"/>
          <w:lang w:eastAsia="es-MX"/>
        </w:rPr>
        <w:lastRenderedPageBreak/>
        <w:t>pronunciamiento, lo cual toma relevancia, pues de la revisión del consecutivo de los oficios, se logra vislumbrar que faltan algunos números, siendo los faltantes el 54, 65, 66, 72, 74, 75, 103, 137, 156, 175, 180, 183, 186, 194, 199, 207, 210, 226, 257, 271, 302, 303, 307, 310, 322, 324, 327, 329, 331, 332, 335, 336, 340, 344, 348 y 350; por lo que, no se desconoce si fueron omitidos para su entrega, o bien, están cancelados, por lo que, no se puede dar por atendido el requerimiento de información.</w:t>
      </w:r>
    </w:p>
    <w:p w14:paraId="293FAC58" w14:textId="77777777" w:rsidR="004528C8" w:rsidRPr="004574F6" w:rsidRDefault="004528C8" w:rsidP="004574F6">
      <w:pPr>
        <w:widowControl w:val="0"/>
        <w:tabs>
          <w:tab w:val="center" w:pos="4522"/>
        </w:tabs>
        <w:spacing w:after="160"/>
        <w:contextualSpacing/>
        <w:rPr>
          <w:rFonts w:cs="Calibri"/>
          <w:szCs w:val="22"/>
          <w:lang w:eastAsia="es-MX"/>
        </w:rPr>
      </w:pPr>
    </w:p>
    <w:p w14:paraId="0AC376FA" w14:textId="709F89F1" w:rsidR="004528C8" w:rsidRPr="004574F6" w:rsidRDefault="004528C8" w:rsidP="004574F6">
      <w:pPr>
        <w:widowControl w:val="0"/>
        <w:tabs>
          <w:tab w:val="center" w:pos="4522"/>
        </w:tabs>
        <w:spacing w:after="160"/>
        <w:contextualSpacing/>
        <w:rPr>
          <w:rFonts w:cs="Calibri"/>
          <w:szCs w:val="22"/>
          <w:lang w:eastAsia="es-MX"/>
        </w:rPr>
      </w:pPr>
      <w:r w:rsidRPr="004574F6">
        <w:rPr>
          <w:rFonts w:cs="Calibri"/>
          <w:szCs w:val="22"/>
          <w:lang w:eastAsia="es-MX"/>
        </w:rPr>
        <w:t>Además, se advierte que no entregó oficios relativos a la temporalidad del mes de agosto, septiembre, octubre, noviembre y diciembre de dos m</w:t>
      </w:r>
      <w:r w:rsidR="00B00E9B" w:rsidRPr="004574F6">
        <w:rPr>
          <w:rFonts w:cs="Calibri"/>
          <w:szCs w:val="22"/>
          <w:lang w:eastAsia="es-MX"/>
        </w:rPr>
        <w:t>i</w:t>
      </w:r>
      <w:r w:rsidRPr="004574F6">
        <w:rPr>
          <w:rFonts w:cs="Calibri"/>
          <w:szCs w:val="22"/>
          <w:lang w:eastAsia="es-MX"/>
        </w:rPr>
        <w:t>l veintitrés, así como enero, febrero, marzo y hasta el cinco de abril de dos mil veinticuatro.</w:t>
      </w:r>
    </w:p>
    <w:p w14:paraId="286E88D5" w14:textId="77777777" w:rsidR="004917EC" w:rsidRPr="004574F6" w:rsidRDefault="004917EC" w:rsidP="004574F6">
      <w:pPr>
        <w:widowControl w:val="0"/>
        <w:tabs>
          <w:tab w:val="center" w:pos="4522"/>
        </w:tabs>
        <w:spacing w:after="160"/>
        <w:contextualSpacing/>
        <w:rPr>
          <w:rFonts w:cs="Calibri"/>
          <w:szCs w:val="22"/>
          <w:lang w:eastAsia="es-MX"/>
        </w:rPr>
      </w:pPr>
    </w:p>
    <w:p w14:paraId="3D5C7C6A" w14:textId="6EB7E8FF" w:rsidR="00B00E9B" w:rsidRPr="004574F6" w:rsidRDefault="002603D9" w:rsidP="004574F6">
      <w:pPr>
        <w:ind w:right="49"/>
        <w:rPr>
          <w:rFonts w:cs="Tahoma"/>
          <w:bCs/>
          <w:szCs w:val="22"/>
          <w:lang w:val="es-ES"/>
        </w:rPr>
      </w:pPr>
      <w:r w:rsidRPr="004574F6">
        <w:rPr>
          <w:rFonts w:eastAsia="MS Gothic" w:cstheme="majorBidi"/>
          <w:iCs/>
          <w:szCs w:val="22"/>
          <w:lang w:val="es-ES"/>
        </w:rPr>
        <w:t>Por otro lado,</w:t>
      </w:r>
      <w:r w:rsidRPr="004574F6">
        <w:rPr>
          <w:rFonts w:eastAsia="MS Mincho" w:cs="Arial"/>
          <w:bCs/>
          <w:szCs w:val="22"/>
        </w:rPr>
        <w:t xml:space="preserve"> se precisa que, el</w:t>
      </w:r>
      <w:r w:rsidRPr="004574F6">
        <w:rPr>
          <w:rFonts w:eastAsia="MS Mincho" w:cs="Arial"/>
          <w:b/>
          <w:bCs/>
          <w:szCs w:val="22"/>
        </w:rPr>
        <w:t xml:space="preserve"> SUJETO OBLIGADO</w:t>
      </w:r>
      <w:r w:rsidR="00B00E9B" w:rsidRPr="004574F6">
        <w:rPr>
          <w:rFonts w:eastAsia="MS Mincho" w:cs="Arial"/>
          <w:b/>
          <w:bCs/>
          <w:szCs w:val="22"/>
        </w:rPr>
        <w:t xml:space="preserve"> </w:t>
      </w:r>
      <w:r w:rsidR="00B00E9B" w:rsidRPr="004574F6">
        <w:rPr>
          <w:rFonts w:eastAsia="MS Mincho" w:cs="Arial"/>
          <w:bCs/>
          <w:szCs w:val="22"/>
        </w:rPr>
        <w:t>remitió el archivo denominado</w:t>
      </w:r>
      <w:r w:rsidR="00B00E9B" w:rsidRPr="004574F6">
        <w:rPr>
          <w:rFonts w:eastAsia="MS Mincho" w:cs="Arial"/>
          <w:b/>
          <w:bCs/>
          <w:szCs w:val="22"/>
        </w:rPr>
        <w:t xml:space="preserve"> </w:t>
      </w:r>
      <w:r w:rsidR="00B00E9B" w:rsidRPr="004574F6">
        <w:rPr>
          <w:rFonts w:cs="Tahoma"/>
          <w:b/>
          <w:szCs w:val="22"/>
          <w:lang w:val="es-ES"/>
        </w:rPr>
        <w:t xml:space="preserve">6.DecimaSeptimaSesionExtraordinaria (3).pdf </w:t>
      </w:r>
      <w:r w:rsidR="00B00E9B" w:rsidRPr="004574F6">
        <w:rPr>
          <w:rFonts w:cs="Tahoma"/>
          <w:szCs w:val="22"/>
          <w:lang w:val="es-ES"/>
        </w:rPr>
        <w:t>el cual contiene</w:t>
      </w:r>
      <w:r w:rsidR="00B00E9B" w:rsidRPr="004574F6">
        <w:rPr>
          <w:rFonts w:cs="Tahoma"/>
          <w:b/>
          <w:szCs w:val="22"/>
          <w:lang w:val="es-ES"/>
        </w:rPr>
        <w:t xml:space="preserve"> </w:t>
      </w:r>
      <w:r w:rsidR="00B00E9B" w:rsidRPr="004574F6">
        <w:rPr>
          <w:rFonts w:cs="Tahoma"/>
          <w:bCs/>
          <w:szCs w:val="22"/>
          <w:lang w:val="es-ES"/>
        </w:rPr>
        <w:t>el Acta del comité interno de transparencia correspondiente a la décima séptima sesión extraordinaria de fecha veintiocho de agosto de dos mil veintitrés, mediante la cual se pronuncia relativo a un recurso de revisión diverso, situación que se considera erróneo pues debió realizar el acuerdo de clasificación relativo al Recurso en estudio.</w:t>
      </w:r>
    </w:p>
    <w:p w14:paraId="20727088" w14:textId="77777777" w:rsidR="00B00E9B" w:rsidRPr="004574F6" w:rsidRDefault="00B00E9B" w:rsidP="004574F6">
      <w:pPr>
        <w:ind w:right="49"/>
        <w:rPr>
          <w:rFonts w:cs="Tahoma"/>
          <w:bCs/>
          <w:szCs w:val="22"/>
          <w:lang w:val="es-ES"/>
        </w:rPr>
      </w:pPr>
    </w:p>
    <w:p w14:paraId="69E54ED8" w14:textId="029EC278" w:rsidR="002603D9" w:rsidRPr="004574F6" w:rsidRDefault="00B00E9B" w:rsidP="004574F6">
      <w:pPr>
        <w:ind w:right="49"/>
        <w:rPr>
          <w:rFonts w:eastAsia="MS Gothic" w:cstheme="majorBidi"/>
          <w:iCs/>
          <w:szCs w:val="22"/>
          <w:lang w:val="es-ES"/>
        </w:rPr>
      </w:pPr>
      <w:r w:rsidRPr="004574F6">
        <w:rPr>
          <w:rFonts w:cs="Tahoma"/>
          <w:bCs/>
          <w:szCs w:val="22"/>
          <w:lang w:val="es-ES"/>
        </w:rPr>
        <w:t>Atento a lo anterior, conviene realizar el estudio pertinente relativo a la clasificación de la información a entregar, que en el caso particular es relativa a información de oficios, por ello e</w:t>
      </w:r>
      <w:r w:rsidR="002603D9" w:rsidRPr="004574F6">
        <w:rPr>
          <w:rFonts w:eastAsia="MS Mincho" w:cs="Arial"/>
          <w:bCs/>
          <w:szCs w:val="22"/>
        </w:rPr>
        <w:t xml:space="preserve">n este sentido, </w:t>
      </w:r>
      <w:r w:rsidR="002603D9" w:rsidRPr="004574F6">
        <w:rPr>
          <w:rFonts w:eastAsia="MS Gothic"/>
          <w:szCs w:val="22"/>
        </w:rPr>
        <w:t xml:space="preserve">es importante señalar que la clasificación total o parcial de la información requerida mediante solicitud de acceso a la información pública, constituye una restricción al derecho humano de acceso a la información. </w:t>
      </w:r>
    </w:p>
    <w:p w14:paraId="1D0EB62C" w14:textId="77777777" w:rsidR="002603D9" w:rsidRPr="004574F6" w:rsidRDefault="002603D9" w:rsidP="004574F6">
      <w:pPr>
        <w:rPr>
          <w:rFonts w:eastAsia="MS Gothic"/>
          <w:szCs w:val="22"/>
        </w:rPr>
      </w:pPr>
    </w:p>
    <w:p w14:paraId="586F7992" w14:textId="77777777" w:rsidR="002603D9" w:rsidRPr="004574F6" w:rsidRDefault="002603D9" w:rsidP="004574F6">
      <w:pPr>
        <w:ind w:right="49"/>
        <w:rPr>
          <w:rFonts w:eastAsia="MS Gothic" w:cstheme="majorBidi"/>
          <w:iCs/>
          <w:szCs w:val="22"/>
          <w:lang w:val="es-ES"/>
        </w:rPr>
      </w:pPr>
      <w:r w:rsidRPr="004574F6">
        <w:rPr>
          <w:rFonts w:eastAsia="MS Gothic"/>
          <w:szCs w:val="22"/>
        </w:rPr>
        <w:lastRenderedPageBreak/>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4797A9BC" w14:textId="77777777" w:rsidR="002603D9" w:rsidRPr="004574F6" w:rsidRDefault="002603D9" w:rsidP="004574F6">
      <w:pPr>
        <w:pStyle w:val="Prrafodelista"/>
        <w:rPr>
          <w:rFonts w:eastAsia="MS Gothic"/>
          <w:szCs w:val="22"/>
        </w:rPr>
      </w:pPr>
    </w:p>
    <w:p w14:paraId="20576704" w14:textId="77777777" w:rsidR="002603D9" w:rsidRPr="004574F6" w:rsidRDefault="002603D9" w:rsidP="004574F6">
      <w:pPr>
        <w:ind w:right="49"/>
        <w:rPr>
          <w:rFonts w:eastAsia="MS Gothic" w:cstheme="majorBidi"/>
          <w:iCs/>
          <w:szCs w:val="22"/>
          <w:lang w:val="es-ES"/>
        </w:rPr>
      </w:pPr>
      <w:r w:rsidRPr="004574F6">
        <w:rPr>
          <w:rFonts w:eastAsia="MS Gothic"/>
          <w:szCs w:val="22"/>
        </w:rPr>
        <w:t>Al respecto, los Lineamientos Generales en Materia de Clasificación y Desclasificación de la Información, así Como para la Elaboración de Versiones Públicas, por cuanto hace a la clasificación de la información, señalan lo siguiente:</w:t>
      </w:r>
    </w:p>
    <w:p w14:paraId="5417D680" w14:textId="77777777" w:rsidR="002603D9" w:rsidRPr="004574F6" w:rsidRDefault="002603D9" w:rsidP="004574F6">
      <w:pPr>
        <w:rPr>
          <w:rFonts w:eastAsia="MS Gothic"/>
          <w:szCs w:val="22"/>
        </w:rPr>
      </w:pPr>
    </w:p>
    <w:p w14:paraId="318CC25E" w14:textId="77777777" w:rsidR="002603D9" w:rsidRPr="004574F6" w:rsidRDefault="002603D9" w:rsidP="004574F6">
      <w:pPr>
        <w:ind w:right="49"/>
        <w:rPr>
          <w:rFonts w:eastAsia="MS Gothic" w:cstheme="majorBidi"/>
          <w:iCs/>
          <w:szCs w:val="22"/>
          <w:lang w:val="es-ES"/>
        </w:rPr>
      </w:pPr>
      <w:r w:rsidRPr="004574F6">
        <w:rPr>
          <w:rFonts w:eastAsia="MS Gothic"/>
          <w:szCs w:val="22"/>
        </w:rPr>
        <w:t xml:space="preserve">Así, una vez hecho lo anterior, </w:t>
      </w:r>
      <w:r w:rsidRPr="004574F6">
        <w:rPr>
          <w:rFonts w:eastAsia="MS Gothic"/>
          <w:b/>
          <w:szCs w:val="22"/>
        </w:rPr>
        <w:t>se remite la información al Titular de la Unidad de Transparencia, con el acuerdo de clasificación correspondiente, para que sea sometido al conocimiento del Comité de Transparencia.</w:t>
      </w:r>
    </w:p>
    <w:p w14:paraId="051F95FB" w14:textId="488B581A" w:rsidR="002603D9" w:rsidRPr="004574F6" w:rsidRDefault="002603D9" w:rsidP="004574F6">
      <w:pPr>
        <w:tabs>
          <w:tab w:val="left" w:pos="142"/>
          <w:tab w:val="left" w:pos="284"/>
          <w:tab w:val="left" w:pos="426"/>
        </w:tabs>
        <w:outlineLvl w:val="2"/>
        <w:rPr>
          <w:rFonts w:cs="Arial"/>
          <w:b/>
          <w:szCs w:val="22"/>
        </w:rPr>
      </w:pPr>
    </w:p>
    <w:p w14:paraId="27C9788E" w14:textId="77777777" w:rsidR="002603D9" w:rsidRPr="004574F6" w:rsidRDefault="002603D9" w:rsidP="004574F6">
      <w:pPr>
        <w:pStyle w:val="Prrafodelista"/>
        <w:numPr>
          <w:ilvl w:val="0"/>
          <w:numId w:val="29"/>
        </w:numPr>
        <w:tabs>
          <w:tab w:val="left" w:pos="142"/>
          <w:tab w:val="left" w:pos="284"/>
          <w:tab w:val="left" w:pos="426"/>
        </w:tabs>
        <w:rPr>
          <w:rFonts w:cs="Arial"/>
          <w:b/>
          <w:szCs w:val="22"/>
        </w:rPr>
      </w:pPr>
      <w:r w:rsidRPr="004574F6">
        <w:rPr>
          <w:rFonts w:cs="Arial"/>
          <w:b/>
          <w:szCs w:val="22"/>
        </w:rPr>
        <w:t>Formalidades para emitir el Acuerdo de Clasificación.</w:t>
      </w:r>
    </w:p>
    <w:p w14:paraId="7722B3D2" w14:textId="77777777" w:rsidR="002603D9" w:rsidRPr="004574F6" w:rsidRDefault="002603D9" w:rsidP="004574F6">
      <w:pPr>
        <w:ind w:right="49"/>
        <w:rPr>
          <w:rFonts w:eastAsia="MS Gothic" w:cstheme="majorBidi"/>
          <w:iCs/>
          <w:szCs w:val="22"/>
          <w:lang w:val="es-ES"/>
        </w:rPr>
      </w:pPr>
    </w:p>
    <w:p w14:paraId="09597DEC" w14:textId="77777777" w:rsidR="002603D9" w:rsidRPr="004574F6" w:rsidRDefault="002603D9" w:rsidP="004574F6">
      <w:pPr>
        <w:ind w:right="49"/>
        <w:rPr>
          <w:rFonts w:eastAsia="MS Gothic" w:cstheme="majorBidi"/>
          <w:iCs/>
          <w:szCs w:val="22"/>
          <w:lang w:val="es-ES"/>
        </w:rPr>
      </w:pPr>
      <w:r w:rsidRPr="004574F6">
        <w:rPr>
          <w:rFonts w:eastAsia="MS Gothic"/>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4574F6">
        <w:rPr>
          <w:rFonts w:eastAsia="MS Gothic"/>
          <w:b/>
          <w:szCs w:val="22"/>
          <w:u w:val="single"/>
        </w:rPr>
        <w:t>confirmar, modificar o revocar</w:t>
      </w:r>
      <w:r w:rsidRPr="004574F6">
        <w:rPr>
          <w:rFonts w:eastAsia="MS Gothic"/>
          <w:szCs w:val="22"/>
        </w:rPr>
        <w:t xml:space="preserve"> la clasificación de la información que ha hecho el titular del área que administra la información. Por lo tanto, el Comité </w:t>
      </w:r>
      <w:r w:rsidRPr="004574F6">
        <w:rPr>
          <w:rFonts w:eastAsia="MS Gothic"/>
          <w:b/>
          <w:szCs w:val="22"/>
          <w:u w:val="single"/>
        </w:rPr>
        <w:t>no aprueba</w:t>
      </w:r>
      <w:r w:rsidRPr="004574F6">
        <w:rPr>
          <w:rFonts w:eastAsia="MS Gothic"/>
          <w:szCs w:val="22"/>
        </w:rPr>
        <w:t xml:space="preserve"> la clasificación, sino que revisa lo que ha hecho el titular del área y confirma, modifica o revoca la decisión a través de un acuerdo.</w:t>
      </w:r>
    </w:p>
    <w:p w14:paraId="49407950" w14:textId="77777777" w:rsidR="002603D9" w:rsidRPr="004574F6" w:rsidRDefault="002603D9" w:rsidP="004574F6">
      <w:pPr>
        <w:ind w:right="49"/>
        <w:rPr>
          <w:rFonts w:eastAsia="MS Gothic" w:cstheme="majorBidi"/>
          <w:iCs/>
          <w:szCs w:val="22"/>
          <w:lang w:val="es-ES"/>
        </w:rPr>
      </w:pPr>
    </w:p>
    <w:p w14:paraId="497ABCD7" w14:textId="77777777" w:rsidR="002603D9" w:rsidRPr="004574F6" w:rsidRDefault="002603D9" w:rsidP="004574F6">
      <w:pPr>
        <w:ind w:right="49"/>
        <w:rPr>
          <w:rFonts w:eastAsia="MS Gothic" w:cstheme="majorBidi"/>
          <w:iCs/>
          <w:szCs w:val="22"/>
          <w:lang w:val="es-ES"/>
        </w:rPr>
      </w:pPr>
      <w:r w:rsidRPr="004574F6">
        <w:rPr>
          <w:rFonts w:eastAsia="MS Gothic"/>
          <w:szCs w:val="22"/>
        </w:rPr>
        <w:lastRenderedPageBreak/>
        <w:t xml:space="preserve">Evidentemente, esta decisión implica una restricción a un derecho humano, por lo tanto, puede generar un agravio al Particular y, en consecuencia, es necesario que </w:t>
      </w:r>
      <w:r w:rsidRPr="004574F6">
        <w:rPr>
          <w:rFonts w:eastAsia="MS Gothic"/>
          <w:b/>
          <w:szCs w:val="22"/>
          <w:u w:val="single"/>
        </w:rPr>
        <w:t>el acto reúna con los requisitos elementales</w:t>
      </w:r>
      <w:r w:rsidRPr="004574F6">
        <w:rPr>
          <w:rFonts w:eastAsia="MS Gothic"/>
          <w:szCs w:val="22"/>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4AB6897" w14:textId="77777777" w:rsidR="002603D9" w:rsidRPr="004574F6" w:rsidRDefault="002603D9" w:rsidP="004574F6">
      <w:pPr>
        <w:rPr>
          <w:rFonts w:eastAsia="MS Gothic"/>
          <w:szCs w:val="22"/>
        </w:rPr>
      </w:pPr>
    </w:p>
    <w:p w14:paraId="3ED80C39" w14:textId="77777777" w:rsidR="002603D9" w:rsidRPr="004574F6" w:rsidRDefault="002603D9" w:rsidP="004574F6">
      <w:pPr>
        <w:ind w:right="49"/>
        <w:rPr>
          <w:rFonts w:eastAsia="MS Gothic" w:cstheme="majorBidi"/>
          <w:iCs/>
          <w:szCs w:val="22"/>
          <w:lang w:val="es-ES"/>
        </w:rPr>
      </w:pPr>
      <w:r w:rsidRPr="004574F6">
        <w:rPr>
          <w:rFonts w:eastAsia="MS Gothic"/>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0159B65C" w14:textId="77777777" w:rsidR="002603D9" w:rsidRPr="004574F6" w:rsidRDefault="002603D9" w:rsidP="004574F6">
      <w:pPr>
        <w:pStyle w:val="Prrafodelista"/>
        <w:rPr>
          <w:rFonts w:eastAsia="MS Gothic"/>
          <w:szCs w:val="22"/>
        </w:rPr>
      </w:pPr>
    </w:p>
    <w:p w14:paraId="69B59E1E" w14:textId="77777777" w:rsidR="002603D9" w:rsidRPr="004574F6" w:rsidRDefault="002603D9" w:rsidP="004574F6">
      <w:pPr>
        <w:pStyle w:val="Prrafodelista"/>
        <w:tabs>
          <w:tab w:val="left" w:pos="142"/>
          <w:tab w:val="left" w:pos="284"/>
          <w:tab w:val="left" w:pos="426"/>
        </w:tabs>
        <w:ind w:left="567"/>
        <w:rPr>
          <w:rFonts w:cs="Arial"/>
          <w:b/>
          <w:szCs w:val="22"/>
        </w:rPr>
      </w:pPr>
      <w:r w:rsidRPr="004574F6">
        <w:rPr>
          <w:rFonts w:cs="Arial"/>
          <w:b/>
          <w:szCs w:val="22"/>
        </w:rPr>
        <w:t>b) Requisitos de fondo del Acuerdo de Clasificación.</w:t>
      </w:r>
    </w:p>
    <w:p w14:paraId="777FD5AA" w14:textId="77777777" w:rsidR="002603D9" w:rsidRPr="004574F6" w:rsidRDefault="002603D9" w:rsidP="004574F6">
      <w:pPr>
        <w:rPr>
          <w:rFonts w:eastAsia="MS Gothic"/>
          <w:szCs w:val="22"/>
        </w:rPr>
      </w:pPr>
    </w:p>
    <w:p w14:paraId="7E34CE38" w14:textId="77777777" w:rsidR="002603D9" w:rsidRPr="004574F6" w:rsidRDefault="002603D9" w:rsidP="004574F6">
      <w:pPr>
        <w:ind w:right="49"/>
        <w:rPr>
          <w:rFonts w:eastAsia="MS Gothic" w:cstheme="majorBidi"/>
          <w:iCs/>
          <w:szCs w:val="22"/>
          <w:lang w:val="es-ES"/>
        </w:rPr>
      </w:pPr>
      <w:r w:rsidRPr="004574F6">
        <w:rPr>
          <w:rFonts w:eastAsia="MS Gothic"/>
          <w:szCs w:val="22"/>
        </w:rPr>
        <w:t xml:space="preserve">Como se ha señalado antes, al hacer el juicio de subsunción o encaje entre el supuesto de hecho y la hipótesis jurídica, se debe acreditar la estricta correspondencia entre un elemento y otro. </w:t>
      </w:r>
    </w:p>
    <w:p w14:paraId="4AD83719" w14:textId="77777777" w:rsidR="002603D9" w:rsidRPr="004574F6" w:rsidRDefault="002603D9" w:rsidP="004574F6">
      <w:pPr>
        <w:ind w:right="49"/>
        <w:rPr>
          <w:rFonts w:eastAsia="MS Gothic" w:cstheme="majorBidi"/>
          <w:iCs/>
          <w:szCs w:val="22"/>
          <w:lang w:val="es-ES"/>
        </w:rPr>
      </w:pPr>
    </w:p>
    <w:p w14:paraId="63C6A48E" w14:textId="77777777" w:rsidR="002603D9" w:rsidRPr="004574F6" w:rsidRDefault="002603D9" w:rsidP="004574F6">
      <w:pPr>
        <w:ind w:right="49"/>
        <w:rPr>
          <w:rFonts w:eastAsia="MS Gothic" w:cstheme="majorBidi"/>
          <w:iCs/>
          <w:szCs w:val="22"/>
          <w:lang w:val="es-ES"/>
        </w:rPr>
      </w:pPr>
      <w:r w:rsidRPr="004574F6">
        <w:rPr>
          <w:rFonts w:eastAsia="MS Gothic"/>
          <w:szCs w:val="22"/>
        </w:rPr>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56A3B9B2" w14:textId="77777777" w:rsidR="002603D9" w:rsidRPr="004574F6" w:rsidRDefault="002603D9" w:rsidP="004574F6">
      <w:pPr>
        <w:ind w:right="49"/>
        <w:rPr>
          <w:rFonts w:eastAsia="MS Gothic" w:cstheme="majorBidi"/>
          <w:iCs/>
          <w:szCs w:val="22"/>
          <w:lang w:val="es-ES"/>
        </w:rPr>
      </w:pPr>
    </w:p>
    <w:p w14:paraId="6217C0E5" w14:textId="77777777" w:rsidR="002603D9" w:rsidRPr="004574F6" w:rsidRDefault="002603D9" w:rsidP="004574F6">
      <w:pPr>
        <w:ind w:right="49"/>
        <w:rPr>
          <w:rFonts w:eastAsia="MS Gothic" w:cstheme="majorBidi"/>
          <w:iCs/>
          <w:szCs w:val="22"/>
          <w:lang w:val="es-ES"/>
        </w:rPr>
      </w:pPr>
      <w:r w:rsidRPr="004574F6">
        <w:rPr>
          <w:rFonts w:eastAsia="MS Gothic"/>
          <w:szCs w:val="22"/>
        </w:rPr>
        <w:t xml:space="preserve">De lo anterior, se desprende que, </w:t>
      </w:r>
      <w:r w:rsidRPr="004574F6">
        <w:rPr>
          <w:rFonts w:eastAsia="MS Gothic"/>
          <w:b/>
          <w:szCs w:val="22"/>
          <w:u w:val="single"/>
        </w:rPr>
        <w:t>para una correcta clasificación total o parcial, esto es determinar los datos que se suprimen en las versiones públicas</w:t>
      </w:r>
      <w:r w:rsidRPr="004574F6">
        <w:rPr>
          <w:rFonts w:eastAsia="MS Gothic"/>
          <w:szCs w:val="22"/>
        </w:rPr>
        <w:t xml:space="preserve">, </w:t>
      </w:r>
      <w:r w:rsidRPr="004574F6">
        <w:rPr>
          <w:rFonts w:eastAsia="MS Gothic"/>
          <w:b/>
          <w:szCs w:val="22"/>
          <w:u w:val="single"/>
        </w:rPr>
        <w:t>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4500C39" w14:textId="77777777" w:rsidR="002603D9" w:rsidRPr="004574F6" w:rsidRDefault="002603D9" w:rsidP="004574F6">
      <w:pPr>
        <w:rPr>
          <w:rFonts w:cs="Arial"/>
          <w:szCs w:val="22"/>
        </w:rPr>
      </w:pPr>
    </w:p>
    <w:p w14:paraId="4DF1CA49" w14:textId="77777777" w:rsidR="002603D9" w:rsidRPr="004574F6" w:rsidRDefault="002603D9" w:rsidP="004574F6">
      <w:pPr>
        <w:ind w:right="49"/>
        <w:rPr>
          <w:rFonts w:eastAsia="MS Gothic" w:cstheme="majorBidi"/>
          <w:iCs/>
          <w:szCs w:val="22"/>
          <w:lang w:val="es-ES"/>
        </w:rPr>
      </w:pPr>
      <w:r w:rsidRPr="004574F6">
        <w:rPr>
          <w:rFonts w:cs="Arial"/>
          <w:szCs w:val="22"/>
        </w:rPr>
        <w:t>Por su parte, el intérprete judicial del país ha establecido una jurisprudencia respecto a qué debe entenderse por fundamentación y motivación, en los siguientes términos:</w:t>
      </w:r>
    </w:p>
    <w:p w14:paraId="4FEA3BB8" w14:textId="77777777" w:rsidR="002603D9" w:rsidRPr="004574F6" w:rsidRDefault="002603D9" w:rsidP="004574F6">
      <w:pPr>
        <w:ind w:right="49"/>
        <w:rPr>
          <w:rFonts w:eastAsia="MS Gothic"/>
          <w:szCs w:val="22"/>
        </w:rPr>
      </w:pPr>
    </w:p>
    <w:p w14:paraId="6801DC94" w14:textId="77777777" w:rsidR="002603D9" w:rsidRPr="004574F6" w:rsidRDefault="002603D9" w:rsidP="004574F6">
      <w:pPr>
        <w:pStyle w:val="Prrafodelista"/>
        <w:spacing w:before="240" w:after="240"/>
        <w:ind w:left="567" w:right="539"/>
        <w:rPr>
          <w:rFonts w:eastAsia="MS Mincho" w:cs="Arial"/>
          <w:b/>
          <w:bCs/>
          <w:szCs w:val="22"/>
          <w:u w:val="single"/>
        </w:rPr>
      </w:pPr>
      <w:r w:rsidRPr="004574F6">
        <w:rPr>
          <w:rFonts w:cs="Arial"/>
          <w:b/>
          <w:i/>
          <w:szCs w:val="22"/>
        </w:rPr>
        <w:t>FUNDAMENTACIÓN Y MOTIVACIÓN.</w:t>
      </w:r>
      <w:r w:rsidRPr="004574F6">
        <w:rPr>
          <w:rFonts w:cs="Arial"/>
          <w:i/>
          <w:szCs w:val="22"/>
        </w:rPr>
        <w:t xml:space="preserve"> “La </w:t>
      </w:r>
      <w:r w:rsidRPr="004574F6">
        <w:rPr>
          <w:rFonts w:cs="Arial"/>
          <w:i/>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4574F6">
        <w:rPr>
          <w:rFonts w:cs="Arial"/>
          <w:i/>
          <w:szCs w:val="22"/>
        </w:rPr>
        <w:t>.”</w:t>
      </w:r>
    </w:p>
    <w:p w14:paraId="2A7818B2" w14:textId="77777777" w:rsidR="002603D9" w:rsidRPr="004574F6" w:rsidRDefault="002603D9" w:rsidP="004574F6">
      <w:pPr>
        <w:ind w:left="567" w:right="539"/>
        <w:contextualSpacing/>
        <w:rPr>
          <w:rFonts w:cs="Arial"/>
          <w:i/>
          <w:szCs w:val="22"/>
        </w:rPr>
      </w:pPr>
    </w:p>
    <w:p w14:paraId="5C5832F6" w14:textId="77777777" w:rsidR="002603D9" w:rsidRPr="004574F6" w:rsidRDefault="002603D9" w:rsidP="004574F6">
      <w:pPr>
        <w:ind w:left="567" w:right="539"/>
        <w:contextualSpacing/>
        <w:rPr>
          <w:rFonts w:cs="Arial"/>
          <w:i/>
          <w:szCs w:val="22"/>
        </w:rPr>
      </w:pPr>
      <w:r w:rsidRPr="004574F6">
        <w:rPr>
          <w:rFonts w:cs="Arial"/>
          <w:i/>
          <w:szCs w:val="22"/>
        </w:rPr>
        <w:lastRenderedPageBreak/>
        <w:t>SEGUNDO TRIBUNAL COLEGIADO DEL SEXTO CIRCUITO.</w:t>
      </w:r>
    </w:p>
    <w:p w14:paraId="3EA80074" w14:textId="77777777" w:rsidR="002603D9" w:rsidRPr="004574F6" w:rsidRDefault="002603D9" w:rsidP="004574F6">
      <w:pPr>
        <w:ind w:left="567" w:right="539"/>
        <w:contextualSpacing/>
        <w:rPr>
          <w:rFonts w:cs="Arial"/>
          <w:i/>
          <w:szCs w:val="22"/>
        </w:rPr>
      </w:pPr>
      <w:r w:rsidRPr="004574F6">
        <w:rPr>
          <w:rFonts w:cs="Arial"/>
          <w:i/>
          <w:szCs w:val="22"/>
        </w:rPr>
        <w:t>Amparo directo 194/88. Bufete Industrial Construcciones, S.A. de C.V. 28 de junio de 1988. Unanimidad de votos. Ponente: Gustavo Calvillo Rangel. Secretario: Jorge Alberto González Álvarez.</w:t>
      </w:r>
    </w:p>
    <w:p w14:paraId="4E2629FF" w14:textId="77777777" w:rsidR="002603D9" w:rsidRPr="004574F6" w:rsidRDefault="002603D9" w:rsidP="004574F6">
      <w:pPr>
        <w:ind w:left="567" w:right="539"/>
        <w:contextualSpacing/>
        <w:rPr>
          <w:rFonts w:cs="Arial"/>
          <w:i/>
          <w:szCs w:val="22"/>
        </w:rPr>
      </w:pPr>
      <w:r w:rsidRPr="004574F6">
        <w:rPr>
          <w:rFonts w:cs="Arial"/>
          <w:i/>
          <w:szCs w:val="22"/>
        </w:rPr>
        <w:t>Revisión fiscal 103/88. Instituto Mexicano del Seguro Social. 18 de octubre de 1988. Unanimidad de votos. Ponente: Arnoldo Nájera Virgen. Secretario: Alejandro Esponda Rincón.</w:t>
      </w:r>
    </w:p>
    <w:p w14:paraId="2925FCE5" w14:textId="77777777" w:rsidR="002603D9" w:rsidRPr="004574F6" w:rsidRDefault="002603D9" w:rsidP="004574F6">
      <w:pPr>
        <w:ind w:left="567" w:right="539"/>
        <w:contextualSpacing/>
        <w:rPr>
          <w:rFonts w:cs="Arial"/>
          <w:i/>
          <w:szCs w:val="22"/>
        </w:rPr>
      </w:pPr>
      <w:r w:rsidRPr="004574F6">
        <w:rPr>
          <w:rFonts w:cs="Arial"/>
          <w:i/>
          <w:szCs w:val="22"/>
        </w:rPr>
        <w:t>Amparo en revisión 333/88. Adilia Romero. 26 de octubre de 1988. Unanimidad de votos. Ponente: Arnoldo Nájera Virgen. Secretario: Enrique Crispín Campos Ramírez.</w:t>
      </w:r>
    </w:p>
    <w:p w14:paraId="3163AE31" w14:textId="77777777" w:rsidR="002603D9" w:rsidRPr="004574F6" w:rsidRDefault="002603D9" w:rsidP="004574F6">
      <w:pPr>
        <w:ind w:left="567" w:right="539"/>
        <w:contextualSpacing/>
        <w:rPr>
          <w:rFonts w:cs="Arial"/>
          <w:i/>
          <w:szCs w:val="22"/>
        </w:rPr>
      </w:pPr>
      <w:r w:rsidRPr="004574F6">
        <w:rPr>
          <w:rFonts w:cs="Arial"/>
          <w:i/>
          <w:szCs w:val="22"/>
        </w:rPr>
        <w:t>Amparo en revisión 597/95. Emilio Maurer Bretón. 15 de noviembre de 1995. Unanimidad de votos. Ponente: Clementina Ramírez Moguel Goyzueta. Secretario: Gonzalo Carrera Molina.</w:t>
      </w:r>
    </w:p>
    <w:p w14:paraId="581E4ED6" w14:textId="77777777" w:rsidR="002603D9" w:rsidRPr="004574F6" w:rsidRDefault="002603D9" w:rsidP="004574F6">
      <w:pPr>
        <w:ind w:left="567" w:right="539"/>
        <w:contextualSpacing/>
        <w:rPr>
          <w:rFonts w:cs="Arial"/>
          <w:i/>
          <w:szCs w:val="22"/>
        </w:rPr>
      </w:pPr>
      <w:r w:rsidRPr="004574F6">
        <w:rPr>
          <w:rFonts w:cs="Arial"/>
          <w:i/>
          <w:szCs w:val="22"/>
        </w:rPr>
        <w:t>Amparo directo 7/96. Pedro Vicente López Miro. 21 de febrero de 1996. Unanimidad de votos. Ponente: María Eugenia Estela Martínez Cardiel. Secretario: Enrique Baigts Muñoz.</w:t>
      </w:r>
    </w:p>
    <w:p w14:paraId="1DC35B0F" w14:textId="77777777" w:rsidR="002603D9" w:rsidRPr="004574F6" w:rsidRDefault="002603D9" w:rsidP="004574F6">
      <w:pPr>
        <w:ind w:right="49"/>
        <w:rPr>
          <w:rFonts w:eastAsia="MS Gothic" w:cstheme="majorBidi"/>
          <w:iCs/>
          <w:szCs w:val="22"/>
          <w:lang w:val="es-ES"/>
        </w:rPr>
      </w:pPr>
    </w:p>
    <w:p w14:paraId="6A8916D4" w14:textId="77777777" w:rsidR="002603D9" w:rsidRPr="004574F6" w:rsidRDefault="002603D9" w:rsidP="004574F6">
      <w:pPr>
        <w:ind w:right="49"/>
        <w:rPr>
          <w:rFonts w:eastAsia="MS Gothic"/>
          <w:szCs w:val="22"/>
        </w:rPr>
      </w:pPr>
      <w:r w:rsidRPr="004574F6">
        <w:rPr>
          <w:rFonts w:eastAsia="MS Gothic"/>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A942111" w14:textId="77777777" w:rsidR="002603D9" w:rsidRPr="004574F6" w:rsidRDefault="002603D9" w:rsidP="004574F6">
      <w:pPr>
        <w:ind w:right="49"/>
        <w:rPr>
          <w:rFonts w:eastAsia="MS Gothic" w:cstheme="majorBidi"/>
          <w:iCs/>
          <w:szCs w:val="22"/>
          <w:lang w:val="es-ES"/>
        </w:rPr>
      </w:pPr>
    </w:p>
    <w:p w14:paraId="283DAEB0" w14:textId="77777777" w:rsidR="002603D9" w:rsidRPr="004574F6" w:rsidRDefault="002603D9" w:rsidP="004574F6">
      <w:pPr>
        <w:ind w:right="49"/>
        <w:rPr>
          <w:rFonts w:eastAsia="MS Gothic" w:cstheme="majorBidi"/>
          <w:iCs/>
          <w:szCs w:val="22"/>
          <w:lang w:val="es-ES"/>
        </w:rPr>
      </w:pPr>
      <w:r w:rsidRPr="004574F6">
        <w:rPr>
          <w:rFonts w:eastAsia="MS Gothic"/>
          <w:szCs w:val="22"/>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61637073" w14:textId="77777777" w:rsidR="002603D9" w:rsidRPr="004574F6" w:rsidRDefault="002603D9" w:rsidP="004574F6">
      <w:pPr>
        <w:ind w:right="49"/>
        <w:rPr>
          <w:rFonts w:eastAsia="MS Gothic" w:cstheme="majorBidi"/>
          <w:iCs/>
          <w:szCs w:val="22"/>
          <w:lang w:val="es-ES"/>
        </w:rPr>
      </w:pPr>
    </w:p>
    <w:p w14:paraId="3EDDD5CD" w14:textId="77777777" w:rsidR="002603D9" w:rsidRPr="004574F6" w:rsidRDefault="002603D9" w:rsidP="004574F6">
      <w:pPr>
        <w:ind w:right="49"/>
        <w:rPr>
          <w:rFonts w:eastAsia="MS Gothic" w:cstheme="majorBidi"/>
          <w:iCs/>
          <w:szCs w:val="22"/>
          <w:lang w:val="es-ES"/>
        </w:rPr>
      </w:pPr>
      <w:r w:rsidRPr="004574F6">
        <w:rPr>
          <w:rFonts w:eastAsia="MS Gothic"/>
          <w:szCs w:val="22"/>
        </w:rPr>
        <w:t>De este modo, la persona que se sienta afectada pueda impugnar la decisión, permitiéndole una real y auténtica defensa.</w:t>
      </w:r>
      <w:r w:rsidRPr="004574F6">
        <w:rPr>
          <w:rFonts w:cs="Arial"/>
          <w:szCs w:val="22"/>
          <w:lang w:val="es-US"/>
        </w:rPr>
        <w:t xml:space="preserve"> </w:t>
      </w:r>
      <w:r w:rsidRPr="004574F6">
        <w:rPr>
          <w:rFonts w:eastAsia="MS Gothic"/>
          <w:szCs w:val="22"/>
        </w:rPr>
        <w:t>En ese mismo sentido, el numeral trigésimo tercero fracción V de los Lineamientos Generales, precisa que para motivar la clasificación se deben acreditar las circunstancias de tiempo, modo y lugar.</w:t>
      </w:r>
    </w:p>
    <w:p w14:paraId="5F5FF422" w14:textId="77777777" w:rsidR="002603D9" w:rsidRPr="004574F6" w:rsidRDefault="002603D9" w:rsidP="004574F6">
      <w:pPr>
        <w:rPr>
          <w:rFonts w:cs="Arial"/>
          <w:noProof/>
          <w:szCs w:val="22"/>
        </w:rPr>
      </w:pPr>
    </w:p>
    <w:p w14:paraId="7F25B44F" w14:textId="628F6DA3" w:rsidR="002603D9" w:rsidRPr="004574F6" w:rsidRDefault="002603D9" w:rsidP="004574F6">
      <w:pPr>
        <w:ind w:right="49"/>
        <w:rPr>
          <w:rFonts w:eastAsia="MS Gothic" w:cstheme="majorBidi"/>
          <w:iCs/>
          <w:szCs w:val="22"/>
          <w:lang w:val="es-ES"/>
        </w:rPr>
      </w:pPr>
      <w:r w:rsidRPr="004574F6">
        <w:rPr>
          <w:rFonts w:cs="Arial"/>
          <w:noProof/>
          <w:szCs w:val="22"/>
        </w:rPr>
        <w:t>En ese caso, se precisa que, si bien se entregaron los documentos solicitados</w:t>
      </w:r>
      <w:r w:rsidR="00B00E9B" w:rsidRPr="004574F6">
        <w:rPr>
          <w:rFonts w:cs="Arial"/>
          <w:noProof/>
          <w:szCs w:val="22"/>
        </w:rPr>
        <w:t xml:space="preserve"> (oficios)</w:t>
      </w:r>
      <w:r w:rsidRPr="004574F6">
        <w:rPr>
          <w:rFonts w:cs="Arial"/>
          <w:noProof/>
          <w:szCs w:val="22"/>
        </w:rPr>
        <w:t>, no se proporcionó el Acuerdo emitido por el Comité de Transparencia que su</w:t>
      </w:r>
      <w:r w:rsidR="00B00E9B" w:rsidRPr="004574F6">
        <w:rPr>
          <w:rFonts w:cs="Arial"/>
          <w:noProof/>
          <w:szCs w:val="22"/>
        </w:rPr>
        <w:t>stente la versión pública, pertinente a esta información solicitada.</w:t>
      </w:r>
    </w:p>
    <w:p w14:paraId="1E0ED158" w14:textId="77777777" w:rsidR="004917EC" w:rsidRPr="004574F6" w:rsidRDefault="004917EC" w:rsidP="004574F6">
      <w:pPr>
        <w:widowControl w:val="0"/>
        <w:tabs>
          <w:tab w:val="center" w:pos="4522"/>
        </w:tabs>
        <w:spacing w:after="160"/>
        <w:contextualSpacing/>
        <w:rPr>
          <w:rFonts w:cs="Calibri"/>
          <w:szCs w:val="22"/>
          <w:lang w:eastAsia="es-MX"/>
        </w:rPr>
      </w:pPr>
    </w:p>
    <w:p w14:paraId="7315C338" w14:textId="14CBAF8B" w:rsidR="004528C8" w:rsidRPr="004574F6" w:rsidRDefault="00D957EE" w:rsidP="004574F6">
      <w:pPr>
        <w:widowControl w:val="0"/>
        <w:tabs>
          <w:tab w:val="center" w:pos="4522"/>
        </w:tabs>
        <w:spacing w:after="160"/>
        <w:contextualSpacing/>
        <w:rPr>
          <w:rFonts w:cs="Calibri"/>
          <w:szCs w:val="22"/>
          <w:u w:val="single"/>
          <w:lang w:eastAsia="es-MX"/>
        </w:rPr>
      </w:pPr>
      <w:r w:rsidRPr="004574F6">
        <w:rPr>
          <w:rFonts w:cs="Calibri"/>
          <w:szCs w:val="22"/>
          <w:u w:val="single"/>
          <w:lang w:eastAsia="es-MX"/>
        </w:rPr>
        <w:t>Así, se considera que para dar atención a la solicitud de información, el Sujeto Obligado deberá realizar una búsqueda exhaustiva y razonable, en los archivos</w:t>
      </w:r>
      <w:r w:rsidR="004528C8" w:rsidRPr="004574F6">
        <w:rPr>
          <w:rFonts w:cs="Calibri"/>
          <w:szCs w:val="22"/>
          <w:u w:val="single"/>
          <w:lang w:eastAsia="es-MX"/>
        </w:rPr>
        <w:t xml:space="preserve"> de la secretaría particular de nueva cuenta para efecto de que proporcione los oficios de la temporalidad del 1 de enero de 2023 hasta el cinco de abril de </w:t>
      </w:r>
      <w:r w:rsidR="007431A7" w:rsidRPr="004574F6">
        <w:rPr>
          <w:rFonts w:cs="Calibri"/>
          <w:szCs w:val="22"/>
          <w:u w:val="single"/>
          <w:lang w:eastAsia="es-MX"/>
        </w:rPr>
        <w:t>2024</w:t>
      </w:r>
      <w:r w:rsidR="004528C8" w:rsidRPr="004574F6">
        <w:rPr>
          <w:rFonts w:cs="Calibri"/>
          <w:szCs w:val="22"/>
          <w:u w:val="single"/>
          <w:lang w:eastAsia="es-MX"/>
        </w:rPr>
        <w:t>, firmados por la secretaria particular de la presidenta del DIF.</w:t>
      </w:r>
    </w:p>
    <w:p w14:paraId="09C3707D" w14:textId="77777777" w:rsidR="004528C8" w:rsidRPr="004574F6" w:rsidRDefault="004528C8" w:rsidP="004574F6">
      <w:pPr>
        <w:widowControl w:val="0"/>
        <w:tabs>
          <w:tab w:val="center" w:pos="4522"/>
        </w:tabs>
        <w:spacing w:after="160"/>
        <w:contextualSpacing/>
        <w:rPr>
          <w:rFonts w:cs="Calibri"/>
          <w:szCs w:val="22"/>
          <w:lang w:eastAsia="es-MX"/>
        </w:rPr>
      </w:pPr>
    </w:p>
    <w:p w14:paraId="1EF03CFF" w14:textId="0969411E" w:rsidR="006D1DEA" w:rsidRPr="004574F6" w:rsidRDefault="006D1DEA" w:rsidP="004574F6">
      <w:pPr>
        <w:rPr>
          <w:rFonts w:eastAsia="Calibri" w:cs="Tahoma"/>
          <w:iCs/>
          <w:szCs w:val="22"/>
          <w:lang w:val="es-ES" w:eastAsia="es-ES_tradnl"/>
        </w:rPr>
      </w:pPr>
      <w:r w:rsidRPr="004574F6">
        <w:rPr>
          <w:szCs w:val="22"/>
          <w:lang w:eastAsia="es-MX"/>
        </w:rPr>
        <w:t xml:space="preserve">Además, </w:t>
      </w:r>
      <w:r w:rsidRPr="004574F6">
        <w:rPr>
          <w:rFonts w:eastAsia="Calibri" w:cs="Tahoma"/>
          <w:iCs/>
          <w:szCs w:val="22"/>
          <w:lang w:val="es-ES" w:eastAsia="es-ES_tradnl"/>
        </w:rPr>
        <w:t>deberá realizar el Acuerdo emitido por el Comité de Transparencia, en el que, de manera fundada y motivada, se hagan de su conocimiento las razones o motivos por las cuales se aprobó la clasificación de los documentos entregados en respuesta (oficios), relativos a la solicitud de información en estudio.</w:t>
      </w:r>
    </w:p>
    <w:p w14:paraId="651A2E60" w14:textId="1BB5FEE3" w:rsidR="007431A7" w:rsidRPr="004574F6" w:rsidRDefault="007431A7" w:rsidP="004574F6">
      <w:pPr>
        <w:spacing w:before="240" w:after="240"/>
        <w:ind w:right="49"/>
        <w:rPr>
          <w:rFonts w:eastAsia="Palatino Linotype" w:cs="Palatino Linotype"/>
        </w:rPr>
      </w:pPr>
      <w:r w:rsidRPr="004574F6">
        <w:rPr>
          <w:rFonts w:eastAsia="Palatino Linotype" w:cs="Palatino Linotype"/>
        </w:rPr>
        <w:t xml:space="preserve">Sin que pase desapercibido que </w:t>
      </w:r>
      <w:r w:rsidRPr="004574F6">
        <w:rPr>
          <w:rFonts w:eastAsia="Palatino Linotype" w:cs="Palatino Linotype"/>
          <w:b/>
        </w:rPr>
        <w:t>LA PARTE RECURRENTE</w:t>
      </w:r>
      <w:r w:rsidRPr="004574F6">
        <w:rPr>
          <w:rFonts w:eastAsia="Palatino Linotype" w:cs="Palatino Linotype"/>
        </w:rPr>
        <w:t>, como parte de su inconformidad expresó lo siguiente:</w:t>
      </w:r>
    </w:p>
    <w:p w14:paraId="5EE3670D" w14:textId="4AD7B123" w:rsidR="007431A7" w:rsidRPr="004574F6" w:rsidRDefault="007431A7" w:rsidP="004574F6">
      <w:pPr>
        <w:tabs>
          <w:tab w:val="left" w:pos="4667"/>
        </w:tabs>
        <w:ind w:left="567" w:right="539"/>
        <w:rPr>
          <w:rFonts w:cs="Tahoma"/>
          <w:bCs/>
          <w:i/>
        </w:rPr>
      </w:pPr>
      <w:r w:rsidRPr="004574F6">
        <w:rPr>
          <w:rFonts w:cs="Tahoma"/>
          <w:bCs/>
          <w:i/>
        </w:rPr>
        <w:lastRenderedPageBreak/>
        <w:t>“Se precisa que, en la solicitud de prórroga de la información de esta solicitud, el sujeto obligado no anexa la sesión de comité de transparencia que refieren en el acuse de prórroga de la plataforma Saimex, tampoco se presenta la documental en la que se pueda ver los argumentos, fundamentos y motivación de la unidad administrativa que solicitó la ampliación del plazo.”</w:t>
      </w:r>
    </w:p>
    <w:p w14:paraId="72326EFA" w14:textId="4ED0B3DC" w:rsidR="007431A7" w:rsidRPr="004574F6" w:rsidRDefault="007431A7" w:rsidP="004574F6">
      <w:pPr>
        <w:spacing w:before="240" w:after="240"/>
        <w:ind w:right="49"/>
        <w:rPr>
          <w:rFonts w:eastAsia="Palatino Linotype" w:cs="Palatino Linotype"/>
        </w:rPr>
      </w:pPr>
      <w:r w:rsidRPr="004574F6">
        <w:rPr>
          <w:rFonts w:eastAsia="Palatino Linotype" w:cs="Palatino Linotype"/>
        </w:rPr>
        <w:t xml:space="preserve">No obstante ello, en vía de informe justificado remite el acta donde se confirma la ampliación de plazo por siete días para dar </w:t>
      </w:r>
      <w:r w:rsidR="00B61902" w:rsidRPr="004574F6">
        <w:rPr>
          <w:rFonts w:eastAsia="Palatino Linotype" w:cs="Palatino Linotype"/>
        </w:rPr>
        <w:t>respuesta</w:t>
      </w:r>
      <w:r w:rsidRPr="004574F6">
        <w:rPr>
          <w:rFonts w:eastAsia="Palatino Linotype" w:cs="Palatino Linotype"/>
        </w:rPr>
        <w:t xml:space="preserve"> a la presente solicitud, como se advierte a continuación:</w:t>
      </w:r>
    </w:p>
    <w:p w14:paraId="11F010C7" w14:textId="7D8303E8" w:rsidR="007431A7" w:rsidRPr="004574F6" w:rsidRDefault="007431A7" w:rsidP="004574F6">
      <w:pPr>
        <w:spacing w:before="240" w:after="240"/>
        <w:ind w:right="49"/>
        <w:rPr>
          <w:rFonts w:eastAsia="Palatino Linotype" w:cs="Palatino Linotype"/>
        </w:rPr>
      </w:pPr>
      <w:r w:rsidRPr="004574F6">
        <w:rPr>
          <w:rFonts w:eastAsia="Palatino Linotype" w:cs="Palatino Linotype"/>
          <w:noProof/>
          <w:lang w:eastAsia="es-MX"/>
        </w:rPr>
        <w:drawing>
          <wp:inline distT="0" distB="0" distL="0" distR="0" wp14:anchorId="2639E7C6" wp14:editId="167D6096">
            <wp:extent cx="5477639" cy="1381318"/>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7639" cy="1381318"/>
                    </a:xfrm>
                    <a:prstGeom prst="rect">
                      <a:avLst/>
                    </a:prstGeom>
                  </pic:spPr>
                </pic:pic>
              </a:graphicData>
            </a:graphic>
          </wp:inline>
        </w:drawing>
      </w:r>
    </w:p>
    <w:p w14:paraId="123939DC" w14:textId="4C839628" w:rsidR="007431A7" w:rsidRPr="004574F6" w:rsidRDefault="007431A7" w:rsidP="004574F6">
      <w:pPr>
        <w:spacing w:before="240" w:after="240"/>
        <w:ind w:right="49"/>
      </w:pPr>
      <w:r w:rsidRPr="004574F6">
        <w:rPr>
          <w:rFonts w:eastAsia="Palatino Linotype" w:cs="Palatino Linotype"/>
        </w:rPr>
        <w:t>Lo anterior se expone para efectos de exhaustividad, pues si bien no forma parte de</w:t>
      </w:r>
      <w:r w:rsidR="00B61902" w:rsidRPr="004574F6">
        <w:rPr>
          <w:rFonts w:eastAsia="Palatino Linotype" w:cs="Palatino Linotype"/>
        </w:rPr>
        <w:t xml:space="preserve"> la solicitud de información</w:t>
      </w:r>
      <w:r w:rsidRPr="004574F6">
        <w:rPr>
          <w:rFonts w:eastAsia="Palatino Linotype" w:cs="Palatino Linotype"/>
        </w:rPr>
        <w:t>, lo cierto es que existe se debó satisfacer dicha</w:t>
      </w:r>
      <w:r w:rsidR="00B61902" w:rsidRPr="004574F6">
        <w:rPr>
          <w:rFonts w:eastAsia="Palatino Linotype" w:cs="Palatino Linotype"/>
        </w:rPr>
        <w:t xml:space="preserve"> formalidad el SUJETO OBLIGADO, lo anterior</w:t>
      </w:r>
      <w:r w:rsidRPr="004574F6">
        <w:rPr>
          <w:rFonts w:eastAsia="Palatino Linotype" w:cs="Palatino Linotype"/>
        </w:rPr>
        <w:t xml:space="preserve"> con  fundamento en lo dispuesto por los </w:t>
      </w:r>
      <w:r w:rsidRPr="004574F6">
        <w:t>artículos 49, fracción II y 163, segundo párrafo, de la Ley de Transparencia y Acceso a la Información Pública del</w:t>
      </w:r>
      <w:r w:rsidR="00B61902" w:rsidRPr="004574F6">
        <w:t xml:space="preserve"> Estado de México y Municipios.</w:t>
      </w:r>
    </w:p>
    <w:p w14:paraId="2A6042E3" w14:textId="77777777" w:rsidR="000C569A" w:rsidRPr="004574F6" w:rsidRDefault="000C569A" w:rsidP="004574F6">
      <w:pPr>
        <w:spacing w:before="240" w:after="240"/>
        <w:ind w:right="49"/>
      </w:pPr>
    </w:p>
    <w:p w14:paraId="2D9CD535" w14:textId="77777777" w:rsidR="000C569A" w:rsidRPr="004574F6" w:rsidRDefault="000C569A" w:rsidP="004574F6">
      <w:pPr>
        <w:rPr>
          <w:rFonts w:cs="Tahoma"/>
          <w:szCs w:val="22"/>
          <w:lang w:eastAsia="es-MX"/>
        </w:rPr>
      </w:pPr>
      <w:r w:rsidRPr="004574F6">
        <w:rPr>
          <w:rFonts w:cs="Tahoma"/>
          <w:szCs w:val="22"/>
          <w:lang w:eastAsia="es-MX"/>
        </w:rPr>
        <w:t xml:space="preserve">Dicha situación, toma sustento en el artículo 12 de la Ley de Transparencia y Acceso a la Información Pública del Estado de México y Municipios, que establece que los sujetos </w:t>
      </w:r>
      <w:r w:rsidRPr="004574F6">
        <w:rPr>
          <w:rFonts w:cs="Tahoma"/>
          <w:szCs w:val="22"/>
          <w:lang w:eastAsia="es-MX"/>
        </w:rPr>
        <w:lastRenderedPageBreak/>
        <w:t>obligados sólo están constreñidos a proporcionar la información pública que obre en sus archivos, en el estado en que esta se encuentre; por lo que, la entrega no comprende el procesamiento de la misma, ni presentarla conforme al interés del Solicitante.</w:t>
      </w:r>
    </w:p>
    <w:p w14:paraId="74AC3049" w14:textId="77777777" w:rsidR="000C569A" w:rsidRPr="004574F6" w:rsidRDefault="000C569A" w:rsidP="004574F6">
      <w:pPr>
        <w:ind w:right="-93"/>
        <w:rPr>
          <w:szCs w:val="22"/>
          <w:lang w:eastAsia="es-MX"/>
        </w:rPr>
      </w:pPr>
    </w:p>
    <w:p w14:paraId="0CC55F27" w14:textId="77777777" w:rsidR="000C569A" w:rsidRPr="004574F6" w:rsidRDefault="000C569A" w:rsidP="004574F6">
      <w:pPr>
        <w:ind w:right="-93"/>
        <w:rPr>
          <w:rFonts w:cs="Palatino Linotype"/>
          <w:szCs w:val="22"/>
          <w:lang w:eastAsia="es-MX"/>
        </w:rPr>
      </w:pPr>
      <w:r w:rsidRPr="004574F6">
        <w:rPr>
          <w:rFonts w:cs="Palatino Linotype"/>
          <w:szCs w:val="22"/>
          <w:lang w:eastAsia="es-MX"/>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0AE00DC0" w14:textId="77777777" w:rsidR="000C569A" w:rsidRPr="004574F6" w:rsidRDefault="000C569A" w:rsidP="004574F6">
      <w:pPr>
        <w:ind w:right="-93"/>
        <w:rPr>
          <w:rFonts w:cs="Palatino Linotype"/>
          <w:szCs w:val="22"/>
          <w:lang w:eastAsia="es-MX"/>
        </w:rPr>
      </w:pPr>
    </w:p>
    <w:p w14:paraId="507C232A" w14:textId="77777777" w:rsidR="000C569A" w:rsidRPr="004574F6" w:rsidRDefault="000C569A" w:rsidP="004574F6">
      <w:pPr>
        <w:widowControl w:val="0"/>
        <w:tabs>
          <w:tab w:val="center" w:pos="4522"/>
        </w:tabs>
        <w:spacing w:after="160"/>
        <w:contextualSpacing/>
        <w:rPr>
          <w:rFonts w:cs="Calibri"/>
          <w:szCs w:val="22"/>
          <w:lang w:eastAsia="es-MX"/>
        </w:rPr>
      </w:pPr>
      <w:r w:rsidRPr="004574F6">
        <w:rPr>
          <w:rFonts w:cs="Palatino Linotype"/>
          <w:szCs w:val="22"/>
          <w:lang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 documentación que dé cuenta de lo peticionado, lo cual se robustece con el hecho que la mayoría de la información, fue entregada en Informe Justificado.</w:t>
      </w:r>
    </w:p>
    <w:p w14:paraId="455DE6BD" w14:textId="77777777" w:rsidR="000C569A" w:rsidRPr="004574F6" w:rsidRDefault="000C569A" w:rsidP="004574F6">
      <w:pPr>
        <w:widowControl w:val="0"/>
        <w:tabs>
          <w:tab w:val="center" w:pos="4522"/>
        </w:tabs>
        <w:spacing w:after="160"/>
        <w:contextualSpacing/>
        <w:rPr>
          <w:rFonts w:cs="Calibri"/>
          <w:szCs w:val="22"/>
          <w:lang w:eastAsia="es-MX"/>
        </w:rPr>
      </w:pPr>
    </w:p>
    <w:p w14:paraId="5B744AAE" w14:textId="77777777" w:rsidR="000C569A" w:rsidRPr="004574F6" w:rsidRDefault="000C569A" w:rsidP="004574F6">
      <w:pPr>
        <w:pStyle w:val="Ttulo3"/>
      </w:pPr>
      <w:bookmarkStart w:id="32" w:name="_Toc175781500"/>
      <w:bookmarkStart w:id="33" w:name="_Toc178186941"/>
      <w:r w:rsidRPr="004574F6">
        <w:t>d) Versión pública</w:t>
      </w:r>
      <w:bookmarkEnd w:id="32"/>
      <w:bookmarkEnd w:id="33"/>
    </w:p>
    <w:p w14:paraId="1761D127" w14:textId="77777777" w:rsidR="000C569A" w:rsidRPr="004574F6" w:rsidRDefault="000C569A" w:rsidP="004574F6">
      <w:pPr>
        <w:rPr>
          <w:bCs/>
        </w:rPr>
      </w:pPr>
      <w:r w:rsidRPr="004574F6">
        <w:t xml:space="preserve">Para el caso de que el o los documentos de los cuales se ordena su entrega contengan datos personales susceptibles de ser testados, deberán ser entregados en </w:t>
      </w:r>
      <w:r w:rsidRPr="004574F6">
        <w:rPr>
          <w:b/>
        </w:rPr>
        <w:t>versión pública</w:t>
      </w:r>
      <w:r w:rsidRPr="004574F6">
        <w:t>, pues el</w:t>
      </w:r>
      <w:r w:rsidRPr="004574F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4574F6">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EA173C7" w14:textId="77777777" w:rsidR="000C569A" w:rsidRPr="004574F6" w:rsidRDefault="000C569A" w:rsidP="004574F6">
      <w:pPr>
        <w:rPr>
          <w:bCs/>
          <w:lang w:eastAsia="en-US"/>
        </w:rPr>
      </w:pPr>
    </w:p>
    <w:p w14:paraId="32E34C05" w14:textId="77777777" w:rsidR="000C569A" w:rsidRPr="004574F6" w:rsidRDefault="000C569A" w:rsidP="004574F6">
      <w:pPr>
        <w:rPr>
          <w:bCs/>
        </w:rPr>
      </w:pPr>
      <w:r w:rsidRPr="004574F6">
        <w:rPr>
          <w:bCs/>
        </w:rPr>
        <w:t>A este respecto, los artículos 3, fracciones IX, XX, XXI y XLV; 51 y 52 de la Ley de Transparencia y Acceso a la Información Pública del Estado de México y Municipios establecen:</w:t>
      </w:r>
    </w:p>
    <w:p w14:paraId="54E83488" w14:textId="77777777" w:rsidR="000C569A" w:rsidRPr="004574F6" w:rsidRDefault="000C569A" w:rsidP="004574F6"/>
    <w:p w14:paraId="6B3421A4"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bCs/>
          <w:i/>
          <w:noProof/>
          <w:kern w:val="28"/>
          <w:szCs w:val="56"/>
        </w:rPr>
        <w:t>“</w:t>
      </w:r>
      <w:r w:rsidRPr="004574F6">
        <w:rPr>
          <w:rFonts w:eastAsiaTheme="majorEastAsia"/>
          <w:b/>
          <w:bCs/>
          <w:i/>
          <w:kern w:val="28"/>
          <w:szCs w:val="56"/>
        </w:rPr>
        <w:t xml:space="preserve">Artículo 3. </w:t>
      </w:r>
      <w:r w:rsidRPr="004574F6">
        <w:rPr>
          <w:rFonts w:eastAsiaTheme="majorEastAsia"/>
          <w:i/>
          <w:kern w:val="28"/>
          <w:szCs w:val="56"/>
        </w:rPr>
        <w:t xml:space="preserve">Para los efectos de la presente Ley se entenderá por: </w:t>
      </w:r>
    </w:p>
    <w:p w14:paraId="49FB816B"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IX.</w:t>
      </w:r>
      <w:r w:rsidRPr="004574F6">
        <w:rPr>
          <w:rFonts w:eastAsiaTheme="majorEastAsia"/>
          <w:i/>
          <w:kern w:val="28"/>
          <w:szCs w:val="56"/>
        </w:rPr>
        <w:t xml:space="preserve"> </w:t>
      </w:r>
      <w:r w:rsidRPr="004574F6">
        <w:rPr>
          <w:rFonts w:eastAsiaTheme="majorEastAsia"/>
          <w:b/>
          <w:i/>
          <w:kern w:val="28"/>
          <w:szCs w:val="56"/>
        </w:rPr>
        <w:t xml:space="preserve">Datos personales: </w:t>
      </w:r>
      <w:r w:rsidRPr="004574F6">
        <w:rPr>
          <w:rFonts w:eastAsiaTheme="majorEastAsia"/>
          <w:i/>
          <w:kern w:val="28"/>
          <w:szCs w:val="56"/>
        </w:rPr>
        <w:t xml:space="preserve">La información concerniente a una persona, identificada o identificable según lo dispuesto por la Ley de Protección de Datos Personales del Estado de México; </w:t>
      </w:r>
    </w:p>
    <w:p w14:paraId="50A0D4FD" w14:textId="77777777" w:rsidR="000C569A" w:rsidRPr="004574F6" w:rsidRDefault="000C569A" w:rsidP="004574F6"/>
    <w:p w14:paraId="4517D60F"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XX.</w:t>
      </w:r>
      <w:r w:rsidRPr="004574F6">
        <w:rPr>
          <w:rFonts w:eastAsiaTheme="majorEastAsia"/>
          <w:i/>
          <w:kern w:val="28"/>
          <w:szCs w:val="56"/>
        </w:rPr>
        <w:t xml:space="preserve"> </w:t>
      </w:r>
      <w:r w:rsidRPr="004574F6">
        <w:rPr>
          <w:rFonts w:eastAsiaTheme="majorEastAsia"/>
          <w:b/>
          <w:i/>
          <w:kern w:val="28"/>
          <w:szCs w:val="56"/>
        </w:rPr>
        <w:t>Información clasificada:</w:t>
      </w:r>
      <w:r w:rsidRPr="004574F6">
        <w:rPr>
          <w:rFonts w:eastAsiaTheme="majorEastAsia"/>
          <w:i/>
          <w:kern w:val="28"/>
          <w:szCs w:val="56"/>
        </w:rPr>
        <w:t xml:space="preserve"> Aquella considerada por la presente Ley como reservada o confidencial; </w:t>
      </w:r>
    </w:p>
    <w:p w14:paraId="3E7BE9B9" w14:textId="77777777" w:rsidR="000C569A" w:rsidRPr="004574F6" w:rsidRDefault="000C569A" w:rsidP="004574F6"/>
    <w:p w14:paraId="32C223BE"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XXI.</w:t>
      </w:r>
      <w:r w:rsidRPr="004574F6">
        <w:rPr>
          <w:rFonts w:eastAsiaTheme="majorEastAsia"/>
          <w:i/>
          <w:kern w:val="28"/>
          <w:szCs w:val="56"/>
        </w:rPr>
        <w:t xml:space="preserve"> </w:t>
      </w:r>
      <w:r w:rsidRPr="004574F6">
        <w:rPr>
          <w:rFonts w:eastAsiaTheme="majorEastAsia"/>
          <w:b/>
          <w:i/>
          <w:kern w:val="28"/>
          <w:szCs w:val="56"/>
        </w:rPr>
        <w:t>Información confidencial</w:t>
      </w:r>
      <w:r w:rsidRPr="004574F6">
        <w:rPr>
          <w:rFonts w:eastAsiaTheme="majorEastAsia"/>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CE1F914" w14:textId="77777777" w:rsidR="000C569A" w:rsidRPr="004574F6" w:rsidRDefault="000C569A" w:rsidP="004574F6"/>
    <w:p w14:paraId="641D51ED"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XLV. Versión pública:</w:t>
      </w:r>
      <w:r w:rsidRPr="004574F6">
        <w:rPr>
          <w:rFonts w:eastAsiaTheme="majorEastAsia"/>
          <w:i/>
          <w:kern w:val="28"/>
          <w:szCs w:val="56"/>
        </w:rPr>
        <w:t xml:space="preserve"> Documento en el que se elimine, suprime o borra la información clasificada como reservada o confidencial para permitir su acceso. </w:t>
      </w:r>
    </w:p>
    <w:p w14:paraId="53DCCCE2" w14:textId="77777777" w:rsidR="000C569A" w:rsidRPr="004574F6" w:rsidRDefault="000C569A" w:rsidP="004574F6"/>
    <w:p w14:paraId="58ACE77F"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Artículo 51.</w:t>
      </w:r>
      <w:r w:rsidRPr="004574F6">
        <w:rPr>
          <w:rFonts w:eastAsiaTheme="majorEastAsia"/>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574F6">
        <w:rPr>
          <w:rFonts w:eastAsiaTheme="majorEastAsia"/>
          <w:b/>
          <w:i/>
          <w:kern w:val="28"/>
          <w:szCs w:val="56"/>
        </w:rPr>
        <w:t xml:space="preserve">y tendrá la responsabilidad de verificar en cada caso que la misma no sea confidencial o reservada. </w:t>
      </w:r>
      <w:r w:rsidRPr="004574F6">
        <w:rPr>
          <w:rFonts w:eastAsiaTheme="majorEastAsia"/>
          <w:i/>
          <w:kern w:val="28"/>
          <w:szCs w:val="56"/>
        </w:rPr>
        <w:t xml:space="preserve">Dicha Unidad contará con las facultades internas necesarias para gestionar la </w:t>
      </w:r>
      <w:r w:rsidRPr="004574F6">
        <w:rPr>
          <w:rFonts w:eastAsiaTheme="majorEastAsia"/>
          <w:i/>
          <w:kern w:val="28"/>
          <w:szCs w:val="56"/>
        </w:rPr>
        <w:lastRenderedPageBreak/>
        <w:t>atención a las solicitudes de información en los términos de la Ley General y la presente Ley.</w:t>
      </w:r>
    </w:p>
    <w:p w14:paraId="7C39D477" w14:textId="77777777" w:rsidR="000C569A" w:rsidRPr="004574F6" w:rsidRDefault="000C569A" w:rsidP="004574F6"/>
    <w:p w14:paraId="5198D78F"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Artículo 52.</w:t>
      </w:r>
      <w:r w:rsidRPr="004574F6">
        <w:rPr>
          <w:rFonts w:eastAsiaTheme="majorEastAsia"/>
          <w:i/>
          <w:kern w:val="28"/>
          <w:szCs w:val="56"/>
        </w:rPr>
        <w:t xml:space="preserve"> Las solicitudes de acceso a la información y las respuestas que se les dé, incluyendo, en su caso, </w:t>
      </w:r>
      <w:r w:rsidRPr="004574F6">
        <w:rPr>
          <w:rFonts w:eastAsiaTheme="majorEastAsia"/>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4574F6">
        <w:rPr>
          <w:rFonts w:eastAsiaTheme="majorEastAsia"/>
          <w:i/>
          <w:kern w:val="28"/>
          <w:szCs w:val="56"/>
        </w:rPr>
        <w:t>, siempre y cuando la resolución de referencia se someta a un proceso de disociación, es decir, no haga identificable al titular de tales datos personales.</w:t>
      </w:r>
      <w:r w:rsidRPr="004574F6">
        <w:rPr>
          <w:rFonts w:eastAsiaTheme="majorEastAsia"/>
          <w:bCs/>
          <w:i/>
          <w:noProof/>
          <w:kern w:val="28"/>
          <w:szCs w:val="56"/>
        </w:rPr>
        <w:t xml:space="preserve">” </w:t>
      </w:r>
      <w:r w:rsidRPr="004574F6">
        <w:rPr>
          <w:rFonts w:eastAsiaTheme="majorEastAsia"/>
          <w:iCs/>
          <w:kern w:val="28"/>
          <w:szCs w:val="22"/>
        </w:rPr>
        <w:t>(Énfasis añadido)</w:t>
      </w:r>
    </w:p>
    <w:p w14:paraId="6F926C60" w14:textId="77777777" w:rsidR="000C569A" w:rsidRPr="004574F6" w:rsidRDefault="000C569A" w:rsidP="004574F6"/>
    <w:p w14:paraId="5F54A080" w14:textId="77777777" w:rsidR="000C569A" w:rsidRPr="004574F6" w:rsidRDefault="000C569A" w:rsidP="004574F6">
      <w:r w:rsidRPr="004574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C9E31A1" w14:textId="77777777" w:rsidR="000C569A" w:rsidRPr="004574F6" w:rsidRDefault="000C569A" w:rsidP="004574F6"/>
    <w:p w14:paraId="6BE2D33D" w14:textId="77777777" w:rsidR="000C569A" w:rsidRPr="004574F6" w:rsidRDefault="000C569A" w:rsidP="004574F6">
      <w:pPr>
        <w:spacing w:line="240" w:lineRule="auto"/>
        <w:ind w:left="567" w:right="567"/>
        <w:contextualSpacing/>
        <w:rPr>
          <w:rFonts w:eastAsia="Arial Unicode MS"/>
          <w:i/>
          <w:kern w:val="28"/>
          <w:szCs w:val="56"/>
        </w:rPr>
      </w:pPr>
      <w:r w:rsidRPr="004574F6">
        <w:rPr>
          <w:rFonts w:eastAsia="Arial Unicode MS"/>
          <w:b/>
          <w:i/>
          <w:kern w:val="28"/>
          <w:szCs w:val="56"/>
        </w:rPr>
        <w:t>“Artículo 22.</w:t>
      </w:r>
      <w:r w:rsidRPr="004574F6">
        <w:rPr>
          <w:rFonts w:eastAsia="Arial Unicode MS"/>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14:paraId="77CEBE9F" w14:textId="77777777" w:rsidR="000C569A" w:rsidRPr="004574F6" w:rsidRDefault="000C569A" w:rsidP="004574F6">
      <w:pPr>
        <w:rPr>
          <w:rFonts w:eastAsia="Arial Unicode MS"/>
        </w:rPr>
      </w:pPr>
    </w:p>
    <w:p w14:paraId="5173D684" w14:textId="77777777" w:rsidR="000C569A" w:rsidRPr="004574F6" w:rsidRDefault="000C569A" w:rsidP="004574F6">
      <w:pPr>
        <w:spacing w:line="240" w:lineRule="auto"/>
        <w:ind w:left="567" w:right="567"/>
        <w:contextualSpacing/>
        <w:rPr>
          <w:rFonts w:eastAsia="Arial Unicode MS"/>
          <w:i/>
          <w:kern w:val="28"/>
          <w:szCs w:val="56"/>
        </w:rPr>
      </w:pPr>
      <w:r w:rsidRPr="004574F6">
        <w:rPr>
          <w:rFonts w:eastAsia="Arial Unicode MS"/>
          <w:b/>
          <w:i/>
          <w:kern w:val="28"/>
          <w:szCs w:val="56"/>
        </w:rPr>
        <w:t>Artículo 38.</w:t>
      </w:r>
      <w:r w:rsidRPr="004574F6">
        <w:rPr>
          <w:rFonts w:eastAsia="Arial Unicode MS"/>
          <w:i/>
          <w:kern w:val="28"/>
          <w:szCs w:val="56"/>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574F6">
        <w:rPr>
          <w:rFonts w:eastAsia="Arial Unicode MS"/>
          <w:b/>
          <w:i/>
          <w:kern w:val="28"/>
          <w:szCs w:val="56"/>
        </w:rPr>
        <w:t>”</w:t>
      </w:r>
      <w:r w:rsidRPr="004574F6">
        <w:rPr>
          <w:rFonts w:eastAsia="Arial Unicode MS"/>
          <w:i/>
          <w:kern w:val="28"/>
          <w:szCs w:val="56"/>
        </w:rPr>
        <w:t xml:space="preserve"> </w:t>
      </w:r>
    </w:p>
    <w:p w14:paraId="63F9706D" w14:textId="77777777" w:rsidR="000C569A" w:rsidRPr="004574F6" w:rsidRDefault="000C569A" w:rsidP="004574F6">
      <w:pPr>
        <w:rPr>
          <w:rFonts w:eastAsia="Arial Unicode MS"/>
          <w:i/>
          <w:szCs w:val="22"/>
        </w:rPr>
      </w:pPr>
    </w:p>
    <w:p w14:paraId="735AE3B4" w14:textId="77777777" w:rsidR="000C569A" w:rsidRPr="004574F6" w:rsidRDefault="000C569A" w:rsidP="004574F6">
      <w:r w:rsidRPr="004574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0DE75FE" w14:textId="77777777" w:rsidR="000C569A" w:rsidRPr="004574F6" w:rsidRDefault="000C569A" w:rsidP="004574F6"/>
    <w:p w14:paraId="71613FA7" w14:textId="77777777" w:rsidR="000C569A" w:rsidRPr="004574F6" w:rsidRDefault="000C569A" w:rsidP="004574F6">
      <w:r w:rsidRPr="004574F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574F6">
        <w:rPr>
          <w:rFonts w:eastAsia="Arial Unicode MS"/>
        </w:rPr>
        <w:t xml:space="preserve"> que debe ser protegida por </w:t>
      </w:r>
      <w:r w:rsidRPr="004574F6">
        <w:rPr>
          <w:rFonts w:eastAsia="Arial Unicode MS"/>
          <w:b/>
        </w:rPr>
        <w:t>EL SUJETO OBLIGADO,</w:t>
      </w:r>
      <w:r w:rsidRPr="004574F6">
        <w:rPr>
          <w:rFonts w:eastAsia="Arial Unicode MS"/>
        </w:rPr>
        <w:t xml:space="preserve"> por lo </w:t>
      </w:r>
      <w:r w:rsidRPr="004574F6">
        <w:t>que, todo dato personal susceptible de clasificación debe ser protegido.</w:t>
      </w:r>
    </w:p>
    <w:p w14:paraId="3AD3D438" w14:textId="77777777" w:rsidR="000C569A" w:rsidRPr="004574F6" w:rsidRDefault="000C569A" w:rsidP="004574F6"/>
    <w:p w14:paraId="6B813298" w14:textId="77777777" w:rsidR="000C569A" w:rsidRPr="004574F6" w:rsidRDefault="000C569A" w:rsidP="004574F6">
      <w:r w:rsidRPr="004574F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67EF1A5" w14:textId="77777777" w:rsidR="000C569A" w:rsidRPr="004574F6" w:rsidRDefault="000C569A" w:rsidP="004574F6"/>
    <w:p w14:paraId="5F092DAB" w14:textId="77777777" w:rsidR="000C569A" w:rsidRPr="004574F6" w:rsidRDefault="000C569A" w:rsidP="004574F6">
      <w:r w:rsidRPr="004574F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4574F6">
        <w:lastRenderedPageBreak/>
        <w:t>y del Cuarto al Décimo Primero de los Lineamientos Generales en materia de Clasificación y Desclasificación de la Información, así como para la elaboración de Versiones Públicas, que literalmente expresan:</w:t>
      </w:r>
    </w:p>
    <w:p w14:paraId="7E29D415" w14:textId="77777777" w:rsidR="000C569A" w:rsidRPr="004574F6" w:rsidRDefault="000C569A" w:rsidP="004574F6"/>
    <w:p w14:paraId="25BA171A" w14:textId="77777777" w:rsidR="000C569A" w:rsidRPr="004574F6" w:rsidRDefault="000C569A" w:rsidP="004574F6">
      <w:pPr>
        <w:jc w:val="center"/>
        <w:rPr>
          <w:b/>
          <w:i/>
          <w:szCs w:val="22"/>
        </w:rPr>
      </w:pPr>
      <w:r w:rsidRPr="004574F6">
        <w:rPr>
          <w:b/>
          <w:i/>
          <w:szCs w:val="22"/>
          <w:lang w:val="es-ES_tradnl"/>
        </w:rPr>
        <w:t>Ley de Transparencia y Acceso a la Información Pública del Estado de México y Municipios</w:t>
      </w:r>
    </w:p>
    <w:p w14:paraId="6F150274" w14:textId="77777777" w:rsidR="000C569A" w:rsidRPr="004574F6" w:rsidRDefault="000C569A" w:rsidP="004574F6"/>
    <w:p w14:paraId="140C1D52"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 xml:space="preserve">“Artículo 49. </w:t>
      </w:r>
      <w:r w:rsidRPr="004574F6">
        <w:rPr>
          <w:rFonts w:eastAsiaTheme="majorEastAsia"/>
          <w:i/>
          <w:kern w:val="28"/>
          <w:szCs w:val="56"/>
        </w:rPr>
        <w:t>Los Comités de Transparencia tendrán las siguientes atribuciones:</w:t>
      </w:r>
    </w:p>
    <w:p w14:paraId="2FCD8BF6"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VIII.</w:t>
      </w:r>
      <w:r w:rsidRPr="004574F6">
        <w:rPr>
          <w:rFonts w:eastAsiaTheme="majorEastAsia"/>
          <w:i/>
          <w:kern w:val="28"/>
          <w:szCs w:val="56"/>
        </w:rPr>
        <w:t xml:space="preserve"> Aprobar, modificar o revocar la clasificación de la información;</w:t>
      </w:r>
    </w:p>
    <w:p w14:paraId="7B7F268B" w14:textId="77777777" w:rsidR="000C569A" w:rsidRPr="004574F6" w:rsidRDefault="000C569A" w:rsidP="004574F6"/>
    <w:p w14:paraId="57F69BF4"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Artículo 132.</w:t>
      </w:r>
      <w:r w:rsidRPr="004574F6">
        <w:rPr>
          <w:rFonts w:eastAsiaTheme="majorEastAsia"/>
          <w:i/>
          <w:kern w:val="28"/>
          <w:szCs w:val="56"/>
        </w:rPr>
        <w:t xml:space="preserve"> La clasificación de la información se llevará a cabo en el momento en que:</w:t>
      </w:r>
    </w:p>
    <w:p w14:paraId="2AC9CA6A"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w:t>
      </w:r>
      <w:r w:rsidRPr="004574F6">
        <w:rPr>
          <w:rFonts w:eastAsiaTheme="majorEastAsia"/>
          <w:i/>
          <w:kern w:val="28"/>
          <w:szCs w:val="56"/>
        </w:rPr>
        <w:t xml:space="preserve"> Se reciba una solicitud de acceso a la información;</w:t>
      </w:r>
    </w:p>
    <w:p w14:paraId="1A671821"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II.</w:t>
      </w:r>
      <w:r w:rsidRPr="004574F6">
        <w:rPr>
          <w:rFonts w:eastAsiaTheme="majorEastAsia"/>
          <w:i/>
          <w:kern w:val="28"/>
          <w:szCs w:val="56"/>
        </w:rPr>
        <w:t xml:space="preserve"> Se determine mediante resolución de autoridad competente; o</w:t>
      </w:r>
    </w:p>
    <w:p w14:paraId="001578BE" w14:textId="77777777" w:rsidR="000C569A" w:rsidRPr="004574F6" w:rsidRDefault="000C569A" w:rsidP="004574F6">
      <w:pPr>
        <w:spacing w:line="240" w:lineRule="auto"/>
        <w:ind w:left="567" w:right="567"/>
        <w:contextualSpacing/>
        <w:rPr>
          <w:rFonts w:eastAsiaTheme="majorEastAsia"/>
          <w:b/>
          <w:i/>
          <w:kern w:val="28"/>
          <w:szCs w:val="56"/>
        </w:rPr>
      </w:pPr>
      <w:r w:rsidRPr="004574F6">
        <w:rPr>
          <w:rFonts w:eastAsiaTheme="majorEastAsia"/>
          <w:b/>
          <w:bCs/>
          <w:i/>
          <w:kern w:val="28"/>
          <w:szCs w:val="56"/>
        </w:rPr>
        <w:t>III.</w:t>
      </w:r>
      <w:r w:rsidRPr="004574F6">
        <w:rPr>
          <w:rFonts w:eastAsiaTheme="majorEastAsia"/>
          <w:i/>
          <w:kern w:val="28"/>
          <w:szCs w:val="56"/>
        </w:rPr>
        <w:t xml:space="preserve"> Se generen versiones públicas para dar cumplimiento a las obligaciones de transparencia previstas en esta Ley.</w:t>
      </w:r>
      <w:r w:rsidRPr="004574F6">
        <w:rPr>
          <w:rFonts w:eastAsiaTheme="majorEastAsia"/>
          <w:b/>
          <w:i/>
          <w:kern w:val="28"/>
          <w:szCs w:val="56"/>
        </w:rPr>
        <w:t>”</w:t>
      </w:r>
    </w:p>
    <w:p w14:paraId="52C5C0D4" w14:textId="77777777" w:rsidR="000C569A" w:rsidRPr="004574F6" w:rsidRDefault="000C569A" w:rsidP="004574F6"/>
    <w:p w14:paraId="07835A84"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“Segundo. -</w:t>
      </w:r>
      <w:r w:rsidRPr="004574F6">
        <w:rPr>
          <w:rFonts w:eastAsiaTheme="majorEastAsia"/>
          <w:i/>
          <w:kern w:val="28"/>
          <w:szCs w:val="56"/>
        </w:rPr>
        <w:t xml:space="preserve"> Para efectos de los presentes Lineamientos Generales, se entenderá por:</w:t>
      </w:r>
    </w:p>
    <w:p w14:paraId="55341E5E"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XVIII.</w:t>
      </w:r>
      <w:r w:rsidRPr="004574F6">
        <w:rPr>
          <w:rFonts w:eastAsiaTheme="majorEastAsia"/>
          <w:i/>
          <w:kern w:val="28"/>
          <w:szCs w:val="56"/>
        </w:rPr>
        <w:t xml:space="preserve">  </w:t>
      </w:r>
      <w:r w:rsidRPr="004574F6">
        <w:rPr>
          <w:rFonts w:eastAsiaTheme="majorEastAsia"/>
          <w:b/>
          <w:i/>
          <w:kern w:val="28"/>
          <w:szCs w:val="56"/>
        </w:rPr>
        <w:t>Versión pública:</w:t>
      </w:r>
      <w:r w:rsidRPr="004574F6">
        <w:rPr>
          <w:rFonts w:eastAsiaTheme="majorEastAsia"/>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B7DE0A0" w14:textId="77777777" w:rsidR="000C569A" w:rsidRPr="004574F6" w:rsidRDefault="000C569A" w:rsidP="004574F6">
      <w:pPr>
        <w:spacing w:line="240" w:lineRule="auto"/>
        <w:ind w:left="567" w:right="567"/>
        <w:contextualSpacing/>
        <w:rPr>
          <w:rFonts w:eastAsiaTheme="majorEastAsia"/>
          <w:i/>
          <w:kern w:val="28"/>
          <w:szCs w:val="56"/>
        </w:rPr>
      </w:pPr>
    </w:p>
    <w:p w14:paraId="371F4A38" w14:textId="77777777" w:rsidR="000C569A" w:rsidRPr="004574F6" w:rsidRDefault="000C569A" w:rsidP="004574F6">
      <w:pPr>
        <w:spacing w:line="240" w:lineRule="auto"/>
        <w:ind w:left="567" w:right="567"/>
        <w:contextualSpacing/>
        <w:rPr>
          <w:rFonts w:eastAsiaTheme="majorEastAsia"/>
          <w:b/>
          <w:i/>
          <w:kern w:val="28"/>
          <w:szCs w:val="56"/>
          <w:lang w:val="es-ES_tradnl" w:eastAsia="es-MX"/>
        </w:rPr>
      </w:pPr>
      <w:r w:rsidRPr="004574F6">
        <w:rPr>
          <w:rFonts w:eastAsiaTheme="majorEastAsia"/>
          <w:b/>
          <w:i/>
          <w:kern w:val="28"/>
          <w:szCs w:val="56"/>
          <w:lang w:val="es-ES_tradnl" w:eastAsia="es-MX"/>
        </w:rPr>
        <w:t xml:space="preserve">Lineamientos Generales en materia de Clasificación y Desclasificación de la </w:t>
      </w:r>
      <w:r w:rsidRPr="004574F6">
        <w:rPr>
          <w:rFonts w:eastAsiaTheme="majorEastAsia"/>
          <w:b/>
          <w:i/>
          <w:kern w:val="28"/>
          <w:szCs w:val="56"/>
          <w:lang w:val="es-ES_tradnl"/>
        </w:rPr>
        <w:t>Información</w:t>
      </w:r>
    </w:p>
    <w:p w14:paraId="466F15FE" w14:textId="77777777" w:rsidR="000C569A" w:rsidRPr="004574F6" w:rsidRDefault="000C569A" w:rsidP="004574F6">
      <w:pPr>
        <w:spacing w:line="240" w:lineRule="auto"/>
        <w:ind w:left="567" w:right="567"/>
        <w:contextualSpacing/>
        <w:rPr>
          <w:rFonts w:eastAsiaTheme="majorEastAsia"/>
          <w:i/>
          <w:kern w:val="28"/>
          <w:szCs w:val="56"/>
        </w:rPr>
      </w:pPr>
    </w:p>
    <w:p w14:paraId="2EAB8E56"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Cuarto.</w:t>
      </w:r>
      <w:r w:rsidRPr="004574F6">
        <w:rPr>
          <w:rFonts w:eastAsiaTheme="majorEastAsia"/>
          <w:i/>
          <w:kern w:val="28"/>
          <w:szCs w:val="56"/>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8043A6"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i/>
          <w:kern w:val="28"/>
          <w:szCs w:val="56"/>
        </w:rPr>
        <w:t>Los sujetos obligados deberán aplicar, de manera estricta, las excepciones al derecho de acceso a la información y sólo podrán invocarlas cuando acrediten su procedencia.</w:t>
      </w:r>
    </w:p>
    <w:p w14:paraId="01AFF8F2" w14:textId="77777777" w:rsidR="000C569A" w:rsidRPr="004574F6" w:rsidRDefault="000C569A" w:rsidP="004574F6"/>
    <w:p w14:paraId="56EE13E2"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Quinto.</w:t>
      </w:r>
      <w:r w:rsidRPr="004574F6">
        <w:rPr>
          <w:rFonts w:eastAsiaTheme="majorEastAsia"/>
          <w:i/>
          <w:kern w:val="28"/>
          <w:szCs w:val="56"/>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7DB93F" w14:textId="77777777" w:rsidR="000C569A" w:rsidRPr="004574F6" w:rsidRDefault="000C569A" w:rsidP="004574F6"/>
    <w:p w14:paraId="20385ED6"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Sexto.</w:t>
      </w:r>
      <w:r w:rsidRPr="004574F6">
        <w:rPr>
          <w:rFonts w:eastAsiaTheme="majorEastAsia"/>
          <w:i/>
          <w:kern w:val="28"/>
          <w:szCs w:val="56"/>
        </w:rPr>
        <w:t xml:space="preserve"> Se deroga.</w:t>
      </w:r>
    </w:p>
    <w:p w14:paraId="2D9AED05" w14:textId="77777777" w:rsidR="000C569A" w:rsidRPr="004574F6" w:rsidRDefault="000C569A" w:rsidP="004574F6"/>
    <w:p w14:paraId="2B8391EA"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Séptimo.</w:t>
      </w:r>
      <w:r w:rsidRPr="004574F6">
        <w:rPr>
          <w:rFonts w:eastAsiaTheme="majorEastAsia"/>
          <w:i/>
          <w:kern w:val="28"/>
          <w:szCs w:val="56"/>
        </w:rPr>
        <w:t xml:space="preserve"> La clasificación de la información se llevará a cabo en el momento en que:</w:t>
      </w:r>
    </w:p>
    <w:p w14:paraId="71818137"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w:t>
      </w:r>
      <w:r w:rsidRPr="004574F6">
        <w:rPr>
          <w:rFonts w:eastAsiaTheme="majorEastAsia"/>
          <w:i/>
          <w:kern w:val="28"/>
          <w:szCs w:val="56"/>
        </w:rPr>
        <w:t xml:space="preserve">        Se reciba una solicitud de acceso a la información;</w:t>
      </w:r>
    </w:p>
    <w:p w14:paraId="10471890"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II.</w:t>
      </w:r>
      <w:r w:rsidRPr="004574F6">
        <w:rPr>
          <w:rFonts w:eastAsiaTheme="majorEastAsia"/>
          <w:i/>
          <w:kern w:val="28"/>
          <w:szCs w:val="56"/>
        </w:rPr>
        <w:t xml:space="preserve">       Se determine mediante resolución del Comité de Transparencia, el órgano garante competente, o en cumplimiento a una sentencia del Poder Judicial; o</w:t>
      </w:r>
    </w:p>
    <w:p w14:paraId="12861047"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III.</w:t>
      </w:r>
      <w:r w:rsidRPr="004574F6">
        <w:rPr>
          <w:rFonts w:eastAsiaTheme="majorEastAsia"/>
          <w:i/>
          <w:kern w:val="28"/>
          <w:szCs w:val="56"/>
        </w:rPr>
        <w:t xml:space="preserve">      Se generen versiones públicas para dar cumplimiento a las obligaciones de transparencia previstas en la Ley General, la Ley Federal y las correspondientes de las entidades federativas.</w:t>
      </w:r>
    </w:p>
    <w:p w14:paraId="3C2B1D9B"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i/>
          <w:kern w:val="28"/>
          <w:szCs w:val="56"/>
        </w:rPr>
        <w:t xml:space="preserve">Los titulares de las áreas deberán revisar la información requerida al momento de la recepción de una solicitud de acceso, para verificar, conforme a su naturaleza, si encuadra en una causal de reserva o de confidencialidad. </w:t>
      </w:r>
    </w:p>
    <w:p w14:paraId="5D1B846B" w14:textId="77777777" w:rsidR="000C569A" w:rsidRPr="004574F6" w:rsidRDefault="000C569A" w:rsidP="004574F6"/>
    <w:p w14:paraId="03B3F728"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Octavo.</w:t>
      </w:r>
      <w:r w:rsidRPr="004574F6">
        <w:rPr>
          <w:rFonts w:eastAsiaTheme="majorEastAsia"/>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A1D7DCB"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i/>
          <w:kern w:val="28"/>
          <w:szCs w:val="56"/>
        </w:rPr>
        <w:t>Para motivar la clasificación se deberán señalar las razones o circunstancias especiales que lo llevaron a concluir que el caso particular se ajusta al supuesto previsto por la norma legal invocada como fundamento.</w:t>
      </w:r>
    </w:p>
    <w:p w14:paraId="486F9A6E"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i/>
          <w:kern w:val="28"/>
          <w:szCs w:val="56"/>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C8444F3" w14:textId="77777777" w:rsidR="000C569A" w:rsidRPr="004574F6" w:rsidRDefault="000C569A" w:rsidP="004574F6"/>
    <w:p w14:paraId="79561A0E"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lastRenderedPageBreak/>
        <w:t>Noveno.</w:t>
      </w:r>
      <w:r w:rsidRPr="004574F6">
        <w:rPr>
          <w:rFonts w:eastAsiaTheme="majorEastAsia"/>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7328DFC" w14:textId="77777777" w:rsidR="000C569A" w:rsidRPr="004574F6" w:rsidRDefault="000C569A" w:rsidP="004574F6"/>
    <w:p w14:paraId="697DE2F9"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b/>
          <w:i/>
          <w:kern w:val="28"/>
          <w:szCs w:val="56"/>
        </w:rPr>
        <w:t>Décimo.</w:t>
      </w:r>
      <w:r w:rsidRPr="004574F6">
        <w:rPr>
          <w:rFonts w:eastAsiaTheme="majorEastAsia"/>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D794FFD" w14:textId="77777777" w:rsidR="000C569A" w:rsidRPr="004574F6" w:rsidRDefault="000C569A" w:rsidP="004574F6">
      <w:pPr>
        <w:spacing w:line="240" w:lineRule="auto"/>
        <w:ind w:left="567" w:right="567"/>
        <w:contextualSpacing/>
        <w:rPr>
          <w:rFonts w:eastAsiaTheme="majorEastAsia"/>
          <w:i/>
          <w:kern w:val="28"/>
          <w:szCs w:val="56"/>
        </w:rPr>
      </w:pPr>
      <w:r w:rsidRPr="004574F6">
        <w:rPr>
          <w:rFonts w:eastAsiaTheme="majorEastAsia"/>
          <w:i/>
          <w:kern w:val="28"/>
          <w:szCs w:val="56"/>
        </w:rPr>
        <w:t>En ausencia de los titulares de las áreas, la información será clasificada o desclasificada por la persona que lo supla, en términos de la normativa que rija la actuación del sujeto obligado.</w:t>
      </w:r>
    </w:p>
    <w:p w14:paraId="51FE551B" w14:textId="77777777" w:rsidR="000C569A" w:rsidRPr="004574F6" w:rsidRDefault="000C569A" w:rsidP="004574F6">
      <w:pPr>
        <w:spacing w:line="240" w:lineRule="auto"/>
        <w:ind w:left="567" w:right="567"/>
        <w:contextualSpacing/>
        <w:rPr>
          <w:rFonts w:eastAsiaTheme="majorEastAsia"/>
          <w:b/>
          <w:i/>
          <w:kern w:val="28"/>
          <w:szCs w:val="56"/>
        </w:rPr>
      </w:pPr>
      <w:r w:rsidRPr="004574F6">
        <w:rPr>
          <w:rFonts w:eastAsiaTheme="majorEastAsia"/>
          <w:b/>
          <w:i/>
          <w:kern w:val="28"/>
          <w:szCs w:val="56"/>
        </w:rPr>
        <w:t>Décimo primero.</w:t>
      </w:r>
      <w:r w:rsidRPr="004574F6">
        <w:rPr>
          <w:rFonts w:eastAsiaTheme="majorEastAsia"/>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574F6">
        <w:rPr>
          <w:rFonts w:eastAsiaTheme="majorEastAsia"/>
          <w:b/>
          <w:i/>
          <w:kern w:val="28"/>
          <w:szCs w:val="56"/>
        </w:rPr>
        <w:t>”</w:t>
      </w:r>
    </w:p>
    <w:p w14:paraId="2513CF7E" w14:textId="77777777" w:rsidR="000C569A" w:rsidRPr="004574F6" w:rsidRDefault="000C569A" w:rsidP="004574F6"/>
    <w:p w14:paraId="353FB02B" w14:textId="77777777" w:rsidR="00E62394" w:rsidRPr="004574F6" w:rsidRDefault="00E62394" w:rsidP="004574F6">
      <w:pPr>
        <w:autoSpaceDE w:val="0"/>
        <w:autoSpaceDN w:val="0"/>
        <w:adjustRightInd w:val="0"/>
        <w:rPr>
          <w:rFonts w:cs="Arial"/>
        </w:rPr>
      </w:pPr>
      <w:r w:rsidRPr="004574F6">
        <w:rPr>
          <w:rFonts w:cs="Arial"/>
        </w:rPr>
        <w:t xml:space="preserve">Por otra parte, si </w:t>
      </w:r>
      <w:r w:rsidRPr="004574F6">
        <w:rPr>
          <w:rFonts w:cs="Arial"/>
          <w:b/>
        </w:rPr>
        <w:t>EL SUJETO OBLIGADO</w:t>
      </w:r>
      <w:r w:rsidRPr="004574F6">
        <w:rPr>
          <w:rFonts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67562F8B" w14:textId="77777777" w:rsidR="00E62394" w:rsidRPr="004574F6" w:rsidRDefault="00E62394" w:rsidP="004574F6">
      <w:pPr>
        <w:autoSpaceDE w:val="0"/>
        <w:autoSpaceDN w:val="0"/>
        <w:adjustRightInd w:val="0"/>
        <w:rPr>
          <w:rFonts w:cs="Arial"/>
        </w:rPr>
      </w:pPr>
    </w:p>
    <w:p w14:paraId="706AE419" w14:textId="77777777" w:rsidR="00E62394" w:rsidRPr="004574F6" w:rsidRDefault="00E62394" w:rsidP="004574F6">
      <w:pPr>
        <w:rPr>
          <w:rFonts w:cs="Arial"/>
        </w:rPr>
      </w:pPr>
      <w:r w:rsidRPr="004574F6">
        <w:rPr>
          <w:rFonts w:cs="Arial"/>
        </w:rPr>
        <w:t xml:space="preserve">Lo anterior, sin perder de vista que la Constitución Política de los Estados Unidos Mexicanos le otorga a </w:t>
      </w:r>
      <w:r w:rsidRPr="004574F6">
        <w:rPr>
          <w:rFonts w:cs="Arial"/>
          <w:b/>
        </w:rPr>
        <w:t>todos los documentos</w:t>
      </w:r>
      <w:r w:rsidRPr="004574F6">
        <w:rPr>
          <w:rFonts w:cs="Arial"/>
        </w:rPr>
        <w:t xml:space="preserve"> en posesión de las autoridades </w:t>
      </w:r>
      <w:r w:rsidRPr="004574F6">
        <w:rPr>
          <w:rFonts w:cs="Arial"/>
          <w:b/>
        </w:rPr>
        <w:t>la calidad de públicos</w:t>
      </w:r>
      <w:r w:rsidRPr="004574F6">
        <w:rPr>
          <w:rFonts w:cs="Arial"/>
        </w:rPr>
        <w:t xml:space="preserve"> y </w:t>
      </w:r>
      <w:r w:rsidRPr="004574F6">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4FBD95E8" w14:textId="77777777" w:rsidR="00E62394" w:rsidRPr="004574F6" w:rsidRDefault="00E62394" w:rsidP="004574F6">
      <w:pPr>
        <w:rPr>
          <w:rFonts w:cs="Arial"/>
        </w:rPr>
      </w:pPr>
    </w:p>
    <w:p w14:paraId="372CC4D1" w14:textId="77777777" w:rsidR="00E62394" w:rsidRPr="004574F6" w:rsidRDefault="00E62394" w:rsidP="004574F6">
      <w:r w:rsidRPr="004574F6">
        <w:t xml:space="preserve">Siendo pertinente aclarar que, la información que se clasifica bajo la premisa de reservada, </w:t>
      </w:r>
      <w:r w:rsidRPr="004574F6">
        <w:rPr>
          <w:b/>
        </w:rPr>
        <w:t>no pierde el carácter de pública</w:t>
      </w:r>
      <w:r w:rsidRPr="004574F6">
        <w:t xml:space="preserve">, sino que </w:t>
      </w:r>
      <w:r w:rsidRPr="004574F6">
        <w:rPr>
          <w:b/>
        </w:rPr>
        <w:t>se reserva temporalmente</w:t>
      </w:r>
      <w:r w:rsidRPr="004574F6">
        <w:t xml:space="preserve"> </w:t>
      </w:r>
      <w:r w:rsidRPr="004574F6">
        <w:rPr>
          <w:b/>
        </w:rPr>
        <w:t>del conocimiento público</w:t>
      </w:r>
      <w:r w:rsidRPr="004574F6">
        <w:t xml:space="preserve">, es decir, que, </w:t>
      </w:r>
      <w:r w:rsidRPr="004574F6">
        <w:rPr>
          <w:b/>
        </w:rPr>
        <w:t>por un tiempo determinado</w:t>
      </w:r>
      <w:r w:rsidRPr="004574F6">
        <w:t>, se conservará y custodiará la información de manera especial, y una vez transcurrido el plazo de reserva, el documento podrá divulgarse.</w:t>
      </w:r>
    </w:p>
    <w:p w14:paraId="4B87501B" w14:textId="77777777" w:rsidR="00E62394" w:rsidRPr="004574F6" w:rsidRDefault="00E62394" w:rsidP="004574F6"/>
    <w:p w14:paraId="2118EEE8" w14:textId="77777777" w:rsidR="00E62394" w:rsidRPr="004574F6" w:rsidRDefault="00E62394" w:rsidP="004574F6">
      <w:pPr>
        <w:rPr>
          <w:rFonts w:eastAsia="Calibri" w:cs="Arial"/>
        </w:rPr>
      </w:pPr>
      <w:r w:rsidRPr="004574F6">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491FE9D" w14:textId="77777777" w:rsidR="00E62394" w:rsidRPr="004574F6" w:rsidRDefault="00E62394" w:rsidP="004574F6">
      <w:pPr>
        <w:rPr>
          <w:rFonts w:eastAsia="Calibri" w:cs="Arial"/>
        </w:rPr>
      </w:pPr>
    </w:p>
    <w:p w14:paraId="7FE1C00C" w14:textId="77777777" w:rsidR="00E62394" w:rsidRPr="004574F6" w:rsidRDefault="00E62394" w:rsidP="004574F6">
      <w:pPr>
        <w:rPr>
          <w:rFonts w:eastAsia="Calibri" w:cs="Arial"/>
          <w:bCs/>
        </w:rPr>
      </w:pPr>
      <w:r w:rsidRPr="004574F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574F6">
        <w:rPr>
          <w:rFonts w:eastAsia="Arial Unicode MS" w:cs="Arial"/>
        </w:rPr>
        <w:t>,</w:t>
      </w:r>
      <w:r w:rsidRPr="004574F6">
        <w:rPr>
          <w:rFonts w:eastAsia="Calibri" w:cs="Arial"/>
          <w:bCs/>
        </w:rPr>
        <w:t xml:space="preserve"> que literalmente señala:</w:t>
      </w:r>
    </w:p>
    <w:p w14:paraId="12918599" w14:textId="77777777" w:rsidR="00E62394" w:rsidRPr="004574F6" w:rsidRDefault="00E62394" w:rsidP="004574F6">
      <w:pPr>
        <w:rPr>
          <w:rFonts w:eastAsia="Calibri" w:cs="Arial"/>
          <w:bCs/>
        </w:rPr>
      </w:pPr>
    </w:p>
    <w:p w14:paraId="73BEEE29" w14:textId="77777777" w:rsidR="00E62394" w:rsidRPr="004574F6" w:rsidRDefault="00E62394" w:rsidP="004574F6">
      <w:pPr>
        <w:pStyle w:val="Ttulo"/>
        <w:rPr>
          <w:rFonts w:eastAsia="Calibri"/>
        </w:rPr>
      </w:pPr>
      <w:r w:rsidRPr="004574F6">
        <w:rPr>
          <w:rFonts w:eastAsia="Calibri"/>
        </w:rPr>
        <w:t>“</w:t>
      </w:r>
      <w:r w:rsidRPr="004574F6">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4574F6">
        <w:rPr>
          <w:rFonts w:eastAsia="Calibri"/>
        </w:rPr>
        <w:t xml:space="preserve"> Una adecuada clasificación de la información pública debe tomar en cuenta y distinguir, en el contexto general de un documento, cuál es la específica </w:t>
      </w:r>
      <w:r w:rsidRPr="004574F6">
        <w:rPr>
          <w:rFonts w:eastAsia="Calibri"/>
        </w:rPr>
        <w:lastRenderedPageBreak/>
        <w:t>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7EC381D8" w14:textId="77777777" w:rsidR="00E62394" w:rsidRPr="004574F6" w:rsidRDefault="00E62394" w:rsidP="004574F6">
      <w:pPr>
        <w:ind w:left="851" w:right="902"/>
        <w:rPr>
          <w:rFonts w:eastAsia="Calibri"/>
          <w:i/>
          <w:szCs w:val="22"/>
        </w:rPr>
      </w:pPr>
    </w:p>
    <w:p w14:paraId="2D592B7D" w14:textId="77777777" w:rsidR="00E62394" w:rsidRPr="004574F6" w:rsidRDefault="00E62394" w:rsidP="004574F6">
      <w:pPr>
        <w:rPr>
          <w:bCs/>
        </w:rPr>
      </w:pPr>
      <w:r w:rsidRPr="004574F6">
        <w:rPr>
          <w:bCs/>
        </w:rPr>
        <w:t xml:space="preserve">Por todo lo anterior, la reserva de la información implica una clasificación, la cual debe entenderse como el proceso mediante el cual </w:t>
      </w:r>
      <w:r w:rsidRPr="004574F6">
        <w:rPr>
          <w:b/>
          <w:bCs/>
        </w:rPr>
        <w:t>EL SUJETO OBLIGADO</w:t>
      </w:r>
      <w:r w:rsidRPr="004574F6">
        <w:rPr>
          <w:bCs/>
        </w:rPr>
        <w:t xml:space="preserve"> determina que la información en su poder, actualiza alguno de los supuestos conforme a las normas aplicables.</w:t>
      </w:r>
    </w:p>
    <w:p w14:paraId="50E6232A" w14:textId="77777777" w:rsidR="00E62394" w:rsidRPr="004574F6" w:rsidRDefault="00E62394" w:rsidP="004574F6">
      <w:pPr>
        <w:rPr>
          <w:bCs/>
        </w:rPr>
      </w:pPr>
    </w:p>
    <w:p w14:paraId="27DFEA69" w14:textId="77777777" w:rsidR="00E62394" w:rsidRPr="004574F6" w:rsidRDefault="00E62394" w:rsidP="004574F6">
      <w:r w:rsidRPr="004574F6">
        <w:t xml:space="preserve">En tal virtud, conforme al artículo 49, fracción VIII de la </w:t>
      </w:r>
      <w:r w:rsidRPr="004574F6">
        <w:rPr>
          <w:rFonts w:cs="Arial"/>
        </w:rPr>
        <w:t>Ley de Transparencia y Acceso a la Información Pública del Estado de México y Municipios</w:t>
      </w:r>
      <w:r w:rsidRPr="004574F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4574F6">
        <w:rPr>
          <w:b/>
        </w:rPr>
        <w:t>SUJETO OBLIGADO</w:t>
      </w:r>
      <w:r w:rsidRPr="004574F6">
        <w:t xml:space="preserve"> a concluir que el caso particular se ajusta al supuesto previsto por la norma legal invocada como fundamento; siendo que, además, </w:t>
      </w:r>
      <w:r w:rsidRPr="004574F6">
        <w:rPr>
          <w:b/>
        </w:rPr>
        <w:t>EL SUJETO OBLIGADO</w:t>
      </w:r>
      <w:r w:rsidRPr="004574F6">
        <w:t xml:space="preserve"> debe, en todo momento, aplicar una prueba de daño.</w:t>
      </w:r>
    </w:p>
    <w:p w14:paraId="5430840D" w14:textId="77777777" w:rsidR="00E62394" w:rsidRPr="004574F6" w:rsidRDefault="00E62394" w:rsidP="004574F6"/>
    <w:p w14:paraId="6446D29E" w14:textId="77777777" w:rsidR="00E62394" w:rsidRPr="004574F6" w:rsidRDefault="00E62394" w:rsidP="004574F6">
      <w:r w:rsidRPr="004574F6">
        <w:lastRenderedPageBreak/>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C0AE6D2" w14:textId="77777777" w:rsidR="00E62394" w:rsidRPr="004574F6" w:rsidRDefault="00E62394" w:rsidP="004574F6"/>
    <w:p w14:paraId="1945BD97" w14:textId="77777777" w:rsidR="00E62394" w:rsidRPr="004574F6" w:rsidRDefault="00E62394" w:rsidP="004574F6">
      <w:r w:rsidRPr="004574F6">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386FF48" w14:textId="77777777" w:rsidR="00E62394" w:rsidRPr="004574F6" w:rsidRDefault="00E62394" w:rsidP="004574F6"/>
    <w:p w14:paraId="0CFC3431" w14:textId="77777777" w:rsidR="00E62394" w:rsidRPr="004574F6" w:rsidRDefault="00E62394" w:rsidP="004574F6">
      <w:pPr>
        <w:numPr>
          <w:ilvl w:val="0"/>
          <w:numId w:val="37"/>
        </w:numPr>
        <w:ind w:left="1276" w:hanging="425"/>
      </w:pPr>
      <w:r w:rsidRPr="004574F6">
        <w:t>Se reciba una solicitud de acceso a la información;</w:t>
      </w:r>
    </w:p>
    <w:p w14:paraId="426AF6C5" w14:textId="77777777" w:rsidR="00E62394" w:rsidRPr="004574F6" w:rsidRDefault="00E62394" w:rsidP="004574F6">
      <w:pPr>
        <w:numPr>
          <w:ilvl w:val="0"/>
          <w:numId w:val="37"/>
        </w:numPr>
        <w:ind w:left="1276" w:hanging="425"/>
      </w:pPr>
      <w:r w:rsidRPr="004574F6">
        <w:t>Se determine mediante resolución de autoridad competente; y/o</w:t>
      </w:r>
    </w:p>
    <w:p w14:paraId="1C89BB89" w14:textId="77777777" w:rsidR="00E62394" w:rsidRPr="004574F6" w:rsidRDefault="00E62394" w:rsidP="004574F6">
      <w:pPr>
        <w:numPr>
          <w:ilvl w:val="0"/>
          <w:numId w:val="37"/>
        </w:numPr>
        <w:ind w:left="1276" w:hanging="425"/>
      </w:pPr>
      <w:r w:rsidRPr="004574F6">
        <w:t>Se generen versiones públicas para dar cumplimiento a las obligaciones de transparencia previstas en la Ley.</w:t>
      </w:r>
    </w:p>
    <w:p w14:paraId="6AEC33AF" w14:textId="77777777" w:rsidR="00E62394" w:rsidRPr="004574F6" w:rsidRDefault="00E62394" w:rsidP="004574F6">
      <w:pPr>
        <w:ind w:left="1276"/>
      </w:pPr>
    </w:p>
    <w:p w14:paraId="0287B444" w14:textId="77777777" w:rsidR="00E62394" w:rsidRPr="004574F6" w:rsidRDefault="00E62394" w:rsidP="004574F6">
      <w:r w:rsidRPr="004574F6">
        <w:t>Situación que se robustece con el artículo 141 de la misma Ley, que señala que las causales de reserva previstas, se deberán fundar y motivar, a través de la aplicación de la prueba de daño.</w:t>
      </w:r>
    </w:p>
    <w:p w14:paraId="2B1B5990" w14:textId="77777777" w:rsidR="00E62394" w:rsidRPr="004574F6" w:rsidRDefault="00E62394" w:rsidP="004574F6"/>
    <w:p w14:paraId="5347C061" w14:textId="77777777" w:rsidR="00E62394" w:rsidRPr="004574F6" w:rsidRDefault="00E62394" w:rsidP="004574F6">
      <w:r w:rsidRPr="004574F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w:t>
      </w:r>
      <w:r w:rsidRPr="004574F6">
        <w:lastRenderedPageBreak/>
        <w:t xml:space="preserve">artículo 129 de la Ley de Transparencia de mérito, para lo cual, los Sujetos Obligados deberán considerar que: </w:t>
      </w:r>
    </w:p>
    <w:p w14:paraId="02AC3CA2" w14:textId="77777777" w:rsidR="00E62394" w:rsidRPr="004574F6" w:rsidRDefault="00E62394" w:rsidP="004574F6"/>
    <w:p w14:paraId="249EBBD7" w14:textId="77777777" w:rsidR="00E62394" w:rsidRPr="004574F6" w:rsidRDefault="00E62394" w:rsidP="004574F6">
      <w:pPr>
        <w:numPr>
          <w:ilvl w:val="0"/>
          <w:numId w:val="38"/>
        </w:numPr>
        <w:ind w:left="1134" w:hanging="283"/>
      </w:pPr>
      <w:r w:rsidRPr="004574F6">
        <w:t xml:space="preserve">La divulgación de la información representa un </w:t>
      </w:r>
      <w:r w:rsidRPr="004574F6">
        <w:rPr>
          <w:b/>
        </w:rPr>
        <w:t>riesgo real, demostrable e identificable del perjuicio significativo al interés público o a la seguridad pública</w:t>
      </w:r>
      <w:r w:rsidRPr="004574F6">
        <w:t>;</w:t>
      </w:r>
    </w:p>
    <w:p w14:paraId="7898E84B" w14:textId="77777777" w:rsidR="00E62394" w:rsidRPr="004574F6" w:rsidRDefault="00E62394" w:rsidP="004574F6">
      <w:pPr>
        <w:numPr>
          <w:ilvl w:val="0"/>
          <w:numId w:val="38"/>
        </w:numPr>
        <w:ind w:left="1134" w:hanging="283"/>
      </w:pPr>
      <w:r w:rsidRPr="004574F6">
        <w:t>El riesgo de perjuicio que supondría la divulgación supera el interés público general de que se difunda; y,</w:t>
      </w:r>
    </w:p>
    <w:p w14:paraId="1D147724" w14:textId="77777777" w:rsidR="00E62394" w:rsidRPr="004574F6" w:rsidRDefault="00E62394" w:rsidP="004574F6">
      <w:pPr>
        <w:numPr>
          <w:ilvl w:val="0"/>
          <w:numId w:val="38"/>
        </w:numPr>
        <w:ind w:left="1134" w:hanging="283"/>
      </w:pPr>
      <w:r w:rsidRPr="004574F6">
        <w:t xml:space="preserve">La limitación se adecua al principio de proporcionalidad y representa el medio menos restrictivo disponible para evitar el perjuicio. </w:t>
      </w:r>
    </w:p>
    <w:p w14:paraId="352B5727" w14:textId="77777777" w:rsidR="00E62394" w:rsidRPr="004574F6" w:rsidRDefault="00E62394" w:rsidP="004574F6">
      <w:pPr>
        <w:ind w:left="1134"/>
      </w:pPr>
    </w:p>
    <w:p w14:paraId="5ABB3A0D" w14:textId="77777777" w:rsidR="00E62394" w:rsidRPr="004574F6" w:rsidRDefault="00E62394" w:rsidP="004574F6">
      <w:pPr>
        <w:widowControl w:val="0"/>
        <w:tabs>
          <w:tab w:val="left" w:pos="1276"/>
          <w:tab w:val="left" w:pos="1701"/>
          <w:tab w:val="left" w:pos="1843"/>
        </w:tabs>
        <w:autoSpaceDE w:val="0"/>
        <w:autoSpaceDN w:val="0"/>
        <w:adjustRightInd w:val="0"/>
        <w:ind w:right="49"/>
        <w:rPr>
          <w:rFonts w:cs="Arial"/>
        </w:rPr>
      </w:pPr>
      <w:r w:rsidRPr="004574F6">
        <w:rPr>
          <w:bCs/>
        </w:rPr>
        <w:t xml:space="preserve">Atento a lo anterior, </w:t>
      </w:r>
      <w:r w:rsidRPr="004574F6">
        <w:rPr>
          <w:rFonts w:cs="Arial"/>
          <w:lang w:eastAsia="es-MX"/>
        </w:rPr>
        <w:t xml:space="preserve">es necesario hacer hincapié que para el caso de que existan </w:t>
      </w:r>
      <w:r w:rsidRPr="004574F6">
        <w:t xml:space="preserve">causas presentes que impiden la publicidad de la información durante cierto periodo de tiempo, </w:t>
      </w:r>
      <w:r w:rsidRPr="004574F6">
        <w:rPr>
          <w:rFonts w:cs="Arial"/>
          <w:lang w:eastAsia="es-MX"/>
        </w:rPr>
        <w:t xml:space="preserve">debe clasificar la información </w:t>
      </w:r>
      <w:r w:rsidRPr="004574F6">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5BAED81E" w14:textId="77777777" w:rsidR="00E62394" w:rsidRPr="004574F6" w:rsidRDefault="00E62394" w:rsidP="004574F6"/>
    <w:p w14:paraId="5DA5D71B" w14:textId="77777777" w:rsidR="00E62394" w:rsidRPr="004574F6" w:rsidRDefault="00E62394" w:rsidP="004574F6">
      <w:pPr>
        <w:ind w:right="49"/>
        <w:rPr>
          <w:rFonts w:cs="Arial"/>
          <w:lang w:val="es-ES_tradnl"/>
        </w:rPr>
      </w:pPr>
      <w:r w:rsidRPr="004574F6">
        <w:rPr>
          <w:rFonts w:cs="Arial"/>
          <w:lang w:val="es-ES_tradnl"/>
        </w:rPr>
        <w:t xml:space="preserve">Por lo tanto, la entrega de documentos, en su </w:t>
      </w:r>
      <w:r w:rsidRPr="004574F6">
        <w:rPr>
          <w:rFonts w:cs="Arial"/>
          <w:b/>
          <w:lang w:val="es-ES_tradnl"/>
        </w:rPr>
        <w:t>versión pública</w:t>
      </w:r>
      <w:r w:rsidRPr="004574F6">
        <w:rPr>
          <w:rFonts w:cs="Arial"/>
          <w:lang w:val="es-ES_tradnl"/>
        </w:rPr>
        <w:t xml:space="preserve">, debe acompañarse necesariamente del Acuerdo del Comité de Transparencia que la sustente, en el que se expongan los fundamentos y razonamientos que llevaron al </w:t>
      </w:r>
      <w:r w:rsidRPr="004574F6">
        <w:rPr>
          <w:rFonts w:cs="Arial"/>
          <w:b/>
          <w:lang w:val="es-ES_tradnl"/>
        </w:rPr>
        <w:t>SUJETO OBLIGADO</w:t>
      </w:r>
      <w:r w:rsidRPr="004574F6">
        <w:rPr>
          <w:rFonts w:cs="Arial"/>
          <w:lang w:val="es-ES_tradnl"/>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w:t>
      </w:r>
      <w:r w:rsidRPr="004574F6">
        <w:rPr>
          <w:rFonts w:cs="Arial"/>
          <w:lang w:val="es-ES_tradnl"/>
        </w:rPr>
        <w:lastRenderedPageBreak/>
        <w:t>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5B80EA8" w14:textId="77777777" w:rsidR="00FC4AB2" w:rsidRPr="004574F6" w:rsidRDefault="00FC4AB2" w:rsidP="004574F6">
      <w:pPr>
        <w:rPr>
          <w:lang w:eastAsia="es-CO"/>
        </w:rPr>
      </w:pPr>
    </w:p>
    <w:p w14:paraId="3E3E04D5" w14:textId="73701B33" w:rsidR="00BD5A7C" w:rsidRPr="004574F6" w:rsidRDefault="006E4998" w:rsidP="004574F6">
      <w:pPr>
        <w:pStyle w:val="Ttulo3"/>
      </w:pPr>
      <w:bookmarkStart w:id="34" w:name="_Toc178186942"/>
      <w:r w:rsidRPr="004574F6">
        <w:t>e</w:t>
      </w:r>
      <w:r w:rsidR="00BD5A7C" w:rsidRPr="004574F6">
        <w:t>) Conclusión</w:t>
      </w:r>
      <w:bookmarkEnd w:id="34"/>
    </w:p>
    <w:p w14:paraId="0E499F1F" w14:textId="77777777" w:rsidR="00E62394" w:rsidRPr="004574F6" w:rsidRDefault="00E62394" w:rsidP="004574F6">
      <w:pPr>
        <w:widowControl w:val="0"/>
        <w:tabs>
          <w:tab w:val="left" w:pos="1701"/>
          <w:tab w:val="left" w:pos="1843"/>
        </w:tabs>
        <w:autoSpaceDE w:val="0"/>
        <w:autoSpaceDN w:val="0"/>
        <w:adjustRightInd w:val="0"/>
        <w:rPr>
          <w:rFonts w:cs="Arial"/>
        </w:rPr>
      </w:pPr>
      <w:r w:rsidRPr="004574F6">
        <w:rPr>
          <w:rFonts w:cs="Arial"/>
        </w:rPr>
        <w:t xml:space="preserve">En razón de lo anteriormente expuesto, este Instituto estima que las razones o motivos de inconformidad hechos valer por </w:t>
      </w:r>
      <w:r w:rsidRPr="004574F6">
        <w:rPr>
          <w:rFonts w:cs="Arial"/>
          <w:b/>
        </w:rPr>
        <w:t>EL RECURRENTE</w:t>
      </w:r>
      <w:r w:rsidRPr="004574F6">
        <w:rPr>
          <w:rFonts w:cs="Arial"/>
        </w:rPr>
        <w:t xml:space="preserve"> devienen </w:t>
      </w:r>
      <w:r w:rsidRPr="004574F6">
        <w:rPr>
          <w:rFonts w:cs="Arial"/>
          <w:b/>
        </w:rPr>
        <w:t>fundadas</w:t>
      </w:r>
      <w:r w:rsidRPr="004574F6">
        <w:rPr>
          <w:rFonts w:cs="Arial"/>
        </w:rPr>
        <w:t xml:space="preserve"> y suficientes para </w:t>
      </w:r>
      <w:r w:rsidRPr="004574F6">
        <w:rPr>
          <w:rFonts w:cs="Arial"/>
          <w:b/>
        </w:rPr>
        <w:t>MODIFICAR</w:t>
      </w:r>
      <w:r w:rsidRPr="004574F6">
        <w:rPr>
          <w:rFonts w:cs="Arial"/>
        </w:rPr>
        <w:t xml:space="preserve"> la respuesta del </w:t>
      </w:r>
      <w:r w:rsidRPr="004574F6">
        <w:rPr>
          <w:rFonts w:cs="Arial"/>
          <w:b/>
        </w:rPr>
        <w:t>SUJETO OBLIGADO</w:t>
      </w:r>
      <w:r w:rsidRPr="004574F6">
        <w:rPr>
          <w:rFonts w:cs="Arial"/>
        </w:rPr>
        <w:t xml:space="preserve"> y ordenarle haga entrega de la información descrita en el presente Considerando.</w:t>
      </w:r>
    </w:p>
    <w:p w14:paraId="396A3284" w14:textId="77777777" w:rsidR="00E62394" w:rsidRPr="004574F6" w:rsidRDefault="00E62394" w:rsidP="004574F6"/>
    <w:p w14:paraId="1580AD5C" w14:textId="77777777" w:rsidR="00F74545" w:rsidRPr="004574F6" w:rsidRDefault="00F74545" w:rsidP="004574F6">
      <w:pPr>
        <w:ind w:right="-93"/>
        <w:rPr>
          <w:rFonts w:cs="Tahoma"/>
          <w:bCs/>
          <w:szCs w:val="22"/>
        </w:rPr>
      </w:pPr>
      <w:bookmarkStart w:id="35" w:name="_Hlk165381027"/>
      <w:r w:rsidRPr="004574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048752D4" w14:textId="77777777" w:rsidR="00F74545" w:rsidRPr="004574F6" w:rsidRDefault="00F74545" w:rsidP="004574F6"/>
    <w:p w14:paraId="56814F87" w14:textId="77777777" w:rsidR="00F74545" w:rsidRPr="004574F6" w:rsidRDefault="00F74545" w:rsidP="004574F6">
      <w:pPr>
        <w:pStyle w:val="Ttulo1"/>
      </w:pPr>
      <w:bookmarkStart w:id="36" w:name="_Toc165402885"/>
      <w:bookmarkStart w:id="37" w:name="_Toc178186943"/>
      <w:r w:rsidRPr="004574F6">
        <w:t>RESUELVE</w:t>
      </w:r>
      <w:bookmarkEnd w:id="36"/>
      <w:bookmarkEnd w:id="37"/>
    </w:p>
    <w:p w14:paraId="39D4D6F1" w14:textId="77777777" w:rsidR="00F74545" w:rsidRPr="004574F6" w:rsidRDefault="00F74545" w:rsidP="004574F6">
      <w:pPr>
        <w:ind w:right="113"/>
        <w:rPr>
          <w:rFonts w:cs="Arial"/>
          <w:b/>
          <w:szCs w:val="22"/>
        </w:rPr>
      </w:pPr>
    </w:p>
    <w:p w14:paraId="3546C0C8" w14:textId="0A2745C8" w:rsidR="00F74545" w:rsidRPr="004574F6" w:rsidRDefault="00F74545" w:rsidP="004574F6">
      <w:pPr>
        <w:widowControl w:val="0"/>
        <w:rPr>
          <w:rFonts w:eastAsia="Calibri" w:cs="Tahoma"/>
          <w:bCs/>
          <w:szCs w:val="22"/>
          <w:lang w:eastAsia="en-US"/>
        </w:rPr>
      </w:pPr>
      <w:r w:rsidRPr="004574F6">
        <w:rPr>
          <w:b/>
          <w:bCs/>
        </w:rPr>
        <w:t>PRIMERO.</w:t>
      </w:r>
      <w:r w:rsidRPr="004574F6">
        <w:t xml:space="preserve"> </w:t>
      </w:r>
      <w:r w:rsidRPr="004574F6">
        <w:rPr>
          <w:rFonts w:cs="Tahoma"/>
          <w:szCs w:val="22"/>
        </w:rPr>
        <w:t xml:space="preserve">Se </w:t>
      </w:r>
      <w:r w:rsidRPr="004574F6">
        <w:rPr>
          <w:rFonts w:cs="Tahoma"/>
          <w:b/>
          <w:bCs/>
          <w:szCs w:val="22"/>
        </w:rPr>
        <w:t>MODIFICA</w:t>
      </w:r>
      <w:r w:rsidRPr="004574F6">
        <w:rPr>
          <w:rFonts w:cs="Tahoma"/>
          <w:szCs w:val="22"/>
        </w:rPr>
        <w:t xml:space="preserve"> la respuesta entregada por el </w:t>
      </w:r>
      <w:r w:rsidRPr="004574F6">
        <w:rPr>
          <w:rFonts w:cs="Tahoma"/>
          <w:b/>
          <w:bCs/>
          <w:szCs w:val="22"/>
        </w:rPr>
        <w:t>SUJETO OBLIGADO</w:t>
      </w:r>
      <w:r w:rsidRPr="004574F6">
        <w:rPr>
          <w:rFonts w:cs="Tahoma"/>
          <w:szCs w:val="22"/>
        </w:rPr>
        <w:t xml:space="preserve"> en la solicitud de información </w:t>
      </w:r>
      <w:r w:rsidR="00FD5C82" w:rsidRPr="004574F6">
        <w:rPr>
          <w:rFonts w:cs="Tahoma"/>
          <w:b/>
          <w:bCs/>
        </w:rPr>
        <w:t>00064/DIFTLALNE/IP/2024</w:t>
      </w:r>
      <w:r w:rsidRPr="004574F6">
        <w:rPr>
          <w:rFonts w:cs="Tahoma"/>
          <w:bCs/>
          <w:szCs w:val="22"/>
        </w:rPr>
        <w:t xml:space="preserve">, </w:t>
      </w:r>
      <w:r w:rsidRPr="004574F6">
        <w:rPr>
          <w:rFonts w:eastAsia="Calibri" w:cs="Tahoma"/>
          <w:bCs/>
          <w:szCs w:val="22"/>
          <w:lang w:eastAsia="en-US"/>
        </w:rPr>
        <w:t xml:space="preserve">por resultar </w:t>
      </w:r>
      <w:r w:rsidRPr="004574F6">
        <w:rPr>
          <w:rFonts w:eastAsia="Calibri" w:cs="Tahoma"/>
          <w:b/>
          <w:bCs/>
          <w:szCs w:val="22"/>
          <w:lang w:eastAsia="en-US"/>
        </w:rPr>
        <w:t>FUNDADAS</w:t>
      </w:r>
      <w:r w:rsidRPr="004574F6">
        <w:rPr>
          <w:rFonts w:eastAsia="Calibri" w:cs="Tahoma"/>
          <w:bCs/>
          <w:szCs w:val="22"/>
          <w:lang w:eastAsia="en-US"/>
        </w:rPr>
        <w:t xml:space="preserve"> las razones o motivos de inconformidad hechos valer por </w:t>
      </w:r>
      <w:r w:rsidRPr="004574F6">
        <w:rPr>
          <w:rFonts w:eastAsia="Calibri" w:cs="Tahoma"/>
          <w:b/>
          <w:szCs w:val="22"/>
          <w:lang w:eastAsia="en-US"/>
        </w:rPr>
        <w:t>LA PARTE RECURRENTE</w:t>
      </w:r>
      <w:r w:rsidRPr="004574F6">
        <w:rPr>
          <w:rFonts w:eastAsia="Calibri" w:cs="Tahoma"/>
          <w:bCs/>
          <w:szCs w:val="22"/>
          <w:lang w:eastAsia="en-US"/>
        </w:rPr>
        <w:t xml:space="preserve"> en el Recurso de Revisión </w:t>
      </w:r>
      <w:r w:rsidR="00FD5C82" w:rsidRPr="004574F6">
        <w:rPr>
          <w:rFonts w:eastAsia="Calibri" w:cs="Tahoma"/>
          <w:b/>
          <w:bCs/>
          <w:szCs w:val="22"/>
          <w:lang w:eastAsia="en-US"/>
        </w:rPr>
        <w:t>03212/INFOEM/IP/RR/2024</w:t>
      </w:r>
      <w:r w:rsidRPr="004574F6">
        <w:rPr>
          <w:rFonts w:eastAsiaTheme="minorHAnsi" w:cstheme="minorBidi"/>
          <w:szCs w:val="22"/>
          <w:lang w:eastAsia="en-US"/>
        </w:rPr>
        <w:t>,</w:t>
      </w:r>
      <w:r w:rsidRPr="004574F6">
        <w:rPr>
          <w:rFonts w:cs="Tahoma"/>
          <w:b/>
          <w:szCs w:val="22"/>
        </w:rPr>
        <w:t xml:space="preserve"> </w:t>
      </w:r>
      <w:r w:rsidRPr="004574F6">
        <w:rPr>
          <w:rFonts w:eastAsia="Calibri" w:cs="Tahoma"/>
          <w:bCs/>
          <w:szCs w:val="22"/>
          <w:lang w:eastAsia="en-US"/>
        </w:rPr>
        <w:t xml:space="preserve">en términos del considerando </w:t>
      </w:r>
      <w:r w:rsidRPr="004574F6">
        <w:rPr>
          <w:rFonts w:eastAsia="Calibri" w:cs="Tahoma"/>
          <w:b/>
          <w:szCs w:val="22"/>
          <w:lang w:eastAsia="en-US"/>
        </w:rPr>
        <w:t>SEGUNDO</w:t>
      </w:r>
      <w:r w:rsidRPr="004574F6">
        <w:rPr>
          <w:rFonts w:eastAsia="Calibri" w:cs="Tahoma"/>
          <w:bCs/>
          <w:szCs w:val="22"/>
          <w:lang w:eastAsia="en-US"/>
        </w:rPr>
        <w:t xml:space="preserve"> de la presente Resolución.</w:t>
      </w:r>
    </w:p>
    <w:p w14:paraId="21AEABC6" w14:textId="3F8D726E" w:rsidR="00F74545" w:rsidRPr="004574F6" w:rsidRDefault="00F74545" w:rsidP="004574F6">
      <w:pPr>
        <w:ind w:right="-93"/>
        <w:rPr>
          <w:rFonts w:eastAsia="Calibri" w:cs="Tahoma"/>
          <w:bCs/>
          <w:szCs w:val="22"/>
          <w:lang w:eastAsia="en-US"/>
        </w:rPr>
      </w:pPr>
      <w:r w:rsidRPr="004574F6">
        <w:rPr>
          <w:rFonts w:eastAsia="Calibri" w:cs="Tahoma"/>
          <w:b/>
          <w:bCs/>
          <w:szCs w:val="22"/>
          <w:lang w:eastAsia="en-US"/>
        </w:rPr>
        <w:lastRenderedPageBreak/>
        <w:t>SEGUNDO.</w:t>
      </w:r>
      <w:r w:rsidRPr="004574F6">
        <w:rPr>
          <w:rFonts w:eastAsia="Calibri" w:cs="Tahoma"/>
          <w:szCs w:val="22"/>
          <w:lang w:eastAsia="es-MX"/>
        </w:rPr>
        <w:t xml:space="preserve"> Se </w:t>
      </w:r>
      <w:r w:rsidRPr="004574F6">
        <w:rPr>
          <w:rFonts w:eastAsia="Calibri" w:cs="Tahoma"/>
          <w:b/>
          <w:szCs w:val="22"/>
          <w:lang w:eastAsia="es-MX"/>
        </w:rPr>
        <w:t xml:space="preserve">ORDENA </w:t>
      </w:r>
      <w:r w:rsidRPr="004574F6">
        <w:rPr>
          <w:rFonts w:eastAsia="Calibri" w:cs="Tahoma"/>
          <w:szCs w:val="22"/>
          <w:lang w:eastAsia="es-MX"/>
        </w:rPr>
        <w:t xml:space="preserve">al </w:t>
      </w:r>
      <w:r w:rsidRPr="004574F6">
        <w:rPr>
          <w:rFonts w:eastAsia="Calibri" w:cs="Tahoma"/>
          <w:b/>
          <w:bCs/>
          <w:szCs w:val="22"/>
          <w:lang w:eastAsia="es-MX"/>
        </w:rPr>
        <w:t>SUJETO OBLIGADO</w:t>
      </w:r>
      <w:r w:rsidRPr="004574F6">
        <w:rPr>
          <w:rFonts w:eastAsia="Calibri" w:cs="Tahoma"/>
          <w:szCs w:val="22"/>
          <w:lang w:eastAsia="es-MX"/>
        </w:rPr>
        <w:t xml:space="preserve">, </w:t>
      </w:r>
      <w:r w:rsidRPr="004574F6">
        <w:rPr>
          <w:rFonts w:eastAsia="Calibri" w:cs="Tahoma"/>
          <w:bCs/>
          <w:szCs w:val="22"/>
          <w:lang w:eastAsia="en-US"/>
        </w:rPr>
        <w:t xml:space="preserve">a efecto de que, previa búsqueda exhaustiva y razonable de la información, entregue a través del </w:t>
      </w:r>
      <w:r w:rsidRPr="004574F6">
        <w:rPr>
          <w:rFonts w:eastAsia="Calibri" w:cs="Tahoma"/>
          <w:b/>
          <w:bCs/>
          <w:szCs w:val="22"/>
          <w:lang w:eastAsia="en-US"/>
        </w:rPr>
        <w:t>SAIMEX</w:t>
      </w:r>
      <w:r w:rsidRPr="004574F6">
        <w:rPr>
          <w:rFonts w:eastAsia="Calibri" w:cs="Tahoma"/>
          <w:bCs/>
          <w:szCs w:val="22"/>
          <w:lang w:eastAsia="en-US"/>
        </w:rPr>
        <w:t xml:space="preserve">, </w:t>
      </w:r>
      <w:r w:rsidR="00B54E56" w:rsidRPr="004574F6">
        <w:rPr>
          <w:rFonts w:eastAsia="Calibri" w:cs="Tahoma"/>
          <w:bCs/>
          <w:szCs w:val="22"/>
          <w:lang w:eastAsia="en-US"/>
        </w:rPr>
        <w:t xml:space="preserve">de ser procedente en </w:t>
      </w:r>
      <w:r w:rsidRPr="004574F6">
        <w:rPr>
          <w:rFonts w:eastAsia="Calibri" w:cs="Tahoma"/>
          <w:b/>
          <w:bCs/>
          <w:szCs w:val="22"/>
          <w:lang w:eastAsia="en-US"/>
        </w:rPr>
        <w:t>versión pública</w:t>
      </w:r>
      <w:r w:rsidR="005B3246" w:rsidRPr="004574F6">
        <w:rPr>
          <w:rFonts w:eastAsia="Calibri" w:cs="Tahoma"/>
          <w:bCs/>
          <w:szCs w:val="22"/>
          <w:lang w:eastAsia="en-US"/>
        </w:rPr>
        <w:t xml:space="preserve"> de la servidora pública señalada en la solicitud</w:t>
      </w:r>
      <w:r w:rsidRPr="004574F6">
        <w:rPr>
          <w:rFonts w:eastAsia="Calibri" w:cs="Tahoma"/>
          <w:bCs/>
          <w:szCs w:val="22"/>
          <w:lang w:eastAsia="en-US"/>
        </w:rPr>
        <w:t xml:space="preserve"> lo siguiente:</w:t>
      </w:r>
    </w:p>
    <w:p w14:paraId="1FACB74A" w14:textId="77777777" w:rsidR="00FD5C82" w:rsidRPr="004574F6" w:rsidRDefault="00FD5C82" w:rsidP="004574F6">
      <w:pPr>
        <w:ind w:right="-93"/>
        <w:rPr>
          <w:rFonts w:eastAsia="Calibri" w:cs="Tahoma"/>
          <w:bCs/>
          <w:szCs w:val="22"/>
          <w:lang w:eastAsia="en-US"/>
        </w:rPr>
      </w:pPr>
    </w:p>
    <w:p w14:paraId="725B6DEE" w14:textId="28C8EDE5" w:rsidR="005B3246" w:rsidRPr="004574F6" w:rsidRDefault="00B54E56" w:rsidP="004574F6">
      <w:pPr>
        <w:pStyle w:val="Ttulo"/>
        <w:spacing w:line="276" w:lineRule="auto"/>
        <w:rPr>
          <w:rFonts w:eastAsia="Calibri" w:cs="Tahoma"/>
          <w:lang w:eastAsia="es-ES_tradnl"/>
        </w:rPr>
      </w:pPr>
      <w:r w:rsidRPr="004574F6">
        <w:rPr>
          <w:lang w:eastAsia="es-MX"/>
        </w:rPr>
        <w:t>L</w:t>
      </w:r>
      <w:r w:rsidR="005B3246" w:rsidRPr="004574F6">
        <w:rPr>
          <w:lang w:eastAsia="es-MX"/>
        </w:rPr>
        <w:t xml:space="preserve">os </w:t>
      </w:r>
      <w:r w:rsidR="00FD5C82" w:rsidRPr="004574F6">
        <w:rPr>
          <w:lang w:eastAsia="es-MX"/>
        </w:rPr>
        <w:t xml:space="preserve">oficios </w:t>
      </w:r>
      <w:r w:rsidR="005B3246" w:rsidRPr="004574F6">
        <w:rPr>
          <w:lang w:eastAsia="es-MX"/>
        </w:rPr>
        <w:t xml:space="preserve">emitidos faltantes </w:t>
      </w:r>
      <w:r w:rsidR="00FD5C82" w:rsidRPr="004574F6">
        <w:rPr>
          <w:lang w:eastAsia="es-MX"/>
        </w:rPr>
        <w:t xml:space="preserve">del </w:t>
      </w:r>
      <w:r w:rsidR="005B3246" w:rsidRPr="004574F6">
        <w:rPr>
          <w:lang w:eastAsia="es-MX"/>
        </w:rPr>
        <w:t>0</w:t>
      </w:r>
      <w:r w:rsidR="00FD5C82" w:rsidRPr="004574F6">
        <w:rPr>
          <w:lang w:eastAsia="es-MX"/>
        </w:rPr>
        <w:t xml:space="preserve">1 de enero de 2023 </w:t>
      </w:r>
      <w:r w:rsidR="005B3246" w:rsidRPr="004574F6">
        <w:rPr>
          <w:lang w:eastAsia="es-MX"/>
        </w:rPr>
        <w:t xml:space="preserve">al 05 </w:t>
      </w:r>
      <w:r w:rsidR="00FD5C82" w:rsidRPr="004574F6">
        <w:rPr>
          <w:lang w:eastAsia="es-MX"/>
        </w:rPr>
        <w:t>de abril de 2024</w:t>
      </w:r>
      <w:r w:rsidR="00F74545" w:rsidRPr="004574F6">
        <w:rPr>
          <w:rFonts w:eastAsia="Calibri" w:cs="Tahoma"/>
          <w:lang w:eastAsia="es-ES_tradnl"/>
        </w:rPr>
        <w:t>.</w:t>
      </w:r>
    </w:p>
    <w:p w14:paraId="44FF07DD" w14:textId="77777777" w:rsidR="009D1CC6" w:rsidRPr="004574F6" w:rsidRDefault="009D1CC6" w:rsidP="004574F6">
      <w:pPr>
        <w:pStyle w:val="Ttulo"/>
        <w:spacing w:line="276" w:lineRule="auto"/>
        <w:rPr>
          <w:rFonts w:eastAsia="Calibri" w:cs="Tahoma"/>
          <w:bCs/>
          <w:lang w:eastAsia="en-US"/>
        </w:rPr>
      </w:pPr>
    </w:p>
    <w:p w14:paraId="03E1EC7F" w14:textId="306BABA5" w:rsidR="00F74545" w:rsidRPr="004574F6" w:rsidRDefault="00F74545" w:rsidP="004574F6">
      <w:pPr>
        <w:pStyle w:val="Ttulo"/>
        <w:spacing w:line="276" w:lineRule="auto"/>
        <w:rPr>
          <w:rFonts w:eastAsia="Calibri" w:cs="Tahoma"/>
          <w:bCs/>
          <w:lang w:eastAsia="en-US"/>
        </w:rPr>
      </w:pPr>
      <w:r w:rsidRPr="004574F6">
        <w:rPr>
          <w:rFonts w:eastAsia="Calibri" w:cs="Tahoma"/>
          <w:bCs/>
          <w:lang w:eastAsia="en-US"/>
        </w:rPr>
        <w:t>De ser necesarias las versiones públicas, se deberá entregar el Acuerdo del Comité de Transparencia mediante el cual se apruebe la clasificación de información, en términos</w:t>
      </w:r>
      <w:r w:rsidR="00B54E56" w:rsidRPr="004574F6">
        <w:rPr>
          <w:rFonts w:eastAsia="Calibri" w:cs="Tahoma"/>
          <w:bCs/>
          <w:lang w:eastAsia="en-US"/>
        </w:rPr>
        <w:t xml:space="preserve"> </w:t>
      </w:r>
      <w:r w:rsidRPr="004574F6">
        <w:rPr>
          <w:rFonts w:eastAsia="Calibri" w:cs="Tahoma"/>
          <w:bCs/>
          <w:lang w:eastAsia="en-US"/>
        </w:rPr>
        <w:t>del artículo 49, fracción VIII de la Ley de Transparencia y Acceso a la Información Pública del Estado de México y Municipios</w:t>
      </w:r>
      <w:r w:rsidR="00B54E56" w:rsidRPr="004574F6">
        <w:rPr>
          <w:rFonts w:eastAsia="Calibri" w:cs="Tahoma"/>
          <w:bCs/>
          <w:lang w:eastAsia="en-US"/>
        </w:rPr>
        <w:t xml:space="preserve">; así como, el que sustente la versión pública de los oficios entregados en respuesta. </w:t>
      </w:r>
    </w:p>
    <w:p w14:paraId="0D3A6EED" w14:textId="77777777" w:rsidR="00F74545" w:rsidRPr="004574F6" w:rsidRDefault="00F74545" w:rsidP="004574F6">
      <w:pPr>
        <w:pStyle w:val="Ttulo"/>
        <w:spacing w:line="276" w:lineRule="auto"/>
        <w:rPr>
          <w:rFonts w:eastAsia="Calibri" w:cs="Tahoma"/>
          <w:bCs/>
          <w:lang w:eastAsia="en-US"/>
        </w:rPr>
      </w:pPr>
    </w:p>
    <w:p w14:paraId="15BE22B6" w14:textId="754AB73A" w:rsidR="00F74545" w:rsidRPr="004574F6" w:rsidRDefault="00F74545" w:rsidP="004574F6">
      <w:pPr>
        <w:pStyle w:val="Ttulo"/>
        <w:spacing w:line="276" w:lineRule="auto"/>
        <w:rPr>
          <w:rFonts w:eastAsia="Palatino Linotype" w:cs="Palatino Linotype"/>
        </w:rPr>
      </w:pPr>
      <w:r w:rsidRPr="004574F6">
        <w:rPr>
          <w:rFonts w:eastAsia="Palatino Linotype" w:cs="Palatino Linotype"/>
        </w:rPr>
        <w:t xml:space="preserve">Para el caso de que </w:t>
      </w:r>
      <w:r w:rsidR="005B3246" w:rsidRPr="004574F6">
        <w:rPr>
          <w:rFonts w:eastAsia="Palatino Linotype" w:cs="Palatino Linotype"/>
        </w:rPr>
        <w:t xml:space="preserve">los oficios faltantes </w:t>
      </w:r>
      <w:r w:rsidR="00FD5C82" w:rsidRPr="004574F6">
        <w:rPr>
          <w:rFonts w:eastAsia="Palatino Linotype" w:cs="Palatino Linotype"/>
          <w:bCs/>
        </w:rPr>
        <w:t>se haya</w:t>
      </w:r>
      <w:r w:rsidR="005B3246" w:rsidRPr="004574F6">
        <w:rPr>
          <w:rFonts w:eastAsia="Palatino Linotype" w:cs="Palatino Linotype"/>
          <w:bCs/>
        </w:rPr>
        <w:t>n</w:t>
      </w:r>
      <w:r w:rsidR="00FD5C82" w:rsidRPr="004574F6">
        <w:rPr>
          <w:rFonts w:eastAsia="Palatino Linotype" w:cs="Palatino Linotype"/>
          <w:bCs/>
        </w:rPr>
        <w:t xml:space="preserve"> cancelado,</w:t>
      </w:r>
      <w:r w:rsidRPr="004574F6">
        <w:rPr>
          <w:rFonts w:eastAsia="Palatino Linotype" w:cs="Palatino Linotype"/>
          <w:bCs/>
        </w:rPr>
        <w:t xml:space="preserve"> bastará con que se haga del conocimiento a </w:t>
      </w:r>
      <w:r w:rsidRPr="004574F6">
        <w:rPr>
          <w:rFonts w:eastAsia="Palatino Linotype" w:cs="Palatino Linotype"/>
          <w:b/>
          <w:bCs/>
        </w:rPr>
        <w:t xml:space="preserve">LA PARTE RECURRENTE </w:t>
      </w:r>
      <w:r w:rsidRPr="004574F6">
        <w:rPr>
          <w:rFonts w:eastAsia="Palatino Linotype" w:cs="Palatino Linotype"/>
        </w:rPr>
        <w:t>haciendo entrega, únicamente de la información que si se haya generado.</w:t>
      </w:r>
    </w:p>
    <w:p w14:paraId="3A4664D4" w14:textId="77777777" w:rsidR="00F74545" w:rsidRPr="004574F6" w:rsidRDefault="00F74545" w:rsidP="004574F6">
      <w:pPr>
        <w:widowControl w:val="0"/>
        <w:rPr>
          <w:rFonts w:eastAsia="Calibri" w:cs="Tahoma"/>
          <w:bCs/>
          <w:szCs w:val="22"/>
          <w:lang w:eastAsia="en-US"/>
        </w:rPr>
      </w:pPr>
    </w:p>
    <w:p w14:paraId="3996E225" w14:textId="77777777" w:rsidR="00F74545" w:rsidRPr="004574F6" w:rsidRDefault="00F74545" w:rsidP="004574F6">
      <w:r w:rsidRPr="004574F6">
        <w:rPr>
          <w:b/>
          <w:bCs/>
        </w:rPr>
        <w:t>TERCERO.</w:t>
      </w:r>
      <w:r w:rsidRPr="004574F6">
        <w:t xml:space="preserve"> </w:t>
      </w:r>
      <w:r w:rsidRPr="004574F6">
        <w:rPr>
          <w:rFonts w:eastAsia="Palatino Linotype" w:cs="Palatino Linotype"/>
          <w:b/>
          <w:lang w:eastAsia="es-MX"/>
        </w:rPr>
        <w:t xml:space="preserve">Notifíquese </w:t>
      </w:r>
      <w:r w:rsidRPr="004574F6">
        <w:rPr>
          <w:szCs w:val="17"/>
          <w:lang w:eastAsia="es-ES_tradnl"/>
        </w:rPr>
        <w:t xml:space="preserve">vía </w:t>
      </w:r>
      <w:r w:rsidRPr="004574F6">
        <w:rPr>
          <w:rFonts w:cs="Arial"/>
        </w:rPr>
        <w:t>Sistema de Acceso a la Información Mexiquense (</w:t>
      </w:r>
      <w:r w:rsidRPr="004574F6">
        <w:rPr>
          <w:rFonts w:cs="Arial"/>
          <w:b/>
          <w:bCs/>
        </w:rPr>
        <w:t>SAIMEX)</w:t>
      </w:r>
      <w:r w:rsidRPr="004574F6">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6E8A11" w14:textId="77777777" w:rsidR="00F74545" w:rsidRPr="004574F6" w:rsidRDefault="00F74545" w:rsidP="004574F6"/>
    <w:p w14:paraId="67B3AC34" w14:textId="77777777" w:rsidR="00F74545" w:rsidRPr="004574F6" w:rsidRDefault="00F74545" w:rsidP="004574F6">
      <w:r w:rsidRPr="004574F6">
        <w:rPr>
          <w:b/>
          <w:bCs/>
        </w:rPr>
        <w:lastRenderedPageBreak/>
        <w:t>CUARTO.</w:t>
      </w:r>
      <w:r w:rsidRPr="004574F6">
        <w:t xml:space="preserve"> Notifíquese a </w:t>
      </w:r>
      <w:r w:rsidRPr="004574F6">
        <w:rPr>
          <w:b/>
          <w:bCs/>
        </w:rPr>
        <w:t>LA PARTE RECURRENTE</w:t>
      </w:r>
      <w:r w:rsidRPr="004574F6">
        <w:t xml:space="preserve"> la presente resolución vía Sistema de Acceso a la Información Mexiquense (SAIMEX).</w:t>
      </w:r>
    </w:p>
    <w:p w14:paraId="72E234CF" w14:textId="77777777" w:rsidR="00F74545" w:rsidRPr="004574F6" w:rsidRDefault="00F74545" w:rsidP="004574F6"/>
    <w:p w14:paraId="6B10D4F2" w14:textId="77777777" w:rsidR="00F74545" w:rsidRPr="004574F6" w:rsidRDefault="00F74545" w:rsidP="004574F6">
      <w:r w:rsidRPr="004574F6">
        <w:rPr>
          <w:b/>
          <w:bCs/>
        </w:rPr>
        <w:t>QUINTO</w:t>
      </w:r>
      <w:r w:rsidRPr="004574F6">
        <w:t xml:space="preserve">. Hágase del conocimiento a </w:t>
      </w:r>
      <w:r w:rsidRPr="004574F6">
        <w:rPr>
          <w:b/>
          <w:bCs/>
        </w:rPr>
        <w:t>LA PARTE RECURRENTE</w:t>
      </w:r>
      <w:r w:rsidRPr="004574F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FC6298B" w14:textId="77777777" w:rsidR="00F74545" w:rsidRPr="004574F6" w:rsidRDefault="00F74545" w:rsidP="004574F6"/>
    <w:p w14:paraId="7034AD68" w14:textId="77777777" w:rsidR="00F74545" w:rsidRPr="004574F6" w:rsidRDefault="00F74545" w:rsidP="004574F6">
      <w:r w:rsidRPr="004574F6">
        <w:rPr>
          <w:b/>
          <w:bCs/>
        </w:rPr>
        <w:t>SEXTO.</w:t>
      </w:r>
      <w:r w:rsidRPr="004574F6">
        <w:t xml:space="preserve"> De conformidad con el artículo 198 de la Ley de Transparencia y Acceso a la Información Pública del Estado de México y Municipios, el </w:t>
      </w:r>
      <w:r w:rsidRPr="004574F6">
        <w:rPr>
          <w:b/>
          <w:bCs/>
        </w:rPr>
        <w:t>SUJETO OBLIGADO</w:t>
      </w:r>
      <w:r w:rsidRPr="004574F6">
        <w:t xml:space="preserve"> podrá solicitar una ampliación de plazo de manera fundada y motivada, para el cumplimiento de la presente resolución.</w:t>
      </w:r>
    </w:p>
    <w:p w14:paraId="2FED6EFC" w14:textId="77777777" w:rsidR="00F74545" w:rsidRPr="004574F6" w:rsidRDefault="00F74545" w:rsidP="004574F6">
      <w:pPr>
        <w:ind w:right="113"/>
        <w:rPr>
          <w:rFonts w:cs="Arial"/>
          <w:b/>
          <w:szCs w:val="22"/>
        </w:rPr>
      </w:pPr>
    </w:p>
    <w:p w14:paraId="42C78B4B" w14:textId="0691313F" w:rsidR="00F74545" w:rsidRPr="004574F6" w:rsidRDefault="00F74545" w:rsidP="004574F6">
      <w:pPr>
        <w:rPr>
          <w:rFonts w:eastAsia="Palatino Linotype" w:cs="Palatino Linotype"/>
          <w:szCs w:val="22"/>
        </w:rPr>
      </w:pPr>
      <w:r w:rsidRPr="004574F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B3246" w:rsidRPr="004574F6">
        <w:rPr>
          <w:rFonts w:eastAsia="Palatino Linotype" w:cs="Palatino Linotype"/>
          <w:szCs w:val="22"/>
        </w:rPr>
        <w:t>TRIGÉSIMA CUARTA</w:t>
      </w:r>
      <w:r w:rsidRPr="004574F6">
        <w:rPr>
          <w:rFonts w:eastAsia="Palatino Linotype" w:cs="Palatino Linotype"/>
          <w:szCs w:val="22"/>
        </w:rPr>
        <w:t xml:space="preserve"> SESIÓN ORDINARIA, CELEBRADA EL </w:t>
      </w:r>
      <w:r w:rsidR="005B3246" w:rsidRPr="004574F6">
        <w:rPr>
          <w:rFonts w:eastAsia="Palatino Linotype" w:cs="Palatino Linotype"/>
          <w:szCs w:val="22"/>
        </w:rPr>
        <w:t>VEINTICINCO</w:t>
      </w:r>
      <w:r w:rsidRPr="004574F6">
        <w:rPr>
          <w:rFonts w:eastAsia="Palatino Linotype" w:cs="Palatino Linotype"/>
          <w:szCs w:val="22"/>
        </w:rPr>
        <w:t xml:space="preserve"> DE </w:t>
      </w:r>
      <w:r w:rsidR="005B3246" w:rsidRPr="004574F6">
        <w:rPr>
          <w:rFonts w:eastAsia="Palatino Linotype" w:cs="Palatino Linotype"/>
          <w:szCs w:val="22"/>
        </w:rPr>
        <w:t xml:space="preserve">SEPTIEMBRE </w:t>
      </w:r>
      <w:r w:rsidRPr="004574F6">
        <w:rPr>
          <w:rFonts w:eastAsia="Palatino Linotype" w:cs="Palatino Linotype"/>
          <w:szCs w:val="22"/>
        </w:rPr>
        <w:t xml:space="preserve">DE DOS MIL </w:t>
      </w:r>
      <w:r w:rsidR="005B3246" w:rsidRPr="004574F6">
        <w:rPr>
          <w:rFonts w:eastAsia="Palatino Linotype" w:cs="Palatino Linotype"/>
          <w:szCs w:val="22"/>
        </w:rPr>
        <w:t>VEINTICUATRO</w:t>
      </w:r>
      <w:r w:rsidRPr="004574F6">
        <w:rPr>
          <w:rFonts w:eastAsia="Palatino Linotype" w:cs="Palatino Linotype"/>
          <w:szCs w:val="22"/>
        </w:rPr>
        <w:t>, ANTE EL SECRETARIO TÉCNICO DEL PLENO, ALEXIS TAPIA RAMÍREZ.</w:t>
      </w:r>
    </w:p>
    <w:p w14:paraId="1513D7FB" w14:textId="4A27E37A" w:rsidR="00574C74" w:rsidRPr="004574F6" w:rsidRDefault="00574C74" w:rsidP="004574F6">
      <w:pPr>
        <w:rPr>
          <w:rFonts w:eastAsia="Palatino Linotype" w:cs="Palatino Linotype"/>
          <w:sz w:val="16"/>
          <w:szCs w:val="16"/>
        </w:rPr>
      </w:pPr>
      <w:r w:rsidRPr="004574F6">
        <w:rPr>
          <w:rFonts w:eastAsia="Palatino Linotype" w:cs="Palatino Linotype"/>
          <w:sz w:val="16"/>
          <w:szCs w:val="16"/>
        </w:rPr>
        <w:t>AGZ/DEMF/AGE</w:t>
      </w:r>
    </w:p>
    <w:p w14:paraId="49D72DA3" w14:textId="77777777" w:rsidR="00664420" w:rsidRPr="004574F6" w:rsidRDefault="00664420" w:rsidP="004574F6">
      <w:pPr>
        <w:ind w:right="-93"/>
        <w:rPr>
          <w:rFonts w:eastAsia="Calibri" w:cs="Tahoma"/>
          <w:bCs/>
          <w:szCs w:val="22"/>
          <w:lang w:eastAsia="en-US"/>
        </w:rPr>
      </w:pPr>
    </w:p>
    <w:p w14:paraId="5EFEA0CD" w14:textId="77777777" w:rsidR="00664420" w:rsidRPr="004574F6" w:rsidRDefault="00664420" w:rsidP="004574F6">
      <w:pPr>
        <w:ind w:right="-93"/>
        <w:rPr>
          <w:rFonts w:eastAsia="Calibri" w:cs="Tahoma"/>
          <w:szCs w:val="22"/>
          <w:lang w:val="es-ES"/>
        </w:rPr>
      </w:pPr>
    </w:p>
    <w:p w14:paraId="696BC976" w14:textId="77777777" w:rsidR="00664420" w:rsidRPr="004574F6" w:rsidRDefault="00664420" w:rsidP="004574F6">
      <w:pPr>
        <w:ind w:right="-93"/>
        <w:rPr>
          <w:rFonts w:eastAsia="Calibri" w:cs="Tahoma"/>
          <w:bCs/>
          <w:szCs w:val="22"/>
          <w:lang w:val="es-ES" w:eastAsia="en-US"/>
        </w:rPr>
      </w:pPr>
    </w:p>
    <w:p w14:paraId="671CB0C5" w14:textId="77777777" w:rsidR="00664420" w:rsidRPr="004574F6" w:rsidRDefault="00664420" w:rsidP="004574F6">
      <w:pPr>
        <w:ind w:right="-93"/>
        <w:rPr>
          <w:rFonts w:eastAsia="Calibri" w:cs="Tahoma"/>
          <w:bCs/>
          <w:szCs w:val="22"/>
          <w:lang w:val="es-ES_tradnl" w:eastAsia="en-US"/>
        </w:rPr>
      </w:pPr>
    </w:p>
    <w:p w14:paraId="52B66DE7" w14:textId="77777777" w:rsidR="00664420" w:rsidRPr="004574F6" w:rsidRDefault="00664420" w:rsidP="004574F6">
      <w:pPr>
        <w:ind w:right="-93"/>
        <w:rPr>
          <w:rFonts w:eastAsia="Calibri" w:cs="Tahoma"/>
          <w:bCs/>
          <w:szCs w:val="22"/>
          <w:lang w:val="es-ES_tradnl" w:eastAsia="en-US"/>
        </w:rPr>
      </w:pPr>
    </w:p>
    <w:p w14:paraId="3BA305D1" w14:textId="77777777" w:rsidR="00664420" w:rsidRPr="004574F6" w:rsidRDefault="00664420" w:rsidP="004574F6">
      <w:pPr>
        <w:ind w:right="-93"/>
        <w:rPr>
          <w:rFonts w:eastAsia="Calibri" w:cs="Tahoma"/>
          <w:bCs/>
          <w:szCs w:val="22"/>
          <w:lang w:val="es-ES_tradnl" w:eastAsia="en-US"/>
        </w:rPr>
      </w:pPr>
    </w:p>
    <w:p w14:paraId="78230707" w14:textId="77777777" w:rsidR="00664420" w:rsidRPr="004574F6" w:rsidRDefault="00664420" w:rsidP="004574F6">
      <w:pPr>
        <w:ind w:right="-93"/>
        <w:rPr>
          <w:rFonts w:eastAsia="Calibri" w:cs="Tahoma"/>
          <w:bCs/>
          <w:szCs w:val="22"/>
          <w:lang w:val="es-ES_tradnl" w:eastAsia="en-US"/>
        </w:rPr>
      </w:pPr>
    </w:p>
    <w:p w14:paraId="72D18B28" w14:textId="77777777" w:rsidR="00664420" w:rsidRPr="004574F6" w:rsidRDefault="00664420" w:rsidP="004574F6">
      <w:pPr>
        <w:ind w:right="-93"/>
        <w:rPr>
          <w:rFonts w:eastAsia="Calibri" w:cs="Tahoma"/>
          <w:bCs/>
          <w:szCs w:val="22"/>
          <w:lang w:val="es-ES_tradnl" w:eastAsia="en-US"/>
        </w:rPr>
      </w:pPr>
    </w:p>
    <w:p w14:paraId="6BD461DC" w14:textId="77777777" w:rsidR="00664420" w:rsidRPr="004574F6" w:rsidRDefault="00664420" w:rsidP="004574F6">
      <w:pPr>
        <w:tabs>
          <w:tab w:val="center" w:pos="4568"/>
        </w:tabs>
        <w:ind w:right="-93"/>
        <w:rPr>
          <w:rFonts w:eastAsia="Calibri" w:cs="Tahoma"/>
          <w:bCs/>
          <w:szCs w:val="22"/>
          <w:lang w:eastAsia="en-US"/>
        </w:rPr>
      </w:pPr>
    </w:p>
    <w:p w14:paraId="4DBB1727" w14:textId="77777777" w:rsidR="00664420" w:rsidRPr="004574F6" w:rsidRDefault="00664420" w:rsidP="004574F6">
      <w:pPr>
        <w:tabs>
          <w:tab w:val="center" w:pos="4568"/>
        </w:tabs>
        <w:ind w:right="-93"/>
        <w:rPr>
          <w:rFonts w:eastAsia="Calibri" w:cs="Tahoma"/>
          <w:bCs/>
          <w:szCs w:val="22"/>
          <w:lang w:eastAsia="en-US"/>
        </w:rPr>
      </w:pPr>
    </w:p>
    <w:p w14:paraId="1D74121B" w14:textId="77777777" w:rsidR="00664420" w:rsidRPr="004574F6" w:rsidRDefault="00664420" w:rsidP="004574F6">
      <w:pPr>
        <w:tabs>
          <w:tab w:val="center" w:pos="4568"/>
        </w:tabs>
        <w:ind w:right="-93"/>
        <w:rPr>
          <w:rFonts w:eastAsia="Calibri" w:cs="Tahoma"/>
          <w:bCs/>
          <w:szCs w:val="22"/>
          <w:lang w:eastAsia="en-US"/>
        </w:rPr>
      </w:pPr>
    </w:p>
    <w:p w14:paraId="08E74E9C" w14:textId="77777777" w:rsidR="00664420" w:rsidRPr="004574F6" w:rsidRDefault="00664420" w:rsidP="004574F6">
      <w:pPr>
        <w:tabs>
          <w:tab w:val="center" w:pos="4568"/>
        </w:tabs>
        <w:ind w:right="-93"/>
        <w:rPr>
          <w:rFonts w:eastAsia="Calibri" w:cs="Tahoma"/>
          <w:bCs/>
          <w:szCs w:val="22"/>
          <w:lang w:eastAsia="en-US"/>
        </w:rPr>
      </w:pPr>
    </w:p>
    <w:p w14:paraId="2CBF5E03" w14:textId="77777777" w:rsidR="00664420" w:rsidRPr="004574F6" w:rsidRDefault="00664420" w:rsidP="004574F6">
      <w:pPr>
        <w:tabs>
          <w:tab w:val="center" w:pos="4568"/>
        </w:tabs>
        <w:ind w:right="-93"/>
        <w:rPr>
          <w:rFonts w:eastAsia="Calibri" w:cs="Tahoma"/>
          <w:bCs/>
          <w:szCs w:val="22"/>
          <w:lang w:eastAsia="en-US"/>
        </w:rPr>
      </w:pPr>
    </w:p>
    <w:p w14:paraId="44865A6D" w14:textId="77777777" w:rsidR="00664420" w:rsidRPr="004574F6" w:rsidRDefault="00664420" w:rsidP="004574F6">
      <w:pPr>
        <w:tabs>
          <w:tab w:val="center" w:pos="4568"/>
        </w:tabs>
        <w:ind w:right="-93"/>
        <w:rPr>
          <w:rFonts w:eastAsia="Calibri" w:cs="Tahoma"/>
          <w:bCs/>
          <w:szCs w:val="22"/>
          <w:lang w:eastAsia="en-US"/>
        </w:rPr>
      </w:pPr>
    </w:p>
    <w:p w14:paraId="7147F06B" w14:textId="77777777" w:rsidR="00664420" w:rsidRPr="004574F6" w:rsidRDefault="00664420" w:rsidP="004574F6">
      <w:pPr>
        <w:tabs>
          <w:tab w:val="center" w:pos="4568"/>
        </w:tabs>
        <w:ind w:right="-93"/>
        <w:rPr>
          <w:rFonts w:eastAsia="Calibri" w:cs="Tahoma"/>
          <w:bCs/>
          <w:szCs w:val="22"/>
          <w:lang w:eastAsia="en-US"/>
        </w:rPr>
      </w:pPr>
    </w:p>
    <w:p w14:paraId="6FDF3D7E" w14:textId="77777777" w:rsidR="00664420" w:rsidRPr="004574F6" w:rsidRDefault="00664420" w:rsidP="004574F6">
      <w:pPr>
        <w:tabs>
          <w:tab w:val="center" w:pos="4568"/>
        </w:tabs>
        <w:ind w:right="-93"/>
        <w:rPr>
          <w:rFonts w:eastAsia="Calibri" w:cs="Tahoma"/>
          <w:bCs/>
          <w:szCs w:val="22"/>
          <w:lang w:eastAsia="en-US"/>
        </w:rPr>
      </w:pPr>
    </w:p>
    <w:p w14:paraId="6246F818" w14:textId="77777777" w:rsidR="00664420" w:rsidRPr="004574F6" w:rsidRDefault="00664420" w:rsidP="004574F6">
      <w:pPr>
        <w:tabs>
          <w:tab w:val="center" w:pos="4568"/>
        </w:tabs>
        <w:ind w:right="-93"/>
        <w:rPr>
          <w:rFonts w:eastAsia="Calibri" w:cs="Tahoma"/>
          <w:bCs/>
          <w:szCs w:val="22"/>
          <w:lang w:eastAsia="en-US"/>
        </w:rPr>
      </w:pPr>
    </w:p>
    <w:p w14:paraId="57A88B28" w14:textId="77777777" w:rsidR="00664420" w:rsidRPr="004574F6" w:rsidRDefault="00664420" w:rsidP="004574F6">
      <w:pPr>
        <w:tabs>
          <w:tab w:val="center" w:pos="4568"/>
        </w:tabs>
        <w:ind w:right="-93"/>
        <w:rPr>
          <w:rFonts w:eastAsia="Calibri" w:cs="Tahoma"/>
          <w:bCs/>
          <w:szCs w:val="22"/>
          <w:lang w:eastAsia="en-US"/>
        </w:rPr>
      </w:pPr>
    </w:p>
    <w:p w14:paraId="77EF6095" w14:textId="77777777" w:rsidR="00664420" w:rsidRPr="004574F6" w:rsidRDefault="00664420" w:rsidP="004574F6">
      <w:pPr>
        <w:tabs>
          <w:tab w:val="center" w:pos="4568"/>
        </w:tabs>
        <w:ind w:right="-93"/>
        <w:rPr>
          <w:rFonts w:eastAsia="Calibri" w:cs="Tahoma"/>
          <w:bCs/>
          <w:szCs w:val="22"/>
          <w:lang w:eastAsia="en-US"/>
        </w:rPr>
      </w:pPr>
    </w:p>
    <w:p w14:paraId="35593947" w14:textId="77777777" w:rsidR="00664420" w:rsidRPr="004574F6" w:rsidRDefault="00664420" w:rsidP="004574F6">
      <w:pPr>
        <w:tabs>
          <w:tab w:val="center" w:pos="4568"/>
        </w:tabs>
        <w:ind w:right="-93"/>
        <w:rPr>
          <w:rFonts w:eastAsia="Calibri" w:cs="Tahoma"/>
          <w:bCs/>
          <w:szCs w:val="22"/>
          <w:lang w:eastAsia="en-US"/>
        </w:rPr>
      </w:pPr>
    </w:p>
    <w:p w14:paraId="3AF72A17" w14:textId="77777777" w:rsidR="00664420" w:rsidRPr="004574F6" w:rsidRDefault="00664420" w:rsidP="004574F6">
      <w:pPr>
        <w:tabs>
          <w:tab w:val="center" w:pos="4568"/>
        </w:tabs>
        <w:ind w:right="-93"/>
        <w:rPr>
          <w:rFonts w:eastAsia="Calibri" w:cs="Tahoma"/>
          <w:bCs/>
          <w:szCs w:val="22"/>
          <w:lang w:eastAsia="en-US"/>
        </w:rPr>
      </w:pPr>
    </w:p>
    <w:p w14:paraId="37169144" w14:textId="77777777" w:rsidR="00664420" w:rsidRPr="004574F6" w:rsidRDefault="00664420" w:rsidP="004574F6">
      <w:pPr>
        <w:tabs>
          <w:tab w:val="center" w:pos="4568"/>
        </w:tabs>
        <w:ind w:right="-93"/>
        <w:rPr>
          <w:rFonts w:eastAsia="Calibri" w:cs="Tahoma"/>
          <w:bCs/>
          <w:szCs w:val="22"/>
          <w:lang w:eastAsia="en-US"/>
        </w:rPr>
      </w:pPr>
    </w:p>
    <w:p w14:paraId="77CFC088" w14:textId="77777777" w:rsidR="00664420" w:rsidRPr="004574F6" w:rsidRDefault="00664420" w:rsidP="004574F6">
      <w:pPr>
        <w:tabs>
          <w:tab w:val="center" w:pos="4568"/>
        </w:tabs>
        <w:ind w:right="-93"/>
        <w:rPr>
          <w:rFonts w:eastAsia="Calibri" w:cs="Tahoma"/>
          <w:bCs/>
          <w:szCs w:val="22"/>
          <w:lang w:eastAsia="en-US"/>
        </w:rPr>
      </w:pPr>
    </w:p>
    <w:p w14:paraId="781A11A5" w14:textId="77777777" w:rsidR="00664420" w:rsidRPr="004574F6" w:rsidRDefault="00664420" w:rsidP="004574F6">
      <w:pPr>
        <w:tabs>
          <w:tab w:val="center" w:pos="4568"/>
        </w:tabs>
        <w:ind w:right="-93"/>
        <w:rPr>
          <w:rFonts w:eastAsia="Calibri" w:cs="Tahoma"/>
          <w:bCs/>
          <w:szCs w:val="22"/>
          <w:lang w:eastAsia="en-US"/>
        </w:rPr>
      </w:pPr>
    </w:p>
    <w:p w14:paraId="5B4ADFF3" w14:textId="77777777" w:rsidR="00A131AC" w:rsidRPr="004574F6" w:rsidRDefault="00A131AC" w:rsidP="004574F6"/>
    <w:sectPr w:rsidR="00A131AC" w:rsidRPr="004574F6"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9D8E" w14:textId="77777777" w:rsidR="0069091F" w:rsidRDefault="0069091F" w:rsidP="00664420">
      <w:pPr>
        <w:spacing w:line="240" w:lineRule="auto"/>
      </w:pPr>
      <w:r>
        <w:separator/>
      </w:r>
    </w:p>
  </w:endnote>
  <w:endnote w:type="continuationSeparator" w:id="0">
    <w:p w14:paraId="07E9641A" w14:textId="77777777" w:rsidR="0069091F" w:rsidRDefault="0069091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FC4AB2" w:rsidRDefault="00FC4AB2">
    <w:pPr>
      <w:tabs>
        <w:tab w:val="center" w:pos="4550"/>
        <w:tab w:val="left" w:pos="5818"/>
      </w:tabs>
      <w:ind w:right="260"/>
      <w:jc w:val="right"/>
      <w:rPr>
        <w:color w:val="071320" w:themeColor="text2" w:themeShade="80"/>
        <w:sz w:val="24"/>
        <w:szCs w:val="24"/>
      </w:rPr>
    </w:pPr>
  </w:p>
  <w:p w14:paraId="1BCA7F23" w14:textId="77777777" w:rsidR="00FC4AB2" w:rsidRDefault="00FC4A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FC4AB2" w:rsidRDefault="00FC4AB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83A43" w:rsidRPr="00083A43">
      <w:rPr>
        <w:noProof/>
        <w:color w:val="0A1D30" w:themeColor="text2" w:themeShade="BF"/>
        <w:sz w:val="24"/>
        <w:szCs w:val="24"/>
        <w:lang w:val="es-ES"/>
      </w:rPr>
      <w:t>49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83A43" w:rsidRPr="00083A43">
      <w:rPr>
        <w:noProof/>
        <w:color w:val="0A1D30" w:themeColor="text2" w:themeShade="BF"/>
        <w:sz w:val="24"/>
        <w:szCs w:val="24"/>
        <w:lang w:val="es-ES"/>
      </w:rPr>
      <w:t>52</w:t>
    </w:r>
    <w:r>
      <w:rPr>
        <w:color w:val="0A1D30" w:themeColor="text2" w:themeShade="BF"/>
        <w:sz w:val="24"/>
        <w:szCs w:val="24"/>
      </w:rPr>
      <w:fldChar w:fldCharType="end"/>
    </w:r>
  </w:p>
  <w:p w14:paraId="310E15C0" w14:textId="77777777" w:rsidR="00FC4AB2" w:rsidRDefault="00FC4A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2255" w14:textId="77777777" w:rsidR="0069091F" w:rsidRDefault="0069091F" w:rsidP="00664420">
      <w:pPr>
        <w:spacing w:line="240" w:lineRule="auto"/>
      </w:pPr>
      <w:r>
        <w:separator/>
      </w:r>
    </w:p>
  </w:footnote>
  <w:footnote w:type="continuationSeparator" w:id="0">
    <w:p w14:paraId="7EAA7DD7" w14:textId="77777777" w:rsidR="0069091F" w:rsidRDefault="0069091F"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C4AB2" w:rsidRPr="00330DA7" w14:paraId="070A4B18" w14:textId="77777777" w:rsidTr="003F35FD">
      <w:trPr>
        <w:trHeight w:val="144"/>
        <w:jc w:val="right"/>
      </w:trPr>
      <w:tc>
        <w:tcPr>
          <w:tcW w:w="2727" w:type="dxa"/>
        </w:tcPr>
        <w:p w14:paraId="62B7493A" w14:textId="77777777" w:rsidR="00FC4AB2" w:rsidRPr="00330DA7" w:rsidRDefault="00FC4AB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91BF89C" w:rsidR="00FC4AB2" w:rsidRPr="00A90C72" w:rsidRDefault="00FC4AB2" w:rsidP="00B1609B">
          <w:pPr>
            <w:tabs>
              <w:tab w:val="right" w:pos="8838"/>
            </w:tabs>
            <w:ind w:left="-74" w:right="-105"/>
            <w:rPr>
              <w:rFonts w:eastAsia="Calibri" w:cs="Tahoma"/>
              <w:szCs w:val="22"/>
              <w:lang w:eastAsia="en-US"/>
            </w:rPr>
          </w:pPr>
          <w:r>
            <w:rPr>
              <w:rFonts w:eastAsia="Calibri" w:cs="Tahoma"/>
              <w:szCs w:val="22"/>
              <w:lang w:eastAsia="en-US"/>
            </w:rPr>
            <w:t>03212</w:t>
          </w:r>
          <w:r w:rsidRPr="00CB607E">
            <w:rPr>
              <w:rFonts w:eastAsia="Calibri" w:cs="Tahoma"/>
              <w:szCs w:val="22"/>
              <w:lang w:eastAsia="en-US"/>
            </w:rPr>
            <w:t>/INFOEM/IP/RR/2024</w:t>
          </w:r>
        </w:p>
      </w:tc>
    </w:tr>
    <w:tr w:rsidR="00FC4AB2" w:rsidRPr="00330DA7" w14:paraId="4521E058" w14:textId="77777777" w:rsidTr="003F35FD">
      <w:trPr>
        <w:trHeight w:val="283"/>
        <w:jc w:val="right"/>
      </w:trPr>
      <w:tc>
        <w:tcPr>
          <w:tcW w:w="2727" w:type="dxa"/>
        </w:tcPr>
        <w:p w14:paraId="0B68C086" w14:textId="77777777" w:rsidR="00FC4AB2" w:rsidRPr="00330DA7" w:rsidRDefault="00FC4AB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446E7B" w:rsidR="00FC4AB2" w:rsidRPr="00952DD0" w:rsidRDefault="00FC4AB2" w:rsidP="003F35FD">
          <w:pPr>
            <w:tabs>
              <w:tab w:val="left" w:pos="2834"/>
              <w:tab w:val="right" w:pos="8838"/>
            </w:tabs>
            <w:ind w:left="-108" w:right="-105"/>
            <w:rPr>
              <w:rFonts w:eastAsia="Calibri" w:cs="Tahoma"/>
              <w:szCs w:val="22"/>
              <w:lang w:eastAsia="en-US"/>
            </w:rPr>
          </w:pPr>
          <w:r w:rsidRPr="00CB607E">
            <w:rPr>
              <w:rFonts w:eastAsia="Calibri" w:cs="Tahoma"/>
              <w:szCs w:val="22"/>
              <w:lang w:eastAsia="en-US"/>
            </w:rPr>
            <w:t>Sistema Municipal Para el Desarrollo Integral de la Familia de Tlalnepantla de Baz</w:t>
          </w:r>
        </w:p>
      </w:tc>
    </w:tr>
    <w:tr w:rsidR="00FC4AB2" w:rsidRPr="00330DA7" w14:paraId="6331D9B6" w14:textId="77777777" w:rsidTr="003F35FD">
      <w:trPr>
        <w:trHeight w:val="283"/>
        <w:jc w:val="right"/>
      </w:trPr>
      <w:tc>
        <w:tcPr>
          <w:tcW w:w="2727" w:type="dxa"/>
        </w:tcPr>
        <w:p w14:paraId="3FA86BAE" w14:textId="6A5EE0FE" w:rsidR="00FC4AB2" w:rsidRPr="00330DA7" w:rsidRDefault="00FC4AB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4574F6">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C4AB2" w:rsidRPr="00EA66FC" w:rsidRDefault="00FC4AB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611D31D7" w:rsidR="00FC4AB2" w:rsidRPr="00443C6B" w:rsidRDefault="00E6239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327908E">
          <wp:simplePos x="0" y="0"/>
          <wp:positionH relativeFrom="margin">
            <wp:posOffset>-1003986</wp:posOffset>
          </wp:positionH>
          <wp:positionV relativeFrom="page">
            <wp:align>top</wp:align>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FC4AB2" w:rsidRPr="00330DA7" w14:paraId="29CFF901" w14:textId="77777777" w:rsidTr="008C6A2D">
      <w:trPr>
        <w:trHeight w:val="1435"/>
      </w:trPr>
      <w:tc>
        <w:tcPr>
          <w:tcW w:w="283" w:type="dxa"/>
          <w:shd w:val="clear" w:color="auto" w:fill="auto"/>
        </w:tcPr>
        <w:p w14:paraId="046B9F8F" w14:textId="77777777" w:rsidR="00FC4AB2" w:rsidRPr="00330DA7" w:rsidRDefault="00FC4AB2" w:rsidP="008C6A2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C4AB2" w:rsidRPr="00330DA7" w14:paraId="04F272D2" w14:textId="77777777" w:rsidTr="008C6A2D">
            <w:trPr>
              <w:trHeight w:val="144"/>
            </w:trPr>
            <w:tc>
              <w:tcPr>
                <w:tcW w:w="2727" w:type="dxa"/>
              </w:tcPr>
              <w:p w14:paraId="2FD4DBF6" w14:textId="77777777" w:rsidR="00FC4AB2" w:rsidRPr="00330DA7" w:rsidRDefault="00FC4AB2" w:rsidP="008C6A2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13B68F4" w:rsidR="00FC4AB2" w:rsidRPr="00A90C72" w:rsidRDefault="00FC4AB2" w:rsidP="008C6A2D">
                <w:pPr>
                  <w:tabs>
                    <w:tab w:val="right" w:pos="8838"/>
                  </w:tabs>
                  <w:ind w:left="-74" w:right="-105"/>
                  <w:rPr>
                    <w:rFonts w:eastAsia="Calibri" w:cs="Tahoma"/>
                    <w:szCs w:val="22"/>
                    <w:lang w:eastAsia="en-US"/>
                  </w:rPr>
                </w:pPr>
                <w:r>
                  <w:rPr>
                    <w:rFonts w:eastAsia="Calibri" w:cs="Tahoma"/>
                    <w:szCs w:val="22"/>
                    <w:lang w:eastAsia="en-US"/>
                  </w:rPr>
                  <w:t>03212</w:t>
                </w:r>
                <w:r w:rsidRPr="00CB607E">
                  <w:rPr>
                    <w:rFonts w:eastAsia="Calibri" w:cs="Tahoma"/>
                    <w:szCs w:val="22"/>
                    <w:lang w:eastAsia="en-US"/>
                  </w:rPr>
                  <w:t>/INFOEM/IP/RR/2024</w:t>
                </w:r>
                <w:r>
                  <w:rPr>
                    <w:rFonts w:eastAsia="Calibri" w:cs="Tahoma"/>
                    <w:szCs w:val="22"/>
                    <w:lang w:eastAsia="en-US"/>
                  </w:rPr>
                  <w:t xml:space="preserve"> </w:t>
                </w:r>
              </w:p>
            </w:tc>
            <w:tc>
              <w:tcPr>
                <w:tcW w:w="3402" w:type="dxa"/>
              </w:tcPr>
              <w:p w14:paraId="71DEA1CF" w14:textId="77777777" w:rsidR="00FC4AB2" w:rsidRDefault="00FC4AB2" w:rsidP="008C6A2D">
                <w:pPr>
                  <w:tabs>
                    <w:tab w:val="right" w:pos="8838"/>
                  </w:tabs>
                  <w:ind w:left="-74" w:right="-105"/>
                  <w:rPr>
                    <w:rFonts w:eastAsia="Calibri" w:cs="Tahoma"/>
                    <w:szCs w:val="22"/>
                    <w:lang w:eastAsia="en-US"/>
                  </w:rPr>
                </w:pPr>
              </w:p>
            </w:tc>
          </w:tr>
          <w:tr w:rsidR="00FC4AB2" w:rsidRPr="00330DA7" w14:paraId="05C58951" w14:textId="77777777" w:rsidTr="008C6A2D">
            <w:trPr>
              <w:trHeight w:val="144"/>
            </w:trPr>
            <w:tc>
              <w:tcPr>
                <w:tcW w:w="2727" w:type="dxa"/>
              </w:tcPr>
              <w:p w14:paraId="642B9610" w14:textId="77777777" w:rsidR="00FC4AB2" w:rsidRPr="00330DA7" w:rsidRDefault="00FC4AB2" w:rsidP="008C6A2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6E3AB6D" w:rsidR="00FC4AB2" w:rsidRPr="005F19B1" w:rsidRDefault="002515B8" w:rsidP="008C6A2D">
                <w:pPr>
                  <w:tabs>
                    <w:tab w:val="left" w:pos="3122"/>
                    <w:tab w:val="right" w:pos="8838"/>
                  </w:tabs>
                  <w:ind w:left="-105" w:right="-105"/>
                  <w:rPr>
                    <w:rFonts w:eastAsia="Calibri" w:cs="Tahoma"/>
                    <w:szCs w:val="22"/>
                    <w:lang w:eastAsia="en-US"/>
                  </w:rPr>
                </w:pPr>
                <w:r>
                  <w:rPr>
                    <w:rFonts w:eastAsia="Calibri" w:cs="Tahoma"/>
                    <w:szCs w:val="22"/>
                    <w:lang w:eastAsia="en-US"/>
                  </w:rPr>
                  <w:t>XXXXXXXXXXX X XXXXXX</w:t>
                </w:r>
              </w:p>
            </w:tc>
            <w:tc>
              <w:tcPr>
                <w:tcW w:w="3402" w:type="dxa"/>
              </w:tcPr>
              <w:p w14:paraId="73F47F53" w14:textId="77777777" w:rsidR="00FC4AB2" w:rsidRPr="005F19B1" w:rsidRDefault="00FC4AB2" w:rsidP="008C6A2D">
                <w:pPr>
                  <w:tabs>
                    <w:tab w:val="left" w:pos="3122"/>
                    <w:tab w:val="right" w:pos="8838"/>
                  </w:tabs>
                  <w:ind w:left="-105" w:right="-105"/>
                  <w:rPr>
                    <w:rFonts w:eastAsia="Calibri" w:cs="Tahoma"/>
                    <w:szCs w:val="22"/>
                    <w:lang w:eastAsia="en-US"/>
                  </w:rPr>
                </w:pPr>
              </w:p>
            </w:tc>
          </w:tr>
          <w:bookmarkEnd w:id="1"/>
          <w:tr w:rsidR="00FC4AB2" w:rsidRPr="00330DA7" w14:paraId="00E6CDC1" w14:textId="77777777" w:rsidTr="008C6A2D">
            <w:trPr>
              <w:trHeight w:val="283"/>
            </w:trPr>
            <w:tc>
              <w:tcPr>
                <w:tcW w:w="2727" w:type="dxa"/>
              </w:tcPr>
              <w:p w14:paraId="0631AD24" w14:textId="77777777" w:rsidR="00FC4AB2" w:rsidRPr="00330DA7" w:rsidRDefault="00FC4AB2" w:rsidP="008C6A2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0720760" w:rsidR="00FC4AB2" w:rsidRPr="00952DD0" w:rsidRDefault="00FC4AB2" w:rsidP="008C6A2D">
                <w:pPr>
                  <w:tabs>
                    <w:tab w:val="left" w:pos="2834"/>
                    <w:tab w:val="right" w:pos="8838"/>
                  </w:tabs>
                  <w:ind w:left="-108" w:right="-105"/>
                  <w:rPr>
                    <w:rFonts w:eastAsia="Calibri" w:cs="Tahoma"/>
                    <w:szCs w:val="22"/>
                    <w:lang w:eastAsia="en-US"/>
                  </w:rPr>
                </w:pPr>
                <w:r w:rsidRPr="00CB607E">
                  <w:rPr>
                    <w:rFonts w:eastAsia="Calibri" w:cs="Tahoma"/>
                    <w:szCs w:val="22"/>
                    <w:lang w:eastAsia="en-US"/>
                  </w:rPr>
                  <w:t>Sistema Municipal Para el Desarrollo Integral de la Familia de Tlalnepantla de Baz</w:t>
                </w:r>
              </w:p>
            </w:tc>
            <w:tc>
              <w:tcPr>
                <w:tcW w:w="3402" w:type="dxa"/>
              </w:tcPr>
              <w:p w14:paraId="3A7DA319" w14:textId="77777777" w:rsidR="00FC4AB2" w:rsidRPr="00A90C72" w:rsidRDefault="00FC4AB2" w:rsidP="008C6A2D">
                <w:pPr>
                  <w:tabs>
                    <w:tab w:val="left" w:pos="2834"/>
                    <w:tab w:val="right" w:pos="8838"/>
                  </w:tabs>
                  <w:ind w:left="-108" w:right="-105"/>
                  <w:rPr>
                    <w:rFonts w:eastAsia="Calibri" w:cs="Tahoma"/>
                    <w:szCs w:val="22"/>
                    <w:lang w:eastAsia="en-US"/>
                  </w:rPr>
                </w:pPr>
              </w:p>
            </w:tc>
          </w:tr>
          <w:tr w:rsidR="00FC4AB2" w:rsidRPr="00330DA7" w14:paraId="0F6CD8D2" w14:textId="77777777" w:rsidTr="008C6A2D">
            <w:trPr>
              <w:trHeight w:val="283"/>
            </w:trPr>
            <w:tc>
              <w:tcPr>
                <w:tcW w:w="2727" w:type="dxa"/>
              </w:tcPr>
              <w:p w14:paraId="31700628" w14:textId="5377AD5E" w:rsidR="00FC4AB2" w:rsidRPr="00330DA7" w:rsidRDefault="00FC4AB2" w:rsidP="008C6A2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4574F6">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C4AB2" w:rsidRPr="00EA66FC" w:rsidRDefault="00FC4AB2" w:rsidP="008C6A2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C4AB2" w:rsidRPr="00330DA7" w:rsidRDefault="00FC4AB2" w:rsidP="008C6A2D">
                <w:pPr>
                  <w:tabs>
                    <w:tab w:val="right" w:pos="8838"/>
                  </w:tabs>
                  <w:ind w:left="-108" w:right="-105"/>
                  <w:rPr>
                    <w:rFonts w:eastAsia="Calibri" w:cs="Tahoma"/>
                    <w:szCs w:val="22"/>
                    <w:lang w:eastAsia="en-US"/>
                  </w:rPr>
                </w:pPr>
              </w:p>
            </w:tc>
          </w:tr>
        </w:tbl>
        <w:p w14:paraId="5DC6AC61" w14:textId="77777777" w:rsidR="00FC4AB2" w:rsidRPr="00330DA7" w:rsidRDefault="00FC4AB2" w:rsidP="008C6A2D">
          <w:pPr>
            <w:tabs>
              <w:tab w:val="right" w:pos="8838"/>
            </w:tabs>
            <w:ind w:left="-28"/>
            <w:rPr>
              <w:rFonts w:ascii="Arial" w:eastAsia="Calibri" w:hAnsi="Arial" w:cs="Arial"/>
              <w:b/>
              <w:szCs w:val="22"/>
              <w:lang w:eastAsia="en-US"/>
            </w:rPr>
          </w:pPr>
        </w:p>
      </w:tc>
    </w:tr>
  </w:tbl>
  <w:p w14:paraId="2A906731" w14:textId="77777777" w:rsidR="00FC4AB2" w:rsidRPr="00765661" w:rsidRDefault="0069091F" w:rsidP="008C6A2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E12F5C"/>
    <w:multiLevelType w:val="hybridMultilevel"/>
    <w:tmpl w:val="183053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877404"/>
    <w:multiLevelType w:val="hybridMultilevel"/>
    <w:tmpl w:val="F9F83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63E93"/>
    <w:multiLevelType w:val="hybridMultilevel"/>
    <w:tmpl w:val="9C18BB42"/>
    <w:lvl w:ilvl="0" w:tplc="89CCCE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A70A01"/>
    <w:multiLevelType w:val="hybridMultilevel"/>
    <w:tmpl w:val="CF465426"/>
    <w:lvl w:ilvl="0" w:tplc="E9B435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A60E1"/>
    <w:multiLevelType w:val="hybridMultilevel"/>
    <w:tmpl w:val="FFFFFFFF"/>
    <w:lvl w:ilvl="0" w:tplc="087AAEF6">
      <w:numFmt w:val="bullet"/>
      <w:lvlText w:val="-"/>
      <w:lvlJc w:val="left"/>
      <w:pPr>
        <w:ind w:left="720" w:hanging="360"/>
      </w:pPr>
      <w:rPr>
        <w:rFonts w:ascii="Palatino Linotype" w:eastAsia="Times New Roman" w:hAnsi="Palatino Linotyp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F7ED7"/>
    <w:multiLevelType w:val="hybridMultilevel"/>
    <w:tmpl w:val="B704B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D85EF4"/>
    <w:multiLevelType w:val="hybridMultilevel"/>
    <w:tmpl w:val="259083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53B6D56"/>
    <w:multiLevelType w:val="hybridMultilevel"/>
    <w:tmpl w:val="FFFFFFFF"/>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3" w15:restartNumberingAfterBreak="0">
    <w:nsid w:val="55FC5A7F"/>
    <w:multiLevelType w:val="hybridMultilevel"/>
    <w:tmpl w:val="FFFFFFFF"/>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562B6DFF"/>
    <w:multiLevelType w:val="hybridMultilevel"/>
    <w:tmpl w:val="259083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C849B3"/>
    <w:multiLevelType w:val="multilevel"/>
    <w:tmpl w:val="54661D06"/>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9E03780"/>
    <w:multiLevelType w:val="multilevel"/>
    <w:tmpl w:val="C222321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1932BC"/>
    <w:multiLevelType w:val="multilevel"/>
    <w:tmpl w:val="337C8BD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6FB07B3"/>
    <w:multiLevelType w:val="hybridMultilevel"/>
    <w:tmpl w:val="259083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FE4A9A"/>
    <w:multiLevelType w:val="hybridMultilevel"/>
    <w:tmpl w:val="98A6B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6502E34"/>
    <w:multiLevelType w:val="multilevel"/>
    <w:tmpl w:val="64989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6A59B6"/>
    <w:multiLevelType w:val="hybridMultilevel"/>
    <w:tmpl w:val="67EC44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CD62C7"/>
    <w:multiLevelType w:val="hybridMultilevel"/>
    <w:tmpl w:val="13FCF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0"/>
  </w:num>
  <w:num w:numId="4">
    <w:abstractNumId w:val="11"/>
  </w:num>
  <w:num w:numId="5">
    <w:abstractNumId w:val="3"/>
  </w:num>
  <w:num w:numId="6">
    <w:abstractNumId w:val="33"/>
  </w:num>
  <w:num w:numId="7">
    <w:abstractNumId w:val="19"/>
  </w:num>
  <w:num w:numId="8">
    <w:abstractNumId w:val="8"/>
  </w:num>
  <w:num w:numId="9">
    <w:abstractNumId w:val="1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2"/>
  </w:num>
  <w:num w:numId="14">
    <w:abstractNumId w:val="6"/>
  </w:num>
  <w:num w:numId="15">
    <w:abstractNumId w:val="20"/>
  </w:num>
  <w:num w:numId="16">
    <w:abstractNumId w:val="13"/>
  </w:num>
  <w:num w:numId="17">
    <w:abstractNumId w:val="26"/>
  </w:num>
  <w:num w:numId="18">
    <w:abstractNumId w:val="35"/>
  </w:num>
  <w:num w:numId="19">
    <w:abstractNumId w:val="9"/>
  </w:num>
  <w:num w:numId="20">
    <w:abstractNumId w:val="25"/>
  </w:num>
  <w:num w:numId="21">
    <w:abstractNumId w:val="27"/>
  </w:num>
  <w:num w:numId="22">
    <w:abstractNumId w:val="31"/>
  </w:num>
  <w:num w:numId="23">
    <w:abstractNumId w:val="12"/>
  </w:num>
  <w:num w:numId="24">
    <w:abstractNumId w:val="29"/>
  </w:num>
  <w:num w:numId="25">
    <w:abstractNumId w:val="24"/>
  </w:num>
  <w:num w:numId="26">
    <w:abstractNumId w:val="28"/>
  </w:num>
  <w:num w:numId="27">
    <w:abstractNumId w:val="34"/>
  </w:num>
  <w:num w:numId="28">
    <w:abstractNumId w:val="32"/>
  </w:num>
  <w:num w:numId="29">
    <w:abstractNumId w:val="7"/>
  </w:num>
  <w:num w:numId="30">
    <w:abstractNumId w:val="23"/>
  </w:num>
  <w:num w:numId="31">
    <w:abstractNumId w:val="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num>
  <w:num w:numId="35">
    <w:abstractNumId w:val="5"/>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42C00"/>
    <w:rsid w:val="00053613"/>
    <w:rsid w:val="00057B2D"/>
    <w:rsid w:val="00070881"/>
    <w:rsid w:val="00080071"/>
    <w:rsid w:val="00083A43"/>
    <w:rsid w:val="000A7EB0"/>
    <w:rsid w:val="000C569A"/>
    <w:rsid w:val="000D0D67"/>
    <w:rsid w:val="000E09C4"/>
    <w:rsid w:val="000E17A3"/>
    <w:rsid w:val="00104AFF"/>
    <w:rsid w:val="0011350D"/>
    <w:rsid w:val="00126DCF"/>
    <w:rsid w:val="00127E7B"/>
    <w:rsid w:val="00141876"/>
    <w:rsid w:val="0014207B"/>
    <w:rsid w:val="00150C49"/>
    <w:rsid w:val="00192E68"/>
    <w:rsid w:val="001A58B3"/>
    <w:rsid w:val="001C16DB"/>
    <w:rsid w:val="001C7688"/>
    <w:rsid w:val="001F3515"/>
    <w:rsid w:val="00233005"/>
    <w:rsid w:val="00233F17"/>
    <w:rsid w:val="00246EC4"/>
    <w:rsid w:val="002515B8"/>
    <w:rsid w:val="002603D9"/>
    <w:rsid w:val="00271F53"/>
    <w:rsid w:val="002776DA"/>
    <w:rsid w:val="00284C6C"/>
    <w:rsid w:val="002A3601"/>
    <w:rsid w:val="002B7C6F"/>
    <w:rsid w:val="002C47C5"/>
    <w:rsid w:val="002D111C"/>
    <w:rsid w:val="00302476"/>
    <w:rsid w:val="00331F35"/>
    <w:rsid w:val="00335CDF"/>
    <w:rsid w:val="003500E8"/>
    <w:rsid w:val="00362A11"/>
    <w:rsid w:val="00373C4C"/>
    <w:rsid w:val="003A40C1"/>
    <w:rsid w:val="003B5D3E"/>
    <w:rsid w:val="003F35FD"/>
    <w:rsid w:val="0041385B"/>
    <w:rsid w:val="00440C29"/>
    <w:rsid w:val="004412FC"/>
    <w:rsid w:val="00441BFA"/>
    <w:rsid w:val="00443490"/>
    <w:rsid w:val="004528C8"/>
    <w:rsid w:val="00454FBD"/>
    <w:rsid w:val="004574F6"/>
    <w:rsid w:val="004723CA"/>
    <w:rsid w:val="004917EC"/>
    <w:rsid w:val="00497055"/>
    <w:rsid w:val="004C7691"/>
    <w:rsid w:val="004D3DFE"/>
    <w:rsid w:val="004D7CD8"/>
    <w:rsid w:val="004E5068"/>
    <w:rsid w:val="004F7A00"/>
    <w:rsid w:val="00523F48"/>
    <w:rsid w:val="005365FA"/>
    <w:rsid w:val="0055588A"/>
    <w:rsid w:val="005723CB"/>
    <w:rsid w:val="00574C74"/>
    <w:rsid w:val="00575400"/>
    <w:rsid w:val="00593093"/>
    <w:rsid w:val="005B18AF"/>
    <w:rsid w:val="005B3246"/>
    <w:rsid w:val="005D5A50"/>
    <w:rsid w:val="005D74D3"/>
    <w:rsid w:val="005F20F5"/>
    <w:rsid w:val="005F5301"/>
    <w:rsid w:val="005F65B7"/>
    <w:rsid w:val="006067C7"/>
    <w:rsid w:val="006159AD"/>
    <w:rsid w:val="006222A0"/>
    <w:rsid w:val="00632F6B"/>
    <w:rsid w:val="00633C01"/>
    <w:rsid w:val="00646436"/>
    <w:rsid w:val="0064654F"/>
    <w:rsid w:val="006545F6"/>
    <w:rsid w:val="00664420"/>
    <w:rsid w:val="0069091F"/>
    <w:rsid w:val="006A646A"/>
    <w:rsid w:val="006A67B7"/>
    <w:rsid w:val="006B10B0"/>
    <w:rsid w:val="006D1DEA"/>
    <w:rsid w:val="006D61E7"/>
    <w:rsid w:val="006E25BC"/>
    <w:rsid w:val="006E4998"/>
    <w:rsid w:val="006E6BBC"/>
    <w:rsid w:val="006F7768"/>
    <w:rsid w:val="00717E59"/>
    <w:rsid w:val="007431A7"/>
    <w:rsid w:val="00770B78"/>
    <w:rsid w:val="00775BFC"/>
    <w:rsid w:val="00780875"/>
    <w:rsid w:val="0078149F"/>
    <w:rsid w:val="00786656"/>
    <w:rsid w:val="007A3459"/>
    <w:rsid w:val="007B6074"/>
    <w:rsid w:val="007D1C55"/>
    <w:rsid w:val="007D317F"/>
    <w:rsid w:val="007F5D06"/>
    <w:rsid w:val="008015F8"/>
    <w:rsid w:val="00805A6E"/>
    <w:rsid w:val="008064EC"/>
    <w:rsid w:val="0080789C"/>
    <w:rsid w:val="00812ADB"/>
    <w:rsid w:val="0081724E"/>
    <w:rsid w:val="00865CF4"/>
    <w:rsid w:val="00876DBC"/>
    <w:rsid w:val="00884FEC"/>
    <w:rsid w:val="008A6003"/>
    <w:rsid w:val="008A6F88"/>
    <w:rsid w:val="008B1E16"/>
    <w:rsid w:val="008C6A2D"/>
    <w:rsid w:val="008E1316"/>
    <w:rsid w:val="008E5B49"/>
    <w:rsid w:val="00910FD2"/>
    <w:rsid w:val="00911302"/>
    <w:rsid w:val="00920584"/>
    <w:rsid w:val="00920B2F"/>
    <w:rsid w:val="009305FF"/>
    <w:rsid w:val="00931437"/>
    <w:rsid w:val="00936570"/>
    <w:rsid w:val="00953430"/>
    <w:rsid w:val="00970866"/>
    <w:rsid w:val="00970EB3"/>
    <w:rsid w:val="009A2D78"/>
    <w:rsid w:val="009A7C10"/>
    <w:rsid w:val="009B2945"/>
    <w:rsid w:val="009B3511"/>
    <w:rsid w:val="009B45CA"/>
    <w:rsid w:val="009D1CC6"/>
    <w:rsid w:val="009E02DD"/>
    <w:rsid w:val="009E2DEE"/>
    <w:rsid w:val="009F797C"/>
    <w:rsid w:val="00A079D8"/>
    <w:rsid w:val="00A131AC"/>
    <w:rsid w:val="00A16D85"/>
    <w:rsid w:val="00A21A20"/>
    <w:rsid w:val="00A36A99"/>
    <w:rsid w:val="00A50B47"/>
    <w:rsid w:val="00A53315"/>
    <w:rsid w:val="00A70EF0"/>
    <w:rsid w:val="00A75670"/>
    <w:rsid w:val="00A9208D"/>
    <w:rsid w:val="00A93C1A"/>
    <w:rsid w:val="00AA6EA9"/>
    <w:rsid w:val="00AC2DB8"/>
    <w:rsid w:val="00AC3CA0"/>
    <w:rsid w:val="00AD6635"/>
    <w:rsid w:val="00AE3DA7"/>
    <w:rsid w:val="00AF03C4"/>
    <w:rsid w:val="00B00E9B"/>
    <w:rsid w:val="00B1609B"/>
    <w:rsid w:val="00B21AED"/>
    <w:rsid w:val="00B22A80"/>
    <w:rsid w:val="00B515C6"/>
    <w:rsid w:val="00B54E56"/>
    <w:rsid w:val="00B552AA"/>
    <w:rsid w:val="00B615D9"/>
    <w:rsid w:val="00B61902"/>
    <w:rsid w:val="00B720FB"/>
    <w:rsid w:val="00B94BF0"/>
    <w:rsid w:val="00BA55A8"/>
    <w:rsid w:val="00BB2ABF"/>
    <w:rsid w:val="00BB64F4"/>
    <w:rsid w:val="00BD3F4F"/>
    <w:rsid w:val="00BD5A7C"/>
    <w:rsid w:val="00BE5317"/>
    <w:rsid w:val="00BE7A1B"/>
    <w:rsid w:val="00BF0221"/>
    <w:rsid w:val="00BF091A"/>
    <w:rsid w:val="00BF4EAD"/>
    <w:rsid w:val="00C049E2"/>
    <w:rsid w:val="00C36795"/>
    <w:rsid w:val="00C461EC"/>
    <w:rsid w:val="00C507D4"/>
    <w:rsid w:val="00C61A32"/>
    <w:rsid w:val="00C71CEF"/>
    <w:rsid w:val="00C72DAA"/>
    <w:rsid w:val="00C80B14"/>
    <w:rsid w:val="00C82702"/>
    <w:rsid w:val="00CB607E"/>
    <w:rsid w:val="00CB7E9A"/>
    <w:rsid w:val="00CD0B92"/>
    <w:rsid w:val="00CD290C"/>
    <w:rsid w:val="00CE29D3"/>
    <w:rsid w:val="00CE377A"/>
    <w:rsid w:val="00CF2D8B"/>
    <w:rsid w:val="00CF7586"/>
    <w:rsid w:val="00D036D3"/>
    <w:rsid w:val="00D2790D"/>
    <w:rsid w:val="00D3636D"/>
    <w:rsid w:val="00D51ECD"/>
    <w:rsid w:val="00D603A7"/>
    <w:rsid w:val="00D6170E"/>
    <w:rsid w:val="00D74AC1"/>
    <w:rsid w:val="00D835AA"/>
    <w:rsid w:val="00D91CB4"/>
    <w:rsid w:val="00D957EE"/>
    <w:rsid w:val="00DA780B"/>
    <w:rsid w:val="00DB1C09"/>
    <w:rsid w:val="00DB63E3"/>
    <w:rsid w:val="00DE1133"/>
    <w:rsid w:val="00DE65E8"/>
    <w:rsid w:val="00E15FFE"/>
    <w:rsid w:val="00E16BF5"/>
    <w:rsid w:val="00E37A3F"/>
    <w:rsid w:val="00E37D3C"/>
    <w:rsid w:val="00E512CE"/>
    <w:rsid w:val="00E62394"/>
    <w:rsid w:val="00E62E6A"/>
    <w:rsid w:val="00E755C4"/>
    <w:rsid w:val="00E83EF5"/>
    <w:rsid w:val="00E9335C"/>
    <w:rsid w:val="00EA1946"/>
    <w:rsid w:val="00EA21F1"/>
    <w:rsid w:val="00EA3A6C"/>
    <w:rsid w:val="00ED1C1E"/>
    <w:rsid w:val="00EE2AF2"/>
    <w:rsid w:val="00F07EE6"/>
    <w:rsid w:val="00F100E4"/>
    <w:rsid w:val="00F176A1"/>
    <w:rsid w:val="00F24952"/>
    <w:rsid w:val="00F33CC8"/>
    <w:rsid w:val="00F4481C"/>
    <w:rsid w:val="00F74545"/>
    <w:rsid w:val="00F75C32"/>
    <w:rsid w:val="00F75D23"/>
    <w:rsid w:val="00FA5957"/>
    <w:rsid w:val="00FC3CE0"/>
    <w:rsid w:val="00FC4AB2"/>
    <w:rsid w:val="00FD06A8"/>
    <w:rsid w:val="00FD5C82"/>
    <w:rsid w:val="00FF5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615D9"/>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615D9"/>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B615D9"/>
    <w:rPr>
      <w:vertAlign w:val="superscript"/>
    </w:rPr>
  </w:style>
  <w:style w:type="table" w:customStyle="1" w:styleId="Tablaconcuadrcula1">
    <w:name w:val="Tabla con cuadrícula1"/>
    <w:basedOn w:val="Tablanormal"/>
    <w:next w:val="Tablaconcuadrcula"/>
    <w:uiPriority w:val="59"/>
    <w:rsid w:val="00B615D9"/>
    <w:pPr>
      <w:spacing w:after="0" w:line="240" w:lineRule="auto"/>
    </w:pPr>
    <w:rPr>
      <w:rFonts w:eastAsiaTheme="minorEastAsia"/>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2349">
      <w:bodyDiv w:val="1"/>
      <w:marLeft w:val="0"/>
      <w:marRight w:val="0"/>
      <w:marTop w:val="0"/>
      <w:marBottom w:val="0"/>
      <w:divBdr>
        <w:top w:val="none" w:sz="0" w:space="0" w:color="auto"/>
        <w:left w:val="none" w:sz="0" w:space="0" w:color="auto"/>
        <w:bottom w:val="none" w:sz="0" w:space="0" w:color="auto"/>
        <w:right w:val="none" w:sz="0" w:space="0" w:color="auto"/>
      </w:divBdr>
    </w:div>
    <w:div w:id="1810241777">
      <w:bodyDiv w:val="1"/>
      <w:marLeft w:val="0"/>
      <w:marRight w:val="0"/>
      <w:marTop w:val="0"/>
      <w:marBottom w:val="0"/>
      <w:divBdr>
        <w:top w:val="none" w:sz="0" w:space="0" w:color="auto"/>
        <w:left w:val="none" w:sz="0" w:space="0" w:color="auto"/>
        <w:bottom w:val="none" w:sz="0" w:space="0" w:color="auto"/>
        <w:right w:val="none" w:sz="0" w:space="0" w:color="auto"/>
      </w:divBdr>
    </w:div>
    <w:div w:id="20087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FD6E5-8CA7-0441-9E7A-C9D0EEA3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12071</Words>
  <Characters>66392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6</cp:revision>
  <cp:lastPrinted>2024-09-26T16:43:00Z</cp:lastPrinted>
  <dcterms:created xsi:type="dcterms:W3CDTF">2024-09-19T20:03:00Z</dcterms:created>
  <dcterms:modified xsi:type="dcterms:W3CDTF">2024-10-24T07:06:00Z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