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045E" w14:textId="1D8594B7" w:rsidR="004C6C59" w:rsidRPr="00FA58BF" w:rsidRDefault="004D78AD">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w:t>
      </w:r>
      <w:r w:rsidR="005C53FA" w:rsidRPr="00FA58BF">
        <w:rPr>
          <w:rFonts w:ascii="Palatino Linotype" w:eastAsia="Palatino Linotype" w:hAnsi="Palatino Linotype" w:cs="Palatino Linotype"/>
        </w:rPr>
        <w:t>etepec, E</w:t>
      </w:r>
      <w:r w:rsidR="00021D67" w:rsidRPr="00FA58BF">
        <w:rPr>
          <w:rFonts w:ascii="Palatino Linotype" w:eastAsia="Palatino Linotype" w:hAnsi="Palatino Linotype" w:cs="Palatino Linotype"/>
        </w:rPr>
        <w:t>stado</w:t>
      </w:r>
      <w:r w:rsidR="00DF1ADA" w:rsidRPr="00FA58BF">
        <w:rPr>
          <w:rFonts w:ascii="Palatino Linotype" w:eastAsia="Palatino Linotype" w:hAnsi="Palatino Linotype" w:cs="Palatino Linotype"/>
        </w:rPr>
        <w:t xml:space="preserve"> de México, a tres de abril</w:t>
      </w:r>
      <w:r w:rsidR="00AF75D8" w:rsidRPr="00FA58BF">
        <w:rPr>
          <w:rFonts w:ascii="Palatino Linotype" w:eastAsia="Palatino Linotype" w:hAnsi="Palatino Linotype" w:cs="Palatino Linotype"/>
        </w:rPr>
        <w:t xml:space="preserve"> de dos mil veinticuatro</w:t>
      </w:r>
      <w:r w:rsidRPr="00FA58BF">
        <w:rPr>
          <w:rFonts w:ascii="Palatino Linotype" w:eastAsia="Palatino Linotype" w:hAnsi="Palatino Linotype" w:cs="Palatino Linotype"/>
        </w:rPr>
        <w:t xml:space="preserve">. </w:t>
      </w:r>
    </w:p>
    <w:p w14:paraId="6A8E5CCB" w14:textId="0552D8C1" w:rsidR="00AF75D8" w:rsidRPr="00FA58BF" w:rsidRDefault="003B43BB" w:rsidP="00AF75D8">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t>VISTO</w:t>
      </w:r>
      <w:r w:rsidRPr="00FA58BF">
        <w:rPr>
          <w:rFonts w:ascii="Palatino Linotype" w:eastAsia="Palatino Linotype" w:hAnsi="Palatino Linotype" w:cs="Palatino Linotype"/>
        </w:rPr>
        <w:t xml:space="preserve"> el expediente formado con motivo del recurso de revisión </w:t>
      </w:r>
      <w:r w:rsidR="0027629D" w:rsidRPr="00FA58BF">
        <w:rPr>
          <w:rFonts w:ascii="Palatino Linotype" w:eastAsia="Palatino Linotype" w:hAnsi="Palatino Linotype" w:cs="Palatino Linotype"/>
          <w:b/>
        </w:rPr>
        <w:t>07904</w:t>
      </w:r>
      <w:r w:rsidRPr="00FA58BF">
        <w:rPr>
          <w:rFonts w:ascii="Palatino Linotype" w:eastAsia="Palatino Linotype" w:hAnsi="Palatino Linotype" w:cs="Palatino Linotype"/>
          <w:b/>
        </w:rPr>
        <w:t>/INFOEM/IP/RR/2023</w:t>
      </w:r>
      <w:r w:rsidRPr="00FA58BF">
        <w:rPr>
          <w:rFonts w:ascii="Palatino Linotype" w:eastAsia="Palatino Linotype" w:hAnsi="Palatino Linotype" w:cs="Palatino Linotype"/>
        </w:rPr>
        <w:t xml:space="preserve">, </w:t>
      </w:r>
      <w:r w:rsidR="00AF75D8" w:rsidRPr="00FA58BF">
        <w:rPr>
          <w:rFonts w:ascii="Palatino Linotype" w:eastAsia="Palatino Linotype" w:hAnsi="Palatino Linotype" w:cs="Palatino Linotype"/>
        </w:rPr>
        <w:t>interpuesto por</w:t>
      </w:r>
      <w:r w:rsidR="00AF75D8" w:rsidRPr="00FA58BF">
        <w:rPr>
          <w:rFonts w:ascii="Palatino Linotype" w:eastAsia="Palatino Linotype" w:hAnsi="Palatino Linotype" w:cs="Palatino Linotype"/>
          <w:b/>
        </w:rPr>
        <w:t xml:space="preserve"> </w:t>
      </w:r>
      <w:r w:rsidR="00694EB1">
        <w:rPr>
          <w:rFonts w:ascii="Palatino Linotype" w:eastAsia="Palatino Linotype" w:hAnsi="Palatino Linotype" w:cs="Palatino Linotype"/>
          <w:b/>
        </w:rPr>
        <w:t>XXXX XXXXXXXXX XXXXXXXX XXXX</w:t>
      </w:r>
      <w:r w:rsidR="00AF75D8" w:rsidRPr="00FA58BF">
        <w:rPr>
          <w:rFonts w:ascii="Palatino Linotype" w:eastAsia="Palatino Linotype" w:hAnsi="Palatino Linotype" w:cs="Palatino Linotype"/>
        </w:rPr>
        <w:t xml:space="preserve">, en lo sucesivo la parte </w:t>
      </w:r>
      <w:r w:rsidR="00AF75D8" w:rsidRPr="00FA58BF">
        <w:rPr>
          <w:rFonts w:ascii="Palatino Linotype" w:eastAsia="Palatino Linotype" w:hAnsi="Palatino Linotype" w:cs="Palatino Linotype"/>
          <w:b/>
        </w:rPr>
        <w:t>RECURRENTE,</w:t>
      </w:r>
      <w:r w:rsidR="00AF75D8" w:rsidRPr="00FA58BF">
        <w:rPr>
          <w:rFonts w:ascii="Palatino Linotype" w:eastAsia="Palatino Linotype" w:hAnsi="Palatino Linotype" w:cs="Palatino Linotype"/>
        </w:rPr>
        <w:t xml:space="preserve"> en contra de la respuesta a su solicitud de información con número de folio</w:t>
      </w:r>
      <w:r w:rsidR="00AF75D8" w:rsidRPr="00FA58BF">
        <w:rPr>
          <w:rFonts w:ascii="Palatino Linotype" w:eastAsia="Palatino Linotype" w:hAnsi="Palatino Linotype" w:cs="Palatino Linotype"/>
          <w:b/>
        </w:rPr>
        <w:t xml:space="preserve"> </w:t>
      </w:r>
      <w:r w:rsidR="0027629D" w:rsidRPr="00FA58BF">
        <w:rPr>
          <w:rFonts w:ascii="Palatino Linotype" w:eastAsia="Palatino Linotype" w:hAnsi="Palatino Linotype" w:cs="Palatino Linotype"/>
          <w:b/>
        </w:rPr>
        <w:t>00093/CCLEM/IP/2023</w:t>
      </w:r>
      <w:r w:rsidR="00AF75D8" w:rsidRPr="00FA58BF">
        <w:rPr>
          <w:rFonts w:ascii="Palatino Linotype" w:eastAsia="Palatino Linotype" w:hAnsi="Palatino Linotype" w:cs="Palatino Linotype"/>
          <w:b/>
        </w:rPr>
        <w:t xml:space="preserve">, </w:t>
      </w:r>
      <w:r w:rsidR="00AF75D8" w:rsidRPr="00FA58BF">
        <w:rPr>
          <w:rFonts w:ascii="Palatino Linotype" w:eastAsia="Palatino Linotype" w:hAnsi="Palatino Linotype" w:cs="Palatino Linotype"/>
        </w:rPr>
        <w:t xml:space="preserve">por parte del </w:t>
      </w:r>
      <w:r w:rsidR="001B5330" w:rsidRPr="00FA58BF">
        <w:rPr>
          <w:rFonts w:ascii="Palatino Linotype" w:eastAsia="Palatino Linotype" w:hAnsi="Palatino Linotype" w:cs="Palatino Linotype"/>
          <w:b/>
        </w:rPr>
        <w:t>Centro de Conciliación Laboral del Estado de México</w:t>
      </w:r>
      <w:r w:rsidR="00AF75D8" w:rsidRPr="00FA58BF">
        <w:rPr>
          <w:rFonts w:ascii="Palatino Linotype" w:eastAsia="Palatino Linotype" w:hAnsi="Palatino Linotype" w:cs="Palatino Linotype"/>
          <w:b/>
        </w:rPr>
        <w:t xml:space="preserve">, </w:t>
      </w:r>
      <w:r w:rsidR="00AF75D8" w:rsidRPr="00FA58BF">
        <w:rPr>
          <w:rFonts w:ascii="Palatino Linotype" w:eastAsia="Palatino Linotype" w:hAnsi="Palatino Linotype" w:cs="Palatino Linotype"/>
        </w:rPr>
        <w:t xml:space="preserve">en lo sucesivo el </w:t>
      </w:r>
      <w:r w:rsidR="00AF75D8" w:rsidRPr="00FA58BF">
        <w:rPr>
          <w:rFonts w:ascii="Palatino Linotype" w:eastAsia="Palatino Linotype" w:hAnsi="Palatino Linotype" w:cs="Palatino Linotype"/>
          <w:b/>
        </w:rPr>
        <w:t xml:space="preserve">SUJETO OBLIGADO, </w:t>
      </w:r>
      <w:r w:rsidR="00AF75D8" w:rsidRPr="00FA58BF">
        <w:rPr>
          <w:rFonts w:ascii="Palatino Linotype" w:eastAsia="Palatino Linotype" w:hAnsi="Palatino Linotype" w:cs="Palatino Linotype"/>
        </w:rPr>
        <w:t xml:space="preserve">se procede a dictar la presente resolución con base en los siguientes: </w:t>
      </w:r>
    </w:p>
    <w:p w14:paraId="728ABEFF" w14:textId="77777777" w:rsidR="004C6C59" w:rsidRPr="00FA58BF" w:rsidRDefault="004D78AD">
      <w:pPr>
        <w:spacing w:before="240" w:after="240" w:line="360" w:lineRule="auto"/>
        <w:jc w:val="center"/>
        <w:rPr>
          <w:rFonts w:ascii="Palatino Linotype" w:eastAsia="Palatino Linotype" w:hAnsi="Palatino Linotype" w:cs="Palatino Linotype"/>
          <w:b/>
        </w:rPr>
      </w:pPr>
      <w:r w:rsidRPr="00FA58BF">
        <w:rPr>
          <w:rFonts w:ascii="Palatino Linotype" w:eastAsia="Palatino Linotype" w:hAnsi="Palatino Linotype" w:cs="Palatino Linotype"/>
          <w:b/>
        </w:rPr>
        <w:t>I. A N T E C E D E N T E S</w:t>
      </w:r>
    </w:p>
    <w:p w14:paraId="4FCE2204" w14:textId="77777777" w:rsidR="004C6C59" w:rsidRPr="00FA58BF" w:rsidRDefault="004D78AD">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t>1. Solicitud de acceso a la información.</w:t>
      </w:r>
      <w:r w:rsidRPr="00FA58BF">
        <w:rPr>
          <w:rFonts w:ascii="Palatino Linotype" w:eastAsia="Palatino Linotype" w:hAnsi="Palatino Linotype" w:cs="Palatino Linotype"/>
        </w:rPr>
        <w:t xml:space="preserve"> Con fecha </w:t>
      </w:r>
      <w:r w:rsidR="0027629D" w:rsidRPr="00FA58BF">
        <w:rPr>
          <w:rFonts w:ascii="Palatino Linotype" w:eastAsia="Palatino Linotype" w:hAnsi="Palatino Linotype" w:cs="Palatino Linotype"/>
          <w:b/>
        </w:rPr>
        <w:t>cuarto de octubre</w:t>
      </w:r>
      <w:r w:rsidR="00FF0801" w:rsidRPr="00FA58BF">
        <w:rPr>
          <w:rFonts w:ascii="Palatino Linotype" w:eastAsia="Palatino Linotype" w:hAnsi="Palatino Linotype" w:cs="Palatino Linotype"/>
          <w:b/>
        </w:rPr>
        <w:t xml:space="preserve"> de dos mil veintitrés</w:t>
      </w:r>
      <w:r w:rsidRPr="00FA58BF">
        <w:rPr>
          <w:rFonts w:ascii="Palatino Linotype" w:eastAsia="Palatino Linotype" w:hAnsi="Palatino Linotype" w:cs="Palatino Linotype"/>
          <w:b/>
        </w:rPr>
        <w:t>,</w:t>
      </w:r>
      <w:r w:rsidRPr="00FA58BF">
        <w:rPr>
          <w:rFonts w:ascii="Palatino Linotype" w:eastAsia="Palatino Linotype" w:hAnsi="Palatino Linotype" w:cs="Palatino Linotype"/>
        </w:rPr>
        <w:t xml:space="preserve"> la parte </w:t>
      </w:r>
      <w:r w:rsidRPr="00FA58BF">
        <w:rPr>
          <w:rFonts w:ascii="Palatino Linotype" w:eastAsia="Palatino Linotype" w:hAnsi="Palatino Linotype" w:cs="Palatino Linotype"/>
          <w:b/>
        </w:rPr>
        <w:t xml:space="preserve">RECURRENTE </w:t>
      </w:r>
      <w:r w:rsidRPr="00FA58BF">
        <w:rPr>
          <w:rFonts w:ascii="Palatino Linotype" w:eastAsia="Palatino Linotype" w:hAnsi="Palatino Linotype" w:cs="Palatino Linotype"/>
        </w:rPr>
        <w:t>presentó,</w:t>
      </w:r>
      <w:r w:rsidR="005C53FA" w:rsidRPr="00FA58BF">
        <w:rPr>
          <w:rFonts w:ascii="Palatino Linotype" w:eastAsia="Palatino Linotype" w:hAnsi="Palatino Linotype" w:cs="Palatino Linotype"/>
        </w:rPr>
        <w:t xml:space="preserve"> a </w:t>
      </w:r>
      <w:r w:rsidRPr="00FA58BF">
        <w:rPr>
          <w:rFonts w:ascii="Palatino Linotype" w:eastAsia="Palatino Linotype" w:hAnsi="Palatino Linotype" w:cs="Palatino Linotype"/>
        </w:rPr>
        <w:t xml:space="preserve">través del Sistema de Acceso a la Información Mexiquense, en lo subsecuente el </w:t>
      </w:r>
      <w:r w:rsidRPr="00FA58BF">
        <w:rPr>
          <w:rFonts w:ascii="Palatino Linotype" w:eastAsia="Palatino Linotype" w:hAnsi="Palatino Linotype" w:cs="Palatino Linotype"/>
          <w:b/>
        </w:rPr>
        <w:t>SAIMEX,</w:t>
      </w:r>
      <w:r w:rsidRPr="00FA58BF">
        <w:rPr>
          <w:rFonts w:ascii="Palatino Linotype" w:eastAsia="Palatino Linotype" w:hAnsi="Palatino Linotype" w:cs="Palatino Linotype"/>
        </w:rPr>
        <w:t xml:space="preserve"> ante el </w:t>
      </w:r>
      <w:r w:rsidRPr="00FA58BF">
        <w:rPr>
          <w:rFonts w:ascii="Palatino Linotype" w:eastAsia="Palatino Linotype" w:hAnsi="Palatino Linotype" w:cs="Palatino Linotype"/>
          <w:b/>
        </w:rPr>
        <w:t>SUJETO OBLIGADO</w:t>
      </w:r>
      <w:r w:rsidRPr="00FA58BF">
        <w:rPr>
          <w:rFonts w:ascii="Palatino Linotype" w:eastAsia="Palatino Linotype" w:hAnsi="Palatino Linotype" w:cs="Palatino Linotype"/>
        </w:rPr>
        <w:t>, la solicitud de acceso a la información pública, a la que se le asignó el número</w:t>
      </w:r>
      <w:r w:rsidRPr="00FA58BF">
        <w:rPr>
          <w:rFonts w:ascii="Palatino Linotype" w:eastAsia="Palatino Linotype" w:hAnsi="Palatino Linotype" w:cs="Palatino Linotype"/>
          <w:b/>
        </w:rPr>
        <w:t xml:space="preserve"> </w:t>
      </w:r>
      <w:r w:rsidR="0027629D" w:rsidRPr="00FA58BF">
        <w:rPr>
          <w:rFonts w:ascii="Palatino Linotype" w:eastAsia="Palatino Linotype" w:hAnsi="Palatino Linotype" w:cs="Palatino Linotype"/>
          <w:b/>
        </w:rPr>
        <w:t>00093/CCLEM/IP/2023</w:t>
      </w:r>
      <w:r w:rsidRPr="00FA58BF">
        <w:rPr>
          <w:rFonts w:ascii="Palatino Linotype" w:eastAsia="Palatino Linotype" w:hAnsi="Palatino Linotype" w:cs="Palatino Linotype"/>
          <w:b/>
        </w:rPr>
        <w:t xml:space="preserve">, </w:t>
      </w:r>
      <w:r w:rsidRPr="00FA58BF">
        <w:rPr>
          <w:rFonts w:ascii="Palatino Linotype" w:eastAsia="Palatino Linotype" w:hAnsi="Palatino Linotype" w:cs="Palatino Linotype"/>
        </w:rPr>
        <w:t xml:space="preserve">mediante la cual requirió la información siguiente: </w:t>
      </w:r>
    </w:p>
    <w:p w14:paraId="31FBC427" w14:textId="77777777" w:rsidR="004C6C59" w:rsidRPr="00FA58BF" w:rsidRDefault="0027629D">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FA58BF">
        <w:rPr>
          <w:rFonts w:ascii="Palatino Linotype" w:eastAsia="Palatino Linotype" w:hAnsi="Palatino Linotype" w:cs="Palatino Linotype"/>
          <w:i/>
          <w:sz w:val="22"/>
          <w:szCs w:val="22"/>
        </w:rPr>
        <w:t>“Solicito en versión pública, los siguientes documentos: la designación u otorgamiento de algún nombramiento o contrato de los servidores públicos con las que tengan lazos de parentesco por consanguinidad hasta el cuarto grado o afinidad hasta el segundo grado o vínculo de matrimonio o concubinato que presten sus servicios en la misma institución, dependencia o ente público en el que laboran</w:t>
      </w:r>
      <w:r w:rsidR="004D78AD" w:rsidRPr="00FA58BF">
        <w:rPr>
          <w:rFonts w:ascii="Palatino Linotype" w:eastAsia="Palatino Linotype" w:hAnsi="Palatino Linotype" w:cs="Palatino Linotype"/>
          <w:i/>
          <w:sz w:val="22"/>
          <w:szCs w:val="22"/>
        </w:rPr>
        <w:t>” (Sic)</w:t>
      </w:r>
    </w:p>
    <w:p w14:paraId="22A0D7B3" w14:textId="77777777" w:rsidR="004C6C59" w:rsidRPr="00FA58BF" w:rsidRDefault="004C6C59" w:rsidP="005C53FA">
      <w:pPr>
        <w:spacing w:before="240"/>
        <w:ind w:left="851" w:right="902"/>
        <w:jc w:val="both"/>
        <w:rPr>
          <w:rFonts w:ascii="Palatino Linotype" w:eastAsia="Palatino Linotype" w:hAnsi="Palatino Linotype" w:cs="Palatino Linotype"/>
          <w:i/>
          <w:sz w:val="22"/>
          <w:szCs w:val="22"/>
        </w:rPr>
      </w:pPr>
    </w:p>
    <w:p w14:paraId="0F7FA51A" w14:textId="77777777" w:rsidR="004C6C59" w:rsidRPr="00FA58BF" w:rsidRDefault="004D78AD">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lastRenderedPageBreak/>
        <w:t>Modalidad de Entrega:</w:t>
      </w:r>
      <w:r w:rsidRPr="00FA58BF">
        <w:rPr>
          <w:rFonts w:ascii="Palatino Linotype" w:eastAsia="Palatino Linotype" w:hAnsi="Palatino Linotype" w:cs="Palatino Linotype"/>
        </w:rPr>
        <w:t xml:space="preserve"> A través de SAIMEX.</w:t>
      </w:r>
    </w:p>
    <w:p w14:paraId="2EED9D54" w14:textId="77777777" w:rsidR="00CF0EC6" w:rsidRPr="00FA58BF" w:rsidRDefault="00CF0EC6">
      <w:pPr>
        <w:spacing w:line="360" w:lineRule="auto"/>
        <w:jc w:val="both"/>
        <w:rPr>
          <w:rFonts w:ascii="Palatino Linotype" w:eastAsia="Palatino Linotype" w:hAnsi="Palatino Linotype" w:cs="Palatino Linotype"/>
        </w:rPr>
      </w:pPr>
    </w:p>
    <w:p w14:paraId="6CB972E9" w14:textId="77777777" w:rsidR="004C6C59" w:rsidRPr="00FA58BF" w:rsidRDefault="004D78AD" w:rsidP="005C53FA">
      <w:pPr>
        <w:spacing w:after="240" w:line="360" w:lineRule="auto"/>
        <w:jc w:val="both"/>
        <w:rPr>
          <w:rFonts w:ascii="Palatino Linotype" w:eastAsia="Palatino Linotype" w:hAnsi="Palatino Linotype" w:cs="Palatino Linotype"/>
          <w:b/>
        </w:rPr>
      </w:pPr>
      <w:r w:rsidRPr="00FA58BF">
        <w:rPr>
          <w:rFonts w:ascii="Palatino Linotype" w:eastAsia="Palatino Linotype" w:hAnsi="Palatino Linotype" w:cs="Palatino Linotype"/>
          <w:b/>
        </w:rPr>
        <w:t xml:space="preserve">2. Respuesta. </w:t>
      </w:r>
      <w:r w:rsidRPr="00FA58BF">
        <w:rPr>
          <w:rFonts w:ascii="Palatino Linotype" w:eastAsia="Palatino Linotype" w:hAnsi="Palatino Linotype" w:cs="Palatino Linotype"/>
        </w:rPr>
        <w:t xml:space="preserve">Con fecha </w:t>
      </w:r>
      <w:r w:rsidR="0027629D" w:rsidRPr="00FA58BF">
        <w:rPr>
          <w:rFonts w:ascii="Palatino Linotype" w:eastAsia="Palatino Linotype" w:hAnsi="Palatino Linotype" w:cs="Palatino Linotype"/>
          <w:b/>
        </w:rPr>
        <w:t>veintitrés de octubre</w:t>
      </w:r>
      <w:r w:rsidR="001B5330" w:rsidRPr="00FA58BF">
        <w:rPr>
          <w:rFonts w:ascii="Palatino Linotype" w:eastAsia="Palatino Linotype" w:hAnsi="Palatino Linotype" w:cs="Palatino Linotype"/>
          <w:b/>
        </w:rPr>
        <w:t xml:space="preserve"> </w:t>
      </w:r>
      <w:r w:rsidR="00AA3729" w:rsidRPr="00FA58BF">
        <w:rPr>
          <w:rFonts w:ascii="Palatino Linotype" w:eastAsia="Palatino Linotype" w:hAnsi="Palatino Linotype" w:cs="Palatino Linotype"/>
          <w:b/>
        </w:rPr>
        <w:t>de dos mil veintitrés</w:t>
      </w:r>
      <w:r w:rsidRPr="00FA58BF">
        <w:rPr>
          <w:rFonts w:ascii="Palatino Linotype" w:eastAsia="Palatino Linotype" w:hAnsi="Palatino Linotype" w:cs="Palatino Linotype"/>
        </w:rPr>
        <w:t xml:space="preserve">, el </w:t>
      </w:r>
      <w:r w:rsidRPr="00FA58BF">
        <w:rPr>
          <w:rFonts w:ascii="Palatino Linotype" w:eastAsia="Palatino Linotype" w:hAnsi="Palatino Linotype" w:cs="Palatino Linotype"/>
          <w:b/>
        </w:rPr>
        <w:t xml:space="preserve">SUJETO OBLIGADO </w:t>
      </w:r>
      <w:r w:rsidRPr="00FA58BF">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17A34DB" w14:textId="77777777" w:rsidR="004C6C59" w:rsidRPr="00FA58BF" w:rsidRDefault="004D78AD">
      <w:pPr>
        <w:spacing w:before="240" w:after="240"/>
        <w:ind w:left="851" w:right="902"/>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w:t>
      </w:r>
      <w:r w:rsidR="0027629D" w:rsidRPr="00FA58BF">
        <w:rPr>
          <w:rFonts w:ascii="Palatino Linotype" w:eastAsia="Palatino Linotype" w:hAnsi="Palatino Linotype" w:cs="Palatino Linotype"/>
          <w:i/>
          <w:sz w:val="22"/>
          <w:szCs w:val="22"/>
        </w:rPr>
        <w:t>En atención a su solicitud de información pública con número de folio 00093/CCLEM/IP/2023, de fecha 04 de octubre de la presente anualidad, presentada por usted a través del Sistema de Acceso a la Información Mexiquense (SAIMEX), me permito informar a Usted que concluido el análisis a su petición y después de una búsqueda exhaustiva en los archivos que obran en este Centro de Conciliación Laboral del Estado de México, con fundamento en lo dispuesto por el artículo 12 y 53 fracciones II, V y VI de la Ley de Transparencia y Acceso a la Información Pública del Estado de México y Municipios, hago de su conocimiento que el Servidor Público Habilitado de la Unidad de Apoyo Administrativo del Centro de Conciliación Laboral del Estado de México, informo a esta Unidad de Transparencia lo siguiente: Por lo anterior, me permito informar a Usted que esta Unidad de Apoyo Administrativo, perteneciente al CCLEM; después de realizar una búsqueda exhaustiva en los documentos que obran en dicha área, no se encontró información relacionada a su petición. De conformidad con el artículo 176 de la Ley de Transparencia y Acceso a la Información Pública del Estado de México y sus Municipios, se hace de su conocimiento que tiene usted derecho a promover recurso de revisión en un lapso de 15 días hábiles, a partir de la notificación de esta respuesta.</w:t>
      </w:r>
      <w:r w:rsidR="003B72B5" w:rsidRPr="00FA58BF">
        <w:rPr>
          <w:rFonts w:ascii="Palatino Linotype" w:eastAsia="Palatino Linotype" w:hAnsi="Palatino Linotype" w:cs="Palatino Linotype"/>
          <w:i/>
          <w:sz w:val="22"/>
          <w:szCs w:val="22"/>
        </w:rPr>
        <w:t>...</w:t>
      </w:r>
      <w:r w:rsidRPr="00FA58BF">
        <w:rPr>
          <w:rFonts w:ascii="Palatino Linotype" w:eastAsia="Palatino Linotype" w:hAnsi="Palatino Linotype" w:cs="Palatino Linotype"/>
          <w:i/>
          <w:sz w:val="22"/>
          <w:szCs w:val="22"/>
        </w:rPr>
        <w:t>” (Sic)</w:t>
      </w:r>
    </w:p>
    <w:p w14:paraId="684A71B9" w14:textId="77777777" w:rsidR="001B5330" w:rsidRPr="00FA58BF" w:rsidRDefault="001B5330">
      <w:pPr>
        <w:spacing w:before="240" w:after="240" w:line="360" w:lineRule="auto"/>
        <w:ind w:right="49"/>
        <w:jc w:val="both"/>
        <w:rPr>
          <w:rFonts w:ascii="Palatino Linotype" w:eastAsia="Palatino Linotype" w:hAnsi="Palatino Linotype" w:cs="Palatino Linotype"/>
          <w:b/>
        </w:rPr>
      </w:pPr>
      <w:r w:rsidRPr="00FA58BF">
        <w:rPr>
          <w:rFonts w:ascii="Palatino Linotype" w:eastAsia="Palatino Linotype" w:hAnsi="Palatino Linotype" w:cs="Palatino Linotype"/>
          <w:b/>
        </w:rPr>
        <w:t xml:space="preserve">El SUJETO OBLIGADO, </w:t>
      </w:r>
      <w:r w:rsidRPr="00FA58BF">
        <w:rPr>
          <w:rFonts w:ascii="Palatino Linotype" w:eastAsia="Palatino Linotype" w:hAnsi="Palatino Linotype" w:cs="Palatino Linotype"/>
        </w:rPr>
        <w:t>adjunto a su respuesta el siguiente archivo electrónico</w:t>
      </w:r>
      <w:r w:rsidRPr="00FA58BF">
        <w:rPr>
          <w:rFonts w:ascii="Palatino Linotype" w:eastAsia="Palatino Linotype" w:hAnsi="Palatino Linotype" w:cs="Palatino Linotype"/>
          <w:b/>
        </w:rPr>
        <w:t>:</w:t>
      </w:r>
    </w:p>
    <w:p w14:paraId="0AF9C0F1" w14:textId="77777777" w:rsidR="001B5330" w:rsidRPr="00FA58BF" w:rsidRDefault="001B5330">
      <w:pPr>
        <w:spacing w:before="240" w:after="240" w:line="360" w:lineRule="auto"/>
        <w:ind w:right="49"/>
        <w:jc w:val="both"/>
        <w:rPr>
          <w:rFonts w:ascii="Palatino Linotype" w:eastAsia="Palatino Linotype" w:hAnsi="Palatino Linotype" w:cs="Palatino Linotype"/>
        </w:rPr>
      </w:pPr>
      <w:r w:rsidRPr="00FA58BF">
        <w:rPr>
          <w:rFonts w:ascii="Palatino Linotype" w:eastAsia="Palatino Linotype" w:hAnsi="Palatino Linotype" w:cs="Palatino Linotype"/>
        </w:rPr>
        <w:t>“</w:t>
      </w:r>
      <w:hyperlink r:id="rId9" w:tgtFrame="_blank" w:history="1">
        <w:r w:rsidR="0027629D" w:rsidRPr="00FA58BF">
          <w:rPr>
            <w:rFonts w:ascii="Palatino Linotype" w:eastAsia="Palatino Linotype" w:hAnsi="Palatino Linotype" w:cs="Palatino Linotype"/>
          </w:rPr>
          <w:t>00093.pdf</w:t>
        </w:r>
      </w:hyperlink>
      <w:r w:rsidRPr="00FA58BF">
        <w:rPr>
          <w:rFonts w:ascii="Palatino Linotype" w:eastAsia="Palatino Linotype" w:hAnsi="Palatino Linotype" w:cs="Palatino Linotype"/>
        </w:rPr>
        <w:t xml:space="preserve">”, el cual contiene el oficio número </w:t>
      </w:r>
      <w:r w:rsidR="00CB2E18" w:rsidRPr="00FA58BF">
        <w:rPr>
          <w:rFonts w:ascii="Palatino Linotype" w:eastAsia="Palatino Linotype" w:hAnsi="Palatino Linotype" w:cs="Palatino Linotype"/>
        </w:rPr>
        <w:t>209C0201000200S-137</w:t>
      </w:r>
      <w:r w:rsidR="00606AD1" w:rsidRPr="00FA58BF">
        <w:rPr>
          <w:rFonts w:ascii="Palatino Linotype" w:eastAsia="Palatino Linotype" w:hAnsi="Palatino Linotype" w:cs="Palatino Linotype"/>
        </w:rPr>
        <w:t xml:space="preserve">/2023, por medio del cual la Unidad de Transparencia del </w:t>
      </w:r>
      <w:r w:rsidR="00606AD1" w:rsidRPr="00FA58BF">
        <w:rPr>
          <w:rFonts w:ascii="Palatino Linotype" w:eastAsia="Palatino Linotype" w:hAnsi="Palatino Linotype" w:cs="Palatino Linotype"/>
          <w:b/>
        </w:rPr>
        <w:t>SUJETO OBLIGADO</w:t>
      </w:r>
      <w:r w:rsidR="00CB2E18" w:rsidRPr="00FA58BF">
        <w:rPr>
          <w:rFonts w:ascii="Palatino Linotype" w:eastAsia="Palatino Linotype" w:hAnsi="Palatino Linotype" w:cs="Palatino Linotype"/>
        </w:rPr>
        <w:t>, informó al</w:t>
      </w:r>
      <w:r w:rsidR="00606AD1" w:rsidRPr="00FA58BF">
        <w:rPr>
          <w:rFonts w:ascii="Palatino Linotype" w:eastAsia="Palatino Linotype" w:hAnsi="Palatino Linotype" w:cs="Palatino Linotype"/>
        </w:rPr>
        <w:t xml:space="preserve"> Solicitante que </w:t>
      </w:r>
      <w:r w:rsidR="00CB2E18" w:rsidRPr="00FA58BF">
        <w:rPr>
          <w:rFonts w:ascii="Palatino Linotype" w:eastAsia="Palatino Linotype" w:hAnsi="Palatino Linotype" w:cs="Palatino Linotype"/>
        </w:rPr>
        <w:t xml:space="preserve">concluido el análisis de su solicitud y después de haber realizado una búsqueda exhaustiva en los archivos que obran en el Centro de Conciliación Laboral del Estado de México, hizo del conocimiento que el servidor público </w:t>
      </w:r>
      <w:r w:rsidR="00CB2E18" w:rsidRPr="00FA58BF">
        <w:rPr>
          <w:rFonts w:ascii="Palatino Linotype" w:eastAsia="Palatino Linotype" w:hAnsi="Palatino Linotype" w:cs="Palatino Linotype"/>
        </w:rPr>
        <w:lastRenderedPageBreak/>
        <w:t xml:space="preserve">habilitado de la </w:t>
      </w:r>
      <w:r w:rsidR="00606AD1" w:rsidRPr="00FA58BF">
        <w:rPr>
          <w:rFonts w:ascii="Palatino Linotype" w:eastAsia="Palatino Linotype" w:hAnsi="Palatino Linotype" w:cs="Palatino Linotype"/>
        </w:rPr>
        <w:t xml:space="preserve">Unidad de Apoyo Administrativo del Centro de Conciliación Laboral del Estado de México, </w:t>
      </w:r>
      <w:r w:rsidR="00CB2E18" w:rsidRPr="00FA58BF">
        <w:rPr>
          <w:rFonts w:ascii="Palatino Linotype" w:eastAsia="Palatino Linotype" w:hAnsi="Palatino Linotype" w:cs="Palatino Linotype"/>
        </w:rPr>
        <w:t>informó a esta unidad lo siguiente</w:t>
      </w:r>
      <w:r w:rsidR="00606AD1" w:rsidRPr="00FA58BF">
        <w:rPr>
          <w:rFonts w:ascii="Palatino Linotype" w:eastAsia="Palatino Linotype" w:hAnsi="Palatino Linotype" w:cs="Palatino Linotype"/>
        </w:rPr>
        <w:t>:</w:t>
      </w:r>
    </w:p>
    <w:p w14:paraId="2A6BA542" w14:textId="77777777" w:rsidR="00CB2E18" w:rsidRPr="00FA58BF" w:rsidRDefault="00CB2E18">
      <w:pPr>
        <w:spacing w:before="240" w:after="240" w:line="360" w:lineRule="auto"/>
        <w:ind w:right="49"/>
        <w:jc w:val="both"/>
        <w:rPr>
          <w:rFonts w:ascii="Palatino Linotype" w:eastAsia="Palatino Linotype" w:hAnsi="Palatino Linotype" w:cs="Palatino Linotype"/>
        </w:rPr>
      </w:pPr>
      <w:r w:rsidRPr="00FA58BF">
        <w:rPr>
          <w:rFonts w:ascii="Palatino Linotype" w:eastAsia="Palatino Linotype" w:hAnsi="Palatino Linotype" w:cs="Palatino Linotype"/>
          <w:noProof/>
          <w:lang w:val="es-MX"/>
        </w:rPr>
        <w:drawing>
          <wp:inline distT="0" distB="0" distL="0" distR="0" wp14:anchorId="45C365AA" wp14:editId="742000FF">
            <wp:extent cx="5612130" cy="56642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566420"/>
                    </a:xfrm>
                    <a:prstGeom prst="rect">
                      <a:avLst/>
                    </a:prstGeom>
                  </pic:spPr>
                </pic:pic>
              </a:graphicData>
            </a:graphic>
          </wp:inline>
        </w:drawing>
      </w:r>
    </w:p>
    <w:p w14:paraId="7EAFA84B" w14:textId="77777777" w:rsidR="004C6C59" w:rsidRPr="00FA58BF" w:rsidRDefault="004519DF">
      <w:pPr>
        <w:spacing w:before="240" w:after="240" w:line="360" w:lineRule="auto"/>
        <w:ind w:right="49"/>
        <w:jc w:val="both"/>
        <w:rPr>
          <w:rFonts w:ascii="Palatino Linotype" w:eastAsia="Palatino Linotype" w:hAnsi="Palatino Linotype" w:cs="Palatino Linotype"/>
        </w:rPr>
      </w:pPr>
      <w:r w:rsidRPr="00FA58BF">
        <w:rPr>
          <w:rFonts w:ascii="Palatino Linotype" w:eastAsia="Palatino Linotype" w:hAnsi="Palatino Linotype" w:cs="Palatino Linotype"/>
          <w:b/>
        </w:rPr>
        <w:t>3</w:t>
      </w:r>
      <w:r w:rsidR="004D78AD" w:rsidRPr="00FA58BF">
        <w:rPr>
          <w:rFonts w:ascii="Palatino Linotype" w:eastAsia="Palatino Linotype" w:hAnsi="Palatino Linotype" w:cs="Palatino Linotype"/>
          <w:b/>
        </w:rPr>
        <w:t xml:space="preserve">. Interposición del recurso de revisión. </w:t>
      </w:r>
      <w:r w:rsidR="004D78AD" w:rsidRPr="00FA58BF">
        <w:rPr>
          <w:rFonts w:ascii="Palatino Linotype" w:eastAsia="Palatino Linotype" w:hAnsi="Palatino Linotype" w:cs="Palatino Linotype"/>
        </w:rPr>
        <w:t xml:space="preserve">Inconforme con los términos de la respuesta emitida por parte del </w:t>
      </w:r>
      <w:r w:rsidR="004D78AD" w:rsidRPr="00FA58BF">
        <w:rPr>
          <w:rFonts w:ascii="Palatino Linotype" w:eastAsia="Palatino Linotype" w:hAnsi="Palatino Linotype" w:cs="Palatino Linotype"/>
          <w:b/>
        </w:rPr>
        <w:t>SUJETO OBLIGADO</w:t>
      </w:r>
      <w:r w:rsidR="004D78AD" w:rsidRPr="00FA58BF">
        <w:rPr>
          <w:rFonts w:ascii="Palatino Linotype" w:eastAsia="Palatino Linotype" w:hAnsi="Palatino Linotype" w:cs="Palatino Linotype"/>
        </w:rPr>
        <w:t xml:space="preserve">, el </w:t>
      </w:r>
      <w:r w:rsidR="00B917F5" w:rsidRPr="00FA58BF">
        <w:rPr>
          <w:rFonts w:ascii="Palatino Linotype" w:eastAsia="Palatino Linotype" w:hAnsi="Palatino Linotype" w:cs="Palatino Linotype"/>
          <w:b/>
        </w:rPr>
        <w:t>trece de noviembre</w:t>
      </w:r>
      <w:r w:rsidR="004D78AD" w:rsidRPr="00FA58BF">
        <w:rPr>
          <w:rFonts w:ascii="Palatino Linotype" w:eastAsia="Palatino Linotype" w:hAnsi="Palatino Linotype" w:cs="Palatino Linotype"/>
          <w:b/>
        </w:rPr>
        <w:t xml:space="preserve"> de</w:t>
      </w:r>
      <w:r w:rsidR="008F49C6" w:rsidRPr="00FA58BF">
        <w:rPr>
          <w:rFonts w:ascii="Palatino Linotype" w:eastAsia="Palatino Linotype" w:hAnsi="Palatino Linotype" w:cs="Palatino Linotype"/>
          <w:b/>
        </w:rPr>
        <w:t>l</w:t>
      </w:r>
      <w:r w:rsidR="00AA3729" w:rsidRPr="00FA58BF">
        <w:rPr>
          <w:rFonts w:ascii="Palatino Linotype" w:eastAsia="Palatino Linotype" w:hAnsi="Palatino Linotype" w:cs="Palatino Linotype"/>
          <w:b/>
        </w:rPr>
        <w:t xml:space="preserve"> dos mil veintitrés</w:t>
      </w:r>
      <w:r w:rsidR="004D78AD" w:rsidRPr="00FA58BF">
        <w:rPr>
          <w:rFonts w:ascii="Palatino Linotype" w:eastAsia="Palatino Linotype" w:hAnsi="Palatino Linotype" w:cs="Palatino Linotype"/>
          <w:b/>
        </w:rPr>
        <w:t>,</w:t>
      </w:r>
      <w:r w:rsidR="004D78AD" w:rsidRPr="00FA58BF">
        <w:rPr>
          <w:rFonts w:ascii="Palatino Linotype" w:eastAsia="Palatino Linotype" w:hAnsi="Palatino Linotype" w:cs="Palatino Linotype"/>
        </w:rPr>
        <w:t xml:space="preserve"> la parte recurrente interpuso el recurso de revisión a través de </w:t>
      </w:r>
      <w:r w:rsidR="004D78AD" w:rsidRPr="00FA58BF">
        <w:rPr>
          <w:rFonts w:ascii="Palatino Linotype" w:eastAsia="Palatino Linotype" w:hAnsi="Palatino Linotype" w:cs="Palatino Linotype"/>
          <w:b/>
        </w:rPr>
        <w:t xml:space="preserve">SAIMEX, </w:t>
      </w:r>
      <w:r w:rsidR="004D78AD" w:rsidRPr="00FA58BF">
        <w:rPr>
          <w:rFonts w:ascii="Palatino Linotype" w:eastAsia="Palatino Linotype" w:hAnsi="Palatino Linotype" w:cs="Palatino Linotype"/>
        </w:rPr>
        <w:t>en donde se manifestó de la siguiente manera:</w:t>
      </w:r>
    </w:p>
    <w:p w14:paraId="33D844DA" w14:textId="77777777" w:rsidR="004C6C59" w:rsidRPr="00FA58BF" w:rsidRDefault="004D78AD">
      <w:pPr>
        <w:tabs>
          <w:tab w:val="left" w:pos="2745"/>
        </w:tabs>
        <w:spacing w:before="240" w:after="240" w:line="360" w:lineRule="auto"/>
        <w:jc w:val="both"/>
        <w:rPr>
          <w:rFonts w:ascii="Palatino Linotype" w:eastAsia="Palatino Linotype" w:hAnsi="Palatino Linotype" w:cs="Palatino Linotype"/>
          <w:b/>
        </w:rPr>
      </w:pPr>
      <w:r w:rsidRPr="00FA58BF">
        <w:rPr>
          <w:rFonts w:ascii="Palatino Linotype" w:eastAsia="Palatino Linotype" w:hAnsi="Palatino Linotype" w:cs="Palatino Linotype"/>
          <w:b/>
        </w:rPr>
        <w:t xml:space="preserve">Acto impugnado: </w:t>
      </w:r>
      <w:r w:rsidRPr="00FA58BF">
        <w:rPr>
          <w:rFonts w:ascii="Palatino Linotype" w:eastAsia="Palatino Linotype" w:hAnsi="Palatino Linotype" w:cs="Palatino Linotype"/>
          <w:b/>
        </w:rPr>
        <w:tab/>
      </w:r>
    </w:p>
    <w:p w14:paraId="0AD61F90" w14:textId="77777777" w:rsidR="004C6C59" w:rsidRPr="00FA58BF" w:rsidRDefault="004D78AD" w:rsidP="003A1421">
      <w:pPr>
        <w:ind w:left="851" w:right="902"/>
        <w:contextualSpacing/>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w:t>
      </w:r>
      <w:r w:rsidR="00B917F5" w:rsidRPr="00FA58BF">
        <w:rPr>
          <w:rFonts w:ascii="Palatino Linotype" w:eastAsia="Palatino Linotype" w:hAnsi="Palatino Linotype" w:cs="Palatino Linotype"/>
          <w:i/>
          <w:sz w:val="22"/>
          <w:szCs w:val="22"/>
        </w:rPr>
        <w:t>Oficio Número: 209C0201000200S-137/2023 Toluca, Estado de México: 23 de octubre de 2023 Solicitud de información pública con número de folio 00093/CCLEM/IP/2023, de fecha 4 de octubre del año en curso, presentada por usted a través del Sistema de Acceso a la Información Mexiquense (SAIMEX</w:t>
      </w:r>
      <w:r w:rsidRPr="00FA58BF">
        <w:rPr>
          <w:rFonts w:ascii="Palatino Linotype" w:eastAsia="Palatino Linotype" w:hAnsi="Palatino Linotype" w:cs="Palatino Linotype"/>
          <w:i/>
          <w:sz w:val="22"/>
          <w:szCs w:val="22"/>
        </w:rPr>
        <w:t>” (Sic)</w:t>
      </w:r>
    </w:p>
    <w:p w14:paraId="53858BE9" w14:textId="77777777" w:rsidR="003A1421" w:rsidRPr="00FA58BF" w:rsidRDefault="003A1421" w:rsidP="003A1421">
      <w:pPr>
        <w:ind w:left="851" w:right="902"/>
        <w:contextualSpacing/>
        <w:jc w:val="both"/>
        <w:rPr>
          <w:rFonts w:ascii="Palatino Linotype" w:eastAsia="Palatino Linotype" w:hAnsi="Palatino Linotype" w:cs="Palatino Linotype"/>
          <w:i/>
          <w:sz w:val="22"/>
          <w:szCs w:val="22"/>
        </w:rPr>
      </w:pPr>
    </w:p>
    <w:p w14:paraId="4555571D" w14:textId="77777777" w:rsidR="004C6C59" w:rsidRPr="00FA58BF" w:rsidRDefault="004D78AD">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t>Y Razones o motivos de inconformidad</w:t>
      </w:r>
      <w:r w:rsidRPr="00FA58BF">
        <w:rPr>
          <w:rFonts w:ascii="Palatino Linotype" w:eastAsia="Palatino Linotype" w:hAnsi="Palatino Linotype" w:cs="Palatino Linotype"/>
        </w:rPr>
        <w:t>:</w:t>
      </w:r>
    </w:p>
    <w:p w14:paraId="75FBDBD5" w14:textId="77777777" w:rsidR="004C6C59" w:rsidRPr="00FA58BF" w:rsidRDefault="00677C96">
      <w:pPr>
        <w:ind w:left="851" w:right="902"/>
        <w:contextualSpacing/>
        <w:jc w:val="both"/>
        <w:rPr>
          <w:rFonts w:ascii="Palatino Linotype" w:eastAsia="Palatino Linotype" w:hAnsi="Palatino Linotype" w:cs="Palatino Linotype"/>
          <w:i/>
          <w:sz w:val="22"/>
          <w:szCs w:val="22"/>
        </w:rPr>
      </w:pPr>
      <w:bookmarkStart w:id="1" w:name="_heading=h.30j0zll" w:colFirst="0" w:colLast="0"/>
      <w:bookmarkEnd w:id="1"/>
      <w:r w:rsidRPr="00FA58BF">
        <w:rPr>
          <w:rFonts w:ascii="Palatino Linotype" w:eastAsia="Palatino Linotype" w:hAnsi="Palatino Linotype" w:cs="Palatino Linotype"/>
          <w:i/>
          <w:sz w:val="22"/>
          <w:szCs w:val="22"/>
        </w:rPr>
        <w:t xml:space="preserve"> “</w:t>
      </w:r>
      <w:r w:rsidR="00B917F5" w:rsidRPr="00FA58BF">
        <w:rPr>
          <w:rFonts w:ascii="Palatino Linotype" w:eastAsia="Palatino Linotype" w:hAnsi="Palatino Linotype" w:cs="Palatino Linotype"/>
          <w:i/>
          <w:sz w:val="22"/>
          <w:szCs w:val="22"/>
        </w:rPr>
        <w:t xml:space="preserve">Considero que la respuesta del sujeto obligado va en contra de mi derecho de acceso a la información pública, ya que no proporciona la información solicitada El sujeto obligado de informa en que consistió la búsqueda exhaustiva que según el realizo y cuáles fueron los archivos en que realizo dicha búsqueda. </w:t>
      </w:r>
      <w:r w:rsidR="00B917F5" w:rsidRPr="00FA58BF">
        <w:rPr>
          <w:rFonts w:ascii="Palatino Linotype" w:eastAsia="Palatino Linotype" w:hAnsi="Palatino Linotype" w:cs="Palatino Linotype"/>
          <w:b/>
          <w:i/>
          <w:sz w:val="22"/>
          <w:szCs w:val="22"/>
        </w:rPr>
        <w:t>La respuesta emitida por el sujeto obligado no fue realizada por el comité de transparencia de la institución</w:t>
      </w:r>
      <w:r w:rsidR="00B917F5" w:rsidRPr="00FA58BF">
        <w:rPr>
          <w:rFonts w:ascii="Palatino Linotype" w:eastAsia="Palatino Linotype" w:hAnsi="Palatino Linotype" w:cs="Palatino Linotype"/>
          <w:i/>
          <w:sz w:val="22"/>
          <w:szCs w:val="22"/>
        </w:rPr>
        <w:t xml:space="preserve">. </w:t>
      </w:r>
      <w:r w:rsidR="00B917F5" w:rsidRPr="00FA58BF">
        <w:rPr>
          <w:rFonts w:ascii="Palatino Linotype" w:eastAsia="Palatino Linotype" w:hAnsi="Palatino Linotype" w:cs="Palatino Linotype"/>
          <w:b/>
          <w:i/>
          <w:sz w:val="22"/>
          <w:szCs w:val="22"/>
        </w:rPr>
        <w:t>El sujeto obligado no emitió ningún acuerdo de inexistencia de la información solicitada</w:t>
      </w:r>
      <w:r w:rsidR="00B917F5" w:rsidRPr="00FA58BF">
        <w:rPr>
          <w:rFonts w:ascii="Palatino Linotype" w:eastAsia="Palatino Linotype" w:hAnsi="Palatino Linotype" w:cs="Palatino Linotype"/>
          <w:i/>
          <w:sz w:val="22"/>
          <w:szCs w:val="22"/>
        </w:rPr>
        <w:t xml:space="preserve">. </w:t>
      </w:r>
      <w:r w:rsidR="00B917F5" w:rsidRPr="00FA58BF">
        <w:rPr>
          <w:rFonts w:ascii="Palatino Linotype" w:eastAsia="Palatino Linotype" w:hAnsi="Palatino Linotype" w:cs="Palatino Linotype"/>
          <w:b/>
          <w:i/>
          <w:sz w:val="22"/>
          <w:szCs w:val="22"/>
        </w:rPr>
        <w:t>El sujeto obligado no funda ni motiva su respuesta a mi solicitud de transparencia</w:t>
      </w:r>
      <w:r w:rsidR="00B917F5" w:rsidRPr="00FA58BF">
        <w:rPr>
          <w:rFonts w:ascii="Palatino Linotype" w:eastAsia="Palatino Linotype" w:hAnsi="Palatino Linotype" w:cs="Palatino Linotype"/>
          <w:i/>
          <w:sz w:val="22"/>
          <w:szCs w:val="22"/>
        </w:rPr>
        <w:t xml:space="preserve">. Simula el sujeto obligado que no tiene documentos relevantes a mi petición, cuando es su obligación generarlos, pues su obligación nace de la misma constitución que señala el artículo 108 de la Constitución Política Federal, en su último párrafo, </w:t>
      </w:r>
      <w:r w:rsidR="00B917F5" w:rsidRPr="00FA58BF">
        <w:rPr>
          <w:rFonts w:ascii="Palatino Linotype" w:eastAsia="Palatino Linotype" w:hAnsi="Palatino Linotype" w:cs="Palatino Linotype"/>
          <w:b/>
          <w:i/>
          <w:sz w:val="22"/>
          <w:szCs w:val="22"/>
        </w:rPr>
        <w:t xml:space="preserve">por lo que al negar la declaración de intereses que están obligados a rendir </w:t>
      </w:r>
      <w:r w:rsidR="00B917F5" w:rsidRPr="00FA58BF">
        <w:rPr>
          <w:rFonts w:ascii="Palatino Linotype" w:eastAsia="Palatino Linotype" w:hAnsi="Palatino Linotype" w:cs="Palatino Linotype"/>
          <w:b/>
          <w:i/>
          <w:sz w:val="22"/>
          <w:szCs w:val="22"/>
        </w:rPr>
        <w:lastRenderedPageBreak/>
        <w:t>sus servidores públicos, también pretende el sujeto obligado negar la obligación que tiene de adoptar medidas prácticas para eliminar el nepotismos dentro de su institución</w:t>
      </w:r>
      <w:r w:rsidR="00B917F5" w:rsidRPr="00FA58BF">
        <w:rPr>
          <w:rFonts w:ascii="Palatino Linotype" w:eastAsia="Palatino Linotype" w:hAnsi="Palatino Linotype" w:cs="Palatino Linotype"/>
          <w:i/>
          <w:sz w:val="22"/>
          <w:szCs w:val="22"/>
        </w:rPr>
        <w:t xml:space="preserve">, con lo que no solo pretende sorprender al solicitante sino también al instituto de transparencias, motivo por los cuales esta autoridad tiene la obligación de impedir que el sujeto obligado impida el acceso de los ciudadanos a la información </w:t>
      </w:r>
      <w:proofErr w:type="spellStart"/>
      <w:r w:rsidR="00B917F5" w:rsidRPr="00FA58BF">
        <w:rPr>
          <w:rFonts w:ascii="Palatino Linotype" w:eastAsia="Palatino Linotype" w:hAnsi="Palatino Linotype" w:cs="Palatino Linotype"/>
          <w:i/>
          <w:sz w:val="22"/>
          <w:szCs w:val="22"/>
        </w:rPr>
        <w:t>publica</w:t>
      </w:r>
      <w:proofErr w:type="spellEnd"/>
      <w:r w:rsidR="00B917F5" w:rsidRPr="00FA58BF">
        <w:rPr>
          <w:rFonts w:ascii="Palatino Linotype" w:eastAsia="Palatino Linotype" w:hAnsi="Palatino Linotype" w:cs="Palatino Linotype"/>
          <w:i/>
          <w:sz w:val="22"/>
          <w:szCs w:val="22"/>
        </w:rPr>
        <w:t xml:space="preserve"> que debe poseer. </w:t>
      </w:r>
      <w:r w:rsidR="00B917F5" w:rsidRPr="00FA58BF">
        <w:rPr>
          <w:rFonts w:ascii="Palatino Linotype" w:eastAsia="Palatino Linotype" w:hAnsi="Palatino Linotype" w:cs="Palatino Linotype"/>
          <w:b/>
          <w:i/>
          <w:sz w:val="22"/>
          <w:szCs w:val="22"/>
        </w:rPr>
        <w:t>El sujeto obligado no manifiesta el motivo por el cual no genero la información solicitada cuando era su deber</w:t>
      </w:r>
      <w:r w:rsidR="00B917F5" w:rsidRPr="00FA58BF">
        <w:rPr>
          <w:rFonts w:ascii="Palatino Linotype" w:eastAsia="Palatino Linotype" w:hAnsi="Palatino Linotype" w:cs="Palatino Linotype"/>
          <w:i/>
          <w:sz w:val="22"/>
          <w:szCs w:val="22"/>
        </w:rPr>
        <w:t xml:space="preserve">, ya que el artículo 108 de la Constitución Política Federal, en su último párrafo, </w:t>
      </w:r>
      <w:r w:rsidR="00B917F5" w:rsidRPr="00FA58BF">
        <w:rPr>
          <w:rFonts w:ascii="Palatino Linotype" w:eastAsia="Palatino Linotype" w:hAnsi="Palatino Linotype" w:cs="Palatino Linotype"/>
          <w:b/>
          <w:i/>
          <w:sz w:val="22"/>
          <w:szCs w:val="22"/>
        </w:rPr>
        <w:t>establece la obligación de los servidores públicos a presentar, bajo protesta de decir verdad, su declaración de intereses o posible conflicto de intereses.</w:t>
      </w:r>
      <w:r w:rsidR="00B917F5" w:rsidRPr="00FA58BF">
        <w:rPr>
          <w:rFonts w:ascii="Palatino Linotype" w:eastAsia="Palatino Linotype" w:hAnsi="Palatino Linotype" w:cs="Palatino Linotype"/>
          <w:i/>
          <w:sz w:val="22"/>
          <w:szCs w:val="22"/>
        </w:rPr>
        <w:t xml:space="preserve"> El sujeto obligado no señala de forma pormenorizada en que archivos o documentos realizo la búsqueda de la información para tener por colmada la exhaustividad que señala. </w:t>
      </w:r>
      <w:r w:rsidR="00B917F5" w:rsidRPr="00FA58BF">
        <w:rPr>
          <w:rFonts w:ascii="Palatino Linotype" w:eastAsia="Palatino Linotype" w:hAnsi="Palatino Linotype" w:cs="Palatino Linotype"/>
          <w:b/>
          <w:i/>
          <w:sz w:val="22"/>
          <w:szCs w:val="22"/>
        </w:rPr>
        <w:t>El sujeto no remite informes de las diversas dependencias para que proporcionara la información, para apoyar su negativa a proporcionar la información.</w:t>
      </w:r>
      <w:r w:rsidR="00B917F5" w:rsidRPr="00FA58BF">
        <w:rPr>
          <w:rFonts w:ascii="Palatino Linotype" w:eastAsia="Palatino Linotype" w:hAnsi="Palatino Linotype" w:cs="Palatino Linotype"/>
          <w:i/>
          <w:sz w:val="22"/>
          <w:szCs w:val="22"/>
        </w:rPr>
        <w:t xml:space="preserve"> No señala los motivos y fundamentos, por los cuales, al momento no tiene </w:t>
      </w:r>
      <w:r w:rsidR="00B917F5" w:rsidRPr="00FA58BF">
        <w:rPr>
          <w:rFonts w:ascii="Palatino Linotype" w:eastAsia="Palatino Linotype" w:hAnsi="Palatino Linotype" w:cs="Palatino Linotype"/>
          <w:b/>
          <w:i/>
          <w:sz w:val="22"/>
          <w:szCs w:val="22"/>
        </w:rPr>
        <w:t>la declaración de intereses de los servidores públicos si es una obligación de los mismos ante la institución</w:t>
      </w:r>
      <w:r w:rsidR="00B917F5" w:rsidRPr="00FA58BF">
        <w:rPr>
          <w:rFonts w:ascii="Palatino Linotype" w:eastAsia="Palatino Linotype" w:hAnsi="Palatino Linotype" w:cs="Palatino Linotype"/>
          <w:i/>
          <w:sz w:val="22"/>
          <w:szCs w:val="22"/>
        </w:rPr>
        <w:t xml:space="preserve">. No señala el sujeto obligado el motivo y fundamento por los que no tiene la declaración de intereses de los servidores públicos de esa institución. El sujeto obligado, tiene la obligación que verificar si sus servidores públicos al momento de su contratación </w:t>
      </w:r>
      <w:r w:rsidR="00B917F5" w:rsidRPr="00FA58BF">
        <w:rPr>
          <w:rFonts w:ascii="Palatino Linotype" w:eastAsia="Palatino Linotype" w:hAnsi="Palatino Linotype" w:cs="Palatino Linotype"/>
          <w:b/>
          <w:i/>
          <w:sz w:val="22"/>
          <w:szCs w:val="22"/>
        </w:rPr>
        <w:t>no un conflicto de intereses o parentesco con otros servidores de la misma institución y para ello debe tener la declaración de conflictos de interés</w:t>
      </w:r>
      <w:r w:rsidR="00B917F5" w:rsidRPr="00FA58BF">
        <w:rPr>
          <w:rFonts w:ascii="Palatino Linotype" w:eastAsia="Palatino Linotype" w:hAnsi="Palatino Linotype" w:cs="Palatino Linotype"/>
          <w:i/>
          <w:sz w:val="22"/>
          <w:szCs w:val="22"/>
        </w:rPr>
        <w:t xml:space="preserve">, por lo que el hecho de no negar tenerla dentro de los expedientes o documentos de los servidores públicos presentaron además de violentar el derecho de información incumple con la norma constitucional que obliga a que al contratar a los servidores públicos tiene que declarar sus intereses bajo protesta de decir verdad, motivo por el cual esta autoridad debe obligar a dicho sujeto obligado a proporcionar al ente a proporcionar la información como le fue requerida. El ente obligado asume que toda la información generada en los procedimiento de conciliación contienen únicamente información confidencial sin observar que dichos expedientes también contienen información </w:t>
      </w:r>
      <w:proofErr w:type="spellStart"/>
      <w:r w:rsidR="00B917F5" w:rsidRPr="00FA58BF">
        <w:rPr>
          <w:rFonts w:ascii="Palatino Linotype" w:eastAsia="Palatino Linotype" w:hAnsi="Palatino Linotype" w:cs="Palatino Linotype"/>
          <w:i/>
          <w:sz w:val="22"/>
          <w:szCs w:val="22"/>
        </w:rPr>
        <w:t>publica</w:t>
      </w:r>
      <w:proofErr w:type="spellEnd"/>
      <w:r w:rsidR="00B917F5" w:rsidRPr="00FA58BF">
        <w:rPr>
          <w:rFonts w:ascii="Palatino Linotype" w:eastAsia="Palatino Linotype" w:hAnsi="Palatino Linotype" w:cs="Palatino Linotype"/>
          <w:i/>
          <w:sz w:val="22"/>
          <w:szCs w:val="22"/>
        </w:rPr>
        <w:t xml:space="preserve">, la cual tiene obligación de proporcionar al solicitante de información, por lo que al negar hacerlo en la respuesta que emite impide tener acceso a la información </w:t>
      </w:r>
      <w:proofErr w:type="spellStart"/>
      <w:r w:rsidR="00B917F5" w:rsidRPr="00FA58BF">
        <w:rPr>
          <w:rFonts w:ascii="Palatino Linotype" w:eastAsia="Palatino Linotype" w:hAnsi="Palatino Linotype" w:cs="Palatino Linotype"/>
          <w:i/>
          <w:sz w:val="22"/>
          <w:szCs w:val="22"/>
        </w:rPr>
        <w:t>publica</w:t>
      </w:r>
      <w:proofErr w:type="spellEnd"/>
      <w:r w:rsidR="00B917F5" w:rsidRPr="00FA58BF">
        <w:rPr>
          <w:rFonts w:ascii="Palatino Linotype" w:eastAsia="Palatino Linotype" w:hAnsi="Palatino Linotype" w:cs="Palatino Linotype"/>
          <w:i/>
          <w:sz w:val="22"/>
          <w:szCs w:val="22"/>
        </w:rPr>
        <w:t xml:space="preserve"> de los expedientes que menciona, ya que no clasifica la información confidencial y la información </w:t>
      </w:r>
      <w:proofErr w:type="spellStart"/>
      <w:r w:rsidR="00B917F5" w:rsidRPr="00FA58BF">
        <w:rPr>
          <w:rFonts w:ascii="Palatino Linotype" w:eastAsia="Palatino Linotype" w:hAnsi="Palatino Linotype" w:cs="Palatino Linotype"/>
          <w:i/>
          <w:sz w:val="22"/>
          <w:szCs w:val="22"/>
        </w:rPr>
        <w:t>publica</w:t>
      </w:r>
      <w:proofErr w:type="spellEnd"/>
      <w:r w:rsidR="00B917F5" w:rsidRPr="00FA58BF">
        <w:rPr>
          <w:rFonts w:ascii="Palatino Linotype" w:eastAsia="Palatino Linotype" w:hAnsi="Palatino Linotype" w:cs="Palatino Linotype"/>
          <w:i/>
          <w:sz w:val="22"/>
          <w:szCs w:val="22"/>
        </w:rPr>
        <w:t xml:space="preserve">, negando la información sin distinguir una de otra por lo que con dicho presupuesto viola mi derecho de acceso a la información </w:t>
      </w:r>
      <w:proofErr w:type="spellStart"/>
      <w:r w:rsidR="00B917F5" w:rsidRPr="00FA58BF">
        <w:rPr>
          <w:rFonts w:ascii="Palatino Linotype" w:eastAsia="Palatino Linotype" w:hAnsi="Palatino Linotype" w:cs="Palatino Linotype"/>
          <w:i/>
          <w:sz w:val="22"/>
          <w:szCs w:val="22"/>
        </w:rPr>
        <w:t>publica</w:t>
      </w:r>
      <w:proofErr w:type="spellEnd"/>
      <w:r w:rsidR="004D78AD" w:rsidRPr="00FA58BF">
        <w:rPr>
          <w:rFonts w:ascii="Palatino Linotype" w:eastAsia="Palatino Linotype" w:hAnsi="Palatino Linotype" w:cs="Palatino Linotype"/>
          <w:i/>
          <w:sz w:val="22"/>
          <w:szCs w:val="22"/>
        </w:rPr>
        <w:t>” (Sic)</w:t>
      </w:r>
    </w:p>
    <w:p w14:paraId="5A2D7496" w14:textId="77777777" w:rsidR="004C6C59" w:rsidRPr="00FA58BF" w:rsidRDefault="004C6C59" w:rsidP="004519DF">
      <w:pPr>
        <w:ind w:left="851" w:right="902"/>
        <w:contextualSpacing/>
        <w:jc w:val="both"/>
        <w:rPr>
          <w:rFonts w:ascii="Palatino Linotype" w:eastAsia="Palatino Linotype" w:hAnsi="Palatino Linotype" w:cs="Palatino Linotype"/>
          <w:i/>
          <w:sz w:val="22"/>
          <w:szCs w:val="22"/>
        </w:rPr>
      </w:pPr>
    </w:p>
    <w:p w14:paraId="1CDE8239" w14:textId="77777777" w:rsidR="004C6C59" w:rsidRPr="00FA58BF" w:rsidRDefault="004519DF">
      <w:pPr>
        <w:spacing w:line="360" w:lineRule="auto"/>
        <w:ind w:right="51"/>
        <w:jc w:val="both"/>
        <w:rPr>
          <w:rFonts w:ascii="Palatino Linotype" w:eastAsia="Palatino Linotype" w:hAnsi="Palatino Linotype" w:cs="Palatino Linotype"/>
        </w:rPr>
      </w:pPr>
      <w:r w:rsidRPr="00FA58BF">
        <w:rPr>
          <w:rFonts w:ascii="Palatino Linotype" w:eastAsia="Palatino Linotype" w:hAnsi="Palatino Linotype" w:cs="Palatino Linotype"/>
          <w:b/>
        </w:rPr>
        <w:lastRenderedPageBreak/>
        <w:t>4</w:t>
      </w:r>
      <w:r w:rsidR="004D78AD" w:rsidRPr="00FA58BF">
        <w:rPr>
          <w:rFonts w:ascii="Palatino Linotype" w:eastAsia="Palatino Linotype" w:hAnsi="Palatino Linotype" w:cs="Palatino Linotype"/>
          <w:b/>
        </w:rPr>
        <w:t xml:space="preserve">. Turno. </w:t>
      </w:r>
      <w:r w:rsidR="004D78AD" w:rsidRPr="00FA58B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4D78AD" w:rsidRPr="00FA58BF">
        <w:rPr>
          <w:rFonts w:ascii="Palatino Linotype" w:eastAsia="Palatino Linotype" w:hAnsi="Palatino Linotype" w:cs="Palatino Linotype"/>
          <w:b/>
        </w:rPr>
        <w:t xml:space="preserve">Guadalupe Ramírez Peña, </w:t>
      </w:r>
      <w:r w:rsidR="004D78AD" w:rsidRPr="00FA58BF">
        <w:rPr>
          <w:rFonts w:ascii="Palatino Linotype" w:eastAsia="Palatino Linotype" w:hAnsi="Palatino Linotype" w:cs="Palatino Linotype"/>
        </w:rPr>
        <w:t xml:space="preserve">a efecto de que analizara sobre su admisión o su </w:t>
      </w:r>
      <w:proofErr w:type="spellStart"/>
      <w:r w:rsidR="004D78AD" w:rsidRPr="00FA58BF">
        <w:rPr>
          <w:rFonts w:ascii="Palatino Linotype" w:eastAsia="Palatino Linotype" w:hAnsi="Palatino Linotype" w:cs="Palatino Linotype"/>
        </w:rPr>
        <w:t>desechamiento</w:t>
      </w:r>
      <w:proofErr w:type="spellEnd"/>
      <w:r w:rsidR="004D78AD" w:rsidRPr="00FA58BF">
        <w:rPr>
          <w:rFonts w:ascii="Palatino Linotype" w:eastAsia="Palatino Linotype" w:hAnsi="Palatino Linotype" w:cs="Palatino Linotype"/>
        </w:rPr>
        <w:t>.</w:t>
      </w:r>
    </w:p>
    <w:p w14:paraId="1F36957B" w14:textId="77777777" w:rsidR="004C6C59" w:rsidRPr="00FA58BF" w:rsidRDefault="004C6C59">
      <w:pPr>
        <w:spacing w:line="360" w:lineRule="auto"/>
        <w:ind w:right="51"/>
        <w:jc w:val="both"/>
        <w:rPr>
          <w:rFonts w:ascii="Palatino Linotype" w:eastAsia="Palatino Linotype" w:hAnsi="Palatino Linotype" w:cs="Palatino Linotype"/>
        </w:rPr>
      </w:pPr>
    </w:p>
    <w:p w14:paraId="0C11622F" w14:textId="77777777" w:rsidR="004C6C59" w:rsidRPr="00FA58BF" w:rsidRDefault="004519DF">
      <w:pPr>
        <w:spacing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t>5</w:t>
      </w:r>
      <w:r w:rsidR="004D78AD" w:rsidRPr="00FA58BF">
        <w:rPr>
          <w:rFonts w:ascii="Palatino Linotype" w:eastAsia="Palatino Linotype" w:hAnsi="Palatino Linotype" w:cs="Palatino Linotype"/>
          <w:b/>
        </w:rPr>
        <w:t>. Admisión del Recurso de revisión.</w:t>
      </w:r>
      <w:r w:rsidR="004D78AD" w:rsidRPr="00FA58BF">
        <w:rPr>
          <w:rFonts w:ascii="Palatino Linotype" w:eastAsia="Palatino Linotype" w:hAnsi="Palatino Linotype" w:cs="Palatino Linotype"/>
        </w:rPr>
        <w:t xml:space="preserve"> Con fecha</w:t>
      </w:r>
      <w:r w:rsidR="00B917F5" w:rsidRPr="00FA58BF">
        <w:rPr>
          <w:rFonts w:ascii="Palatino Linotype" w:eastAsia="Palatino Linotype" w:hAnsi="Palatino Linotype" w:cs="Palatino Linotype"/>
          <w:b/>
        </w:rPr>
        <w:t xml:space="preserve"> dieciséis de noviembre</w:t>
      </w:r>
      <w:r w:rsidR="00AA3729" w:rsidRPr="00FA58BF">
        <w:rPr>
          <w:rFonts w:ascii="Palatino Linotype" w:eastAsia="Palatino Linotype" w:hAnsi="Palatino Linotype" w:cs="Palatino Linotype"/>
          <w:b/>
        </w:rPr>
        <w:t xml:space="preserve"> de dos mil veintitrés</w:t>
      </w:r>
      <w:r w:rsidR="004D78AD" w:rsidRPr="00FA58BF">
        <w:rPr>
          <w:rFonts w:ascii="Palatino Linotype" w:eastAsia="Palatino Linotype" w:hAnsi="Palatino Linotype" w:cs="Palatino Linotype"/>
          <w:b/>
        </w:rPr>
        <w:t xml:space="preserve">, </w:t>
      </w:r>
      <w:r w:rsidR="004D78AD" w:rsidRPr="00FA58B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4D78AD" w:rsidRPr="00FA58BF">
        <w:rPr>
          <w:rFonts w:ascii="Palatino Linotype" w:eastAsia="Palatino Linotype" w:hAnsi="Palatino Linotype" w:cs="Palatino Linotype"/>
          <w:b/>
        </w:rPr>
        <w:t xml:space="preserve">SUJETO OBLIGADO </w:t>
      </w:r>
      <w:r w:rsidR="004D78AD" w:rsidRPr="00FA58BF">
        <w:rPr>
          <w:rFonts w:ascii="Palatino Linotype" w:eastAsia="Palatino Linotype" w:hAnsi="Palatino Linotype" w:cs="Palatino Linotype"/>
        </w:rPr>
        <w:t>presentara su informe justificado.</w:t>
      </w:r>
    </w:p>
    <w:p w14:paraId="11F05807" w14:textId="77777777" w:rsidR="00F51334" w:rsidRPr="00FA58BF" w:rsidRDefault="004519DF" w:rsidP="003A1421">
      <w:pPr>
        <w:spacing w:before="240" w:after="240" w:line="360" w:lineRule="auto"/>
        <w:jc w:val="both"/>
        <w:rPr>
          <w:noProof/>
          <w:lang w:val="es-MX"/>
        </w:rPr>
      </w:pPr>
      <w:r w:rsidRPr="00FA58BF">
        <w:rPr>
          <w:rFonts w:ascii="Palatino Linotype" w:eastAsia="Palatino Linotype" w:hAnsi="Palatino Linotype" w:cs="Palatino Linotype"/>
          <w:b/>
        </w:rPr>
        <w:t>6</w:t>
      </w:r>
      <w:r w:rsidR="004D78AD" w:rsidRPr="00FA58BF">
        <w:rPr>
          <w:rFonts w:ascii="Palatino Linotype" w:eastAsia="Palatino Linotype" w:hAnsi="Palatino Linotype" w:cs="Palatino Linotype"/>
          <w:b/>
        </w:rPr>
        <w:t>. Manifestaciones</w:t>
      </w:r>
      <w:r w:rsidR="004D78AD" w:rsidRPr="00FA58BF">
        <w:rPr>
          <w:rFonts w:ascii="Palatino Linotype" w:eastAsia="Palatino Linotype" w:hAnsi="Palatino Linotype" w:cs="Palatino Linotype"/>
        </w:rPr>
        <w:t xml:space="preserve">. </w:t>
      </w:r>
      <w:r w:rsidR="003A1421" w:rsidRPr="00FA58BF">
        <w:rPr>
          <w:rFonts w:ascii="Palatino Linotype" w:eastAsia="Palatino Linotype" w:hAnsi="Palatino Linotype" w:cs="Palatino Linotype"/>
        </w:rPr>
        <w:t xml:space="preserve">De las constancias que obran en el expediente electrónico del SAIMEX se desprende que </w:t>
      </w:r>
      <w:r w:rsidR="00F51334" w:rsidRPr="00FA58BF">
        <w:rPr>
          <w:rFonts w:ascii="Palatino Linotype" w:eastAsia="Palatino Linotype" w:hAnsi="Palatino Linotype" w:cs="Palatino Linotype"/>
          <w:b/>
        </w:rPr>
        <w:t>la parte</w:t>
      </w:r>
      <w:r w:rsidR="003A1421" w:rsidRPr="00FA58BF">
        <w:rPr>
          <w:rFonts w:ascii="Palatino Linotype" w:eastAsia="Palatino Linotype" w:hAnsi="Palatino Linotype" w:cs="Palatino Linotype"/>
          <w:b/>
        </w:rPr>
        <w:t xml:space="preserve"> RECURRENTE</w:t>
      </w:r>
      <w:r w:rsidR="003A1421" w:rsidRPr="00FA58BF">
        <w:rPr>
          <w:rFonts w:ascii="Palatino Linotype" w:eastAsia="Palatino Linotype" w:hAnsi="Palatino Linotype" w:cs="Palatino Linotype"/>
        </w:rPr>
        <w:t xml:space="preserve"> </w:t>
      </w:r>
      <w:r w:rsidR="00C9067A" w:rsidRPr="00FA58BF">
        <w:rPr>
          <w:rFonts w:ascii="Palatino Linotype" w:eastAsia="Palatino Linotype" w:hAnsi="Palatino Linotype" w:cs="Palatino Linotype"/>
        </w:rPr>
        <w:t>omitió realizar manifestaciones.</w:t>
      </w:r>
      <w:r w:rsidR="003A1421" w:rsidRPr="00FA58BF">
        <w:rPr>
          <w:rFonts w:ascii="Palatino Linotype" w:eastAsia="Palatino Linotype" w:hAnsi="Palatino Linotype" w:cs="Palatino Linotype"/>
        </w:rPr>
        <w:t xml:space="preserve"> </w:t>
      </w:r>
    </w:p>
    <w:p w14:paraId="4C6DCBCD" w14:textId="77777777" w:rsidR="00C9067A" w:rsidRPr="00FA58BF" w:rsidRDefault="00C9067A" w:rsidP="00C9067A">
      <w:pPr>
        <w:spacing w:after="240" w:line="360" w:lineRule="auto"/>
        <w:jc w:val="both"/>
        <w:rPr>
          <w:rFonts w:ascii="Palatino Linotype" w:hAnsi="Palatino Linotype"/>
        </w:rPr>
      </w:pPr>
      <w:bookmarkStart w:id="2" w:name="_Hlk96343091"/>
      <w:r w:rsidRPr="00FA58BF">
        <w:rPr>
          <w:rFonts w:ascii="Palatino Linotype" w:hAnsi="Palatino Linotype"/>
        </w:rPr>
        <w:t xml:space="preserve">En fecha </w:t>
      </w:r>
      <w:r w:rsidR="00B917F5" w:rsidRPr="00FA58BF">
        <w:rPr>
          <w:rFonts w:ascii="Palatino Linotype" w:hAnsi="Palatino Linotype"/>
        </w:rPr>
        <w:t>veintiocho de noviembre</w:t>
      </w:r>
      <w:r w:rsidRPr="00FA58BF">
        <w:rPr>
          <w:rFonts w:ascii="Palatino Linotype" w:hAnsi="Palatino Linotype"/>
        </w:rPr>
        <w:t xml:space="preserve"> de dos mil veintitrés</w:t>
      </w:r>
      <w:r w:rsidRPr="00FA58BF">
        <w:rPr>
          <w:rFonts w:ascii="Palatino Linotype" w:hAnsi="Palatino Linotype"/>
          <w:b/>
        </w:rPr>
        <w:t xml:space="preserve">, </w:t>
      </w:r>
      <w:r w:rsidRPr="00FA58BF">
        <w:rPr>
          <w:rFonts w:ascii="Palatino Linotype" w:hAnsi="Palatino Linotype"/>
        </w:rPr>
        <w:t xml:space="preserve">el </w:t>
      </w:r>
      <w:r w:rsidRPr="00FA58BF">
        <w:rPr>
          <w:rFonts w:ascii="Palatino Linotype" w:hAnsi="Palatino Linotype" w:cs="Arial"/>
          <w:b/>
        </w:rPr>
        <w:t xml:space="preserve">SUJETO OBLIGADO </w:t>
      </w:r>
      <w:r w:rsidRPr="00FA58BF">
        <w:rPr>
          <w:rFonts w:ascii="Palatino Linotype" w:hAnsi="Palatino Linotype"/>
        </w:rPr>
        <w:t xml:space="preserve">remitió, a través del SAIMEX, </w:t>
      </w:r>
      <w:bookmarkEnd w:id="2"/>
      <w:r w:rsidRPr="00FA58BF">
        <w:rPr>
          <w:rFonts w:ascii="Palatino Linotype" w:hAnsi="Palatino Linotype"/>
        </w:rPr>
        <w:t>el siguiente archivo electrónico:</w:t>
      </w:r>
    </w:p>
    <w:p w14:paraId="2B304759" w14:textId="77777777" w:rsidR="00767165" w:rsidRPr="00FA58BF" w:rsidRDefault="00767165" w:rsidP="00C9067A">
      <w:pPr>
        <w:spacing w:after="240" w:line="360" w:lineRule="auto"/>
        <w:jc w:val="both"/>
        <w:rPr>
          <w:rFonts w:ascii="Palatino Linotype" w:hAnsi="Palatino Linotype"/>
        </w:rPr>
      </w:pPr>
      <w:r w:rsidRPr="00FA58BF">
        <w:rPr>
          <w:rFonts w:ascii="Palatino Linotype" w:hAnsi="Palatino Linotype"/>
        </w:rPr>
        <w:t>“</w:t>
      </w:r>
      <w:hyperlink r:id="rId11" w:history="1">
        <w:r w:rsidR="00B917F5" w:rsidRPr="00FA58BF">
          <w:rPr>
            <w:rFonts w:ascii="Palatino Linotype" w:hAnsi="Palatino Linotype"/>
          </w:rPr>
          <w:t>07904.pdf</w:t>
        </w:r>
      </w:hyperlink>
      <w:r w:rsidRPr="00FA58BF">
        <w:rPr>
          <w:rFonts w:ascii="Palatino Linotype" w:hAnsi="Palatino Linotype"/>
        </w:rPr>
        <w:t xml:space="preserve">”, </w:t>
      </w:r>
      <w:r w:rsidR="00C71146" w:rsidRPr="00FA58BF">
        <w:rPr>
          <w:rFonts w:ascii="Palatino Linotype" w:hAnsi="Palatino Linotype"/>
        </w:rPr>
        <w:t xml:space="preserve">el cual contiene el informe justificado del </w:t>
      </w:r>
      <w:r w:rsidR="00C71146" w:rsidRPr="00FA58BF">
        <w:rPr>
          <w:rFonts w:ascii="Palatino Linotype" w:hAnsi="Palatino Linotype"/>
          <w:b/>
        </w:rPr>
        <w:t>SUJETO OBLIGADO</w:t>
      </w:r>
      <w:r w:rsidR="00B917F5" w:rsidRPr="00FA58BF">
        <w:rPr>
          <w:rFonts w:ascii="Palatino Linotype" w:hAnsi="Palatino Linotype"/>
        </w:rPr>
        <w:t>, por medio del cual</w:t>
      </w:r>
      <w:r w:rsidR="00C71146" w:rsidRPr="00FA58BF">
        <w:rPr>
          <w:rFonts w:ascii="Palatino Linotype" w:hAnsi="Palatino Linotype"/>
        </w:rPr>
        <w:t xml:space="preserve">, </w:t>
      </w:r>
      <w:r w:rsidR="00B917F5" w:rsidRPr="00FA58BF">
        <w:rPr>
          <w:rFonts w:ascii="Palatino Linotype" w:hAnsi="Palatino Linotype"/>
        </w:rPr>
        <w:t xml:space="preserve">además se señalar los antecedentes del presente asunto, ratificó su respuesta </w:t>
      </w:r>
      <w:r w:rsidR="00DC0E87" w:rsidRPr="00FA58BF">
        <w:rPr>
          <w:rFonts w:ascii="Palatino Linotype" w:hAnsi="Palatino Linotype"/>
        </w:rPr>
        <w:t xml:space="preserve">primigenia. </w:t>
      </w:r>
    </w:p>
    <w:p w14:paraId="762DECEF" w14:textId="77777777" w:rsidR="006B3F6A" w:rsidRPr="00FA58BF" w:rsidRDefault="006B3F6A" w:rsidP="006B3F6A">
      <w:pPr>
        <w:spacing w:after="240" w:line="360" w:lineRule="auto"/>
        <w:jc w:val="both"/>
        <w:rPr>
          <w:rFonts w:ascii="Palatino Linotype" w:hAnsi="Palatino Linotype"/>
        </w:rPr>
      </w:pPr>
      <w:r w:rsidRPr="00FA58BF">
        <w:rPr>
          <w:rFonts w:ascii="Palatino Linotype" w:hAnsi="Palatino Linotype"/>
        </w:rPr>
        <w:lastRenderedPageBreak/>
        <w:t xml:space="preserve">Documento que, una vez analizado, se hizo del conocimiento de la parte </w:t>
      </w:r>
      <w:r w:rsidRPr="00FA58BF">
        <w:rPr>
          <w:rFonts w:ascii="Palatino Linotype" w:hAnsi="Palatino Linotype"/>
          <w:b/>
          <w:bCs/>
        </w:rPr>
        <w:t>RECURRENTE</w:t>
      </w:r>
      <w:r w:rsidRPr="00FA58BF">
        <w:rPr>
          <w:rFonts w:ascii="Palatino Linotype" w:hAnsi="Palatino Linotype"/>
        </w:rPr>
        <w:t xml:space="preserve"> a efecto de que manifestara lo que a su derecho estimara conveniente, sin embargo, fue omiso en ejercer dicha prerrogativa en el plazo establecido para tal efecto.</w:t>
      </w:r>
    </w:p>
    <w:p w14:paraId="5AE7713A" w14:textId="77777777" w:rsidR="008F49C6" w:rsidRPr="00FA58BF" w:rsidRDefault="00FD5810" w:rsidP="003A1421">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t>7</w:t>
      </w:r>
      <w:r w:rsidR="008F49C6" w:rsidRPr="00FA58BF">
        <w:rPr>
          <w:rFonts w:ascii="Palatino Linotype" w:eastAsia="Palatino Linotype" w:hAnsi="Palatino Linotype" w:cs="Palatino Linotype"/>
          <w:b/>
        </w:rPr>
        <w:t>. Ampliación del plazo.</w:t>
      </w:r>
      <w:r w:rsidR="00B917F5" w:rsidRPr="00FA58BF">
        <w:rPr>
          <w:rFonts w:ascii="Palatino Linotype" w:eastAsia="Palatino Linotype" w:hAnsi="Palatino Linotype" w:cs="Palatino Linotype"/>
        </w:rPr>
        <w:t xml:space="preserve"> En fecha doce de marzo</w:t>
      </w:r>
      <w:r w:rsidR="00F466FA" w:rsidRPr="00FA58BF">
        <w:rPr>
          <w:rFonts w:ascii="Palatino Linotype" w:eastAsia="Palatino Linotype" w:hAnsi="Palatino Linotype" w:cs="Palatino Linotype"/>
        </w:rPr>
        <w:t xml:space="preserve"> del año dos mil veinticuatro</w:t>
      </w:r>
      <w:r w:rsidR="008F49C6" w:rsidRPr="00FA58BF">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BEFA731" w14:textId="77777777" w:rsidR="007E7C28" w:rsidRPr="00FA58BF" w:rsidRDefault="007E7C28" w:rsidP="007E7C28">
      <w:pPr>
        <w:widowControl w:val="0"/>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3EDFCEF" w14:textId="77777777" w:rsidR="008F49C6" w:rsidRPr="00FA58BF" w:rsidRDefault="008F49C6" w:rsidP="008F49C6">
      <w:pPr>
        <w:spacing w:line="360" w:lineRule="auto"/>
        <w:jc w:val="both"/>
        <w:rPr>
          <w:rFonts w:ascii="Palatino Linotype" w:eastAsia="Palatino Linotype" w:hAnsi="Palatino Linotype" w:cs="Palatino Linotype"/>
        </w:rPr>
      </w:pPr>
    </w:p>
    <w:p w14:paraId="4C0D39A9" w14:textId="77777777" w:rsidR="008F49C6" w:rsidRPr="00FA58BF" w:rsidRDefault="008F49C6" w:rsidP="008F49C6">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269E442" w14:textId="77777777" w:rsidR="00EB0ED3" w:rsidRPr="00FA58BF" w:rsidRDefault="00EB0ED3" w:rsidP="008F49C6">
      <w:pPr>
        <w:spacing w:line="360" w:lineRule="auto"/>
        <w:jc w:val="both"/>
        <w:rPr>
          <w:rFonts w:ascii="Palatino Linotype" w:eastAsia="Palatino Linotype" w:hAnsi="Palatino Linotype" w:cs="Palatino Linotype"/>
        </w:rPr>
      </w:pPr>
    </w:p>
    <w:p w14:paraId="236685FB" w14:textId="77777777" w:rsidR="008F49C6" w:rsidRPr="00FA58BF" w:rsidRDefault="008F49C6" w:rsidP="008F49C6">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2EA508" w14:textId="77777777" w:rsidR="008F49C6" w:rsidRPr="00FA58BF" w:rsidRDefault="008F49C6" w:rsidP="008F49C6">
      <w:pPr>
        <w:spacing w:line="360" w:lineRule="auto"/>
        <w:jc w:val="both"/>
        <w:rPr>
          <w:rFonts w:ascii="Palatino Linotype" w:eastAsia="Palatino Linotype" w:hAnsi="Palatino Linotype" w:cs="Palatino Linotype"/>
        </w:rPr>
      </w:pPr>
    </w:p>
    <w:p w14:paraId="2B7DFC40" w14:textId="77777777" w:rsidR="008F49C6" w:rsidRPr="00FA58BF" w:rsidRDefault="008F49C6" w:rsidP="008F49C6">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B42DCA6" w14:textId="77777777" w:rsidR="008F49C6" w:rsidRPr="00FA58BF" w:rsidRDefault="008F49C6" w:rsidP="008F49C6">
      <w:pPr>
        <w:spacing w:line="360" w:lineRule="auto"/>
        <w:jc w:val="both"/>
        <w:rPr>
          <w:rFonts w:ascii="Palatino Linotype" w:eastAsia="Palatino Linotype" w:hAnsi="Palatino Linotype" w:cs="Palatino Linotype"/>
        </w:rPr>
      </w:pPr>
    </w:p>
    <w:p w14:paraId="6F178506" w14:textId="77777777" w:rsidR="008F49C6" w:rsidRPr="00FA58BF" w:rsidRDefault="008F49C6" w:rsidP="008F49C6">
      <w:pPr>
        <w:spacing w:line="360" w:lineRule="auto"/>
        <w:jc w:val="both"/>
        <w:rPr>
          <w:rFonts w:ascii="Palatino Linotype" w:eastAsia="Palatino Linotype" w:hAnsi="Palatino Linotype" w:cs="Palatino Linotype"/>
          <w:strike/>
          <w:color w:val="FF0000"/>
        </w:rPr>
      </w:pPr>
      <w:r w:rsidRPr="00FA58B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4572446" w14:textId="77777777" w:rsidR="008F49C6" w:rsidRPr="00FA58BF" w:rsidRDefault="008F49C6" w:rsidP="008F49C6">
      <w:pPr>
        <w:spacing w:line="360" w:lineRule="auto"/>
        <w:jc w:val="both"/>
        <w:rPr>
          <w:rFonts w:ascii="Palatino Linotype" w:eastAsia="Palatino Linotype" w:hAnsi="Palatino Linotype" w:cs="Palatino Linotype"/>
        </w:rPr>
      </w:pPr>
    </w:p>
    <w:p w14:paraId="4E177D40" w14:textId="77777777" w:rsidR="008F49C6" w:rsidRPr="00FA58BF" w:rsidRDefault="008F49C6" w:rsidP="00ED3AC4">
      <w:pPr>
        <w:numPr>
          <w:ilvl w:val="0"/>
          <w:numId w:val="4"/>
        </w:numPr>
        <w:ind w:left="851"/>
        <w:contextualSpacing/>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762CE8C6" w14:textId="77777777" w:rsidR="008F49C6" w:rsidRPr="00FA58BF" w:rsidRDefault="008F49C6" w:rsidP="00ED3AC4">
      <w:pPr>
        <w:ind w:left="851" w:hanging="360"/>
        <w:contextualSpacing/>
        <w:jc w:val="both"/>
        <w:rPr>
          <w:rFonts w:ascii="Palatino Linotype" w:eastAsia="Palatino Linotype" w:hAnsi="Palatino Linotype" w:cs="Palatino Linotype"/>
        </w:rPr>
      </w:pPr>
    </w:p>
    <w:p w14:paraId="33EADCAE" w14:textId="77777777" w:rsidR="008F49C6" w:rsidRPr="00FA58BF" w:rsidRDefault="008F49C6" w:rsidP="00ED3AC4">
      <w:pPr>
        <w:numPr>
          <w:ilvl w:val="0"/>
          <w:numId w:val="4"/>
        </w:numPr>
        <w:ind w:left="851"/>
        <w:contextualSpacing/>
        <w:jc w:val="both"/>
        <w:rPr>
          <w:rFonts w:ascii="Palatino Linotype" w:eastAsia="Palatino Linotype" w:hAnsi="Palatino Linotype" w:cs="Palatino Linotype"/>
        </w:rPr>
      </w:pPr>
      <w:r w:rsidRPr="00FA58BF">
        <w:rPr>
          <w:rFonts w:ascii="Palatino Linotype" w:eastAsia="Palatino Linotype" w:hAnsi="Palatino Linotype" w:cs="Palatino Linotype"/>
        </w:rPr>
        <w:t>Actividad Procesal del interesado. Acciones u omisiones del interesado.</w:t>
      </w:r>
    </w:p>
    <w:p w14:paraId="5420D6A7" w14:textId="77777777" w:rsidR="008F49C6" w:rsidRPr="00FA58BF" w:rsidRDefault="008F49C6" w:rsidP="00ED3AC4">
      <w:pPr>
        <w:ind w:left="851" w:hanging="360"/>
        <w:contextualSpacing/>
        <w:jc w:val="both"/>
        <w:rPr>
          <w:rFonts w:ascii="Palatino Linotype" w:eastAsia="Palatino Linotype" w:hAnsi="Palatino Linotype" w:cs="Palatino Linotype"/>
        </w:rPr>
      </w:pPr>
    </w:p>
    <w:p w14:paraId="0AD79D89" w14:textId="77777777" w:rsidR="008F49C6" w:rsidRPr="00FA58BF" w:rsidRDefault="008F49C6" w:rsidP="00ED3AC4">
      <w:pPr>
        <w:numPr>
          <w:ilvl w:val="0"/>
          <w:numId w:val="4"/>
        </w:numPr>
        <w:ind w:left="851"/>
        <w:contextualSpacing/>
        <w:jc w:val="both"/>
        <w:rPr>
          <w:rFonts w:ascii="Palatino Linotype" w:eastAsia="Palatino Linotype" w:hAnsi="Palatino Linotype" w:cs="Palatino Linotype"/>
        </w:rPr>
      </w:pPr>
      <w:r w:rsidRPr="00FA58BF">
        <w:rPr>
          <w:rFonts w:ascii="Palatino Linotype" w:eastAsia="Palatino Linotype" w:hAnsi="Palatino Linotype" w:cs="Palatino Linotype"/>
        </w:rPr>
        <w:t>Conducta de la Autoridad: Las Acciones u omisiones realizadas en el procedimiento. Así como si la autoridad actuó con la debida diligencia.</w:t>
      </w:r>
    </w:p>
    <w:p w14:paraId="0CC35495" w14:textId="77777777" w:rsidR="008F49C6" w:rsidRPr="00FA58BF" w:rsidRDefault="008F49C6" w:rsidP="00ED3AC4">
      <w:pPr>
        <w:ind w:left="851" w:hanging="360"/>
        <w:contextualSpacing/>
        <w:rPr>
          <w:rFonts w:ascii="Palatino Linotype" w:eastAsia="Palatino Linotype" w:hAnsi="Palatino Linotype" w:cs="Palatino Linotype"/>
        </w:rPr>
      </w:pPr>
    </w:p>
    <w:p w14:paraId="3C909A5E" w14:textId="77777777" w:rsidR="008F49C6" w:rsidRPr="00FA58BF" w:rsidRDefault="008F49C6" w:rsidP="00ED3AC4">
      <w:pPr>
        <w:ind w:left="851" w:hanging="360"/>
        <w:contextualSpacing/>
        <w:jc w:val="both"/>
        <w:rPr>
          <w:rFonts w:ascii="Palatino Linotype" w:eastAsia="Palatino Linotype" w:hAnsi="Palatino Linotype" w:cs="Palatino Linotype"/>
        </w:rPr>
      </w:pPr>
      <w:r w:rsidRPr="00FA58BF">
        <w:rPr>
          <w:rFonts w:ascii="Palatino Linotype" w:eastAsia="Palatino Linotype" w:hAnsi="Palatino Linotype" w:cs="Palatino Linotype"/>
        </w:rPr>
        <w:t>d) La afectación generada en la situación jurídica de la persona involucrada en el proceso: Violación a sus derechos humanos.</w:t>
      </w:r>
    </w:p>
    <w:p w14:paraId="127ED182" w14:textId="77777777" w:rsidR="008F49C6" w:rsidRPr="00FA58BF" w:rsidRDefault="008F49C6" w:rsidP="008F49C6">
      <w:pPr>
        <w:spacing w:line="360" w:lineRule="auto"/>
        <w:jc w:val="both"/>
        <w:rPr>
          <w:rFonts w:ascii="Palatino Linotype" w:eastAsia="Palatino Linotype" w:hAnsi="Palatino Linotype" w:cs="Palatino Linotype"/>
        </w:rPr>
      </w:pPr>
    </w:p>
    <w:p w14:paraId="26381509" w14:textId="77777777" w:rsidR="008F49C6" w:rsidRPr="00FA58BF" w:rsidRDefault="008F49C6" w:rsidP="008F49C6">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08BC592" w14:textId="77777777" w:rsidR="007E7C28" w:rsidRPr="00FA58BF" w:rsidRDefault="007E7C28" w:rsidP="008F49C6">
      <w:pPr>
        <w:spacing w:line="360" w:lineRule="auto"/>
        <w:jc w:val="both"/>
        <w:rPr>
          <w:rFonts w:ascii="Palatino Linotype" w:eastAsia="Palatino Linotype" w:hAnsi="Palatino Linotype" w:cs="Palatino Linotype"/>
        </w:rPr>
      </w:pPr>
    </w:p>
    <w:p w14:paraId="1D2760EF" w14:textId="77777777" w:rsidR="008F49C6" w:rsidRPr="00FA58BF" w:rsidRDefault="008F49C6" w:rsidP="008F49C6">
      <w:pPr>
        <w:spacing w:line="360" w:lineRule="auto"/>
        <w:jc w:val="both"/>
        <w:rPr>
          <w:rFonts w:ascii="Palatino Linotype" w:eastAsia="Palatino Linotype" w:hAnsi="Palatino Linotype" w:cs="Palatino Linotype"/>
          <w:b/>
        </w:rPr>
      </w:pPr>
      <w:r w:rsidRPr="00FA58B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FA58BF">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FA58BF">
        <w:rPr>
          <w:rFonts w:ascii="Palatino Linotype" w:eastAsia="Palatino Linotype" w:hAnsi="Palatino Linotype" w:cs="Palatino Linotype"/>
        </w:rPr>
        <w:t>, visible en la Gaceta del Seminario Judicial de la Federación con el registro digital 205635.</w:t>
      </w:r>
    </w:p>
    <w:p w14:paraId="0ABE8413" w14:textId="77777777" w:rsidR="008F49C6" w:rsidRPr="00FA58BF" w:rsidRDefault="008F49C6" w:rsidP="008F49C6">
      <w:pPr>
        <w:spacing w:line="360" w:lineRule="auto"/>
        <w:jc w:val="both"/>
        <w:rPr>
          <w:rFonts w:ascii="Palatino Linotype" w:eastAsia="Palatino Linotype" w:hAnsi="Palatino Linotype" w:cs="Palatino Linotype"/>
        </w:rPr>
      </w:pPr>
    </w:p>
    <w:p w14:paraId="49DD78CF" w14:textId="77777777" w:rsidR="008F49C6" w:rsidRPr="00FA58BF" w:rsidRDefault="008F49C6" w:rsidP="008F49C6">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FA58BF">
        <w:rPr>
          <w:rFonts w:ascii="Palatino Linotype" w:eastAsia="Palatino Linotype" w:hAnsi="Palatino Linotype" w:cs="Palatino Linotype"/>
        </w:rPr>
        <w:lastRenderedPageBreak/>
        <w:t>los términos legales previamente establecidos por la Ley, por tratarse de causas de fuerza mayor.</w:t>
      </w:r>
    </w:p>
    <w:p w14:paraId="507087F9" w14:textId="77777777" w:rsidR="008F49C6" w:rsidRPr="00FA58BF" w:rsidRDefault="008F49C6" w:rsidP="008F49C6">
      <w:pPr>
        <w:spacing w:line="360" w:lineRule="auto"/>
        <w:jc w:val="both"/>
        <w:rPr>
          <w:rFonts w:ascii="Palatino Linotype" w:eastAsia="Palatino Linotype" w:hAnsi="Palatino Linotype" w:cs="Palatino Linotype"/>
        </w:rPr>
      </w:pPr>
    </w:p>
    <w:p w14:paraId="081D2F15" w14:textId="77777777" w:rsidR="008F49C6" w:rsidRPr="00FA58BF" w:rsidRDefault="008F49C6" w:rsidP="008F49C6">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2A3E103" w14:textId="77777777" w:rsidR="008F49C6" w:rsidRPr="00FA58BF" w:rsidRDefault="008F49C6" w:rsidP="008F49C6">
      <w:pPr>
        <w:spacing w:line="360" w:lineRule="auto"/>
        <w:jc w:val="both"/>
        <w:rPr>
          <w:rFonts w:ascii="Palatino Linotype" w:eastAsia="Palatino Linotype" w:hAnsi="Palatino Linotype" w:cs="Palatino Linotype"/>
        </w:rPr>
      </w:pPr>
    </w:p>
    <w:p w14:paraId="43FC2C9F" w14:textId="77777777" w:rsidR="008F49C6" w:rsidRPr="00FA58BF" w:rsidRDefault="008F49C6" w:rsidP="008F49C6">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 </w:t>
      </w:r>
      <w:r w:rsidRPr="00FA58BF">
        <w:rPr>
          <w:rFonts w:ascii="Palatino Linotype" w:eastAsia="Palatino Linotype" w:hAnsi="Palatino Linotype" w:cs="Palatino Linotype"/>
          <w:i/>
        </w:rPr>
        <w:t>“PLAZO RAZONABLE PARA RESOLVER. DIMENSIÓN Y EFECTOS DE ESTE CONCEPTO CUANDO SE ADUCE EXCESIVA CARGA DE TRABAJO.”</w:t>
      </w:r>
      <w:r w:rsidRPr="00FA58BF">
        <w:rPr>
          <w:rFonts w:ascii="Palatino Linotype" w:eastAsia="Palatino Linotype" w:hAnsi="Palatino Linotype" w:cs="Palatino Linotype"/>
        </w:rPr>
        <w:t xml:space="preserve"> consultable en el Seminario Judicial de la Federación y su gaceta, con el registro digital 2002351.</w:t>
      </w:r>
    </w:p>
    <w:p w14:paraId="3C48A541" w14:textId="77777777" w:rsidR="008F49C6" w:rsidRPr="00FA58BF" w:rsidRDefault="008F49C6" w:rsidP="008F49C6">
      <w:pPr>
        <w:spacing w:line="360" w:lineRule="auto"/>
        <w:jc w:val="both"/>
        <w:rPr>
          <w:rFonts w:ascii="Palatino Linotype" w:eastAsia="Palatino Linotype" w:hAnsi="Palatino Linotype" w:cs="Palatino Linotype"/>
          <w:b/>
        </w:rPr>
      </w:pPr>
    </w:p>
    <w:p w14:paraId="49F8921E" w14:textId="77777777" w:rsidR="008F49C6" w:rsidRPr="00FA58BF" w:rsidRDefault="008F49C6" w:rsidP="008F49C6">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i/>
        </w:rPr>
        <w:t>“PLAZO RAZONABLE PARA RESOLVER. CONCEPTO Y ELEMENTOS QUE LO INTEGRAN A LA LUZ DEL DERECHO INTERNACIONAL DE LOS DERECHOS HUMANOS.”</w:t>
      </w:r>
      <w:r w:rsidRPr="00FA58BF">
        <w:rPr>
          <w:rFonts w:ascii="Palatino Linotype" w:eastAsia="Palatino Linotype" w:hAnsi="Palatino Linotype" w:cs="Palatino Linotype"/>
        </w:rPr>
        <w:t>, visible en el Seminario Judicial de la Federación y su gaceta, con el registro digital 2002350.</w:t>
      </w:r>
    </w:p>
    <w:p w14:paraId="600A6B21" w14:textId="77777777" w:rsidR="008F49C6" w:rsidRPr="00FA58BF" w:rsidRDefault="008F49C6" w:rsidP="008F49C6">
      <w:pPr>
        <w:spacing w:line="360" w:lineRule="auto"/>
        <w:jc w:val="both"/>
        <w:rPr>
          <w:rFonts w:ascii="Palatino Linotype" w:eastAsia="Palatino Linotype" w:hAnsi="Palatino Linotype" w:cs="Palatino Linotype"/>
        </w:rPr>
      </w:pPr>
    </w:p>
    <w:p w14:paraId="0ABCAFDA" w14:textId="77777777" w:rsidR="008F49C6" w:rsidRPr="00FA58BF" w:rsidRDefault="008F49C6" w:rsidP="008F49C6">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3B2F007" w14:textId="77777777" w:rsidR="004C6C59" w:rsidRPr="00FA58BF" w:rsidRDefault="00ED3AC4">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t>8</w:t>
      </w:r>
      <w:r w:rsidR="004D78AD" w:rsidRPr="00FA58BF">
        <w:rPr>
          <w:rFonts w:ascii="Palatino Linotype" w:eastAsia="Palatino Linotype" w:hAnsi="Palatino Linotype" w:cs="Palatino Linotype"/>
          <w:b/>
        </w:rPr>
        <w:t xml:space="preserve">. Cierre de instrucción. </w:t>
      </w:r>
      <w:r w:rsidR="004D78AD" w:rsidRPr="00FA58BF">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493F72" w:rsidRPr="00FA58BF">
        <w:rPr>
          <w:rFonts w:ascii="Palatino Linotype" w:eastAsia="Palatino Linotype" w:hAnsi="Palatino Linotype" w:cs="Palatino Linotype"/>
          <w:b/>
        </w:rPr>
        <w:t>diecinueve</w:t>
      </w:r>
      <w:r w:rsidR="00880A1A" w:rsidRPr="00FA58BF">
        <w:rPr>
          <w:rFonts w:ascii="Palatino Linotype" w:eastAsia="Palatino Linotype" w:hAnsi="Palatino Linotype" w:cs="Palatino Linotype"/>
          <w:b/>
        </w:rPr>
        <w:t xml:space="preserve"> de </w:t>
      </w:r>
      <w:r w:rsidR="00493F72" w:rsidRPr="00FA58BF">
        <w:rPr>
          <w:rFonts w:ascii="Palatino Linotype" w:eastAsia="Palatino Linotype" w:hAnsi="Palatino Linotype" w:cs="Palatino Linotype"/>
          <w:b/>
        </w:rPr>
        <w:t>marzo</w:t>
      </w:r>
      <w:r w:rsidR="00880A1A" w:rsidRPr="00FA58BF">
        <w:rPr>
          <w:rFonts w:ascii="Palatino Linotype" w:eastAsia="Palatino Linotype" w:hAnsi="Palatino Linotype" w:cs="Palatino Linotype"/>
          <w:b/>
          <w:color w:val="FF0000"/>
        </w:rPr>
        <w:t xml:space="preserve"> </w:t>
      </w:r>
      <w:r w:rsidR="00493F72" w:rsidRPr="00FA58BF">
        <w:rPr>
          <w:rFonts w:ascii="Palatino Linotype" w:eastAsia="Palatino Linotype" w:hAnsi="Palatino Linotype" w:cs="Palatino Linotype"/>
          <w:b/>
        </w:rPr>
        <w:t>de dos mil veinticuatro</w:t>
      </w:r>
      <w:r w:rsidR="004D78AD" w:rsidRPr="00FA58BF">
        <w:rPr>
          <w:rFonts w:ascii="Palatino Linotype" w:eastAsia="Palatino Linotype" w:hAnsi="Palatino Linotype" w:cs="Palatino Linotype"/>
        </w:rPr>
        <w:t xml:space="preserve">, la Comisionada Ponente determinó el cierre de instrucción en términos de la fracción VI del artículo 185 de </w:t>
      </w:r>
      <w:r w:rsidR="004D78AD" w:rsidRPr="00FA58BF">
        <w:rPr>
          <w:rFonts w:ascii="Palatino Linotype" w:eastAsia="Palatino Linotype" w:hAnsi="Palatino Linotype" w:cs="Palatino Linotype"/>
        </w:rPr>
        <w:lastRenderedPageBreak/>
        <w:t>la Ley de Transparencia y Acceso a la Información Pública del Estado de México y Municipios.</w:t>
      </w:r>
    </w:p>
    <w:p w14:paraId="02AEE801" w14:textId="77777777" w:rsidR="004C6C59" w:rsidRPr="00FA58BF" w:rsidRDefault="004D78AD">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B072F54" w14:textId="77777777" w:rsidR="004C6C59" w:rsidRPr="00FA58BF" w:rsidRDefault="004D78AD">
      <w:pPr>
        <w:widowControl w:val="0"/>
        <w:spacing w:line="360" w:lineRule="auto"/>
        <w:jc w:val="center"/>
        <w:rPr>
          <w:rFonts w:ascii="Palatino Linotype" w:eastAsia="Palatino Linotype" w:hAnsi="Palatino Linotype" w:cs="Palatino Linotype"/>
          <w:b/>
        </w:rPr>
      </w:pPr>
      <w:r w:rsidRPr="00FA58BF">
        <w:rPr>
          <w:rFonts w:ascii="Palatino Linotype" w:eastAsia="Palatino Linotype" w:hAnsi="Palatino Linotype" w:cs="Palatino Linotype"/>
          <w:b/>
        </w:rPr>
        <w:t>II. C O N S I D E R A N D O S</w:t>
      </w:r>
    </w:p>
    <w:p w14:paraId="2DAF6F81" w14:textId="77777777" w:rsidR="00866D4C" w:rsidRPr="00FA58BF" w:rsidRDefault="00866D4C">
      <w:pPr>
        <w:widowControl w:val="0"/>
        <w:spacing w:line="360" w:lineRule="auto"/>
        <w:jc w:val="center"/>
        <w:rPr>
          <w:rFonts w:ascii="Palatino Linotype" w:eastAsia="Palatino Linotype" w:hAnsi="Palatino Linotype" w:cs="Palatino Linotype"/>
          <w:b/>
        </w:rPr>
      </w:pPr>
    </w:p>
    <w:p w14:paraId="3E5564FF" w14:textId="77777777" w:rsidR="004C6C59" w:rsidRPr="00FA58BF" w:rsidRDefault="004D78AD">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t>Primero. Competencia.</w:t>
      </w:r>
      <w:r w:rsidRPr="00FA58B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5A25B0" w:rsidRPr="00FA58BF">
        <w:rPr>
          <w:rFonts w:ascii="Palatino Linotype" w:eastAsia="Palatino Linotype" w:hAnsi="Palatino Linotype" w:cs="Palatino Linotype"/>
        </w:rPr>
        <w:t xml:space="preserve"> segundo, trigésimo tercero y trigésimo cuarto</w:t>
      </w:r>
      <w:r w:rsidRPr="00FA58BF">
        <w:rPr>
          <w:rFonts w:ascii="Palatino Linotype" w:eastAsia="Palatino Linotype" w:hAnsi="Palatino Linotype" w:cs="Palatino Linotype"/>
        </w:rPr>
        <w:t xml:space="preserve"> fracciones IV y V de la Constitución Política del Estado Libre y Soberano de México; 2, fracción II; 29, 36 fracciones I y II; 176, 178, 181, 185, fracción I, 186 y 188 de la Ley Transparencia y Acceso a la Información Pública del Estado de México y Mu</w:t>
      </w:r>
      <w:r w:rsidR="000E3F03" w:rsidRPr="00FA58BF">
        <w:rPr>
          <w:rFonts w:ascii="Palatino Linotype" w:eastAsia="Palatino Linotype" w:hAnsi="Palatino Linotype" w:cs="Palatino Linotype"/>
        </w:rPr>
        <w:t>nicipios; 9, fracciones I y XXIII</w:t>
      </w:r>
      <w:r w:rsidRPr="00FA58BF">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6D105D9E" w14:textId="77777777" w:rsidR="00951E97" w:rsidRPr="00FA58BF" w:rsidRDefault="00951E97">
      <w:pPr>
        <w:spacing w:line="360" w:lineRule="auto"/>
        <w:jc w:val="both"/>
        <w:rPr>
          <w:rFonts w:ascii="Palatino Linotype" w:eastAsia="Palatino Linotype" w:hAnsi="Palatino Linotype" w:cs="Palatino Linotype"/>
        </w:rPr>
      </w:pPr>
    </w:p>
    <w:p w14:paraId="27E469CA" w14:textId="77777777" w:rsidR="006F456A" w:rsidRPr="00FA58BF" w:rsidRDefault="004D78AD" w:rsidP="006F456A">
      <w:pPr>
        <w:spacing w:line="360" w:lineRule="auto"/>
        <w:jc w:val="both"/>
        <w:rPr>
          <w:rFonts w:ascii="Palatino Linotype" w:eastAsia="Palatino Linotype" w:hAnsi="Palatino Linotype" w:cs="Palatino Linotype"/>
        </w:rPr>
      </w:pPr>
      <w:bookmarkStart w:id="3" w:name="_heading=h.tyjcwt" w:colFirst="0" w:colLast="0"/>
      <w:bookmarkEnd w:id="3"/>
      <w:r w:rsidRPr="00FA58BF">
        <w:rPr>
          <w:rFonts w:ascii="Palatino Linotype" w:eastAsia="Palatino Linotype" w:hAnsi="Palatino Linotype" w:cs="Palatino Linotype"/>
          <w:b/>
        </w:rPr>
        <w:t xml:space="preserve">Segundo. Oportunidad y Procedibilidad del Recurso de Revisión. </w:t>
      </w:r>
      <w:r w:rsidR="008F49C6" w:rsidRPr="00FA58BF">
        <w:rPr>
          <w:rFonts w:ascii="Palatino Linotype" w:eastAsia="Palatino Linotype" w:hAnsi="Palatino Linotype" w:cs="Palatino Linotype"/>
        </w:rPr>
        <w:t xml:space="preserve">De conformidad con los requisitos de Oportunidad y Procedibilidad que deben reunir </w:t>
      </w:r>
      <w:r w:rsidR="00F34ABE" w:rsidRPr="00FA58BF">
        <w:rPr>
          <w:rFonts w:ascii="Palatino Linotype" w:eastAsia="Palatino Linotype" w:hAnsi="Palatino Linotype" w:cs="Palatino Linotype"/>
        </w:rPr>
        <w:t>el recurso</w:t>
      </w:r>
      <w:r w:rsidR="008F49C6" w:rsidRPr="00FA58BF">
        <w:rPr>
          <w:rFonts w:ascii="Palatino Linotype" w:eastAsia="Palatino Linotype" w:hAnsi="Palatino Linotype" w:cs="Palatino Linotype"/>
        </w:rPr>
        <w:t xml:space="preserve"> de r</w:t>
      </w:r>
      <w:r w:rsidR="00F34ABE" w:rsidRPr="00FA58BF">
        <w:rPr>
          <w:rFonts w:ascii="Palatino Linotype" w:eastAsia="Palatino Linotype" w:hAnsi="Palatino Linotype" w:cs="Palatino Linotype"/>
        </w:rPr>
        <w:t>evisión interpuesto</w:t>
      </w:r>
      <w:r w:rsidR="008F49C6" w:rsidRPr="00FA58BF">
        <w:rPr>
          <w:rFonts w:ascii="Palatino Linotype" w:eastAsia="Palatino Linotype" w:hAnsi="Palatino Linotype" w:cs="Palatino Linotype"/>
        </w:rPr>
        <w:t xml:space="preserve">, previstos en los artículos 178 y 180 de la Ley de </w:t>
      </w:r>
      <w:r w:rsidR="008F49C6" w:rsidRPr="00FA58BF">
        <w:rPr>
          <w:rFonts w:ascii="Palatino Linotype" w:eastAsia="Palatino Linotype" w:hAnsi="Palatino Linotype" w:cs="Palatino Linotype"/>
        </w:rPr>
        <w:lastRenderedPageBreak/>
        <w:t xml:space="preserve">Transparencia y Acceso a la Información Pública del Estado de México y Municipios; en la especie se advierte que el presente medio de impugnación fue interpuesto dentro del plazo de quince días previsto en el primer artículo de referencia; toda vez que el </w:t>
      </w:r>
      <w:r w:rsidR="008F49C6" w:rsidRPr="00FA58BF">
        <w:rPr>
          <w:rFonts w:ascii="Palatino Linotype" w:eastAsia="Palatino Linotype" w:hAnsi="Palatino Linotype" w:cs="Palatino Linotype"/>
          <w:b/>
        </w:rPr>
        <w:t>SUJETO OBLIGADO</w:t>
      </w:r>
      <w:r w:rsidR="008F49C6" w:rsidRPr="00FA58BF">
        <w:rPr>
          <w:rFonts w:ascii="Palatino Linotype" w:eastAsia="Palatino Linotype" w:hAnsi="Palatino Linotype" w:cs="Palatino Linotype"/>
        </w:rPr>
        <w:t xml:space="preserve"> emitió su respuesta a la solicitud plantea</w:t>
      </w:r>
      <w:r w:rsidR="00804B40" w:rsidRPr="00FA58BF">
        <w:rPr>
          <w:rFonts w:ascii="Palatino Linotype" w:eastAsia="Palatino Linotype" w:hAnsi="Palatino Linotype" w:cs="Palatino Linotype"/>
        </w:rPr>
        <w:t>da</w:t>
      </w:r>
      <w:r w:rsidR="00880A1A" w:rsidRPr="00FA58BF">
        <w:rPr>
          <w:rFonts w:ascii="Palatino Linotype" w:eastAsia="Palatino Linotype" w:hAnsi="Palatino Linotype" w:cs="Palatino Linotype"/>
        </w:rPr>
        <w:t xml:space="preserve"> por</w:t>
      </w:r>
      <w:r w:rsidR="008C3030" w:rsidRPr="00FA58BF">
        <w:rPr>
          <w:rFonts w:ascii="Palatino Linotype" w:eastAsia="Palatino Linotype" w:hAnsi="Palatino Linotype" w:cs="Palatino Linotype"/>
        </w:rPr>
        <w:t xml:space="preserve"> el </w:t>
      </w:r>
      <w:r w:rsidR="008047AE" w:rsidRPr="00FA58BF">
        <w:rPr>
          <w:rFonts w:ascii="Palatino Linotype" w:eastAsia="Palatino Linotype" w:hAnsi="Palatino Linotype" w:cs="Palatino Linotype"/>
        </w:rPr>
        <w:t>solicitante el veintitrés de octubre</w:t>
      </w:r>
      <w:r w:rsidR="00016EDE" w:rsidRPr="00FA58BF">
        <w:rPr>
          <w:rFonts w:ascii="Palatino Linotype" w:eastAsia="Palatino Linotype" w:hAnsi="Palatino Linotype" w:cs="Palatino Linotype"/>
        </w:rPr>
        <w:t xml:space="preserve"> del año dos mil veintitrés</w:t>
      </w:r>
      <w:r w:rsidR="008F49C6" w:rsidRPr="00FA58BF">
        <w:rPr>
          <w:rFonts w:ascii="Palatino Linotype" w:eastAsia="Palatino Linotype" w:hAnsi="Palatino Linotype" w:cs="Palatino Linotype"/>
        </w:rPr>
        <w:t xml:space="preserve"> </w:t>
      </w:r>
      <w:r w:rsidR="001A3791" w:rsidRPr="00FA58BF">
        <w:rPr>
          <w:rFonts w:ascii="Palatino Linotype" w:eastAsia="Palatino Linotype" w:hAnsi="Palatino Linotype" w:cs="Palatino Linotype"/>
        </w:rPr>
        <w:t xml:space="preserve">y mientras que el recurso de revisión interpuesto por la parte </w:t>
      </w:r>
      <w:r w:rsidR="001A3791" w:rsidRPr="00FA58BF">
        <w:rPr>
          <w:rFonts w:ascii="Palatino Linotype" w:eastAsia="Palatino Linotype" w:hAnsi="Palatino Linotype" w:cs="Palatino Linotype"/>
          <w:b/>
        </w:rPr>
        <w:t>RECURRENTE</w:t>
      </w:r>
      <w:r w:rsidR="001A3791" w:rsidRPr="00FA58BF">
        <w:rPr>
          <w:rFonts w:ascii="Palatino Linotype" w:eastAsia="Palatino Linotype" w:hAnsi="Palatino Linotype" w:cs="Palatino Linotype"/>
        </w:rPr>
        <w:t xml:space="preserve">, se tuvo por presentado el día </w:t>
      </w:r>
      <w:r w:rsidR="008047AE" w:rsidRPr="00FA58BF">
        <w:rPr>
          <w:rFonts w:ascii="Palatino Linotype" w:eastAsia="Palatino Linotype" w:hAnsi="Palatino Linotype" w:cs="Palatino Linotype"/>
          <w:b/>
        </w:rPr>
        <w:t>trece</w:t>
      </w:r>
      <w:r w:rsidR="006F456A" w:rsidRPr="00FA58BF">
        <w:rPr>
          <w:rFonts w:ascii="Palatino Linotype" w:eastAsia="Palatino Linotype" w:hAnsi="Palatino Linotype" w:cs="Palatino Linotype"/>
          <w:b/>
        </w:rPr>
        <w:t xml:space="preserve"> </w:t>
      </w:r>
      <w:r w:rsidR="008047AE" w:rsidRPr="00FA58BF">
        <w:rPr>
          <w:rFonts w:ascii="Palatino Linotype" w:eastAsia="Palatino Linotype" w:hAnsi="Palatino Linotype" w:cs="Palatino Linotype"/>
          <w:b/>
        </w:rPr>
        <w:t>de noviembre</w:t>
      </w:r>
      <w:r w:rsidR="001A3791" w:rsidRPr="00FA58BF">
        <w:rPr>
          <w:rFonts w:ascii="Palatino Linotype" w:eastAsia="Palatino Linotype" w:hAnsi="Palatino Linotype" w:cs="Palatino Linotype"/>
          <w:b/>
        </w:rPr>
        <w:t xml:space="preserve"> del año dos mil veintitrés, </w:t>
      </w:r>
      <w:r w:rsidR="001A3791" w:rsidRPr="00FA58BF">
        <w:rPr>
          <w:rFonts w:ascii="Palatino Linotype" w:eastAsia="Palatino Linotype" w:hAnsi="Palatino Linotype" w:cs="Palatino Linotype"/>
        </w:rPr>
        <w:t xml:space="preserve">esto es, </w:t>
      </w:r>
      <w:r w:rsidR="00EB0ED3" w:rsidRPr="00FA58BF">
        <w:rPr>
          <w:rFonts w:ascii="Palatino Linotype" w:eastAsia="Palatino Linotype" w:hAnsi="Palatino Linotype" w:cs="Palatino Linotype"/>
          <w:b/>
        </w:rPr>
        <w:t>décimo cuarto</w:t>
      </w:r>
      <w:r w:rsidR="006F456A" w:rsidRPr="00FA58BF">
        <w:rPr>
          <w:rFonts w:ascii="Palatino Linotype" w:eastAsia="Palatino Linotype" w:hAnsi="Palatino Linotype" w:cs="Palatino Linotype"/>
          <w:b/>
        </w:rPr>
        <w:t xml:space="preserve"> día </w:t>
      </w:r>
      <w:r w:rsidR="000A34CB" w:rsidRPr="00FA58BF">
        <w:rPr>
          <w:rFonts w:ascii="Palatino Linotype" w:eastAsia="Palatino Linotype" w:hAnsi="Palatino Linotype" w:cs="Palatino Linotype"/>
          <w:b/>
        </w:rPr>
        <w:t xml:space="preserve">siguiente </w:t>
      </w:r>
      <w:r w:rsidR="006F456A" w:rsidRPr="00FA58BF">
        <w:rPr>
          <w:rFonts w:ascii="Palatino Linotype" w:eastAsia="Palatino Linotype" w:hAnsi="Palatino Linotype" w:cs="Palatino Linotype"/>
          <w:b/>
        </w:rPr>
        <w:t>en</w:t>
      </w:r>
      <w:r w:rsidR="006F456A" w:rsidRPr="00FA58BF">
        <w:rPr>
          <w:rFonts w:ascii="Palatino Linotype" w:eastAsia="Palatino Linotype" w:hAnsi="Palatino Linotype" w:cs="Palatino Linotype"/>
        </w:rPr>
        <w:t xml:space="preserve"> que tuvo conocimiento de la respuesta impugnada.</w:t>
      </w:r>
    </w:p>
    <w:p w14:paraId="00BB39BC" w14:textId="77777777" w:rsidR="00C7536B" w:rsidRPr="00FA58BF" w:rsidRDefault="00C7536B" w:rsidP="001A3791">
      <w:pPr>
        <w:spacing w:before="240" w:after="240" w:line="360" w:lineRule="auto"/>
        <w:ind w:right="49"/>
        <w:jc w:val="both"/>
        <w:rPr>
          <w:rFonts w:ascii="Palatino Linotype" w:eastAsia="Palatino Linotype" w:hAnsi="Palatino Linotype" w:cs="Palatino Linotype"/>
          <w:color w:val="000000"/>
        </w:rPr>
      </w:pPr>
      <w:r w:rsidRPr="00FA58BF">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9A2A27C" w14:textId="77777777" w:rsidR="00C7536B" w:rsidRPr="00FA58BF" w:rsidRDefault="00C7536B" w:rsidP="00C7536B">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Asimismo, resulta procedente la interposición del recurso de revisión al rubro anotado, toda vez que se actualiza las hipótesis prevista</w:t>
      </w:r>
      <w:r w:rsidR="001D314D" w:rsidRPr="00FA58BF">
        <w:rPr>
          <w:rFonts w:ascii="Palatino Linotype" w:eastAsia="Palatino Linotype" w:hAnsi="Palatino Linotype" w:cs="Palatino Linotype"/>
        </w:rPr>
        <w:t>s</w:t>
      </w:r>
      <w:r w:rsidR="001A3791" w:rsidRPr="00FA58BF">
        <w:rPr>
          <w:rFonts w:ascii="Palatino Linotype" w:eastAsia="Palatino Linotype" w:hAnsi="Palatino Linotype" w:cs="Palatino Linotype"/>
        </w:rPr>
        <w:t xml:space="preserve"> en el artículo 179, fracción </w:t>
      </w:r>
      <w:r w:rsidR="00EB0ED3" w:rsidRPr="00FA58BF">
        <w:rPr>
          <w:rFonts w:ascii="Palatino Linotype" w:eastAsia="Palatino Linotype" w:hAnsi="Palatino Linotype" w:cs="Palatino Linotype"/>
        </w:rPr>
        <w:t>I y XIII</w:t>
      </w:r>
      <w:r w:rsidRPr="00FA58BF">
        <w:rPr>
          <w:rFonts w:ascii="Palatino Linotype" w:eastAsia="Palatino Linotype" w:hAnsi="Palatino Linotype" w:cs="Palatino Linotype"/>
        </w:rPr>
        <w:t xml:space="preserve"> de la ley de la materia, que a la letra dice:</w:t>
      </w:r>
    </w:p>
    <w:p w14:paraId="5F4049EF" w14:textId="77777777" w:rsidR="00C7536B" w:rsidRPr="00FA58BF" w:rsidRDefault="00C7536B" w:rsidP="00C7536B">
      <w:pPr>
        <w:ind w:left="1276" w:right="1752"/>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w:t>
      </w:r>
      <w:r w:rsidRPr="00FA58BF">
        <w:rPr>
          <w:rFonts w:ascii="Palatino Linotype" w:eastAsia="Palatino Linotype" w:hAnsi="Palatino Linotype" w:cs="Palatino Linotype"/>
          <w:b/>
          <w:i/>
          <w:sz w:val="22"/>
          <w:szCs w:val="22"/>
        </w:rPr>
        <w:t xml:space="preserve">Artículo 179. </w:t>
      </w:r>
      <w:r w:rsidRPr="00FA58B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06147D4" w14:textId="77777777" w:rsidR="00EB0ED3" w:rsidRPr="00FA58BF" w:rsidRDefault="00EB0ED3" w:rsidP="00EB0ED3">
      <w:pPr>
        <w:ind w:left="1276" w:right="1752"/>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I. La negativa a la información solicitada;</w:t>
      </w:r>
    </w:p>
    <w:p w14:paraId="6F0D64AF" w14:textId="77777777" w:rsidR="00EB0ED3" w:rsidRPr="00FA58BF" w:rsidRDefault="00EB0ED3" w:rsidP="00EB0ED3">
      <w:pPr>
        <w:ind w:left="1276" w:right="1752"/>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w:t>
      </w:r>
    </w:p>
    <w:p w14:paraId="6FDC7127" w14:textId="77777777" w:rsidR="00C7536B" w:rsidRPr="00FA58BF" w:rsidRDefault="00EB0ED3" w:rsidP="00C7536B">
      <w:pPr>
        <w:ind w:left="1276" w:right="1752"/>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XIII. La falta, deficiencia o insuficiencia de la fundamentación y/o motivación en la respuesta…</w:t>
      </w:r>
      <w:r w:rsidR="00C7536B" w:rsidRPr="00FA58BF">
        <w:rPr>
          <w:rFonts w:ascii="Palatino Linotype" w:eastAsia="Palatino Linotype" w:hAnsi="Palatino Linotype" w:cs="Palatino Linotype"/>
          <w:i/>
          <w:sz w:val="22"/>
          <w:szCs w:val="22"/>
        </w:rPr>
        <w:t>” (Sic)</w:t>
      </w:r>
      <w:r w:rsidR="00CB01D6" w:rsidRPr="00FA58BF">
        <w:rPr>
          <w:rFonts w:ascii="Palatino Linotype" w:eastAsia="Palatino Linotype" w:hAnsi="Palatino Linotype" w:cs="Palatino Linotype"/>
          <w:i/>
          <w:sz w:val="22"/>
          <w:szCs w:val="22"/>
        </w:rPr>
        <w:t xml:space="preserve"> </w:t>
      </w:r>
    </w:p>
    <w:p w14:paraId="76EDCE70" w14:textId="77777777" w:rsidR="008F49C6" w:rsidRPr="00FA58BF" w:rsidRDefault="008F49C6" w:rsidP="00C7536B">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color w:val="000000"/>
        </w:rPr>
        <w:lastRenderedPageBreak/>
        <w:t>Tercero. Materia de Revisión</w:t>
      </w:r>
      <w:r w:rsidRPr="00FA58BF">
        <w:rPr>
          <w:rFonts w:ascii="Palatino Linotype" w:eastAsia="Palatino Linotype" w:hAnsi="Palatino Linotype" w:cs="Palatino Linotype"/>
          <w:color w:val="000000"/>
        </w:rPr>
        <w:t xml:space="preserve">: </w:t>
      </w:r>
      <w:r w:rsidRPr="00FA58BF">
        <w:rPr>
          <w:rFonts w:ascii="Palatino Linotype" w:eastAsia="Palatino Linotype" w:hAnsi="Palatino Linotype" w:cs="Palatino Linotype"/>
        </w:rPr>
        <w:t xml:space="preserve">De las constancias que integran el expediente electrónico se advierte que el tema sobre el que este Instituto se pronunciará será: </w:t>
      </w:r>
      <w:r w:rsidRPr="00FA58BF">
        <w:rPr>
          <w:rFonts w:ascii="Palatino Linotype" w:eastAsia="Palatino Linotype" w:hAnsi="Palatino Linotype" w:cs="Palatino Linotype"/>
          <w:b/>
        </w:rPr>
        <w:t xml:space="preserve">verificar si la respuesta </w:t>
      </w:r>
      <w:r w:rsidR="000A34CB" w:rsidRPr="00FA58BF">
        <w:rPr>
          <w:rFonts w:ascii="Palatino Linotype" w:eastAsia="Palatino Linotype" w:hAnsi="Palatino Linotype" w:cs="Palatino Linotype"/>
          <w:b/>
        </w:rPr>
        <w:t>otorgada</w:t>
      </w:r>
      <w:r w:rsidR="00CB01D6" w:rsidRPr="00FA58BF">
        <w:rPr>
          <w:rFonts w:ascii="Palatino Linotype" w:eastAsia="Palatino Linotype" w:hAnsi="Palatino Linotype" w:cs="Palatino Linotype"/>
          <w:b/>
        </w:rPr>
        <w:t xml:space="preserve"> </w:t>
      </w:r>
      <w:r w:rsidRPr="00FA58BF">
        <w:rPr>
          <w:rFonts w:ascii="Palatino Linotype" w:eastAsia="Palatino Linotype" w:hAnsi="Palatino Linotype" w:cs="Palatino Linotype"/>
          <w:b/>
        </w:rPr>
        <w:t xml:space="preserve">por el SUJETO OBLIGADO </w:t>
      </w:r>
      <w:r w:rsidR="000A34CB" w:rsidRPr="00FA58BF">
        <w:rPr>
          <w:rFonts w:ascii="Palatino Linotype" w:eastAsia="Palatino Linotype" w:hAnsi="Palatino Linotype" w:cs="Palatino Linotype"/>
          <w:b/>
        </w:rPr>
        <w:t>es adecuada</w:t>
      </w:r>
      <w:r w:rsidR="00542220" w:rsidRPr="00FA58BF">
        <w:rPr>
          <w:rFonts w:ascii="Palatino Linotype" w:eastAsia="Palatino Linotype" w:hAnsi="Palatino Linotype" w:cs="Palatino Linotype"/>
          <w:b/>
        </w:rPr>
        <w:t xml:space="preserve"> y suficiente</w:t>
      </w:r>
      <w:r w:rsidR="00CB01D6" w:rsidRPr="00FA58BF">
        <w:rPr>
          <w:rFonts w:ascii="Palatino Linotype" w:eastAsia="Palatino Linotype" w:hAnsi="Palatino Linotype" w:cs="Palatino Linotype"/>
          <w:b/>
        </w:rPr>
        <w:t xml:space="preserve"> </w:t>
      </w:r>
      <w:r w:rsidRPr="00FA58BF">
        <w:rPr>
          <w:rFonts w:ascii="Palatino Linotype" w:eastAsia="Palatino Linotype" w:hAnsi="Palatino Linotype" w:cs="Palatino Linotype"/>
          <w:b/>
        </w:rPr>
        <w:t xml:space="preserve">para satisfacer el derecho de acceso a la información pública </w:t>
      </w:r>
      <w:r w:rsidRPr="00FA58BF">
        <w:rPr>
          <w:rFonts w:ascii="Palatino Linotype" w:eastAsia="Palatino Linotype" w:hAnsi="Palatino Linotype" w:cs="Palatino Linotype"/>
        </w:rPr>
        <w:t xml:space="preserve">de la </w:t>
      </w:r>
      <w:r w:rsidR="001D314D" w:rsidRPr="00FA58BF">
        <w:rPr>
          <w:rFonts w:ascii="Palatino Linotype" w:eastAsia="Palatino Linotype" w:hAnsi="Palatino Linotype" w:cs="Palatino Linotype"/>
        </w:rPr>
        <w:t>parte</w:t>
      </w:r>
      <w:r w:rsidR="00DD0E2A" w:rsidRPr="00FA58BF">
        <w:rPr>
          <w:rFonts w:ascii="Palatino Linotype" w:eastAsia="Palatino Linotype" w:hAnsi="Palatino Linotype" w:cs="Palatino Linotype"/>
        </w:rPr>
        <w:t xml:space="preserve"> </w:t>
      </w:r>
      <w:r w:rsidR="000F4B8F" w:rsidRPr="00FA58BF">
        <w:rPr>
          <w:rFonts w:ascii="Palatino Linotype" w:eastAsia="Palatino Linotype" w:hAnsi="Palatino Linotype" w:cs="Palatino Linotype"/>
        </w:rPr>
        <w:t xml:space="preserve"> </w:t>
      </w:r>
      <w:r w:rsidRPr="00FA58BF">
        <w:rPr>
          <w:rFonts w:ascii="Palatino Linotype" w:eastAsia="Palatino Linotype" w:hAnsi="Palatino Linotype" w:cs="Palatino Linotype"/>
          <w:b/>
        </w:rPr>
        <w:t>RECURRENTE</w:t>
      </w:r>
      <w:r w:rsidRPr="00FA58BF">
        <w:rPr>
          <w:rFonts w:ascii="Palatino Linotype" w:eastAsia="Palatino Linotype" w:hAnsi="Palatino Linotype" w:cs="Palatino Linotype"/>
        </w:rPr>
        <w:t>, o en su defecto, en caso de ser procedente, ordenar la entrega de información.</w:t>
      </w:r>
    </w:p>
    <w:p w14:paraId="1C15A6D6" w14:textId="77777777" w:rsidR="00804B40" w:rsidRPr="00FA58BF" w:rsidRDefault="004D78AD" w:rsidP="00804B40">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t xml:space="preserve">Cuarto. Estudio de fondo del asunto. </w:t>
      </w:r>
      <w:r w:rsidR="00804B40" w:rsidRPr="00FA58BF">
        <w:rPr>
          <w:rFonts w:ascii="Palatino Linotype" w:eastAsia="Palatino Linotype" w:hAnsi="Palatino Linotype" w:cs="Palatino Linotype"/>
        </w:rPr>
        <w:t xml:space="preserve">es conveniente analizar si la respuesta del </w:t>
      </w:r>
      <w:r w:rsidR="00804B40" w:rsidRPr="00FA58BF">
        <w:rPr>
          <w:rFonts w:ascii="Palatino Linotype" w:eastAsia="Palatino Linotype" w:hAnsi="Palatino Linotype" w:cs="Palatino Linotype"/>
          <w:b/>
        </w:rPr>
        <w:t>SUJETO OBLIGADO</w:t>
      </w:r>
      <w:r w:rsidR="00804B40" w:rsidRPr="00FA58BF">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w:t>
      </w:r>
      <w:r w:rsidR="00804B40" w:rsidRPr="00FA58BF">
        <w:rPr>
          <w:rFonts w:ascii="Palatino Linotype" w:eastAsia="Palatino Linotype" w:hAnsi="Palatino Linotype" w:cs="Palatino Linotype"/>
          <w:color w:val="000000"/>
        </w:rPr>
        <w:t xml:space="preserve">artículo 4, dice que toda la información generada, obtenida, adquirida, transformada, administrada o en posesión de los sujetos obligados es pública y accesible de </w:t>
      </w:r>
      <w:r w:rsidR="00621B20" w:rsidRPr="00FA58BF">
        <w:rPr>
          <w:rFonts w:ascii="Palatino Linotype" w:eastAsia="Palatino Linotype" w:hAnsi="Palatino Linotype" w:cs="Palatino Linotype"/>
          <w:color w:val="000000"/>
        </w:rPr>
        <w:t xml:space="preserve"> </w:t>
      </w:r>
      <w:r w:rsidR="00804B40" w:rsidRPr="00FA58BF">
        <w:rPr>
          <w:rFonts w:ascii="Palatino Linotype" w:eastAsia="Palatino Linotype" w:hAnsi="Palatino Linotype" w:cs="Palatino Linotype"/>
          <w:color w:val="000000"/>
        </w:rPr>
        <w:t>manera permanente a cualquier persona, privilegiando el principio de máxima publicidad, como así lo establece dicha determinación, que a continuación se trascribe para un mejor entendimiento:</w:t>
      </w:r>
    </w:p>
    <w:p w14:paraId="05AE14DF" w14:textId="77777777" w:rsidR="00804B40" w:rsidRPr="00FA58BF" w:rsidRDefault="00804B40" w:rsidP="00804B40">
      <w:pPr>
        <w:spacing w:before="240"/>
        <w:ind w:left="709" w:right="760"/>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w:t>
      </w:r>
      <w:r w:rsidRPr="00FA58BF">
        <w:rPr>
          <w:rFonts w:ascii="Palatino Linotype" w:eastAsia="Palatino Linotype" w:hAnsi="Palatino Linotype" w:cs="Palatino Linotype"/>
          <w:b/>
          <w:i/>
          <w:sz w:val="22"/>
          <w:szCs w:val="22"/>
        </w:rPr>
        <w:t>Artículo 4.</w:t>
      </w:r>
      <w:r w:rsidRPr="00FA58B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2635A2D" w14:textId="77777777" w:rsidR="00804B40" w:rsidRPr="00FA58BF" w:rsidRDefault="00804B40" w:rsidP="00804B40">
      <w:pPr>
        <w:ind w:left="709" w:right="760"/>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A58BF">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FA58BF">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38871570" w14:textId="77777777" w:rsidR="00804B40" w:rsidRPr="00FA58BF" w:rsidRDefault="00804B40" w:rsidP="00804B40">
      <w:pPr>
        <w:ind w:left="709" w:right="760"/>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A58BF">
        <w:rPr>
          <w:rFonts w:ascii="Palatino Linotype" w:eastAsia="Palatino Linotype" w:hAnsi="Palatino Linotype" w:cs="Palatino Linotype"/>
          <w:i/>
          <w:sz w:val="22"/>
          <w:szCs w:val="22"/>
        </w:rPr>
        <w:t>.”(Sic)</w:t>
      </w:r>
    </w:p>
    <w:p w14:paraId="314E4029" w14:textId="77777777" w:rsidR="00804B40" w:rsidRPr="00FA58BF" w:rsidRDefault="00804B40" w:rsidP="00804B40">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200208A" w14:textId="77777777" w:rsidR="00804B40" w:rsidRPr="00FA58BF" w:rsidRDefault="00804B40" w:rsidP="00804B40">
      <w:pPr>
        <w:ind w:left="567" w:right="758"/>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w:t>
      </w:r>
      <w:r w:rsidRPr="00FA58BF">
        <w:rPr>
          <w:rFonts w:ascii="Palatino Linotype" w:eastAsia="Palatino Linotype" w:hAnsi="Palatino Linotype" w:cs="Palatino Linotype"/>
          <w:b/>
          <w:i/>
          <w:sz w:val="22"/>
          <w:szCs w:val="22"/>
        </w:rPr>
        <w:t>Artículo12.-</w:t>
      </w:r>
      <w:r w:rsidRPr="00FA58B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9ED1815" w14:textId="77777777" w:rsidR="00804B40" w:rsidRPr="00FA58BF" w:rsidRDefault="00804B40" w:rsidP="00804B40">
      <w:pPr>
        <w:ind w:left="567" w:right="758"/>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A58BF">
        <w:rPr>
          <w:rFonts w:ascii="Palatino Linotype" w:eastAsia="Palatino Linotype" w:hAnsi="Palatino Linotype" w:cs="Palatino Linotype"/>
          <w:i/>
          <w:sz w:val="22"/>
          <w:szCs w:val="22"/>
        </w:rPr>
        <w:t xml:space="preserve">. </w:t>
      </w:r>
      <w:r w:rsidRPr="00FA58BF">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17C1E88C" w14:textId="77777777" w:rsidR="00804B40" w:rsidRPr="00FA58BF" w:rsidRDefault="00804B40" w:rsidP="00804B40">
      <w:pPr>
        <w:spacing w:line="360" w:lineRule="auto"/>
        <w:ind w:right="-93"/>
        <w:jc w:val="both"/>
        <w:rPr>
          <w:rFonts w:ascii="Palatino Linotype" w:eastAsia="Palatino Linotype" w:hAnsi="Palatino Linotype" w:cs="Palatino Linotype"/>
          <w:color w:val="000000"/>
        </w:rPr>
      </w:pPr>
    </w:p>
    <w:p w14:paraId="050313B6" w14:textId="77777777" w:rsidR="00804B40" w:rsidRPr="00FA58BF" w:rsidRDefault="00804B40" w:rsidP="00804B40">
      <w:pPr>
        <w:spacing w:line="360" w:lineRule="auto"/>
        <w:ind w:right="-93"/>
        <w:jc w:val="both"/>
        <w:rPr>
          <w:rFonts w:ascii="Palatino Linotype" w:eastAsia="Palatino Linotype" w:hAnsi="Palatino Linotype" w:cs="Palatino Linotype"/>
          <w:color w:val="000000"/>
        </w:rPr>
      </w:pPr>
      <w:r w:rsidRPr="00FA58BF">
        <w:rPr>
          <w:rFonts w:ascii="Palatino Linotype" w:eastAsia="Palatino Linotype" w:hAnsi="Palatino Linotype" w:cs="Palatino Linotype"/>
          <w:color w:val="000000"/>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w:t>
      </w:r>
      <w:r w:rsidRPr="00FA58BF">
        <w:rPr>
          <w:rFonts w:ascii="Palatino Linotype" w:eastAsia="Palatino Linotype" w:hAnsi="Palatino Linotype" w:cs="Palatino Linotype"/>
          <w:color w:val="000000"/>
        </w:rPr>
        <w:lastRenderedPageBreak/>
        <w:t xml:space="preserve">que tengan en su poder en el estado que se encuentran, sin necesidad de concretarse al interés o términos específicos del solicitante. </w:t>
      </w:r>
    </w:p>
    <w:p w14:paraId="6217E037" w14:textId="77777777" w:rsidR="00C7536B" w:rsidRPr="00FA58BF" w:rsidRDefault="00C7536B" w:rsidP="00804B40">
      <w:pPr>
        <w:spacing w:line="360" w:lineRule="auto"/>
        <w:jc w:val="both"/>
        <w:rPr>
          <w:rFonts w:ascii="Palatino Linotype" w:eastAsia="Palatino Linotype" w:hAnsi="Palatino Linotype" w:cs="Palatino Linotype"/>
          <w:color w:val="000000"/>
        </w:rPr>
      </w:pPr>
    </w:p>
    <w:p w14:paraId="49019989" w14:textId="77777777" w:rsidR="00B1433B" w:rsidRPr="00FA58BF" w:rsidRDefault="00804B40" w:rsidP="00804B40">
      <w:pPr>
        <w:spacing w:line="360" w:lineRule="auto"/>
        <w:jc w:val="both"/>
        <w:rPr>
          <w:rFonts w:ascii="Palatino Linotype" w:hAnsi="Palatino Linotype"/>
          <w:bCs/>
          <w:color w:val="000000"/>
        </w:rPr>
      </w:pPr>
      <w:r w:rsidRPr="00FA58BF">
        <w:rPr>
          <w:rFonts w:ascii="Palatino Linotype" w:hAnsi="Palatino Linotype" w:cs="Arial"/>
          <w:color w:val="000000"/>
        </w:rPr>
        <w:t xml:space="preserve">Sirve de apoyo a lo anterior, el criterio 03-17, expuesto por </w:t>
      </w:r>
      <w:r w:rsidRPr="00FA58BF">
        <w:rPr>
          <w:rFonts w:ascii="Palatino Linotype" w:eastAsia="Arial Unicode MS" w:hAnsi="Palatino Linotype" w:cs="Arial"/>
          <w:color w:val="000000"/>
        </w:rPr>
        <w:t>el Instituto Nacional de Transparencia, Acceso a la Información y Protección de Datos Personales,</w:t>
      </w:r>
      <w:r w:rsidRPr="00FA58BF">
        <w:rPr>
          <w:rFonts w:ascii="Palatino Linotype" w:hAnsi="Palatino Linotype"/>
          <w:bCs/>
          <w:color w:val="000000"/>
        </w:rPr>
        <w:t xml:space="preserve"> que dice:</w:t>
      </w:r>
    </w:p>
    <w:p w14:paraId="5D6C0AC3" w14:textId="77777777" w:rsidR="00804B40" w:rsidRPr="00FA58BF" w:rsidRDefault="00804B40" w:rsidP="00804B40">
      <w:pPr>
        <w:spacing w:line="360" w:lineRule="auto"/>
        <w:jc w:val="both"/>
        <w:rPr>
          <w:rFonts w:ascii="Palatino Linotype" w:hAnsi="Palatino Linotype"/>
          <w:b/>
          <w:bCs/>
          <w:color w:val="000000"/>
        </w:rPr>
      </w:pPr>
      <w:r w:rsidRPr="00FA58BF">
        <w:rPr>
          <w:rFonts w:ascii="Palatino Linotype" w:hAnsi="Palatino Linotype"/>
          <w:b/>
          <w:bCs/>
          <w:color w:val="000000"/>
        </w:rPr>
        <w:t xml:space="preserve"> </w:t>
      </w:r>
    </w:p>
    <w:p w14:paraId="14E5CD8F" w14:textId="77777777" w:rsidR="00804B40" w:rsidRPr="00FA58BF" w:rsidRDefault="00804B40" w:rsidP="00804B40">
      <w:pPr>
        <w:ind w:left="851" w:right="901"/>
        <w:jc w:val="both"/>
        <w:rPr>
          <w:rFonts w:ascii="Palatino Linotype" w:hAnsi="Palatino Linotype" w:cs="Arial"/>
          <w:i/>
          <w:color w:val="000000"/>
          <w:sz w:val="22"/>
          <w:szCs w:val="22"/>
        </w:rPr>
      </w:pPr>
      <w:r w:rsidRPr="00FA58BF">
        <w:rPr>
          <w:rFonts w:ascii="Palatino Linotype" w:hAnsi="Palatino Linotype" w:cs="Arial"/>
          <w:i/>
          <w:color w:val="000000"/>
          <w:sz w:val="22"/>
          <w:szCs w:val="22"/>
        </w:rPr>
        <w:t>“</w:t>
      </w:r>
      <w:r w:rsidRPr="00FA58BF">
        <w:rPr>
          <w:rFonts w:ascii="Palatino Linotype" w:hAnsi="Palatino Linotype" w:cs="Arial"/>
          <w:b/>
          <w:i/>
          <w:color w:val="000000"/>
          <w:sz w:val="22"/>
          <w:szCs w:val="22"/>
        </w:rPr>
        <w:t>No existe obligación de elaborar documentos ad hoc para atender las solicitudes de acceso a la información.</w:t>
      </w:r>
      <w:r w:rsidRPr="00FA58BF">
        <w:rPr>
          <w:rFonts w:ascii="Palatino Linotype" w:hAnsi="Palatino Linotype" w:cs="Arial"/>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F0B9DF2" w14:textId="77777777" w:rsidR="00804B40" w:rsidRPr="00FA58BF" w:rsidRDefault="00804B40" w:rsidP="00804B40">
      <w:pPr>
        <w:ind w:left="851" w:right="901"/>
        <w:jc w:val="both"/>
        <w:rPr>
          <w:rFonts w:ascii="Palatino Linotype" w:hAnsi="Palatino Linotype" w:cs="Arial"/>
          <w:i/>
          <w:color w:val="000000"/>
          <w:sz w:val="22"/>
          <w:szCs w:val="22"/>
        </w:rPr>
      </w:pPr>
      <w:r w:rsidRPr="00FA58BF">
        <w:rPr>
          <w:rFonts w:ascii="Palatino Linotype" w:hAnsi="Palatino Linotype" w:cs="Arial"/>
          <w:i/>
          <w:color w:val="000000"/>
          <w:sz w:val="22"/>
          <w:szCs w:val="22"/>
        </w:rPr>
        <w:t xml:space="preserve">Resoluciones: </w:t>
      </w:r>
    </w:p>
    <w:p w14:paraId="0BB73332" w14:textId="77777777" w:rsidR="00804B40" w:rsidRPr="00FA58BF" w:rsidRDefault="00804B40" w:rsidP="00804B40">
      <w:pPr>
        <w:ind w:left="851" w:right="901"/>
        <w:jc w:val="both"/>
        <w:rPr>
          <w:rFonts w:ascii="Palatino Linotype" w:hAnsi="Palatino Linotype" w:cs="Arial"/>
          <w:i/>
          <w:color w:val="000000"/>
          <w:sz w:val="22"/>
          <w:szCs w:val="22"/>
        </w:rPr>
      </w:pPr>
      <w:r w:rsidRPr="00FA58BF">
        <w:rPr>
          <w:rFonts w:ascii="Palatino Linotype" w:hAnsi="Palatino Linotype" w:cs="Arial"/>
          <w:i/>
          <w:color w:val="000000"/>
          <w:sz w:val="22"/>
          <w:szCs w:val="22"/>
        </w:rPr>
        <w:sym w:font="Symbol" w:char="F0B7"/>
      </w:r>
      <w:r w:rsidRPr="00FA58BF">
        <w:rPr>
          <w:rFonts w:ascii="Palatino Linotype" w:hAnsi="Palatino Linotype" w:cs="Arial"/>
          <w:i/>
          <w:color w:val="000000"/>
          <w:sz w:val="22"/>
          <w:szCs w:val="22"/>
        </w:rPr>
        <w:t xml:space="preserve"> RRA 0050/16. Instituto Nacional para la Evaluación de la Educación. 13 julio de 2016. Por unanimidad. Comisionado Ponente: Francisco Javier Acuña Llamas.</w:t>
      </w:r>
    </w:p>
    <w:p w14:paraId="0E33B652" w14:textId="77777777" w:rsidR="00804B40" w:rsidRPr="00FA58BF" w:rsidRDefault="00804B40" w:rsidP="00804B40">
      <w:pPr>
        <w:ind w:left="851" w:right="901"/>
        <w:jc w:val="both"/>
        <w:rPr>
          <w:rFonts w:ascii="Palatino Linotype" w:hAnsi="Palatino Linotype" w:cs="Arial"/>
          <w:i/>
          <w:color w:val="000000"/>
          <w:sz w:val="22"/>
          <w:szCs w:val="22"/>
        </w:rPr>
      </w:pPr>
      <w:r w:rsidRPr="00FA58BF">
        <w:rPr>
          <w:rFonts w:ascii="Palatino Linotype" w:hAnsi="Palatino Linotype" w:cs="Arial"/>
          <w:i/>
          <w:color w:val="000000"/>
          <w:sz w:val="22"/>
          <w:szCs w:val="22"/>
        </w:rPr>
        <w:sym w:font="Symbol" w:char="F0B7"/>
      </w:r>
      <w:r w:rsidRPr="00FA58BF">
        <w:rPr>
          <w:rFonts w:ascii="Palatino Linotype" w:hAnsi="Palatino Linotype" w:cs="Arial"/>
          <w:i/>
          <w:color w:val="000000"/>
          <w:sz w:val="22"/>
          <w:szCs w:val="22"/>
        </w:rPr>
        <w:t xml:space="preserve"> RRA 0310/16. Instituto Nacional de Transparencia, Acceso a la Información y Protección de Datos Personales. 10 de agosto de 2016. Por unanimidad. Comisionada Ponente. Areli Cano Guadiana. </w:t>
      </w:r>
    </w:p>
    <w:p w14:paraId="70E62142" w14:textId="77777777" w:rsidR="00804B40" w:rsidRPr="00FA58BF" w:rsidRDefault="00804B40" w:rsidP="00804B40">
      <w:pPr>
        <w:ind w:left="851" w:right="901"/>
        <w:jc w:val="both"/>
        <w:rPr>
          <w:rFonts w:ascii="Palatino Linotype" w:hAnsi="Palatino Linotype" w:cs="Arial"/>
          <w:i/>
          <w:color w:val="000000"/>
          <w:sz w:val="22"/>
          <w:szCs w:val="22"/>
        </w:rPr>
      </w:pPr>
      <w:r w:rsidRPr="00FA58BF">
        <w:rPr>
          <w:rFonts w:ascii="Palatino Linotype" w:hAnsi="Palatino Linotype" w:cs="Arial"/>
          <w:i/>
          <w:color w:val="000000"/>
          <w:sz w:val="22"/>
          <w:szCs w:val="22"/>
        </w:rPr>
        <w:sym w:font="Symbol" w:char="F0B7"/>
      </w:r>
      <w:r w:rsidRPr="00FA58BF">
        <w:rPr>
          <w:rFonts w:ascii="Palatino Linotype" w:hAnsi="Palatino Linotype" w:cs="Arial"/>
          <w:i/>
          <w:color w:val="000000"/>
          <w:sz w:val="22"/>
          <w:szCs w:val="22"/>
        </w:rPr>
        <w:t xml:space="preserve"> RRA 1889/16. Secretaría de Hacienda y Crédito Público. 05 de octubre de 2016. Por unanimidad. Comisionada Ponente. Ximena Puente de la Mora.”(Sic)</w:t>
      </w:r>
    </w:p>
    <w:p w14:paraId="4796C707" w14:textId="77777777" w:rsidR="00804B40" w:rsidRPr="00FA58BF" w:rsidRDefault="00804B40" w:rsidP="00804B40">
      <w:pPr>
        <w:spacing w:line="360" w:lineRule="auto"/>
        <w:jc w:val="both"/>
        <w:rPr>
          <w:rFonts w:ascii="Palatino Linotype" w:hAnsi="Palatino Linotype" w:cs="Arial"/>
        </w:rPr>
      </w:pPr>
    </w:p>
    <w:p w14:paraId="7E5E40AA" w14:textId="77777777" w:rsidR="00804B40" w:rsidRPr="00FA58BF" w:rsidRDefault="00804B40" w:rsidP="00804B40">
      <w:pPr>
        <w:spacing w:line="360" w:lineRule="auto"/>
        <w:jc w:val="both"/>
        <w:rPr>
          <w:rFonts w:ascii="Palatino Linotype" w:hAnsi="Palatino Linotype" w:cs="Arial"/>
          <w:strike/>
          <w:color w:val="FF0000"/>
        </w:rPr>
      </w:pPr>
      <w:r w:rsidRPr="00FA58BF">
        <w:rPr>
          <w:rFonts w:ascii="Palatino Linotype" w:hAnsi="Palatino Linotype" w:cs="Arial"/>
        </w:rPr>
        <w:t xml:space="preserve">En esa tesitura, el artículo 24 en su último párrafo de la Ley de la Materia, dispone que los Sujetos Obligados </w:t>
      </w:r>
      <w:r w:rsidRPr="00FA58BF">
        <w:rPr>
          <w:rFonts w:ascii="Palatino Linotype" w:hAnsi="Palatino Linotype" w:cs="Arial"/>
          <w:color w:val="000000" w:themeColor="text1"/>
        </w:rPr>
        <w:t xml:space="preserve">sólo proporcionarán la información pública que </w:t>
      </w:r>
      <w:r w:rsidRPr="00FA58BF">
        <w:rPr>
          <w:rFonts w:ascii="Palatino Linotype" w:hAnsi="Palatino Linotype" w:cs="Arial"/>
        </w:rPr>
        <w:t>generen</w:t>
      </w:r>
      <w:r w:rsidRPr="00FA58BF">
        <w:rPr>
          <w:rFonts w:ascii="Palatino Linotype" w:hAnsi="Palatino Linotype" w:cs="Arial"/>
          <w:color w:val="000000" w:themeColor="text1"/>
        </w:rPr>
        <w:t xml:space="preserve">, administren o posean en el ejercicio de sus atribuciones; por consiguiente, la información pública se encuentra a disposición de cualquier persona, lo que implica </w:t>
      </w:r>
      <w:r w:rsidRPr="00FA58BF">
        <w:rPr>
          <w:rFonts w:ascii="Palatino Linotype" w:hAnsi="Palatino Linotype" w:cs="Arial"/>
          <w:color w:val="000000" w:themeColor="text1"/>
        </w:rPr>
        <w:lastRenderedPageBreak/>
        <w:t xml:space="preserve">que es deber de los Sujetos Obligados, garantizar el Derecho de </w:t>
      </w:r>
      <w:r w:rsidR="00335B6F" w:rsidRPr="00FA58BF">
        <w:rPr>
          <w:rFonts w:ascii="Palatino Linotype" w:hAnsi="Palatino Linotype" w:cs="Arial"/>
          <w:color w:val="000000" w:themeColor="text1"/>
        </w:rPr>
        <w:t>Acceso a la Información Pública</w:t>
      </w:r>
      <w:r w:rsidR="00B1433B" w:rsidRPr="00FA58BF">
        <w:rPr>
          <w:rFonts w:ascii="Palatino Linotype" w:hAnsi="Palatino Linotype" w:cs="Arial"/>
          <w:color w:val="000000" w:themeColor="text1"/>
        </w:rPr>
        <w:t xml:space="preserve">, circunstancia que aconteció en el presente asunto que se analiza. </w:t>
      </w:r>
      <w:r w:rsidR="00335B6F" w:rsidRPr="00FA58BF">
        <w:rPr>
          <w:rFonts w:ascii="Palatino Linotype" w:hAnsi="Palatino Linotype" w:cs="Arial"/>
          <w:color w:val="000000" w:themeColor="text1"/>
        </w:rPr>
        <w:t xml:space="preserve"> </w:t>
      </w:r>
    </w:p>
    <w:p w14:paraId="00E3B3E5" w14:textId="77777777" w:rsidR="00B1433B" w:rsidRPr="00FA58BF" w:rsidRDefault="00B1433B" w:rsidP="00804B40">
      <w:pPr>
        <w:spacing w:line="360" w:lineRule="auto"/>
        <w:jc w:val="both"/>
        <w:rPr>
          <w:rFonts w:ascii="Palatino Linotype" w:hAnsi="Palatino Linotype" w:cs="Arial"/>
          <w:color w:val="000000" w:themeColor="text1"/>
        </w:rPr>
      </w:pPr>
    </w:p>
    <w:p w14:paraId="3A790EAA" w14:textId="77777777" w:rsidR="00804B40" w:rsidRPr="00FA58BF" w:rsidRDefault="00804B40" w:rsidP="00804B40">
      <w:pPr>
        <w:spacing w:before="240" w:after="240" w:line="360" w:lineRule="auto"/>
        <w:ind w:right="49"/>
        <w:contextualSpacing/>
        <w:jc w:val="both"/>
        <w:rPr>
          <w:rFonts w:ascii="Palatino Linotype" w:hAnsi="Palatino Linotype" w:cs="Arial"/>
        </w:rPr>
      </w:pPr>
      <w:r w:rsidRPr="00FA58BF">
        <w:rPr>
          <w:rFonts w:ascii="Palatino Linotype" w:hAnsi="Palatino Linotype" w:cs="Arial"/>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1346B9F" w14:textId="77777777" w:rsidR="00B1433B" w:rsidRPr="00FA58BF" w:rsidRDefault="00B1433B" w:rsidP="00804B40">
      <w:pPr>
        <w:spacing w:before="240" w:after="240" w:line="360" w:lineRule="auto"/>
        <w:ind w:right="49"/>
        <w:contextualSpacing/>
        <w:jc w:val="both"/>
        <w:rPr>
          <w:rFonts w:ascii="Palatino Linotype" w:hAnsi="Palatino Linotype" w:cs="Arial"/>
        </w:rPr>
      </w:pPr>
    </w:p>
    <w:p w14:paraId="63118C39" w14:textId="77777777" w:rsidR="00804B40" w:rsidRPr="00FA58BF" w:rsidRDefault="00804B40" w:rsidP="00804B40">
      <w:pPr>
        <w:spacing w:line="360" w:lineRule="auto"/>
        <w:jc w:val="both"/>
        <w:rPr>
          <w:rFonts w:ascii="Palatino Linotype" w:hAnsi="Palatino Linotype" w:cs="Arial"/>
        </w:rPr>
      </w:pPr>
      <w:r w:rsidRPr="00FA58BF">
        <w:rPr>
          <w:rFonts w:ascii="Palatino Linotype" w:hAnsi="Palatino Linotype" w:cs="Arial"/>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33D6244" w14:textId="77777777" w:rsidR="00804B40" w:rsidRPr="00FA58BF" w:rsidRDefault="00804B40" w:rsidP="00804B40">
      <w:pPr>
        <w:ind w:left="851" w:right="899"/>
        <w:jc w:val="both"/>
        <w:rPr>
          <w:rFonts w:ascii="Palatino Linotype" w:hAnsi="Palatino Linotype" w:cs="Arial"/>
          <w:i/>
          <w:sz w:val="22"/>
          <w:szCs w:val="22"/>
        </w:rPr>
      </w:pPr>
    </w:p>
    <w:p w14:paraId="54EF9255" w14:textId="77777777" w:rsidR="00804B40" w:rsidRPr="00FA58BF" w:rsidRDefault="00804B40" w:rsidP="00804B40">
      <w:pPr>
        <w:ind w:left="851" w:right="899"/>
        <w:jc w:val="both"/>
        <w:rPr>
          <w:rFonts w:ascii="Palatino Linotype" w:hAnsi="Palatino Linotype" w:cs="Arial"/>
          <w:i/>
          <w:sz w:val="22"/>
          <w:szCs w:val="22"/>
        </w:rPr>
      </w:pPr>
      <w:r w:rsidRPr="00FA58BF">
        <w:rPr>
          <w:rFonts w:ascii="Palatino Linotype" w:hAnsi="Palatino Linotype" w:cs="Arial"/>
          <w:i/>
          <w:sz w:val="22"/>
          <w:szCs w:val="22"/>
        </w:rPr>
        <w:t>“</w:t>
      </w:r>
      <w:r w:rsidRPr="00FA58BF">
        <w:rPr>
          <w:rFonts w:ascii="Palatino Linotype" w:hAnsi="Palatino Linotype" w:cs="Arial"/>
          <w:b/>
          <w:i/>
          <w:sz w:val="22"/>
          <w:szCs w:val="22"/>
        </w:rPr>
        <w:t xml:space="preserve">Artículo 3. </w:t>
      </w:r>
      <w:r w:rsidRPr="00FA58BF">
        <w:rPr>
          <w:rFonts w:ascii="Palatino Linotype" w:hAnsi="Palatino Linotype" w:cs="Arial"/>
          <w:i/>
          <w:sz w:val="22"/>
          <w:szCs w:val="22"/>
        </w:rPr>
        <w:t>Para los efectos de la presente Ley se entenderá por:</w:t>
      </w:r>
    </w:p>
    <w:p w14:paraId="05CDB999" w14:textId="77777777" w:rsidR="00804B40" w:rsidRPr="00FA58BF" w:rsidRDefault="00804B40" w:rsidP="00804B40">
      <w:pPr>
        <w:ind w:left="851" w:right="899"/>
        <w:jc w:val="both"/>
        <w:rPr>
          <w:rFonts w:ascii="Palatino Linotype" w:hAnsi="Palatino Linotype" w:cs="Arial"/>
          <w:i/>
          <w:sz w:val="22"/>
          <w:szCs w:val="22"/>
        </w:rPr>
      </w:pPr>
      <w:r w:rsidRPr="00FA58BF">
        <w:rPr>
          <w:rFonts w:ascii="Palatino Linotype" w:hAnsi="Palatino Linotype" w:cs="Arial"/>
          <w:i/>
          <w:sz w:val="22"/>
          <w:szCs w:val="22"/>
        </w:rPr>
        <w:t>…</w:t>
      </w:r>
    </w:p>
    <w:p w14:paraId="4055D994" w14:textId="77777777" w:rsidR="00804B40" w:rsidRPr="00FA58BF" w:rsidRDefault="00804B40" w:rsidP="00804B40">
      <w:pPr>
        <w:ind w:left="851" w:right="899"/>
        <w:jc w:val="both"/>
        <w:rPr>
          <w:rFonts w:ascii="Palatino Linotype" w:hAnsi="Palatino Linotype" w:cs="Arial"/>
          <w:i/>
          <w:color w:val="000000"/>
          <w:sz w:val="22"/>
          <w:szCs w:val="22"/>
        </w:rPr>
      </w:pPr>
      <w:r w:rsidRPr="00FA58BF">
        <w:rPr>
          <w:rFonts w:ascii="Palatino Linotype" w:hAnsi="Palatino Linotype" w:cs="Arial"/>
          <w:b/>
          <w:i/>
          <w:color w:val="000000"/>
          <w:sz w:val="22"/>
          <w:szCs w:val="22"/>
        </w:rPr>
        <w:lastRenderedPageBreak/>
        <w:t>XI. Documento:</w:t>
      </w:r>
      <w:r w:rsidRPr="00FA58BF">
        <w:rPr>
          <w:rFonts w:ascii="Palatino Linotype" w:hAnsi="Palatino Linotype" w:cs="Arial"/>
          <w:i/>
          <w:color w:val="000000"/>
          <w:sz w:val="22"/>
          <w:szCs w:val="22"/>
        </w:rPr>
        <w:t xml:space="preserve"> Los expedientes, reportes, estudios, actas</w:t>
      </w:r>
      <w:r w:rsidRPr="00FA58BF">
        <w:rPr>
          <w:rFonts w:ascii="Palatino Linotype" w:hAnsi="Palatino Linotype" w:cs="Arial"/>
          <w:b/>
          <w:i/>
          <w:color w:val="000000"/>
          <w:sz w:val="22"/>
          <w:szCs w:val="22"/>
        </w:rPr>
        <w:t>,</w:t>
      </w:r>
      <w:r w:rsidRPr="00FA58BF">
        <w:rPr>
          <w:rFonts w:ascii="Palatino Linotype" w:hAnsi="Palatino Linotype" w:cs="Arial"/>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888E90B" w14:textId="77777777" w:rsidR="00804B40" w:rsidRPr="00FA58BF" w:rsidRDefault="00804B40" w:rsidP="00804B40">
      <w:pPr>
        <w:ind w:left="851" w:right="899"/>
        <w:jc w:val="both"/>
        <w:rPr>
          <w:rFonts w:ascii="Palatino Linotype" w:hAnsi="Palatino Linotype" w:cs="Arial"/>
          <w:sz w:val="22"/>
          <w:szCs w:val="22"/>
        </w:rPr>
      </w:pPr>
    </w:p>
    <w:p w14:paraId="77612282" w14:textId="77777777" w:rsidR="00804B40" w:rsidRPr="00FA58BF" w:rsidRDefault="00804B40" w:rsidP="00804B40">
      <w:pPr>
        <w:autoSpaceDE w:val="0"/>
        <w:autoSpaceDN w:val="0"/>
        <w:adjustRightInd w:val="0"/>
        <w:spacing w:line="360" w:lineRule="auto"/>
        <w:jc w:val="both"/>
        <w:rPr>
          <w:rFonts w:ascii="Palatino Linotype" w:hAnsi="Palatino Linotype" w:cs="Arial"/>
        </w:rPr>
      </w:pPr>
      <w:r w:rsidRPr="00FA58BF">
        <w:rPr>
          <w:rFonts w:ascii="Palatino Linotype" w:hAnsi="Palatino Linotype" w:cs="Arial"/>
        </w:rPr>
        <w:t xml:space="preserve">Siendo aplicable, el Criterio </w:t>
      </w:r>
      <w:r w:rsidRPr="00FA58BF">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FA58BF">
        <w:rPr>
          <w:rFonts w:ascii="Palatino Linotype" w:hAnsi="Palatino Linotype" w:cs="Arial"/>
        </w:rPr>
        <w:t>cuyo rubro y texto refieren lo siguiente:</w:t>
      </w:r>
    </w:p>
    <w:p w14:paraId="6475DB6C" w14:textId="77777777" w:rsidR="00804B40" w:rsidRPr="00FA58BF" w:rsidRDefault="00804B40" w:rsidP="00804B40">
      <w:pPr>
        <w:ind w:left="851" w:right="899"/>
        <w:jc w:val="both"/>
        <w:rPr>
          <w:rFonts w:ascii="Palatino Linotype" w:hAnsi="Palatino Linotype" w:cs="Arial"/>
          <w:b/>
          <w:i/>
          <w:sz w:val="22"/>
          <w:szCs w:val="22"/>
        </w:rPr>
      </w:pPr>
      <w:r w:rsidRPr="00FA58BF">
        <w:rPr>
          <w:rFonts w:ascii="Palatino Linotype" w:hAnsi="Palatino Linotype" w:cs="Arial"/>
          <w:b/>
          <w:sz w:val="22"/>
          <w:szCs w:val="22"/>
        </w:rPr>
        <w:t>“</w:t>
      </w:r>
      <w:r w:rsidRPr="00FA58BF">
        <w:rPr>
          <w:rFonts w:ascii="Palatino Linotype" w:hAnsi="Palatino Linotype" w:cs="Arial"/>
          <w:b/>
          <w:i/>
          <w:sz w:val="22"/>
          <w:szCs w:val="22"/>
        </w:rPr>
        <w:t>CRITERIO 0002-11</w:t>
      </w:r>
    </w:p>
    <w:p w14:paraId="186FA45D" w14:textId="77777777" w:rsidR="00804B40" w:rsidRPr="00FA58BF" w:rsidRDefault="00804B40" w:rsidP="00804B40">
      <w:pPr>
        <w:ind w:left="851" w:right="899"/>
        <w:jc w:val="both"/>
        <w:rPr>
          <w:rFonts w:ascii="Palatino Linotype" w:hAnsi="Palatino Linotype" w:cs="Arial"/>
          <w:i/>
          <w:sz w:val="22"/>
          <w:szCs w:val="22"/>
        </w:rPr>
      </w:pPr>
      <w:r w:rsidRPr="00FA58BF">
        <w:rPr>
          <w:rFonts w:ascii="Palatino Linotype" w:hAnsi="Palatino Linotype" w:cs="Arial"/>
          <w:b/>
          <w:i/>
          <w:sz w:val="22"/>
          <w:szCs w:val="22"/>
        </w:rPr>
        <w:t xml:space="preserve">INFORMACIÓN PÚBLICA, CONCEPTO DE, EN MATERIA DE TRANSPARENCIA. INTERPRETACIÓN SISTEMÁTICA DE LOS ARTÍCULOS 2°, FRACCIÓN </w:t>
      </w:r>
      <w:r w:rsidRPr="00FA58BF">
        <w:rPr>
          <w:rFonts w:ascii="Palatino Linotype" w:hAnsi="Palatino Linotype" w:cs="Arial"/>
          <w:b/>
          <w:bCs/>
          <w:i/>
          <w:sz w:val="22"/>
          <w:szCs w:val="22"/>
        </w:rPr>
        <w:t xml:space="preserve">V, XV, Y XVI, </w:t>
      </w:r>
      <w:r w:rsidRPr="00FA58BF">
        <w:rPr>
          <w:rFonts w:ascii="Palatino Linotype" w:hAnsi="Palatino Linotype" w:cs="Arial"/>
          <w:b/>
          <w:i/>
          <w:sz w:val="22"/>
          <w:szCs w:val="22"/>
        </w:rPr>
        <w:t>3°, 4°, 11 Y 41.</w:t>
      </w:r>
      <w:r w:rsidRPr="00FA58BF">
        <w:rPr>
          <w:rFonts w:ascii="Palatino Linotype" w:hAnsi="Palatino Linotype" w:cs="Arial"/>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E014D5E" w14:textId="77777777" w:rsidR="00804B40" w:rsidRPr="00FA58BF" w:rsidRDefault="00804B40" w:rsidP="00804B40">
      <w:pPr>
        <w:ind w:left="851" w:right="899"/>
        <w:jc w:val="both"/>
        <w:rPr>
          <w:rFonts w:ascii="Palatino Linotype" w:hAnsi="Palatino Linotype" w:cs="Arial"/>
          <w:i/>
          <w:sz w:val="22"/>
          <w:szCs w:val="22"/>
        </w:rPr>
      </w:pPr>
      <w:r w:rsidRPr="00FA58BF">
        <w:rPr>
          <w:rFonts w:ascii="Palatino Linotype" w:hAnsi="Palatino Linotype" w:cs="Arial"/>
          <w:i/>
          <w:sz w:val="22"/>
          <w:szCs w:val="22"/>
        </w:rPr>
        <w:t>En consecuencia el acceso a la información se refiere a que se cumplan cualquiera de los siguientes tres supuestos:</w:t>
      </w:r>
    </w:p>
    <w:p w14:paraId="6301D0DC" w14:textId="77777777" w:rsidR="00804B40" w:rsidRPr="00FA58BF" w:rsidRDefault="00804B40" w:rsidP="00804B40">
      <w:pPr>
        <w:ind w:left="851" w:right="899"/>
        <w:jc w:val="both"/>
        <w:rPr>
          <w:rFonts w:ascii="Palatino Linotype" w:hAnsi="Palatino Linotype" w:cs="Arial"/>
          <w:i/>
          <w:sz w:val="22"/>
          <w:szCs w:val="22"/>
        </w:rPr>
      </w:pPr>
      <w:r w:rsidRPr="00FA58BF">
        <w:rPr>
          <w:rFonts w:ascii="Palatino Linotype" w:hAnsi="Palatino Linotype" w:cs="Arial"/>
          <w:i/>
          <w:sz w:val="22"/>
          <w:szCs w:val="22"/>
        </w:rPr>
        <w:t>1) Que se trate de información registrada en cualquier soporte documental, que en ejercicio de las atribuciones conferidas, sea generada por los Sujetos Obligados;</w:t>
      </w:r>
    </w:p>
    <w:p w14:paraId="57B66D39" w14:textId="77777777" w:rsidR="00804B40" w:rsidRPr="00FA58BF" w:rsidRDefault="00804B40" w:rsidP="00804B40">
      <w:pPr>
        <w:ind w:left="851" w:right="899"/>
        <w:jc w:val="both"/>
        <w:rPr>
          <w:rFonts w:ascii="Palatino Linotype" w:hAnsi="Palatino Linotype" w:cs="Arial"/>
          <w:b/>
          <w:i/>
          <w:sz w:val="22"/>
          <w:szCs w:val="22"/>
        </w:rPr>
      </w:pPr>
      <w:r w:rsidRPr="00FA58BF">
        <w:rPr>
          <w:rFonts w:ascii="Palatino Linotype" w:hAnsi="Palatino Linotype" w:cs="Arial"/>
          <w:b/>
          <w:i/>
          <w:sz w:val="22"/>
          <w:szCs w:val="22"/>
        </w:rPr>
        <w:t>2) Que se trate de información registrada en cualquier soporte documental, que en ejercicio de las atribuciones conferidas, sea administrada por los Sujetos Obligados, y</w:t>
      </w:r>
    </w:p>
    <w:p w14:paraId="0C8913BA" w14:textId="77777777" w:rsidR="00804B40" w:rsidRPr="00FA58BF" w:rsidRDefault="00804B40" w:rsidP="00804B40">
      <w:pPr>
        <w:ind w:left="851" w:right="899"/>
        <w:jc w:val="both"/>
        <w:rPr>
          <w:rFonts w:ascii="Palatino Linotype" w:hAnsi="Palatino Linotype" w:cs="Arial"/>
          <w:b/>
          <w:i/>
          <w:sz w:val="22"/>
          <w:szCs w:val="22"/>
        </w:rPr>
      </w:pPr>
      <w:r w:rsidRPr="00FA58BF">
        <w:rPr>
          <w:rFonts w:ascii="Palatino Linotype" w:hAnsi="Palatino Linotype" w:cs="Arial"/>
          <w:b/>
          <w:i/>
          <w:sz w:val="22"/>
          <w:szCs w:val="22"/>
        </w:rPr>
        <w:t>3) Que se trate de información registrada en cualquier soporte documental, que en ejercicio de las atribuciones conferidas, se encuentre en posesión de los Sujetos Obligados.”(Sic)</w:t>
      </w:r>
    </w:p>
    <w:p w14:paraId="01C68F41" w14:textId="77777777" w:rsidR="00016EDE" w:rsidRPr="00FA58BF" w:rsidRDefault="00016EDE" w:rsidP="00016EDE">
      <w:pPr>
        <w:spacing w:before="240" w:after="240" w:line="360" w:lineRule="auto"/>
        <w:jc w:val="both"/>
        <w:rPr>
          <w:rFonts w:ascii="Palatino Linotype" w:hAnsi="Palatino Linotype"/>
        </w:rPr>
      </w:pPr>
      <w:r w:rsidRPr="00FA58BF">
        <w:rPr>
          <w:rFonts w:ascii="Palatino Linotype" w:hAnsi="Palatino Linotype"/>
        </w:rPr>
        <w:lastRenderedPageBreak/>
        <w:t>Ahora bien, del análisis de la solicitud de información pública que motivó el recurso de revisión que ahora se resuelve, se advierte que el particu</w:t>
      </w:r>
      <w:r w:rsidR="001A3791" w:rsidRPr="00FA58BF">
        <w:rPr>
          <w:rFonts w:ascii="Palatino Linotype" w:hAnsi="Palatino Linotype"/>
        </w:rPr>
        <w:t>lar requirió</w:t>
      </w:r>
      <w:r w:rsidR="00EF266E" w:rsidRPr="00FA58BF">
        <w:rPr>
          <w:rFonts w:ascii="Palatino Linotype" w:hAnsi="Palatino Linotype"/>
        </w:rPr>
        <w:t xml:space="preserve"> al </w:t>
      </w:r>
      <w:r w:rsidR="000A34CB" w:rsidRPr="00FA58BF">
        <w:rPr>
          <w:rFonts w:ascii="Palatino Linotype" w:hAnsi="Palatino Linotype"/>
        </w:rPr>
        <w:t>Centro de Conciliación Laboral del Estado de México</w:t>
      </w:r>
      <w:r w:rsidR="00740453" w:rsidRPr="00FA58BF">
        <w:rPr>
          <w:rFonts w:ascii="Palatino Linotype" w:hAnsi="Palatino Linotype"/>
        </w:rPr>
        <w:t>, lo siguiente</w:t>
      </w:r>
      <w:r w:rsidR="00EF266E" w:rsidRPr="00FA58BF">
        <w:rPr>
          <w:rFonts w:ascii="Palatino Linotype" w:hAnsi="Palatino Linotype"/>
        </w:rPr>
        <w:t>:</w:t>
      </w:r>
    </w:p>
    <w:p w14:paraId="39726B6F" w14:textId="77777777" w:rsidR="00EB0ED3" w:rsidRPr="00FA58BF" w:rsidRDefault="00EB0ED3" w:rsidP="00EB0ED3">
      <w:pPr>
        <w:pStyle w:val="Prrafodelista"/>
        <w:numPr>
          <w:ilvl w:val="0"/>
          <w:numId w:val="36"/>
        </w:numPr>
        <w:spacing w:before="240" w:after="240" w:line="360" w:lineRule="auto"/>
        <w:jc w:val="both"/>
        <w:rPr>
          <w:rFonts w:ascii="Palatino Linotype" w:hAnsi="Palatino Linotype"/>
        </w:rPr>
      </w:pPr>
      <w:r w:rsidRPr="00FA58BF">
        <w:rPr>
          <w:rFonts w:ascii="Palatino Linotype" w:hAnsi="Palatino Linotype"/>
        </w:rPr>
        <w:t>La designación u otorgamiento de algún nombramiento o contrato de los servidores públicos con las que tengan lazos de parentesco por consanguinidad hasta el cuarto grado o afinidad hasta el segundo grado o vínculo de matrimonio o concubinato que presten sus servicios en la misma institución, dependencia o ente público en el que laboran</w:t>
      </w:r>
    </w:p>
    <w:p w14:paraId="75904B5A" w14:textId="77777777" w:rsidR="007602BA" w:rsidRPr="00FA58BF" w:rsidRDefault="00016EDE" w:rsidP="00AA0BC1">
      <w:pPr>
        <w:spacing w:before="240" w:after="240" w:line="360" w:lineRule="auto"/>
        <w:ind w:right="49"/>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En respuesta, el </w:t>
      </w:r>
      <w:r w:rsidRPr="00FA58BF">
        <w:rPr>
          <w:rFonts w:ascii="Palatino Linotype" w:eastAsia="Palatino Linotype" w:hAnsi="Palatino Linotype" w:cs="Palatino Linotype"/>
          <w:b/>
        </w:rPr>
        <w:t xml:space="preserve">SUJETO OBLIGADO </w:t>
      </w:r>
      <w:r w:rsidRPr="00FA58BF">
        <w:rPr>
          <w:rFonts w:ascii="Palatino Linotype" w:eastAsia="Palatino Linotype" w:hAnsi="Palatino Linotype" w:cs="Palatino Linotype"/>
        </w:rPr>
        <w:t xml:space="preserve">a través de </w:t>
      </w:r>
      <w:r w:rsidR="00C7536B" w:rsidRPr="00FA58BF">
        <w:rPr>
          <w:rFonts w:ascii="Palatino Linotype" w:eastAsia="Palatino Linotype" w:hAnsi="Palatino Linotype" w:cs="Palatino Linotype"/>
        </w:rPr>
        <w:t xml:space="preserve">su </w:t>
      </w:r>
      <w:r w:rsidR="00986EFE" w:rsidRPr="00FA58BF">
        <w:rPr>
          <w:rFonts w:ascii="Palatino Linotype" w:eastAsia="Palatino Linotype" w:hAnsi="Palatino Linotype" w:cs="Palatino Linotype"/>
        </w:rPr>
        <w:t xml:space="preserve">Unidad de Apoyo Administrativo </w:t>
      </w:r>
      <w:r w:rsidR="00EB0ED3" w:rsidRPr="00FA58BF">
        <w:rPr>
          <w:rFonts w:ascii="Palatino Linotype" w:eastAsia="Palatino Linotype" w:hAnsi="Palatino Linotype" w:cs="Palatino Linotype"/>
        </w:rPr>
        <w:t xml:space="preserve">señaló que después de haber realizado una búsqueda exhaustiva en los documentos que obran en dicha área, no se encontró información relacionada con su petición.  </w:t>
      </w:r>
    </w:p>
    <w:p w14:paraId="3BA7BE39" w14:textId="77777777" w:rsidR="00016EDE" w:rsidRPr="00FA58BF" w:rsidRDefault="00016EDE" w:rsidP="001A3791">
      <w:pPr>
        <w:spacing w:before="240" w:after="240" w:line="360" w:lineRule="auto"/>
        <w:ind w:right="49"/>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No conforme con la respuesta la parte </w:t>
      </w:r>
      <w:r w:rsidRPr="00FA58BF">
        <w:rPr>
          <w:rFonts w:ascii="Palatino Linotype" w:eastAsia="Palatino Linotype" w:hAnsi="Palatino Linotype" w:cs="Palatino Linotype"/>
          <w:b/>
        </w:rPr>
        <w:t>RECURRENTE</w:t>
      </w:r>
      <w:r w:rsidRPr="00FA58BF">
        <w:rPr>
          <w:rFonts w:ascii="Palatino Linotype" w:eastAsia="Palatino Linotype" w:hAnsi="Palatino Linotype" w:cs="Palatino Linotype"/>
        </w:rPr>
        <w:t xml:space="preserve"> interpuso el recurso de revisión que se analiza en el presente asunto, por medio del cual se inconformó </w:t>
      </w:r>
      <w:r w:rsidR="009C12D9" w:rsidRPr="00FA58BF">
        <w:rPr>
          <w:rFonts w:ascii="Palatino Linotype" w:eastAsia="Palatino Linotype" w:hAnsi="Palatino Linotype" w:cs="Palatino Linotype"/>
        </w:rPr>
        <w:t>por lo siguiente:</w:t>
      </w:r>
    </w:p>
    <w:p w14:paraId="2D39545E" w14:textId="77777777" w:rsidR="00EB0ED3" w:rsidRPr="00FA58BF" w:rsidRDefault="009C12D9" w:rsidP="00EB0ED3">
      <w:pPr>
        <w:ind w:left="851" w:right="902"/>
        <w:contextualSpacing/>
        <w:jc w:val="both"/>
        <w:rPr>
          <w:rFonts w:ascii="Palatino Linotype" w:eastAsia="Palatino Linotype" w:hAnsi="Palatino Linotype" w:cs="Palatino Linotype"/>
          <w:i/>
          <w:sz w:val="22"/>
          <w:szCs w:val="22"/>
        </w:rPr>
      </w:pPr>
      <w:r w:rsidRPr="00FA58BF">
        <w:rPr>
          <w:rFonts w:ascii="Palatino Linotype" w:hAnsi="Palatino Linotype" w:cs="Arial"/>
          <w:i/>
          <w:sz w:val="22"/>
          <w:szCs w:val="22"/>
        </w:rPr>
        <w:t>“</w:t>
      </w:r>
      <w:r w:rsidR="00986EFE" w:rsidRPr="00FA58BF">
        <w:rPr>
          <w:rFonts w:ascii="Palatino Linotype" w:hAnsi="Palatino Linotype" w:cs="Arial"/>
          <w:i/>
          <w:sz w:val="22"/>
          <w:szCs w:val="22"/>
        </w:rPr>
        <w:t>…</w:t>
      </w:r>
      <w:r w:rsidR="00EB0ED3" w:rsidRPr="00FA58BF">
        <w:rPr>
          <w:rFonts w:ascii="Palatino Linotype" w:eastAsia="Palatino Linotype" w:hAnsi="Palatino Linotype" w:cs="Palatino Linotype"/>
          <w:i/>
          <w:sz w:val="22"/>
          <w:szCs w:val="22"/>
        </w:rPr>
        <w:t xml:space="preserve">Considero que la respuesta del sujeto obligado va en contra de mi derecho de acceso a la información pública, ya que no proporciona la información solicitada El sujeto obligado de informa en que consistió la búsqueda exhaustiva que según el realizo y cuáles fueron los archivos en que realizo dicha búsqueda. </w:t>
      </w:r>
      <w:r w:rsidR="00EB0ED3" w:rsidRPr="00FA58BF">
        <w:rPr>
          <w:rFonts w:ascii="Palatino Linotype" w:eastAsia="Palatino Linotype" w:hAnsi="Palatino Linotype" w:cs="Palatino Linotype"/>
          <w:b/>
          <w:i/>
          <w:sz w:val="22"/>
          <w:szCs w:val="22"/>
        </w:rPr>
        <w:t>La respuesta emitida por el sujeto obligado no fue realizada por el comité de transparencia de la institución</w:t>
      </w:r>
      <w:r w:rsidR="00EB0ED3" w:rsidRPr="00FA58BF">
        <w:rPr>
          <w:rFonts w:ascii="Palatino Linotype" w:eastAsia="Palatino Linotype" w:hAnsi="Palatino Linotype" w:cs="Palatino Linotype"/>
          <w:i/>
          <w:sz w:val="22"/>
          <w:szCs w:val="22"/>
        </w:rPr>
        <w:t xml:space="preserve">. </w:t>
      </w:r>
      <w:r w:rsidR="00EB0ED3" w:rsidRPr="00FA58BF">
        <w:rPr>
          <w:rFonts w:ascii="Palatino Linotype" w:eastAsia="Palatino Linotype" w:hAnsi="Palatino Linotype" w:cs="Palatino Linotype"/>
          <w:b/>
          <w:i/>
          <w:sz w:val="22"/>
          <w:szCs w:val="22"/>
        </w:rPr>
        <w:t>El sujeto obligado no emitió ningún acuerdo de inexistencia de la información solicitada</w:t>
      </w:r>
      <w:r w:rsidR="00EB0ED3" w:rsidRPr="00FA58BF">
        <w:rPr>
          <w:rFonts w:ascii="Palatino Linotype" w:eastAsia="Palatino Linotype" w:hAnsi="Palatino Linotype" w:cs="Palatino Linotype"/>
          <w:i/>
          <w:sz w:val="22"/>
          <w:szCs w:val="22"/>
        </w:rPr>
        <w:t xml:space="preserve">. </w:t>
      </w:r>
      <w:r w:rsidR="00EB0ED3" w:rsidRPr="00FA58BF">
        <w:rPr>
          <w:rFonts w:ascii="Palatino Linotype" w:eastAsia="Palatino Linotype" w:hAnsi="Palatino Linotype" w:cs="Palatino Linotype"/>
          <w:b/>
          <w:i/>
          <w:sz w:val="22"/>
          <w:szCs w:val="22"/>
        </w:rPr>
        <w:t>El sujeto obligado no funda ni motiva su respuesta a mi solicitud de transparencia</w:t>
      </w:r>
      <w:r w:rsidR="00EB0ED3" w:rsidRPr="00FA58BF">
        <w:rPr>
          <w:rFonts w:ascii="Palatino Linotype" w:eastAsia="Palatino Linotype" w:hAnsi="Palatino Linotype" w:cs="Palatino Linotype"/>
          <w:i/>
          <w:sz w:val="22"/>
          <w:szCs w:val="22"/>
        </w:rPr>
        <w:t xml:space="preserve">. Simula el sujeto obligado que no tiene documentos relevantes a mi petición, cuando es su obligación generarlos, pues su obligación nace de la misma constitución que </w:t>
      </w:r>
      <w:r w:rsidR="00EB0ED3" w:rsidRPr="00FA58BF">
        <w:rPr>
          <w:rFonts w:ascii="Palatino Linotype" w:eastAsia="Palatino Linotype" w:hAnsi="Palatino Linotype" w:cs="Palatino Linotype"/>
          <w:i/>
          <w:sz w:val="22"/>
          <w:szCs w:val="22"/>
        </w:rPr>
        <w:lastRenderedPageBreak/>
        <w:t xml:space="preserve">señala el artículo 108 de la Constitución Política Federal, en su último párrafo, </w:t>
      </w:r>
      <w:r w:rsidR="00EB0ED3" w:rsidRPr="00FA58BF">
        <w:rPr>
          <w:rFonts w:ascii="Palatino Linotype" w:eastAsia="Palatino Linotype" w:hAnsi="Palatino Linotype" w:cs="Palatino Linotype"/>
          <w:b/>
          <w:i/>
          <w:sz w:val="22"/>
          <w:szCs w:val="22"/>
        </w:rPr>
        <w:t>por lo que al negar la declaración de intereses que están obligados a rendir sus servidores públicos, también pretende el sujeto obligado negar la obligación que tiene de adoptar medidas prácticas para eliminar el nepotismos dentro de su institución</w:t>
      </w:r>
      <w:r w:rsidR="00EB0ED3" w:rsidRPr="00FA58BF">
        <w:rPr>
          <w:rFonts w:ascii="Palatino Linotype" w:eastAsia="Palatino Linotype" w:hAnsi="Palatino Linotype" w:cs="Palatino Linotype"/>
          <w:i/>
          <w:sz w:val="22"/>
          <w:szCs w:val="22"/>
        </w:rPr>
        <w:t xml:space="preserve">, con lo que no solo pretende sorprender al solicitante sino también al instituto de transparencias, motivo por los cuales esta autoridad tiene la obligación de impedir que el sujeto obligado impida el acceso de los ciudadanos a la información </w:t>
      </w:r>
      <w:proofErr w:type="spellStart"/>
      <w:r w:rsidR="00EB0ED3" w:rsidRPr="00FA58BF">
        <w:rPr>
          <w:rFonts w:ascii="Palatino Linotype" w:eastAsia="Palatino Linotype" w:hAnsi="Palatino Linotype" w:cs="Palatino Linotype"/>
          <w:i/>
          <w:sz w:val="22"/>
          <w:szCs w:val="22"/>
        </w:rPr>
        <w:t>publica</w:t>
      </w:r>
      <w:proofErr w:type="spellEnd"/>
      <w:r w:rsidR="00EB0ED3" w:rsidRPr="00FA58BF">
        <w:rPr>
          <w:rFonts w:ascii="Palatino Linotype" w:eastAsia="Palatino Linotype" w:hAnsi="Palatino Linotype" w:cs="Palatino Linotype"/>
          <w:i/>
          <w:sz w:val="22"/>
          <w:szCs w:val="22"/>
        </w:rPr>
        <w:t xml:space="preserve"> que debe poseer. </w:t>
      </w:r>
      <w:r w:rsidR="00EB0ED3" w:rsidRPr="00FA58BF">
        <w:rPr>
          <w:rFonts w:ascii="Palatino Linotype" w:eastAsia="Palatino Linotype" w:hAnsi="Palatino Linotype" w:cs="Palatino Linotype"/>
          <w:b/>
          <w:i/>
          <w:sz w:val="22"/>
          <w:szCs w:val="22"/>
        </w:rPr>
        <w:t>El sujeto obligado no manifiesta el motivo por el cual no genero la información solicitada cuando era su deber</w:t>
      </w:r>
      <w:r w:rsidR="00EB0ED3" w:rsidRPr="00FA58BF">
        <w:rPr>
          <w:rFonts w:ascii="Palatino Linotype" w:eastAsia="Palatino Linotype" w:hAnsi="Palatino Linotype" w:cs="Palatino Linotype"/>
          <w:i/>
          <w:sz w:val="22"/>
          <w:szCs w:val="22"/>
        </w:rPr>
        <w:t xml:space="preserve">, ya que el artículo 108 de la Constitución Política Federal, en su último párrafo, </w:t>
      </w:r>
      <w:r w:rsidR="00EB0ED3" w:rsidRPr="00FA58BF">
        <w:rPr>
          <w:rFonts w:ascii="Palatino Linotype" w:eastAsia="Palatino Linotype" w:hAnsi="Palatino Linotype" w:cs="Palatino Linotype"/>
          <w:b/>
          <w:i/>
          <w:sz w:val="22"/>
          <w:szCs w:val="22"/>
        </w:rPr>
        <w:t>establece la obligación de los servidores públicos a presentar, bajo protesta de decir verdad, su declaración de intereses o posible conflicto de intereses.</w:t>
      </w:r>
      <w:r w:rsidR="00EB0ED3" w:rsidRPr="00FA58BF">
        <w:rPr>
          <w:rFonts w:ascii="Palatino Linotype" w:eastAsia="Palatino Linotype" w:hAnsi="Palatino Linotype" w:cs="Palatino Linotype"/>
          <w:i/>
          <w:sz w:val="22"/>
          <w:szCs w:val="22"/>
        </w:rPr>
        <w:t xml:space="preserve"> El sujeto obligado no señala de forma pormenorizada en que archivos o documentos realizo la búsqueda de la información para tener por colmada la exhaustividad que señala. </w:t>
      </w:r>
      <w:r w:rsidR="00EB0ED3" w:rsidRPr="00FA58BF">
        <w:rPr>
          <w:rFonts w:ascii="Palatino Linotype" w:eastAsia="Palatino Linotype" w:hAnsi="Palatino Linotype" w:cs="Palatino Linotype"/>
          <w:b/>
          <w:i/>
          <w:sz w:val="22"/>
          <w:szCs w:val="22"/>
        </w:rPr>
        <w:t>El sujeto no remite informes de las diversas dependencias para que proporcionara la información, para apoyar su negativa a proporcionar la información.</w:t>
      </w:r>
      <w:r w:rsidR="00EB0ED3" w:rsidRPr="00FA58BF">
        <w:rPr>
          <w:rFonts w:ascii="Palatino Linotype" w:eastAsia="Palatino Linotype" w:hAnsi="Palatino Linotype" w:cs="Palatino Linotype"/>
          <w:i/>
          <w:sz w:val="22"/>
          <w:szCs w:val="22"/>
        </w:rPr>
        <w:t xml:space="preserve"> No señala los motivos y fundamentos, por los cuales, al momento no tiene </w:t>
      </w:r>
      <w:r w:rsidR="00EB0ED3" w:rsidRPr="00FA58BF">
        <w:rPr>
          <w:rFonts w:ascii="Palatino Linotype" w:eastAsia="Palatino Linotype" w:hAnsi="Palatino Linotype" w:cs="Palatino Linotype"/>
          <w:b/>
          <w:i/>
          <w:sz w:val="22"/>
          <w:szCs w:val="22"/>
        </w:rPr>
        <w:t>la declaración de intereses de los servidores públicos si es una obligación de los mismos ante la institución</w:t>
      </w:r>
      <w:r w:rsidR="00EB0ED3" w:rsidRPr="00FA58BF">
        <w:rPr>
          <w:rFonts w:ascii="Palatino Linotype" w:eastAsia="Palatino Linotype" w:hAnsi="Palatino Linotype" w:cs="Palatino Linotype"/>
          <w:i/>
          <w:sz w:val="22"/>
          <w:szCs w:val="22"/>
        </w:rPr>
        <w:t xml:space="preserve">. No señala el sujeto obligado el motivo y fundamento por los que no tiene la declaración de intereses de los servidores públicos de esa institución. El sujeto obligado, tiene la obligación que verificar si sus servidores públicos al momento de su contratación </w:t>
      </w:r>
      <w:r w:rsidR="00EB0ED3" w:rsidRPr="00FA58BF">
        <w:rPr>
          <w:rFonts w:ascii="Palatino Linotype" w:eastAsia="Palatino Linotype" w:hAnsi="Palatino Linotype" w:cs="Palatino Linotype"/>
          <w:b/>
          <w:i/>
          <w:sz w:val="22"/>
          <w:szCs w:val="22"/>
        </w:rPr>
        <w:t>no un conflicto de intereses o parentesco con otros servidores de la misma institución y para ello debe tener la declaración de conflictos de interés</w:t>
      </w:r>
      <w:r w:rsidR="00EB0ED3" w:rsidRPr="00FA58BF">
        <w:rPr>
          <w:rFonts w:ascii="Palatino Linotype" w:eastAsia="Palatino Linotype" w:hAnsi="Palatino Linotype" w:cs="Palatino Linotype"/>
          <w:i/>
          <w:sz w:val="22"/>
          <w:szCs w:val="22"/>
        </w:rPr>
        <w:t xml:space="preserve">, por lo que el hecho de no negar tenerla dentro de los expedientes o documentos de los servidores públicos presentaron además de violentar el derecho de información incumple con la norma constitucional que obliga a que al contratar a los servidores públicos tiene que declarar sus intereses bajo protesta de decir verdad, motivo por el cual esta autoridad debe obligar a dicho sujeto obligado a proporcionar al ente a proporcionar la información como le fue requerida. El ente obligado asume que toda la información generada en los procedimiento de conciliación contienen únicamente información confidencial sin observar que dichos expedientes también contienen información </w:t>
      </w:r>
      <w:proofErr w:type="spellStart"/>
      <w:r w:rsidR="00EB0ED3" w:rsidRPr="00FA58BF">
        <w:rPr>
          <w:rFonts w:ascii="Palatino Linotype" w:eastAsia="Palatino Linotype" w:hAnsi="Palatino Linotype" w:cs="Palatino Linotype"/>
          <w:i/>
          <w:sz w:val="22"/>
          <w:szCs w:val="22"/>
        </w:rPr>
        <w:t>publica</w:t>
      </w:r>
      <w:proofErr w:type="spellEnd"/>
      <w:r w:rsidR="00EB0ED3" w:rsidRPr="00FA58BF">
        <w:rPr>
          <w:rFonts w:ascii="Palatino Linotype" w:eastAsia="Palatino Linotype" w:hAnsi="Palatino Linotype" w:cs="Palatino Linotype"/>
          <w:i/>
          <w:sz w:val="22"/>
          <w:szCs w:val="22"/>
        </w:rPr>
        <w:t xml:space="preserve">, la cual tiene obligación de proporcionar al solicitante de información, por lo que al negar hacerlo en la respuesta que emite impide tener acceso a la información </w:t>
      </w:r>
      <w:proofErr w:type="spellStart"/>
      <w:r w:rsidR="00EB0ED3" w:rsidRPr="00FA58BF">
        <w:rPr>
          <w:rFonts w:ascii="Palatino Linotype" w:eastAsia="Palatino Linotype" w:hAnsi="Palatino Linotype" w:cs="Palatino Linotype"/>
          <w:i/>
          <w:sz w:val="22"/>
          <w:szCs w:val="22"/>
        </w:rPr>
        <w:t>publica</w:t>
      </w:r>
      <w:proofErr w:type="spellEnd"/>
      <w:r w:rsidR="00EB0ED3" w:rsidRPr="00FA58BF">
        <w:rPr>
          <w:rFonts w:ascii="Palatino Linotype" w:eastAsia="Palatino Linotype" w:hAnsi="Palatino Linotype" w:cs="Palatino Linotype"/>
          <w:i/>
          <w:sz w:val="22"/>
          <w:szCs w:val="22"/>
        </w:rPr>
        <w:t xml:space="preserve"> de los expedientes que menciona, ya que no clasifica la información confidencial y la </w:t>
      </w:r>
      <w:r w:rsidR="00EB0ED3" w:rsidRPr="00FA58BF">
        <w:rPr>
          <w:rFonts w:ascii="Palatino Linotype" w:eastAsia="Palatino Linotype" w:hAnsi="Palatino Linotype" w:cs="Palatino Linotype"/>
          <w:i/>
          <w:sz w:val="22"/>
          <w:szCs w:val="22"/>
        </w:rPr>
        <w:lastRenderedPageBreak/>
        <w:t xml:space="preserve">información </w:t>
      </w:r>
      <w:proofErr w:type="spellStart"/>
      <w:r w:rsidR="00EB0ED3" w:rsidRPr="00FA58BF">
        <w:rPr>
          <w:rFonts w:ascii="Palatino Linotype" w:eastAsia="Palatino Linotype" w:hAnsi="Palatino Linotype" w:cs="Palatino Linotype"/>
          <w:i/>
          <w:sz w:val="22"/>
          <w:szCs w:val="22"/>
        </w:rPr>
        <w:t>publica</w:t>
      </w:r>
      <w:proofErr w:type="spellEnd"/>
      <w:r w:rsidR="00EB0ED3" w:rsidRPr="00FA58BF">
        <w:rPr>
          <w:rFonts w:ascii="Palatino Linotype" w:eastAsia="Palatino Linotype" w:hAnsi="Palatino Linotype" w:cs="Palatino Linotype"/>
          <w:i/>
          <w:sz w:val="22"/>
          <w:szCs w:val="22"/>
        </w:rPr>
        <w:t xml:space="preserve">, negando la información sin distinguir una de otra por lo que con dicho presupuesto viola mi derecho de acceso a la información </w:t>
      </w:r>
      <w:proofErr w:type="spellStart"/>
      <w:r w:rsidR="00EB0ED3" w:rsidRPr="00FA58BF">
        <w:rPr>
          <w:rFonts w:ascii="Palatino Linotype" w:eastAsia="Palatino Linotype" w:hAnsi="Palatino Linotype" w:cs="Palatino Linotype"/>
          <w:i/>
          <w:sz w:val="22"/>
          <w:szCs w:val="22"/>
        </w:rPr>
        <w:t>publica</w:t>
      </w:r>
      <w:proofErr w:type="spellEnd"/>
      <w:r w:rsidR="00EB0ED3" w:rsidRPr="00FA58BF">
        <w:rPr>
          <w:rFonts w:ascii="Palatino Linotype" w:eastAsia="Palatino Linotype" w:hAnsi="Palatino Linotype" w:cs="Palatino Linotype"/>
          <w:i/>
          <w:sz w:val="22"/>
          <w:szCs w:val="22"/>
        </w:rPr>
        <w:t>” (Sic)</w:t>
      </w:r>
    </w:p>
    <w:p w14:paraId="0B6674D1" w14:textId="77777777" w:rsidR="009C12D9" w:rsidRPr="00FA58BF" w:rsidRDefault="009C12D9" w:rsidP="009C12D9">
      <w:pPr>
        <w:ind w:left="851" w:right="899"/>
        <w:jc w:val="both"/>
        <w:rPr>
          <w:rFonts w:ascii="Palatino Linotype" w:hAnsi="Palatino Linotype" w:cs="Arial"/>
          <w:i/>
          <w:sz w:val="22"/>
          <w:szCs w:val="22"/>
        </w:rPr>
      </w:pPr>
    </w:p>
    <w:p w14:paraId="749C2128" w14:textId="77777777" w:rsidR="009C12D9" w:rsidRPr="00FA58BF" w:rsidRDefault="009C12D9" w:rsidP="009C12D9">
      <w:pPr>
        <w:ind w:left="851" w:right="899"/>
        <w:jc w:val="both"/>
        <w:rPr>
          <w:rFonts w:ascii="Palatino Linotype" w:eastAsia="Palatino Linotype" w:hAnsi="Palatino Linotype" w:cs="Palatino Linotype"/>
        </w:rPr>
      </w:pPr>
    </w:p>
    <w:p w14:paraId="24B0F451" w14:textId="77777777" w:rsidR="009C12D9" w:rsidRPr="00FA58BF" w:rsidRDefault="00016EDE" w:rsidP="006B3F6A">
      <w:pPr>
        <w:spacing w:line="360" w:lineRule="auto"/>
        <w:jc w:val="both"/>
        <w:rPr>
          <w:rFonts w:ascii="Palatino Linotype" w:hAnsi="Palatino Linotype"/>
        </w:rPr>
      </w:pPr>
      <w:r w:rsidRPr="00FA58BF">
        <w:rPr>
          <w:rFonts w:ascii="Palatino Linotype" w:eastAsia="Palatino Linotype" w:hAnsi="Palatino Linotype" w:cs="Palatino Linotype"/>
        </w:rPr>
        <w:t xml:space="preserve">Ante la interposición del recurso de revisión el </w:t>
      </w:r>
      <w:r w:rsidRPr="00FA58BF">
        <w:rPr>
          <w:rFonts w:ascii="Palatino Linotype" w:eastAsia="Palatino Linotype" w:hAnsi="Palatino Linotype" w:cs="Palatino Linotype"/>
          <w:b/>
        </w:rPr>
        <w:t>SUJETO OBLIGADO</w:t>
      </w:r>
      <w:r w:rsidRPr="00FA58BF">
        <w:rPr>
          <w:rFonts w:ascii="Palatino Linotype" w:eastAsia="Palatino Linotype" w:hAnsi="Palatino Linotype" w:cs="Palatino Linotype"/>
        </w:rPr>
        <w:t xml:space="preserve">, </w:t>
      </w:r>
      <w:r w:rsidR="009C12D9" w:rsidRPr="00FA58BF">
        <w:rPr>
          <w:rFonts w:ascii="Palatino Linotype" w:eastAsia="Palatino Linotype" w:hAnsi="Palatino Linotype" w:cs="Palatino Linotype"/>
        </w:rPr>
        <w:t xml:space="preserve">la rendir su informe justificado </w:t>
      </w:r>
      <w:r w:rsidR="00986EFE" w:rsidRPr="00FA58BF">
        <w:rPr>
          <w:rFonts w:ascii="Palatino Linotype" w:eastAsia="Palatino Linotype" w:hAnsi="Palatino Linotype" w:cs="Palatino Linotype"/>
        </w:rPr>
        <w:t xml:space="preserve">en lo medular ratificó su respuesta inicial. </w:t>
      </w:r>
    </w:p>
    <w:p w14:paraId="339999C6" w14:textId="77777777" w:rsidR="005F24EC" w:rsidRPr="00FA58BF" w:rsidRDefault="005F24EC" w:rsidP="00014A16">
      <w:pPr>
        <w:spacing w:line="360" w:lineRule="auto"/>
        <w:jc w:val="both"/>
        <w:rPr>
          <w:rFonts w:ascii="Palatino Linotype" w:eastAsia="Palatino Linotype" w:hAnsi="Palatino Linotype" w:cs="Palatino Linotype"/>
          <w:color w:val="000000"/>
        </w:rPr>
      </w:pPr>
    </w:p>
    <w:p w14:paraId="26AD0C4F" w14:textId="77777777" w:rsidR="00986EFE" w:rsidRPr="00FA58BF" w:rsidRDefault="00986EFE" w:rsidP="00986EFE">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color w:val="000000"/>
        </w:rPr>
        <w:t>Con base en lo precedente</w:t>
      </w:r>
      <w:r w:rsidRPr="00FA58BF">
        <w:rPr>
          <w:rFonts w:ascii="Palatino Linotype" w:eastAsia="Palatino Linotype" w:hAnsi="Palatino Linotype" w:cs="Palatino Linotype"/>
        </w:rPr>
        <w:t xml:space="preserve">, se determina que la información proporcionada por el </w:t>
      </w:r>
      <w:r w:rsidRPr="00FA58BF">
        <w:rPr>
          <w:rFonts w:ascii="Palatino Linotype" w:eastAsia="Palatino Linotype" w:hAnsi="Palatino Linotype" w:cs="Palatino Linotype"/>
          <w:b/>
        </w:rPr>
        <w:t>SUJETO OBLIGADO</w:t>
      </w:r>
      <w:r w:rsidRPr="00FA58BF">
        <w:rPr>
          <w:rFonts w:ascii="Palatino Linotype" w:eastAsia="Palatino Linotype" w:hAnsi="Palatino Linotype" w:cs="Palatino Linotype"/>
        </w:rPr>
        <w:t xml:space="preserve"> en su respuesta, cumple con lo establecido por los artículos 4, 12 y 24 último párrafo de la Ley de Transparencia y Acceso a la Información Pública del Estado de México y Municipios; por ello, los motivos de inconformidad acontecen infundados para modificar o revocar la respuesta del </w:t>
      </w:r>
      <w:r w:rsidRPr="00FA58BF">
        <w:rPr>
          <w:rFonts w:ascii="Palatino Linotype" w:eastAsia="Palatino Linotype" w:hAnsi="Palatino Linotype" w:cs="Palatino Linotype"/>
          <w:b/>
        </w:rPr>
        <w:t>SUJETO OBLIGADO</w:t>
      </w:r>
      <w:r w:rsidRPr="00FA58BF">
        <w:rPr>
          <w:rFonts w:ascii="Palatino Linotype" w:eastAsia="Palatino Linotype" w:hAnsi="Palatino Linotype" w:cs="Palatino Linotype"/>
        </w:rPr>
        <w:t xml:space="preserve"> en razón de las consideraciones de derecho que a continuación se exponen:</w:t>
      </w:r>
    </w:p>
    <w:p w14:paraId="57BE0232" w14:textId="77777777" w:rsidR="00AA0BC1" w:rsidRPr="00FA58BF" w:rsidRDefault="00AA0BC1" w:rsidP="00014A16">
      <w:pPr>
        <w:spacing w:line="360" w:lineRule="auto"/>
        <w:jc w:val="both"/>
        <w:rPr>
          <w:rFonts w:ascii="Palatino Linotype" w:eastAsia="Palatino Linotype" w:hAnsi="Palatino Linotype" w:cs="Palatino Linotype"/>
        </w:rPr>
      </w:pPr>
    </w:p>
    <w:p w14:paraId="2F672DA7" w14:textId="2D0B9FFF" w:rsidR="00EB0ED3" w:rsidRPr="00FA58BF" w:rsidRDefault="00986EFE" w:rsidP="00EB0ED3">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Antes del estudio </w:t>
      </w:r>
      <w:r w:rsidR="00DE7925" w:rsidRPr="00FA58BF">
        <w:rPr>
          <w:rFonts w:ascii="Palatino Linotype" w:eastAsia="Palatino Linotype" w:hAnsi="Palatino Linotype" w:cs="Palatino Linotype"/>
        </w:rPr>
        <w:t>de</w:t>
      </w:r>
      <w:r w:rsidRPr="00FA58BF">
        <w:rPr>
          <w:rFonts w:ascii="Palatino Linotype" w:eastAsia="Palatino Linotype" w:hAnsi="Palatino Linotype" w:cs="Palatino Linotype"/>
        </w:rPr>
        <w:t xml:space="preserve"> fondo, es necesario precisar que </w:t>
      </w:r>
      <w:r w:rsidR="00EB0ED3" w:rsidRPr="00FA58BF">
        <w:rPr>
          <w:rFonts w:ascii="Palatino Linotype" w:eastAsia="Palatino Linotype" w:hAnsi="Palatino Linotype" w:cs="Palatino Linotype"/>
        </w:rPr>
        <w:t xml:space="preserve">de los motivos de inconformidad de la </w:t>
      </w:r>
      <w:r w:rsidR="00EB0ED3" w:rsidRPr="00FA58BF">
        <w:rPr>
          <w:rFonts w:ascii="Palatino Linotype" w:eastAsia="Palatino Linotype" w:hAnsi="Palatino Linotype" w:cs="Palatino Linotype"/>
          <w:b/>
        </w:rPr>
        <w:t>RECURRENTE</w:t>
      </w:r>
      <w:r w:rsidR="00EB0ED3" w:rsidRPr="00FA58BF">
        <w:rPr>
          <w:rFonts w:ascii="Palatino Linotype" w:eastAsia="Palatino Linotype" w:hAnsi="Palatino Linotype" w:cs="Palatino Linotype"/>
        </w:rPr>
        <w:t>, en donde solicitó “…</w:t>
      </w:r>
      <w:r w:rsidR="00EB0ED3" w:rsidRPr="00FA58BF">
        <w:rPr>
          <w:rFonts w:ascii="Palatino Linotype" w:eastAsia="Palatino Linotype" w:hAnsi="Palatino Linotype" w:cs="Palatino Linotype"/>
          <w:b/>
          <w:i/>
          <w:sz w:val="22"/>
          <w:szCs w:val="22"/>
        </w:rPr>
        <w:t>al negar la declaración de intereses que están obligados a rendir sus servidores públicos, también pretende el sujeto obligado negar la obligación que tiene de adoptar medidas prácticas para eliminar el nepotismos dentro de su institución</w:t>
      </w:r>
      <w:r w:rsidR="00EB0ED3" w:rsidRPr="00FA58BF">
        <w:rPr>
          <w:rFonts w:ascii="Palatino Linotype" w:eastAsia="Palatino Linotype" w:hAnsi="Palatino Linotype" w:cs="Palatino Linotype"/>
        </w:rPr>
        <w:t>…</w:t>
      </w:r>
      <w:r w:rsidR="00EB0ED3" w:rsidRPr="00FA58BF">
        <w:rPr>
          <w:rFonts w:ascii="Palatino Linotype" w:eastAsia="Palatino Linotype" w:hAnsi="Palatino Linotype" w:cs="Palatino Linotype"/>
          <w:b/>
          <w:i/>
          <w:sz w:val="22"/>
          <w:szCs w:val="22"/>
        </w:rPr>
        <w:t xml:space="preserve"> establece la obligación de los servidores públicos a presentar, bajo protesta de decir verdad, su declaración de intereses o posible conflicto de intereses… la declaración de intereses de los servidores públicos si es una obligación de los mismos ante la institución…</w:t>
      </w:r>
      <w:r w:rsidR="00EB0ED3" w:rsidRPr="00FA58BF">
        <w:rPr>
          <w:rFonts w:ascii="Palatino Linotype" w:eastAsia="Palatino Linotype" w:hAnsi="Palatino Linotype" w:cs="Palatino Linotype"/>
          <w:i/>
          <w:sz w:val="22"/>
          <w:szCs w:val="22"/>
        </w:rPr>
        <w:t xml:space="preserve">El sujeto obligado, tiene la obligación que verificar si sus servidores públicos al momento de su contratación </w:t>
      </w:r>
      <w:r w:rsidR="00EB0ED3" w:rsidRPr="00FA58BF">
        <w:rPr>
          <w:rFonts w:ascii="Palatino Linotype" w:eastAsia="Palatino Linotype" w:hAnsi="Palatino Linotype" w:cs="Palatino Linotype"/>
          <w:b/>
          <w:i/>
          <w:sz w:val="22"/>
          <w:szCs w:val="22"/>
        </w:rPr>
        <w:t xml:space="preserve">no un conflicto de intereses o parentesco con otros servidores de la misma institución y para ello debe tener la declaración de conflictos de </w:t>
      </w:r>
      <w:r w:rsidR="00EB0ED3" w:rsidRPr="00FA58BF">
        <w:rPr>
          <w:rFonts w:ascii="Palatino Linotype" w:eastAsia="Palatino Linotype" w:hAnsi="Palatino Linotype" w:cs="Palatino Linotype"/>
          <w:b/>
          <w:i/>
          <w:sz w:val="22"/>
          <w:szCs w:val="22"/>
        </w:rPr>
        <w:lastRenderedPageBreak/>
        <w:t>interés</w:t>
      </w:r>
      <w:r w:rsidR="00EB0ED3" w:rsidRPr="00FA58BF">
        <w:rPr>
          <w:rFonts w:ascii="Palatino Linotype" w:eastAsia="Palatino Linotype" w:hAnsi="Palatino Linotype" w:cs="Palatino Linotype"/>
        </w:rPr>
        <w:t xml:space="preserve">”, se aprecia que requiere nuevos requerimientos de información que de la solicitud de información se advierte que dichos documentos no fueron solicitados, como se desprende del antecedente marcado con el numeral 1 de la presente resolución, por lo que constituyen en su totalidad nuevos requerimientos de información, configurándose así lo que se conoce como </w:t>
      </w:r>
      <w:r w:rsidR="00EB0ED3" w:rsidRPr="00FA58BF">
        <w:rPr>
          <w:rFonts w:ascii="Palatino Linotype" w:eastAsia="Palatino Linotype" w:hAnsi="Palatino Linotype" w:cs="Palatino Linotype"/>
          <w:i/>
        </w:rPr>
        <w:t xml:space="preserve">plus </w:t>
      </w:r>
      <w:proofErr w:type="spellStart"/>
      <w:r w:rsidR="00EB0ED3" w:rsidRPr="00FA58BF">
        <w:rPr>
          <w:rFonts w:ascii="Palatino Linotype" w:eastAsia="Palatino Linotype" w:hAnsi="Palatino Linotype" w:cs="Palatino Linotype"/>
          <w:i/>
        </w:rPr>
        <w:t>petitio</w:t>
      </w:r>
      <w:proofErr w:type="spellEnd"/>
      <w:r w:rsidR="00EB0ED3" w:rsidRPr="00FA58BF">
        <w:rPr>
          <w:rFonts w:ascii="Palatino Linotype" w:eastAsia="Palatino Linotype" w:hAnsi="Palatino Linotype" w:cs="Palatino Linotype"/>
          <w:b/>
          <w:i/>
        </w:rPr>
        <w:t xml:space="preserve">, </w:t>
      </w:r>
      <w:r w:rsidR="00EB0ED3" w:rsidRPr="00FA58BF">
        <w:rPr>
          <w:rFonts w:ascii="Palatino Linotype" w:eastAsia="Palatino Linotype" w:hAnsi="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pues la parte </w:t>
      </w:r>
      <w:r w:rsidR="00EB0ED3" w:rsidRPr="00FA58BF">
        <w:rPr>
          <w:rFonts w:ascii="Palatino Linotype" w:eastAsia="Palatino Linotype" w:hAnsi="Palatino Linotype" w:cs="Palatino Linotype"/>
          <w:b/>
        </w:rPr>
        <w:t>RECURRENTE</w:t>
      </w:r>
      <w:r w:rsidR="00EB0ED3" w:rsidRPr="00FA58BF">
        <w:rPr>
          <w:rFonts w:ascii="Palatino Linotype" w:eastAsia="Palatino Linotype" w:hAnsi="Palatino Linotype" w:cs="Palatino Linotype"/>
        </w:rPr>
        <w:t xml:space="preserve"> formuló nuevos cuestionamientos, en los que solicitó información que no formó parte de su solicitud inicial y por lo tanto son inatendibles a través del recurso de revisión. </w:t>
      </w:r>
    </w:p>
    <w:p w14:paraId="2B693217" w14:textId="77777777" w:rsidR="00023440" w:rsidRPr="00FA58BF" w:rsidRDefault="00023440" w:rsidP="00EB0ED3">
      <w:pPr>
        <w:spacing w:line="360" w:lineRule="auto"/>
        <w:jc w:val="both"/>
        <w:rPr>
          <w:rFonts w:ascii="Palatino Linotype" w:eastAsia="Palatino Linotype" w:hAnsi="Palatino Linotype" w:cs="Palatino Linotype"/>
        </w:rPr>
      </w:pPr>
    </w:p>
    <w:p w14:paraId="244F3251" w14:textId="77777777" w:rsidR="00EB0ED3" w:rsidRPr="00FA58BF" w:rsidRDefault="00EB0ED3" w:rsidP="00EB0ED3">
      <w:pPr>
        <w:spacing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En este tenor, es posible determinar que para el caso que nos ocupa, los argumentos formulados como motivos o razones de inconformidad son una ampliación a la solicitud inicial y corresponden a nuevos requerimientos de información, que no se encuentran relacionados con lo solicitado en un primer momento.</w:t>
      </w:r>
    </w:p>
    <w:p w14:paraId="0D4A0E51" w14:textId="77777777" w:rsidR="00EB0ED3" w:rsidRPr="00FA58BF" w:rsidRDefault="00EB0ED3" w:rsidP="00EB0ED3">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En este orden de ideas, una vez formulada su solicitud inicial,</w:t>
      </w:r>
      <w:r w:rsidRPr="00FA58BF">
        <w:rPr>
          <w:rFonts w:ascii="Palatino Linotype" w:eastAsia="Palatino Linotype" w:hAnsi="Palatino Linotype" w:cs="Palatino Linotype"/>
          <w:i/>
        </w:rPr>
        <w:t xml:space="preserve"> </w:t>
      </w:r>
      <w:r w:rsidRPr="00FA58BF">
        <w:rPr>
          <w:rFonts w:ascii="Palatino Linotype" w:eastAsia="Palatino Linotype" w:hAnsi="Palatino Linotype" w:cs="Palatino Linotype"/>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6D13F870" w14:textId="77777777" w:rsidR="00EB0ED3" w:rsidRPr="00FA58BF" w:rsidRDefault="00EB0ED3" w:rsidP="00EB0ED3">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FA58BF">
        <w:rPr>
          <w:rFonts w:ascii="Palatino Linotype" w:eastAsia="Palatino Linotype" w:hAnsi="Palatino Linotype" w:cs="Palatino Linotype"/>
          <w:color w:val="000000"/>
        </w:rPr>
        <w:lastRenderedPageBreak/>
        <w:t>Robustece lo anterior lo plasmado en el criterio orientador número 01/17 emitido por el Instituto Nacional de Transparencia, Acceso a la Información y Protección de Datos Personales, INAI, que lleva por rubro y texto lo que a continuación se transcribe:</w:t>
      </w:r>
    </w:p>
    <w:p w14:paraId="322ED7AD" w14:textId="77777777" w:rsidR="00EB0ED3" w:rsidRPr="00FA58BF" w:rsidRDefault="00EB0ED3" w:rsidP="00EB0ED3">
      <w:pPr>
        <w:spacing w:before="240" w:after="240"/>
        <w:ind w:left="851" w:right="900"/>
        <w:jc w:val="both"/>
        <w:rPr>
          <w:rFonts w:ascii="Palatino Linotype" w:eastAsia="Palatino Linotype" w:hAnsi="Palatino Linotype" w:cs="Palatino Linotype"/>
        </w:rPr>
      </w:pPr>
      <w:r w:rsidRPr="00FA58BF">
        <w:rPr>
          <w:rFonts w:ascii="Palatino Linotype" w:eastAsia="Palatino Linotype" w:hAnsi="Palatino Linotype" w:cs="Palatino Linotype"/>
          <w:i/>
          <w:sz w:val="22"/>
          <w:szCs w:val="22"/>
        </w:rPr>
        <w:t>“</w:t>
      </w:r>
      <w:r w:rsidRPr="00FA58BF">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FA58BF">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FA58BF">
        <w:rPr>
          <w:rFonts w:ascii="Palatino Linotype" w:eastAsia="Palatino Linotype" w:hAnsi="Palatino Linotype" w:cs="Palatino Linotype"/>
          <w:b/>
          <w:i/>
          <w:sz w:val="22"/>
          <w:szCs w:val="22"/>
        </w:rPr>
        <w:t>.</w:t>
      </w:r>
      <w:r w:rsidRPr="00FA58BF">
        <w:rPr>
          <w:rFonts w:ascii="Palatino Linotype" w:eastAsia="Palatino Linotype" w:hAnsi="Palatino Linotype" w:cs="Palatino Linotype"/>
          <w:i/>
          <w:sz w:val="22"/>
          <w:szCs w:val="22"/>
        </w:rPr>
        <w:t>”</w:t>
      </w:r>
    </w:p>
    <w:p w14:paraId="4A14CC68" w14:textId="77777777" w:rsidR="00EB0ED3" w:rsidRPr="00FA58BF" w:rsidRDefault="00EB0ED3" w:rsidP="00EB0ED3">
      <w:pPr>
        <w:spacing w:line="360" w:lineRule="auto"/>
        <w:jc w:val="both"/>
        <w:rPr>
          <w:rFonts w:ascii="Palatino Linotype" w:eastAsia="Palatino Linotype" w:hAnsi="Palatino Linotype" w:cs="Palatino Linotype"/>
        </w:rPr>
      </w:pPr>
    </w:p>
    <w:p w14:paraId="297D0E6F" w14:textId="765B6810" w:rsidR="00DE7925" w:rsidRPr="00FA58BF" w:rsidRDefault="00DE7925" w:rsidP="00DE7925">
      <w:pPr>
        <w:pBdr>
          <w:top w:val="nil"/>
          <w:left w:val="nil"/>
          <w:bottom w:val="nil"/>
          <w:right w:val="nil"/>
          <w:between w:val="nil"/>
        </w:pBdr>
        <w:spacing w:line="360" w:lineRule="auto"/>
        <w:ind w:right="49"/>
        <w:jc w:val="both"/>
        <w:rPr>
          <w:rFonts w:ascii="Palatino Linotype" w:hAnsi="Palatino Linotype" w:cs="Arial"/>
          <w:lang w:val="es-MX"/>
        </w:rPr>
      </w:pPr>
      <w:r w:rsidRPr="00FA58BF">
        <w:rPr>
          <w:rFonts w:ascii="Palatino Linotype" w:hAnsi="Palatino Linotype"/>
        </w:rPr>
        <w:t xml:space="preserve">No obstante, respecto de la declaración de conflicto de intereses es de señalar que no es competencia del </w:t>
      </w:r>
      <w:r w:rsidRPr="00FA58BF">
        <w:rPr>
          <w:rFonts w:ascii="Palatino Linotype" w:hAnsi="Palatino Linotype"/>
          <w:b/>
        </w:rPr>
        <w:t>SUJETO OBLIGADO</w:t>
      </w:r>
      <w:r w:rsidRPr="00FA58BF">
        <w:rPr>
          <w:rFonts w:ascii="Palatino Linotype" w:hAnsi="Palatino Linotype"/>
        </w:rPr>
        <w:t xml:space="preserve">; por ello, se dejan a salvo sus de la parte </w:t>
      </w:r>
      <w:r w:rsidRPr="00FA58BF">
        <w:rPr>
          <w:rFonts w:ascii="Palatino Linotype" w:hAnsi="Palatino Linotype"/>
          <w:b/>
        </w:rPr>
        <w:t>RECURRENTE</w:t>
      </w:r>
      <w:r w:rsidRPr="00FA58BF">
        <w:rPr>
          <w:rFonts w:ascii="Palatino Linotype" w:hAnsi="Palatino Linotype"/>
        </w:rPr>
        <w:t>, para que realice su solicitud de información ante el Sujeto Obligado competente, que sería la Secretaría de la Contraloría en términos de</w:t>
      </w:r>
      <w:r w:rsidRPr="00FA58BF">
        <w:rPr>
          <w:rFonts w:ascii="Palatino Linotype" w:hAnsi="Palatino Linotype" w:cs="Tahoma"/>
          <w:bCs/>
        </w:rPr>
        <w:t xml:space="preserve"> lo previsto </w:t>
      </w:r>
      <w:r w:rsidRPr="00FA58BF">
        <w:rPr>
          <w:rFonts w:ascii="Palatino Linotype" w:hAnsi="Palatino Linotype" w:cs="Arial"/>
          <w:lang w:val="es-MX"/>
        </w:rPr>
        <w:t xml:space="preserve">en la fracción XVII del artículo 38 bis de la Ley Orgánica de la Administración Pública del Estado de México: </w:t>
      </w:r>
    </w:p>
    <w:p w14:paraId="57EBA135" w14:textId="77777777" w:rsidR="00DE7925" w:rsidRPr="00FA58BF" w:rsidRDefault="00DE7925" w:rsidP="00DE7925">
      <w:pPr>
        <w:pBdr>
          <w:top w:val="nil"/>
          <w:left w:val="nil"/>
          <w:bottom w:val="nil"/>
          <w:right w:val="nil"/>
          <w:between w:val="nil"/>
        </w:pBdr>
        <w:spacing w:line="360" w:lineRule="auto"/>
        <w:ind w:right="49"/>
        <w:jc w:val="both"/>
        <w:rPr>
          <w:rFonts w:ascii="Palatino Linotype" w:hAnsi="Palatino Linotype" w:cs="Arial"/>
          <w:lang w:val="es-MX"/>
        </w:rPr>
      </w:pPr>
    </w:p>
    <w:p w14:paraId="28D1DF51" w14:textId="3891DEBC" w:rsidR="00DE7925" w:rsidRPr="00FA58BF" w:rsidRDefault="00DE7925" w:rsidP="00DE7925">
      <w:pPr>
        <w:spacing w:before="100" w:beforeAutospacing="1" w:after="100" w:afterAutospacing="1"/>
        <w:ind w:left="567" w:right="709"/>
        <w:contextualSpacing/>
        <w:jc w:val="both"/>
        <w:rPr>
          <w:rFonts w:ascii="Palatino Linotype" w:hAnsi="Palatino Linotype" w:cs="Arial"/>
          <w:i/>
          <w:sz w:val="22"/>
          <w:lang w:val="es-MX"/>
        </w:rPr>
      </w:pPr>
      <w:r w:rsidRPr="00FA58BF">
        <w:rPr>
          <w:rFonts w:ascii="Palatino Linotype" w:hAnsi="Palatino Linotype" w:cs="Arial"/>
          <w:b/>
          <w:bCs/>
          <w:i/>
          <w:sz w:val="22"/>
          <w:lang w:val="es-MX"/>
        </w:rPr>
        <w:t xml:space="preserve">“Artículo 38 bis. </w:t>
      </w:r>
      <w:r w:rsidRPr="00FA58BF">
        <w:rPr>
          <w:rFonts w:ascii="Palatino Linotype" w:hAnsi="Palatino Linotype" w:cs="Arial"/>
          <w:b/>
          <w:i/>
          <w:sz w:val="22"/>
          <w:lang w:val="es-MX"/>
        </w:rPr>
        <w:t xml:space="preserve">La Secretaría de la Contraloría del Estado de México, es la dependencia encargada de la vigilancia, fiscalización y control de </w:t>
      </w:r>
      <w:r w:rsidRPr="00FA58BF">
        <w:rPr>
          <w:rFonts w:ascii="Palatino Linotype" w:hAnsi="Palatino Linotype" w:cs="Arial"/>
          <w:i/>
          <w:sz w:val="22"/>
          <w:lang w:val="es-MX"/>
        </w:rPr>
        <w:t xml:space="preserve">los ingresos, gastos, recursos y obligaciones de la administración pública estatal y su sector auxiliar, así como lo relativo a </w:t>
      </w:r>
      <w:r w:rsidRPr="00FA58BF">
        <w:rPr>
          <w:rFonts w:ascii="Palatino Linotype" w:hAnsi="Palatino Linotype" w:cs="Arial"/>
          <w:b/>
          <w:i/>
          <w:sz w:val="22"/>
          <w:lang w:val="es-MX"/>
        </w:rPr>
        <w:t>la presentación de la declaración patrimonial</w:t>
      </w:r>
      <w:r w:rsidRPr="00FA58BF">
        <w:rPr>
          <w:rFonts w:ascii="Palatino Linotype" w:hAnsi="Palatino Linotype" w:cs="Arial"/>
          <w:i/>
          <w:sz w:val="22"/>
          <w:lang w:val="es-MX"/>
        </w:rPr>
        <w:t xml:space="preserve">, de intereses y constancia de presentación de la declaración fiscal, así como de la responsabilidad </w:t>
      </w:r>
      <w:r w:rsidRPr="00FA58BF">
        <w:rPr>
          <w:rFonts w:ascii="Palatino Linotype" w:hAnsi="Palatino Linotype" w:cs="Arial"/>
          <w:b/>
          <w:i/>
          <w:sz w:val="22"/>
          <w:lang w:val="es-MX"/>
        </w:rPr>
        <w:t>de los servidores públicos</w:t>
      </w:r>
      <w:r w:rsidRPr="00FA58BF">
        <w:rPr>
          <w:rFonts w:ascii="Palatino Linotype" w:hAnsi="Palatino Linotype" w:cs="Arial"/>
          <w:i/>
          <w:sz w:val="22"/>
          <w:lang w:val="es-MX"/>
        </w:rPr>
        <w:t>, en términos de lo que disponga la normatividad aplicable en la materia.</w:t>
      </w:r>
    </w:p>
    <w:p w14:paraId="4F1AA64A" w14:textId="3BC68078" w:rsidR="00DE7925" w:rsidRPr="00FA58BF" w:rsidRDefault="00DE7925" w:rsidP="00DE7925">
      <w:pPr>
        <w:spacing w:before="100" w:beforeAutospacing="1" w:after="100" w:afterAutospacing="1"/>
        <w:ind w:left="567" w:right="709"/>
        <w:contextualSpacing/>
        <w:jc w:val="both"/>
        <w:rPr>
          <w:rFonts w:ascii="Palatino Linotype" w:hAnsi="Palatino Linotype" w:cs="Arial"/>
          <w:i/>
          <w:sz w:val="22"/>
          <w:lang w:val="es-MX"/>
        </w:rPr>
      </w:pPr>
      <w:r w:rsidRPr="00FA58BF">
        <w:rPr>
          <w:rFonts w:ascii="Palatino Linotype" w:hAnsi="Palatino Linotype" w:cs="Arial"/>
          <w:b/>
          <w:bCs/>
          <w:i/>
          <w:sz w:val="22"/>
          <w:lang w:val="es-MX"/>
        </w:rPr>
        <w:lastRenderedPageBreak/>
        <w:t>…</w:t>
      </w:r>
    </w:p>
    <w:p w14:paraId="1670F986" w14:textId="77777777" w:rsidR="00DE7925" w:rsidRPr="00FA58BF" w:rsidRDefault="00DE7925" w:rsidP="00DE7925">
      <w:pPr>
        <w:spacing w:before="100" w:beforeAutospacing="1" w:after="100" w:afterAutospacing="1"/>
        <w:ind w:left="567" w:right="709"/>
        <w:contextualSpacing/>
        <w:jc w:val="both"/>
        <w:rPr>
          <w:rFonts w:ascii="Palatino Linotype" w:hAnsi="Palatino Linotype" w:cs="Arial"/>
          <w:i/>
          <w:sz w:val="22"/>
          <w:lang w:val="es-MX"/>
        </w:rPr>
      </w:pPr>
      <w:r w:rsidRPr="00FA58BF">
        <w:rPr>
          <w:rFonts w:ascii="Palatino Linotype" w:hAnsi="Palatino Linotype" w:cs="Arial"/>
          <w:b/>
          <w:bCs/>
          <w:i/>
          <w:sz w:val="22"/>
          <w:lang w:val="es-MX"/>
        </w:rPr>
        <w:t xml:space="preserve">XVII. </w:t>
      </w:r>
      <w:r w:rsidRPr="00FA58BF">
        <w:rPr>
          <w:rFonts w:ascii="Palatino Linotype" w:hAnsi="Palatino Linotype" w:cs="Arial"/>
          <w:b/>
          <w:i/>
          <w:sz w:val="22"/>
          <w:u w:val="single"/>
          <w:lang w:val="es-MX"/>
        </w:rPr>
        <w:t xml:space="preserve">Recibir y registrar la declaración de situación patrimonial, </w:t>
      </w:r>
      <w:r w:rsidRPr="00FA58BF">
        <w:rPr>
          <w:rFonts w:ascii="Palatino Linotype" w:hAnsi="Palatino Linotype" w:cs="Arial"/>
          <w:i/>
          <w:sz w:val="22"/>
          <w:lang w:val="es-MX"/>
        </w:rPr>
        <w:t xml:space="preserve">la declaración de intereses, la presentación de la constancia de declaración fiscal y determinar el Conflicto de Intereses </w:t>
      </w:r>
      <w:r w:rsidRPr="00FA58BF">
        <w:rPr>
          <w:rFonts w:ascii="Palatino Linotype" w:hAnsi="Palatino Linotype" w:cs="Arial"/>
          <w:b/>
          <w:i/>
          <w:sz w:val="22"/>
          <w:u w:val="single"/>
          <w:lang w:val="es-MX"/>
        </w:rPr>
        <w:t xml:space="preserve">de los servidores públicos </w:t>
      </w:r>
      <w:r w:rsidRPr="00FA58BF">
        <w:rPr>
          <w:rFonts w:ascii="Palatino Linotype" w:hAnsi="Palatino Linotype" w:cs="Arial"/>
          <w:i/>
          <w:sz w:val="22"/>
          <w:lang w:val="es-MX"/>
        </w:rPr>
        <w:t>del Estado</w:t>
      </w:r>
      <w:r w:rsidRPr="00FA58BF">
        <w:rPr>
          <w:rFonts w:ascii="Palatino Linotype" w:hAnsi="Palatino Linotype" w:cs="Arial"/>
          <w:b/>
          <w:i/>
          <w:sz w:val="22"/>
          <w:u w:val="single"/>
          <w:lang w:val="es-MX"/>
        </w:rPr>
        <w:t xml:space="preserve"> y municipios, </w:t>
      </w:r>
      <w:r w:rsidRPr="00FA58BF">
        <w:rPr>
          <w:rFonts w:ascii="Palatino Linotype" w:hAnsi="Palatino Linotype" w:cs="Arial"/>
          <w:i/>
          <w:sz w:val="22"/>
          <w:lang w:val="es-MX"/>
        </w:rPr>
        <w:t>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 (Sic)</w:t>
      </w:r>
    </w:p>
    <w:p w14:paraId="6DDFCB78" w14:textId="77777777" w:rsidR="00DE7925" w:rsidRPr="00FA58BF" w:rsidRDefault="00DE7925" w:rsidP="004D1E1E">
      <w:pPr>
        <w:spacing w:line="360" w:lineRule="auto"/>
        <w:jc w:val="both"/>
        <w:rPr>
          <w:rFonts w:ascii="Palatino Linotype" w:eastAsia="Palatino Linotype" w:hAnsi="Palatino Linotype" w:cs="Palatino Linotype"/>
          <w:color w:val="FF0000"/>
        </w:rPr>
      </w:pPr>
    </w:p>
    <w:p w14:paraId="1AF29357" w14:textId="3B2EF877" w:rsidR="004D1E1E" w:rsidRPr="00FA58BF" w:rsidRDefault="00EB0ED3" w:rsidP="004D1E1E">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Ahora bien, regresando con la respuesta se advierte que esta fue proporcionada por la </w:t>
      </w:r>
      <w:r w:rsidR="004D1E1E" w:rsidRPr="00FA58BF">
        <w:rPr>
          <w:rFonts w:ascii="Palatino Linotype" w:eastAsia="Palatino Linotype" w:hAnsi="Palatino Linotype" w:cs="Palatino Linotype"/>
        </w:rPr>
        <w:t xml:space="preserve">Unidad de Apoyo Administrativo del </w:t>
      </w:r>
      <w:r w:rsidR="004D1E1E" w:rsidRPr="00FA58BF">
        <w:rPr>
          <w:rFonts w:ascii="Palatino Linotype" w:eastAsia="Palatino Linotype" w:hAnsi="Palatino Linotype" w:cs="Palatino Linotype"/>
          <w:b/>
        </w:rPr>
        <w:t>SUJETO OBLIGADO</w:t>
      </w:r>
      <w:r w:rsidR="004D1E1E" w:rsidRPr="00FA58BF">
        <w:rPr>
          <w:rFonts w:ascii="Palatino Linotype" w:eastAsia="Palatino Linotype" w:hAnsi="Palatino Linotype" w:cs="Palatino Linotype"/>
        </w:rPr>
        <w:t>, siendo el área competente para conocer de la información solicitada en términos de lo señalado por el artículo 18 del Reglamento Interior del Centro de Conciliación Laboral del Estado de México, que señala:</w:t>
      </w:r>
    </w:p>
    <w:p w14:paraId="670B371C" w14:textId="77777777" w:rsidR="004D1E1E" w:rsidRPr="00FA58BF" w:rsidRDefault="004D1E1E" w:rsidP="004D1E1E">
      <w:pPr>
        <w:spacing w:line="360" w:lineRule="auto"/>
        <w:jc w:val="both"/>
        <w:rPr>
          <w:rFonts w:ascii="Palatino Linotype" w:eastAsia="Palatino Linotype" w:hAnsi="Palatino Linotype" w:cs="Palatino Linotype"/>
        </w:rPr>
      </w:pPr>
    </w:p>
    <w:p w14:paraId="344E2A74"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“ARTÍCULO 18. Corresponde a la Unidad de Apoyo Administrativo el ejercicio de las atribuciones siguientes: </w:t>
      </w:r>
    </w:p>
    <w:p w14:paraId="35BF7297"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b/>
          <w:i/>
          <w:color w:val="000000"/>
          <w:sz w:val="22"/>
          <w:szCs w:val="22"/>
          <w:u w:val="single"/>
        </w:rPr>
        <w:t>I. Planear, organizar, coordinar y controlar el suministro, administración, aprovechamiento y aplicación de los recursos humanos</w:t>
      </w:r>
      <w:r w:rsidRPr="00FA58BF">
        <w:rPr>
          <w:rFonts w:ascii="Palatino Linotype" w:eastAsia="Palatino Linotype" w:hAnsi="Palatino Linotype" w:cs="Palatino Linotype"/>
          <w:i/>
          <w:color w:val="000000"/>
          <w:sz w:val="22"/>
          <w:szCs w:val="22"/>
        </w:rPr>
        <w:t xml:space="preserve">, materiales, financieros y técnicos, así como los servicios generales necesarios para el funcionamiento de las unidades administrativas del Centro de Conciliación, a fin de que se manejen de forma racional y en cumplimiento de las disposiciones jurídicas aplicables; </w:t>
      </w:r>
    </w:p>
    <w:p w14:paraId="0C9BEB84"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II. Coordinar la formulación e integración del anteproyecto de presupuesto anual de ingresos y de egresos del Centro de Conciliación y someterlos a la consideración del Director General, así como realizar la calendarización de los recursos del presupuesto autorizado; </w:t>
      </w:r>
    </w:p>
    <w:p w14:paraId="54A6E691"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III. Cumplir y hacer cumplir las normas y políticas aplicables en materia de administración de recursos humanos, materiales y financieros; </w:t>
      </w:r>
    </w:p>
    <w:p w14:paraId="21E82AAF"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IV. Controlar y verificar la aplicación del presupuesto de las unidades administrativas del Centro de Conciliación; </w:t>
      </w:r>
    </w:p>
    <w:p w14:paraId="62BA4587"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V. Consolidar y controlar, en coordinación con las unidades administrativas, la información sobre el ejercicio del gasto del Centro de Conciliación e informar al Director General de manera periódica, sobre el estado del mismo; </w:t>
      </w:r>
    </w:p>
    <w:p w14:paraId="1F0A3099"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lastRenderedPageBreak/>
        <w:t xml:space="preserve">VI. Integrar, conjuntamente con las demás unidades administrativas, los programas de adquisiciones, arrendamientos, mantenimientos y contratación de servicios que requieran; </w:t>
      </w:r>
    </w:p>
    <w:p w14:paraId="64F72E47"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VII. Presidir los Comités de Adquisiciones y Servicios y de Arrendamientos, Adquisiciones de Inmuebles y Enajenaciones del Centro de Conciliación de conformidad con la normativa jurídica aplicable; </w:t>
      </w:r>
    </w:p>
    <w:p w14:paraId="79B74BAE"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VIII. Suscribir con autorización del Director General los contratos y convenios derivados de los procesos de adquisiciones de bienes, arrendamientos y contratación de servicios, con fundamento en la normativa jurídica aplicable, para el cumplimiento y oportuno ejercicio de sus atribuciones; </w:t>
      </w:r>
    </w:p>
    <w:p w14:paraId="07DF5603"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IX. Rescindir administrativamente los contratos de adquisición de bienes y contratación de servicios que haya celebrado el Centro de Conciliación e imponer las sanciones que prevé la legislación de la materia, a proveedores que incurran en el incumplimiento de las cláusulas contractuales; </w:t>
      </w:r>
    </w:p>
    <w:p w14:paraId="1DF3780D"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X. Realizar el registro, control, mantenimiento y conservación de los bienes muebles e inmuebles asignados a las unidades administrativas del Centro de Conciliación; </w:t>
      </w:r>
    </w:p>
    <w:p w14:paraId="20513EBA"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XI. Administrar los recursos derivados de los convenios suscritos con dependencias federales y estatales, y los que correspondan ser ejercidos por el Centro de Conciliación, informando de ello a las instancias competentes; </w:t>
      </w:r>
    </w:p>
    <w:p w14:paraId="67E01B4B"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XII. Tramitar, previo acuerdo con el Director General, los movimientos de altas, bajas, cambios, promociones, permisos, licencias y demás movimientos de las personas servidoras públicas adscritas al Centro de Conciliación, en términos de las disposiciones jurídicas aplicables; </w:t>
      </w:r>
    </w:p>
    <w:p w14:paraId="1B83EF27"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XIII. Promover y coordinar las actividades de capacitación, adiestramiento y profesionalización del personal del servicio público del Centro de Conciliación; </w:t>
      </w:r>
    </w:p>
    <w:p w14:paraId="2F7A7C04"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XIV. Diseñar y proponer instrumentos técnico-administrativos para mejorar la administración de los recursos asignados al Centro de Conciliación; </w:t>
      </w:r>
    </w:p>
    <w:p w14:paraId="08F47EEC"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XV. Coordinar la integración y actualización de los manuales administrativos del Centro de Conciliación, previa autorización del Consejo Directivo, y someterlos a la aprobación de la Secretaría de Finanzas; </w:t>
      </w:r>
    </w:p>
    <w:p w14:paraId="26B5D291"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XVI. Coordinar las acciones de protección civil del Centro de Conciliación, con base en las normas y políticas aplicables, y </w:t>
      </w:r>
    </w:p>
    <w:p w14:paraId="285BCC4F" w14:textId="77777777" w:rsidR="004D1E1E" w:rsidRPr="00FA58BF" w:rsidRDefault="004D1E1E" w:rsidP="004D1E1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FA58BF">
        <w:rPr>
          <w:rFonts w:ascii="Palatino Linotype" w:eastAsia="Palatino Linotype" w:hAnsi="Palatino Linotype" w:cs="Palatino Linotype"/>
          <w:i/>
          <w:color w:val="000000"/>
          <w:sz w:val="22"/>
          <w:szCs w:val="22"/>
        </w:rPr>
        <w:t xml:space="preserve">XVII. Las demás que le confieran otras disposiciones jurídicas aplicables y las que le encomiende el Director General.” </w:t>
      </w:r>
    </w:p>
    <w:p w14:paraId="64B9BF0D" w14:textId="77777777" w:rsidR="004D1E1E" w:rsidRPr="00FA58BF" w:rsidRDefault="004D1E1E" w:rsidP="00EB0ED3">
      <w:pPr>
        <w:spacing w:line="360" w:lineRule="auto"/>
        <w:jc w:val="both"/>
        <w:rPr>
          <w:rFonts w:ascii="Palatino Linotype" w:eastAsia="Palatino Linotype" w:hAnsi="Palatino Linotype" w:cs="Palatino Linotype"/>
        </w:rPr>
      </w:pPr>
    </w:p>
    <w:p w14:paraId="44E33315" w14:textId="77777777" w:rsidR="004D1E1E" w:rsidRPr="00FA58BF" w:rsidRDefault="004D1E1E" w:rsidP="00EB0ED3">
      <w:pPr>
        <w:spacing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lastRenderedPageBreak/>
        <w:t>La cual le corresponde el de Planear, organizar, coordinar y controlar el suministro, administración, aprovechamiento y aplicación de los recursos humanos</w:t>
      </w:r>
    </w:p>
    <w:p w14:paraId="5B2B92E8" w14:textId="77777777" w:rsidR="00EB0ED3" w:rsidRPr="00FA58BF" w:rsidRDefault="00EB0ED3" w:rsidP="00EB0ED3">
      <w:pPr>
        <w:spacing w:line="360" w:lineRule="auto"/>
        <w:jc w:val="both"/>
        <w:rPr>
          <w:rFonts w:ascii="Palatino Linotype" w:eastAsia="Palatino Linotype" w:hAnsi="Palatino Linotype" w:cs="Palatino Linotype"/>
        </w:rPr>
      </w:pPr>
    </w:p>
    <w:p w14:paraId="31AFA5CC" w14:textId="77777777" w:rsidR="00EB0ED3" w:rsidRPr="00FA58BF" w:rsidRDefault="004D1E1E" w:rsidP="004D1E1E">
      <w:pPr>
        <w:tabs>
          <w:tab w:val="left" w:pos="7938"/>
        </w:tabs>
        <w:spacing w:line="360" w:lineRule="auto"/>
        <w:jc w:val="both"/>
        <w:rPr>
          <w:rFonts w:ascii="Palatino Linotype" w:eastAsia="Palatino Linotype" w:hAnsi="Palatino Linotype" w:cs="Palatino Linotype"/>
        </w:rPr>
      </w:pPr>
      <w:r w:rsidRPr="00FA58BF">
        <w:rPr>
          <w:rFonts w:ascii="Palatino Linotype" w:hAnsi="Palatino Linotype"/>
        </w:rPr>
        <w:t>Asimismo</w:t>
      </w:r>
      <w:r w:rsidR="00EB0ED3" w:rsidRPr="00FA58BF">
        <w:rPr>
          <w:rFonts w:ascii="Palatino Linotype" w:hAnsi="Palatino Linotype"/>
        </w:rPr>
        <w:t xml:space="preserve">, </w:t>
      </w:r>
      <w:r w:rsidRPr="00FA58BF">
        <w:rPr>
          <w:rFonts w:ascii="Palatino Linotype" w:hAnsi="Palatino Linotype"/>
        </w:rPr>
        <w:t>resulta importante señalar que de la r</w:t>
      </w:r>
      <w:r w:rsidR="00EB0ED3" w:rsidRPr="00FA58BF">
        <w:rPr>
          <w:rFonts w:ascii="Palatino Linotype" w:hAnsi="Palatino Linotype"/>
        </w:rPr>
        <w:t xml:space="preserve">espuesta, </w:t>
      </w:r>
      <w:r w:rsidRPr="00FA58BF">
        <w:rPr>
          <w:rFonts w:ascii="Palatino Linotype" w:hAnsi="Palatino Linotype"/>
        </w:rPr>
        <w:t xml:space="preserve">se desprende que el Centro de Conciliación Laboral del Estado de México, </w:t>
      </w:r>
      <w:r w:rsidR="00EB0ED3" w:rsidRPr="00FA58BF">
        <w:rPr>
          <w:rFonts w:ascii="Palatino Linotype" w:eastAsia="Palatino Linotype" w:hAnsi="Palatino Linotype" w:cs="Palatino Linotype"/>
        </w:rPr>
        <w:t xml:space="preserve">hizo la búsqueda exhaustiva </w:t>
      </w:r>
      <w:r w:rsidRPr="00FA58BF">
        <w:rPr>
          <w:rFonts w:ascii="Palatino Linotype" w:eastAsia="Palatino Linotype" w:hAnsi="Palatino Linotype" w:cs="Palatino Linotype"/>
        </w:rPr>
        <w:t xml:space="preserve">en el área competente, cumpliendo con ello </w:t>
      </w:r>
      <w:r w:rsidR="00EB0ED3" w:rsidRPr="00FA58BF">
        <w:rPr>
          <w:rFonts w:ascii="Palatino Linotype" w:eastAsia="Palatino Linotype" w:hAnsi="Palatino Linotype" w:cs="Palatino Linotype"/>
        </w:rPr>
        <w:t>con el procedimiento de búsqueda establecido en el artículo 162 de la Ley de Transparencia y Acceso a la Información Pública del Estado de México y Municipios, al gestionar el requerimiento de información al área competente para conocer de lo peticionado, como así lo determina dicho ordenamiento legal que señala:</w:t>
      </w:r>
    </w:p>
    <w:p w14:paraId="3A7862F1" w14:textId="77777777" w:rsidR="004D1E1E" w:rsidRPr="00FA58BF" w:rsidRDefault="004D1E1E" w:rsidP="004D1E1E">
      <w:pPr>
        <w:tabs>
          <w:tab w:val="left" w:pos="7938"/>
        </w:tabs>
        <w:spacing w:line="360" w:lineRule="auto"/>
        <w:jc w:val="both"/>
        <w:rPr>
          <w:rFonts w:ascii="Palatino Linotype" w:eastAsia="Palatino Linotype" w:hAnsi="Palatino Linotype" w:cs="Palatino Linotype"/>
        </w:rPr>
      </w:pPr>
    </w:p>
    <w:p w14:paraId="37789D9B" w14:textId="77777777" w:rsidR="00EB0ED3" w:rsidRPr="00FA58BF" w:rsidRDefault="00EB0ED3" w:rsidP="00EB0ED3">
      <w:pPr>
        <w:ind w:left="851" w:right="90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3EF45941" w14:textId="77777777" w:rsidR="00023440" w:rsidRPr="00FA58BF" w:rsidRDefault="00023440" w:rsidP="00EB0ED3">
      <w:pPr>
        <w:spacing w:line="360" w:lineRule="auto"/>
        <w:ind w:right="-28"/>
        <w:contextualSpacing/>
        <w:rPr>
          <w:rFonts w:eastAsia="Calibri" w:cs="Tahoma"/>
          <w:bCs/>
          <w:iCs/>
          <w:color w:val="FF0000"/>
        </w:rPr>
      </w:pPr>
    </w:p>
    <w:p w14:paraId="76AADEC2" w14:textId="77777777" w:rsidR="00D87C0D" w:rsidRPr="00FA58BF" w:rsidRDefault="00D87C0D" w:rsidP="00D87C0D">
      <w:pPr>
        <w:shd w:val="clear" w:color="auto" w:fill="FFFFFF"/>
        <w:spacing w:line="360" w:lineRule="auto"/>
        <w:jc w:val="both"/>
        <w:rPr>
          <w:color w:val="222222"/>
        </w:rPr>
      </w:pPr>
      <w:r w:rsidRPr="00FA58BF">
        <w:rPr>
          <w:rFonts w:ascii="Palatino Linotype" w:eastAsia="Palatino Linotype" w:hAnsi="Palatino Linotype" w:cs="Palatino Linotype"/>
          <w:color w:val="222222"/>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FA58BF">
        <w:rPr>
          <w:rFonts w:ascii="Palatino Linotype" w:eastAsia="Palatino Linotype" w:hAnsi="Palatino Linotype" w:cs="Palatino Linotype"/>
          <w:color w:val="222222"/>
          <w:vertAlign w:val="superscript"/>
        </w:rPr>
        <w:footnoteReference w:id="1"/>
      </w:r>
      <w:r w:rsidRPr="00FA58BF">
        <w:rPr>
          <w:rFonts w:ascii="Palatino Linotype" w:eastAsia="Palatino Linotype" w:hAnsi="Palatino Linotype" w:cs="Palatino Linotype"/>
          <w:color w:val="222222"/>
        </w:rPr>
        <w:t xml:space="preserve">, para ello la misma norma establece que los sujetos obligados deberán otorgar el acceso a los documentos que obren en sus archivos o que estén obligados a documentar de </w:t>
      </w:r>
      <w:r w:rsidRPr="00FA58BF">
        <w:rPr>
          <w:rFonts w:ascii="Palatino Linotype" w:eastAsia="Palatino Linotype" w:hAnsi="Palatino Linotype" w:cs="Palatino Linotype"/>
          <w:color w:val="222222"/>
        </w:rPr>
        <w:lastRenderedPageBreak/>
        <w:t>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1430A19B" w14:textId="77777777" w:rsidR="00D87C0D" w:rsidRPr="00FA58BF" w:rsidRDefault="00D87C0D" w:rsidP="00D87C0D">
      <w:pPr>
        <w:shd w:val="clear" w:color="auto" w:fill="FFFFFF"/>
        <w:ind w:left="993" w:right="1041"/>
        <w:jc w:val="both"/>
        <w:rPr>
          <w:rFonts w:ascii="Palatino Linotype" w:eastAsia="Palatino Linotype" w:hAnsi="Palatino Linotype" w:cs="Palatino Linotype"/>
          <w:b/>
          <w:i/>
          <w:color w:val="222222"/>
          <w:sz w:val="22"/>
          <w:szCs w:val="22"/>
        </w:rPr>
      </w:pPr>
    </w:p>
    <w:p w14:paraId="28B464CB" w14:textId="77777777" w:rsidR="00D87C0D" w:rsidRPr="00FA58BF" w:rsidRDefault="00D87C0D" w:rsidP="00D87C0D">
      <w:pPr>
        <w:shd w:val="clear" w:color="auto" w:fill="FFFFFF"/>
        <w:ind w:left="993" w:right="1041"/>
        <w:jc w:val="both"/>
        <w:rPr>
          <w:color w:val="222222"/>
        </w:rPr>
      </w:pPr>
      <w:r w:rsidRPr="00FA58BF">
        <w:rPr>
          <w:rFonts w:ascii="Palatino Linotype" w:eastAsia="Palatino Linotype" w:hAnsi="Palatino Linotype" w:cs="Palatino Linotype"/>
          <w:b/>
          <w:i/>
          <w:color w:val="222222"/>
          <w:sz w:val="22"/>
          <w:szCs w:val="22"/>
        </w:rPr>
        <w:t>“Artículo 160. </w:t>
      </w:r>
      <w:r w:rsidRPr="00FA58BF">
        <w:rPr>
          <w:rFonts w:ascii="Palatino Linotype" w:eastAsia="Palatino Linotype" w:hAnsi="Palatino Linotype" w:cs="Palatino Linotype"/>
          <w:i/>
          <w:color w:val="222222"/>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B8B7D0A" w14:textId="77777777" w:rsidR="00D87C0D" w:rsidRPr="00FA58BF" w:rsidRDefault="00D87C0D" w:rsidP="00D87C0D">
      <w:pPr>
        <w:shd w:val="clear" w:color="auto" w:fill="FFFFFF"/>
        <w:ind w:left="993" w:right="1041"/>
        <w:jc w:val="both"/>
        <w:rPr>
          <w:color w:val="222222"/>
        </w:rPr>
      </w:pPr>
      <w:r w:rsidRPr="00FA58BF">
        <w:rPr>
          <w:rFonts w:ascii="Palatino Linotype" w:eastAsia="Palatino Linotype" w:hAnsi="Palatino Linotype" w:cs="Palatino Linotype"/>
          <w:i/>
          <w:color w:val="222222"/>
          <w:sz w:val="22"/>
          <w:szCs w:val="22"/>
        </w:rPr>
        <w:t>En caso que la información solicitada consista en bases de datos se deberá privilegiar la entrega de la misma en formatos abiertos.</w:t>
      </w:r>
    </w:p>
    <w:p w14:paraId="2148B270" w14:textId="77777777" w:rsidR="00D87C0D" w:rsidRPr="00FA58BF" w:rsidRDefault="00D87C0D" w:rsidP="00D87C0D">
      <w:pPr>
        <w:shd w:val="clear" w:color="auto" w:fill="FFFFFF"/>
        <w:ind w:left="993" w:right="1041"/>
        <w:jc w:val="both"/>
        <w:rPr>
          <w:color w:val="222222"/>
        </w:rPr>
      </w:pPr>
      <w:r w:rsidRPr="00FA58BF">
        <w:rPr>
          <w:rFonts w:ascii="Palatino Linotype" w:eastAsia="Palatino Linotype" w:hAnsi="Palatino Linotype" w:cs="Palatino Linotype"/>
          <w:b/>
          <w:i/>
          <w:color w:val="222222"/>
          <w:sz w:val="22"/>
          <w:szCs w:val="22"/>
        </w:rPr>
        <w:t>Artículo 163.</w:t>
      </w:r>
      <w:r w:rsidRPr="00FA58BF">
        <w:rPr>
          <w:rFonts w:ascii="Palatino Linotype" w:eastAsia="Palatino Linotype" w:hAnsi="Palatino Linotype" w:cs="Palatino Linotype"/>
          <w:i/>
          <w:color w:val="222222"/>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7CF2494D" w14:textId="77777777" w:rsidR="00D87C0D" w:rsidRPr="00FA58BF" w:rsidRDefault="00D87C0D" w:rsidP="00D87C0D">
      <w:pPr>
        <w:shd w:val="clear" w:color="auto" w:fill="FFFFFF"/>
        <w:ind w:left="993" w:right="1041"/>
        <w:jc w:val="both"/>
        <w:rPr>
          <w:color w:val="222222"/>
        </w:rPr>
      </w:pPr>
      <w:r w:rsidRPr="00FA58BF">
        <w:rPr>
          <w:rFonts w:ascii="Palatino Linotype" w:eastAsia="Palatino Linotype" w:hAnsi="Palatino Linotype" w:cs="Palatino Linotype"/>
          <w:i/>
          <w:color w:val="222222"/>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5F30E46" w14:textId="77777777" w:rsidR="00D87C0D" w:rsidRPr="00FA58BF" w:rsidRDefault="00D87C0D" w:rsidP="00D87C0D">
      <w:pPr>
        <w:shd w:val="clear" w:color="auto" w:fill="FFFFFF"/>
        <w:ind w:left="993" w:right="1041"/>
        <w:jc w:val="both"/>
        <w:rPr>
          <w:color w:val="222222"/>
        </w:rPr>
      </w:pPr>
      <w:r w:rsidRPr="00FA58BF">
        <w:rPr>
          <w:rFonts w:ascii="Palatino Linotype" w:eastAsia="Palatino Linotype" w:hAnsi="Palatino Linotype" w:cs="Palatino Linotype"/>
          <w:b/>
          <w:i/>
          <w:color w:val="222222"/>
          <w:sz w:val="22"/>
          <w:szCs w:val="22"/>
        </w:rPr>
        <w:t>Artículo 165.</w:t>
      </w:r>
      <w:r w:rsidRPr="00FA58BF">
        <w:rPr>
          <w:rFonts w:ascii="Palatino Linotype" w:eastAsia="Palatino Linotype" w:hAnsi="Palatino Linotype" w:cs="Palatino Linotype"/>
          <w:i/>
          <w:color w:val="222222"/>
          <w:sz w:val="22"/>
          <w:szCs w:val="22"/>
        </w:rPr>
        <w:t> Los sujetos obligados establecerán la forma y términos en que darán trámite interno a las solicitudes en materia de acceso a la información.</w:t>
      </w:r>
    </w:p>
    <w:p w14:paraId="087784A6" w14:textId="77777777" w:rsidR="00D87C0D" w:rsidRPr="00FA58BF" w:rsidRDefault="00D87C0D" w:rsidP="00D87C0D">
      <w:pPr>
        <w:shd w:val="clear" w:color="auto" w:fill="FFFFFF"/>
        <w:ind w:left="993" w:right="1041"/>
        <w:jc w:val="both"/>
        <w:rPr>
          <w:color w:val="222222"/>
        </w:rPr>
      </w:pPr>
      <w:r w:rsidRPr="00FA58BF">
        <w:rPr>
          <w:rFonts w:ascii="Palatino Linotype" w:eastAsia="Palatino Linotype" w:hAnsi="Palatino Linotype" w:cs="Palatino Linotype"/>
          <w:i/>
          <w:color w:val="222222"/>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6C289976" w14:textId="77777777" w:rsidR="00D87C0D" w:rsidRPr="00FA58BF" w:rsidRDefault="00D87C0D" w:rsidP="00D87C0D">
      <w:pPr>
        <w:shd w:val="clear" w:color="auto" w:fill="FFFFFF"/>
        <w:spacing w:after="240"/>
        <w:ind w:left="993" w:right="1041"/>
        <w:jc w:val="both"/>
        <w:rPr>
          <w:color w:val="222222"/>
        </w:rPr>
      </w:pPr>
      <w:r w:rsidRPr="00FA58BF">
        <w:rPr>
          <w:rFonts w:ascii="Palatino Linotype" w:eastAsia="Palatino Linotype" w:hAnsi="Palatino Linotype" w:cs="Palatino Linotype"/>
          <w:i/>
          <w:color w:val="222222"/>
          <w:sz w:val="22"/>
          <w:szCs w:val="22"/>
        </w:rPr>
        <w:lastRenderedPageBreak/>
        <w:t>Ante la falta de respuesta a una solicitud en el plazo previsto y en caso de que proceda el acceso, los costos de reproducción y envío correrán a cargo del sujeto obligado.” (Sic)</w:t>
      </w:r>
    </w:p>
    <w:p w14:paraId="6C9436CE" w14:textId="7C133226" w:rsidR="00D87C0D" w:rsidRPr="00FA58BF" w:rsidRDefault="00D87C0D" w:rsidP="00D87C0D">
      <w:pPr>
        <w:shd w:val="clear" w:color="auto" w:fill="FFFFFF"/>
        <w:spacing w:before="240" w:after="240" w:line="360" w:lineRule="auto"/>
        <w:jc w:val="both"/>
        <w:rPr>
          <w:color w:val="222222"/>
        </w:rPr>
      </w:pPr>
      <w:r w:rsidRPr="00FA58BF">
        <w:rPr>
          <w:rFonts w:ascii="Palatino Linotype" w:eastAsia="Palatino Linotype" w:hAnsi="Palatino Linotype" w:cs="Palatino Linotype"/>
          <w:color w:val="222222"/>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FA58BF">
        <w:rPr>
          <w:rFonts w:ascii="Palatino Linotype" w:eastAsia="Palatino Linotype" w:hAnsi="Palatino Linotype" w:cs="Palatino Linotype"/>
          <w:color w:val="222222"/>
          <w:vertAlign w:val="superscript"/>
        </w:rPr>
        <w:footnoteReference w:id="2"/>
      </w:r>
      <w:r w:rsidRPr="00FA58BF">
        <w:rPr>
          <w:rFonts w:ascii="Palatino Linotype" w:eastAsia="Palatino Linotype" w:hAnsi="Palatino Linotype" w:cs="Palatino Linotype"/>
          <w:color w:val="222222"/>
        </w:rPr>
        <w:t xml:space="preserve">, situación que se advierte en el presente caso, toda vez que el </w:t>
      </w:r>
      <w:r w:rsidRPr="00FA58BF">
        <w:rPr>
          <w:rFonts w:ascii="Palatino Linotype" w:eastAsia="Palatino Linotype" w:hAnsi="Palatino Linotype" w:cs="Palatino Linotype"/>
          <w:b/>
          <w:color w:val="222222"/>
        </w:rPr>
        <w:t>SUJETO OBLIGADO</w:t>
      </w:r>
      <w:r w:rsidRPr="00FA58BF">
        <w:rPr>
          <w:rFonts w:ascii="Palatino Linotype" w:eastAsia="Palatino Linotype" w:hAnsi="Palatino Linotype" w:cs="Palatino Linotype"/>
          <w:color w:val="222222"/>
        </w:rPr>
        <w:t xml:space="preserve"> a través de su </w:t>
      </w:r>
      <w:r w:rsidRPr="00FA58BF">
        <w:rPr>
          <w:rFonts w:ascii="Palatino Linotype" w:eastAsia="Palatino Linotype" w:hAnsi="Palatino Linotype" w:cs="Palatino Linotype"/>
        </w:rPr>
        <w:t>Unidad de Apoyo Administrativo,</w:t>
      </w:r>
      <w:r w:rsidRPr="00FA58BF">
        <w:rPr>
          <w:rFonts w:ascii="Palatino Linotype" w:eastAsia="Palatino Linotype" w:hAnsi="Palatino Linotype" w:cs="Palatino Linotype"/>
          <w:color w:val="222222"/>
        </w:rPr>
        <w:t xml:space="preserve"> ha brindado el acceso a la información solicitada por el particular de manera completa. </w:t>
      </w:r>
    </w:p>
    <w:p w14:paraId="3D8FE3FF" w14:textId="0CAD6C49" w:rsidR="004D1E1E" w:rsidRPr="00FA58BF" w:rsidRDefault="004D1E1E" w:rsidP="00D87C0D">
      <w:pPr>
        <w:spacing w:before="240" w:after="240" w:line="360" w:lineRule="auto"/>
        <w:ind w:right="49"/>
        <w:jc w:val="both"/>
        <w:rPr>
          <w:rFonts w:ascii="Palatino Linotype" w:eastAsia="Palatino Linotype" w:hAnsi="Palatino Linotype" w:cs="Palatino Linotype"/>
        </w:rPr>
      </w:pPr>
      <w:r w:rsidRPr="00FA58BF">
        <w:rPr>
          <w:rFonts w:ascii="Palatino Linotype" w:eastAsia="Palatino Linotype" w:hAnsi="Palatino Linotype" w:cs="Palatino Linotype"/>
        </w:rPr>
        <w:t>Ahora bien, dicha área</w:t>
      </w:r>
      <w:r w:rsidR="00EB0ED3" w:rsidRPr="00FA58BF">
        <w:rPr>
          <w:rFonts w:ascii="Palatino Linotype" w:eastAsia="Palatino Linotype" w:hAnsi="Palatino Linotype" w:cs="Palatino Linotype"/>
        </w:rPr>
        <w:t xml:space="preserve"> informó que después de haber realizado una búsqueda en todos los archivos de </w:t>
      </w:r>
      <w:r w:rsidRPr="00FA58BF">
        <w:rPr>
          <w:rFonts w:ascii="Palatino Linotype" w:eastAsia="Palatino Linotype" w:hAnsi="Palatino Linotype" w:cs="Palatino Linotype"/>
        </w:rPr>
        <w:t xml:space="preserve">la Unidad de Apoyo Administrativo, no se encontró información relacionada con su petición; por consiguiente, al existir un pronunciamiento del área competente del </w:t>
      </w:r>
      <w:r w:rsidRPr="00FA58BF">
        <w:rPr>
          <w:rFonts w:ascii="Palatino Linotype" w:eastAsia="Palatino Linotype" w:hAnsi="Palatino Linotype" w:cs="Palatino Linotype"/>
          <w:b/>
        </w:rPr>
        <w:t>SUJETO OBLIGADO</w:t>
      </w:r>
      <w:r w:rsidRPr="00FA58BF">
        <w:rPr>
          <w:rFonts w:ascii="Palatino Linotype" w:eastAsia="Palatino Linotype" w:hAnsi="Palatino Linotype" w:cs="Palatino Linotype"/>
        </w:rPr>
        <w:t xml:space="preserve">, </w:t>
      </w:r>
      <w:r w:rsidR="00D87C0D" w:rsidRPr="00FA58BF">
        <w:rPr>
          <w:rFonts w:ascii="Palatino Linotype" w:eastAsia="Palatino Linotype" w:hAnsi="Palatino Linotype" w:cs="Palatino Linotype"/>
        </w:rPr>
        <w:t>se tiene por co</w:t>
      </w:r>
      <w:r w:rsidRPr="00FA58BF">
        <w:rPr>
          <w:rFonts w:ascii="Palatino Linotype" w:eastAsia="Palatino Linotype" w:hAnsi="Palatino Linotype" w:cs="Palatino Linotype"/>
        </w:rPr>
        <w:t xml:space="preserve">lmando el derecho de acceso a la información pública de la parte </w:t>
      </w:r>
      <w:r w:rsidRPr="00FA58BF">
        <w:rPr>
          <w:rFonts w:ascii="Palatino Linotype" w:eastAsia="Palatino Linotype" w:hAnsi="Palatino Linotype" w:cs="Palatino Linotype"/>
          <w:b/>
        </w:rPr>
        <w:t>RECURRENT</w:t>
      </w:r>
      <w:r w:rsidRPr="00FA58BF">
        <w:rPr>
          <w:rFonts w:ascii="Palatino Linotype" w:eastAsia="Palatino Linotype" w:hAnsi="Palatino Linotype" w:cs="Palatino Linotype"/>
        </w:rPr>
        <w:t>E, máxime, que 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542A84DA" w14:textId="77777777" w:rsidR="004D1E1E" w:rsidRPr="00FA58BF" w:rsidRDefault="004D1E1E" w:rsidP="004D1E1E">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lastRenderedPageBreak/>
        <w:t>“</w:t>
      </w:r>
      <w:r w:rsidRPr="00FA58BF">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FA58BF">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respecto.”(Sic)</w:t>
      </w:r>
    </w:p>
    <w:p w14:paraId="7E378984" w14:textId="77777777" w:rsidR="004D1E1E" w:rsidRPr="00FA58BF" w:rsidRDefault="004D1E1E" w:rsidP="004D1E1E">
      <w:pPr>
        <w:spacing w:line="360" w:lineRule="auto"/>
        <w:jc w:val="both"/>
        <w:rPr>
          <w:rFonts w:ascii="Palatino Linotype" w:eastAsia="Palatino Linotype" w:hAnsi="Palatino Linotype" w:cs="Palatino Linotype"/>
        </w:rPr>
      </w:pPr>
    </w:p>
    <w:p w14:paraId="33A3837E" w14:textId="77777777" w:rsidR="004D1E1E" w:rsidRPr="00FA58BF" w:rsidRDefault="004D1E1E" w:rsidP="004D1E1E">
      <w:pPr>
        <w:spacing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De lo anterior, este Organismo Garante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22F83A0A" w14:textId="77777777" w:rsidR="004D1E1E" w:rsidRPr="00FA58BF" w:rsidRDefault="004D1E1E" w:rsidP="004D1E1E">
      <w:pPr>
        <w:spacing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Finalmente, no se omite comentar que en atención al motivo de inconformidad de la parte </w:t>
      </w:r>
      <w:r w:rsidRPr="00FA58BF">
        <w:rPr>
          <w:rFonts w:ascii="Palatino Linotype" w:eastAsia="Palatino Linotype" w:hAnsi="Palatino Linotype" w:cs="Palatino Linotype"/>
          <w:b/>
        </w:rPr>
        <w:t>RECURRENTE</w:t>
      </w:r>
      <w:r w:rsidRPr="00FA58BF">
        <w:rPr>
          <w:rFonts w:ascii="Palatino Linotype" w:eastAsia="Palatino Linotype" w:hAnsi="Palatino Linotype" w:cs="Palatino Linotype"/>
        </w:rPr>
        <w:t xml:space="preserve">, en donde señaló “La respuesta emitida por el sujeto obligado no fue realizada por el comité de transparencia de la institución”, es de señalar que los Comités de Transparencia de los Sujetos Obligados no tiene la atribución de emitir respuesta a las solicitudes de acceso a la información pública que hagan los particulares, toda vez que sus atribuciones </w:t>
      </w:r>
      <w:r w:rsidR="00AA6B96" w:rsidRPr="00FA58BF">
        <w:rPr>
          <w:rFonts w:ascii="Palatino Linotype" w:eastAsia="Palatino Linotype" w:hAnsi="Palatino Linotype" w:cs="Palatino Linotype"/>
        </w:rPr>
        <w:t xml:space="preserve">son </w:t>
      </w:r>
      <w:r w:rsidRPr="00FA58BF">
        <w:rPr>
          <w:rFonts w:ascii="Palatino Linotype" w:eastAsia="Palatino Linotype" w:hAnsi="Palatino Linotype" w:cs="Palatino Linotype"/>
        </w:rPr>
        <w:t xml:space="preserve">las señaladas por el </w:t>
      </w:r>
      <w:r w:rsidR="00AA6B96" w:rsidRPr="00FA58BF">
        <w:rPr>
          <w:rFonts w:ascii="Palatino Linotype" w:eastAsia="Palatino Linotype" w:hAnsi="Palatino Linotype" w:cs="Palatino Linotype"/>
        </w:rPr>
        <w:t>artículo</w:t>
      </w:r>
      <w:r w:rsidRPr="00FA58BF">
        <w:rPr>
          <w:rFonts w:ascii="Palatino Linotype" w:eastAsia="Palatino Linotype" w:hAnsi="Palatino Linotype" w:cs="Palatino Linotype"/>
        </w:rPr>
        <w:t xml:space="preserve"> 49 de la Ley de la M</w:t>
      </w:r>
      <w:r w:rsidR="00AA6B96" w:rsidRPr="00FA58BF">
        <w:rPr>
          <w:rFonts w:ascii="Palatino Linotype" w:eastAsia="Palatino Linotype" w:hAnsi="Palatino Linotype" w:cs="Palatino Linotype"/>
        </w:rPr>
        <w:t>ateria, que señala:</w:t>
      </w:r>
    </w:p>
    <w:p w14:paraId="27D74D21"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lastRenderedPageBreak/>
        <w:t xml:space="preserve">Artículo 49. Los Comités de Transparencia tendrán las siguientes atribuciones: </w:t>
      </w:r>
    </w:p>
    <w:p w14:paraId="09B6A702"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I. Instituir, coordinar y supervisar en términos de las disposiciones aplicables, las acciones, medidas y procedimientos que coadyuven a asegurar una mayor eficacia en la gestión y atención de las solicitudes en materia de acceso a la información; II. Confirmar, modificar o revocar las determinaciones que en materia de ampliación del plazo de respuesta, clasificación de la información y declaración de inexistencia o de incompetencia realicen los titulares de las áreas de los sujetos obligados; </w:t>
      </w:r>
    </w:p>
    <w:p w14:paraId="3F31BE29"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7258FAD7"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IV. Establecer políticas para facilitar la obtención y entrega de información en las solicitudes que permita el adecuado ejercicio del derecho de acceso a la información; </w:t>
      </w:r>
    </w:p>
    <w:p w14:paraId="5A9C030A"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V. Promover la capacitación y actualización de los servidores públicos o integrantes adscritos a las unidades de transparencia; </w:t>
      </w:r>
    </w:p>
    <w:p w14:paraId="2E2D7711"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VI. Establecer programas de capacitación en materia de transparencia, acceso a la información, accesibilidad y protección de datos personales, para todos los servidores públicos o integrantes del sujeto obligado; </w:t>
      </w:r>
    </w:p>
    <w:p w14:paraId="213D9840"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VII. Solicitar y autorizar la ampliación del plazo de reserva de la información a que se refiere esta Ley; </w:t>
      </w:r>
    </w:p>
    <w:p w14:paraId="53069741"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VIII. Aprobar, modificar o revocar la clasificación de la información; </w:t>
      </w:r>
    </w:p>
    <w:p w14:paraId="3EE587CF"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IX. Supervisar la aplicación de los lineamientos en materia de acceso a la información pública para el manejo, mantenimiento y seguridad de los datos personales, así como de los criterios de clasificación expedidos por el Instituto; </w:t>
      </w:r>
    </w:p>
    <w:p w14:paraId="0697D8F5"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X. Elaborar un programa para facilitar la sistematización y actualización de la información, mismo que deberá remitirse al Instituto dentro de los primeros veinte días de cada año; </w:t>
      </w:r>
    </w:p>
    <w:p w14:paraId="0A6AF0CB"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XI. Recabar y enviar al Instituto, de conformidad con los lineamientos que éste expida, los datos necesarios para la elaboración del informe anual; XII. Emitir las resoluciones que correspondan para la atención de las solicitudes de información; </w:t>
      </w:r>
      <w:proofErr w:type="spellStart"/>
      <w:r w:rsidRPr="00FA58BF">
        <w:rPr>
          <w:rFonts w:ascii="Palatino Linotype" w:eastAsia="Palatino Linotype" w:hAnsi="Palatino Linotype" w:cs="Palatino Linotype"/>
          <w:i/>
          <w:sz w:val="22"/>
          <w:szCs w:val="22"/>
        </w:rPr>
        <w:lastRenderedPageBreak/>
        <w:t>XIII.Dictaminar</w:t>
      </w:r>
      <w:proofErr w:type="spellEnd"/>
      <w:r w:rsidRPr="00FA58BF">
        <w:rPr>
          <w:rFonts w:ascii="Palatino Linotype" w:eastAsia="Palatino Linotype" w:hAnsi="Palatino Linotype" w:cs="Palatino Linotype"/>
          <w:i/>
          <w:sz w:val="22"/>
          <w:szCs w:val="22"/>
        </w:rPr>
        <w:t xml:space="preserve"> las declaratorias de inexistencia de la información que les remitan las unidades administrativas y resolver en consecuencia; </w:t>
      </w:r>
    </w:p>
    <w:p w14:paraId="43A461A7"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XIV. Supervisar el registro y actualización de las solicitudes de acceso a la información, así como sus trámites, costos y resultados; </w:t>
      </w:r>
    </w:p>
    <w:p w14:paraId="14432F91"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XV. Fomentar la cultura de transparencia; </w:t>
      </w:r>
    </w:p>
    <w:p w14:paraId="708496BA"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XVI. Supervisar el cumplimiento de criterios y lineamientos en materia de información clasificada; </w:t>
      </w:r>
    </w:p>
    <w:p w14:paraId="29976198"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r w:rsidRPr="00FA58BF">
        <w:rPr>
          <w:rFonts w:ascii="Palatino Linotype" w:eastAsia="Palatino Linotype" w:hAnsi="Palatino Linotype" w:cs="Palatino Linotype"/>
          <w:i/>
          <w:sz w:val="22"/>
          <w:szCs w:val="22"/>
        </w:rPr>
        <w:t xml:space="preserve">XVII. Vigilar el cumplimiento de las resoluciones y recomendaciones que emita el Instituto; y </w:t>
      </w:r>
    </w:p>
    <w:p w14:paraId="2F87E028" w14:textId="77777777" w:rsidR="00AA6B96" w:rsidRPr="00FA58BF" w:rsidRDefault="00AA6B96" w:rsidP="00AA6B96">
      <w:pPr>
        <w:spacing w:before="120" w:after="120"/>
        <w:ind w:left="851" w:right="851"/>
        <w:jc w:val="both"/>
        <w:rPr>
          <w:rFonts w:ascii="Palatino Linotype" w:eastAsia="Palatino Linotype" w:hAnsi="Palatino Linotype" w:cs="Palatino Linotype"/>
          <w:i/>
          <w:sz w:val="22"/>
          <w:szCs w:val="22"/>
        </w:rPr>
      </w:pPr>
      <w:proofErr w:type="spellStart"/>
      <w:r w:rsidRPr="00FA58BF">
        <w:rPr>
          <w:rFonts w:ascii="Palatino Linotype" w:eastAsia="Palatino Linotype" w:hAnsi="Palatino Linotype" w:cs="Palatino Linotype"/>
          <w:i/>
          <w:sz w:val="22"/>
          <w:szCs w:val="22"/>
        </w:rPr>
        <w:t>XVIII.Las</w:t>
      </w:r>
      <w:proofErr w:type="spellEnd"/>
      <w:r w:rsidRPr="00FA58BF">
        <w:rPr>
          <w:rFonts w:ascii="Palatino Linotype" w:eastAsia="Palatino Linotype" w:hAnsi="Palatino Linotype" w:cs="Palatino Linotype"/>
          <w:i/>
          <w:sz w:val="22"/>
          <w:szCs w:val="22"/>
        </w:rPr>
        <w:t xml:space="preserve"> demás que se desprendan de la presente Ley y las disposiciones jurídicas aplicables, que faciliten el acceso a la información</w:t>
      </w:r>
    </w:p>
    <w:p w14:paraId="0AAF3381" w14:textId="60B7CBB1" w:rsidR="00AA6B96" w:rsidRPr="00FA58BF" w:rsidRDefault="00AA6B96" w:rsidP="004D1E1E">
      <w:pPr>
        <w:spacing w:before="240" w:after="240" w:line="360" w:lineRule="auto"/>
        <w:ind w:right="51"/>
        <w:jc w:val="both"/>
        <w:rPr>
          <w:rFonts w:ascii="Palatino Linotype" w:eastAsia="Palatino Linotype" w:hAnsi="Palatino Linotype" w:cs="Palatino Linotype"/>
          <w:color w:val="FF0000"/>
        </w:rPr>
      </w:pPr>
      <w:r w:rsidRPr="00FA58BF">
        <w:rPr>
          <w:rFonts w:ascii="Palatino Linotype" w:eastAsia="Palatino Linotype" w:hAnsi="Palatino Linotype" w:cs="Palatino Linotype"/>
        </w:rPr>
        <w:t xml:space="preserve">Sin que se observe que tenga que dar respuesta a las solicitudes de acceso a la información pública, por lo que resulta que dicho motivos de inconformidad sea </w:t>
      </w:r>
      <w:r w:rsidR="00D87C0D" w:rsidRPr="00FA58BF">
        <w:rPr>
          <w:rFonts w:ascii="Palatino Linotype" w:eastAsia="Palatino Linotype" w:hAnsi="Palatino Linotype" w:cs="Palatino Linotype"/>
        </w:rPr>
        <w:t>i</w:t>
      </w:r>
      <w:r w:rsidR="00F42A86" w:rsidRPr="00FA58BF">
        <w:rPr>
          <w:rFonts w:ascii="Palatino Linotype" w:eastAsia="Palatino Linotype" w:hAnsi="Palatino Linotype" w:cs="Palatino Linotype"/>
        </w:rPr>
        <w:t>nfundado.</w:t>
      </w:r>
      <w:r w:rsidR="00F42A86" w:rsidRPr="00FA58BF">
        <w:rPr>
          <w:rFonts w:ascii="Palatino Linotype" w:eastAsia="Palatino Linotype" w:hAnsi="Palatino Linotype" w:cs="Palatino Linotype"/>
          <w:color w:val="FF0000"/>
        </w:rPr>
        <w:t xml:space="preserve"> </w:t>
      </w:r>
    </w:p>
    <w:p w14:paraId="7E578E96" w14:textId="77777777" w:rsidR="004D1E1E" w:rsidRPr="00FA58BF" w:rsidRDefault="004D1E1E" w:rsidP="004D1E1E">
      <w:pPr>
        <w:spacing w:before="240" w:after="240" w:line="360" w:lineRule="auto"/>
        <w:ind w:right="51"/>
        <w:jc w:val="both"/>
        <w:rPr>
          <w:rFonts w:ascii="Palatino Linotype" w:eastAsia="Palatino Linotype" w:hAnsi="Palatino Linotype" w:cs="Palatino Linotype"/>
          <w:b/>
        </w:rPr>
      </w:pPr>
      <w:r w:rsidRPr="00FA58BF">
        <w:rPr>
          <w:rFonts w:ascii="Palatino Linotype" w:eastAsia="Palatino Linotype" w:hAnsi="Palatino Linotype" w:cs="Palatino Linotype"/>
        </w:rPr>
        <w:t xml:space="preserve">En consecuencia de todo lo anterior, y una vez analizada las constancias que integran el expediente en que se actúa, lo </w:t>
      </w:r>
      <w:r w:rsidRPr="00FA58BF">
        <w:rPr>
          <w:rFonts w:ascii="Palatino Linotype" w:eastAsia="Palatino Linotype" w:hAnsi="Palatino Linotype" w:cs="Palatino Linotype"/>
          <w:b/>
        </w:rPr>
        <w:t>PROCEDENTE</w:t>
      </w:r>
      <w:r w:rsidRPr="00FA58BF">
        <w:rPr>
          <w:rFonts w:ascii="Palatino Linotype" w:eastAsia="Palatino Linotype" w:hAnsi="Palatino Linotype" w:cs="Palatino Linotype"/>
        </w:rPr>
        <w:t xml:space="preserve"> es </w:t>
      </w:r>
      <w:r w:rsidRPr="00FA58BF">
        <w:rPr>
          <w:rFonts w:ascii="Palatino Linotype" w:eastAsia="Palatino Linotype" w:hAnsi="Palatino Linotype" w:cs="Palatino Linotype"/>
          <w:b/>
        </w:rPr>
        <w:t>CONFIRMAR</w:t>
      </w:r>
      <w:r w:rsidRPr="00FA58BF">
        <w:rPr>
          <w:rFonts w:ascii="Palatino Linotype" w:eastAsia="Palatino Linotype" w:hAnsi="Palatino Linotype" w:cs="Palatino Linotype"/>
        </w:rPr>
        <w:t xml:space="preserve"> la respuesta del </w:t>
      </w:r>
      <w:r w:rsidRPr="00FA58BF">
        <w:rPr>
          <w:rFonts w:ascii="Palatino Linotype" w:eastAsia="Palatino Linotype" w:hAnsi="Palatino Linotype" w:cs="Palatino Linotype"/>
          <w:b/>
        </w:rPr>
        <w:t>SUJETO OBLIGADO.</w:t>
      </w:r>
    </w:p>
    <w:p w14:paraId="00060F93" w14:textId="0320FFEB" w:rsidR="004D1E1E" w:rsidRPr="00FA58BF" w:rsidRDefault="004D1E1E" w:rsidP="004D1E1E">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FA58BF">
        <w:rPr>
          <w:rFonts w:ascii="Palatino Linotype" w:eastAsia="Palatino Linotype" w:hAnsi="Palatino Linotype" w:cs="Palatino Linotype"/>
          <w:color w:val="000000"/>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4067F76" w14:textId="2854A857" w:rsidR="00D652EB" w:rsidRPr="00FA58BF" w:rsidRDefault="00D652EB" w:rsidP="004D1E1E">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p>
    <w:p w14:paraId="52CACD3F" w14:textId="77777777" w:rsidR="00D652EB" w:rsidRPr="00FA58BF" w:rsidRDefault="00D652EB" w:rsidP="004D1E1E">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p>
    <w:p w14:paraId="03903048" w14:textId="31E8A31D" w:rsidR="004D1E1E" w:rsidRPr="00FA58BF" w:rsidRDefault="004D1E1E" w:rsidP="004D1E1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FA58BF">
        <w:rPr>
          <w:rFonts w:ascii="Palatino Linotype" w:eastAsia="Palatino Linotype" w:hAnsi="Palatino Linotype" w:cs="Palatino Linotype"/>
          <w:b/>
        </w:rPr>
        <w:lastRenderedPageBreak/>
        <w:t>III. R E S U E L V E:</w:t>
      </w:r>
    </w:p>
    <w:p w14:paraId="4D98DE46" w14:textId="271324D8" w:rsidR="004D1E1E" w:rsidRPr="00FA58BF" w:rsidRDefault="004D1E1E" w:rsidP="004D1E1E">
      <w:pPr>
        <w:pBdr>
          <w:top w:val="nil"/>
          <w:left w:val="nil"/>
          <w:bottom w:val="nil"/>
          <w:right w:val="nil"/>
          <w:between w:val="nil"/>
        </w:pBdr>
        <w:spacing w:after="120" w:line="405" w:lineRule="auto"/>
        <w:jc w:val="both"/>
        <w:rPr>
          <w:rFonts w:ascii="Palatino Linotype" w:eastAsia="Palatino Linotype" w:hAnsi="Palatino Linotype" w:cs="Palatino Linotype"/>
          <w:color w:val="000000"/>
        </w:rPr>
      </w:pPr>
      <w:r w:rsidRPr="00FA58BF">
        <w:rPr>
          <w:rFonts w:ascii="Palatino Linotype" w:eastAsia="Palatino Linotype" w:hAnsi="Palatino Linotype" w:cs="Palatino Linotype"/>
          <w:b/>
          <w:color w:val="000000"/>
        </w:rPr>
        <w:t>Primero.</w:t>
      </w:r>
      <w:r w:rsidRPr="00FA58BF">
        <w:rPr>
          <w:rFonts w:ascii="Palatino Linotype" w:eastAsia="Palatino Linotype" w:hAnsi="Palatino Linotype" w:cs="Palatino Linotype"/>
          <w:color w:val="000000"/>
        </w:rPr>
        <w:t xml:space="preserve"> Resulta infundado el motivo de inconformidad aducido por la parte </w:t>
      </w:r>
      <w:r w:rsidRPr="00FA58BF">
        <w:rPr>
          <w:rFonts w:ascii="Palatino Linotype" w:eastAsia="Palatino Linotype" w:hAnsi="Palatino Linotype" w:cs="Palatino Linotype"/>
          <w:b/>
          <w:color w:val="000000"/>
        </w:rPr>
        <w:t>RECURRENTE</w:t>
      </w:r>
      <w:r w:rsidRPr="00FA58BF">
        <w:rPr>
          <w:rFonts w:ascii="Palatino Linotype" w:eastAsia="Palatino Linotype" w:hAnsi="Palatino Linotype" w:cs="Palatino Linotype"/>
          <w:color w:val="000000"/>
        </w:rPr>
        <w:t xml:space="preserve"> en el recurso de revisión </w:t>
      </w:r>
      <w:r w:rsidR="009065C3" w:rsidRPr="00FA58BF">
        <w:rPr>
          <w:rFonts w:ascii="Palatino Linotype" w:eastAsia="Palatino Linotype" w:hAnsi="Palatino Linotype" w:cs="Palatino Linotype"/>
          <w:b/>
          <w:color w:val="000000"/>
        </w:rPr>
        <w:t>07904/INFOEM/IP/RR/2023</w:t>
      </w:r>
      <w:r w:rsidRPr="00FA58BF">
        <w:rPr>
          <w:rFonts w:ascii="Palatino Linotype" w:eastAsia="Palatino Linotype" w:hAnsi="Palatino Linotype" w:cs="Palatino Linotype"/>
          <w:color w:val="000000"/>
        </w:rPr>
        <w:t xml:space="preserve">; por lo que, en términos de los argumentos señalados en el Considerando Cuarto se </w:t>
      </w:r>
      <w:r w:rsidRPr="00FA58BF">
        <w:rPr>
          <w:rFonts w:ascii="Palatino Linotype" w:eastAsia="Palatino Linotype" w:hAnsi="Palatino Linotype" w:cs="Palatino Linotype"/>
          <w:b/>
          <w:color w:val="000000"/>
        </w:rPr>
        <w:t>CONFIRMA</w:t>
      </w:r>
      <w:r w:rsidRPr="00FA58BF">
        <w:rPr>
          <w:rFonts w:ascii="Palatino Linotype" w:eastAsia="Palatino Linotype" w:hAnsi="Palatino Linotype" w:cs="Palatino Linotype"/>
          <w:color w:val="000000"/>
        </w:rPr>
        <w:t xml:space="preserve"> la respuesta emitida por el </w:t>
      </w:r>
      <w:r w:rsidRPr="00FA58BF">
        <w:rPr>
          <w:rFonts w:ascii="Palatino Linotype" w:eastAsia="Palatino Linotype" w:hAnsi="Palatino Linotype" w:cs="Palatino Linotype"/>
          <w:b/>
          <w:color w:val="000000"/>
        </w:rPr>
        <w:t>SUJETO OBLIGADO</w:t>
      </w:r>
      <w:r w:rsidRPr="00FA58BF">
        <w:rPr>
          <w:rFonts w:ascii="Palatino Linotype" w:eastAsia="Palatino Linotype" w:hAnsi="Palatino Linotype" w:cs="Palatino Linotype"/>
          <w:color w:val="000000"/>
        </w:rPr>
        <w:t>.</w:t>
      </w:r>
    </w:p>
    <w:p w14:paraId="7C93F9B0" w14:textId="77777777" w:rsidR="004D1E1E" w:rsidRPr="00FA58BF" w:rsidRDefault="004D1E1E" w:rsidP="004D1E1E">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b/>
        </w:rPr>
        <w:t>Segundo. Notifíquese</w:t>
      </w:r>
      <w:r w:rsidRPr="00FA58BF">
        <w:rPr>
          <w:rFonts w:ascii="Palatino Linotype" w:eastAsia="Palatino Linotype" w:hAnsi="Palatino Linotype" w:cs="Palatino Linotype"/>
        </w:rPr>
        <w:t xml:space="preserve"> vía </w:t>
      </w:r>
      <w:r w:rsidRPr="00FA58BF">
        <w:rPr>
          <w:rFonts w:ascii="Palatino Linotype" w:eastAsia="Palatino Linotype" w:hAnsi="Palatino Linotype" w:cs="Palatino Linotype"/>
          <w:b/>
        </w:rPr>
        <w:t xml:space="preserve">SAIMEX </w:t>
      </w:r>
      <w:r w:rsidRPr="00FA58BF">
        <w:rPr>
          <w:rFonts w:ascii="Palatino Linotype" w:eastAsia="Palatino Linotype" w:hAnsi="Palatino Linotype" w:cs="Palatino Linotype"/>
        </w:rPr>
        <w:t xml:space="preserve">la presente resolución a la Titular de la Unidad de Transparencia del </w:t>
      </w:r>
      <w:r w:rsidRPr="00FA58BF">
        <w:rPr>
          <w:rFonts w:ascii="Palatino Linotype" w:eastAsia="Palatino Linotype" w:hAnsi="Palatino Linotype" w:cs="Palatino Linotype"/>
          <w:b/>
        </w:rPr>
        <w:t>SUJETO OBLIGADO</w:t>
      </w:r>
      <w:r w:rsidRPr="00FA58BF">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53DECFE5" w14:textId="4930DA34" w:rsidR="004D1E1E" w:rsidRPr="00FA58BF" w:rsidRDefault="004D1E1E" w:rsidP="004D1E1E">
      <w:pPr>
        <w:tabs>
          <w:tab w:val="left" w:pos="8647"/>
        </w:tabs>
        <w:spacing w:before="240" w:after="240" w:line="360" w:lineRule="auto"/>
        <w:ind w:right="51"/>
        <w:jc w:val="both"/>
        <w:rPr>
          <w:rFonts w:ascii="Palatino Linotype" w:eastAsia="Palatino Linotype" w:hAnsi="Palatino Linotype" w:cs="Palatino Linotype"/>
        </w:rPr>
      </w:pPr>
      <w:r w:rsidRPr="00FA58BF">
        <w:rPr>
          <w:rFonts w:ascii="Palatino Linotype" w:eastAsia="Palatino Linotype" w:hAnsi="Palatino Linotype" w:cs="Palatino Linotype"/>
          <w:b/>
        </w:rPr>
        <w:t xml:space="preserve">Tercero. Notifíquese, vía SAIMEX </w:t>
      </w:r>
      <w:r w:rsidRPr="00FA58BF">
        <w:rPr>
          <w:rFonts w:ascii="Palatino Linotype" w:eastAsia="Palatino Linotype" w:hAnsi="Palatino Linotype" w:cs="Palatino Linotype"/>
        </w:rPr>
        <w:t>a</w:t>
      </w:r>
      <w:r w:rsidRPr="00FA58BF">
        <w:rPr>
          <w:rFonts w:ascii="Palatino Linotype" w:eastAsia="Palatino Linotype" w:hAnsi="Palatino Linotype" w:cs="Palatino Linotype"/>
          <w:b/>
        </w:rPr>
        <w:t xml:space="preserve"> </w:t>
      </w:r>
      <w:r w:rsidRPr="00FA58BF">
        <w:rPr>
          <w:rFonts w:ascii="Palatino Linotype" w:eastAsia="Palatino Linotype" w:hAnsi="Palatino Linotype" w:cs="Palatino Linotype"/>
        </w:rPr>
        <w:t>la parte</w:t>
      </w:r>
      <w:r w:rsidRPr="00FA58BF">
        <w:rPr>
          <w:rFonts w:ascii="Palatino Linotype" w:eastAsia="Palatino Linotype" w:hAnsi="Palatino Linotype" w:cs="Palatino Linotype"/>
          <w:b/>
        </w:rPr>
        <w:t xml:space="preserve"> RECURRENTE</w:t>
      </w:r>
      <w:r w:rsidRPr="00FA58BF">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77C69205" w14:textId="77777777" w:rsidR="00D652EB" w:rsidRDefault="004D78AD">
      <w:pPr>
        <w:spacing w:before="240" w:after="240" w:line="360" w:lineRule="auto"/>
        <w:jc w:val="both"/>
        <w:rPr>
          <w:rFonts w:ascii="Palatino Linotype" w:eastAsia="Palatino Linotype" w:hAnsi="Palatino Linotype" w:cs="Palatino Linotype"/>
        </w:rPr>
      </w:pPr>
      <w:r w:rsidRPr="00FA58B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FA58BF">
        <w:rPr>
          <w:rFonts w:ascii="Palatino Linotype" w:eastAsia="Palatino Linotype" w:hAnsi="Palatino Linotype" w:cs="Palatino Linotype"/>
        </w:rPr>
        <w:lastRenderedPageBreak/>
        <w:t xml:space="preserve">RAMÍREZ PEÑA; EN LA </w:t>
      </w:r>
      <w:r w:rsidR="00AA6B96" w:rsidRPr="00FA58BF">
        <w:rPr>
          <w:rFonts w:ascii="Palatino Linotype" w:eastAsia="Palatino Linotype" w:hAnsi="Palatino Linotype" w:cs="Palatino Linotype"/>
        </w:rPr>
        <w:t>DÉCIMA</w:t>
      </w:r>
      <w:r w:rsidR="005129BC" w:rsidRPr="00FA58BF">
        <w:rPr>
          <w:rFonts w:ascii="Palatino Linotype" w:eastAsia="Palatino Linotype" w:hAnsi="Palatino Linotype" w:cs="Palatino Linotype"/>
        </w:rPr>
        <w:t xml:space="preserve"> </w:t>
      </w:r>
      <w:r w:rsidR="00DF1ADA" w:rsidRPr="00FA58BF">
        <w:rPr>
          <w:rFonts w:ascii="Palatino Linotype" w:eastAsia="Palatino Linotype" w:hAnsi="Palatino Linotype" w:cs="Palatino Linotype"/>
        </w:rPr>
        <w:t xml:space="preserve">PRIMERA </w:t>
      </w:r>
      <w:r w:rsidRPr="00FA58BF">
        <w:rPr>
          <w:rFonts w:ascii="Palatino Linotype" w:eastAsia="Palatino Linotype" w:hAnsi="Palatino Linotype" w:cs="Palatino Linotype"/>
        </w:rPr>
        <w:t>SE</w:t>
      </w:r>
      <w:r w:rsidR="00990EBD" w:rsidRPr="00FA58BF">
        <w:rPr>
          <w:rFonts w:ascii="Palatino Linotype" w:eastAsia="Palatino Linotype" w:hAnsi="Palatino Linotype" w:cs="Palatino Linotype"/>
        </w:rPr>
        <w:t>SIÓ</w:t>
      </w:r>
      <w:r w:rsidR="007B252E" w:rsidRPr="00FA58BF">
        <w:rPr>
          <w:rFonts w:ascii="Palatino Linotype" w:eastAsia="Palatino Linotype" w:hAnsi="Palatino Linotype" w:cs="Palatino Linotype"/>
        </w:rPr>
        <w:t xml:space="preserve">N ORDINARIA </w:t>
      </w:r>
      <w:r w:rsidR="00324EFB" w:rsidRPr="00FA58BF">
        <w:rPr>
          <w:rFonts w:ascii="Palatino Linotype" w:eastAsia="Palatino Linotype" w:hAnsi="Palatino Linotype" w:cs="Palatino Linotype"/>
        </w:rPr>
        <w:t xml:space="preserve">CELEBRADA EL </w:t>
      </w:r>
      <w:r w:rsidR="00DF1ADA" w:rsidRPr="00FA58BF">
        <w:rPr>
          <w:rFonts w:ascii="Palatino Linotype" w:eastAsia="Palatino Linotype" w:hAnsi="Palatino Linotype" w:cs="Palatino Linotype"/>
        </w:rPr>
        <w:t>TRES</w:t>
      </w:r>
      <w:r w:rsidR="00990EBD" w:rsidRPr="00FA58BF">
        <w:rPr>
          <w:rFonts w:ascii="Palatino Linotype" w:eastAsia="Palatino Linotype" w:hAnsi="Palatino Linotype" w:cs="Palatino Linotype"/>
        </w:rPr>
        <w:t xml:space="preserve"> </w:t>
      </w:r>
      <w:r w:rsidR="00DF1ADA" w:rsidRPr="00FA58BF">
        <w:rPr>
          <w:rFonts w:ascii="Palatino Linotype" w:eastAsia="Palatino Linotype" w:hAnsi="Palatino Linotype" w:cs="Palatino Linotype"/>
        </w:rPr>
        <w:t>DE ABRIL</w:t>
      </w:r>
      <w:r w:rsidR="00EA6FD7" w:rsidRPr="00FA58BF">
        <w:rPr>
          <w:rFonts w:ascii="Palatino Linotype" w:eastAsia="Palatino Linotype" w:hAnsi="Palatino Linotype" w:cs="Palatino Linotype"/>
        </w:rPr>
        <w:t xml:space="preserve"> DE DOS MIL VEINTICUATRO</w:t>
      </w:r>
      <w:r w:rsidRPr="00FA58BF">
        <w:rPr>
          <w:rFonts w:ascii="Palatino Linotype" w:eastAsia="Palatino Linotype" w:hAnsi="Palatino Linotype" w:cs="Palatino Linotype"/>
        </w:rPr>
        <w:t>, ANTE EL SECRETARIO TÉCNICO DEL PLENO ALEXIS TAPIA RAMÍREZ.</w:t>
      </w:r>
    </w:p>
    <w:p w14:paraId="0B561E1E" w14:textId="77777777" w:rsidR="00D652EB" w:rsidRDefault="00D652EB">
      <w:pPr>
        <w:spacing w:before="240" w:after="240" w:line="360" w:lineRule="auto"/>
        <w:jc w:val="both"/>
        <w:rPr>
          <w:rFonts w:ascii="Palatino Linotype" w:eastAsia="Palatino Linotype" w:hAnsi="Palatino Linotype" w:cs="Palatino Linotype"/>
        </w:rPr>
      </w:pPr>
    </w:p>
    <w:p w14:paraId="5AD7890E" w14:textId="77777777" w:rsidR="00D652EB" w:rsidRDefault="00D652EB">
      <w:pPr>
        <w:spacing w:before="240" w:after="240" w:line="360" w:lineRule="auto"/>
        <w:jc w:val="both"/>
        <w:rPr>
          <w:rFonts w:ascii="Palatino Linotype" w:eastAsia="Palatino Linotype" w:hAnsi="Palatino Linotype" w:cs="Palatino Linotype"/>
        </w:rPr>
      </w:pPr>
    </w:p>
    <w:p w14:paraId="526B41F4" w14:textId="77777777" w:rsidR="00D652EB" w:rsidRDefault="00D652EB">
      <w:pPr>
        <w:spacing w:before="240" w:after="240" w:line="360" w:lineRule="auto"/>
        <w:jc w:val="both"/>
        <w:rPr>
          <w:rFonts w:ascii="Palatino Linotype" w:eastAsia="Palatino Linotype" w:hAnsi="Palatino Linotype" w:cs="Palatino Linotype"/>
        </w:rPr>
      </w:pPr>
    </w:p>
    <w:p w14:paraId="358910CA" w14:textId="77777777" w:rsidR="00D652EB" w:rsidRDefault="00D652EB">
      <w:pPr>
        <w:spacing w:before="240" w:after="240" w:line="360" w:lineRule="auto"/>
        <w:jc w:val="both"/>
        <w:rPr>
          <w:rFonts w:ascii="Palatino Linotype" w:eastAsia="Palatino Linotype" w:hAnsi="Palatino Linotype" w:cs="Palatino Linotype"/>
        </w:rPr>
      </w:pPr>
    </w:p>
    <w:p w14:paraId="06E7507D" w14:textId="77777777" w:rsidR="00D652EB" w:rsidRDefault="00D652EB">
      <w:pPr>
        <w:spacing w:before="240" w:after="240" w:line="360" w:lineRule="auto"/>
        <w:jc w:val="both"/>
        <w:rPr>
          <w:rFonts w:ascii="Palatino Linotype" w:eastAsia="Palatino Linotype" w:hAnsi="Palatino Linotype" w:cs="Palatino Linotype"/>
        </w:rPr>
      </w:pPr>
    </w:p>
    <w:p w14:paraId="046A3BCF" w14:textId="77777777" w:rsidR="00D652EB" w:rsidRDefault="00D652EB">
      <w:pPr>
        <w:spacing w:before="240" w:after="240" w:line="360" w:lineRule="auto"/>
        <w:jc w:val="both"/>
        <w:rPr>
          <w:rFonts w:ascii="Palatino Linotype" w:eastAsia="Palatino Linotype" w:hAnsi="Palatino Linotype" w:cs="Palatino Linotype"/>
        </w:rPr>
      </w:pPr>
    </w:p>
    <w:p w14:paraId="621360B9" w14:textId="77777777" w:rsidR="00D652EB" w:rsidRDefault="00D652EB">
      <w:pPr>
        <w:spacing w:before="240" w:after="240" w:line="360" w:lineRule="auto"/>
        <w:jc w:val="both"/>
        <w:rPr>
          <w:rFonts w:ascii="Palatino Linotype" w:eastAsia="Palatino Linotype" w:hAnsi="Palatino Linotype" w:cs="Palatino Linotype"/>
        </w:rPr>
      </w:pPr>
    </w:p>
    <w:p w14:paraId="71A83781" w14:textId="77777777" w:rsidR="00D652EB" w:rsidRDefault="00D652EB">
      <w:pPr>
        <w:spacing w:before="240" w:after="240" w:line="360" w:lineRule="auto"/>
        <w:jc w:val="both"/>
        <w:rPr>
          <w:rFonts w:ascii="Palatino Linotype" w:eastAsia="Palatino Linotype" w:hAnsi="Palatino Linotype" w:cs="Palatino Linotype"/>
        </w:rPr>
      </w:pPr>
    </w:p>
    <w:p w14:paraId="3A1D2249" w14:textId="77777777" w:rsidR="00D652EB" w:rsidRDefault="00D652EB">
      <w:pPr>
        <w:spacing w:before="240" w:after="240" w:line="360" w:lineRule="auto"/>
        <w:jc w:val="both"/>
        <w:rPr>
          <w:rFonts w:ascii="Palatino Linotype" w:eastAsia="Palatino Linotype" w:hAnsi="Palatino Linotype" w:cs="Palatino Linotype"/>
        </w:rPr>
      </w:pPr>
    </w:p>
    <w:p w14:paraId="78D7B012" w14:textId="77777777" w:rsidR="00D652EB" w:rsidRDefault="00D652EB">
      <w:pPr>
        <w:spacing w:before="240" w:after="240" w:line="360" w:lineRule="auto"/>
        <w:jc w:val="both"/>
        <w:rPr>
          <w:rFonts w:ascii="Palatino Linotype" w:eastAsia="Palatino Linotype" w:hAnsi="Palatino Linotype" w:cs="Palatino Linotype"/>
        </w:rPr>
      </w:pPr>
    </w:p>
    <w:p w14:paraId="2F02EDD8" w14:textId="77777777" w:rsidR="00D652EB" w:rsidRDefault="00D652EB">
      <w:pPr>
        <w:spacing w:before="240" w:after="240" w:line="360" w:lineRule="auto"/>
        <w:jc w:val="both"/>
        <w:rPr>
          <w:rFonts w:ascii="Palatino Linotype" w:eastAsia="Palatino Linotype" w:hAnsi="Palatino Linotype" w:cs="Palatino Linotype"/>
        </w:rPr>
      </w:pPr>
    </w:p>
    <w:p w14:paraId="12AE5CD2" w14:textId="77777777" w:rsidR="00D652EB" w:rsidRDefault="00D652EB">
      <w:pPr>
        <w:spacing w:before="240" w:after="240" w:line="360" w:lineRule="auto"/>
        <w:jc w:val="both"/>
        <w:rPr>
          <w:rFonts w:ascii="Palatino Linotype" w:eastAsia="Palatino Linotype" w:hAnsi="Palatino Linotype" w:cs="Palatino Linotype"/>
        </w:rPr>
      </w:pPr>
    </w:p>
    <w:p w14:paraId="0FFCFC4D" w14:textId="77777777" w:rsidR="00D652EB" w:rsidRDefault="00D652EB">
      <w:pPr>
        <w:spacing w:before="240" w:after="240" w:line="360" w:lineRule="auto"/>
        <w:jc w:val="both"/>
        <w:rPr>
          <w:rFonts w:ascii="Palatino Linotype" w:eastAsia="Palatino Linotype" w:hAnsi="Palatino Linotype" w:cs="Palatino Linotype"/>
        </w:rPr>
      </w:pPr>
    </w:p>
    <w:p w14:paraId="674888AD" w14:textId="77777777" w:rsidR="00D652EB" w:rsidRDefault="00D652EB">
      <w:pPr>
        <w:spacing w:before="240" w:after="240" w:line="360" w:lineRule="auto"/>
        <w:jc w:val="both"/>
        <w:rPr>
          <w:rFonts w:ascii="Palatino Linotype" w:eastAsia="Palatino Linotype" w:hAnsi="Palatino Linotype" w:cs="Palatino Linotype"/>
        </w:rPr>
      </w:pPr>
    </w:p>
    <w:p w14:paraId="57AB1436" w14:textId="77777777" w:rsidR="00D652EB" w:rsidRDefault="00D652EB">
      <w:pPr>
        <w:spacing w:before="240" w:after="240" w:line="360" w:lineRule="auto"/>
        <w:jc w:val="both"/>
        <w:rPr>
          <w:rFonts w:ascii="Palatino Linotype" w:eastAsia="Palatino Linotype" w:hAnsi="Palatino Linotype" w:cs="Palatino Linotype"/>
        </w:rPr>
      </w:pPr>
    </w:p>
    <w:p w14:paraId="1BDEA375" w14:textId="77777777" w:rsidR="00D652EB" w:rsidRDefault="00D652EB">
      <w:pPr>
        <w:spacing w:before="240" w:after="240" w:line="360" w:lineRule="auto"/>
        <w:jc w:val="both"/>
        <w:rPr>
          <w:rFonts w:ascii="Palatino Linotype" w:eastAsia="Palatino Linotype" w:hAnsi="Palatino Linotype" w:cs="Palatino Linotype"/>
        </w:rPr>
      </w:pPr>
    </w:p>
    <w:p w14:paraId="4E4BA1E8" w14:textId="77777777" w:rsidR="00D652EB" w:rsidRDefault="00D652EB">
      <w:pPr>
        <w:spacing w:before="240" w:after="240" w:line="360" w:lineRule="auto"/>
        <w:jc w:val="both"/>
        <w:rPr>
          <w:rFonts w:ascii="Palatino Linotype" w:eastAsia="Palatino Linotype" w:hAnsi="Palatino Linotype" w:cs="Palatino Linotype"/>
        </w:rPr>
      </w:pPr>
    </w:p>
    <w:p w14:paraId="7DFBA44E" w14:textId="77777777" w:rsidR="00D652EB" w:rsidRDefault="00D652EB">
      <w:pPr>
        <w:spacing w:before="240" w:after="240" w:line="360" w:lineRule="auto"/>
        <w:jc w:val="both"/>
        <w:rPr>
          <w:rFonts w:ascii="Palatino Linotype" w:eastAsia="Palatino Linotype" w:hAnsi="Palatino Linotype" w:cs="Palatino Linotype"/>
        </w:rPr>
      </w:pPr>
    </w:p>
    <w:p w14:paraId="2C377000" w14:textId="77777777" w:rsidR="00D652EB" w:rsidRDefault="00D652EB">
      <w:pPr>
        <w:spacing w:before="240" w:after="240" w:line="360" w:lineRule="auto"/>
        <w:jc w:val="both"/>
        <w:rPr>
          <w:rFonts w:ascii="Palatino Linotype" w:eastAsia="Palatino Linotype" w:hAnsi="Palatino Linotype" w:cs="Palatino Linotype"/>
        </w:rPr>
      </w:pPr>
    </w:p>
    <w:p w14:paraId="25DA60E1" w14:textId="39DB46C9" w:rsidR="004C6C59" w:rsidRDefault="00646D2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sectPr w:rsidR="004C6C59">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C634" w14:textId="77777777" w:rsidR="002D5E60" w:rsidRDefault="002D5E60">
      <w:r>
        <w:separator/>
      </w:r>
    </w:p>
  </w:endnote>
  <w:endnote w:type="continuationSeparator" w:id="0">
    <w:p w14:paraId="04CA8453" w14:textId="77777777" w:rsidR="002D5E60" w:rsidRDefault="002D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90DF" w14:textId="389740A6" w:rsidR="00986EFE" w:rsidRDefault="00986E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5CD2">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5CD2">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277183B2" w14:textId="77777777" w:rsidR="00986EFE" w:rsidRDefault="00986EF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B73E" w14:textId="4D7C3A0F" w:rsidR="00986EFE" w:rsidRDefault="00986E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5CD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5CD2">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5AECA043" w14:textId="77777777" w:rsidR="00986EFE" w:rsidRDefault="00986EF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C0B2" w14:textId="77777777" w:rsidR="002D5E60" w:rsidRDefault="002D5E60">
      <w:r>
        <w:separator/>
      </w:r>
    </w:p>
  </w:footnote>
  <w:footnote w:type="continuationSeparator" w:id="0">
    <w:p w14:paraId="45119497" w14:textId="77777777" w:rsidR="002D5E60" w:rsidRDefault="002D5E60">
      <w:r>
        <w:continuationSeparator/>
      </w:r>
    </w:p>
  </w:footnote>
  <w:footnote w:id="1">
    <w:p w14:paraId="0D076F41" w14:textId="77777777" w:rsidR="00D87C0D" w:rsidRDefault="00D87C0D" w:rsidP="00D87C0D">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7143D22C" w14:textId="77777777" w:rsidR="00D87C0D" w:rsidRDefault="00D87C0D" w:rsidP="00D87C0D">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45ED" w14:textId="77777777" w:rsidR="00986EFE" w:rsidRDefault="00986EF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687C2D9" wp14:editId="314AED0E">
          <wp:simplePos x="0" y="0"/>
          <wp:positionH relativeFrom="column">
            <wp:posOffset>-1080133</wp:posOffset>
          </wp:positionH>
          <wp:positionV relativeFrom="paragraph">
            <wp:posOffset>-488313</wp:posOffset>
          </wp:positionV>
          <wp:extent cx="7809865" cy="10165715"/>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986EFE" w14:paraId="2AF37B0A" w14:textId="77777777">
      <w:tc>
        <w:tcPr>
          <w:tcW w:w="2489" w:type="dxa"/>
          <w:shd w:val="clear" w:color="auto" w:fill="auto"/>
        </w:tcPr>
        <w:p w14:paraId="1B7F868B" w14:textId="77777777" w:rsidR="00986EFE" w:rsidRDefault="00986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6594D34" w14:textId="77777777" w:rsidR="00986EFE" w:rsidRDefault="0027629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07904</w:t>
          </w:r>
          <w:r w:rsidR="00986EFE">
            <w:rPr>
              <w:rFonts w:ascii="Palatino Linotype" w:eastAsia="Palatino Linotype" w:hAnsi="Palatino Linotype" w:cs="Palatino Linotype"/>
              <w:b/>
              <w:sz w:val="22"/>
              <w:szCs w:val="22"/>
            </w:rPr>
            <w:t>/INFOEM/IP/RR/2023</w:t>
          </w:r>
        </w:p>
      </w:tc>
    </w:tr>
    <w:tr w:rsidR="00986EFE" w14:paraId="4E455A5F" w14:textId="77777777">
      <w:trPr>
        <w:trHeight w:val="228"/>
      </w:trPr>
      <w:tc>
        <w:tcPr>
          <w:tcW w:w="2489" w:type="dxa"/>
          <w:shd w:val="clear" w:color="auto" w:fill="auto"/>
          <w:vAlign w:val="center"/>
        </w:tcPr>
        <w:p w14:paraId="59C3FC7B" w14:textId="77777777" w:rsidR="00986EFE" w:rsidRDefault="00986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EB9F052" w14:textId="77777777" w:rsidR="00986EFE" w:rsidRDefault="00986EFE" w:rsidP="00AA3729">
          <w:pPr>
            <w:ind w:right="310"/>
            <w:jc w:val="both"/>
            <w:rPr>
              <w:rFonts w:ascii="Palatino Linotype" w:eastAsia="Palatino Linotype" w:hAnsi="Palatino Linotype" w:cs="Palatino Linotype"/>
              <w:b/>
              <w:sz w:val="22"/>
              <w:szCs w:val="22"/>
            </w:rPr>
          </w:pPr>
          <w:r w:rsidRPr="001B5330">
            <w:rPr>
              <w:rFonts w:ascii="Palatino Linotype" w:eastAsia="Palatino Linotype" w:hAnsi="Palatino Linotype" w:cs="Palatino Linotype"/>
              <w:b/>
              <w:sz w:val="22"/>
              <w:szCs w:val="22"/>
            </w:rPr>
            <w:t>Centro de Conciliación Laboral del Estado de México</w:t>
          </w:r>
          <w:r>
            <w:rPr>
              <w:rFonts w:ascii="Palatino Linotype" w:eastAsia="Palatino Linotype" w:hAnsi="Palatino Linotype" w:cs="Palatino Linotype"/>
              <w:b/>
              <w:sz w:val="22"/>
              <w:szCs w:val="22"/>
            </w:rPr>
            <w:t>.</w:t>
          </w:r>
        </w:p>
      </w:tc>
    </w:tr>
    <w:tr w:rsidR="00986EFE" w14:paraId="2964D7FF" w14:textId="77777777">
      <w:tc>
        <w:tcPr>
          <w:tcW w:w="2489" w:type="dxa"/>
          <w:shd w:val="clear" w:color="auto" w:fill="auto"/>
          <w:vAlign w:val="center"/>
        </w:tcPr>
        <w:p w14:paraId="55A8CD85" w14:textId="77777777" w:rsidR="00986EFE" w:rsidRDefault="00986EF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7E14D72" w14:textId="77777777" w:rsidR="00986EFE" w:rsidRDefault="00986E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CBF135A" w14:textId="77777777" w:rsidR="00986EFE" w:rsidRDefault="00986EF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A513" w14:textId="77777777" w:rsidR="00986EFE" w:rsidRDefault="00986EF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3"/>
      <w:tblW w:w="5670" w:type="dxa"/>
      <w:tblInd w:w="3261" w:type="dxa"/>
      <w:tblLayout w:type="fixed"/>
      <w:tblLook w:val="0400" w:firstRow="0" w:lastRow="0" w:firstColumn="0" w:lastColumn="0" w:noHBand="0" w:noVBand="1"/>
    </w:tblPr>
    <w:tblGrid>
      <w:gridCol w:w="2551"/>
      <w:gridCol w:w="3119"/>
    </w:tblGrid>
    <w:tr w:rsidR="00986EFE" w14:paraId="0D850141" w14:textId="77777777">
      <w:tc>
        <w:tcPr>
          <w:tcW w:w="2551" w:type="dxa"/>
          <w:shd w:val="clear" w:color="auto" w:fill="auto"/>
          <w:vAlign w:val="center"/>
        </w:tcPr>
        <w:p w14:paraId="4C19B56D" w14:textId="77777777" w:rsidR="00986EFE" w:rsidRDefault="00986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151E32D" w14:textId="77777777" w:rsidR="00986EFE" w:rsidRDefault="0027629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07904</w:t>
          </w:r>
          <w:r w:rsidR="00986EFE">
            <w:rPr>
              <w:rFonts w:ascii="Palatino Linotype" w:eastAsia="Palatino Linotype" w:hAnsi="Palatino Linotype" w:cs="Palatino Linotype"/>
              <w:b/>
              <w:sz w:val="22"/>
              <w:szCs w:val="22"/>
            </w:rPr>
            <w:t>/INFOEM/IP/RR/2023</w:t>
          </w:r>
        </w:p>
      </w:tc>
    </w:tr>
    <w:tr w:rsidR="00986EFE" w14:paraId="6CC1C1D2" w14:textId="77777777">
      <w:trPr>
        <w:trHeight w:val="130"/>
      </w:trPr>
      <w:tc>
        <w:tcPr>
          <w:tcW w:w="2551" w:type="dxa"/>
          <w:shd w:val="clear" w:color="auto" w:fill="auto"/>
          <w:vAlign w:val="center"/>
        </w:tcPr>
        <w:p w14:paraId="428DCE2A" w14:textId="77777777" w:rsidR="00986EFE" w:rsidRDefault="00986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52AF9E6" w14:textId="0422A144" w:rsidR="00986EFE" w:rsidRPr="008C3030" w:rsidRDefault="00694EB1" w:rsidP="001B533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XXXXXXXXX XXXXXXXX XXXX</w:t>
          </w:r>
        </w:p>
      </w:tc>
    </w:tr>
    <w:tr w:rsidR="00986EFE" w14:paraId="5107C713" w14:textId="77777777">
      <w:trPr>
        <w:trHeight w:val="228"/>
      </w:trPr>
      <w:tc>
        <w:tcPr>
          <w:tcW w:w="2551" w:type="dxa"/>
          <w:shd w:val="clear" w:color="auto" w:fill="auto"/>
          <w:vAlign w:val="center"/>
        </w:tcPr>
        <w:p w14:paraId="60358A40" w14:textId="77777777" w:rsidR="00986EFE" w:rsidRDefault="00986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105A7EC" w14:textId="77777777" w:rsidR="00986EFE" w:rsidRPr="008C3030" w:rsidRDefault="00986EFE" w:rsidP="001B5330">
          <w:pPr>
            <w:tabs>
              <w:tab w:val="left" w:pos="3153"/>
            </w:tabs>
            <w:ind w:left="-45"/>
            <w:jc w:val="both"/>
            <w:rPr>
              <w:rFonts w:ascii="Palatino Linotype" w:eastAsia="Palatino Linotype" w:hAnsi="Palatino Linotype" w:cs="Palatino Linotype"/>
              <w:b/>
              <w:sz w:val="22"/>
              <w:szCs w:val="22"/>
            </w:rPr>
          </w:pPr>
          <w:r w:rsidRPr="001B5330">
            <w:rPr>
              <w:rFonts w:ascii="Palatino Linotype" w:eastAsia="Palatino Linotype" w:hAnsi="Palatino Linotype" w:cs="Palatino Linotype"/>
              <w:b/>
              <w:sz w:val="22"/>
              <w:szCs w:val="22"/>
            </w:rPr>
            <w:t>Centro de Conciliación Laboral del Estado de México</w:t>
          </w:r>
          <w:r>
            <w:rPr>
              <w:rFonts w:ascii="Palatino Linotype" w:eastAsia="Palatino Linotype" w:hAnsi="Palatino Linotype" w:cs="Palatino Linotype"/>
              <w:b/>
              <w:sz w:val="22"/>
              <w:szCs w:val="22"/>
            </w:rPr>
            <w:t>.</w:t>
          </w:r>
        </w:p>
      </w:tc>
    </w:tr>
    <w:tr w:rsidR="00986EFE" w14:paraId="7ED15244" w14:textId="77777777">
      <w:tc>
        <w:tcPr>
          <w:tcW w:w="2551" w:type="dxa"/>
          <w:shd w:val="clear" w:color="auto" w:fill="auto"/>
          <w:vAlign w:val="center"/>
        </w:tcPr>
        <w:p w14:paraId="326D028A" w14:textId="77777777" w:rsidR="00986EFE" w:rsidRDefault="00986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B0736E3" w14:textId="77777777" w:rsidR="00986EFE" w:rsidRDefault="00986EF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F4DF68F" w14:textId="77777777" w:rsidR="00986EFE" w:rsidRDefault="00986EFE">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2274ECFB" wp14:editId="7AB42A2E">
          <wp:simplePos x="0" y="0"/>
          <wp:positionH relativeFrom="column">
            <wp:posOffset>-1089658</wp:posOffset>
          </wp:positionH>
          <wp:positionV relativeFrom="paragraph">
            <wp:posOffset>-1169668</wp:posOffset>
          </wp:positionV>
          <wp:extent cx="7809865" cy="10165715"/>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5E4"/>
    <w:multiLevelType w:val="hybridMultilevel"/>
    <w:tmpl w:val="3522B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0100B8"/>
    <w:multiLevelType w:val="hybridMultilevel"/>
    <w:tmpl w:val="7C9A90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82DEC"/>
    <w:multiLevelType w:val="hybridMultilevel"/>
    <w:tmpl w:val="05E2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516DA"/>
    <w:multiLevelType w:val="multilevel"/>
    <w:tmpl w:val="E1A057EC"/>
    <w:lvl w:ilvl="0">
      <w:start w:val="1"/>
      <w:numFmt w:val="lowerLetter"/>
      <w:lvlText w:val="%1)"/>
      <w:lvlJc w:val="left"/>
      <w:pPr>
        <w:ind w:left="1974" w:hanging="84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0891566B"/>
    <w:multiLevelType w:val="hybridMultilevel"/>
    <w:tmpl w:val="1F5A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F4B42"/>
    <w:multiLevelType w:val="multilevel"/>
    <w:tmpl w:val="C95C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452AD"/>
    <w:multiLevelType w:val="multilevel"/>
    <w:tmpl w:val="15EE8F14"/>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BEC7BA8"/>
    <w:multiLevelType w:val="hybridMultilevel"/>
    <w:tmpl w:val="3B721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C172C0"/>
    <w:multiLevelType w:val="multilevel"/>
    <w:tmpl w:val="E21022F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4F4FF0"/>
    <w:multiLevelType w:val="hybridMultilevel"/>
    <w:tmpl w:val="EEAE0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2812C6"/>
    <w:multiLevelType w:val="multilevel"/>
    <w:tmpl w:val="DB028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B271B8"/>
    <w:multiLevelType w:val="hybridMultilevel"/>
    <w:tmpl w:val="A182A4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BE2E7C"/>
    <w:multiLevelType w:val="hybridMultilevel"/>
    <w:tmpl w:val="A182A4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3168F6"/>
    <w:multiLevelType w:val="multilevel"/>
    <w:tmpl w:val="C73025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17B667CC"/>
    <w:multiLevelType w:val="hybridMultilevel"/>
    <w:tmpl w:val="A1E65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7C17D09"/>
    <w:multiLevelType w:val="hybridMultilevel"/>
    <w:tmpl w:val="3F1C5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86B67FE"/>
    <w:multiLevelType w:val="hybridMultilevel"/>
    <w:tmpl w:val="53D8E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D83579E"/>
    <w:multiLevelType w:val="hybridMultilevel"/>
    <w:tmpl w:val="27D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626114"/>
    <w:multiLevelType w:val="hybridMultilevel"/>
    <w:tmpl w:val="1848E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5F61524"/>
    <w:multiLevelType w:val="hybridMultilevel"/>
    <w:tmpl w:val="58C04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6430CEC"/>
    <w:multiLevelType w:val="hybridMultilevel"/>
    <w:tmpl w:val="A204E5BA"/>
    <w:lvl w:ilvl="0" w:tplc="5B30A7CA">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1" w15:restartNumberingAfterBreak="0">
    <w:nsid w:val="2C5B567C"/>
    <w:multiLevelType w:val="hybridMultilevel"/>
    <w:tmpl w:val="45204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F870D2"/>
    <w:multiLevelType w:val="hybridMultilevel"/>
    <w:tmpl w:val="1722DCC2"/>
    <w:lvl w:ilvl="0" w:tplc="7FC8972C">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3E05DF5"/>
    <w:multiLevelType w:val="multilevel"/>
    <w:tmpl w:val="B4DA8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FC3538"/>
    <w:multiLevelType w:val="hybridMultilevel"/>
    <w:tmpl w:val="E8628842"/>
    <w:lvl w:ilvl="0" w:tplc="55F87C02">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6" w15:restartNumberingAfterBreak="0">
    <w:nsid w:val="3A645C8A"/>
    <w:multiLevelType w:val="hybridMultilevel"/>
    <w:tmpl w:val="CF9A0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B1662B"/>
    <w:multiLevelType w:val="hybridMultilevel"/>
    <w:tmpl w:val="90D0E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3D57D7"/>
    <w:multiLevelType w:val="hybridMultilevel"/>
    <w:tmpl w:val="268626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93434A"/>
    <w:multiLevelType w:val="hybridMultilevel"/>
    <w:tmpl w:val="631EE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D14BD6"/>
    <w:multiLevelType w:val="hybridMultilevel"/>
    <w:tmpl w:val="4F34E6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F06075"/>
    <w:multiLevelType w:val="multilevel"/>
    <w:tmpl w:val="493CD5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B55890"/>
    <w:multiLevelType w:val="multilevel"/>
    <w:tmpl w:val="C3E0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20BA4"/>
    <w:multiLevelType w:val="hybridMultilevel"/>
    <w:tmpl w:val="9626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C30946"/>
    <w:multiLevelType w:val="multilevel"/>
    <w:tmpl w:val="C6C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5E1025"/>
    <w:multiLevelType w:val="hybridMultilevel"/>
    <w:tmpl w:val="9EB61B20"/>
    <w:lvl w:ilvl="0" w:tplc="5E4AC1C0">
      <w:start w:val="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3"/>
  </w:num>
  <w:num w:numId="2">
    <w:abstractNumId w:val="8"/>
  </w:num>
  <w:num w:numId="3">
    <w:abstractNumId w:val="5"/>
  </w:num>
  <w:num w:numId="4">
    <w:abstractNumId w:val="13"/>
  </w:num>
  <w:num w:numId="5">
    <w:abstractNumId w:val="20"/>
  </w:num>
  <w:num w:numId="6">
    <w:abstractNumId w:val="15"/>
  </w:num>
  <w:num w:numId="7">
    <w:abstractNumId w:val="34"/>
  </w:num>
  <w:num w:numId="8">
    <w:abstractNumId w:val="30"/>
  </w:num>
  <w:num w:numId="9">
    <w:abstractNumId w:val="22"/>
  </w:num>
  <w:num w:numId="10">
    <w:abstractNumId w:val="35"/>
  </w:num>
  <w:num w:numId="11">
    <w:abstractNumId w:val="2"/>
  </w:num>
  <w:num w:numId="12">
    <w:abstractNumId w:val="9"/>
  </w:num>
  <w:num w:numId="13">
    <w:abstractNumId w:val="21"/>
  </w:num>
  <w:num w:numId="14">
    <w:abstractNumId w:val="33"/>
  </w:num>
  <w:num w:numId="15">
    <w:abstractNumId w:val="17"/>
  </w:num>
  <w:num w:numId="16">
    <w:abstractNumId w:val="1"/>
  </w:num>
  <w:num w:numId="17">
    <w:abstractNumId w:val="7"/>
  </w:num>
  <w:num w:numId="18">
    <w:abstractNumId w:val="27"/>
  </w:num>
  <w:num w:numId="19">
    <w:abstractNumId w:val="31"/>
  </w:num>
  <w:num w:numId="20">
    <w:abstractNumId w:val="32"/>
  </w:num>
  <w:num w:numId="21">
    <w:abstractNumId w:val="19"/>
  </w:num>
  <w:num w:numId="22">
    <w:abstractNumId w:val="29"/>
  </w:num>
  <w:num w:numId="23">
    <w:abstractNumId w:val="16"/>
  </w:num>
  <w:num w:numId="24">
    <w:abstractNumId w:val="26"/>
  </w:num>
  <w:num w:numId="25">
    <w:abstractNumId w:val="0"/>
  </w:num>
  <w:num w:numId="26">
    <w:abstractNumId w:val="14"/>
  </w:num>
  <w:num w:numId="27">
    <w:abstractNumId w:val="24"/>
  </w:num>
  <w:num w:numId="28">
    <w:abstractNumId w:val="6"/>
  </w:num>
  <w:num w:numId="29">
    <w:abstractNumId w:val="4"/>
  </w:num>
  <w:num w:numId="30">
    <w:abstractNumId w:val="28"/>
  </w:num>
  <w:num w:numId="31">
    <w:abstractNumId w:val="12"/>
  </w:num>
  <w:num w:numId="32">
    <w:abstractNumId w:val="11"/>
  </w:num>
  <w:num w:numId="33">
    <w:abstractNumId w:val="10"/>
  </w:num>
  <w:num w:numId="34">
    <w:abstractNumId w:val="3"/>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59"/>
    <w:rsid w:val="000024B1"/>
    <w:rsid w:val="00014A16"/>
    <w:rsid w:val="00016EDE"/>
    <w:rsid w:val="00021D67"/>
    <w:rsid w:val="00022B42"/>
    <w:rsid w:val="00023440"/>
    <w:rsid w:val="000236B3"/>
    <w:rsid w:val="00030777"/>
    <w:rsid w:val="00033E2D"/>
    <w:rsid w:val="00043289"/>
    <w:rsid w:val="000459A7"/>
    <w:rsid w:val="00077657"/>
    <w:rsid w:val="000846C5"/>
    <w:rsid w:val="000A34CB"/>
    <w:rsid w:val="000E0F3C"/>
    <w:rsid w:val="000E3F03"/>
    <w:rsid w:val="000E4EB6"/>
    <w:rsid w:val="000F4B8F"/>
    <w:rsid w:val="00173EF0"/>
    <w:rsid w:val="0017691F"/>
    <w:rsid w:val="00182F68"/>
    <w:rsid w:val="001920C3"/>
    <w:rsid w:val="00195E06"/>
    <w:rsid w:val="001A3791"/>
    <w:rsid w:val="001A48D7"/>
    <w:rsid w:val="001B5330"/>
    <w:rsid w:val="001D314D"/>
    <w:rsid w:val="001E17B6"/>
    <w:rsid w:val="001F1BDC"/>
    <w:rsid w:val="001F35F0"/>
    <w:rsid w:val="00200BCB"/>
    <w:rsid w:val="00204417"/>
    <w:rsid w:val="002047BF"/>
    <w:rsid w:val="002455F7"/>
    <w:rsid w:val="00254C02"/>
    <w:rsid w:val="00271AF7"/>
    <w:rsid w:val="00274477"/>
    <w:rsid w:val="0027629D"/>
    <w:rsid w:val="002868FF"/>
    <w:rsid w:val="002912C5"/>
    <w:rsid w:val="002A74D8"/>
    <w:rsid w:val="002C6D9B"/>
    <w:rsid w:val="002D5E60"/>
    <w:rsid w:val="002E7DB9"/>
    <w:rsid w:val="002F309C"/>
    <w:rsid w:val="0031733B"/>
    <w:rsid w:val="00323FB3"/>
    <w:rsid w:val="00324EFB"/>
    <w:rsid w:val="00335B6F"/>
    <w:rsid w:val="00345B2B"/>
    <w:rsid w:val="003465BF"/>
    <w:rsid w:val="00351D6D"/>
    <w:rsid w:val="003735E1"/>
    <w:rsid w:val="003775B0"/>
    <w:rsid w:val="0039423F"/>
    <w:rsid w:val="003A1421"/>
    <w:rsid w:val="003A48A4"/>
    <w:rsid w:val="003B43BB"/>
    <w:rsid w:val="003B72B5"/>
    <w:rsid w:val="003E03EA"/>
    <w:rsid w:val="003E3FD2"/>
    <w:rsid w:val="003E6AAF"/>
    <w:rsid w:val="004274F0"/>
    <w:rsid w:val="004519DF"/>
    <w:rsid w:val="00471980"/>
    <w:rsid w:val="00492E77"/>
    <w:rsid w:val="00493F72"/>
    <w:rsid w:val="004A5CD2"/>
    <w:rsid w:val="004A6181"/>
    <w:rsid w:val="004B2BA0"/>
    <w:rsid w:val="004C6C59"/>
    <w:rsid w:val="004D1B38"/>
    <w:rsid w:val="004D1E1E"/>
    <w:rsid w:val="004D3F67"/>
    <w:rsid w:val="004D5672"/>
    <w:rsid w:val="004D78AD"/>
    <w:rsid w:val="004E3601"/>
    <w:rsid w:val="004F2FCC"/>
    <w:rsid w:val="004F343B"/>
    <w:rsid w:val="00501C65"/>
    <w:rsid w:val="005129BC"/>
    <w:rsid w:val="00517707"/>
    <w:rsid w:val="00522B36"/>
    <w:rsid w:val="00525880"/>
    <w:rsid w:val="005418C6"/>
    <w:rsid w:val="00542220"/>
    <w:rsid w:val="0055373E"/>
    <w:rsid w:val="00556539"/>
    <w:rsid w:val="00564F57"/>
    <w:rsid w:val="005667B6"/>
    <w:rsid w:val="00577A69"/>
    <w:rsid w:val="00584C02"/>
    <w:rsid w:val="005978AF"/>
    <w:rsid w:val="005A2541"/>
    <w:rsid w:val="005A25B0"/>
    <w:rsid w:val="005C3E2E"/>
    <w:rsid w:val="005C53FA"/>
    <w:rsid w:val="005E04E0"/>
    <w:rsid w:val="005E646D"/>
    <w:rsid w:val="005F24EC"/>
    <w:rsid w:val="005F4424"/>
    <w:rsid w:val="005F63F1"/>
    <w:rsid w:val="006035B0"/>
    <w:rsid w:val="00606AD1"/>
    <w:rsid w:val="00621B20"/>
    <w:rsid w:val="006311B6"/>
    <w:rsid w:val="0063491B"/>
    <w:rsid w:val="00634F4A"/>
    <w:rsid w:val="00646D29"/>
    <w:rsid w:val="00667BAB"/>
    <w:rsid w:val="00673D07"/>
    <w:rsid w:val="00674F83"/>
    <w:rsid w:val="00677C96"/>
    <w:rsid w:val="006846AF"/>
    <w:rsid w:val="00692974"/>
    <w:rsid w:val="006933F3"/>
    <w:rsid w:val="00694EB1"/>
    <w:rsid w:val="006B3F6A"/>
    <w:rsid w:val="006C7C55"/>
    <w:rsid w:val="006D38A0"/>
    <w:rsid w:val="006F0E69"/>
    <w:rsid w:val="006F29A1"/>
    <w:rsid w:val="006F456A"/>
    <w:rsid w:val="006F5CBC"/>
    <w:rsid w:val="006F73A1"/>
    <w:rsid w:val="0070128E"/>
    <w:rsid w:val="007160D1"/>
    <w:rsid w:val="00740453"/>
    <w:rsid w:val="00753451"/>
    <w:rsid w:val="007602BA"/>
    <w:rsid w:val="00767165"/>
    <w:rsid w:val="007776EE"/>
    <w:rsid w:val="0078722A"/>
    <w:rsid w:val="007B252E"/>
    <w:rsid w:val="007C22B0"/>
    <w:rsid w:val="007E5BC4"/>
    <w:rsid w:val="007E7C28"/>
    <w:rsid w:val="008047AE"/>
    <w:rsid w:val="0080491A"/>
    <w:rsid w:val="00804B40"/>
    <w:rsid w:val="0084453B"/>
    <w:rsid w:val="00853E22"/>
    <w:rsid w:val="00866D4C"/>
    <w:rsid w:val="00880A1A"/>
    <w:rsid w:val="00895C31"/>
    <w:rsid w:val="008B4B63"/>
    <w:rsid w:val="008C3030"/>
    <w:rsid w:val="008D0DF7"/>
    <w:rsid w:val="008F4563"/>
    <w:rsid w:val="008F49C6"/>
    <w:rsid w:val="008F7845"/>
    <w:rsid w:val="009065C3"/>
    <w:rsid w:val="0091104B"/>
    <w:rsid w:val="009142FD"/>
    <w:rsid w:val="00931AE2"/>
    <w:rsid w:val="00951E97"/>
    <w:rsid w:val="009528EC"/>
    <w:rsid w:val="00965809"/>
    <w:rsid w:val="0097262F"/>
    <w:rsid w:val="00986EFE"/>
    <w:rsid w:val="00990EBD"/>
    <w:rsid w:val="009A6655"/>
    <w:rsid w:val="009B1291"/>
    <w:rsid w:val="009B3657"/>
    <w:rsid w:val="009B6471"/>
    <w:rsid w:val="009C12D9"/>
    <w:rsid w:val="009F1899"/>
    <w:rsid w:val="00A04735"/>
    <w:rsid w:val="00A10588"/>
    <w:rsid w:val="00A1071B"/>
    <w:rsid w:val="00A1178B"/>
    <w:rsid w:val="00A22B99"/>
    <w:rsid w:val="00A432F2"/>
    <w:rsid w:val="00A56441"/>
    <w:rsid w:val="00A67513"/>
    <w:rsid w:val="00A96008"/>
    <w:rsid w:val="00A97947"/>
    <w:rsid w:val="00AA0AA4"/>
    <w:rsid w:val="00AA0BC1"/>
    <w:rsid w:val="00AA3729"/>
    <w:rsid w:val="00AA6B96"/>
    <w:rsid w:val="00AE4C8B"/>
    <w:rsid w:val="00AF1E71"/>
    <w:rsid w:val="00AF75D8"/>
    <w:rsid w:val="00B00995"/>
    <w:rsid w:val="00B1433B"/>
    <w:rsid w:val="00B454FF"/>
    <w:rsid w:val="00B6661A"/>
    <w:rsid w:val="00B917F5"/>
    <w:rsid w:val="00BA082A"/>
    <w:rsid w:val="00BC67DB"/>
    <w:rsid w:val="00BD038C"/>
    <w:rsid w:val="00BD36A2"/>
    <w:rsid w:val="00BE3D7F"/>
    <w:rsid w:val="00BF0EC9"/>
    <w:rsid w:val="00BF6512"/>
    <w:rsid w:val="00C02D28"/>
    <w:rsid w:val="00C20014"/>
    <w:rsid w:val="00C20086"/>
    <w:rsid w:val="00C33327"/>
    <w:rsid w:val="00C33837"/>
    <w:rsid w:val="00C52D07"/>
    <w:rsid w:val="00C71146"/>
    <w:rsid w:val="00C7536B"/>
    <w:rsid w:val="00C9067A"/>
    <w:rsid w:val="00C96154"/>
    <w:rsid w:val="00CA418C"/>
    <w:rsid w:val="00CB01D6"/>
    <w:rsid w:val="00CB2E18"/>
    <w:rsid w:val="00CF0EC6"/>
    <w:rsid w:val="00CF0FE7"/>
    <w:rsid w:val="00CF6098"/>
    <w:rsid w:val="00D000A1"/>
    <w:rsid w:val="00D073E6"/>
    <w:rsid w:val="00D20A7A"/>
    <w:rsid w:val="00D2726D"/>
    <w:rsid w:val="00D652EB"/>
    <w:rsid w:val="00D87C0D"/>
    <w:rsid w:val="00D93EC4"/>
    <w:rsid w:val="00DA67D9"/>
    <w:rsid w:val="00DB3C4C"/>
    <w:rsid w:val="00DC0E87"/>
    <w:rsid w:val="00DD0E2A"/>
    <w:rsid w:val="00DD57C2"/>
    <w:rsid w:val="00DE4910"/>
    <w:rsid w:val="00DE7925"/>
    <w:rsid w:val="00DF1ADA"/>
    <w:rsid w:val="00DF30CF"/>
    <w:rsid w:val="00DF3C4B"/>
    <w:rsid w:val="00DF4F8F"/>
    <w:rsid w:val="00E32F4D"/>
    <w:rsid w:val="00E75A65"/>
    <w:rsid w:val="00E80CEC"/>
    <w:rsid w:val="00EA66B8"/>
    <w:rsid w:val="00EA6FD7"/>
    <w:rsid w:val="00EB0ED3"/>
    <w:rsid w:val="00EC1E7B"/>
    <w:rsid w:val="00ED3AC4"/>
    <w:rsid w:val="00EE1408"/>
    <w:rsid w:val="00EF266E"/>
    <w:rsid w:val="00EF3AF5"/>
    <w:rsid w:val="00EF4781"/>
    <w:rsid w:val="00F02A5D"/>
    <w:rsid w:val="00F13201"/>
    <w:rsid w:val="00F34A79"/>
    <w:rsid w:val="00F34ABE"/>
    <w:rsid w:val="00F35AED"/>
    <w:rsid w:val="00F42A86"/>
    <w:rsid w:val="00F466FA"/>
    <w:rsid w:val="00F51334"/>
    <w:rsid w:val="00F57766"/>
    <w:rsid w:val="00F70B39"/>
    <w:rsid w:val="00F8031B"/>
    <w:rsid w:val="00F86E62"/>
    <w:rsid w:val="00F87600"/>
    <w:rsid w:val="00FA58BF"/>
    <w:rsid w:val="00FC4196"/>
    <w:rsid w:val="00FD290A"/>
    <w:rsid w:val="00FD5810"/>
    <w:rsid w:val="00FE6CFA"/>
    <w:rsid w:val="00FF0801"/>
    <w:rsid w:val="00FF2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13B7D"/>
  <w15:docId w15:val="{385B2884-E626-4283-B310-EA3E7C5A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7258">
      <w:bodyDiv w:val="1"/>
      <w:marLeft w:val="0"/>
      <w:marRight w:val="0"/>
      <w:marTop w:val="0"/>
      <w:marBottom w:val="0"/>
      <w:divBdr>
        <w:top w:val="none" w:sz="0" w:space="0" w:color="auto"/>
        <w:left w:val="none" w:sz="0" w:space="0" w:color="auto"/>
        <w:bottom w:val="none" w:sz="0" w:space="0" w:color="auto"/>
        <w:right w:val="none" w:sz="0" w:space="0" w:color="auto"/>
      </w:divBdr>
    </w:div>
    <w:div w:id="376514779">
      <w:bodyDiv w:val="1"/>
      <w:marLeft w:val="0"/>
      <w:marRight w:val="0"/>
      <w:marTop w:val="0"/>
      <w:marBottom w:val="0"/>
      <w:divBdr>
        <w:top w:val="none" w:sz="0" w:space="0" w:color="auto"/>
        <w:left w:val="none" w:sz="0" w:space="0" w:color="auto"/>
        <w:bottom w:val="none" w:sz="0" w:space="0" w:color="auto"/>
        <w:right w:val="none" w:sz="0" w:space="0" w:color="auto"/>
      </w:divBdr>
      <w:divsChild>
        <w:div w:id="769741877">
          <w:marLeft w:val="720"/>
          <w:marRight w:val="0"/>
          <w:marTop w:val="0"/>
          <w:marBottom w:val="101"/>
          <w:divBdr>
            <w:top w:val="none" w:sz="0" w:space="0" w:color="auto"/>
            <w:left w:val="none" w:sz="0" w:space="0" w:color="auto"/>
            <w:bottom w:val="none" w:sz="0" w:space="0" w:color="auto"/>
            <w:right w:val="none" w:sz="0" w:space="0" w:color="auto"/>
          </w:divBdr>
        </w:div>
        <w:div w:id="65886588">
          <w:marLeft w:val="720"/>
          <w:marRight w:val="0"/>
          <w:marTop w:val="0"/>
          <w:marBottom w:val="101"/>
          <w:divBdr>
            <w:top w:val="none" w:sz="0" w:space="0" w:color="auto"/>
            <w:left w:val="none" w:sz="0" w:space="0" w:color="auto"/>
            <w:bottom w:val="none" w:sz="0" w:space="0" w:color="auto"/>
            <w:right w:val="none" w:sz="0" w:space="0" w:color="auto"/>
          </w:divBdr>
        </w:div>
      </w:divsChild>
    </w:div>
    <w:div w:id="377629185">
      <w:bodyDiv w:val="1"/>
      <w:marLeft w:val="0"/>
      <w:marRight w:val="0"/>
      <w:marTop w:val="0"/>
      <w:marBottom w:val="0"/>
      <w:divBdr>
        <w:top w:val="none" w:sz="0" w:space="0" w:color="auto"/>
        <w:left w:val="none" w:sz="0" w:space="0" w:color="auto"/>
        <w:bottom w:val="none" w:sz="0" w:space="0" w:color="auto"/>
        <w:right w:val="none" w:sz="0" w:space="0" w:color="auto"/>
      </w:divBdr>
    </w:div>
    <w:div w:id="544410021">
      <w:bodyDiv w:val="1"/>
      <w:marLeft w:val="0"/>
      <w:marRight w:val="0"/>
      <w:marTop w:val="0"/>
      <w:marBottom w:val="0"/>
      <w:divBdr>
        <w:top w:val="none" w:sz="0" w:space="0" w:color="auto"/>
        <w:left w:val="none" w:sz="0" w:space="0" w:color="auto"/>
        <w:bottom w:val="none" w:sz="0" w:space="0" w:color="auto"/>
        <w:right w:val="none" w:sz="0" w:space="0" w:color="auto"/>
      </w:divBdr>
    </w:div>
    <w:div w:id="603420326">
      <w:bodyDiv w:val="1"/>
      <w:marLeft w:val="0"/>
      <w:marRight w:val="0"/>
      <w:marTop w:val="0"/>
      <w:marBottom w:val="0"/>
      <w:divBdr>
        <w:top w:val="none" w:sz="0" w:space="0" w:color="auto"/>
        <w:left w:val="none" w:sz="0" w:space="0" w:color="auto"/>
        <w:bottom w:val="none" w:sz="0" w:space="0" w:color="auto"/>
        <w:right w:val="none" w:sz="0" w:space="0" w:color="auto"/>
      </w:divBdr>
      <w:divsChild>
        <w:div w:id="1998653775">
          <w:marLeft w:val="0"/>
          <w:marRight w:val="0"/>
          <w:marTop w:val="0"/>
          <w:marBottom w:val="101"/>
          <w:divBdr>
            <w:top w:val="none" w:sz="0" w:space="0" w:color="auto"/>
            <w:left w:val="none" w:sz="0" w:space="0" w:color="auto"/>
            <w:bottom w:val="none" w:sz="0" w:space="0" w:color="auto"/>
            <w:right w:val="none" w:sz="0" w:space="0" w:color="auto"/>
          </w:divBdr>
        </w:div>
        <w:div w:id="571938765">
          <w:marLeft w:val="0"/>
          <w:marRight w:val="0"/>
          <w:marTop w:val="0"/>
          <w:marBottom w:val="101"/>
          <w:divBdr>
            <w:top w:val="none" w:sz="0" w:space="0" w:color="auto"/>
            <w:left w:val="none" w:sz="0" w:space="0" w:color="auto"/>
            <w:bottom w:val="none" w:sz="0" w:space="0" w:color="auto"/>
            <w:right w:val="none" w:sz="0" w:space="0" w:color="auto"/>
          </w:divBdr>
        </w:div>
      </w:divsChild>
    </w:div>
    <w:div w:id="843742734">
      <w:bodyDiv w:val="1"/>
      <w:marLeft w:val="0"/>
      <w:marRight w:val="0"/>
      <w:marTop w:val="0"/>
      <w:marBottom w:val="0"/>
      <w:divBdr>
        <w:top w:val="none" w:sz="0" w:space="0" w:color="auto"/>
        <w:left w:val="none" w:sz="0" w:space="0" w:color="auto"/>
        <w:bottom w:val="none" w:sz="0" w:space="0" w:color="auto"/>
        <w:right w:val="none" w:sz="0" w:space="0" w:color="auto"/>
      </w:divBdr>
    </w:div>
    <w:div w:id="1054736417">
      <w:bodyDiv w:val="1"/>
      <w:marLeft w:val="0"/>
      <w:marRight w:val="0"/>
      <w:marTop w:val="0"/>
      <w:marBottom w:val="0"/>
      <w:divBdr>
        <w:top w:val="none" w:sz="0" w:space="0" w:color="auto"/>
        <w:left w:val="none" w:sz="0" w:space="0" w:color="auto"/>
        <w:bottom w:val="none" w:sz="0" w:space="0" w:color="auto"/>
        <w:right w:val="none" w:sz="0" w:space="0" w:color="auto"/>
      </w:divBdr>
    </w:div>
    <w:div w:id="1401560061">
      <w:bodyDiv w:val="1"/>
      <w:marLeft w:val="0"/>
      <w:marRight w:val="0"/>
      <w:marTop w:val="0"/>
      <w:marBottom w:val="0"/>
      <w:divBdr>
        <w:top w:val="none" w:sz="0" w:space="0" w:color="auto"/>
        <w:left w:val="none" w:sz="0" w:space="0" w:color="auto"/>
        <w:bottom w:val="none" w:sz="0" w:space="0" w:color="auto"/>
        <w:right w:val="none" w:sz="0" w:space="0" w:color="auto"/>
      </w:divBdr>
    </w:div>
    <w:div w:id="184917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1966037.pag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aimex.org.mx/saimex/solicitud/downloadAttach/1933268.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ej7l2zcyK7/D5IlFEj9UIDY8+w==">AMUW2mWM0kkj8eLHo1K2CYCPDVTPSYsIzdW1NKhIpoUN2+oIlDKYA9GBLe/xkOPRNM9GMFypdepCCubWc0EE2YeRllhXdVCeoekwbtVyFvXQcY91gWZoYApLxfQ/L8d3Jyjv83T71CbCMwEOLvj0J5J0a0rR/Ci5nCDQeNpd6mZVEeyOQ90TCmE=</go:docsCustomData>
</go:gDocsCustomXmlDataStorage>
</file>

<file path=customXml/itemProps1.xml><?xml version="1.0" encoding="utf-8"?>
<ds:datastoreItem xmlns:ds="http://schemas.openxmlformats.org/officeDocument/2006/customXml" ds:itemID="{1467FB00-5F7F-4141-A851-035BD0C5EF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8338</Words>
  <Characters>45865</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54095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2024-04-05T20:35:00Z</cp:lastPrinted>
  <dcterms:created xsi:type="dcterms:W3CDTF">2024-04-29T18:38:00Z</dcterms:created>
  <dcterms:modified xsi:type="dcterms:W3CDTF">2024-04-29T18:38:00Z</dcterms:modified>
</cp:coreProperties>
</file>