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558D8" w14:textId="77777777" w:rsidR="006955D9" w:rsidRDefault="00627D1D">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sz w:val="22"/>
          <w:szCs w:val="22"/>
        </w:rPr>
        <w:t>veintiuno de agosto de dos mil veinticuatro</w:t>
      </w:r>
      <w:r>
        <w:rPr>
          <w:rFonts w:ascii="Palatino Linotype" w:eastAsia="Palatino Linotype" w:hAnsi="Palatino Linotype" w:cs="Palatino Linotype"/>
          <w:sz w:val="22"/>
          <w:szCs w:val="22"/>
        </w:rPr>
        <w:t xml:space="preserve">. </w:t>
      </w:r>
    </w:p>
    <w:p w14:paraId="4C5E48CF" w14:textId="016D2915" w:rsidR="006955D9" w:rsidRDefault="00627D1D">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Visto</w:t>
      </w:r>
      <w:r>
        <w:rPr>
          <w:rFonts w:ascii="Palatino Linotype" w:eastAsia="Palatino Linotype" w:hAnsi="Palatino Linotype" w:cs="Palatino Linotype"/>
          <w:sz w:val="22"/>
          <w:szCs w:val="22"/>
        </w:rPr>
        <w:t xml:space="preserve"> el expediente formado con motivo del recurso de revisión </w:t>
      </w:r>
      <w:r>
        <w:rPr>
          <w:rFonts w:ascii="Palatino Linotype" w:eastAsia="Palatino Linotype" w:hAnsi="Palatino Linotype" w:cs="Palatino Linotype"/>
          <w:b/>
          <w:sz w:val="22"/>
          <w:szCs w:val="22"/>
        </w:rPr>
        <w:t>00459/INFOEM/IP/RR/2024</w:t>
      </w:r>
      <w:r>
        <w:rPr>
          <w:rFonts w:ascii="Palatino Linotype" w:eastAsia="Palatino Linotype" w:hAnsi="Palatino Linotype" w:cs="Palatino Linotype"/>
          <w:sz w:val="22"/>
          <w:szCs w:val="22"/>
        </w:rPr>
        <w:t>, interpuesto por</w:t>
      </w:r>
      <w:r>
        <w:t xml:space="preserve"> </w:t>
      </w:r>
      <w:r w:rsidR="00B02D86">
        <w:rPr>
          <w:rFonts w:ascii="Palatino Linotype" w:eastAsia="Palatino Linotype" w:hAnsi="Palatino Linotype" w:cs="Palatino Linotype"/>
          <w:b/>
          <w:sz w:val="21"/>
          <w:szCs w:val="21"/>
        </w:rPr>
        <w:t>XXXX XXXXXXX XX XXXXXXXXX XX XXXXXXXXXX</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en lo sucesivo</w:t>
      </w:r>
      <w:r>
        <w:rPr>
          <w:rFonts w:ascii="Palatino Linotype" w:eastAsia="Palatino Linotype" w:hAnsi="Palatino Linotype" w:cs="Palatino Linotype"/>
          <w:b/>
          <w:sz w:val="22"/>
          <w:szCs w:val="22"/>
        </w:rPr>
        <w:t xml:space="preserve"> 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en contra de la respuesta a su solicitud por parte del </w:t>
      </w:r>
      <w:r>
        <w:rPr>
          <w:rFonts w:ascii="Palatino Linotype" w:eastAsia="Palatino Linotype" w:hAnsi="Palatino Linotype" w:cs="Palatino Linotype"/>
          <w:b/>
          <w:sz w:val="22"/>
          <w:szCs w:val="22"/>
        </w:rPr>
        <w:t>Sindicato de Maestros al Servicio del Estado de México</w:t>
      </w:r>
      <w:r>
        <w:rPr>
          <w:rFonts w:ascii="Palatino Linotype" w:eastAsia="Palatino Linotype" w:hAnsi="Palatino Linotype" w:cs="Palatino Linotype"/>
          <w:sz w:val="22"/>
          <w:szCs w:val="22"/>
        </w:rPr>
        <w:t>,</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en lo sucesivo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se procede a dictar la presente resolución con base en los siguientes: </w:t>
      </w:r>
    </w:p>
    <w:p w14:paraId="581C0E15" w14:textId="77777777" w:rsidR="006955D9" w:rsidRDefault="00627D1D">
      <w:pPr>
        <w:spacing w:before="240" w:after="240"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 A N T E C E D E N T E S</w:t>
      </w:r>
    </w:p>
    <w:p w14:paraId="47551026" w14:textId="77777777" w:rsidR="006955D9" w:rsidRDefault="00627D1D">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1. Solicitud de acceso a la información.</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sz w:val="22"/>
          <w:szCs w:val="22"/>
        </w:rPr>
        <w:t>dieciocho de enero de dos mil veinticuatro,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 xml:space="preserve">presentó, a través del Sistema de Acceso a la Información Mexiquense, en lo subsecuente el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xml:space="preserve"> ante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la solicitud de acceso a la información pública, a la que se le asignó el número</w:t>
      </w:r>
      <w:r>
        <w:t xml:space="preserve"> </w:t>
      </w:r>
      <w:r>
        <w:rPr>
          <w:rFonts w:ascii="Palatino Linotype" w:eastAsia="Palatino Linotype" w:hAnsi="Palatino Linotype" w:cs="Palatino Linotype"/>
          <w:b/>
          <w:sz w:val="22"/>
          <w:szCs w:val="22"/>
        </w:rPr>
        <w:t xml:space="preserve">00003/SMSEM/IP/2024, </w:t>
      </w:r>
      <w:r>
        <w:rPr>
          <w:rFonts w:ascii="Palatino Linotype" w:eastAsia="Palatino Linotype" w:hAnsi="Palatino Linotype" w:cs="Palatino Linotype"/>
          <w:sz w:val="22"/>
          <w:szCs w:val="22"/>
        </w:rPr>
        <w:t xml:space="preserve">mediante la cual requirió la información siguiente: </w:t>
      </w:r>
    </w:p>
    <w:p w14:paraId="25595773" w14:textId="77777777" w:rsidR="006955D9" w:rsidRDefault="00627D1D">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Pr>
          <w:rFonts w:ascii="Palatino Linotype" w:eastAsia="Palatino Linotype" w:hAnsi="Palatino Linotype" w:cs="Palatino Linotype"/>
          <w:i/>
          <w:sz w:val="22"/>
          <w:szCs w:val="22"/>
        </w:rPr>
        <w:t>“SOLICITO EL REGISGTRO O LISTADO DE SU</w:t>
      </w:r>
      <w:r>
        <w:rPr>
          <w:rFonts w:ascii="Palatino Linotype" w:eastAsia="Palatino Linotype" w:hAnsi="Palatino Linotype" w:cs="Palatino Linotype"/>
          <w:b/>
          <w:i/>
          <w:sz w:val="22"/>
          <w:szCs w:val="22"/>
          <w:u w:val="single"/>
        </w:rPr>
        <w:t xml:space="preserve"> ESTRUCTURA SINDICAL </w:t>
      </w:r>
      <w:r>
        <w:rPr>
          <w:rFonts w:ascii="Palatino Linotype" w:eastAsia="Palatino Linotype" w:hAnsi="Palatino Linotype" w:cs="Palatino Linotype"/>
          <w:i/>
          <w:sz w:val="22"/>
          <w:szCs w:val="22"/>
        </w:rPr>
        <w:t xml:space="preserve">EN EL MUNICIPIO DEL ORO, ESTADO DE MEXICO” (Sic) </w:t>
      </w:r>
    </w:p>
    <w:p w14:paraId="6F7CA1DA" w14:textId="77777777" w:rsidR="006955D9" w:rsidRDefault="00627D1D">
      <w:pPr>
        <w:spacing w:before="240" w:after="240" w:line="360" w:lineRule="auto"/>
        <w:ind w:right="902"/>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Modalidad de Entrega:</w:t>
      </w:r>
      <w:r>
        <w:rPr>
          <w:rFonts w:ascii="Palatino Linotype" w:eastAsia="Palatino Linotype" w:hAnsi="Palatino Linotype" w:cs="Palatino Linotype"/>
          <w:sz w:val="22"/>
          <w:szCs w:val="22"/>
        </w:rPr>
        <w:t xml:space="preserve"> a través </w:t>
      </w:r>
      <w:r>
        <w:rPr>
          <w:rFonts w:ascii="Palatino Linotype" w:eastAsia="Palatino Linotype" w:hAnsi="Palatino Linotype" w:cs="Palatino Linotype"/>
          <w:b/>
          <w:sz w:val="22"/>
          <w:szCs w:val="22"/>
        </w:rPr>
        <w:t>de SAIMEX.</w:t>
      </w:r>
    </w:p>
    <w:p w14:paraId="1B5A288D" w14:textId="77777777" w:rsidR="006955D9" w:rsidRDefault="00627D1D">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color w:val="000000"/>
          <w:sz w:val="22"/>
          <w:szCs w:val="22"/>
        </w:rPr>
      </w:pPr>
      <w:bookmarkStart w:id="2" w:name="_heading=h.3dy6vkm" w:colFirst="0" w:colLast="0"/>
      <w:bookmarkEnd w:id="2"/>
      <w:r>
        <w:rPr>
          <w:rFonts w:ascii="Palatino Linotype" w:eastAsia="Palatino Linotype" w:hAnsi="Palatino Linotype" w:cs="Palatino Linotype"/>
          <w:b/>
          <w:color w:val="000000"/>
          <w:sz w:val="22"/>
          <w:szCs w:val="22"/>
        </w:rPr>
        <w:t xml:space="preserve">2. Respuesta.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primero de febrero de dos mil veinticuatro</w:t>
      </w:r>
      <w:r>
        <w:rPr>
          <w:rFonts w:ascii="Palatino Linotype" w:eastAsia="Palatino Linotype" w:hAnsi="Palatino Linotype" w:cs="Palatino Linotype"/>
          <w:color w:val="000000"/>
          <w:sz w:val="22"/>
          <w:szCs w:val="22"/>
        </w:rPr>
        <w:t xml:space="preserve">, 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 xml:space="preserve">envió su respuesta a la solicitud de acceso a la información a través de SAIMEX, sustancialmente en los términos siguientes:   </w:t>
      </w:r>
    </w:p>
    <w:p w14:paraId="6CD2628A" w14:textId="77777777" w:rsidR="006955D9" w:rsidRDefault="00627D1D">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atención a su solicitud de acceso a la información, al respecto me permito adjuntar oficio de respuesta.” (Sic)</w:t>
      </w:r>
    </w:p>
    <w:p w14:paraId="5E1B469C" w14:textId="77777777" w:rsidR="006955D9" w:rsidRDefault="00627D1D">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Adjunto a la respuesta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aportó el archivo electrónico denominado “</w:t>
      </w:r>
      <w:r>
        <w:rPr>
          <w:rFonts w:ascii="Palatino Linotype" w:eastAsia="Palatino Linotype" w:hAnsi="Palatino Linotype" w:cs="Palatino Linotype"/>
          <w:b/>
          <w:i/>
          <w:sz w:val="22"/>
          <w:szCs w:val="22"/>
        </w:rPr>
        <w:t>SMSEM-UT-007-2024 Resp S-0003-2024.pdf</w:t>
      </w:r>
      <w:r>
        <w:rPr>
          <w:rFonts w:ascii="Palatino Linotype" w:eastAsia="Palatino Linotype" w:hAnsi="Palatino Linotype" w:cs="Palatino Linotype"/>
          <w:sz w:val="22"/>
          <w:szCs w:val="22"/>
        </w:rPr>
        <w:t>” que contiene la información siguiente:</w:t>
      </w:r>
    </w:p>
    <w:p w14:paraId="5770BFE3" w14:textId="77777777" w:rsidR="006955D9" w:rsidRDefault="00627D1D">
      <w:pPr>
        <w:numPr>
          <w:ilvl w:val="0"/>
          <w:numId w:val="1"/>
        </w:numPr>
        <w:pBdr>
          <w:top w:val="nil"/>
          <w:left w:val="nil"/>
          <w:bottom w:val="nil"/>
          <w:right w:val="nil"/>
          <w:between w:val="nil"/>
        </w:pBdr>
        <w:spacing w:before="240" w:line="276" w:lineRule="auto"/>
        <w:ind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Oficio número SMSEM/UT/007/2024 del treinta y uno de enero de dos mil veinticuatro, a través del cual el Responsable de la Unidad de Transparencia informó a la persona solicitante que una vez realizada la búsqueda exhaustiva y minuciosa de la información requerida, el Listado de la estructura del Sindicato de Maestros al Servicio del Estado de México, es información que le atribuye de manera exclusiva al SMSEM, ya que se constituye con el voto secreto de los agremiados, siendo en su totalidad asuntos internos de índole sindical que le atañen y son de interés exclusivo para los agremiados de ese sindicato y por tanto no son asuntos de interés público para terceros ajenos a la organización gremial.</w:t>
      </w:r>
    </w:p>
    <w:p w14:paraId="1B7E52EA" w14:textId="77777777" w:rsidR="006955D9" w:rsidRDefault="006955D9">
      <w:pPr>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14:paraId="583FA09D" w14:textId="77777777" w:rsidR="006955D9" w:rsidRDefault="00627D1D">
      <w:pPr>
        <w:pBdr>
          <w:top w:val="nil"/>
          <w:left w:val="nil"/>
          <w:bottom w:val="nil"/>
          <w:right w:val="nil"/>
          <w:between w:val="nil"/>
        </w:pBdr>
        <w:spacing w:after="240" w:line="276" w:lineRule="auto"/>
        <w:ind w:left="36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Asimismo, se indica que con relación al listado requerido no resulta factible garantizar su acceso por corresponder a las actividades internas de la organización sindical, de conformidad con los artículos 3 y 8 del Convenio Internacional del Trabajo número 87, relativo a la libertad sindical y a la protección del sindicato; 359 de la Ley Federal del Trabajo; y, 148 de la Ley del Trabajo de los Servidores Públicos del Estado y Municipios.</w:t>
      </w:r>
    </w:p>
    <w:p w14:paraId="1C019D6D" w14:textId="77777777" w:rsidR="006955D9" w:rsidRDefault="00627D1D">
      <w:pPr>
        <w:spacing w:before="240" w:after="240"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3. Interposición del recurso de revisión. </w:t>
      </w:r>
      <w:r>
        <w:rPr>
          <w:rFonts w:ascii="Palatino Linotype" w:eastAsia="Palatino Linotype" w:hAnsi="Palatino Linotype" w:cs="Palatino Linotype"/>
          <w:sz w:val="22"/>
          <w:szCs w:val="22"/>
        </w:rPr>
        <w:t xml:space="preserve">Inconforme con los términos de la respuesta emitida por parte 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el</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color w:val="000000"/>
          <w:sz w:val="22"/>
          <w:szCs w:val="22"/>
        </w:rPr>
        <w:t>dos de febrero de dos mil veinticuatro</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interpuso el recurso de revisión a través de </w:t>
      </w:r>
      <w:r>
        <w:rPr>
          <w:rFonts w:ascii="Palatino Linotype" w:eastAsia="Palatino Linotype" w:hAnsi="Palatino Linotype" w:cs="Palatino Linotype"/>
          <w:b/>
          <w:sz w:val="22"/>
          <w:szCs w:val="22"/>
        </w:rPr>
        <w:t xml:space="preserve">SAIMEX, </w:t>
      </w:r>
      <w:r>
        <w:rPr>
          <w:rFonts w:ascii="Palatino Linotype" w:eastAsia="Palatino Linotype" w:hAnsi="Palatino Linotype" w:cs="Palatino Linotype"/>
          <w:sz w:val="22"/>
          <w:szCs w:val="22"/>
        </w:rPr>
        <w:t>en donde se manifestó de la siguiente manera:</w:t>
      </w:r>
    </w:p>
    <w:p w14:paraId="050111C7" w14:textId="77777777" w:rsidR="006955D9" w:rsidRDefault="00627D1D">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 Acto impugnado: </w:t>
      </w:r>
      <w:r>
        <w:rPr>
          <w:rFonts w:ascii="Palatino Linotype" w:eastAsia="Palatino Linotype" w:hAnsi="Palatino Linotype" w:cs="Palatino Linotype"/>
          <w:i/>
          <w:sz w:val="22"/>
          <w:szCs w:val="22"/>
        </w:rPr>
        <w:t>“La respuesta del sujeto obligado” (Sic)</w:t>
      </w:r>
    </w:p>
    <w:p w14:paraId="1513B518" w14:textId="77777777" w:rsidR="006955D9" w:rsidRDefault="00627D1D">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Pr>
          <w:rFonts w:ascii="Palatino Linotype" w:eastAsia="Palatino Linotype" w:hAnsi="Palatino Linotype" w:cs="Palatino Linotype"/>
          <w:b/>
          <w:sz w:val="22"/>
          <w:szCs w:val="22"/>
        </w:rPr>
        <w:t>b) Razones o motivos de inconformidad</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“ESTO YA QUE LA ESTRUCTURA FUNCIONA EN SU OPERACION CON EL FIUNANCIAMIENTO, Y POR TANTO, MATERIALMENTE ES EL REFLEJO DE LO INVERTIDO” (Sic)</w:t>
      </w:r>
    </w:p>
    <w:p w14:paraId="30171D3B" w14:textId="77777777" w:rsidR="006955D9" w:rsidRDefault="006955D9">
      <w:pPr>
        <w:spacing w:line="276" w:lineRule="auto"/>
        <w:ind w:left="567" w:right="900"/>
        <w:jc w:val="both"/>
        <w:rPr>
          <w:rFonts w:ascii="Palatino Linotype" w:eastAsia="Palatino Linotype" w:hAnsi="Palatino Linotype" w:cs="Palatino Linotype"/>
          <w:i/>
          <w:sz w:val="22"/>
          <w:szCs w:val="22"/>
        </w:rPr>
      </w:pPr>
    </w:p>
    <w:p w14:paraId="01C92D2A" w14:textId="77777777" w:rsidR="006955D9" w:rsidRDefault="00627D1D">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 xml:space="preserve">4. Turno. </w:t>
      </w:r>
      <w:r>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2"/>
          <w:szCs w:val="22"/>
        </w:rPr>
        <w:t xml:space="preserve">Guadalupe Ramírez Peña, </w:t>
      </w:r>
      <w:r>
        <w:rPr>
          <w:rFonts w:ascii="Palatino Linotype" w:eastAsia="Palatino Linotype" w:hAnsi="Palatino Linotype" w:cs="Palatino Linotype"/>
          <w:sz w:val="22"/>
          <w:szCs w:val="22"/>
        </w:rPr>
        <w:t>a efecto de que analizara sobre su admisión o su desechamiento.</w:t>
      </w:r>
    </w:p>
    <w:p w14:paraId="1DD657BC" w14:textId="77777777" w:rsidR="006955D9" w:rsidRDefault="006955D9">
      <w:pPr>
        <w:spacing w:line="360" w:lineRule="auto"/>
        <w:ind w:right="51"/>
        <w:jc w:val="both"/>
        <w:rPr>
          <w:rFonts w:ascii="Palatino Linotype" w:eastAsia="Palatino Linotype" w:hAnsi="Palatino Linotype" w:cs="Palatino Linotype"/>
          <w:sz w:val="22"/>
          <w:szCs w:val="22"/>
        </w:rPr>
      </w:pPr>
    </w:p>
    <w:p w14:paraId="42F098F9"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5. Admisión del Recurso de revisión.</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sz w:val="22"/>
          <w:szCs w:val="22"/>
        </w:rPr>
        <w:t xml:space="preserve">ocho de febrero de dos mil veinticuatro, </w:t>
      </w:r>
      <w:r>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presentara su informe justificado.</w:t>
      </w:r>
    </w:p>
    <w:p w14:paraId="2329527D" w14:textId="77777777" w:rsidR="006955D9" w:rsidRDefault="006955D9">
      <w:pPr>
        <w:spacing w:line="360" w:lineRule="auto"/>
        <w:jc w:val="both"/>
        <w:rPr>
          <w:rFonts w:ascii="Palatino Linotype" w:eastAsia="Palatino Linotype" w:hAnsi="Palatino Linotype" w:cs="Palatino Linotype"/>
          <w:sz w:val="22"/>
          <w:szCs w:val="22"/>
        </w:rPr>
      </w:pPr>
    </w:p>
    <w:p w14:paraId="034E4A93" w14:textId="77777777" w:rsidR="006955D9" w:rsidRDefault="00627D1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bookmarkStart w:id="4" w:name="_heading=h.2s8eyo1" w:colFirst="0" w:colLast="0"/>
      <w:bookmarkEnd w:id="4"/>
      <w:r>
        <w:rPr>
          <w:rFonts w:ascii="Palatino Linotype" w:eastAsia="Palatino Linotype" w:hAnsi="Palatino Linotype" w:cs="Palatino Linotype"/>
          <w:b/>
          <w:sz w:val="22"/>
          <w:szCs w:val="22"/>
        </w:rPr>
        <w:t>6. Manifestaciones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00000"/>
          <w:sz w:val="22"/>
          <w:szCs w:val="22"/>
        </w:rPr>
        <w:t xml:space="preserve">De las constancias que integran el expediente en que se actúa se advierte que durante el periodo de manifestaciones, 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el dieciséis de febrero de dos mil veinticuatro rindió su informe justificado a través del archivo denominado “</w:t>
      </w:r>
      <w:r>
        <w:rPr>
          <w:rFonts w:ascii="Palatino Linotype" w:eastAsia="Palatino Linotype" w:hAnsi="Palatino Linotype" w:cs="Palatino Linotype"/>
          <w:b/>
          <w:i/>
          <w:color w:val="000000"/>
          <w:sz w:val="22"/>
          <w:szCs w:val="22"/>
        </w:rPr>
        <w:t>SMSEM-UT-014-2024 Informe de Justificación RR-00459-2024.pdf</w:t>
      </w:r>
      <w:r>
        <w:rPr>
          <w:rFonts w:ascii="Palatino Linotype" w:eastAsia="Palatino Linotype" w:hAnsi="Palatino Linotype" w:cs="Palatino Linotype"/>
          <w:color w:val="000000"/>
          <w:sz w:val="22"/>
          <w:szCs w:val="22"/>
        </w:rPr>
        <w:t>” que contiene la siguiente información:</w:t>
      </w:r>
    </w:p>
    <w:p w14:paraId="6D8F8F9D" w14:textId="77777777" w:rsidR="006955D9" w:rsidRDefault="006955D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37856C4E" w14:textId="77777777" w:rsidR="006955D9" w:rsidRDefault="00627D1D">
      <w:pPr>
        <w:numPr>
          <w:ilvl w:val="0"/>
          <w:numId w:val="1"/>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SMSEM/UT/014/2024 del dieciséis de febrero de dos mil veinticuatro, a través del cual el Responsable de la Unidad de Transparencia rinde informe justificado dentro del medio de impugnación que nos ocupa, medularmente ratificando la respuesta inicial, ya que la Secretar</w:t>
      </w:r>
      <w:r>
        <w:rPr>
          <w:rFonts w:ascii="Palatino Linotype" w:eastAsia="Palatino Linotype" w:hAnsi="Palatino Linotype" w:cs="Palatino Linotype"/>
          <w:sz w:val="22"/>
          <w:szCs w:val="22"/>
        </w:rPr>
        <w:t>í</w:t>
      </w:r>
      <w:r>
        <w:rPr>
          <w:rFonts w:ascii="Palatino Linotype" w:eastAsia="Palatino Linotype" w:hAnsi="Palatino Linotype" w:cs="Palatino Linotype"/>
          <w:color w:val="000000"/>
          <w:sz w:val="22"/>
          <w:szCs w:val="22"/>
        </w:rPr>
        <w:t>a de Organización I, como funcionaria sindical habilitada refirió que la información es de interés e impacto sindical y de manera exclusiva para los agremiados, por no ser información que involucre el ejercicio de recursos públicos ni actos de autoridad que sean del conocimiento de la sociedad que no forme parte del sindicato.</w:t>
      </w:r>
    </w:p>
    <w:p w14:paraId="1498B6E4" w14:textId="77777777" w:rsidR="006955D9" w:rsidRDefault="006955D9">
      <w:pPr>
        <w:pBdr>
          <w:top w:val="nil"/>
          <w:left w:val="nil"/>
          <w:bottom w:val="nil"/>
          <w:right w:val="nil"/>
          <w:between w:val="nil"/>
        </w:pBdr>
        <w:tabs>
          <w:tab w:val="left" w:pos="426"/>
        </w:tabs>
        <w:spacing w:line="276" w:lineRule="auto"/>
        <w:ind w:left="360" w:right="49"/>
        <w:jc w:val="both"/>
        <w:rPr>
          <w:rFonts w:ascii="Palatino Linotype" w:eastAsia="Palatino Linotype" w:hAnsi="Palatino Linotype" w:cs="Palatino Linotype"/>
          <w:sz w:val="22"/>
          <w:szCs w:val="22"/>
        </w:rPr>
      </w:pPr>
    </w:p>
    <w:p w14:paraId="41AD1867" w14:textId="77777777" w:rsidR="006955D9" w:rsidRDefault="00627D1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Documento que se puso a la vista de la parte </w:t>
      </w:r>
      <w:r>
        <w:rPr>
          <w:rFonts w:ascii="Palatino Linotype" w:eastAsia="Palatino Linotype" w:hAnsi="Palatino Linotype" w:cs="Palatino Linotype"/>
          <w:b/>
          <w:color w:val="000000"/>
          <w:sz w:val="22"/>
          <w:szCs w:val="22"/>
        </w:rPr>
        <w:t xml:space="preserve">Recurrente </w:t>
      </w:r>
      <w:r>
        <w:rPr>
          <w:rFonts w:ascii="Palatino Linotype" w:eastAsia="Palatino Linotype" w:hAnsi="Palatino Linotype" w:cs="Palatino Linotype"/>
          <w:color w:val="000000"/>
          <w:sz w:val="22"/>
          <w:szCs w:val="22"/>
        </w:rPr>
        <w:t>para efecto de que hiciera valer manifestaciones o rindiera alegatos que conforme a derecho resultaran convenientes; no obstante, fue omisa en ejercer dicha prerrogativa.</w:t>
      </w:r>
    </w:p>
    <w:p w14:paraId="288DFD83" w14:textId="77777777" w:rsidR="006955D9" w:rsidRDefault="006955D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6A43591D" w14:textId="77777777" w:rsidR="006955D9" w:rsidRDefault="00627D1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7. Cierre de instrucción. </w:t>
      </w:r>
      <w:r>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1E3206">
        <w:rPr>
          <w:rFonts w:ascii="Palatino Linotype" w:eastAsia="Palatino Linotype" w:hAnsi="Palatino Linotype" w:cs="Palatino Linotype"/>
          <w:b/>
          <w:sz w:val="22"/>
          <w:szCs w:val="22"/>
        </w:rPr>
        <w:t>siete</w:t>
      </w:r>
      <w:r>
        <w:rPr>
          <w:rFonts w:ascii="Palatino Linotype" w:eastAsia="Palatino Linotype" w:hAnsi="Palatino Linotype" w:cs="Palatino Linotype"/>
          <w:b/>
          <w:sz w:val="22"/>
          <w:szCs w:val="22"/>
        </w:rPr>
        <w:t xml:space="preserve"> de agosto de dos mil veinticuatro,</w:t>
      </w:r>
      <w:r>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34BE9529" w14:textId="77777777" w:rsidR="006955D9" w:rsidRDefault="006955D9">
      <w:pPr>
        <w:spacing w:line="360" w:lineRule="auto"/>
        <w:jc w:val="both"/>
        <w:rPr>
          <w:rFonts w:ascii="Palatino Linotype" w:eastAsia="Palatino Linotype" w:hAnsi="Palatino Linotype" w:cs="Palatino Linotype"/>
          <w:b/>
          <w:sz w:val="22"/>
          <w:szCs w:val="22"/>
        </w:rPr>
      </w:pPr>
    </w:p>
    <w:p w14:paraId="0E6D27C1"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8. Ampliación del término para resolver</w:t>
      </w:r>
      <w:r>
        <w:rPr>
          <w:rFonts w:ascii="Palatino Linotype" w:eastAsia="Palatino Linotype" w:hAnsi="Palatino Linotype" w:cs="Palatino Linotype"/>
          <w:sz w:val="22"/>
          <w:szCs w:val="22"/>
        </w:rPr>
        <w:t xml:space="preserve">. En fecha </w:t>
      </w:r>
      <w:r>
        <w:rPr>
          <w:rFonts w:ascii="Palatino Linotype" w:eastAsia="Palatino Linotype" w:hAnsi="Palatino Linotype" w:cs="Palatino Linotype"/>
          <w:b/>
          <w:sz w:val="22"/>
          <w:szCs w:val="22"/>
        </w:rPr>
        <w:t>siete de agosto de dos mil veinticuatro</w:t>
      </w:r>
      <w:r>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0C9AD322" w14:textId="77777777" w:rsidR="006955D9" w:rsidRDefault="006955D9">
      <w:pPr>
        <w:spacing w:line="360" w:lineRule="auto"/>
        <w:jc w:val="both"/>
        <w:rPr>
          <w:rFonts w:ascii="Palatino Linotype" w:eastAsia="Palatino Linotype" w:hAnsi="Palatino Linotype" w:cs="Palatino Linotype"/>
          <w:sz w:val="22"/>
          <w:szCs w:val="22"/>
        </w:rPr>
      </w:pPr>
    </w:p>
    <w:p w14:paraId="2AA285C9" w14:textId="77777777" w:rsidR="006955D9" w:rsidRDefault="00627D1D">
      <w:pPr>
        <w:spacing w:line="360" w:lineRule="auto"/>
        <w:jc w:val="both"/>
        <w:rPr>
          <w:rFonts w:ascii="Palatino Linotype" w:eastAsia="Palatino Linotype" w:hAnsi="Palatino Linotype" w:cs="Palatino Linotype"/>
          <w:sz w:val="22"/>
          <w:szCs w:val="22"/>
        </w:rPr>
      </w:pPr>
      <w:bookmarkStart w:id="5" w:name="_heading=h.2et92p0" w:colFirst="0" w:colLast="0"/>
      <w:bookmarkEnd w:id="5"/>
      <w:r>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7F33FF8" w14:textId="77777777" w:rsidR="006955D9" w:rsidRDefault="006955D9">
      <w:pPr>
        <w:spacing w:line="360" w:lineRule="auto"/>
        <w:jc w:val="both"/>
        <w:rPr>
          <w:rFonts w:ascii="Palatino Linotype" w:eastAsia="Palatino Linotype" w:hAnsi="Palatino Linotype" w:cs="Palatino Linotype"/>
          <w:sz w:val="22"/>
          <w:szCs w:val="22"/>
        </w:rPr>
      </w:pPr>
    </w:p>
    <w:p w14:paraId="09E9DFAB" w14:textId="77777777" w:rsidR="006955D9" w:rsidRDefault="00627D1D">
      <w:pPr>
        <w:spacing w:line="360" w:lineRule="auto"/>
        <w:ind w:right="49"/>
        <w:jc w:val="both"/>
        <w:rPr>
          <w:rFonts w:ascii="Palatino Linotype" w:eastAsia="Palatino Linotype" w:hAnsi="Palatino Linotype" w:cs="Palatino Linotype"/>
          <w:sz w:val="22"/>
          <w:szCs w:val="22"/>
        </w:rPr>
      </w:pPr>
      <w:bookmarkStart w:id="6" w:name="_heading=h.4d34og8" w:colFirst="0" w:colLast="0"/>
      <w:bookmarkEnd w:id="6"/>
      <w:r>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C365D0A" w14:textId="77777777" w:rsidR="006955D9" w:rsidRDefault="00627D1D">
      <w:pPr>
        <w:spacing w:before="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9C3221" w14:textId="77777777" w:rsidR="006955D9" w:rsidRDefault="00627D1D">
      <w:pPr>
        <w:spacing w:before="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F3C129A" w14:textId="77777777" w:rsidR="006955D9" w:rsidRDefault="00627D1D">
      <w:pPr>
        <w:spacing w:before="240" w:line="360" w:lineRule="auto"/>
        <w:jc w:val="both"/>
        <w:rPr>
          <w:rFonts w:ascii="Palatino Linotype" w:eastAsia="Palatino Linotype" w:hAnsi="Palatino Linotype" w:cs="Palatino Linotype"/>
          <w:strike/>
          <w:sz w:val="22"/>
          <w:szCs w:val="22"/>
        </w:rPr>
      </w:pPr>
      <w:r>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0EA2661B" w14:textId="77777777" w:rsidR="006955D9" w:rsidRDefault="00627D1D">
      <w:pPr>
        <w:numPr>
          <w:ilvl w:val="0"/>
          <w:numId w:val="2"/>
        </w:numPr>
        <w:tabs>
          <w:tab w:val="left" w:pos="993"/>
        </w:tabs>
        <w:spacing w:before="240" w:line="360" w:lineRule="auto"/>
        <w:ind w:left="56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0733CA37" w14:textId="77777777" w:rsidR="006955D9" w:rsidRDefault="00627D1D">
      <w:pPr>
        <w:numPr>
          <w:ilvl w:val="0"/>
          <w:numId w:val="2"/>
        </w:numPr>
        <w:tabs>
          <w:tab w:val="left" w:pos="993"/>
        </w:tabs>
        <w:spacing w:before="240" w:line="360" w:lineRule="auto"/>
        <w:ind w:left="56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Actividad Procesal del interesado. Acciones u omisiones del interesado.</w:t>
      </w:r>
    </w:p>
    <w:p w14:paraId="68E1607E" w14:textId="77777777" w:rsidR="006955D9" w:rsidRDefault="00627D1D">
      <w:pPr>
        <w:numPr>
          <w:ilvl w:val="0"/>
          <w:numId w:val="2"/>
        </w:numPr>
        <w:tabs>
          <w:tab w:val="left" w:pos="993"/>
        </w:tabs>
        <w:spacing w:before="240" w:line="360" w:lineRule="auto"/>
        <w:ind w:left="56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293FAAAD" w14:textId="77777777" w:rsidR="006955D9" w:rsidRDefault="00627D1D">
      <w:pPr>
        <w:numPr>
          <w:ilvl w:val="0"/>
          <w:numId w:val="2"/>
        </w:numPr>
        <w:tabs>
          <w:tab w:val="left" w:pos="993"/>
        </w:tabs>
        <w:spacing w:before="240" w:line="360" w:lineRule="auto"/>
        <w:ind w:left="56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afectación generada en la situación jurídica de la persona involucrada en el proceso: Violación a sus derechos humanos.</w:t>
      </w:r>
    </w:p>
    <w:p w14:paraId="0A836DB7" w14:textId="77777777" w:rsidR="006955D9" w:rsidRDefault="00627D1D">
      <w:pPr>
        <w:spacing w:before="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modo que, cuando se trate de un asunto excepcional, por alguna o todas las características mencionadas; o bien, cuando el ingreso de asuntos al órgano jurisdiccional o cuasi jurisdiccional respectivo supere notoriamente al que podría </w:t>
      </w:r>
      <w:r>
        <w:rPr>
          <w:rFonts w:ascii="Palatino Linotype" w:eastAsia="Palatino Linotype" w:hAnsi="Palatino Linotype" w:cs="Palatino Linotype"/>
          <w:sz w:val="22"/>
          <w:szCs w:val="22"/>
        </w:rPr>
        <w:lastRenderedPageBreak/>
        <w:t>considerarse normal, debe concluirse que es una excluyente de responsabilidad en relación con la actuación del funcionario, como ha acontecido en el caso que nos ocupa.</w:t>
      </w:r>
    </w:p>
    <w:p w14:paraId="6F14C82A" w14:textId="77777777" w:rsidR="006955D9" w:rsidRDefault="00627D1D">
      <w:pPr>
        <w:spacing w:before="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2"/>
          <w:szCs w:val="22"/>
        </w:rPr>
        <w:t>, visible en la Gaceta del Seminario Judicial de la Federación con el registro digital 205635.</w:t>
      </w:r>
    </w:p>
    <w:p w14:paraId="0B4FE66D" w14:textId="77777777" w:rsidR="006955D9" w:rsidRDefault="00627D1D">
      <w:pPr>
        <w:spacing w:before="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3479E1F" w14:textId="77777777" w:rsidR="006955D9" w:rsidRDefault="00627D1D">
      <w:pPr>
        <w:spacing w:before="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D89B96B" w14:textId="77777777" w:rsidR="006955D9" w:rsidRDefault="00627D1D">
      <w:pPr>
        <w:spacing w:before="240"/>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i/>
          <w:sz w:val="22"/>
          <w:szCs w:val="22"/>
        </w:rPr>
        <w:t>“PLAZO RAZONABLE PARA RESOLVER. DIMENSIÓN Y EFECTOS DE ESTE CONCEPTO CUANDO SE ADUCE EXCESIVA CARGA DE TRABAJO</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679B1383" w14:textId="77777777" w:rsidR="006955D9" w:rsidRDefault="00627D1D">
      <w:pPr>
        <w:spacing w:before="240"/>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“PLAZO RAZONABLE PARA RESOLVER. CONCEPTO Y ELEMENTOS QUE LO INTEGRAN A LA LUZ DEL DERECHO INTERNACIONAL DE LOS DERECHOS HUMANOS.”</w:t>
      </w:r>
      <w:r>
        <w:rPr>
          <w:rFonts w:ascii="Palatino Linotype" w:eastAsia="Palatino Linotype" w:hAnsi="Palatino Linotype" w:cs="Palatino Linotype"/>
          <w:sz w:val="22"/>
          <w:szCs w:val="22"/>
        </w:rPr>
        <w:t>, visible en el Seminario Judicial de la Federación y su gaceta, con el registro digital 2002350.</w:t>
      </w:r>
    </w:p>
    <w:p w14:paraId="43487A08" w14:textId="77777777" w:rsidR="006955D9" w:rsidRDefault="00627D1D">
      <w:pPr>
        <w:spacing w:before="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4E7E5EE5" w14:textId="77777777" w:rsidR="006955D9" w:rsidRDefault="006955D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610B56CC" w14:textId="77777777" w:rsidR="006955D9" w:rsidRDefault="00627D1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B0DC7A0" w14:textId="77777777" w:rsidR="006955D9" w:rsidRDefault="00627D1D">
      <w:pPr>
        <w:widowControl w:val="0"/>
        <w:spacing w:before="240" w:after="240"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II. C O N S I D E R A N D O S</w:t>
      </w:r>
    </w:p>
    <w:p w14:paraId="2AAFEDBD"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Primero. Competencia.</w:t>
      </w:r>
      <w:r>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A40305F" w14:textId="77777777" w:rsidR="006955D9" w:rsidRDefault="006955D9">
      <w:pPr>
        <w:spacing w:line="360" w:lineRule="auto"/>
        <w:jc w:val="both"/>
        <w:rPr>
          <w:rFonts w:ascii="Palatino Linotype" w:eastAsia="Palatino Linotype" w:hAnsi="Palatino Linotype" w:cs="Palatino Linotype"/>
          <w:sz w:val="22"/>
          <w:szCs w:val="22"/>
        </w:rPr>
      </w:pPr>
    </w:p>
    <w:p w14:paraId="4B8C75A4" w14:textId="77777777" w:rsidR="006955D9" w:rsidRDefault="00627D1D">
      <w:pPr>
        <w:spacing w:line="360" w:lineRule="auto"/>
        <w:jc w:val="both"/>
        <w:rPr>
          <w:rFonts w:ascii="Palatino Linotype" w:eastAsia="Palatino Linotype" w:hAnsi="Palatino Linotype" w:cs="Palatino Linotype"/>
          <w:sz w:val="22"/>
          <w:szCs w:val="22"/>
        </w:rPr>
      </w:pPr>
      <w:bookmarkStart w:id="7" w:name="_heading=h.tyjcwt" w:colFirst="0" w:colLast="0"/>
      <w:bookmarkEnd w:id="7"/>
      <w:r>
        <w:rPr>
          <w:rFonts w:ascii="Palatino Linotype" w:eastAsia="Palatino Linotype" w:hAnsi="Palatino Linotype" w:cs="Palatino Linotype"/>
          <w:b/>
          <w:sz w:val="22"/>
          <w:szCs w:val="22"/>
        </w:rPr>
        <w:t>Segundo. Oportunidad y Procedibilidad del Recurso de Revisión</w:t>
      </w:r>
      <w:r>
        <w:rPr>
          <w:rFonts w:ascii="Palatino Linotype" w:eastAsia="Palatino Linotype" w:hAnsi="Palatino Linotype" w:cs="Palatino Linotype"/>
          <w:sz w:val="22"/>
          <w:szCs w:val="22"/>
        </w:rPr>
        <w:t xml:space="preserve">. Previo al estudio del fondo del asunto, se procede a analizar los requisitos de oportunidad y procedibilidad que </w:t>
      </w:r>
      <w:r>
        <w:rPr>
          <w:rFonts w:ascii="Palatino Linotype" w:eastAsia="Palatino Linotype" w:hAnsi="Palatino Linotype" w:cs="Palatino Linotype"/>
          <w:sz w:val="22"/>
          <w:szCs w:val="22"/>
        </w:rPr>
        <w:lastRenderedPageBreak/>
        <w:t>debe reunir el recurso de revisión interpuesto, previstos en los artículos 178 y 180 de la Ley de Transparencia y Acceso a la Información Pública del Estado de México y Municipios.</w:t>
      </w:r>
    </w:p>
    <w:p w14:paraId="6689F934" w14:textId="77777777" w:rsidR="006955D9" w:rsidRDefault="006955D9">
      <w:pPr>
        <w:spacing w:line="360" w:lineRule="auto"/>
        <w:jc w:val="both"/>
        <w:rPr>
          <w:rFonts w:ascii="Palatino Linotype" w:eastAsia="Palatino Linotype" w:hAnsi="Palatino Linotype" w:cs="Palatino Linotype"/>
          <w:sz w:val="22"/>
          <w:szCs w:val="22"/>
        </w:rPr>
      </w:pPr>
    </w:p>
    <w:p w14:paraId="562A3DEB"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remitió la respuesta a la solicitud de información el </w:t>
      </w:r>
      <w:r>
        <w:rPr>
          <w:rFonts w:ascii="Palatino Linotype" w:eastAsia="Palatino Linotype" w:hAnsi="Palatino Linotype" w:cs="Palatino Linotype"/>
          <w:b/>
          <w:color w:val="000000"/>
          <w:sz w:val="22"/>
          <w:szCs w:val="22"/>
        </w:rPr>
        <w:t>primero de febrero de dos mil veinticuatro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mientras que el recurso de revisión interpuesto por </w:t>
      </w:r>
      <w:r>
        <w:rPr>
          <w:rFonts w:ascii="Palatino Linotype" w:eastAsia="Palatino Linotype" w:hAnsi="Palatino Linotype" w:cs="Palatino Linotype"/>
          <w:b/>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se tuvo por presentado el</w:t>
      </w:r>
      <w:r>
        <w:rPr>
          <w:rFonts w:ascii="Palatino Linotype" w:eastAsia="Palatino Linotype" w:hAnsi="Palatino Linotype" w:cs="Palatino Linotype"/>
          <w:b/>
          <w:color w:val="000000"/>
          <w:sz w:val="22"/>
          <w:szCs w:val="22"/>
        </w:rPr>
        <w:t xml:space="preserve"> dos de febrero de dos mil veinticuatro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esto es, al primer día hábil siguiente a aquel</w:t>
      </w:r>
      <w:r>
        <w:rPr>
          <w:rFonts w:ascii="Palatino Linotype" w:eastAsia="Palatino Linotype" w:hAnsi="Palatino Linotype" w:cs="Palatino Linotype"/>
          <w:b/>
          <w:sz w:val="22"/>
          <w:szCs w:val="22"/>
        </w:rPr>
        <w:t xml:space="preserve"> en que se tuvo conocimiento de la respuesta impugnada</w:t>
      </w:r>
      <w:r>
        <w:rPr>
          <w:rFonts w:ascii="Palatino Linotype" w:eastAsia="Palatino Linotype" w:hAnsi="Palatino Linotype" w:cs="Palatino Linotype"/>
          <w:sz w:val="22"/>
          <w:szCs w:val="22"/>
        </w:rPr>
        <w:t xml:space="preserve">. </w:t>
      </w:r>
    </w:p>
    <w:p w14:paraId="2D964E24" w14:textId="77777777" w:rsidR="006955D9" w:rsidRDefault="006955D9">
      <w:pPr>
        <w:spacing w:line="360" w:lineRule="auto"/>
        <w:jc w:val="both"/>
        <w:rPr>
          <w:rFonts w:ascii="Palatino Linotype" w:eastAsia="Palatino Linotype" w:hAnsi="Palatino Linotype" w:cs="Palatino Linotype"/>
          <w:sz w:val="22"/>
          <w:szCs w:val="22"/>
        </w:rPr>
      </w:pPr>
    </w:p>
    <w:p w14:paraId="7A4098E3"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1B362631" w14:textId="77777777" w:rsidR="006955D9" w:rsidRDefault="006955D9">
      <w:pPr>
        <w:spacing w:line="360" w:lineRule="auto"/>
        <w:jc w:val="both"/>
        <w:rPr>
          <w:rFonts w:ascii="Palatino Linotype" w:eastAsia="Palatino Linotype" w:hAnsi="Palatino Linotype" w:cs="Palatino Linotype"/>
          <w:sz w:val="22"/>
          <w:szCs w:val="22"/>
        </w:rPr>
      </w:pPr>
    </w:p>
    <w:p w14:paraId="0763E4AB" w14:textId="77777777" w:rsidR="006955D9" w:rsidRDefault="00627D1D">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E4836CF" w14:textId="77777777" w:rsidR="006955D9" w:rsidRDefault="006955D9">
      <w:pPr>
        <w:tabs>
          <w:tab w:val="left" w:pos="7938"/>
        </w:tabs>
        <w:spacing w:line="360" w:lineRule="auto"/>
        <w:jc w:val="both"/>
        <w:rPr>
          <w:rFonts w:ascii="Palatino Linotype" w:eastAsia="Palatino Linotype" w:hAnsi="Palatino Linotype" w:cs="Palatino Linotype"/>
          <w:sz w:val="22"/>
          <w:szCs w:val="22"/>
        </w:rPr>
      </w:pPr>
    </w:p>
    <w:p w14:paraId="536B7000" w14:textId="77777777" w:rsidR="006955D9" w:rsidRDefault="00627D1D">
      <w:pPr>
        <w:spacing w:line="360" w:lineRule="auto"/>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sz w:val="22"/>
          <w:szCs w:val="22"/>
        </w:rPr>
        <w:t>Por otro lado, es de suma importancia mencionar que, si bien la parte</w:t>
      </w:r>
      <w:r>
        <w:rPr>
          <w:rFonts w:ascii="Palatino Linotype" w:eastAsia="Palatino Linotype" w:hAnsi="Palatino Linotype" w:cs="Palatino Linotype"/>
          <w:b/>
          <w:sz w:val="22"/>
          <w:szCs w:val="22"/>
        </w:rPr>
        <w:t xml:space="preserve"> Recurrente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proporcionó un seudónimo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222222"/>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BB490CE" w14:textId="77777777" w:rsidR="006955D9" w:rsidRDefault="006955D9">
      <w:pPr>
        <w:spacing w:line="360" w:lineRule="auto"/>
        <w:jc w:val="both"/>
        <w:rPr>
          <w:rFonts w:ascii="Palatino Linotype" w:eastAsia="Palatino Linotype" w:hAnsi="Palatino Linotype" w:cs="Palatino Linotype"/>
          <w:color w:val="222222"/>
          <w:sz w:val="22"/>
          <w:szCs w:val="22"/>
        </w:rPr>
      </w:pPr>
    </w:p>
    <w:p w14:paraId="392422C0" w14:textId="77777777" w:rsidR="006955D9" w:rsidRDefault="00627D1D">
      <w:pPr>
        <w:spacing w:line="276" w:lineRule="auto"/>
        <w:ind w:left="851" w:right="902"/>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 xml:space="preserve">Las solicitudes </w:t>
      </w:r>
      <w:r>
        <w:rPr>
          <w:rFonts w:ascii="Palatino Linotype" w:eastAsia="Palatino Linotype" w:hAnsi="Palatino Linotype" w:cs="Palatino Linotype"/>
          <w:i/>
          <w:color w:val="222222"/>
          <w:sz w:val="22"/>
          <w:szCs w:val="22"/>
        </w:rPr>
        <w:t xml:space="preserve">anónimas, con nombre incompleto o </w:t>
      </w:r>
      <w:r>
        <w:rPr>
          <w:rFonts w:ascii="Palatino Linotype" w:eastAsia="Palatino Linotype" w:hAnsi="Palatino Linotype" w:cs="Palatino Linotype"/>
          <w:b/>
          <w:i/>
          <w:color w:val="222222"/>
          <w:sz w:val="22"/>
          <w:szCs w:val="22"/>
        </w:rPr>
        <w:t>seudónimo serán procedentes para su trámite por parte del sujeto obligado ante quien se presente</w:t>
      </w:r>
      <w:r>
        <w:rPr>
          <w:rFonts w:ascii="Palatino Linotype" w:eastAsia="Palatino Linotype" w:hAnsi="Palatino Linotype" w:cs="Palatino Linotype"/>
          <w:i/>
          <w:color w:val="222222"/>
          <w:sz w:val="22"/>
          <w:szCs w:val="22"/>
        </w:rPr>
        <w:t>. No podrá requerirse información adicional con motivo del nombre proporcionado por el solicitante."</w:t>
      </w:r>
    </w:p>
    <w:p w14:paraId="3A55F984" w14:textId="77777777" w:rsidR="006955D9" w:rsidRDefault="006955D9">
      <w:pPr>
        <w:tabs>
          <w:tab w:val="left" w:pos="7938"/>
        </w:tabs>
        <w:spacing w:line="360" w:lineRule="auto"/>
        <w:jc w:val="both"/>
        <w:rPr>
          <w:rFonts w:ascii="Palatino Linotype" w:eastAsia="Palatino Linotype" w:hAnsi="Palatino Linotype" w:cs="Palatino Linotype"/>
          <w:sz w:val="22"/>
          <w:szCs w:val="22"/>
        </w:rPr>
      </w:pPr>
    </w:p>
    <w:p w14:paraId="0F5207A9"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Finalmente, se advierte que resulta procedente la interposición del recurso, según lo manifestado por </w:t>
      </w:r>
      <w:r>
        <w:rPr>
          <w:rFonts w:ascii="Palatino Linotype" w:eastAsia="Palatino Linotype" w:hAnsi="Palatino Linotype" w:cs="Palatino Linotype"/>
          <w:b/>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en sus motivos de inconformidad, de acuerdo </w:t>
      </w:r>
      <w:r>
        <w:rPr>
          <w:rFonts w:ascii="Palatino Linotype" w:eastAsia="Palatino Linotype" w:hAnsi="Palatino Linotype" w:cs="Palatino Linotype"/>
          <w:color w:val="000000"/>
          <w:sz w:val="22"/>
          <w:szCs w:val="22"/>
        </w:rPr>
        <w:t>al artículo 179, fracción I del ordenamiento legal citado, que a la letra dice: </w:t>
      </w:r>
    </w:p>
    <w:p w14:paraId="58FC958A"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6D01C358" w14:textId="77777777" w:rsidR="006955D9" w:rsidRDefault="00627D1D">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77AFFC9A" w14:textId="77777777" w:rsidR="006955D9" w:rsidRDefault="00627D1D">
      <w:pPr>
        <w:ind w:left="567"/>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La negativa a la información solicitada; </w:t>
      </w:r>
    </w:p>
    <w:p w14:paraId="357AA6E4" w14:textId="77777777" w:rsidR="006955D9" w:rsidRDefault="00627D1D">
      <w:pPr>
        <w:ind w:left="567"/>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3D6157EA" w14:textId="77777777" w:rsidR="006955D9" w:rsidRDefault="006955D9">
      <w:pPr>
        <w:ind w:left="567"/>
        <w:rPr>
          <w:rFonts w:ascii="Palatino Linotype" w:eastAsia="Palatino Linotype" w:hAnsi="Palatino Linotype" w:cs="Palatino Linotype"/>
          <w:b/>
          <w:i/>
          <w:sz w:val="22"/>
          <w:szCs w:val="22"/>
        </w:rPr>
      </w:pPr>
    </w:p>
    <w:p w14:paraId="5A7672BD" w14:textId="77777777" w:rsidR="006955D9" w:rsidRDefault="00627D1D">
      <w:pPr>
        <w:ind w:left="567" w:right="900"/>
        <w:jc w:val="right"/>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(Énfasis añadido)</w:t>
      </w:r>
    </w:p>
    <w:p w14:paraId="0D1CA87C" w14:textId="77777777" w:rsidR="006955D9" w:rsidRDefault="006955D9">
      <w:pPr>
        <w:spacing w:line="360" w:lineRule="auto"/>
        <w:jc w:val="both"/>
        <w:rPr>
          <w:rFonts w:ascii="Palatino Linotype" w:eastAsia="Palatino Linotype" w:hAnsi="Palatino Linotype" w:cs="Palatino Linotype"/>
          <w:b/>
          <w:sz w:val="22"/>
          <w:szCs w:val="22"/>
        </w:rPr>
      </w:pPr>
    </w:p>
    <w:p w14:paraId="1F785F23" w14:textId="77777777" w:rsidR="006955D9" w:rsidRDefault="00627D1D">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Tercero. Materia de la revisión. </w:t>
      </w:r>
      <w:r>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sz w:val="22"/>
          <w:szCs w:val="22"/>
        </w:rPr>
        <w:t>verificar si la respuesta e informe justificado otorgado por el Sujeto Obligado es adecuado y suficiente para satisfacer el derecho de acceso a la información pública de la parte Recurrente,</w:t>
      </w:r>
      <w:r>
        <w:rPr>
          <w:rFonts w:ascii="Palatino Linotype" w:eastAsia="Palatino Linotype" w:hAnsi="Palatino Linotype" w:cs="Palatino Linotype"/>
          <w:sz w:val="22"/>
          <w:szCs w:val="22"/>
        </w:rPr>
        <w:t xml:space="preserve"> o en su defecto, en caso de ser procedente, ordenar la entrega de información oportuna.</w:t>
      </w:r>
    </w:p>
    <w:p w14:paraId="67E67D22" w14:textId="77777777" w:rsidR="006955D9" w:rsidRDefault="006955D9">
      <w:pPr>
        <w:spacing w:line="360" w:lineRule="auto"/>
        <w:jc w:val="both"/>
        <w:rPr>
          <w:rFonts w:ascii="Palatino Linotype" w:eastAsia="Palatino Linotype" w:hAnsi="Palatino Linotype" w:cs="Palatino Linotype"/>
          <w:sz w:val="22"/>
          <w:szCs w:val="22"/>
        </w:rPr>
      </w:pPr>
    </w:p>
    <w:p w14:paraId="105B5CC4" w14:textId="77777777" w:rsidR="006955D9" w:rsidRDefault="00627D1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sz w:val="22"/>
          <w:szCs w:val="22"/>
        </w:rPr>
        <w:t xml:space="preserve">Cuarto. Estudio del asunto. </w:t>
      </w:r>
      <w:r>
        <w:rPr>
          <w:rFonts w:ascii="Palatino Linotype" w:eastAsia="Palatino Linotype" w:hAnsi="Palatino Linotype" w:cs="Palatino Linotype"/>
          <w:color w:val="000000"/>
          <w:sz w:val="22"/>
          <w:szCs w:val="22"/>
        </w:rPr>
        <w:t xml:space="preserve">Antes de entrar al análisis de los pronunciamientos del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w:t>
      </w:r>
      <w:r>
        <w:rPr>
          <w:rFonts w:ascii="Palatino Linotype" w:eastAsia="Palatino Linotype" w:hAnsi="Palatino Linotype" w:cs="Palatino Linotype"/>
          <w:color w:val="000000"/>
          <w:sz w:val="22"/>
          <w:szCs w:val="22"/>
        </w:rPr>
        <w:lastRenderedPageBreak/>
        <w:t>dichas disposiciones al Derecho Interno, específicamente a nivel Constitucional, tal y como lo prevén los arábigos 1 párrafos primero, segundo y tercero y 6 apartado A fracciones I, II, III, IV, V, VI y VII que a la letra señalan:</w:t>
      </w:r>
    </w:p>
    <w:p w14:paraId="1C0295C2" w14:textId="77777777" w:rsidR="006955D9" w:rsidRDefault="006955D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2A38030D" w14:textId="77777777" w:rsidR="006955D9" w:rsidRDefault="00627D1D">
      <w:pPr>
        <w:pBdr>
          <w:top w:val="nil"/>
          <w:left w:val="nil"/>
          <w:bottom w:val="nil"/>
          <w:right w:val="nil"/>
          <w:between w:val="nil"/>
        </w:pBdr>
        <w:spacing w:line="276" w:lineRule="auto"/>
        <w:ind w:left="851" w:right="8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41D9DFD1" w14:textId="77777777" w:rsidR="006955D9" w:rsidRDefault="00627D1D">
      <w:pPr>
        <w:pBdr>
          <w:top w:val="nil"/>
          <w:left w:val="nil"/>
          <w:bottom w:val="nil"/>
          <w:right w:val="nil"/>
          <w:between w:val="nil"/>
        </w:pBdr>
        <w:spacing w:line="276" w:lineRule="auto"/>
        <w:ind w:left="851" w:right="8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5E6C2373" w14:textId="77777777" w:rsidR="006955D9" w:rsidRDefault="00627D1D">
      <w:pPr>
        <w:pBdr>
          <w:top w:val="nil"/>
          <w:left w:val="nil"/>
          <w:bottom w:val="nil"/>
          <w:right w:val="nil"/>
          <w:between w:val="nil"/>
        </w:pBdr>
        <w:spacing w:line="276" w:lineRule="auto"/>
        <w:ind w:left="851" w:right="8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7598DA66" w14:textId="77777777" w:rsidR="006955D9" w:rsidRDefault="00627D1D">
      <w:pPr>
        <w:pBdr>
          <w:top w:val="nil"/>
          <w:left w:val="nil"/>
          <w:bottom w:val="nil"/>
          <w:right w:val="nil"/>
          <w:between w:val="nil"/>
        </w:pBdr>
        <w:spacing w:line="276" w:lineRule="auto"/>
        <w:ind w:left="851" w:right="8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p>
    <w:p w14:paraId="03FF8347" w14:textId="77777777" w:rsidR="006955D9" w:rsidRDefault="00627D1D">
      <w:pPr>
        <w:pBdr>
          <w:top w:val="nil"/>
          <w:left w:val="nil"/>
          <w:bottom w:val="nil"/>
          <w:right w:val="nil"/>
          <w:between w:val="nil"/>
        </w:pBdr>
        <w:spacing w:line="276" w:lineRule="auto"/>
        <w:ind w:left="851" w:right="90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“Artículo 6o.</w:t>
      </w:r>
    </w:p>
    <w:p w14:paraId="7C5BF6CF" w14:textId="77777777" w:rsidR="006955D9" w:rsidRDefault="00627D1D">
      <w:pPr>
        <w:pBdr>
          <w:top w:val="nil"/>
          <w:left w:val="nil"/>
          <w:bottom w:val="nil"/>
          <w:right w:val="nil"/>
          <w:between w:val="nil"/>
        </w:pBdr>
        <w:spacing w:line="276" w:lineRule="auto"/>
        <w:ind w:left="851" w:right="90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p>
    <w:p w14:paraId="6F184FFE" w14:textId="77777777" w:rsidR="006955D9" w:rsidRDefault="00627D1D">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12C1B997" w14:textId="77777777" w:rsidR="006955D9" w:rsidRDefault="00627D1D">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w:t>
      </w:r>
      <w:r>
        <w:rPr>
          <w:rFonts w:ascii="Palatino Linotype" w:eastAsia="Palatino Linotype" w:hAnsi="Palatino Linotype" w:cs="Palatino Linotype"/>
          <w:i/>
          <w:color w:val="000000"/>
          <w:sz w:val="22"/>
          <w:szCs w:val="22"/>
        </w:rPr>
        <w:lastRenderedPageBreak/>
        <w:t>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CF98224" w14:textId="77777777" w:rsidR="006955D9" w:rsidRDefault="00627D1D">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7B025FF6" w14:textId="77777777" w:rsidR="006955D9" w:rsidRDefault="00627D1D">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14:paraId="25286C1C" w14:textId="77777777" w:rsidR="006955D9" w:rsidRDefault="00627D1D">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1AC83EDF" w14:textId="77777777" w:rsidR="006955D9" w:rsidRDefault="00627D1D">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F20BC8B" w14:textId="77777777" w:rsidR="006955D9" w:rsidRDefault="00627D1D">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75EDD791" w14:textId="77777777" w:rsidR="006955D9" w:rsidRDefault="00627D1D">
      <w:pPr>
        <w:pBdr>
          <w:top w:val="nil"/>
          <w:left w:val="nil"/>
          <w:bottom w:val="nil"/>
          <w:right w:val="nil"/>
          <w:between w:val="nil"/>
        </w:pBdr>
        <w:spacing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4073C2EC" w14:textId="77777777" w:rsidR="006955D9" w:rsidRDefault="006955D9">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p>
    <w:p w14:paraId="3409AB21" w14:textId="77777777" w:rsidR="006955D9" w:rsidRDefault="00627D1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w:t>
      </w:r>
      <w:r>
        <w:rPr>
          <w:rFonts w:ascii="Palatino Linotype" w:eastAsia="Palatino Linotype" w:hAnsi="Palatino Linotype" w:cs="Palatino Linotype"/>
          <w:color w:val="000000"/>
          <w:sz w:val="22"/>
          <w:szCs w:val="22"/>
        </w:rPr>
        <w:lastRenderedPageBreak/>
        <w:t>lo establece dicha determinación, que a continuación se transcribe para un mejor entendimiento:</w:t>
      </w:r>
    </w:p>
    <w:p w14:paraId="71F6F132" w14:textId="77777777" w:rsidR="006955D9" w:rsidRDefault="006955D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298FEDB2" w14:textId="77777777" w:rsidR="006955D9" w:rsidRDefault="00627D1D">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19E9A1D" w14:textId="77777777" w:rsidR="006955D9" w:rsidRDefault="006955D9">
      <w:pPr>
        <w:spacing w:line="276" w:lineRule="auto"/>
        <w:ind w:left="567" w:right="616"/>
        <w:jc w:val="both"/>
        <w:rPr>
          <w:rFonts w:ascii="Palatino Linotype" w:eastAsia="Palatino Linotype" w:hAnsi="Palatino Linotype" w:cs="Palatino Linotype"/>
          <w:i/>
          <w:sz w:val="22"/>
          <w:szCs w:val="22"/>
        </w:rPr>
      </w:pPr>
    </w:p>
    <w:p w14:paraId="0C8AF2DA" w14:textId="77777777" w:rsidR="006955D9" w:rsidRDefault="00627D1D">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9933E08" w14:textId="77777777" w:rsidR="006955D9" w:rsidRDefault="006955D9">
      <w:pPr>
        <w:spacing w:line="276" w:lineRule="auto"/>
        <w:ind w:left="567" w:right="616"/>
        <w:jc w:val="both"/>
        <w:rPr>
          <w:rFonts w:ascii="Palatino Linotype" w:eastAsia="Palatino Linotype" w:hAnsi="Palatino Linotype" w:cs="Palatino Linotype"/>
          <w:i/>
          <w:sz w:val="22"/>
          <w:szCs w:val="22"/>
        </w:rPr>
      </w:pPr>
    </w:p>
    <w:p w14:paraId="30BF9286" w14:textId="77777777" w:rsidR="006955D9" w:rsidRDefault="00627D1D">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w:t>
      </w:r>
    </w:p>
    <w:p w14:paraId="4064DB72" w14:textId="77777777" w:rsidR="006955D9" w:rsidRDefault="006955D9">
      <w:pPr>
        <w:spacing w:line="360" w:lineRule="auto"/>
        <w:jc w:val="both"/>
        <w:rPr>
          <w:rFonts w:ascii="Palatino Linotype" w:eastAsia="Palatino Linotype" w:hAnsi="Palatino Linotype" w:cs="Palatino Linotype"/>
          <w:sz w:val="22"/>
          <w:szCs w:val="22"/>
        </w:rPr>
      </w:pPr>
    </w:p>
    <w:p w14:paraId="78438A2A"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21860B9" w14:textId="77777777" w:rsidR="006955D9" w:rsidRDefault="006955D9">
      <w:pPr>
        <w:spacing w:line="360" w:lineRule="auto"/>
        <w:jc w:val="both"/>
        <w:rPr>
          <w:rFonts w:ascii="Palatino Linotype" w:eastAsia="Palatino Linotype" w:hAnsi="Palatino Linotype" w:cs="Palatino Linotype"/>
          <w:sz w:val="22"/>
          <w:szCs w:val="22"/>
        </w:rPr>
      </w:pPr>
    </w:p>
    <w:p w14:paraId="0C436F9A" w14:textId="77777777" w:rsidR="006955D9" w:rsidRDefault="00627D1D">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21D2AFC" w14:textId="77777777" w:rsidR="006955D9" w:rsidRDefault="006955D9">
      <w:pPr>
        <w:spacing w:line="276" w:lineRule="auto"/>
        <w:ind w:left="567" w:right="616"/>
        <w:jc w:val="both"/>
        <w:rPr>
          <w:rFonts w:ascii="Palatino Linotype" w:eastAsia="Palatino Linotype" w:hAnsi="Palatino Linotype" w:cs="Palatino Linotype"/>
          <w:i/>
          <w:sz w:val="22"/>
          <w:szCs w:val="22"/>
        </w:rPr>
      </w:pPr>
    </w:p>
    <w:p w14:paraId="0406B654" w14:textId="77777777" w:rsidR="006955D9" w:rsidRDefault="00627D1D">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08D7183" w14:textId="77777777" w:rsidR="006955D9" w:rsidRDefault="006955D9">
      <w:pPr>
        <w:spacing w:line="360" w:lineRule="auto"/>
        <w:ind w:left="567" w:right="616"/>
        <w:jc w:val="both"/>
        <w:rPr>
          <w:rFonts w:ascii="Palatino Linotype" w:eastAsia="Palatino Linotype" w:hAnsi="Palatino Linotype" w:cs="Palatino Linotype"/>
          <w:i/>
          <w:sz w:val="22"/>
          <w:szCs w:val="22"/>
        </w:rPr>
      </w:pPr>
    </w:p>
    <w:p w14:paraId="1D485C86" w14:textId="77777777" w:rsidR="006955D9" w:rsidRDefault="00627D1D">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C12416A" w14:textId="77777777" w:rsidR="006955D9" w:rsidRDefault="006955D9">
      <w:pPr>
        <w:spacing w:line="360" w:lineRule="auto"/>
        <w:ind w:right="-93"/>
        <w:jc w:val="both"/>
        <w:rPr>
          <w:rFonts w:ascii="Palatino Linotype" w:eastAsia="Palatino Linotype" w:hAnsi="Palatino Linotype" w:cs="Palatino Linotype"/>
          <w:sz w:val="22"/>
          <w:szCs w:val="22"/>
        </w:rPr>
      </w:pPr>
    </w:p>
    <w:p w14:paraId="63647D50" w14:textId="77777777" w:rsidR="006955D9" w:rsidRDefault="00627D1D">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sz w:val="22"/>
          <w:szCs w:val="22"/>
        </w:rPr>
        <w:t xml:space="preserve"> </w:t>
      </w:r>
    </w:p>
    <w:p w14:paraId="21283F01" w14:textId="77777777" w:rsidR="006955D9" w:rsidRDefault="006955D9">
      <w:pPr>
        <w:spacing w:line="360" w:lineRule="auto"/>
        <w:jc w:val="both"/>
        <w:rPr>
          <w:rFonts w:ascii="Palatino Linotype" w:eastAsia="Palatino Linotype" w:hAnsi="Palatino Linotype" w:cs="Palatino Linotype"/>
          <w:b/>
          <w:sz w:val="22"/>
          <w:szCs w:val="22"/>
        </w:rPr>
      </w:pPr>
    </w:p>
    <w:p w14:paraId="2005D425" w14:textId="77777777" w:rsidR="006955D9" w:rsidRDefault="00627D1D">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w:t>
      </w:r>
      <w:r>
        <w:rPr>
          <w:rFonts w:ascii="Palatino Linotype" w:eastAsia="Palatino Linotype" w:hAnsi="Palatino Linotype" w:cs="Palatino Linotype"/>
          <w:i/>
          <w:sz w:val="22"/>
          <w:szCs w:val="22"/>
        </w:rPr>
        <w:lastRenderedPageBreak/>
        <w:t xml:space="preserve">información del particular, proporcionando la información con la que cuentan en el formato en que la misma obre en sus archivos; sin necesidad de elaborar documentos ad hoc para atender las solicitudes de información”. </w:t>
      </w:r>
    </w:p>
    <w:p w14:paraId="1AA84D8F" w14:textId="77777777" w:rsidR="006955D9" w:rsidRDefault="006955D9">
      <w:pPr>
        <w:spacing w:line="360" w:lineRule="auto"/>
        <w:ind w:right="-93"/>
        <w:jc w:val="both"/>
        <w:rPr>
          <w:rFonts w:ascii="Palatino Linotype" w:eastAsia="Palatino Linotype" w:hAnsi="Palatino Linotype" w:cs="Palatino Linotype"/>
          <w:sz w:val="22"/>
          <w:szCs w:val="22"/>
        </w:rPr>
      </w:pPr>
    </w:p>
    <w:p w14:paraId="45B430AE"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CBC52DC" w14:textId="77777777" w:rsidR="006955D9" w:rsidRDefault="006955D9">
      <w:pPr>
        <w:spacing w:line="360" w:lineRule="auto"/>
        <w:jc w:val="both"/>
        <w:rPr>
          <w:rFonts w:ascii="Palatino Linotype" w:eastAsia="Palatino Linotype" w:hAnsi="Palatino Linotype" w:cs="Palatino Linotype"/>
          <w:sz w:val="22"/>
          <w:szCs w:val="22"/>
        </w:rPr>
      </w:pPr>
    </w:p>
    <w:p w14:paraId="4FC39EFB" w14:textId="77777777" w:rsidR="006955D9" w:rsidRDefault="00627D1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EB6F3F4" w14:textId="77777777" w:rsidR="006955D9" w:rsidRDefault="006955D9">
      <w:pPr>
        <w:spacing w:line="360" w:lineRule="auto"/>
        <w:ind w:right="49"/>
        <w:jc w:val="both"/>
        <w:rPr>
          <w:rFonts w:ascii="Palatino Linotype" w:eastAsia="Palatino Linotype" w:hAnsi="Palatino Linotype" w:cs="Palatino Linotype"/>
          <w:sz w:val="22"/>
          <w:szCs w:val="22"/>
        </w:rPr>
      </w:pPr>
    </w:p>
    <w:p w14:paraId="6BB99947"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A3A1721" w14:textId="77777777" w:rsidR="006955D9" w:rsidRDefault="006955D9">
      <w:pPr>
        <w:spacing w:line="360" w:lineRule="auto"/>
        <w:ind w:left="851" w:right="899"/>
        <w:jc w:val="both"/>
        <w:rPr>
          <w:rFonts w:ascii="Palatino Linotype" w:eastAsia="Palatino Linotype" w:hAnsi="Palatino Linotype" w:cs="Palatino Linotype"/>
          <w:i/>
          <w:sz w:val="22"/>
          <w:szCs w:val="22"/>
        </w:rPr>
      </w:pPr>
    </w:p>
    <w:p w14:paraId="31961AD7" w14:textId="77777777" w:rsidR="006955D9" w:rsidRDefault="00627D1D">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6907961" w14:textId="77777777" w:rsidR="006955D9" w:rsidRDefault="00627D1D">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4F8D5ED2" w14:textId="77777777" w:rsidR="006955D9" w:rsidRDefault="00627D1D">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D7B7D4B" w14:textId="77777777" w:rsidR="006955D9" w:rsidRDefault="006955D9">
      <w:pPr>
        <w:spacing w:line="360" w:lineRule="auto"/>
        <w:ind w:left="851" w:right="899"/>
        <w:jc w:val="both"/>
        <w:rPr>
          <w:rFonts w:ascii="Palatino Linotype" w:eastAsia="Palatino Linotype" w:hAnsi="Palatino Linotype" w:cs="Palatino Linotype"/>
          <w:sz w:val="22"/>
          <w:szCs w:val="22"/>
        </w:rPr>
      </w:pPr>
    </w:p>
    <w:p w14:paraId="0582B2BE"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20FC652" w14:textId="77777777" w:rsidR="006955D9" w:rsidRDefault="006955D9">
      <w:pPr>
        <w:spacing w:line="360" w:lineRule="auto"/>
        <w:jc w:val="both"/>
        <w:rPr>
          <w:rFonts w:ascii="Palatino Linotype" w:eastAsia="Palatino Linotype" w:hAnsi="Palatino Linotype" w:cs="Palatino Linotype"/>
          <w:sz w:val="22"/>
          <w:szCs w:val="22"/>
        </w:rPr>
      </w:pPr>
    </w:p>
    <w:p w14:paraId="3237DA1B" w14:textId="77777777" w:rsidR="006955D9" w:rsidRDefault="00627D1D">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3B71EFF" w14:textId="77777777" w:rsidR="006955D9" w:rsidRDefault="00627D1D">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32CD74E" w14:textId="77777777" w:rsidR="006955D9" w:rsidRDefault="00627D1D">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A4CADCB" w14:textId="77777777" w:rsidR="006955D9" w:rsidRDefault="00627D1D">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AB41225" w14:textId="77777777" w:rsidR="006955D9" w:rsidRDefault="00627D1D">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3) Que se trate de información registrada en cualquier soporte documental, que en ejercicio de las atribuciones conferidas, se encuentre en posesión de los Sujetos Obligados.” </w:t>
      </w:r>
    </w:p>
    <w:p w14:paraId="492907A2" w14:textId="77777777" w:rsidR="006955D9" w:rsidRDefault="006955D9">
      <w:pPr>
        <w:spacing w:line="276" w:lineRule="auto"/>
        <w:ind w:left="567" w:right="616"/>
        <w:jc w:val="both"/>
        <w:rPr>
          <w:rFonts w:ascii="Palatino Linotype" w:eastAsia="Palatino Linotype" w:hAnsi="Palatino Linotype" w:cs="Palatino Linotype"/>
          <w:b/>
          <w:i/>
          <w:sz w:val="22"/>
          <w:szCs w:val="22"/>
        </w:rPr>
      </w:pPr>
    </w:p>
    <w:p w14:paraId="4616A4CC"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ahí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sz w:val="22"/>
          <w:szCs w:val="22"/>
          <w:vertAlign w:val="superscript"/>
        </w:rPr>
        <w:footnoteReference w:id="1"/>
      </w:r>
      <w:r>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2"/>
          <w:szCs w:val="22"/>
          <w:vertAlign w:val="superscript"/>
        </w:rPr>
        <w:footnoteReference w:id="2"/>
      </w:r>
      <w:r>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6DBD02DE" w14:textId="77777777" w:rsidR="006955D9" w:rsidRDefault="006955D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723F9E9" w14:textId="77777777" w:rsidR="006955D9" w:rsidRDefault="00627D1D">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bookmarkStart w:id="9" w:name="_heading=h.1y810tw" w:colFirst="0" w:colLast="0"/>
      <w:bookmarkEnd w:id="9"/>
      <w:r>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Pr>
          <w:rFonts w:ascii="Palatino Linotype" w:eastAsia="Palatino Linotype" w:hAnsi="Palatino Linotype" w:cs="Palatino Linotype"/>
          <w:b/>
          <w:sz w:val="22"/>
          <w:szCs w:val="22"/>
        </w:rPr>
        <w:t>Sujeto Obligado, lo siguiente:</w:t>
      </w:r>
    </w:p>
    <w:p w14:paraId="0A370B7B" w14:textId="77777777" w:rsidR="006955D9" w:rsidRDefault="006955D9">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u w:val="single"/>
        </w:rPr>
      </w:pPr>
    </w:p>
    <w:p w14:paraId="7CC02B1F" w14:textId="77777777" w:rsidR="006955D9" w:rsidRDefault="00627D1D">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El registro o listado de su estructura sindical en el Municipio del Oro, Estado de México.</w:t>
      </w:r>
    </w:p>
    <w:p w14:paraId="7343425D" w14:textId="77777777" w:rsidR="006955D9" w:rsidRDefault="006955D9">
      <w:pPr>
        <w:spacing w:line="360" w:lineRule="auto"/>
        <w:jc w:val="both"/>
        <w:rPr>
          <w:rFonts w:ascii="Palatino Linotype" w:eastAsia="Palatino Linotype" w:hAnsi="Palatino Linotype" w:cs="Palatino Linotype"/>
          <w:sz w:val="22"/>
          <w:szCs w:val="22"/>
        </w:rPr>
      </w:pPr>
    </w:p>
    <w:p w14:paraId="7655DE98"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En respuesta, 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por conducto de la Titular de la Unidad de Transparencia hizo del conocimiento de la persona solicitante que una vez realizada la búsqueda exhaustiva y minuciosa de la información requerida, el Listado de la estructura del Sindicato de Maestros al Servicio del Estado de México, es información que le atribuye de manera exclusiva al SMSEM, ya que se constituye con el voto secreto de los agremiados, siendo en su totalidad asuntos internos de índole sindical que le atañen y son de interés exclusivo para los agremiados de ese sindicato y por tanto no son asuntos de interés público para terceros ajenos a la organización gremial.</w:t>
      </w:r>
    </w:p>
    <w:p w14:paraId="57497450"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38000E15"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Una vez conocida la respuesta emitida por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la parte Recurrente</w:t>
      </w:r>
      <w:r>
        <w:rPr>
          <w:rFonts w:ascii="Palatino Linotype" w:eastAsia="Palatino Linotype" w:hAnsi="Palatino Linotype" w:cs="Palatino Linotype"/>
          <w:sz w:val="22"/>
          <w:szCs w:val="22"/>
        </w:rPr>
        <w:t>, al no estar conforme con los términos de la misma, interpuso el recurso de revisión que nos ocupa, inconformándose medularmente por la negativa a la entrega de la información, ya que a su consideración la estructura sindical funciona en su operación con financiamiento y es el reflejo de lo invertido.</w:t>
      </w:r>
    </w:p>
    <w:p w14:paraId="7529207B" w14:textId="77777777" w:rsidR="006955D9" w:rsidRDefault="006955D9">
      <w:pPr>
        <w:spacing w:line="360" w:lineRule="auto"/>
        <w:jc w:val="both"/>
        <w:rPr>
          <w:rFonts w:ascii="Palatino Linotype" w:eastAsia="Palatino Linotype" w:hAnsi="Palatino Linotype" w:cs="Palatino Linotype"/>
          <w:sz w:val="22"/>
          <w:szCs w:val="22"/>
        </w:rPr>
      </w:pPr>
    </w:p>
    <w:p w14:paraId="45CFFB41"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las cosas, durante la etapa de manifestaciones, de las constancias que obran en el expediente en que se actúa se desprende que,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rindió su informe justificado en el que medularmente se ratificó la respuesta inicial ya que la Secretaría de Organización I, como funcionaria sindical habilitada refirió que la información es de interés e impacto sindical y de manera exclusiva para los agremiados, por no ser información que involucre el ejercicio de recursos públicos ni actos de autoridad que sean del conocimiento de la sociedad que no forme parte del sindicato.</w:t>
      </w:r>
    </w:p>
    <w:p w14:paraId="56E6CE18" w14:textId="77777777" w:rsidR="006955D9" w:rsidRDefault="006955D9">
      <w:pPr>
        <w:spacing w:line="360" w:lineRule="auto"/>
        <w:jc w:val="both"/>
        <w:rPr>
          <w:rFonts w:ascii="Palatino Linotype" w:eastAsia="Palatino Linotype" w:hAnsi="Palatino Linotype" w:cs="Palatino Linotype"/>
          <w:sz w:val="22"/>
          <w:szCs w:val="22"/>
        </w:rPr>
      </w:pPr>
    </w:p>
    <w:p w14:paraId="6F7D549E" w14:textId="77777777" w:rsidR="006955D9" w:rsidRDefault="00627D1D">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Por su lado, la </w:t>
      </w:r>
      <w:r>
        <w:rPr>
          <w:rFonts w:ascii="Palatino Linotype" w:eastAsia="Palatino Linotype" w:hAnsi="Palatino Linotype" w:cs="Palatino Linotype"/>
          <w:b/>
          <w:sz w:val="22"/>
          <w:szCs w:val="22"/>
        </w:rPr>
        <w:t xml:space="preserve">parte Recurrente </w:t>
      </w:r>
      <w:r>
        <w:rPr>
          <w:rFonts w:ascii="Palatino Linotype" w:eastAsia="Palatino Linotype" w:hAnsi="Palatino Linotype" w:cs="Palatino Linotype"/>
          <w:sz w:val="22"/>
          <w:szCs w:val="22"/>
        </w:rPr>
        <w:t xml:space="preserve">fue omisa en realizar manifestaciones o rendir alegatos que a su derecho resultaran convenientes con relación al informe justificado rendido por el </w:t>
      </w:r>
      <w:r>
        <w:rPr>
          <w:rFonts w:ascii="Palatino Linotype" w:eastAsia="Palatino Linotype" w:hAnsi="Palatino Linotype" w:cs="Palatino Linotype"/>
          <w:b/>
          <w:sz w:val="22"/>
          <w:szCs w:val="22"/>
        </w:rPr>
        <w:t>Sujeto Obligado.</w:t>
      </w:r>
    </w:p>
    <w:p w14:paraId="362432CD" w14:textId="77777777" w:rsidR="006955D9" w:rsidRDefault="006955D9">
      <w:pPr>
        <w:spacing w:line="360" w:lineRule="auto"/>
        <w:jc w:val="both"/>
        <w:rPr>
          <w:rFonts w:ascii="Palatino Linotype" w:eastAsia="Palatino Linotype" w:hAnsi="Palatino Linotype" w:cs="Palatino Linotype"/>
          <w:b/>
          <w:sz w:val="22"/>
          <w:szCs w:val="22"/>
        </w:rPr>
      </w:pPr>
    </w:p>
    <w:p w14:paraId="25BDB0A0" w14:textId="77777777" w:rsidR="00837123" w:rsidRPr="00837123" w:rsidRDefault="00837123" w:rsidP="00837123">
      <w:pPr>
        <w:spacing w:line="360" w:lineRule="auto"/>
        <w:jc w:val="both"/>
        <w:rPr>
          <w:rFonts w:ascii="Palatino Linotype" w:hAnsi="Palatino Linotype" w:cs="Tahoma"/>
          <w:sz w:val="22"/>
          <w:szCs w:val="22"/>
        </w:rPr>
      </w:pPr>
      <w:r w:rsidRPr="00837123">
        <w:rPr>
          <w:rFonts w:ascii="Palatino Linotype" w:hAnsi="Palatino Linotype" w:cs="Tahoma"/>
          <w:sz w:val="22"/>
          <w:szCs w:val="22"/>
        </w:rPr>
        <w:t>Dicho lo anterior, se procede a verificar si lo requerido, corresponde a información que tenga que ser proporcionada por el Sindicato, en términos de la Ley de Transparencia y Acceso a la Información Pública del Estado de México; para tal circunstancia, resulta necesario precisar la naturaleza jurídica de los sindicatos.</w:t>
      </w:r>
    </w:p>
    <w:p w14:paraId="792DAEE8" w14:textId="77777777" w:rsidR="00837123" w:rsidRPr="00837123" w:rsidRDefault="00837123" w:rsidP="00837123">
      <w:pPr>
        <w:spacing w:line="360" w:lineRule="auto"/>
        <w:jc w:val="both"/>
        <w:rPr>
          <w:rFonts w:ascii="Palatino Linotype" w:hAnsi="Palatino Linotype" w:cs="Tahoma"/>
          <w:sz w:val="22"/>
          <w:szCs w:val="22"/>
        </w:rPr>
      </w:pPr>
    </w:p>
    <w:p w14:paraId="689BF0BE" w14:textId="77777777" w:rsidR="00837123" w:rsidRPr="00837123" w:rsidRDefault="00837123" w:rsidP="00837123">
      <w:pPr>
        <w:spacing w:line="360" w:lineRule="auto"/>
        <w:jc w:val="both"/>
        <w:rPr>
          <w:rFonts w:ascii="Palatino Linotype" w:eastAsia="Calibri" w:hAnsi="Palatino Linotype" w:cs="Tahoma"/>
          <w:b/>
          <w:sz w:val="22"/>
          <w:szCs w:val="22"/>
          <w:lang w:eastAsia="en-US"/>
        </w:rPr>
      </w:pPr>
      <w:r w:rsidRPr="00837123">
        <w:rPr>
          <w:rFonts w:ascii="Palatino Linotype" w:eastAsia="Calibri" w:hAnsi="Palatino Linotype" w:cs="Tahoma"/>
          <w:sz w:val="22"/>
          <w:szCs w:val="22"/>
          <w:lang w:eastAsia="en-US"/>
        </w:rPr>
        <w:t xml:space="preserve">Al respecto, el artículo 123, apartado A, fracción XVI y apartado B, fracción X, de la Constitución Política de los Estados Unidos Mexicanos, establece que los trabajadores tendrán el derecho de asociarse para la defensa de sus intereses comunes, a través de la </w:t>
      </w:r>
      <w:r w:rsidRPr="00837123">
        <w:rPr>
          <w:rFonts w:ascii="Palatino Linotype" w:eastAsia="Calibri" w:hAnsi="Palatino Linotype" w:cs="Tahoma"/>
          <w:b/>
          <w:sz w:val="22"/>
          <w:szCs w:val="22"/>
          <w:lang w:eastAsia="en-US"/>
        </w:rPr>
        <w:t>formación de sindicatos.</w:t>
      </w:r>
    </w:p>
    <w:p w14:paraId="416F899B" w14:textId="77777777" w:rsidR="00837123" w:rsidRPr="00837123" w:rsidRDefault="00837123" w:rsidP="00837123">
      <w:pPr>
        <w:spacing w:line="360" w:lineRule="auto"/>
        <w:jc w:val="both"/>
        <w:rPr>
          <w:rFonts w:ascii="Palatino Linotype" w:eastAsia="Calibri" w:hAnsi="Palatino Linotype" w:cs="Tahoma"/>
          <w:b/>
          <w:sz w:val="22"/>
          <w:szCs w:val="22"/>
          <w:lang w:eastAsia="en-US"/>
        </w:rPr>
      </w:pPr>
    </w:p>
    <w:p w14:paraId="6EFEDE51" w14:textId="77777777" w:rsidR="00837123" w:rsidRPr="00837123" w:rsidRDefault="00837123" w:rsidP="00837123">
      <w:pPr>
        <w:spacing w:line="360" w:lineRule="auto"/>
        <w:jc w:val="both"/>
        <w:rPr>
          <w:rFonts w:ascii="Palatino Linotype" w:eastAsia="Calibri" w:hAnsi="Palatino Linotype" w:cs="Tahoma"/>
          <w:sz w:val="22"/>
          <w:szCs w:val="22"/>
          <w:lang w:eastAsia="en-US"/>
        </w:rPr>
      </w:pPr>
      <w:r w:rsidRPr="00837123">
        <w:rPr>
          <w:rFonts w:ascii="Palatino Linotype" w:eastAsia="Calibri" w:hAnsi="Palatino Linotype" w:cs="Tahoma"/>
          <w:sz w:val="22"/>
          <w:szCs w:val="22"/>
          <w:lang w:eastAsia="en-US"/>
        </w:rPr>
        <w:t xml:space="preserve">De la misma manera, el artículo 23, punto 4, de la Declaración Universal de Derechos Humanos, determina que toda persona tiene derecho a fundar sindicatos y </w:t>
      </w:r>
      <w:r w:rsidRPr="00837123">
        <w:rPr>
          <w:rFonts w:ascii="Palatino Linotype" w:eastAsia="Calibri" w:hAnsi="Palatino Linotype" w:cs="Tahoma"/>
          <w:b/>
          <w:sz w:val="22"/>
          <w:szCs w:val="22"/>
          <w:lang w:eastAsia="en-US"/>
        </w:rPr>
        <w:t xml:space="preserve">a sindicarse para la defensa de sus intereses. </w:t>
      </w:r>
      <w:r w:rsidRPr="00837123">
        <w:rPr>
          <w:rFonts w:ascii="Palatino Linotype" w:eastAsia="Calibri" w:hAnsi="Palatino Linotype" w:cs="Tahoma"/>
          <w:sz w:val="22"/>
          <w:szCs w:val="22"/>
          <w:lang w:eastAsia="en-US"/>
        </w:rPr>
        <w:t xml:space="preserve">Por su parte, el denominado “Pacto de San José” (Convención Americana sobre Derechos Humanos), en su artículo 16, punto 1, indica que toda persona tiene derecho a </w:t>
      </w:r>
      <w:r w:rsidRPr="00837123">
        <w:rPr>
          <w:rFonts w:ascii="Palatino Linotype" w:eastAsia="Calibri" w:hAnsi="Palatino Linotype" w:cs="Tahoma"/>
          <w:b/>
          <w:sz w:val="22"/>
          <w:szCs w:val="22"/>
          <w:lang w:eastAsia="en-US"/>
        </w:rPr>
        <w:t>asociarse libremente con fines laborales y sociales.</w:t>
      </w:r>
    </w:p>
    <w:p w14:paraId="42A3AF8E" w14:textId="77777777" w:rsidR="00837123" w:rsidRPr="00837123" w:rsidRDefault="00837123" w:rsidP="00837123">
      <w:pPr>
        <w:spacing w:line="360" w:lineRule="auto"/>
        <w:jc w:val="both"/>
        <w:rPr>
          <w:rFonts w:ascii="Palatino Linotype" w:eastAsia="Calibri" w:hAnsi="Palatino Linotype" w:cs="Tahoma"/>
          <w:sz w:val="22"/>
          <w:szCs w:val="22"/>
          <w:lang w:eastAsia="en-US"/>
        </w:rPr>
      </w:pPr>
    </w:p>
    <w:p w14:paraId="1C92A43E" w14:textId="77777777" w:rsidR="00837123" w:rsidRPr="00837123" w:rsidRDefault="00837123" w:rsidP="00837123">
      <w:pPr>
        <w:spacing w:line="360" w:lineRule="auto"/>
        <w:jc w:val="both"/>
        <w:rPr>
          <w:rFonts w:ascii="Palatino Linotype" w:hAnsi="Palatino Linotype" w:cs="Tahoma"/>
          <w:sz w:val="22"/>
          <w:szCs w:val="22"/>
        </w:rPr>
      </w:pPr>
      <w:r w:rsidRPr="00837123">
        <w:rPr>
          <w:rFonts w:ascii="Palatino Linotype" w:hAnsi="Palatino Linotype" w:cs="Tahoma"/>
          <w:sz w:val="22"/>
          <w:szCs w:val="22"/>
        </w:rPr>
        <w:t xml:space="preserve">En ese orden de ideas, conforme a los artículos 356 de la Ley Federal del Trabajo y 138 de la Ley de Trabajo de los Servidores Públicos del Estado de México y Municipios, un Sindicato </w:t>
      </w:r>
      <w:r w:rsidRPr="00837123">
        <w:rPr>
          <w:rFonts w:ascii="Palatino Linotype" w:hAnsi="Palatino Linotype" w:cs="Tahoma"/>
          <w:b/>
          <w:sz w:val="22"/>
          <w:szCs w:val="22"/>
        </w:rPr>
        <w:t>es una asociación de servidores públicos generales, constituida para el estudio, mejoramiento y defensa de sus intereses comunes.</w:t>
      </w:r>
      <w:r w:rsidRPr="00837123">
        <w:rPr>
          <w:rFonts w:ascii="Palatino Linotype" w:hAnsi="Palatino Linotype" w:cs="Tahoma"/>
          <w:sz w:val="22"/>
          <w:szCs w:val="22"/>
        </w:rPr>
        <w:t xml:space="preserve"> </w:t>
      </w:r>
    </w:p>
    <w:p w14:paraId="40B3A734" w14:textId="77777777" w:rsidR="00837123" w:rsidRPr="00837123" w:rsidRDefault="00837123" w:rsidP="00837123">
      <w:pPr>
        <w:spacing w:line="360" w:lineRule="auto"/>
        <w:jc w:val="both"/>
        <w:rPr>
          <w:rFonts w:ascii="Palatino Linotype" w:hAnsi="Palatino Linotype" w:cs="Tahoma"/>
          <w:sz w:val="22"/>
          <w:szCs w:val="22"/>
        </w:rPr>
      </w:pPr>
    </w:p>
    <w:p w14:paraId="47225713" w14:textId="77777777" w:rsidR="00837123" w:rsidRPr="00837123" w:rsidRDefault="00837123" w:rsidP="00837123">
      <w:pPr>
        <w:spacing w:line="360" w:lineRule="auto"/>
        <w:jc w:val="both"/>
        <w:rPr>
          <w:rFonts w:ascii="Palatino Linotype" w:hAnsi="Palatino Linotype" w:cs="Tahoma"/>
          <w:sz w:val="22"/>
          <w:szCs w:val="22"/>
        </w:rPr>
      </w:pPr>
      <w:r w:rsidRPr="00837123">
        <w:rPr>
          <w:rFonts w:ascii="Palatino Linotype" w:hAnsi="Palatino Linotype" w:cs="Tahoma"/>
          <w:bCs/>
          <w:sz w:val="22"/>
          <w:szCs w:val="22"/>
        </w:rPr>
        <w:t xml:space="preserve">En ese  sentido, según Kurczyn, Patricia (2016), Revista latinoamericana de derecho social, número 22 (consultada el trece de diciembre de dos mil veintitrés, en la liga electrónica </w:t>
      </w:r>
      <w:hyperlink r:id="rId8" w:history="1">
        <w:r w:rsidRPr="00837123">
          <w:rPr>
            <w:rStyle w:val="Hipervnculo"/>
            <w:rFonts w:ascii="Palatino Linotype" w:hAnsi="Palatino Linotype" w:cs="Tahoma"/>
            <w:bCs/>
            <w:sz w:val="22"/>
            <w:szCs w:val="22"/>
          </w:rPr>
          <w:t>http://www.scielo.org.mx/scielo.php?script=sci_arttext&amp;pid=S1870-46702016000100010</w:t>
        </w:r>
      </w:hyperlink>
      <w:r w:rsidRPr="00837123">
        <w:rPr>
          <w:rFonts w:ascii="Palatino Linotype" w:hAnsi="Palatino Linotype" w:cs="Tahoma"/>
          <w:bCs/>
          <w:sz w:val="22"/>
          <w:szCs w:val="22"/>
        </w:rPr>
        <w:t xml:space="preserve">), los Sindicatos son asociaciones de trabajadores, por lo que, no son sociedades o asociaciones </w:t>
      </w:r>
      <w:r w:rsidRPr="00837123">
        <w:rPr>
          <w:rFonts w:ascii="Palatino Linotype" w:hAnsi="Palatino Linotype" w:cs="Tahoma"/>
          <w:bCs/>
          <w:sz w:val="22"/>
          <w:szCs w:val="22"/>
        </w:rPr>
        <w:lastRenderedPageBreak/>
        <w:t>civiles, ni mercantiles, sino exclusivamente laborales cuyo registro se lleva ante las autoridades laborales correspondientes, a nivel Federal o Local.</w:t>
      </w:r>
    </w:p>
    <w:p w14:paraId="0B733DEF" w14:textId="77777777" w:rsidR="00837123" w:rsidRPr="00837123" w:rsidRDefault="00837123" w:rsidP="00837123">
      <w:pPr>
        <w:spacing w:line="360" w:lineRule="auto"/>
        <w:jc w:val="both"/>
        <w:rPr>
          <w:rFonts w:ascii="Palatino Linotype" w:hAnsi="Palatino Linotype" w:cs="Tahoma"/>
          <w:sz w:val="22"/>
          <w:szCs w:val="22"/>
        </w:rPr>
      </w:pPr>
    </w:p>
    <w:p w14:paraId="5F1BBEFB" w14:textId="77777777" w:rsidR="00837123" w:rsidRPr="00837123" w:rsidRDefault="00837123" w:rsidP="00837123">
      <w:pPr>
        <w:spacing w:line="360" w:lineRule="auto"/>
        <w:jc w:val="both"/>
        <w:rPr>
          <w:rFonts w:ascii="Palatino Linotype" w:eastAsia="Arial Unicode MS" w:hAnsi="Palatino Linotype" w:cs="Tahoma"/>
          <w:b/>
          <w:sz w:val="22"/>
          <w:szCs w:val="22"/>
          <w:lang w:eastAsia="en-US"/>
        </w:rPr>
      </w:pPr>
      <w:r w:rsidRPr="00837123">
        <w:rPr>
          <w:rFonts w:ascii="Palatino Linotype" w:eastAsia="Arial Unicode MS" w:hAnsi="Palatino Linotype" w:cs="Tahoma"/>
          <w:sz w:val="22"/>
          <w:szCs w:val="22"/>
          <w:lang w:eastAsia="en-US"/>
        </w:rPr>
        <w:t xml:space="preserve">En ese orden de ideas, los sindicatos </w:t>
      </w:r>
      <w:r w:rsidRPr="00837123">
        <w:rPr>
          <w:rFonts w:ascii="Palatino Linotype" w:eastAsia="Arial Unicode MS" w:hAnsi="Palatino Linotype" w:cs="Tahoma"/>
          <w:b/>
          <w:sz w:val="22"/>
          <w:szCs w:val="22"/>
          <w:lang w:eastAsia="en-US"/>
        </w:rPr>
        <w:t>son personas jurídico colectivas, de derecho social</w:t>
      </w:r>
      <w:r w:rsidRPr="00837123">
        <w:rPr>
          <w:rFonts w:ascii="Palatino Linotype" w:eastAsia="Arial Unicode MS" w:hAnsi="Palatino Linotype" w:cs="Tahoma"/>
          <w:sz w:val="22"/>
          <w:szCs w:val="22"/>
          <w:lang w:eastAsia="en-US"/>
        </w:rPr>
        <w:t xml:space="preserve">, que no se constituyen mediante actos públicos, ni con fe notarial, </w:t>
      </w:r>
      <w:r w:rsidRPr="00837123">
        <w:rPr>
          <w:rFonts w:ascii="Palatino Linotype" w:eastAsia="Arial Unicode MS" w:hAnsi="Palatino Linotype" w:cs="Tahoma"/>
          <w:b/>
          <w:sz w:val="22"/>
          <w:szCs w:val="22"/>
          <w:lang w:eastAsia="en-US"/>
        </w:rPr>
        <w:t>sino que se crean</w:t>
      </w:r>
      <w:r w:rsidRPr="00837123">
        <w:rPr>
          <w:rFonts w:ascii="Palatino Linotype" w:eastAsia="Arial Unicode MS" w:hAnsi="Palatino Linotype" w:cs="Tahoma"/>
          <w:sz w:val="22"/>
          <w:szCs w:val="22"/>
          <w:lang w:eastAsia="en-US"/>
        </w:rPr>
        <w:t xml:space="preserve">, en ejercicio del derecho de asociación, que es </w:t>
      </w:r>
      <w:r w:rsidRPr="00837123">
        <w:rPr>
          <w:rFonts w:ascii="Palatino Linotype" w:eastAsia="Arial Unicode MS" w:hAnsi="Palatino Linotype" w:cs="Tahoma"/>
          <w:b/>
          <w:sz w:val="22"/>
          <w:szCs w:val="22"/>
          <w:lang w:eastAsia="en-US"/>
        </w:rPr>
        <w:t xml:space="preserve">libre y voluntaria; </w:t>
      </w:r>
      <w:r w:rsidRPr="00837123">
        <w:rPr>
          <w:rFonts w:ascii="Palatino Linotype" w:eastAsia="Arial Unicode MS" w:hAnsi="Palatino Linotype" w:cs="Tahoma"/>
          <w:sz w:val="22"/>
          <w:szCs w:val="22"/>
          <w:lang w:eastAsia="en-US"/>
        </w:rPr>
        <w:t xml:space="preserve"> por lo que, se puede colegir </w:t>
      </w:r>
      <w:r w:rsidRPr="00837123">
        <w:rPr>
          <w:rFonts w:ascii="Palatino Linotype" w:eastAsia="Arial Unicode MS" w:hAnsi="Palatino Linotype" w:cs="Tahoma"/>
          <w:b/>
          <w:sz w:val="22"/>
          <w:szCs w:val="22"/>
          <w:lang w:eastAsia="en-US"/>
        </w:rPr>
        <w:t>que son un agrupamiento de trabajadores subordinados a un patrón o empleador público, cuya finalidad es la defensa de sus intereses como prestadores de trabajo remunerado, cuya representación colectiva les permite enfrentarse a sus empleadores.</w:t>
      </w:r>
    </w:p>
    <w:p w14:paraId="467A9620" w14:textId="77777777" w:rsidR="00837123" w:rsidRPr="00837123" w:rsidRDefault="00837123" w:rsidP="00837123">
      <w:pPr>
        <w:spacing w:line="360" w:lineRule="auto"/>
        <w:jc w:val="both"/>
        <w:rPr>
          <w:rFonts w:ascii="Palatino Linotype" w:eastAsia="Arial Unicode MS" w:hAnsi="Palatino Linotype" w:cs="Tahoma"/>
          <w:sz w:val="22"/>
          <w:szCs w:val="22"/>
          <w:lang w:eastAsia="en-US"/>
        </w:rPr>
      </w:pPr>
    </w:p>
    <w:p w14:paraId="67DE1586" w14:textId="77777777" w:rsidR="00837123" w:rsidRPr="00837123" w:rsidRDefault="00837123" w:rsidP="00837123">
      <w:pPr>
        <w:spacing w:line="360" w:lineRule="auto"/>
        <w:jc w:val="both"/>
        <w:rPr>
          <w:rFonts w:ascii="Palatino Linotype" w:hAnsi="Palatino Linotype" w:cs="Tahoma"/>
          <w:sz w:val="22"/>
          <w:szCs w:val="22"/>
        </w:rPr>
      </w:pPr>
      <w:r w:rsidRPr="00837123">
        <w:rPr>
          <w:rFonts w:ascii="Palatino Linotype" w:eastAsia="Arial Unicode MS" w:hAnsi="Palatino Linotype" w:cs="Tahoma"/>
          <w:sz w:val="22"/>
          <w:szCs w:val="22"/>
          <w:lang w:eastAsia="en-US"/>
        </w:rPr>
        <w:t xml:space="preserve">Así, se concluye que todos los sindicatos al ser un medio para proteger y mejorar los intereses de los trabajadores frente a sus patrones, en el presente caso de servidores públicos, son agrupaciones que tienen una naturaleza jurídica especial, derivada del derecho laboral y social; lo anterior, toda vez que, se constituyen por voluntad de los trabajadores y la legislación en materia laboral determina los requisitos para su conformación, creación y operación. De lo anterior, destaca que persiguen un fin particular que es la defensa de los derechos laborales de quienes integren el sindicato, no así, de un interés público, </w:t>
      </w:r>
      <w:r w:rsidRPr="00837123">
        <w:rPr>
          <w:rFonts w:ascii="Palatino Linotype" w:eastAsia="Arial Unicode MS" w:hAnsi="Palatino Linotype" w:cs="Tahoma"/>
          <w:b/>
          <w:sz w:val="22"/>
          <w:szCs w:val="22"/>
          <w:lang w:eastAsia="en-US"/>
        </w:rPr>
        <w:t>que tenga beneficio o afectación a la sociedad en general.</w:t>
      </w:r>
    </w:p>
    <w:p w14:paraId="4DECB5F5" w14:textId="77777777" w:rsidR="00837123" w:rsidRDefault="00837123">
      <w:pPr>
        <w:spacing w:line="360" w:lineRule="auto"/>
        <w:jc w:val="both"/>
        <w:rPr>
          <w:rFonts w:ascii="Palatino Linotype" w:eastAsia="Palatino Linotype" w:hAnsi="Palatino Linotype" w:cs="Palatino Linotype"/>
          <w:sz w:val="22"/>
          <w:szCs w:val="22"/>
        </w:rPr>
      </w:pPr>
    </w:p>
    <w:p w14:paraId="0D0D50A6" w14:textId="77777777" w:rsidR="00837123" w:rsidRPr="00837123" w:rsidRDefault="00837123" w:rsidP="00837123">
      <w:pPr>
        <w:spacing w:line="360" w:lineRule="auto"/>
        <w:jc w:val="both"/>
        <w:rPr>
          <w:rFonts w:ascii="Palatino Linotype" w:eastAsia="Calibri" w:hAnsi="Palatino Linotype" w:cs="Arial"/>
          <w:b/>
          <w:sz w:val="22"/>
          <w:szCs w:val="22"/>
          <w:lang w:eastAsia="en-US"/>
        </w:rPr>
      </w:pPr>
      <w:r>
        <w:rPr>
          <w:rFonts w:ascii="Palatino Linotype" w:eastAsia="Calibri" w:hAnsi="Palatino Linotype" w:cs="Arial"/>
          <w:sz w:val="22"/>
          <w:szCs w:val="22"/>
          <w:lang w:eastAsia="en-US"/>
        </w:rPr>
        <w:t xml:space="preserve">Así, </w:t>
      </w:r>
      <w:r w:rsidRPr="00837123">
        <w:rPr>
          <w:rFonts w:ascii="Palatino Linotype" w:eastAsia="Calibri" w:hAnsi="Palatino Linotype" w:cs="Arial"/>
          <w:sz w:val="22"/>
          <w:szCs w:val="22"/>
          <w:lang w:eastAsia="en-US"/>
        </w:rPr>
        <w:t xml:space="preserve">la Ley General de Transparencia y Acceso a la Información Pública, establece en su artículo 23, que son sujetos obligados a transparentar y permitir el acceso a su información, así como a proteger los datos personales que obren en su poder, además de las instituciones públicas, cualquier persona física, moral o </w:t>
      </w:r>
      <w:r w:rsidRPr="00837123">
        <w:rPr>
          <w:rFonts w:ascii="Palatino Linotype" w:eastAsia="Calibri" w:hAnsi="Palatino Linotype" w:cs="Arial"/>
          <w:b/>
          <w:sz w:val="22"/>
          <w:szCs w:val="22"/>
          <w:lang w:eastAsia="en-US"/>
        </w:rPr>
        <w:t>sindicato que reciba y ejerza recursos públicos o realice actos de autoridad en los ámbitos federal, estatal y municipal.</w:t>
      </w:r>
    </w:p>
    <w:p w14:paraId="52DB9F35" w14:textId="77777777" w:rsidR="00837123" w:rsidRPr="00837123" w:rsidRDefault="00837123" w:rsidP="00837123">
      <w:pPr>
        <w:spacing w:line="360" w:lineRule="auto"/>
        <w:jc w:val="both"/>
        <w:rPr>
          <w:rFonts w:ascii="Palatino Linotype" w:eastAsia="Calibri" w:hAnsi="Palatino Linotype" w:cs="Arial"/>
          <w:b/>
          <w:sz w:val="22"/>
          <w:szCs w:val="22"/>
          <w:lang w:eastAsia="en-US"/>
        </w:rPr>
      </w:pPr>
    </w:p>
    <w:p w14:paraId="4E77A937" w14:textId="77777777" w:rsidR="00837123" w:rsidRPr="00837123" w:rsidRDefault="00837123" w:rsidP="00837123">
      <w:pPr>
        <w:spacing w:line="360" w:lineRule="auto"/>
        <w:jc w:val="both"/>
        <w:rPr>
          <w:rFonts w:ascii="Palatino Linotype" w:hAnsi="Palatino Linotype" w:cs="Arial"/>
          <w:bCs/>
          <w:sz w:val="22"/>
          <w:szCs w:val="22"/>
        </w:rPr>
      </w:pPr>
      <w:r w:rsidRPr="00837123">
        <w:rPr>
          <w:rFonts w:ascii="Palatino Linotype" w:hAnsi="Palatino Linotype" w:cs="Arial"/>
          <w:bCs/>
          <w:sz w:val="22"/>
          <w:szCs w:val="22"/>
        </w:rPr>
        <w:lastRenderedPageBreak/>
        <w:t xml:space="preserve">En congruencia, con la Ley General antes citada, el artículo 3°, fracción XLI, de la </w:t>
      </w:r>
      <w:r w:rsidRPr="00837123">
        <w:rPr>
          <w:rFonts w:ascii="Palatino Linotype" w:hAnsi="Palatino Linotype" w:cs="Arial"/>
          <w:sz w:val="22"/>
          <w:szCs w:val="22"/>
        </w:rPr>
        <w:t xml:space="preserve">Ley </w:t>
      </w:r>
      <w:r w:rsidRPr="00837123">
        <w:rPr>
          <w:rFonts w:ascii="Palatino Linotype" w:hAnsi="Palatino Linotype" w:cs="Arial"/>
          <w:bCs/>
          <w:sz w:val="22"/>
          <w:szCs w:val="22"/>
        </w:rPr>
        <w:t>de Transparencia y Acceso a la Información Pública del Estado de México y Municipios, establece lo siguiente:</w:t>
      </w:r>
    </w:p>
    <w:p w14:paraId="5FA39193" w14:textId="77777777" w:rsidR="00837123" w:rsidRPr="00837123" w:rsidRDefault="00837123" w:rsidP="00837123">
      <w:pPr>
        <w:spacing w:line="360" w:lineRule="auto"/>
        <w:ind w:right="49"/>
        <w:jc w:val="both"/>
        <w:rPr>
          <w:rFonts w:ascii="Palatino Linotype" w:hAnsi="Palatino Linotype" w:cs="Arial"/>
          <w:bCs/>
          <w:sz w:val="22"/>
          <w:szCs w:val="22"/>
        </w:rPr>
      </w:pPr>
    </w:p>
    <w:p w14:paraId="21149224" w14:textId="77777777" w:rsidR="00837123" w:rsidRPr="00837123" w:rsidRDefault="00837123" w:rsidP="00837123">
      <w:pPr>
        <w:spacing w:line="276" w:lineRule="auto"/>
        <w:ind w:left="567" w:right="567"/>
        <w:jc w:val="both"/>
        <w:rPr>
          <w:rFonts w:ascii="Palatino Linotype" w:eastAsia="Calibri" w:hAnsi="Palatino Linotype" w:cs="Arial"/>
          <w:i/>
          <w:sz w:val="22"/>
          <w:szCs w:val="22"/>
          <w:lang w:eastAsia="en-US"/>
        </w:rPr>
      </w:pPr>
      <w:r w:rsidRPr="00837123">
        <w:rPr>
          <w:rFonts w:ascii="Palatino Linotype" w:eastAsia="Calibri" w:hAnsi="Palatino Linotype" w:cs="Arial"/>
          <w:b/>
          <w:i/>
          <w:sz w:val="22"/>
          <w:szCs w:val="22"/>
          <w:lang w:eastAsia="en-US"/>
        </w:rPr>
        <w:t xml:space="preserve">“Artículo 3. </w:t>
      </w:r>
      <w:r w:rsidRPr="00837123">
        <w:rPr>
          <w:rFonts w:ascii="Palatino Linotype" w:eastAsia="Calibri" w:hAnsi="Palatino Linotype" w:cs="Arial"/>
          <w:i/>
          <w:sz w:val="22"/>
          <w:szCs w:val="22"/>
          <w:lang w:eastAsia="en-US"/>
        </w:rPr>
        <w:t>Para los efectos de la presente Ley se entenderá por:</w:t>
      </w:r>
    </w:p>
    <w:p w14:paraId="2D372B79" w14:textId="77777777" w:rsidR="00837123" w:rsidRPr="00837123" w:rsidRDefault="00837123" w:rsidP="00837123">
      <w:pPr>
        <w:spacing w:line="276" w:lineRule="auto"/>
        <w:ind w:left="567" w:right="567"/>
        <w:jc w:val="both"/>
        <w:rPr>
          <w:rFonts w:ascii="Palatino Linotype" w:eastAsia="Calibri" w:hAnsi="Palatino Linotype" w:cs="Arial"/>
          <w:i/>
          <w:sz w:val="22"/>
          <w:szCs w:val="22"/>
          <w:lang w:eastAsia="en-US"/>
        </w:rPr>
      </w:pPr>
      <w:r w:rsidRPr="00837123">
        <w:rPr>
          <w:rFonts w:ascii="Palatino Linotype" w:eastAsia="Calibri" w:hAnsi="Palatino Linotype" w:cs="Arial"/>
          <w:b/>
          <w:i/>
          <w:sz w:val="22"/>
          <w:szCs w:val="22"/>
          <w:lang w:eastAsia="en-US"/>
        </w:rPr>
        <w:t>I.</w:t>
      </w:r>
      <w:r w:rsidRPr="00837123">
        <w:rPr>
          <w:rFonts w:ascii="Palatino Linotype" w:eastAsia="Calibri" w:hAnsi="Palatino Linotype" w:cs="Arial"/>
          <w:i/>
          <w:sz w:val="22"/>
          <w:szCs w:val="22"/>
          <w:lang w:eastAsia="en-US"/>
        </w:rPr>
        <w:t xml:space="preserve"> a </w:t>
      </w:r>
      <w:r w:rsidRPr="00837123">
        <w:rPr>
          <w:rFonts w:ascii="Palatino Linotype" w:eastAsia="Calibri" w:hAnsi="Palatino Linotype" w:cs="Arial"/>
          <w:b/>
          <w:i/>
          <w:sz w:val="22"/>
          <w:szCs w:val="22"/>
          <w:lang w:eastAsia="en-US"/>
        </w:rPr>
        <w:t>XL.</w:t>
      </w:r>
      <w:r w:rsidRPr="00837123">
        <w:rPr>
          <w:rFonts w:ascii="Palatino Linotype" w:eastAsia="Calibri" w:hAnsi="Palatino Linotype" w:cs="Arial"/>
          <w:i/>
          <w:sz w:val="22"/>
          <w:szCs w:val="22"/>
          <w:lang w:eastAsia="en-US"/>
        </w:rPr>
        <w:t xml:space="preserve"> …</w:t>
      </w:r>
    </w:p>
    <w:p w14:paraId="388B83DE" w14:textId="77777777" w:rsidR="00837123" w:rsidRPr="00837123" w:rsidRDefault="00837123" w:rsidP="00837123">
      <w:pPr>
        <w:spacing w:line="276" w:lineRule="auto"/>
        <w:ind w:left="567" w:right="567"/>
        <w:jc w:val="both"/>
        <w:rPr>
          <w:rFonts w:ascii="Palatino Linotype" w:eastAsia="Calibri" w:hAnsi="Palatino Linotype" w:cs="Arial"/>
          <w:i/>
          <w:sz w:val="22"/>
          <w:szCs w:val="22"/>
          <w:lang w:eastAsia="en-US"/>
        </w:rPr>
      </w:pPr>
      <w:r w:rsidRPr="00837123">
        <w:rPr>
          <w:rFonts w:ascii="Palatino Linotype" w:eastAsia="Calibri" w:hAnsi="Palatino Linotype" w:cs="Arial"/>
          <w:b/>
          <w:i/>
          <w:sz w:val="22"/>
          <w:szCs w:val="22"/>
          <w:lang w:eastAsia="en-US"/>
        </w:rPr>
        <w:t>XLI.</w:t>
      </w:r>
      <w:r w:rsidRPr="00837123">
        <w:rPr>
          <w:rFonts w:ascii="Palatino Linotype" w:eastAsia="Calibri" w:hAnsi="Palatino Linotype" w:cs="Arial"/>
          <w:i/>
          <w:sz w:val="22"/>
          <w:szCs w:val="22"/>
          <w:lang w:eastAsia="en-US"/>
        </w:rPr>
        <w:t xml:space="preserve"> </w:t>
      </w:r>
      <w:r w:rsidRPr="00837123">
        <w:rPr>
          <w:rFonts w:ascii="Palatino Linotype" w:eastAsia="Calibri" w:hAnsi="Palatino Linotype" w:cs="Arial"/>
          <w:b/>
          <w:i/>
          <w:sz w:val="22"/>
          <w:szCs w:val="22"/>
          <w:lang w:eastAsia="en-US"/>
        </w:rPr>
        <w:t>Sujetos obligados:</w:t>
      </w:r>
      <w:r w:rsidRPr="00837123">
        <w:rPr>
          <w:rFonts w:ascii="Palatino Linotype" w:eastAsia="Calibri" w:hAnsi="Palatino Linotype" w:cs="Arial"/>
          <w:i/>
          <w:sz w:val="22"/>
          <w:szCs w:val="22"/>
          <w:lang w:eastAsia="en-US"/>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w:t>
      </w:r>
    </w:p>
    <w:p w14:paraId="5B4EBD5B" w14:textId="77777777" w:rsidR="00837123" w:rsidRPr="00837123" w:rsidRDefault="00837123" w:rsidP="00837123">
      <w:pPr>
        <w:spacing w:line="276" w:lineRule="auto"/>
        <w:ind w:left="567" w:right="567"/>
        <w:jc w:val="both"/>
        <w:rPr>
          <w:rFonts w:ascii="Palatino Linotype" w:eastAsia="Calibri" w:hAnsi="Palatino Linotype" w:cs="Arial"/>
          <w:i/>
          <w:sz w:val="22"/>
          <w:szCs w:val="22"/>
          <w:lang w:eastAsia="en-US"/>
        </w:rPr>
      </w:pPr>
      <w:r w:rsidRPr="00837123">
        <w:rPr>
          <w:rFonts w:ascii="Palatino Linotype" w:eastAsia="Calibri" w:hAnsi="Palatino Linotype" w:cs="Arial"/>
          <w:b/>
          <w:i/>
          <w:sz w:val="22"/>
          <w:szCs w:val="22"/>
          <w:lang w:eastAsia="en-US"/>
        </w:rPr>
        <w:t xml:space="preserve">XLII. </w:t>
      </w:r>
      <w:r w:rsidRPr="00837123">
        <w:rPr>
          <w:rFonts w:ascii="Palatino Linotype" w:eastAsia="Calibri" w:hAnsi="Palatino Linotype" w:cs="Arial"/>
          <w:i/>
          <w:sz w:val="22"/>
          <w:szCs w:val="22"/>
          <w:lang w:eastAsia="en-US"/>
        </w:rPr>
        <w:t>a</w:t>
      </w:r>
      <w:r w:rsidRPr="00837123">
        <w:rPr>
          <w:rFonts w:ascii="Palatino Linotype" w:eastAsia="Calibri" w:hAnsi="Palatino Linotype" w:cs="Arial"/>
          <w:b/>
          <w:i/>
          <w:sz w:val="22"/>
          <w:szCs w:val="22"/>
          <w:lang w:eastAsia="en-US"/>
        </w:rPr>
        <w:t xml:space="preserve"> XLV.</w:t>
      </w:r>
      <w:r w:rsidRPr="00837123">
        <w:rPr>
          <w:rFonts w:ascii="Palatino Linotype" w:eastAsia="Calibri" w:hAnsi="Palatino Linotype" w:cs="Arial"/>
          <w:i/>
          <w:sz w:val="22"/>
          <w:szCs w:val="22"/>
          <w:lang w:eastAsia="en-US"/>
        </w:rPr>
        <w:t>…”</w:t>
      </w:r>
    </w:p>
    <w:p w14:paraId="76C32080" w14:textId="77777777" w:rsidR="00837123" w:rsidRPr="00837123" w:rsidRDefault="00837123" w:rsidP="00837123">
      <w:pPr>
        <w:spacing w:line="360" w:lineRule="auto"/>
        <w:jc w:val="both"/>
        <w:rPr>
          <w:rFonts w:ascii="Palatino Linotype" w:hAnsi="Palatino Linotype" w:cs="Arial"/>
          <w:bCs/>
          <w:sz w:val="22"/>
          <w:szCs w:val="22"/>
        </w:rPr>
      </w:pPr>
    </w:p>
    <w:p w14:paraId="36C2C38A" w14:textId="77777777" w:rsidR="00837123" w:rsidRDefault="00837123" w:rsidP="00837123">
      <w:pPr>
        <w:spacing w:line="360" w:lineRule="auto"/>
        <w:jc w:val="both"/>
        <w:rPr>
          <w:rFonts w:ascii="Palatino Linotype" w:eastAsia="Calibri" w:hAnsi="Palatino Linotype" w:cs="Arial"/>
          <w:sz w:val="22"/>
          <w:szCs w:val="22"/>
          <w:lang w:eastAsia="en-US"/>
        </w:rPr>
      </w:pPr>
      <w:r w:rsidRPr="00837123">
        <w:rPr>
          <w:rFonts w:ascii="Palatino Linotype" w:hAnsi="Palatino Linotype" w:cs="Arial"/>
          <w:bCs/>
          <w:sz w:val="22"/>
          <w:szCs w:val="22"/>
        </w:rPr>
        <w:t xml:space="preserve">De las disposiciones previamente referidas, se desprende que los Sujetos Obligados de las Leyes de Transparencia, son </w:t>
      </w:r>
      <w:r w:rsidRPr="00837123">
        <w:rPr>
          <w:rFonts w:ascii="Palatino Linotype" w:eastAsia="Calibri" w:hAnsi="Palatino Linotype" w:cs="Arial"/>
          <w:sz w:val="22"/>
          <w:szCs w:val="22"/>
          <w:lang w:eastAsia="en-US"/>
        </w:rPr>
        <w:t>instituciones públicas, partidos políticos, fideicomisos y fondos públicos, o bien cualquier persona física, moral o sindicato que reciba y ejerza recursos públicos o realice actos de autoridad en los ámbitos federal, estatal y municipal.</w:t>
      </w:r>
    </w:p>
    <w:p w14:paraId="68D45454" w14:textId="77777777" w:rsidR="00837123" w:rsidRPr="00837123" w:rsidRDefault="00837123" w:rsidP="00837123">
      <w:pPr>
        <w:spacing w:line="360" w:lineRule="auto"/>
        <w:jc w:val="both"/>
        <w:rPr>
          <w:rFonts w:ascii="Palatino Linotype" w:eastAsia="Calibri" w:hAnsi="Palatino Linotype" w:cs="Arial"/>
          <w:sz w:val="22"/>
          <w:szCs w:val="22"/>
          <w:lang w:eastAsia="en-US"/>
        </w:rPr>
      </w:pPr>
    </w:p>
    <w:p w14:paraId="34B41A7F" w14:textId="77777777" w:rsidR="00837123" w:rsidRPr="00837123" w:rsidRDefault="00837123" w:rsidP="00837123">
      <w:pPr>
        <w:spacing w:line="360" w:lineRule="auto"/>
        <w:jc w:val="both"/>
        <w:rPr>
          <w:rFonts w:ascii="Palatino Linotype" w:hAnsi="Palatino Linotype" w:cs="Arial"/>
          <w:bCs/>
          <w:sz w:val="22"/>
          <w:szCs w:val="22"/>
        </w:rPr>
      </w:pPr>
      <w:r w:rsidRPr="00837123">
        <w:rPr>
          <w:rFonts w:ascii="Palatino Linotype" w:hAnsi="Palatino Linotype" w:cs="Arial"/>
          <w:bCs/>
          <w:sz w:val="22"/>
          <w:szCs w:val="22"/>
        </w:rPr>
        <w:t>En ese contexto, según Islas, Jorge (2016), en la “Ley General de Transparencia y Acceso a la Información Pública Comentada” (p. 107 y 108), refirió la nueva ley estableció dos tipos de entes sujetos a las Leyes de Transparencia, en los cuales impera el espíritu de que por el hecho de recibir o ejercer recursos públicos tienen la obligación de hacer dicho ejercicio una práctica transparente, cada uno de estos con ciertas particularidades, a saber:</w:t>
      </w:r>
    </w:p>
    <w:p w14:paraId="7C6936E6" w14:textId="77777777" w:rsidR="00837123" w:rsidRPr="00837123" w:rsidRDefault="00837123" w:rsidP="00837123">
      <w:pPr>
        <w:spacing w:line="360" w:lineRule="auto"/>
        <w:jc w:val="both"/>
        <w:rPr>
          <w:rFonts w:ascii="Palatino Linotype" w:hAnsi="Palatino Linotype" w:cs="Arial"/>
          <w:bCs/>
          <w:sz w:val="22"/>
          <w:szCs w:val="22"/>
        </w:rPr>
      </w:pPr>
    </w:p>
    <w:p w14:paraId="6B6C21AB" w14:textId="77777777" w:rsidR="00837123" w:rsidRPr="00837123" w:rsidRDefault="00837123" w:rsidP="00837123">
      <w:pPr>
        <w:numPr>
          <w:ilvl w:val="0"/>
          <w:numId w:val="7"/>
        </w:numPr>
        <w:spacing w:line="360" w:lineRule="auto"/>
        <w:contextualSpacing/>
        <w:jc w:val="both"/>
        <w:rPr>
          <w:rFonts w:ascii="Palatino Linotype" w:hAnsi="Palatino Linotype" w:cs="Arial"/>
          <w:b/>
          <w:bCs/>
          <w:sz w:val="22"/>
          <w:szCs w:val="22"/>
        </w:rPr>
      </w:pPr>
      <w:r w:rsidRPr="00837123">
        <w:rPr>
          <w:rFonts w:ascii="Palatino Linotype" w:hAnsi="Palatino Linotype" w:cs="Arial"/>
          <w:b/>
          <w:bCs/>
          <w:sz w:val="22"/>
          <w:szCs w:val="22"/>
        </w:rPr>
        <w:t xml:space="preserve">Los Sujetos Obligados: </w:t>
      </w:r>
      <w:r w:rsidRPr="00837123">
        <w:rPr>
          <w:rFonts w:ascii="Palatino Linotype" w:hAnsi="Palatino Linotype" w:cs="Arial"/>
          <w:bCs/>
          <w:sz w:val="22"/>
          <w:szCs w:val="22"/>
        </w:rPr>
        <w:t xml:space="preserve">Son los que tienen de manera imperativa el ejercicio de la transparencia, como las instituciones públicas de los tres niveles de gobierno, </w:t>
      </w:r>
      <w:r w:rsidRPr="00837123">
        <w:rPr>
          <w:rFonts w:ascii="Palatino Linotype" w:hAnsi="Palatino Linotype" w:cs="Arial"/>
          <w:bCs/>
          <w:sz w:val="22"/>
          <w:szCs w:val="22"/>
        </w:rPr>
        <w:lastRenderedPageBreak/>
        <w:t>Federal, estatal y municipal; por lo que tienen que generar toda una estructura de las Unidades de Transparencia establecidas en la normatividad aplicable.</w:t>
      </w:r>
    </w:p>
    <w:p w14:paraId="2E549096" w14:textId="77777777" w:rsidR="00837123" w:rsidRPr="00837123" w:rsidRDefault="00837123" w:rsidP="00837123">
      <w:pPr>
        <w:spacing w:line="360" w:lineRule="auto"/>
        <w:ind w:left="720"/>
        <w:contextualSpacing/>
        <w:jc w:val="both"/>
        <w:rPr>
          <w:rFonts w:ascii="Palatino Linotype" w:hAnsi="Palatino Linotype" w:cs="Arial"/>
          <w:bCs/>
          <w:sz w:val="22"/>
          <w:szCs w:val="22"/>
        </w:rPr>
      </w:pPr>
    </w:p>
    <w:p w14:paraId="7D3BA0E2" w14:textId="77777777" w:rsidR="00837123" w:rsidRPr="00837123" w:rsidRDefault="00837123" w:rsidP="00837123">
      <w:pPr>
        <w:numPr>
          <w:ilvl w:val="0"/>
          <w:numId w:val="7"/>
        </w:numPr>
        <w:spacing w:line="360" w:lineRule="auto"/>
        <w:contextualSpacing/>
        <w:jc w:val="both"/>
        <w:rPr>
          <w:rFonts w:ascii="Palatino Linotype" w:hAnsi="Palatino Linotype" w:cs="Arial"/>
          <w:b/>
          <w:bCs/>
          <w:sz w:val="22"/>
          <w:szCs w:val="22"/>
        </w:rPr>
      </w:pPr>
      <w:r w:rsidRPr="00837123">
        <w:rPr>
          <w:rFonts w:ascii="Palatino Linotype" w:hAnsi="Palatino Linotype" w:cs="Arial"/>
          <w:b/>
          <w:bCs/>
          <w:sz w:val="22"/>
          <w:szCs w:val="22"/>
        </w:rPr>
        <w:t xml:space="preserve">Los Sujetos Regulados: </w:t>
      </w:r>
      <w:r w:rsidRPr="00837123">
        <w:rPr>
          <w:rFonts w:ascii="Palatino Linotype" w:hAnsi="Palatino Linotype" w:cs="Arial"/>
          <w:bCs/>
          <w:sz w:val="22"/>
          <w:szCs w:val="22"/>
        </w:rPr>
        <w:t xml:space="preserve">Son aquellos que deben permitir el acceso </w:t>
      </w:r>
      <w:r w:rsidRPr="00837123">
        <w:rPr>
          <w:rFonts w:ascii="Palatino Linotype" w:hAnsi="Palatino Linotype" w:cs="Arial"/>
          <w:b/>
          <w:bCs/>
          <w:sz w:val="22"/>
          <w:szCs w:val="22"/>
          <w:u w:val="single"/>
        </w:rPr>
        <w:t>a parte de su información</w:t>
      </w:r>
      <w:r w:rsidRPr="00837123">
        <w:rPr>
          <w:rFonts w:ascii="Palatino Linotype" w:hAnsi="Palatino Linotype" w:cs="Arial"/>
          <w:bCs/>
          <w:sz w:val="22"/>
          <w:szCs w:val="22"/>
        </w:rPr>
        <w:t xml:space="preserve">; esto es, que su obligación implica permitir el acceso a la documentación que generen y </w:t>
      </w:r>
      <w:r w:rsidRPr="00837123">
        <w:rPr>
          <w:rFonts w:ascii="Palatino Linotype" w:hAnsi="Palatino Linotype" w:cs="Arial"/>
          <w:b/>
          <w:bCs/>
          <w:sz w:val="22"/>
          <w:szCs w:val="22"/>
        </w:rPr>
        <w:t>que tenga el carácter de ser pública</w:t>
      </w:r>
      <w:r w:rsidRPr="00837123">
        <w:rPr>
          <w:rFonts w:ascii="Palatino Linotype" w:hAnsi="Palatino Linotype" w:cs="Arial"/>
          <w:bCs/>
          <w:sz w:val="22"/>
          <w:szCs w:val="22"/>
        </w:rPr>
        <w:t xml:space="preserve">, entre los que destacan los </w:t>
      </w:r>
      <w:r w:rsidRPr="00837123">
        <w:rPr>
          <w:rFonts w:ascii="Palatino Linotype" w:hAnsi="Palatino Linotype" w:cs="Arial"/>
          <w:b/>
          <w:bCs/>
          <w:sz w:val="22"/>
          <w:szCs w:val="22"/>
        </w:rPr>
        <w:t>sindicatos,</w:t>
      </w:r>
      <w:r w:rsidRPr="00837123">
        <w:rPr>
          <w:rFonts w:ascii="Palatino Linotype" w:hAnsi="Palatino Linotype" w:cs="Arial"/>
          <w:bCs/>
          <w:sz w:val="22"/>
          <w:szCs w:val="22"/>
        </w:rPr>
        <w:t xml:space="preserve"> los partidos políticos e incluso las personas físicas y jurídico colectivas.</w:t>
      </w:r>
    </w:p>
    <w:p w14:paraId="7397E87F" w14:textId="77777777" w:rsidR="00837123" w:rsidRPr="00837123" w:rsidRDefault="00837123" w:rsidP="00837123">
      <w:pPr>
        <w:spacing w:line="360" w:lineRule="auto"/>
        <w:jc w:val="both"/>
        <w:rPr>
          <w:rFonts w:ascii="Palatino Linotype" w:hAnsi="Palatino Linotype" w:cs="Arial"/>
          <w:bCs/>
          <w:sz w:val="22"/>
          <w:szCs w:val="22"/>
        </w:rPr>
      </w:pPr>
    </w:p>
    <w:p w14:paraId="25BF4DA5" w14:textId="77777777" w:rsidR="00837123" w:rsidRDefault="00837123" w:rsidP="00837123">
      <w:pPr>
        <w:spacing w:line="360" w:lineRule="auto"/>
        <w:jc w:val="both"/>
        <w:rPr>
          <w:rFonts w:ascii="Palatino Linotype" w:hAnsi="Palatino Linotype" w:cs="Arial"/>
          <w:b/>
          <w:bCs/>
          <w:sz w:val="22"/>
          <w:szCs w:val="22"/>
        </w:rPr>
      </w:pPr>
      <w:r w:rsidRPr="00837123">
        <w:rPr>
          <w:rFonts w:ascii="Palatino Linotype" w:hAnsi="Palatino Linotype" w:cs="Arial"/>
          <w:bCs/>
          <w:sz w:val="22"/>
          <w:szCs w:val="22"/>
        </w:rPr>
        <w:t xml:space="preserve">Conforme a lo anterior, se puede colegir que los Sindicatos al ser </w:t>
      </w:r>
      <w:r w:rsidRPr="00837123">
        <w:rPr>
          <w:rFonts w:ascii="Palatino Linotype" w:hAnsi="Palatino Linotype" w:cs="Arial"/>
          <w:b/>
          <w:bCs/>
          <w:sz w:val="22"/>
          <w:szCs w:val="22"/>
        </w:rPr>
        <w:t>Sujetos Regulados</w:t>
      </w:r>
      <w:r w:rsidRPr="00837123">
        <w:rPr>
          <w:rFonts w:ascii="Palatino Linotype" w:hAnsi="Palatino Linotype" w:cs="Arial"/>
          <w:bCs/>
          <w:sz w:val="22"/>
          <w:szCs w:val="22"/>
        </w:rPr>
        <w:t xml:space="preserve"> de las Leyes de Transparencia, son Sujetos Obligados </w:t>
      </w:r>
      <w:r w:rsidRPr="00837123">
        <w:rPr>
          <w:rFonts w:ascii="Palatino Linotype" w:hAnsi="Palatino Linotype" w:cs="Arial"/>
          <w:b/>
          <w:bCs/>
          <w:sz w:val="22"/>
          <w:szCs w:val="22"/>
          <w:u w:val="single"/>
        </w:rPr>
        <w:t>especiales</w:t>
      </w:r>
      <w:r w:rsidRPr="00837123">
        <w:rPr>
          <w:rFonts w:ascii="Palatino Linotype" w:hAnsi="Palatino Linotype" w:cs="Arial"/>
          <w:bCs/>
          <w:sz w:val="22"/>
          <w:szCs w:val="22"/>
        </w:rPr>
        <w:t xml:space="preserve"> que únicamente se encuentran constreñidos a </w:t>
      </w:r>
      <w:r w:rsidRPr="00837123">
        <w:rPr>
          <w:rFonts w:ascii="Palatino Linotype" w:hAnsi="Palatino Linotype" w:cs="Arial"/>
          <w:b/>
          <w:bCs/>
          <w:sz w:val="22"/>
          <w:szCs w:val="22"/>
        </w:rPr>
        <w:t>transparentar la información que tenga el carácter de pública</w:t>
      </w:r>
      <w:r w:rsidRPr="00837123">
        <w:rPr>
          <w:rFonts w:ascii="Palatino Linotype" w:hAnsi="Palatino Linotype" w:cs="Arial"/>
          <w:bCs/>
          <w:sz w:val="22"/>
          <w:szCs w:val="22"/>
        </w:rPr>
        <w:t xml:space="preserve">; es decir, que sea de escrutinio público, como puede ser, aquella que </w:t>
      </w:r>
      <w:r w:rsidRPr="00837123">
        <w:rPr>
          <w:rFonts w:ascii="Palatino Linotype" w:hAnsi="Palatino Linotype" w:cs="Arial"/>
          <w:b/>
          <w:bCs/>
          <w:sz w:val="22"/>
          <w:szCs w:val="22"/>
        </w:rPr>
        <w:t>dé cuenta del ejercicio de recursos públicos o la realización de actos de autoridad.</w:t>
      </w:r>
    </w:p>
    <w:p w14:paraId="37127002" w14:textId="77777777" w:rsidR="00B40044" w:rsidRPr="00837123" w:rsidRDefault="00B40044" w:rsidP="00837123">
      <w:pPr>
        <w:spacing w:line="360" w:lineRule="auto"/>
        <w:jc w:val="both"/>
        <w:rPr>
          <w:rFonts w:ascii="Palatino Linotype" w:hAnsi="Palatino Linotype" w:cs="Arial"/>
          <w:bCs/>
          <w:sz w:val="22"/>
          <w:szCs w:val="22"/>
        </w:rPr>
      </w:pPr>
    </w:p>
    <w:p w14:paraId="595FD7FD" w14:textId="77777777" w:rsidR="00837123" w:rsidRPr="00837123" w:rsidRDefault="00837123" w:rsidP="00837123">
      <w:pPr>
        <w:spacing w:line="360" w:lineRule="auto"/>
        <w:jc w:val="both"/>
        <w:rPr>
          <w:rFonts w:ascii="Palatino Linotype" w:hAnsi="Palatino Linotype" w:cs="Arial"/>
          <w:bCs/>
          <w:sz w:val="22"/>
          <w:szCs w:val="22"/>
        </w:rPr>
      </w:pPr>
      <w:r w:rsidRPr="00837123">
        <w:rPr>
          <w:rFonts w:ascii="Palatino Linotype" w:hAnsi="Palatino Linotype" w:cs="Arial"/>
          <w:bCs/>
          <w:sz w:val="22"/>
          <w:szCs w:val="22"/>
        </w:rPr>
        <w:t xml:space="preserve">En ese contexto, el artículo 4° de la Ley General de Transparencia y Acceso a la Información Pública (análogo al artículo 4° de la </w:t>
      </w:r>
      <w:r w:rsidRPr="00837123">
        <w:rPr>
          <w:rFonts w:ascii="Palatino Linotype" w:hAnsi="Palatino Linotype" w:cs="Arial"/>
          <w:sz w:val="22"/>
          <w:szCs w:val="22"/>
        </w:rPr>
        <w:t xml:space="preserve">Ley </w:t>
      </w:r>
      <w:r w:rsidRPr="00837123">
        <w:rPr>
          <w:rFonts w:ascii="Palatino Linotype" w:hAnsi="Palatino Linotype" w:cs="Arial"/>
          <w:bCs/>
          <w:sz w:val="22"/>
          <w:szCs w:val="22"/>
        </w:rPr>
        <w:t>de Transparencia y Acceso a la Información Pública del Estado de México y Municipios), establece lo siguiente:</w:t>
      </w:r>
    </w:p>
    <w:p w14:paraId="4CEDE7E4" w14:textId="77777777" w:rsidR="00837123" w:rsidRPr="00837123" w:rsidRDefault="00837123" w:rsidP="00837123">
      <w:pPr>
        <w:spacing w:line="360" w:lineRule="auto"/>
        <w:jc w:val="both"/>
        <w:rPr>
          <w:rFonts w:ascii="Palatino Linotype" w:hAnsi="Palatino Linotype" w:cs="Arial"/>
          <w:bCs/>
          <w:sz w:val="22"/>
          <w:szCs w:val="22"/>
        </w:rPr>
      </w:pPr>
    </w:p>
    <w:p w14:paraId="5DE5EDA5" w14:textId="77777777" w:rsidR="00837123" w:rsidRPr="00837123" w:rsidRDefault="00837123" w:rsidP="00837123">
      <w:pPr>
        <w:spacing w:line="276" w:lineRule="auto"/>
        <w:ind w:left="567" w:right="616"/>
        <w:jc w:val="both"/>
        <w:rPr>
          <w:rFonts w:ascii="Palatino Linotype" w:hAnsi="Palatino Linotype" w:cs="Arial"/>
          <w:i/>
          <w:sz w:val="22"/>
          <w:szCs w:val="22"/>
        </w:rPr>
      </w:pPr>
      <w:r w:rsidRPr="00837123">
        <w:rPr>
          <w:rFonts w:ascii="Palatino Linotype" w:hAnsi="Palatino Linotype" w:cs="Arial"/>
          <w:b/>
          <w:bCs/>
          <w:i/>
          <w:sz w:val="22"/>
          <w:szCs w:val="22"/>
        </w:rPr>
        <w:t>“Artículo 4…</w:t>
      </w:r>
    </w:p>
    <w:p w14:paraId="58DAA849" w14:textId="77777777" w:rsidR="00837123" w:rsidRPr="00837123" w:rsidRDefault="00837123" w:rsidP="00837123">
      <w:pPr>
        <w:spacing w:line="276" w:lineRule="auto"/>
        <w:ind w:left="567" w:right="616"/>
        <w:jc w:val="both"/>
        <w:rPr>
          <w:rFonts w:ascii="Palatino Linotype" w:hAnsi="Palatino Linotype" w:cs="Arial"/>
          <w:i/>
          <w:sz w:val="22"/>
          <w:szCs w:val="22"/>
        </w:rPr>
      </w:pPr>
    </w:p>
    <w:p w14:paraId="5776CE16" w14:textId="77777777" w:rsidR="00837123" w:rsidRPr="00837123" w:rsidRDefault="00837123" w:rsidP="00837123">
      <w:pPr>
        <w:spacing w:line="276" w:lineRule="auto"/>
        <w:ind w:left="567" w:right="616"/>
        <w:jc w:val="both"/>
        <w:rPr>
          <w:rFonts w:ascii="Palatino Linotype" w:hAnsi="Palatino Linotype" w:cs="Arial"/>
          <w:i/>
          <w:sz w:val="22"/>
          <w:szCs w:val="22"/>
        </w:rPr>
      </w:pPr>
      <w:r w:rsidRPr="00837123">
        <w:rPr>
          <w:rFonts w:ascii="Palatino Linotype" w:hAnsi="Palatino Linotype" w:cs="Arial"/>
          <w:b/>
          <w:i/>
          <w:sz w:val="22"/>
          <w:szCs w:val="22"/>
        </w:rPr>
        <w:t xml:space="preserve">Toda la información generada, obtenida, adquirida, transformada o en posesión de los sujetos obligados es pública y accesible a cualquier persona </w:t>
      </w:r>
      <w:r w:rsidRPr="00837123">
        <w:rPr>
          <w:rFonts w:ascii="Palatino Linotype" w:hAnsi="Palatino Linotype" w:cs="Arial"/>
          <w:i/>
          <w:sz w:val="22"/>
          <w:szCs w:val="22"/>
        </w:rPr>
        <w:t>en los términos y condiciones que se establezcan en la presente Ley, en los tratados internacionales de los que el Estado mexicano sea parte, la Ley Federal, las leyes de las Entidades Federativas y la normatividad aplicable en sus respectivas competencias; sólo podrá ser clasificada excepcionalmente como reservada temporalmente por razones de interés público y seguridad nacional, en los términos dispuestos por esta Ley.</w:t>
      </w:r>
    </w:p>
    <w:p w14:paraId="03CD0C78" w14:textId="77777777" w:rsidR="00837123" w:rsidRPr="00837123" w:rsidRDefault="00837123" w:rsidP="00837123">
      <w:pPr>
        <w:spacing w:line="276" w:lineRule="auto"/>
        <w:ind w:left="567" w:right="616"/>
        <w:jc w:val="both"/>
        <w:rPr>
          <w:rFonts w:ascii="Palatino Linotype" w:hAnsi="Palatino Linotype" w:cs="Arial"/>
          <w:i/>
          <w:sz w:val="22"/>
          <w:szCs w:val="22"/>
        </w:rPr>
      </w:pPr>
      <w:r w:rsidRPr="00837123">
        <w:rPr>
          <w:rFonts w:ascii="Palatino Linotype" w:hAnsi="Palatino Linotype" w:cs="Arial"/>
          <w:i/>
          <w:sz w:val="22"/>
          <w:szCs w:val="22"/>
        </w:rPr>
        <w:lastRenderedPageBreak/>
        <w:t>…”</w:t>
      </w:r>
    </w:p>
    <w:p w14:paraId="6C640F57" w14:textId="77777777" w:rsidR="00837123" w:rsidRPr="00837123" w:rsidRDefault="00837123" w:rsidP="00837123">
      <w:pPr>
        <w:spacing w:line="360" w:lineRule="auto"/>
        <w:jc w:val="both"/>
        <w:rPr>
          <w:rFonts w:ascii="Palatino Linotype" w:hAnsi="Palatino Linotype" w:cs="Arial"/>
          <w:sz w:val="22"/>
          <w:szCs w:val="22"/>
        </w:rPr>
      </w:pPr>
    </w:p>
    <w:p w14:paraId="55AD5BD7" w14:textId="77777777" w:rsidR="00837123" w:rsidRPr="00837123" w:rsidRDefault="00837123" w:rsidP="00837123">
      <w:pPr>
        <w:spacing w:line="360" w:lineRule="auto"/>
        <w:jc w:val="both"/>
        <w:rPr>
          <w:rFonts w:ascii="Palatino Linotype" w:hAnsi="Palatino Linotype" w:cs="Arial"/>
          <w:sz w:val="22"/>
          <w:szCs w:val="22"/>
        </w:rPr>
      </w:pPr>
      <w:r w:rsidRPr="00837123">
        <w:rPr>
          <w:rFonts w:ascii="Palatino Linotype" w:hAnsi="Palatino Linotype" w:cs="Arial"/>
          <w:sz w:val="22"/>
          <w:szCs w:val="22"/>
        </w:rPr>
        <w:t xml:space="preserve">De la citada disposición normativa, se desprende que </w:t>
      </w:r>
      <w:r w:rsidRPr="00837123">
        <w:rPr>
          <w:rFonts w:ascii="Palatino Linotype" w:hAnsi="Palatino Linotype" w:cs="Arial"/>
          <w:b/>
          <w:sz w:val="22"/>
          <w:szCs w:val="22"/>
        </w:rPr>
        <w:t>toda la información generada, obtenida, adquirida, transformada o en posesión de los sujetos obligados, es pública</w:t>
      </w:r>
      <w:r w:rsidRPr="00837123">
        <w:rPr>
          <w:rFonts w:ascii="Palatino Linotype" w:hAnsi="Palatino Linotype" w:cs="Arial"/>
          <w:sz w:val="22"/>
          <w:szCs w:val="22"/>
        </w:rPr>
        <w:t xml:space="preserve"> </w:t>
      </w:r>
      <w:r w:rsidRPr="00837123">
        <w:rPr>
          <w:rFonts w:ascii="Palatino Linotype" w:hAnsi="Palatino Linotype" w:cs="Arial"/>
          <w:b/>
          <w:sz w:val="22"/>
          <w:szCs w:val="22"/>
        </w:rPr>
        <w:t>y accesible</w:t>
      </w:r>
      <w:r w:rsidRPr="00837123">
        <w:rPr>
          <w:rFonts w:ascii="Palatino Linotype" w:hAnsi="Palatino Linotype" w:cs="Arial"/>
          <w:sz w:val="22"/>
          <w:szCs w:val="22"/>
        </w:rPr>
        <w:t xml:space="preserve"> a cualquier persona, en los términos y condiciones que se establezcan dichos instrumentos regulatorios.</w:t>
      </w:r>
    </w:p>
    <w:p w14:paraId="76A91BD9" w14:textId="77777777" w:rsidR="00837123" w:rsidRPr="00837123" w:rsidRDefault="00837123" w:rsidP="00837123">
      <w:pPr>
        <w:spacing w:line="360" w:lineRule="auto"/>
        <w:jc w:val="both"/>
        <w:rPr>
          <w:rFonts w:ascii="Palatino Linotype" w:hAnsi="Palatino Linotype" w:cs="Arial"/>
          <w:sz w:val="22"/>
          <w:szCs w:val="22"/>
        </w:rPr>
      </w:pPr>
    </w:p>
    <w:p w14:paraId="509E3E61" w14:textId="77777777" w:rsidR="00837123" w:rsidRPr="00837123" w:rsidRDefault="00837123" w:rsidP="00837123">
      <w:pPr>
        <w:spacing w:line="360" w:lineRule="auto"/>
        <w:jc w:val="both"/>
        <w:rPr>
          <w:rFonts w:ascii="Palatino Linotype" w:hAnsi="Palatino Linotype" w:cs="Arial"/>
          <w:b/>
          <w:sz w:val="22"/>
          <w:szCs w:val="22"/>
        </w:rPr>
      </w:pPr>
      <w:r w:rsidRPr="00837123">
        <w:rPr>
          <w:rFonts w:ascii="Palatino Linotype" w:hAnsi="Palatino Linotype" w:cs="Arial"/>
          <w:sz w:val="22"/>
          <w:szCs w:val="22"/>
        </w:rPr>
        <w:t xml:space="preserve">En ese orden de ideas, es necesario precisar que los Sindicatos, </w:t>
      </w:r>
      <w:r w:rsidRPr="00837123">
        <w:rPr>
          <w:rFonts w:ascii="Palatino Linotype" w:hAnsi="Palatino Linotype" w:cs="Arial"/>
          <w:i/>
          <w:sz w:val="22"/>
          <w:szCs w:val="22"/>
        </w:rPr>
        <w:t>per se</w:t>
      </w:r>
      <w:r w:rsidRPr="00837123">
        <w:rPr>
          <w:rFonts w:ascii="Palatino Linotype" w:hAnsi="Palatino Linotype" w:cs="Arial"/>
          <w:sz w:val="22"/>
          <w:szCs w:val="22"/>
        </w:rPr>
        <w:t xml:space="preserve">, no desempeñan actividades en alguno de los tres órdenes de gobierno, por lo que, </w:t>
      </w:r>
      <w:r w:rsidRPr="00837123">
        <w:rPr>
          <w:rFonts w:ascii="Palatino Linotype" w:hAnsi="Palatino Linotype" w:cs="Arial"/>
          <w:b/>
          <w:sz w:val="22"/>
          <w:szCs w:val="22"/>
        </w:rPr>
        <w:t>no pueden, por definición realizar actos que puedan reputarse como públicos y oficiales</w:t>
      </w:r>
      <w:r w:rsidRPr="00837123">
        <w:rPr>
          <w:rFonts w:ascii="Palatino Linotype" w:hAnsi="Palatino Linotype" w:cs="Arial"/>
          <w:sz w:val="22"/>
          <w:szCs w:val="22"/>
        </w:rPr>
        <w:t xml:space="preserve">, al guardar la característica de ser privados; no obstante, en el caso de que hayan sido realizados o bien, la actividad haya sido cubierta </w:t>
      </w:r>
      <w:r w:rsidRPr="00837123">
        <w:rPr>
          <w:rFonts w:ascii="Palatino Linotype" w:hAnsi="Palatino Linotype" w:cs="Arial"/>
          <w:b/>
          <w:sz w:val="22"/>
          <w:szCs w:val="22"/>
        </w:rPr>
        <w:t>con recursos públicos, generan una responsabilidad de rendición de cuentas y por lo tanto, el acto debe ser considerado de escrutinio público, al involucrar ejercicio de recursos públicos, situación que sí es de interés público y general.</w:t>
      </w:r>
    </w:p>
    <w:p w14:paraId="61CBF451" w14:textId="77777777" w:rsidR="00837123" w:rsidRPr="00837123" w:rsidRDefault="00837123" w:rsidP="00837123">
      <w:pPr>
        <w:spacing w:line="360" w:lineRule="auto"/>
        <w:jc w:val="both"/>
        <w:rPr>
          <w:rFonts w:ascii="Palatino Linotype" w:hAnsi="Palatino Linotype" w:cs="Arial"/>
          <w:sz w:val="22"/>
          <w:szCs w:val="22"/>
        </w:rPr>
      </w:pPr>
    </w:p>
    <w:p w14:paraId="6868A289" w14:textId="77777777" w:rsidR="00837123" w:rsidRPr="00837123" w:rsidRDefault="00837123" w:rsidP="00837123">
      <w:pPr>
        <w:spacing w:line="360" w:lineRule="auto"/>
        <w:jc w:val="both"/>
        <w:rPr>
          <w:rFonts w:ascii="Palatino Linotype" w:hAnsi="Palatino Linotype" w:cs="Arial"/>
          <w:sz w:val="22"/>
          <w:szCs w:val="22"/>
        </w:rPr>
      </w:pPr>
      <w:r w:rsidRPr="00837123">
        <w:rPr>
          <w:rFonts w:ascii="Palatino Linotype" w:hAnsi="Palatino Linotype" w:cs="Arial"/>
          <w:sz w:val="22"/>
          <w:szCs w:val="22"/>
        </w:rPr>
        <w:t xml:space="preserve">Por otra parte, </w:t>
      </w:r>
      <w:r w:rsidRPr="00837123">
        <w:rPr>
          <w:rFonts w:ascii="Palatino Linotype" w:hAnsi="Palatino Linotype" w:cs="Arial"/>
          <w:bCs/>
          <w:sz w:val="22"/>
          <w:szCs w:val="22"/>
        </w:rPr>
        <w:t xml:space="preserve">según Otero, Filiberto (2017), en la “Teoría General del Derecho de la Información y el nuevo modelo en México” (p. 37 y 38), precisó que el </w:t>
      </w:r>
      <w:r w:rsidRPr="00837123">
        <w:rPr>
          <w:rFonts w:ascii="Palatino Linotype" w:hAnsi="Palatino Linotype" w:cs="Arial"/>
          <w:b/>
          <w:bCs/>
          <w:sz w:val="22"/>
          <w:szCs w:val="22"/>
        </w:rPr>
        <w:t xml:space="preserve">acto de autoridad, es la acción u omisión unilateral, imperativa y coercible, </w:t>
      </w:r>
      <w:r w:rsidRPr="00837123">
        <w:rPr>
          <w:rFonts w:ascii="Palatino Linotype" w:hAnsi="Palatino Linotype" w:cs="Arial"/>
          <w:bCs/>
          <w:sz w:val="22"/>
          <w:szCs w:val="22"/>
        </w:rPr>
        <w:t xml:space="preserve">como consecuencia de una relación de supra-subordinación, susceptible de afectar la esfera jurídica de los administrados. </w:t>
      </w:r>
    </w:p>
    <w:p w14:paraId="11305D2E" w14:textId="77777777" w:rsidR="00837123" w:rsidRPr="00837123" w:rsidRDefault="00837123" w:rsidP="00837123">
      <w:pPr>
        <w:spacing w:line="360" w:lineRule="auto"/>
        <w:jc w:val="both"/>
        <w:rPr>
          <w:rFonts w:ascii="Palatino Linotype" w:hAnsi="Palatino Linotype" w:cs="Arial"/>
          <w:sz w:val="22"/>
          <w:szCs w:val="22"/>
        </w:rPr>
      </w:pPr>
    </w:p>
    <w:p w14:paraId="07736769" w14:textId="77777777" w:rsidR="00837123" w:rsidRPr="00837123" w:rsidRDefault="00837123" w:rsidP="00837123">
      <w:pPr>
        <w:spacing w:line="360" w:lineRule="auto"/>
        <w:jc w:val="both"/>
        <w:rPr>
          <w:rFonts w:ascii="Palatino Linotype" w:hAnsi="Palatino Linotype" w:cs="Arial"/>
          <w:sz w:val="22"/>
          <w:szCs w:val="22"/>
        </w:rPr>
      </w:pPr>
      <w:r w:rsidRPr="00837123">
        <w:rPr>
          <w:rFonts w:ascii="Palatino Linotype" w:hAnsi="Palatino Linotype" w:cs="Arial"/>
          <w:sz w:val="22"/>
          <w:szCs w:val="22"/>
        </w:rPr>
        <w:t xml:space="preserve">Así, el acto de autoridad, se entiende cualquier hecho negativo o positivo realizado por una institución pública, consistente en una decisión, ejecución o ambas, que produzcan una afectación en situaciones jurídicas o fácticas dadas y que se impongan de manera imperativa; por lo que, los sindicatos, si bien, </w:t>
      </w:r>
      <w:r w:rsidRPr="00837123">
        <w:rPr>
          <w:rFonts w:ascii="Palatino Linotype" w:hAnsi="Palatino Linotype" w:cs="Arial"/>
          <w:sz w:val="22"/>
          <w:szCs w:val="22"/>
          <w:u w:val="single"/>
        </w:rPr>
        <w:t>en principio no pueden realizar ese tipo de actos</w:t>
      </w:r>
      <w:r w:rsidRPr="00837123">
        <w:rPr>
          <w:rFonts w:ascii="Palatino Linotype" w:hAnsi="Palatino Linotype" w:cs="Arial"/>
          <w:sz w:val="22"/>
          <w:szCs w:val="22"/>
        </w:rPr>
        <w:t xml:space="preserve">, también lo es, que alguno de sus agremiados puede participar en una Comisión Mixta y que </w:t>
      </w:r>
      <w:r w:rsidRPr="00837123">
        <w:rPr>
          <w:rFonts w:ascii="Palatino Linotype" w:hAnsi="Palatino Linotype" w:cs="Arial"/>
          <w:b/>
          <w:sz w:val="22"/>
          <w:szCs w:val="22"/>
        </w:rPr>
        <w:t>las decisiones tomadas en dicho órgano sean actos de autoridad,</w:t>
      </w:r>
      <w:r w:rsidRPr="00837123">
        <w:rPr>
          <w:rFonts w:ascii="Palatino Linotype" w:hAnsi="Palatino Linotype" w:cs="Arial"/>
          <w:sz w:val="22"/>
          <w:szCs w:val="22"/>
        </w:rPr>
        <w:t xml:space="preserve"> por lo que se </w:t>
      </w:r>
      <w:r w:rsidRPr="00837123">
        <w:rPr>
          <w:rFonts w:ascii="Palatino Linotype" w:hAnsi="Palatino Linotype" w:cs="Arial"/>
          <w:sz w:val="22"/>
          <w:szCs w:val="22"/>
        </w:rPr>
        <w:lastRenderedPageBreak/>
        <w:t>volverá información susceptible a transparentarse, dado que su participación trasciende en la determinación tomada en dicha comisión.</w:t>
      </w:r>
    </w:p>
    <w:p w14:paraId="7152D55F" w14:textId="77777777" w:rsidR="00837123" w:rsidRPr="00837123" w:rsidRDefault="00837123" w:rsidP="00837123">
      <w:pPr>
        <w:spacing w:line="360" w:lineRule="auto"/>
        <w:jc w:val="both"/>
        <w:rPr>
          <w:rFonts w:ascii="Palatino Linotype" w:hAnsi="Palatino Linotype" w:cs="Arial"/>
          <w:sz w:val="22"/>
          <w:szCs w:val="22"/>
        </w:rPr>
      </w:pPr>
    </w:p>
    <w:p w14:paraId="11D0A07D" w14:textId="77777777" w:rsidR="00837123" w:rsidRPr="00837123" w:rsidRDefault="00837123" w:rsidP="00837123">
      <w:pPr>
        <w:spacing w:line="360" w:lineRule="auto"/>
        <w:jc w:val="both"/>
        <w:rPr>
          <w:rFonts w:ascii="Palatino Linotype" w:hAnsi="Palatino Linotype" w:cs="Arial"/>
          <w:sz w:val="22"/>
          <w:szCs w:val="22"/>
        </w:rPr>
      </w:pPr>
      <w:r w:rsidRPr="00837123">
        <w:rPr>
          <w:rFonts w:ascii="Palatino Linotype" w:hAnsi="Palatino Linotype" w:cs="Arial"/>
          <w:sz w:val="22"/>
          <w:szCs w:val="22"/>
        </w:rPr>
        <w:t xml:space="preserve">Así, se puede concluir que los documentos que den cuenta de </w:t>
      </w:r>
      <w:r w:rsidRPr="00837123">
        <w:rPr>
          <w:rFonts w:ascii="Palatino Linotype" w:hAnsi="Palatino Linotype" w:cs="Arial"/>
          <w:b/>
          <w:sz w:val="22"/>
          <w:szCs w:val="22"/>
        </w:rPr>
        <w:t xml:space="preserve">la recepción y ejercicio de recursos públicos o bien de la realización de actos de autoridad, </w:t>
      </w:r>
      <w:r w:rsidRPr="00837123">
        <w:rPr>
          <w:rFonts w:ascii="Palatino Linotype" w:hAnsi="Palatino Linotype" w:cs="Arial"/>
          <w:sz w:val="22"/>
          <w:szCs w:val="22"/>
        </w:rPr>
        <w:t xml:space="preserve">en posesión de los sindicatos, </w:t>
      </w:r>
      <w:r w:rsidRPr="00837123">
        <w:rPr>
          <w:rFonts w:ascii="Palatino Linotype" w:hAnsi="Palatino Linotype" w:cs="Arial"/>
          <w:b/>
          <w:sz w:val="22"/>
          <w:szCs w:val="22"/>
        </w:rPr>
        <w:t>es pública</w:t>
      </w:r>
      <w:r w:rsidRPr="00837123">
        <w:rPr>
          <w:rFonts w:ascii="Palatino Linotype" w:hAnsi="Palatino Linotype" w:cs="Arial"/>
          <w:sz w:val="22"/>
          <w:szCs w:val="22"/>
        </w:rPr>
        <w:t xml:space="preserve">; en razón de ello, la información que tenga el </w:t>
      </w:r>
      <w:r w:rsidRPr="00837123">
        <w:rPr>
          <w:rFonts w:ascii="Palatino Linotype" w:hAnsi="Palatino Linotype" w:cs="Arial"/>
          <w:sz w:val="22"/>
          <w:szCs w:val="22"/>
          <w:lang w:val="es-ES_tradnl"/>
        </w:rPr>
        <w:t xml:space="preserve">Sindicato </w:t>
      </w:r>
      <w:r w:rsidR="00B40044">
        <w:rPr>
          <w:rFonts w:ascii="Palatino Linotype" w:hAnsi="Palatino Linotype" w:cs="Arial"/>
          <w:sz w:val="22"/>
          <w:szCs w:val="22"/>
          <w:lang w:val="es-ES_tradnl"/>
        </w:rPr>
        <w:t>de Maestros al Servicio</w:t>
      </w:r>
      <w:r w:rsidRPr="00837123">
        <w:rPr>
          <w:rFonts w:ascii="Palatino Linotype" w:hAnsi="Palatino Linotype" w:cs="Arial"/>
          <w:sz w:val="22"/>
          <w:szCs w:val="22"/>
          <w:lang w:val="es-ES_tradnl"/>
        </w:rPr>
        <w:t xml:space="preserve"> del Estado de México</w:t>
      </w:r>
      <w:r w:rsidRPr="00837123">
        <w:rPr>
          <w:rFonts w:ascii="Palatino Linotype" w:hAnsi="Palatino Linotype" w:cs="Arial"/>
          <w:sz w:val="22"/>
          <w:szCs w:val="22"/>
        </w:rPr>
        <w:t>, que contengan esta característica es materia de las Leyes de transparencia.</w:t>
      </w:r>
    </w:p>
    <w:p w14:paraId="0BA9A25F" w14:textId="77777777" w:rsidR="00837123" w:rsidRPr="00837123" w:rsidRDefault="00837123" w:rsidP="00837123">
      <w:pPr>
        <w:spacing w:line="360" w:lineRule="auto"/>
        <w:jc w:val="both"/>
        <w:rPr>
          <w:rFonts w:ascii="Palatino Linotype" w:hAnsi="Palatino Linotype" w:cs="Arial"/>
          <w:sz w:val="22"/>
          <w:szCs w:val="22"/>
        </w:rPr>
      </w:pPr>
    </w:p>
    <w:p w14:paraId="05C6CA84" w14:textId="77777777" w:rsidR="00837123" w:rsidRPr="00837123" w:rsidRDefault="00837123" w:rsidP="00837123">
      <w:pPr>
        <w:spacing w:line="360" w:lineRule="auto"/>
        <w:jc w:val="both"/>
        <w:rPr>
          <w:rFonts w:ascii="Palatino Linotype" w:hAnsi="Palatino Linotype" w:cs="Arial"/>
          <w:sz w:val="22"/>
          <w:szCs w:val="22"/>
        </w:rPr>
      </w:pPr>
      <w:r w:rsidRPr="00837123">
        <w:rPr>
          <w:rFonts w:ascii="Palatino Linotype" w:hAnsi="Palatino Linotype" w:cs="Arial"/>
          <w:sz w:val="22"/>
          <w:szCs w:val="22"/>
        </w:rPr>
        <w:t xml:space="preserve">Sin embargo, aquella que </w:t>
      </w:r>
      <w:r w:rsidRPr="00837123">
        <w:rPr>
          <w:rFonts w:ascii="Palatino Linotype" w:hAnsi="Palatino Linotype" w:cs="Arial"/>
          <w:b/>
          <w:sz w:val="22"/>
          <w:szCs w:val="22"/>
        </w:rPr>
        <w:t xml:space="preserve">obre en poder de dicha organización, la cual provenga de recursos privados y se destine a la vida interna de la misma, </w:t>
      </w:r>
      <w:r w:rsidRPr="00837123">
        <w:rPr>
          <w:rFonts w:ascii="Palatino Linotype" w:hAnsi="Palatino Linotype" w:cs="Arial"/>
          <w:sz w:val="22"/>
          <w:szCs w:val="22"/>
        </w:rPr>
        <w:t>no está sujeta al escrutinio público en términos de la Ley de Transparencia, al no existir interés público de acceder a la misma, ya que no tiene una afectación fuera de sus agremiados.</w:t>
      </w:r>
    </w:p>
    <w:p w14:paraId="3653DFAD" w14:textId="77777777" w:rsidR="00837123" w:rsidRPr="00837123" w:rsidRDefault="00837123" w:rsidP="00837123">
      <w:pPr>
        <w:spacing w:line="360" w:lineRule="auto"/>
        <w:jc w:val="both"/>
        <w:rPr>
          <w:rFonts w:ascii="Palatino Linotype" w:hAnsi="Palatino Linotype" w:cs="Arial"/>
          <w:sz w:val="22"/>
          <w:szCs w:val="22"/>
        </w:rPr>
      </w:pPr>
    </w:p>
    <w:p w14:paraId="4AB8D2C1" w14:textId="77777777" w:rsidR="00837123" w:rsidRPr="00837123" w:rsidRDefault="00837123" w:rsidP="00837123">
      <w:pPr>
        <w:spacing w:line="360" w:lineRule="auto"/>
        <w:jc w:val="both"/>
        <w:rPr>
          <w:rFonts w:ascii="Palatino Linotype" w:hAnsi="Palatino Linotype" w:cs="Arial"/>
          <w:bCs/>
          <w:sz w:val="22"/>
          <w:szCs w:val="22"/>
        </w:rPr>
      </w:pPr>
      <w:r w:rsidRPr="00837123">
        <w:rPr>
          <w:rFonts w:ascii="Palatino Linotype" w:hAnsi="Palatino Linotype" w:cs="Arial"/>
          <w:sz w:val="22"/>
          <w:szCs w:val="22"/>
        </w:rPr>
        <w:t xml:space="preserve">Lo anterior, toma sustento con el </w:t>
      </w:r>
      <w:r w:rsidRPr="00837123">
        <w:rPr>
          <w:rFonts w:ascii="Palatino Linotype" w:hAnsi="Palatino Linotype" w:cs="Arial"/>
          <w:bCs/>
          <w:sz w:val="22"/>
          <w:szCs w:val="22"/>
        </w:rPr>
        <w:t>Convenio Internacional del Trabajo Número 87, relativo a la libertad sindical y a la protección del derecho de sindicación, que en sus artículos 3° y 8°, establece lo siguiente:</w:t>
      </w:r>
    </w:p>
    <w:p w14:paraId="2F7A06F6" w14:textId="77777777" w:rsidR="00837123" w:rsidRPr="00837123" w:rsidRDefault="00837123" w:rsidP="00837123">
      <w:pPr>
        <w:spacing w:line="360" w:lineRule="auto"/>
        <w:jc w:val="both"/>
        <w:rPr>
          <w:rFonts w:ascii="Palatino Linotype" w:hAnsi="Palatino Linotype" w:cs="Arial"/>
          <w:bCs/>
          <w:sz w:val="22"/>
          <w:szCs w:val="22"/>
        </w:rPr>
      </w:pPr>
    </w:p>
    <w:p w14:paraId="7769E4D4" w14:textId="77777777" w:rsidR="00837123" w:rsidRPr="00837123" w:rsidRDefault="00837123" w:rsidP="00837123">
      <w:pPr>
        <w:spacing w:line="276" w:lineRule="auto"/>
        <w:ind w:left="567" w:right="567"/>
        <w:jc w:val="both"/>
        <w:rPr>
          <w:rFonts w:ascii="Palatino Linotype" w:hAnsi="Palatino Linotype" w:cs="Arial"/>
          <w:b/>
          <w:i/>
          <w:sz w:val="22"/>
          <w:szCs w:val="22"/>
        </w:rPr>
      </w:pPr>
      <w:r w:rsidRPr="00837123">
        <w:rPr>
          <w:rFonts w:ascii="Palatino Linotype" w:hAnsi="Palatino Linotype" w:cs="Arial"/>
          <w:b/>
          <w:i/>
          <w:sz w:val="22"/>
          <w:szCs w:val="22"/>
        </w:rPr>
        <w:t>“Artículo 3</w:t>
      </w:r>
    </w:p>
    <w:p w14:paraId="347C9493" w14:textId="77777777" w:rsidR="00837123" w:rsidRPr="00837123" w:rsidRDefault="00837123" w:rsidP="00837123">
      <w:pPr>
        <w:spacing w:line="276" w:lineRule="auto"/>
        <w:ind w:left="567" w:right="567"/>
        <w:jc w:val="both"/>
        <w:rPr>
          <w:rFonts w:ascii="Palatino Linotype" w:hAnsi="Palatino Linotype" w:cs="Arial"/>
          <w:i/>
          <w:sz w:val="22"/>
          <w:szCs w:val="22"/>
        </w:rPr>
      </w:pPr>
      <w:r w:rsidRPr="00837123">
        <w:rPr>
          <w:rFonts w:ascii="Palatino Linotype" w:hAnsi="Palatino Linotype" w:cs="Arial"/>
          <w:i/>
          <w:sz w:val="22"/>
          <w:szCs w:val="22"/>
        </w:rPr>
        <w:t>1. Las organizaciones de trabajadores y de empleadores tienen el derecho de redactar sus estatutos y reglamentos administrativos, el de elegir libremente sus representantes, el de organizar su administración y sus actividades y el de formular su programa de acción.</w:t>
      </w:r>
    </w:p>
    <w:p w14:paraId="2A5C931C" w14:textId="77777777" w:rsidR="00837123" w:rsidRPr="00837123" w:rsidRDefault="00837123" w:rsidP="00837123">
      <w:pPr>
        <w:spacing w:line="276" w:lineRule="auto"/>
        <w:ind w:left="567" w:right="567"/>
        <w:jc w:val="both"/>
        <w:rPr>
          <w:rFonts w:ascii="Palatino Linotype" w:hAnsi="Palatino Linotype" w:cs="Arial"/>
          <w:i/>
          <w:sz w:val="22"/>
          <w:szCs w:val="22"/>
        </w:rPr>
      </w:pPr>
    </w:p>
    <w:p w14:paraId="3C846C7E" w14:textId="77777777" w:rsidR="00837123" w:rsidRPr="00837123" w:rsidRDefault="00837123" w:rsidP="00837123">
      <w:pPr>
        <w:spacing w:line="276" w:lineRule="auto"/>
        <w:ind w:left="567" w:right="567"/>
        <w:jc w:val="both"/>
        <w:rPr>
          <w:rFonts w:ascii="Palatino Linotype" w:hAnsi="Palatino Linotype" w:cs="Arial"/>
          <w:i/>
          <w:sz w:val="22"/>
          <w:szCs w:val="22"/>
        </w:rPr>
      </w:pPr>
      <w:r w:rsidRPr="00837123">
        <w:rPr>
          <w:rFonts w:ascii="Palatino Linotype" w:hAnsi="Palatino Linotype" w:cs="Arial"/>
          <w:i/>
          <w:sz w:val="22"/>
          <w:szCs w:val="22"/>
        </w:rPr>
        <w:t>2. Las autoridades públicas deberán abstenerse de toda intervención que tienda a limitar este derecho o a entorpecer su ejercicio legal.</w:t>
      </w:r>
    </w:p>
    <w:p w14:paraId="3F42F703" w14:textId="77777777" w:rsidR="00837123" w:rsidRPr="00837123" w:rsidRDefault="00837123" w:rsidP="00837123">
      <w:pPr>
        <w:spacing w:line="276" w:lineRule="auto"/>
        <w:ind w:left="567" w:right="567"/>
        <w:jc w:val="both"/>
        <w:rPr>
          <w:rFonts w:ascii="Palatino Linotype" w:hAnsi="Palatino Linotype" w:cs="Arial"/>
          <w:i/>
          <w:sz w:val="22"/>
          <w:szCs w:val="22"/>
        </w:rPr>
      </w:pPr>
      <w:r w:rsidRPr="00837123">
        <w:rPr>
          <w:rFonts w:ascii="Palatino Linotype" w:hAnsi="Palatino Linotype" w:cs="Arial"/>
          <w:i/>
          <w:sz w:val="22"/>
          <w:szCs w:val="22"/>
        </w:rPr>
        <w:t>…</w:t>
      </w:r>
    </w:p>
    <w:p w14:paraId="070B14BF" w14:textId="77777777" w:rsidR="00837123" w:rsidRPr="00837123" w:rsidRDefault="00837123" w:rsidP="00837123">
      <w:pPr>
        <w:spacing w:line="276" w:lineRule="auto"/>
        <w:ind w:left="567" w:right="567"/>
        <w:jc w:val="both"/>
        <w:rPr>
          <w:rFonts w:ascii="Palatino Linotype" w:hAnsi="Palatino Linotype" w:cs="Arial"/>
          <w:b/>
          <w:i/>
          <w:sz w:val="22"/>
          <w:szCs w:val="22"/>
        </w:rPr>
      </w:pPr>
    </w:p>
    <w:p w14:paraId="4F279104" w14:textId="77777777" w:rsidR="00837123" w:rsidRPr="00837123" w:rsidRDefault="00837123" w:rsidP="00837123">
      <w:pPr>
        <w:spacing w:line="276" w:lineRule="auto"/>
        <w:ind w:left="567" w:right="567"/>
        <w:jc w:val="both"/>
        <w:rPr>
          <w:rFonts w:ascii="Palatino Linotype" w:hAnsi="Palatino Linotype" w:cs="Arial"/>
          <w:b/>
          <w:i/>
          <w:sz w:val="22"/>
          <w:szCs w:val="22"/>
        </w:rPr>
      </w:pPr>
      <w:r w:rsidRPr="00837123">
        <w:rPr>
          <w:rFonts w:ascii="Palatino Linotype" w:hAnsi="Palatino Linotype" w:cs="Arial"/>
          <w:b/>
          <w:i/>
          <w:sz w:val="22"/>
          <w:szCs w:val="22"/>
        </w:rPr>
        <w:t>Artículo 8</w:t>
      </w:r>
    </w:p>
    <w:p w14:paraId="3BF3380C" w14:textId="77777777" w:rsidR="00837123" w:rsidRPr="00837123" w:rsidRDefault="00837123" w:rsidP="00837123">
      <w:pPr>
        <w:spacing w:line="276" w:lineRule="auto"/>
        <w:ind w:left="567" w:right="567"/>
        <w:jc w:val="both"/>
        <w:rPr>
          <w:rFonts w:ascii="Palatino Linotype" w:hAnsi="Palatino Linotype" w:cs="Arial"/>
          <w:i/>
          <w:sz w:val="22"/>
          <w:szCs w:val="22"/>
        </w:rPr>
      </w:pPr>
      <w:r w:rsidRPr="00837123">
        <w:rPr>
          <w:rFonts w:ascii="Palatino Linotype" w:hAnsi="Palatino Linotype" w:cs="Arial"/>
          <w:i/>
          <w:sz w:val="22"/>
          <w:szCs w:val="22"/>
        </w:rPr>
        <w:lastRenderedPageBreak/>
        <w:t>1. Al ejercer los derechos que se le reconocer en el presente Convenio, los trabajadores, los empleadores y sus organizaciones respectivas están obligados, lo mismo que las demás personas o las colectividades organizadas, a respetar la legalidad.</w:t>
      </w:r>
    </w:p>
    <w:p w14:paraId="7CB9E5EB" w14:textId="77777777" w:rsidR="00837123" w:rsidRPr="00837123" w:rsidRDefault="00837123" w:rsidP="00837123">
      <w:pPr>
        <w:spacing w:line="276" w:lineRule="auto"/>
        <w:ind w:left="567" w:right="567"/>
        <w:jc w:val="both"/>
        <w:rPr>
          <w:rFonts w:ascii="Palatino Linotype" w:hAnsi="Palatino Linotype" w:cs="Arial"/>
          <w:i/>
          <w:sz w:val="22"/>
          <w:szCs w:val="22"/>
        </w:rPr>
      </w:pPr>
    </w:p>
    <w:p w14:paraId="02B6661B" w14:textId="77777777" w:rsidR="00837123" w:rsidRPr="00837123" w:rsidRDefault="00837123" w:rsidP="00837123">
      <w:pPr>
        <w:spacing w:line="276" w:lineRule="auto"/>
        <w:ind w:left="567" w:right="567"/>
        <w:jc w:val="both"/>
        <w:rPr>
          <w:rFonts w:ascii="Palatino Linotype" w:hAnsi="Palatino Linotype" w:cs="Arial"/>
          <w:i/>
          <w:sz w:val="22"/>
          <w:szCs w:val="22"/>
        </w:rPr>
      </w:pPr>
      <w:r w:rsidRPr="00837123">
        <w:rPr>
          <w:rFonts w:ascii="Palatino Linotype" w:hAnsi="Palatino Linotype" w:cs="Arial"/>
          <w:i/>
          <w:sz w:val="22"/>
          <w:szCs w:val="22"/>
        </w:rPr>
        <w:t>2. La legislación nacional no menoscabará, ni será aplicada de suerte que menoscabe las garantías previstas por el presente Convenio.</w:t>
      </w:r>
    </w:p>
    <w:p w14:paraId="2A77C558" w14:textId="77777777" w:rsidR="00837123" w:rsidRPr="00837123" w:rsidRDefault="00837123" w:rsidP="00837123">
      <w:pPr>
        <w:spacing w:line="276" w:lineRule="auto"/>
        <w:ind w:left="567" w:right="567"/>
        <w:jc w:val="both"/>
        <w:rPr>
          <w:rFonts w:ascii="Palatino Linotype" w:hAnsi="Palatino Linotype" w:cs="Arial"/>
          <w:i/>
          <w:sz w:val="22"/>
          <w:szCs w:val="22"/>
        </w:rPr>
      </w:pPr>
      <w:r w:rsidRPr="00837123">
        <w:rPr>
          <w:rFonts w:ascii="Palatino Linotype" w:hAnsi="Palatino Linotype" w:cs="Arial"/>
          <w:i/>
          <w:sz w:val="22"/>
          <w:szCs w:val="22"/>
        </w:rPr>
        <w:t>…”</w:t>
      </w:r>
    </w:p>
    <w:p w14:paraId="4FDA88E7" w14:textId="77777777" w:rsidR="00837123" w:rsidRPr="00837123" w:rsidRDefault="00837123" w:rsidP="00837123">
      <w:pPr>
        <w:spacing w:line="360" w:lineRule="auto"/>
        <w:jc w:val="both"/>
        <w:rPr>
          <w:rFonts w:ascii="Palatino Linotype" w:hAnsi="Palatino Linotype" w:cs="Arial"/>
          <w:sz w:val="22"/>
          <w:szCs w:val="22"/>
        </w:rPr>
      </w:pPr>
    </w:p>
    <w:p w14:paraId="0DC2DEC9" w14:textId="77777777" w:rsidR="00837123" w:rsidRPr="00837123" w:rsidRDefault="00837123" w:rsidP="00837123">
      <w:pPr>
        <w:spacing w:line="360" w:lineRule="auto"/>
        <w:jc w:val="both"/>
        <w:rPr>
          <w:rFonts w:ascii="Palatino Linotype" w:hAnsi="Palatino Linotype" w:cs="Arial"/>
          <w:sz w:val="22"/>
          <w:szCs w:val="22"/>
        </w:rPr>
      </w:pPr>
      <w:r w:rsidRPr="00837123">
        <w:rPr>
          <w:rFonts w:ascii="Palatino Linotype" w:hAnsi="Palatino Linotype" w:cs="Arial"/>
          <w:sz w:val="22"/>
          <w:szCs w:val="22"/>
        </w:rPr>
        <w:t>Dichas disposiciones, contienen la obligación de las autoridades públicas de abstenerse de realizar alguna intervención, que limite o entorpezca el ejercicio de su asociación sindical, por lo que, la legislación nacional no podrá menoscabar las garantías previstas por el Convenio.</w:t>
      </w:r>
    </w:p>
    <w:p w14:paraId="07E988D5" w14:textId="77777777" w:rsidR="00837123" w:rsidRPr="00837123" w:rsidRDefault="00837123" w:rsidP="00837123">
      <w:pPr>
        <w:spacing w:line="360" w:lineRule="auto"/>
        <w:jc w:val="both"/>
        <w:rPr>
          <w:rFonts w:ascii="Palatino Linotype" w:hAnsi="Palatino Linotype" w:cs="Arial"/>
          <w:sz w:val="22"/>
          <w:szCs w:val="22"/>
        </w:rPr>
      </w:pPr>
    </w:p>
    <w:p w14:paraId="2533159E" w14:textId="77777777" w:rsidR="00837123" w:rsidRPr="00837123" w:rsidRDefault="00837123" w:rsidP="00837123">
      <w:pPr>
        <w:spacing w:line="360" w:lineRule="auto"/>
        <w:jc w:val="both"/>
        <w:rPr>
          <w:rFonts w:ascii="Palatino Linotype" w:hAnsi="Palatino Linotype" w:cs="Arial"/>
          <w:sz w:val="22"/>
          <w:szCs w:val="22"/>
        </w:rPr>
      </w:pPr>
      <w:r w:rsidRPr="00837123">
        <w:rPr>
          <w:rFonts w:ascii="Palatino Linotype" w:hAnsi="Palatino Linotype" w:cs="Arial"/>
          <w:sz w:val="22"/>
          <w:szCs w:val="22"/>
        </w:rPr>
        <w:t>Además, resulta necesario, traer a colación la Jurisprudencia número</w:t>
      </w:r>
      <w:r w:rsidRPr="00837123">
        <w:rPr>
          <w:rFonts w:ascii="Palatino Linotype" w:eastAsia="Calibri" w:hAnsi="Palatino Linotype"/>
          <w:sz w:val="22"/>
          <w:szCs w:val="22"/>
          <w:lang w:eastAsia="en-US"/>
        </w:rPr>
        <w:t xml:space="preserve"> PC.I.A. J/2 A (10a.)</w:t>
      </w:r>
      <w:r w:rsidRPr="00837123">
        <w:rPr>
          <w:rFonts w:ascii="Palatino Linotype" w:hAnsi="Palatino Linotype" w:cs="Arial"/>
          <w:sz w:val="22"/>
          <w:szCs w:val="22"/>
        </w:rPr>
        <w:t>, publicada en el Semanario Judicial de la Federación y su Gaceta, en el Libro 21, Tomo II, en agosto de dos mil quince, que establece lo siguiente:</w:t>
      </w:r>
    </w:p>
    <w:p w14:paraId="33D117C1" w14:textId="77777777" w:rsidR="00837123" w:rsidRPr="00837123" w:rsidRDefault="00837123" w:rsidP="00837123">
      <w:pPr>
        <w:spacing w:line="276" w:lineRule="auto"/>
        <w:ind w:left="567" w:right="567"/>
        <w:jc w:val="both"/>
        <w:rPr>
          <w:rFonts w:ascii="Palatino Linotype" w:hAnsi="Palatino Linotype" w:cs="Arial"/>
          <w:i/>
          <w:sz w:val="22"/>
          <w:szCs w:val="22"/>
        </w:rPr>
      </w:pPr>
      <w:r w:rsidRPr="00837123">
        <w:rPr>
          <w:rFonts w:ascii="Palatino Linotype" w:hAnsi="Palatino Linotype" w:cs="Arial"/>
          <w:b/>
          <w:i/>
          <w:sz w:val="22"/>
          <w:szCs w:val="22"/>
        </w:rPr>
        <w:t xml:space="preserve">“INFORMACIÓN PÚBLICA. TIENE ESE CARÁCTER LA QUE SE ENCUENTRA EN POSESIÓN DE PETRÓLEOS MEXICANOS Y SUS ORGANISMOS SUBSIDIARIOS RELATIVA A LOS RECURSOS PÚBLICOS ENTREGADOS AL SINDICATO DE TRABAJADORES PETROLEROS DE LA REPÚBLICA MEXICANA POR CONCEPTO DE PRESTACIONES LABORALES CONTRACTUALES A FAVOR DE SUS TRABAJADORES. </w:t>
      </w:r>
      <w:r w:rsidRPr="00837123">
        <w:rPr>
          <w:rFonts w:ascii="Palatino Linotype" w:hAnsi="Palatino Linotype" w:cs="Arial"/>
          <w:i/>
          <w:sz w:val="22"/>
          <w:szCs w:val="22"/>
        </w:rPr>
        <w:t xml:space="preserve">Petróleos Mexicanos y sus organismos subsidiarios (Pemex-Exploración y Producción; Pemex-Refinación; Pemex-Gas y Petroquímica Básica; y Pemex-Petroquímica), constituyen entidades que, conforme a la Ley Federal de Transparencia y Acceso a la Información Pública Gubernamental, están obligadas a proporcionar a los terceros que lo soliciten aquella información que sea pública y de interés general, como es la relativa a los montos y las personas a quienes entreguen, por cualquier motivo, recursos públicos, pues implica la ejecución del presupuesto que les haya sido asignado, respecto del cual, el Director General de ese organismo descentralizado debe rendir cuentas, así como los informes que dichas personas les entreguen sobre el uso y destino de aquéllos; así, </w:t>
      </w:r>
      <w:r w:rsidRPr="00837123">
        <w:rPr>
          <w:rFonts w:ascii="Palatino Linotype" w:hAnsi="Palatino Linotype" w:cs="Arial"/>
          <w:b/>
          <w:i/>
          <w:sz w:val="22"/>
          <w:szCs w:val="22"/>
        </w:rPr>
        <w:t xml:space="preserve">los </w:t>
      </w:r>
      <w:r w:rsidRPr="00837123">
        <w:rPr>
          <w:rFonts w:ascii="Palatino Linotype" w:hAnsi="Palatino Linotype" w:cs="Arial"/>
          <w:b/>
          <w:i/>
          <w:sz w:val="22"/>
          <w:szCs w:val="22"/>
        </w:rPr>
        <w:lastRenderedPageBreak/>
        <w:t>recursos públicos que esos entes entregan al Sindicato de Trabajadores Petroleros de la República Mexicana por concepto de prestaciones laborales contractuales a favor de sus trabajadores, constituyen información pública que puede darse a conocer a los terceros que la soliciten, habida cuenta de que se encuentra directamente vinculada con el patrimonio de los trabajadores aludidos, relativa al pago de prestaciones de índole laboral con recursos públicos presupuestados, respecto de los cuales existe la obligación de rendir cuentas, y no se refiere a datos propios del sindicato o de sus agremiados cuya difusión pudiera afectar su libertad y privacidad como persona jurídica de derecho social, en la medida en que no se refiere a su administración y actividades, o a las cuotas que sus trabajadores afiliados le aportan para el logro de los intereses gremiales.”</w:t>
      </w:r>
    </w:p>
    <w:p w14:paraId="77891A48" w14:textId="77777777" w:rsidR="00837123" w:rsidRPr="00837123" w:rsidRDefault="00837123" w:rsidP="00837123">
      <w:pPr>
        <w:spacing w:line="360" w:lineRule="auto"/>
        <w:jc w:val="both"/>
        <w:rPr>
          <w:rFonts w:ascii="Palatino Linotype" w:hAnsi="Palatino Linotype" w:cs="Arial"/>
          <w:sz w:val="22"/>
          <w:szCs w:val="22"/>
        </w:rPr>
      </w:pPr>
    </w:p>
    <w:p w14:paraId="61C22DD2" w14:textId="77777777" w:rsidR="00837123" w:rsidRPr="00837123" w:rsidRDefault="00837123" w:rsidP="00837123">
      <w:pPr>
        <w:spacing w:line="360" w:lineRule="auto"/>
        <w:jc w:val="both"/>
        <w:rPr>
          <w:rFonts w:ascii="Palatino Linotype" w:hAnsi="Palatino Linotype" w:cs="Arial"/>
          <w:sz w:val="22"/>
          <w:szCs w:val="22"/>
        </w:rPr>
      </w:pPr>
      <w:r w:rsidRPr="00837123">
        <w:rPr>
          <w:rFonts w:ascii="Palatino Linotype" w:hAnsi="Palatino Linotype" w:cs="Arial"/>
          <w:sz w:val="22"/>
          <w:szCs w:val="22"/>
        </w:rPr>
        <w:t xml:space="preserve">Conforme a la citada Jurisprudencia, se desprende que la información que está sujeta a rendición de cuentas, es aquella que dé cuenta del ejercicio y uso de recursos públicos presupuestados y hayan sido entregados a algún Sindicato y por lo tanto, </w:t>
      </w:r>
      <w:r w:rsidRPr="00837123">
        <w:rPr>
          <w:rFonts w:ascii="Palatino Linotype" w:hAnsi="Palatino Linotype" w:cs="Arial"/>
          <w:b/>
          <w:sz w:val="22"/>
          <w:szCs w:val="22"/>
        </w:rPr>
        <w:t>no será de escrutinio</w:t>
      </w:r>
      <w:r w:rsidRPr="00837123">
        <w:rPr>
          <w:rFonts w:ascii="Palatino Linotype" w:hAnsi="Palatino Linotype" w:cs="Arial"/>
          <w:bCs/>
          <w:sz w:val="22"/>
          <w:szCs w:val="22"/>
        </w:rPr>
        <w:t>, aquella que refiera</w:t>
      </w:r>
      <w:r w:rsidRPr="00837123">
        <w:rPr>
          <w:rFonts w:ascii="Palatino Linotype" w:hAnsi="Palatino Linotype" w:cs="Arial"/>
          <w:b/>
          <w:sz w:val="22"/>
          <w:szCs w:val="22"/>
        </w:rPr>
        <w:t xml:space="preserve"> </w:t>
      </w:r>
      <w:r w:rsidRPr="00837123">
        <w:rPr>
          <w:rFonts w:ascii="Palatino Linotype" w:hAnsi="Palatino Linotype" w:cs="Arial"/>
          <w:b/>
          <w:sz w:val="22"/>
          <w:szCs w:val="22"/>
          <w:u w:val="single"/>
        </w:rPr>
        <w:t>datos propios del sindicato o de sus agremiados</w:t>
      </w:r>
      <w:r w:rsidRPr="00837123">
        <w:rPr>
          <w:rFonts w:ascii="Palatino Linotype" w:hAnsi="Palatino Linotype" w:cs="Arial"/>
          <w:b/>
          <w:sz w:val="22"/>
          <w:szCs w:val="22"/>
        </w:rPr>
        <w:t xml:space="preserve">, cuya difusión pudiera afectar su libertad sindical y privacidad, como persona jurídica de derecho social, así como de aquella que refiera a su administración y actividades o bien las cuotas sindicales. </w:t>
      </w:r>
    </w:p>
    <w:p w14:paraId="7164C041" w14:textId="77777777" w:rsidR="00837123" w:rsidRPr="00837123" w:rsidRDefault="00837123" w:rsidP="00837123">
      <w:pPr>
        <w:spacing w:line="360" w:lineRule="auto"/>
        <w:jc w:val="both"/>
        <w:rPr>
          <w:rFonts w:ascii="Palatino Linotype" w:hAnsi="Palatino Linotype" w:cs="Arial"/>
          <w:sz w:val="22"/>
          <w:szCs w:val="22"/>
        </w:rPr>
      </w:pPr>
    </w:p>
    <w:p w14:paraId="41307E31" w14:textId="77777777" w:rsidR="00837123" w:rsidRPr="00837123" w:rsidRDefault="00837123" w:rsidP="00837123">
      <w:pPr>
        <w:spacing w:line="360" w:lineRule="auto"/>
        <w:jc w:val="both"/>
        <w:rPr>
          <w:rFonts w:ascii="Palatino Linotype" w:hAnsi="Palatino Linotype" w:cs="Arial"/>
          <w:sz w:val="22"/>
          <w:szCs w:val="22"/>
        </w:rPr>
      </w:pPr>
      <w:r w:rsidRPr="00837123">
        <w:rPr>
          <w:rFonts w:ascii="Palatino Linotype" w:hAnsi="Palatino Linotype" w:cs="Arial"/>
          <w:sz w:val="22"/>
          <w:szCs w:val="22"/>
        </w:rPr>
        <w:t xml:space="preserve">Así, se puede concluir que la única información de los sindicatos, que es materia de acceso a información pública, es aquella que documente </w:t>
      </w:r>
      <w:r w:rsidRPr="00837123">
        <w:rPr>
          <w:rFonts w:ascii="Palatino Linotype" w:hAnsi="Palatino Linotype" w:cs="Arial"/>
          <w:b/>
          <w:sz w:val="22"/>
          <w:szCs w:val="22"/>
        </w:rPr>
        <w:t>la recepción, uso y ejercicio de recursos públicos o bien, la realización de actos en su calidad de autoridades y no la que provenga de capital privado y se destine a su vida interna.</w:t>
      </w:r>
    </w:p>
    <w:p w14:paraId="7C65EBF3" w14:textId="77777777" w:rsidR="00837123" w:rsidRPr="00837123" w:rsidRDefault="00837123" w:rsidP="00837123">
      <w:pPr>
        <w:spacing w:line="360" w:lineRule="auto"/>
        <w:jc w:val="both"/>
        <w:rPr>
          <w:rFonts w:ascii="Palatino Linotype" w:hAnsi="Palatino Linotype" w:cs="Arial"/>
          <w:sz w:val="22"/>
          <w:szCs w:val="22"/>
        </w:rPr>
      </w:pPr>
    </w:p>
    <w:p w14:paraId="6D19B46C" w14:textId="77777777" w:rsidR="00837123" w:rsidRDefault="00837123" w:rsidP="00837123">
      <w:pPr>
        <w:spacing w:line="360" w:lineRule="auto"/>
        <w:jc w:val="both"/>
        <w:rPr>
          <w:rFonts w:ascii="Palatino Linotype" w:hAnsi="Palatino Linotype" w:cs="Arial"/>
          <w:sz w:val="22"/>
          <w:szCs w:val="22"/>
        </w:rPr>
      </w:pPr>
      <w:r w:rsidRPr="00837123">
        <w:rPr>
          <w:rFonts w:ascii="Palatino Linotype" w:hAnsi="Palatino Linotype" w:cs="Arial"/>
          <w:sz w:val="22"/>
          <w:szCs w:val="22"/>
        </w:rPr>
        <w:t xml:space="preserve">En ese contexto, si bien constitucionalmente, se le otorga la calidad de sujetos obligados a los </w:t>
      </w:r>
      <w:r w:rsidRPr="00837123">
        <w:rPr>
          <w:rFonts w:ascii="Palatino Linotype" w:hAnsi="Palatino Linotype" w:cs="Arial"/>
          <w:b/>
          <w:sz w:val="22"/>
          <w:szCs w:val="22"/>
        </w:rPr>
        <w:t xml:space="preserve">sindicatos que reciben y ejercen recursos públicos o realizan actos de autoridad, </w:t>
      </w:r>
      <w:r w:rsidRPr="00837123">
        <w:rPr>
          <w:rFonts w:ascii="Palatino Linotype" w:hAnsi="Palatino Linotype" w:cs="Arial"/>
          <w:sz w:val="22"/>
          <w:szCs w:val="22"/>
        </w:rPr>
        <w:t xml:space="preserve">como el </w:t>
      </w:r>
      <w:r w:rsidRPr="00837123">
        <w:rPr>
          <w:rFonts w:ascii="Palatino Linotype" w:eastAsia="Palatino Linotype" w:hAnsi="Palatino Linotype" w:cs="Palatino Linotype"/>
          <w:b/>
          <w:sz w:val="22"/>
          <w:szCs w:val="22"/>
        </w:rPr>
        <w:t xml:space="preserve">Sindicato </w:t>
      </w:r>
      <w:r w:rsidR="00B40044">
        <w:rPr>
          <w:rFonts w:ascii="Palatino Linotype" w:eastAsia="Palatino Linotype" w:hAnsi="Palatino Linotype" w:cs="Palatino Linotype"/>
          <w:b/>
          <w:sz w:val="22"/>
          <w:szCs w:val="22"/>
        </w:rPr>
        <w:t>de Maestros al Servicio</w:t>
      </w:r>
      <w:r w:rsidRPr="00837123">
        <w:rPr>
          <w:rFonts w:ascii="Palatino Linotype" w:eastAsia="Palatino Linotype" w:hAnsi="Palatino Linotype" w:cs="Palatino Linotype"/>
          <w:b/>
          <w:sz w:val="22"/>
          <w:szCs w:val="22"/>
        </w:rPr>
        <w:t xml:space="preserve"> del Estado de México</w:t>
      </w:r>
      <w:r w:rsidRPr="00837123">
        <w:rPr>
          <w:rFonts w:ascii="Palatino Linotype" w:hAnsi="Palatino Linotype" w:cs="Arial"/>
          <w:sz w:val="22"/>
          <w:szCs w:val="22"/>
        </w:rPr>
        <w:t xml:space="preserve">, también lo es que, en atención </w:t>
      </w:r>
      <w:r w:rsidRPr="00837123">
        <w:rPr>
          <w:rFonts w:ascii="Palatino Linotype" w:hAnsi="Palatino Linotype" w:cs="Arial"/>
          <w:sz w:val="22"/>
          <w:szCs w:val="22"/>
        </w:rPr>
        <w:lastRenderedPageBreak/>
        <w:t>a la naturaleza jurídica de este tipo de entes, dichas disposiciones deben interpretarse de manera armónica con lo establecido en el Convenio 87 de la Organización Internacional del Trabajo, mismo que es de observancia obligatoria para el Estado Mexicano.</w:t>
      </w:r>
    </w:p>
    <w:p w14:paraId="0E2B89B3" w14:textId="77777777" w:rsidR="00B40044" w:rsidRPr="00837123" w:rsidRDefault="00B40044" w:rsidP="00837123">
      <w:pPr>
        <w:spacing w:line="360" w:lineRule="auto"/>
        <w:jc w:val="both"/>
        <w:rPr>
          <w:rFonts w:ascii="Palatino Linotype" w:hAnsi="Palatino Linotype" w:cs="Arial"/>
          <w:sz w:val="22"/>
          <w:szCs w:val="22"/>
        </w:rPr>
      </w:pPr>
    </w:p>
    <w:p w14:paraId="374E523F" w14:textId="77777777" w:rsidR="00837123" w:rsidRPr="00837123" w:rsidRDefault="00837123" w:rsidP="00837123">
      <w:pPr>
        <w:spacing w:line="360" w:lineRule="auto"/>
        <w:jc w:val="both"/>
        <w:rPr>
          <w:rFonts w:ascii="Palatino Linotype" w:hAnsi="Palatino Linotype" w:cs="Tahoma"/>
          <w:bCs/>
          <w:sz w:val="22"/>
          <w:szCs w:val="22"/>
        </w:rPr>
      </w:pPr>
      <w:r w:rsidRPr="00837123">
        <w:rPr>
          <w:rFonts w:ascii="Palatino Linotype" w:hAnsi="Palatino Linotype" w:cs="Arial"/>
          <w:sz w:val="22"/>
          <w:szCs w:val="22"/>
        </w:rPr>
        <w:t xml:space="preserve">Al respecto, </w:t>
      </w:r>
      <w:r w:rsidRPr="00837123">
        <w:rPr>
          <w:rFonts w:ascii="Palatino Linotype" w:hAnsi="Palatino Linotype" w:cs="Tahoma"/>
          <w:bCs/>
          <w:sz w:val="22"/>
          <w:szCs w:val="22"/>
        </w:rPr>
        <w:t xml:space="preserve">según Delgado, Eduardo (2016), “Transparencia Sindical en la Ley Federal del Trabajo y en la Ley General de Transparencia y Acceso a la Información Pública” (consultada en la liga electrónica </w:t>
      </w:r>
      <w:hyperlink r:id="rId9" w:history="1">
        <w:r w:rsidRPr="00837123">
          <w:rPr>
            <w:rStyle w:val="Hipervnculo"/>
            <w:rFonts w:ascii="Palatino Linotype" w:hAnsi="Palatino Linotype" w:cs="Tahoma"/>
            <w:bCs/>
            <w:sz w:val="22"/>
            <w:szCs w:val="22"/>
          </w:rPr>
          <w:t>http://www.scielo.org.mx/pdf/rlds/n23/1870-4670-rlds-23-00179.pdf</w:t>
        </w:r>
      </w:hyperlink>
      <w:r w:rsidRPr="00837123">
        <w:rPr>
          <w:rFonts w:ascii="Palatino Linotype" w:hAnsi="Palatino Linotype" w:cs="Tahoma"/>
          <w:bCs/>
          <w:sz w:val="22"/>
          <w:szCs w:val="22"/>
        </w:rPr>
        <w:t>), los sindicatos cuentan con dos tipos de tipos de transparencia, conforme a lo siguiente:</w:t>
      </w:r>
    </w:p>
    <w:p w14:paraId="52B619E5" w14:textId="77777777" w:rsidR="00837123" w:rsidRPr="00837123" w:rsidRDefault="00837123" w:rsidP="00837123">
      <w:pPr>
        <w:spacing w:line="360" w:lineRule="auto"/>
        <w:jc w:val="both"/>
        <w:rPr>
          <w:rFonts w:ascii="Palatino Linotype" w:hAnsi="Palatino Linotype" w:cs="Tahoma"/>
          <w:bCs/>
          <w:sz w:val="22"/>
          <w:szCs w:val="22"/>
        </w:rPr>
      </w:pPr>
    </w:p>
    <w:p w14:paraId="2F0C4C52" w14:textId="77777777" w:rsidR="00837123" w:rsidRPr="00837123" w:rsidRDefault="00837123" w:rsidP="00837123">
      <w:pPr>
        <w:pStyle w:val="Prrafodelista"/>
        <w:numPr>
          <w:ilvl w:val="0"/>
          <w:numId w:val="9"/>
        </w:numPr>
        <w:spacing w:line="276" w:lineRule="auto"/>
        <w:jc w:val="both"/>
        <w:rPr>
          <w:rFonts w:ascii="Palatino Linotype" w:hAnsi="Palatino Linotype" w:cs="Tahoma"/>
          <w:sz w:val="22"/>
          <w:szCs w:val="22"/>
        </w:rPr>
      </w:pPr>
      <w:r w:rsidRPr="00837123">
        <w:rPr>
          <w:rFonts w:ascii="Palatino Linotype" w:hAnsi="Palatino Linotype" w:cs="Tahoma"/>
          <w:b/>
          <w:sz w:val="22"/>
          <w:szCs w:val="22"/>
        </w:rPr>
        <w:t xml:space="preserve">Externa: </w:t>
      </w:r>
      <w:r w:rsidRPr="00837123">
        <w:rPr>
          <w:rFonts w:ascii="Palatino Linotype" w:hAnsi="Palatino Linotype" w:cs="Tahoma"/>
          <w:sz w:val="22"/>
          <w:szCs w:val="22"/>
        </w:rPr>
        <w:t>Corresponde aquella información dirigida al público, en general, sin necesidad de ser afiliado al sindicato, la cual se conforma de dos formas:</w:t>
      </w:r>
    </w:p>
    <w:p w14:paraId="05D8AF5F" w14:textId="77777777" w:rsidR="00837123" w:rsidRPr="00837123" w:rsidRDefault="00837123" w:rsidP="00837123">
      <w:pPr>
        <w:pStyle w:val="Prrafodelista"/>
        <w:spacing w:line="276" w:lineRule="auto"/>
        <w:jc w:val="both"/>
        <w:rPr>
          <w:rFonts w:ascii="Palatino Linotype" w:hAnsi="Palatino Linotype" w:cs="Tahoma"/>
          <w:sz w:val="22"/>
          <w:szCs w:val="22"/>
        </w:rPr>
      </w:pPr>
    </w:p>
    <w:p w14:paraId="64CC9139" w14:textId="77777777" w:rsidR="00837123" w:rsidRPr="00837123" w:rsidRDefault="00837123" w:rsidP="00837123">
      <w:pPr>
        <w:pStyle w:val="Prrafodelista"/>
        <w:numPr>
          <w:ilvl w:val="0"/>
          <w:numId w:val="10"/>
        </w:numPr>
        <w:spacing w:line="276" w:lineRule="auto"/>
        <w:jc w:val="both"/>
        <w:rPr>
          <w:rFonts w:ascii="Palatino Linotype" w:hAnsi="Palatino Linotype" w:cs="Tahoma"/>
          <w:b/>
          <w:sz w:val="22"/>
          <w:szCs w:val="22"/>
        </w:rPr>
      </w:pPr>
      <w:r w:rsidRPr="00837123">
        <w:rPr>
          <w:rFonts w:ascii="Palatino Linotype" w:hAnsi="Palatino Linotype" w:cs="Tahoma"/>
          <w:b/>
          <w:sz w:val="22"/>
          <w:szCs w:val="22"/>
        </w:rPr>
        <w:t xml:space="preserve">La establecida en la Ley Federal de Trabajo: </w:t>
      </w:r>
      <w:r w:rsidRPr="00837123">
        <w:rPr>
          <w:rFonts w:ascii="Palatino Linotype" w:hAnsi="Palatino Linotype" w:cs="Tahoma"/>
          <w:sz w:val="22"/>
          <w:szCs w:val="22"/>
        </w:rPr>
        <w:t>Que corresponde a la información que dé cuenta del correcto registro sindical ante las autoridades laborales, así como la información sobre dichos registros, entre la cual, se encuentra la siguiente:</w:t>
      </w:r>
    </w:p>
    <w:p w14:paraId="16EC1D03" w14:textId="77777777" w:rsidR="00837123" w:rsidRPr="00837123" w:rsidRDefault="00837123" w:rsidP="00837123">
      <w:pPr>
        <w:pStyle w:val="Prrafodelista"/>
        <w:spacing w:line="276" w:lineRule="auto"/>
        <w:ind w:left="1440"/>
        <w:jc w:val="both"/>
        <w:rPr>
          <w:rFonts w:ascii="Palatino Linotype" w:hAnsi="Palatino Linotype" w:cs="Tahoma"/>
          <w:b/>
          <w:sz w:val="22"/>
          <w:szCs w:val="22"/>
        </w:rPr>
      </w:pPr>
    </w:p>
    <w:p w14:paraId="7B21C5BE" w14:textId="77777777" w:rsidR="00837123" w:rsidRPr="00837123" w:rsidRDefault="00837123" w:rsidP="00837123">
      <w:pPr>
        <w:pStyle w:val="Prrafodelista"/>
        <w:numPr>
          <w:ilvl w:val="0"/>
          <w:numId w:val="11"/>
        </w:numPr>
        <w:spacing w:line="276" w:lineRule="auto"/>
        <w:jc w:val="both"/>
        <w:rPr>
          <w:rFonts w:ascii="Palatino Linotype" w:hAnsi="Palatino Linotype" w:cs="Tahoma"/>
          <w:b/>
          <w:sz w:val="22"/>
          <w:szCs w:val="22"/>
        </w:rPr>
      </w:pPr>
      <w:r w:rsidRPr="00837123">
        <w:rPr>
          <w:rFonts w:ascii="Palatino Linotype" w:hAnsi="Palatino Linotype" w:cs="Tahoma"/>
          <w:sz w:val="22"/>
          <w:szCs w:val="22"/>
        </w:rPr>
        <w:t>La versión pública de los expedientes de registros sindicales; así como de los Estatutos.</w:t>
      </w:r>
    </w:p>
    <w:p w14:paraId="59ABF911" w14:textId="77777777" w:rsidR="00837123" w:rsidRPr="00837123" w:rsidRDefault="00837123" w:rsidP="00837123">
      <w:pPr>
        <w:pStyle w:val="Prrafodelista"/>
        <w:spacing w:line="276" w:lineRule="auto"/>
        <w:ind w:left="2160"/>
        <w:jc w:val="both"/>
        <w:rPr>
          <w:rFonts w:ascii="Palatino Linotype" w:hAnsi="Palatino Linotype" w:cs="Tahoma"/>
          <w:b/>
          <w:sz w:val="22"/>
          <w:szCs w:val="22"/>
        </w:rPr>
      </w:pPr>
    </w:p>
    <w:p w14:paraId="357EE25C" w14:textId="77777777" w:rsidR="00837123" w:rsidRPr="00837123" w:rsidRDefault="00837123" w:rsidP="00837123">
      <w:pPr>
        <w:pStyle w:val="Prrafodelista"/>
        <w:numPr>
          <w:ilvl w:val="0"/>
          <w:numId w:val="11"/>
        </w:numPr>
        <w:spacing w:line="276" w:lineRule="auto"/>
        <w:jc w:val="both"/>
        <w:rPr>
          <w:rFonts w:ascii="Palatino Linotype" w:hAnsi="Palatino Linotype" w:cs="Tahoma"/>
          <w:b/>
          <w:sz w:val="22"/>
          <w:szCs w:val="22"/>
        </w:rPr>
      </w:pPr>
      <w:r w:rsidRPr="00837123">
        <w:rPr>
          <w:rFonts w:ascii="Palatino Linotype" w:hAnsi="Palatino Linotype" w:cs="Tahoma"/>
          <w:sz w:val="22"/>
          <w:szCs w:val="22"/>
        </w:rPr>
        <w:t>Información del gremio, como lo es su domicilio, número de registro, nombre, integrantes del Comité Ejecutivo, fecha de vigencia del Comité Ejecutivo, número de socios, central obrera a la que pertenecen.</w:t>
      </w:r>
    </w:p>
    <w:p w14:paraId="5FBEAD73" w14:textId="77777777" w:rsidR="00837123" w:rsidRPr="00837123" w:rsidRDefault="00837123" w:rsidP="00837123">
      <w:pPr>
        <w:pStyle w:val="Prrafodelista"/>
        <w:spacing w:line="276" w:lineRule="auto"/>
        <w:ind w:left="1440"/>
        <w:jc w:val="both"/>
        <w:rPr>
          <w:rFonts w:ascii="Palatino Linotype" w:hAnsi="Palatino Linotype" w:cs="Tahoma"/>
          <w:b/>
          <w:sz w:val="22"/>
          <w:szCs w:val="22"/>
        </w:rPr>
      </w:pPr>
    </w:p>
    <w:p w14:paraId="3111004D" w14:textId="77777777" w:rsidR="00837123" w:rsidRPr="00837123" w:rsidRDefault="00837123" w:rsidP="00837123">
      <w:pPr>
        <w:pStyle w:val="Prrafodelista"/>
        <w:numPr>
          <w:ilvl w:val="0"/>
          <w:numId w:val="10"/>
        </w:numPr>
        <w:spacing w:line="276" w:lineRule="auto"/>
        <w:jc w:val="both"/>
        <w:rPr>
          <w:rFonts w:ascii="Palatino Linotype" w:hAnsi="Palatino Linotype" w:cs="Tahoma"/>
          <w:b/>
          <w:sz w:val="22"/>
          <w:szCs w:val="22"/>
        </w:rPr>
      </w:pPr>
      <w:r w:rsidRPr="00837123">
        <w:rPr>
          <w:rFonts w:ascii="Palatino Linotype" w:hAnsi="Palatino Linotype" w:cs="Tahoma"/>
          <w:b/>
          <w:sz w:val="22"/>
          <w:szCs w:val="22"/>
        </w:rPr>
        <w:t xml:space="preserve">La establecida en la Ley General de Transparencia y Acceso a la Información Pública: </w:t>
      </w:r>
      <w:r w:rsidRPr="00837123">
        <w:rPr>
          <w:rFonts w:ascii="Palatino Linotype" w:hAnsi="Palatino Linotype" w:cs="Tahoma"/>
          <w:sz w:val="22"/>
          <w:szCs w:val="22"/>
        </w:rPr>
        <w:t>Las obligaciones de transparencia, establecidas en el artículo 78 y 79 de dicho ordenamiento jurídico, así como, de aquella que dé cuenta de la recepción y ejercicio de recursos públicos o bien, de actos de autoridad.</w:t>
      </w:r>
    </w:p>
    <w:p w14:paraId="7445568C" w14:textId="77777777" w:rsidR="00837123" w:rsidRPr="00837123" w:rsidRDefault="00837123" w:rsidP="00837123">
      <w:pPr>
        <w:spacing w:line="276" w:lineRule="auto"/>
        <w:jc w:val="both"/>
        <w:rPr>
          <w:rFonts w:ascii="Palatino Linotype" w:hAnsi="Palatino Linotype" w:cs="Arial"/>
          <w:sz w:val="22"/>
          <w:szCs w:val="22"/>
        </w:rPr>
      </w:pPr>
    </w:p>
    <w:p w14:paraId="23162B21" w14:textId="77777777" w:rsidR="00837123" w:rsidRPr="00837123" w:rsidRDefault="00837123" w:rsidP="00837123">
      <w:pPr>
        <w:pStyle w:val="Prrafodelista"/>
        <w:numPr>
          <w:ilvl w:val="0"/>
          <w:numId w:val="9"/>
        </w:numPr>
        <w:spacing w:line="276" w:lineRule="auto"/>
        <w:jc w:val="both"/>
        <w:rPr>
          <w:rFonts w:ascii="Palatino Linotype" w:hAnsi="Palatino Linotype" w:cs="Tahoma"/>
          <w:sz w:val="22"/>
          <w:szCs w:val="22"/>
        </w:rPr>
      </w:pPr>
      <w:r w:rsidRPr="00837123">
        <w:rPr>
          <w:rFonts w:ascii="Palatino Linotype" w:hAnsi="Palatino Linotype" w:cs="Tahoma"/>
          <w:b/>
          <w:sz w:val="22"/>
          <w:szCs w:val="22"/>
        </w:rPr>
        <w:t xml:space="preserve">Interna: </w:t>
      </w:r>
      <w:r w:rsidRPr="00837123">
        <w:rPr>
          <w:rFonts w:ascii="Palatino Linotype" w:hAnsi="Palatino Linotype" w:cs="Tahoma"/>
          <w:sz w:val="22"/>
          <w:szCs w:val="22"/>
        </w:rPr>
        <w:t xml:space="preserve">Es la transparencia que el sindicato debe de rendir a sus afiliados, esto es, respecto a los ingresos por cuotas sindicales y los bienes que conforme el patrimonio del gremio, así como el destino que se le brinda a estos, </w:t>
      </w:r>
      <w:r w:rsidRPr="00837123">
        <w:rPr>
          <w:rFonts w:ascii="Palatino Linotype" w:hAnsi="Palatino Linotype" w:cs="Tahoma"/>
          <w:b/>
          <w:sz w:val="22"/>
          <w:szCs w:val="22"/>
        </w:rPr>
        <w:t>así como, de la administración de la persona jurídico colectiva de derecho social</w:t>
      </w:r>
    </w:p>
    <w:p w14:paraId="2481449E" w14:textId="77777777" w:rsidR="00837123" w:rsidRPr="00837123" w:rsidRDefault="00837123" w:rsidP="00837123">
      <w:pPr>
        <w:spacing w:line="276" w:lineRule="auto"/>
        <w:jc w:val="both"/>
        <w:rPr>
          <w:rFonts w:ascii="Palatino Linotype" w:hAnsi="Palatino Linotype" w:cs="Arial"/>
          <w:sz w:val="22"/>
          <w:szCs w:val="22"/>
        </w:rPr>
      </w:pPr>
    </w:p>
    <w:p w14:paraId="0E321AA6" w14:textId="77777777" w:rsidR="00837123" w:rsidRPr="00837123" w:rsidRDefault="00837123" w:rsidP="00837123">
      <w:pPr>
        <w:spacing w:line="360" w:lineRule="auto"/>
        <w:jc w:val="both"/>
        <w:rPr>
          <w:rFonts w:ascii="Palatino Linotype" w:hAnsi="Palatino Linotype" w:cs="Arial"/>
          <w:sz w:val="22"/>
          <w:szCs w:val="22"/>
        </w:rPr>
      </w:pPr>
      <w:r w:rsidRPr="00837123">
        <w:rPr>
          <w:rFonts w:ascii="Palatino Linotype" w:hAnsi="Palatino Linotype" w:cs="Arial"/>
          <w:sz w:val="22"/>
          <w:szCs w:val="22"/>
        </w:rPr>
        <w:t>Por lo anterior, se puede concluir que hay dos tipos de transparencia sindical:</w:t>
      </w:r>
    </w:p>
    <w:p w14:paraId="3334FD17" w14:textId="77777777" w:rsidR="00837123" w:rsidRPr="00837123" w:rsidRDefault="00837123" w:rsidP="00837123">
      <w:pPr>
        <w:spacing w:line="360" w:lineRule="auto"/>
        <w:jc w:val="both"/>
        <w:rPr>
          <w:rFonts w:ascii="Palatino Linotype" w:hAnsi="Palatino Linotype" w:cs="Arial"/>
          <w:sz w:val="22"/>
          <w:szCs w:val="22"/>
        </w:rPr>
      </w:pPr>
    </w:p>
    <w:p w14:paraId="12DE2A55" w14:textId="77777777" w:rsidR="00837123" w:rsidRPr="00837123" w:rsidRDefault="00837123" w:rsidP="00837123">
      <w:pPr>
        <w:numPr>
          <w:ilvl w:val="0"/>
          <w:numId w:val="8"/>
        </w:numPr>
        <w:spacing w:line="276" w:lineRule="auto"/>
        <w:contextualSpacing/>
        <w:jc w:val="both"/>
        <w:rPr>
          <w:rFonts w:ascii="Palatino Linotype" w:hAnsi="Palatino Linotype" w:cs="Arial"/>
          <w:b/>
          <w:sz w:val="22"/>
          <w:szCs w:val="22"/>
        </w:rPr>
      </w:pPr>
      <w:r w:rsidRPr="00837123">
        <w:rPr>
          <w:rFonts w:ascii="Palatino Linotype" w:hAnsi="Palatino Linotype" w:cs="Arial"/>
          <w:b/>
          <w:sz w:val="22"/>
          <w:szCs w:val="22"/>
        </w:rPr>
        <w:t>Externa:</w:t>
      </w:r>
      <w:r w:rsidRPr="00837123">
        <w:rPr>
          <w:rFonts w:ascii="Palatino Linotype" w:hAnsi="Palatino Linotype" w:cs="Arial"/>
          <w:sz w:val="22"/>
          <w:szCs w:val="22"/>
        </w:rPr>
        <w:t xml:space="preserve"> aquella que esté sujeta a las Leyes de Transparencia y por lo tanto es de escrutinio público; esto es, la recepción y ejercicio de recursos públicos, la realización de actos de autoridad o las obligaciones de transparencia establecidas en la normatividad aplicable.</w:t>
      </w:r>
    </w:p>
    <w:p w14:paraId="700AC396" w14:textId="77777777" w:rsidR="00837123" w:rsidRPr="00837123" w:rsidRDefault="00837123" w:rsidP="00837123">
      <w:pPr>
        <w:spacing w:line="276" w:lineRule="auto"/>
        <w:ind w:left="720"/>
        <w:contextualSpacing/>
        <w:jc w:val="both"/>
        <w:rPr>
          <w:rFonts w:ascii="Palatino Linotype" w:hAnsi="Palatino Linotype" w:cs="Arial"/>
          <w:b/>
          <w:sz w:val="22"/>
          <w:szCs w:val="22"/>
        </w:rPr>
      </w:pPr>
      <w:r w:rsidRPr="00837123">
        <w:rPr>
          <w:rFonts w:ascii="Palatino Linotype" w:hAnsi="Palatino Linotype" w:cs="Arial"/>
          <w:sz w:val="22"/>
          <w:szCs w:val="22"/>
        </w:rPr>
        <w:t xml:space="preserve"> </w:t>
      </w:r>
    </w:p>
    <w:p w14:paraId="67FE40FC" w14:textId="77777777" w:rsidR="00837123" w:rsidRPr="00837123" w:rsidRDefault="00837123" w:rsidP="00837123">
      <w:pPr>
        <w:numPr>
          <w:ilvl w:val="0"/>
          <w:numId w:val="8"/>
        </w:numPr>
        <w:spacing w:line="276" w:lineRule="auto"/>
        <w:contextualSpacing/>
        <w:jc w:val="both"/>
        <w:rPr>
          <w:rFonts w:ascii="Palatino Linotype" w:hAnsi="Palatino Linotype" w:cs="Arial"/>
          <w:b/>
          <w:sz w:val="22"/>
          <w:szCs w:val="22"/>
        </w:rPr>
      </w:pPr>
      <w:r w:rsidRPr="00837123">
        <w:rPr>
          <w:rFonts w:ascii="Palatino Linotype" w:hAnsi="Palatino Linotype" w:cs="Arial"/>
          <w:b/>
          <w:sz w:val="22"/>
          <w:szCs w:val="22"/>
        </w:rPr>
        <w:t xml:space="preserve">Interna: </w:t>
      </w:r>
      <w:r w:rsidRPr="00837123">
        <w:rPr>
          <w:rFonts w:ascii="Palatino Linotype" w:hAnsi="Palatino Linotype" w:cs="Arial"/>
          <w:sz w:val="22"/>
          <w:szCs w:val="22"/>
        </w:rPr>
        <w:t xml:space="preserve">corresponde a aquella información que el Sindicato debe rendir únicamente a sus agremiados; por ejemplo, el ingreso y ejercicio de los recursos obtenidos de cuotas sindicales, bienes de su patrimonio, incluso </w:t>
      </w:r>
      <w:r w:rsidRPr="00837123">
        <w:rPr>
          <w:rFonts w:ascii="Palatino Linotype" w:hAnsi="Palatino Linotype" w:cs="Arial"/>
          <w:b/>
          <w:sz w:val="22"/>
          <w:szCs w:val="22"/>
        </w:rPr>
        <w:t>la entrada y salida de afiliados o bien la administración del mismo.</w:t>
      </w:r>
    </w:p>
    <w:p w14:paraId="200FE82E" w14:textId="77777777" w:rsidR="00837123" w:rsidRPr="00837123" w:rsidRDefault="00837123" w:rsidP="00837123">
      <w:pPr>
        <w:spacing w:line="360" w:lineRule="auto"/>
        <w:jc w:val="both"/>
        <w:rPr>
          <w:rFonts w:ascii="Palatino Linotype" w:hAnsi="Palatino Linotype" w:cs="Arial"/>
          <w:sz w:val="22"/>
          <w:szCs w:val="22"/>
        </w:rPr>
      </w:pPr>
    </w:p>
    <w:p w14:paraId="1D4ADE04" w14:textId="77777777" w:rsidR="00837123" w:rsidRPr="00837123" w:rsidRDefault="00837123" w:rsidP="00837123">
      <w:pPr>
        <w:spacing w:line="360" w:lineRule="auto"/>
        <w:jc w:val="both"/>
        <w:rPr>
          <w:rFonts w:ascii="Palatino Linotype" w:hAnsi="Palatino Linotype" w:cs="Arial"/>
          <w:sz w:val="22"/>
          <w:szCs w:val="22"/>
          <w:u w:val="single"/>
        </w:rPr>
      </w:pPr>
      <w:r w:rsidRPr="00837123">
        <w:rPr>
          <w:rFonts w:ascii="Palatino Linotype" w:hAnsi="Palatino Linotype" w:cs="Arial"/>
          <w:sz w:val="22"/>
          <w:szCs w:val="22"/>
        </w:rPr>
        <w:t xml:space="preserve">Por lo tanto, la única información que es susceptible a escrutinio público, es aquella que corresponde a la </w:t>
      </w:r>
      <w:r w:rsidRPr="00837123">
        <w:rPr>
          <w:rFonts w:ascii="Palatino Linotype" w:hAnsi="Palatino Linotype" w:cs="Arial"/>
          <w:b/>
          <w:sz w:val="22"/>
          <w:szCs w:val="22"/>
        </w:rPr>
        <w:t>transparencia sindical externa</w:t>
      </w:r>
      <w:r w:rsidRPr="00837123">
        <w:rPr>
          <w:rFonts w:ascii="Palatino Linotype" w:hAnsi="Palatino Linotype" w:cs="Arial"/>
          <w:sz w:val="22"/>
          <w:szCs w:val="22"/>
        </w:rPr>
        <w:t xml:space="preserve">; así, para determinar si la información que obra en los archivos de los Sindicatos, está sujeta a transparencia, </w:t>
      </w:r>
      <w:r w:rsidRPr="00837123">
        <w:rPr>
          <w:rFonts w:ascii="Palatino Linotype" w:hAnsi="Palatino Linotype" w:cs="Arial"/>
          <w:b/>
          <w:sz w:val="22"/>
          <w:szCs w:val="22"/>
        </w:rPr>
        <w:t>primero</w:t>
      </w:r>
      <w:r w:rsidRPr="00837123">
        <w:rPr>
          <w:rFonts w:ascii="Palatino Linotype" w:hAnsi="Palatino Linotype" w:cs="Arial"/>
          <w:sz w:val="22"/>
          <w:szCs w:val="22"/>
        </w:rPr>
        <w:t xml:space="preserve"> </w:t>
      </w:r>
      <w:r w:rsidRPr="00837123">
        <w:rPr>
          <w:rFonts w:ascii="Palatino Linotype" w:hAnsi="Palatino Linotype" w:cs="Arial"/>
          <w:b/>
          <w:sz w:val="22"/>
          <w:szCs w:val="22"/>
        </w:rPr>
        <w:t>se deberá analizar la naturaleza de la misma</w:t>
      </w:r>
      <w:r w:rsidRPr="00837123">
        <w:rPr>
          <w:rFonts w:ascii="Palatino Linotype" w:hAnsi="Palatino Linotype" w:cs="Arial"/>
          <w:sz w:val="22"/>
          <w:szCs w:val="22"/>
        </w:rPr>
        <w:t xml:space="preserve">, con la finalidad de garantizar el derecho de acceso a la información, </w:t>
      </w:r>
      <w:r w:rsidRPr="00837123">
        <w:rPr>
          <w:rFonts w:ascii="Palatino Linotype" w:hAnsi="Palatino Linotype" w:cs="Arial"/>
          <w:sz w:val="22"/>
          <w:szCs w:val="22"/>
          <w:u w:val="single"/>
        </w:rPr>
        <w:t>sin que ello implique trastocar la libertad y autonomía sindical.</w:t>
      </w:r>
    </w:p>
    <w:p w14:paraId="5C3406DC" w14:textId="77777777" w:rsidR="00837123" w:rsidRPr="00837123" w:rsidRDefault="00837123" w:rsidP="00837123">
      <w:pPr>
        <w:spacing w:line="360" w:lineRule="auto"/>
        <w:jc w:val="both"/>
        <w:rPr>
          <w:rFonts w:ascii="Palatino Linotype" w:hAnsi="Palatino Linotype" w:cs="Arial"/>
          <w:sz w:val="22"/>
          <w:szCs w:val="22"/>
        </w:rPr>
      </w:pPr>
    </w:p>
    <w:p w14:paraId="52F803BB" w14:textId="77777777" w:rsidR="00837123" w:rsidRPr="00837123" w:rsidRDefault="00837123" w:rsidP="00837123">
      <w:pPr>
        <w:spacing w:line="360" w:lineRule="auto"/>
        <w:jc w:val="both"/>
        <w:rPr>
          <w:rFonts w:ascii="Palatino Linotype" w:hAnsi="Palatino Linotype" w:cs="Arial"/>
          <w:sz w:val="22"/>
          <w:szCs w:val="22"/>
        </w:rPr>
      </w:pPr>
      <w:r w:rsidRPr="00837123">
        <w:rPr>
          <w:rFonts w:ascii="Palatino Linotype" w:eastAsia="Calibri" w:hAnsi="Palatino Linotype" w:cs="Arial"/>
          <w:sz w:val="22"/>
          <w:szCs w:val="22"/>
          <w:lang w:eastAsia="en-US"/>
        </w:rPr>
        <w:t xml:space="preserve">Es decir, aquella documentación que obra en los archivos de los sindicatos y que esté relacionada con su vida, organización interna o recursos privados, </w:t>
      </w:r>
      <w:r w:rsidRPr="00837123">
        <w:rPr>
          <w:rFonts w:ascii="Palatino Linotype" w:eastAsia="Calibri" w:hAnsi="Palatino Linotype" w:cs="Arial"/>
          <w:b/>
          <w:sz w:val="22"/>
          <w:szCs w:val="22"/>
          <w:lang w:eastAsia="en-US"/>
        </w:rPr>
        <w:t xml:space="preserve">no deberá estar sujeta al escrutinio público, pues implicaría una intromisión y vulneración a su derecho de vida sindical; </w:t>
      </w:r>
      <w:r w:rsidRPr="00837123">
        <w:rPr>
          <w:rFonts w:ascii="Palatino Linotype" w:eastAsia="Calibri" w:hAnsi="Palatino Linotype" w:cs="Arial"/>
          <w:sz w:val="22"/>
          <w:szCs w:val="22"/>
          <w:lang w:eastAsia="en-US"/>
        </w:rPr>
        <w:t xml:space="preserve">por lo cual, cuando la información se relacione con el uso o ejercicio de recursos públicos o actos de autoridad, como pudiera ser la participación de un afiliado, en representación del sindicato, en una comisión mixta, deberá ser proporcionada, al ser </w:t>
      </w:r>
      <w:r w:rsidRPr="00837123">
        <w:rPr>
          <w:rFonts w:ascii="Palatino Linotype" w:eastAsia="Calibri" w:hAnsi="Palatino Linotype" w:cs="Arial"/>
          <w:sz w:val="22"/>
          <w:szCs w:val="22"/>
          <w:lang w:eastAsia="en-US"/>
        </w:rPr>
        <w:lastRenderedPageBreak/>
        <w:t xml:space="preserve">materia de las Leyes de transparencia y favorecer la rendición de cuentas; </w:t>
      </w:r>
      <w:r w:rsidRPr="00837123">
        <w:rPr>
          <w:rFonts w:ascii="Palatino Linotype" w:hAnsi="Palatino Linotype" w:cs="Arial"/>
          <w:b/>
          <w:sz w:val="22"/>
          <w:szCs w:val="22"/>
        </w:rPr>
        <w:t>en efecto, la publicidad de este tipo de información contribuye a la democratización del Estado de México, por un lado y por el otro, garantiza plenamente el derecho a la libertad sindical.</w:t>
      </w:r>
    </w:p>
    <w:p w14:paraId="0FB406A9" w14:textId="77777777" w:rsidR="00837123" w:rsidRDefault="00837123">
      <w:pPr>
        <w:spacing w:line="360" w:lineRule="auto"/>
        <w:jc w:val="both"/>
        <w:rPr>
          <w:rFonts w:ascii="Palatino Linotype" w:eastAsia="Palatino Linotype" w:hAnsi="Palatino Linotype" w:cs="Palatino Linotype"/>
          <w:sz w:val="22"/>
          <w:szCs w:val="22"/>
        </w:rPr>
      </w:pPr>
    </w:p>
    <w:p w14:paraId="08704030" w14:textId="77777777" w:rsidR="006955D9" w:rsidRDefault="00B4004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establecido lo anterior</w:t>
      </w:r>
      <w:r w:rsidR="00627D1D">
        <w:rPr>
          <w:rFonts w:ascii="Palatino Linotype" w:eastAsia="Palatino Linotype" w:hAnsi="Palatino Linotype" w:cs="Palatino Linotype"/>
          <w:sz w:val="22"/>
          <w:szCs w:val="22"/>
        </w:rPr>
        <w:t xml:space="preserve">, para delimitar las fronteras conceptuales del </w:t>
      </w:r>
      <w:r w:rsidR="00627D1D">
        <w:rPr>
          <w:rFonts w:ascii="Palatino Linotype" w:eastAsia="Palatino Linotype" w:hAnsi="Palatino Linotype" w:cs="Palatino Linotype"/>
          <w:b/>
          <w:sz w:val="22"/>
          <w:szCs w:val="22"/>
        </w:rPr>
        <w:t>Sujeto Obligado</w:t>
      </w:r>
      <w:r w:rsidR="00627D1D">
        <w:rPr>
          <w:rFonts w:ascii="Palatino Linotype" w:eastAsia="Palatino Linotype" w:hAnsi="Palatino Linotype" w:cs="Palatino Linotype"/>
          <w:sz w:val="22"/>
          <w:szCs w:val="22"/>
        </w:rPr>
        <w:t xml:space="preserve"> sirven de sustento los artículos 356, 357, 359 y 371 de la Ley Federal del Trabajo, normatividad invocada que dispone a la literalidad:</w:t>
      </w:r>
    </w:p>
    <w:p w14:paraId="555B2D28" w14:textId="77777777" w:rsidR="006955D9" w:rsidRDefault="00627D1D">
      <w:pPr>
        <w:tabs>
          <w:tab w:val="left" w:pos="709"/>
        </w:tabs>
        <w:spacing w:before="240" w:after="160" w:line="276" w:lineRule="auto"/>
        <w:ind w:left="426" w:right="33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“Artículo 356.- Sindicato es la asociación de trabajadores o patrones, constituida para el estudio, mejoramiento y defensa de sus respectivos intereses. </w:t>
      </w:r>
    </w:p>
    <w:p w14:paraId="25E02875" w14:textId="77777777" w:rsidR="006955D9" w:rsidRDefault="00627D1D">
      <w:pPr>
        <w:tabs>
          <w:tab w:val="left" w:pos="709"/>
        </w:tabs>
        <w:spacing w:before="240" w:after="160" w:line="276" w:lineRule="auto"/>
        <w:ind w:left="426"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357.- Los trabajadores y los patrones tienen el derecho de constituir sindicatos, sin necesidad de autorización previa. Cualquier injerencia indebida será sancionada en los términos que disponga la Ley</w:t>
      </w:r>
    </w:p>
    <w:p w14:paraId="237CCA93" w14:textId="77777777" w:rsidR="006955D9" w:rsidRDefault="00627D1D">
      <w:pPr>
        <w:tabs>
          <w:tab w:val="left" w:pos="709"/>
        </w:tabs>
        <w:spacing w:before="240" w:after="160" w:line="276" w:lineRule="auto"/>
        <w:ind w:left="426"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359.- Los sindicatos tienen derecho a redactar sus estatutos y reglamentos, elegir libremente a sus representantes, organizar su administración y sus actividades y formular su programa de acción</w:t>
      </w:r>
    </w:p>
    <w:p w14:paraId="05743A7B" w14:textId="77777777" w:rsidR="006955D9" w:rsidRDefault="00627D1D">
      <w:pPr>
        <w:tabs>
          <w:tab w:val="left" w:pos="709"/>
        </w:tabs>
        <w:spacing w:before="240" w:after="160" w:line="276" w:lineRule="auto"/>
        <w:ind w:left="426"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371. Los estatutos de los sindicatos contendrán:</w:t>
      </w:r>
    </w:p>
    <w:p w14:paraId="56F42253" w14:textId="77777777" w:rsidR="006955D9" w:rsidRDefault="00627D1D">
      <w:pPr>
        <w:numPr>
          <w:ilvl w:val="0"/>
          <w:numId w:val="3"/>
        </w:numPr>
        <w:tabs>
          <w:tab w:val="left" w:pos="709"/>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Denominación que le distinga de los demás; </w:t>
      </w:r>
    </w:p>
    <w:p w14:paraId="6ED5B958" w14:textId="77777777" w:rsidR="006955D9" w:rsidRDefault="00627D1D">
      <w:pPr>
        <w:numPr>
          <w:ilvl w:val="0"/>
          <w:numId w:val="3"/>
        </w:numPr>
        <w:tabs>
          <w:tab w:val="left" w:pos="709"/>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Domicilio; </w:t>
      </w:r>
    </w:p>
    <w:p w14:paraId="18345417" w14:textId="77777777" w:rsidR="006955D9" w:rsidRDefault="00627D1D">
      <w:pPr>
        <w:numPr>
          <w:ilvl w:val="0"/>
          <w:numId w:val="3"/>
        </w:numPr>
        <w:tabs>
          <w:tab w:val="left" w:pos="709"/>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Objeto; </w:t>
      </w:r>
    </w:p>
    <w:p w14:paraId="2A8AB838" w14:textId="77777777" w:rsidR="006955D9" w:rsidRDefault="00627D1D">
      <w:pPr>
        <w:numPr>
          <w:ilvl w:val="0"/>
          <w:numId w:val="3"/>
        </w:numPr>
        <w:tabs>
          <w:tab w:val="left" w:pos="709"/>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Duración. Faltando esta disposición se entenderá constituido el sindicato por tiempo indeterminado; </w:t>
      </w:r>
    </w:p>
    <w:p w14:paraId="26CA0939" w14:textId="77777777" w:rsidR="006955D9" w:rsidRDefault="00627D1D">
      <w:pPr>
        <w:numPr>
          <w:ilvl w:val="0"/>
          <w:numId w:val="3"/>
        </w:numPr>
        <w:tabs>
          <w:tab w:val="left" w:pos="709"/>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Condiciones de admisión de miembros; </w:t>
      </w:r>
    </w:p>
    <w:p w14:paraId="2FD0911F" w14:textId="77777777" w:rsidR="006955D9" w:rsidRDefault="00627D1D">
      <w:pPr>
        <w:numPr>
          <w:ilvl w:val="0"/>
          <w:numId w:val="3"/>
        </w:numPr>
        <w:tabs>
          <w:tab w:val="left" w:pos="709"/>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Obligaciones y derechos de los asociados; </w:t>
      </w:r>
    </w:p>
    <w:p w14:paraId="6F5C1BB0" w14:textId="77777777" w:rsidR="006955D9" w:rsidRDefault="00627D1D">
      <w:pPr>
        <w:numPr>
          <w:ilvl w:val="0"/>
          <w:numId w:val="3"/>
        </w:numPr>
        <w:tabs>
          <w:tab w:val="left" w:pos="709"/>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Motivos y procedimientos de expulsión y correcciones disciplinarias. En los casos de expulsión se observarán las normas siguientes: </w:t>
      </w:r>
    </w:p>
    <w:p w14:paraId="3B9F2F71" w14:textId="77777777" w:rsidR="006955D9" w:rsidRDefault="00627D1D">
      <w:pPr>
        <w:tabs>
          <w:tab w:val="left" w:pos="709"/>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64EBC94E" w14:textId="77777777" w:rsidR="006955D9" w:rsidRDefault="00627D1D">
      <w:pPr>
        <w:numPr>
          <w:ilvl w:val="0"/>
          <w:numId w:val="3"/>
        </w:numPr>
        <w:tabs>
          <w:tab w:val="left" w:pos="851"/>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Forma de convocar a asamblea, época de celebración de las ordinarias y quórum requerido para sesionar. En el caso de que la directiva no convoque oportunamente a las asambleas previstas en los estatutos, los trabajadores que representen el treinta y tres por ciento del total de los miembros del sindicato o de la sección, por lo menos, podrán solicitar de la directiva que convoque a la asamblea, y si no lo hace dentro de un término de diez días, podrán los solicitantes hacer la convocatoria, en cuyo caso, para que la asamblea pueda sesionar y adoptar resoluciones, se requiere que concurran las dos terceras partes del total de los miembros del sindicato o de la sección. </w:t>
      </w:r>
    </w:p>
    <w:p w14:paraId="4496AB93" w14:textId="77777777" w:rsidR="006955D9" w:rsidRDefault="00627D1D">
      <w:pPr>
        <w:tabs>
          <w:tab w:val="left" w:pos="1701"/>
        </w:tabs>
        <w:spacing w:before="24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resoluciones deberán adoptarse por el cincuenta y uno por ciento del total de los miembros del sindicato o de la sección, por lo menos</w:t>
      </w:r>
    </w:p>
    <w:p w14:paraId="6340F201" w14:textId="77777777" w:rsidR="006955D9" w:rsidRDefault="00627D1D">
      <w:pPr>
        <w:numPr>
          <w:ilvl w:val="0"/>
          <w:numId w:val="3"/>
        </w:numPr>
        <w:tabs>
          <w:tab w:val="left" w:pos="851"/>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Procedimiento para la elección de la directiva y número de miembros, salvaguardando el libre ejercicio del voto con las modalidades que acuerde la asamblea general; de votación indirecta y secreta o votación directa y secreta;</w:t>
      </w:r>
    </w:p>
    <w:p w14:paraId="4D90F4C4" w14:textId="77777777" w:rsidR="006955D9" w:rsidRDefault="00627D1D">
      <w:pPr>
        <w:numPr>
          <w:ilvl w:val="0"/>
          <w:numId w:val="3"/>
        </w:numPr>
        <w:tabs>
          <w:tab w:val="left" w:pos="851"/>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Periodo de duración de la directiva;</w:t>
      </w:r>
    </w:p>
    <w:p w14:paraId="4D0AEC54" w14:textId="77777777" w:rsidR="006955D9" w:rsidRDefault="00627D1D">
      <w:pPr>
        <w:numPr>
          <w:ilvl w:val="0"/>
          <w:numId w:val="3"/>
        </w:numPr>
        <w:tabs>
          <w:tab w:val="left" w:pos="851"/>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Normas para la administración, adquisición y disposición de los bienes, patrimonio del sindicato; </w:t>
      </w:r>
    </w:p>
    <w:p w14:paraId="37192649" w14:textId="77777777" w:rsidR="006955D9" w:rsidRDefault="00627D1D">
      <w:pPr>
        <w:numPr>
          <w:ilvl w:val="0"/>
          <w:numId w:val="3"/>
        </w:numPr>
        <w:tabs>
          <w:tab w:val="left" w:pos="851"/>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Forma de pago y monto de las cuotas sindicales; </w:t>
      </w:r>
    </w:p>
    <w:p w14:paraId="5ADE9B34" w14:textId="77777777" w:rsidR="006955D9" w:rsidRDefault="00627D1D">
      <w:pPr>
        <w:numPr>
          <w:ilvl w:val="0"/>
          <w:numId w:val="3"/>
        </w:numPr>
        <w:tabs>
          <w:tab w:val="left" w:pos="851"/>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Época de presentación de cuentas y sanciones a sus directivos en caso de incumplimiento. </w:t>
      </w:r>
    </w:p>
    <w:p w14:paraId="28F50E2E" w14:textId="77777777" w:rsidR="006955D9" w:rsidRDefault="00627D1D">
      <w:pPr>
        <w:tabs>
          <w:tab w:val="left" w:pos="1701"/>
        </w:tabs>
        <w:spacing w:before="24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tales efectos, se deberán establecer instancias y procedimientos internos que aseguren la resolución de controversias entre los agremiados, con motivo de la gestión de los fondos sindicales. </w:t>
      </w:r>
    </w:p>
    <w:p w14:paraId="5C2DD0F4" w14:textId="77777777" w:rsidR="006955D9" w:rsidRDefault="00627D1D">
      <w:pPr>
        <w:numPr>
          <w:ilvl w:val="0"/>
          <w:numId w:val="3"/>
        </w:numPr>
        <w:tabs>
          <w:tab w:val="left" w:pos="851"/>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Normas para la liquidación del patrimonio sindical; y </w:t>
      </w:r>
    </w:p>
    <w:p w14:paraId="64B5FD1A" w14:textId="77777777" w:rsidR="006955D9" w:rsidRDefault="00627D1D">
      <w:pPr>
        <w:numPr>
          <w:ilvl w:val="0"/>
          <w:numId w:val="3"/>
        </w:numPr>
        <w:tabs>
          <w:tab w:val="left" w:pos="851"/>
        </w:tabs>
        <w:spacing w:before="240" w:after="160"/>
        <w:ind w:left="1560"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demás normas que apruebe la asamblea.” [Sic]</w:t>
      </w:r>
    </w:p>
    <w:p w14:paraId="34BBADD4" w14:textId="77777777" w:rsidR="006955D9" w:rsidRDefault="006955D9">
      <w:pPr>
        <w:spacing w:line="360" w:lineRule="auto"/>
        <w:jc w:val="both"/>
        <w:rPr>
          <w:rFonts w:ascii="Palatino Linotype" w:eastAsia="Palatino Linotype" w:hAnsi="Palatino Linotype" w:cs="Palatino Linotype"/>
          <w:sz w:val="22"/>
          <w:szCs w:val="22"/>
        </w:rPr>
      </w:pPr>
    </w:p>
    <w:p w14:paraId="1F0880A0"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De la normatividad previamente plasmada se desprende que los Sindicatos fungen como asociaciones de trabajadores o patrones para el mejoramiento de sus respectivos intereses mediante la negociación colectiva. </w:t>
      </w:r>
      <w:r>
        <w:rPr>
          <w:rFonts w:ascii="Palatino Linotype" w:eastAsia="Palatino Linotype" w:hAnsi="Palatino Linotype" w:cs="Palatino Linotype"/>
          <w:b/>
          <w:sz w:val="22"/>
          <w:szCs w:val="22"/>
        </w:rPr>
        <w:t>Asimismo, todo sindicato goza de autonomía para redactar sus propios estatutos</w:t>
      </w:r>
      <w:r>
        <w:t xml:space="preserve"> </w:t>
      </w:r>
      <w:r>
        <w:rPr>
          <w:rFonts w:ascii="Palatino Linotype" w:eastAsia="Palatino Linotype" w:hAnsi="Palatino Linotype" w:cs="Palatino Linotype"/>
          <w:b/>
          <w:sz w:val="22"/>
          <w:szCs w:val="22"/>
        </w:rPr>
        <w:t xml:space="preserve">y reglamentos, elegir libremente a sus representantes, así como a organizar su administración, en armonía con lo estipulado en la Ley Federal del Trabajo. </w:t>
      </w:r>
    </w:p>
    <w:p w14:paraId="243B2F1A" w14:textId="77777777" w:rsidR="006955D9" w:rsidRDefault="006955D9">
      <w:pPr>
        <w:spacing w:line="360" w:lineRule="auto"/>
        <w:jc w:val="both"/>
        <w:rPr>
          <w:rFonts w:ascii="Palatino Linotype" w:eastAsia="Palatino Linotype" w:hAnsi="Palatino Linotype" w:cs="Palatino Linotype"/>
          <w:sz w:val="22"/>
          <w:szCs w:val="22"/>
        </w:rPr>
      </w:pPr>
    </w:p>
    <w:p w14:paraId="0D8ABC09"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los numerales 4, fracciones III y VIII, así como el 138, primer y segundo párrafos de la Ley del Trabajo de los Servidores Públicos del Estado y Municipios, disponen que las instituciones públicas en su conjunto, sólo reconocerán como titulares de las relaciones colectivas de trabajo, entre otros, </w:t>
      </w:r>
      <w:r>
        <w:rPr>
          <w:rFonts w:ascii="Palatino Linotype" w:eastAsia="Palatino Linotype" w:hAnsi="Palatino Linotype" w:cs="Palatino Linotype"/>
          <w:b/>
          <w:sz w:val="22"/>
          <w:szCs w:val="22"/>
        </w:rPr>
        <w:t>al sindicato de maestros que cuente con registro ante el Tribunal</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Estatal de Conciliación y Arbitraje, como lo es el caso del Sindicato de Maestros al Servicio del Estado de México, </w:t>
      </w:r>
      <w:r>
        <w:rPr>
          <w:rFonts w:ascii="Palatino Linotype" w:eastAsia="Palatino Linotype" w:hAnsi="Palatino Linotype" w:cs="Palatino Linotype"/>
          <w:sz w:val="22"/>
          <w:szCs w:val="22"/>
        </w:rPr>
        <w:t xml:space="preserve">a saber: </w:t>
      </w:r>
    </w:p>
    <w:p w14:paraId="1E5C529B" w14:textId="77777777" w:rsidR="006955D9" w:rsidRDefault="006955D9">
      <w:pPr>
        <w:spacing w:line="360" w:lineRule="auto"/>
        <w:jc w:val="both"/>
        <w:rPr>
          <w:rFonts w:ascii="Palatino Linotype" w:eastAsia="Palatino Linotype" w:hAnsi="Palatino Linotype" w:cs="Palatino Linotype"/>
          <w:sz w:val="22"/>
          <w:szCs w:val="22"/>
        </w:rPr>
      </w:pPr>
    </w:p>
    <w:p w14:paraId="56D9B3AA" w14:textId="77777777" w:rsidR="006955D9" w:rsidRDefault="00627D1D">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 Para efectos de esta ley se entiende:</w:t>
      </w:r>
    </w:p>
    <w:p w14:paraId="78CE52CD" w14:textId="77777777" w:rsidR="006955D9" w:rsidRDefault="00627D1D">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E4B7EB5" w14:textId="77777777" w:rsidR="006955D9" w:rsidRDefault="00627D1D">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 Institución Pública:</w:t>
      </w:r>
      <w:r>
        <w:rPr>
          <w:rFonts w:ascii="Palatino Linotype" w:eastAsia="Palatino Linotype" w:hAnsi="Palatino Linotype" w:cs="Palatino Linotype"/>
          <w:i/>
          <w:sz w:val="22"/>
          <w:szCs w:val="22"/>
        </w:rPr>
        <w:t xml:space="preserve"> A cada uno de los poderes públicos del Estado, los municipios y los tribunales administrativos; así como los organismos descentralizados, fideicomisos de carácter estatal y municipal, y los órganos autónomos que sus leyes de creación así lo determinen.</w:t>
      </w:r>
    </w:p>
    <w:p w14:paraId="51489F5F" w14:textId="77777777" w:rsidR="006955D9" w:rsidRDefault="00627D1D">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A16F380" w14:textId="77777777" w:rsidR="006955D9" w:rsidRDefault="00627D1D">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Tribunal:</w:t>
      </w:r>
      <w:r>
        <w:rPr>
          <w:rFonts w:ascii="Palatino Linotype" w:eastAsia="Palatino Linotype" w:hAnsi="Palatino Linotype" w:cs="Palatino Linotype"/>
          <w:i/>
          <w:sz w:val="22"/>
          <w:szCs w:val="22"/>
        </w:rPr>
        <w:t xml:space="preserve"> Al Tribunal Estatal de Conciliación y Arbitraje.</w:t>
      </w:r>
    </w:p>
    <w:p w14:paraId="0D88563C" w14:textId="77777777" w:rsidR="006955D9" w:rsidRDefault="006955D9">
      <w:pPr>
        <w:spacing w:line="276" w:lineRule="auto"/>
        <w:ind w:left="567" w:right="616"/>
        <w:jc w:val="both"/>
        <w:rPr>
          <w:rFonts w:ascii="Palatino Linotype" w:eastAsia="Palatino Linotype" w:hAnsi="Palatino Linotype" w:cs="Palatino Linotype"/>
          <w:i/>
          <w:sz w:val="22"/>
          <w:szCs w:val="22"/>
        </w:rPr>
      </w:pPr>
    </w:p>
    <w:p w14:paraId="42610261" w14:textId="77777777" w:rsidR="006955D9" w:rsidRDefault="00627D1D">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138. Sindicato es la asociación de servidores públicos generales constituida para el estudio, mejoramiento y defensa de sus intereses comunes. </w:t>
      </w:r>
    </w:p>
    <w:p w14:paraId="1EA52120" w14:textId="77777777" w:rsidR="006955D9" w:rsidRDefault="006955D9">
      <w:pPr>
        <w:spacing w:line="276" w:lineRule="auto"/>
        <w:ind w:left="567" w:right="616"/>
        <w:jc w:val="both"/>
        <w:rPr>
          <w:rFonts w:ascii="Palatino Linotype" w:eastAsia="Palatino Linotype" w:hAnsi="Palatino Linotype" w:cs="Palatino Linotype"/>
          <w:i/>
          <w:sz w:val="22"/>
          <w:szCs w:val="22"/>
        </w:rPr>
      </w:pPr>
    </w:p>
    <w:p w14:paraId="3FF492F4" w14:textId="77777777" w:rsidR="006955D9" w:rsidRDefault="00627D1D">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instituciones públicas en su conjunto, reconocerán como titulares de las relaciones colectivas de trabajo, </w:t>
      </w:r>
      <w:r>
        <w:rPr>
          <w:rFonts w:ascii="Palatino Linotype" w:eastAsia="Palatino Linotype" w:hAnsi="Palatino Linotype" w:cs="Palatino Linotype"/>
          <w:b/>
          <w:i/>
          <w:sz w:val="22"/>
          <w:szCs w:val="22"/>
        </w:rPr>
        <w:t>únicamente a un sindicato de servidores públicos generales y a uno de maestros que serán los que cuenten con registro ante el Tribunal</w:t>
      </w:r>
      <w:r>
        <w:rPr>
          <w:rFonts w:ascii="Palatino Linotype" w:eastAsia="Palatino Linotype" w:hAnsi="Palatino Linotype" w:cs="Palatino Linotype"/>
          <w:i/>
          <w:sz w:val="22"/>
          <w:szCs w:val="22"/>
        </w:rPr>
        <w:t xml:space="preserve">, así como a aquellos registrados que representen a los docentes en las instituciones de </w:t>
      </w:r>
      <w:r>
        <w:rPr>
          <w:rFonts w:ascii="Palatino Linotype" w:eastAsia="Palatino Linotype" w:hAnsi="Palatino Linotype" w:cs="Palatino Linotype"/>
          <w:i/>
          <w:sz w:val="22"/>
          <w:szCs w:val="22"/>
        </w:rPr>
        <w:lastRenderedPageBreak/>
        <w:t>carácter educativo cuyo decreto de creación establezca su autonomía en su régimen sindical.[…]”</w:t>
      </w:r>
    </w:p>
    <w:p w14:paraId="24B67BAD" w14:textId="77777777" w:rsidR="006955D9" w:rsidRDefault="006955D9">
      <w:pPr>
        <w:spacing w:line="276" w:lineRule="auto"/>
        <w:ind w:left="567" w:right="616"/>
        <w:jc w:val="both"/>
        <w:rPr>
          <w:rFonts w:ascii="Palatino Linotype" w:eastAsia="Palatino Linotype" w:hAnsi="Palatino Linotype" w:cs="Palatino Linotype"/>
          <w:i/>
          <w:sz w:val="22"/>
          <w:szCs w:val="22"/>
        </w:rPr>
      </w:pPr>
    </w:p>
    <w:p w14:paraId="07B357F2" w14:textId="77777777" w:rsidR="006955D9" w:rsidRDefault="00627D1D">
      <w:pPr>
        <w:spacing w:line="276" w:lineRule="auto"/>
        <w:ind w:left="567" w:right="616"/>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064185F5"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1ABCAD78" w14:textId="77777777" w:rsidR="006955D9" w:rsidRDefault="00627D1D">
      <w:pPr>
        <w:spacing w:after="16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precisado lo anterior y con el propósito de realizar un análisis exhaustivo de la información requerida, resulta oportuno mencionar que el Sindicato de Maestros al Servicio del Estado de México, conforme el artículo 17 de sus estatutos, se estructura por el Comité Ejecutivo Estatal, las Comisiones Especiales, los Comités Delegacionales y los Representantes Sindicales, a saber:</w:t>
      </w:r>
    </w:p>
    <w:p w14:paraId="5357A78A" w14:textId="77777777" w:rsidR="006955D9" w:rsidRDefault="00627D1D">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17. El Sindicato de Maestros al Servicio del Estado de México se estructura de la forma siguiente:</w:t>
      </w:r>
    </w:p>
    <w:p w14:paraId="64C335E4" w14:textId="77777777" w:rsidR="006955D9" w:rsidRDefault="00627D1D">
      <w:pPr>
        <w:ind w:left="1211" w:right="851"/>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El Comité Ejecutivo Estatal</w:t>
      </w:r>
    </w:p>
    <w:p w14:paraId="2FF76716" w14:textId="77777777" w:rsidR="006955D9" w:rsidRDefault="00627D1D">
      <w:pPr>
        <w:ind w:left="1211" w:right="851"/>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Las Comisiones especiales</w:t>
      </w:r>
    </w:p>
    <w:p w14:paraId="413A891D" w14:textId="77777777" w:rsidR="006955D9" w:rsidRDefault="00627D1D">
      <w:pPr>
        <w:ind w:left="1211" w:right="851"/>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Los Comités delegacionales</w:t>
      </w:r>
    </w:p>
    <w:p w14:paraId="7DAAFA5E" w14:textId="77777777" w:rsidR="006955D9" w:rsidRDefault="00627D1D">
      <w:pPr>
        <w:ind w:left="1211" w:right="851"/>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 Las Representaciones Sindicales”</w:t>
      </w:r>
    </w:p>
    <w:p w14:paraId="2353EA60" w14:textId="77777777" w:rsidR="006955D9" w:rsidRDefault="006955D9">
      <w:pPr>
        <w:spacing w:line="360" w:lineRule="auto"/>
        <w:jc w:val="both"/>
        <w:rPr>
          <w:rFonts w:ascii="Palatino Linotype" w:eastAsia="Palatino Linotype" w:hAnsi="Palatino Linotype" w:cs="Palatino Linotype"/>
          <w:color w:val="000000"/>
          <w:sz w:val="10"/>
          <w:szCs w:val="10"/>
        </w:rPr>
      </w:pPr>
    </w:p>
    <w:p w14:paraId="655332E0"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Sirve destacar que el Sindicato de Maestros al Servicio del Estado de México (SMSEM) para su adecuado funcionamiento cuenta con trece regiones sindicales en la entidad mexiquense, mismas que se conforman por determinados municipios de la entidad; resultando de particular interés, la Región Sindical número 10, misma que conforme lo publicado por 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en su red social “</w:t>
      </w:r>
      <w:r>
        <w:rPr>
          <w:rFonts w:ascii="Palatino Linotype" w:eastAsia="Palatino Linotype" w:hAnsi="Palatino Linotype" w:cs="Palatino Linotype"/>
          <w:i/>
          <w:color w:val="000000"/>
          <w:sz w:val="22"/>
          <w:szCs w:val="22"/>
        </w:rPr>
        <w:t>facebook</w:t>
      </w:r>
      <w:r>
        <w:rPr>
          <w:rFonts w:ascii="Palatino Linotype" w:eastAsia="Palatino Linotype" w:hAnsi="Palatino Linotype" w:cs="Palatino Linotype"/>
          <w:color w:val="000000"/>
          <w:sz w:val="22"/>
          <w:szCs w:val="22"/>
        </w:rPr>
        <w:t xml:space="preserve">” (para consulta en el siguiente enlace: </w:t>
      </w:r>
      <w:hyperlink r:id="rId10">
        <w:r>
          <w:rPr>
            <w:rFonts w:ascii="Palatino Linotype" w:eastAsia="Palatino Linotype" w:hAnsi="Palatino Linotype" w:cs="Palatino Linotype"/>
            <w:color w:val="0000FF"/>
            <w:sz w:val="22"/>
            <w:szCs w:val="22"/>
            <w:u w:val="single"/>
          </w:rPr>
          <w:t>https://www.facebook.com/SMSEMmx/videos/a-la-regi%C3%B3n-sindical-10-la-conforman-10-municipios-regionessindicalessmsem/1585322681502613/?locale=es_LA</w:t>
        </w:r>
      </w:hyperlink>
      <w:r>
        <w:rPr>
          <w:rFonts w:ascii="Palatino Linotype" w:eastAsia="Palatino Linotype" w:hAnsi="Palatino Linotype" w:cs="Palatino Linotype"/>
          <w:color w:val="000000"/>
          <w:sz w:val="22"/>
          <w:szCs w:val="22"/>
        </w:rPr>
        <w:t xml:space="preserve"> ) la misma se integra por diez municipios, entre ellos el </w:t>
      </w:r>
      <w:r>
        <w:rPr>
          <w:rFonts w:ascii="Palatino Linotype" w:eastAsia="Palatino Linotype" w:hAnsi="Palatino Linotype" w:cs="Palatino Linotype"/>
          <w:b/>
          <w:color w:val="000000"/>
          <w:sz w:val="22"/>
          <w:szCs w:val="22"/>
          <w:u w:val="single"/>
        </w:rPr>
        <w:t>Municipio El Oro</w:t>
      </w:r>
      <w:r>
        <w:rPr>
          <w:rFonts w:ascii="Palatino Linotype" w:eastAsia="Palatino Linotype" w:hAnsi="Palatino Linotype" w:cs="Palatino Linotype"/>
          <w:color w:val="000000"/>
          <w:sz w:val="22"/>
          <w:szCs w:val="22"/>
        </w:rPr>
        <w:t>, del que la persona solicitante requiere la estructura sindical, como se muestra:</w:t>
      </w:r>
    </w:p>
    <w:p w14:paraId="43D39896"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27918AD6" w14:textId="77777777" w:rsidR="006955D9" w:rsidRDefault="00627D1D">
      <w:pP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lastRenderedPageBreak/>
        <w:drawing>
          <wp:inline distT="0" distB="0" distL="0" distR="0" wp14:anchorId="7C53BCDF" wp14:editId="3381A0D0">
            <wp:extent cx="2888313" cy="1528545"/>
            <wp:effectExtent l="3175" t="3175" r="3175" b="3175"/>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88313" cy="1528545"/>
                    </a:xfrm>
                    <a:prstGeom prst="rect">
                      <a:avLst/>
                    </a:prstGeom>
                    <a:ln w="3175">
                      <a:solidFill>
                        <a:srgbClr val="000000"/>
                      </a:solidFill>
                      <a:prstDash val="solid"/>
                    </a:ln>
                  </pic:spPr>
                </pic:pic>
              </a:graphicData>
            </a:graphic>
          </wp:inline>
        </w:drawing>
      </w:r>
    </w:p>
    <w:p w14:paraId="1587ED24"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1AA136CD"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este punto es de señalar que las regiones sindicales –incluida a la que pertenece el municipio el Oro- se integran por comités delegacionales y representantes sindicales, cuya duración en su cargo es de tres años, y entre sus atribuciones se encuentra fungir como conductos legales para transmitir y ejecutar los acuerdos y resoluciones de los órganos jerárquicos del Sindicato –</w:t>
      </w:r>
      <w:r>
        <w:rPr>
          <w:rFonts w:ascii="Palatino Linotype" w:eastAsia="Palatino Linotype" w:hAnsi="Palatino Linotype" w:cs="Palatino Linotype"/>
          <w:b/>
          <w:color w:val="000000"/>
          <w:sz w:val="22"/>
          <w:szCs w:val="22"/>
        </w:rPr>
        <w:t>Congreso Estatal, el Consejo Estatal y el Comité Ejecutivo Estatal</w:t>
      </w:r>
      <w:r>
        <w:rPr>
          <w:rFonts w:ascii="Palatino Linotype" w:eastAsia="Palatino Linotype" w:hAnsi="Palatino Linotype" w:cs="Palatino Linotype"/>
          <w:color w:val="000000"/>
          <w:sz w:val="22"/>
          <w:szCs w:val="22"/>
        </w:rPr>
        <w:t>- así como ser los medios para hacer llegar a dichos órganos las peticiones, gestiones y demandas de la base delegacional, conforme los artículos 21, 63 y 65 incisos c) y d) de los estatutos del ente público en cuestión, como se sigue:</w:t>
      </w:r>
    </w:p>
    <w:p w14:paraId="35C01D35"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262D3FB7"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21. La soberanía del Sindicato de Maestros al Servicio del Estado de México es potestad de todos los agremiados, quienes, para ejercerla, establecen un régimen de Gobierno Sindical, democrático y representativo, cuyos órganos jerárquicos son:</w:t>
      </w:r>
    </w:p>
    <w:p w14:paraId="30F21192"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 El Congreso Estatal</w:t>
      </w:r>
    </w:p>
    <w:p w14:paraId="5198C975"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 El Consejo Estatal</w:t>
      </w:r>
    </w:p>
    <w:p w14:paraId="6D7568EA"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 El Comité Ejecutivo Estatal</w:t>
      </w:r>
    </w:p>
    <w:p w14:paraId="4C46C9ED"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 Las Comisiones Especiales</w:t>
      </w:r>
    </w:p>
    <w:p w14:paraId="52BD58BF"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 Los Comités Delegacionales</w:t>
      </w:r>
    </w:p>
    <w:p w14:paraId="45027473"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f) Las Representaciones Sindicales</w:t>
      </w:r>
    </w:p>
    <w:p w14:paraId="0A3A2A2F" w14:textId="77777777" w:rsidR="006955D9" w:rsidRDefault="006955D9">
      <w:pPr>
        <w:spacing w:line="276" w:lineRule="auto"/>
        <w:ind w:left="567" w:right="616"/>
        <w:jc w:val="both"/>
        <w:rPr>
          <w:rFonts w:ascii="Palatino Linotype" w:eastAsia="Palatino Linotype" w:hAnsi="Palatino Linotype" w:cs="Palatino Linotype"/>
          <w:i/>
          <w:color w:val="000000"/>
          <w:sz w:val="22"/>
          <w:szCs w:val="22"/>
        </w:rPr>
      </w:pPr>
    </w:p>
    <w:p w14:paraId="74710EB5"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63.Los Comités Delegacionales y las Representaciones Sindicales durarán en su cargo tres años.”</w:t>
      </w:r>
    </w:p>
    <w:p w14:paraId="304E3A74" w14:textId="77777777" w:rsidR="006955D9" w:rsidRDefault="006955D9">
      <w:pPr>
        <w:spacing w:line="276" w:lineRule="auto"/>
        <w:ind w:left="567" w:right="616"/>
        <w:jc w:val="both"/>
        <w:rPr>
          <w:rFonts w:ascii="Palatino Linotype" w:eastAsia="Palatino Linotype" w:hAnsi="Palatino Linotype" w:cs="Palatino Linotype"/>
          <w:i/>
          <w:color w:val="000000"/>
          <w:sz w:val="22"/>
          <w:szCs w:val="22"/>
        </w:rPr>
      </w:pPr>
    </w:p>
    <w:p w14:paraId="442541FE"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“ARTÍCULO 65. Son atribuciones de los Comités Delegacionales y de las Representaciones Sindicales:</w:t>
      </w:r>
    </w:p>
    <w:p w14:paraId="64617C8C"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AF3E772" w14:textId="77777777" w:rsidR="006955D9" w:rsidRDefault="00627D1D">
      <w:pPr>
        <w:spacing w:line="276" w:lineRule="auto"/>
        <w:ind w:left="567" w:right="616"/>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w:t>
      </w:r>
      <w:r>
        <w:rPr>
          <w:b/>
          <w:i/>
        </w:rPr>
        <w:t xml:space="preserve"> </w:t>
      </w:r>
      <w:r>
        <w:rPr>
          <w:rFonts w:ascii="Palatino Linotype" w:eastAsia="Palatino Linotype" w:hAnsi="Palatino Linotype" w:cs="Palatino Linotype"/>
          <w:b/>
          <w:i/>
          <w:color w:val="000000"/>
          <w:sz w:val="22"/>
          <w:szCs w:val="22"/>
        </w:rPr>
        <w:t>Transmitir y ejecutar los acuerdos y resoluciones de los órganos jerárquicos del Sindicato.</w:t>
      </w:r>
    </w:p>
    <w:p w14:paraId="4A02B90F"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 Ser los medios para hacer llegar a dichos órganos las peticiones, gestiones y demandas de la base delegacional.</w:t>
      </w:r>
      <w:r>
        <w:rPr>
          <w:rFonts w:ascii="Palatino Linotype" w:eastAsia="Palatino Linotype" w:hAnsi="Palatino Linotype" w:cs="Palatino Linotype"/>
          <w:i/>
          <w:color w:val="000000"/>
          <w:sz w:val="22"/>
          <w:szCs w:val="22"/>
        </w:rPr>
        <w:t xml:space="preserve"> […]”</w:t>
      </w:r>
    </w:p>
    <w:p w14:paraId="65825A93" w14:textId="77777777" w:rsidR="006955D9" w:rsidRDefault="006955D9">
      <w:pPr>
        <w:spacing w:line="276" w:lineRule="auto"/>
        <w:ind w:left="567" w:right="616"/>
        <w:jc w:val="both"/>
        <w:rPr>
          <w:rFonts w:ascii="Palatino Linotype" w:eastAsia="Palatino Linotype" w:hAnsi="Palatino Linotype" w:cs="Palatino Linotype"/>
          <w:i/>
          <w:color w:val="000000"/>
          <w:sz w:val="22"/>
          <w:szCs w:val="22"/>
        </w:rPr>
      </w:pPr>
    </w:p>
    <w:p w14:paraId="54D9A958" w14:textId="77777777" w:rsidR="006955D9" w:rsidRDefault="00627D1D">
      <w:pPr>
        <w:spacing w:line="276" w:lineRule="auto"/>
        <w:ind w:left="567" w:right="616"/>
        <w:jc w:val="right"/>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3D427D0B"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3AC3F44D"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 mayor abundamiento, es de señalar que conforme el artículo 23 de los estatutos del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u w:val="single"/>
        </w:rPr>
        <w:t>Comité Ejecutivo Estatal</w:t>
      </w:r>
      <w:r>
        <w:rPr>
          <w:rFonts w:ascii="Palatino Linotype" w:eastAsia="Palatino Linotype" w:hAnsi="Palatino Linotype" w:cs="Palatino Linotype"/>
          <w:color w:val="000000"/>
          <w:sz w:val="22"/>
          <w:szCs w:val="22"/>
        </w:rPr>
        <w:t xml:space="preserve"> es el órgano permanente del Gobierno Sindical, el cual </w:t>
      </w:r>
      <w:r>
        <w:rPr>
          <w:rFonts w:ascii="Palatino Linotype" w:eastAsia="Palatino Linotype" w:hAnsi="Palatino Linotype" w:cs="Palatino Linotype"/>
          <w:b/>
          <w:color w:val="000000"/>
          <w:sz w:val="22"/>
          <w:szCs w:val="22"/>
          <w:u w:val="single"/>
        </w:rPr>
        <w:t>se constituye con representantes de todas las regiones sindicales</w:t>
      </w:r>
      <w:r>
        <w:rPr>
          <w:rFonts w:ascii="Palatino Linotype" w:eastAsia="Palatino Linotype" w:hAnsi="Palatino Linotype" w:cs="Palatino Linotype"/>
          <w:color w:val="000000"/>
          <w:sz w:val="22"/>
          <w:szCs w:val="22"/>
        </w:rPr>
        <w:t xml:space="preserve"> bajo los principios de proporcionalidad y paridad de género, a saber:</w:t>
      </w:r>
    </w:p>
    <w:p w14:paraId="0A7FF7A1"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6A4BA42B"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23. El Comité Ejecutivo Estatal es el órgano permanente del Gobierno Sindical, el cual se constituye con representantes de todas las regiones sindicales bajo los principios de proporcionalidad y paridad de género.”</w:t>
      </w:r>
    </w:p>
    <w:p w14:paraId="72E5E6CD"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78D436DD"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Asimismo, conforme el artículo 36 de los estatutos citados, dicho Comité Ejecutivo Estatal se organiza por diversas </w:t>
      </w:r>
      <w:r>
        <w:rPr>
          <w:rFonts w:ascii="Palatino Linotype" w:eastAsia="Palatino Linotype" w:hAnsi="Palatino Linotype" w:cs="Palatino Linotype"/>
          <w:sz w:val="22"/>
          <w:szCs w:val="22"/>
        </w:rPr>
        <w:t>secretarías</w:t>
      </w:r>
      <w:r>
        <w:rPr>
          <w:rFonts w:ascii="Palatino Linotype" w:eastAsia="Palatino Linotype" w:hAnsi="Palatino Linotype" w:cs="Palatino Linotype"/>
          <w:color w:val="000000"/>
          <w:sz w:val="22"/>
          <w:szCs w:val="22"/>
        </w:rPr>
        <w:t xml:space="preserve"> cuyos titulares corresponden a los representantes de las trece regiones sindicales del SMSEM, como se muestra de la información publicada en la página oficial del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 xml:space="preserve">(consultable en el siguiente enlace: </w:t>
      </w:r>
      <w:hyperlink r:id="rId12">
        <w:r>
          <w:rPr>
            <w:rFonts w:ascii="Palatino Linotype" w:eastAsia="Palatino Linotype" w:hAnsi="Palatino Linotype" w:cs="Palatino Linotype"/>
            <w:color w:val="0000FF"/>
            <w:sz w:val="22"/>
            <w:szCs w:val="22"/>
            <w:u w:val="single"/>
          </w:rPr>
          <w:t>https://smsem.mx/secretarias-del-comite-ejecutivo/</w:t>
        </w:r>
      </w:hyperlink>
      <w:r>
        <w:rPr>
          <w:rFonts w:ascii="Palatino Linotype" w:eastAsia="Palatino Linotype" w:hAnsi="Palatino Linotype" w:cs="Palatino Linotype"/>
          <w:color w:val="000000"/>
          <w:sz w:val="22"/>
          <w:szCs w:val="22"/>
        </w:rPr>
        <w:t xml:space="preserve"> ):</w:t>
      </w:r>
    </w:p>
    <w:p w14:paraId="0049A7D0"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24B77CDA" w14:textId="77777777" w:rsidR="006955D9" w:rsidRDefault="00627D1D">
      <w:pP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lastRenderedPageBreak/>
        <w:drawing>
          <wp:inline distT="0" distB="0" distL="0" distR="0" wp14:anchorId="0F031153" wp14:editId="03BC54C1">
            <wp:extent cx="3067050" cy="2781300"/>
            <wp:effectExtent l="3175" t="3175" r="3175" b="3175"/>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067050" cy="2781300"/>
                    </a:xfrm>
                    <a:prstGeom prst="rect">
                      <a:avLst/>
                    </a:prstGeom>
                    <a:ln w="3175">
                      <a:solidFill>
                        <a:srgbClr val="000000"/>
                      </a:solidFill>
                      <a:prstDash val="solid"/>
                    </a:ln>
                  </pic:spPr>
                </pic:pic>
              </a:graphicData>
            </a:graphic>
          </wp:inline>
        </w:drawing>
      </w:r>
    </w:p>
    <w:p w14:paraId="2E3D8A12"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09E6925C"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Ahora, resulta importante destacar que el Comité Ejecutivo Estatal como órgano permanente del Gobierno Sindical, tiene dentro de sus atribuciones representar a los miembros del SMSEM, durante el periodo de tres años que duré en funciones; cuya elección de sus integrantes queda asentada a través de la Toma de Nota que al efecto expide, en el caso, el Tribunal Estatal de Conciliación y Arbitraje, en la que se da fe de los integrantes de dicho comité para el periodo respectivo, la cual es de carácter público.</w:t>
      </w:r>
    </w:p>
    <w:p w14:paraId="6D898147"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4F3160ED"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 afirma lo anterior, pues de la revisión realizada por este </w:t>
      </w:r>
      <w:r>
        <w:rPr>
          <w:rFonts w:ascii="Palatino Linotype" w:eastAsia="Palatino Linotype" w:hAnsi="Palatino Linotype" w:cs="Palatino Linotype"/>
          <w:sz w:val="22"/>
          <w:szCs w:val="22"/>
        </w:rPr>
        <w:t>Organismo</w:t>
      </w:r>
      <w:r>
        <w:rPr>
          <w:rFonts w:ascii="Palatino Linotype" w:eastAsia="Palatino Linotype" w:hAnsi="Palatino Linotype" w:cs="Palatino Linotype"/>
          <w:color w:val="000000"/>
          <w:sz w:val="22"/>
          <w:szCs w:val="22"/>
        </w:rPr>
        <w:t xml:space="preserve"> Garante al portal del IPOMEX del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 xml:space="preserve">se localizó el oficio TECA400F/TN-8/2021 del ocho de noviembre de dos mil veintiuno, a través del cual el Presidente del Tribunal Estatal de Conciliación y Arbitraje otorgó al Secretario General del Sindicato de Maestros al Servicio del Estado la toma de nota del cambio del Comité Ejecutivo Estatal electo, que estaría vigente por el periodo comprendido del 2021-2024, señalando al personal docente que sería titular de las </w:t>
      </w:r>
      <w:r>
        <w:rPr>
          <w:rFonts w:ascii="Palatino Linotype" w:eastAsia="Palatino Linotype" w:hAnsi="Palatino Linotype" w:cs="Palatino Linotype"/>
          <w:sz w:val="22"/>
          <w:szCs w:val="22"/>
        </w:rPr>
        <w:t>secretarías</w:t>
      </w:r>
      <w:r>
        <w:rPr>
          <w:rFonts w:ascii="Palatino Linotype" w:eastAsia="Palatino Linotype" w:hAnsi="Palatino Linotype" w:cs="Palatino Linotype"/>
          <w:color w:val="000000"/>
          <w:sz w:val="22"/>
          <w:szCs w:val="22"/>
        </w:rPr>
        <w:t xml:space="preserve"> que conforman dicho comité y que hemos de recordar también fungen como representantes de las regiones sindicales.</w:t>
      </w:r>
    </w:p>
    <w:p w14:paraId="34603FBC"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6B79EEC1"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Para referencia de lo anterior, se inserta el contenido de la toma de nota de referencia:</w:t>
      </w:r>
    </w:p>
    <w:p w14:paraId="3FC94BB0"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2869763B"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14:anchorId="6B0C1B0B" wp14:editId="4A767845">
            <wp:extent cx="5496692" cy="1390691"/>
            <wp:effectExtent l="3175" t="3175" r="3175" b="3175"/>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b="75950"/>
                    <a:stretch>
                      <a:fillRect/>
                    </a:stretch>
                  </pic:blipFill>
                  <pic:spPr>
                    <a:xfrm>
                      <a:off x="0" y="0"/>
                      <a:ext cx="5496692" cy="1390691"/>
                    </a:xfrm>
                    <a:prstGeom prst="rect">
                      <a:avLst/>
                    </a:prstGeom>
                    <a:ln w="3175">
                      <a:solidFill>
                        <a:srgbClr val="000000"/>
                      </a:solidFill>
                      <a:prstDash val="solid"/>
                    </a:ln>
                  </pic:spPr>
                </pic:pic>
              </a:graphicData>
            </a:graphic>
          </wp:inline>
        </w:drawing>
      </w:r>
    </w:p>
    <w:p w14:paraId="70E9805C" w14:textId="77777777" w:rsidR="006955D9" w:rsidRDefault="00627D1D">
      <w:pP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w:t>
      </w:r>
    </w:p>
    <w:p w14:paraId="48EE3BD6"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14:anchorId="3DF0D1E6" wp14:editId="5AB12E6F">
            <wp:extent cx="5496692" cy="4448942"/>
            <wp:effectExtent l="3175" t="3175" r="3175" b="3175"/>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t="23061"/>
                    <a:stretch>
                      <a:fillRect/>
                    </a:stretch>
                  </pic:blipFill>
                  <pic:spPr>
                    <a:xfrm>
                      <a:off x="0" y="0"/>
                      <a:ext cx="5496692" cy="4448942"/>
                    </a:xfrm>
                    <a:prstGeom prst="rect">
                      <a:avLst/>
                    </a:prstGeom>
                    <a:ln w="3175">
                      <a:solidFill>
                        <a:srgbClr val="000000"/>
                      </a:solidFill>
                      <a:prstDash val="solid"/>
                    </a:ln>
                  </pic:spPr>
                </pic:pic>
              </a:graphicData>
            </a:graphic>
          </wp:inline>
        </w:drawing>
      </w:r>
    </w:p>
    <w:p w14:paraId="767A68AA"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510E3F7D"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No resulta ocioso a lo anterior, señalar que la toma de nota inserta, se encuentra relacionada con las obligaciones de transparencia </w:t>
      </w:r>
      <w:r>
        <w:rPr>
          <w:rFonts w:ascii="Palatino Linotype" w:eastAsia="Palatino Linotype" w:hAnsi="Palatino Linotype" w:cs="Palatino Linotype"/>
          <w:sz w:val="22"/>
          <w:szCs w:val="22"/>
        </w:rPr>
        <w:t>específicas</w:t>
      </w:r>
      <w:r>
        <w:rPr>
          <w:rFonts w:ascii="Palatino Linotype" w:eastAsia="Palatino Linotype" w:hAnsi="Palatino Linotype" w:cs="Palatino Linotype"/>
          <w:color w:val="000000"/>
          <w:sz w:val="22"/>
          <w:szCs w:val="22"/>
        </w:rPr>
        <w:t xml:space="preserve"> relativa al nombre de los integrantes del Comité Ejecutivo y a las tomas de nota, previstas para los sindicatos en las fracciones I inciso d) y II del artículo 99 de la Ley de Transparencia y Acceso a la Información Pública del Estado de México y Municipios, a saber:</w:t>
      </w:r>
    </w:p>
    <w:p w14:paraId="2AA6704F"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4E2F4EA1"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99. Las autoridades administrativas y jurisdiccionales en materia laboral deberán poner a disposición del público y mantener actualizada y accesible, la siguiente información de los sindicatos que reciban recursos públicos o ejerzan actos de autoridad: </w:t>
      </w:r>
    </w:p>
    <w:p w14:paraId="07E85EB8" w14:textId="77777777" w:rsidR="006955D9" w:rsidRDefault="00627D1D">
      <w:pPr>
        <w:spacing w:line="276" w:lineRule="auto"/>
        <w:ind w:left="567" w:right="616"/>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 Los documentos del registro de los sindicatos, que deberán contener, entre otros: </w:t>
      </w:r>
    </w:p>
    <w:p w14:paraId="78865F5B" w14:textId="77777777" w:rsidR="006955D9" w:rsidRDefault="00627D1D">
      <w:pPr>
        <w:spacing w:line="276" w:lineRule="auto"/>
        <w:ind w:left="567" w:right="616"/>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 Nombre de los integrantes del comité ejecutivo y comisiones que ejerzan funciones de vigilancia;</w:t>
      </w:r>
    </w:p>
    <w:p w14:paraId="56050DD5"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1AF09440"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 Las tomas de nota</w:t>
      </w:r>
      <w:r>
        <w:rPr>
          <w:rFonts w:ascii="Palatino Linotype" w:eastAsia="Palatino Linotype" w:hAnsi="Palatino Linotype" w:cs="Palatino Linotype"/>
          <w:i/>
          <w:color w:val="000000"/>
          <w:sz w:val="22"/>
          <w:szCs w:val="22"/>
        </w:rPr>
        <w:t>;”</w:t>
      </w:r>
    </w:p>
    <w:p w14:paraId="1A7415FF"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727C9AB2"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 afirma lo anterior, ya que se insiste el Comité Ejecutivo Estatal del SMSEM se integra por representantes de las regiones sindicales a las que pertenecen determinados municipios, incluido el referido por el particular, mismos que fungen como titulares de las secretarías que debe tener dicho órgano; por lo que, al encontrarse publicados los nombres de dichos representantes tanto en el portal del IPOMEX del ente obligado como en su página oficial, se considera que la información a la que pretende acceder el particular es de índole pública, aunado a que el particular únicamente pretende acceder a la forma de organización sindical del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con relación al Municipio del Oro del Estado de México, que en el caso sería respecto de la región 10 a la que pertenece este último.</w:t>
      </w:r>
    </w:p>
    <w:p w14:paraId="31478E4F"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212B38E7"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Además, se considera que en el caso es dable la publicidad de la información a la que pretende acceder el particular, pues retomando que cada región sindical se integra por  </w:t>
      </w:r>
      <w:r>
        <w:rPr>
          <w:rFonts w:ascii="Palatino Linotype" w:eastAsia="Palatino Linotype" w:hAnsi="Palatino Linotype" w:cs="Palatino Linotype"/>
          <w:color w:val="000000"/>
          <w:sz w:val="22"/>
          <w:szCs w:val="22"/>
        </w:rPr>
        <w:lastRenderedPageBreak/>
        <w:t>comités delegacionales y representantes sindicales, estos tienen dentro de sus funciones ser el enlace para hacer llegar a los organismos jerárquicos del SMSEM (Comité Ejecutivo Estatal, Consejo y Congreso Estatal) las peticiones, gestiones y demandas de la base, así como ser el conducto para transmitir y poner en práctica los acuerdos y resoluciones de estos; los cuales se encuentran relacionados con los objetivos y obligaciones a que hacen referencia los estatutos del SMSEM, destacándose los siguientes:</w:t>
      </w:r>
    </w:p>
    <w:p w14:paraId="1232C558"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40C98920"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0E9E6765"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6DF14E34"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7. El Sindicato de Maestros al Servicio del Estado de México tiene por objetivos fundamentales:</w:t>
      </w:r>
    </w:p>
    <w:p w14:paraId="5D5209CA" w14:textId="77777777" w:rsidR="006955D9" w:rsidRDefault="006955D9">
      <w:pPr>
        <w:spacing w:line="276" w:lineRule="auto"/>
        <w:ind w:left="567" w:right="616"/>
        <w:jc w:val="both"/>
        <w:rPr>
          <w:rFonts w:ascii="Palatino Linotype" w:eastAsia="Palatino Linotype" w:hAnsi="Palatino Linotype" w:cs="Palatino Linotype"/>
          <w:i/>
          <w:color w:val="000000"/>
          <w:sz w:val="22"/>
          <w:szCs w:val="22"/>
        </w:rPr>
      </w:pPr>
    </w:p>
    <w:p w14:paraId="2F4E6F9D"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 Luchar permanentemente por el mejoramiento y defensa de los intereses laborales, económicos, profesionales, de salud y asistencia social de sus agremiados.</w:t>
      </w:r>
    </w:p>
    <w:p w14:paraId="6F1C9CB8" w14:textId="77777777" w:rsidR="006955D9" w:rsidRDefault="006955D9">
      <w:pPr>
        <w:spacing w:line="276" w:lineRule="auto"/>
        <w:ind w:left="567" w:right="616"/>
        <w:jc w:val="both"/>
        <w:rPr>
          <w:rFonts w:ascii="Palatino Linotype" w:eastAsia="Palatino Linotype" w:hAnsi="Palatino Linotype" w:cs="Palatino Linotype"/>
          <w:i/>
          <w:color w:val="000000"/>
          <w:sz w:val="22"/>
          <w:szCs w:val="22"/>
        </w:rPr>
      </w:pPr>
    </w:p>
    <w:p w14:paraId="37B53202"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b) Luchar por el cumplimiento de los postulados de la Revolución Mexicana, contenidos en el Artículo Tercero Constitucional, para garantizar permanentemente una educación al servicio del pueblo.</w:t>
      </w:r>
    </w:p>
    <w:p w14:paraId="3D4C579C" w14:textId="77777777" w:rsidR="006955D9" w:rsidRDefault="006955D9">
      <w:pPr>
        <w:spacing w:line="276" w:lineRule="auto"/>
        <w:ind w:left="567" w:right="616"/>
        <w:jc w:val="both"/>
        <w:rPr>
          <w:rFonts w:ascii="Palatino Linotype" w:eastAsia="Palatino Linotype" w:hAnsi="Palatino Linotype" w:cs="Palatino Linotype"/>
          <w:i/>
          <w:color w:val="000000"/>
          <w:sz w:val="22"/>
          <w:szCs w:val="22"/>
        </w:rPr>
      </w:pPr>
    </w:p>
    <w:p w14:paraId="34C9D031"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 Mantener la independencia, autonomía y unidad del Sindicato.</w:t>
      </w:r>
    </w:p>
    <w:p w14:paraId="3D44BD72" w14:textId="77777777" w:rsidR="006955D9" w:rsidRDefault="006955D9">
      <w:pPr>
        <w:spacing w:line="276" w:lineRule="auto"/>
        <w:ind w:left="567" w:right="616"/>
        <w:jc w:val="both"/>
        <w:rPr>
          <w:rFonts w:ascii="Palatino Linotype" w:eastAsia="Palatino Linotype" w:hAnsi="Palatino Linotype" w:cs="Palatino Linotype"/>
          <w:i/>
          <w:color w:val="000000"/>
          <w:sz w:val="22"/>
          <w:szCs w:val="22"/>
        </w:rPr>
      </w:pPr>
    </w:p>
    <w:p w14:paraId="1124897F"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ARTICULO 8. El Sindicato de Maestros al Servicio del Estado de México está obligado a luchar y considerar, en sus programas de acción, por:</w:t>
      </w:r>
    </w:p>
    <w:p w14:paraId="41BB80C3" w14:textId="77777777" w:rsidR="006955D9" w:rsidRDefault="006955D9">
      <w:pPr>
        <w:spacing w:line="276" w:lineRule="auto"/>
        <w:ind w:left="567" w:right="616"/>
        <w:jc w:val="both"/>
        <w:rPr>
          <w:rFonts w:ascii="Palatino Linotype" w:eastAsia="Palatino Linotype" w:hAnsi="Palatino Linotype" w:cs="Palatino Linotype"/>
          <w:i/>
          <w:color w:val="000000"/>
          <w:sz w:val="22"/>
          <w:szCs w:val="22"/>
        </w:rPr>
      </w:pPr>
    </w:p>
    <w:p w14:paraId="51479873" w14:textId="77777777" w:rsidR="006955D9" w:rsidRDefault="00627D1D">
      <w:pPr>
        <w:spacing w:line="276" w:lineRule="auto"/>
        <w:ind w:left="567" w:right="616"/>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 Cumplir con los postulados que emanan del Artículo Tercero de la Constitución Política de los Estados Unidos Mexicanos.</w:t>
      </w:r>
    </w:p>
    <w:p w14:paraId="42B044ED" w14:textId="77777777" w:rsidR="006955D9" w:rsidRDefault="006955D9">
      <w:pPr>
        <w:spacing w:line="276" w:lineRule="auto"/>
        <w:ind w:left="567" w:right="616"/>
        <w:jc w:val="both"/>
        <w:rPr>
          <w:rFonts w:ascii="Palatino Linotype" w:eastAsia="Palatino Linotype" w:hAnsi="Palatino Linotype" w:cs="Palatino Linotype"/>
          <w:i/>
          <w:color w:val="000000"/>
          <w:sz w:val="22"/>
          <w:szCs w:val="22"/>
        </w:rPr>
      </w:pPr>
    </w:p>
    <w:p w14:paraId="7F510712"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 Coadyuvar en la protección a las niñas, niños, adolescentes, jóvenes y adultos, como valores sociales supremos del magisterio.</w:t>
      </w:r>
    </w:p>
    <w:p w14:paraId="6289289C" w14:textId="77777777" w:rsidR="006955D9" w:rsidRDefault="006955D9">
      <w:pPr>
        <w:spacing w:line="276" w:lineRule="auto"/>
        <w:ind w:left="567" w:right="616"/>
        <w:jc w:val="both"/>
        <w:rPr>
          <w:rFonts w:ascii="Palatino Linotype" w:eastAsia="Palatino Linotype" w:hAnsi="Palatino Linotype" w:cs="Palatino Linotype"/>
          <w:i/>
          <w:color w:val="000000"/>
          <w:sz w:val="22"/>
          <w:szCs w:val="22"/>
        </w:rPr>
      </w:pPr>
    </w:p>
    <w:p w14:paraId="42E7D83E"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c) Ser corresponsable del servicio educativo en el Estado de México, fungiendo de oficio como asesor, consultor y gestor.</w:t>
      </w:r>
    </w:p>
    <w:p w14:paraId="535F87C2" w14:textId="77777777" w:rsidR="006955D9" w:rsidRDefault="006955D9">
      <w:pPr>
        <w:spacing w:line="276" w:lineRule="auto"/>
        <w:ind w:left="567" w:right="616"/>
        <w:jc w:val="both"/>
        <w:rPr>
          <w:rFonts w:ascii="Palatino Linotype" w:eastAsia="Palatino Linotype" w:hAnsi="Palatino Linotype" w:cs="Palatino Linotype"/>
          <w:i/>
          <w:color w:val="000000"/>
          <w:sz w:val="22"/>
          <w:szCs w:val="22"/>
        </w:rPr>
      </w:pPr>
    </w:p>
    <w:p w14:paraId="12E7F106"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 Participar solidariamente en acciones que favorezcan el desarrollo y mejoramiento de la sociedad.</w:t>
      </w:r>
    </w:p>
    <w:p w14:paraId="67163AF5"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AE0C9A8" w14:textId="77777777" w:rsidR="006955D9" w:rsidRDefault="00627D1D">
      <w:pPr>
        <w:spacing w:line="276" w:lineRule="auto"/>
        <w:ind w:left="567" w:right="616"/>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j) Demandar del Gobierno del Estado, el equipamiento y mantenimiento de las escuelas, así como la dotación de materiales que apoyen el ejercicio docente.</w:t>
      </w:r>
    </w:p>
    <w:p w14:paraId="7CA50725" w14:textId="77777777" w:rsidR="006955D9" w:rsidRDefault="00627D1D">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621023D4" w14:textId="77777777" w:rsidR="006955D9" w:rsidRDefault="006955D9">
      <w:pPr>
        <w:spacing w:line="276" w:lineRule="auto"/>
        <w:ind w:left="567" w:right="616"/>
        <w:jc w:val="both"/>
        <w:rPr>
          <w:rFonts w:ascii="Palatino Linotype" w:eastAsia="Palatino Linotype" w:hAnsi="Palatino Linotype" w:cs="Palatino Linotype"/>
          <w:i/>
          <w:color w:val="000000"/>
          <w:sz w:val="22"/>
          <w:szCs w:val="22"/>
        </w:rPr>
      </w:pPr>
    </w:p>
    <w:p w14:paraId="203B72EE" w14:textId="77777777" w:rsidR="006955D9" w:rsidRDefault="00627D1D">
      <w:pPr>
        <w:spacing w:line="276" w:lineRule="auto"/>
        <w:ind w:left="567" w:right="616"/>
        <w:jc w:val="right"/>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23B4D20E"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6AEB2266"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conformidad con lo anterior, se advierte que 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no sólo es una organización creada para dar voz a los maestros, apoyar su desarrollo profesional docente y mejorar sus condiciones laborales; sino también para garantizar el derecho a la educación atendiendo el mandato Constitucional, teniendo como obligación participar solidariamente en acciones encaminadas al desarrollo y mejoramiento de la sociedad en materia educativa, como lo es de manera enunciativa más no limitativa, demandar del Gobierno del Estado, el equipamiento y mantenimiento de las escuelas, así como la dotación de materiales que apoyen el ejercicio docente.</w:t>
      </w:r>
    </w:p>
    <w:p w14:paraId="59938F8D" w14:textId="77777777" w:rsidR="006955D9" w:rsidRDefault="006955D9">
      <w:pPr>
        <w:spacing w:line="360" w:lineRule="auto"/>
        <w:jc w:val="both"/>
        <w:rPr>
          <w:rFonts w:ascii="Palatino Linotype" w:eastAsia="Palatino Linotype" w:hAnsi="Palatino Linotype" w:cs="Palatino Linotype"/>
          <w:b/>
          <w:color w:val="000000"/>
          <w:sz w:val="22"/>
          <w:szCs w:val="22"/>
        </w:rPr>
      </w:pPr>
    </w:p>
    <w:p w14:paraId="0CF6EEAA"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podemos advertir de lo anterior, resulta de interés la información relativa a la forma de organización o estructura sindical, toda vez que los representantes sindicales en el ámbito de sus atribuciones tienen el deber de proponer o gestionar acciones encaminadas a garantizar un derecho fundamental como lo es la educación, lo que les permite formar parte o contribuir en la toma de decisiones del Gobierno de la Entidad, en beneficio de la colectividad; por tanto, contrario a lo referido en respuesta como en informe por 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el listado o documento análogo que contenga la estructura sindical en la que se contemple al Municipio el Oro del Estado de México tiene la connotación de público.</w:t>
      </w:r>
    </w:p>
    <w:p w14:paraId="782EAC72"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319A9690" w14:textId="77777777" w:rsidR="006955D9" w:rsidRDefault="00627D1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esta manera, se determina que los motivos de </w:t>
      </w:r>
      <w:r>
        <w:rPr>
          <w:rFonts w:ascii="Palatino Linotype" w:eastAsia="Palatino Linotype" w:hAnsi="Palatino Linotype" w:cs="Palatino Linotype"/>
          <w:sz w:val="22"/>
          <w:szCs w:val="22"/>
        </w:rPr>
        <w:t>inconformidad</w:t>
      </w:r>
      <w:r>
        <w:rPr>
          <w:rFonts w:ascii="Palatino Linotype" w:eastAsia="Palatino Linotype" w:hAnsi="Palatino Linotype" w:cs="Palatino Linotype"/>
          <w:color w:val="000000"/>
          <w:sz w:val="22"/>
          <w:szCs w:val="22"/>
        </w:rPr>
        <w:t xml:space="preserve"> hechos valer por la parte </w:t>
      </w:r>
      <w:r>
        <w:rPr>
          <w:rFonts w:ascii="Palatino Linotype" w:eastAsia="Palatino Linotype" w:hAnsi="Palatino Linotype" w:cs="Palatino Linotype"/>
          <w:b/>
          <w:color w:val="000000"/>
          <w:sz w:val="22"/>
          <w:szCs w:val="22"/>
        </w:rPr>
        <w:t xml:space="preserve">Recurrente </w:t>
      </w:r>
      <w:r>
        <w:rPr>
          <w:rFonts w:ascii="Palatino Linotype" w:eastAsia="Palatino Linotype" w:hAnsi="Palatino Linotype" w:cs="Palatino Linotype"/>
          <w:color w:val="000000"/>
          <w:sz w:val="22"/>
          <w:szCs w:val="22"/>
        </w:rPr>
        <w:t xml:space="preserve">en el medio de impugnación que nos ocupa resultan fundados y suficientes para </w:t>
      </w:r>
      <w:r>
        <w:rPr>
          <w:rFonts w:ascii="Palatino Linotype" w:eastAsia="Palatino Linotype" w:hAnsi="Palatino Linotype" w:cs="Palatino Linotype"/>
          <w:b/>
          <w:color w:val="000000"/>
          <w:sz w:val="22"/>
          <w:szCs w:val="22"/>
        </w:rPr>
        <w:t xml:space="preserve">revocar </w:t>
      </w:r>
      <w:r>
        <w:rPr>
          <w:rFonts w:ascii="Palatino Linotype" w:eastAsia="Palatino Linotype" w:hAnsi="Palatino Linotype" w:cs="Palatino Linotype"/>
          <w:color w:val="000000"/>
          <w:sz w:val="22"/>
          <w:szCs w:val="22"/>
        </w:rPr>
        <w:t xml:space="preserve">la respuesta del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siendo procedente ordenar que en cumplimiento a la presente resolución se proporcione, de ser procedente en versión pública, lo siguiente:</w:t>
      </w:r>
    </w:p>
    <w:p w14:paraId="128EE39D"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0EBEB496" w14:textId="77777777" w:rsidR="006955D9" w:rsidRDefault="00627D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bookmarkStart w:id="10" w:name="_heading=h.26in1rg" w:colFirst="0" w:colLast="0"/>
      <w:bookmarkEnd w:id="10"/>
      <w:r>
        <w:rPr>
          <w:color w:val="000000"/>
        </w:rPr>
        <w:t>E</w:t>
      </w:r>
      <w:r>
        <w:rPr>
          <w:rFonts w:ascii="Palatino Linotype" w:eastAsia="Palatino Linotype" w:hAnsi="Palatino Linotype" w:cs="Palatino Linotype"/>
          <w:color w:val="000000"/>
          <w:sz w:val="22"/>
          <w:szCs w:val="22"/>
        </w:rPr>
        <w:t xml:space="preserve">l listado o documento análogo que dé cuenta de la estructura sindical respecto del Municipio el Oro del Estado de México, vigente a la fecha de la solicitud, esto es, al </w:t>
      </w:r>
      <w:r>
        <w:rPr>
          <w:rFonts w:ascii="Palatino Linotype" w:eastAsia="Palatino Linotype" w:hAnsi="Palatino Linotype" w:cs="Palatino Linotype"/>
          <w:b/>
          <w:color w:val="000000"/>
          <w:sz w:val="22"/>
          <w:szCs w:val="22"/>
        </w:rPr>
        <w:t>dieciocho de enero de dos mil veinticuatro.</w:t>
      </w:r>
      <w:r>
        <w:rPr>
          <w:rFonts w:ascii="Palatino Linotype" w:eastAsia="Palatino Linotype" w:hAnsi="Palatino Linotype" w:cs="Palatino Linotype"/>
          <w:color w:val="000000"/>
          <w:sz w:val="22"/>
          <w:szCs w:val="22"/>
        </w:rPr>
        <w:t xml:space="preserve"> </w:t>
      </w:r>
    </w:p>
    <w:p w14:paraId="45229AF6"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5B9F993F"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14C6E37A" w14:textId="77777777" w:rsidR="006955D9" w:rsidRDefault="00627D1D">
      <w:pPr>
        <w:spacing w:line="360" w:lineRule="auto"/>
        <w:ind w:right="49"/>
        <w:jc w:val="both"/>
        <w:rPr>
          <w:rFonts w:ascii="Palatino Linotype" w:eastAsia="Palatino Linotype" w:hAnsi="Palatino Linotype" w:cs="Palatino Linotype"/>
          <w:sz w:val="22"/>
          <w:szCs w:val="22"/>
        </w:rPr>
      </w:pPr>
      <w:bookmarkStart w:id="11" w:name="_heading=h.17dp8vu" w:colFirst="0" w:colLast="0"/>
      <w:bookmarkEnd w:id="11"/>
      <w:r>
        <w:rPr>
          <w:rFonts w:ascii="Palatino Linotype" w:eastAsia="Palatino Linotype" w:hAnsi="Palatino Linotype" w:cs="Palatino Linotype"/>
          <w:b/>
          <w:sz w:val="22"/>
          <w:szCs w:val="22"/>
        </w:rPr>
        <w:t xml:space="preserve">Quinto. Versión Pública. </w:t>
      </w:r>
      <w:r>
        <w:rPr>
          <w:rFonts w:ascii="Palatino Linotype" w:eastAsia="Palatino Linotype" w:hAnsi="Palatino Linotype" w:cs="Palatino Linotype"/>
          <w:sz w:val="22"/>
          <w:szCs w:val="22"/>
        </w:rPr>
        <w:t xml:space="preserve">Finalmente para la entrega del soporte documental que deberá proporcionar el sujeto obligado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2D116DC7" w14:textId="77777777" w:rsidR="006955D9" w:rsidRDefault="006955D9">
      <w:pPr>
        <w:spacing w:line="360" w:lineRule="auto"/>
        <w:ind w:right="49"/>
        <w:jc w:val="both"/>
        <w:rPr>
          <w:rFonts w:ascii="Palatino Linotype" w:eastAsia="Palatino Linotype" w:hAnsi="Palatino Linotype" w:cs="Palatino Linotype"/>
          <w:sz w:val="22"/>
          <w:szCs w:val="22"/>
        </w:rPr>
      </w:pPr>
    </w:p>
    <w:p w14:paraId="10AD3673" w14:textId="77777777" w:rsidR="006955D9" w:rsidRDefault="00627D1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600E945F"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2A5EDC00"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42ABD86"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6B58922"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3D5AB3D2"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BB14A4A"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B7BF244"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D09FE6F"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372B919"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0333C695"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7455F514"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20A7EDE4"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655E0457"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2D96681"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93E4817"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5608367"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29DF996"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17CAA03"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693099C" w14:textId="77777777" w:rsidR="006955D9" w:rsidRDefault="00627D1D">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41E47B51" w14:textId="77777777" w:rsidR="006955D9" w:rsidRDefault="006955D9">
      <w:pPr>
        <w:spacing w:line="360" w:lineRule="auto"/>
        <w:jc w:val="both"/>
        <w:rPr>
          <w:rFonts w:ascii="Palatino Linotype" w:eastAsia="Palatino Linotype" w:hAnsi="Palatino Linotype" w:cs="Palatino Linotype"/>
          <w:sz w:val="22"/>
          <w:szCs w:val="22"/>
        </w:rPr>
      </w:pPr>
    </w:p>
    <w:p w14:paraId="755B9D80"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documentos que contengan partes o secciones clasificadas.</w:t>
      </w:r>
    </w:p>
    <w:p w14:paraId="56B637DA" w14:textId="77777777" w:rsidR="006955D9" w:rsidRDefault="006955D9">
      <w:pPr>
        <w:spacing w:line="360" w:lineRule="auto"/>
        <w:jc w:val="both"/>
        <w:rPr>
          <w:rFonts w:ascii="Palatino Linotype" w:eastAsia="Palatino Linotype" w:hAnsi="Palatino Linotype" w:cs="Palatino Linotype"/>
          <w:sz w:val="22"/>
          <w:szCs w:val="22"/>
        </w:rPr>
      </w:pPr>
    </w:p>
    <w:p w14:paraId="278985E1"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siendo estas las siguientes:</w:t>
      </w:r>
    </w:p>
    <w:p w14:paraId="61E1E0DA" w14:textId="77777777" w:rsidR="006955D9" w:rsidRDefault="006955D9">
      <w:pPr>
        <w:spacing w:line="360" w:lineRule="auto"/>
        <w:jc w:val="both"/>
        <w:rPr>
          <w:rFonts w:ascii="Palatino Linotype" w:eastAsia="Palatino Linotype" w:hAnsi="Palatino Linotype" w:cs="Palatino Linotype"/>
          <w:sz w:val="22"/>
          <w:szCs w:val="22"/>
        </w:rPr>
      </w:pPr>
    </w:p>
    <w:p w14:paraId="317BFC6A" w14:textId="77777777" w:rsidR="006955D9" w:rsidRDefault="00627D1D">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“CAPÍTULO VIII </w:t>
      </w:r>
    </w:p>
    <w:p w14:paraId="7C8F3397" w14:textId="77777777" w:rsidR="006955D9" w:rsidRDefault="00627D1D">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LOS ELEMENTOS PARA LA CLASIFICACIÓN </w:t>
      </w:r>
    </w:p>
    <w:p w14:paraId="1CBB13D4" w14:textId="77777777" w:rsidR="006955D9" w:rsidRDefault="00627D1D">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FF47C1D" w14:textId="77777777" w:rsidR="006955D9" w:rsidRDefault="00627D1D">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primero. </w:t>
      </w:r>
      <w:r>
        <w:rPr>
          <w:rFonts w:ascii="Palatino Linotype" w:eastAsia="Palatino Linotype" w:hAnsi="Palatino Linotype" w:cs="Palatino Linotype"/>
          <w:i/>
          <w:sz w:val="22"/>
          <w:szCs w:val="22"/>
        </w:rPr>
        <w:t xml:space="preserve">Toda acta del Comité de Transparencia deberá contener: </w:t>
      </w:r>
    </w:p>
    <w:p w14:paraId="714A450A" w14:textId="77777777" w:rsidR="006955D9" w:rsidRDefault="00627D1D">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El número de sesión y fecha; </w:t>
      </w:r>
    </w:p>
    <w:p w14:paraId="49478F09" w14:textId="77777777" w:rsidR="006955D9" w:rsidRDefault="00627D1D">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 nombre del área que solicitó la clasificación de información; </w:t>
      </w:r>
    </w:p>
    <w:p w14:paraId="59473697" w14:textId="77777777" w:rsidR="006955D9" w:rsidRDefault="00627D1D">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 fundamentación legal y motivación correspondiente; </w:t>
      </w:r>
    </w:p>
    <w:p w14:paraId="1C063565" w14:textId="77777777" w:rsidR="006955D9" w:rsidRDefault="00627D1D">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La resolución o resoluciones aprobadas; y </w:t>
      </w:r>
    </w:p>
    <w:p w14:paraId="353B24CE" w14:textId="77777777" w:rsidR="006955D9" w:rsidRDefault="00627D1D">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La rúbrica o firma digital de cada integrante del Comité de Transparencia. </w:t>
      </w:r>
    </w:p>
    <w:p w14:paraId="38FFC6C2" w14:textId="77777777" w:rsidR="006955D9" w:rsidRDefault="00627D1D">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778C4BC" w14:textId="77777777" w:rsidR="006955D9" w:rsidRDefault="00627D1D">
      <w:pPr>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lastRenderedPageBreak/>
        <w:t xml:space="preserve">En los casos de resoluciones del Comité de Transparencia en las que se </w:t>
      </w:r>
      <w:r>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7F204C57" w14:textId="77777777" w:rsidR="006955D9" w:rsidRDefault="00627D1D">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Quincuagésimo segundo. </w:t>
      </w:r>
      <w:r>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Pr>
          <w:rFonts w:ascii="Palatino Linotype" w:eastAsia="Palatino Linotype" w:hAnsi="Palatino Linotype" w:cs="Palatino Linotype"/>
          <w:b/>
          <w:i/>
          <w:sz w:val="22"/>
          <w:szCs w:val="22"/>
        </w:rPr>
        <w:t>confidencial,</w:t>
      </w:r>
      <w:r>
        <w:rPr>
          <w:rFonts w:ascii="Palatino Linotype" w:eastAsia="Palatino Linotype" w:hAnsi="Palatino Linotype" w:cs="Palatino Linotype"/>
          <w:i/>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151DA2F7" w14:textId="77777777" w:rsidR="006955D9" w:rsidRDefault="00627D1D">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2D018CDD" w14:textId="77777777" w:rsidR="006955D9" w:rsidRDefault="00627D1D">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Fijar la fecha en que se elaboró la versión pública y la fecha en la cual el Comité de Transparencia confirmó dicha versión; </w:t>
      </w:r>
    </w:p>
    <w:p w14:paraId="2F85B76E" w14:textId="77777777" w:rsidR="006955D9" w:rsidRDefault="00627D1D">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Señalar dentro del documento el tipo de información confidencial que fue testada en cada caso específico, de conformidad con el lineamiento trigésimo octavo; y </w:t>
      </w:r>
    </w:p>
    <w:p w14:paraId="37DAB2D4" w14:textId="77777777" w:rsidR="006955D9" w:rsidRDefault="00627D1D">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Señalar las personas o instancias autorizadas a acceder a la información clasificada. </w:t>
      </w:r>
    </w:p>
    <w:p w14:paraId="5C0B4DE0" w14:textId="77777777" w:rsidR="006955D9" w:rsidRDefault="00627D1D">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Pr>
          <w:rFonts w:ascii="Palatino Linotype" w:eastAsia="Palatino Linotype" w:hAnsi="Palatino Linotype" w:cs="Palatino Linotype"/>
          <w:b/>
          <w:i/>
          <w:sz w:val="22"/>
          <w:szCs w:val="22"/>
          <w:u w:val="single"/>
        </w:rPr>
        <w:t>información confidencial.</w:t>
      </w:r>
      <w:r>
        <w:rPr>
          <w:rFonts w:ascii="Palatino Linotype" w:eastAsia="Palatino Linotype" w:hAnsi="Palatino Linotype" w:cs="Palatino Linotype"/>
          <w:i/>
          <w:sz w:val="22"/>
          <w:szCs w:val="22"/>
        </w:rPr>
        <w:t xml:space="preserve"> </w:t>
      </w:r>
    </w:p>
    <w:p w14:paraId="38B76291" w14:textId="77777777" w:rsidR="006955D9" w:rsidRDefault="00627D1D">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6E4D267F" w14:textId="77777777" w:rsidR="006955D9" w:rsidRDefault="00627D1D">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Quincuagésimo cuarto. </w:t>
      </w:r>
      <w:r>
        <w:rPr>
          <w:rFonts w:ascii="Palatino Linotype" w:eastAsia="Palatino Linotype" w:hAnsi="Palatino Linotype" w:cs="Palatino Linotype"/>
          <w:i/>
          <w:sz w:val="22"/>
          <w:szCs w:val="22"/>
        </w:rPr>
        <w:t xml:space="preserve">Cuando el Comité de Transparencia confirme la clasificación de documentos reservados y/o </w:t>
      </w:r>
      <w:r>
        <w:rPr>
          <w:rFonts w:ascii="Palatino Linotype" w:eastAsia="Palatino Linotype" w:hAnsi="Palatino Linotype" w:cs="Palatino Linotype"/>
          <w:b/>
          <w:i/>
          <w:sz w:val="22"/>
          <w:szCs w:val="22"/>
        </w:rPr>
        <w:t>confidenciales</w:t>
      </w:r>
      <w:r>
        <w:rPr>
          <w:rFonts w:ascii="Palatino Linotype" w:eastAsia="Palatino Linotype" w:hAnsi="Palatino Linotype" w:cs="Palatino Linotype"/>
          <w:i/>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Pr>
          <w:rFonts w:ascii="Palatino Linotype" w:eastAsia="Palatino Linotype" w:hAnsi="Palatino Linotype" w:cs="Palatino Linotype"/>
          <w:b/>
          <w:i/>
          <w:sz w:val="22"/>
          <w:szCs w:val="22"/>
        </w:rPr>
        <w:t xml:space="preserve"> </w:t>
      </w:r>
    </w:p>
    <w:p w14:paraId="20CABD77" w14:textId="77777777" w:rsidR="006955D9" w:rsidRDefault="00627D1D">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quinto. </w:t>
      </w:r>
      <w:r>
        <w:rPr>
          <w:rFonts w:ascii="Palatino Linotype" w:eastAsia="Palatino Linotype" w:hAnsi="Palatino Linotype" w:cs="Palatino Linotype"/>
          <w:i/>
          <w:sz w:val="22"/>
          <w:szCs w:val="22"/>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1CD3444A" w14:textId="77777777" w:rsidR="006955D9" w:rsidRDefault="00627D1D">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deberá observar los Lineamientos Quincuagésimo sexto, Quincuagésimo séptimo y Quincuagésimo octavo, establecen lo siguiente:</w:t>
      </w:r>
    </w:p>
    <w:p w14:paraId="6FEF9E5A" w14:textId="77777777" w:rsidR="006955D9" w:rsidRDefault="00627D1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569AC9DF" w14:textId="77777777" w:rsidR="006955D9" w:rsidRDefault="00627D1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B3F4E80" w14:textId="77777777" w:rsidR="006955D9" w:rsidRDefault="00627D1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6B339DA" w14:textId="77777777" w:rsidR="006955D9" w:rsidRDefault="00627D1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4BF2042" w14:textId="77777777" w:rsidR="006955D9" w:rsidRDefault="00627D1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345696D" w14:textId="77777777" w:rsidR="006955D9" w:rsidRDefault="00627D1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8EA788D" w14:textId="77777777" w:rsidR="006955D9" w:rsidRDefault="00627D1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61FA006" w14:textId="77777777" w:rsidR="006955D9" w:rsidRDefault="006955D9">
      <w:pPr>
        <w:spacing w:line="360" w:lineRule="auto"/>
        <w:jc w:val="both"/>
        <w:rPr>
          <w:rFonts w:ascii="Palatino Linotype" w:eastAsia="Palatino Linotype" w:hAnsi="Palatino Linotype" w:cs="Palatino Linotype"/>
          <w:sz w:val="22"/>
          <w:szCs w:val="22"/>
        </w:rPr>
      </w:pPr>
    </w:p>
    <w:p w14:paraId="164AE81D"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2B76385" w14:textId="77777777" w:rsidR="006955D9" w:rsidRDefault="006955D9">
      <w:pPr>
        <w:spacing w:line="360" w:lineRule="auto"/>
        <w:jc w:val="both"/>
        <w:rPr>
          <w:rFonts w:ascii="Palatino Linotype" w:eastAsia="Palatino Linotype" w:hAnsi="Palatino Linotype" w:cs="Palatino Linotype"/>
          <w:color w:val="000000"/>
          <w:sz w:val="22"/>
          <w:szCs w:val="22"/>
        </w:rPr>
      </w:pPr>
    </w:p>
    <w:p w14:paraId="6071CDFD"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con fundamento en lo prescrito en los artículos 5 párrafos trigésimo tercero, trigésimo cuarto y trigésimo quinto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08F8599A" w14:textId="77777777" w:rsidR="006955D9" w:rsidRDefault="006955D9">
      <w:pPr>
        <w:spacing w:line="360" w:lineRule="auto"/>
        <w:jc w:val="both"/>
        <w:rPr>
          <w:rFonts w:ascii="Palatino Linotype" w:eastAsia="Palatino Linotype" w:hAnsi="Palatino Linotype" w:cs="Palatino Linotype"/>
          <w:sz w:val="22"/>
          <w:szCs w:val="22"/>
        </w:rPr>
      </w:pPr>
    </w:p>
    <w:p w14:paraId="3A9211A2" w14:textId="77777777" w:rsidR="006955D9" w:rsidRDefault="00627D1D">
      <w:pPr>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 E S U E L V E:</w:t>
      </w:r>
    </w:p>
    <w:p w14:paraId="10BB3F88" w14:textId="77777777" w:rsidR="006955D9" w:rsidRDefault="006955D9">
      <w:pPr>
        <w:spacing w:line="360" w:lineRule="auto"/>
        <w:jc w:val="both"/>
        <w:rPr>
          <w:rFonts w:ascii="Palatino Linotype" w:eastAsia="Palatino Linotype" w:hAnsi="Palatino Linotype" w:cs="Palatino Linotype"/>
          <w:b/>
          <w:sz w:val="22"/>
          <w:szCs w:val="22"/>
        </w:rPr>
      </w:pPr>
    </w:p>
    <w:p w14:paraId="7A810969" w14:textId="77777777" w:rsidR="006955D9" w:rsidRDefault="00627D1D">
      <w:pPr>
        <w:spacing w:line="360" w:lineRule="auto"/>
        <w:jc w:val="both"/>
        <w:rPr>
          <w:rFonts w:ascii="Palatino Linotype" w:eastAsia="Palatino Linotype" w:hAnsi="Palatino Linotype" w:cs="Palatino Linotype"/>
          <w:b/>
          <w:sz w:val="22"/>
          <w:szCs w:val="22"/>
        </w:rPr>
      </w:pPr>
      <w:bookmarkStart w:id="12" w:name="_heading=h.lnxbz9" w:colFirst="0" w:colLast="0"/>
      <w:bookmarkEnd w:id="12"/>
      <w:r>
        <w:rPr>
          <w:rFonts w:ascii="Palatino Linotype" w:eastAsia="Palatino Linotype" w:hAnsi="Palatino Linotype" w:cs="Palatino Linotype"/>
          <w:b/>
          <w:sz w:val="22"/>
          <w:szCs w:val="22"/>
        </w:rPr>
        <w:t xml:space="preserve">Primero. </w:t>
      </w:r>
      <w:r>
        <w:rPr>
          <w:rFonts w:ascii="Palatino Linotype" w:eastAsia="Palatino Linotype" w:hAnsi="Palatino Linotype" w:cs="Palatino Linotype"/>
          <w:sz w:val="22"/>
          <w:szCs w:val="22"/>
        </w:rPr>
        <w:t>Resultan</w:t>
      </w:r>
      <w:r>
        <w:rPr>
          <w:rFonts w:ascii="Palatino Linotype" w:eastAsia="Palatino Linotype" w:hAnsi="Palatino Linotype" w:cs="Palatino Linotype"/>
          <w:b/>
          <w:sz w:val="22"/>
          <w:szCs w:val="22"/>
        </w:rPr>
        <w:t xml:space="preserve"> fundados</w:t>
      </w:r>
      <w:r>
        <w:rPr>
          <w:rFonts w:ascii="Palatino Linotype" w:eastAsia="Palatino Linotype" w:hAnsi="Palatino Linotype" w:cs="Palatino Linotype"/>
          <w:sz w:val="22"/>
          <w:szCs w:val="22"/>
        </w:rPr>
        <w:t xml:space="preserve"> los motivos de inconformidad hechos valer por la parte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 xml:space="preserve">en el recurso de revisión </w:t>
      </w:r>
      <w:r>
        <w:rPr>
          <w:rFonts w:ascii="Palatino Linotype" w:eastAsia="Palatino Linotype" w:hAnsi="Palatino Linotype" w:cs="Palatino Linotype"/>
          <w:b/>
          <w:sz w:val="22"/>
          <w:szCs w:val="22"/>
        </w:rPr>
        <w:t xml:space="preserve">00459/INFOEM/IP/RR/2024, </w:t>
      </w:r>
      <w:r>
        <w:rPr>
          <w:rFonts w:ascii="Palatino Linotype" w:eastAsia="Palatino Linotype" w:hAnsi="Palatino Linotype" w:cs="Palatino Linotype"/>
          <w:sz w:val="22"/>
          <w:szCs w:val="22"/>
        </w:rPr>
        <w:t xml:space="preserve">por lo que, en términos del Considerando </w:t>
      </w:r>
      <w:r>
        <w:rPr>
          <w:rFonts w:ascii="Palatino Linotype" w:eastAsia="Palatino Linotype" w:hAnsi="Palatino Linotype" w:cs="Palatino Linotype"/>
          <w:b/>
          <w:sz w:val="22"/>
          <w:szCs w:val="22"/>
        </w:rPr>
        <w:t>Cuarto</w:t>
      </w:r>
      <w:r>
        <w:rPr>
          <w:rFonts w:ascii="Palatino Linotype" w:eastAsia="Palatino Linotype" w:hAnsi="Palatino Linotype" w:cs="Palatino Linotype"/>
          <w:sz w:val="22"/>
          <w:szCs w:val="22"/>
        </w:rPr>
        <w:t xml:space="preserve"> de la presente resolución, se</w:t>
      </w:r>
      <w:r>
        <w:rPr>
          <w:rFonts w:ascii="Palatino Linotype" w:eastAsia="Palatino Linotype" w:hAnsi="Palatino Linotype" w:cs="Palatino Linotype"/>
          <w:b/>
          <w:sz w:val="22"/>
          <w:szCs w:val="22"/>
        </w:rPr>
        <w:t xml:space="preserve"> Revoca </w:t>
      </w:r>
      <w:r>
        <w:rPr>
          <w:rFonts w:ascii="Palatino Linotype" w:eastAsia="Palatino Linotype" w:hAnsi="Palatino Linotype" w:cs="Palatino Linotype"/>
          <w:sz w:val="22"/>
          <w:szCs w:val="22"/>
        </w:rPr>
        <w:t>la respuesta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del </w:t>
      </w:r>
      <w:r>
        <w:rPr>
          <w:rFonts w:ascii="Palatino Linotype" w:eastAsia="Palatino Linotype" w:hAnsi="Palatino Linotype" w:cs="Palatino Linotype"/>
          <w:b/>
          <w:sz w:val="22"/>
          <w:szCs w:val="22"/>
        </w:rPr>
        <w:t>Sujeto Obligado.</w:t>
      </w:r>
    </w:p>
    <w:p w14:paraId="43530C83" w14:textId="77777777" w:rsidR="006955D9" w:rsidRDefault="006955D9">
      <w:pPr>
        <w:spacing w:line="360" w:lineRule="auto"/>
        <w:jc w:val="both"/>
        <w:rPr>
          <w:rFonts w:ascii="Palatino Linotype" w:eastAsia="Palatino Linotype" w:hAnsi="Palatino Linotype" w:cs="Palatino Linotype"/>
          <w:b/>
          <w:sz w:val="22"/>
          <w:szCs w:val="22"/>
        </w:rPr>
      </w:pPr>
    </w:p>
    <w:p w14:paraId="6413D1BC" w14:textId="77777777" w:rsidR="006955D9" w:rsidRDefault="00627D1D">
      <w:pPr>
        <w:spacing w:line="360" w:lineRule="auto"/>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rPr>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sz w:val="22"/>
          <w:szCs w:val="22"/>
        </w:rPr>
        <w:t>Ordena</w:t>
      </w:r>
      <w:r>
        <w:rPr>
          <w:rFonts w:ascii="Palatino Linotype" w:eastAsia="Palatino Linotype" w:hAnsi="Palatino Linotype" w:cs="Palatino Linotype"/>
          <w:sz w:val="22"/>
          <w:szCs w:val="22"/>
        </w:rPr>
        <w:t xml:space="preserve"> al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en términos de los Considerandos </w:t>
      </w:r>
      <w:r>
        <w:rPr>
          <w:rFonts w:ascii="Palatino Linotype" w:eastAsia="Palatino Linotype" w:hAnsi="Palatino Linotype" w:cs="Palatino Linotype"/>
          <w:b/>
          <w:sz w:val="22"/>
          <w:szCs w:val="22"/>
        </w:rPr>
        <w:t xml:space="preserve">Cuarto y Quinto </w:t>
      </w:r>
      <w:r>
        <w:rPr>
          <w:rFonts w:ascii="Palatino Linotype" w:eastAsia="Palatino Linotype" w:hAnsi="Palatino Linotype" w:cs="Palatino Linotype"/>
          <w:sz w:val="22"/>
          <w:szCs w:val="22"/>
        </w:rPr>
        <w:t xml:space="preserve">de esta resolución, </w:t>
      </w:r>
      <w:r>
        <w:rPr>
          <w:rFonts w:ascii="Palatino Linotype" w:eastAsia="Palatino Linotype" w:hAnsi="Palatino Linotype" w:cs="Palatino Linotype"/>
          <w:b/>
          <w:sz w:val="22"/>
          <w:szCs w:val="22"/>
        </w:rPr>
        <w:t xml:space="preserve">haga entrega vía Sistema de Acceso a la Información Mexiquense (SAIMEX), </w:t>
      </w:r>
      <w:r>
        <w:rPr>
          <w:rFonts w:ascii="Palatino Linotype" w:eastAsia="Palatino Linotype" w:hAnsi="Palatino Linotype" w:cs="Palatino Linotype"/>
          <w:sz w:val="22"/>
          <w:szCs w:val="22"/>
        </w:rPr>
        <w:t xml:space="preserve">de ser procedente en versión pública, </w:t>
      </w:r>
      <w:r>
        <w:rPr>
          <w:rFonts w:ascii="Palatino Linotype" w:eastAsia="Palatino Linotype" w:hAnsi="Palatino Linotype" w:cs="Palatino Linotype"/>
          <w:b/>
          <w:sz w:val="22"/>
          <w:szCs w:val="22"/>
          <w:u w:val="single"/>
        </w:rPr>
        <w:t>lo siguiente:</w:t>
      </w:r>
    </w:p>
    <w:p w14:paraId="6761F276" w14:textId="77777777" w:rsidR="006955D9" w:rsidRDefault="006955D9">
      <w:pPr>
        <w:spacing w:line="360" w:lineRule="auto"/>
        <w:jc w:val="both"/>
        <w:rPr>
          <w:rFonts w:ascii="Palatino Linotype" w:eastAsia="Palatino Linotype" w:hAnsi="Palatino Linotype" w:cs="Palatino Linotype"/>
          <w:b/>
          <w:sz w:val="22"/>
          <w:szCs w:val="22"/>
          <w:u w:val="single"/>
        </w:rPr>
      </w:pPr>
    </w:p>
    <w:p w14:paraId="339F788D" w14:textId="77777777" w:rsidR="006955D9" w:rsidRDefault="00627D1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b/>
          <w:color w:val="000000"/>
        </w:rPr>
        <w:t>E</w:t>
      </w:r>
      <w:r>
        <w:rPr>
          <w:rFonts w:ascii="Palatino Linotype" w:eastAsia="Palatino Linotype" w:hAnsi="Palatino Linotype" w:cs="Palatino Linotype"/>
          <w:b/>
          <w:color w:val="000000"/>
          <w:sz w:val="22"/>
          <w:szCs w:val="22"/>
        </w:rPr>
        <w:t xml:space="preserve">l listado o documento análogo que dé cuenta de la estructura sindical respecto del Municipio el Oro del Estado de México, al dieciocho de enero de dos mil veinticuatro. </w:t>
      </w:r>
    </w:p>
    <w:p w14:paraId="07E09158" w14:textId="77777777" w:rsidR="006955D9" w:rsidRDefault="006955D9">
      <w:pPr>
        <w:pBdr>
          <w:top w:val="nil"/>
          <w:left w:val="nil"/>
          <w:bottom w:val="nil"/>
          <w:right w:val="nil"/>
          <w:between w:val="nil"/>
        </w:pBdr>
        <w:spacing w:line="276" w:lineRule="auto"/>
        <w:ind w:left="284" w:right="49"/>
        <w:jc w:val="both"/>
        <w:rPr>
          <w:rFonts w:ascii="Palatino Linotype" w:eastAsia="Palatino Linotype" w:hAnsi="Palatino Linotype" w:cs="Palatino Linotype"/>
          <w:b/>
          <w:color w:val="000000"/>
          <w:sz w:val="22"/>
          <w:szCs w:val="22"/>
        </w:rPr>
      </w:pPr>
    </w:p>
    <w:p w14:paraId="4D348175" w14:textId="77777777" w:rsidR="006955D9" w:rsidRDefault="00627D1D">
      <w:pPr>
        <w:pBdr>
          <w:top w:val="nil"/>
          <w:left w:val="nil"/>
          <w:bottom w:val="nil"/>
          <w:right w:val="nil"/>
          <w:between w:val="nil"/>
        </w:pBdr>
        <w:spacing w:line="276" w:lineRule="auto"/>
        <w:ind w:left="284"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Pr>
          <w:rFonts w:ascii="Palatino Linotype" w:eastAsia="Palatino Linotype" w:hAnsi="Palatino Linotype" w:cs="Palatino Linotype"/>
          <w:b/>
          <w:i/>
          <w:color w:val="000000"/>
          <w:sz w:val="22"/>
          <w:szCs w:val="22"/>
        </w:rPr>
        <w:t>la parte Recurrente</w:t>
      </w:r>
      <w:r>
        <w:rPr>
          <w:rFonts w:ascii="Palatino Linotype" w:eastAsia="Palatino Linotype" w:hAnsi="Palatino Linotype" w:cs="Palatino Linotype"/>
          <w:i/>
          <w:color w:val="000000"/>
          <w:sz w:val="22"/>
          <w:szCs w:val="22"/>
        </w:rPr>
        <w:t>, mismo que igualmente hará de su conocimiento.</w:t>
      </w:r>
    </w:p>
    <w:p w14:paraId="725750F3" w14:textId="77777777" w:rsidR="006955D9" w:rsidRDefault="006955D9">
      <w:pPr>
        <w:pBdr>
          <w:top w:val="nil"/>
          <w:left w:val="nil"/>
          <w:bottom w:val="nil"/>
          <w:right w:val="nil"/>
          <w:between w:val="nil"/>
        </w:pBdr>
        <w:spacing w:line="276" w:lineRule="auto"/>
        <w:ind w:left="284" w:right="49"/>
        <w:jc w:val="both"/>
        <w:rPr>
          <w:rFonts w:ascii="Palatino Linotype" w:eastAsia="Palatino Linotype" w:hAnsi="Palatino Linotype" w:cs="Palatino Linotype"/>
          <w:i/>
          <w:color w:val="000000"/>
          <w:sz w:val="22"/>
          <w:szCs w:val="22"/>
        </w:rPr>
      </w:pPr>
    </w:p>
    <w:p w14:paraId="1AC96640"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 xml:space="preserve">Tercero. Notifíquese, </w:t>
      </w:r>
      <w:r>
        <w:rPr>
          <w:rFonts w:ascii="Palatino Linotype" w:eastAsia="Palatino Linotype" w:hAnsi="Palatino Linotype" w:cs="Palatino Linotype"/>
          <w:sz w:val="22"/>
          <w:szCs w:val="22"/>
        </w:rPr>
        <w:t xml:space="preserve">vía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xml:space="preserve">, al Titular de la Unidad de Transparencia 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B647559" w14:textId="77777777" w:rsidR="006955D9" w:rsidRDefault="006955D9">
      <w:pPr>
        <w:spacing w:line="360" w:lineRule="auto"/>
        <w:jc w:val="both"/>
        <w:rPr>
          <w:rFonts w:ascii="Palatino Linotype" w:eastAsia="Palatino Linotype" w:hAnsi="Palatino Linotype" w:cs="Palatino Linotype"/>
          <w:sz w:val="22"/>
          <w:szCs w:val="22"/>
        </w:rPr>
      </w:pPr>
    </w:p>
    <w:p w14:paraId="17F6B7D8" w14:textId="77777777" w:rsidR="006955D9" w:rsidRDefault="00627D1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Cuarto.</w:t>
      </w:r>
      <w:r>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EF78B25" w14:textId="77777777" w:rsidR="006955D9" w:rsidRDefault="006955D9">
      <w:pPr>
        <w:spacing w:line="360" w:lineRule="auto"/>
        <w:ind w:right="49"/>
        <w:jc w:val="both"/>
        <w:rPr>
          <w:rFonts w:ascii="Palatino Linotype" w:eastAsia="Palatino Linotype" w:hAnsi="Palatino Linotype" w:cs="Palatino Linotype"/>
          <w:sz w:val="22"/>
          <w:szCs w:val="22"/>
        </w:rPr>
      </w:pPr>
    </w:p>
    <w:p w14:paraId="29A1F4B1" w14:textId="77777777" w:rsidR="006955D9" w:rsidRDefault="00627D1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Quinto. </w:t>
      </w:r>
      <w:r>
        <w:rPr>
          <w:rFonts w:ascii="Palatino Linotype" w:eastAsia="Palatino Linotype" w:hAnsi="Palatino Linotype" w:cs="Palatino Linotype"/>
          <w:b/>
          <w:color w:val="000000"/>
          <w:sz w:val="22"/>
          <w:szCs w:val="22"/>
        </w:rPr>
        <w:t xml:space="preserve">Notifíquese </w:t>
      </w:r>
      <w:r>
        <w:rPr>
          <w:rFonts w:ascii="Palatino Linotype" w:eastAsia="Palatino Linotype" w:hAnsi="Palatino Linotype" w:cs="Palatino Linotype"/>
          <w:color w:val="000000"/>
          <w:sz w:val="22"/>
          <w:szCs w:val="22"/>
        </w:rPr>
        <w:t>vía SAIMEX</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 xml:space="preserve">la presente resolución a la parte </w:t>
      </w:r>
      <w:r>
        <w:rPr>
          <w:rFonts w:ascii="Palatino Linotype" w:eastAsia="Palatino Linotype" w:hAnsi="Palatino Linotype" w:cs="Palatino Linotype"/>
          <w:b/>
          <w:color w:val="000000"/>
          <w:sz w:val="22"/>
          <w:szCs w:val="22"/>
        </w:rPr>
        <w:t>Recurrente</w:t>
      </w:r>
      <w:r>
        <w:rPr>
          <w:rFonts w:ascii="Palatino Linotype" w:eastAsia="Palatino Linotype" w:hAnsi="Palatino Linotype" w:cs="Palatino Linotype"/>
          <w:color w:val="000000"/>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4534F381" w14:textId="77777777" w:rsidR="006955D9" w:rsidRDefault="006955D9">
      <w:pPr>
        <w:spacing w:line="360" w:lineRule="auto"/>
        <w:jc w:val="both"/>
        <w:rPr>
          <w:rFonts w:ascii="Palatino Linotype" w:eastAsia="Palatino Linotype" w:hAnsi="Palatino Linotype" w:cs="Palatino Linotype"/>
          <w:sz w:val="22"/>
          <w:szCs w:val="22"/>
        </w:rPr>
      </w:pPr>
    </w:p>
    <w:p w14:paraId="1B6E8776" w14:textId="77777777" w:rsidR="006955D9" w:rsidRDefault="00627D1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Pr>
          <w:rFonts w:ascii="Palatino Linotype" w:eastAsia="Palatino Linotype" w:hAnsi="Palatino Linotype" w:cs="Palatino Linotype"/>
          <w:sz w:val="22"/>
          <w:szCs w:val="22"/>
        </w:rPr>
        <w:lastRenderedPageBreak/>
        <w:t xml:space="preserve">NORIEGA Y GUADALUPE RAMÍREZ PEÑA; EN LA VIGÉSIMA NOVENA SESIÓN ORDINARIA, CELEBRADA EL VEINTIUNO DE AGOSTO DE DOS MIL VEINTICUATRO, ANTE EL SECRETARIO TÉCNICO DEL PLENO ALEXIS TAPIA RAMÍREZ. </w:t>
      </w:r>
    </w:p>
    <w:p w14:paraId="7A4F8D69" w14:textId="77777777" w:rsidR="006955D9" w:rsidRDefault="006955D9">
      <w:pPr>
        <w:rPr>
          <w:rFonts w:ascii="Palatino Linotype" w:eastAsia="Palatino Linotype" w:hAnsi="Palatino Linotype" w:cs="Palatino Linotype"/>
          <w:sz w:val="22"/>
          <w:szCs w:val="22"/>
        </w:rPr>
      </w:pPr>
    </w:p>
    <w:p w14:paraId="58F0E34A" w14:textId="77777777" w:rsidR="006955D9" w:rsidRDefault="006955D9">
      <w:pPr>
        <w:rPr>
          <w:rFonts w:ascii="Palatino Linotype" w:eastAsia="Palatino Linotype" w:hAnsi="Palatino Linotype" w:cs="Palatino Linotype"/>
          <w:sz w:val="22"/>
          <w:szCs w:val="22"/>
        </w:rPr>
      </w:pPr>
    </w:p>
    <w:p w14:paraId="2C4C682C" w14:textId="77777777" w:rsidR="006955D9" w:rsidRDefault="006955D9">
      <w:pPr>
        <w:spacing w:line="360" w:lineRule="auto"/>
        <w:jc w:val="both"/>
        <w:rPr>
          <w:rFonts w:ascii="Palatino Linotype" w:eastAsia="Palatino Linotype" w:hAnsi="Palatino Linotype" w:cs="Palatino Linotype"/>
          <w:sz w:val="22"/>
          <w:szCs w:val="22"/>
        </w:rPr>
      </w:pPr>
      <w:bookmarkStart w:id="13" w:name="_heading=h.3rdcrjn" w:colFirst="0" w:colLast="0"/>
      <w:bookmarkEnd w:id="13"/>
    </w:p>
    <w:p w14:paraId="0A45351B" w14:textId="77777777" w:rsidR="006955D9" w:rsidRDefault="006955D9">
      <w:pPr>
        <w:spacing w:line="360" w:lineRule="auto"/>
        <w:jc w:val="both"/>
        <w:rPr>
          <w:rFonts w:ascii="Palatino Linotype" w:eastAsia="Palatino Linotype" w:hAnsi="Palatino Linotype" w:cs="Palatino Linotype"/>
          <w:sz w:val="22"/>
          <w:szCs w:val="22"/>
        </w:rPr>
      </w:pPr>
    </w:p>
    <w:p w14:paraId="1C130D79" w14:textId="77777777" w:rsidR="006955D9" w:rsidRDefault="006955D9">
      <w:pPr>
        <w:spacing w:line="360" w:lineRule="auto"/>
        <w:jc w:val="both"/>
        <w:rPr>
          <w:rFonts w:ascii="Palatino Linotype" w:eastAsia="Palatino Linotype" w:hAnsi="Palatino Linotype" w:cs="Palatino Linotype"/>
          <w:sz w:val="22"/>
          <w:szCs w:val="22"/>
        </w:rPr>
      </w:pPr>
    </w:p>
    <w:p w14:paraId="21F8AB6F" w14:textId="77777777" w:rsidR="006955D9" w:rsidRDefault="006955D9">
      <w:pPr>
        <w:spacing w:line="360" w:lineRule="auto"/>
        <w:jc w:val="both"/>
        <w:rPr>
          <w:rFonts w:ascii="Palatino Linotype" w:eastAsia="Palatino Linotype" w:hAnsi="Palatino Linotype" w:cs="Palatino Linotype"/>
          <w:sz w:val="22"/>
          <w:szCs w:val="22"/>
        </w:rPr>
      </w:pPr>
      <w:bookmarkStart w:id="14" w:name="_heading=h.1t3h5sf" w:colFirst="0" w:colLast="0"/>
      <w:bookmarkEnd w:id="14"/>
    </w:p>
    <w:p w14:paraId="5BD577F2" w14:textId="77777777" w:rsidR="006955D9" w:rsidRDefault="006955D9">
      <w:pPr>
        <w:spacing w:line="360" w:lineRule="auto"/>
        <w:jc w:val="both"/>
        <w:rPr>
          <w:rFonts w:ascii="Palatino Linotype" w:eastAsia="Palatino Linotype" w:hAnsi="Palatino Linotype" w:cs="Palatino Linotype"/>
          <w:sz w:val="22"/>
          <w:szCs w:val="22"/>
        </w:rPr>
      </w:pPr>
    </w:p>
    <w:p w14:paraId="276768B7" w14:textId="77777777" w:rsidR="006955D9" w:rsidRDefault="006955D9">
      <w:pPr>
        <w:spacing w:line="360" w:lineRule="auto"/>
        <w:jc w:val="both"/>
        <w:rPr>
          <w:rFonts w:ascii="Palatino Linotype" w:eastAsia="Palatino Linotype" w:hAnsi="Palatino Linotype" w:cs="Palatino Linotype"/>
          <w:sz w:val="22"/>
          <w:szCs w:val="22"/>
        </w:rPr>
      </w:pPr>
    </w:p>
    <w:p w14:paraId="4528FA3D" w14:textId="77777777" w:rsidR="006955D9" w:rsidRDefault="006955D9">
      <w:pPr>
        <w:spacing w:line="360" w:lineRule="auto"/>
        <w:jc w:val="both"/>
        <w:rPr>
          <w:rFonts w:ascii="Palatino Linotype" w:eastAsia="Palatino Linotype" w:hAnsi="Palatino Linotype" w:cs="Palatino Linotype"/>
          <w:sz w:val="22"/>
          <w:szCs w:val="22"/>
        </w:rPr>
      </w:pPr>
    </w:p>
    <w:p w14:paraId="5014D41F" w14:textId="77777777" w:rsidR="006955D9" w:rsidRDefault="006955D9">
      <w:pPr>
        <w:spacing w:line="360" w:lineRule="auto"/>
        <w:jc w:val="both"/>
        <w:rPr>
          <w:rFonts w:ascii="Palatino Linotype" w:eastAsia="Palatino Linotype" w:hAnsi="Palatino Linotype" w:cs="Palatino Linotype"/>
          <w:sz w:val="22"/>
          <w:szCs w:val="22"/>
        </w:rPr>
      </w:pPr>
    </w:p>
    <w:p w14:paraId="4A1A7A8F" w14:textId="77777777" w:rsidR="006955D9" w:rsidRDefault="006955D9">
      <w:pPr>
        <w:spacing w:line="360" w:lineRule="auto"/>
        <w:jc w:val="both"/>
        <w:rPr>
          <w:rFonts w:ascii="Palatino Linotype" w:eastAsia="Palatino Linotype" w:hAnsi="Palatino Linotype" w:cs="Palatino Linotype"/>
          <w:sz w:val="22"/>
          <w:szCs w:val="22"/>
        </w:rPr>
      </w:pPr>
    </w:p>
    <w:p w14:paraId="74DC9CDB" w14:textId="77777777" w:rsidR="006955D9" w:rsidRDefault="006955D9">
      <w:pPr>
        <w:spacing w:line="360" w:lineRule="auto"/>
        <w:jc w:val="both"/>
        <w:rPr>
          <w:rFonts w:ascii="Palatino Linotype" w:eastAsia="Palatino Linotype" w:hAnsi="Palatino Linotype" w:cs="Palatino Linotype"/>
          <w:sz w:val="22"/>
          <w:szCs w:val="22"/>
        </w:rPr>
      </w:pPr>
    </w:p>
    <w:p w14:paraId="4E7A86C0" w14:textId="77777777" w:rsidR="006955D9" w:rsidRDefault="006955D9">
      <w:pPr>
        <w:spacing w:line="360" w:lineRule="auto"/>
        <w:jc w:val="both"/>
        <w:rPr>
          <w:rFonts w:ascii="Palatino Linotype" w:eastAsia="Palatino Linotype" w:hAnsi="Palatino Linotype" w:cs="Palatino Linotype"/>
          <w:sz w:val="22"/>
          <w:szCs w:val="22"/>
        </w:rPr>
      </w:pPr>
    </w:p>
    <w:p w14:paraId="4D906411" w14:textId="77777777" w:rsidR="006955D9" w:rsidRDefault="006955D9">
      <w:pPr>
        <w:spacing w:line="360" w:lineRule="auto"/>
        <w:jc w:val="both"/>
        <w:rPr>
          <w:rFonts w:ascii="Palatino Linotype" w:eastAsia="Palatino Linotype" w:hAnsi="Palatino Linotype" w:cs="Palatino Linotype"/>
          <w:sz w:val="22"/>
          <w:szCs w:val="22"/>
        </w:rPr>
      </w:pPr>
    </w:p>
    <w:p w14:paraId="375BC4BB" w14:textId="77777777" w:rsidR="006955D9" w:rsidRDefault="006955D9">
      <w:pPr>
        <w:spacing w:line="360" w:lineRule="auto"/>
        <w:jc w:val="both"/>
        <w:rPr>
          <w:rFonts w:ascii="Palatino Linotype" w:eastAsia="Palatino Linotype" w:hAnsi="Palatino Linotype" w:cs="Palatino Linotype"/>
          <w:sz w:val="22"/>
          <w:szCs w:val="22"/>
        </w:rPr>
      </w:pPr>
    </w:p>
    <w:p w14:paraId="56970AA1" w14:textId="77777777" w:rsidR="006955D9" w:rsidRDefault="006955D9">
      <w:pPr>
        <w:spacing w:line="360" w:lineRule="auto"/>
        <w:jc w:val="both"/>
        <w:rPr>
          <w:rFonts w:ascii="Palatino Linotype" w:eastAsia="Palatino Linotype" w:hAnsi="Palatino Linotype" w:cs="Palatino Linotype"/>
          <w:sz w:val="22"/>
          <w:szCs w:val="22"/>
        </w:rPr>
      </w:pPr>
    </w:p>
    <w:p w14:paraId="7B7FB460" w14:textId="77777777" w:rsidR="006955D9" w:rsidRDefault="006955D9">
      <w:pPr>
        <w:spacing w:line="360" w:lineRule="auto"/>
        <w:jc w:val="both"/>
        <w:rPr>
          <w:rFonts w:ascii="Palatino Linotype" w:eastAsia="Palatino Linotype" w:hAnsi="Palatino Linotype" w:cs="Palatino Linotype"/>
          <w:sz w:val="22"/>
          <w:szCs w:val="22"/>
        </w:rPr>
      </w:pPr>
    </w:p>
    <w:p w14:paraId="6D37CAAC" w14:textId="77777777" w:rsidR="006955D9" w:rsidRDefault="006955D9">
      <w:pPr>
        <w:spacing w:line="360" w:lineRule="auto"/>
        <w:jc w:val="both"/>
        <w:rPr>
          <w:rFonts w:ascii="Palatino Linotype" w:eastAsia="Palatino Linotype" w:hAnsi="Palatino Linotype" w:cs="Palatino Linotype"/>
          <w:sz w:val="22"/>
          <w:szCs w:val="22"/>
        </w:rPr>
      </w:pPr>
    </w:p>
    <w:p w14:paraId="106715CF" w14:textId="77777777" w:rsidR="006955D9" w:rsidRDefault="006955D9">
      <w:pPr>
        <w:spacing w:line="360" w:lineRule="auto"/>
        <w:jc w:val="both"/>
        <w:rPr>
          <w:rFonts w:ascii="Palatino Linotype" w:eastAsia="Palatino Linotype" w:hAnsi="Palatino Linotype" w:cs="Palatino Linotype"/>
          <w:sz w:val="22"/>
          <w:szCs w:val="22"/>
        </w:rPr>
      </w:pPr>
    </w:p>
    <w:p w14:paraId="5DBC5A46" w14:textId="77777777" w:rsidR="006955D9" w:rsidRDefault="006955D9">
      <w:pPr>
        <w:spacing w:line="360" w:lineRule="auto"/>
        <w:jc w:val="both"/>
        <w:rPr>
          <w:rFonts w:ascii="Palatino Linotype" w:eastAsia="Palatino Linotype" w:hAnsi="Palatino Linotype" w:cs="Palatino Linotype"/>
          <w:sz w:val="22"/>
          <w:szCs w:val="22"/>
        </w:rPr>
      </w:pPr>
    </w:p>
    <w:p w14:paraId="1DE0127D" w14:textId="77777777" w:rsidR="006955D9" w:rsidRDefault="006955D9">
      <w:pPr>
        <w:spacing w:line="360" w:lineRule="auto"/>
        <w:jc w:val="both"/>
        <w:rPr>
          <w:rFonts w:ascii="Palatino Linotype" w:eastAsia="Palatino Linotype" w:hAnsi="Palatino Linotype" w:cs="Palatino Linotype"/>
          <w:sz w:val="22"/>
          <w:szCs w:val="22"/>
        </w:rPr>
      </w:pPr>
    </w:p>
    <w:p w14:paraId="3831FDD5" w14:textId="77777777" w:rsidR="006955D9" w:rsidRDefault="006955D9">
      <w:pPr>
        <w:spacing w:line="360" w:lineRule="auto"/>
        <w:jc w:val="both"/>
        <w:rPr>
          <w:rFonts w:ascii="Palatino Linotype" w:eastAsia="Palatino Linotype" w:hAnsi="Palatino Linotype" w:cs="Palatino Linotype"/>
          <w:sz w:val="22"/>
          <w:szCs w:val="22"/>
        </w:rPr>
      </w:pPr>
    </w:p>
    <w:p w14:paraId="70E3A599" w14:textId="77777777" w:rsidR="006955D9" w:rsidRDefault="006955D9">
      <w:pPr>
        <w:spacing w:line="360" w:lineRule="auto"/>
        <w:jc w:val="both"/>
        <w:rPr>
          <w:rFonts w:ascii="Palatino Linotype" w:eastAsia="Palatino Linotype" w:hAnsi="Palatino Linotype" w:cs="Palatino Linotype"/>
          <w:sz w:val="22"/>
          <w:szCs w:val="22"/>
        </w:rPr>
      </w:pPr>
    </w:p>
    <w:p w14:paraId="6854DAE3" w14:textId="77777777" w:rsidR="006955D9" w:rsidRDefault="006955D9">
      <w:pPr>
        <w:spacing w:line="360" w:lineRule="auto"/>
        <w:jc w:val="both"/>
        <w:rPr>
          <w:rFonts w:ascii="Palatino Linotype" w:eastAsia="Palatino Linotype" w:hAnsi="Palatino Linotype" w:cs="Palatino Linotype"/>
          <w:sz w:val="22"/>
          <w:szCs w:val="22"/>
        </w:rPr>
      </w:pPr>
    </w:p>
    <w:p w14:paraId="1A5E1D7E" w14:textId="77777777" w:rsidR="006955D9" w:rsidRDefault="006955D9">
      <w:pPr>
        <w:spacing w:line="360" w:lineRule="auto"/>
        <w:jc w:val="both"/>
        <w:rPr>
          <w:rFonts w:ascii="Palatino Linotype" w:eastAsia="Palatino Linotype" w:hAnsi="Palatino Linotype" w:cs="Palatino Linotype"/>
          <w:sz w:val="22"/>
          <w:szCs w:val="22"/>
        </w:rPr>
      </w:pPr>
    </w:p>
    <w:p w14:paraId="279E3B40" w14:textId="77777777" w:rsidR="006955D9" w:rsidRDefault="006955D9">
      <w:pPr>
        <w:spacing w:line="360" w:lineRule="auto"/>
        <w:jc w:val="both"/>
        <w:rPr>
          <w:rFonts w:ascii="Palatino Linotype" w:eastAsia="Palatino Linotype" w:hAnsi="Palatino Linotype" w:cs="Palatino Linotype"/>
          <w:sz w:val="22"/>
          <w:szCs w:val="22"/>
        </w:rPr>
      </w:pPr>
    </w:p>
    <w:sectPr w:rsidR="006955D9">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DDF3B" w14:textId="77777777" w:rsidR="004F3759" w:rsidRDefault="004F3759">
      <w:r>
        <w:separator/>
      </w:r>
    </w:p>
  </w:endnote>
  <w:endnote w:type="continuationSeparator" w:id="0">
    <w:p w14:paraId="772BA8C1" w14:textId="77777777" w:rsidR="004F3759" w:rsidRDefault="004F3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3CB1" w14:textId="77777777" w:rsidR="006955D9" w:rsidRDefault="00627D1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E3206">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E3206">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05ED3450" w14:textId="77777777" w:rsidR="006955D9" w:rsidRDefault="006955D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398D" w14:textId="77777777" w:rsidR="006955D9" w:rsidRDefault="00627D1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E320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E3206">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56E5B9F3" w14:textId="77777777" w:rsidR="006955D9" w:rsidRDefault="006955D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DE98E" w14:textId="77777777" w:rsidR="004F3759" w:rsidRDefault="004F3759">
      <w:r>
        <w:separator/>
      </w:r>
    </w:p>
  </w:footnote>
  <w:footnote w:type="continuationSeparator" w:id="0">
    <w:p w14:paraId="6524AC8C" w14:textId="77777777" w:rsidR="004F3759" w:rsidRDefault="004F3759">
      <w:r>
        <w:continuationSeparator/>
      </w:r>
    </w:p>
  </w:footnote>
  <w:footnote w:id="1">
    <w:p w14:paraId="2831B892" w14:textId="77777777" w:rsidR="006955D9" w:rsidRDefault="00627D1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6827BCE" w14:textId="77777777" w:rsidR="006955D9" w:rsidRDefault="00627D1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8A52" w14:textId="77777777" w:rsidR="006955D9" w:rsidRDefault="00627D1D">
    <w:pPr>
      <w:rPr>
        <w:rFonts w:ascii="Cambria" w:eastAsia="Cambria" w:hAnsi="Cambria" w:cs="Cambria"/>
        <w:color w:val="000000"/>
      </w:rPr>
    </w:pPr>
    <w:r>
      <w:rPr>
        <w:noProof/>
      </w:rPr>
      <w:drawing>
        <wp:anchor distT="0" distB="0" distL="0" distR="0" simplePos="0" relativeHeight="251658240" behindDoc="1" locked="0" layoutInCell="1" hidden="0" allowOverlap="1" wp14:anchorId="0ABF86AE" wp14:editId="709E8877">
          <wp:simplePos x="0" y="0"/>
          <wp:positionH relativeFrom="column">
            <wp:posOffset>-1080112</wp:posOffset>
          </wp:positionH>
          <wp:positionV relativeFrom="paragraph">
            <wp:posOffset>-488288</wp:posOffset>
          </wp:positionV>
          <wp:extent cx="7809865" cy="10165715"/>
          <wp:effectExtent l="0" t="0" r="0" b="0"/>
          <wp:wrapNone/>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7087" w:type="dxa"/>
      <w:tblInd w:w="3261" w:type="dxa"/>
      <w:tblLayout w:type="fixed"/>
      <w:tblLook w:val="0400" w:firstRow="0" w:lastRow="0" w:firstColumn="0" w:lastColumn="0" w:noHBand="0" w:noVBand="1"/>
    </w:tblPr>
    <w:tblGrid>
      <w:gridCol w:w="2489"/>
      <w:gridCol w:w="4598"/>
    </w:tblGrid>
    <w:tr w:rsidR="006955D9" w14:paraId="067AB6F1" w14:textId="77777777">
      <w:tc>
        <w:tcPr>
          <w:tcW w:w="2489" w:type="dxa"/>
          <w:shd w:val="clear" w:color="auto" w:fill="auto"/>
        </w:tcPr>
        <w:p w14:paraId="531A6147" w14:textId="77777777" w:rsidR="006955D9" w:rsidRDefault="00627D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3612B371" w14:textId="77777777" w:rsidR="006955D9" w:rsidRDefault="00627D1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00459/INFOEM/IP/RR/2024</w:t>
          </w:r>
        </w:p>
      </w:tc>
    </w:tr>
    <w:tr w:rsidR="006955D9" w14:paraId="27A51789" w14:textId="77777777">
      <w:trPr>
        <w:trHeight w:val="228"/>
      </w:trPr>
      <w:tc>
        <w:tcPr>
          <w:tcW w:w="2489" w:type="dxa"/>
          <w:shd w:val="clear" w:color="auto" w:fill="auto"/>
          <w:vAlign w:val="center"/>
        </w:tcPr>
        <w:p w14:paraId="2CC8FA91" w14:textId="77777777" w:rsidR="006955D9" w:rsidRDefault="00627D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35415D4D" w14:textId="77777777" w:rsidR="006955D9" w:rsidRDefault="00627D1D">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1"/>
              <w:szCs w:val="21"/>
            </w:rPr>
            <w:t>Sindicato de Maestros al Servicio del Estado de México</w:t>
          </w:r>
        </w:p>
      </w:tc>
    </w:tr>
    <w:tr w:rsidR="006955D9" w14:paraId="2E30A214" w14:textId="77777777">
      <w:tc>
        <w:tcPr>
          <w:tcW w:w="2489" w:type="dxa"/>
          <w:shd w:val="clear" w:color="auto" w:fill="auto"/>
          <w:vAlign w:val="center"/>
        </w:tcPr>
        <w:p w14:paraId="03849DF8" w14:textId="77777777" w:rsidR="006955D9" w:rsidRDefault="00627D1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11ACD33E" w14:textId="77777777" w:rsidR="006955D9" w:rsidRDefault="00627D1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C6A7B8" w14:textId="77777777" w:rsidR="006955D9" w:rsidRDefault="00627D1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9DF39" w14:textId="77777777" w:rsidR="006955D9" w:rsidRDefault="00627D1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CE63379" wp14:editId="76514E32">
          <wp:simplePos x="0" y="0"/>
          <wp:positionH relativeFrom="column">
            <wp:posOffset>-1079490</wp:posOffset>
          </wp:positionH>
          <wp:positionV relativeFrom="paragraph">
            <wp:posOffset>-328920</wp:posOffset>
          </wp:positionV>
          <wp:extent cx="7809865" cy="10165715"/>
          <wp:effectExtent l="0" t="0" r="0" b="0"/>
          <wp:wrapNone/>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6945" w:type="dxa"/>
      <w:tblInd w:w="3261" w:type="dxa"/>
      <w:tblLayout w:type="fixed"/>
      <w:tblLook w:val="0400" w:firstRow="0" w:lastRow="0" w:firstColumn="0" w:lastColumn="0" w:noHBand="0" w:noVBand="1"/>
    </w:tblPr>
    <w:tblGrid>
      <w:gridCol w:w="2551"/>
      <w:gridCol w:w="4394"/>
    </w:tblGrid>
    <w:tr w:rsidR="006955D9" w14:paraId="7E5ABF22" w14:textId="77777777">
      <w:tc>
        <w:tcPr>
          <w:tcW w:w="2551" w:type="dxa"/>
          <w:shd w:val="clear" w:color="auto" w:fill="auto"/>
          <w:vAlign w:val="center"/>
        </w:tcPr>
        <w:p w14:paraId="37755E68" w14:textId="77777777" w:rsidR="006955D9" w:rsidRDefault="00627D1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4394" w:type="dxa"/>
          <w:shd w:val="clear" w:color="auto" w:fill="auto"/>
          <w:vAlign w:val="center"/>
        </w:tcPr>
        <w:p w14:paraId="2CB3874F" w14:textId="77777777" w:rsidR="006955D9" w:rsidRDefault="00627D1D">
          <w:pPr>
            <w:tabs>
              <w:tab w:val="left" w:pos="3153"/>
            </w:tabs>
            <w:ind w:left="-45"/>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00459/INFOEM/IP/RR/2024</w:t>
          </w:r>
        </w:p>
      </w:tc>
    </w:tr>
    <w:tr w:rsidR="006955D9" w14:paraId="5983BF1A" w14:textId="77777777">
      <w:trPr>
        <w:trHeight w:val="130"/>
      </w:trPr>
      <w:tc>
        <w:tcPr>
          <w:tcW w:w="2551" w:type="dxa"/>
          <w:shd w:val="clear" w:color="auto" w:fill="auto"/>
          <w:vAlign w:val="center"/>
        </w:tcPr>
        <w:p w14:paraId="7A636898" w14:textId="77777777" w:rsidR="006955D9" w:rsidRDefault="00627D1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4394" w:type="dxa"/>
          <w:shd w:val="clear" w:color="auto" w:fill="auto"/>
          <w:vAlign w:val="center"/>
        </w:tcPr>
        <w:p w14:paraId="52B088FA" w14:textId="275FE027" w:rsidR="006955D9" w:rsidRDefault="00B02D86">
          <w:pPr>
            <w:ind w:left="-45" w:right="1444"/>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XXXX XXXXXXX XX XXXXXXXXX XX XXXXXXXXXX </w:t>
          </w:r>
        </w:p>
      </w:tc>
    </w:tr>
    <w:tr w:rsidR="006955D9" w14:paraId="38F1D057" w14:textId="77777777">
      <w:trPr>
        <w:trHeight w:val="228"/>
      </w:trPr>
      <w:tc>
        <w:tcPr>
          <w:tcW w:w="2551" w:type="dxa"/>
          <w:shd w:val="clear" w:color="auto" w:fill="auto"/>
          <w:vAlign w:val="center"/>
        </w:tcPr>
        <w:p w14:paraId="2E4731F2" w14:textId="77777777" w:rsidR="006955D9" w:rsidRDefault="00627D1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4394" w:type="dxa"/>
          <w:shd w:val="clear" w:color="auto" w:fill="auto"/>
          <w:vAlign w:val="center"/>
        </w:tcPr>
        <w:p w14:paraId="7C53E129" w14:textId="77777777" w:rsidR="006955D9" w:rsidRDefault="00627D1D">
          <w:pPr>
            <w:ind w:left="-45" w:right="1586"/>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Sindicato de Maestros al Servicio del Estado de México</w:t>
          </w:r>
        </w:p>
      </w:tc>
    </w:tr>
    <w:tr w:rsidR="006955D9" w14:paraId="647EEE08" w14:textId="77777777">
      <w:tc>
        <w:tcPr>
          <w:tcW w:w="2551" w:type="dxa"/>
          <w:shd w:val="clear" w:color="auto" w:fill="auto"/>
          <w:vAlign w:val="center"/>
        </w:tcPr>
        <w:p w14:paraId="2FD26968" w14:textId="77777777" w:rsidR="006955D9" w:rsidRDefault="00627D1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4394" w:type="dxa"/>
          <w:shd w:val="clear" w:color="auto" w:fill="auto"/>
          <w:vAlign w:val="center"/>
        </w:tcPr>
        <w:p w14:paraId="36227F6B" w14:textId="77777777" w:rsidR="006955D9" w:rsidRDefault="00627D1D">
          <w:pPr>
            <w:ind w:left="-45"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747E91A7" w14:textId="77777777" w:rsidR="006955D9" w:rsidRDefault="006955D9">
    <w:pPr>
      <w:pBdr>
        <w:top w:val="nil"/>
        <w:left w:val="nil"/>
        <w:bottom w:val="nil"/>
        <w:right w:val="nil"/>
        <w:between w:val="nil"/>
      </w:pBdr>
      <w:tabs>
        <w:tab w:val="center" w:pos="4252"/>
        <w:tab w:val="right" w:pos="8504"/>
      </w:tabs>
      <w:rPr>
        <w:rFonts w:ascii="Cambria" w:eastAsia="Cambria" w:hAnsi="Cambria" w:cs="Cambria"/>
        <w:color w:val="000000"/>
      </w:rPr>
    </w:pPr>
  </w:p>
  <w:p w14:paraId="36A6B153" w14:textId="77777777" w:rsidR="006955D9" w:rsidRDefault="006955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D083A"/>
    <w:multiLevelType w:val="multilevel"/>
    <w:tmpl w:val="9A0EB4E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6FD3857"/>
    <w:multiLevelType w:val="multilevel"/>
    <w:tmpl w:val="357E841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3A601F"/>
    <w:multiLevelType w:val="hybridMultilevel"/>
    <w:tmpl w:val="7D5E057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651473C"/>
    <w:multiLevelType w:val="multilevel"/>
    <w:tmpl w:val="25DCCD50"/>
    <w:lvl w:ilvl="0">
      <w:start w:val="1"/>
      <w:numFmt w:val="upperRoman"/>
      <w:lvlText w:val="%1."/>
      <w:lvlJc w:val="left"/>
      <w:pPr>
        <w:ind w:left="4264" w:hanging="72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22C23171"/>
    <w:multiLevelType w:val="hybridMultilevel"/>
    <w:tmpl w:val="0A06ED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325852"/>
    <w:multiLevelType w:val="multilevel"/>
    <w:tmpl w:val="171AC788"/>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A2D32"/>
    <w:multiLevelType w:val="multilevel"/>
    <w:tmpl w:val="4858EB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55D5F73"/>
    <w:multiLevelType w:val="hybridMultilevel"/>
    <w:tmpl w:val="037E6610"/>
    <w:lvl w:ilvl="0" w:tplc="6E6ED3B6">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4A684249"/>
    <w:multiLevelType w:val="hybridMultilevel"/>
    <w:tmpl w:val="545CB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086015"/>
    <w:multiLevelType w:val="hybridMultilevel"/>
    <w:tmpl w:val="9A96F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1"/>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
  </w:num>
  <w:num w:numId="9">
    <w:abstractNumId w:val="8"/>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5D9"/>
    <w:rsid w:val="001E3206"/>
    <w:rsid w:val="00370232"/>
    <w:rsid w:val="003E5B99"/>
    <w:rsid w:val="004F3759"/>
    <w:rsid w:val="00627D1D"/>
    <w:rsid w:val="006354C1"/>
    <w:rsid w:val="006955D9"/>
    <w:rsid w:val="00837123"/>
    <w:rsid w:val="00B02D86"/>
    <w:rsid w:val="00B40044"/>
    <w:rsid w:val="00D03E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C638A"/>
  <w15:docId w15:val="{2982DD30-5593-4DF3-8B11-C15907300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basedOn w:val="Normal"/>
    <w:link w:val="TextonotapieCar"/>
    <w:uiPriority w:val="99"/>
    <w:semiHidden/>
    <w:unhideWhenUsed/>
    <w:rsid w:val="00F759CF"/>
    <w:rPr>
      <w:sz w:val="20"/>
      <w:szCs w:val="20"/>
    </w:rPr>
  </w:style>
  <w:style w:type="character" w:customStyle="1" w:styleId="TextonotapieCar">
    <w:name w:val="Texto nota pie Car"/>
    <w:basedOn w:val="Fuentedeprrafopredeter"/>
    <w:link w:val="Textonotapie"/>
    <w:uiPriority w:val="99"/>
    <w:semiHidden/>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759CF"/>
    <w:rPr>
      <w:vertAlign w:val="superscript"/>
    </w:r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5"/>
      </w:numPr>
      <w:contextualSpacing/>
    </w:pPr>
  </w:style>
  <w:style w:type="paragraph" w:styleId="Listaconvietas2">
    <w:name w:val="List Bullet 2"/>
    <w:basedOn w:val="Normal"/>
    <w:uiPriority w:val="99"/>
    <w:unhideWhenUsed/>
    <w:rsid w:val="00472FE5"/>
    <w:pPr>
      <w:tabs>
        <w:tab w:val="num" w:pos="720"/>
      </w:tabs>
      <w:ind w:left="720" w:hanging="720"/>
      <w:contextualSpacing/>
    </w:p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cielo.org.mx/scielo.php?script=sci_arttext&amp;pid=S1870-46702016000100010"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msem.mx/secretarias-del-comite-ejecutiv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cebook.com/SMSEMmx/videos/a-la-regi%C3%B3n-sindical-10-la-conforman-10-municipios-regionessindicalessmsem/1585322681502613/?locale=es_L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elo.org.mx/pdf/rlds/n23/1870-4670-rlds-23-00179.pdf"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e2xo7v300HXDrefp6vS21MELrQ==">CgMxLjAyCWguMWZvYjl0ZTIIaC5namRneHMyCWguM2R5NnZrbTIJaC4zMGowemxsMgloLjJzOGV5bzEyCWguMmV0OTJwMDIJaC40ZDM0b2c4MghoLnR5amN3dDIJaC4zem55c2g3MgloLjF5ODEwdHcyCWguMjZpbjFyZzIJaC4xN2RwOHZ1MghoLmxueGJ6OTIJaC4zcmRjcmpuMgloLjF0M2g1c2Y4AHIhMVBXZjRmOS1GbW5pa0MtUEZLWmpuNVhrTm0xSURHVDdV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12029</Words>
  <Characters>66161</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2024-08-23T04:58:00Z</cp:lastPrinted>
  <dcterms:created xsi:type="dcterms:W3CDTF">2024-08-26T22:53:00Z</dcterms:created>
  <dcterms:modified xsi:type="dcterms:W3CDTF">2024-08-26T22:53:00Z</dcterms:modified>
</cp:coreProperties>
</file>