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F88C1" w14:textId="1B95BA73" w:rsidR="00511260" w:rsidRPr="00875B7E" w:rsidRDefault="00511260" w:rsidP="00511260">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Pr="006F000C">
        <w:rPr>
          <w:rFonts w:eastAsia="Palatino Linotype" w:cs="Palatino Linotype"/>
          <w:color w:val="000000"/>
          <w:szCs w:val="24"/>
        </w:rPr>
        <w:t>México, a</w:t>
      </w:r>
      <w:r w:rsidR="005F6C6D">
        <w:rPr>
          <w:rFonts w:eastAsia="Palatino Linotype" w:cs="Palatino Linotype"/>
          <w:color w:val="000000"/>
          <w:szCs w:val="24"/>
        </w:rPr>
        <w:t xml:space="preserve"> </w:t>
      </w:r>
      <w:r w:rsidR="001535C3">
        <w:rPr>
          <w:rFonts w:eastAsia="Palatino Linotype" w:cs="Palatino Linotype"/>
          <w:color w:val="000000"/>
          <w:szCs w:val="24"/>
        </w:rPr>
        <w:t xml:space="preserve">seis de noviembre </w:t>
      </w:r>
      <w:r w:rsidR="00D321D8">
        <w:rPr>
          <w:rFonts w:eastAsia="Palatino Linotype" w:cs="Palatino Linotype"/>
          <w:color w:val="000000"/>
          <w:szCs w:val="24"/>
        </w:rPr>
        <w:t xml:space="preserve">de dos mil </w:t>
      </w:r>
      <w:r w:rsidR="00B426F3">
        <w:rPr>
          <w:rFonts w:eastAsia="Palatino Linotype" w:cs="Palatino Linotype"/>
          <w:color w:val="000000"/>
          <w:szCs w:val="24"/>
        </w:rPr>
        <w:t>veinticuatro</w:t>
      </w:r>
      <w:r w:rsidRPr="00875B7E">
        <w:rPr>
          <w:rFonts w:eastAsia="Palatino Linotype" w:cs="Palatino Linotype"/>
          <w:color w:val="000000"/>
          <w:szCs w:val="24"/>
        </w:rPr>
        <w:t>.</w:t>
      </w:r>
    </w:p>
    <w:p w14:paraId="48DE4E79" w14:textId="77777777" w:rsidR="00511260" w:rsidRPr="00875B7E" w:rsidRDefault="00511260" w:rsidP="00511260">
      <w:pPr>
        <w:pBdr>
          <w:top w:val="nil"/>
          <w:left w:val="nil"/>
          <w:bottom w:val="nil"/>
          <w:right w:val="nil"/>
          <w:between w:val="nil"/>
        </w:pBdr>
        <w:contextualSpacing/>
        <w:rPr>
          <w:rFonts w:eastAsia="Palatino Linotype" w:cs="Palatino Linotype"/>
          <w:color w:val="000000"/>
          <w:szCs w:val="24"/>
        </w:rPr>
      </w:pPr>
    </w:p>
    <w:p w14:paraId="13754330" w14:textId="7A83BFB1" w:rsidR="00511260" w:rsidRPr="00875B7E" w:rsidRDefault="00511260" w:rsidP="00511260">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b/>
          <w:color w:val="000000"/>
          <w:szCs w:val="24"/>
        </w:rPr>
        <w:t>VISTO</w:t>
      </w:r>
      <w:r w:rsidRPr="00875B7E">
        <w:rPr>
          <w:rFonts w:eastAsia="Palatino Linotype" w:cs="Palatino Linotype"/>
          <w:color w:val="000000"/>
          <w:szCs w:val="24"/>
        </w:rPr>
        <w:t xml:space="preserve"> el expediente electrónico formado con motivo del recurso de revisión número </w:t>
      </w:r>
      <w:bookmarkStart w:id="0" w:name="_GoBack"/>
      <w:r>
        <w:rPr>
          <w:rFonts w:eastAsia="Palatino Linotype" w:cs="Palatino Linotype"/>
          <w:b/>
          <w:color w:val="000000"/>
          <w:szCs w:val="24"/>
        </w:rPr>
        <w:t>0</w:t>
      </w:r>
      <w:r w:rsidR="001535C3">
        <w:rPr>
          <w:rFonts w:eastAsia="Palatino Linotype" w:cs="Palatino Linotype"/>
          <w:b/>
          <w:color w:val="000000"/>
          <w:szCs w:val="24"/>
        </w:rPr>
        <w:t>5985</w:t>
      </w:r>
      <w:r>
        <w:rPr>
          <w:rFonts w:eastAsia="Palatino Linotype" w:cs="Palatino Linotype"/>
          <w:b/>
          <w:color w:val="000000"/>
          <w:szCs w:val="24"/>
        </w:rPr>
        <w:t>/</w:t>
      </w:r>
      <w:r w:rsidRPr="00875B7E">
        <w:rPr>
          <w:rFonts w:eastAsia="Palatino Linotype" w:cs="Palatino Linotype"/>
          <w:b/>
          <w:color w:val="000000"/>
          <w:szCs w:val="24"/>
        </w:rPr>
        <w:t>INFOEM/IP/RR/202</w:t>
      </w:r>
      <w:r w:rsidR="00C836E8">
        <w:rPr>
          <w:rFonts w:eastAsia="Palatino Linotype" w:cs="Palatino Linotype"/>
          <w:b/>
          <w:color w:val="000000"/>
          <w:szCs w:val="24"/>
        </w:rPr>
        <w:t>4</w:t>
      </w:r>
      <w:bookmarkEnd w:id="0"/>
      <w:r w:rsidR="00C836E8">
        <w:rPr>
          <w:rFonts w:eastAsia="Palatino Linotype" w:cs="Palatino Linotype"/>
          <w:b/>
          <w:color w:val="000000"/>
          <w:szCs w:val="24"/>
        </w:rPr>
        <w:t>, 05986/</w:t>
      </w:r>
      <w:r w:rsidR="00C836E8" w:rsidRPr="00875B7E">
        <w:rPr>
          <w:rFonts w:eastAsia="Palatino Linotype" w:cs="Palatino Linotype"/>
          <w:b/>
          <w:color w:val="000000"/>
          <w:szCs w:val="24"/>
        </w:rPr>
        <w:t>INFOEM/IP/RR/202</w:t>
      </w:r>
      <w:r w:rsidR="00C836E8">
        <w:rPr>
          <w:rFonts w:eastAsia="Palatino Linotype" w:cs="Palatino Linotype"/>
          <w:b/>
          <w:color w:val="000000"/>
          <w:szCs w:val="24"/>
        </w:rPr>
        <w:t>4, 05987/</w:t>
      </w:r>
      <w:r w:rsidR="00C836E8" w:rsidRPr="00875B7E">
        <w:rPr>
          <w:rFonts w:eastAsia="Palatino Linotype" w:cs="Palatino Linotype"/>
          <w:b/>
          <w:color w:val="000000"/>
          <w:szCs w:val="24"/>
        </w:rPr>
        <w:t>INFOEM/IP/RR/202</w:t>
      </w:r>
      <w:r w:rsidR="00C836E8">
        <w:rPr>
          <w:rFonts w:eastAsia="Palatino Linotype" w:cs="Palatino Linotype"/>
          <w:b/>
          <w:color w:val="000000"/>
          <w:szCs w:val="24"/>
        </w:rPr>
        <w:t>4 y</w:t>
      </w:r>
      <w:r w:rsidR="00C836E8" w:rsidRPr="00C836E8">
        <w:rPr>
          <w:rFonts w:eastAsia="Palatino Linotype" w:cs="Palatino Linotype"/>
          <w:b/>
          <w:color w:val="000000"/>
          <w:szCs w:val="24"/>
        </w:rPr>
        <w:t xml:space="preserve"> </w:t>
      </w:r>
      <w:r w:rsidR="00C836E8">
        <w:rPr>
          <w:rFonts w:eastAsia="Palatino Linotype" w:cs="Palatino Linotype"/>
          <w:b/>
          <w:color w:val="000000"/>
          <w:szCs w:val="24"/>
        </w:rPr>
        <w:t>05988/</w:t>
      </w:r>
      <w:r w:rsidR="00C836E8" w:rsidRPr="00875B7E">
        <w:rPr>
          <w:rFonts w:eastAsia="Palatino Linotype" w:cs="Palatino Linotype"/>
          <w:b/>
          <w:color w:val="000000"/>
          <w:szCs w:val="24"/>
        </w:rPr>
        <w:t>INFOEM/IP/RR/202</w:t>
      </w:r>
      <w:r w:rsidR="00C836E8">
        <w:rPr>
          <w:rFonts w:eastAsia="Palatino Linotype" w:cs="Palatino Linotype"/>
          <w:b/>
          <w:color w:val="000000"/>
          <w:szCs w:val="24"/>
        </w:rPr>
        <w:t>4</w:t>
      </w:r>
      <w:r w:rsidRPr="00875B7E">
        <w:rPr>
          <w:rFonts w:eastAsia="Palatino Linotype" w:cs="Palatino Linotype"/>
          <w:color w:val="000000"/>
          <w:szCs w:val="24"/>
        </w:rPr>
        <w:t>, interpuesto por</w:t>
      </w:r>
      <w:r w:rsidR="001535C3">
        <w:rPr>
          <w:rFonts w:eastAsia="Palatino Linotype" w:cs="Palatino Linotype"/>
          <w:b/>
          <w:bCs/>
          <w:color w:val="000000"/>
          <w:szCs w:val="24"/>
        </w:rPr>
        <w:t xml:space="preserve"> un particular que no proporcionó nombre o seudónimo</w:t>
      </w:r>
      <w:r>
        <w:rPr>
          <w:rFonts w:cs="Arial"/>
          <w:szCs w:val="24"/>
        </w:rPr>
        <w:t xml:space="preserve">, </w:t>
      </w:r>
      <w:r w:rsidRPr="00875B7E">
        <w:rPr>
          <w:rFonts w:eastAsia="Palatino Linotype" w:cs="Palatino Linotype"/>
          <w:color w:val="000000"/>
          <w:szCs w:val="24"/>
        </w:rPr>
        <w:t xml:space="preserve">en lo sucesivo el </w:t>
      </w:r>
      <w:r w:rsidRPr="00875B7E">
        <w:rPr>
          <w:rFonts w:eastAsia="Palatino Linotype" w:cs="Palatino Linotype"/>
          <w:b/>
          <w:color w:val="000000"/>
          <w:szCs w:val="24"/>
        </w:rPr>
        <w:t>Recurrente</w:t>
      </w:r>
      <w:r w:rsidRPr="00875B7E">
        <w:rPr>
          <w:rFonts w:eastAsia="Palatino Linotype" w:cs="Palatino Linotype"/>
          <w:color w:val="000000"/>
          <w:szCs w:val="24"/>
        </w:rPr>
        <w:t xml:space="preserve">, en contra de la respuesta del </w:t>
      </w:r>
      <w:r w:rsidR="001535C3" w:rsidRPr="001535C3">
        <w:rPr>
          <w:b/>
          <w:bCs/>
          <w:color w:val="000000"/>
          <w:szCs w:val="24"/>
        </w:rPr>
        <w:t>Ayuntamiento de Tlalnepantla de Baz</w:t>
      </w:r>
      <w:r w:rsidR="001535C3" w:rsidRPr="00875B7E">
        <w:rPr>
          <w:rFonts w:eastAsia="Palatino Linotype" w:cs="Palatino Linotype"/>
          <w:color w:val="000000"/>
          <w:szCs w:val="24"/>
        </w:rPr>
        <w:t xml:space="preserve"> </w:t>
      </w:r>
      <w:r w:rsidRPr="00875B7E">
        <w:rPr>
          <w:rFonts w:eastAsia="Palatino Linotype" w:cs="Palatino Linotype"/>
          <w:color w:val="000000"/>
          <w:szCs w:val="24"/>
        </w:rPr>
        <w:t>en lo subsecuente</w:t>
      </w:r>
      <w:r w:rsidRPr="00875B7E">
        <w:rPr>
          <w:rFonts w:eastAsia="Palatino Linotype" w:cs="Palatino Linotype"/>
          <w:b/>
          <w:color w:val="000000"/>
          <w:szCs w:val="24"/>
        </w:rPr>
        <w:t xml:space="preserve"> </w:t>
      </w:r>
      <w:r w:rsidRPr="00875B7E">
        <w:rPr>
          <w:rFonts w:eastAsia="Palatino Linotype" w:cs="Palatino Linotype"/>
          <w:color w:val="000000"/>
          <w:szCs w:val="24"/>
        </w:rPr>
        <w:t>el</w:t>
      </w:r>
      <w:r w:rsidRPr="00875B7E">
        <w:rPr>
          <w:rFonts w:eastAsia="Palatino Linotype" w:cs="Palatino Linotype"/>
          <w:b/>
          <w:color w:val="000000"/>
          <w:szCs w:val="24"/>
        </w:rPr>
        <w:t xml:space="preserve"> Sujeto Obligado, </w:t>
      </w:r>
      <w:r w:rsidRPr="00875B7E">
        <w:rPr>
          <w:rFonts w:eastAsia="Palatino Linotype" w:cs="Palatino Linotype"/>
          <w:color w:val="000000"/>
          <w:szCs w:val="24"/>
        </w:rPr>
        <w:t>se procede a dictar la presente resolución.</w:t>
      </w:r>
    </w:p>
    <w:p w14:paraId="61D2E544" w14:textId="77777777" w:rsidR="007B63EE" w:rsidRPr="00875B7E" w:rsidRDefault="007B63EE" w:rsidP="00511260">
      <w:pPr>
        <w:pBdr>
          <w:top w:val="nil"/>
          <w:left w:val="nil"/>
          <w:bottom w:val="nil"/>
          <w:right w:val="nil"/>
          <w:between w:val="nil"/>
        </w:pBdr>
        <w:contextualSpacing/>
        <w:rPr>
          <w:rFonts w:eastAsia="Palatino Linotype" w:cs="Palatino Linotype"/>
          <w:color w:val="000000"/>
          <w:szCs w:val="24"/>
        </w:rPr>
      </w:pPr>
    </w:p>
    <w:p w14:paraId="3DE6B95E" w14:textId="77777777" w:rsidR="00511260" w:rsidRPr="00511260" w:rsidRDefault="00511260" w:rsidP="00D321D8">
      <w:pPr>
        <w:jc w:val="center"/>
        <w:rPr>
          <w:b/>
          <w:bCs/>
          <w:sz w:val="28"/>
          <w:szCs w:val="28"/>
        </w:rPr>
      </w:pPr>
      <w:r w:rsidRPr="00511260">
        <w:rPr>
          <w:b/>
          <w:bCs/>
          <w:sz w:val="28"/>
          <w:szCs w:val="28"/>
        </w:rPr>
        <w:t>A N T E C E D E N T E S</w:t>
      </w:r>
    </w:p>
    <w:p w14:paraId="335CAD87" w14:textId="77777777" w:rsidR="007B63EE" w:rsidRPr="00875B7E" w:rsidRDefault="007B63EE" w:rsidP="00511260">
      <w:pPr>
        <w:pBdr>
          <w:top w:val="nil"/>
          <w:left w:val="nil"/>
          <w:bottom w:val="nil"/>
          <w:right w:val="nil"/>
          <w:between w:val="nil"/>
        </w:pBdr>
        <w:contextualSpacing/>
        <w:rPr>
          <w:rFonts w:eastAsia="Palatino Linotype" w:cs="Palatino Linotype"/>
          <w:color w:val="000000"/>
          <w:szCs w:val="24"/>
        </w:rPr>
      </w:pPr>
    </w:p>
    <w:p w14:paraId="6A011D4A" w14:textId="77777777" w:rsidR="00511260" w:rsidRPr="00511260" w:rsidRDefault="00511260" w:rsidP="00511260">
      <w:pPr>
        <w:rPr>
          <w:b/>
          <w:bCs/>
          <w:sz w:val="28"/>
          <w:szCs w:val="24"/>
        </w:rPr>
      </w:pPr>
      <w:r w:rsidRPr="00511260">
        <w:rPr>
          <w:b/>
          <w:bCs/>
          <w:sz w:val="28"/>
          <w:szCs w:val="24"/>
        </w:rPr>
        <w:t>PRIMERO. De la Solicitud de Información.</w:t>
      </w:r>
    </w:p>
    <w:p w14:paraId="6400F48D" w14:textId="493378FA" w:rsidR="00545516" w:rsidRDefault="00511260" w:rsidP="00511260">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Pr>
          <w:rFonts w:eastAsia="Palatino Linotype" w:cs="Palatino Linotype"/>
          <w:color w:val="000000"/>
          <w:szCs w:val="24"/>
        </w:rPr>
        <w:t xml:space="preserve"> </w:t>
      </w:r>
      <w:r w:rsidR="001535C3">
        <w:rPr>
          <w:rFonts w:eastAsia="Palatino Linotype" w:cs="Palatino Linotype"/>
          <w:color w:val="000000"/>
          <w:szCs w:val="24"/>
        </w:rPr>
        <w:t>nueve de septiembre</w:t>
      </w:r>
      <w:r w:rsidR="00D321D8">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w:t>
      </w:r>
      <w:r>
        <w:rPr>
          <w:rFonts w:eastAsia="Palatino Linotype" w:cs="Palatino Linotype"/>
          <w:color w:val="000000"/>
          <w:szCs w:val="24"/>
        </w:rPr>
        <w:t>el</w:t>
      </w:r>
      <w:r w:rsidRPr="006922F5">
        <w:rPr>
          <w:rFonts w:eastAsia="Palatino Linotype" w:cs="Palatino Linotype"/>
          <w:color w:val="000000"/>
          <w:szCs w:val="24"/>
        </w:rPr>
        <w:t xml:space="preserve"> Recurrente presentó mediante el Sistema de Acceso a la Información Mexiquense (SAIMEX), solicitud</w:t>
      </w:r>
      <w:r w:rsidR="001535C3">
        <w:rPr>
          <w:rFonts w:eastAsia="Palatino Linotype" w:cs="Palatino Linotype"/>
          <w:color w:val="000000"/>
          <w:szCs w:val="24"/>
        </w:rPr>
        <w:t>es</w:t>
      </w:r>
      <w:r w:rsidRPr="006922F5">
        <w:rPr>
          <w:rFonts w:eastAsia="Palatino Linotype" w:cs="Palatino Linotype"/>
          <w:color w:val="000000"/>
          <w:szCs w:val="24"/>
        </w:rPr>
        <w:t xml:space="preserve"> de información registrada</w:t>
      </w:r>
      <w:r w:rsidR="001535C3">
        <w:rPr>
          <w:rFonts w:eastAsia="Palatino Linotype" w:cs="Palatino Linotype"/>
          <w:color w:val="000000"/>
          <w:szCs w:val="24"/>
        </w:rPr>
        <w:t>s</w:t>
      </w:r>
      <w:r w:rsidRPr="006922F5">
        <w:rPr>
          <w:rFonts w:eastAsia="Palatino Linotype" w:cs="Palatino Linotype"/>
          <w:color w:val="000000"/>
          <w:szCs w:val="24"/>
        </w:rPr>
        <w:t xml:space="preserve"> con el número de </w:t>
      </w:r>
      <w:r w:rsidRPr="000147D3">
        <w:rPr>
          <w:rFonts w:eastAsia="Palatino Linotype" w:cs="Palatino Linotype"/>
          <w:szCs w:val="24"/>
        </w:rPr>
        <w:t>expediente</w:t>
      </w:r>
      <w:r w:rsidR="00D321D8" w:rsidRPr="00D321D8">
        <w:rPr>
          <w:b/>
          <w:bCs/>
        </w:rPr>
        <w:t> </w:t>
      </w:r>
      <w:r w:rsidR="001535C3" w:rsidRPr="001535C3">
        <w:rPr>
          <w:b/>
          <w:bCs/>
          <w:szCs w:val="24"/>
        </w:rPr>
        <w:t>00918/TLALNEPA/IP/2024</w:t>
      </w:r>
      <w:r w:rsidR="00426497">
        <w:rPr>
          <w:b/>
          <w:bCs/>
          <w:szCs w:val="24"/>
        </w:rPr>
        <w:t xml:space="preserve">, </w:t>
      </w:r>
      <w:r w:rsidR="00426497" w:rsidRPr="00426497">
        <w:rPr>
          <w:b/>
          <w:bCs/>
        </w:rPr>
        <w:t>00917/TLALNEPA/IP/2024</w:t>
      </w:r>
      <w:r w:rsidR="00426497">
        <w:rPr>
          <w:b/>
          <w:bCs/>
        </w:rPr>
        <w:t xml:space="preserve">, </w:t>
      </w:r>
      <w:r w:rsidR="00426497" w:rsidRPr="00426497">
        <w:rPr>
          <w:b/>
          <w:bCs/>
        </w:rPr>
        <w:t>00916/TLALNEPA/IP/2024</w:t>
      </w:r>
      <w:r w:rsidR="00426497">
        <w:rPr>
          <w:b/>
          <w:bCs/>
        </w:rPr>
        <w:t xml:space="preserve"> y </w:t>
      </w:r>
      <w:r w:rsidR="00426497" w:rsidRPr="00426497">
        <w:rPr>
          <w:b/>
          <w:bCs/>
        </w:rPr>
        <w:t>00915/TLALNEPA/IP/2024</w:t>
      </w:r>
      <w:r w:rsidRPr="00802B59">
        <w:rPr>
          <w:rFonts w:eastAsia="Palatino Linotype" w:cs="Palatino Linotype"/>
          <w:szCs w:val="24"/>
        </w:rPr>
        <w:t>,</w:t>
      </w:r>
      <w:r w:rsidRPr="00802B59">
        <w:rPr>
          <w:rFonts w:eastAsia="Palatino Linotype" w:cs="Palatino Linotype"/>
          <w:b/>
          <w:szCs w:val="24"/>
        </w:rPr>
        <w:t xml:space="preserve"> </w:t>
      </w:r>
      <w:r w:rsidRPr="006922F5">
        <w:rPr>
          <w:rFonts w:eastAsia="Palatino Linotype" w:cs="Palatino Linotype"/>
          <w:color w:val="000000"/>
          <w:szCs w:val="24"/>
        </w:rPr>
        <w:t>mediante la cual solicitó información en el tenor siguiente:</w:t>
      </w:r>
    </w:p>
    <w:tbl>
      <w:tblPr>
        <w:tblStyle w:val="Tablaconcuadrcula"/>
        <w:tblW w:w="0" w:type="auto"/>
        <w:tblLook w:val="04A0" w:firstRow="1" w:lastRow="0" w:firstColumn="1" w:lastColumn="0" w:noHBand="0" w:noVBand="1"/>
      </w:tblPr>
      <w:tblGrid>
        <w:gridCol w:w="2820"/>
        <w:gridCol w:w="6524"/>
      </w:tblGrid>
      <w:tr w:rsidR="00D321D8" w:rsidRPr="007B63EE" w14:paraId="6F3F1DB2" w14:textId="77777777" w:rsidTr="00B426F3">
        <w:tc>
          <w:tcPr>
            <w:tcW w:w="2547" w:type="dxa"/>
            <w:shd w:val="clear" w:color="auto" w:fill="D1D1D1" w:themeFill="background2" w:themeFillShade="E6"/>
          </w:tcPr>
          <w:p w14:paraId="27874642" w14:textId="77777777" w:rsidR="00D321D8" w:rsidRPr="007B63EE" w:rsidRDefault="00D321D8" w:rsidP="00B426F3">
            <w:pPr>
              <w:contextualSpacing/>
              <w:jc w:val="center"/>
              <w:rPr>
                <w:rFonts w:eastAsia="Palatino Linotype" w:cs="Palatino Linotype"/>
                <w:b/>
                <w:bCs/>
                <w:i/>
                <w:iCs/>
                <w:color w:val="000000"/>
                <w:sz w:val="22"/>
              </w:rPr>
            </w:pPr>
            <w:r w:rsidRPr="007B63EE">
              <w:rPr>
                <w:rFonts w:eastAsia="Palatino Linotype" w:cs="Palatino Linotype"/>
                <w:b/>
                <w:bCs/>
                <w:i/>
                <w:iCs/>
                <w:color w:val="000000"/>
                <w:sz w:val="22"/>
              </w:rPr>
              <w:t>Número de solicitud</w:t>
            </w:r>
          </w:p>
        </w:tc>
        <w:tc>
          <w:tcPr>
            <w:tcW w:w="6797" w:type="dxa"/>
            <w:shd w:val="clear" w:color="auto" w:fill="D1D1D1" w:themeFill="background2" w:themeFillShade="E6"/>
          </w:tcPr>
          <w:p w14:paraId="0B9F0994" w14:textId="23CE9F2D" w:rsidR="00D321D8" w:rsidRPr="007B63EE" w:rsidRDefault="00D321D8" w:rsidP="00B426F3">
            <w:pPr>
              <w:contextualSpacing/>
              <w:jc w:val="center"/>
              <w:rPr>
                <w:rFonts w:eastAsia="Palatino Linotype" w:cs="Palatino Linotype"/>
                <w:b/>
                <w:bCs/>
                <w:i/>
                <w:iCs/>
                <w:color w:val="000000"/>
                <w:sz w:val="22"/>
              </w:rPr>
            </w:pPr>
            <w:r w:rsidRPr="007B63EE">
              <w:rPr>
                <w:rFonts w:eastAsia="Palatino Linotype" w:cs="Palatino Linotype"/>
                <w:b/>
                <w:bCs/>
                <w:i/>
                <w:iCs/>
                <w:color w:val="000000"/>
                <w:sz w:val="22"/>
              </w:rPr>
              <w:t>Solicitud</w:t>
            </w:r>
          </w:p>
        </w:tc>
      </w:tr>
      <w:tr w:rsidR="00D321D8" w:rsidRPr="007B63EE" w14:paraId="4D67B3B2" w14:textId="77777777" w:rsidTr="00B426F3">
        <w:tc>
          <w:tcPr>
            <w:tcW w:w="2547" w:type="dxa"/>
          </w:tcPr>
          <w:p w14:paraId="636338F0" w14:textId="66720537" w:rsidR="00D321D8" w:rsidRPr="007B63EE" w:rsidRDefault="001535C3" w:rsidP="00511260">
            <w:pPr>
              <w:contextualSpacing/>
              <w:rPr>
                <w:rFonts w:eastAsia="Palatino Linotype" w:cs="Palatino Linotype"/>
                <w:i/>
                <w:iCs/>
                <w:color w:val="000000"/>
                <w:sz w:val="22"/>
              </w:rPr>
            </w:pPr>
            <w:r w:rsidRPr="007B63EE">
              <w:rPr>
                <w:b/>
                <w:bCs/>
                <w:i/>
                <w:sz w:val="22"/>
              </w:rPr>
              <w:t>00918/TLALNEPA/IP/2024</w:t>
            </w:r>
          </w:p>
        </w:tc>
        <w:tc>
          <w:tcPr>
            <w:tcW w:w="6797" w:type="dxa"/>
          </w:tcPr>
          <w:p w14:paraId="708C3204" w14:textId="12617DBC" w:rsidR="00D321D8" w:rsidRPr="007B63EE" w:rsidRDefault="001535C3" w:rsidP="001535C3">
            <w:pPr>
              <w:contextualSpacing/>
              <w:rPr>
                <w:rFonts w:eastAsia="Palatino Linotype" w:cs="Palatino Linotype"/>
                <w:i/>
                <w:iCs/>
                <w:color w:val="000000"/>
                <w:sz w:val="22"/>
              </w:rPr>
            </w:pPr>
            <w:r w:rsidRPr="007B63EE">
              <w:rPr>
                <w:rFonts w:eastAsia="Palatino Linotype" w:cs="Palatino Linotype"/>
                <w:i/>
                <w:iCs/>
                <w:color w:val="000000"/>
                <w:sz w:val="22"/>
              </w:rPr>
              <w:t>“</w:t>
            </w:r>
            <w:r w:rsidRPr="007B63EE">
              <w:rPr>
                <w:i/>
                <w:color w:val="000000"/>
                <w:sz w:val="22"/>
              </w:rPr>
              <w:t xml:space="preserve">Se solicita el programa Anual de Trabajo 2022, 2023 y 2024 de Movilidad y los resultados. Acciones implementadas para </w:t>
            </w:r>
            <w:proofErr w:type="spellStart"/>
            <w:r w:rsidRPr="007B63EE">
              <w:rPr>
                <w:i/>
                <w:color w:val="000000"/>
                <w:sz w:val="22"/>
              </w:rPr>
              <w:t>mwjoeraf</w:t>
            </w:r>
            <w:proofErr w:type="spellEnd"/>
            <w:r w:rsidRPr="007B63EE">
              <w:rPr>
                <w:i/>
                <w:color w:val="000000"/>
                <w:sz w:val="22"/>
              </w:rPr>
              <w:t xml:space="preserve"> la movilidad en el municipio</w:t>
            </w:r>
            <w:r w:rsidRPr="007B63EE">
              <w:rPr>
                <w:rFonts w:eastAsia="Palatino Linotype" w:cs="Palatino Linotype"/>
                <w:i/>
                <w:iCs/>
                <w:color w:val="000000"/>
                <w:sz w:val="22"/>
              </w:rPr>
              <w:t xml:space="preserve">” </w:t>
            </w:r>
            <w:r w:rsidRPr="007B63EE">
              <w:rPr>
                <w:i/>
                <w:iCs/>
                <w:sz w:val="22"/>
              </w:rPr>
              <w:t>(Sic)</w:t>
            </w:r>
          </w:p>
        </w:tc>
      </w:tr>
      <w:tr w:rsidR="00D321D8" w:rsidRPr="007B63EE" w14:paraId="2B95667A" w14:textId="77777777" w:rsidTr="00B426F3">
        <w:tc>
          <w:tcPr>
            <w:tcW w:w="2547" w:type="dxa"/>
          </w:tcPr>
          <w:p w14:paraId="1E659167" w14:textId="2B5C5804" w:rsidR="00D321D8" w:rsidRPr="007B63EE" w:rsidRDefault="00426497" w:rsidP="00511260">
            <w:pPr>
              <w:contextualSpacing/>
              <w:rPr>
                <w:rFonts w:eastAsia="Palatino Linotype" w:cs="Palatino Linotype"/>
                <w:i/>
                <w:iCs/>
                <w:color w:val="000000"/>
                <w:sz w:val="22"/>
              </w:rPr>
            </w:pPr>
            <w:r w:rsidRPr="007B63EE">
              <w:rPr>
                <w:b/>
                <w:bCs/>
                <w:i/>
                <w:sz w:val="22"/>
              </w:rPr>
              <w:lastRenderedPageBreak/>
              <w:t>00917/TLALNEPA/IP/2024</w:t>
            </w:r>
          </w:p>
        </w:tc>
        <w:tc>
          <w:tcPr>
            <w:tcW w:w="6797" w:type="dxa"/>
          </w:tcPr>
          <w:p w14:paraId="3987D8D0" w14:textId="657C42A8" w:rsidR="00D321D8" w:rsidRPr="007B63EE" w:rsidRDefault="00B426F3" w:rsidP="001535C3">
            <w:pPr>
              <w:contextualSpacing/>
              <w:rPr>
                <w:rFonts w:eastAsia="Palatino Linotype" w:cs="Palatino Linotype"/>
                <w:i/>
                <w:iCs/>
                <w:color w:val="000000"/>
                <w:sz w:val="22"/>
              </w:rPr>
            </w:pPr>
            <w:r w:rsidRPr="007B63EE">
              <w:rPr>
                <w:rFonts w:eastAsia="Palatino Linotype" w:cs="Palatino Linotype"/>
                <w:i/>
                <w:iCs/>
                <w:color w:val="000000"/>
                <w:sz w:val="22"/>
              </w:rPr>
              <w:t>“</w:t>
            </w:r>
            <w:r w:rsidR="00426497" w:rsidRPr="007B63EE">
              <w:rPr>
                <w:i/>
                <w:color w:val="000000"/>
                <w:sz w:val="22"/>
              </w:rPr>
              <w:t xml:space="preserve">Se solicita el programa de Movilidad y los resultados del año 2024 o de toda la administración si no </w:t>
            </w:r>
            <w:proofErr w:type="spellStart"/>
            <w:r w:rsidR="00426497" w:rsidRPr="007B63EE">
              <w:rPr>
                <w:i/>
                <w:color w:val="000000"/>
                <w:sz w:val="22"/>
              </w:rPr>
              <w:t>esta</w:t>
            </w:r>
            <w:proofErr w:type="spellEnd"/>
            <w:r w:rsidR="00426497" w:rsidRPr="007B63EE">
              <w:rPr>
                <w:i/>
                <w:color w:val="000000"/>
                <w:sz w:val="22"/>
              </w:rPr>
              <w:t xml:space="preserve"> por año</w:t>
            </w:r>
            <w:r w:rsidRPr="007B63EE">
              <w:rPr>
                <w:rFonts w:eastAsia="Palatino Linotype" w:cs="Palatino Linotype"/>
                <w:i/>
                <w:iCs/>
                <w:color w:val="000000"/>
                <w:sz w:val="22"/>
              </w:rPr>
              <w:t xml:space="preserve">” </w:t>
            </w:r>
            <w:r w:rsidRPr="007B63EE">
              <w:rPr>
                <w:i/>
                <w:iCs/>
                <w:sz w:val="22"/>
              </w:rPr>
              <w:t>(Sic)</w:t>
            </w:r>
          </w:p>
        </w:tc>
      </w:tr>
      <w:tr w:rsidR="001535C3" w:rsidRPr="007B63EE" w14:paraId="09E0574D" w14:textId="77777777" w:rsidTr="00B426F3">
        <w:tc>
          <w:tcPr>
            <w:tcW w:w="2547" w:type="dxa"/>
          </w:tcPr>
          <w:p w14:paraId="1B421231" w14:textId="495FE91E" w:rsidR="001535C3" w:rsidRPr="007B63EE" w:rsidRDefault="00426497" w:rsidP="00511260">
            <w:pPr>
              <w:contextualSpacing/>
              <w:rPr>
                <w:rFonts w:eastAsia="Palatino Linotype" w:cs="Palatino Linotype"/>
                <w:b/>
                <w:bCs/>
                <w:i/>
                <w:iCs/>
                <w:color w:val="000000"/>
                <w:sz w:val="22"/>
              </w:rPr>
            </w:pPr>
            <w:r w:rsidRPr="007B63EE">
              <w:rPr>
                <w:b/>
                <w:bCs/>
                <w:i/>
                <w:sz w:val="22"/>
              </w:rPr>
              <w:t>00916/TLALNEPA/IP/2024</w:t>
            </w:r>
          </w:p>
        </w:tc>
        <w:tc>
          <w:tcPr>
            <w:tcW w:w="6797" w:type="dxa"/>
          </w:tcPr>
          <w:p w14:paraId="50C0A755" w14:textId="46A1E76D" w:rsidR="001535C3" w:rsidRPr="007B63EE" w:rsidRDefault="001535C3" w:rsidP="00511260">
            <w:pPr>
              <w:contextualSpacing/>
              <w:rPr>
                <w:rFonts w:eastAsia="Palatino Linotype" w:cs="Palatino Linotype"/>
                <w:i/>
                <w:iCs/>
                <w:color w:val="000000"/>
                <w:sz w:val="22"/>
              </w:rPr>
            </w:pPr>
            <w:r w:rsidRPr="007B63EE">
              <w:rPr>
                <w:rFonts w:eastAsia="Palatino Linotype" w:cs="Palatino Linotype"/>
                <w:i/>
                <w:iCs/>
                <w:color w:val="000000"/>
                <w:sz w:val="22"/>
              </w:rPr>
              <w:t>“</w:t>
            </w:r>
            <w:r w:rsidR="00426497" w:rsidRPr="007B63EE">
              <w:rPr>
                <w:i/>
                <w:color w:val="000000"/>
                <w:sz w:val="22"/>
              </w:rPr>
              <w:t xml:space="preserve">Se solicita el programa de Movilidad y los resultados del año 2023 o de toda la administración si no </w:t>
            </w:r>
            <w:proofErr w:type="spellStart"/>
            <w:r w:rsidR="00426497" w:rsidRPr="007B63EE">
              <w:rPr>
                <w:i/>
                <w:color w:val="000000"/>
                <w:sz w:val="22"/>
              </w:rPr>
              <w:t>esta</w:t>
            </w:r>
            <w:proofErr w:type="spellEnd"/>
            <w:r w:rsidR="00426497" w:rsidRPr="007B63EE">
              <w:rPr>
                <w:i/>
                <w:color w:val="000000"/>
                <w:sz w:val="22"/>
              </w:rPr>
              <w:t xml:space="preserve"> por año</w:t>
            </w:r>
            <w:r w:rsidRPr="007B63EE">
              <w:rPr>
                <w:rFonts w:eastAsia="Palatino Linotype" w:cs="Palatino Linotype"/>
                <w:i/>
                <w:iCs/>
                <w:color w:val="000000"/>
                <w:sz w:val="22"/>
              </w:rPr>
              <w:t xml:space="preserve">” </w:t>
            </w:r>
            <w:r w:rsidRPr="007B63EE">
              <w:rPr>
                <w:i/>
                <w:iCs/>
                <w:sz w:val="22"/>
              </w:rPr>
              <w:t>(Sic)</w:t>
            </w:r>
          </w:p>
        </w:tc>
      </w:tr>
      <w:tr w:rsidR="001535C3" w:rsidRPr="007B63EE" w14:paraId="321DC984" w14:textId="77777777" w:rsidTr="00B426F3">
        <w:tc>
          <w:tcPr>
            <w:tcW w:w="2547" w:type="dxa"/>
          </w:tcPr>
          <w:p w14:paraId="52C982CC" w14:textId="70AFB874" w:rsidR="001535C3" w:rsidRPr="007B63EE" w:rsidRDefault="00426497" w:rsidP="00511260">
            <w:pPr>
              <w:contextualSpacing/>
              <w:rPr>
                <w:rFonts w:eastAsia="Palatino Linotype" w:cs="Palatino Linotype"/>
                <w:b/>
                <w:bCs/>
                <w:i/>
                <w:iCs/>
                <w:color w:val="000000"/>
                <w:sz w:val="22"/>
              </w:rPr>
            </w:pPr>
            <w:r w:rsidRPr="007B63EE">
              <w:rPr>
                <w:b/>
                <w:bCs/>
                <w:i/>
                <w:sz w:val="22"/>
              </w:rPr>
              <w:t>00915/TLALNEPA/IP/2024</w:t>
            </w:r>
          </w:p>
        </w:tc>
        <w:tc>
          <w:tcPr>
            <w:tcW w:w="6797" w:type="dxa"/>
          </w:tcPr>
          <w:p w14:paraId="17ABBA7B" w14:textId="07F262B7" w:rsidR="001535C3" w:rsidRPr="007B63EE" w:rsidRDefault="001535C3" w:rsidP="00511260">
            <w:pPr>
              <w:contextualSpacing/>
              <w:rPr>
                <w:rFonts w:eastAsia="Palatino Linotype" w:cs="Palatino Linotype"/>
                <w:i/>
                <w:iCs/>
                <w:color w:val="000000"/>
                <w:sz w:val="22"/>
              </w:rPr>
            </w:pPr>
            <w:r w:rsidRPr="007B63EE">
              <w:rPr>
                <w:rFonts w:eastAsia="Palatino Linotype" w:cs="Palatino Linotype"/>
                <w:i/>
                <w:iCs/>
                <w:color w:val="000000"/>
                <w:sz w:val="22"/>
              </w:rPr>
              <w:t>“</w:t>
            </w:r>
            <w:r w:rsidR="00426497" w:rsidRPr="007B63EE">
              <w:rPr>
                <w:i/>
                <w:color w:val="000000"/>
                <w:sz w:val="22"/>
              </w:rPr>
              <w:t xml:space="preserve">Se solicita el programa de Movilidad y los resultados del año 2022 o de toda la administración si no </w:t>
            </w:r>
            <w:proofErr w:type="spellStart"/>
            <w:r w:rsidR="00426497" w:rsidRPr="007B63EE">
              <w:rPr>
                <w:i/>
                <w:color w:val="000000"/>
                <w:sz w:val="22"/>
              </w:rPr>
              <w:t>esta</w:t>
            </w:r>
            <w:proofErr w:type="spellEnd"/>
            <w:r w:rsidR="00426497" w:rsidRPr="007B63EE">
              <w:rPr>
                <w:i/>
                <w:color w:val="000000"/>
                <w:sz w:val="22"/>
              </w:rPr>
              <w:t xml:space="preserve"> por año</w:t>
            </w:r>
            <w:r w:rsidRPr="007B63EE">
              <w:rPr>
                <w:rFonts w:eastAsia="Palatino Linotype" w:cs="Palatino Linotype"/>
                <w:i/>
                <w:iCs/>
                <w:color w:val="000000"/>
                <w:sz w:val="22"/>
              </w:rPr>
              <w:t xml:space="preserve">” </w:t>
            </w:r>
            <w:r w:rsidRPr="007B63EE">
              <w:rPr>
                <w:i/>
                <w:iCs/>
                <w:sz w:val="22"/>
              </w:rPr>
              <w:t>(Sic)</w:t>
            </w:r>
          </w:p>
        </w:tc>
      </w:tr>
    </w:tbl>
    <w:p w14:paraId="3D004B25" w14:textId="77777777" w:rsidR="00511260" w:rsidRPr="00875B7E" w:rsidRDefault="00511260" w:rsidP="00511260">
      <w:pPr>
        <w:pBdr>
          <w:top w:val="nil"/>
          <w:left w:val="nil"/>
          <w:bottom w:val="nil"/>
          <w:right w:val="nil"/>
          <w:between w:val="nil"/>
        </w:pBdr>
        <w:contextualSpacing/>
        <w:rPr>
          <w:rFonts w:eastAsia="Palatino Linotype" w:cs="Palatino Linotype"/>
          <w:color w:val="000000"/>
          <w:szCs w:val="24"/>
        </w:rPr>
      </w:pPr>
    </w:p>
    <w:p w14:paraId="4F4FA494" w14:textId="77777777" w:rsidR="00511260" w:rsidRPr="006922F5" w:rsidRDefault="00511260" w:rsidP="00511260">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Pr="006922F5">
        <w:rPr>
          <w:rFonts w:eastAsia="Palatino Linotype" w:cs="Palatino Linotype"/>
          <w:b/>
          <w:color w:val="000000"/>
          <w:szCs w:val="24"/>
        </w:rPr>
        <w:t>A través del SAIMEX</w:t>
      </w:r>
      <w:r w:rsidRPr="006922F5">
        <w:rPr>
          <w:rFonts w:eastAsia="Palatino Linotype" w:cs="Palatino Linotype"/>
          <w:color w:val="000000"/>
          <w:szCs w:val="24"/>
        </w:rPr>
        <w:t>.</w:t>
      </w:r>
    </w:p>
    <w:p w14:paraId="3D69AF50" w14:textId="77777777" w:rsidR="00511260" w:rsidRDefault="00511260" w:rsidP="00511260">
      <w:pPr>
        <w:pBdr>
          <w:top w:val="nil"/>
          <w:left w:val="nil"/>
          <w:bottom w:val="nil"/>
          <w:right w:val="nil"/>
          <w:between w:val="nil"/>
        </w:pBdr>
        <w:contextualSpacing/>
        <w:rPr>
          <w:rFonts w:eastAsia="Palatino Linotype" w:cs="Palatino Linotype"/>
          <w:color w:val="000000"/>
          <w:szCs w:val="24"/>
        </w:rPr>
      </w:pPr>
    </w:p>
    <w:p w14:paraId="1A7758F8" w14:textId="77777777" w:rsidR="00511260" w:rsidRPr="00511260" w:rsidRDefault="00511260" w:rsidP="00511260">
      <w:pPr>
        <w:rPr>
          <w:b/>
          <w:bCs/>
          <w:sz w:val="28"/>
          <w:szCs w:val="28"/>
        </w:rPr>
      </w:pPr>
      <w:r w:rsidRPr="00511260">
        <w:rPr>
          <w:b/>
          <w:bCs/>
          <w:sz w:val="28"/>
          <w:szCs w:val="28"/>
        </w:rPr>
        <w:t>SEGUNDO. De la respuesta del Sujeto Obligado.</w:t>
      </w:r>
    </w:p>
    <w:p w14:paraId="4CD7110D" w14:textId="2D53289B" w:rsidR="00D321D8" w:rsidRDefault="00511260" w:rsidP="00511260">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De las constancias que obran en el expediente electrónico, se observa que el </w:t>
      </w:r>
      <w:r>
        <w:rPr>
          <w:rFonts w:eastAsia="Palatino Linotype" w:cs="Palatino Linotype"/>
          <w:color w:val="000000"/>
          <w:szCs w:val="24"/>
        </w:rPr>
        <w:t xml:space="preserve">día </w:t>
      </w:r>
      <w:r w:rsidR="001535C3">
        <w:rPr>
          <w:rFonts w:eastAsia="Palatino Linotype" w:cs="Palatino Linotype"/>
          <w:color w:val="000000"/>
          <w:szCs w:val="24"/>
        </w:rPr>
        <w:t xml:space="preserve">dos de octubre </w:t>
      </w:r>
      <w:r w:rsidR="00D321D8">
        <w:rPr>
          <w:rFonts w:eastAsia="Palatino Linotype" w:cs="Palatino Linotype"/>
          <w:color w:val="000000"/>
          <w:szCs w:val="24"/>
        </w:rPr>
        <w:t>de dos mil veinticuatro</w:t>
      </w:r>
      <w:r w:rsidRPr="006922F5">
        <w:rPr>
          <w:rFonts w:eastAsia="Palatino Linotype" w:cs="Palatino Linotype"/>
          <w:color w:val="000000"/>
          <w:szCs w:val="24"/>
        </w:rPr>
        <w:t>, el Sujeto Obligado dio respuesta a la solicitud de información</w:t>
      </w:r>
      <w:r w:rsidR="001535C3">
        <w:rPr>
          <w:rFonts w:eastAsia="Palatino Linotype" w:cs="Palatino Linotype"/>
          <w:color w:val="000000"/>
          <w:szCs w:val="24"/>
        </w:rPr>
        <w:t xml:space="preserve"> en los términos siguientes</w:t>
      </w:r>
      <w:r w:rsidRPr="006922F5">
        <w:rPr>
          <w:rFonts w:eastAsia="Palatino Linotype" w:cs="Palatino Linotype"/>
          <w:color w:val="000000"/>
          <w:szCs w:val="24"/>
        </w:rPr>
        <w:t>:</w:t>
      </w:r>
    </w:p>
    <w:p w14:paraId="5F3190AC" w14:textId="77777777" w:rsidR="001535C3" w:rsidRDefault="001535C3" w:rsidP="00511260">
      <w:pPr>
        <w:pBdr>
          <w:top w:val="nil"/>
          <w:left w:val="nil"/>
          <w:bottom w:val="nil"/>
          <w:right w:val="nil"/>
          <w:between w:val="nil"/>
        </w:pBdr>
        <w:contextualSpacing/>
        <w:rPr>
          <w:rFonts w:eastAsia="Palatino Linotype" w:cs="Palatino Linotype"/>
          <w:color w:val="000000"/>
          <w:szCs w:val="24"/>
        </w:rPr>
      </w:pPr>
    </w:p>
    <w:tbl>
      <w:tblPr>
        <w:tblStyle w:val="Tablaconcuadrcula"/>
        <w:tblW w:w="0" w:type="auto"/>
        <w:jc w:val="center"/>
        <w:tblLook w:val="04A0" w:firstRow="1" w:lastRow="0" w:firstColumn="1" w:lastColumn="0" w:noHBand="0" w:noVBand="1"/>
      </w:tblPr>
      <w:tblGrid>
        <w:gridCol w:w="3256"/>
        <w:gridCol w:w="5386"/>
      </w:tblGrid>
      <w:tr w:rsidR="00D321D8" w:rsidRPr="00426497" w14:paraId="6E7D67AA" w14:textId="77777777" w:rsidTr="001963C1">
        <w:trPr>
          <w:jc w:val="center"/>
        </w:trPr>
        <w:tc>
          <w:tcPr>
            <w:tcW w:w="3256" w:type="dxa"/>
          </w:tcPr>
          <w:p w14:paraId="75BE331D" w14:textId="2F1D6445" w:rsidR="00D321D8" w:rsidRPr="00426497" w:rsidRDefault="001535C3" w:rsidP="00511260">
            <w:pPr>
              <w:contextualSpacing/>
              <w:rPr>
                <w:rFonts w:eastAsia="Palatino Linotype" w:cs="Palatino Linotype"/>
                <w:i/>
                <w:color w:val="000000"/>
                <w:sz w:val="22"/>
              </w:rPr>
            </w:pPr>
            <w:r w:rsidRPr="00426497">
              <w:rPr>
                <w:b/>
                <w:bCs/>
                <w:i/>
                <w:szCs w:val="24"/>
              </w:rPr>
              <w:t>00918/TLALNEPA/IP/2024</w:t>
            </w:r>
          </w:p>
        </w:tc>
        <w:tc>
          <w:tcPr>
            <w:tcW w:w="5386" w:type="dxa"/>
          </w:tcPr>
          <w:p w14:paraId="1CBBDF97" w14:textId="22744C73" w:rsidR="00B426F3" w:rsidRPr="00426497" w:rsidRDefault="001535C3" w:rsidP="00511260">
            <w:pPr>
              <w:pStyle w:val="Prrafodelista"/>
              <w:numPr>
                <w:ilvl w:val="0"/>
                <w:numId w:val="7"/>
              </w:numPr>
              <w:rPr>
                <w:rFonts w:eastAsia="Palatino Linotype" w:cs="Palatino Linotype"/>
                <w:b/>
                <w:bCs/>
                <w:i/>
                <w:color w:val="000000"/>
                <w:szCs w:val="24"/>
              </w:rPr>
            </w:pPr>
            <w:r w:rsidRPr="00426497">
              <w:rPr>
                <w:rFonts w:cs="Arial"/>
                <w:b/>
                <w:bCs/>
                <w:i/>
                <w:szCs w:val="24"/>
              </w:rPr>
              <w:t>RESPUESTA SAIMEX 00918.zip</w:t>
            </w:r>
          </w:p>
        </w:tc>
      </w:tr>
      <w:tr w:rsidR="00D321D8" w:rsidRPr="00426497" w14:paraId="30E5A477" w14:textId="77777777" w:rsidTr="001963C1">
        <w:trPr>
          <w:jc w:val="center"/>
        </w:trPr>
        <w:tc>
          <w:tcPr>
            <w:tcW w:w="3256" w:type="dxa"/>
          </w:tcPr>
          <w:p w14:paraId="5BFECD5B" w14:textId="78457068" w:rsidR="00D321D8" w:rsidRPr="00426497" w:rsidRDefault="00426497" w:rsidP="00511260">
            <w:pPr>
              <w:contextualSpacing/>
              <w:rPr>
                <w:rFonts w:eastAsia="Palatino Linotype" w:cs="Palatino Linotype"/>
                <w:i/>
                <w:color w:val="000000"/>
                <w:sz w:val="22"/>
              </w:rPr>
            </w:pPr>
            <w:r w:rsidRPr="00426497">
              <w:rPr>
                <w:b/>
                <w:bCs/>
                <w:i/>
              </w:rPr>
              <w:t>00917/TLALNEPA/IP/2024</w:t>
            </w:r>
          </w:p>
        </w:tc>
        <w:tc>
          <w:tcPr>
            <w:tcW w:w="5386" w:type="dxa"/>
          </w:tcPr>
          <w:p w14:paraId="59190BC7" w14:textId="6B530C27" w:rsidR="00B426F3" w:rsidRPr="00426497" w:rsidRDefault="00426497" w:rsidP="00511260">
            <w:pPr>
              <w:pStyle w:val="Prrafodelista"/>
              <w:numPr>
                <w:ilvl w:val="0"/>
                <w:numId w:val="7"/>
              </w:numPr>
              <w:rPr>
                <w:rFonts w:eastAsia="Palatino Linotype" w:cs="Palatino Linotype"/>
                <w:b/>
                <w:bCs/>
                <w:i/>
                <w:color w:val="000000"/>
                <w:szCs w:val="24"/>
              </w:rPr>
            </w:pPr>
            <w:r w:rsidRPr="00426497">
              <w:rPr>
                <w:rFonts w:cs="Arial"/>
                <w:b/>
                <w:bCs/>
                <w:i/>
                <w:szCs w:val="24"/>
              </w:rPr>
              <w:t>RESPUESTA SAIMEX 00917.zip</w:t>
            </w:r>
          </w:p>
        </w:tc>
      </w:tr>
      <w:tr w:rsidR="001535C3" w:rsidRPr="00426497" w14:paraId="1D32DF58" w14:textId="77777777" w:rsidTr="001963C1">
        <w:trPr>
          <w:jc w:val="center"/>
        </w:trPr>
        <w:tc>
          <w:tcPr>
            <w:tcW w:w="3256" w:type="dxa"/>
          </w:tcPr>
          <w:p w14:paraId="1793F06F" w14:textId="209561BC" w:rsidR="001535C3" w:rsidRPr="00426497" w:rsidRDefault="00426497" w:rsidP="00511260">
            <w:pPr>
              <w:contextualSpacing/>
              <w:rPr>
                <w:rFonts w:eastAsia="Palatino Linotype" w:cs="Palatino Linotype"/>
                <w:b/>
                <w:bCs/>
                <w:i/>
                <w:iCs/>
                <w:color w:val="000000"/>
                <w:sz w:val="22"/>
              </w:rPr>
            </w:pPr>
            <w:r w:rsidRPr="00426497">
              <w:rPr>
                <w:b/>
                <w:bCs/>
                <w:i/>
              </w:rPr>
              <w:t>00916/TLALNEPA/IP/2024</w:t>
            </w:r>
          </w:p>
        </w:tc>
        <w:tc>
          <w:tcPr>
            <w:tcW w:w="5386" w:type="dxa"/>
          </w:tcPr>
          <w:p w14:paraId="217B95E9" w14:textId="5AD36A43" w:rsidR="001535C3" w:rsidRPr="00426497" w:rsidRDefault="00426497" w:rsidP="00511260">
            <w:pPr>
              <w:pStyle w:val="Prrafodelista"/>
              <w:numPr>
                <w:ilvl w:val="0"/>
                <w:numId w:val="7"/>
              </w:numPr>
              <w:rPr>
                <w:rFonts w:eastAsia="Palatino Linotype" w:cs="Palatino Linotype"/>
                <w:b/>
                <w:bCs/>
                <w:i/>
                <w:color w:val="000000"/>
                <w:szCs w:val="24"/>
              </w:rPr>
            </w:pPr>
            <w:r w:rsidRPr="00426497">
              <w:rPr>
                <w:rFonts w:cs="Arial"/>
                <w:b/>
                <w:bCs/>
                <w:i/>
                <w:szCs w:val="24"/>
              </w:rPr>
              <w:t>RESPUESTA SAIMEX 00916.zip</w:t>
            </w:r>
          </w:p>
        </w:tc>
      </w:tr>
      <w:tr w:rsidR="001535C3" w:rsidRPr="00426497" w14:paraId="5962E22B" w14:textId="77777777" w:rsidTr="001963C1">
        <w:trPr>
          <w:jc w:val="center"/>
        </w:trPr>
        <w:tc>
          <w:tcPr>
            <w:tcW w:w="3256" w:type="dxa"/>
          </w:tcPr>
          <w:p w14:paraId="00AFE618" w14:textId="036D3C26" w:rsidR="001535C3" w:rsidRPr="00426497" w:rsidRDefault="00426497" w:rsidP="00511260">
            <w:pPr>
              <w:contextualSpacing/>
              <w:rPr>
                <w:rFonts w:eastAsia="Palatino Linotype" w:cs="Palatino Linotype"/>
                <w:b/>
                <w:bCs/>
                <w:i/>
                <w:iCs/>
                <w:color w:val="000000"/>
                <w:sz w:val="22"/>
              </w:rPr>
            </w:pPr>
            <w:r w:rsidRPr="00426497">
              <w:rPr>
                <w:b/>
                <w:bCs/>
                <w:i/>
                <w:szCs w:val="24"/>
              </w:rPr>
              <w:t>00915/TLALNEPA/IP/2024</w:t>
            </w:r>
          </w:p>
        </w:tc>
        <w:tc>
          <w:tcPr>
            <w:tcW w:w="5386" w:type="dxa"/>
          </w:tcPr>
          <w:p w14:paraId="771AC776" w14:textId="31547D71" w:rsidR="001535C3" w:rsidRPr="00426497" w:rsidRDefault="00426497" w:rsidP="00511260">
            <w:pPr>
              <w:pStyle w:val="Prrafodelista"/>
              <w:numPr>
                <w:ilvl w:val="0"/>
                <w:numId w:val="7"/>
              </w:numPr>
              <w:rPr>
                <w:rFonts w:eastAsia="Palatino Linotype" w:cs="Palatino Linotype"/>
                <w:b/>
                <w:bCs/>
                <w:i/>
                <w:color w:val="000000"/>
                <w:szCs w:val="24"/>
              </w:rPr>
            </w:pPr>
            <w:r w:rsidRPr="00426497">
              <w:rPr>
                <w:rFonts w:cs="Arial"/>
                <w:b/>
                <w:bCs/>
                <w:i/>
                <w:szCs w:val="24"/>
              </w:rPr>
              <w:t xml:space="preserve">RESPUESTA SAIMEX </w:t>
            </w:r>
            <w:proofErr w:type="spellStart"/>
            <w:r w:rsidRPr="00426497">
              <w:rPr>
                <w:rFonts w:cs="Arial"/>
                <w:b/>
                <w:bCs/>
                <w:i/>
                <w:szCs w:val="24"/>
              </w:rPr>
              <w:t>SAIMEX</w:t>
            </w:r>
            <w:proofErr w:type="spellEnd"/>
            <w:r w:rsidRPr="00426497">
              <w:rPr>
                <w:rFonts w:cs="Arial"/>
                <w:b/>
                <w:bCs/>
                <w:i/>
                <w:szCs w:val="24"/>
              </w:rPr>
              <w:t xml:space="preserve"> 00915.zip</w:t>
            </w:r>
          </w:p>
        </w:tc>
      </w:tr>
    </w:tbl>
    <w:p w14:paraId="1236E666" w14:textId="77777777" w:rsidR="001535C3" w:rsidRDefault="001535C3" w:rsidP="00511260">
      <w:pPr>
        <w:pBdr>
          <w:top w:val="nil"/>
          <w:left w:val="nil"/>
          <w:bottom w:val="nil"/>
          <w:right w:val="nil"/>
          <w:between w:val="nil"/>
        </w:pBdr>
        <w:contextualSpacing/>
        <w:rPr>
          <w:rFonts w:eastAsia="Palatino Linotype" w:cs="Palatino Linotype"/>
          <w:color w:val="000000"/>
          <w:szCs w:val="24"/>
        </w:rPr>
      </w:pPr>
    </w:p>
    <w:p w14:paraId="2F641781" w14:textId="6E19FBD0" w:rsidR="00511260" w:rsidRPr="005276F9" w:rsidRDefault="00D321D8" w:rsidP="00511260">
      <w:pPr>
        <w:pBdr>
          <w:top w:val="nil"/>
          <w:left w:val="nil"/>
          <w:bottom w:val="nil"/>
          <w:right w:val="nil"/>
          <w:between w:val="nil"/>
        </w:pBdr>
        <w:contextualSpacing/>
        <w:rPr>
          <w:szCs w:val="24"/>
        </w:rPr>
      </w:pPr>
      <w:r>
        <w:rPr>
          <w:rFonts w:eastAsia="Palatino Linotype" w:cs="Palatino Linotype"/>
          <w:color w:val="000000"/>
          <w:szCs w:val="24"/>
        </w:rPr>
        <w:t xml:space="preserve">Los </w:t>
      </w:r>
      <w:r w:rsidR="00511260">
        <w:rPr>
          <w:rFonts w:eastAsia="Palatino Linotype" w:cs="Palatino Linotype"/>
          <w:color w:val="000000"/>
          <w:szCs w:val="24"/>
        </w:rPr>
        <w:t>cual</w:t>
      </w:r>
      <w:r>
        <w:rPr>
          <w:rFonts w:eastAsia="Palatino Linotype" w:cs="Palatino Linotype"/>
          <w:color w:val="000000"/>
          <w:szCs w:val="24"/>
        </w:rPr>
        <w:t>es</w:t>
      </w:r>
      <w:r w:rsidR="00511260">
        <w:rPr>
          <w:rFonts w:eastAsia="Palatino Linotype" w:cs="Palatino Linotype"/>
          <w:color w:val="000000"/>
          <w:szCs w:val="24"/>
        </w:rPr>
        <w:t xml:space="preserve"> no se reproduce</w:t>
      </w:r>
      <w:r>
        <w:rPr>
          <w:rFonts w:eastAsia="Palatino Linotype" w:cs="Palatino Linotype"/>
          <w:color w:val="000000"/>
          <w:szCs w:val="24"/>
        </w:rPr>
        <w:t>n</w:t>
      </w:r>
      <w:r w:rsidR="00511260">
        <w:rPr>
          <w:rFonts w:eastAsia="Palatino Linotype" w:cs="Palatino Linotype"/>
          <w:color w:val="000000"/>
          <w:szCs w:val="24"/>
        </w:rPr>
        <w:t xml:space="preserve"> por ser del conocimiento de las partes; no obstante, su contenido será motivo de análisis en el estudio correspondiente.</w:t>
      </w:r>
    </w:p>
    <w:p w14:paraId="2DE68489" w14:textId="77777777" w:rsidR="00511260" w:rsidRPr="00511260" w:rsidRDefault="00511260" w:rsidP="00511260">
      <w:pPr>
        <w:rPr>
          <w:b/>
          <w:bCs/>
          <w:sz w:val="28"/>
          <w:szCs w:val="28"/>
        </w:rPr>
      </w:pPr>
      <w:r w:rsidRPr="00511260">
        <w:rPr>
          <w:b/>
          <w:bCs/>
          <w:sz w:val="28"/>
          <w:szCs w:val="28"/>
        </w:rPr>
        <w:t>TERCERO. Del recurso de revisión.</w:t>
      </w:r>
    </w:p>
    <w:p w14:paraId="7F7738FB" w14:textId="4E3D995E" w:rsidR="00511260" w:rsidRPr="006922F5" w:rsidRDefault="00511260" w:rsidP="00511260">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Inconforme con la respuesta emitida por el Sujeto Obligado, </w:t>
      </w:r>
      <w:r>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w:t>
      </w:r>
      <w:r w:rsidR="001963C1">
        <w:rPr>
          <w:rFonts w:eastAsia="Palatino Linotype" w:cs="Palatino Linotype"/>
          <w:color w:val="000000"/>
          <w:szCs w:val="24"/>
        </w:rPr>
        <w:t xml:space="preserve">el día </w:t>
      </w:r>
      <w:r w:rsidR="001535C3">
        <w:rPr>
          <w:rFonts w:eastAsia="Palatino Linotype" w:cs="Palatino Linotype"/>
          <w:b/>
          <w:bCs/>
          <w:color w:val="000000"/>
          <w:szCs w:val="24"/>
        </w:rPr>
        <w:t>dos de octubre</w:t>
      </w:r>
      <w:r w:rsidR="001963C1">
        <w:rPr>
          <w:rFonts w:eastAsia="Palatino Linotype" w:cs="Palatino Linotype"/>
          <w:b/>
          <w:bCs/>
          <w:color w:val="000000"/>
          <w:szCs w:val="24"/>
        </w:rPr>
        <w:t xml:space="preserve"> de dos mil veinticuatro</w:t>
      </w:r>
      <w:r w:rsidRPr="006922F5">
        <w:rPr>
          <w:rFonts w:eastAsia="Palatino Linotype" w:cs="Palatino Linotype"/>
          <w:color w:val="000000"/>
          <w:szCs w:val="24"/>
        </w:rPr>
        <w:t xml:space="preserve">, el cual se </w:t>
      </w:r>
      <w:r w:rsidRPr="006922F5">
        <w:rPr>
          <w:rFonts w:eastAsia="Palatino Linotype" w:cs="Palatino Linotype"/>
          <w:color w:val="000000"/>
          <w:szCs w:val="24"/>
        </w:rPr>
        <w:lastRenderedPageBreak/>
        <w:t xml:space="preserve">registró con el expediente número </w:t>
      </w:r>
      <w:r>
        <w:rPr>
          <w:rFonts w:eastAsia="Palatino Linotype" w:cs="Palatino Linotype"/>
          <w:b/>
          <w:color w:val="000000"/>
          <w:szCs w:val="24"/>
        </w:rPr>
        <w:t>0</w:t>
      </w:r>
      <w:r w:rsidR="00281400">
        <w:rPr>
          <w:rFonts w:eastAsia="Palatino Linotype" w:cs="Palatino Linotype"/>
          <w:b/>
          <w:color w:val="000000"/>
          <w:szCs w:val="24"/>
        </w:rPr>
        <w:t>5</w:t>
      </w:r>
      <w:r w:rsidR="001535C3">
        <w:rPr>
          <w:rFonts w:eastAsia="Palatino Linotype" w:cs="Palatino Linotype"/>
          <w:b/>
          <w:color w:val="000000"/>
          <w:szCs w:val="24"/>
        </w:rPr>
        <w:t>985</w:t>
      </w:r>
      <w:r>
        <w:rPr>
          <w:rFonts w:eastAsia="Palatino Linotype" w:cs="Palatino Linotype"/>
          <w:b/>
          <w:color w:val="000000"/>
          <w:szCs w:val="24"/>
        </w:rPr>
        <w:t>/INFOEM/IP/RR/202</w:t>
      </w:r>
      <w:r w:rsidR="00E513F1">
        <w:rPr>
          <w:rFonts w:eastAsia="Palatino Linotype" w:cs="Palatino Linotype"/>
          <w:b/>
          <w:color w:val="000000"/>
          <w:szCs w:val="24"/>
        </w:rPr>
        <w:t>4</w:t>
      </w:r>
      <w:r w:rsidR="00281400">
        <w:rPr>
          <w:rFonts w:eastAsia="Palatino Linotype" w:cs="Palatino Linotype"/>
          <w:b/>
          <w:color w:val="000000"/>
          <w:szCs w:val="24"/>
        </w:rPr>
        <w:t>, 05</w:t>
      </w:r>
      <w:r w:rsidR="001535C3">
        <w:rPr>
          <w:rFonts w:eastAsia="Palatino Linotype" w:cs="Palatino Linotype"/>
          <w:b/>
          <w:color w:val="000000"/>
          <w:szCs w:val="24"/>
        </w:rPr>
        <w:t>986/INFOEM/IP/RR/</w:t>
      </w:r>
      <w:r w:rsidR="00281400">
        <w:rPr>
          <w:rFonts w:eastAsia="Palatino Linotype" w:cs="Palatino Linotype"/>
          <w:b/>
          <w:color w:val="000000"/>
          <w:szCs w:val="24"/>
        </w:rPr>
        <w:t>2024, 05</w:t>
      </w:r>
      <w:r w:rsidR="007B6F7C">
        <w:rPr>
          <w:rFonts w:eastAsia="Palatino Linotype" w:cs="Palatino Linotype"/>
          <w:b/>
          <w:color w:val="000000"/>
          <w:szCs w:val="24"/>
        </w:rPr>
        <w:t xml:space="preserve">987/INFOEM/IP/RR/2024 </w:t>
      </w:r>
      <w:r w:rsidR="00281400">
        <w:rPr>
          <w:rFonts w:eastAsia="Palatino Linotype" w:cs="Palatino Linotype"/>
          <w:b/>
          <w:color w:val="000000"/>
          <w:szCs w:val="24"/>
        </w:rPr>
        <w:t>y 05</w:t>
      </w:r>
      <w:r w:rsidR="001535C3">
        <w:rPr>
          <w:rFonts w:eastAsia="Palatino Linotype" w:cs="Palatino Linotype"/>
          <w:b/>
          <w:color w:val="000000"/>
          <w:szCs w:val="24"/>
        </w:rPr>
        <w:t>988/INFOEM/IP/RR/2024</w:t>
      </w:r>
      <w:r w:rsidR="00E513F1">
        <w:rPr>
          <w:rFonts w:eastAsia="Palatino Linotype" w:cs="Palatino Linotype"/>
          <w:b/>
          <w:color w:val="000000"/>
          <w:szCs w:val="24"/>
        </w:rPr>
        <w:t xml:space="preserve"> </w:t>
      </w:r>
      <w:r w:rsidRPr="006922F5">
        <w:rPr>
          <w:rFonts w:eastAsia="Palatino Linotype" w:cs="Palatino Linotype"/>
          <w:color w:val="000000"/>
          <w:szCs w:val="24"/>
        </w:rPr>
        <w:t>manifestando lo siguiente:</w:t>
      </w:r>
    </w:p>
    <w:p w14:paraId="59602D2B" w14:textId="77777777" w:rsidR="001535C3" w:rsidRDefault="001535C3" w:rsidP="00511260">
      <w:pPr>
        <w:pBdr>
          <w:top w:val="nil"/>
          <w:left w:val="nil"/>
          <w:bottom w:val="nil"/>
          <w:right w:val="nil"/>
          <w:between w:val="nil"/>
        </w:pBdr>
        <w:contextualSpacing/>
        <w:rPr>
          <w:rFonts w:eastAsia="Palatino Linotype" w:cs="Palatino Linotype"/>
          <w:color w:val="000000"/>
          <w:szCs w:val="24"/>
        </w:rPr>
      </w:pPr>
    </w:p>
    <w:p w14:paraId="604E6612" w14:textId="1F467087" w:rsidR="001535C3" w:rsidRPr="007B63EE" w:rsidRDefault="001535C3" w:rsidP="00511260">
      <w:pPr>
        <w:pStyle w:val="Prrafodelista"/>
        <w:numPr>
          <w:ilvl w:val="0"/>
          <w:numId w:val="15"/>
        </w:numPr>
        <w:pBdr>
          <w:top w:val="nil"/>
          <w:left w:val="nil"/>
          <w:bottom w:val="nil"/>
          <w:right w:val="nil"/>
          <w:between w:val="nil"/>
        </w:pBdr>
        <w:rPr>
          <w:rFonts w:eastAsia="Palatino Linotype" w:cs="Palatino Linotype"/>
          <w:b/>
          <w:color w:val="000000"/>
          <w:szCs w:val="24"/>
        </w:rPr>
      </w:pPr>
      <w:r w:rsidRPr="007B63EE">
        <w:rPr>
          <w:rFonts w:eastAsia="Palatino Linotype" w:cs="Palatino Linotype"/>
          <w:color w:val="000000"/>
          <w:szCs w:val="24"/>
        </w:rPr>
        <w:t xml:space="preserve">Recurso de revisión </w:t>
      </w:r>
      <w:r w:rsidR="00426497" w:rsidRPr="007B63EE">
        <w:rPr>
          <w:rFonts w:eastAsia="Palatino Linotype" w:cs="Palatino Linotype"/>
          <w:b/>
          <w:color w:val="000000"/>
          <w:szCs w:val="24"/>
        </w:rPr>
        <w:t>05</w:t>
      </w:r>
      <w:r w:rsidRPr="007B63EE">
        <w:rPr>
          <w:rFonts w:eastAsia="Palatino Linotype" w:cs="Palatino Linotype"/>
          <w:b/>
          <w:color w:val="000000"/>
          <w:szCs w:val="24"/>
        </w:rPr>
        <w:t>985/INFOEM/IP/RR/2024</w:t>
      </w:r>
    </w:p>
    <w:p w14:paraId="373BE033" w14:textId="77777777" w:rsidR="001535C3" w:rsidRPr="007B63EE" w:rsidRDefault="001535C3" w:rsidP="001535C3">
      <w:pPr>
        <w:pStyle w:val="Prrafodelista"/>
        <w:rPr>
          <w:rFonts w:eastAsia="Palatino Linotype" w:cs="Palatino Linotype"/>
          <w:b/>
          <w:i/>
          <w:sz w:val="22"/>
        </w:rPr>
      </w:pPr>
      <w:r w:rsidRPr="007B63EE">
        <w:rPr>
          <w:rFonts w:eastAsia="Palatino Linotype" w:cs="Palatino Linotype"/>
          <w:b/>
          <w:i/>
          <w:sz w:val="22"/>
        </w:rPr>
        <w:t xml:space="preserve">Acto Impugnado: </w:t>
      </w:r>
    </w:p>
    <w:p w14:paraId="0F14DA19" w14:textId="39DE948C" w:rsidR="001535C3" w:rsidRPr="007B63EE" w:rsidRDefault="001535C3" w:rsidP="001535C3">
      <w:pPr>
        <w:pStyle w:val="Fundamentos"/>
        <w:ind w:left="720"/>
        <w:rPr>
          <w:b/>
          <w:szCs w:val="22"/>
        </w:rPr>
      </w:pPr>
      <w:r w:rsidRPr="007B63EE">
        <w:rPr>
          <w:szCs w:val="22"/>
        </w:rPr>
        <w:t xml:space="preserve">“No se </w:t>
      </w:r>
      <w:proofErr w:type="spellStart"/>
      <w:r w:rsidRPr="007B63EE">
        <w:rPr>
          <w:szCs w:val="22"/>
        </w:rPr>
        <w:t>solicito</w:t>
      </w:r>
      <w:proofErr w:type="spellEnd"/>
      <w:r w:rsidRPr="007B63EE">
        <w:rPr>
          <w:szCs w:val="22"/>
        </w:rPr>
        <w:t xml:space="preserve"> el PBR en sus funciones obligacionales dice que deben </w:t>
      </w:r>
      <w:proofErr w:type="spellStart"/>
      <w:r w:rsidRPr="007B63EE">
        <w:rPr>
          <w:szCs w:val="22"/>
        </w:rPr>
        <w:t>tene</w:t>
      </w:r>
      <w:proofErr w:type="spellEnd"/>
      <w:r w:rsidRPr="007B63EE">
        <w:rPr>
          <w:szCs w:val="22"/>
        </w:rPr>
        <w:t xml:space="preserve"> run programa de Trabajo en materia de movilidad por lo que es lo que se solicita” Sic)</w:t>
      </w:r>
    </w:p>
    <w:p w14:paraId="2DFFB531" w14:textId="77777777" w:rsidR="001535C3" w:rsidRPr="007B63EE" w:rsidRDefault="001535C3" w:rsidP="001535C3">
      <w:pPr>
        <w:rPr>
          <w:rFonts w:eastAsia="Palatino Linotype" w:cs="Palatino Linotype"/>
          <w:i/>
          <w:iCs/>
          <w:sz w:val="22"/>
        </w:rPr>
      </w:pPr>
    </w:p>
    <w:p w14:paraId="45D6F6E9" w14:textId="77777777" w:rsidR="001535C3" w:rsidRPr="007B63EE" w:rsidRDefault="001535C3" w:rsidP="001535C3">
      <w:pPr>
        <w:pStyle w:val="Prrafodelista"/>
        <w:rPr>
          <w:rFonts w:eastAsia="Palatino Linotype" w:cs="Palatino Linotype"/>
          <w:i/>
          <w:sz w:val="22"/>
        </w:rPr>
      </w:pPr>
      <w:r w:rsidRPr="007B63EE">
        <w:rPr>
          <w:rFonts w:eastAsia="Palatino Linotype" w:cs="Palatino Linotype"/>
          <w:b/>
          <w:i/>
          <w:sz w:val="22"/>
        </w:rPr>
        <w:t>Razones o Motivos de Inconformidad</w:t>
      </w:r>
      <w:r w:rsidRPr="007B63EE">
        <w:rPr>
          <w:rFonts w:eastAsia="Palatino Linotype" w:cs="Palatino Linotype"/>
          <w:i/>
          <w:sz w:val="22"/>
        </w:rPr>
        <w:t>:</w:t>
      </w:r>
    </w:p>
    <w:p w14:paraId="26C5B769" w14:textId="4AFC3BDC" w:rsidR="001535C3" w:rsidRPr="007B63EE" w:rsidRDefault="001535C3" w:rsidP="001535C3">
      <w:pPr>
        <w:pStyle w:val="Fundamentos"/>
        <w:ind w:left="720"/>
        <w:rPr>
          <w:szCs w:val="22"/>
        </w:rPr>
      </w:pPr>
      <w:r w:rsidRPr="007B63EE">
        <w:rPr>
          <w:szCs w:val="22"/>
        </w:rPr>
        <w:t xml:space="preserve">“no me entregaron lo </w:t>
      </w:r>
      <w:proofErr w:type="spellStart"/>
      <w:r w:rsidRPr="007B63EE">
        <w:rPr>
          <w:szCs w:val="22"/>
        </w:rPr>
        <w:t>su</w:t>
      </w:r>
      <w:proofErr w:type="spellEnd"/>
      <w:r w:rsidRPr="007B63EE">
        <w:rPr>
          <w:szCs w:val="22"/>
        </w:rPr>
        <w:t xml:space="preserve"> </w:t>
      </w:r>
      <w:proofErr w:type="spellStart"/>
      <w:r w:rsidRPr="007B63EE">
        <w:rPr>
          <w:szCs w:val="22"/>
        </w:rPr>
        <w:t>que</w:t>
      </w:r>
      <w:proofErr w:type="spellEnd"/>
      <w:r w:rsidRPr="007B63EE">
        <w:rPr>
          <w:szCs w:val="22"/>
        </w:rPr>
        <w:t xml:space="preserve"> solicito” (Sic)</w:t>
      </w:r>
    </w:p>
    <w:p w14:paraId="2FFD4FDF" w14:textId="77777777" w:rsidR="007B63EE" w:rsidRPr="007B63EE" w:rsidRDefault="007B63EE" w:rsidP="001535C3">
      <w:pPr>
        <w:pBdr>
          <w:top w:val="nil"/>
          <w:left w:val="nil"/>
          <w:bottom w:val="nil"/>
          <w:right w:val="nil"/>
          <w:between w:val="nil"/>
        </w:pBdr>
        <w:rPr>
          <w:rFonts w:eastAsia="Palatino Linotype" w:cs="Palatino Linotype"/>
          <w:b/>
          <w:i/>
          <w:color w:val="000000"/>
          <w:sz w:val="22"/>
        </w:rPr>
      </w:pPr>
    </w:p>
    <w:p w14:paraId="760A8FCC" w14:textId="42455297" w:rsidR="001535C3" w:rsidRPr="007B63EE" w:rsidRDefault="001535C3" w:rsidP="001535C3">
      <w:pPr>
        <w:pStyle w:val="Prrafodelista"/>
        <w:numPr>
          <w:ilvl w:val="0"/>
          <w:numId w:val="15"/>
        </w:numPr>
        <w:pBdr>
          <w:top w:val="nil"/>
          <w:left w:val="nil"/>
          <w:bottom w:val="nil"/>
          <w:right w:val="nil"/>
          <w:between w:val="nil"/>
        </w:pBdr>
        <w:rPr>
          <w:rFonts w:eastAsia="Palatino Linotype" w:cs="Palatino Linotype"/>
          <w:b/>
          <w:color w:val="000000"/>
          <w:szCs w:val="24"/>
        </w:rPr>
      </w:pPr>
      <w:r w:rsidRPr="007B63EE">
        <w:rPr>
          <w:rFonts w:eastAsia="Palatino Linotype" w:cs="Palatino Linotype"/>
          <w:color w:val="000000"/>
          <w:szCs w:val="24"/>
        </w:rPr>
        <w:t xml:space="preserve">Recurso de revisión </w:t>
      </w:r>
      <w:r w:rsidR="00426497" w:rsidRPr="007B63EE">
        <w:rPr>
          <w:rFonts w:eastAsia="Palatino Linotype" w:cs="Palatino Linotype"/>
          <w:b/>
          <w:color w:val="000000"/>
          <w:szCs w:val="24"/>
        </w:rPr>
        <w:t>05</w:t>
      </w:r>
      <w:r w:rsidRPr="007B63EE">
        <w:rPr>
          <w:rFonts w:eastAsia="Palatino Linotype" w:cs="Palatino Linotype"/>
          <w:b/>
          <w:color w:val="000000"/>
          <w:szCs w:val="24"/>
        </w:rPr>
        <w:t>986/INFOEM/IP/RR/2024</w:t>
      </w:r>
    </w:p>
    <w:p w14:paraId="3E5DDEF9" w14:textId="614F3800" w:rsidR="001535C3" w:rsidRPr="007B63EE" w:rsidRDefault="001535C3" w:rsidP="007B63EE">
      <w:pPr>
        <w:pStyle w:val="Prrafodelista"/>
        <w:rPr>
          <w:rFonts w:eastAsia="Palatino Linotype" w:cs="Palatino Linotype"/>
          <w:i/>
          <w:sz w:val="22"/>
        </w:rPr>
      </w:pPr>
      <w:r w:rsidRPr="007B63EE">
        <w:rPr>
          <w:rFonts w:eastAsia="Palatino Linotype" w:cs="Palatino Linotype"/>
          <w:b/>
          <w:i/>
          <w:sz w:val="22"/>
        </w:rPr>
        <w:t>Acto Impugnado</w:t>
      </w:r>
      <w:r w:rsidR="007B63EE">
        <w:rPr>
          <w:rFonts w:eastAsia="Palatino Linotype" w:cs="Palatino Linotype"/>
          <w:b/>
          <w:i/>
          <w:sz w:val="22"/>
        </w:rPr>
        <w:t xml:space="preserve"> y </w:t>
      </w:r>
      <w:r w:rsidR="007B63EE" w:rsidRPr="007B63EE">
        <w:rPr>
          <w:rFonts w:eastAsia="Palatino Linotype" w:cs="Palatino Linotype"/>
          <w:b/>
          <w:i/>
          <w:sz w:val="22"/>
        </w:rPr>
        <w:t>Razones o Motivos de Inconformidad</w:t>
      </w:r>
      <w:r w:rsidR="007B63EE">
        <w:rPr>
          <w:rFonts w:eastAsia="Palatino Linotype" w:cs="Palatino Linotype"/>
          <w:i/>
          <w:sz w:val="22"/>
        </w:rPr>
        <w:t>:</w:t>
      </w:r>
    </w:p>
    <w:p w14:paraId="323FBF70" w14:textId="35CF899D" w:rsidR="001535C3" w:rsidRPr="007B63EE" w:rsidRDefault="001535C3" w:rsidP="001535C3">
      <w:pPr>
        <w:pStyle w:val="Fundamentos"/>
        <w:ind w:left="720"/>
        <w:rPr>
          <w:b/>
          <w:szCs w:val="22"/>
        </w:rPr>
      </w:pPr>
      <w:r w:rsidRPr="007B63EE">
        <w:rPr>
          <w:szCs w:val="22"/>
        </w:rPr>
        <w:t>“</w:t>
      </w:r>
      <w:r w:rsidR="00426497" w:rsidRPr="007B63EE">
        <w:rPr>
          <w:szCs w:val="22"/>
        </w:rPr>
        <w:t xml:space="preserve">No se </w:t>
      </w:r>
      <w:proofErr w:type="spellStart"/>
      <w:r w:rsidR="00426497" w:rsidRPr="007B63EE">
        <w:rPr>
          <w:szCs w:val="22"/>
        </w:rPr>
        <w:t>solicito</w:t>
      </w:r>
      <w:proofErr w:type="spellEnd"/>
      <w:r w:rsidR="00426497" w:rsidRPr="007B63EE">
        <w:rPr>
          <w:szCs w:val="22"/>
        </w:rPr>
        <w:t xml:space="preserve"> el PBR en sus obligaciones legales dice que deben realizar un programa de movilidad y hacer un informe de sus resultados se solicita ese programa anual</w:t>
      </w:r>
      <w:r w:rsidRPr="007B63EE">
        <w:rPr>
          <w:szCs w:val="22"/>
        </w:rPr>
        <w:t>” Sic)</w:t>
      </w:r>
    </w:p>
    <w:p w14:paraId="10492FF9" w14:textId="77777777" w:rsidR="001535C3" w:rsidRPr="007B63EE" w:rsidRDefault="001535C3" w:rsidP="007B63EE">
      <w:pPr>
        <w:pBdr>
          <w:top w:val="nil"/>
          <w:left w:val="nil"/>
          <w:bottom w:val="nil"/>
          <w:right w:val="nil"/>
          <w:between w:val="nil"/>
        </w:pBdr>
        <w:rPr>
          <w:rFonts w:eastAsia="Palatino Linotype" w:cs="Palatino Linotype"/>
          <w:b/>
          <w:i/>
          <w:color w:val="000000"/>
          <w:sz w:val="22"/>
        </w:rPr>
      </w:pPr>
    </w:p>
    <w:p w14:paraId="3A382AF4" w14:textId="7B3205EA" w:rsidR="001535C3" w:rsidRPr="007B63EE" w:rsidRDefault="001535C3" w:rsidP="00511260">
      <w:pPr>
        <w:pStyle w:val="Prrafodelista"/>
        <w:numPr>
          <w:ilvl w:val="0"/>
          <w:numId w:val="15"/>
        </w:numPr>
        <w:pBdr>
          <w:top w:val="nil"/>
          <w:left w:val="nil"/>
          <w:bottom w:val="nil"/>
          <w:right w:val="nil"/>
          <w:between w:val="nil"/>
        </w:pBdr>
        <w:rPr>
          <w:rFonts w:eastAsia="Palatino Linotype" w:cs="Palatino Linotype"/>
          <w:b/>
          <w:color w:val="000000"/>
          <w:szCs w:val="24"/>
        </w:rPr>
      </w:pPr>
      <w:r w:rsidRPr="007B63EE">
        <w:rPr>
          <w:rFonts w:eastAsia="Palatino Linotype" w:cs="Palatino Linotype"/>
          <w:color w:val="000000"/>
          <w:szCs w:val="24"/>
        </w:rPr>
        <w:t xml:space="preserve">Recurso de revisión </w:t>
      </w:r>
      <w:r w:rsidR="00426497" w:rsidRPr="007B63EE">
        <w:rPr>
          <w:rFonts w:eastAsia="Palatino Linotype" w:cs="Palatino Linotype"/>
          <w:b/>
          <w:color w:val="000000"/>
          <w:szCs w:val="24"/>
        </w:rPr>
        <w:t>05</w:t>
      </w:r>
      <w:r w:rsidRPr="007B63EE">
        <w:rPr>
          <w:rFonts w:eastAsia="Palatino Linotype" w:cs="Palatino Linotype"/>
          <w:b/>
          <w:color w:val="000000"/>
          <w:szCs w:val="24"/>
        </w:rPr>
        <w:t xml:space="preserve">987/INFOEM/IP/RR/2024  </w:t>
      </w:r>
    </w:p>
    <w:p w14:paraId="23D004BE" w14:textId="513B8BA2" w:rsidR="001535C3" w:rsidRPr="007B63EE" w:rsidRDefault="001535C3" w:rsidP="001535C3">
      <w:pPr>
        <w:pStyle w:val="Prrafodelista"/>
        <w:rPr>
          <w:rFonts w:eastAsia="Palatino Linotype" w:cs="Palatino Linotype"/>
          <w:b/>
          <w:i/>
          <w:sz w:val="22"/>
        </w:rPr>
      </w:pPr>
      <w:r w:rsidRPr="007B63EE">
        <w:rPr>
          <w:rFonts w:eastAsia="Palatino Linotype" w:cs="Palatino Linotype"/>
          <w:b/>
          <w:i/>
          <w:sz w:val="22"/>
        </w:rPr>
        <w:t>Acto Impugnado</w:t>
      </w:r>
      <w:r w:rsidR="007B63EE">
        <w:rPr>
          <w:rFonts w:eastAsia="Palatino Linotype" w:cs="Palatino Linotype"/>
          <w:b/>
          <w:i/>
          <w:sz w:val="22"/>
        </w:rPr>
        <w:t xml:space="preserve"> y </w:t>
      </w:r>
      <w:r w:rsidR="007B63EE" w:rsidRPr="007B63EE">
        <w:rPr>
          <w:rFonts w:eastAsia="Palatino Linotype" w:cs="Palatino Linotype"/>
          <w:b/>
          <w:i/>
          <w:sz w:val="22"/>
        </w:rPr>
        <w:t>Razones o Motivos de Inconformidad</w:t>
      </w:r>
      <w:r w:rsidRPr="007B63EE">
        <w:rPr>
          <w:rFonts w:eastAsia="Palatino Linotype" w:cs="Palatino Linotype"/>
          <w:b/>
          <w:i/>
          <w:sz w:val="22"/>
        </w:rPr>
        <w:t xml:space="preserve">: </w:t>
      </w:r>
    </w:p>
    <w:p w14:paraId="7E52A897" w14:textId="7B114D50" w:rsidR="001535C3" w:rsidRPr="007B63EE" w:rsidRDefault="001535C3" w:rsidP="001535C3">
      <w:pPr>
        <w:pStyle w:val="Fundamentos"/>
        <w:ind w:left="720"/>
        <w:rPr>
          <w:b/>
          <w:szCs w:val="22"/>
        </w:rPr>
      </w:pPr>
      <w:r w:rsidRPr="007B63EE">
        <w:rPr>
          <w:szCs w:val="22"/>
        </w:rPr>
        <w:t>“</w:t>
      </w:r>
      <w:r w:rsidR="00426497" w:rsidRPr="007B63EE">
        <w:rPr>
          <w:szCs w:val="22"/>
        </w:rPr>
        <w:t xml:space="preserve">No se </w:t>
      </w:r>
      <w:proofErr w:type="spellStart"/>
      <w:r w:rsidR="00426497" w:rsidRPr="007B63EE">
        <w:rPr>
          <w:szCs w:val="22"/>
        </w:rPr>
        <w:t>solicito</w:t>
      </w:r>
      <w:proofErr w:type="spellEnd"/>
      <w:r w:rsidR="00426497" w:rsidRPr="007B63EE">
        <w:rPr>
          <w:szCs w:val="22"/>
        </w:rPr>
        <w:t xml:space="preserve"> el PBR en sus obligaciones legales dice que deben realizar un programa de movilidad y hacer un informe de sus resultados se solicita ese programa anual</w:t>
      </w:r>
      <w:r w:rsidRPr="007B63EE">
        <w:rPr>
          <w:szCs w:val="22"/>
        </w:rPr>
        <w:t>” Sic)</w:t>
      </w:r>
    </w:p>
    <w:p w14:paraId="3234373C" w14:textId="77777777" w:rsidR="007B63EE" w:rsidRPr="007B63EE" w:rsidRDefault="007B63EE" w:rsidP="001535C3">
      <w:pPr>
        <w:pBdr>
          <w:top w:val="nil"/>
          <w:left w:val="nil"/>
          <w:bottom w:val="nil"/>
          <w:right w:val="nil"/>
          <w:between w:val="nil"/>
        </w:pBdr>
        <w:rPr>
          <w:rFonts w:eastAsia="Palatino Linotype" w:cs="Palatino Linotype"/>
          <w:b/>
          <w:i/>
          <w:color w:val="000000"/>
          <w:sz w:val="22"/>
        </w:rPr>
      </w:pPr>
    </w:p>
    <w:p w14:paraId="75DE52BF" w14:textId="11924219" w:rsidR="005276F9" w:rsidRPr="00281400" w:rsidRDefault="001535C3" w:rsidP="00511260">
      <w:pPr>
        <w:pStyle w:val="Prrafodelista"/>
        <w:numPr>
          <w:ilvl w:val="0"/>
          <w:numId w:val="15"/>
        </w:numPr>
        <w:pBdr>
          <w:top w:val="nil"/>
          <w:left w:val="nil"/>
          <w:bottom w:val="nil"/>
          <w:right w:val="nil"/>
          <w:between w:val="nil"/>
        </w:pBdr>
        <w:rPr>
          <w:rFonts w:eastAsia="Palatino Linotype" w:cs="Palatino Linotype"/>
          <w:b/>
          <w:color w:val="000000"/>
          <w:szCs w:val="24"/>
        </w:rPr>
      </w:pPr>
      <w:r w:rsidRPr="007B63EE">
        <w:rPr>
          <w:rFonts w:eastAsia="Palatino Linotype" w:cs="Palatino Linotype"/>
          <w:b/>
          <w:i/>
          <w:color w:val="000000"/>
          <w:sz w:val="22"/>
        </w:rPr>
        <w:t xml:space="preserve"> </w:t>
      </w:r>
      <w:r w:rsidRPr="007B63EE">
        <w:rPr>
          <w:rFonts w:eastAsia="Palatino Linotype" w:cs="Palatino Linotype"/>
          <w:color w:val="000000"/>
          <w:szCs w:val="24"/>
        </w:rPr>
        <w:t>Recurso de revisión</w:t>
      </w:r>
      <w:r w:rsidR="00426497" w:rsidRPr="007B63EE">
        <w:rPr>
          <w:rFonts w:eastAsia="Palatino Linotype" w:cs="Palatino Linotype"/>
          <w:b/>
          <w:color w:val="000000"/>
          <w:szCs w:val="24"/>
        </w:rPr>
        <w:t xml:space="preserve"> 05</w:t>
      </w:r>
      <w:r w:rsidRPr="007B63EE">
        <w:rPr>
          <w:rFonts w:eastAsia="Palatino Linotype" w:cs="Palatino Linotype"/>
          <w:b/>
          <w:color w:val="000000"/>
          <w:szCs w:val="24"/>
        </w:rPr>
        <w:t xml:space="preserve">988/INFOEM/IP/RR/2024  </w:t>
      </w:r>
    </w:p>
    <w:p w14:paraId="630CEE20" w14:textId="6DDCCE4C" w:rsidR="00511260" w:rsidRPr="007B63EE" w:rsidRDefault="00511260" w:rsidP="00511260">
      <w:pPr>
        <w:contextualSpacing/>
        <w:rPr>
          <w:rFonts w:eastAsia="Palatino Linotype" w:cs="Palatino Linotype"/>
          <w:b/>
          <w:i/>
          <w:sz w:val="22"/>
        </w:rPr>
      </w:pPr>
      <w:r w:rsidRPr="007B63EE">
        <w:rPr>
          <w:rFonts w:eastAsia="Palatino Linotype" w:cs="Palatino Linotype"/>
          <w:b/>
          <w:i/>
          <w:sz w:val="22"/>
        </w:rPr>
        <w:t>Acto Impugnado</w:t>
      </w:r>
      <w:r w:rsidR="007B63EE">
        <w:rPr>
          <w:rFonts w:eastAsia="Palatino Linotype" w:cs="Palatino Linotype"/>
          <w:b/>
          <w:i/>
          <w:sz w:val="22"/>
        </w:rPr>
        <w:t xml:space="preserve"> y </w:t>
      </w:r>
      <w:r w:rsidR="007B63EE" w:rsidRPr="007B63EE">
        <w:rPr>
          <w:rFonts w:eastAsia="Palatino Linotype" w:cs="Palatino Linotype"/>
          <w:b/>
          <w:i/>
          <w:sz w:val="22"/>
        </w:rPr>
        <w:t>Razones o Motivos de Inconformidad</w:t>
      </w:r>
      <w:r w:rsidRPr="007B63EE">
        <w:rPr>
          <w:rFonts w:eastAsia="Palatino Linotype" w:cs="Palatino Linotype"/>
          <w:b/>
          <w:i/>
          <w:sz w:val="22"/>
        </w:rPr>
        <w:t xml:space="preserve">: </w:t>
      </w:r>
    </w:p>
    <w:p w14:paraId="02181A32" w14:textId="4AE32522" w:rsidR="00511260" w:rsidRPr="007B63EE" w:rsidRDefault="00511260" w:rsidP="00511260">
      <w:pPr>
        <w:pStyle w:val="Fundamentos"/>
        <w:rPr>
          <w:b/>
          <w:szCs w:val="22"/>
        </w:rPr>
      </w:pPr>
      <w:r w:rsidRPr="007B63EE">
        <w:rPr>
          <w:szCs w:val="22"/>
        </w:rPr>
        <w:t>“</w:t>
      </w:r>
      <w:r w:rsidR="007B63EE" w:rsidRPr="007B63EE">
        <w:rPr>
          <w:szCs w:val="22"/>
        </w:rPr>
        <w:t xml:space="preserve">No se </w:t>
      </w:r>
      <w:proofErr w:type="spellStart"/>
      <w:r w:rsidR="007B63EE" w:rsidRPr="007B63EE">
        <w:rPr>
          <w:szCs w:val="22"/>
        </w:rPr>
        <w:t>solicito</w:t>
      </w:r>
      <w:proofErr w:type="spellEnd"/>
      <w:r w:rsidR="007B63EE" w:rsidRPr="007B63EE">
        <w:rPr>
          <w:szCs w:val="22"/>
        </w:rPr>
        <w:t xml:space="preserve"> el PBR en sus obligaciones legales dice que deben realizar un programa de movilidad y hacer un informe de sus resultados se solicita ese programa anual</w:t>
      </w:r>
      <w:proofErr w:type="gramStart"/>
      <w:r w:rsidRPr="007B63EE">
        <w:rPr>
          <w:szCs w:val="22"/>
        </w:rPr>
        <w:t>”</w:t>
      </w:r>
      <w:r w:rsidR="007B63EE">
        <w:rPr>
          <w:szCs w:val="22"/>
        </w:rPr>
        <w:t>(</w:t>
      </w:r>
      <w:proofErr w:type="gramEnd"/>
      <w:r w:rsidRPr="007B63EE">
        <w:rPr>
          <w:szCs w:val="22"/>
        </w:rPr>
        <w:t xml:space="preserve"> Sic)</w:t>
      </w:r>
    </w:p>
    <w:p w14:paraId="6DCB6BF4" w14:textId="77777777" w:rsidR="00E513F1" w:rsidRPr="006922F5" w:rsidRDefault="00E513F1" w:rsidP="00511260">
      <w:pPr>
        <w:pBdr>
          <w:top w:val="nil"/>
          <w:left w:val="nil"/>
          <w:bottom w:val="nil"/>
          <w:right w:val="nil"/>
          <w:between w:val="nil"/>
        </w:pBdr>
        <w:contextualSpacing/>
        <w:rPr>
          <w:rFonts w:eastAsia="Palatino Linotype" w:cs="Palatino Linotype"/>
          <w:color w:val="000000"/>
          <w:szCs w:val="24"/>
        </w:rPr>
      </w:pPr>
    </w:p>
    <w:p w14:paraId="6D1967CA" w14:textId="77777777" w:rsidR="005276F9" w:rsidRDefault="005276F9" w:rsidP="00E513F1">
      <w:pPr>
        <w:rPr>
          <w:rFonts w:cs="Arial"/>
          <w:b/>
          <w:sz w:val="28"/>
          <w:szCs w:val="28"/>
        </w:rPr>
      </w:pPr>
    </w:p>
    <w:p w14:paraId="1E0770D3" w14:textId="77777777" w:rsidR="00E513F1" w:rsidRPr="0055610A" w:rsidRDefault="00E513F1" w:rsidP="00E513F1">
      <w:pPr>
        <w:rPr>
          <w:rFonts w:cs="Arial"/>
          <w:szCs w:val="24"/>
        </w:rPr>
      </w:pPr>
      <w:r>
        <w:rPr>
          <w:rFonts w:cs="Arial"/>
          <w:b/>
          <w:sz w:val="28"/>
          <w:szCs w:val="28"/>
        </w:rPr>
        <w:lastRenderedPageBreak/>
        <w:t>Cuarto</w:t>
      </w:r>
      <w:r w:rsidRPr="00B34266">
        <w:rPr>
          <w:rFonts w:cs="Arial"/>
          <w:b/>
          <w:sz w:val="28"/>
          <w:szCs w:val="28"/>
        </w:rPr>
        <w:t>. Del turno y admisión del recurso de revisión.</w:t>
      </w:r>
      <w:r w:rsidRPr="00B34266">
        <w:rPr>
          <w:rFonts w:cs="Arial"/>
          <w:sz w:val="28"/>
          <w:szCs w:val="28"/>
        </w:rPr>
        <w:t xml:space="preserve"> </w:t>
      </w:r>
    </w:p>
    <w:p w14:paraId="30967562" w14:textId="3C6A0EEB" w:rsidR="00E513F1" w:rsidRDefault="00E513F1" w:rsidP="00E513F1">
      <w:pPr>
        <w:rPr>
          <w:szCs w:val="24"/>
        </w:rPr>
      </w:pPr>
      <w:r w:rsidRPr="0055610A">
        <w:rPr>
          <w:rFonts w:cs="Arial"/>
          <w:szCs w:val="24"/>
        </w:rPr>
        <w:t xml:space="preserve">De conformidad con el artículo 185 fracción I de la Ley de Transparencia y Acceso a la información Pública del Estado de México y Municipios vigente, </w:t>
      </w:r>
      <w:r w:rsidRPr="0055610A">
        <w:rPr>
          <w:szCs w:val="24"/>
        </w:rPr>
        <w:t>el presente recurso de revisión se envió electrónicamente al Instituto de Transparencia, Acceso a la Información Pública y Protección de Datos Personales del Estado de México y Municipios, que por razón de turno fue asignado a los comisionados Co</w:t>
      </w:r>
      <w:r>
        <w:rPr>
          <w:szCs w:val="24"/>
        </w:rPr>
        <w:t xml:space="preserve">misionado </w:t>
      </w:r>
      <w:r w:rsidRPr="005559E2">
        <w:rPr>
          <w:b/>
          <w:bCs/>
          <w:szCs w:val="24"/>
        </w:rPr>
        <w:t>José Martínez Vilchis</w:t>
      </w:r>
      <w:r w:rsidR="001535C3">
        <w:rPr>
          <w:b/>
          <w:bCs/>
          <w:szCs w:val="24"/>
        </w:rPr>
        <w:t xml:space="preserve">, María del Rosario Mejía Ayala, Luis Gustavo Parra Noriega y  Sharon Cristina Morales Martínez </w:t>
      </w:r>
      <w:r w:rsidRPr="0055610A">
        <w:rPr>
          <w:szCs w:val="24"/>
        </w:rPr>
        <w:t>para su análisis, estudio, elaboración del proyecto y presentación ante el Pleno de este Instituto</w:t>
      </w:r>
      <w:r>
        <w:rPr>
          <w:szCs w:val="24"/>
        </w:rPr>
        <w:t>.</w:t>
      </w:r>
    </w:p>
    <w:p w14:paraId="23EDEFC3" w14:textId="77777777" w:rsidR="007B63EE" w:rsidRPr="0055610A" w:rsidRDefault="007B63EE" w:rsidP="00E513F1">
      <w:pPr>
        <w:rPr>
          <w:szCs w:val="24"/>
        </w:rPr>
      </w:pPr>
    </w:p>
    <w:p w14:paraId="109E1B3A" w14:textId="3743D89B" w:rsidR="00E513F1" w:rsidRDefault="00E513F1" w:rsidP="00E513F1">
      <w:pPr>
        <w:rPr>
          <w:szCs w:val="24"/>
        </w:rPr>
      </w:pPr>
      <w:r>
        <w:rPr>
          <w:szCs w:val="24"/>
        </w:rPr>
        <w:t>Mediante acuerdos de fechas</w:t>
      </w:r>
      <w:r w:rsidRPr="0055610A">
        <w:rPr>
          <w:szCs w:val="24"/>
        </w:rPr>
        <w:t xml:space="preserve"> </w:t>
      </w:r>
      <w:r w:rsidR="00426497" w:rsidRPr="00426497">
        <w:rPr>
          <w:b/>
          <w:szCs w:val="24"/>
        </w:rPr>
        <w:t>cuatro y</w:t>
      </w:r>
      <w:r w:rsidR="00426497">
        <w:rPr>
          <w:szCs w:val="24"/>
        </w:rPr>
        <w:t xml:space="preserve"> </w:t>
      </w:r>
      <w:r w:rsidR="001535C3">
        <w:rPr>
          <w:b/>
          <w:szCs w:val="24"/>
        </w:rPr>
        <w:t>siete de octubre</w:t>
      </w:r>
      <w:r>
        <w:rPr>
          <w:rFonts w:eastAsia="Palatino Linotype" w:cs="Palatino Linotype"/>
          <w:b/>
          <w:color w:val="000000"/>
          <w:szCs w:val="24"/>
        </w:rPr>
        <w:t xml:space="preserve"> de </w:t>
      </w:r>
      <w:r w:rsidRPr="00B72EBA">
        <w:rPr>
          <w:rFonts w:eastAsia="Palatino Linotype" w:cs="Palatino Linotype"/>
          <w:b/>
          <w:color w:val="000000"/>
          <w:szCs w:val="24"/>
        </w:rPr>
        <w:t>dos mil veinticuatro</w:t>
      </w:r>
      <w:r w:rsidRPr="0055610A">
        <w:rPr>
          <w:szCs w:val="24"/>
        </w:rPr>
        <w:t>, este Organismo Garante, admitió a trámite los recursos de revisión respectivos, poniéndose a disposición de las partes, para que un plazo no mayor a siete días hábiles manifestase lo que a su derecho corresponda, a efecto de ofrecer pruebas, informe justificado y alegatos, lo anterior con fundamento en el artículo 185 fracciones I, II y IV de la Ley de Transparencia y Acceso a la Información Pública del Estado de México y Municipios.</w:t>
      </w:r>
    </w:p>
    <w:p w14:paraId="63996CD8" w14:textId="77777777" w:rsidR="007B63EE" w:rsidRPr="001535C3" w:rsidRDefault="007B63EE" w:rsidP="00E513F1">
      <w:pPr>
        <w:rPr>
          <w:b/>
          <w:szCs w:val="24"/>
        </w:rPr>
      </w:pPr>
    </w:p>
    <w:p w14:paraId="1C872A42" w14:textId="77777777" w:rsidR="00E513F1" w:rsidRPr="0055610A" w:rsidRDefault="00E513F1" w:rsidP="00E513F1">
      <w:pPr>
        <w:rPr>
          <w:rFonts w:cs="Arial"/>
          <w:b/>
          <w:szCs w:val="24"/>
        </w:rPr>
      </w:pPr>
      <w:r>
        <w:rPr>
          <w:rFonts w:cs="Arial"/>
          <w:b/>
          <w:sz w:val="28"/>
          <w:szCs w:val="28"/>
        </w:rPr>
        <w:t>Quinto</w:t>
      </w:r>
      <w:r w:rsidRPr="0055610A">
        <w:rPr>
          <w:rFonts w:cs="Arial"/>
          <w:b/>
          <w:sz w:val="28"/>
          <w:szCs w:val="28"/>
        </w:rPr>
        <w:t>.</w:t>
      </w:r>
      <w:r w:rsidRPr="0055610A">
        <w:rPr>
          <w:rFonts w:cs="Arial"/>
          <w:b/>
          <w:szCs w:val="24"/>
        </w:rPr>
        <w:t xml:space="preserve"> </w:t>
      </w:r>
      <w:r w:rsidRPr="00B34266">
        <w:rPr>
          <w:rFonts w:cs="Arial"/>
          <w:b/>
          <w:sz w:val="28"/>
          <w:szCs w:val="28"/>
        </w:rPr>
        <w:t>De la Acumulación</w:t>
      </w:r>
      <w:r w:rsidRPr="0055610A">
        <w:rPr>
          <w:rFonts w:cs="Arial"/>
          <w:b/>
          <w:szCs w:val="24"/>
        </w:rPr>
        <w:t xml:space="preserve"> </w:t>
      </w:r>
    </w:p>
    <w:p w14:paraId="086CE392" w14:textId="57303857" w:rsidR="00E513F1" w:rsidRPr="00AE127D" w:rsidRDefault="00E513F1" w:rsidP="00E513F1">
      <w:pPr>
        <w:pStyle w:val="Default"/>
        <w:spacing w:line="360" w:lineRule="auto"/>
        <w:jc w:val="both"/>
        <w:rPr>
          <w:rFonts w:cs="Arial"/>
          <w:b/>
        </w:rPr>
      </w:pPr>
      <w:r w:rsidRPr="0055610A">
        <w:rPr>
          <w:rFonts w:cs="Arial"/>
        </w:rPr>
        <w:t xml:space="preserve">Posteriormente por acuerdo del Pleno del Instituto, en la </w:t>
      </w:r>
      <w:r w:rsidR="00426497">
        <w:rPr>
          <w:b/>
          <w:bCs/>
        </w:rPr>
        <w:t>Trigésima Séptima</w:t>
      </w:r>
      <w:r>
        <w:rPr>
          <w:b/>
          <w:bCs/>
        </w:rPr>
        <w:t xml:space="preserve"> </w:t>
      </w:r>
      <w:r w:rsidRPr="008C57A7">
        <w:rPr>
          <w:b/>
          <w:bCs/>
        </w:rPr>
        <w:t xml:space="preserve">Sesión Ordinaria </w:t>
      </w:r>
      <w:r w:rsidRPr="008C57A7">
        <w:t xml:space="preserve">celebrada el </w:t>
      </w:r>
      <w:r w:rsidR="00426497">
        <w:rPr>
          <w:b/>
          <w:bCs/>
        </w:rPr>
        <w:t>dieciséis de octubre</w:t>
      </w:r>
      <w:r w:rsidRPr="008C57A7">
        <w:rPr>
          <w:b/>
          <w:bCs/>
        </w:rPr>
        <w:t xml:space="preserve"> de dos mil veinticuatro</w:t>
      </w:r>
      <w:r>
        <w:rPr>
          <w:b/>
          <w:bCs/>
        </w:rPr>
        <w:t xml:space="preserve"> </w:t>
      </w:r>
      <w:r w:rsidRPr="0055610A">
        <w:t>se aprobó la acumulación de los recursos de revisión</w:t>
      </w:r>
      <w:r>
        <w:t xml:space="preserve"> </w:t>
      </w:r>
      <w:r w:rsidR="00426497">
        <w:rPr>
          <w:rFonts w:eastAsia="Palatino Linotype"/>
          <w:b/>
        </w:rPr>
        <w:t>05985/INFOEM/IP/RR/2024, 05986/INFOEM/IP/RR/2024, 05987/INFOEM/IP/RR/2024  y 05988/INFOEM/IP/RR/2024</w:t>
      </w:r>
      <w:r>
        <w:rPr>
          <w:rFonts w:cs="Arial"/>
          <w:b/>
          <w:bCs/>
          <w:lang w:eastAsia="es-MX"/>
        </w:rPr>
        <w:t xml:space="preserve">, </w:t>
      </w:r>
      <w:r w:rsidRPr="0055610A">
        <w:rPr>
          <w:rFonts w:cs="Arial"/>
        </w:rPr>
        <w:t xml:space="preserve">se determinó acumular los recursos de revisión en estudio, ya que existe identidad del solicitante, del </w:t>
      </w:r>
      <w:r w:rsidRPr="0055610A">
        <w:rPr>
          <w:rFonts w:cs="Arial"/>
          <w:b/>
        </w:rPr>
        <w:t>Sujeto Obligado</w:t>
      </w:r>
      <w:r w:rsidRPr="0055610A">
        <w:rPr>
          <w:rFonts w:cs="Arial"/>
        </w:rPr>
        <w:t xml:space="preserve"> y similitud de causas y objeto de solicitud.</w:t>
      </w:r>
    </w:p>
    <w:p w14:paraId="5463175A" w14:textId="77777777" w:rsidR="00E513F1" w:rsidRPr="0055610A" w:rsidRDefault="00E513F1" w:rsidP="00E513F1">
      <w:pPr>
        <w:pStyle w:val="Prrafodelista"/>
        <w:ind w:left="0"/>
        <w:rPr>
          <w:rFonts w:cs="Arial"/>
        </w:rPr>
      </w:pPr>
    </w:p>
    <w:p w14:paraId="720A663D" w14:textId="194FDAC4" w:rsidR="00E513F1" w:rsidRDefault="00E513F1" w:rsidP="001963C1">
      <w:pPr>
        <w:rPr>
          <w:szCs w:val="24"/>
        </w:rPr>
      </w:pPr>
      <w:r w:rsidRPr="0055610A">
        <w:rPr>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6EF5ABF6" w14:textId="77777777" w:rsidR="007B63EE" w:rsidRPr="001963C1" w:rsidRDefault="007B63EE" w:rsidP="001963C1">
      <w:pPr>
        <w:rPr>
          <w:szCs w:val="24"/>
        </w:rPr>
      </w:pPr>
    </w:p>
    <w:p w14:paraId="1401154B" w14:textId="77777777" w:rsidR="00E513F1" w:rsidRPr="001963C1" w:rsidRDefault="00E513F1" w:rsidP="00E513F1">
      <w:pPr>
        <w:ind w:left="851" w:right="851"/>
        <w:rPr>
          <w:i/>
          <w:sz w:val="22"/>
        </w:rPr>
      </w:pPr>
      <w:r w:rsidRPr="001963C1">
        <w:rPr>
          <w:i/>
          <w:sz w:val="22"/>
        </w:rPr>
        <w:t>“</w:t>
      </w:r>
      <w:r w:rsidRPr="001963C1">
        <w:rPr>
          <w:b/>
          <w:i/>
          <w:sz w:val="22"/>
        </w:rPr>
        <w:t>Artículo 195.</w:t>
      </w:r>
      <w:r w:rsidRPr="001963C1">
        <w:rPr>
          <w:i/>
          <w:sz w:val="22"/>
        </w:rPr>
        <w:t xml:space="preserve"> En la tramitación del recurso de revisión se aplicarán supletoriamente las disposiciones contenidas en el </w:t>
      </w:r>
      <w:r w:rsidRPr="001963C1">
        <w:rPr>
          <w:b/>
          <w:i/>
          <w:sz w:val="22"/>
          <w:u w:val="single"/>
        </w:rPr>
        <w:t>Código de Procedimientos Administrativos del Estado de México</w:t>
      </w:r>
      <w:r w:rsidRPr="001963C1">
        <w:rPr>
          <w:i/>
          <w:sz w:val="22"/>
        </w:rPr>
        <w:t>.”</w:t>
      </w:r>
    </w:p>
    <w:p w14:paraId="089A9DB7" w14:textId="77777777" w:rsidR="00E513F1" w:rsidRPr="001963C1" w:rsidRDefault="00E513F1" w:rsidP="00E513F1">
      <w:pPr>
        <w:ind w:left="851" w:right="851"/>
        <w:rPr>
          <w:i/>
          <w:sz w:val="22"/>
        </w:rPr>
      </w:pPr>
    </w:p>
    <w:p w14:paraId="2EA12330" w14:textId="77777777" w:rsidR="00E513F1" w:rsidRDefault="00E513F1" w:rsidP="00E513F1">
      <w:pPr>
        <w:ind w:left="851" w:right="851"/>
        <w:rPr>
          <w:i/>
          <w:sz w:val="22"/>
        </w:rPr>
      </w:pPr>
      <w:r w:rsidRPr="001963C1">
        <w:rPr>
          <w:i/>
          <w:sz w:val="22"/>
        </w:rPr>
        <w:t>“</w:t>
      </w:r>
      <w:r w:rsidRPr="001963C1">
        <w:rPr>
          <w:b/>
          <w:i/>
          <w:sz w:val="22"/>
        </w:rPr>
        <w:t>Artículo 18.</w:t>
      </w:r>
      <w:r w:rsidRPr="001963C1">
        <w:rPr>
          <w:i/>
          <w:sz w:val="22"/>
        </w:rPr>
        <w:t xml:space="preserve"> </w:t>
      </w:r>
      <w:r w:rsidRPr="001963C1">
        <w:rPr>
          <w:b/>
          <w:i/>
          <w:sz w:val="22"/>
          <w:u w:val="single"/>
        </w:rPr>
        <w:t>La autoridad administrativa</w:t>
      </w:r>
      <w:r w:rsidRPr="001963C1">
        <w:rPr>
          <w:i/>
          <w:sz w:val="22"/>
        </w:rPr>
        <w:t xml:space="preserve"> o el Tribunal </w:t>
      </w:r>
      <w:r w:rsidRPr="001963C1">
        <w:rPr>
          <w:b/>
          <w:i/>
          <w:sz w:val="22"/>
          <w:u w:val="single"/>
        </w:rPr>
        <w:t>acordarán la acumulación</w:t>
      </w:r>
      <w:r w:rsidRPr="001963C1">
        <w:rPr>
          <w:i/>
          <w:sz w:val="22"/>
        </w:rPr>
        <w:t xml:space="preserve"> de los expedientes del procedimiento y proceso administrativo que ante ellos se sigan</w:t>
      </w:r>
      <w:r w:rsidRPr="001963C1">
        <w:rPr>
          <w:b/>
          <w:i/>
          <w:sz w:val="22"/>
          <w:u w:val="single"/>
        </w:rPr>
        <w:t>, de oficio</w:t>
      </w:r>
      <w:r w:rsidRPr="001963C1">
        <w:rPr>
          <w:i/>
          <w:sz w:val="22"/>
        </w:rPr>
        <w:t xml:space="preserve"> o a petición de parte, </w:t>
      </w:r>
      <w:r w:rsidRPr="001963C1">
        <w:rPr>
          <w:b/>
          <w:i/>
          <w:sz w:val="22"/>
          <w:u w:val="single"/>
        </w:rPr>
        <w:t>cuando las partes o los actos administrativos sean iguales, se trate de actos conexos o resulte conveniente el trámite unificado de los asuntos</w:t>
      </w:r>
      <w:r w:rsidRPr="001963C1">
        <w:rPr>
          <w:i/>
          <w:sz w:val="22"/>
        </w:rPr>
        <w:t>, para evitar la emisión de resoluciones contradictorias. La misma regla se aplicará, en lo conducente, para la separación de los expedientes.”</w:t>
      </w:r>
    </w:p>
    <w:p w14:paraId="76CFBAA1" w14:textId="77777777" w:rsidR="00E513F1" w:rsidRPr="001963C1" w:rsidRDefault="00E513F1" w:rsidP="007B63EE">
      <w:pPr>
        <w:ind w:right="851"/>
        <w:rPr>
          <w:i/>
          <w:sz w:val="22"/>
        </w:rPr>
      </w:pPr>
    </w:p>
    <w:p w14:paraId="1A37BCA9" w14:textId="77777777" w:rsidR="00E513F1" w:rsidRPr="0055610A" w:rsidRDefault="00E513F1" w:rsidP="00E513F1">
      <w:pPr>
        <w:rPr>
          <w:rFonts w:cs="Arial"/>
          <w:b/>
          <w:szCs w:val="24"/>
        </w:rPr>
      </w:pPr>
      <w:r>
        <w:rPr>
          <w:rFonts w:cs="Arial"/>
          <w:b/>
          <w:sz w:val="28"/>
          <w:szCs w:val="28"/>
        </w:rPr>
        <w:t>SÉPTIM</w:t>
      </w:r>
      <w:r w:rsidRPr="002D2CBD">
        <w:rPr>
          <w:rFonts w:cs="Arial"/>
          <w:b/>
          <w:sz w:val="28"/>
          <w:szCs w:val="28"/>
        </w:rPr>
        <w:t>O</w:t>
      </w:r>
      <w:r w:rsidRPr="0055610A">
        <w:rPr>
          <w:rFonts w:cs="Arial"/>
          <w:b/>
          <w:szCs w:val="24"/>
        </w:rPr>
        <w:t xml:space="preserve"> </w:t>
      </w:r>
      <w:r w:rsidRPr="00B34266">
        <w:rPr>
          <w:rFonts w:cs="Arial"/>
          <w:b/>
          <w:sz w:val="28"/>
          <w:szCs w:val="28"/>
        </w:rPr>
        <w:t>De la etapa de manifestaciones y/o alegatos</w:t>
      </w:r>
      <w:r w:rsidRPr="0055610A">
        <w:rPr>
          <w:rFonts w:cs="Arial"/>
          <w:b/>
          <w:szCs w:val="24"/>
        </w:rPr>
        <w:t xml:space="preserve">. </w:t>
      </w:r>
    </w:p>
    <w:p w14:paraId="674D50C5" w14:textId="4515AE25" w:rsidR="00E513F1" w:rsidRPr="007B63EE" w:rsidRDefault="00E513F1" w:rsidP="009417F8">
      <w:pPr>
        <w:pBdr>
          <w:top w:val="nil"/>
          <w:left w:val="nil"/>
          <w:bottom w:val="nil"/>
          <w:right w:val="nil"/>
          <w:between w:val="nil"/>
        </w:pBdr>
        <w:contextualSpacing/>
        <w:rPr>
          <w:rFonts w:cs="Arial"/>
          <w:szCs w:val="24"/>
        </w:rPr>
      </w:pPr>
      <w:r w:rsidRPr="0055610A">
        <w:rPr>
          <w:rFonts w:cs="Arial"/>
          <w:szCs w:val="24"/>
        </w:rPr>
        <w:t xml:space="preserve">Una vez abierta la etapa de instrucción, se advierte que el </w:t>
      </w:r>
      <w:r w:rsidRPr="0055610A">
        <w:rPr>
          <w:rFonts w:cs="Arial"/>
          <w:b/>
          <w:szCs w:val="24"/>
        </w:rPr>
        <w:t>Sujeto Obligado</w:t>
      </w:r>
      <w:r>
        <w:rPr>
          <w:rFonts w:cs="Arial"/>
          <w:szCs w:val="24"/>
        </w:rPr>
        <w:t xml:space="preserve"> </w:t>
      </w:r>
      <w:r w:rsidR="00B156C7" w:rsidRPr="00426497">
        <w:rPr>
          <w:rFonts w:cs="Arial"/>
          <w:b/>
          <w:szCs w:val="24"/>
        </w:rPr>
        <w:t xml:space="preserve">rindió </w:t>
      </w:r>
      <w:r w:rsidRPr="00426497">
        <w:rPr>
          <w:rFonts w:cs="Arial"/>
          <w:b/>
          <w:szCs w:val="24"/>
        </w:rPr>
        <w:t>su informe justificado</w:t>
      </w:r>
      <w:r w:rsidR="00B156C7">
        <w:rPr>
          <w:rFonts w:cs="Arial"/>
          <w:szCs w:val="24"/>
        </w:rPr>
        <w:t xml:space="preserve"> </w:t>
      </w:r>
      <w:r w:rsidR="00426497">
        <w:rPr>
          <w:rFonts w:cs="Arial"/>
          <w:szCs w:val="24"/>
        </w:rPr>
        <w:t xml:space="preserve">en todos los </w:t>
      </w:r>
      <w:r w:rsidR="00B156C7">
        <w:rPr>
          <w:rFonts w:cs="Arial"/>
          <w:szCs w:val="24"/>
        </w:rPr>
        <w:t xml:space="preserve">recursos de revisión en fecha </w:t>
      </w:r>
      <w:r w:rsidR="00426497">
        <w:rPr>
          <w:rFonts w:cs="Arial"/>
          <w:szCs w:val="24"/>
        </w:rPr>
        <w:t>once de octubre</w:t>
      </w:r>
      <w:r w:rsidR="00B156C7">
        <w:rPr>
          <w:rFonts w:cs="Arial"/>
          <w:szCs w:val="24"/>
        </w:rPr>
        <w:t xml:space="preserve"> de dos mil veinticuatro, los cuales fueron puestos a la vista del recurrente en fecha </w:t>
      </w:r>
      <w:r w:rsidR="00426497">
        <w:rPr>
          <w:rFonts w:cs="Arial"/>
          <w:szCs w:val="24"/>
        </w:rPr>
        <w:t>diecisiete de octubre</w:t>
      </w:r>
      <w:r w:rsidR="00B156C7">
        <w:rPr>
          <w:rFonts w:cs="Arial"/>
          <w:szCs w:val="24"/>
        </w:rPr>
        <w:t xml:space="preserve"> de dos mil veinticuatro</w:t>
      </w:r>
      <w:r w:rsidR="009417F8">
        <w:rPr>
          <w:rFonts w:cs="Arial"/>
          <w:szCs w:val="24"/>
        </w:rPr>
        <w:t>, l</w:t>
      </w:r>
      <w:r w:rsidR="009417F8">
        <w:rPr>
          <w:rFonts w:eastAsia="Palatino Linotype" w:cs="Palatino Linotype"/>
          <w:color w:val="000000"/>
          <w:szCs w:val="24"/>
        </w:rPr>
        <w:t xml:space="preserve">os cuales no se reproducen por ser del conocimiento de las partes; no obstante, su contenido será motivo de análisis en el estudio </w:t>
      </w:r>
      <w:r w:rsidR="009417F8">
        <w:rPr>
          <w:rFonts w:eastAsia="Palatino Linotype" w:cs="Palatino Linotype"/>
          <w:color w:val="000000"/>
          <w:szCs w:val="24"/>
        </w:rPr>
        <w:lastRenderedPageBreak/>
        <w:t>correspondiente.</w:t>
      </w:r>
      <w:r>
        <w:rPr>
          <w:rFonts w:cs="Arial"/>
          <w:szCs w:val="24"/>
        </w:rPr>
        <w:t xml:space="preserve"> Por su parte, el Recurrente </w:t>
      </w:r>
      <w:r w:rsidRPr="0055610A">
        <w:rPr>
          <w:rFonts w:cs="Arial"/>
          <w:szCs w:val="24"/>
        </w:rPr>
        <w:t>omitió rendir sus manifestaciones que a sus intereses conviniera dentro del término de Ley.</w:t>
      </w:r>
    </w:p>
    <w:p w14:paraId="1C208A4F" w14:textId="77777777" w:rsidR="00E513F1" w:rsidRPr="0055610A" w:rsidRDefault="00E513F1" w:rsidP="00E513F1">
      <w:pPr>
        <w:rPr>
          <w:rFonts w:cs="Arial"/>
          <w:szCs w:val="24"/>
        </w:rPr>
      </w:pPr>
    </w:p>
    <w:p w14:paraId="28E24C48" w14:textId="2A3263E9" w:rsidR="00E513F1" w:rsidRDefault="00E513F1" w:rsidP="00E513F1">
      <w:pPr>
        <w:rPr>
          <w:rFonts w:cs="Arial"/>
          <w:szCs w:val="24"/>
        </w:rPr>
      </w:pPr>
      <w:r w:rsidRPr="0055610A">
        <w:rPr>
          <w:rFonts w:cs="Arial"/>
          <w:szCs w:val="24"/>
        </w:rPr>
        <w:t>Así mismo, se aprecia que no se llevaron a cabo audiencias durante la sustanciación del recurso de revisión, ni se ofrecieron pruebas por parte del Recurrente; todo lo anterior en términos de los artículos 185 fracciones II y IV, y 195 de la Ley de Transparencia y Acceso a la Información Pública del Estado de México y Municipios.</w:t>
      </w:r>
    </w:p>
    <w:p w14:paraId="3A5A874B" w14:textId="77777777" w:rsidR="001963C1" w:rsidRPr="0055610A" w:rsidRDefault="001963C1" w:rsidP="00E513F1">
      <w:pPr>
        <w:rPr>
          <w:rFonts w:cs="Arial"/>
          <w:szCs w:val="24"/>
        </w:rPr>
      </w:pPr>
    </w:p>
    <w:p w14:paraId="0C95216E" w14:textId="77777777" w:rsidR="00E513F1" w:rsidRDefault="00E513F1" w:rsidP="00E513F1">
      <w:pPr>
        <w:rPr>
          <w:rFonts w:cs="Arial"/>
          <w:b/>
          <w:szCs w:val="24"/>
        </w:rPr>
      </w:pPr>
      <w:r>
        <w:rPr>
          <w:rFonts w:cs="Arial"/>
          <w:b/>
          <w:sz w:val="28"/>
          <w:szCs w:val="28"/>
        </w:rPr>
        <w:t>OCTAV</w:t>
      </w:r>
      <w:r w:rsidRPr="0055610A">
        <w:rPr>
          <w:rFonts w:cs="Arial"/>
          <w:b/>
          <w:sz w:val="28"/>
          <w:szCs w:val="28"/>
        </w:rPr>
        <w:t>O.</w:t>
      </w:r>
      <w:r w:rsidRPr="0018543E">
        <w:rPr>
          <w:rFonts w:cs="Arial"/>
          <w:b/>
          <w:sz w:val="28"/>
        </w:rPr>
        <w:t xml:space="preserve"> </w:t>
      </w:r>
      <w:r w:rsidRPr="00B0277A">
        <w:rPr>
          <w:rFonts w:cs="Arial"/>
          <w:b/>
          <w:sz w:val="28"/>
          <w:szCs w:val="28"/>
        </w:rPr>
        <w:t>Del cierre de instrucción.</w:t>
      </w:r>
      <w:r w:rsidRPr="0055610A">
        <w:rPr>
          <w:rFonts w:cs="Arial"/>
          <w:b/>
          <w:szCs w:val="24"/>
        </w:rPr>
        <w:t xml:space="preserve"> </w:t>
      </w:r>
    </w:p>
    <w:p w14:paraId="41E49D0F" w14:textId="5F135BE0" w:rsidR="00511260" w:rsidRDefault="00E513F1" w:rsidP="007B63EE">
      <w:pPr>
        <w:rPr>
          <w:rFonts w:cs="Arial"/>
          <w:b/>
          <w:sz w:val="28"/>
        </w:rPr>
      </w:pPr>
      <w:r w:rsidRPr="0055610A">
        <w:rPr>
          <w:rFonts w:cs="Arial"/>
          <w:szCs w:val="24"/>
        </w:rPr>
        <w:t xml:space="preserve">Así, una vez transcurrido el término legal, se decretó el cierre de instrucción de los recursos de revisión ya referidos en </w:t>
      </w:r>
      <w:r w:rsidRPr="0057505E">
        <w:rPr>
          <w:rFonts w:cs="Arial"/>
          <w:b/>
          <w:bCs/>
          <w:szCs w:val="24"/>
        </w:rPr>
        <w:t>fecha</w:t>
      </w:r>
      <w:r>
        <w:rPr>
          <w:rFonts w:cs="Arial"/>
          <w:b/>
          <w:bCs/>
          <w:szCs w:val="24"/>
        </w:rPr>
        <w:t xml:space="preserve"> </w:t>
      </w:r>
      <w:r w:rsidR="00426497">
        <w:rPr>
          <w:rFonts w:cs="Arial"/>
          <w:b/>
          <w:bCs/>
          <w:szCs w:val="24"/>
        </w:rPr>
        <w:t>veintitrés de octubre</w:t>
      </w:r>
      <w:r w:rsidRPr="0057505E">
        <w:rPr>
          <w:rFonts w:cs="Arial"/>
          <w:b/>
          <w:bCs/>
          <w:szCs w:val="24"/>
        </w:rPr>
        <w:t xml:space="preserve"> dos mil veinticuatro</w:t>
      </w:r>
      <w:r w:rsidRPr="0055610A">
        <w:rPr>
          <w:rFonts w:cs="Arial"/>
          <w:szCs w:val="24"/>
        </w:rPr>
        <w:t>, en términos del artículo 185 Fracción VI de la Ley de Transparencia y Acceso a la Información Pública del Estado de México y Municipios, iniciando el término legal para dictar resolución definitiva del asunto</w:t>
      </w:r>
      <w:r>
        <w:rPr>
          <w:rFonts w:cs="Arial"/>
          <w:b/>
          <w:sz w:val="28"/>
        </w:rPr>
        <w:t>.</w:t>
      </w:r>
    </w:p>
    <w:p w14:paraId="02AF9AB6" w14:textId="77777777" w:rsidR="005276F9" w:rsidRPr="007B63EE" w:rsidRDefault="005276F9" w:rsidP="007B63EE">
      <w:pPr>
        <w:rPr>
          <w:rFonts w:cs="Arial"/>
          <w:b/>
          <w:sz w:val="28"/>
        </w:rPr>
      </w:pPr>
    </w:p>
    <w:p w14:paraId="7A6A1E20" w14:textId="77777777" w:rsidR="00511260" w:rsidRPr="00511260" w:rsidRDefault="00511260" w:rsidP="00E513F1">
      <w:pPr>
        <w:jc w:val="center"/>
        <w:rPr>
          <w:b/>
          <w:bCs/>
          <w:sz w:val="28"/>
          <w:szCs w:val="28"/>
        </w:rPr>
      </w:pPr>
      <w:r w:rsidRPr="00511260">
        <w:rPr>
          <w:b/>
          <w:bCs/>
          <w:sz w:val="28"/>
          <w:szCs w:val="28"/>
        </w:rPr>
        <w:t>C O N S I D E R A N D O</w:t>
      </w:r>
    </w:p>
    <w:p w14:paraId="15FCB1D3" w14:textId="77777777" w:rsidR="007B63EE" w:rsidRPr="00511260" w:rsidRDefault="007B63EE" w:rsidP="00511260">
      <w:pPr>
        <w:rPr>
          <w:b/>
          <w:bCs/>
          <w:sz w:val="28"/>
          <w:szCs w:val="28"/>
        </w:rPr>
      </w:pPr>
    </w:p>
    <w:p w14:paraId="6D6AB61B" w14:textId="77777777" w:rsidR="00511260" w:rsidRPr="00511260" w:rsidRDefault="00511260" w:rsidP="00511260">
      <w:pPr>
        <w:rPr>
          <w:b/>
          <w:bCs/>
          <w:sz w:val="28"/>
          <w:szCs w:val="28"/>
        </w:rPr>
      </w:pPr>
      <w:r w:rsidRPr="00511260">
        <w:rPr>
          <w:b/>
          <w:bCs/>
          <w:sz w:val="28"/>
          <w:szCs w:val="28"/>
        </w:rPr>
        <w:t>PRIMERO. De la competencia.</w:t>
      </w:r>
    </w:p>
    <w:p w14:paraId="31D91ED9" w14:textId="77777777" w:rsidR="00511260" w:rsidRPr="006922F5" w:rsidRDefault="00511260" w:rsidP="00511260">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w:t>
      </w:r>
      <w:r w:rsidRPr="00264613">
        <w:rPr>
          <w:rFonts w:eastAsia="Palatino Linotype" w:cs="Palatino Linotype"/>
          <w:color w:val="000000"/>
          <w:szCs w:val="24"/>
        </w:rPr>
        <w:lastRenderedPageBreak/>
        <w:t>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1813A2E" w14:textId="77777777" w:rsidR="00511260" w:rsidRPr="006922F5" w:rsidRDefault="00511260" w:rsidP="00511260">
      <w:pPr>
        <w:pBdr>
          <w:top w:val="nil"/>
          <w:left w:val="nil"/>
          <w:bottom w:val="nil"/>
          <w:right w:val="nil"/>
          <w:between w:val="nil"/>
        </w:pBdr>
        <w:contextualSpacing/>
        <w:rPr>
          <w:rFonts w:eastAsia="Palatino Linotype" w:cs="Palatino Linotype"/>
          <w:color w:val="000000"/>
          <w:szCs w:val="24"/>
        </w:rPr>
      </w:pPr>
    </w:p>
    <w:p w14:paraId="05A1DE44" w14:textId="77777777" w:rsidR="00511260" w:rsidRPr="00511260" w:rsidRDefault="00511260" w:rsidP="00511260">
      <w:pPr>
        <w:rPr>
          <w:b/>
          <w:bCs/>
          <w:sz w:val="28"/>
          <w:szCs w:val="28"/>
        </w:rPr>
      </w:pPr>
      <w:r w:rsidRPr="00511260">
        <w:rPr>
          <w:b/>
          <w:bCs/>
          <w:sz w:val="28"/>
          <w:szCs w:val="28"/>
        </w:rPr>
        <w:t xml:space="preserve">SEGUNDO. Sobre los alcances del recurso de revisión. </w:t>
      </w:r>
    </w:p>
    <w:p w14:paraId="6767D650" w14:textId="04B88C0D" w:rsidR="00511260" w:rsidRDefault="00511260" w:rsidP="00511260">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52240C4" w14:textId="77777777" w:rsidR="007B63EE" w:rsidRPr="00DB6E06" w:rsidRDefault="007B63EE" w:rsidP="007B63EE">
      <w:pPr>
        <w:autoSpaceDE w:val="0"/>
        <w:autoSpaceDN w:val="0"/>
        <w:adjustRightInd w:val="0"/>
        <w:spacing w:before="240"/>
        <w:rPr>
          <w:rFonts w:cs="Arial"/>
          <w:b/>
        </w:rPr>
      </w:pPr>
      <w:r>
        <w:rPr>
          <w:rFonts w:cs="Arial"/>
          <w:b/>
          <w:sz w:val="28"/>
          <w:szCs w:val="28"/>
        </w:rPr>
        <w:t xml:space="preserve">TERCERO. </w:t>
      </w:r>
      <w:r w:rsidRPr="00DB6E06">
        <w:rPr>
          <w:rFonts w:cs="Arial"/>
          <w:b/>
          <w:sz w:val="28"/>
          <w:szCs w:val="28"/>
        </w:rPr>
        <w:t>Cuestiones de previo y especial pronunciamiento</w:t>
      </w:r>
    </w:p>
    <w:p w14:paraId="5E1B4EEE" w14:textId="77777777" w:rsidR="007B63EE" w:rsidRPr="0034179B" w:rsidRDefault="007B63EE" w:rsidP="007B63EE">
      <w:pPr>
        <w:autoSpaceDE w:val="0"/>
        <w:autoSpaceDN w:val="0"/>
        <w:adjustRightInd w:val="0"/>
        <w:spacing w:before="240"/>
      </w:pPr>
      <w:r w:rsidRPr="0034179B">
        <w:t>El Recurso de Revisión en estudio contiene los elementos normativos de validez exigidos en la Ley de Transparencia y Acceso a la Información Pública del Estado de México y Municipios, establecidos en el artículo 180 que enuncia:</w:t>
      </w:r>
    </w:p>
    <w:p w14:paraId="58AFF559" w14:textId="77777777" w:rsidR="007B63EE" w:rsidRPr="007B63EE" w:rsidRDefault="007B63EE" w:rsidP="007B63EE">
      <w:pPr>
        <w:autoSpaceDE w:val="0"/>
        <w:autoSpaceDN w:val="0"/>
        <w:adjustRightInd w:val="0"/>
        <w:spacing w:before="240"/>
        <w:ind w:left="360" w:firstLine="348"/>
        <w:rPr>
          <w:i/>
          <w:sz w:val="22"/>
        </w:rPr>
      </w:pPr>
      <w:r w:rsidRPr="007B63EE">
        <w:rPr>
          <w:i/>
          <w:sz w:val="22"/>
        </w:rPr>
        <w:t>“Artículo 180. El recurso de revisión contendrá:</w:t>
      </w:r>
    </w:p>
    <w:p w14:paraId="71643EF5" w14:textId="77777777" w:rsidR="007B63EE" w:rsidRPr="007B63EE" w:rsidRDefault="007B63EE" w:rsidP="007B63EE">
      <w:pPr>
        <w:numPr>
          <w:ilvl w:val="0"/>
          <w:numId w:val="16"/>
        </w:numPr>
        <w:autoSpaceDE w:val="0"/>
        <w:autoSpaceDN w:val="0"/>
        <w:adjustRightInd w:val="0"/>
        <w:spacing w:before="240"/>
        <w:rPr>
          <w:i/>
          <w:sz w:val="22"/>
        </w:rPr>
      </w:pPr>
      <w:r w:rsidRPr="007B63EE">
        <w:rPr>
          <w:i/>
          <w:sz w:val="22"/>
        </w:rPr>
        <w:t>EL sujeto obligado ante la cual se presentó la solicitud;</w:t>
      </w:r>
    </w:p>
    <w:p w14:paraId="2DD01EDD" w14:textId="77777777" w:rsidR="007B63EE" w:rsidRPr="007B63EE" w:rsidRDefault="007B63EE" w:rsidP="007B63EE">
      <w:pPr>
        <w:numPr>
          <w:ilvl w:val="0"/>
          <w:numId w:val="16"/>
        </w:numPr>
        <w:autoSpaceDE w:val="0"/>
        <w:autoSpaceDN w:val="0"/>
        <w:adjustRightInd w:val="0"/>
        <w:spacing w:before="240"/>
        <w:rPr>
          <w:i/>
          <w:sz w:val="22"/>
        </w:rPr>
      </w:pPr>
      <w:r w:rsidRPr="007B63EE">
        <w:rPr>
          <w:i/>
          <w:sz w:val="22"/>
        </w:rPr>
        <w:lastRenderedPageBreak/>
        <w:t>El nombre del solicitante que recurre o de su representante y, en su caso, del tercero interesado, así como la dirección o medio que señale para recibir notificaciones;</w:t>
      </w:r>
    </w:p>
    <w:p w14:paraId="243CC074" w14:textId="77777777" w:rsidR="007B63EE" w:rsidRPr="007B63EE" w:rsidRDefault="007B63EE" w:rsidP="007B63EE">
      <w:pPr>
        <w:numPr>
          <w:ilvl w:val="0"/>
          <w:numId w:val="16"/>
        </w:numPr>
        <w:autoSpaceDE w:val="0"/>
        <w:autoSpaceDN w:val="0"/>
        <w:adjustRightInd w:val="0"/>
        <w:spacing w:before="240"/>
        <w:rPr>
          <w:i/>
          <w:sz w:val="22"/>
        </w:rPr>
      </w:pPr>
      <w:r w:rsidRPr="007B63EE">
        <w:rPr>
          <w:i/>
          <w:sz w:val="22"/>
        </w:rPr>
        <w:t>El número de folio de respuesta de la solicitud de acceso;</w:t>
      </w:r>
    </w:p>
    <w:p w14:paraId="49AFF682" w14:textId="77777777" w:rsidR="007B63EE" w:rsidRPr="007B63EE" w:rsidRDefault="007B63EE" w:rsidP="007B63EE">
      <w:pPr>
        <w:autoSpaceDE w:val="0"/>
        <w:autoSpaceDN w:val="0"/>
        <w:adjustRightInd w:val="0"/>
        <w:spacing w:before="240"/>
        <w:ind w:left="1080"/>
        <w:rPr>
          <w:i/>
          <w:sz w:val="22"/>
        </w:rPr>
      </w:pPr>
      <w:r w:rsidRPr="007B63EE">
        <w:rPr>
          <w:i/>
          <w:sz w:val="22"/>
        </w:rPr>
        <w:t>IV. La fecha en que fue notificada la respuesta al solicitante o tuvo conocimiento del acto reclamado, o de presentación de la solicitud, en caso de falta de respuesta;</w:t>
      </w:r>
    </w:p>
    <w:p w14:paraId="7E90C74B" w14:textId="77777777" w:rsidR="007B63EE" w:rsidRPr="007B63EE" w:rsidRDefault="007B63EE" w:rsidP="007B63EE">
      <w:pPr>
        <w:autoSpaceDE w:val="0"/>
        <w:autoSpaceDN w:val="0"/>
        <w:adjustRightInd w:val="0"/>
        <w:spacing w:before="240"/>
        <w:ind w:left="732" w:firstLine="348"/>
        <w:rPr>
          <w:i/>
          <w:sz w:val="22"/>
        </w:rPr>
      </w:pPr>
      <w:r w:rsidRPr="007B63EE">
        <w:rPr>
          <w:i/>
          <w:sz w:val="22"/>
        </w:rPr>
        <w:t>V. El acto que se recurre;</w:t>
      </w:r>
    </w:p>
    <w:p w14:paraId="133A81EF" w14:textId="77777777" w:rsidR="007B63EE" w:rsidRPr="007B63EE" w:rsidRDefault="007B63EE" w:rsidP="007B63EE">
      <w:pPr>
        <w:autoSpaceDE w:val="0"/>
        <w:autoSpaceDN w:val="0"/>
        <w:adjustRightInd w:val="0"/>
        <w:spacing w:before="240"/>
        <w:ind w:left="732" w:firstLine="348"/>
        <w:rPr>
          <w:i/>
          <w:sz w:val="22"/>
        </w:rPr>
      </w:pPr>
      <w:r w:rsidRPr="007B63EE">
        <w:rPr>
          <w:i/>
          <w:sz w:val="22"/>
        </w:rPr>
        <w:t>VI. Las razones o motivos de inconformidad;</w:t>
      </w:r>
    </w:p>
    <w:p w14:paraId="469760B3" w14:textId="77777777" w:rsidR="007B63EE" w:rsidRPr="007B63EE" w:rsidRDefault="007B63EE" w:rsidP="007B63EE">
      <w:pPr>
        <w:autoSpaceDE w:val="0"/>
        <w:autoSpaceDN w:val="0"/>
        <w:adjustRightInd w:val="0"/>
        <w:spacing w:before="240"/>
        <w:ind w:left="1080"/>
        <w:rPr>
          <w:i/>
          <w:sz w:val="22"/>
        </w:rPr>
      </w:pPr>
      <w:r w:rsidRPr="007B63EE">
        <w:rPr>
          <w:i/>
          <w:sz w:val="22"/>
        </w:rPr>
        <w:t>VII. La copia de la respuesta que se impugna y, en su caso, de la notificación correspondiente, en el caso de respuesta de la solicitud; y</w:t>
      </w:r>
    </w:p>
    <w:p w14:paraId="386599AE" w14:textId="77777777" w:rsidR="007B63EE" w:rsidRPr="007B63EE" w:rsidRDefault="007B63EE" w:rsidP="007B63EE">
      <w:pPr>
        <w:autoSpaceDE w:val="0"/>
        <w:autoSpaceDN w:val="0"/>
        <w:adjustRightInd w:val="0"/>
        <w:spacing w:before="240"/>
        <w:ind w:left="732" w:firstLine="348"/>
        <w:rPr>
          <w:i/>
          <w:sz w:val="22"/>
        </w:rPr>
      </w:pPr>
      <w:r w:rsidRPr="007B63EE">
        <w:rPr>
          <w:i/>
          <w:sz w:val="22"/>
        </w:rPr>
        <w:t>VIII. Firma del recurrente, en su caso, cuando se presente por escrito, requisito sin el cual se dará trámite al recurso.</w:t>
      </w:r>
    </w:p>
    <w:p w14:paraId="2CC57C35" w14:textId="77777777" w:rsidR="007B63EE" w:rsidRPr="007B63EE" w:rsidRDefault="007B63EE" w:rsidP="007B63EE">
      <w:pPr>
        <w:autoSpaceDE w:val="0"/>
        <w:autoSpaceDN w:val="0"/>
        <w:adjustRightInd w:val="0"/>
        <w:spacing w:before="240"/>
        <w:ind w:left="1080"/>
        <w:rPr>
          <w:i/>
          <w:sz w:val="22"/>
        </w:rPr>
      </w:pPr>
      <w:r w:rsidRPr="007B63EE">
        <w:rPr>
          <w:i/>
          <w:sz w:val="22"/>
        </w:rPr>
        <w:t>Adicionalmente, se podrán anexar las pruebas y demás elementos que considere procedentes someter a juicio del Instituto.</w:t>
      </w:r>
    </w:p>
    <w:p w14:paraId="2F3AC87C" w14:textId="77777777" w:rsidR="007B63EE" w:rsidRPr="007B63EE" w:rsidRDefault="007B63EE" w:rsidP="007B63EE">
      <w:pPr>
        <w:autoSpaceDE w:val="0"/>
        <w:autoSpaceDN w:val="0"/>
        <w:adjustRightInd w:val="0"/>
        <w:spacing w:before="240"/>
        <w:ind w:left="732" w:firstLine="348"/>
        <w:rPr>
          <w:i/>
          <w:sz w:val="22"/>
        </w:rPr>
      </w:pPr>
      <w:r w:rsidRPr="007B63EE">
        <w:rPr>
          <w:i/>
          <w:sz w:val="22"/>
        </w:rPr>
        <w:t>En ningún caso será necesario que el particular ratifique el recurso de revisión interpuesto.</w:t>
      </w:r>
    </w:p>
    <w:p w14:paraId="7D29FE9B" w14:textId="77777777" w:rsidR="007B63EE" w:rsidRPr="007B63EE" w:rsidRDefault="007B63EE" w:rsidP="007B63EE">
      <w:pPr>
        <w:autoSpaceDE w:val="0"/>
        <w:autoSpaceDN w:val="0"/>
        <w:adjustRightInd w:val="0"/>
        <w:spacing w:before="240"/>
        <w:ind w:left="1080"/>
        <w:rPr>
          <w:b/>
          <w:i/>
          <w:sz w:val="22"/>
          <w:u w:val="single"/>
        </w:rPr>
      </w:pPr>
      <w:r w:rsidRPr="007B63EE">
        <w:rPr>
          <w:b/>
          <w:i/>
          <w:sz w:val="22"/>
          <w:u w:val="single"/>
        </w:rPr>
        <w:t>En caso de que el recurso se interponga de manera electrónica no será indispensable que contengan los requisitos establecidos en las fracciones II, IV, VII y VIII.” [Sic]</w:t>
      </w:r>
    </w:p>
    <w:p w14:paraId="0B4DA1A1" w14:textId="77777777" w:rsidR="007B63EE" w:rsidRPr="0034179B" w:rsidRDefault="007B63EE" w:rsidP="007B63EE">
      <w:pPr>
        <w:autoSpaceDE w:val="0"/>
        <w:autoSpaceDN w:val="0"/>
        <w:adjustRightInd w:val="0"/>
        <w:spacing w:before="240"/>
        <w:ind w:left="1080"/>
        <w:rPr>
          <w:b/>
          <w:i/>
          <w:u w:val="single"/>
        </w:rPr>
      </w:pPr>
    </w:p>
    <w:p w14:paraId="4F197E0A" w14:textId="77777777" w:rsidR="007B63EE" w:rsidRPr="0034179B" w:rsidRDefault="007B63EE" w:rsidP="007B63EE">
      <w:pPr>
        <w:rPr>
          <w:rFonts w:cs="Arial"/>
        </w:rPr>
      </w:pPr>
      <w:r w:rsidRPr="0034179B">
        <w:rPr>
          <w:rFonts w:cs="Segoe UI"/>
        </w:rPr>
        <w:t xml:space="preserve">Cabe señalar que </w:t>
      </w:r>
      <w:r w:rsidRPr="0034179B">
        <w:rPr>
          <w:rFonts w:cs="Segoe UI"/>
          <w:b/>
        </w:rPr>
        <w:t>El Recurrente</w:t>
      </w:r>
      <w:r w:rsidRPr="0034179B">
        <w:rPr>
          <w:rFonts w:cs="Segoe UI"/>
        </w:rPr>
        <w:t xml:space="preserve"> ejerció de manera anónima su derecho de acceso a la información pública</w:t>
      </w:r>
      <w:r w:rsidRPr="0034179B">
        <w:t xml:space="preserve">, sin embargo, no es motivo para desechar las </w:t>
      </w:r>
      <w:r w:rsidRPr="0034179B">
        <w:rPr>
          <w:rFonts w:cs="Arial"/>
        </w:rPr>
        <w:t xml:space="preserve">solicitudes de acceso a la información pública conforme a lo previsto en el artículo 155, penúltimo párrafo de la </w:t>
      </w:r>
      <w:r w:rsidRPr="0034179B">
        <w:rPr>
          <w:rFonts w:cs="Arial"/>
        </w:rPr>
        <w:lastRenderedPageBreak/>
        <w:t>Ley de Transparencia y Acceso a la Información Pública del Estado de México y Municipios que señala lo siguiente:</w:t>
      </w:r>
    </w:p>
    <w:p w14:paraId="200517AE" w14:textId="77777777" w:rsidR="007B63EE" w:rsidRPr="007B63EE" w:rsidRDefault="007B63EE" w:rsidP="007B63EE">
      <w:pPr>
        <w:spacing w:before="240"/>
        <w:ind w:left="851" w:right="851"/>
        <w:rPr>
          <w:rFonts w:cs="Arial"/>
          <w:b/>
          <w:i/>
          <w:sz w:val="22"/>
        </w:rPr>
      </w:pPr>
      <w:r w:rsidRPr="007B63EE">
        <w:rPr>
          <w:rFonts w:cs="Arial"/>
          <w:i/>
          <w:sz w:val="22"/>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7B63EE">
        <w:rPr>
          <w:rFonts w:cs="Arial"/>
          <w:b/>
          <w:i/>
          <w:sz w:val="22"/>
        </w:rPr>
        <w:t>[Sic]</w:t>
      </w:r>
    </w:p>
    <w:p w14:paraId="7E6A4413" w14:textId="77777777" w:rsidR="007B63EE" w:rsidRPr="0034179B" w:rsidRDefault="007B63EE" w:rsidP="007B63EE">
      <w:pPr>
        <w:spacing w:before="240"/>
        <w:ind w:left="851" w:right="851"/>
        <w:rPr>
          <w:rFonts w:cs="Arial"/>
          <w:b/>
          <w:i/>
        </w:rPr>
      </w:pPr>
    </w:p>
    <w:p w14:paraId="4DC29340" w14:textId="77777777" w:rsidR="007B63EE" w:rsidRPr="0034179B" w:rsidRDefault="007B63EE" w:rsidP="007B63EE">
      <w:r w:rsidRPr="0034179B">
        <w:t>Robustec</w:t>
      </w:r>
      <w:r>
        <w:t xml:space="preserve">e </w:t>
      </w:r>
      <w:r w:rsidRPr="0034179B">
        <w:t xml:space="preserve">lo anterior se encuentra lo dispuesto en los artículos 6, Apartado A, fracciones III y IV de la Constitución Política de los Estados Unidos Mexicanos y 5 párrafos </w:t>
      </w:r>
      <w:r w:rsidRPr="0034179B">
        <w:rPr>
          <w:rFonts w:cs="Arial"/>
        </w:rPr>
        <w:t>vigésimo, vigésimo primero y vigésimo segundo</w:t>
      </w:r>
      <w:r w:rsidRPr="0034179B">
        <w:t>, de la Constitución Política del Estado Libre y Soberano de México, se establece lo siguiente:</w:t>
      </w:r>
    </w:p>
    <w:p w14:paraId="3C97CBF4" w14:textId="77777777" w:rsidR="007B63EE" w:rsidRPr="007B63EE" w:rsidRDefault="007B63EE" w:rsidP="007B63EE">
      <w:pPr>
        <w:spacing w:before="240"/>
        <w:ind w:left="851" w:right="851"/>
        <w:rPr>
          <w:b/>
          <w:i/>
          <w:sz w:val="22"/>
          <w:u w:val="single"/>
        </w:rPr>
      </w:pPr>
      <w:r w:rsidRPr="007B63EE">
        <w:rPr>
          <w:b/>
          <w:i/>
          <w:sz w:val="22"/>
          <w:u w:val="single"/>
        </w:rPr>
        <w:t>Constitución Política de los Estados Unidos Mexicanos</w:t>
      </w:r>
    </w:p>
    <w:p w14:paraId="267810FB" w14:textId="77777777" w:rsidR="007B63EE" w:rsidRPr="007B63EE" w:rsidRDefault="007B63EE" w:rsidP="007B63EE">
      <w:pPr>
        <w:spacing w:before="240"/>
        <w:ind w:left="851" w:right="851"/>
        <w:rPr>
          <w:i/>
          <w:sz w:val="22"/>
        </w:rPr>
      </w:pPr>
      <w:r w:rsidRPr="007B63EE">
        <w:rPr>
          <w:b/>
          <w:i/>
          <w:sz w:val="22"/>
        </w:rPr>
        <w:t>“Artículo 6</w:t>
      </w:r>
      <w:r w:rsidRPr="007B63EE">
        <w:rPr>
          <w:i/>
          <w:sz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67302FA5" w14:textId="77777777" w:rsidR="007B63EE" w:rsidRPr="007B63EE" w:rsidRDefault="007B63EE" w:rsidP="007B63EE">
      <w:pPr>
        <w:spacing w:before="240"/>
        <w:ind w:left="851" w:right="851"/>
        <w:rPr>
          <w:i/>
          <w:sz w:val="22"/>
        </w:rPr>
      </w:pPr>
      <w:r w:rsidRPr="007B63EE">
        <w:rPr>
          <w:i/>
          <w:sz w:val="22"/>
        </w:rPr>
        <w:t>(…)</w:t>
      </w:r>
    </w:p>
    <w:p w14:paraId="3EA0AB34" w14:textId="77777777" w:rsidR="007B63EE" w:rsidRPr="007B63EE" w:rsidRDefault="007B63EE" w:rsidP="007B63EE">
      <w:pPr>
        <w:spacing w:before="240"/>
        <w:ind w:left="851" w:right="851"/>
        <w:rPr>
          <w:i/>
          <w:sz w:val="22"/>
        </w:rPr>
      </w:pPr>
      <w:r w:rsidRPr="007B63EE">
        <w:rPr>
          <w:i/>
          <w:sz w:val="22"/>
        </w:rPr>
        <w:t xml:space="preserve">Para efectos de lo dispuesto en el presente artículo se observará lo siguiente: </w:t>
      </w:r>
    </w:p>
    <w:p w14:paraId="34D4B0B3" w14:textId="77777777" w:rsidR="007B63EE" w:rsidRPr="007B63EE" w:rsidRDefault="007B63EE" w:rsidP="007B63EE">
      <w:pPr>
        <w:spacing w:before="240"/>
        <w:ind w:left="851" w:right="851"/>
        <w:rPr>
          <w:i/>
          <w:sz w:val="22"/>
        </w:rPr>
      </w:pPr>
      <w:r w:rsidRPr="007B63EE">
        <w:rPr>
          <w:i/>
          <w:sz w:val="22"/>
        </w:rPr>
        <w:t>A. Para el ejercicio del derecho de acceso a la información, la Federación, los Estados y el Distrito Federal, en el ámbito de sus respectivas competencias, se regirán por los siguientes principios y bases:</w:t>
      </w:r>
    </w:p>
    <w:p w14:paraId="5E8B8F74" w14:textId="77777777" w:rsidR="007B63EE" w:rsidRPr="007B63EE" w:rsidRDefault="007B63EE" w:rsidP="007B63EE">
      <w:pPr>
        <w:spacing w:before="240"/>
        <w:ind w:left="851" w:right="851"/>
        <w:rPr>
          <w:i/>
          <w:sz w:val="22"/>
        </w:rPr>
      </w:pPr>
      <w:r w:rsidRPr="007B63EE">
        <w:rPr>
          <w:i/>
          <w:sz w:val="22"/>
        </w:rPr>
        <w:lastRenderedPageBreak/>
        <w:t>(…)</w:t>
      </w:r>
    </w:p>
    <w:p w14:paraId="2B0B3979" w14:textId="77777777" w:rsidR="007B63EE" w:rsidRPr="007B63EE" w:rsidRDefault="007B63EE" w:rsidP="007B63EE">
      <w:pPr>
        <w:spacing w:before="240"/>
        <w:ind w:left="851" w:right="851"/>
        <w:rPr>
          <w:i/>
          <w:sz w:val="22"/>
        </w:rPr>
      </w:pPr>
      <w:r w:rsidRPr="007B63EE">
        <w:rPr>
          <w:i/>
          <w:sz w:val="22"/>
        </w:rPr>
        <w:t xml:space="preserve">III. Toda persona, sin necesidad de acreditar interés alguno o justificar su utilización, tendrá acceso gratuito a la información pública, a sus datos personales o a la rectificación de éstos. </w:t>
      </w:r>
    </w:p>
    <w:p w14:paraId="68A892BF" w14:textId="77777777" w:rsidR="007B63EE" w:rsidRPr="007B63EE" w:rsidRDefault="007B63EE" w:rsidP="007B63EE">
      <w:pPr>
        <w:spacing w:before="240"/>
        <w:ind w:left="851" w:right="851"/>
        <w:rPr>
          <w:b/>
          <w:i/>
          <w:sz w:val="22"/>
        </w:rPr>
      </w:pPr>
      <w:r w:rsidRPr="007B63EE">
        <w:rPr>
          <w:i/>
          <w:sz w:val="22"/>
        </w:rPr>
        <w:t xml:space="preserve">IV. Se establecerán mecanismos de acceso a la información y procedimientos de revisión expeditos que se sustanciarán ante los organismos autónomos especializados e imparciales que establece esta Constitución.” </w:t>
      </w:r>
      <w:r w:rsidRPr="007B63EE">
        <w:rPr>
          <w:b/>
          <w:i/>
          <w:sz w:val="22"/>
        </w:rPr>
        <w:t>[Sic]</w:t>
      </w:r>
    </w:p>
    <w:p w14:paraId="2612A7A5" w14:textId="77777777" w:rsidR="007B63EE" w:rsidRPr="007B63EE" w:rsidRDefault="007B63EE" w:rsidP="007B63EE">
      <w:pPr>
        <w:spacing w:before="240"/>
        <w:ind w:left="851" w:right="851"/>
        <w:rPr>
          <w:b/>
          <w:i/>
          <w:sz w:val="22"/>
          <w:u w:val="single"/>
        </w:rPr>
      </w:pPr>
      <w:r w:rsidRPr="007B63EE">
        <w:rPr>
          <w:b/>
          <w:i/>
          <w:sz w:val="22"/>
          <w:u w:val="single"/>
        </w:rPr>
        <w:t>Constitución Política del Estado Libre y Soberano de México</w:t>
      </w:r>
    </w:p>
    <w:p w14:paraId="34B61AE4" w14:textId="77777777" w:rsidR="007B63EE" w:rsidRPr="007B63EE" w:rsidRDefault="007B63EE" w:rsidP="007B63EE">
      <w:pPr>
        <w:spacing w:before="240"/>
        <w:ind w:left="851" w:right="851"/>
        <w:rPr>
          <w:i/>
          <w:sz w:val="22"/>
        </w:rPr>
      </w:pPr>
      <w:r w:rsidRPr="007B63EE">
        <w:rPr>
          <w:i/>
          <w:sz w:val="22"/>
        </w:rPr>
        <w:t>“</w:t>
      </w:r>
      <w:r w:rsidRPr="007B63EE">
        <w:rPr>
          <w:b/>
          <w:i/>
          <w:sz w:val="22"/>
        </w:rPr>
        <w:t>Artículo 5</w:t>
      </w:r>
      <w:r w:rsidRPr="007B63EE">
        <w:rPr>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9326E46" w14:textId="77777777" w:rsidR="007B63EE" w:rsidRPr="007B63EE" w:rsidRDefault="007B63EE" w:rsidP="007B63EE">
      <w:pPr>
        <w:spacing w:before="240"/>
        <w:ind w:left="851" w:right="851"/>
        <w:rPr>
          <w:i/>
          <w:sz w:val="22"/>
        </w:rPr>
      </w:pPr>
      <w:r w:rsidRPr="007B63EE">
        <w:rPr>
          <w:i/>
          <w:sz w:val="22"/>
        </w:rPr>
        <w:t>(…)</w:t>
      </w:r>
    </w:p>
    <w:p w14:paraId="7C31F7DF" w14:textId="3C3E5516" w:rsidR="007B63EE" w:rsidRPr="007B63EE" w:rsidRDefault="007B63EE" w:rsidP="007B63EE">
      <w:pPr>
        <w:spacing w:before="240"/>
        <w:ind w:left="851" w:right="851"/>
        <w:rPr>
          <w:b/>
          <w:i/>
          <w:sz w:val="22"/>
        </w:rPr>
      </w:pPr>
      <w:proofErr w:type="gramStart"/>
      <w:r w:rsidRPr="007B63EE">
        <w:rPr>
          <w:i/>
          <w:sz w:val="22"/>
        </w:rPr>
        <w:t>transparencia</w:t>
      </w:r>
      <w:proofErr w:type="gramEnd"/>
      <w:r w:rsidRPr="007B63EE">
        <w:rPr>
          <w:i/>
          <w:sz w:val="22"/>
        </w:rPr>
        <w:t xml:space="preserve">, acceso a la información pública y a la protección de datos personales en posesión de los sujetos obligados en los términos que establezca la ley. (…)” </w:t>
      </w:r>
      <w:r w:rsidRPr="007B63EE">
        <w:rPr>
          <w:b/>
          <w:i/>
          <w:sz w:val="22"/>
        </w:rPr>
        <w:t>[Sic]</w:t>
      </w:r>
    </w:p>
    <w:p w14:paraId="31D6A462" w14:textId="77777777" w:rsidR="007B63EE" w:rsidRDefault="007B63EE" w:rsidP="007B63EE">
      <w:pPr>
        <w:autoSpaceDE w:val="0"/>
        <w:autoSpaceDN w:val="0"/>
        <w:adjustRightInd w:val="0"/>
        <w:spacing w:before="240"/>
        <w:rPr>
          <w:rFonts w:cs="Arial"/>
        </w:rPr>
      </w:pPr>
      <w:r w:rsidRPr="0034179B">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34179B">
        <w:rPr>
          <w:b/>
          <w:u w:val="single"/>
        </w:rPr>
        <w:lastRenderedPageBreak/>
        <w:t>incluso, la solicitud de acceso a la información pueda ser anónima</w:t>
      </w:r>
      <w:r w:rsidRPr="0034179B">
        <w:t xml:space="preserve"> o no contener un nombre que identifique al solicitante o que permita tener certeza sobre su identidad. </w:t>
      </w:r>
      <w:r w:rsidRPr="0034179B">
        <w:rPr>
          <w:rFonts w:cs="Arial"/>
        </w:rPr>
        <w:t>En conclusión, se cubrieron los requisitos de procedencia y procedibilidad y conforme a las constancias que obran en el expediente.</w:t>
      </w:r>
    </w:p>
    <w:p w14:paraId="126D0E3C" w14:textId="77777777" w:rsidR="007B63EE" w:rsidRPr="0034179B" w:rsidRDefault="007B63EE" w:rsidP="007B63EE">
      <w:pPr>
        <w:autoSpaceDE w:val="0"/>
        <w:autoSpaceDN w:val="0"/>
        <w:adjustRightInd w:val="0"/>
        <w:spacing w:before="240"/>
        <w:rPr>
          <w:rFonts w:cs="Arial"/>
          <w:b/>
        </w:rPr>
      </w:pPr>
    </w:p>
    <w:p w14:paraId="7CC7C3F9" w14:textId="77777777" w:rsidR="007B63EE" w:rsidRPr="00F444C4" w:rsidRDefault="007B63EE" w:rsidP="007B63EE">
      <w:pPr>
        <w:keepNext/>
        <w:keepLines/>
        <w:outlineLvl w:val="1"/>
        <w:rPr>
          <w:b/>
          <w:color w:val="000000" w:themeColor="text1"/>
          <w:sz w:val="26"/>
          <w:szCs w:val="26"/>
        </w:rPr>
      </w:pPr>
      <w:r>
        <w:rPr>
          <w:b/>
          <w:color w:val="000000" w:themeColor="text1"/>
          <w:sz w:val="26"/>
          <w:szCs w:val="26"/>
        </w:rPr>
        <w:t xml:space="preserve">CUARTO. </w:t>
      </w:r>
      <w:r w:rsidRPr="00F444C4">
        <w:rPr>
          <w:b/>
          <w:color w:val="000000" w:themeColor="text1"/>
          <w:sz w:val="26"/>
          <w:szCs w:val="26"/>
        </w:rPr>
        <w:t>De las causas de improcedencia.</w:t>
      </w:r>
    </w:p>
    <w:p w14:paraId="16B61FCB" w14:textId="77777777" w:rsidR="007B63EE" w:rsidRPr="0034179B" w:rsidRDefault="007B63EE" w:rsidP="007B63EE">
      <w:pPr>
        <w:contextualSpacing/>
        <w:rPr>
          <w:rFonts w:cs="Palatino Linotype"/>
          <w:color w:val="000000"/>
        </w:rPr>
      </w:pPr>
      <w:r w:rsidRPr="0034179B">
        <w:rPr>
          <w:rFonts w:cs="Palatino Linotype"/>
          <w:color w:val="000000"/>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3EE7DCB" w14:textId="77777777" w:rsidR="007B63EE" w:rsidRPr="0034179B" w:rsidRDefault="007B63EE" w:rsidP="007B63EE">
      <w:pPr>
        <w:contextualSpacing/>
        <w:rPr>
          <w:rFonts w:cs="Palatino Linotype"/>
          <w:color w:val="000000"/>
        </w:rPr>
      </w:pPr>
    </w:p>
    <w:p w14:paraId="4F5CC6C9" w14:textId="77777777" w:rsidR="007B63EE" w:rsidRPr="0034179B" w:rsidRDefault="007B63EE" w:rsidP="007B63EE">
      <w:pPr>
        <w:contextualSpacing/>
        <w:rPr>
          <w:rFonts w:cs="Palatino Linotype"/>
          <w:color w:val="000000"/>
        </w:rPr>
      </w:pPr>
      <w:r w:rsidRPr="0034179B">
        <w:rPr>
          <w:rFonts w:cs="Palatino Linotype"/>
          <w:color w:val="000000"/>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34179B">
        <w:rPr>
          <w:rFonts w:cs="Palatino Linotype"/>
          <w:color w:val="000000"/>
          <w:vertAlign w:val="superscript"/>
        </w:rPr>
        <w:footnoteReference w:id="1"/>
      </w:r>
      <w:r w:rsidRPr="0034179B">
        <w:rPr>
          <w:rFonts w:cs="Palatino Linotype"/>
          <w:color w:val="000000"/>
        </w:rPr>
        <w:t xml:space="preserve">, la cual permite dilucidar alguna </w:t>
      </w:r>
      <w:r w:rsidRPr="0034179B">
        <w:rPr>
          <w:rFonts w:cs="Palatino Linotype"/>
          <w:color w:val="000000"/>
        </w:rPr>
        <w:lastRenderedPageBreak/>
        <w:t>causal que impida el estudio y resolución, cuando una vez admitido el recurso de revisión se advierta una causa de improcedencia que permita sobreseerlo, sin estudiar el fondo del asunto.</w:t>
      </w:r>
    </w:p>
    <w:p w14:paraId="3542F865" w14:textId="77777777" w:rsidR="007B63EE" w:rsidRPr="0034179B" w:rsidRDefault="007B63EE" w:rsidP="007B63EE">
      <w:pPr>
        <w:contextualSpacing/>
        <w:rPr>
          <w:rFonts w:cs="Palatino Linotype"/>
          <w:color w:val="000000"/>
        </w:rPr>
      </w:pPr>
    </w:p>
    <w:p w14:paraId="4FBE1828" w14:textId="348CF0D4" w:rsidR="00B156C7" w:rsidRPr="00D86BF2" w:rsidRDefault="007B63EE" w:rsidP="00D86BF2">
      <w:pPr>
        <w:contextualSpacing/>
        <w:rPr>
          <w:rFonts w:cs="Palatino Linotype"/>
          <w:color w:val="000000"/>
        </w:rPr>
      </w:pPr>
      <w:r w:rsidRPr="0034179B">
        <w:rPr>
          <w:rFonts w:cs="Palatino Linotype"/>
          <w:color w:val="000000"/>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96F8202" w14:textId="1BE79480" w:rsidR="00511260" w:rsidRPr="00E513F1" w:rsidRDefault="007B63EE" w:rsidP="00511260">
      <w:pPr>
        <w:rPr>
          <w:b/>
          <w:bCs/>
          <w:sz w:val="28"/>
          <w:szCs w:val="28"/>
        </w:rPr>
      </w:pPr>
      <w:r>
        <w:rPr>
          <w:b/>
          <w:bCs/>
          <w:sz w:val="28"/>
          <w:szCs w:val="28"/>
        </w:rPr>
        <w:lastRenderedPageBreak/>
        <w:t>QUIN</w:t>
      </w:r>
      <w:r w:rsidR="00511260" w:rsidRPr="00511260">
        <w:rPr>
          <w:b/>
          <w:bCs/>
          <w:sz w:val="28"/>
          <w:szCs w:val="28"/>
        </w:rPr>
        <w:t>TO. Estudio y resolución del asunto.</w:t>
      </w:r>
    </w:p>
    <w:p w14:paraId="65DB4271" w14:textId="77777777" w:rsidR="00511260" w:rsidRPr="006922F5" w:rsidRDefault="00511260" w:rsidP="00511260">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790E057" w14:textId="77777777" w:rsidR="00511260" w:rsidRPr="006922F5" w:rsidRDefault="00511260" w:rsidP="00511260">
      <w:pPr>
        <w:pBdr>
          <w:top w:val="nil"/>
          <w:left w:val="nil"/>
          <w:bottom w:val="nil"/>
          <w:right w:val="nil"/>
          <w:between w:val="nil"/>
        </w:pBdr>
        <w:contextualSpacing/>
        <w:rPr>
          <w:rFonts w:eastAsia="Palatino Linotype" w:cs="Palatino Linotype"/>
          <w:color w:val="000000"/>
          <w:szCs w:val="24"/>
        </w:rPr>
      </w:pPr>
    </w:p>
    <w:p w14:paraId="7BFB23AC" w14:textId="77777777" w:rsidR="00511260" w:rsidRDefault="00511260" w:rsidP="00511260">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tanto, es conveniente recordar que </w:t>
      </w:r>
      <w:r>
        <w:rPr>
          <w:rFonts w:eastAsia="Palatino Linotype" w:cs="Palatino Linotype"/>
          <w:color w:val="000000"/>
          <w:szCs w:val="24"/>
        </w:rPr>
        <w:t>el</w:t>
      </w:r>
      <w:r w:rsidRPr="006922F5">
        <w:rPr>
          <w:rFonts w:eastAsia="Palatino Linotype" w:cs="Palatino Linotype"/>
          <w:color w:val="000000"/>
          <w:szCs w:val="24"/>
        </w:rPr>
        <w:t xml:space="preserve"> hoy Recurrente requirió </w:t>
      </w:r>
      <w:r>
        <w:rPr>
          <w:rFonts w:eastAsia="Palatino Linotype" w:cs="Palatino Linotype"/>
          <w:color w:val="000000"/>
          <w:szCs w:val="24"/>
        </w:rPr>
        <w:t>del Sujeto Obligado, de la actual administración, lo siguiente:</w:t>
      </w:r>
    </w:p>
    <w:p w14:paraId="24AA8E0A" w14:textId="77777777" w:rsidR="007B63EE" w:rsidRDefault="007B63EE" w:rsidP="00511260">
      <w:pPr>
        <w:pBdr>
          <w:top w:val="nil"/>
          <w:left w:val="nil"/>
          <w:bottom w:val="nil"/>
          <w:right w:val="nil"/>
          <w:between w:val="nil"/>
        </w:pBdr>
        <w:contextualSpacing/>
        <w:rPr>
          <w:rFonts w:eastAsia="Palatino Linotype" w:cs="Palatino Linotype"/>
          <w:color w:val="000000"/>
          <w:szCs w:val="24"/>
        </w:rPr>
      </w:pPr>
    </w:p>
    <w:p w14:paraId="075D86AC" w14:textId="3B86C4A8" w:rsidR="00511260" w:rsidRDefault="007B63EE" w:rsidP="00E513F1">
      <w:pPr>
        <w:pStyle w:val="Prrafodelista"/>
        <w:numPr>
          <w:ilvl w:val="0"/>
          <w:numId w:val="6"/>
        </w:numPr>
        <w:pBdr>
          <w:top w:val="nil"/>
          <w:left w:val="nil"/>
          <w:bottom w:val="nil"/>
          <w:right w:val="nil"/>
          <w:between w:val="nil"/>
        </w:pBdr>
        <w:rPr>
          <w:rFonts w:eastAsia="Palatino Linotype" w:cs="Palatino Linotype"/>
          <w:color w:val="000000"/>
        </w:rPr>
      </w:pPr>
      <w:r>
        <w:rPr>
          <w:rFonts w:eastAsia="Palatino Linotype" w:cs="Palatino Linotype"/>
          <w:color w:val="000000"/>
        </w:rPr>
        <w:t>Programa anual de Trabajo de Movilidad de los años 2022, 2023 y 2024</w:t>
      </w:r>
    </w:p>
    <w:p w14:paraId="3C332C43" w14:textId="0729730A" w:rsidR="007B63EE" w:rsidRDefault="007B63EE" w:rsidP="00E513F1">
      <w:pPr>
        <w:pStyle w:val="Prrafodelista"/>
        <w:numPr>
          <w:ilvl w:val="0"/>
          <w:numId w:val="6"/>
        </w:numPr>
        <w:pBdr>
          <w:top w:val="nil"/>
          <w:left w:val="nil"/>
          <w:bottom w:val="nil"/>
          <w:right w:val="nil"/>
          <w:between w:val="nil"/>
        </w:pBdr>
        <w:rPr>
          <w:rFonts w:eastAsia="Palatino Linotype" w:cs="Palatino Linotype"/>
          <w:color w:val="000000"/>
        </w:rPr>
      </w:pPr>
      <w:r>
        <w:rPr>
          <w:rFonts w:eastAsia="Palatino Linotype" w:cs="Palatino Linotype"/>
          <w:color w:val="000000"/>
        </w:rPr>
        <w:t>Acciones implementadas para mejorar la movilidad en el municipio de los años 2022, 2023 y 2024</w:t>
      </w:r>
    </w:p>
    <w:p w14:paraId="5C2EF65C" w14:textId="31367534" w:rsidR="007B63EE" w:rsidRDefault="007B63EE" w:rsidP="007B63EE">
      <w:pPr>
        <w:pStyle w:val="Prrafodelista"/>
        <w:numPr>
          <w:ilvl w:val="0"/>
          <w:numId w:val="6"/>
        </w:numPr>
        <w:pBdr>
          <w:top w:val="nil"/>
          <w:left w:val="nil"/>
          <w:bottom w:val="nil"/>
          <w:right w:val="nil"/>
          <w:between w:val="nil"/>
        </w:pBdr>
        <w:rPr>
          <w:rFonts w:eastAsia="Palatino Linotype" w:cs="Palatino Linotype"/>
          <w:color w:val="000000"/>
        </w:rPr>
      </w:pPr>
      <w:r>
        <w:rPr>
          <w:rFonts w:eastAsia="Palatino Linotype" w:cs="Palatino Linotype"/>
          <w:color w:val="000000"/>
        </w:rPr>
        <w:t>Programa anual de Trabajo de la Administración de los años 2022, 2023 y 2024</w:t>
      </w:r>
    </w:p>
    <w:p w14:paraId="125C7CDB" w14:textId="77777777" w:rsidR="00E513F1" w:rsidRDefault="00E513F1" w:rsidP="00511260">
      <w:pPr>
        <w:pBdr>
          <w:top w:val="nil"/>
          <w:left w:val="nil"/>
          <w:bottom w:val="nil"/>
          <w:right w:val="nil"/>
          <w:between w:val="nil"/>
        </w:pBdr>
        <w:contextualSpacing/>
        <w:rPr>
          <w:rFonts w:eastAsia="Palatino Linotype" w:cs="Palatino Linotype"/>
          <w:color w:val="000000"/>
          <w:szCs w:val="24"/>
        </w:rPr>
      </w:pPr>
    </w:p>
    <w:p w14:paraId="2A043BF8" w14:textId="20A5C3FD" w:rsidR="00511260" w:rsidRDefault="00511260" w:rsidP="00511260">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Por lo que atento a la solicitud de información el Sujeto Obligado hizo entrega de los siguientes archivos electrónicos:</w:t>
      </w:r>
    </w:p>
    <w:p w14:paraId="1EE1875F" w14:textId="77777777" w:rsidR="009417F8" w:rsidRDefault="009417F8" w:rsidP="00511260">
      <w:pPr>
        <w:pBdr>
          <w:top w:val="nil"/>
          <w:left w:val="nil"/>
          <w:bottom w:val="nil"/>
          <w:right w:val="nil"/>
          <w:between w:val="nil"/>
        </w:pBdr>
        <w:contextualSpacing/>
        <w:rPr>
          <w:rFonts w:eastAsia="Palatino Linotype" w:cs="Palatino Linotype"/>
          <w:color w:val="000000"/>
          <w:szCs w:val="24"/>
        </w:rPr>
      </w:pPr>
    </w:p>
    <w:p w14:paraId="3FABDB4F" w14:textId="77777777" w:rsidR="007B63EE" w:rsidRPr="007B63EE" w:rsidRDefault="00E513F1" w:rsidP="007B63EE">
      <w:pPr>
        <w:pStyle w:val="Prrafodelista"/>
        <w:numPr>
          <w:ilvl w:val="0"/>
          <w:numId w:val="3"/>
        </w:numPr>
        <w:rPr>
          <w:rFonts w:eastAsia="Palatino Linotype" w:cs="Palatino Linotype"/>
          <w:color w:val="000000"/>
        </w:rPr>
      </w:pPr>
      <w:r>
        <w:t xml:space="preserve">Respecto la solicitud de información </w:t>
      </w:r>
      <w:r w:rsidR="007B63EE">
        <w:t xml:space="preserve"> </w:t>
      </w:r>
      <w:r w:rsidR="007B63EE" w:rsidRPr="001535C3">
        <w:rPr>
          <w:b/>
          <w:bCs/>
          <w:szCs w:val="24"/>
        </w:rPr>
        <w:t>00918/TLALNEPA/IP/2024</w:t>
      </w:r>
    </w:p>
    <w:p w14:paraId="7F0E73C1" w14:textId="630C2B7B" w:rsidR="0002248C" w:rsidRDefault="007B63EE" w:rsidP="0002248C">
      <w:pPr>
        <w:pStyle w:val="Prrafodelista"/>
        <w:numPr>
          <w:ilvl w:val="0"/>
          <w:numId w:val="7"/>
        </w:numPr>
        <w:rPr>
          <w:rFonts w:eastAsia="Palatino Linotype" w:cs="Palatino Linotype"/>
          <w:color w:val="000000"/>
        </w:rPr>
      </w:pPr>
      <w:r w:rsidRPr="007B63EE">
        <w:rPr>
          <w:rFonts w:cs="Arial"/>
          <w:b/>
          <w:bCs/>
          <w:i/>
          <w:szCs w:val="24"/>
        </w:rPr>
        <w:lastRenderedPageBreak/>
        <w:t>RESPUESTA SAIMEX 00918.zip</w:t>
      </w:r>
      <w:r>
        <w:rPr>
          <w:rFonts w:cs="Arial"/>
          <w:b/>
          <w:bCs/>
          <w:i/>
          <w:szCs w:val="24"/>
        </w:rPr>
        <w:t xml:space="preserve">; </w:t>
      </w:r>
      <w:r>
        <w:rPr>
          <w:rFonts w:cs="Arial"/>
          <w:bCs/>
          <w:szCs w:val="24"/>
        </w:rPr>
        <w:t xml:space="preserve">Documento que consta de un archivo ZIP </w:t>
      </w:r>
      <w:r w:rsidR="0002248C">
        <w:rPr>
          <w:rFonts w:cs="Arial"/>
          <w:bCs/>
          <w:szCs w:val="24"/>
        </w:rPr>
        <w:t>comprimido en los términos siguientes;</w:t>
      </w:r>
      <w:r w:rsidR="0002248C">
        <w:rPr>
          <w:rFonts w:eastAsia="Palatino Linotype" w:cs="Palatino Linotype"/>
          <w:color w:val="000000"/>
        </w:rPr>
        <w:t xml:space="preserve"> </w:t>
      </w:r>
    </w:p>
    <w:p w14:paraId="53496F3A" w14:textId="77777777" w:rsidR="0002248C" w:rsidRDefault="0002248C" w:rsidP="0002248C">
      <w:pPr>
        <w:pStyle w:val="Prrafodelista"/>
        <w:rPr>
          <w:rFonts w:eastAsia="Palatino Linotype" w:cs="Palatino Linotype"/>
          <w:color w:val="000000"/>
        </w:rPr>
      </w:pPr>
    </w:p>
    <w:p w14:paraId="1EA96EFB" w14:textId="77777777" w:rsidR="00B84D40" w:rsidRDefault="0002248C" w:rsidP="0002248C">
      <w:pPr>
        <w:pStyle w:val="Prrafodelista"/>
        <w:numPr>
          <w:ilvl w:val="0"/>
          <w:numId w:val="17"/>
        </w:numPr>
        <w:rPr>
          <w:rFonts w:eastAsia="Palatino Linotype" w:cs="Palatino Linotype"/>
          <w:color w:val="000000"/>
        </w:rPr>
      </w:pPr>
      <w:r>
        <w:rPr>
          <w:rFonts w:eastAsia="Palatino Linotype" w:cs="Palatino Linotype"/>
          <w:color w:val="000000"/>
        </w:rPr>
        <w:t xml:space="preserve">Carpeta denominada </w:t>
      </w:r>
      <w:r w:rsidRPr="0002248C">
        <w:rPr>
          <w:rFonts w:eastAsia="Palatino Linotype" w:cs="Palatino Linotype"/>
          <w:b/>
          <w:i/>
          <w:color w:val="000000"/>
        </w:rPr>
        <w:t>DOCUMENTALES SAIMEX 0915- 0916- 0917- 0918</w:t>
      </w:r>
      <w:r>
        <w:rPr>
          <w:rFonts w:eastAsia="Palatino Linotype" w:cs="Palatino Linotype"/>
          <w:b/>
          <w:i/>
          <w:color w:val="000000"/>
        </w:rPr>
        <w:t xml:space="preserve"> </w:t>
      </w:r>
      <w:r>
        <w:rPr>
          <w:rFonts w:eastAsia="Palatino Linotype" w:cs="Palatino Linotype"/>
          <w:color w:val="000000"/>
        </w:rPr>
        <w:t xml:space="preserve"> de la que se advierten los</w:t>
      </w:r>
      <w:r w:rsidR="00B84D40">
        <w:rPr>
          <w:rFonts w:eastAsia="Palatino Linotype" w:cs="Palatino Linotype"/>
          <w:color w:val="000000"/>
        </w:rPr>
        <w:t xml:space="preserve"> siguientes archivos; </w:t>
      </w:r>
    </w:p>
    <w:p w14:paraId="1CD4FAB9" w14:textId="3C990912" w:rsidR="0002248C" w:rsidRDefault="00B84D40" w:rsidP="00B84D40">
      <w:pPr>
        <w:pStyle w:val="Prrafodelista"/>
        <w:numPr>
          <w:ilvl w:val="0"/>
          <w:numId w:val="7"/>
        </w:numPr>
        <w:rPr>
          <w:rFonts w:eastAsia="Palatino Linotype" w:cs="Palatino Linotype"/>
          <w:color w:val="000000"/>
        </w:rPr>
      </w:pPr>
      <w:proofErr w:type="spellStart"/>
      <w:r>
        <w:rPr>
          <w:rFonts w:eastAsia="Palatino Linotype" w:cs="Palatino Linotype"/>
          <w:color w:val="000000"/>
        </w:rPr>
        <w:t>Pbr</w:t>
      </w:r>
      <w:proofErr w:type="spellEnd"/>
      <w:r>
        <w:rPr>
          <w:rFonts w:eastAsia="Palatino Linotype" w:cs="Palatino Linotype"/>
          <w:color w:val="000000"/>
        </w:rPr>
        <w:t xml:space="preserve"> 2022</w:t>
      </w:r>
      <w:r w:rsidR="001F14B4">
        <w:rPr>
          <w:rFonts w:eastAsia="Palatino Linotype" w:cs="Palatino Linotype"/>
          <w:color w:val="000000"/>
        </w:rPr>
        <w:t xml:space="preserve">; Documento que consta de diez fojas en las que se advierte, </w:t>
      </w:r>
      <w:r w:rsidR="0002248C">
        <w:rPr>
          <w:rFonts w:eastAsia="Palatino Linotype" w:cs="Palatino Linotype"/>
          <w:color w:val="000000"/>
        </w:rPr>
        <w:t>Presupuestos Basados en Resultados  correspondiente al Pbrm-01d de la Ficha Técni</w:t>
      </w:r>
      <w:r w:rsidR="001F14B4">
        <w:rPr>
          <w:rFonts w:eastAsia="Palatino Linotype" w:cs="Palatino Linotype"/>
          <w:color w:val="000000"/>
        </w:rPr>
        <w:t xml:space="preserve">ca de diseño correspondiente a los programas </w:t>
      </w:r>
      <w:r w:rsidR="0002248C">
        <w:rPr>
          <w:rFonts w:eastAsia="Palatino Linotype" w:cs="Palatino Linotype"/>
          <w:color w:val="000000"/>
        </w:rPr>
        <w:t>presupuestario</w:t>
      </w:r>
      <w:r w:rsidR="001F14B4">
        <w:rPr>
          <w:rFonts w:eastAsia="Palatino Linotype" w:cs="Palatino Linotype"/>
          <w:color w:val="000000"/>
        </w:rPr>
        <w:t>s denominados; “ Bienestar y Orientación Juvenil”, “Apoyo municipal a las políticas de desarrollo del transporte”.</w:t>
      </w:r>
    </w:p>
    <w:p w14:paraId="5191239D" w14:textId="77777777" w:rsidR="001F14B4" w:rsidRDefault="001F14B4" w:rsidP="001F14B4">
      <w:pPr>
        <w:pStyle w:val="Prrafodelista"/>
        <w:rPr>
          <w:rFonts w:eastAsia="Palatino Linotype" w:cs="Palatino Linotype"/>
          <w:color w:val="000000"/>
        </w:rPr>
      </w:pPr>
    </w:p>
    <w:p w14:paraId="29C33AE0" w14:textId="3060964D" w:rsidR="001F14B4" w:rsidRPr="001F14B4" w:rsidRDefault="00B84D40" w:rsidP="001F14B4">
      <w:pPr>
        <w:pStyle w:val="Prrafodelista"/>
        <w:numPr>
          <w:ilvl w:val="0"/>
          <w:numId w:val="7"/>
        </w:numPr>
        <w:rPr>
          <w:rFonts w:eastAsia="Palatino Linotype" w:cs="Palatino Linotype"/>
          <w:color w:val="000000"/>
        </w:rPr>
      </w:pPr>
      <w:proofErr w:type="spellStart"/>
      <w:r>
        <w:rPr>
          <w:rFonts w:eastAsia="Palatino Linotype" w:cs="Palatino Linotype"/>
          <w:color w:val="000000"/>
        </w:rPr>
        <w:t>Pbr</w:t>
      </w:r>
      <w:proofErr w:type="spellEnd"/>
      <w:r>
        <w:rPr>
          <w:rFonts w:eastAsia="Palatino Linotype" w:cs="Palatino Linotype"/>
          <w:color w:val="000000"/>
        </w:rPr>
        <w:t xml:space="preserve"> 2023</w:t>
      </w:r>
      <w:r w:rsidR="001F14B4">
        <w:rPr>
          <w:rFonts w:eastAsia="Palatino Linotype" w:cs="Palatino Linotype"/>
          <w:color w:val="000000"/>
        </w:rPr>
        <w:t>; Documento que consta de seis fojas en las que se advierte, Presupuestos Basados en Resultados correspondiente al Pbrm-01d</w:t>
      </w:r>
      <w:r w:rsidR="001F14B4" w:rsidRPr="001F14B4">
        <w:rPr>
          <w:rFonts w:eastAsia="Palatino Linotype" w:cs="Palatino Linotype"/>
          <w:color w:val="000000"/>
        </w:rPr>
        <w:t xml:space="preserve"> </w:t>
      </w:r>
      <w:r w:rsidR="001F14B4">
        <w:rPr>
          <w:rFonts w:eastAsia="Palatino Linotype" w:cs="Palatino Linotype"/>
          <w:color w:val="000000"/>
        </w:rPr>
        <w:t>de la Ficha Técnica de diseño correspondiente a los programas presupuestarios denominados; ”Modernización de la movilidad y el transporte”, “Apoyo municipal a las políticas de desarrollo del transporte”.</w:t>
      </w:r>
    </w:p>
    <w:p w14:paraId="563E294C" w14:textId="77777777" w:rsidR="001F14B4" w:rsidRPr="001F14B4" w:rsidRDefault="001F14B4" w:rsidP="001F14B4">
      <w:pPr>
        <w:ind w:left="360"/>
        <w:rPr>
          <w:rFonts w:eastAsia="Palatino Linotype" w:cs="Palatino Linotype"/>
          <w:color w:val="000000"/>
        </w:rPr>
      </w:pPr>
    </w:p>
    <w:p w14:paraId="6794A75C" w14:textId="40BD6B94" w:rsidR="001F14B4" w:rsidRPr="001F14B4" w:rsidRDefault="00B84D40" w:rsidP="001F14B4">
      <w:pPr>
        <w:pStyle w:val="Prrafodelista"/>
        <w:numPr>
          <w:ilvl w:val="0"/>
          <w:numId w:val="7"/>
        </w:numPr>
        <w:rPr>
          <w:rFonts w:eastAsia="Palatino Linotype" w:cs="Palatino Linotype"/>
          <w:color w:val="000000"/>
        </w:rPr>
      </w:pPr>
      <w:proofErr w:type="spellStart"/>
      <w:r>
        <w:rPr>
          <w:rFonts w:eastAsia="Palatino Linotype" w:cs="Palatino Linotype"/>
          <w:color w:val="000000"/>
        </w:rPr>
        <w:t>Pbr</w:t>
      </w:r>
      <w:proofErr w:type="spellEnd"/>
      <w:r>
        <w:rPr>
          <w:rFonts w:eastAsia="Palatino Linotype" w:cs="Palatino Linotype"/>
          <w:color w:val="000000"/>
        </w:rPr>
        <w:t xml:space="preserve"> 2024</w:t>
      </w:r>
      <w:r w:rsidR="001F14B4">
        <w:rPr>
          <w:rFonts w:eastAsia="Palatino Linotype" w:cs="Palatino Linotype"/>
          <w:color w:val="000000"/>
        </w:rPr>
        <w:t>; Documento que consta de ocho fojas en las que se advierte, Presupuestos Basados en Resultados correspondiente al Pbrm-02a</w:t>
      </w:r>
      <w:r w:rsidR="001F14B4" w:rsidRPr="001F14B4">
        <w:rPr>
          <w:rFonts w:eastAsia="Palatino Linotype" w:cs="Palatino Linotype"/>
          <w:color w:val="000000"/>
        </w:rPr>
        <w:t xml:space="preserve"> </w:t>
      </w:r>
      <w:r w:rsidR="001F14B4">
        <w:rPr>
          <w:rFonts w:eastAsia="Palatino Linotype" w:cs="Palatino Linotype"/>
          <w:color w:val="000000"/>
        </w:rPr>
        <w:t>de la Ficha Técnica de diseño correspondiente a los programas presupuestarios denominados; “</w:t>
      </w:r>
      <w:r w:rsidR="001F14B4">
        <w:rPr>
          <w:rFonts w:eastAsia="Palatino Linotype" w:cs="Palatino Linotype"/>
          <w:color w:val="000000"/>
        </w:rPr>
        <w:tab/>
        <w:t>Educación vial”, “Mantenimiento a los dispositivos para el control de tránsito”,</w:t>
      </w:r>
      <w:r w:rsidR="001F14B4" w:rsidRPr="001F14B4">
        <w:rPr>
          <w:rFonts w:eastAsia="Palatino Linotype" w:cs="Palatino Linotype"/>
          <w:color w:val="000000"/>
        </w:rPr>
        <w:t xml:space="preserve"> </w:t>
      </w:r>
      <w:r w:rsidR="001F14B4">
        <w:rPr>
          <w:rFonts w:eastAsia="Palatino Linotype" w:cs="Palatino Linotype"/>
          <w:color w:val="000000"/>
        </w:rPr>
        <w:t>Apoyo municipal a las políticas de desarrollo del transporte”, “Simplificación y Modernización de la Administración Pública”.</w:t>
      </w:r>
    </w:p>
    <w:p w14:paraId="3978CBE7" w14:textId="77777777" w:rsidR="001F14B4" w:rsidRPr="001F14B4" w:rsidRDefault="001F14B4" w:rsidP="001F14B4">
      <w:pPr>
        <w:rPr>
          <w:rFonts w:eastAsia="Palatino Linotype" w:cs="Palatino Linotype"/>
          <w:color w:val="000000"/>
        </w:rPr>
      </w:pPr>
    </w:p>
    <w:p w14:paraId="53C14B76" w14:textId="77777777" w:rsidR="001F14B4" w:rsidRDefault="001F14B4" w:rsidP="001F14B4">
      <w:pPr>
        <w:pStyle w:val="Prrafodelista"/>
        <w:rPr>
          <w:rFonts w:eastAsia="Palatino Linotype" w:cs="Palatino Linotype"/>
          <w:color w:val="000000"/>
        </w:rPr>
      </w:pPr>
    </w:p>
    <w:p w14:paraId="1ACC3798" w14:textId="6B76A6EC" w:rsidR="0002248C" w:rsidRDefault="0002248C" w:rsidP="0002248C">
      <w:pPr>
        <w:pStyle w:val="Prrafodelista"/>
        <w:numPr>
          <w:ilvl w:val="0"/>
          <w:numId w:val="17"/>
        </w:numPr>
        <w:rPr>
          <w:rFonts w:eastAsia="Palatino Linotype" w:cs="Palatino Linotype"/>
          <w:color w:val="000000"/>
        </w:rPr>
      </w:pPr>
      <w:r>
        <w:rPr>
          <w:rFonts w:eastAsia="Palatino Linotype" w:cs="Palatino Linotype"/>
          <w:color w:val="000000"/>
        </w:rPr>
        <w:t>Documento que consta de</w:t>
      </w:r>
      <w:r w:rsidR="0022130E">
        <w:rPr>
          <w:rFonts w:eastAsia="Palatino Linotype" w:cs="Palatino Linotype"/>
          <w:color w:val="000000"/>
        </w:rPr>
        <w:t xml:space="preserve"> veinticinco fojas en formato PDF con número de oficio DM/1266/2024 de fecha veintitrés de septiembre por medio del cual el Director de Movilidad manifiesta que después de realizar una búsqueda exhaustiva en los archivos que obran en la Dirección de Movilidad no se encontró ningún programa como lo refiere el Solicitante, pues no existe tal denominación. </w:t>
      </w:r>
    </w:p>
    <w:p w14:paraId="7A559E61" w14:textId="77777777" w:rsidR="0022130E" w:rsidRPr="0022130E" w:rsidRDefault="0022130E" w:rsidP="0022130E">
      <w:pPr>
        <w:pStyle w:val="Prrafodelista"/>
        <w:rPr>
          <w:rFonts w:eastAsia="Palatino Linotype" w:cs="Palatino Linotype"/>
          <w:color w:val="000000"/>
        </w:rPr>
      </w:pPr>
    </w:p>
    <w:p w14:paraId="41EE9EF9" w14:textId="7D944394" w:rsidR="0022130E" w:rsidRPr="0002248C" w:rsidRDefault="0022130E" w:rsidP="0022130E">
      <w:pPr>
        <w:pStyle w:val="Prrafodelista"/>
        <w:ind w:left="1080"/>
        <w:rPr>
          <w:rFonts w:eastAsia="Palatino Linotype" w:cs="Palatino Linotype"/>
          <w:color w:val="000000"/>
        </w:rPr>
      </w:pPr>
      <w:r>
        <w:rPr>
          <w:rFonts w:eastAsia="Palatino Linotype" w:cs="Palatino Linotype"/>
          <w:color w:val="000000"/>
        </w:rPr>
        <w:t>En este sentido entrega los programas presupuestarios que derivan del proyecto de presupuesto basado en resultados municipal adjuntando los correspondientes a los periodos 2022, 2023 y 2024 así como las acciones implementadas y los resultados en materia de movilidad.</w:t>
      </w:r>
    </w:p>
    <w:p w14:paraId="5B63B545" w14:textId="77777777" w:rsidR="0002248C" w:rsidRPr="0002248C" w:rsidRDefault="0002248C" w:rsidP="0002248C">
      <w:pPr>
        <w:rPr>
          <w:rFonts w:eastAsia="Palatino Linotype" w:cs="Palatino Linotype"/>
          <w:color w:val="000000"/>
        </w:rPr>
      </w:pPr>
    </w:p>
    <w:p w14:paraId="30762B86" w14:textId="77777777" w:rsidR="007B63EE" w:rsidRPr="007B63EE" w:rsidRDefault="007B63EE" w:rsidP="007B63EE">
      <w:pPr>
        <w:pStyle w:val="Prrafodelista"/>
        <w:numPr>
          <w:ilvl w:val="0"/>
          <w:numId w:val="3"/>
        </w:numPr>
        <w:rPr>
          <w:rFonts w:eastAsia="Palatino Linotype" w:cs="Palatino Linotype"/>
          <w:color w:val="000000"/>
        </w:rPr>
      </w:pPr>
      <w:r>
        <w:t xml:space="preserve">Respecto la solicitud de información </w:t>
      </w:r>
      <w:r w:rsidRPr="00426497">
        <w:rPr>
          <w:b/>
          <w:bCs/>
        </w:rPr>
        <w:t>00917/TLALNEPA/IP/2024</w:t>
      </w:r>
    </w:p>
    <w:p w14:paraId="37961DD7" w14:textId="5985CAC4" w:rsidR="007B63EE" w:rsidRPr="0022130E" w:rsidRDefault="007B63EE" w:rsidP="007B63EE">
      <w:pPr>
        <w:pStyle w:val="Prrafodelista"/>
        <w:numPr>
          <w:ilvl w:val="0"/>
          <w:numId w:val="7"/>
        </w:numPr>
        <w:rPr>
          <w:rFonts w:eastAsia="Palatino Linotype" w:cs="Palatino Linotype"/>
          <w:color w:val="000000"/>
        </w:rPr>
      </w:pPr>
      <w:r w:rsidRPr="007B63EE">
        <w:rPr>
          <w:rFonts w:cs="Arial"/>
          <w:b/>
          <w:bCs/>
          <w:i/>
          <w:szCs w:val="24"/>
        </w:rPr>
        <w:t>RESPUESTA SAIMEX 00917.zip</w:t>
      </w:r>
      <w:r w:rsidR="0022130E" w:rsidRPr="0022130E">
        <w:rPr>
          <w:rFonts w:cs="Arial"/>
          <w:bCs/>
          <w:szCs w:val="24"/>
        </w:rPr>
        <w:t xml:space="preserve"> </w:t>
      </w:r>
      <w:r w:rsidR="0022130E">
        <w:rPr>
          <w:rFonts w:cs="Arial"/>
          <w:bCs/>
          <w:szCs w:val="24"/>
        </w:rPr>
        <w:t>Documento que consta de un archivo ZIP comprimido en los términos siguientes;</w:t>
      </w:r>
    </w:p>
    <w:p w14:paraId="1634B614" w14:textId="77777777" w:rsidR="0022130E" w:rsidRPr="0022130E" w:rsidRDefault="0022130E" w:rsidP="0022130E">
      <w:pPr>
        <w:pStyle w:val="Prrafodelista"/>
        <w:rPr>
          <w:rFonts w:eastAsia="Palatino Linotype" w:cs="Palatino Linotype"/>
          <w:color w:val="000000"/>
        </w:rPr>
      </w:pPr>
    </w:p>
    <w:p w14:paraId="389F3079" w14:textId="565A088E" w:rsidR="0022130E" w:rsidRDefault="0022130E" w:rsidP="001F14B4">
      <w:pPr>
        <w:pStyle w:val="Prrafodelista"/>
        <w:numPr>
          <w:ilvl w:val="0"/>
          <w:numId w:val="18"/>
        </w:numPr>
        <w:rPr>
          <w:rFonts w:eastAsia="Palatino Linotype" w:cs="Palatino Linotype"/>
          <w:color w:val="000000"/>
        </w:rPr>
      </w:pPr>
      <w:r w:rsidRPr="001F14B4">
        <w:rPr>
          <w:rFonts w:eastAsia="Palatino Linotype" w:cs="Palatino Linotype"/>
          <w:color w:val="000000"/>
        </w:rPr>
        <w:t xml:space="preserve">Carpeta denominada </w:t>
      </w:r>
      <w:r w:rsidRPr="001F14B4">
        <w:rPr>
          <w:rFonts w:eastAsia="Palatino Linotype" w:cs="Palatino Linotype"/>
          <w:b/>
          <w:i/>
          <w:color w:val="000000"/>
        </w:rPr>
        <w:t xml:space="preserve">DOCUMENTALES SAIMEX 0915- 0916- 0917- 0918 </w:t>
      </w:r>
      <w:r w:rsidRPr="001F14B4">
        <w:rPr>
          <w:rFonts w:eastAsia="Palatino Linotype" w:cs="Palatino Linotype"/>
          <w:color w:val="000000"/>
        </w:rPr>
        <w:t xml:space="preserve"> de la que se advierten </w:t>
      </w:r>
      <w:r w:rsidR="001F14B4">
        <w:rPr>
          <w:rFonts w:eastAsia="Palatino Linotype" w:cs="Palatino Linotype"/>
          <w:color w:val="000000"/>
        </w:rPr>
        <w:t>los siguientes archivos;</w:t>
      </w:r>
    </w:p>
    <w:p w14:paraId="739C056F" w14:textId="6C7AA4FC" w:rsidR="001F14B4" w:rsidRDefault="001F14B4" w:rsidP="001F14B4">
      <w:pPr>
        <w:pStyle w:val="Prrafodelista"/>
        <w:numPr>
          <w:ilvl w:val="0"/>
          <w:numId w:val="7"/>
        </w:numPr>
        <w:rPr>
          <w:rFonts w:eastAsia="Palatino Linotype" w:cs="Palatino Linotype"/>
          <w:color w:val="000000"/>
        </w:rPr>
      </w:pPr>
      <w:proofErr w:type="spellStart"/>
      <w:r>
        <w:rPr>
          <w:rFonts w:eastAsia="Palatino Linotype" w:cs="Palatino Linotype"/>
          <w:color w:val="000000"/>
        </w:rPr>
        <w:t>Pbr</w:t>
      </w:r>
      <w:proofErr w:type="spellEnd"/>
      <w:r>
        <w:rPr>
          <w:rFonts w:eastAsia="Palatino Linotype" w:cs="Palatino Linotype"/>
          <w:color w:val="000000"/>
        </w:rPr>
        <w:t xml:space="preserve"> 2022; Documento que consta de diez fojas en las que se advierte, Presupuestos Basados en Resultados  correspondiente al Pbrm-01d de la Ficha Técnica de diseño correspondiente a los programas presupuestarios denominados; “ Bienestar y Orientación Juvenil”, “Apoyo municipal a las políticas de desarrollo del transporte”.</w:t>
      </w:r>
    </w:p>
    <w:p w14:paraId="43895795" w14:textId="77777777" w:rsidR="001F14B4" w:rsidRDefault="001F14B4" w:rsidP="001F14B4">
      <w:pPr>
        <w:pStyle w:val="Prrafodelista"/>
        <w:rPr>
          <w:rFonts w:eastAsia="Palatino Linotype" w:cs="Palatino Linotype"/>
          <w:color w:val="000000"/>
        </w:rPr>
      </w:pPr>
    </w:p>
    <w:p w14:paraId="06F1BB09" w14:textId="674E8D36" w:rsidR="001F14B4" w:rsidRPr="001F14B4" w:rsidRDefault="001F14B4" w:rsidP="001F14B4">
      <w:pPr>
        <w:pStyle w:val="Prrafodelista"/>
        <w:numPr>
          <w:ilvl w:val="0"/>
          <w:numId w:val="7"/>
        </w:numPr>
        <w:rPr>
          <w:rFonts w:eastAsia="Palatino Linotype" w:cs="Palatino Linotype"/>
          <w:color w:val="000000"/>
        </w:rPr>
      </w:pPr>
      <w:proofErr w:type="spellStart"/>
      <w:r w:rsidRPr="001F14B4">
        <w:rPr>
          <w:rFonts w:eastAsia="Palatino Linotype" w:cs="Palatino Linotype"/>
          <w:color w:val="000000"/>
        </w:rPr>
        <w:t>Pbr</w:t>
      </w:r>
      <w:proofErr w:type="spellEnd"/>
      <w:r w:rsidRPr="001F14B4">
        <w:rPr>
          <w:rFonts w:eastAsia="Palatino Linotype" w:cs="Palatino Linotype"/>
          <w:color w:val="000000"/>
        </w:rPr>
        <w:t xml:space="preserve"> 2023; Documento que consta de seis fojas en las que se advierte, Presupuestos Basados en Resultados correspondiente al Pbrm-01d de la Ficha Técnica de diseño correspondiente a los programas presupuestarios denominados; ”Modernización de la movilidad y el transporte”, “Apoyo municipal a las políticas de desarrollo del transporte”.</w:t>
      </w:r>
    </w:p>
    <w:p w14:paraId="02A0FBD3" w14:textId="77777777" w:rsidR="001F14B4" w:rsidRPr="001F14B4" w:rsidRDefault="001F14B4" w:rsidP="001F14B4">
      <w:pPr>
        <w:ind w:left="360"/>
        <w:rPr>
          <w:rFonts w:eastAsia="Palatino Linotype" w:cs="Palatino Linotype"/>
          <w:color w:val="000000"/>
        </w:rPr>
      </w:pPr>
    </w:p>
    <w:p w14:paraId="74E97FED" w14:textId="0109F679" w:rsidR="001F14B4" w:rsidRPr="001F14B4" w:rsidRDefault="001F14B4" w:rsidP="001F14B4">
      <w:pPr>
        <w:pStyle w:val="Prrafodelista"/>
        <w:numPr>
          <w:ilvl w:val="0"/>
          <w:numId w:val="7"/>
        </w:numPr>
        <w:rPr>
          <w:rFonts w:eastAsia="Palatino Linotype" w:cs="Palatino Linotype"/>
          <w:color w:val="000000"/>
        </w:rPr>
      </w:pPr>
      <w:proofErr w:type="spellStart"/>
      <w:r>
        <w:rPr>
          <w:rFonts w:eastAsia="Palatino Linotype" w:cs="Palatino Linotype"/>
          <w:color w:val="000000"/>
        </w:rPr>
        <w:t>Pbr</w:t>
      </w:r>
      <w:proofErr w:type="spellEnd"/>
      <w:r>
        <w:rPr>
          <w:rFonts w:eastAsia="Palatino Linotype" w:cs="Palatino Linotype"/>
          <w:color w:val="000000"/>
        </w:rPr>
        <w:t xml:space="preserve"> 2024; Documento que consta de ocho fojas en las que se advierte, Presupuestos Basados en Resultados correspondiente al Pbrm-02a</w:t>
      </w:r>
      <w:r w:rsidRPr="001F14B4">
        <w:rPr>
          <w:rFonts w:eastAsia="Palatino Linotype" w:cs="Palatino Linotype"/>
          <w:color w:val="000000"/>
        </w:rPr>
        <w:t xml:space="preserve"> </w:t>
      </w:r>
      <w:r>
        <w:rPr>
          <w:rFonts w:eastAsia="Palatino Linotype" w:cs="Palatino Linotype"/>
          <w:color w:val="000000"/>
        </w:rPr>
        <w:t>de la Ficha Técnica de diseño correspondiente a los programas presupuestarios denominados; “</w:t>
      </w:r>
      <w:r>
        <w:rPr>
          <w:rFonts w:eastAsia="Palatino Linotype" w:cs="Palatino Linotype"/>
          <w:color w:val="000000"/>
        </w:rPr>
        <w:tab/>
        <w:t>Educación vial”, “Mantenimiento a los dispositivos para el control de tránsito”,</w:t>
      </w:r>
      <w:r w:rsidRPr="001F14B4">
        <w:rPr>
          <w:rFonts w:eastAsia="Palatino Linotype" w:cs="Palatino Linotype"/>
          <w:color w:val="000000"/>
        </w:rPr>
        <w:t xml:space="preserve"> </w:t>
      </w:r>
      <w:r>
        <w:rPr>
          <w:rFonts w:eastAsia="Palatino Linotype" w:cs="Palatino Linotype"/>
          <w:color w:val="000000"/>
        </w:rPr>
        <w:t>Apoyo municipal a las políticas de desarrollo del transporte”, “Simplificación y Modernización de la Administración Pública”.</w:t>
      </w:r>
    </w:p>
    <w:p w14:paraId="2AF2FB2A" w14:textId="77777777" w:rsidR="001F14B4" w:rsidRDefault="001F14B4" w:rsidP="001F14B4">
      <w:pPr>
        <w:rPr>
          <w:rFonts w:eastAsia="Palatino Linotype" w:cs="Palatino Linotype"/>
          <w:color w:val="000000"/>
        </w:rPr>
      </w:pPr>
    </w:p>
    <w:p w14:paraId="555AA157" w14:textId="77777777" w:rsidR="001F14B4" w:rsidRPr="001F14B4" w:rsidRDefault="001F14B4" w:rsidP="001F14B4">
      <w:pPr>
        <w:rPr>
          <w:rFonts w:eastAsia="Palatino Linotype" w:cs="Palatino Linotype"/>
          <w:color w:val="000000"/>
        </w:rPr>
      </w:pPr>
    </w:p>
    <w:p w14:paraId="409C3C35" w14:textId="45D0B2E5" w:rsidR="0022130E" w:rsidRDefault="0022130E" w:rsidP="0022130E">
      <w:pPr>
        <w:pStyle w:val="Prrafodelista"/>
        <w:numPr>
          <w:ilvl w:val="0"/>
          <w:numId w:val="18"/>
        </w:numPr>
        <w:rPr>
          <w:rFonts w:eastAsia="Palatino Linotype" w:cs="Palatino Linotype"/>
          <w:color w:val="000000"/>
        </w:rPr>
      </w:pPr>
      <w:r>
        <w:rPr>
          <w:rFonts w:eastAsia="Palatino Linotype" w:cs="Palatino Linotype"/>
          <w:color w:val="000000"/>
        </w:rPr>
        <w:t xml:space="preserve">Documento que consta de </w:t>
      </w:r>
      <w:r w:rsidR="00D86BF2">
        <w:rPr>
          <w:rFonts w:eastAsia="Palatino Linotype" w:cs="Palatino Linotype"/>
          <w:color w:val="000000"/>
        </w:rPr>
        <w:t>veintiún</w:t>
      </w:r>
      <w:r>
        <w:rPr>
          <w:rFonts w:eastAsia="Palatino Linotype" w:cs="Palatino Linotype"/>
          <w:color w:val="000000"/>
        </w:rPr>
        <w:t xml:space="preserve"> fojas en formato PDF con número de oficio DM/1265/2024 de fecha veintitrés de septiembre por medio del cual el Director de Movilidad manifiesta que después de realizar una búsqueda exhaustiva en los archivos que obran en la Dirección de Movilidad no se encontró ningún programa como lo refiere el Solicitante, pues no existe tal denominación. </w:t>
      </w:r>
    </w:p>
    <w:p w14:paraId="44BE9020" w14:textId="77777777" w:rsidR="0022130E" w:rsidRPr="0022130E" w:rsidRDefault="0022130E" w:rsidP="0022130E">
      <w:pPr>
        <w:pStyle w:val="Prrafodelista"/>
        <w:rPr>
          <w:rFonts w:eastAsia="Palatino Linotype" w:cs="Palatino Linotype"/>
          <w:color w:val="000000"/>
        </w:rPr>
      </w:pPr>
    </w:p>
    <w:p w14:paraId="0FD6A5B1" w14:textId="5DABF16B" w:rsidR="0022130E" w:rsidRDefault="0022130E" w:rsidP="0022130E">
      <w:pPr>
        <w:pStyle w:val="Prrafodelista"/>
        <w:ind w:left="1080"/>
        <w:rPr>
          <w:rFonts w:eastAsia="Palatino Linotype" w:cs="Palatino Linotype"/>
          <w:color w:val="000000"/>
        </w:rPr>
      </w:pPr>
      <w:r>
        <w:rPr>
          <w:rFonts w:eastAsia="Palatino Linotype" w:cs="Palatino Linotype"/>
          <w:color w:val="000000"/>
        </w:rPr>
        <w:t xml:space="preserve">En este sentido entrega los programas presupuestarios que derivan del proyecto de presupuesto basado en resultados municipal adjuntando los </w:t>
      </w:r>
      <w:r>
        <w:rPr>
          <w:rFonts w:eastAsia="Palatino Linotype" w:cs="Palatino Linotype"/>
          <w:color w:val="000000"/>
        </w:rPr>
        <w:lastRenderedPageBreak/>
        <w:t>correspondientes a los periodos 2022, 2023 y 2024 así como las acciones implementadas y los resultados en materia de movilidad</w:t>
      </w:r>
    </w:p>
    <w:p w14:paraId="354A13FA" w14:textId="77777777" w:rsidR="0022130E" w:rsidRPr="0022130E" w:rsidRDefault="0022130E" w:rsidP="0022130E">
      <w:pPr>
        <w:rPr>
          <w:rFonts w:eastAsia="Palatino Linotype" w:cs="Palatino Linotype"/>
          <w:color w:val="000000"/>
        </w:rPr>
      </w:pPr>
    </w:p>
    <w:p w14:paraId="382E16AF" w14:textId="77777777" w:rsidR="007B63EE" w:rsidRPr="007B63EE" w:rsidRDefault="007B63EE" w:rsidP="007B63EE">
      <w:pPr>
        <w:pStyle w:val="Prrafodelista"/>
        <w:numPr>
          <w:ilvl w:val="0"/>
          <w:numId w:val="3"/>
        </w:numPr>
        <w:rPr>
          <w:rFonts w:eastAsia="Palatino Linotype" w:cs="Palatino Linotype"/>
          <w:color w:val="000000"/>
        </w:rPr>
      </w:pPr>
      <w:r>
        <w:rPr>
          <w:b/>
          <w:bCs/>
        </w:rPr>
        <w:t xml:space="preserve"> </w:t>
      </w:r>
      <w:r>
        <w:t xml:space="preserve">Respecto la solicitud de información  </w:t>
      </w:r>
      <w:r w:rsidRPr="00426497">
        <w:rPr>
          <w:b/>
          <w:bCs/>
        </w:rPr>
        <w:t>00916/TLALNEPA/IP/2024</w:t>
      </w:r>
      <w:r>
        <w:rPr>
          <w:b/>
          <w:bCs/>
        </w:rPr>
        <w:t xml:space="preserve"> </w:t>
      </w:r>
    </w:p>
    <w:p w14:paraId="202760A4" w14:textId="0680A42D" w:rsidR="007B63EE" w:rsidRPr="0022130E" w:rsidRDefault="007B63EE" w:rsidP="007B63EE">
      <w:pPr>
        <w:pStyle w:val="Prrafodelista"/>
        <w:numPr>
          <w:ilvl w:val="0"/>
          <w:numId w:val="7"/>
        </w:numPr>
        <w:rPr>
          <w:rFonts w:eastAsia="Palatino Linotype" w:cs="Palatino Linotype"/>
          <w:color w:val="000000"/>
        </w:rPr>
      </w:pPr>
      <w:r w:rsidRPr="007B63EE">
        <w:rPr>
          <w:rFonts w:cs="Arial"/>
          <w:b/>
          <w:bCs/>
          <w:i/>
          <w:szCs w:val="24"/>
        </w:rPr>
        <w:t>RESPUESTA SAIMEX 00916.zip</w:t>
      </w:r>
      <w:r w:rsidR="0022130E">
        <w:rPr>
          <w:rFonts w:cs="Arial"/>
          <w:b/>
          <w:bCs/>
          <w:i/>
          <w:szCs w:val="24"/>
        </w:rPr>
        <w:t xml:space="preserve">; </w:t>
      </w:r>
      <w:r w:rsidR="0022130E">
        <w:rPr>
          <w:rFonts w:cs="Arial"/>
          <w:bCs/>
          <w:szCs w:val="24"/>
        </w:rPr>
        <w:t>Documento que consta de un archivo ZIP comprimido en los términos siguientes;</w:t>
      </w:r>
    </w:p>
    <w:p w14:paraId="0FC3D460" w14:textId="77777777" w:rsidR="0022130E" w:rsidRPr="007B63EE" w:rsidRDefault="0022130E" w:rsidP="0022130E">
      <w:pPr>
        <w:pStyle w:val="Prrafodelista"/>
        <w:rPr>
          <w:rFonts w:eastAsia="Palatino Linotype" w:cs="Palatino Linotype"/>
          <w:color w:val="000000"/>
        </w:rPr>
      </w:pPr>
    </w:p>
    <w:p w14:paraId="3E3E6AC6" w14:textId="77777777" w:rsidR="003E3CFD" w:rsidRDefault="0022130E" w:rsidP="003E3CFD">
      <w:pPr>
        <w:pStyle w:val="Prrafodelista"/>
        <w:numPr>
          <w:ilvl w:val="0"/>
          <w:numId w:val="25"/>
        </w:numPr>
        <w:rPr>
          <w:rFonts w:eastAsia="Palatino Linotype" w:cs="Palatino Linotype"/>
          <w:color w:val="000000"/>
        </w:rPr>
      </w:pPr>
      <w:r w:rsidRPr="003E3CFD">
        <w:rPr>
          <w:rFonts w:eastAsia="Palatino Linotype" w:cs="Palatino Linotype"/>
          <w:color w:val="000000"/>
        </w:rPr>
        <w:t xml:space="preserve">Carpeta denominada </w:t>
      </w:r>
      <w:r w:rsidRPr="003E3CFD">
        <w:rPr>
          <w:rFonts w:eastAsia="Palatino Linotype" w:cs="Palatino Linotype"/>
          <w:b/>
          <w:i/>
          <w:color w:val="000000"/>
        </w:rPr>
        <w:t xml:space="preserve">DOCUMENTALES SAIMEX 0915- 0916- 0917- 0918 </w:t>
      </w:r>
      <w:r w:rsidRPr="003E3CFD">
        <w:rPr>
          <w:rFonts w:eastAsia="Palatino Linotype" w:cs="Palatino Linotype"/>
          <w:color w:val="000000"/>
        </w:rPr>
        <w:t xml:space="preserve"> de la que se advierten </w:t>
      </w:r>
      <w:r w:rsidR="003E3CFD" w:rsidRPr="001F14B4">
        <w:rPr>
          <w:rFonts w:eastAsia="Palatino Linotype" w:cs="Palatino Linotype"/>
          <w:color w:val="000000"/>
        </w:rPr>
        <w:t xml:space="preserve">la que se advierten </w:t>
      </w:r>
      <w:r w:rsidR="003E3CFD">
        <w:rPr>
          <w:rFonts w:eastAsia="Palatino Linotype" w:cs="Palatino Linotype"/>
          <w:color w:val="000000"/>
        </w:rPr>
        <w:t>los siguientes archivos;</w:t>
      </w:r>
    </w:p>
    <w:p w14:paraId="7B93043E" w14:textId="77777777" w:rsidR="003E3CFD" w:rsidRDefault="003E3CFD" w:rsidP="003E3CFD">
      <w:pPr>
        <w:pStyle w:val="Prrafodelista"/>
        <w:numPr>
          <w:ilvl w:val="0"/>
          <w:numId w:val="7"/>
        </w:numPr>
        <w:rPr>
          <w:rFonts w:eastAsia="Palatino Linotype" w:cs="Palatino Linotype"/>
          <w:color w:val="000000"/>
        </w:rPr>
      </w:pPr>
      <w:proofErr w:type="spellStart"/>
      <w:r>
        <w:rPr>
          <w:rFonts w:eastAsia="Palatino Linotype" w:cs="Palatino Linotype"/>
          <w:color w:val="000000"/>
        </w:rPr>
        <w:t>Pbr</w:t>
      </w:r>
      <w:proofErr w:type="spellEnd"/>
      <w:r>
        <w:rPr>
          <w:rFonts w:eastAsia="Palatino Linotype" w:cs="Palatino Linotype"/>
          <w:color w:val="000000"/>
        </w:rPr>
        <w:t xml:space="preserve"> 2022; Documento que consta de diez fojas en las que se advierte, Presupuestos Basados en Resultados  correspondiente al Pbrm-01d de la Ficha Técnica de diseño correspondiente a los programas presupuestarios denominados; “ Bienestar y Orientación Juvenil”, “Apoyo municipal a las políticas de desarrollo del transporte”.</w:t>
      </w:r>
    </w:p>
    <w:p w14:paraId="5216C851" w14:textId="77777777" w:rsidR="003E3CFD" w:rsidRDefault="003E3CFD" w:rsidP="003E3CFD">
      <w:pPr>
        <w:pStyle w:val="Prrafodelista"/>
        <w:rPr>
          <w:rFonts w:eastAsia="Palatino Linotype" w:cs="Palatino Linotype"/>
          <w:color w:val="000000"/>
        </w:rPr>
      </w:pPr>
    </w:p>
    <w:p w14:paraId="4F0FA6C3" w14:textId="77777777" w:rsidR="003E3CFD" w:rsidRPr="001F14B4" w:rsidRDefault="003E3CFD" w:rsidP="003E3CFD">
      <w:pPr>
        <w:pStyle w:val="Prrafodelista"/>
        <w:numPr>
          <w:ilvl w:val="0"/>
          <w:numId w:val="7"/>
        </w:numPr>
        <w:rPr>
          <w:rFonts w:eastAsia="Palatino Linotype" w:cs="Palatino Linotype"/>
          <w:color w:val="000000"/>
        </w:rPr>
      </w:pPr>
      <w:proofErr w:type="spellStart"/>
      <w:r w:rsidRPr="001F14B4">
        <w:rPr>
          <w:rFonts w:eastAsia="Palatino Linotype" w:cs="Palatino Linotype"/>
          <w:color w:val="000000"/>
        </w:rPr>
        <w:t>Pbr</w:t>
      </w:r>
      <w:proofErr w:type="spellEnd"/>
      <w:r w:rsidRPr="001F14B4">
        <w:rPr>
          <w:rFonts w:eastAsia="Palatino Linotype" w:cs="Palatino Linotype"/>
          <w:color w:val="000000"/>
        </w:rPr>
        <w:t xml:space="preserve"> 2023; Documento que consta de seis fojas en las que se advierte, Presupuestos Basados en Resultados correspondiente al Pbrm-01d de la Ficha Técnica de diseño correspondiente a los programas presupuestarios denominados; ”Modernización de la movilidad y el transporte”, “Apoyo municipal a las políticas de desarrollo del transporte”.</w:t>
      </w:r>
    </w:p>
    <w:p w14:paraId="267D70CA" w14:textId="77777777" w:rsidR="003E3CFD" w:rsidRPr="001F14B4" w:rsidRDefault="003E3CFD" w:rsidP="003E3CFD">
      <w:pPr>
        <w:ind w:left="360"/>
        <w:rPr>
          <w:rFonts w:eastAsia="Palatino Linotype" w:cs="Palatino Linotype"/>
          <w:color w:val="000000"/>
        </w:rPr>
      </w:pPr>
    </w:p>
    <w:p w14:paraId="6CCBA6A8" w14:textId="5A9A0445" w:rsidR="003E3CFD" w:rsidRPr="003E3CFD" w:rsidRDefault="003E3CFD" w:rsidP="003E3CFD">
      <w:pPr>
        <w:pStyle w:val="Prrafodelista"/>
        <w:numPr>
          <w:ilvl w:val="0"/>
          <w:numId w:val="7"/>
        </w:numPr>
        <w:rPr>
          <w:rFonts w:eastAsia="Palatino Linotype" w:cs="Palatino Linotype"/>
          <w:color w:val="000000"/>
        </w:rPr>
      </w:pPr>
      <w:proofErr w:type="spellStart"/>
      <w:r>
        <w:rPr>
          <w:rFonts w:eastAsia="Palatino Linotype" w:cs="Palatino Linotype"/>
          <w:color w:val="000000"/>
        </w:rPr>
        <w:t>Pbr</w:t>
      </w:r>
      <w:proofErr w:type="spellEnd"/>
      <w:r>
        <w:rPr>
          <w:rFonts w:eastAsia="Palatino Linotype" w:cs="Palatino Linotype"/>
          <w:color w:val="000000"/>
        </w:rPr>
        <w:t xml:space="preserve"> 2024; Documento que consta de ocho fojas en las que se advierte, Presupuestos Basados en Resultados correspondiente al Pbrm-02a</w:t>
      </w:r>
      <w:r w:rsidRPr="001F14B4">
        <w:rPr>
          <w:rFonts w:eastAsia="Palatino Linotype" w:cs="Palatino Linotype"/>
          <w:color w:val="000000"/>
        </w:rPr>
        <w:t xml:space="preserve"> </w:t>
      </w:r>
      <w:r>
        <w:rPr>
          <w:rFonts w:eastAsia="Palatino Linotype" w:cs="Palatino Linotype"/>
          <w:color w:val="000000"/>
        </w:rPr>
        <w:t>de la Ficha Técnica de diseño correspondiente a los programas presupuestarios denominados; “</w:t>
      </w:r>
      <w:r>
        <w:rPr>
          <w:rFonts w:eastAsia="Palatino Linotype" w:cs="Palatino Linotype"/>
          <w:color w:val="000000"/>
        </w:rPr>
        <w:tab/>
        <w:t xml:space="preserve">Educación </w:t>
      </w:r>
      <w:r>
        <w:rPr>
          <w:rFonts w:eastAsia="Palatino Linotype" w:cs="Palatino Linotype"/>
          <w:color w:val="000000"/>
        </w:rPr>
        <w:lastRenderedPageBreak/>
        <w:t>vial”, “Mantenimiento a los dispositivos para el control de tránsito”,</w:t>
      </w:r>
      <w:r w:rsidRPr="001F14B4">
        <w:rPr>
          <w:rFonts w:eastAsia="Palatino Linotype" w:cs="Palatino Linotype"/>
          <w:color w:val="000000"/>
        </w:rPr>
        <w:t xml:space="preserve"> </w:t>
      </w:r>
      <w:r>
        <w:rPr>
          <w:rFonts w:eastAsia="Palatino Linotype" w:cs="Palatino Linotype"/>
          <w:color w:val="000000"/>
        </w:rPr>
        <w:t>Apoyo municipal a las políticas de desarrollo del transporte”, “Simplificación y Modernización de la Administración Pública”</w:t>
      </w:r>
    </w:p>
    <w:p w14:paraId="5BC5619B" w14:textId="77777777" w:rsidR="003E3CFD" w:rsidRPr="003E3CFD" w:rsidRDefault="003E3CFD" w:rsidP="003E3CFD">
      <w:pPr>
        <w:pStyle w:val="Prrafodelista"/>
        <w:ind w:left="1080"/>
        <w:rPr>
          <w:rFonts w:eastAsia="Palatino Linotype" w:cs="Palatino Linotype"/>
          <w:color w:val="000000"/>
        </w:rPr>
      </w:pPr>
    </w:p>
    <w:p w14:paraId="460E9EDD" w14:textId="36575694" w:rsidR="0022130E" w:rsidRPr="0022130E" w:rsidRDefault="0022130E" w:rsidP="003E3CFD">
      <w:pPr>
        <w:pStyle w:val="Prrafodelista"/>
        <w:numPr>
          <w:ilvl w:val="0"/>
          <w:numId w:val="25"/>
        </w:numPr>
        <w:rPr>
          <w:rFonts w:eastAsia="Palatino Linotype" w:cs="Palatino Linotype"/>
          <w:color w:val="000000"/>
        </w:rPr>
      </w:pPr>
      <w:r w:rsidRPr="0022130E">
        <w:rPr>
          <w:rFonts w:eastAsia="Palatino Linotype" w:cs="Palatino Linotype"/>
          <w:color w:val="000000"/>
        </w:rPr>
        <w:t xml:space="preserve"> Documento que consta de vein</w:t>
      </w:r>
      <w:r w:rsidR="00D86BF2">
        <w:rPr>
          <w:rFonts w:eastAsia="Palatino Linotype" w:cs="Palatino Linotype"/>
          <w:color w:val="000000"/>
        </w:rPr>
        <w:t>titrés</w:t>
      </w:r>
      <w:r w:rsidRPr="0022130E">
        <w:rPr>
          <w:rFonts w:eastAsia="Palatino Linotype" w:cs="Palatino Linotype"/>
          <w:color w:val="000000"/>
        </w:rPr>
        <w:t xml:space="preserve"> fojas en formato </w:t>
      </w:r>
      <w:r w:rsidR="00D86BF2">
        <w:rPr>
          <w:rFonts w:eastAsia="Palatino Linotype" w:cs="Palatino Linotype"/>
          <w:color w:val="000000"/>
        </w:rPr>
        <w:t>PDF con número de oficio DM/1264</w:t>
      </w:r>
      <w:r w:rsidRPr="0022130E">
        <w:rPr>
          <w:rFonts w:eastAsia="Palatino Linotype" w:cs="Palatino Linotype"/>
          <w:color w:val="000000"/>
        </w:rPr>
        <w:t xml:space="preserve">/2024 de fecha veintitrés de septiembre por medio del cual el Director de Movilidad manifiesta que después de realizar una búsqueda exhaustiva en los archivos que obran en la Dirección de Movilidad no se encontró ningún programa como lo refiere el Solicitante, pues no existe tal denominación. </w:t>
      </w:r>
    </w:p>
    <w:p w14:paraId="39F16013" w14:textId="77777777" w:rsidR="0022130E" w:rsidRPr="0022130E" w:rsidRDefault="0022130E" w:rsidP="0022130E">
      <w:pPr>
        <w:pStyle w:val="Prrafodelista"/>
        <w:rPr>
          <w:rFonts w:eastAsia="Palatino Linotype" w:cs="Palatino Linotype"/>
          <w:color w:val="000000"/>
        </w:rPr>
      </w:pPr>
    </w:p>
    <w:p w14:paraId="7BFF7FEE" w14:textId="77777777" w:rsidR="0022130E" w:rsidRDefault="0022130E" w:rsidP="0022130E">
      <w:pPr>
        <w:pStyle w:val="Prrafodelista"/>
        <w:ind w:left="1080"/>
        <w:rPr>
          <w:rFonts w:eastAsia="Palatino Linotype" w:cs="Palatino Linotype"/>
          <w:color w:val="000000"/>
        </w:rPr>
      </w:pPr>
      <w:r>
        <w:rPr>
          <w:rFonts w:eastAsia="Palatino Linotype" w:cs="Palatino Linotype"/>
          <w:color w:val="000000"/>
        </w:rPr>
        <w:t>En este sentido entrega los programas presupuestarios que derivan del proyecto de presupuesto basado en resultados municipal adjuntando los correspondientes a los periodos 2022, 2023 y 2024 así como las acciones implementadas y los resultados en materia de movilidad</w:t>
      </w:r>
    </w:p>
    <w:p w14:paraId="21B336CA" w14:textId="77777777" w:rsidR="007B63EE" w:rsidRPr="007B63EE" w:rsidRDefault="007B63EE" w:rsidP="007B63EE">
      <w:pPr>
        <w:rPr>
          <w:rFonts w:eastAsia="Palatino Linotype" w:cs="Palatino Linotype"/>
          <w:color w:val="000000"/>
        </w:rPr>
      </w:pPr>
    </w:p>
    <w:p w14:paraId="198D949B" w14:textId="7A0291AC" w:rsidR="00E513F1" w:rsidRPr="007B63EE" w:rsidRDefault="007B63EE" w:rsidP="007B63EE">
      <w:pPr>
        <w:pStyle w:val="Prrafodelista"/>
        <w:numPr>
          <w:ilvl w:val="0"/>
          <w:numId w:val="3"/>
        </w:numPr>
        <w:rPr>
          <w:rFonts w:eastAsia="Palatino Linotype" w:cs="Palatino Linotype"/>
          <w:color w:val="000000"/>
        </w:rPr>
      </w:pPr>
      <w:r>
        <w:t xml:space="preserve">Respecto la solicitud de información  </w:t>
      </w:r>
      <w:r w:rsidRPr="00426497">
        <w:rPr>
          <w:b/>
          <w:bCs/>
        </w:rPr>
        <w:t>00915/TLALNEPA/IP/2024</w:t>
      </w:r>
    </w:p>
    <w:p w14:paraId="64C8242F" w14:textId="4709FEF8" w:rsidR="007B63EE" w:rsidRPr="007B63EE" w:rsidRDefault="007B63EE" w:rsidP="007B63EE">
      <w:pPr>
        <w:pStyle w:val="Prrafodelista"/>
        <w:numPr>
          <w:ilvl w:val="0"/>
          <w:numId w:val="7"/>
        </w:numPr>
        <w:rPr>
          <w:rFonts w:cs="Arial"/>
          <w:b/>
          <w:bCs/>
          <w:i/>
          <w:szCs w:val="24"/>
        </w:rPr>
      </w:pPr>
      <w:r w:rsidRPr="007B63EE">
        <w:rPr>
          <w:rFonts w:cs="Arial"/>
          <w:b/>
          <w:bCs/>
          <w:i/>
          <w:szCs w:val="24"/>
        </w:rPr>
        <w:t xml:space="preserve">RESPUESTA SAIMEX </w:t>
      </w:r>
      <w:proofErr w:type="spellStart"/>
      <w:r w:rsidRPr="007B63EE">
        <w:rPr>
          <w:rFonts w:cs="Arial"/>
          <w:b/>
          <w:bCs/>
          <w:i/>
          <w:szCs w:val="24"/>
        </w:rPr>
        <w:t>SAIMEX</w:t>
      </w:r>
      <w:proofErr w:type="spellEnd"/>
      <w:r w:rsidRPr="007B63EE">
        <w:rPr>
          <w:rFonts w:cs="Arial"/>
          <w:b/>
          <w:bCs/>
          <w:i/>
          <w:szCs w:val="24"/>
        </w:rPr>
        <w:t xml:space="preserve"> 00915.zip</w:t>
      </w:r>
      <w:r w:rsidR="00D86BF2">
        <w:rPr>
          <w:rFonts w:cs="Arial"/>
          <w:b/>
          <w:bCs/>
          <w:i/>
          <w:szCs w:val="24"/>
        </w:rPr>
        <w:t xml:space="preserve">: </w:t>
      </w:r>
      <w:r w:rsidR="00D86BF2">
        <w:rPr>
          <w:rFonts w:cs="Arial"/>
          <w:bCs/>
          <w:szCs w:val="24"/>
        </w:rPr>
        <w:t>Documento que consta de un archivo ZIP comprimido en los términos siguientes;</w:t>
      </w:r>
    </w:p>
    <w:p w14:paraId="7CC44DC8" w14:textId="77777777" w:rsidR="007B63EE" w:rsidRDefault="007B63EE" w:rsidP="007B63EE">
      <w:pPr>
        <w:rPr>
          <w:rFonts w:eastAsia="Palatino Linotype" w:cs="Palatino Linotype"/>
          <w:color w:val="000000"/>
        </w:rPr>
      </w:pPr>
    </w:p>
    <w:p w14:paraId="11CC8C2F" w14:textId="77777777" w:rsidR="003E3CFD" w:rsidRDefault="00D86BF2" w:rsidP="003E3CFD">
      <w:pPr>
        <w:pStyle w:val="Prrafodelista"/>
        <w:numPr>
          <w:ilvl w:val="0"/>
          <w:numId w:val="26"/>
        </w:numPr>
        <w:rPr>
          <w:rFonts w:eastAsia="Palatino Linotype" w:cs="Palatino Linotype"/>
          <w:color w:val="000000"/>
        </w:rPr>
      </w:pPr>
      <w:r>
        <w:rPr>
          <w:rFonts w:eastAsia="Palatino Linotype" w:cs="Palatino Linotype"/>
          <w:color w:val="000000"/>
        </w:rPr>
        <w:t xml:space="preserve">Carpeta denominada </w:t>
      </w:r>
      <w:r w:rsidRPr="0002248C">
        <w:rPr>
          <w:rFonts w:eastAsia="Palatino Linotype" w:cs="Palatino Linotype"/>
          <w:b/>
          <w:i/>
          <w:color w:val="000000"/>
        </w:rPr>
        <w:t>DOCUMENTALES SAIMEX 0915- 0916- 0917- 0918</w:t>
      </w:r>
      <w:r>
        <w:rPr>
          <w:rFonts w:eastAsia="Palatino Linotype" w:cs="Palatino Linotype"/>
          <w:b/>
          <w:i/>
          <w:color w:val="000000"/>
        </w:rPr>
        <w:t xml:space="preserve"> </w:t>
      </w:r>
      <w:r w:rsidR="003E3CFD">
        <w:rPr>
          <w:rFonts w:eastAsia="Palatino Linotype" w:cs="Palatino Linotype"/>
          <w:color w:val="000000"/>
        </w:rPr>
        <w:t xml:space="preserve"> de la que se advierten </w:t>
      </w:r>
      <w:r w:rsidR="003E3CFD" w:rsidRPr="001F14B4">
        <w:rPr>
          <w:rFonts w:eastAsia="Palatino Linotype" w:cs="Palatino Linotype"/>
          <w:color w:val="000000"/>
        </w:rPr>
        <w:t xml:space="preserve">la que se advierten </w:t>
      </w:r>
      <w:r w:rsidR="003E3CFD">
        <w:rPr>
          <w:rFonts w:eastAsia="Palatino Linotype" w:cs="Palatino Linotype"/>
          <w:color w:val="000000"/>
        </w:rPr>
        <w:t>los siguientes archivos;</w:t>
      </w:r>
    </w:p>
    <w:p w14:paraId="6F2AA94F" w14:textId="77777777" w:rsidR="003E3CFD" w:rsidRDefault="003E3CFD" w:rsidP="003E3CFD">
      <w:pPr>
        <w:pStyle w:val="Prrafodelista"/>
        <w:numPr>
          <w:ilvl w:val="0"/>
          <w:numId w:val="7"/>
        </w:numPr>
        <w:rPr>
          <w:rFonts w:eastAsia="Palatino Linotype" w:cs="Palatino Linotype"/>
          <w:color w:val="000000"/>
        </w:rPr>
      </w:pPr>
      <w:proofErr w:type="spellStart"/>
      <w:r>
        <w:rPr>
          <w:rFonts w:eastAsia="Palatino Linotype" w:cs="Palatino Linotype"/>
          <w:color w:val="000000"/>
        </w:rPr>
        <w:t>Pbr</w:t>
      </w:r>
      <w:proofErr w:type="spellEnd"/>
      <w:r>
        <w:rPr>
          <w:rFonts w:eastAsia="Palatino Linotype" w:cs="Palatino Linotype"/>
          <w:color w:val="000000"/>
        </w:rPr>
        <w:t xml:space="preserve"> 2022; Documento que consta de diez fojas en las que se advierte, Presupuestos Basados en Resultados  correspondiente al Pbrm-01d de la Ficha Técnica de diseño </w:t>
      </w:r>
      <w:r>
        <w:rPr>
          <w:rFonts w:eastAsia="Palatino Linotype" w:cs="Palatino Linotype"/>
          <w:color w:val="000000"/>
        </w:rPr>
        <w:lastRenderedPageBreak/>
        <w:t>correspondiente a los programas presupuestarios denominados; “ Bienestar y Orientación Juvenil”, “Apoyo municipal a las políticas de desarrollo del transporte”.</w:t>
      </w:r>
    </w:p>
    <w:p w14:paraId="52AE2B6B" w14:textId="77777777" w:rsidR="003E3CFD" w:rsidRDefault="003E3CFD" w:rsidP="003E3CFD">
      <w:pPr>
        <w:pStyle w:val="Prrafodelista"/>
        <w:rPr>
          <w:rFonts w:eastAsia="Palatino Linotype" w:cs="Palatino Linotype"/>
          <w:color w:val="000000"/>
        </w:rPr>
      </w:pPr>
    </w:p>
    <w:p w14:paraId="7EC47B1D" w14:textId="77777777" w:rsidR="003E3CFD" w:rsidRPr="001F14B4" w:rsidRDefault="003E3CFD" w:rsidP="003E3CFD">
      <w:pPr>
        <w:pStyle w:val="Prrafodelista"/>
        <w:numPr>
          <w:ilvl w:val="0"/>
          <w:numId w:val="7"/>
        </w:numPr>
        <w:rPr>
          <w:rFonts w:eastAsia="Palatino Linotype" w:cs="Palatino Linotype"/>
          <w:color w:val="000000"/>
        </w:rPr>
      </w:pPr>
      <w:proofErr w:type="spellStart"/>
      <w:r w:rsidRPr="001F14B4">
        <w:rPr>
          <w:rFonts w:eastAsia="Palatino Linotype" w:cs="Palatino Linotype"/>
          <w:color w:val="000000"/>
        </w:rPr>
        <w:t>Pbr</w:t>
      </w:r>
      <w:proofErr w:type="spellEnd"/>
      <w:r w:rsidRPr="001F14B4">
        <w:rPr>
          <w:rFonts w:eastAsia="Palatino Linotype" w:cs="Palatino Linotype"/>
          <w:color w:val="000000"/>
        </w:rPr>
        <w:t xml:space="preserve"> 2023; Documento que consta de seis fojas en las que se advierte, Presupuestos Basados en Resultados correspondiente al Pbrm-01d de la Ficha Técnica de diseño correspondiente a los programas presupuestarios denominados; ”Modernización de la movilidad y el transporte”, “Apoyo municipal a las políticas de desarrollo del transporte”.</w:t>
      </w:r>
    </w:p>
    <w:p w14:paraId="52B4002B" w14:textId="77777777" w:rsidR="003E3CFD" w:rsidRPr="001F14B4" w:rsidRDefault="003E3CFD" w:rsidP="003E3CFD">
      <w:pPr>
        <w:ind w:left="360"/>
        <w:rPr>
          <w:rFonts w:eastAsia="Palatino Linotype" w:cs="Palatino Linotype"/>
          <w:color w:val="000000"/>
        </w:rPr>
      </w:pPr>
    </w:p>
    <w:p w14:paraId="73290251" w14:textId="77777777" w:rsidR="003E3CFD" w:rsidRDefault="003E3CFD" w:rsidP="003E3CFD">
      <w:pPr>
        <w:pStyle w:val="Prrafodelista"/>
        <w:numPr>
          <w:ilvl w:val="0"/>
          <w:numId w:val="7"/>
        </w:numPr>
        <w:rPr>
          <w:rFonts w:eastAsia="Palatino Linotype" w:cs="Palatino Linotype"/>
          <w:color w:val="000000"/>
        </w:rPr>
      </w:pPr>
      <w:proofErr w:type="spellStart"/>
      <w:r>
        <w:rPr>
          <w:rFonts w:eastAsia="Palatino Linotype" w:cs="Palatino Linotype"/>
          <w:color w:val="000000"/>
        </w:rPr>
        <w:t>Pbr</w:t>
      </w:r>
      <w:proofErr w:type="spellEnd"/>
      <w:r>
        <w:rPr>
          <w:rFonts w:eastAsia="Palatino Linotype" w:cs="Palatino Linotype"/>
          <w:color w:val="000000"/>
        </w:rPr>
        <w:t xml:space="preserve"> 2024; Documento que consta de ocho fojas en las que se advierte, Presupuestos Basados en Resultados correspondiente al Pbrm-02a</w:t>
      </w:r>
      <w:r w:rsidRPr="001F14B4">
        <w:rPr>
          <w:rFonts w:eastAsia="Palatino Linotype" w:cs="Palatino Linotype"/>
          <w:color w:val="000000"/>
        </w:rPr>
        <w:t xml:space="preserve"> </w:t>
      </w:r>
      <w:r>
        <w:rPr>
          <w:rFonts w:eastAsia="Palatino Linotype" w:cs="Palatino Linotype"/>
          <w:color w:val="000000"/>
        </w:rPr>
        <w:t>de la Ficha Técnica de diseño correspondiente a los programas presupuestarios denominados; “</w:t>
      </w:r>
      <w:r>
        <w:rPr>
          <w:rFonts w:eastAsia="Palatino Linotype" w:cs="Palatino Linotype"/>
          <w:color w:val="000000"/>
        </w:rPr>
        <w:tab/>
        <w:t>Educación vial”, “Mantenimiento a los dispositivos para el control de tránsito”,</w:t>
      </w:r>
      <w:r w:rsidRPr="001F14B4">
        <w:rPr>
          <w:rFonts w:eastAsia="Palatino Linotype" w:cs="Palatino Linotype"/>
          <w:color w:val="000000"/>
        </w:rPr>
        <w:t xml:space="preserve"> </w:t>
      </w:r>
      <w:r>
        <w:rPr>
          <w:rFonts w:eastAsia="Palatino Linotype" w:cs="Palatino Linotype"/>
          <w:color w:val="000000"/>
        </w:rPr>
        <w:t>Apoyo municipal a las políticas de desarrollo del transporte”, “Simplificación y Modernización de la Administración Pública”</w:t>
      </w:r>
    </w:p>
    <w:p w14:paraId="5BE934E5" w14:textId="77777777" w:rsidR="003E3CFD" w:rsidRPr="003E3CFD" w:rsidRDefault="003E3CFD" w:rsidP="003E3CFD">
      <w:pPr>
        <w:pStyle w:val="Prrafodelista"/>
        <w:rPr>
          <w:rFonts w:eastAsia="Palatino Linotype" w:cs="Palatino Linotype"/>
          <w:color w:val="000000"/>
        </w:rPr>
      </w:pPr>
    </w:p>
    <w:p w14:paraId="07FC3235" w14:textId="3566FAAC" w:rsidR="00D86BF2" w:rsidRPr="003E3CFD" w:rsidRDefault="00D86BF2" w:rsidP="003E3CFD">
      <w:pPr>
        <w:pStyle w:val="Prrafodelista"/>
        <w:numPr>
          <w:ilvl w:val="0"/>
          <w:numId w:val="26"/>
        </w:numPr>
        <w:rPr>
          <w:rFonts w:eastAsia="Palatino Linotype" w:cs="Palatino Linotype"/>
          <w:color w:val="000000"/>
        </w:rPr>
      </w:pPr>
      <w:r w:rsidRPr="003E3CFD">
        <w:rPr>
          <w:rFonts w:eastAsia="Palatino Linotype" w:cs="Palatino Linotype"/>
          <w:color w:val="000000"/>
        </w:rPr>
        <w:t xml:space="preserve">Documento que consta de veinticuatro fojas en formato PDF con número de oficio DM/1263/2024 de fecha veintitrés de septiembre por medio del cual el Director de Movilidad manifiesta que después de realizar una búsqueda exhaustiva en los archivos que obran en la Dirección de Movilidad no se encontró ningún programa como lo refiere el Solicitante, pues no existe tal denominación. </w:t>
      </w:r>
    </w:p>
    <w:p w14:paraId="711EC729" w14:textId="77777777" w:rsidR="00D86BF2" w:rsidRPr="0022130E" w:rsidRDefault="00D86BF2" w:rsidP="00D86BF2">
      <w:pPr>
        <w:pStyle w:val="Prrafodelista"/>
        <w:rPr>
          <w:rFonts w:eastAsia="Palatino Linotype" w:cs="Palatino Linotype"/>
          <w:color w:val="000000"/>
        </w:rPr>
      </w:pPr>
    </w:p>
    <w:p w14:paraId="44CB5AAB" w14:textId="77777777" w:rsidR="00D86BF2" w:rsidRDefault="00D86BF2" w:rsidP="00D86BF2">
      <w:pPr>
        <w:pStyle w:val="Prrafodelista"/>
        <w:ind w:left="1080"/>
        <w:rPr>
          <w:rFonts w:eastAsia="Palatino Linotype" w:cs="Palatino Linotype"/>
          <w:color w:val="000000"/>
        </w:rPr>
      </w:pPr>
      <w:r>
        <w:rPr>
          <w:rFonts w:eastAsia="Palatino Linotype" w:cs="Palatino Linotype"/>
          <w:color w:val="000000"/>
        </w:rPr>
        <w:lastRenderedPageBreak/>
        <w:t>En este sentido entrega los programas presupuestarios que derivan del proyecto de presupuesto basado en resultados municipal adjuntando los correspondientes a los periodos 2022, 2023 y 2024 así como las acciones implementadas y los resultados en materia de movilidad</w:t>
      </w:r>
    </w:p>
    <w:p w14:paraId="561FA732" w14:textId="77777777" w:rsidR="005276F9" w:rsidRPr="007B63EE" w:rsidRDefault="005276F9" w:rsidP="007B63EE">
      <w:pPr>
        <w:rPr>
          <w:rFonts w:eastAsia="Palatino Linotype" w:cs="Palatino Linotype"/>
          <w:color w:val="000000"/>
        </w:rPr>
      </w:pPr>
    </w:p>
    <w:p w14:paraId="06B1F850" w14:textId="20C84E4C" w:rsidR="00B40A7A" w:rsidRPr="00A14478" w:rsidRDefault="00511260" w:rsidP="00511260">
      <w:pPr>
        <w:rPr>
          <w:rFonts w:eastAsia="Palatino Linotype" w:cs="Palatino Linotype"/>
          <w:color w:val="000000"/>
        </w:rPr>
      </w:pPr>
      <w:r w:rsidRPr="00031639">
        <w:rPr>
          <w:rFonts w:eastAsia="Palatino Linotype" w:cs="Palatino Linotype"/>
          <w:color w:val="000000"/>
        </w:rPr>
        <w:t>Ante la respuesta emitida por el Sujeto Obligado, el Recurrente consideró que su derecho a la información pública había sido conculcado, por lo que interpuso el recurso de revisión al rubro citado, señalando como acto impugnado</w:t>
      </w:r>
      <w:r w:rsidR="00D86BF2">
        <w:rPr>
          <w:rFonts w:eastAsia="Palatino Linotype" w:cs="Palatino Linotype"/>
          <w:color w:val="000000"/>
        </w:rPr>
        <w:t xml:space="preserve">  en todos los recursos de revisión “</w:t>
      </w:r>
      <w:r w:rsidR="00D86BF2" w:rsidRPr="00D86BF2">
        <w:rPr>
          <w:i/>
        </w:rPr>
        <w:t xml:space="preserve">No se </w:t>
      </w:r>
      <w:proofErr w:type="spellStart"/>
      <w:r w:rsidR="00D86BF2" w:rsidRPr="00D86BF2">
        <w:rPr>
          <w:i/>
        </w:rPr>
        <w:t>solicito</w:t>
      </w:r>
      <w:proofErr w:type="spellEnd"/>
      <w:r w:rsidR="00D86BF2" w:rsidRPr="00D86BF2">
        <w:rPr>
          <w:i/>
        </w:rPr>
        <w:t xml:space="preserve"> el PBR en sus funciones obligacionales dice que </w:t>
      </w:r>
      <w:r w:rsidR="00D86BF2" w:rsidRPr="00A14478">
        <w:rPr>
          <w:i/>
          <w:u w:val="single"/>
        </w:rPr>
        <w:t xml:space="preserve">deben </w:t>
      </w:r>
      <w:proofErr w:type="spellStart"/>
      <w:r w:rsidR="00D86BF2" w:rsidRPr="00A14478">
        <w:rPr>
          <w:i/>
          <w:u w:val="single"/>
        </w:rPr>
        <w:t>tene</w:t>
      </w:r>
      <w:proofErr w:type="spellEnd"/>
      <w:r w:rsidR="00D86BF2" w:rsidRPr="00A14478">
        <w:rPr>
          <w:i/>
          <w:u w:val="single"/>
        </w:rPr>
        <w:t xml:space="preserve"> run programa de Trabajo en materia de movilidad por lo que </w:t>
      </w:r>
      <w:r w:rsidR="00D86BF2" w:rsidRPr="00A14478">
        <w:rPr>
          <w:b/>
          <w:i/>
          <w:u w:val="single"/>
        </w:rPr>
        <w:t>es lo que se solicita</w:t>
      </w:r>
      <w:r w:rsidR="00D86BF2">
        <w:rPr>
          <w:i/>
        </w:rPr>
        <w:t>”</w:t>
      </w:r>
      <w:r w:rsidR="00A14478">
        <w:rPr>
          <w:sz w:val="22"/>
        </w:rPr>
        <w:t xml:space="preserve">, </w:t>
      </w:r>
      <w:r w:rsidRPr="00031639">
        <w:rPr>
          <w:rFonts w:eastAsia="Palatino Linotype" w:cs="Palatino Linotype"/>
          <w:color w:val="000000"/>
        </w:rPr>
        <w:t xml:space="preserve">en este sentido el Recurrente considero que el </w:t>
      </w:r>
      <w:r w:rsidR="00B40A7A">
        <w:rPr>
          <w:rFonts w:eastAsia="Palatino Linotype" w:cs="Palatino Linotype"/>
          <w:color w:val="000000"/>
        </w:rPr>
        <w:t>Sujeto Obligado no le dio cuenta de</w:t>
      </w:r>
      <w:r w:rsidR="00A14478">
        <w:rPr>
          <w:rFonts w:eastAsia="Palatino Linotype" w:cs="Palatino Linotype"/>
          <w:color w:val="000000"/>
        </w:rPr>
        <w:t>l p</w:t>
      </w:r>
      <w:r w:rsidR="00A14478" w:rsidRPr="00A14478">
        <w:rPr>
          <w:rFonts w:eastAsia="Palatino Linotype" w:cs="Palatino Linotype"/>
          <w:color w:val="000000"/>
        </w:rPr>
        <w:t>rograma anual de Trabajo de Movilidad de los años 2022, 2023 y 2024</w:t>
      </w:r>
      <w:r w:rsidR="00B40A7A">
        <w:rPr>
          <w:rFonts w:eastAsia="Palatino Linotype" w:cs="Palatino Linotype"/>
          <w:color w:val="000000"/>
        </w:rPr>
        <w:t>.</w:t>
      </w:r>
    </w:p>
    <w:p w14:paraId="1886837D" w14:textId="77777777" w:rsidR="00B156C7" w:rsidRDefault="00B156C7" w:rsidP="00511260">
      <w:pPr>
        <w:tabs>
          <w:tab w:val="left" w:pos="709"/>
        </w:tabs>
        <w:contextualSpacing/>
        <w:rPr>
          <w:rFonts w:cs="Arial"/>
        </w:rPr>
      </w:pPr>
    </w:p>
    <w:p w14:paraId="17DCDF1F" w14:textId="48E317AE" w:rsidR="005276F9" w:rsidRDefault="00B156C7" w:rsidP="006537E2">
      <w:pPr>
        <w:tabs>
          <w:tab w:val="left" w:pos="709"/>
        </w:tabs>
        <w:contextualSpacing/>
        <w:rPr>
          <w:rFonts w:cs="Arial"/>
        </w:rPr>
      </w:pPr>
      <w:r>
        <w:rPr>
          <w:rFonts w:cs="Arial"/>
        </w:rPr>
        <w:t>De lo anterior y a efecto de no vulnerar el derecho al acceso a la información del Recurrente el Sujeto Obligado rind</w:t>
      </w:r>
      <w:r w:rsidR="00594641">
        <w:rPr>
          <w:rFonts w:cs="Arial"/>
        </w:rPr>
        <w:t>ió su informe justificado para todos los</w:t>
      </w:r>
      <w:r>
        <w:rPr>
          <w:rFonts w:cs="Arial"/>
        </w:rPr>
        <w:t xml:space="preserve"> recursos de revisión, sin pasar por desapercibido por este Instituto que los archivos remitidos contienen la misma información </w:t>
      </w:r>
      <w:r w:rsidR="00594641">
        <w:rPr>
          <w:rFonts w:cs="Arial"/>
        </w:rPr>
        <w:t>ratificando su respuesta primigenia.</w:t>
      </w:r>
    </w:p>
    <w:p w14:paraId="19E56F81" w14:textId="39B38CBD" w:rsidR="005276F9" w:rsidRPr="005276F9" w:rsidRDefault="005276F9" w:rsidP="005276F9">
      <w:pPr>
        <w:contextualSpacing/>
        <w:rPr>
          <w:color w:val="000000"/>
        </w:rPr>
      </w:pPr>
      <w:r>
        <w:t>Entonces</w:t>
      </w:r>
      <w:r w:rsidRPr="00012968">
        <w:t xml:space="preserve">, se </w:t>
      </w:r>
      <w:r>
        <w:t>debe establecer que el</w:t>
      </w:r>
      <w:r w:rsidRPr="00012968">
        <w:t xml:space="preserve"> Recurrente en el ejercicio de su derecho al acceso a la información inconforme con la respuesta proporcionada por el Sujeto Obligado a la interposición del presente recurso de revisión  </w:t>
      </w:r>
      <w:r w:rsidRPr="00012968">
        <w:rPr>
          <w:u w:val="single"/>
        </w:rPr>
        <w:t>únicamente expresó inconformidad respecto a</w:t>
      </w:r>
      <w:r>
        <w:rPr>
          <w:u w:val="single"/>
        </w:rPr>
        <w:t>l programa anual de trabajo de movilidad,</w:t>
      </w:r>
      <w:r w:rsidRPr="005276F9">
        <w:t xml:space="preserve"> </w:t>
      </w:r>
      <w:r w:rsidRPr="00012968">
        <w:rPr>
          <w:color w:val="000000"/>
        </w:rPr>
        <w:t xml:space="preserve">por lo que al no haber manifestado inconformidad respecto a </w:t>
      </w:r>
      <w:r>
        <w:rPr>
          <w:color w:val="000000"/>
        </w:rPr>
        <w:t xml:space="preserve"> las a</w:t>
      </w:r>
      <w:r w:rsidRPr="005276F9">
        <w:rPr>
          <w:rFonts w:eastAsia="Palatino Linotype" w:cs="Palatino Linotype"/>
          <w:color w:val="000000"/>
        </w:rPr>
        <w:t xml:space="preserve">cciones implementadas para mejorar la movilidad en el municipio </w:t>
      </w:r>
      <w:r>
        <w:rPr>
          <w:color w:val="000000"/>
        </w:rPr>
        <w:t>así como el p</w:t>
      </w:r>
      <w:r w:rsidRPr="005276F9">
        <w:rPr>
          <w:rFonts w:eastAsia="Palatino Linotype" w:cs="Palatino Linotype"/>
          <w:color w:val="000000"/>
        </w:rPr>
        <w:t xml:space="preserve">rograma anual de Trabajo de la Administración de los años 2022, </w:t>
      </w:r>
      <w:r w:rsidRPr="005276F9">
        <w:rPr>
          <w:rFonts w:eastAsia="Palatino Linotype" w:cs="Palatino Linotype"/>
          <w:color w:val="000000"/>
        </w:rPr>
        <w:lastRenderedPageBreak/>
        <w:t>2023 y 2024</w:t>
      </w:r>
      <w:r>
        <w:rPr>
          <w:color w:val="000000"/>
        </w:rPr>
        <w:t xml:space="preserve"> </w:t>
      </w:r>
      <w:r w:rsidR="00D67845">
        <w:rPr>
          <w:color w:val="000000"/>
        </w:rPr>
        <w:t xml:space="preserve"> por lo que </w:t>
      </w:r>
      <w:r>
        <w:rPr>
          <w:color w:val="000000"/>
        </w:rPr>
        <w:t xml:space="preserve">no pueden producirse efectos jurídicos que permitan </w:t>
      </w:r>
      <w:r w:rsidRPr="009D3497">
        <w:rPr>
          <w:rFonts w:eastAsia="Arial Unicode MS" w:cs="Arial"/>
        </w:rPr>
        <w:t>revocar, confirmar o modificar el acto reclamado</w:t>
      </w:r>
      <w:r>
        <w:rPr>
          <w:color w:val="000000"/>
        </w:rPr>
        <w:t>.</w:t>
      </w:r>
    </w:p>
    <w:p w14:paraId="11F3751E" w14:textId="77777777" w:rsidR="005276F9" w:rsidRPr="00362A82" w:rsidRDefault="005276F9" w:rsidP="005276F9">
      <w:pPr>
        <w:ind w:right="539"/>
        <w:rPr>
          <w:color w:val="000000"/>
        </w:rPr>
      </w:pPr>
    </w:p>
    <w:p w14:paraId="43E0BDCA" w14:textId="77777777" w:rsidR="005276F9" w:rsidRPr="009D3497" w:rsidRDefault="005276F9" w:rsidP="005276F9">
      <w:pPr>
        <w:ind w:right="-2"/>
        <w:rPr>
          <w:i/>
        </w:rPr>
      </w:pPr>
      <w:r>
        <w:t>E</w:t>
      </w:r>
      <w:r w:rsidRPr="009D3497">
        <w:rPr>
          <w:rFonts w:eastAsia="MS Mincho"/>
        </w:rPr>
        <w:t xml:space="preserve">n consecuencia, </w:t>
      </w:r>
      <w:r w:rsidRPr="009D3497">
        <w:rPr>
          <w:rFonts w:cs="Arial"/>
        </w:rPr>
        <w:t>debe</w:t>
      </w:r>
      <w:r>
        <w:rPr>
          <w:rFonts w:cs="Arial"/>
        </w:rPr>
        <w:t>n</w:t>
      </w:r>
      <w:r w:rsidRPr="009D3497">
        <w:rPr>
          <w:rFonts w:cs="Arial"/>
        </w:rPr>
        <w:t xml:space="preserve"> declararse atendido</w:t>
      </w:r>
      <w:r>
        <w:rPr>
          <w:rFonts w:cs="Arial"/>
        </w:rPr>
        <w:t>s</w:t>
      </w:r>
      <w:r w:rsidRPr="009D3497">
        <w:rPr>
          <w:rFonts w:cs="Arial"/>
        </w:rPr>
        <w:t>,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1FDDC993" w14:textId="77777777" w:rsidR="005276F9" w:rsidRPr="00012968" w:rsidRDefault="005276F9" w:rsidP="005276F9">
      <w:pPr>
        <w:autoSpaceDE w:val="0"/>
        <w:autoSpaceDN w:val="0"/>
        <w:adjustRightInd w:val="0"/>
        <w:spacing w:before="240" w:after="360"/>
        <w:ind w:left="851" w:right="900"/>
        <w:rPr>
          <w:rFonts w:cs="Arial"/>
          <w:bCs/>
          <w:i/>
          <w:iCs/>
          <w:sz w:val="22"/>
        </w:rPr>
      </w:pPr>
      <w:r w:rsidRPr="00012968">
        <w:rPr>
          <w:rFonts w:cs="Arial"/>
          <w:b/>
          <w:i/>
          <w:sz w:val="22"/>
        </w:rPr>
        <w:t xml:space="preserve">“REVISIÓN EN AMPARO. LOS RESOLUTIVOS NO COMBATIDOS DEBEN DECLARARSE FIRMES. </w:t>
      </w:r>
      <w:r w:rsidRPr="00012968">
        <w:rPr>
          <w:rFonts w:cs="Arial"/>
          <w:bCs/>
          <w:i/>
          <w:iCs/>
          <w:sz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A8AC20E" w14:textId="77777777" w:rsidR="005276F9" w:rsidRDefault="005276F9" w:rsidP="005276F9">
      <w:pPr>
        <w:pStyle w:val="Prrafodelista"/>
        <w:spacing w:before="240" w:after="240"/>
        <w:ind w:left="0"/>
        <w:rPr>
          <w:rFonts w:eastAsia="Arial Unicode MS" w:cs="Arial"/>
        </w:rPr>
      </w:pPr>
      <w:r w:rsidRPr="009D3497">
        <w:rPr>
          <w:rFonts w:eastAsia="Arial Unicode MS" w:cs="Arial"/>
        </w:rPr>
        <w:t>Consecuentemente, se reitera, que la parte de la respuesta que no fue impugnada debe declararse consentida por la parte Recurrente, toda vez que no se realizaron manifestaciones de inconformidad, por lo que no pueden producirse efectos jurídicos tendentes a revocar, confirmar o modificar el acto reclamado ya que se infiere un consentimiento ante l</w:t>
      </w:r>
      <w:r>
        <w:rPr>
          <w:rFonts w:eastAsia="Arial Unicode MS" w:cs="Arial"/>
        </w:rPr>
        <w:t>a falta de impugnación eficaz.</w:t>
      </w:r>
    </w:p>
    <w:p w14:paraId="259EB365" w14:textId="77777777" w:rsidR="005276F9" w:rsidRPr="009D3497" w:rsidRDefault="005276F9" w:rsidP="005276F9">
      <w:pPr>
        <w:pStyle w:val="Prrafodelista"/>
        <w:spacing w:before="240" w:after="240"/>
        <w:ind w:left="0"/>
        <w:rPr>
          <w:rFonts w:eastAsia="Arial Unicode MS" w:cs="Arial"/>
        </w:rPr>
      </w:pPr>
    </w:p>
    <w:p w14:paraId="52E2D8E0" w14:textId="63A6E217" w:rsidR="005276F9" w:rsidRPr="005276F9" w:rsidRDefault="005276F9" w:rsidP="005276F9">
      <w:pPr>
        <w:pStyle w:val="Prrafodelista"/>
        <w:spacing w:before="240" w:after="240"/>
        <w:ind w:left="0"/>
        <w:rPr>
          <w:rFonts w:cs="Arial"/>
        </w:rPr>
      </w:pPr>
      <w:r w:rsidRPr="009D3497">
        <w:rPr>
          <w:rFonts w:eastAsia="Arial Unicode MS" w:cs="Arial"/>
        </w:rPr>
        <w:lastRenderedPageBreak/>
        <w:t xml:space="preserve">Sirve de sustento a lo anterior por analogía la tesis jurisprudencial número </w:t>
      </w:r>
      <w:r w:rsidRPr="009D3497">
        <w:rPr>
          <w:rFonts w:cs="Arial"/>
        </w:rPr>
        <w:t>VI.3o.C. J/60, publicada en el Semanario Judicial de la Federación y su Gaceta bajo el número de registro 176,608 que a la letra dice:</w:t>
      </w:r>
    </w:p>
    <w:p w14:paraId="2847505D" w14:textId="77777777" w:rsidR="005276F9" w:rsidRPr="00012968" w:rsidRDefault="005276F9" w:rsidP="005276F9">
      <w:pPr>
        <w:pStyle w:val="Prrafodelista"/>
        <w:ind w:left="567" w:right="616"/>
        <w:rPr>
          <w:rFonts w:cs="Arial"/>
          <w:i/>
          <w:sz w:val="22"/>
        </w:rPr>
      </w:pPr>
      <w:r w:rsidRPr="00012968">
        <w:rPr>
          <w:rFonts w:cs="Arial"/>
          <w:b/>
          <w:bCs/>
          <w:i/>
          <w:caps/>
          <w:sz w:val="22"/>
        </w:rPr>
        <w:t xml:space="preserve">“ACTOS CONSENTIDOS. SON LOS QUE NO SE IMPUGNAN MEDIANTE EL RECURSO IDÓNEO. </w:t>
      </w:r>
      <w:r w:rsidRPr="00012968">
        <w:rPr>
          <w:rFonts w:cs="Arial"/>
          <w:i/>
          <w:sz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6D3E900" w14:textId="5454E1F6" w:rsidR="001D651F" w:rsidRDefault="001D651F" w:rsidP="006537E2">
      <w:pPr>
        <w:tabs>
          <w:tab w:val="left" w:pos="709"/>
        </w:tabs>
        <w:contextualSpacing/>
        <w:rPr>
          <w:rFonts w:cs="Arial"/>
        </w:rPr>
      </w:pPr>
    </w:p>
    <w:p w14:paraId="00E40574" w14:textId="5D77E3D8" w:rsidR="00511260" w:rsidRPr="006537E2" w:rsidRDefault="00511260" w:rsidP="006537E2">
      <w:pPr>
        <w:tabs>
          <w:tab w:val="left" w:pos="709"/>
        </w:tabs>
        <w:contextualSpacing/>
        <w:rPr>
          <w:rFonts w:cs="Arial"/>
        </w:rPr>
      </w:pPr>
      <w:r>
        <w:rPr>
          <w:rFonts w:cs="Arial"/>
        </w:rPr>
        <w:t xml:space="preserve">De lo anterior se debe </w:t>
      </w:r>
      <w:r w:rsidRPr="00B7320F">
        <w:rPr>
          <w:rFonts w:cs="Arial"/>
        </w:rPr>
        <w:t>señalar que el artículo 4, párrafo segundo de la Ley de Transparencia y Acceso a la Información Pública del Estado de México y Municipios, dispone:</w:t>
      </w:r>
    </w:p>
    <w:p w14:paraId="46B1EB7D" w14:textId="77777777" w:rsidR="00511260" w:rsidRPr="00B7320F" w:rsidRDefault="00511260" w:rsidP="00511260">
      <w:pPr>
        <w:ind w:left="567" w:right="616"/>
        <w:rPr>
          <w:rFonts w:cs="Arial"/>
          <w:i/>
          <w:sz w:val="22"/>
        </w:rPr>
      </w:pPr>
      <w:r w:rsidRPr="00B7320F">
        <w:rPr>
          <w:rFonts w:cs="Arial"/>
          <w:i/>
          <w:sz w:val="22"/>
        </w:rPr>
        <w:t>“</w:t>
      </w:r>
      <w:r w:rsidRPr="00B7320F">
        <w:rPr>
          <w:rFonts w:cs="Arial"/>
          <w:b/>
          <w:i/>
          <w:sz w:val="22"/>
        </w:rPr>
        <w:t xml:space="preserve">Artículo 4. </w:t>
      </w:r>
      <w:r w:rsidRPr="00B7320F">
        <w:rPr>
          <w:rFonts w:cs="Arial"/>
          <w:i/>
          <w:sz w:val="22"/>
        </w:rPr>
        <w:t xml:space="preserve">… </w:t>
      </w:r>
    </w:p>
    <w:p w14:paraId="32A3E4AB" w14:textId="77777777" w:rsidR="00511260" w:rsidRPr="00B7320F" w:rsidRDefault="00511260" w:rsidP="00511260">
      <w:pPr>
        <w:ind w:left="567" w:right="616"/>
        <w:rPr>
          <w:rFonts w:cs="Arial"/>
          <w:i/>
          <w:sz w:val="22"/>
        </w:rPr>
      </w:pPr>
      <w:r w:rsidRPr="00B7320F">
        <w:rPr>
          <w:rFonts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4883349" w14:textId="77777777" w:rsidR="00511260" w:rsidRPr="00B7320F" w:rsidRDefault="00511260" w:rsidP="00511260">
      <w:pPr>
        <w:tabs>
          <w:tab w:val="left" w:pos="709"/>
        </w:tabs>
        <w:contextualSpacing/>
        <w:rPr>
          <w:rFonts w:cs="Arial"/>
        </w:rPr>
      </w:pPr>
    </w:p>
    <w:p w14:paraId="08245615" w14:textId="77777777" w:rsidR="00511260" w:rsidRDefault="00511260" w:rsidP="00511260">
      <w:pPr>
        <w:tabs>
          <w:tab w:val="left" w:pos="709"/>
        </w:tabs>
        <w:contextualSpacing/>
        <w:rPr>
          <w:rFonts w:cs="Arial"/>
        </w:rPr>
      </w:pPr>
      <w:r w:rsidRPr="00B7320F">
        <w:rPr>
          <w:rFonts w:cs="Arial"/>
        </w:rPr>
        <w:t xml:space="preserve">Del precepto legal invocado, se desprende, que la información generada, obtenida, adquirida, transmitida, administrada o en posesión de los Sujetos Obligados, será </w:t>
      </w:r>
      <w:r w:rsidRPr="00B7320F">
        <w:rPr>
          <w:rFonts w:cs="Arial"/>
        </w:rPr>
        <w:lastRenderedPageBreak/>
        <w:t>accesible de manera permanente a cualquier persona, privilegiando el principio de máxima publicidad de la información.</w:t>
      </w:r>
    </w:p>
    <w:p w14:paraId="75071FF1" w14:textId="77777777" w:rsidR="00511260" w:rsidRPr="00B7320F" w:rsidRDefault="00511260" w:rsidP="00511260">
      <w:pPr>
        <w:tabs>
          <w:tab w:val="left" w:pos="709"/>
        </w:tabs>
        <w:contextualSpacing/>
        <w:rPr>
          <w:rFonts w:cs="Arial"/>
        </w:rPr>
      </w:pPr>
    </w:p>
    <w:p w14:paraId="2D616939" w14:textId="77777777" w:rsidR="00511260" w:rsidRPr="00B7320F" w:rsidRDefault="00511260" w:rsidP="00511260">
      <w:pPr>
        <w:tabs>
          <w:tab w:val="left" w:pos="709"/>
        </w:tabs>
        <w:contextualSpacing/>
        <w:rPr>
          <w:rFonts w:cs="Arial"/>
        </w:rPr>
      </w:pPr>
      <w:r w:rsidRPr="00B7320F">
        <w:rPr>
          <w:rFonts w:cs="Arial"/>
        </w:rPr>
        <w:t xml:space="preserve">En esta misma tesitura, el derecho de acceso a la información pública, consiste en que la información solicitada conste en un soporte documental en cualquiera de sus formas, a saber: </w:t>
      </w:r>
      <w:r w:rsidRPr="00B7320F">
        <w:rPr>
          <w:rFonts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B7320F">
        <w:rPr>
          <w:rFonts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D0E6F2D" w14:textId="77777777" w:rsidR="00511260" w:rsidRPr="00B7320F" w:rsidRDefault="00511260" w:rsidP="00511260">
      <w:pPr>
        <w:pStyle w:val="Sinespaciado"/>
      </w:pPr>
    </w:p>
    <w:p w14:paraId="7DCBBF0D" w14:textId="77777777" w:rsidR="00511260" w:rsidRPr="00B7320F" w:rsidRDefault="00511260" w:rsidP="00511260">
      <w:pPr>
        <w:ind w:left="567" w:right="616"/>
        <w:rPr>
          <w:rFonts w:cs="Arial"/>
          <w:i/>
          <w:sz w:val="22"/>
        </w:rPr>
      </w:pPr>
      <w:r w:rsidRPr="00B7320F">
        <w:rPr>
          <w:rFonts w:cs="Arial"/>
          <w:i/>
          <w:sz w:val="22"/>
        </w:rPr>
        <w:t>“</w:t>
      </w:r>
      <w:r w:rsidRPr="00B7320F">
        <w:rPr>
          <w:rFonts w:cs="Arial"/>
          <w:b/>
          <w:i/>
          <w:sz w:val="22"/>
        </w:rPr>
        <w:t xml:space="preserve">Artículo 3. </w:t>
      </w:r>
      <w:r w:rsidRPr="00B7320F">
        <w:rPr>
          <w:rFonts w:cs="Arial"/>
          <w:i/>
          <w:sz w:val="22"/>
        </w:rPr>
        <w:t>Para los efectos de la presente Ley se entenderá por:</w:t>
      </w:r>
    </w:p>
    <w:p w14:paraId="0C6D4E49" w14:textId="77777777" w:rsidR="00511260" w:rsidRPr="00B7320F" w:rsidRDefault="00511260" w:rsidP="00511260">
      <w:pPr>
        <w:ind w:left="567" w:right="616"/>
        <w:rPr>
          <w:rFonts w:cs="Arial"/>
          <w:i/>
          <w:sz w:val="22"/>
        </w:rPr>
      </w:pPr>
      <w:r w:rsidRPr="00B7320F">
        <w:rPr>
          <w:rFonts w:cs="Arial"/>
          <w:i/>
          <w:sz w:val="22"/>
        </w:rPr>
        <w:t>(…)</w:t>
      </w:r>
    </w:p>
    <w:p w14:paraId="58610409" w14:textId="77777777" w:rsidR="00511260" w:rsidRPr="00B7320F" w:rsidRDefault="00511260" w:rsidP="00511260">
      <w:pPr>
        <w:ind w:left="567" w:right="616"/>
        <w:rPr>
          <w:rFonts w:cs="Arial"/>
          <w:i/>
          <w:sz w:val="22"/>
        </w:rPr>
      </w:pPr>
      <w:r w:rsidRPr="00B7320F">
        <w:rPr>
          <w:rFonts w:cs="Arial"/>
          <w:b/>
          <w:i/>
          <w:sz w:val="22"/>
        </w:rPr>
        <w:t>XI. Documento:</w:t>
      </w:r>
      <w:r w:rsidRPr="00B7320F">
        <w:rPr>
          <w:rFonts w:cs="Arial"/>
          <w:i/>
          <w:sz w:val="22"/>
        </w:rPr>
        <w:t xml:space="preserve"> Los expedientes, reportes, estudios, actas, resoluciones, oficios, correspondencia, acuerdos, directivas, directrices, circulares, contratos, convenios, instructivos, notas, memorandos, estadísticas o bien, cualquier otro </w:t>
      </w:r>
      <w:r w:rsidRPr="00B7320F">
        <w:rPr>
          <w:rFonts w:cs="Arial"/>
          <w:b/>
          <w:i/>
          <w:sz w:val="22"/>
          <w:u w:val="single"/>
        </w:rPr>
        <w:t>registro que documente el ejercicio de las facultades, funciones y competencias de los sujetos obligados</w:t>
      </w:r>
      <w:r w:rsidRPr="00B7320F">
        <w:rPr>
          <w:rFonts w:cs="Arial"/>
          <w:i/>
          <w:sz w:val="22"/>
          <w:u w:val="single"/>
        </w:rPr>
        <w:t>,</w:t>
      </w:r>
      <w:r w:rsidRPr="00B7320F">
        <w:rPr>
          <w:rFonts w:cs="Arial"/>
          <w:i/>
          <w:sz w:val="22"/>
        </w:rPr>
        <w:t xml:space="preserve"> sus servidores públicos e integrantes, </w:t>
      </w:r>
      <w:r w:rsidRPr="00B7320F">
        <w:rPr>
          <w:rFonts w:cs="Arial"/>
          <w:b/>
          <w:i/>
          <w:sz w:val="22"/>
          <w:u w:val="single"/>
        </w:rPr>
        <w:t>sin importar su fuente o fecha de elaboración.</w:t>
      </w:r>
      <w:r w:rsidRPr="00B7320F">
        <w:rPr>
          <w:rFonts w:cs="Arial"/>
          <w:i/>
          <w:sz w:val="22"/>
        </w:rPr>
        <w:t xml:space="preserve"> Los documentos podrán estar en cualquier medio, sea escrito, impreso, sonoro, visual, electrónico, informático u holográfico;</w:t>
      </w:r>
    </w:p>
    <w:p w14:paraId="0BA68671" w14:textId="5D033DD3" w:rsidR="00511260" w:rsidRPr="00CF7459" w:rsidRDefault="00511260" w:rsidP="00CF7459">
      <w:pPr>
        <w:ind w:left="567" w:right="616"/>
        <w:rPr>
          <w:rFonts w:cs="Arial"/>
          <w:i/>
          <w:sz w:val="22"/>
        </w:rPr>
      </w:pPr>
      <w:r w:rsidRPr="00B7320F">
        <w:rPr>
          <w:rFonts w:cs="Arial"/>
          <w:i/>
          <w:sz w:val="22"/>
        </w:rPr>
        <w:t>(…)”</w:t>
      </w:r>
    </w:p>
    <w:p w14:paraId="382AF252" w14:textId="77777777" w:rsidR="00D67845" w:rsidRDefault="00D67845" w:rsidP="00511260">
      <w:pPr>
        <w:spacing w:before="240" w:after="240"/>
        <w:ind w:right="49"/>
        <w:contextualSpacing/>
        <w:rPr>
          <w:rFonts w:cs="Arial"/>
        </w:rPr>
      </w:pPr>
    </w:p>
    <w:p w14:paraId="0E8050C1" w14:textId="77777777" w:rsidR="00511260" w:rsidRDefault="00511260" w:rsidP="00511260">
      <w:pPr>
        <w:spacing w:before="240" w:after="240"/>
        <w:ind w:right="49"/>
        <w:contextualSpacing/>
        <w:rPr>
          <w:rFonts w:eastAsia="MS Mincho"/>
        </w:rPr>
      </w:pPr>
      <w:r w:rsidRPr="00B7320F">
        <w:rPr>
          <w:rFonts w:cs="Arial"/>
        </w:rPr>
        <w:lastRenderedPageBreak/>
        <w:t xml:space="preserve">Además, </w:t>
      </w:r>
      <w:r w:rsidRPr="00B7320F">
        <w:rPr>
          <w:rFonts w:eastAsia="MS Mincho"/>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BA6BC53" w14:textId="77777777" w:rsidR="00511260" w:rsidRPr="006A187E" w:rsidRDefault="00511260" w:rsidP="00511260">
      <w:pPr>
        <w:spacing w:before="240" w:after="240"/>
        <w:ind w:right="49"/>
        <w:contextualSpacing/>
        <w:rPr>
          <w:rFonts w:eastAsia="MS Mincho"/>
        </w:rPr>
      </w:pPr>
    </w:p>
    <w:p w14:paraId="7693AF8A" w14:textId="77777777" w:rsidR="00511260" w:rsidRPr="006A187E" w:rsidRDefault="00511260" w:rsidP="00511260">
      <w:pPr>
        <w:spacing w:before="240" w:after="240"/>
        <w:ind w:right="49"/>
        <w:contextualSpacing/>
        <w:rPr>
          <w:rFonts w:eastAsia="MS Mincho" w:cs="Tahoma"/>
        </w:rPr>
      </w:pPr>
      <w:r w:rsidRPr="00B7320F">
        <w:rPr>
          <w:rFonts w:cs="Arial"/>
        </w:rPr>
        <w:t xml:space="preserve">De la misma forma, </w:t>
      </w:r>
      <w:r w:rsidRPr="00B7320F">
        <w:rPr>
          <w:rFonts w:eastAsia="MS Mincho"/>
        </w:rPr>
        <w:t>de acuerdo al contenido del artículo 160,</w:t>
      </w:r>
      <w:r w:rsidRPr="00B7320F">
        <w:rPr>
          <w:rFonts w:cs="Arial"/>
        </w:rPr>
        <w:t xml:space="preserve"> de la Ley </w:t>
      </w:r>
      <w:r w:rsidRPr="00B7320F">
        <w:rPr>
          <w:rFonts w:eastAsia="MS Mincho" w:cs="Tahoma"/>
        </w:rPr>
        <w:t>General de Transparencia y Acceso a la Información Pública que a la letra dispone:</w:t>
      </w:r>
    </w:p>
    <w:p w14:paraId="1AC236D9" w14:textId="77777777" w:rsidR="00511260" w:rsidRPr="00B7320F" w:rsidRDefault="00511260" w:rsidP="00511260">
      <w:pPr>
        <w:ind w:left="567" w:right="616"/>
        <w:contextualSpacing/>
        <w:rPr>
          <w:rFonts w:cs="Arial"/>
          <w:i/>
          <w:sz w:val="22"/>
          <w:lang w:eastAsia="gl-ES"/>
        </w:rPr>
      </w:pPr>
      <w:r w:rsidRPr="00B7320F">
        <w:rPr>
          <w:rFonts w:cs="Arial"/>
          <w:b/>
          <w:i/>
          <w:sz w:val="22"/>
          <w:lang w:eastAsia="gl-ES"/>
        </w:rPr>
        <w:t>Artículo 160</w:t>
      </w:r>
      <w:r w:rsidRPr="00B7320F">
        <w:rPr>
          <w:rFonts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7BEE419" w14:textId="77777777" w:rsidR="00511260" w:rsidRPr="00B7320F" w:rsidRDefault="00511260" w:rsidP="00511260">
      <w:pPr>
        <w:pStyle w:val="Sinespaciado"/>
      </w:pPr>
    </w:p>
    <w:p w14:paraId="61414E93" w14:textId="77777777" w:rsidR="00511260" w:rsidRPr="00B7320F" w:rsidRDefault="00511260" w:rsidP="00511260">
      <w:pPr>
        <w:contextualSpacing/>
        <w:rPr>
          <w:rFonts w:cs="Arial"/>
        </w:rPr>
      </w:pPr>
      <w:r w:rsidRPr="00B7320F">
        <w:rPr>
          <w:rFonts w:cs="Arial"/>
          <w:bCs/>
        </w:rPr>
        <w:t xml:space="preserve">Además, </w:t>
      </w:r>
      <w:r w:rsidRPr="00B7320F">
        <w:rPr>
          <w:rFonts w:cs="Arial"/>
        </w:rPr>
        <w:t xml:space="preserve">a Ley de Transparencia y Acceso a la Información Pública del Estado de México y Municipios, prevé en su artículo 23, fracción </w:t>
      </w:r>
      <w:r>
        <w:rPr>
          <w:rFonts w:cs="Arial"/>
        </w:rPr>
        <w:t>IV</w:t>
      </w:r>
      <w:r w:rsidRPr="00B7320F">
        <w:rPr>
          <w:rFonts w:cs="Arial"/>
        </w:rPr>
        <w:t>, que son Sujetos Obligados a Transparentar y permitir el acceso a su información y proteger los datos que obren en su poder:</w:t>
      </w:r>
    </w:p>
    <w:p w14:paraId="21703FC9" w14:textId="77777777" w:rsidR="00511260" w:rsidRPr="00B7320F" w:rsidRDefault="00511260" w:rsidP="00511260">
      <w:pPr>
        <w:pStyle w:val="Sinespaciado"/>
      </w:pPr>
    </w:p>
    <w:p w14:paraId="6A4BC873" w14:textId="77777777" w:rsidR="00511260" w:rsidRDefault="00511260" w:rsidP="00511260">
      <w:pPr>
        <w:ind w:left="567" w:right="616"/>
        <w:contextualSpacing/>
        <w:rPr>
          <w:rFonts w:cs="Arial"/>
          <w:i/>
          <w:sz w:val="22"/>
        </w:rPr>
      </w:pPr>
      <w:r w:rsidRPr="00B7320F">
        <w:rPr>
          <w:rFonts w:cs="Arial"/>
          <w:b/>
          <w:i/>
          <w:sz w:val="22"/>
        </w:rPr>
        <w:lastRenderedPageBreak/>
        <w:t>Artículo 23.</w:t>
      </w:r>
      <w:r w:rsidRPr="00B7320F">
        <w:rPr>
          <w:rFonts w:cs="Arial"/>
          <w:i/>
          <w:sz w:val="22"/>
        </w:rPr>
        <w:t xml:space="preserve"> Son sujetos obligados a transparentar y permitir el acceso a su información y proteger los datos personales que obren en su poder:</w:t>
      </w:r>
    </w:p>
    <w:p w14:paraId="7855DA16" w14:textId="77777777" w:rsidR="00511260" w:rsidRDefault="00511260" w:rsidP="00511260">
      <w:pPr>
        <w:ind w:left="567" w:right="616"/>
        <w:contextualSpacing/>
        <w:rPr>
          <w:rFonts w:cs="Arial"/>
          <w:b/>
          <w:i/>
          <w:sz w:val="22"/>
        </w:rPr>
      </w:pPr>
    </w:p>
    <w:p w14:paraId="109C76EE" w14:textId="77777777" w:rsidR="00511260" w:rsidRPr="006A187E" w:rsidRDefault="00511260" w:rsidP="00511260">
      <w:pPr>
        <w:ind w:left="567" w:right="616"/>
        <w:contextualSpacing/>
        <w:rPr>
          <w:rFonts w:cs="Arial"/>
          <w:bCs/>
          <w:i/>
          <w:sz w:val="22"/>
        </w:rPr>
      </w:pPr>
      <w:r w:rsidRPr="004C6BB5">
        <w:rPr>
          <w:rFonts w:cs="Arial"/>
          <w:b/>
          <w:i/>
          <w:sz w:val="22"/>
        </w:rPr>
        <w:t xml:space="preserve">IV. </w:t>
      </w:r>
      <w:r w:rsidRPr="004C6BB5">
        <w:rPr>
          <w:rFonts w:cs="Arial"/>
          <w:bCs/>
          <w:i/>
          <w:sz w:val="22"/>
        </w:rPr>
        <w:t>Los ayuntamientos y las dependencias, organismos, órganos y entidades de la administración municipal;</w:t>
      </w:r>
    </w:p>
    <w:p w14:paraId="62F6DA7F" w14:textId="77777777" w:rsidR="00B40A7A" w:rsidRDefault="00B40A7A" w:rsidP="00511260">
      <w:pPr>
        <w:rPr>
          <w:rFonts w:eastAsiaTheme="minorHAnsi" w:cs="Arial"/>
          <w:lang w:val="es-MX" w:eastAsia="en-US"/>
        </w:rPr>
      </w:pPr>
    </w:p>
    <w:p w14:paraId="5D8B4287" w14:textId="77777777" w:rsidR="00511260" w:rsidRPr="00322CE7" w:rsidRDefault="00511260" w:rsidP="00511260">
      <w:pPr>
        <w:rPr>
          <w:rFonts w:eastAsiaTheme="minorHAnsi" w:cs="Arial"/>
          <w:lang w:val="es-MX" w:eastAsia="en-US"/>
        </w:rPr>
      </w:pPr>
      <w:r w:rsidRPr="00B7320F">
        <w:rPr>
          <w:rFonts w:eastAsiaTheme="minorHAnsi" w:cs="Arial"/>
          <w:lang w:val="es-MX" w:eastAsia="en-US"/>
        </w:rPr>
        <w:t xml:space="preserve">Expuesto lo anterior, se procede al análisis de la totalidad de las constancias que integran el expediente electrónico del </w:t>
      </w:r>
      <w:r w:rsidRPr="00B7320F">
        <w:rPr>
          <w:rFonts w:eastAsiaTheme="minorHAnsi" w:cs="Arial"/>
          <w:b/>
          <w:lang w:val="es-MX" w:eastAsia="en-US"/>
        </w:rPr>
        <w:t>SAIMEX</w:t>
      </w:r>
      <w:r w:rsidRPr="00B7320F">
        <w:rPr>
          <w:rFonts w:eastAsiaTheme="minorHAnsi" w:cs="Arial"/>
          <w:lang w:val="es-MX" w:eastAsia="en-US"/>
        </w:rPr>
        <w:t xml:space="preserve">, a efecto de determinar si con la información remitida por </w:t>
      </w:r>
      <w:r w:rsidRPr="00B7320F">
        <w:rPr>
          <w:rFonts w:eastAsiaTheme="minorHAnsi" w:cs="Arial"/>
          <w:b/>
          <w:lang w:val="es-MX" w:eastAsia="en-US"/>
        </w:rPr>
        <w:t>El Sujeto Obligado</w:t>
      </w:r>
      <w:r w:rsidRPr="00B7320F">
        <w:rPr>
          <w:rFonts w:eastAsiaTheme="minorHAnsi" w:cs="Arial"/>
          <w:lang w:val="es-MX" w:eastAsia="en-US"/>
        </w:rPr>
        <w:t xml:space="preserve"> a través de su respuesta se colma lo requerido en dicha solicitud.</w:t>
      </w:r>
    </w:p>
    <w:p w14:paraId="42842C7B" w14:textId="77777777" w:rsidR="00511260" w:rsidRDefault="00511260" w:rsidP="00511260">
      <w:pPr>
        <w:rPr>
          <w:rFonts w:eastAsia="Palatino Linotype" w:cs="Palatino Linotype"/>
          <w:color w:val="000000"/>
          <w:szCs w:val="24"/>
        </w:rPr>
      </w:pPr>
    </w:p>
    <w:p w14:paraId="0404C747" w14:textId="2CE713ED" w:rsidR="004643B1" w:rsidRDefault="00511260" w:rsidP="005276F9">
      <w:r w:rsidRPr="00036045">
        <w:t xml:space="preserve">De lo anterior, </w:t>
      </w:r>
      <w:r>
        <w:t xml:space="preserve">resulta pertinente </w:t>
      </w:r>
      <w:r w:rsidR="004643B1">
        <w:t xml:space="preserve">traer a colación </w:t>
      </w:r>
      <w:r w:rsidR="00F34B81">
        <w:t xml:space="preserve">los artículos </w:t>
      </w:r>
      <w:r w:rsidR="005276F9">
        <w:t>32, 33</w:t>
      </w:r>
      <w:r w:rsidR="00B96CD0">
        <w:t xml:space="preserve">, 39 y 43 del Bando Municipal del Sujeto Obligado </w:t>
      </w:r>
      <w:r w:rsidR="00BA3232">
        <w:t>en los que se establece que la Dirección de Movilidad forma parte de la administración pública municipal, la cual forma parte también de las comisiones edilicias con las que cuenta el ayuntamiento teniendo un Comité Municipal de Movilidad</w:t>
      </w:r>
      <w:r w:rsidR="00FF1464">
        <w:t xml:space="preserve">, conforme lo siguiente; </w:t>
      </w:r>
    </w:p>
    <w:p w14:paraId="1F6E6BA4" w14:textId="77777777" w:rsidR="005276F9" w:rsidRDefault="005276F9" w:rsidP="005276F9"/>
    <w:p w14:paraId="622869C8" w14:textId="12EE76C0" w:rsidR="005276F9" w:rsidRPr="005276F9" w:rsidRDefault="005276F9" w:rsidP="005276F9">
      <w:pPr>
        <w:ind w:left="708"/>
        <w:jc w:val="center"/>
        <w:rPr>
          <w:b/>
          <w:i/>
          <w:sz w:val="22"/>
        </w:rPr>
      </w:pPr>
      <w:r w:rsidRPr="005276F9">
        <w:rPr>
          <w:b/>
          <w:i/>
          <w:sz w:val="22"/>
        </w:rPr>
        <w:t>De la Administración Pública Municipal</w:t>
      </w:r>
    </w:p>
    <w:p w14:paraId="27B126BA" w14:textId="436EF65F" w:rsidR="005276F9" w:rsidRPr="005276F9" w:rsidRDefault="005276F9" w:rsidP="005276F9">
      <w:pPr>
        <w:ind w:left="708"/>
        <w:rPr>
          <w:i/>
          <w:sz w:val="22"/>
        </w:rPr>
      </w:pPr>
      <w:r w:rsidRPr="005276F9">
        <w:rPr>
          <w:b/>
          <w:i/>
          <w:sz w:val="22"/>
        </w:rPr>
        <w:t>Artículo 32</w:t>
      </w:r>
      <w:r w:rsidRPr="005276F9">
        <w:rPr>
          <w:i/>
          <w:sz w:val="22"/>
        </w:rPr>
        <w:t>. La Administración Pública Municipal se dividirá para su eficiencia en centralizada, descentralizada, empresas paramunicipales y fideicomisos.</w:t>
      </w:r>
    </w:p>
    <w:p w14:paraId="512B4169" w14:textId="77777777" w:rsidR="005276F9" w:rsidRPr="005276F9" w:rsidRDefault="005276F9" w:rsidP="005276F9">
      <w:pPr>
        <w:ind w:left="708"/>
        <w:rPr>
          <w:i/>
          <w:sz w:val="22"/>
        </w:rPr>
      </w:pPr>
    </w:p>
    <w:p w14:paraId="09AF036C" w14:textId="5A6F4D2F" w:rsidR="005276F9" w:rsidRPr="005276F9" w:rsidRDefault="005276F9" w:rsidP="005276F9">
      <w:pPr>
        <w:ind w:left="708"/>
        <w:rPr>
          <w:i/>
          <w:sz w:val="22"/>
        </w:rPr>
      </w:pPr>
      <w:r w:rsidRPr="00B96CD0">
        <w:rPr>
          <w:b/>
          <w:i/>
          <w:sz w:val="22"/>
        </w:rPr>
        <w:t>Artículo 33</w:t>
      </w:r>
      <w:r w:rsidRPr="005276F9">
        <w:rPr>
          <w:i/>
          <w:sz w:val="22"/>
        </w:rPr>
        <w:t>. La Administración Pública Municipal Centralizada estará integrada por las siguientes dependencias administrativas:</w:t>
      </w:r>
    </w:p>
    <w:p w14:paraId="41F68A45" w14:textId="67DB4664" w:rsidR="005276F9" w:rsidRPr="005276F9" w:rsidRDefault="005276F9" w:rsidP="005276F9">
      <w:pPr>
        <w:ind w:left="708"/>
        <w:rPr>
          <w:i/>
          <w:sz w:val="22"/>
        </w:rPr>
      </w:pPr>
      <w:r w:rsidRPr="005276F9">
        <w:rPr>
          <w:i/>
          <w:sz w:val="22"/>
        </w:rPr>
        <w:t>…</w:t>
      </w:r>
    </w:p>
    <w:p w14:paraId="7AF0F48A" w14:textId="47FA8983" w:rsidR="005276F9" w:rsidRPr="005276F9" w:rsidRDefault="005276F9" w:rsidP="005276F9">
      <w:pPr>
        <w:ind w:left="708"/>
        <w:rPr>
          <w:i/>
          <w:sz w:val="22"/>
        </w:rPr>
      </w:pPr>
      <w:r w:rsidRPr="005276F9">
        <w:rPr>
          <w:b/>
          <w:i/>
          <w:sz w:val="22"/>
        </w:rPr>
        <w:t>XV. Dirección de Movilidad</w:t>
      </w:r>
    </w:p>
    <w:p w14:paraId="1A2303D4" w14:textId="77777777" w:rsidR="005276F9" w:rsidRPr="005276F9" w:rsidRDefault="005276F9" w:rsidP="005276F9">
      <w:pPr>
        <w:rPr>
          <w:i/>
          <w:sz w:val="22"/>
        </w:rPr>
      </w:pPr>
    </w:p>
    <w:p w14:paraId="708712DA" w14:textId="77777777" w:rsidR="005276F9" w:rsidRPr="005276F9" w:rsidRDefault="005276F9" w:rsidP="005276F9">
      <w:pPr>
        <w:ind w:left="708"/>
        <w:rPr>
          <w:i/>
          <w:sz w:val="22"/>
        </w:rPr>
      </w:pPr>
      <w:r w:rsidRPr="005276F9">
        <w:rPr>
          <w:b/>
          <w:i/>
          <w:sz w:val="22"/>
        </w:rPr>
        <w:t>Artículo 39</w:t>
      </w:r>
      <w:r w:rsidRPr="005276F9">
        <w:rPr>
          <w:i/>
          <w:sz w:val="22"/>
        </w:rPr>
        <w:t>. El Ayuntamiento, para el eficaz desempeño de sus funciones contará con las instancias, órganos y autoridades auxiliares, así como con Comisiones Edilicias, Consejos de Participación Ciudadana, Organizaciones Sociales representativas de comunidades y las demás organizaciones que determinen las leyes y reglamentos o los acuerdos del Ayuntamiento.</w:t>
      </w:r>
    </w:p>
    <w:p w14:paraId="3DF7B1DB" w14:textId="77777777" w:rsidR="005276F9" w:rsidRPr="005276F9" w:rsidRDefault="005276F9" w:rsidP="005276F9">
      <w:pPr>
        <w:ind w:left="708"/>
        <w:rPr>
          <w:i/>
          <w:sz w:val="22"/>
        </w:rPr>
      </w:pPr>
    </w:p>
    <w:p w14:paraId="4C569B54" w14:textId="08EB206C" w:rsidR="005276F9" w:rsidRPr="005276F9" w:rsidRDefault="005276F9" w:rsidP="005276F9">
      <w:pPr>
        <w:ind w:left="708"/>
        <w:rPr>
          <w:i/>
          <w:sz w:val="22"/>
        </w:rPr>
      </w:pPr>
      <w:r w:rsidRPr="005276F9">
        <w:rPr>
          <w:i/>
          <w:sz w:val="22"/>
        </w:rPr>
        <w:t xml:space="preserve"> Destacando que los órganos auxiliares con los que contará el Ayuntamiento, además de las Comisiones Edilicias, serán los siguientes:</w:t>
      </w:r>
    </w:p>
    <w:p w14:paraId="2144530B" w14:textId="1AE12B93" w:rsidR="005276F9" w:rsidRPr="005276F9" w:rsidRDefault="005276F9" w:rsidP="005276F9">
      <w:pPr>
        <w:ind w:left="708"/>
        <w:rPr>
          <w:b/>
          <w:i/>
          <w:sz w:val="22"/>
        </w:rPr>
      </w:pPr>
      <w:r w:rsidRPr="005276F9">
        <w:rPr>
          <w:i/>
          <w:sz w:val="22"/>
        </w:rPr>
        <w:t>….</w:t>
      </w:r>
    </w:p>
    <w:p w14:paraId="626EF600" w14:textId="0C64ADBB" w:rsidR="005276F9" w:rsidRPr="005276F9" w:rsidRDefault="005276F9" w:rsidP="005276F9">
      <w:pPr>
        <w:ind w:left="708"/>
        <w:rPr>
          <w:b/>
          <w:i/>
          <w:sz w:val="22"/>
        </w:rPr>
      </w:pPr>
      <w:r w:rsidRPr="005276F9">
        <w:rPr>
          <w:b/>
          <w:i/>
          <w:sz w:val="22"/>
        </w:rPr>
        <w:t>XVII. Comité Municipal de Movilidad</w:t>
      </w:r>
    </w:p>
    <w:p w14:paraId="3F478003" w14:textId="77777777" w:rsidR="005276F9" w:rsidRPr="005276F9" w:rsidRDefault="005276F9" w:rsidP="005276F9">
      <w:pPr>
        <w:ind w:left="708"/>
        <w:rPr>
          <w:i/>
          <w:sz w:val="22"/>
        </w:rPr>
      </w:pPr>
    </w:p>
    <w:p w14:paraId="3506D672" w14:textId="235958BE" w:rsidR="005276F9" w:rsidRPr="005276F9" w:rsidRDefault="005276F9" w:rsidP="005276F9">
      <w:pPr>
        <w:ind w:left="708"/>
        <w:rPr>
          <w:i/>
          <w:sz w:val="22"/>
        </w:rPr>
      </w:pPr>
      <w:r w:rsidRPr="005276F9">
        <w:rPr>
          <w:b/>
          <w:i/>
          <w:sz w:val="22"/>
        </w:rPr>
        <w:t>Artículo 43.</w:t>
      </w:r>
      <w:r w:rsidRPr="005276F9">
        <w:rPr>
          <w:i/>
          <w:sz w:val="22"/>
        </w:rPr>
        <w:t xml:space="preserve"> En cumplimiento a lo dispuesto por el artículo 115 fracción III de la Constitución Política de los Estados Unidos Mexicanos, en concordancia con el artículo 122 de la Constitución Política del Estado Libre y Soberano de 46 05 de febrero de 2024 México y el artículo 125 de la Ley Orgánica Municipal del Estado de México; son funciones y servicios públicos municipales, considerados en forma enunciativa y no limitativa, los siguientes:</w:t>
      </w:r>
    </w:p>
    <w:p w14:paraId="61EF4E72" w14:textId="2335D3A4" w:rsidR="005276F9" w:rsidRPr="005276F9" w:rsidRDefault="005276F9" w:rsidP="005276F9">
      <w:pPr>
        <w:ind w:left="708"/>
        <w:rPr>
          <w:i/>
          <w:sz w:val="22"/>
        </w:rPr>
      </w:pPr>
      <w:r w:rsidRPr="005276F9">
        <w:rPr>
          <w:i/>
          <w:sz w:val="22"/>
        </w:rPr>
        <w:t>…</w:t>
      </w:r>
    </w:p>
    <w:p w14:paraId="35AE2925" w14:textId="50723225" w:rsidR="005276F9" w:rsidRPr="005276F9" w:rsidRDefault="005276F9" w:rsidP="005276F9">
      <w:pPr>
        <w:ind w:left="708"/>
        <w:rPr>
          <w:b/>
          <w:i/>
          <w:sz w:val="22"/>
        </w:rPr>
      </w:pPr>
      <w:r w:rsidRPr="005276F9">
        <w:rPr>
          <w:b/>
          <w:i/>
          <w:sz w:val="22"/>
        </w:rPr>
        <w:t>XXIII. Movilidad</w:t>
      </w:r>
    </w:p>
    <w:p w14:paraId="346083BA" w14:textId="77777777" w:rsidR="00BA3232" w:rsidRDefault="00BA3232" w:rsidP="00BA3232"/>
    <w:p w14:paraId="4E9C0CA1" w14:textId="645D078F" w:rsidR="00D46485" w:rsidRPr="00D46485" w:rsidRDefault="00F34B81" w:rsidP="00B96CD0">
      <w:r>
        <w:t xml:space="preserve">De lo anterior conforme el </w:t>
      </w:r>
      <w:r w:rsidR="00FF1464">
        <w:t xml:space="preserve">Reglamento Interno de la Administración Pública Municipal de Tlalnepantla de Baz la Dirección de Movilidad </w:t>
      </w:r>
      <w:r w:rsidR="00D46485">
        <w:t xml:space="preserve">tiene como facultades y obligaciones atender las tareas relacionadas con el Sistema Integral de Movilidad, integrar propuestas en materia de movilidad, formular revisar estudios para mejorar los servicios de vialidad así como </w:t>
      </w:r>
      <w:r w:rsidR="00D46485" w:rsidRPr="00D46485">
        <w:rPr>
          <w:u w:val="single"/>
        </w:rPr>
        <w:t xml:space="preserve">formular proyectos para </w:t>
      </w:r>
      <w:r w:rsidR="00D46485" w:rsidRPr="00D46485">
        <w:rPr>
          <w:szCs w:val="24"/>
          <w:u w:val="single"/>
        </w:rPr>
        <w:t>el desarrollo de proyectos de infraestructura para mejorar la movilidad y equipamiento vial en el Municipio</w:t>
      </w:r>
      <w:r w:rsidR="00D46485">
        <w:rPr>
          <w:szCs w:val="24"/>
        </w:rPr>
        <w:t xml:space="preserve"> en los términos siguientes; </w:t>
      </w:r>
    </w:p>
    <w:p w14:paraId="7A69AC02" w14:textId="77777777" w:rsidR="00B96CD0" w:rsidRPr="00BA3232" w:rsidRDefault="00B96CD0" w:rsidP="00B96CD0">
      <w:pPr>
        <w:rPr>
          <w:b/>
        </w:rPr>
      </w:pPr>
    </w:p>
    <w:p w14:paraId="13FE3CC3" w14:textId="77777777" w:rsidR="00B96CD0" w:rsidRPr="00BA3232" w:rsidRDefault="00B96CD0" w:rsidP="00B96CD0">
      <w:pPr>
        <w:ind w:left="708"/>
        <w:jc w:val="center"/>
        <w:rPr>
          <w:b/>
          <w:i/>
          <w:sz w:val="22"/>
        </w:rPr>
      </w:pPr>
      <w:r w:rsidRPr="00BA3232">
        <w:rPr>
          <w:b/>
          <w:i/>
          <w:sz w:val="22"/>
        </w:rPr>
        <w:t xml:space="preserve">DE LA DIRECCIÓN DE MOVILIDAD </w:t>
      </w:r>
    </w:p>
    <w:p w14:paraId="5873A513" w14:textId="1B6DCD5F" w:rsidR="00B96CD0" w:rsidRPr="00B96CD0" w:rsidRDefault="00B96CD0" w:rsidP="00B96CD0">
      <w:pPr>
        <w:ind w:left="708"/>
        <w:rPr>
          <w:i/>
          <w:sz w:val="22"/>
        </w:rPr>
      </w:pPr>
      <w:r w:rsidRPr="00D67845">
        <w:rPr>
          <w:b/>
          <w:i/>
          <w:sz w:val="22"/>
        </w:rPr>
        <w:t>ARTÍCULO 446</w:t>
      </w:r>
      <w:r w:rsidRPr="00B96CD0">
        <w:rPr>
          <w:i/>
          <w:sz w:val="22"/>
        </w:rPr>
        <w:t>. Para el despacho de los asuntos de su competencia, la Dirección de Movilidad, tendrá las siguientes facultades y obligaciones:</w:t>
      </w:r>
    </w:p>
    <w:p w14:paraId="2A475073" w14:textId="77777777" w:rsidR="00B96CD0" w:rsidRDefault="00B96CD0" w:rsidP="00B96CD0">
      <w:pPr>
        <w:ind w:left="1416"/>
        <w:rPr>
          <w:i/>
          <w:sz w:val="22"/>
        </w:rPr>
      </w:pPr>
      <w:r w:rsidRPr="00B96CD0">
        <w:rPr>
          <w:i/>
          <w:sz w:val="22"/>
        </w:rPr>
        <w:t xml:space="preserve">I. Coordinar y dar seguimiento al cumplimiento de los programas relacionados con la movilidad y el transporte público y particular, que circulen en el territorio del Municipio, de conformidad con la normatividad aplicable; </w:t>
      </w:r>
    </w:p>
    <w:p w14:paraId="354F5BAC" w14:textId="77777777" w:rsidR="00B96CD0" w:rsidRPr="00B96CD0" w:rsidRDefault="00B96CD0" w:rsidP="00B96CD0">
      <w:pPr>
        <w:ind w:left="1416"/>
        <w:rPr>
          <w:i/>
          <w:sz w:val="22"/>
        </w:rPr>
      </w:pPr>
    </w:p>
    <w:p w14:paraId="72C28123" w14:textId="77777777" w:rsidR="00B96CD0" w:rsidRDefault="00B96CD0" w:rsidP="00B96CD0">
      <w:pPr>
        <w:ind w:left="708" w:firstLine="708"/>
        <w:rPr>
          <w:i/>
          <w:sz w:val="22"/>
        </w:rPr>
      </w:pPr>
      <w:r w:rsidRPr="00B96CD0">
        <w:rPr>
          <w:i/>
          <w:sz w:val="22"/>
        </w:rPr>
        <w:t xml:space="preserve">II. </w:t>
      </w:r>
      <w:r w:rsidRPr="00B96CD0">
        <w:rPr>
          <w:b/>
          <w:i/>
          <w:sz w:val="22"/>
        </w:rPr>
        <w:t>Atender las tareas relacionadas con el Sistema Integral de Movilidad</w:t>
      </w:r>
      <w:r w:rsidRPr="00B96CD0">
        <w:rPr>
          <w:i/>
          <w:sz w:val="22"/>
        </w:rPr>
        <w:t xml:space="preserve">; </w:t>
      </w:r>
    </w:p>
    <w:p w14:paraId="0E8CE357" w14:textId="77777777" w:rsidR="00B96CD0" w:rsidRPr="00B96CD0" w:rsidRDefault="00B96CD0" w:rsidP="00B96CD0">
      <w:pPr>
        <w:ind w:left="708" w:firstLine="708"/>
        <w:rPr>
          <w:i/>
          <w:sz w:val="22"/>
        </w:rPr>
      </w:pPr>
    </w:p>
    <w:p w14:paraId="5E6C88C1" w14:textId="77777777" w:rsidR="00B96CD0" w:rsidRDefault="00B96CD0" w:rsidP="00B96CD0">
      <w:pPr>
        <w:ind w:left="1416"/>
        <w:rPr>
          <w:i/>
          <w:sz w:val="22"/>
        </w:rPr>
      </w:pPr>
      <w:r w:rsidRPr="00B96CD0">
        <w:rPr>
          <w:i/>
          <w:sz w:val="22"/>
        </w:rPr>
        <w:t xml:space="preserve">III. </w:t>
      </w:r>
      <w:r w:rsidRPr="00B96CD0">
        <w:rPr>
          <w:b/>
          <w:i/>
          <w:sz w:val="22"/>
        </w:rPr>
        <w:t>Integrar propuestas específicas en materia de movilidad en el Municipio</w:t>
      </w:r>
      <w:r w:rsidRPr="00B96CD0">
        <w:rPr>
          <w:i/>
          <w:sz w:val="22"/>
        </w:rPr>
        <w:t xml:space="preserve">, para gestionar su inclusión en los asuntos de atención del Comité Estatal de Movilidad; </w:t>
      </w:r>
    </w:p>
    <w:p w14:paraId="4DFA2EE9" w14:textId="73699A3F" w:rsidR="00B96CD0" w:rsidRDefault="00B96CD0" w:rsidP="00B96CD0">
      <w:pPr>
        <w:ind w:left="1416"/>
        <w:rPr>
          <w:i/>
          <w:sz w:val="22"/>
        </w:rPr>
      </w:pPr>
    </w:p>
    <w:p w14:paraId="5816DF38" w14:textId="04C74CC0" w:rsidR="00B96CD0" w:rsidRPr="00B96CD0" w:rsidRDefault="00B96CD0" w:rsidP="00B96CD0">
      <w:pPr>
        <w:ind w:left="1416"/>
        <w:rPr>
          <w:i/>
          <w:sz w:val="22"/>
        </w:rPr>
      </w:pPr>
      <w:r w:rsidRPr="00B96CD0">
        <w:rPr>
          <w:i/>
          <w:sz w:val="22"/>
        </w:rPr>
        <w:t xml:space="preserve">IV. </w:t>
      </w:r>
      <w:r w:rsidRPr="00B96CD0">
        <w:rPr>
          <w:b/>
          <w:i/>
          <w:sz w:val="22"/>
        </w:rPr>
        <w:t>Formular y revisar los estudios necesarios para conservar y mejorar los servicios de vialidad, conforme con las necesidades y propuestas de la sociedad;</w:t>
      </w:r>
      <w:r w:rsidRPr="00B96CD0">
        <w:rPr>
          <w:i/>
          <w:sz w:val="22"/>
        </w:rPr>
        <w:t xml:space="preserve"> </w:t>
      </w:r>
    </w:p>
    <w:p w14:paraId="3F34742A" w14:textId="15E85EE3" w:rsidR="00B96CD0" w:rsidRPr="00B96CD0" w:rsidRDefault="00B96CD0" w:rsidP="00B96CD0">
      <w:pPr>
        <w:ind w:left="708" w:firstLine="708"/>
        <w:rPr>
          <w:i/>
          <w:sz w:val="22"/>
        </w:rPr>
      </w:pPr>
      <w:r>
        <w:rPr>
          <w:i/>
          <w:sz w:val="22"/>
        </w:rPr>
        <w:t>….</w:t>
      </w:r>
    </w:p>
    <w:p w14:paraId="2D30E2F2" w14:textId="77777777" w:rsidR="00B96CD0" w:rsidRPr="00B96CD0" w:rsidRDefault="00B96CD0" w:rsidP="00B96CD0">
      <w:pPr>
        <w:ind w:left="1416"/>
        <w:rPr>
          <w:i/>
          <w:sz w:val="22"/>
        </w:rPr>
      </w:pPr>
      <w:r w:rsidRPr="00B96CD0">
        <w:rPr>
          <w:i/>
          <w:sz w:val="22"/>
        </w:rPr>
        <w:t xml:space="preserve">XVI. </w:t>
      </w:r>
      <w:r w:rsidRPr="00B96CD0">
        <w:rPr>
          <w:b/>
          <w:i/>
          <w:sz w:val="22"/>
        </w:rPr>
        <w:t>Formular y revisar el desarrollo de proyectos de infraestructura para mejorar la movilidad y equipamiento vial en el Municipio</w:t>
      </w:r>
      <w:r w:rsidRPr="00B96CD0">
        <w:rPr>
          <w:i/>
          <w:sz w:val="22"/>
        </w:rPr>
        <w:t xml:space="preserve">; </w:t>
      </w:r>
    </w:p>
    <w:p w14:paraId="557A5DA6" w14:textId="77777777" w:rsidR="00B96CD0" w:rsidRDefault="00B96CD0" w:rsidP="00B96CD0">
      <w:pPr>
        <w:ind w:left="708"/>
      </w:pPr>
    </w:p>
    <w:p w14:paraId="6F2004A9" w14:textId="77777777" w:rsidR="00BA3232" w:rsidRDefault="00B96CD0" w:rsidP="00B96CD0">
      <w:pPr>
        <w:ind w:left="708"/>
        <w:rPr>
          <w:i/>
          <w:sz w:val="22"/>
        </w:rPr>
      </w:pPr>
      <w:r w:rsidRPr="00BA3232">
        <w:rPr>
          <w:b/>
          <w:i/>
          <w:sz w:val="22"/>
        </w:rPr>
        <w:t>ARTÍCULO 447</w:t>
      </w:r>
      <w:r w:rsidRPr="00B96CD0">
        <w:rPr>
          <w:i/>
          <w:sz w:val="22"/>
        </w:rPr>
        <w:t xml:space="preserve">. La Dirección de Movilidad, contará con un o una titular que será responsable de la conducción, supervisión y ejecución de las atribuciones a que se refiere el artículo que antecede y para su auxilio, tendrá a su cargo las siguientes unidades administrativas: </w:t>
      </w:r>
    </w:p>
    <w:p w14:paraId="0331DBAE" w14:textId="696D608B" w:rsidR="00BA3232" w:rsidRPr="00BA3232" w:rsidRDefault="00BA3232" w:rsidP="00BA3232">
      <w:pPr>
        <w:pStyle w:val="Prrafodelista"/>
        <w:numPr>
          <w:ilvl w:val="0"/>
          <w:numId w:val="22"/>
        </w:numPr>
        <w:rPr>
          <w:i/>
          <w:sz w:val="22"/>
        </w:rPr>
      </w:pPr>
      <w:r>
        <w:rPr>
          <w:i/>
          <w:sz w:val="22"/>
        </w:rPr>
        <w:t xml:space="preserve">Subdirección de Transporte; </w:t>
      </w:r>
    </w:p>
    <w:p w14:paraId="35D6B76F" w14:textId="486173EF" w:rsidR="00BA3232" w:rsidRDefault="00B96CD0" w:rsidP="00BA3232">
      <w:pPr>
        <w:pStyle w:val="Prrafodelista"/>
        <w:numPr>
          <w:ilvl w:val="0"/>
          <w:numId w:val="22"/>
        </w:numPr>
        <w:rPr>
          <w:i/>
          <w:sz w:val="22"/>
        </w:rPr>
      </w:pPr>
      <w:r w:rsidRPr="00BA3232">
        <w:rPr>
          <w:i/>
          <w:sz w:val="22"/>
        </w:rPr>
        <w:t xml:space="preserve"> </w:t>
      </w:r>
      <w:r w:rsidR="00BA3232">
        <w:rPr>
          <w:i/>
          <w:sz w:val="22"/>
        </w:rPr>
        <w:t xml:space="preserve">Subdirección de Movilidad; y </w:t>
      </w:r>
    </w:p>
    <w:p w14:paraId="526784B7" w14:textId="0947E3E9" w:rsidR="00B96CD0" w:rsidRPr="00BA3232" w:rsidRDefault="00B96CD0" w:rsidP="00BA3232">
      <w:pPr>
        <w:pStyle w:val="Prrafodelista"/>
        <w:numPr>
          <w:ilvl w:val="0"/>
          <w:numId w:val="22"/>
        </w:numPr>
        <w:rPr>
          <w:i/>
          <w:sz w:val="22"/>
        </w:rPr>
      </w:pPr>
      <w:r w:rsidRPr="00BA3232">
        <w:rPr>
          <w:i/>
          <w:sz w:val="22"/>
        </w:rPr>
        <w:t xml:space="preserve"> Enlace Administrativo.</w:t>
      </w:r>
    </w:p>
    <w:p w14:paraId="67909DBF" w14:textId="77777777" w:rsidR="00B96CD0" w:rsidRPr="00B96CD0" w:rsidRDefault="00B96CD0" w:rsidP="00B96CD0">
      <w:pPr>
        <w:rPr>
          <w:b/>
          <w:i/>
          <w:sz w:val="22"/>
        </w:rPr>
      </w:pPr>
    </w:p>
    <w:p w14:paraId="6A5DD2F5" w14:textId="77777777" w:rsidR="00B84D40" w:rsidRDefault="00D46485" w:rsidP="00422D32">
      <w:pPr>
        <w:contextualSpacing/>
        <w:rPr>
          <w:sz w:val="22"/>
        </w:rPr>
      </w:pPr>
      <w:r>
        <w:lastRenderedPageBreak/>
        <w:t xml:space="preserve">En este sentido, conforme la </w:t>
      </w:r>
      <w:r w:rsidR="00BA3232">
        <w:t xml:space="preserve">Ley orgánica </w:t>
      </w:r>
      <w:r>
        <w:t xml:space="preserve">Municipal del Estado de México conforme los </w:t>
      </w:r>
      <w:r w:rsidRPr="00D67845">
        <w:rPr>
          <w:szCs w:val="24"/>
        </w:rPr>
        <w:t>artículos 64, 65, 66, 69, 70 y 71 el ayuntamiento podrá auxiliarse de comisiones</w:t>
      </w:r>
      <w:r w:rsidR="00422D32" w:rsidRPr="00D67845">
        <w:rPr>
          <w:szCs w:val="24"/>
        </w:rPr>
        <w:t xml:space="preserve">, sus integrantes serán nombrados  a más tardar en la tercera sesión ordinaria que celebren al inicio de su gestión, las comisiones del ayuntamiento serán responsables de </w:t>
      </w:r>
      <w:r w:rsidR="00422D32" w:rsidRPr="00D67845">
        <w:rPr>
          <w:b/>
          <w:szCs w:val="24"/>
        </w:rPr>
        <w:t>estudiar, examinar y proponer a éste los acuerdos, acciones o normas tendientes a mejorar la administración pública municipal</w:t>
      </w:r>
      <w:r w:rsidR="00422D32" w:rsidRPr="00D67845">
        <w:rPr>
          <w:szCs w:val="24"/>
        </w:rPr>
        <w:t xml:space="preserve">, así mismo las comisiones, </w:t>
      </w:r>
      <w:r w:rsidR="00422D32" w:rsidRPr="00D67845">
        <w:rPr>
          <w:b/>
          <w:szCs w:val="24"/>
        </w:rPr>
        <w:t>deberán entregar al ayuntamiento</w:t>
      </w:r>
      <w:r w:rsidR="00422D32" w:rsidRPr="00D67845">
        <w:rPr>
          <w:szCs w:val="24"/>
        </w:rPr>
        <w:t xml:space="preserve">, en sesión ordinaria, </w:t>
      </w:r>
      <w:r w:rsidR="00422D32" w:rsidRPr="00D67845">
        <w:rPr>
          <w:b/>
          <w:szCs w:val="24"/>
        </w:rPr>
        <w:t>un informe trimestral que</w:t>
      </w:r>
      <w:r w:rsidR="00422D32" w:rsidRPr="00D67845">
        <w:rPr>
          <w:szCs w:val="24"/>
        </w:rPr>
        <w:t xml:space="preserve"> permita conocer y transparentar el desarrollo de sus actividades, trabajo y gestiones realizadas</w:t>
      </w:r>
      <w:r w:rsidR="00B84D40">
        <w:rPr>
          <w:sz w:val="22"/>
        </w:rPr>
        <w:t>.</w:t>
      </w:r>
    </w:p>
    <w:p w14:paraId="4F98473D" w14:textId="77777777" w:rsidR="00B84D40" w:rsidRPr="00D67845" w:rsidRDefault="00B84D40" w:rsidP="00422D32">
      <w:pPr>
        <w:contextualSpacing/>
        <w:rPr>
          <w:szCs w:val="24"/>
        </w:rPr>
      </w:pPr>
    </w:p>
    <w:p w14:paraId="42DE5038" w14:textId="56F5F911" w:rsidR="00422D32" w:rsidRPr="00D67845" w:rsidRDefault="00B84D40" w:rsidP="00422D32">
      <w:pPr>
        <w:contextualSpacing/>
        <w:rPr>
          <w:szCs w:val="24"/>
        </w:rPr>
      </w:pPr>
      <w:r w:rsidRPr="00D67845">
        <w:rPr>
          <w:szCs w:val="24"/>
        </w:rPr>
        <w:t xml:space="preserve">Entonces las comisiones las determinará el ayuntamiento de acuerdo a las necesidades del municipio y podrán ser permanentes </w:t>
      </w:r>
      <w:r w:rsidRPr="00D67845">
        <w:rPr>
          <w:szCs w:val="24"/>
          <w:u w:val="single"/>
        </w:rPr>
        <w:t>o transitorias,</w:t>
      </w:r>
      <w:r w:rsidRPr="00D67845">
        <w:rPr>
          <w:szCs w:val="24"/>
        </w:rPr>
        <w:t xml:space="preserve"> </w:t>
      </w:r>
      <w:r w:rsidR="00422D32" w:rsidRPr="00D67845">
        <w:rPr>
          <w:szCs w:val="24"/>
        </w:rPr>
        <w:t xml:space="preserve">conforme lo siguiente; </w:t>
      </w:r>
    </w:p>
    <w:p w14:paraId="796BA44B" w14:textId="77777777" w:rsidR="00422D32" w:rsidRDefault="00422D32" w:rsidP="00422D32">
      <w:pPr>
        <w:rPr>
          <w:i/>
          <w:sz w:val="22"/>
        </w:rPr>
      </w:pPr>
    </w:p>
    <w:p w14:paraId="3F869954" w14:textId="77777777" w:rsidR="00BA3232" w:rsidRPr="00422D32" w:rsidRDefault="00BA3232" w:rsidP="00BA3232">
      <w:pPr>
        <w:ind w:left="708"/>
        <w:jc w:val="center"/>
        <w:rPr>
          <w:b/>
          <w:i/>
          <w:sz w:val="22"/>
        </w:rPr>
      </w:pPr>
      <w:r w:rsidRPr="00422D32">
        <w:rPr>
          <w:b/>
          <w:i/>
          <w:sz w:val="22"/>
        </w:rPr>
        <w:t>CAPITULO QUINTO De las Comisiones, Consejos de Participación Ciudadana y Organizaciones Sociales</w:t>
      </w:r>
    </w:p>
    <w:p w14:paraId="29B50E0C" w14:textId="77777777" w:rsidR="00BA3232" w:rsidRPr="00BA3232" w:rsidRDefault="00BA3232" w:rsidP="00BA3232">
      <w:pPr>
        <w:ind w:left="708"/>
        <w:rPr>
          <w:i/>
          <w:sz w:val="22"/>
        </w:rPr>
      </w:pPr>
      <w:r w:rsidRPr="00D46485">
        <w:rPr>
          <w:b/>
          <w:i/>
          <w:sz w:val="22"/>
        </w:rPr>
        <w:t>Artículo 64.-</w:t>
      </w:r>
      <w:r w:rsidRPr="00BA3232">
        <w:rPr>
          <w:i/>
          <w:sz w:val="22"/>
        </w:rPr>
        <w:t xml:space="preserve"> Los ayuntamientos, para el eficaz desempeño de sus funciones públicas, podrán auxiliarse por: </w:t>
      </w:r>
    </w:p>
    <w:p w14:paraId="21E8B6BB" w14:textId="77777777" w:rsidR="00BA3232" w:rsidRPr="00BA3232" w:rsidRDefault="00BA3232" w:rsidP="00BA3232">
      <w:pPr>
        <w:pStyle w:val="Prrafodelista"/>
        <w:numPr>
          <w:ilvl w:val="0"/>
          <w:numId w:val="23"/>
        </w:numPr>
        <w:rPr>
          <w:b/>
          <w:i/>
          <w:sz w:val="22"/>
        </w:rPr>
      </w:pPr>
      <w:r w:rsidRPr="00BA3232">
        <w:rPr>
          <w:b/>
          <w:i/>
          <w:sz w:val="22"/>
        </w:rPr>
        <w:t>Comisiones del ayuntamiento</w:t>
      </w:r>
    </w:p>
    <w:p w14:paraId="15200D4D" w14:textId="77777777" w:rsidR="00BA3232" w:rsidRPr="00FF1464" w:rsidRDefault="00BA3232" w:rsidP="00BA3232">
      <w:pPr>
        <w:ind w:left="708"/>
        <w:rPr>
          <w:i/>
          <w:sz w:val="22"/>
        </w:rPr>
      </w:pPr>
    </w:p>
    <w:p w14:paraId="6E74904E" w14:textId="629F0E73" w:rsidR="00FF1464" w:rsidRDefault="00FF1464" w:rsidP="00D67845">
      <w:pPr>
        <w:ind w:left="708"/>
        <w:rPr>
          <w:i/>
          <w:sz w:val="22"/>
        </w:rPr>
      </w:pPr>
      <w:r w:rsidRPr="00FF1464">
        <w:rPr>
          <w:b/>
          <w:i/>
          <w:sz w:val="22"/>
        </w:rPr>
        <w:t>Artículo 65</w:t>
      </w:r>
      <w:r w:rsidRPr="00FF1464">
        <w:rPr>
          <w:i/>
          <w:sz w:val="22"/>
        </w:rPr>
        <w:t xml:space="preserve">.- Los integrantes de las comisiones del ayuntamiento serán nombrados por éste, de entre sus miembros, a propuesta del presidente municipal, a más tardar en la tercera sesión ordinaria que celebren al inicio de su gestión. </w:t>
      </w:r>
    </w:p>
    <w:p w14:paraId="08D0EE8F" w14:textId="77777777" w:rsidR="00FF1464" w:rsidRDefault="00FF1464" w:rsidP="00BA3232">
      <w:pPr>
        <w:ind w:left="708"/>
        <w:rPr>
          <w:i/>
          <w:sz w:val="22"/>
        </w:rPr>
      </w:pPr>
      <w:r w:rsidRPr="00FF1464">
        <w:rPr>
          <w:i/>
          <w:sz w:val="22"/>
        </w:rPr>
        <w:t xml:space="preserve">Las comisiones se conformarán de forma plural, paritaria y proporcional, tomando en cuenta el número de sus integrantes y la importancia de los ramos encomendados a las mismas; en su integración se deberá tomar en consideración el conocimiento, profesión, vocación, experiencia de las personas integrantes del ayuntamiento, observando los principios de igualdad, equidad y </w:t>
      </w:r>
      <w:r w:rsidRPr="00FF1464">
        <w:rPr>
          <w:i/>
          <w:sz w:val="22"/>
        </w:rPr>
        <w:lastRenderedPageBreak/>
        <w:t xml:space="preserve">garantizando la paridad de género en la designación de presidencias de las comisiones del ayuntamiento. </w:t>
      </w:r>
    </w:p>
    <w:p w14:paraId="46497556" w14:textId="77777777" w:rsidR="00FF1464" w:rsidRDefault="00FF1464" w:rsidP="00BA3232">
      <w:pPr>
        <w:ind w:left="708"/>
        <w:rPr>
          <w:i/>
          <w:sz w:val="22"/>
        </w:rPr>
      </w:pPr>
    </w:p>
    <w:p w14:paraId="6323C5EE" w14:textId="525C9EEB" w:rsidR="00FF1464" w:rsidRPr="00FF1464" w:rsidRDefault="00FF1464" w:rsidP="00BA3232">
      <w:pPr>
        <w:ind w:left="708"/>
        <w:rPr>
          <w:b/>
          <w:i/>
          <w:sz w:val="22"/>
        </w:rPr>
      </w:pPr>
      <w:r w:rsidRPr="00FF1464">
        <w:rPr>
          <w:i/>
          <w:sz w:val="22"/>
        </w:rPr>
        <w:t>Una vez nombrados los integrantes de las comisiones, los presidentes de cada una tendrán treinta días para convocar a sesión a efecto de llevar a cabo su instalación e inicio de los trabajos</w:t>
      </w:r>
      <w:r>
        <w:rPr>
          <w:i/>
          <w:sz w:val="22"/>
        </w:rPr>
        <w:t>.</w:t>
      </w:r>
    </w:p>
    <w:p w14:paraId="6E6D2FBF" w14:textId="77777777" w:rsidR="00FF1464" w:rsidRDefault="00FF1464" w:rsidP="00BA3232">
      <w:pPr>
        <w:ind w:left="708"/>
        <w:rPr>
          <w:b/>
          <w:i/>
          <w:sz w:val="22"/>
        </w:rPr>
      </w:pPr>
    </w:p>
    <w:p w14:paraId="09AAF76D" w14:textId="77777777" w:rsidR="00BA3232" w:rsidRDefault="00BA3232" w:rsidP="00BA3232">
      <w:pPr>
        <w:ind w:left="708"/>
        <w:rPr>
          <w:i/>
          <w:sz w:val="22"/>
        </w:rPr>
      </w:pPr>
      <w:r w:rsidRPr="00BA3232">
        <w:rPr>
          <w:b/>
          <w:i/>
          <w:sz w:val="22"/>
        </w:rPr>
        <w:t>Artículo 66</w:t>
      </w:r>
      <w:r w:rsidRPr="00BA3232">
        <w:rPr>
          <w:i/>
          <w:sz w:val="22"/>
        </w:rPr>
        <w:t xml:space="preserve">. </w:t>
      </w:r>
      <w:r w:rsidRPr="00FF1464">
        <w:rPr>
          <w:b/>
          <w:i/>
          <w:sz w:val="22"/>
        </w:rPr>
        <w:t>Las comisiones del ayuntamiento serán responsables de estudiar, examinar y proponer a éste los acuerdos, acciones o normas tendientes a mejorar la administración pública municipal</w:t>
      </w:r>
      <w:r w:rsidRPr="00BA3232">
        <w:rPr>
          <w:i/>
          <w:sz w:val="22"/>
        </w:rPr>
        <w:t xml:space="preserve">, la solución de los litigios laborales en su contra, así como de vigilar e informar sobre los asuntos a su cargo y sobre el cumplimiento de las disposiciones y acuerdos que dicte el cabildo. </w:t>
      </w:r>
    </w:p>
    <w:p w14:paraId="5D6354BE" w14:textId="77777777" w:rsidR="00BA3232" w:rsidRDefault="00BA3232" w:rsidP="00BA3232">
      <w:pPr>
        <w:ind w:left="708"/>
        <w:rPr>
          <w:i/>
          <w:sz w:val="22"/>
        </w:rPr>
      </w:pPr>
    </w:p>
    <w:p w14:paraId="68943872" w14:textId="77777777" w:rsidR="00BA3232" w:rsidRDefault="00BA3232" w:rsidP="00BA3232">
      <w:pPr>
        <w:ind w:left="708"/>
        <w:rPr>
          <w:i/>
          <w:sz w:val="22"/>
        </w:rPr>
      </w:pPr>
      <w:r w:rsidRPr="00BA3232">
        <w:rPr>
          <w:b/>
          <w:i/>
          <w:sz w:val="22"/>
          <w:u w:val="single"/>
        </w:rPr>
        <w:t>Las comisiones, deberán entregar al ayuntamiento, en sesión ordinaria, un informe trimestral que permita conocer y transparentar el desarrollo de sus actividades, trabajo y gestiones realizadas</w:t>
      </w:r>
      <w:r w:rsidRPr="00BA3232">
        <w:rPr>
          <w:i/>
          <w:sz w:val="22"/>
        </w:rPr>
        <w:t xml:space="preserve">. </w:t>
      </w:r>
    </w:p>
    <w:p w14:paraId="29067812" w14:textId="77777777" w:rsidR="00BA3232" w:rsidRDefault="00BA3232" w:rsidP="00511260">
      <w:pPr>
        <w:contextualSpacing/>
      </w:pPr>
    </w:p>
    <w:p w14:paraId="0B994873" w14:textId="14A0B792" w:rsidR="00BA3232" w:rsidRPr="00BA3232" w:rsidRDefault="00BA3232" w:rsidP="00D46485">
      <w:pPr>
        <w:ind w:left="708"/>
        <w:contextualSpacing/>
        <w:rPr>
          <w:i/>
          <w:sz w:val="22"/>
        </w:rPr>
      </w:pPr>
      <w:r w:rsidRPr="00BA3232">
        <w:rPr>
          <w:b/>
          <w:i/>
          <w:sz w:val="22"/>
        </w:rPr>
        <w:t>Artículo 69.-</w:t>
      </w:r>
      <w:r w:rsidRPr="00BA3232">
        <w:rPr>
          <w:i/>
          <w:sz w:val="22"/>
        </w:rPr>
        <w:t xml:space="preserve"> Las comisiones las determinará el ayuntamiento de acuerdo a las necesidades del municipio y podrán s</w:t>
      </w:r>
      <w:r w:rsidR="00D46485">
        <w:rPr>
          <w:i/>
          <w:sz w:val="22"/>
        </w:rPr>
        <w:t xml:space="preserve">er permanentes o transitorias. </w:t>
      </w:r>
    </w:p>
    <w:p w14:paraId="127D2CB0" w14:textId="77777777" w:rsidR="00BA3232" w:rsidRPr="00BA3232" w:rsidRDefault="00BA3232" w:rsidP="00BA3232">
      <w:pPr>
        <w:ind w:left="708"/>
        <w:contextualSpacing/>
        <w:rPr>
          <w:i/>
          <w:sz w:val="22"/>
        </w:rPr>
      </w:pPr>
      <w:r w:rsidRPr="00BA3232">
        <w:rPr>
          <w:i/>
          <w:sz w:val="22"/>
        </w:rPr>
        <w:t xml:space="preserve">I. Serán permanentes las comisiones: </w:t>
      </w:r>
    </w:p>
    <w:p w14:paraId="056018A4" w14:textId="77777777" w:rsidR="00BA3232" w:rsidRPr="00BA3232" w:rsidRDefault="00BA3232" w:rsidP="00BA3232">
      <w:pPr>
        <w:ind w:left="708"/>
        <w:contextualSpacing/>
        <w:rPr>
          <w:i/>
          <w:sz w:val="22"/>
        </w:rPr>
      </w:pPr>
      <w:r w:rsidRPr="00BA3232">
        <w:rPr>
          <w:i/>
          <w:sz w:val="22"/>
        </w:rPr>
        <w:t xml:space="preserve">a). De gobernación, cuyo responsable será el presidente municipal; </w:t>
      </w:r>
    </w:p>
    <w:p w14:paraId="78390BCC" w14:textId="529E11DC" w:rsidR="00BA3232" w:rsidRPr="00BA3232" w:rsidRDefault="00BA3232" w:rsidP="00BA3232">
      <w:pPr>
        <w:ind w:left="708"/>
        <w:contextualSpacing/>
        <w:rPr>
          <w:i/>
          <w:sz w:val="22"/>
        </w:rPr>
      </w:pPr>
      <w:r w:rsidRPr="00BA3232">
        <w:rPr>
          <w:i/>
          <w:sz w:val="22"/>
        </w:rPr>
        <w:t xml:space="preserve">b). De planeación para el desarrollo, que estará a cargo del presidente municipal; c). De hacienda, que presidirá el síndico o el primer síndico, cuando haya </w:t>
      </w:r>
      <w:proofErr w:type="spellStart"/>
      <w:proofErr w:type="gramStart"/>
      <w:r w:rsidRPr="00BA3232">
        <w:rPr>
          <w:i/>
          <w:sz w:val="22"/>
        </w:rPr>
        <w:t>mas</w:t>
      </w:r>
      <w:proofErr w:type="spellEnd"/>
      <w:proofErr w:type="gramEnd"/>
      <w:r w:rsidRPr="00BA3232">
        <w:rPr>
          <w:i/>
          <w:sz w:val="22"/>
        </w:rPr>
        <w:t xml:space="preserve"> de uno;</w:t>
      </w:r>
    </w:p>
    <w:p w14:paraId="73360FEB" w14:textId="77777777" w:rsidR="00BA3232" w:rsidRPr="00BA3232" w:rsidRDefault="00BA3232" w:rsidP="00BA3232">
      <w:pPr>
        <w:ind w:left="708"/>
        <w:contextualSpacing/>
        <w:rPr>
          <w:i/>
          <w:sz w:val="22"/>
        </w:rPr>
      </w:pPr>
    </w:p>
    <w:p w14:paraId="7C0D97FD" w14:textId="1F7E0699" w:rsidR="00BA3232" w:rsidRPr="00BA3232" w:rsidRDefault="00BA3232" w:rsidP="00BA3232">
      <w:pPr>
        <w:ind w:left="708"/>
        <w:contextualSpacing/>
        <w:rPr>
          <w:i/>
          <w:sz w:val="22"/>
        </w:rPr>
      </w:pPr>
      <w:r w:rsidRPr="00BA3232">
        <w:rPr>
          <w:b/>
          <w:i/>
          <w:sz w:val="22"/>
        </w:rPr>
        <w:t>II. Serán comisiones transitorias</w:t>
      </w:r>
      <w:r w:rsidRPr="00BA3232">
        <w:rPr>
          <w:i/>
          <w:sz w:val="22"/>
        </w:rPr>
        <w:t xml:space="preserve">, </w:t>
      </w:r>
      <w:r w:rsidRPr="00D67845">
        <w:rPr>
          <w:i/>
          <w:sz w:val="22"/>
          <w:u w:val="single"/>
        </w:rPr>
        <w:t>aquéllas que se designen para la atención de problemas especiales o situaciones emergentes o eventuales de diferente índole y quedarán integradas por los miembros que determine el ayuntamiento, coordinadas por el responsable del área competente</w:t>
      </w:r>
      <w:r w:rsidRPr="00BA3232">
        <w:rPr>
          <w:i/>
          <w:sz w:val="22"/>
        </w:rPr>
        <w:t>.</w:t>
      </w:r>
    </w:p>
    <w:p w14:paraId="6BF29B3A" w14:textId="77777777" w:rsidR="00BA3232" w:rsidRDefault="00BA3232" w:rsidP="00BA3232">
      <w:pPr>
        <w:contextualSpacing/>
      </w:pPr>
    </w:p>
    <w:p w14:paraId="6D0C20BD" w14:textId="77777777" w:rsidR="00BA3232" w:rsidRPr="00BA3232" w:rsidRDefault="00BA3232" w:rsidP="00BA3232">
      <w:pPr>
        <w:ind w:left="708"/>
        <w:contextualSpacing/>
        <w:rPr>
          <w:i/>
          <w:sz w:val="22"/>
        </w:rPr>
      </w:pPr>
      <w:r w:rsidRPr="00BA3232">
        <w:rPr>
          <w:b/>
          <w:i/>
          <w:sz w:val="22"/>
        </w:rPr>
        <w:t>Artículo 70.-</w:t>
      </w:r>
      <w:r w:rsidRPr="00BA3232">
        <w:rPr>
          <w:i/>
          <w:sz w:val="22"/>
        </w:rPr>
        <w:t xml:space="preserve"> Las comisiones del ayuntamiento coadyuvarán en la elaboración del Plan de Desarrollo Municipal y en su evaluación.</w:t>
      </w:r>
    </w:p>
    <w:p w14:paraId="0CF22080" w14:textId="77777777" w:rsidR="00BA3232" w:rsidRPr="00BA3232" w:rsidRDefault="00BA3232" w:rsidP="00BA3232">
      <w:pPr>
        <w:ind w:left="708"/>
        <w:contextualSpacing/>
        <w:rPr>
          <w:i/>
          <w:sz w:val="22"/>
        </w:rPr>
      </w:pPr>
    </w:p>
    <w:p w14:paraId="142681F6" w14:textId="0550EF1F" w:rsidR="00BA3232" w:rsidRPr="00BA3232" w:rsidRDefault="00BA3232" w:rsidP="00BA3232">
      <w:pPr>
        <w:ind w:left="708"/>
        <w:contextualSpacing/>
        <w:rPr>
          <w:i/>
          <w:sz w:val="22"/>
        </w:rPr>
      </w:pPr>
      <w:r w:rsidRPr="00BA3232">
        <w:rPr>
          <w:i/>
          <w:sz w:val="22"/>
        </w:rPr>
        <w:t xml:space="preserve"> </w:t>
      </w:r>
      <w:r w:rsidRPr="00BA3232">
        <w:rPr>
          <w:b/>
          <w:i/>
          <w:sz w:val="22"/>
        </w:rPr>
        <w:t>Artículo 71.-</w:t>
      </w:r>
      <w:r w:rsidRPr="00BA3232">
        <w:rPr>
          <w:i/>
          <w:sz w:val="22"/>
        </w:rPr>
        <w:t xml:space="preserve"> Las comisiones del ayuntamiento carecen de facultades ejecutivas. Los asuntos y acuerdos que no estén señalados expresamente para una comisión quedarán bajo la responsabilidad del presidente municipal.</w:t>
      </w:r>
    </w:p>
    <w:p w14:paraId="3FD596BB" w14:textId="77777777" w:rsidR="00BA3232" w:rsidRDefault="00BA3232" w:rsidP="00BA3232">
      <w:pPr>
        <w:ind w:left="708"/>
        <w:contextualSpacing/>
      </w:pPr>
    </w:p>
    <w:p w14:paraId="42B70EE0" w14:textId="7975DD3D" w:rsidR="00D67845" w:rsidRDefault="00511260" w:rsidP="00B84D40">
      <w:pPr>
        <w:rPr>
          <w:szCs w:val="24"/>
        </w:rPr>
      </w:pPr>
      <w:r w:rsidRPr="00B84D40">
        <w:rPr>
          <w:rFonts w:eastAsia="MS Mincho" w:cs="Arial"/>
        </w:rPr>
        <w:t>Es necesario precisar que</w:t>
      </w:r>
      <w:r w:rsidR="00D67845">
        <w:rPr>
          <w:rFonts w:eastAsia="MS Mincho" w:cs="Arial"/>
        </w:rPr>
        <w:t xml:space="preserve"> el Comité Municipal de Movilidad forma parte de las comisiones edilicias transitorias </w:t>
      </w:r>
      <w:r w:rsidR="00D67845">
        <w:rPr>
          <w:szCs w:val="24"/>
        </w:rPr>
        <w:t xml:space="preserve">designada </w:t>
      </w:r>
      <w:r w:rsidR="00D67845" w:rsidRPr="00D67845">
        <w:rPr>
          <w:szCs w:val="24"/>
        </w:rPr>
        <w:t>para la ate</w:t>
      </w:r>
      <w:r w:rsidR="00D67845">
        <w:rPr>
          <w:szCs w:val="24"/>
        </w:rPr>
        <w:t xml:space="preserve">nción de problemas especiales, </w:t>
      </w:r>
      <w:r w:rsidR="00D67845" w:rsidRPr="00D67845">
        <w:rPr>
          <w:szCs w:val="24"/>
        </w:rPr>
        <w:t>situaci</w:t>
      </w:r>
      <w:r w:rsidR="00D67845">
        <w:rPr>
          <w:szCs w:val="24"/>
        </w:rPr>
        <w:t>ones emergentes o eventuales de</w:t>
      </w:r>
      <w:r w:rsidR="00D67845" w:rsidRPr="00D67845">
        <w:rPr>
          <w:szCs w:val="24"/>
        </w:rPr>
        <w:t xml:space="preserve"> índole</w:t>
      </w:r>
      <w:r w:rsidR="00D67845">
        <w:rPr>
          <w:szCs w:val="24"/>
        </w:rPr>
        <w:t xml:space="preserve"> derivada de la movilidad y queda integrada</w:t>
      </w:r>
      <w:r w:rsidR="00D67845" w:rsidRPr="00D67845">
        <w:rPr>
          <w:szCs w:val="24"/>
        </w:rPr>
        <w:t xml:space="preserve"> por los miembros que determin</w:t>
      </w:r>
      <w:r w:rsidR="00D67845">
        <w:rPr>
          <w:szCs w:val="24"/>
        </w:rPr>
        <w:t>a el ayuntamiento, coordinadas a su vez por el titular de la Dirección de Movilidad, sin pasar por desapercibo por este Instituto que las</w:t>
      </w:r>
      <w:r w:rsidR="00D67845" w:rsidRPr="00D67845">
        <w:rPr>
          <w:szCs w:val="24"/>
        </w:rPr>
        <w:t xml:space="preserve"> comisiones, </w:t>
      </w:r>
      <w:r w:rsidR="00D67845" w:rsidRPr="00D67845">
        <w:rPr>
          <w:szCs w:val="24"/>
          <w:u w:val="single"/>
        </w:rPr>
        <w:t>deberán entregar al ayuntamiento, en sesión ordinaria, un informe trimestral que permita conocer y transparentar el</w:t>
      </w:r>
      <w:r w:rsidR="00D67845" w:rsidRPr="00D67845">
        <w:rPr>
          <w:szCs w:val="24"/>
        </w:rPr>
        <w:t xml:space="preserve"> </w:t>
      </w:r>
      <w:r w:rsidR="00D67845" w:rsidRPr="00D67845">
        <w:rPr>
          <w:szCs w:val="24"/>
          <w:u w:val="single"/>
        </w:rPr>
        <w:t>desarrollo de sus actividades, trabajo y gestiones realizada</w:t>
      </w:r>
      <w:r w:rsidR="00D67845" w:rsidRPr="00D67845">
        <w:rPr>
          <w:sz w:val="22"/>
          <w:u w:val="single"/>
        </w:rPr>
        <w:t>s</w:t>
      </w:r>
      <w:r w:rsidR="00D67845">
        <w:rPr>
          <w:sz w:val="22"/>
          <w:u w:val="single"/>
        </w:rPr>
        <w:t>.</w:t>
      </w:r>
      <w:r w:rsidR="00D67845">
        <w:rPr>
          <w:sz w:val="22"/>
        </w:rPr>
        <w:t xml:space="preserve"> </w:t>
      </w:r>
    </w:p>
    <w:p w14:paraId="72C57D2A" w14:textId="77777777" w:rsidR="002D0A37" w:rsidRDefault="002D0A37" w:rsidP="00B84D40">
      <w:pPr>
        <w:rPr>
          <w:szCs w:val="24"/>
        </w:rPr>
      </w:pPr>
    </w:p>
    <w:p w14:paraId="1D844BF0" w14:textId="6369B4C7" w:rsidR="00B84D40" w:rsidRDefault="00D67845" w:rsidP="00B84D40">
      <w:pPr>
        <w:rPr>
          <w:rFonts w:eastAsia="Palatino Linotype" w:cs="Palatino Linotype"/>
          <w:color w:val="000000"/>
        </w:rPr>
      </w:pPr>
      <w:r>
        <w:rPr>
          <w:rFonts w:eastAsia="MS Mincho" w:cs="Arial"/>
        </w:rPr>
        <w:t xml:space="preserve">De lo anterior, </w:t>
      </w:r>
      <w:r w:rsidR="00796422" w:rsidRPr="00B84D40">
        <w:rPr>
          <w:rFonts w:eastAsia="MS Mincho" w:cs="Arial"/>
        </w:rPr>
        <w:t xml:space="preserve">el Recurrente se inconformo </w:t>
      </w:r>
      <w:r w:rsidR="00B84D40" w:rsidRPr="00B84D40">
        <w:rPr>
          <w:rFonts w:eastAsia="MS Mincho" w:cs="Arial"/>
        </w:rPr>
        <w:t>en todos los recursos “</w:t>
      </w:r>
      <w:r w:rsidR="00B84D40" w:rsidRPr="00B84D40">
        <w:rPr>
          <w:i/>
          <w:color w:val="000000"/>
          <w:szCs w:val="24"/>
        </w:rPr>
        <w:t xml:space="preserve">No se </w:t>
      </w:r>
      <w:proofErr w:type="spellStart"/>
      <w:r w:rsidR="00B84D40" w:rsidRPr="00B84D40">
        <w:rPr>
          <w:i/>
          <w:color w:val="000000"/>
          <w:szCs w:val="24"/>
        </w:rPr>
        <w:t>solicito</w:t>
      </w:r>
      <w:proofErr w:type="spellEnd"/>
      <w:r w:rsidR="00B84D40" w:rsidRPr="00B84D40">
        <w:rPr>
          <w:i/>
          <w:color w:val="000000"/>
          <w:szCs w:val="24"/>
        </w:rPr>
        <w:t xml:space="preserve"> el PBR en sus funciones obligacionales dice que deben </w:t>
      </w:r>
      <w:proofErr w:type="spellStart"/>
      <w:r w:rsidR="00B84D40" w:rsidRPr="00B84D40">
        <w:rPr>
          <w:i/>
          <w:color w:val="000000"/>
          <w:szCs w:val="24"/>
        </w:rPr>
        <w:t>tene</w:t>
      </w:r>
      <w:proofErr w:type="spellEnd"/>
      <w:r w:rsidR="00B84D40" w:rsidRPr="00B84D40">
        <w:rPr>
          <w:i/>
          <w:color w:val="000000"/>
          <w:szCs w:val="24"/>
        </w:rPr>
        <w:t xml:space="preserve"> run programa de Trabajo en materia de movilidad por lo que es lo que se solicita”</w:t>
      </w:r>
      <w:r w:rsidR="00B84D40">
        <w:rPr>
          <w:i/>
          <w:color w:val="000000"/>
          <w:szCs w:val="24"/>
        </w:rPr>
        <w:t xml:space="preserve"> </w:t>
      </w:r>
      <w:r w:rsidR="00B84D40">
        <w:rPr>
          <w:rFonts w:eastAsia="Palatino Linotype" w:cs="Palatino Linotype"/>
          <w:color w:val="000000"/>
        </w:rPr>
        <w:t>en este sentido el Sujeto Obligado entrego</w:t>
      </w:r>
      <w:r w:rsidR="003E3CFD">
        <w:rPr>
          <w:rFonts w:eastAsia="Palatino Linotype" w:cs="Palatino Linotype"/>
          <w:color w:val="000000"/>
        </w:rPr>
        <w:t xml:space="preserve"> los formatos correspondientes a la Ficha Técnica de Diseño de Indicadores Estratégicos o de Gestión </w:t>
      </w:r>
      <w:r w:rsidR="00DE2D4E">
        <w:rPr>
          <w:rFonts w:eastAsia="Palatino Linotype" w:cs="Palatino Linotype"/>
          <w:color w:val="000000"/>
        </w:rPr>
        <w:t xml:space="preserve">correspondiente al Pbrm-01d así como los formatos correspondientes a la calendarización de metas de actividad correspondiente al Pbrm-02a en los cuales se advierten actividades </w:t>
      </w:r>
      <w:r w:rsidR="00DE2D4E">
        <w:rPr>
          <w:rFonts w:eastAsia="Palatino Linotype" w:cs="Palatino Linotype"/>
          <w:color w:val="000000"/>
        </w:rPr>
        <w:lastRenderedPageBreak/>
        <w:t xml:space="preserve">encaminadas a los planes de trabajo en materia de movilidad dentro del ayuntamiento en los términos siguientes; </w:t>
      </w:r>
    </w:p>
    <w:p w14:paraId="647FC819" w14:textId="77777777" w:rsidR="003E3CFD" w:rsidRDefault="003E3CFD" w:rsidP="00B84D40">
      <w:pPr>
        <w:rPr>
          <w:rFonts w:eastAsia="Palatino Linotype" w:cs="Palatino Linotype"/>
          <w:color w:val="000000"/>
        </w:rPr>
      </w:pPr>
    </w:p>
    <w:p w14:paraId="5386540B" w14:textId="6A1F09FD" w:rsidR="00DE2D4E" w:rsidRDefault="00DE2D4E" w:rsidP="003E3CFD">
      <w:pPr>
        <w:pStyle w:val="Prrafodelista"/>
        <w:numPr>
          <w:ilvl w:val="0"/>
          <w:numId w:val="7"/>
        </w:numPr>
        <w:rPr>
          <w:rFonts w:eastAsia="Palatino Linotype" w:cs="Palatino Linotype"/>
          <w:color w:val="000000"/>
        </w:rPr>
      </w:pPr>
      <w:r>
        <w:rPr>
          <w:rFonts w:eastAsia="Palatino Linotype" w:cs="Palatino Linotype"/>
          <w:color w:val="000000"/>
        </w:rPr>
        <w:t xml:space="preserve">Para el año </w:t>
      </w:r>
      <w:r w:rsidR="003E3CFD">
        <w:rPr>
          <w:rFonts w:eastAsia="Palatino Linotype" w:cs="Palatino Linotype"/>
          <w:color w:val="000000"/>
        </w:rPr>
        <w:t xml:space="preserve">2022; </w:t>
      </w:r>
    </w:p>
    <w:p w14:paraId="58856189" w14:textId="3F20BBAE" w:rsidR="003E3CFD" w:rsidRDefault="003E3CFD" w:rsidP="00DE2D4E">
      <w:pPr>
        <w:pStyle w:val="Prrafodelista"/>
        <w:numPr>
          <w:ilvl w:val="0"/>
          <w:numId w:val="3"/>
        </w:numPr>
        <w:rPr>
          <w:rFonts w:eastAsia="Palatino Linotype" w:cs="Palatino Linotype"/>
          <w:color w:val="000000"/>
        </w:rPr>
      </w:pPr>
      <w:r>
        <w:rPr>
          <w:rFonts w:eastAsia="Palatino Linotype" w:cs="Palatino Linotype"/>
          <w:color w:val="000000"/>
        </w:rPr>
        <w:t>Pbrm-01d de la Ficha Técnica</w:t>
      </w:r>
      <w:r w:rsidR="00DE2D4E">
        <w:rPr>
          <w:rFonts w:eastAsia="Palatino Linotype" w:cs="Palatino Linotype"/>
          <w:color w:val="000000"/>
        </w:rPr>
        <w:t xml:space="preserve"> de diseño correspondiente al programa presupuestario denominado</w:t>
      </w:r>
      <w:r>
        <w:rPr>
          <w:rFonts w:eastAsia="Palatino Linotype" w:cs="Palatino Linotype"/>
          <w:color w:val="000000"/>
        </w:rPr>
        <w:t>; “Apoyo municipal a las políticas de desarrollo del transporte”.</w:t>
      </w:r>
    </w:p>
    <w:p w14:paraId="39B55A68" w14:textId="77777777" w:rsidR="002D0A37" w:rsidRPr="00DE2D4E" w:rsidRDefault="002D0A37" w:rsidP="002D0A37">
      <w:pPr>
        <w:pStyle w:val="Prrafodelista"/>
        <w:rPr>
          <w:rFonts w:eastAsia="Palatino Linotype" w:cs="Palatino Linotype"/>
          <w:color w:val="000000"/>
        </w:rPr>
      </w:pPr>
    </w:p>
    <w:p w14:paraId="65CCD095" w14:textId="29E8C718" w:rsidR="00DE2D4E" w:rsidRDefault="00DE2D4E" w:rsidP="003E3CFD">
      <w:pPr>
        <w:pStyle w:val="Prrafodelista"/>
        <w:numPr>
          <w:ilvl w:val="0"/>
          <w:numId w:val="7"/>
        </w:numPr>
        <w:rPr>
          <w:rFonts w:eastAsia="Palatino Linotype" w:cs="Palatino Linotype"/>
          <w:color w:val="000000"/>
        </w:rPr>
      </w:pPr>
      <w:r>
        <w:rPr>
          <w:rFonts w:eastAsia="Palatino Linotype" w:cs="Palatino Linotype"/>
          <w:color w:val="000000"/>
        </w:rPr>
        <w:t xml:space="preserve">Para el año </w:t>
      </w:r>
      <w:r w:rsidR="003E3CFD" w:rsidRPr="001F14B4">
        <w:rPr>
          <w:rFonts w:eastAsia="Palatino Linotype" w:cs="Palatino Linotype"/>
          <w:color w:val="000000"/>
        </w:rPr>
        <w:t>2023;</w:t>
      </w:r>
    </w:p>
    <w:p w14:paraId="0FFBBA2F" w14:textId="4757C17A" w:rsidR="003E3CFD" w:rsidRPr="001F14B4" w:rsidRDefault="003E3CFD" w:rsidP="00DE2D4E">
      <w:pPr>
        <w:pStyle w:val="Prrafodelista"/>
        <w:numPr>
          <w:ilvl w:val="0"/>
          <w:numId w:val="3"/>
        </w:numPr>
        <w:rPr>
          <w:rFonts w:eastAsia="Palatino Linotype" w:cs="Palatino Linotype"/>
          <w:color w:val="000000"/>
        </w:rPr>
      </w:pPr>
      <w:r w:rsidRPr="001F14B4">
        <w:rPr>
          <w:rFonts w:eastAsia="Palatino Linotype" w:cs="Palatino Linotype"/>
          <w:color w:val="000000"/>
        </w:rPr>
        <w:t xml:space="preserve"> Pbrm-01d de la Ficha Técnica de diseño correspondiente a los program</w:t>
      </w:r>
      <w:r w:rsidR="00DE2D4E">
        <w:rPr>
          <w:rFonts w:eastAsia="Palatino Linotype" w:cs="Palatino Linotype"/>
          <w:color w:val="000000"/>
        </w:rPr>
        <w:t>as presupuestarios denominados</w:t>
      </w:r>
      <w:proofErr w:type="gramStart"/>
      <w:r w:rsidR="002D0A37">
        <w:rPr>
          <w:rFonts w:eastAsia="Palatino Linotype" w:cs="Palatino Linotype"/>
          <w:color w:val="000000"/>
        </w:rPr>
        <w:t>;</w:t>
      </w:r>
      <w:r w:rsidR="007B6F7C">
        <w:rPr>
          <w:rFonts w:eastAsia="Palatino Linotype" w:cs="Palatino Linotype"/>
          <w:color w:val="000000"/>
        </w:rPr>
        <w:t xml:space="preserve"> </w:t>
      </w:r>
      <w:r w:rsidR="002D0A37">
        <w:rPr>
          <w:rFonts w:eastAsia="Palatino Linotype" w:cs="Palatino Linotype"/>
          <w:color w:val="000000"/>
        </w:rPr>
        <w:t>”</w:t>
      </w:r>
      <w:proofErr w:type="gramEnd"/>
      <w:r w:rsidRPr="001F14B4">
        <w:rPr>
          <w:rFonts w:eastAsia="Palatino Linotype" w:cs="Palatino Linotype"/>
          <w:color w:val="000000"/>
        </w:rPr>
        <w:t>Modernización de la movilidad y el transporte”, “Apoyo municipal a las políticas de desarrollo del transporte”.</w:t>
      </w:r>
    </w:p>
    <w:p w14:paraId="472268C0" w14:textId="77777777" w:rsidR="003E3CFD" w:rsidRPr="001F14B4" w:rsidRDefault="003E3CFD" w:rsidP="003E3CFD">
      <w:pPr>
        <w:ind w:left="360"/>
        <w:rPr>
          <w:rFonts w:eastAsia="Palatino Linotype" w:cs="Palatino Linotype"/>
          <w:color w:val="000000"/>
        </w:rPr>
      </w:pPr>
    </w:p>
    <w:p w14:paraId="3FD2336C" w14:textId="1CAB6924" w:rsidR="00DE2D4E" w:rsidRDefault="00DE2D4E" w:rsidP="003E3CFD">
      <w:pPr>
        <w:pStyle w:val="Prrafodelista"/>
        <w:numPr>
          <w:ilvl w:val="0"/>
          <w:numId w:val="7"/>
        </w:numPr>
        <w:rPr>
          <w:rFonts w:eastAsia="Palatino Linotype" w:cs="Palatino Linotype"/>
          <w:color w:val="000000"/>
        </w:rPr>
      </w:pPr>
      <w:r>
        <w:rPr>
          <w:rFonts w:eastAsia="Palatino Linotype" w:cs="Palatino Linotype"/>
          <w:color w:val="000000"/>
        </w:rPr>
        <w:t>Para el año 2024</w:t>
      </w:r>
    </w:p>
    <w:p w14:paraId="152C506F" w14:textId="7A5E60DE" w:rsidR="003E3CFD" w:rsidRPr="00DE2D4E" w:rsidRDefault="003E3CFD" w:rsidP="008F0140">
      <w:pPr>
        <w:pStyle w:val="Prrafodelista"/>
        <w:numPr>
          <w:ilvl w:val="0"/>
          <w:numId w:val="3"/>
        </w:numPr>
        <w:rPr>
          <w:rFonts w:eastAsia="Palatino Linotype" w:cs="Palatino Linotype"/>
          <w:color w:val="000000"/>
        </w:rPr>
      </w:pPr>
      <w:r w:rsidRPr="00DE2D4E">
        <w:rPr>
          <w:rFonts w:eastAsia="Palatino Linotype" w:cs="Palatino Linotype"/>
          <w:color w:val="000000"/>
        </w:rPr>
        <w:t>Pbrm-02a de la Ficha Técnica de diseño correspondiente a los programas presupuestarios denominados; “</w:t>
      </w:r>
      <w:r w:rsidRPr="00DE2D4E">
        <w:rPr>
          <w:rFonts w:eastAsia="Palatino Linotype" w:cs="Palatino Linotype"/>
          <w:color w:val="000000"/>
        </w:rPr>
        <w:tab/>
        <w:t xml:space="preserve">Educación vial”, “Mantenimiento a los dispositivos para el control de tránsito”, </w:t>
      </w:r>
      <w:r w:rsidR="00DE2D4E" w:rsidRPr="00DE2D4E">
        <w:rPr>
          <w:rFonts w:eastAsia="Palatino Linotype" w:cs="Palatino Linotype"/>
          <w:color w:val="000000"/>
        </w:rPr>
        <w:t>“</w:t>
      </w:r>
      <w:r w:rsidRPr="00DE2D4E">
        <w:rPr>
          <w:rFonts w:eastAsia="Palatino Linotype" w:cs="Palatino Linotype"/>
          <w:color w:val="000000"/>
        </w:rPr>
        <w:t>Apoyo municipal a las políticas</w:t>
      </w:r>
      <w:r w:rsidR="00DE2D4E">
        <w:rPr>
          <w:rFonts w:eastAsia="Palatino Linotype" w:cs="Palatino Linotype"/>
          <w:color w:val="000000"/>
        </w:rPr>
        <w:t xml:space="preserve"> de desarrollo del transporte”.</w:t>
      </w:r>
    </w:p>
    <w:p w14:paraId="11200C2B" w14:textId="77777777" w:rsidR="00DE2D4E" w:rsidRDefault="00DE2D4E" w:rsidP="00DE2D4E">
      <w:pPr>
        <w:ind w:right="49"/>
      </w:pPr>
    </w:p>
    <w:p w14:paraId="0BAA80E9" w14:textId="2FD27B30" w:rsidR="00DE2D4E" w:rsidRDefault="00511260" w:rsidP="00DE2D4E">
      <w:r w:rsidRPr="00B23341">
        <w:t>En ese senti</w:t>
      </w:r>
      <w:r>
        <w:t xml:space="preserve">do </w:t>
      </w:r>
      <w:r w:rsidR="00DE2D4E">
        <w:t xml:space="preserve">el Sujeto Obligado manifestó que en los archivos que </w:t>
      </w:r>
      <w:r w:rsidR="00DE2D4E" w:rsidRPr="003E3CFD">
        <w:rPr>
          <w:rFonts w:eastAsia="Palatino Linotype" w:cs="Palatino Linotype"/>
          <w:color w:val="000000"/>
        </w:rPr>
        <w:t xml:space="preserve">obran en la Dirección de Movilidad </w:t>
      </w:r>
      <w:r w:rsidR="00DE2D4E" w:rsidRPr="00DE2D4E">
        <w:rPr>
          <w:rFonts w:eastAsia="Palatino Linotype" w:cs="Palatino Linotype"/>
          <w:b/>
          <w:color w:val="000000"/>
        </w:rPr>
        <w:t>no se encontró ningún programa como lo refiere el Solicitante</w:t>
      </w:r>
      <w:r w:rsidR="00DE2D4E" w:rsidRPr="003E3CFD">
        <w:rPr>
          <w:rFonts w:eastAsia="Palatino Linotype" w:cs="Palatino Linotype"/>
          <w:color w:val="000000"/>
        </w:rPr>
        <w:t xml:space="preserve">, </w:t>
      </w:r>
      <w:r w:rsidR="00DE2D4E">
        <w:t xml:space="preserve">por ende, al manifestar que no se cuenta con un programa anual de trabajo de los ejercicios fiscales 2022, 2023 y 2024, se estima que la respuesta a dicho requerimiento consiste en hechos negativos. </w:t>
      </w:r>
    </w:p>
    <w:p w14:paraId="27202C5C" w14:textId="77777777" w:rsidR="00DE2D4E" w:rsidRDefault="00DE2D4E" w:rsidP="00DE2D4E"/>
    <w:p w14:paraId="39325686" w14:textId="77777777" w:rsidR="008F0140" w:rsidRPr="001721FE" w:rsidRDefault="008F0140" w:rsidP="008F0140">
      <w:pPr>
        <w:autoSpaceDE w:val="0"/>
        <w:autoSpaceDN w:val="0"/>
        <w:adjustRightInd w:val="0"/>
        <w:rPr>
          <w:rFonts w:cs="Arial"/>
        </w:rPr>
      </w:pPr>
      <w:r w:rsidRPr="001721FE">
        <w:rPr>
          <w:rFonts w:cs="Arial"/>
        </w:rPr>
        <w:t>Es conveniente, invocar la tesis con número de registro 267287, de la Sexta Época, Instancia: Segunda Sala, publicada en el Semanario Judicial de la Federación, Volumen LII, Tercera Parte, Materia Común, que indica lo siguiente:</w:t>
      </w:r>
    </w:p>
    <w:p w14:paraId="5B2E1D3B" w14:textId="77777777" w:rsidR="008F0140" w:rsidRPr="001721FE" w:rsidRDefault="008F0140" w:rsidP="008F0140">
      <w:pPr>
        <w:autoSpaceDE w:val="0"/>
        <w:autoSpaceDN w:val="0"/>
        <w:adjustRightInd w:val="0"/>
        <w:spacing w:line="276" w:lineRule="auto"/>
        <w:ind w:left="567" w:right="850"/>
        <w:rPr>
          <w:rFonts w:eastAsiaTheme="minorHAnsi" w:cs="Palatino Linotype"/>
          <w:i/>
          <w:color w:val="000000"/>
          <w:sz w:val="22"/>
          <w:szCs w:val="20"/>
          <w:lang w:val="es-MX" w:eastAsia="en-US"/>
        </w:rPr>
      </w:pPr>
    </w:p>
    <w:p w14:paraId="13245660" w14:textId="77777777" w:rsidR="008F0140" w:rsidRPr="001721FE" w:rsidRDefault="008F0140" w:rsidP="008F0140">
      <w:pPr>
        <w:autoSpaceDE w:val="0"/>
        <w:autoSpaceDN w:val="0"/>
        <w:adjustRightInd w:val="0"/>
        <w:spacing w:line="276" w:lineRule="auto"/>
        <w:ind w:left="567" w:right="850"/>
        <w:rPr>
          <w:rFonts w:eastAsiaTheme="minorHAnsi" w:cs="Palatino Linotype"/>
          <w:i/>
          <w:color w:val="000000"/>
          <w:sz w:val="22"/>
          <w:szCs w:val="20"/>
          <w:lang w:val="es-MX" w:eastAsia="en-US"/>
        </w:rPr>
      </w:pPr>
      <w:r w:rsidRPr="001721FE">
        <w:rPr>
          <w:rFonts w:eastAsiaTheme="minorHAnsi" w:cs="Palatino Linotype"/>
          <w:i/>
          <w:color w:val="000000"/>
          <w:sz w:val="22"/>
          <w:szCs w:val="20"/>
          <w:lang w:val="es-MX" w:eastAsia="en-US"/>
        </w:rPr>
        <w:t>“</w:t>
      </w:r>
      <w:r w:rsidRPr="001721FE">
        <w:rPr>
          <w:rFonts w:eastAsiaTheme="minorHAnsi" w:cs="Palatino Linotype"/>
          <w:b/>
          <w:i/>
          <w:color w:val="000000"/>
          <w:sz w:val="22"/>
          <w:szCs w:val="20"/>
          <w:lang w:val="es-MX" w:eastAsia="en-US"/>
        </w:rPr>
        <w:t>HECHOS NEGATIVOS, NO SON SUSCEPTIBLES DE DEMOSTRACION</w:t>
      </w:r>
      <w:r w:rsidRPr="001721FE">
        <w:rPr>
          <w:rFonts w:eastAsiaTheme="minorHAnsi" w:cs="Palatino Linotype"/>
          <w:i/>
          <w:color w:val="000000"/>
          <w:sz w:val="22"/>
          <w:szCs w:val="20"/>
          <w:lang w:val="es-MX" w:eastAsia="en-US"/>
        </w:rPr>
        <w:t>. Tratándose de un hecho negativo, el Juez no tiene por qué invocar prueba alguna de la que se desprenda, ya que es bien sabido que esta clase de hechos no son susceptibles de demostración.” (Sic)</w:t>
      </w:r>
    </w:p>
    <w:p w14:paraId="69491599" w14:textId="77777777" w:rsidR="00D67845" w:rsidRDefault="00D67845" w:rsidP="00DE2D4E">
      <w:pPr>
        <w:pBdr>
          <w:top w:val="nil"/>
          <w:left w:val="nil"/>
          <w:bottom w:val="nil"/>
          <w:right w:val="nil"/>
          <w:between w:val="nil"/>
        </w:pBdr>
        <w:contextualSpacing/>
        <w:rPr>
          <w:rFonts w:cs="Times New Roman"/>
        </w:rPr>
      </w:pPr>
    </w:p>
    <w:p w14:paraId="49F3A67D" w14:textId="77777777" w:rsidR="00DE2D4E" w:rsidRPr="00820BB7" w:rsidRDefault="00DE2D4E" w:rsidP="00DE2D4E">
      <w:pPr>
        <w:pBdr>
          <w:top w:val="nil"/>
          <w:left w:val="nil"/>
          <w:bottom w:val="nil"/>
          <w:right w:val="nil"/>
          <w:between w:val="nil"/>
        </w:pBdr>
        <w:contextualSpacing/>
        <w:rPr>
          <w:rFonts w:eastAsia="Palatino Linotype" w:cs="Palatino Linotype"/>
          <w:szCs w:val="24"/>
        </w:rPr>
      </w:pPr>
      <w:r w:rsidRPr="00820BB7">
        <w:rPr>
          <w:rFonts w:cs="Times New Roman"/>
        </w:rPr>
        <w:t xml:space="preserve">Además, de conformidad con lo establecido en el artículo 12 de la Ley de la materia, el Sujeto Obligado sólo proporcionará la información que obra en sus archivos, lo que </w:t>
      </w:r>
      <w:r w:rsidRPr="00820BB7">
        <w:rPr>
          <w:rFonts w:cs="Times New Roman"/>
          <w:i/>
        </w:rPr>
        <w:t>a contrario sensu</w:t>
      </w:r>
      <w:r w:rsidRPr="00820BB7">
        <w:rPr>
          <w:rFonts w:cs="Times New Roman"/>
        </w:rPr>
        <w:t xml:space="preserve"> significa que no está obligado a proporcionar lo que no obre en sus archivos.</w:t>
      </w:r>
    </w:p>
    <w:p w14:paraId="151CC252" w14:textId="77777777" w:rsidR="002C6981" w:rsidRDefault="002C6981" w:rsidP="00DE2D4E">
      <w:pPr>
        <w:pBdr>
          <w:top w:val="nil"/>
          <w:left w:val="nil"/>
          <w:bottom w:val="nil"/>
          <w:right w:val="nil"/>
          <w:between w:val="nil"/>
        </w:pBdr>
        <w:contextualSpacing/>
        <w:rPr>
          <w:i/>
        </w:rPr>
      </w:pPr>
    </w:p>
    <w:p w14:paraId="7D104417" w14:textId="57F10121" w:rsidR="008F0140" w:rsidRDefault="002C6981" w:rsidP="00DE2D4E">
      <w:pPr>
        <w:pBdr>
          <w:top w:val="nil"/>
          <w:left w:val="nil"/>
          <w:bottom w:val="nil"/>
          <w:right w:val="nil"/>
          <w:between w:val="nil"/>
        </w:pBdr>
        <w:contextualSpacing/>
      </w:pPr>
      <w:r>
        <w:t xml:space="preserve">En este sentido, </w:t>
      </w:r>
      <w:r w:rsidR="008F0140">
        <w:t>si bien el Sujeto Obligado manifestó que no contaba con un programa anual de trabajo en movilidad también lo es que conforme el Criterio 016/2017 emitido por el Máximo Órgano Garante el Sujeto Obligado le dio una interpretación a la solicitud de información para otorgarle una expresión documental</w:t>
      </w:r>
      <w:r w:rsidR="0088097A">
        <w:t xml:space="preserve"> entregando </w:t>
      </w:r>
      <w:r w:rsidR="0088097A">
        <w:rPr>
          <w:rFonts w:eastAsia="Palatino Linotype" w:cs="Palatino Linotype"/>
          <w:color w:val="000000"/>
        </w:rPr>
        <w:t>los formatos correspondientes a la Ficha Técnica de Diseño de Indicadores Estratégicos o de Gestión correspondiente al Pbrm-01d así como los formatos correspondientes a la calendarización de metas de actividad correspondiente al Pbrm-02</w:t>
      </w:r>
      <w:r w:rsidR="00D13848">
        <w:rPr>
          <w:rFonts w:eastAsia="Palatino Linotype" w:cs="Palatino Linotype"/>
          <w:color w:val="000000"/>
        </w:rPr>
        <w:t>a,</w:t>
      </w:r>
      <w:r w:rsidR="0088097A">
        <w:rPr>
          <w:rFonts w:eastAsia="Palatino Linotype" w:cs="Palatino Linotype"/>
          <w:color w:val="000000"/>
        </w:rPr>
        <w:t xml:space="preserve"> </w:t>
      </w:r>
      <w:r w:rsidR="0088097A" w:rsidRPr="00944916">
        <w:rPr>
          <w:rFonts w:eastAsia="Palatino Linotype" w:cs="Palatino Linotype"/>
          <w:color w:val="000000"/>
          <w:u w:val="single"/>
        </w:rPr>
        <w:t xml:space="preserve">en los cuales se advierten actividades encaminadas a los planes de trabajo </w:t>
      </w:r>
      <w:r w:rsidR="002D0A37" w:rsidRPr="00944916">
        <w:rPr>
          <w:rFonts w:eastAsia="Palatino Linotype" w:cs="Palatino Linotype"/>
          <w:color w:val="000000"/>
          <w:u w:val="single"/>
        </w:rPr>
        <w:t xml:space="preserve">anuales </w:t>
      </w:r>
      <w:r w:rsidR="0088097A" w:rsidRPr="00944916">
        <w:rPr>
          <w:rFonts w:eastAsia="Palatino Linotype" w:cs="Palatino Linotype"/>
          <w:color w:val="000000"/>
          <w:u w:val="single"/>
        </w:rPr>
        <w:t>en materia de movilidad</w:t>
      </w:r>
      <w:r w:rsidR="0088097A">
        <w:rPr>
          <w:rFonts w:eastAsia="Palatino Linotype" w:cs="Palatino Linotype"/>
          <w:color w:val="000000"/>
        </w:rPr>
        <w:t xml:space="preserve"> </w:t>
      </w:r>
      <w:r w:rsidR="007B6F7C">
        <w:rPr>
          <w:rFonts w:eastAsia="Palatino Linotype" w:cs="Palatino Linotype"/>
          <w:color w:val="000000"/>
        </w:rPr>
        <w:t xml:space="preserve">del ayuntamiento toda vez que los </w:t>
      </w:r>
      <w:proofErr w:type="spellStart"/>
      <w:r w:rsidR="007B6F7C">
        <w:rPr>
          <w:rFonts w:eastAsia="Palatino Linotype" w:cs="Palatino Linotype"/>
          <w:color w:val="000000"/>
        </w:rPr>
        <w:t>Pbrm</w:t>
      </w:r>
      <w:proofErr w:type="spellEnd"/>
      <w:r w:rsidR="007B6F7C">
        <w:rPr>
          <w:rFonts w:eastAsia="Palatino Linotype" w:cs="Palatino Linotype"/>
          <w:color w:val="000000"/>
        </w:rPr>
        <w:t xml:space="preserve"> son formatos en los cuales se establecen las acciones, actividades </w:t>
      </w:r>
      <w:r w:rsidR="007B6F7C">
        <w:rPr>
          <w:rFonts w:eastAsia="Palatino Linotype" w:cs="Palatino Linotype"/>
          <w:color w:val="000000"/>
        </w:rPr>
        <w:lastRenderedPageBreak/>
        <w:t>y metas del año siguiente siendo dichos formatos el formato documental que da cuenta de lo requerido por el Recurrente</w:t>
      </w:r>
      <w:r w:rsidR="008F0140">
        <w:t>, conforme lo siguiente;</w:t>
      </w:r>
    </w:p>
    <w:p w14:paraId="6DEB514B" w14:textId="77777777" w:rsidR="0088097A" w:rsidRDefault="0088097A" w:rsidP="00DE2D4E">
      <w:pPr>
        <w:pBdr>
          <w:top w:val="nil"/>
          <w:left w:val="nil"/>
          <w:bottom w:val="nil"/>
          <w:right w:val="nil"/>
          <w:between w:val="nil"/>
        </w:pBdr>
        <w:contextualSpacing/>
      </w:pPr>
    </w:p>
    <w:p w14:paraId="7DA657E7" w14:textId="4AAF41FE" w:rsidR="008F0140" w:rsidRPr="008F0140" w:rsidRDefault="008F0140" w:rsidP="008F0140">
      <w:pPr>
        <w:spacing w:line="240" w:lineRule="auto"/>
        <w:ind w:left="360"/>
        <w:rPr>
          <w:rFonts w:cs="Arial"/>
          <w:i/>
          <w:sz w:val="22"/>
          <w:u w:val="single"/>
        </w:rPr>
      </w:pPr>
      <w:r>
        <w:tab/>
      </w:r>
      <w:r w:rsidRPr="008F0140">
        <w:rPr>
          <w:rFonts w:cs="Arial"/>
          <w:b/>
          <w:bCs/>
          <w:i/>
          <w:sz w:val="22"/>
        </w:rPr>
        <w:t xml:space="preserve">Expresión documental. </w:t>
      </w:r>
      <w:r w:rsidRPr="008F0140">
        <w:rPr>
          <w:rFonts w:cs="Arial"/>
          <w:bCs/>
          <w:i/>
          <w:sz w:val="22"/>
        </w:rPr>
        <w:t>Cuando</w:t>
      </w:r>
      <w:r w:rsidRPr="008F0140">
        <w:rPr>
          <w:rFonts w:cs="Arial"/>
          <w:i/>
          <w:color w:val="000000" w:themeColor="text1"/>
          <w:sz w:val="22"/>
          <w:lang w:val="es-ES"/>
        </w:rPr>
        <w:t xml:space="preserve"> los particulares presenten solicitudes de acceso a la información sin identificar de forma precisa la documentación que pudiera contener la información de su interés, </w:t>
      </w:r>
      <w:r w:rsidRPr="008F0140">
        <w:rPr>
          <w:rFonts w:cs="Arial"/>
          <w:i/>
          <w:sz w:val="22"/>
        </w:rPr>
        <w:t>o bien, la solicitud constituya una consulta,</w:t>
      </w:r>
      <w:r w:rsidRPr="008F0140">
        <w:rPr>
          <w:rFonts w:cs="Arial"/>
          <w:i/>
          <w:color w:val="000000" w:themeColor="text1"/>
          <w:sz w:val="22"/>
          <w:lang w:val="es-ES"/>
        </w:rPr>
        <w:t xml:space="preserve"> </w:t>
      </w:r>
      <w:r w:rsidRPr="008F0140">
        <w:rPr>
          <w:rFonts w:cs="Arial"/>
          <w:i/>
          <w:color w:val="000000" w:themeColor="text1"/>
          <w:sz w:val="22"/>
          <w:u w:val="single"/>
          <w:lang w:val="es-ES"/>
        </w:rPr>
        <w:t xml:space="preserve">pero la respuesta pudiera obrar en algún documento en poder de los sujetos obligados, éstos deben dar a dichas solicitudes una interpretación que les otorgue una expresión documental. </w:t>
      </w:r>
    </w:p>
    <w:p w14:paraId="71874721" w14:textId="77777777" w:rsidR="008F0140" w:rsidRPr="008F0140" w:rsidRDefault="008F0140" w:rsidP="008F0140">
      <w:pPr>
        <w:spacing w:line="240" w:lineRule="auto"/>
        <w:rPr>
          <w:rFonts w:cs="Arial"/>
          <w:i/>
          <w:color w:val="000000"/>
          <w:sz w:val="22"/>
        </w:rPr>
      </w:pPr>
    </w:p>
    <w:p w14:paraId="6DC0B3E6" w14:textId="77777777" w:rsidR="008F0140" w:rsidRPr="008F0140" w:rsidRDefault="008F0140" w:rsidP="008F0140">
      <w:pPr>
        <w:ind w:firstLine="360"/>
        <w:rPr>
          <w:rFonts w:cs="Arial"/>
          <w:b/>
          <w:i/>
          <w:sz w:val="22"/>
        </w:rPr>
      </w:pPr>
      <w:r w:rsidRPr="008F0140">
        <w:rPr>
          <w:rFonts w:cs="Arial"/>
          <w:b/>
          <w:i/>
          <w:sz w:val="22"/>
        </w:rPr>
        <w:t>Precedentes:</w:t>
      </w:r>
    </w:p>
    <w:p w14:paraId="14C26296" w14:textId="77777777" w:rsidR="008F0140" w:rsidRPr="008F0140" w:rsidRDefault="008F0140" w:rsidP="008F0140">
      <w:pPr>
        <w:pStyle w:val="Prrafodelista"/>
        <w:numPr>
          <w:ilvl w:val="0"/>
          <w:numId w:val="14"/>
        </w:numPr>
        <w:spacing w:line="240" w:lineRule="auto"/>
        <w:rPr>
          <w:rFonts w:cs="Arial"/>
          <w:i/>
          <w:color w:val="000000"/>
          <w:sz w:val="20"/>
          <w:szCs w:val="20"/>
        </w:rPr>
      </w:pPr>
      <w:r w:rsidRPr="008F0140">
        <w:rPr>
          <w:rFonts w:cs="Arial"/>
          <w:i/>
          <w:color w:val="000000" w:themeColor="text1"/>
          <w:sz w:val="20"/>
          <w:szCs w:val="20"/>
        </w:rPr>
        <w:t xml:space="preserve">Acceso a la información pública. RRA 0774/16. Sesión del 31 de agosto de 2016. Votación por unanimidad. </w:t>
      </w:r>
      <w:r w:rsidRPr="008F0140">
        <w:rPr>
          <w:rFonts w:eastAsia="Arial" w:cs="Arial"/>
          <w:i/>
          <w:sz w:val="20"/>
          <w:szCs w:val="20"/>
        </w:rPr>
        <w:t>Sin votos disidentes o particulares.</w:t>
      </w:r>
      <w:r w:rsidRPr="008F0140">
        <w:rPr>
          <w:rFonts w:cs="Arial"/>
          <w:i/>
          <w:color w:val="000000" w:themeColor="text1"/>
          <w:sz w:val="20"/>
          <w:szCs w:val="20"/>
        </w:rPr>
        <w:t xml:space="preserve"> Secretaría de Salud. Comisionada Ponente María Patricia </w:t>
      </w:r>
      <w:proofErr w:type="spellStart"/>
      <w:r w:rsidRPr="008F0140">
        <w:rPr>
          <w:rFonts w:cs="Arial"/>
          <w:i/>
          <w:color w:val="000000" w:themeColor="text1"/>
          <w:sz w:val="20"/>
          <w:szCs w:val="20"/>
        </w:rPr>
        <w:t>Kurczyn</w:t>
      </w:r>
      <w:proofErr w:type="spellEnd"/>
      <w:r w:rsidRPr="008F0140">
        <w:rPr>
          <w:rFonts w:cs="Arial"/>
          <w:i/>
          <w:color w:val="000000" w:themeColor="text1"/>
          <w:sz w:val="20"/>
          <w:szCs w:val="20"/>
        </w:rPr>
        <w:t xml:space="preserve"> Villalobos.</w:t>
      </w:r>
    </w:p>
    <w:p w14:paraId="004CDADB" w14:textId="77777777" w:rsidR="008F0140" w:rsidRPr="008F0140" w:rsidRDefault="008F0140" w:rsidP="008F0140">
      <w:pPr>
        <w:pStyle w:val="Prrafodelista"/>
        <w:numPr>
          <w:ilvl w:val="0"/>
          <w:numId w:val="14"/>
        </w:numPr>
        <w:spacing w:line="240" w:lineRule="auto"/>
        <w:rPr>
          <w:rFonts w:cs="Arial"/>
          <w:i/>
          <w:color w:val="000000"/>
          <w:sz w:val="20"/>
          <w:szCs w:val="20"/>
        </w:rPr>
      </w:pPr>
      <w:r w:rsidRPr="008F0140">
        <w:rPr>
          <w:rFonts w:cs="Arial"/>
          <w:i/>
          <w:color w:val="000000" w:themeColor="text1"/>
          <w:sz w:val="20"/>
          <w:szCs w:val="20"/>
        </w:rPr>
        <w:t xml:space="preserve">Acceso a la información pública. RRA 0143/17. Sesión del 22 de febrero de 2017. Votación por unanimidad. </w:t>
      </w:r>
      <w:r w:rsidRPr="008F0140">
        <w:rPr>
          <w:rFonts w:eastAsia="Arial" w:cs="Arial"/>
          <w:i/>
          <w:sz w:val="20"/>
          <w:szCs w:val="20"/>
        </w:rPr>
        <w:t>Sin votos disidentes o particulares.</w:t>
      </w:r>
      <w:r w:rsidRPr="008F0140">
        <w:rPr>
          <w:rFonts w:cs="Arial"/>
          <w:i/>
          <w:color w:val="000000" w:themeColor="text1"/>
          <w:sz w:val="20"/>
          <w:szCs w:val="20"/>
        </w:rPr>
        <w:t xml:space="preserve"> Universidad Autónoma Agraria Antonio Narro. Comisionado Ponente Oscar Mauricio Guerra Ford. </w:t>
      </w:r>
    </w:p>
    <w:p w14:paraId="1F74A62E" w14:textId="77777777" w:rsidR="008F0140" w:rsidRPr="008F0140" w:rsidRDefault="008F0140" w:rsidP="008F0140">
      <w:pPr>
        <w:pStyle w:val="Prrafodelista"/>
        <w:numPr>
          <w:ilvl w:val="0"/>
          <w:numId w:val="14"/>
        </w:numPr>
        <w:spacing w:line="240" w:lineRule="auto"/>
        <w:ind w:left="714" w:hanging="357"/>
        <w:rPr>
          <w:rFonts w:cs="Arial"/>
          <w:i/>
          <w:color w:val="000000"/>
          <w:sz w:val="20"/>
          <w:szCs w:val="20"/>
        </w:rPr>
      </w:pPr>
      <w:r w:rsidRPr="008F0140">
        <w:rPr>
          <w:rFonts w:cs="Arial"/>
          <w:i/>
          <w:color w:val="000000" w:themeColor="text1"/>
          <w:sz w:val="20"/>
          <w:szCs w:val="20"/>
        </w:rPr>
        <w:t xml:space="preserve">Acceso a la información pública. RRA 0540/17. Sesión del 08 de marzo del 2017. Votación por unanimidad. </w:t>
      </w:r>
      <w:r w:rsidRPr="008F0140">
        <w:rPr>
          <w:rFonts w:eastAsia="Arial" w:cs="Arial"/>
          <w:i/>
          <w:sz w:val="20"/>
          <w:szCs w:val="20"/>
        </w:rPr>
        <w:t>Sin votos disidentes o particulares.</w:t>
      </w:r>
      <w:r w:rsidRPr="008F0140">
        <w:rPr>
          <w:rFonts w:cs="Arial"/>
          <w:i/>
          <w:color w:val="000000" w:themeColor="text1"/>
          <w:sz w:val="20"/>
          <w:szCs w:val="20"/>
        </w:rPr>
        <w:t xml:space="preserve"> Secretaría de Economía. Comisionado Ponente Francisco Javier Acuña Llamas. </w:t>
      </w:r>
    </w:p>
    <w:p w14:paraId="74112DE6" w14:textId="05478E1B" w:rsidR="008F0140" w:rsidRPr="008F0140" w:rsidRDefault="008F0140" w:rsidP="008F0140">
      <w:pPr>
        <w:pBdr>
          <w:top w:val="nil"/>
          <w:left w:val="nil"/>
          <w:bottom w:val="nil"/>
          <w:right w:val="nil"/>
          <w:between w:val="nil"/>
        </w:pBdr>
        <w:tabs>
          <w:tab w:val="left" w:pos="4182"/>
        </w:tabs>
        <w:contextualSpacing/>
        <w:rPr>
          <w:i/>
          <w:sz w:val="22"/>
        </w:rPr>
      </w:pPr>
    </w:p>
    <w:p w14:paraId="2F5BA230" w14:textId="6969D0F8" w:rsidR="00D13848" w:rsidRDefault="002C6981" w:rsidP="008F0140">
      <w:pPr>
        <w:pBdr>
          <w:top w:val="nil"/>
          <w:left w:val="nil"/>
          <w:bottom w:val="nil"/>
          <w:right w:val="nil"/>
          <w:between w:val="nil"/>
        </w:pBdr>
        <w:contextualSpacing/>
      </w:pPr>
      <w:r>
        <w:t>En este sentido</w:t>
      </w:r>
      <w:r w:rsidR="0044416C">
        <w:t xml:space="preserve">, </w:t>
      </w:r>
      <w:r w:rsidR="008F0140">
        <w:t>el Manual para la Planeación, Programación y Presupuesto de Egresos Municipal establece que el Programa Anual, constituye un componente del Presupuesto por Programas que es la base para transitar al Presupuesto basado en Resultados (</w:t>
      </w:r>
      <w:proofErr w:type="spellStart"/>
      <w:r w:rsidR="008F0140">
        <w:t>PbR</w:t>
      </w:r>
      <w:proofErr w:type="spellEnd"/>
      <w:r w:rsidR="008F0140">
        <w:t xml:space="preserve">), en el cual se plasman los </w:t>
      </w:r>
      <w:r w:rsidR="008F0140" w:rsidRPr="008F0140">
        <w:rPr>
          <w:b/>
        </w:rPr>
        <w:t>objetivos, estrategias, metas de actividad, indicadores y proyectos</w:t>
      </w:r>
      <w:r w:rsidR="008F0140">
        <w:t>, de acuerdo a las prioridades del Plan de Desarrollo Municipal y las demandas de la sociedad, para ser traducidas en resultados concretos a visualizarse en el período presupuestal determinado, lo que nos permite conocer con certeza acerca de:</w:t>
      </w:r>
    </w:p>
    <w:p w14:paraId="241B0BDB" w14:textId="77777777" w:rsidR="008F0140" w:rsidRDefault="008F0140" w:rsidP="008F0140">
      <w:pPr>
        <w:pStyle w:val="Prrafodelista"/>
        <w:numPr>
          <w:ilvl w:val="0"/>
          <w:numId w:val="14"/>
        </w:numPr>
        <w:pBdr>
          <w:top w:val="nil"/>
          <w:left w:val="nil"/>
          <w:bottom w:val="nil"/>
          <w:right w:val="nil"/>
          <w:between w:val="nil"/>
        </w:pBdr>
      </w:pPr>
      <w:r>
        <w:t xml:space="preserve"> ¿qué se va a hacer?</w:t>
      </w:r>
    </w:p>
    <w:p w14:paraId="730681FC" w14:textId="77777777" w:rsidR="008F0140" w:rsidRDefault="008F0140" w:rsidP="008F0140">
      <w:pPr>
        <w:pStyle w:val="Prrafodelista"/>
        <w:numPr>
          <w:ilvl w:val="0"/>
          <w:numId w:val="14"/>
        </w:numPr>
        <w:pBdr>
          <w:top w:val="nil"/>
          <w:left w:val="nil"/>
          <w:bottom w:val="nil"/>
          <w:right w:val="nil"/>
          <w:between w:val="nil"/>
        </w:pBdr>
      </w:pPr>
      <w:r>
        <w:t xml:space="preserve">¿para lograr qué? </w:t>
      </w:r>
    </w:p>
    <w:p w14:paraId="7C4CD8CE" w14:textId="3A0A91D1" w:rsidR="008F0140" w:rsidRDefault="008F0140" w:rsidP="008F0140">
      <w:pPr>
        <w:pStyle w:val="Prrafodelista"/>
        <w:numPr>
          <w:ilvl w:val="0"/>
          <w:numId w:val="14"/>
        </w:numPr>
        <w:pBdr>
          <w:top w:val="nil"/>
          <w:left w:val="nil"/>
          <w:bottom w:val="nil"/>
          <w:right w:val="nil"/>
          <w:between w:val="nil"/>
        </w:pBdr>
      </w:pPr>
      <w:r>
        <w:t xml:space="preserve"> ¿cómo y cuándo se realizará?</w:t>
      </w:r>
    </w:p>
    <w:p w14:paraId="2E68A98D" w14:textId="77777777" w:rsidR="007B6F7C" w:rsidRDefault="007B6F7C" w:rsidP="007B6F7C">
      <w:pPr>
        <w:pStyle w:val="Prrafodelista"/>
        <w:pBdr>
          <w:top w:val="nil"/>
          <w:left w:val="nil"/>
          <w:bottom w:val="nil"/>
          <w:right w:val="nil"/>
          <w:between w:val="nil"/>
        </w:pBdr>
      </w:pPr>
    </w:p>
    <w:p w14:paraId="1300666E" w14:textId="6F243AAE" w:rsidR="008F0140" w:rsidRDefault="008F0140" w:rsidP="008F0140">
      <w:pPr>
        <w:pBdr>
          <w:top w:val="nil"/>
          <w:left w:val="nil"/>
          <w:bottom w:val="nil"/>
          <w:right w:val="nil"/>
          <w:between w:val="nil"/>
        </w:pBdr>
        <w:contextualSpacing/>
      </w:pPr>
      <w:r>
        <w:t xml:space="preserve">El formato </w:t>
      </w:r>
      <w:r w:rsidRPr="008F0140">
        <w:rPr>
          <w:b/>
        </w:rPr>
        <w:t>PbRM-01d</w:t>
      </w:r>
      <w:r>
        <w:t xml:space="preserve"> “Ficha técnica de diseño de indicadore</w:t>
      </w:r>
      <w:r w:rsidR="002D0A37">
        <w:t>s estratégicos o de gestión</w:t>
      </w:r>
      <w:r>
        <w:t xml:space="preserve">”, tiene como finalidad el registro de los indicadores de gestión que se manejan en el SEGEMUN, </w:t>
      </w:r>
      <w:r w:rsidRPr="008F0140">
        <w:rPr>
          <w:b/>
        </w:rPr>
        <w:t>mismos que deberán estar vinculados directamente a las metas programadas en el formato</w:t>
      </w:r>
      <w:r>
        <w:t xml:space="preserve"> </w:t>
      </w:r>
      <w:r w:rsidRPr="008F0140">
        <w:rPr>
          <w:b/>
        </w:rPr>
        <w:t>PbRM-01e</w:t>
      </w:r>
      <w:r>
        <w:t xml:space="preserve"> “Matriz de Indicadores para Resultados por Programa presupuestario y Dependencia General”, estos indicadores están alineados a nivel estratégico o de gestión.</w:t>
      </w:r>
    </w:p>
    <w:p w14:paraId="4288D64B" w14:textId="77777777" w:rsidR="002D0A37" w:rsidRDefault="002D0A37" w:rsidP="008F0140">
      <w:pPr>
        <w:pBdr>
          <w:top w:val="nil"/>
          <w:left w:val="nil"/>
          <w:bottom w:val="nil"/>
          <w:right w:val="nil"/>
          <w:between w:val="nil"/>
        </w:pBdr>
        <w:contextualSpacing/>
      </w:pPr>
    </w:p>
    <w:p w14:paraId="116637BF" w14:textId="7727A094" w:rsidR="008F0140" w:rsidRDefault="008F0140" w:rsidP="008F0140">
      <w:pPr>
        <w:pBdr>
          <w:top w:val="nil"/>
          <w:left w:val="nil"/>
          <w:bottom w:val="nil"/>
          <w:right w:val="nil"/>
          <w:between w:val="nil"/>
        </w:pBdr>
        <w:contextualSpacing/>
      </w:pPr>
      <w:r>
        <w:t xml:space="preserve">El formato </w:t>
      </w:r>
      <w:r w:rsidRPr="008F0140">
        <w:rPr>
          <w:b/>
        </w:rPr>
        <w:t>PbRM-01e</w:t>
      </w:r>
      <w:r>
        <w:t xml:space="preserve"> tiene relación con el formato PbRM-01d, ya que su finalidad consiste en conjuntar la totalidad de los indicadores que permitan identificar el logro o beneficio que se espera alcanzar, y que, a través de los procesos de evaluación, se medirán para conocer el nivel de cumplimiento de los objetivos y metas de cada uno de los Programas presupuestarios que comprende el programa anual del ejercicio fiscal.</w:t>
      </w:r>
    </w:p>
    <w:p w14:paraId="46483C5C" w14:textId="77777777" w:rsidR="008F0140" w:rsidRDefault="008F0140" w:rsidP="008F0140">
      <w:pPr>
        <w:pBdr>
          <w:top w:val="nil"/>
          <w:left w:val="nil"/>
          <w:bottom w:val="nil"/>
          <w:right w:val="nil"/>
          <w:between w:val="nil"/>
        </w:pBdr>
        <w:contextualSpacing/>
      </w:pPr>
    </w:p>
    <w:p w14:paraId="5C407328" w14:textId="516C1573" w:rsidR="008F0140" w:rsidRDefault="008F0140" w:rsidP="008F0140">
      <w:pPr>
        <w:pBdr>
          <w:top w:val="nil"/>
          <w:left w:val="nil"/>
          <w:bottom w:val="nil"/>
          <w:right w:val="nil"/>
          <w:between w:val="nil"/>
        </w:pBdr>
        <w:contextualSpacing/>
        <w:rPr>
          <w:b/>
        </w:rPr>
      </w:pPr>
      <w:r>
        <w:t xml:space="preserve">Entonces el formato </w:t>
      </w:r>
      <w:r w:rsidRPr="008F0140">
        <w:rPr>
          <w:b/>
        </w:rPr>
        <w:t>PbRM-01e</w:t>
      </w:r>
      <w:r>
        <w:rPr>
          <w:b/>
        </w:rPr>
        <w:t xml:space="preserve"> </w:t>
      </w:r>
      <w:r>
        <w:t>permite identificar el logro o beneficio, a través de los procesos de evaluación que permitirán conocer el nivel de cumplimiento de los objetivos y metas de cada uno de los Programas presupuestarios</w:t>
      </w:r>
      <w:r w:rsidR="009D70F8">
        <w:t xml:space="preserve">, entonces de la respuesta proporcionada por el Sujeto Obligado el formato </w:t>
      </w:r>
      <w:r w:rsidR="009D70F8" w:rsidRPr="008F0140">
        <w:rPr>
          <w:b/>
        </w:rPr>
        <w:t>PbRM-01e</w:t>
      </w:r>
      <w:r w:rsidR="009D70F8">
        <w:t xml:space="preserve"> forma parte integral del programa en movilidad sin el cual no se podría conocer el cumplimiento del </w:t>
      </w:r>
      <w:r w:rsidR="009D70F8" w:rsidRPr="008F0140">
        <w:rPr>
          <w:b/>
        </w:rPr>
        <w:t>PbRM-01d</w:t>
      </w:r>
      <w:r w:rsidR="009D70F8">
        <w:rPr>
          <w:b/>
        </w:rPr>
        <w:t xml:space="preserve">. </w:t>
      </w:r>
    </w:p>
    <w:p w14:paraId="1691CD25" w14:textId="77777777" w:rsidR="002D0A37" w:rsidRDefault="002D0A37" w:rsidP="008F0140">
      <w:pPr>
        <w:pBdr>
          <w:top w:val="nil"/>
          <w:left w:val="nil"/>
          <w:bottom w:val="nil"/>
          <w:right w:val="nil"/>
          <w:between w:val="nil"/>
        </w:pBdr>
        <w:contextualSpacing/>
        <w:rPr>
          <w:b/>
        </w:rPr>
      </w:pPr>
    </w:p>
    <w:p w14:paraId="7277CC5F" w14:textId="103F14C7" w:rsidR="002D0A37" w:rsidRPr="00944916" w:rsidRDefault="002D0A37" w:rsidP="00944916">
      <w:pPr>
        <w:rPr>
          <w:rFonts w:eastAsia="Palatino Linotype" w:cs="Palatino Linotype"/>
          <w:color w:val="000000"/>
        </w:rPr>
      </w:pPr>
      <w:r>
        <w:t xml:space="preserve">De lo anterior este Instituto considera imprescindible establecer que conforme lo establecido en líneas anteriores el Sujeto Obligado entrego el formato  </w:t>
      </w:r>
      <w:r w:rsidRPr="002D0A37">
        <w:rPr>
          <w:rFonts w:eastAsia="Palatino Linotype" w:cs="Palatino Linotype"/>
          <w:color w:val="000000"/>
        </w:rPr>
        <w:t xml:space="preserve">Pbrm-01d </w:t>
      </w:r>
      <w:r w:rsidR="00944916">
        <w:rPr>
          <w:rFonts w:eastAsia="Palatino Linotype" w:cs="Palatino Linotype"/>
          <w:color w:val="000000"/>
        </w:rPr>
        <w:t xml:space="preserve"> de los años 2022 y 2023 </w:t>
      </w:r>
      <w:r>
        <w:rPr>
          <w:rFonts w:eastAsia="Palatino Linotype" w:cs="Palatino Linotype"/>
          <w:color w:val="000000"/>
        </w:rPr>
        <w:t xml:space="preserve">al Recurrente en el que se observarían las </w:t>
      </w:r>
      <w:r>
        <w:t xml:space="preserve">técnicas de diseño de indicadores estratégicos o de gestión en materia de movilidad </w:t>
      </w:r>
      <w:r w:rsidR="00944916">
        <w:t xml:space="preserve">las cuales están propuestas </w:t>
      </w:r>
      <w:r w:rsidR="00944916">
        <w:lastRenderedPageBreak/>
        <w:t xml:space="preserve">y diseñadas para el desarrollo de cada ejercicio fiscal en el cual se plasman los </w:t>
      </w:r>
      <w:r w:rsidR="00944916" w:rsidRPr="00944916">
        <w:t>objetivos, estrategias, metas de actividad, indicadores y proyectos</w:t>
      </w:r>
      <w:r w:rsidR="00944916">
        <w:t xml:space="preserve">, sin embargo también lo es que fue omiso en agregar el </w:t>
      </w:r>
      <w:r w:rsidR="00944916" w:rsidRPr="002D0A37">
        <w:rPr>
          <w:rFonts w:eastAsia="Palatino Linotype" w:cs="Palatino Linotype"/>
          <w:color w:val="000000"/>
        </w:rPr>
        <w:t xml:space="preserve">Pbrm-01d </w:t>
      </w:r>
      <w:r w:rsidR="00944916">
        <w:rPr>
          <w:rFonts w:eastAsia="Palatino Linotype" w:cs="Palatino Linotype"/>
          <w:color w:val="000000"/>
        </w:rPr>
        <w:t xml:space="preserve">del 2024 así como los </w:t>
      </w:r>
      <w:r w:rsidR="00944916">
        <w:t xml:space="preserve">formatos </w:t>
      </w:r>
      <w:r w:rsidR="00944916" w:rsidRPr="00944916">
        <w:t>PbRM-01e</w:t>
      </w:r>
      <w:r w:rsidR="00944916">
        <w:t xml:space="preserve"> que permiten identificar el logro o beneficio, a través de los procesos de evaluación que permitirán conocer el nivel de cumplimiento de los objetivos y metas de cada uno de los Programas presupuestarios, en este sentido este Institu</w:t>
      </w:r>
      <w:r w:rsidR="000B4B46">
        <w:t>to considera dable</w:t>
      </w:r>
      <w:r w:rsidR="00944916">
        <w:t xml:space="preserve"> ordenar los formatos </w:t>
      </w:r>
      <w:r w:rsidR="00944916" w:rsidRPr="00944916">
        <w:t>PbRM-01e</w:t>
      </w:r>
      <w:r w:rsidR="00944916">
        <w:t xml:space="preserve"> de los ejercicios fiscales 2022, 2023 y 2024 así como el formato</w:t>
      </w:r>
      <w:r w:rsidR="00944916">
        <w:rPr>
          <w:rFonts w:eastAsia="Palatino Linotype" w:cs="Palatino Linotype"/>
          <w:color w:val="000000"/>
        </w:rPr>
        <w:t xml:space="preserve"> </w:t>
      </w:r>
      <w:r w:rsidR="00944916" w:rsidRPr="002D0A37">
        <w:rPr>
          <w:rFonts w:eastAsia="Palatino Linotype" w:cs="Palatino Linotype"/>
          <w:color w:val="000000"/>
        </w:rPr>
        <w:t xml:space="preserve">Pbrm-01d </w:t>
      </w:r>
      <w:r w:rsidR="00944916">
        <w:rPr>
          <w:rFonts w:eastAsia="Palatino Linotype" w:cs="Palatino Linotype"/>
          <w:color w:val="000000"/>
        </w:rPr>
        <w:t>del ejercicio fiscal 2024</w:t>
      </w:r>
      <w:r w:rsidR="007B6F7C">
        <w:rPr>
          <w:rFonts w:eastAsia="Palatino Linotype" w:cs="Palatino Linotype"/>
          <w:color w:val="000000"/>
        </w:rPr>
        <w:t xml:space="preserve">  toda vez que el Sujeto Obligado fue omiso en enviarlo en respuesta y/o informe justificado precisando que dicho documento obra dentro de sus archivos pues debe de ser aprobado junto al presupuesto de egresos</w:t>
      </w:r>
      <w:r w:rsidR="00944916">
        <w:rPr>
          <w:rFonts w:eastAsia="Palatino Linotype" w:cs="Palatino Linotype"/>
          <w:color w:val="000000"/>
        </w:rPr>
        <w:t>.</w:t>
      </w:r>
    </w:p>
    <w:p w14:paraId="5852EF69" w14:textId="77777777" w:rsidR="00D13848" w:rsidRDefault="00D13848" w:rsidP="008F0140">
      <w:pPr>
        <w:pBdr>
          <w:top w:val="nil"/>
          <w:left w:val="nil"/>
          <w:bottom w:val="nil"/>
          <w:right w:val="nil"/>
          <w:between w:val="nil"/>
        </w:pBdr>
        <w:tabs>
          <w:tab w:val="left" w:pos="1528"/>
        </w:tabs>
        <w:contextualSpacing/>
        <w:rPr>
          <w:rFonts w:eastAsia="Palatino Linotype" w:cs="Palatino Linotype"/>
          <w:color w:val="000000"/>
        </w:rPr>
      </w:pPr>
    </w:p>
    <w:p w14:paraId="1E38662E" w14:textId="57311A61" w:rsidR="009D70F8" w:rsidRDefault="00944916" w:rsidP="008F0140">
      <w:pPr>
        <w:pBdr>
          <w:top w:val="nil"/>
          <w:left w:val="nil"/>
          <w:bottom w:val="nil"/>
          <w:right w:val="nil"/>
          <w:between w:val="nil"/>
        </w:pBdr>
        <w:tabs>
          <w:tab w:val="left" w:pos="1528"/>
        </w:tabs>
        <w:contextualSpacing/>
        <w:rPr>
          <w:b/>
        </w:rPr>
      </w:pPr>
      <w:r>
        <w:rPr>
          <w:rFonts w:eastAsia="Palatino Linotype" w:cs="Palatino Linotype"/>
          <w:color w:val="000000"/>
        </w:rPr>
        <w:t>En este sentido,</w:t>
      </w:r>
      <w:r>
        <w:t xml:space="preserve"> a</w:t>
      </w:r>
      <w:r w:rsidR="009D70F8">
        <w:t xml:space="preserve">l contar con un presupuesto definido se deben corroborar las metas de actividad a realizar e identificar los tiempos de su ejecución, por lo que para este fin se requisita el formato </w:t>
      </w:r>
      <w:r w:rsidR="009D70F8" w:rsidRPr="009D70F8">
        <w:rPr>
          <w:b/>
        </w:rPr>
        <w:t>PbRM-02</w:t>
      </w:r>
      <w:r w:rsidR="009D70F8">
        <w:rPr>
          <w:b/>
        </w:rPr>
        <w:t xml:space="preserve">a </w:t>
      </w:r>
      <w:r w:rsidR="009D70F8">
        <w:t xml:space="preserve">correspondiente a la </w:t>
      </w:r>
      <w:r w:rsidR="009D70F8" w:rsidRPr="009D70F8">
        <w:rPr>
          <w:u w:val="single"/>
        </w:rPr>
        <w:t>Calendarización de metas de actividad</w:t>
      </w:r>
      <w:r w:rsidR="009D70F8">
        <w:t xml:space="preserve">, el cual tiene por objeto identificar trimestralmente las cantidades de las metas programadas anuales por proyecto, mismas que fueron planteadas en el formato </w:t>
      </w:r>
      <w:r w:rsidR="009D70F8" w:rsidRPr="009D70F8">
        <w:rPr>
          <w:b/>
        </w:rPr>
        <w:t>PbRM-01c.</w:t>
      </w:r>
    </w:p>
    <w:p w14:paraId="131137C2" w14:textId="77777777" w:rsidR="009D70F8" w:rsidRDefault="009D70F8" w:rsidP="008F0140">
      <w:pPr>
        <w:pBdr>
          <w:top w:val="nil"/>
          <w:left w:val="nil"/>
          <w:bottom w:val="nil"/>
          <w:right w:val="nil"/>
          <w:between w:val="nil"/>
        </w:pBdr>
        <w:tabs>
          <w:tab w:val="left" w:pos="1528"/>
        </w:tabs>
        <w:contextualSpacing/>
        <w:rPr>
          <w:b/>
        </w:rPr>
      </w:pPr>
    </w:p>
    <w:p w14:paraId="02843B39" w14:textId="0AC1C3EE" w:rsidR="0088097A" w:rsidRDefault="009D70F8" w:rsidP="008F0140">
      <w:pPr>
        <w:pBdr>
          <w:top w:val="nil"/>
          <w:left w:val="nil"/>
          <w:bottom w:val="nil"/>
          <w:right w:val="nil"/>
          <w:between w:val="nil"/>
        </w:pBdr>
        <w:tabs>
          <w:tab w:val="left" w:pos="1528"/>
        </w:tabs>
        <w:contextualSpacing/>
      </w:pPr>
      <w:r>
        <w:t xml:space="preserve">El formato </w:t>
      </w:r>
      <w:r w:rsidRPr="009D70F8">
        <w:rPr>
          <w:b/>
        </w:rPr>
        <w:t>PbRM-01c</w:t>
      </w:r>
      <w:r w:rsidR="007B6F7C">
        <w:t xml:space="preserve"> </w:t>
      </w:r>
      <w:r>
        <w:t xml:space="preserve">corresponde al “Programa Anual de Metas de actividad por Proyecto”, tiene como propósito establecer las acciones sustantivas para cada proyecto, mismas que deberán reflejar la diferencia entre el cumplimiento alcanzado durante el ejercicio fiscal en término y las cifras programadas que se estimen alcanzar en el ejercicio entrante. Las acciones relevantes que se incluyan deberán interrelacionarse y amalgamarse hacia el fin y propósito definido, pues </w:t>
      </w:r>
      <w:r w:rsidRPr="009D70F8">
        <w:rPr>
          <w:u w:val="single"/>
        </w:rPr>
        <w:t xml:space="preserve">representan los efectos inmediatos </w:t>
      </w:r>
      <w:r w:rsidRPr="009D70F8">
        <w:rPr>
          <w:u w:val="single"/>
        </w:rPr>
        <w:lastRenderedPageBreak/>
        <w:t>que se pretenden conseguir derivado de la implementación de los proyectos</w:t>
      </w:r>
      <w:r>
        <w:t xml:space="preserve"> y que en su conjunto permiten alcanzar los objetivos determinados y pueden llegar a generar un impacto o beneficio social en el mediano o largo plazo.</w:t>
      </w:r>
    </w:p>
    <w:p w14:paraId="46862CFF" w14:textId="77777777" w:rsidR="007B6F7C" w:rsidRDefault="007B6F7C" w:rsidP="008F0140">
      <w:pPr>
        <w:pBdr>
          <w:top w:val="nil"/>
          <w:left w:val="nil"/>
          <w:bottom w:val="nil"/>
          <w:right w:val="nil"/>
          <w:between w:val="nil"/>
        </w:pBdr>
        <w:tabs>
          <w:tab w:val="left" w:pos="1528"/>
        </w:tabs>
        <w:contextualSpacing/>
      </w:pPr>
    </w:p>
    <w:p w14:paraId="2B264402" w14:textId="68C8AC82" w:rsidR="008F0140" w:rsidRDefault="009D70F8" w:rsidP="008F0140">
      <w:pPr>
        <w:pBdr>
          <w:top w:val="nil"/>
          <w:left w:val="nil"/>
          <w:bottom w:val="nil"/>
          <w:right w:val="nil"/>
          <w:between w:val="nil"/>
        </w:pBdr>
        <w:tabs>
          <w:tab w:val="left" w:pos="1528"/>
        </w:tabs>
        <w:contextualSpacing/>
      </w:pPr>
      <w:r>
        <w:t>De lo anterior el formato</w:t>
      </w:r>
      <w:r w:rsidR="008F0140">
        <w:t xml:space="preserve"> del Programa Anual el </w:t>
      </w:r>
      <w:r w:rsidR="008F0140" w:rsidRPr="009D70F8">
        <w:rPr>
          <w:b/>
        </w:rPr>
        <w:t>PbRM-02a</w:t>
      </w:r>
      <w:r w:rsidR="008F0140">
        <w:t xml:space="preserve"> “Calendarización de metas de actividad”, el cual tiene por objeto identificar trimestralmente la ejecución de la meta anual, la cual proviene </w:t>
      </w:r>
      <w:r w:rsidR="007B6F7C">
        <w:t xml:space="preserve">directamente </w:t>
      </w:r>
      <w:r w:rsidR="008F0140">
        <w:t xml:space="preserve">del formato </w:t>
      </w:r>
      <w:r>
        <w:rPr>
          <w:b/>
        </w:rPr>
        <w:t xml:space="preserve">PbRM-01c, </w:t>
      </w:r>
      <w:r>
        <w:t xml:space="preserve">es decir el formato </w:t>
      </w:r>
      <w:r w:rsidRPr="009D70F8">
        <w:t>PbRM-01c</w:t>
      </w:r>
      <w:r>
        <w:t xml:space="preserve"> establece las acciones sustantivas para cada proyecto derivando a que en el formato </w:t>
      </w:r>
      <w:r w:rsidRPr="009D70F8">
        <w:t>PbRM-02a</w:t>
      </w:r>
      <w:r>
        <w:t xml:space="preserve">  se calendaricen las</w:t>
      </w:r>
      <w:r w:rsidRPr="009D70F8">
        <w:t xml:space="preserve"> metas de actividad</w:t>
      </w:r>
      <w:r>
        <w:t xml:space="preserve"> propuestas para cada proyecto.</w:t>
      </w:r>
    </w:p>
    <w:p w14:paraId="1FE75847" w14:textId="77777777" w:rsidR="00944916" w:rsidRDefault="00944916" w:rsidP="008F0140">
      <w:pPr>
        <w:pBdr>
          <w:top w:val="nil"/>
          <w:left w:val="nil"/>
          <w:bottom w:val="nil"/>
          <w:right w:val="nil"/>
          <w:between w:val="nil"/>
        </w:pBdr>
        <w:tabs>
          <w:tab w:val="left" w:pos="1528"/>
        </w:tabs>
        <w:contextualSpacing/>
      </w:pPr>
    </w:p>
    <w:p w14:paraId="093258F0" w14:textId="701A4709" w:rsidR="00944916" w:rsidRPr="009D70F8" w:rsidRDefault="00944916" w:rsidP="008F0140">
      <w:pPr>
        <w:pBdr>
          <w:top w:val="nil"/>
          <w:left w:val="nil"/>
          <w:bottom w:val="nil"/>
          <w:right w:val="nil"/>
          <w:between w:val="nil"/>
        </w:pBdr>
        <w:tabs>
          <w:tab w:val="left" w:pos="1528"/>
        </w:tabs>
        <w:contextualSpacing/>
      </w:pPr>
      <w:r>
        <w:t xml:space="preserve">Por lo que es de recordarse que el Sujeto Obligado hizo entrega del formato  </w:t>
      </w:r>
      <w:r w:rsidRPr="00944916">
        <w:t>PbRM-02</w:t>
      </w:r>
      <w:r>
        <w:t xml:space="preserve">a para el ejercicio fiscal 2024 el cual si bien se advierte la calendarización de metas trimestrales en armonía con la meta anual de movilidad también lo es que fue omiso en anexa el formato </w:t>
      </w:r>
      <w:r w:rsidRPr="00944916">
        <w:t>PbRM-01c</w:t>
      </w:r>
      <w:r>
        <w:t xml:space="preserve"> del cual emana el formato enviado por el Sujeto Obligado  pues en éste último se establecen las acciones sustantivas para cada proyecto,</w:t>
      </w:r>
      <w:r w:rsidRPr="00944916">
        <w:t xml:space="preserve"> </w:t>
      </w:r>
      <w:r>
        <w:t xml:space="preserve">en este sentido este Instituto considera </w:t>
      </w:r>
      <w:r w:rsidR="000B4B46">
        <w:t>dable</w:t>
      </w:r>
      <w:r>
        <w:t xml:space="preserve"> ordenar </w:t>
      </w:r>
      <w:r w:rsidR="000B4B46">
        <w:t xml:space="preserve">de ser procedente en versión pública </w:t>
      </w:r>
      <w:r>
        <w:t>los formatos PbRM-01c de los ejercicios fiscales 2022, 2023 y 2024 así como el formato</w:t>
      </w:r>
      <w:r w:rsidR="00D13848">
        <w:rPr>
          <w:rFonts w:eastAsia="Palatino Linotype" w:cs="Palatino Linotype"/>
          <w:color w:val="000000"/>
        </w:rPr>
        <w:t xml:space="preserve"> Pbrm-02</w:t>
      </w:r>
      <w:r>
        <w:rPr>
          <w:rFonts w:eastAsia="Palatino Linotype" w:cs="Palatino Linotype"/>
          <w:color w:val="000000"/>
        </w:rPr>
        <w:t>a</w:t>
      </w:r>
      <w:r w:rsidRPr="002D0A37">
        <w:rPr>
          <w:rFonts w:eastAsia="Palatino Linotype" w:cs="Palatino Linotype"/>
          <w:color w:val="000000"/>
        </w:rPr>
        <w:t xml:space="preserve"> </w:t>
      </w:r>
      <w:r>
        <w:rPr>
          <w:rFonts w:eastAsia="Palatino Linotype" w:cs="Palatino Linotype"/>
          <w:color w:val="000000"/>
        </w:rPr>
        <w:t>de los</w:t>
      </w:r>
      <w:r w:rsidR="00D13848">
        <w:rPr>
          <w:rFonts w:eastAsia="Palatino Linotype" w:cs="Palatino Linotype"/>
          <w:color w:val="000000"/>
        </w:rPr>
        <w:t xml:space="preserve"> ejercicios fiscales 2022 y 2023</w:t>
      </w:r>
      <w:r>
        <w:rPr>
          <w:rFonts w:eastAsia="Palatino Linotype" w:cs="Palatino Linotype"/>
          <w:color w:val="000000"/>
        </w:rPr>
        <w:t>.</w:t>
      </w:r>
    </w:p>
    <w:p w14:paraId="760BCD3A" w14:textId="77777777" w:rsidR="008F0140" w:rsidRDefault="008F0140" w:rsidP="008F0140">
      <w:pPr>
        <w:pBdr>
          <w:top w:val="nil"/>
          <w:left w:val="nil"/>
          <w:bottom w:val="nil"/>
          <w:right w:val="nil"/>
          <w:between w:val="nil"/>
        </w:pBdr>
        <w:contextualSpacing/>
        <w:rPr>
          <w:i/>
        </w:rPr>
      </w:pPr>
    </w:p>
    <w:p w14:paraId="442FCB26" w14:textId="77777777" w:rsidR="0027504B" w:rsidRDefault="0027504B" w:rsidP="00DE2D4E">
      <w:pPr>
        <w:pBdr>
          <w:top w:val="nil"/>
          <w:left w:val="nil"/>
          <w:bottom w:val="nil"/>
          <w:right w:val="nil"/>
          <w:between w:val="nil"/>
        </w:pBdr>
      </w:pPr>
    </w:p>
    <w:p w14:paraId="3EFDD416" w14:textId="77777777" w:rsidR="000B4B46" w:rsidRPr="006E0899" w:rsidRDefault="000B4B46" w:rsidP="000B4B46">
      <w:pPr>
        <w:numPr>
          <w:ilvl w:val="0"/>
          <w:numId w:val="11"/>
        </w:numPr>
        <w:rPr>
          <w:rFonts w:cs="Arial"/>
          <w:b/>
          <w:i/>
          <w:sz w:val="28"/>
          <w:lang w:val="es-ES" w:eastAsia="es-ES"/>
        </w:rPr>
      </w:pPr>
      <w:r w:rsidRPr="006E0899">
        <w:rPr>
          <w:rFonts w:cs="Arial"/>
          <w:b/>
          <w:i/>
          <w:sz w:val="28"/>
          <w:lang w:val="es-ES" w:eastAsia="es-ES"/>
        </w:rPr>
        <w:t>De la Versión pública</w:t>
      </w:r>
    </w:p>
    <w:p w14:paraId="2ABE2F14" w14:textId="77777777" w:rsidR="000B4B46" w:rsidRPr="006E0899" w:rsidRDefault="000B4B46" w:rsidP="000B4B46">
      <w:pPr>
        <w:rPr>
          <w:rFonts w:cs="Arial"/>
        </w:rPr>
      </w:pPr>
      <w:r w:rsidRPr="006E0899">
        <w:rPr>
          <w:rFonts w:cs="Arial"/>
        </w:rPr>
        <w:t xml:space="preserve">Toda vez que los documentos referidos anteriormente son elaborados por quincenas y atendiendo al requerimiento del ciudadano, este Órgano Garante determina ordenar que la entrega de la información al </w:t>
      </w:r>
      <w:r w:rsidRPr="006E0899">
        <w:rPr>
          <w:rFonts w:cs="Arial"/>
          <w:b/>
        </w:rPr>
        <w:t>Recurrente</w:t>
      </w:r>
      <w:r w:rsidRPr="006E0899">
        <w:rPr>
          <w:rFonts w:cs="Arial"/>
        </w:rPr>
        <w:t xml:space="preserve"> se haga en versión pública, esto es, omitiendo, </w:t>
      </w:r>
      <w:r w:rsidRPr="006E0899">
        <w:rPr>
          <w:rFonts w:cs="Arial"/>
        </w:rPr>
        <w:lastRenderedPageBreak/>
        <w:t>eliminando o suprimiendo la información personal de cada funcionario público, susceptibles de ser clasificadas como confidencial o cualquier otro dato que ponga en riesgo la vida, seguridad o salud de dicha persona.</w:t>
      </w:r>
    </w:p>
    <w:p w14:paraId="5D20D8FF" w14:textId="77777777" w:rsidR="000B4B46" w:rsidRPr="006E0899" w:rsidRDefault="000B4B46" w:rsidP="000B4B46">
      <w:pPr>
        <w:rPr>
          <w:rFonts w:cs="Arial"/>
        </w:rPr>
      </w:pPr>
    </w:p>
    <w:p w14:paraId="50319A75" w14:textId="77777777" w:rsidR="000B4B46" w:rsidRPr="00201046" w:rsidRDefault="000B4B46" w:rsidP="000B4B46">
      <w:pPr>
        <w:rPr>
          <w:rFonts w:cs="Arial"/>
        </w:rPr>
      </w:pPr>
      <w:r w:rsidRPr="006E0899">
        <w:rPr>
          <w:rFonts w:cs="Arial"/>
        </w:rPr>
        <w:t xml:space="preserve">A este respecto, los artículos 3, fracciones IX, XX, XXI y XLV; 51 y 52, de la Ley de Transparencia y Acceso a la Información Pública del Estado de </w:t>
      </w:r>
      <w:r>
        <w:rPr>
          <w:rFonts w:cs="Arial"/>
        </w:rPr>
        <w:t>México y Municipios establecen:</w:t>
      </w:r>
    </w:p>
    <w:p w14:paraId="19FF62F5" w14:textId="77777777" w:rsidR="000B4B46" w:rsidRPr="00201046" w:rsidRDefault="000B4B46" w:rsidP="000B4B46">
      <w:pPr>
        <w:ind w:left="567" w:right="567"/>
        <w:rPr>
          <w:rFonts w:cs="Arial"/>
          <w:i/>
          <w:sz w:val="22"/>
        </w:rPr>
      </w:pPr>
      <w:r w:rsidRPr="00201046">
        <w:rPr>
          <w:rFonts w:cs="Arial"/>
          <w:i/>
          <w:sz w:val="22"/>
        </w:rPr>
        <w:t>“</w:t>
      </w:r>
      <w:r w:rsidRPr="00201046">
        <w:rPr>
          <w:rFonts w:cs="Arial"/>
          <w:b/>
          <w:i/>
          <w:sz w:val="22"/>
        </w:rPr>
        <w:t>Artículo 3.</w:t>
      </w:r>
      <w:r w:rsidRPr="00201046">
        <w:rPr>
          <w:rFonts w:cs="Arial"/>
          <w:i/>
          <w:sz w:val="22"/>
        </w:rPr>
        <w:t xml:space="preserve"> Para los efectos de la presente Ley se entenderá por: </w:t>
      </w:r>
    </w:p>
    <w:p w14:paraId="75840C6B" w14:textId="77777777" w:rsidR="000B4B46" w:rsidRPr="00201046" w:rsidRDefault="000B4B46" w:rsidP="000B4B46">
      <w:pPr>
        <w:ind w:left="567" w:right="567"/>
        <w:rPr>
          <w:rFonts w:cs="Arial"/>
          <w:i/>
          <w:sz w:val="22"/>
        </w:rPr>
      </w:pPr>
      <w:r w:rsidRPr="00201046">
        <w:rPr>
          <w:rFonts w:cs="Arial"/>
          <w:i/>
          <w:sz w:val="22"/>
        </w:rPr>
        <w:t>…</w:t>
      </w:r>
    </w:p>
    <w:p w14:paraId="65DD66A5" w14:textId="77777777" w:rsidR="000B4B46" w:rsidRPr="00201046" w:rsidRDefault="000B4B46" w:rsidP="000B4B46">
      <w:pPr>
        <w:ind w:left="567" w:right="567"/>
        <w:rPr>
          <w:rFonts w:cs="Arial"/>
          <w:i/>
          <w:sz w:val="22"/>
        </w:rPr>
      </w:pPr>
      <w:r w:rsidRPr="00201046">
        <w:rPr>
          <w:rFonts w:cs="Arial"/>
          <w:b/>
          <w:i/>
          <w:sz w:val="22"/>
        </w:rPr>
        <w:t>IX</w:t>
      </w:r>
      <w:r w:rsidRPr="00201046">
        <w:rPr>
          <w:rFonts w:cs="Arial"/>
          <w:i/>
          <w:sz w:val="22"/>
        </w:rPr>
        <w:t xml:space="preserve">. </w:t>
      </w:r>
      <w:r w:rsidRPr="00201046">
        <w:rPr>
          <w:rFonts w:cs="Arial"/>
          <w:b/>
          <w:i/>
          <w:sz w:val="22"/>
        </w:rPr>
        <w:t>Datos personales:</w:t>
      </w:r>
      <w:r w:rsidRPr="00201046">
        <w:rPr>
          <w:rFonts w:cs="Arial"/>
          <w:i/>
          <w:sz w:val="22"/>
        </w:rPr>
        <w:t xml:space="preserve"> La información concerniente a una persona, identificada o identificable según lo dispuesto por la Ley de Protección de Datos Personales del Estado de México; </w:t>
      </w:r>
    </w:p>
    <w:p w14:paraId="79B7B8DB" w14:textId="77777777" w:rsidR="000B4B46" w:rsidRPr="00201046" w:rsidRDefault="000B4B46" w:rsidP="000B4B46">
      <w:pPr>
        <w:ind w:left="567" w:right="567"/>
        <w:rPr>
          <w:rFonts w:cs="Arial"/>
          <w:i/>
          <w:sz w:val="22"/>
        </w:rPr>
      </w:pPr>
    </w:p>
    <w:p w14:paraId="183B9F80" w14:textId="77777777" w:rsidR="000B4B46" w:rsidRPr="00201046" w:rsidRDefault="000B4B46" w:rsidP="000B4B46">
      <w:pPr>
        <w:ind w:left="567" w:right="567"/>
        <w:rPr>
          <w:rFonts w:cs="Arial"/>
          <w:i/>
          <w:sz w:val="22"/>
        </w:rPr>
      </w:pPr>
      <w:r w:rsidRPr="00201046">
        <w:rPr>
          <w:rFonts w:cs="Arial"/>
          <w:b/>
          <w:i/>
          <w:sz w:val="22"/>
        </w:rPr>
        <w:t>XX. Información clasificada:</w:t>
      </w:r>
      <w:r w:rsidRPr="00201046">
        <w:rPr>
          <w:rFonts w:cs="Arial"/>
          <w:i/>
          <w:sz w:val="22"/>
        </w:rPr>
        <w:t xml:space="preserve"> Aquella considerada por la presente Ley como reservada o confidencial; </w:t>
      </w:r>
    </w:p>
    <w:p w14:paraId="4262A161" w14:textId="77777777" w:rsidR="000B4B46" w:rsidRPr="00201046" w:rsidRDefault="000B4B46" w:rsidP="000B4B46">
      <w:pPr>
        <w:ind w:left="567" w:right="567"/>
        <w:rPr>
          <w:rFonts w:cs="Arial"/>
          <w:i/>
          <w:sz w:val="22"/>
        </w:rPr>
      </w:pPr>
    </w:p>
    <w:p w14:paraId="5CD5E2B3" w14:textId="77777777" w:rsidR="000B4B46" w:rsidRPr="00201046" w:rsidRDefault="000B4B46" w:rsidP="000B4B46">
      <w:pPr>
        <w:ind w:left="567" w:right="567"/>
        <w:rPr>
          <w:rFonts w:cs="Arial"/>
          <w:i/>
          <w:sz w:val="22"/>
        </w:rPr>
      </w:pPr>
      <w:r w:rsidRPr="00201046">
        <w:rPr>
          <w:rFonts w:cs="Arial"/>
          <w:b/>
          <w:i/>
          <w:sz w:val="22"/>
        </w:rPr>
        <w:t>XXI. Información confidencial:</w:t>
      </w:r>
      <w:r w:rsidRPr="00201046">
        <w:rPr>
          <w:rFonts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466CC6A" w14:textId="77777777" w:rsidR="000B4B46" w:rsidRPr="00201046" w:rsidRDefault="000B4B46" w:rsidP="000B4B46">
      <w:pPr>
        <w:ind w:left="567" w:right="567"/>
        <w:rPr>
          <w:rFonts w:cs="Arial"/>
          <w:i/>
          <w:sz w:val="22"/>
        </w:rPr>
      </w:pPr>
    </w:p>
    <w:p w14:paraId="46BCBAC0" w14:textId="77777777" w:rsidR="000B4B46" w:rsidRPr="00201046" w:rsidRDefault="000B4B46" w:rsidP="000B4B46">
      <w:pPr>
        <w:ind w:left="567" w:right="567"/>
        <w:rPr>
          <w:rFonts w:cs="Arial"/>
          <w:i/>
          <w:sz w:val="22"/>
        </w:rPr>
      </w:pPr>
      <w:r w:rsidRPr="00201046">
        <w:rPr>
          <w:rFonts w:cs="Arial"/>
          <w:b/>
          <w:i/>
          <w:sz w:val="22"/>
        </w:rPr>
        <w:t>XLV. Versión pública:</w:t>
      </w:r>
      <w:r w:rsidRPr="00201046">
        <w:rPr>
          <w:rFonts w:cs="Arial"/>
          <w:i/>
          <w:sz w:val="22"/>
        </w:rPr>
        <w:t xml:space="preserve"> Documento en el que se elimine, suprime o borra la información clasificada como reservada o confidencial para permitir su acceso. </w:t>
      </w:r>
    </w:p>
    <w:p w14:paraId="51553316" w14:textId="77777777" w:rsidR="000B4B46" w:rsidRPr="00201046" w:rsidRDefault="000B4B46" w:rsidP="000B4B46">
      <w:pPr>
        <w:ind w:left="567" w:right="567"/>
        <w:rPr>
          <w:rFonts w:cs="Arial"/>
          <w:i/>
          <w:sz w:val="22"/>
        </w:rPr>
      </w:pPr>
    </w:p>
    <w:p w14:paraId="4C95BCF1" w14:textId="77777777" w:rsidR="000B4B46" w:rsidRPr="00201046" w:rsidRDefault="000B4B46" w:rsidP="000B4B46">
      <w:pPr>
        <w:ind w:left="567" w:right="567"/>
        <w:rPr>
          <w:rFonts w:cs="Arial"/>
          <w:i/>
          <w:sz w:val="22"/>
        </w:rPr>
      </w:pPr>
      <w:r w:rsidRPr="00201046">
        <w:rPr>
          <w:rFonts w:cs="Arial"/>
          <w:b/>
          <w:i/>
          <w:sz w:val="22"/>
        </w:rPr>
        <w:lastRenderedPageBreak/>
        <w:t xml:space="preserve">Artículo 51. </w:t>
      </w:r>
      <w:r w:rsidRPr="00201046">
        <w:rPr>
          <w:rFonts w:cs="Arial"/>
          <w:i/>
          <w:sz w:val="22"/>
        </w:rPr>
        <w:t xml:space="preserve">Los sujetos obligados designaran a un responsable para atender la Unidad de Transparencia, quien fungirá como enlace entre éstos y los solicitantes. Dicha Unidad será la encargada de tramitar internamente la solicitud de información </w:t>
      </w:r>
      <w:r w:rsidRPr="00201046">
        <w:rPr>
          <w:rFonts w:cs="Arial"/>
          <w:b/>
          <w:i/>
          <w:sz w:val="22"/>
        </w:rPr>
        <w:t>y tendrá la responsabilidad de verificar en cada caso que la misma no sea confidencial o reservada</w:t>
      </w:r>
      <w:r w:rsidRPr="00201046">
        <w:rPr>
          <w:rFonts w:cs="Arial"/>
          <w:i/>
          <w:sz w:val="22"/>
        </w:rPr>
        <w:t xml:space="preserve">. Dicha Unidad contará con las facultades internas necesarias para gestionar la atención a las solicitudes de información en los términos de la Ley General y la presente Ley. </w:t>
      </w:r>
    </w:p>
    <w:p w14:paraId="277E3D3F" w14:textId="77777777" w:rsidR="000B4B46" w:rsidRPr="00201046" w:rsidRDefault="000B4B46" w:rsidP="000B4B46">
      <w:pPr>
        <w:ind w:left="567" w:right="567"/>
        <w:rPr>
          <w:rFonts w:cs="Arial"/>
          <w:i/>
          <w:sz w:val="22"/>
        </w:rPr>
      </w:pPr>
    </w:p>
    <w:p w14:paraId="31006F9B" w14:textId="77777777" w:rsidR="000B4B46" w:rsidRPr="00201046" w:rsidRDefault="000B4B46" w:rsidP="000B4B46">
      <w:pPr>
        <w:ind w:left="567" w:right="567"/>
        <w:rPr>
          <w:rFonts w:cs="Arial"/>
          <w:i/>
          <w:sz w:val="22"/>
        </w:rPr>
      </w:pPr>
      <w:r w:rsidRPr="00201046">
        <w:rPr>
          <w:rFonts w:cs="Arial"/>
          <w:b/>
          <w:i/>
          <w:sz w:val="22"/>
        </w:rPr>
        <w:t>Artículo 52.</w:t>
      </w:r>
      <w:r w:rsidRPr="00201046">
        <w:rPr>
          <w:rFonts w:cs="Arial"/>
          <w:i/>
          <w:sz w:val="22"/>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78C65F5A" w14:textId="77777777" w:rsidR="000B4B46" w:rsidRPr="006E0899" w:rsidRDefault="000B4B46" w:rsidP="000B4B46">
      <w:pPr>
        <w:rPr>
          <w:rFonts w:cs="Arial"/>
        </w:rPr>
      </w:pPr>
    </w:p>
    <w:p w14:paraId="6D44FBED" w14:textId="77777777" w:rsidR="000B4B46" w:rsidRDefault="000B4B46" w:rsidP="000B4B46">
      <w:pPr>
        <w:rPr>
          <w:rFonts w:cs="Arial"/>
        </w:rPr>
      </w:pPr>
      <w:r w:rsidRPr="006E0899">
        <w:rPr>
          <w:rFonts w:cs="Arial"/>
        </w:rPr>
        <w:t>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w:t>
      </w:r>
      <w:r>
        <w:rPr>
          <w:rFonts w:cs="Arial"/>
        </w:rPr>
        <w:t xml:space="preserve">scriben para mayor referencia: </w:t>
      </w:r>
    </w:p>
    <w:p w14:paraId="766CF9FC" w14:textId="77777777" w:rsidR="000B4B46" w:rsidRPr="006E0899" w:rsidRDefault="000B4B46" w:rsidP="000B4B46">
      <w:pPr>
        <w:rPr>
          <w:rFonts w:cs="Arial"/>
        </w:rPr>
      </w:pPr>
    </w:p>
    <w:p w14:paraId="0A81933C" w14:textId="77777777" w:rsidR="000B4B46" w:rsidRPr="00201046" w:rsidRDefault="000B4B46" w:rsidP="000B4B46">
      <w:pPr>
        <w:ind w:left="567" w:right="567"/>
        <w:rPr>
          <w:rFonts w:cs="Arial"/>
          <w:i/>
          <w:sz w:val="22"/>
        </w:rPr>
      </w:pPr>
      <w:r w:rsidRPr="006E0899">
        <w:rPr>
          <w:rFonts w:cs="Arial"/>
          <w:i/>
        </w:rPr>
        <w:lastRenderedPageBreak/>
        <w:t>“</w:t>
      </w:r>
      <w:r w:rsidRPr="00201046">
        <w:rPr>
          <w:rFonts w:cs="Arial"/>
          <w:b/>
          <w:i/>
          <w:sz w:val="22"/>
        </w:rPr>
        <w:t>Artículo 22.</w:t>
      </w:r>
      <w:r w:rsidRPr="00201046">
        <w:rPr>
          <w:rFonts w:cs="Arial"/>
          <w:i/>
          <w:sz w:val="22"/>
        </w:rPr>
        <w:t xml:space="preserve"> Todo tratamiento de datos personales que efectúe el responsable deberá estar justificado por finalidades concretas, lícitas, explícitas y legítimas, relacionadas con las atribuciones que la normatividad aplicable les confiera.</w:t>
      </w:r>
    </w:p>
    <w:p w14:paraId="27FA1A13" w14:textId="77777777" w:rsidR="000B4B46" w:rsidRPr="00201046" w:rsidRDefault="000B4B46" w:rsidP="000B4B46">
      <w:pPr>
        <w:ind w:left="567" w:right="567"/>
        <w:rPr>
          <w:rFonts w:cs="Arial"/>
          <w:i/>
          <w:sz w:val="22"/>
        </w:rPr>
      </w:pPr>
    </w:p>
    <w:p w14:paraId="40C703FF" w14:textId="77777777" w:rsidR="000B4B46" w:rsidRPr="00201046" w:rsidRDefault="000B4B46" w:rsidP="000B4B46">
      <w:pPr>
        <w:ind w:left="567" w:right="567"/>
        <w:rPr>
          <w:rFonts w:cs="Arial"/>
          <w:i/>
          <w:sz w:val="22"/>
        </w:rPr>
      </w:pPr>
      <w:r w:rsidRPr="00201046">
        <w:rPr>
          <w:rFonts w:cs="Arial"/>
          <w:i/>
          <w:sz w:val="22"/>
        </w:rPr>
        <w:t>El responsable podrá tratar datos personales para finalidades distintas a aquéllas establecidas en el aviso de privacidad, en los casos siguientes:</w:t>
      </w:r>
    </w:p>
    <w:p w14:paraId="2DF13736" w14:textId="77777777" w:rsidR="000B4B46" w:rsidRPr="00201046" w:rsidRDefault="000B4B46" w:rsidP="000B4B46">
      <w:pPr>
        <w:ind w:left="567" w:right="567"/>
        <w:rPr>
          <w:rFonts w:cs="Arial"/>
          <w:i/>
          <w:sz w:val="22"/>
        </w:rPr>
      </w:pPr>
    </w:p>
    <w:p w14:paraId="19DFE9D6" w14:textId="77777777" w:rsidR="000B4B46" w:rsidRPr="00201046" w:rsidRDefault="000B4B46" w:rsidP="000B4B46">
      <w:pPr>
        <w:ind w:left="567" w:right="567"/>
        <w:rPr>
          <w:rFonts w:cs="Arial"/>
          <w:i/>
          <w:sz w:val="22"/>
        </w:rPr>
      </w:pPr>
      <w:r w:rsidRPr="00201046">
        <w:rPr>
          <w:rFonts w:cs="Arial"/>
          <w:i/>
          <w:sz w:val="22"/>
        </w:rPr>
        <w:t>I. Cuente con atribuciones conferidas en ley y medie el consentimiento del titular.</w:t>
      </w:r>
    </w:p>
    <w:p w14:paraId="3E1A7AB4" w14:textId="77777777" w:rsidR="000B4B46" w:rsidRPr="00201046" w:rsidRDefault="000B4B46" w:rsidP="000B4B46">
      <w:pPr>
        <w:ind w:left="567" w:right="567"/>
        <w:rPr>
          <w:rFonts w:cs="Arial"/>
          <w:i/>
          <w:sz w:val="22"/>
        </w:rPr>
      </w:pPr>
      <w:r w:rsidRPr="00201046">
        <w:rPr>
          <w:rFonts w:cs="Arial"/>
          <w:i/>
          <w:sz w:val="22"/>
        </w:rPr>
        <w:t>II. Se trate de una persona reportada como desaparecida, en los términos previstos en la presente Ley y demás disposiciones legales aplicables...</w:t>
      </w:r>
    </w:p>
    <w:p w14:paraId="18E21B91" w14:textId="77777777" w:rsidR="000B4B46" w:rsidRPr="00201046" w:rsidRDefault="000B4B46" w:rsidP="000B4B46">
      <w:pPr>
        <w:ind w:left="567" w:right="567"/>
        <w:rPr>
          <w:rFonts w:cs="Arial"/>
          <w:i/>
          <w:sz w:val="22"/>
        </w:rPr>
      </w:pPr>
    </w:p>
    <w:p w14:paraId="35484ACA" w14:textId="77777777" w:rsidR="000B4B46" w:rsidRPr="006E0899" w:rsidRDefault="000B4B46" w:rsidP="000B4B46">
      <w:pPr>
        <w:ind w:left="567" w:right="567"/>
        <w:rPr>
          <w:rFonts w:cs="Arial"/>
          <w:i/>
        </w:rPr>
      </w:pPr>
      <w:r w:rsidRPr="00201046">
        <w:rPr>
          <w:rFonts w:cs="Arial"/>
          <w:b/>
          <w:i/>
          <w:sz w:val="22"/>
        </w:rPr>
        <w:t>Artículo 38.</w:t>
      </w:r>
      <w:r w:rsidRPr="00201046">
        <w:rPr>
          <w:rFonts w:cs="Arial"/>
          <w:i/>
          <w:sz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6E0899">
        <w:rPr>
          <w:rFonts w:cs="Arial"/>
          <w:i/>
        </w:rPr>
        <w:t xml:space="preserve">.” </w:t>
      </w:r>
    </w:p>
    <w:p w14:paraId="3169FB4E" w14:textId="77777777" w:rsidR="000B4B46" w:rsidRPr="006E0899" w:rsidRDefault="000B4B46" w:rsidP="000B4B46">
      <w:pPr>
        <w:rPr>
          <w:rFonts w:cs="Arial"/>
        </w:rPr>
      </w:pPr>
    </w:p>
    <w:p w14:paraId="49DAA398" w14:textId="77777777" w:rsidR="000B4B46" w:rsidRPr="006E0899" w:rsidRDefault="000B4B46" w:rsidP="000B4B46">
      <w:pPr>
        <w:rPr>
          <w:rFonts w:cs="Arial"/>
        </w:rPr>
      </w:pPr>
      <w:r w:rsidRPr="006E0899">
        <w:rPr>
          <w:rFonts w:cs="Arial"/>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63C2EA43" w14:textId="77777777" w:rsidR="000B4B46" w:rsidRPr="006E0899" w:rsidRDefault="000B4B46" w:rsidP="000B4B46">
      <w:pPr>
        <w:rPr>
          <w:rFonts w:cs="Arial"/>
        </w:rPr>
      </w:pPr>
    </w:p>
    <w:p w14:paraId="47A209B2" w14:textId="77777777" w:rsidR="000B4B46" w:rsidRPr="006E0899" w:rsidRDefault="000B4B46" w:rsidP="000B4B46">
      <w:pPr>
        <w:rPr>
          <w:rFonts w:cs="Arial"/>
        </w:rPr>
      </w:pPr>
      <w:r w:rsidRPr="006E0899">
        <w:rPr>
          <w:rFonts w:cs="Arial"/>
        </w:rPr>
        <w:lastRenderedPageBreak/>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el Sujeto Obligado, en ese contexto, todo dato personal susceptible de clasificación debe ser protegido. </w:t>
      </w:r>
    </w:p>
    <w:p w14:paraId="2E5AC715" w14:textId="77777777" w:rsidR="000B4B46" w:rsidRPr="006E0899" w:rsidRDefault="000B4B46" w:rsidP="000B4B46">
      <w:pPr>
        <w:rPr>
          <w:rFonts w:cs="Arial"/>
        </w:rPr>
      </w:pPr>
    </w:p>
    <w:p w14:paraId="6B944D2A" w14:textId="77777777" w:rsidR="000B4B46" w:rsidRPr="006E0899" w:rsidRDefault="000B4B46" w:rsidP="000B4B46">
      <w:pPr>
        <w:rPr>
          <w:rFonts w:cs="Arial"/>
        </w:rPr>
      </w:pPr>
      <w:r w:rsidRPr="006E0899">
        <w:rPr>
          <w:rFonts w:cs="Arial"/>
        </w:rPr>
        <w:t xml:space="preserve">Asimismo, de la versión pública deberá dejarse a la vista del Recurrente los siguientes elementos de información pública: monto total del sueldo neto y bruto, compensaciones, prestaciones, aguinaldos, bonos, pagos por concepto de gasolina, de servicio de telefonía celular, el nombre del servidor público, el cargo que desempeña, área de adscripción, número de empleado (sólo en caso de no arrojar datos personales) y el período de la nómina respectiva, básicamente.  </w:t>
      </w:r>
    </w:p>
    <w:p w14:paraId="33612A9C" w14:textId="77777777" w:rsidR="000B4B46" w:rsidRPr="006E0899" w:rsidRDefault="000B4B46" w:rsidP="000B4B46">
      <w:pPr>
        <w:rPr>
          <w:rFonts w:cs="Arial"/>
        </w:rPr>
      </w:pPr>
    </w:p>
    <w:p w14:paraId="31AC814F" w14:textId="77777777" w:rsidR="000B4B46" w:rsidRPr="00201046" w:rsidRDefault="000B4B46" w:rsidP="000B4B46">
      <w:pPr>
        <w:rPr>
          <w:rFonts w:cs="Arial"/>
        </w:rPr>
      </w:pPr>
      <w:r w:rsidRPr="006E0899">
        <w:rPr>
          <w:rFonts w:cs="Arial"/>
        </w:rPr>
        <w:t>Robustece lo anterior, el criterio sustentado por la Segunda Sala de la Suprema Corte de Justicia de la Nación, visible en la página 2518 del Tomo XXII, de la Novena Época del Semanario Judicial de la Federación y su Gaceta, Julio de 200</w:t>
      </w:r>
      <w:r>
        <w:rPr>
          <w:rFonts w:cs="Arial"/>
        </w:rPr>
        <w:t>8, de rubro y texto siguientes:</w:t>
      </w:r>
    </w:p>
    <w:p w14:paraId="41E976FC" w14:textId="77777777" w:rsidR="000B4B46" w:rsidRPr="00201046" w:rsidRDefault="000B4B46" w:rsidP="000B4B46">
      <w:pPr>
        <w:ind w:left="567" w:right="567"/>
        <w:rPr>
          <w:rFonts w:cs="Arial"/>
          <w:i/>
          <w:sz w:val="22"/>
        </w:rPr>
      </w:pPr>
      <w:r w:rsidRPr="00201046">
        <w:rPr>
          <w:rFonts w:cs="Arial"/>
          <w:i/>
          <w:sz w:val="22"/>
        </w:rPr>
        <w:t>"</w:t>
      </w:r>
      <w:r w:rsidRPr="00201046">
        <w:rPr>
          <w:rFonts w:cs="Arial"/>
          <w:b/>
          <w:i/>
          <w:sz w:val="22"/>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201046">
        <w:rPr>
          <w:rFonts w:cs="Arial"/>
          <w:i/>
          <w:sz w:val="22"/>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w:t>
      </w:r>
      <w:r w:rsidRPr="00201046">
        <w:rPr>
          <w:rFonts w:cs="Arial"/>
          <w:i/>
          <w:sz w:val="22"/>
        </w:rPr>
        <w:lastRenderedPageBreak/>
        <w:t>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34867FBC" w14:textId="77777777" w:rsidR="000B4B46" w:rsidRPr="006E0899" w:rsidRDefault="000B4B46" w:rsidP="000B4B46">
      <w:pPr>
        <w:rPr>
          <w:rFonts w:cs="Arial"/>
        </w:rPr>
      </w:pPr>
    </w:p>
    <w:p w14:paraId="26DF0F23" w14:textId="77777777" w:rsidR="000B4B46" w:rsidRDefault="000B4B46" w:rsidP="000B4B46">
      <w:pPr>
        <w:rPr>
          <w:rFonts w:cs="Arial"/>
        </w:rPr>
      </w:pPr>
      <w:r w:rsidRPr="006E0899">
        <w:rPr>
          <w:rFonts w:cs="Arial"/>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6E0899">
        <w:rPr>
          <w:rFonts w:cs="Arial"/>
          <w:b/>
        </w:rPr>
        <w:t>Lineamientos Generales en Materia de Clasificación y Desclasificación de la Información, así como para la Elaboración de Versiones Públicas</w:t>
      </w:r>
      <w:r w:rsidRPr="006E0899">
        <w:rPr>
          <w:rFonts w:cs="Arial"/>
        </w:rPr>
        <w:t>, publicados en el Diario Oficial de la Federación en fecha quince de abril del año dos mil dieciséis, mediante Acuerdo del Consejo Nacional del Sistema Nacional de Transparencia, Acceso a la Información Pública y Protección de Datos Personales.</w:t>
      </w:r>
    </w:p>
    <w:p w14:paraId="4DBF3E71" w14:textId="77777777" w:rsidR="000B4B46" w:rsidRPr="006E0899" w:rsidRDefault="000B4B46" w:rsidP="000B4B46">
      <w:pPr>
        <w:rPr>
          <w:rFonts w:cs="Arial"/>
        </w:rPr>
      </w:pPr>
    </w:p>
    <w:p w14:paraId="56548243" w14:textId="77777777" w:rsidR="000B4B46" w:rsidRPr="006E0899" w:rsidRDefault="000B4B46" w:rsidP="000B4B46">
      <w:pPr>
        <w:rPr>
          <w:rFonts w:cs="Arial"/>
        </w:rPr>
      </w:pPr>
      <w:r w:rsidRPr="006E0899">
        <w:rPr>
          <w:rFonts w:cs="Arial"/>
        </w:rPr>
        <w:lastRenderedPageBreak/>
        <w:t xml:space="preserve">Lo anterior es así, puesto que ha de destacarse que el artículo 91, de la Ley de la Materia, dispone que el acceso a la información pública será restringido excepcionalmente, cuando ésta sea clasificada como reservada o confidencial. </w:t>
      </w:r>
    </w:p>
    <w:p w14:paraId="0316284C" w14:textId="77777777" w:rsidR="000B4B46" w:rsidRPr="006E0899" w:rsidRDefault="000B4B46" w:rsidP="000B4B46"/>
    <w:p w14:paraId="0414AAEE" w14:textId="77777777" w:rsidR="000B4B46" w:rsidRPr="006E0899" w:rsidRDefault="000B4B46" w:rsidP="000B4B46">
      <w:r w:rsidRPr="006E0899">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27EE0C3C" w14:textId="77777777" w:rsidR="000B4B46" w:rsidRPr="006E0899" w:rsidRDefault="000B4B46" w:rsidP="000B4B46"/>
    <w:p w14:paraId="725824DD" w14:textId="77777777" w:rsidR="000B4B46" w:rsidRPr="006E0899" w:rsidRDefault="000B4B46" w:rsidP="000B4B46">
      <w:r w:rsidRPr="006E0899">
        <w:t xml:space="preserve">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w:t>
      </w:r>
      <w:r w:rsidRPr="006E0899">
        <w:lastRenderedPageBreak/>
        <w:t>artículo, fracción, inciso, párrafo o numeral de la Ley que expresamente le otorga el carácter de confidencial.</w:t>
      </w:r>
    </w:p>
    <w:p w14:paraId="3A8B2364" w14:textId="77777777" w:rsidR="000B4B46" w:rsidRPr="006E0899" w:rsidRDefault="000B4B46" w:rsidP="000B4B46"/>
    <w:p w14:paraId="06D9812F" w14:textId="77777777" w:rsidR="000B4B46" w:rsidRPr="006E0899" w:rsidRDefault="000B4B46" w:rsidP="000B4B46">
      <w:r w:rsidRPr="006E0899">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613D90FC" w14:textId="77777777" w:rsidR="000B4B46" w:rsidRPr="006E0899" w:rsidRDefault="000B4B46" w:rsidP="000B4B46"/>
    <w:p w14:paraId="11EFF422" w14:textId="77777777" w:rsidR="000B4B46" w:rsidRPr="00201046" w:rsidRDefault="000B4B46" w:rsidP="000B4B46">
      <w:pPr>
        <w:ind w:left="567" w:right="616"/>
        <w:rPr>
          <w:i/>
          <w:sz w:val="22"/>
        </w:rPr>
      </w:pPr>
      <w:r w:rsidRPr="00201046">
        <w:rPr>
          <w:b/>
          <w:i/>
          <w:sz w:val="22"/>
        </w:rPr>
        <w:t xml:space="preserve">Artículo 49. </w:t>
      </w:r>
      <w:r w:rsidRPr="00201046">
        <w:rPr>
          <w:i/>
          <w:sz w:val="22"/>
        </w:rPr>
        <w:t>Los Comités de Transparencia tendrán las siguientes atribuciones:</w:t>
      </w:r>
    </w:p>
    <w:p w14:paraId="3D7574FF" w14:textId="77777777" w:rsidR="000B4B46" w:rsidRPr="00201046" w:rsidRDefault="000B4B46" w:rsidP="000B4B46">
      <w:pPr>
        <w:ind w:left="567" w:right="616"/>
        <w:rPr>
          <w:bCs/>
          <w:i/>
          <w:sz w:val="22"/>
        </w:rPr>
      </w:pPr>
      <w:r w:rsidRPr="00201046">
        <w:rPr>
          <w:bCs/>
          <w:i/>
          <w:sz w:val="22"/>
        </w:rPr>
        <w:t>(…)</w:t>
      </w:r>
    </w:p>
    <w:p w14:paraId="5E1640C3" w14:textId="77777777" w:rsidR="000B4B46" w:rsidRPr="00201046" w:rsidRDefault="000B4B46" w:rsidP="000B4B46">
      <w:pPr>
        <w:ind w:left="567" w:right="616"/>
        <w:rPr>
          <w:i/>
          <w:sz w:val="22"/>
        </w:rPr>
      </w:pPr>
      <w:r w:rsidRPr="00201046">
        <w:rPr>
          <w:b/>
          <w:i/>
          <w:sz w:val="22"/>
        </w:rPr>
        <w:t>VIII.</w:t>
      </w:r>
      <w:r w:rsidRPr="00201046">
        <w:rPr>
          <w:i/>
          <w:sz w:val="22"/>
        </w:rPr>
        <w:t xml:space="preserve"> Aprobar, modificar o revocar la clasificación de la información;</w:t>
      </w:r>
    </w:p>
    <w:p w14:paraId="16BF68C9" w14:textId="77777777" w:rsidR="000B4B46" w:rsidRPr="00201046" w:rsidRDefault="000B4B46" w:rsidP="000B4B46">
      <w:pPr>
        <w:ind w:left="567" w:right="616"/>
        <w:rPr>
          <w:bCs/>
          <w:i/>
          <w:sz w:val="22"/>
        </w:rPr>
      </w:pPr>
      <w:r w:rsidRPr="00201046">
        <w:rPr>
          <w:bCs/>
          <w:i/>
          <w:sz w:val="22"/>
        </w:rPr>
        <w:t>(…)</w:t>
      </w:r>
    </w:p>
    <w:p w14:paraId="4823A8BB" w14:textId="77777777" w:rsidR="000B4B46" w:rsidRPr="00201046" w:rsidRDefault="000B4B46" w:rsidP="000B4B46">
      <w:pPr>
        <w:ind w:left="567" w:right="616"/>
        <w:rPr>
          <w:i/>
          <w:sz w:val="22"/>
        </w:rPr>
      </w:pPr>
    </w:p>
    <w:p w14:paraId="1B0CF33D" w14:textId="77777777" w:rsidR="000B4B46" w:rsidRPr="00201046" w:rsidRDefault="000B4B46" w:rsidP="000B4B46">
      <w:pPr>
        <w:ind w:left="567" w:right="616"/>
        <w:rPr>
          <w:i/>
          <w:sz w:val="22"/>
        </w:rPr>
      </w:pPr>
      <w:r w:rsidRPr="00201046">
        <w:rPr>
          <w:b/>
          <w:i/>
          <w:sz w:val="22"/>
        </w:rPr>
        <w:t>Artículo 132.</w:t>
      </w:r>
      <w:r w:rsidRPr="00201046">
        <w:rPr>
          <w:i/>
          <w:sz w:val="22"/>
        </w:rPr>
        <w:t xml:space="preserve"> La clasificación de la información se llevará a cabo en el momento en que:</w:t>
      </w:r>
    </w:p>
    <w:p w14:paraId="5ADC34D0" w14:textId="77777777" w:rsidR="000B4B46" w:rsidRPr="00201046" w:rsidRDefault="000B4B46" w:rsidP="000B4B46">
      <w:pPr>
        <w:ind w:left="567" w:right="616"/>
        <w:rPr>
          <w:b/>
          <w:i/>
          <w:sz w:val="22"/>
        </w:rPr>
      </w:pPr>
    </w:p>
    <w:p w14:paraId="4CE2FE9B" w14:textId="77777777" w:rsidR="000B4B46" w:rsidRPr="00201046" w:rsidRDefault="000B4B46" w:rsidP="000B4B46">
      <w:pPr>
        <w:ind w:left="567" w:right="616"/>
        <w:rPr>
          <w:i/>
          <w:sz w:val="22"/>
        </w:rPr>
      </w:pPr>
      <w:r w:rsidRPr="00201046">
        <w:rPr>
          <w:b/>
          <w:i/>
          <w:sz w:val="22"/>
        </w:rPr>
        <w:t>I.</w:t>
      </w:r>
      <w:r w:rsidRPr="00201046">
        <w:rPr>
          <w:i/>
          <w:sz w:val="22"/>
        </w:rPr>
        <w:t xml:space="preserve"> Se reciba una solicitud de acceso a la información;</w:t>
      </w:r>
    </w:p>
    <w:p w14:paraId="3B4E617E" w14:textId="77777777" w:rsidR="000B4B46" w:rsidRPr="00201046" w:rsidRDefault="000B4B46" w:rsidP="000B4B46">
      <w:pPr>
        <w:ind w:left="567" w:right="616"/>
        <w:rPr>
          <w:i/>
          <w:sz w:val="22"/>
        </w:rPr>
      </w:pPr>
      <w:r w:rsidRPr="00201046">
        <w:rPr>
          <w:b/>
          <w:i/>
          <w:sz w:val="22"/>
        </w:rPr>
        <w:t>II.</w:t>
      </w:r>
      <w:r w:rsidRPr="00201046">
        <w:rPr>
          <w:i/>
          <w:sz w:val="22"/>
        </w:rPr>
        <w:t xml:space="preserve"> Se determine mediante resolución de autoridad competente; o</w:t>
      </w:r>
    </w:p>
    <w:p w14:paraId="48FEE8CD" w14:textId="77777777" w:rsidR="000B4B46" w:rsidRPr="00201046" w:rsidRDefault="000B4B46" w:rsidP="000B4B46">
      <w:pPr>
        <w:ind w:left="567" w:right="616"/>
        <w:rPr>
          <w:b/>
          <w:i/>
          <w:sz w:val="22"/>
        </w:rPr>
      </w:pPr>
      <w:r w:rsidRPr="00201046">
        <w:rPr>
          <w:b/>
          <w:bCs/>
          <w:i/>
          <w:sz w:val="22"/>
        </w:rPr>
        <w:t>III.</w:t>
      </w:r>
      <w:r w:rsidRPr="00201046">
        <w:rPr>
          <w:i/>
          <w:sz w:val="22"/>
        </w:rPr>
        <w:t xml:space="preserve"> Se generen versiones públicas para dar cumplimiento a las obligaciones de transparencia previstas en esta Ley.</w:t>
      </w:r>
      <w:r w:rsidRPr="00201046">
        <w:rPr>
          <w:b/>
          <w:i/>
          <w:sz w:val="22"/>
        </w:rPr>
        <w:t>”</w:t>
      </w:r>
    </w:p>
    <w:p w14:paraId="7635EBFE" w14:textId="77777777" w:rsidR="000B4B46" w:rsidRPr="00201046" w:rsidRDefault="000B4B46" w:rsidP="000B4B46">
      <w:pPr>
        <w:ind w:left="567" w:right="616"/>
        <w:rPr>
          <w:b/>
          <w:i/>
          <w:sz w:val="22"/>
        </w:rPr>
      </w:pPr>
    </w:p>
    <w:p w14:paraId="0DAB6238" w14:textId="77777777" w:rsidR="000B4B46" w:rsidRPr="00201046" w:rsidRDefault="000B4B46" w:rsidP="000B4B46">
      <w:pPr>
        <w:ind w:left="567" w:right="616"/>
        <w:rPr>
          <w:i/>
          <w:sz w:val="22"/>
        </w:rPr>
      </w:pPr>
      <w:r w:rsidRPr="00201046">
        <w:rPr>
          <w:b/>
          <w:i/>
          <w:sz w:val="22"/>
        </w:rPr>
        <w:t>Segundo.-</w:t>
      </w:r>
      <w:r w:rsidRPr="00201046">
        <w:rPr>
          <w:i/>
          <w:sz w:val="22"/>
        </w:rPr>
        <w:t xml:space="preserve"> Para efectos de los presentes Lineamientos Generales, se entenderá por:</w:t>
      </w:r>
    </w:p>
    <w:p w14:paraId="02E3A409" w14:textId="77777777" w:rsidR="000B4B46" w:rsidRPr="00201046" w:rsidRDefault="000B4B46" w:rsidP="000B4B46">
      <w:pPr>
        <w:ind w:left="567" w:right="616"/>
        <w:rPr>
          <w:i/>
          <w:sz w:val="22"/>
        </w:rPr>
      </w:pPr>
      <w:r w:rsidRPr="00201046">
        <w:rPr>
          <w:b/>
          <w:i/>
          <w:sz w:val="22"/>
        </w:rPr>
        <w:lastRenderedPageBreak/>
        <w:t>XVIII.</w:t>
      </w:r>
      <w:r w:rsidRPr="00201046">
        <w:rPr>
          <w:i/>
          <w:sz w:val="22"/>
        </w:rPr>
        <w:t xml:space="preserve"> </w:t>
      </w:r>
      <w:r w:rsidRPr="00201046">
        <w:rPr>
          <w:b/>
          <w:i/>
          <w:sz w:val="22"/>
        </w:rPr>
        <w:t>Versión pública:</w:t>
      </w:r>
      <w:r w:rsidRPr="00201046">
        <w:rPr>
          <w:i/>
          <w:sz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218AEC1" w14:textId="77777777" w:rsidR="000B4B46" w:rsidRPr="00201046" w:rsidRDefault="000B4B46" w:rsidP="000B4B46">
      <w:pPr>
        <w:ind w:left="567" w:right="616"/>
        <w:rPr>
          <w:b/>
          <w:i/>
          <w:sz w:val="22"/>
        </w:rPr>
      </w:pPr>
    </w:p>
    <w:p w14:paraId="37F518E1" w14:textId="77777777" w:rsidR="000B4B46" w:rsidRPr="00201046" w:rsidRDefault="000B4B46" w:rsidP="000B4B46">
      <w:pPr>
        <w:ind w:left="567" w:right="616"/>
        <w:rPr>
          <w:i/>
          <w:sz w:val="22"/>
        </w:rPr>
      </w:pPr>
      <w:r w:rsidRPr="00201046">
        <w:rPr>
          <w:b/>
          <w:i/>
          <w:sz w:val="22"/>
        </w:rPr>
        <w:t>Cuarto.</w:t>
      </w:r>
      <w:r w:rsidRPr="00201046">
        <w:rPr>
          <w:i/>
          <w:sz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0C83665" w14:textId="77777777" w:rsidR="000B4B46" w:rsidRPr="00201046" w:rsidRDefault="000B4B46" w:rsidP="000B4B46">
      <w:pPr>
        <w:ind w:left="567" w:right="616"/>
        <w:rPr>
          <w:i/>
          <w:sz w:val="22"/>
        </w:rPr>
      </w:pPr>
      <w:r w:rsidRPr="00201046">
        <w:rPr>
          <w:i/>
          <w:sz w:val="22"/>
        </w:rPr>
        <w:t>Los Sujetos Obligados deberán aplicar, de manera estricta, las excepciones al derecho de acceso a la información y sólo podrán invocarlas cuando acrediten su procedencia.</w:t>
      </w:r>
    </w:p>
    <w:p w14:paraId="2BDBA58C" w14:textId="77777777" w:rsidR="000B4B46" w:rsidRPr="00201046" w:rsidRDefault="000B4B46" w:rsidP="000B4B46">
      <w:pPr>
        <w:ind w:left="567" w:right="616"/>
        <w:rPr>
          <w:b/>
          <w:i/>
          <w:sz w:val="22"/>
        </w:rPr>
      </w:pPr>
    </w:p>
    <w:p w14:paraId="246AB212" w14:textId="77777777" w:rsidR="000B4B46" w:rsidRPr="00201046" w:rsidRDefault="000B4B46" w:rsidP="000B4B46">
      <w:pPr>
        <w:ind w:left="567" w:right="616"/>
        <w:rPr>
          <w:i/>
          <w:sz w:val="22"/>
        </w:rPr>
      </w:pPr>
      <w:r w:rsidRPr="00201046">
        <w:rPr>
          <w:b/>
          <w:i/>
          <w:sz w:val="22"/>
        </w:rPr>
        <w:t>Quinto.</w:t>
      </w:r>
      <w:r w:rsidRPr="00201046">
        <w:rPr>
          <w:i/>
          <w:sz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C3E1796" w14:textId="77777777" w:rsidR="000B4B46" w:rsidRPr="00201046" w:rsidRDefault="000B4B46" w:rsidP="000B4B46">
      <w:pPr>
        <w:ind w:left="567" w:right="616"/>
        <w:rPr>
          <w:b/>
          <w:i/>
          <w:sz w:val="22"/>
        </w:rPr>
      </w:pPr>
    </w:p>
    <w:p w14:paraId="651B8E10" w14:textId="77777777" w:rsidR="000B4B46" w:rsidRPr="00201046" w:rsidRDefault="000B4B46" w:rsidP="000B4B46">
      <w:pPr>
        <w:ind w:left="567" w:right="616"/>
        <w:rPr>
          <w:i/>
          <w:sz w:val="22"/>
        </w:rPr>
      </w:pPr>
      <w:r w:rsidRPr="00201046">
        <w:rPr>
          <w:b/>
          <w:i/>
          <w:sz w:val="22"/>
        </w:rPr>
        <w:t>Sexto.</w:t>
      </w:r>
      <w:r w:rsidRPr="00201046">
        <w:rPr>
          <w:i/>
          <w:sz w:val="22"/>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6D25DAF8" w14:textId="77777777" w:rsidR="000B4B46" w:rsidRPr="00201046" w:rsidRDefault="000B4B46" w:rsidP="000B4B46">
      <w:pPr>
        <w:ind w:left="567" w:right="616"/>
        <w:rPr>
          <w:i/>
          <w:sz w:val="22"/>
        </w:rPr>
      </w:pPr>
      <w:r w:rsidRPr="00201046">
        <w:rPr>
          <w:i/>
          <w:sz w:val="22"/>
        </w:rPr>
        <w:lastRenderedPageBreak/>
        <w:t>La clasificación de información se realizará conforme a un análisis caso por caso, mediante la aplicación de la prueba de daño y de interés público.</w:t>
      </w:r>
    </w:p>
    <w:p w14:paraId="604E5028" w14:textId="77777777" w:rsidR="000B4B46" w:rsidRPr="00201046" w:rsidRDefault="000B4B46" w:rsidP="000B4B46">
      <w:pPr>
        <w:ind w:left="567" w:right="616"/>
        <w:rPr>
          <w:b/>
          <w:i/>
          <w:sz w:val="22"/>
        </w:rPr>
      </w:pPr>
    </w:p>
    <w:p w14:paraId="3765F64F" w14:textId="77777777" w:rsidR="000B4B46" w:rsidRPr="00201046" w:rsidRDefault="000B4B46" w:rsidP="000B4B46">
      <w:pPr>
        <w:ind w:left="567" w:right="616"/>
        <w:rPr>
          <w:i/>
          <w:sz w:val="22"/>
        </w:rPr>
      </w:pPr>
      <w:r w:rsidRPr="00201046">
        <w:rPr>
          <w:b/>
          <w:i/>
          <w:sz w:val="22"/>
        </w:rPr>
        <w:t>Séptimo.</w:t>
      </w:r>
      <w:r w:rsidRPr="00201046">
        <w:rPr>
          <w:i/>
          <w:sz w:val="22"/>
        </w:rPr>
        <w:t xml:space="preserve"> La clasificación de la información se llevará a cabo en el momento en que:</w:t>
      </w:r>
    </w:p>
    <w:p w14:paraId="5DA6FE21" w14:textId="77777777" w:rsidR="000B4B46" w:rsidRPr="00201046" w:rsidRDefault="000B4B46" w:rsidP="000B4B46">
      <w:pPr>
        <w:ind w:left="567" w:right="616"/>
        <w:rPr>
          <w:i/>
          <w:sz w:val="22"/>
        </w:rPr>
      </w:pPr>
      <w:r w:rsidRPr="00201046">
        <w:rPr>
          <w:b/>
          <w:i/>
          <w:sz w:val="22"/>
        </w:rPr>
        <w:t>I.</w:t>
      </w:r>
      <w:r w:rsidRPr="00201046">
        <w:rPr>
          <w:i/>
          <w:sz w:val="22"/>
        </w:rPr>
        <w:t xml:space="preserve"> Se reciba una solicitud de acceso a la información;</w:t>
      </w:r>
    </w:p>
    <w:p w14:paraId="6A701220" w14:textId="77777777" w:rsidR="000B4B46" w:rsidRPr="00201046" w:rsidRDefault="000B4B46" w:rsidP="000B4B46">
      <w:pPr>
        <w:ind w:left="567" w:right="616"/>
        <w:rPr>
          <w:b/>
          <w:i/>
          <w:sz w:val="22"/>
        </w:rPr>
      </w:pPr>
    </w:p>
    <w:p w14:paraId="6874432B" w14:textId="77777777" w:rsidR="000B4B46" w:rsidRPr="00201046" w:rsidRDefault="000B4B46" w:rsidP="000B4B46">
      <w:pPr>
        <w:ind w:left="567" w:right="616"/>
        <w:rPr>
          <w:i/>
          <w:sz w:val="22"/>
        </w:rPr>
      </w:pPr>
      <w:r w:rsidRPr="00201046">
        <w:rPr>
          <w:b/>
          <w:i/>
          <w:sz w:val="22"/>
        </w:rPr>
        <w:t>II.</w:t>
      </w:r>
      <w:r w:rsidRPr="00201046">
        <w:rPr>
          <w:i/>
          <w:sz w:val="22"/>
        </w:rPr>
        <w:t xml:space="preserve"> Se determine mediante resolución de autoridad competente, o</w:t>
      </w:r>
    </w:p>
    <w:p w14:paraId="4F41B7E4" w14:textId="77777777" w:rsidR="000B4B46" w:rsidRPr="00201046" w:rsidRDefault="000B4B46" w:rsidP="000B4B46">
      <w:pPr>
        <w:ind w:left="567" w:right="616"/>
        <w:rPr>
          <w:i/>
          <w:sz w:val="22"/>
        </w:rPr>
      </w:pPr>
      <w:r w:rsidRPr="00201046">
        <w:rPr>
          <w:b/>
          <w:i/>
          <w:sz w:val="22"/>
        </w:rPr>
        <w:t>III.</w:t>
      </w:r>
      <w:r w:rsidRPr="00201046">
        <w:rPr>
          <w:i/>
          <w:sz w:val="22"/>
        </w:rPr>
        <w:t xml:space="preserve"> Se generen versiones públicas para dar cumplimiento a las obligaciones de transparencia previstas en la Ley General, la Ley Federal y las correspondientes de las entidades federativas.</w:t>
      </w:r>
    </w:p>
    <w:p w14:paraId="2738758E" w14:textId="77777777" w:rsidR="000B4B46" w:rsidRPr="00201046" w:rsidRDefault="000B4B46" w:rsidP="000B4B46">
      <w:pPr>
        <w:ind w:left="567" w:right="616"/>
        <w:rPr>
          <w:i/>
          <w:sz w:val="22"/>
        </w:rPr>
      </w:pPr>
      <w:r w:rsidRPr="00201046">
        <w:rPr>
          <w:i/>
          <w:sz w:val="22"/>
        </w:rPr>
        <w:t>Los titulares de las áreas deberán revisar la clasificación al momento de la recepción de una solicitud de acceso a la información, para verificar si encuadra en una causal de reserva o de confidencialidad.</w:t>
      </w:r>
    </w:p>
    <w:p w14:paraId="3C028641" w14:textId="77777777" w:rsidR="000B4B46" w:rsidRPr="00201046" w:rsidRDefault="000B4B46" w:rsidP="000B4B46">
      <w:pPr>
        <w:ind w:left="567" w:right="616"/>
        <w:rPr>
          <w:b/>
          <w:i/>
          <w:sz w:val="22"/>
        </w:rPr>
      </w:pPr>
    </w:p>
    <w:p w14:paraId="47E531E5" w14:textId="77777777" w:rsidR="000B4B46" w:rsidRPr="00201046" w:rsidRDefault="000B4B46" w:rsidP="000B4B46">
      <w:pPr>
        <w:ind w:left="567" w:right="616"/>
        <w:rPr>
          <w:i/>
          <w:sz w:val="22"/>
        </w:rPr>
      </w:pPr>
      <w:r w:rsidRPr="00201046">
        <w:rPr>
          <w:b/>
          <w:i/>
          <w:sz w:val="22"/>
        </w:rPr>
        <w:t>Octavo.</w:t>
      </w:r>
      <w:r w:rsidRPr="00201046">
        <w:rPr>
          <w:i/>
          <w:sz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EB80691" w14:textId="77777777" w:rsidR="000B4B46" w:rsidRPr="00201046" w:rsidRDefault="000B4B46" w:rsidP="000B4B46">
      <w:pPr>
        <w:ind w:left="567" w:right="616"/>
        <w:rPr>
          <w:i/>
          <w:sz w:val="22"/>
        </w:rPr>
      </w:pPr>
      <w:r w:rsidRPr="00201046">
        <w:rPr>
          <w:i/>
          <w:sz w:val="22"/>
        </w:rPr>
        <w:t>Para motivar la clasificación se deberán señalar las razones o circunstancias especiales que lo llevaron a concluir que el caso particular se ajusta al supuesto previsto por la norma legal invocada como fundamento.</w:t>
      </w:r>
    </w:p>
    <w:p w14:paraId="34E0C37D" w14:textId="77777777" w:rsidR="000B4B46" w:rsidRPr="00201046" w:rsidRDefault="000B4B46" w:rsidP="000B4B46">
      <w:pPr>
        <w:ind w:left="567" w:right="616"/>
        <w:rPr>
          <w:i/>
          <w:sz w:val="22"/>
        </w:rPr>
      </w:pPr>
      <w:r w:rsidRPr="00201046">
        <w:rPr>
          <w:i/>
          <w:sz w:val="22"/>
        </w:rPr>
        <w:t>En caso de referirse a información reservada, la motivación de la clasificación también deberá comprender las circunstancias que justifican el establecimiento de determinado plazo de reserva.</w:t>
      </w:r>
    </w:p>
    <w:p w14:paraId="2DB871F2" w14:textId="77777777" w:rsidR="000B4B46" w:rsidRPr="00201046" w:rsidRDefault="000B4B46" w:rsidP="000B4B46">
      <w:pPr>
        <w:ind w:left="567" w:right="616"/>
        <w:rPr>
          <w:i/>
          <w:sz w:val="22"/>
        </w:rPr>
      </w:pPr>
    </w:p>
    <w:p w14:paraId="17F81B19" w14:textId="77777777" w:rsidR="000B4B46" w:rsidRPr="00201046" w:rsidRDefault="000B4B46" w:rsidP="000B4B46">
      <w:pPr>
        <w:ind w:left="567" w:right="616"/>
        <w:rPr>
          <w:i/>
          <w:sz w:val="22"/>
        </w:rPr>
      </w:pPr>
      <w:r w:rsidRPr="00201046">
        <w:rPr>
          <w:i/>
          <w:sz w:val="22"/>
        </w:rPr>
        <w:t>Tratándose de información clasificada como confidencial respecto de la cual se haya determinado su conservación permanente por tener valor histórico, ésta conservará tal carácter de conformidad con la normativa aplicable en materia de archivos.</w:t>
      </w:r>
    </w:p>
    <w:p w14:paraId="24343AD1" w14:textId="77777777" w:rsidR="000B4B46" w:rsidRPr="00201046" w:rsidRDefault="000B4B46" w:rsidP="000B4B46">
      <w:pPr>
        <w:ind w:left="567" w:right="616"/>
        <w:rPr>
          <w:i/>
          <w:sz w:val="22"/>
        </w:rPr>
      </w:pPr>
      <w:r w:rsidRPr="00201046">
        <w:rPr>
          <w:i/>
          <w:sz w:val="22"/>
        </w:rPr>
        <w:lastRenderedPageBreak/>
        <w:t>Los documentos contenidos en los archivos históricos y los identificados como históricos confidenciales no serán susceptibles de clasificación como reservados.</w:t>
      </w:r>
    </w:p>
    <w:p w14:paraId="02C12844" w14:textId="77777777" w:rsidR="000B4B46" w:rsidRPr="00201046" w:rsidRDefault="000B4B46" w:rsidP="000B4B46">
      <w:pPr>
        <w:ind w:left="567" w:right="616"/>
        <w:rPr>
          <w:b/>
          <w:i/>
          <w:sz w:val="22"/>
        </w:rPr>
      </w:pPr>
    </w:p>
    <w:p w14:paraId="47325EFE" w14:textId="77777777" w:rsidR="000B4B46" w:rsidRPr="00201046" w:rsidRDefault="000B4B46" w:rsidP="000B4B46">
      <w:pPr>
        <w:ind w:left="567" w:right="616"/>
        <w:rPr>
          <w:i/>
          <w:sz w:val="22"/>
        </w:rPr>
      </w:pPr>
      <w:r w:rsidRPr="00201046">
        <w:rPr>
          <w:b/>
          <w:i/>
          <w:sz w:val="22"/>
        </w:rPr>
        <w:t>Noveno.</w:t>
      </w:r>
      <w:r w:rsidRPr="00201046">
        <w:rPr>
          <w:i/>
          <w:sz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2730925" w14:textId="77777777" w:rsidR="000B4B46" w:rsidRPr="00201046" w:rsidRDefault="000B4B46" w:rsidP="000B4B46">
      <w:pPr>
        <w:ind w:left="567" w:right="616"/>
        <w:rPr>
          <w:b/>
          <w:i/>
          <w:sz w:val="22"/>
        </w:rPr>
      </w:pPr>
    </w:p>
    <w:p w14:paraId="4232BD3D" w14:textId="77777777" w:rsidR="000B4B46" w:rsidRPr="00201046" w:rsidRDefault="000B4B46" w:rsidP="000B4B46">
      <w:pPr>
        <w:ind w:left="567" w:right="616"/>
        <w:rPr>
          <w:i/>
          <w:sz w:val="22"/>
        </w:rPr>
      </w:pPr>
      <w:r w:rsidRPr="00201046">
        <w:rPr>
          <w:b/>
          <w:i/>
          <w:sz w:val="22"/>
        </w:rPr>
        <w:t>Décimo.</w:t>
      </w:r>
      <w:r w:rsidRPr="00201046">
        <w:rPr>
          <w:i/>
          <w:sz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2F929D1C" w14:textId="77777777" w:rsidR="000B4B46" w:rsidRPr="00201046" w:rsidRDefault="000B4B46" w:rsidP="000B4B46">
      <w:pPr>
        <w:ind w:left="567" w:right="616"/>
        <w:rPr>
          <w:i/>
          <w:sz w:val="22"/>
        </w:rPr>
      </w:pPr>
    </w:p>
    <w:p w14:paraId="26A20DBF" w14:textId="77777777" w:rsidR="000B4B46" w:rsidRPr="00201046" w:rsidRDefault="000B4B46" w:rsidP="000B4B46">
      <w:pPr>
        <w:ind w:left="567" w:right="616"/>
        <w:rPr>
          <w:i/>
          <w:sz w:val="22"/>
        </w:rPr>
      </w:pPr>
      <w:r w:rsidRPr="00201046">
        <w:rPr>
          <w:i/>
          <w:sz w:val="22"/>
        </w:rPr>
        <w:t>En ausencia de los titulares de las áreas, la información será clasificada o desclasificada por la persona que lo supla, en términos de la normativa que rija la actuación del sujeto obligado.</w:t>
      </w:r>
    </w:p>
    <w:p w14:paraId="31F6124F" w14:textId="77777777" w:rsidR="000B4B46" w:rsidRPr="00201046" w:rsidRDefault="000B4B46" w:rsidP="000B4B46">
      <w:pPr>
        <w:ind w:left="567" w:right="616"/>
        <w:rPr>
          <w:b/>
          <w:i/>
          <w:sz w:val="22"/>
        </w:rPr>
      </w:pPr>
    </w:p>
    <w:p w14:paraId="482923D6" w14:textId="77777777" w:rsidR="000B4B46" w:rsidRPr="00201046" w:rsidRDefault="000B4B46" w:rsidP="000B4B46">
      <w:pPr>
        <w:ind w:left="567" w:right="616"/>
        <w:rPr>
          <w:b/>
          <w:sz w:val="22"/>
        </w:rPr>
      </w:pPr>
      <w:r w:rsidRPr="00201046">
        <w:rPr>
          <w:b/>
          <w:i/>
          <w:sz w:val="22"/>
        </w:rPr>
        <w:t>Décimo primero.</w:t>
      </w:r>
      <w:r w:rsidRPr="00201046">
        <w:rPr>
          <w:i/>
          <w:sz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6D5098FD" w14:textId="77777777" w:rsidR="000B4B46" w:rsidRPr="006E0899" w:rsidRDefault="000B4B46" w:rsidP="000B4B46">
      <w:pPr>
        <w:rPr>
          <w:rFonts w:cs="Arial"/>
          <w:i/>
        </w:rPr>
      </w:pPr>
    </w:p>
    <w:p w14:paraId="480A105B" w14:textId="77777777" w:rsidR="000B4B46" w:rsidRPr="006E0899" w:rsidRDefault="000B4B46" w:rsidP="000B4B46">
      <w:r w:rsidRPr="006E0899">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w:t>
      </w:r>
      <w:r w:rsidRPr="006E0899">
        <w:lastRenderedPageBreak/>
        <w:t>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45224302" w14:textId="77777777" w:rsidR="000B4B46" w:rsidRPr="006E0899" w:rsidRDefault="000B4B46" w:rsidP="000B4B46"/>
    <w:p w14:paraId="4E71764C" w14:textId="77777777" w:rsidR="000B4B46" w:rsidRPr="006E0899" w:rsidRDefault="000B4B46" w:rsidP="000B4B46">
      <w:r w:rsidRPr="006E0899">
        <w:t>Por tanto, la fundamentación y motivación consiste en la obligación que tiene todo ente público de expresar los preceptos jurídicos aplicables al asunto motivo del acto y las razones o argumentos de su actuar.</w:t>
      </w:r>
    </w:p>
    <w:p w14:paraId="71D421E4" w14:textId="77777777" w:rsidR="000B4B46" w:rsidRPr="006E0899" w:rsidRDefault="000B4B46" w:rsidP="000B4B46"/>
    <w:p w14:paraId="72251153" w14:textId="77777777" w:rsidR="000B4B46" w:rsidRPr="006E0899" w:rsidRDefault="000B4B46" w:rsidP="000B4B46">
      <w:r w:rsidRPr="006E0899">
        <w:t>Al respecto, el máximo tribunal del país ha establecido jurisprudencia respecto a qué debe entenderse por fundamentación y motivaci</w:t>
      </w:r>
      <w:r>
        <w:t>ón, en los siguientes términos:</w:t>
      </w:r>
    </w:p>
    <w:p w14:paraId="131693C4" w14:textId="77777777" w:rsidR="000B4B46" w:rsidRPr="00201046" w:rsidRDefault="000B4B46" w:rsidP="000B4B46">
      <w:pPr>
        <w:ind w:left="567" w:right="616"/>
        <w:rPr>
          <w:b/>
          <w:i/>
          <w:sz w:val="22"/>
        </w:rPr>
      </w:pPr>
      <w:r w:rsidRPr="00201046">
        <w:rPr>
          <w:b/>
          <w:i/>
          <w:sz w:val="22"/>
        </w:rPr>
        <w:t xml:space="preserve">FUNDAMENTACIÓN Y MOTIVACIÓN. </w:t>
      </w:r>
    </w:p>
    <w:p w14:paraId="642F8E5B" w14:textId="77777777" w:rsidR="000B4B46" w:rsidRPr="00201046" w:rsidRDefault="000B4B46" w:rsidP="000B4B46">
      <w:pPr>
        <w:ind w:left="567" w:right="616"/>
        <w:rPr>
          <w:i/>
          <w:sz w:val="22"/>
        </w:rPr>
      </w:pPr>
      <w:r w:rsidRPr="00201046">
        <w:rPr>
          <w:i/>
          <w:sz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0F753631" w14:textId="77777777" w:rsidR="000B4B46" w:rsidRPr="006E0899" w:rsidRDefault="000B4B46" w:rsidP="000B4B46"/>
    <w:p w14:paraId="1EACB651" w14:textId="77777777" w:rsidR="000B4B46" w:rsidRPr="006E0899" w:rsidRDefault="000B4B46" w:rsidP="000B4B46">
      <w:r w:rsidRPr="006E0899">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2DB03F6" w14:textId="77777777" w:rsidR="000B4B46" w:rsidRPr="006E0899" w:rsidRDefault="000B4B46" w:rsidP="000B4B46"/>
    <w:p w14:paraId="0733D999" w14:textId="77777777" w:rsidR="000B4B46" w:rsidRPr="006E0899" w:rsidRDefault="000B4B46" w:rsidP="000B4B46">
      <w:r w:rsidRPr="006E0899">
        <w:lastRenderedPageBreak/>
        <w:t>Más aún, a través de diversa jurisprudencia dictada por el Poder Judicial de la Federación se sostiene que la finalidad de la fundamentación o motivación es la de explicar, justificar, posibilitar la defensa y comunicar la decisión de la au</w:t>
      </w:r>
      <w:r>
        <w:t>toridad:</w:t>
      </w:r>
    </w:p>
    <w:p w14:paraId="6B2F8544" w14:textId="77777777" w:rsidR="000B4B46" w:rsidRPr="00201046" w:rsidRDefault="000B4B46" w:rsidP="000B4B46">
      <w:pPr>
        <w:ind w:left="567" w:right="616"/>
        <w:rPr>
          <w:i/>
          <w:sz w:val="22"/>
        </w:rPr>
      </w:pPr>
      <w:r w:rsidRPr="00201046">
        <w:rPr>
          <w:b/>
          <w:i/>
          <w:sz w:val="22"/>
        </w:rPr>
        <w:t>FUNDAMENTACIÓN Y MOTIVACIÓN. EL ASPECTO FORMAL DE LA GARANTÍA Y SU FINALIDAD SE TRADUCEN EN EXPLICAR, JUSTIFICAR, POSIBILITAR LA DEFENSA Y COMUNICAR LA DECISIÓN</w:t>
      </w:r>
      <w:r w:rsidRPr="00201046">
        <w:rPr>
          <w:i/>
          <w:sz w:val="22"/>
        </w:rPr>
        <w:t xml:space="preserve">. </w:t>
      </w:r>
    </w:p>
    <w:p w14:paraId="191874DF" w14:textId="77777777" w:rsidR="000B4B46" w:rsidRPr="00201046" w:rsidRDefault="000B4B46" w:rsidP="000B4B46">
      <w:pPr>
        <w:ind w:left="567" w:right="616"/>
        <w:rPr>
          <w:i/>
          <w:sz w:val="22"/>
        </w:rPr>
      </w:pPr>
      <w:r w:rsidRPr="00201046">
        <w:rPr>
          <w:i/>
          <w:sz w:val="22"/>
        </w:rPr>
        <w:t>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5A484988" w14:textId="77777777" w:rsidR="000B4B46" w:rsidRPr="006E0899" w:rsidRDefault="000B4B46" w:rsidP="000B4B46"/>
    <w:p w14:paraId="2239BAED" w14:textId="77777777" w:rsidR="000B4B46" w:rsidRPr="006E0899" w:rsidRDefault="000B4B46" w:rsidP="000B4B46">
      <w:r w:rsidRPr="006E0899">
        <w:t xml:space="preserve">En consecuencia, la fundamentación y motivación implica que en el acto de autoridad, además de contenerse los supuestos jurídicos aplicables se expliquen claramente, por qué, a través de la utilización de la norma se emitió el acto. De este modo, la persona que </w:t>
      </w:r>
      <w:r w:rsidRPr="006E0899">
        <w:lastRenderedPageBreak/>
        <w:t>se siente afectada pueda impugnar la decisión, permitiéndole una real y auténtica defensa.</w:t>
      </w:r>
    </w:p>
    <w:p w14:paraId="1BC4EBBE" w14:textId="77777777" w:rsidR="000B4B46" w:rsidRPr="006E0899" w:rsidRDefault="000B4B46" w:rsidP="000B4B46"/>
    <w:p w14:paraId="2B973219" w14:textId="6269C684" w:rsidR="0057412A" w:rsidRDefault="000B4B46" w:rsidP="000B4B46">
      <w:r w:rsidRPr="006E0899">
        <w:t>Por lo tanto, la entrega de documentos en su versión pública debe acompañarse necesariamente del Acuerdo del Comité de Transparencia del Sujeto Obligado</w:t>
      </w:r>
      <w:r w:rsidRPr="006E0899">
        <w:rPr>
          <w:b/>
        </w:rPr>
        <w:t xml:space="preserve"> </w:t>
      </w:r>
      <w:r w:rsidRPr="006E0899">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0EF1A334" w14:textId="77777777" w:rsidR="0057412A" w:rsidRPr="006E0899" w:rsidRDefault="0057412A" w:rsidP="000B4B46"/>
    <w:p w14:paraId="1D41F670" w14:textId="6C3A6815" w:rsidR="000B4B46" w:rsidRPr="006E0899" w:rsidRDefault="000B4B46" w:rsidP="000B4B46">
      <w:pPr>
        <w:tabs>
          <w:tab w:val="left" w:pos="709"/>
        </w:tabs>
        <w:spacing w:before="240"/>
        <w:ind w:right="51"/>
      </w:pPr>
      <w:r w:rsidRPr="006E0899">
        <w:rPr>
          <w:iCs/>
        </w:rPr>
        <w:t xml:space="preserve">En mérito de lo expuesto </w:t>
      </w:r>
      <w:r w:rsidRPr="006E0899">
        <w:t xml:space="preserve">en líneas anteriores, resultan parcialmente fundados los motivos de inconformidad vertidos por </w:t>
      </w:r>
      <w:r w:rsidRPr="006E0899">
        <w:rPr>
          <w:b/>
        </w:rPr>
        <w:t xml:space="preserve">el Recurrente, </w:t>
      </w:r>
      <w:r w:rsidRPr="006E0899">
        <w:t xml:space="preserve">por ello con fundamento en el artículo 186 fracción III de la Ley de Transparencia y Acceso a la Información Pública del Estado de México y Municipios, se </w:t>
      </w:r>
      <w:r w:rsidRPr="006E0899">
        <w:rPr>
          <w:b/>
        </w:rPr>
        <w:t>MODIFICA</w:t>
      </w:r>
      <w:r>
        <w:rPr>
          <w:b/>
        </w:rPr>
        <w:t>N</w:t>
      </w:r>
      <w:r w:rsidRPr="006E0899">
        <w:rPr>
          <w:b/>
        </w:rPr>
        <w:t xml:space="preserve"> </w:t>
      </w:r>
      <w:r w:rsidRPr="006E0899">
        <w:t>la</w:t>
      </w:r>
      <w:r>
        <w:t>s</w:t>
      </w:r>
      <w:r w:rsidRPr="006E0899">
        <w:t xml:space="preserve"> respuesta</w:t>
      </w:r>
      <w:r>
        <w:t>s</w:t>
      </w:r>
      <w:r w:rsidRPr="006E0899">
        <w:t xml:space="preserve"> a la</w:t>
      </w:r>
      <w:r>
        <w:t>s</w:t>
      </w:r>
      <w:r w:rsidRPr="006E0899">
        <w:t xml:space="preserve"> solicitud</w:t>
      </w:r>
      <w:r>
        <w:t>es</w:t>
      </w:r>
      <w:r w:rsidRPr="006E0899">
        <w:t xml:space="preserve"> de información</w:t>
      </w:r>
      <w:r>
        <w:t xml:space="preserve"> </w:t>
      </w:r>
      <w:r w:rsidRPr="001535C3">
        <w:rPr>
          <w:b/>
          <w:bCs/>
          <w:szCs w:val="24"/>
        </w:rPr>
        <w:t>00918/TLALNEPA/IP/2024</w:t>
      </w:r>
      <w:r>
        <w:rPr>
          <w:b/>
          <w:bCs/>
          <w:szCs w:val="24"/>
        </w:rPr>
        <w:t xml:space="preserve">, </w:t>
      </w:r>
      <w:r w:rsidRPr="00426497">
        <w:rPr>
          <w:b/>
          <w:bCs/>
        </w:rPr>
        <w:t>00917/TLALNEPA/IP/2024</w:t>
      </w:r>
      <w:r>
        <w:rPr>
          <w:b/>
          <w:bCs/>
        </w:rPr>
        <w:t xml:space="preserve">, </w:t>
      </w:r>
      <w:r w:rsidRPr="00426497">
        <w:rPr>
          <w:b/>
          <w:bCs/>
        </w:rPr>
        <w:t>00916/TLALNEPA/IP/2024</w:t>
      </w:r>
      <w:r>
        <w:rPr>
          <w:b/>
          <w:bCs/>
        </w:rPr>
        <w:t xml:space="preserve"> y </w:t>
      </w:r>
      <w:r w:rsidRPr="00426497">
        <w:rPr>
          <w:b/>
          <w:bCs/>
        </w:rPr>
        <w:t>00915/TLALNEPA/IP/2024</w:t>
      </w:r>
      <w:r w:rsidRPr="006E0899">
        <w:rPr>
          <w:b/>
          <w:bCs/>
        </w:rPr>
        <w:t xml:space="preserve">, </w:t>
      </w:r>
      <w:r w:rsidRPr="006E0899">
        <w:t>que ha</w:t>
      </w:r>
      <w:r>
        <w:t>n</w:t>
      </w:r>
      <w:r w:rsidRPr="006E0899">
        <w:t xml:space="preserve"> sido materia del presente fallo. </w:t>
      </w:r>
    </w:p>
    <w:p w14:paraId="5AE5F941" w14:textId="22320285" w:rsidR="008030AF" w:rsidRPr="007B6F7C" w:rsidRDefault="000B4B46" w:rsidP="007B6F7C">
      <w:pPr>
        <w:pStyle w:val="Prrafodelista"/>
        <w:spacing w:before="240" w:after="240"/>
        <w:ind w:left="0"/>
      </w:pPr>
      <w:r w:rsidRPr="006E0899">
        <w:t xml:space="preserve">Por lo antes expuesto y fundado es de resolverse y, </w:t>
      </w:r>
    </w:p>
    <w:p w14:paraId="7C86A1AE" w14:textId="0ED66543" w:rsidR="002E63E8" w:rsidRPr="00E644F2" w:rsidRDefault="008030AF" w:rsidP="000B4B46">
      <w:pPr>
        <w:pBdr>
          <w:top w:val="nil"/>
          <w:left w:val="nil"/>
          <w:bottom w:val="nil"/>
          <w:right w:val="nil"/>
          <w:between w:val="nil"/>
        </w:pBdr>
        <w:jc w:val="center"/>
        <w:rPr>
          <w:rFonts w:eastAsia="Palatino Linotype" w:cs="Palatino Linotype"/>
          <w:b/>
          <w:sz w:val="28"/>
          <w:szCs w:val="28"/>
        </w:rPr>
      </w:pPr>
      <w:r w:rsidRPr="00E644F2">
        <w:rPr>
          <w:rFonts w:eastAsia="Palatino Linotype" w:cs="Palatino Linotype"/>
          <w:b/>
          <w:sz w:val="28"/>
          <w:szCs w:val="28"/>
        </w:rPr>
        <w:lastRenderedPageBreak/>
        <w:t>S E    R E S U E L V E</w:t>
      </w:r>
    </w:p>
    <w:p w14:paraId="73976169" w14:textId="56B4F0C0" w:rsidR="007B6F7C" w:rsidRPr="00545516" w:rsidRDefault="000B4B46" w:rsidP="000B4B46">
      <w:pPr>
        <w:spacing w:before="240"/>
        <w:rPr>
          <w:rFonts w:cs="Arial"/>
        </w:rPr>
      </w:pPr>
      <w:r w:rsidRPr="006E0899">
        <w:rPr>
          <w:rFonts w:cs="Arial"/>
          <w:b/>
        </w:rPr>
        <w:t>PRIMERO.</w:t>
      </w:r>
      <w:r w:rsidRPr="006E0899">
        <w:rPr>
          <w:rFonts w:cs="Arial"/>
        </w:rPr>
        <w:t xml:space="preserve"> Se </w:t>
      </w:r>
      <w:r w:rsidRPr="006E0899">
        <w:rPr>
          <w:rFonts w:cs="Arial"/>
          <w:b/>
        </w:rPr>
        <w:t>MODIFICA</w:t>
      </w:r>
      <w:r>
        <w:rPr>
          <w:rFonts w:cs="Arial"/>
          <w:b/>
        </w:rPr>
        <w:t>N</w:t>
      </w:r>
      <w:r w:rsidRPr="006E0899">
        <w:rPr>
          <w:rFonts w:cs="Arial"/>
          <w:b/>
        </w:rPr>
        <w:t xml:space="preserve"> </w:t>
      </w:r>
      <w:r w:rsidRPr="006E0899">
        <w:rPr>
          <w:rFonts w:cs="Arial"/>
        </w:rPr>
        <w:t>la</w:t>
      </w:r>
      <w:r>
        <w:rPr>
          <w:rFonts w:cs="Arial"/>
        </w:rPr>
        <w:t>s</w:t>
      </w:r>
      <w:r w:rsidRPr="006E0899">
        <w:rPr>
          <w:rFonts w:cs="Arial"/>
        </w:rPr>
        <w:t xml:space="preserve"> respuesta</w:t>
      </w:r>
      <w:r>
        <w:rPr>
          <w:rFonts w:cs="Arial"/>
        </w:rPr>
        <w:t>s</w:t>
      </w:r>
      <w:r w:rsidRPr="006E0899">
        <w:rPr>
          <w:rFonts w:cs="Arial"/>
        </w:rPr>
        <w:t xml:space="preserve"> entregada</w:t>
      </w:r>
      <w:r>
        <w:rPr>
          <w:rFonts w:cs="Arial"/>
        </w:rPr>
        <w:t>s</w:t>
      </w:r>
      <w:r w:rsidRPr="006E0899">
        <w:rPr>
          <w:rFonts w:cs="Arial"/>
        </w:rPr>
        <w:t xml:space="preserve"> por </w:t>
      </w:r>
      <w:r w:rsidRPr="006E0899">
        <w:rPr>
          <w:rFonts w:cs="Arial"/>
          <w:b/>
        </w:rPr>
        <w:t xml:space="preserve">EL SUJETO OBLIGADO, </w:t>
      </w:r>
      <w:r w:rsidRPr="006E0899">
        <w:rPr>
          <w:rFonts w:cs="Arial"/>
        </w:rPr>
        <w:t>a la</w:t>
      </w:r>
      <w:r>
        <w:rPr>
          <w:rFonts w:cs="Arial"/>
        </w:rPr>
        <w:t>s</w:t>
      </w:r>
      <w:r w:rsidRPr="006E0899">
        <w:rPr>
          <w:rFonts w:cs="Arial"/>
        </w:rPr>
        <w:t xml:space="preserve"> solicitud</w:t>
      </w:r>
      <w:r>
        <w:rPr>
          <w:rFonts w:cs="Arial"/>
        </w:rPr>
        <w:t>es</w:t>
      </w:r>
      <w:r w:rsidRPr="006E0899">
        <w:rPr>
          <w:rFonts w:cs="Arial"/>
        </w:rPr>
        <w:t xml:space="preserve"> de información con número </w:t>
      </w:r>
      <w:r w:rsidRPr="001535C3">
        <w:rPr>
          <w:b/>
          <w:bCs/>
          <w:szCs w:val="24"/>
        </w:rPr>
        <w:t>00918/TLALNEPA/IP/2024</w:t>
      </w:r>
      <w:r>
        <w:rPr>
          <w:b/>
          <w:bCs/>
          <w:szCs w:val="24"/>
        </w:rPr>
        <w:t xml:space="preserve">, </w:t>
      </w:r>
      <w:r w:rsidRPr="00426497">
        <w:rPr>
          <w:b/>
          <w:bCs/>
        </w:rPr>
        <w:t>00917/TLALNEPA/IP/2024</w:t>
      </w:r>
      <w:r>
        <w:rPr>
          <w:b/>
          <w:bCs/>
        </w:rPr>
        <w:t xml:space="preserve">, </w:t>
      </w:r>
      <w:r w:rsidRPr="00426497">
        <w:rPr>
          <w:b/>
          <w:bCs/>
        </w:rPr>
        <w:t>00916/TLALNEPA/IP/2024</w:t>
      </w:r>
      <w:r>
        <w:rPr>
          <w:b/>
          <w:bCs/>
        </w:rPr>
        <w:t xml:space="preserve"> y 00915/TLALNEPA/IP/2024 </w:t>
      </w:r>
      <w:r w:rsidRPr="000B4B46">
        <w:rPr>
          <w:bCs/>
        </w:rPr>
        <w:t>por</w:t>
      </w:r>
      <w:r w:rsidRPr="006E0899">
        <w:rPr>
          <w:b/>
          <w:bCs/>
        </w:rPr>
        <w:t xml:space="preserve"> </w:t>
      </w:r>
      <w:r w:rsidRPr="006E0899">
        <w:rPr>
          <w:rFonts w:cs="Arial"/>
        </w:rPr>
        <w:t xml:space="preserve">resultar parcialmente fundados los motivos de inconformidad que arguye </w:t>
      </w:r>
      <w:r w:rsidRPr="006E0899">
        <w:rPr>
          <w:rFonts w:cs="Arial"/>
          <w:b/>
        </w:rPr>
        <w:t xml:space="preserve">EL RECURRENTE, </w:t>
      </w:r>
      <w:r w:rsidRPr="006E0899">
        <w:rPr>
          <w:rFonts w:cs="Arial"/>
        </w:rPr>
        <w:t xml:space="preserve">en términos del </w:t>
      </w:r>
      <w:r w:rsidRPr="006E0899">
        <w:rPr>
          <w:rFonts w:cs="Arial"/>
          <w:b/>
        </w:rPr>
        <w:t xml:space="preserve">Considerando QUINTO </w:t>
      </w:r>
      <w:r w:rsidRPr="006E0899">
        <w:rPr>
          <w:rFonts w:cs="Arial"/>
        </w:rPr>
        <w:t xml:space="preserve">de la presente resolución. </w:t>
      </w:r>
    </w:p>
    <w:p w14:paraId="4A30BF24" w14:textId="69D45FF7" w:rsidR="000B4B46" w:rsidRPr="006E0899" w:rsidRDefault="000B4B46" w:rsidP="000B4B46">
      <w:pPr>
        <w:autoSpaceDE w:val="0"/>
        <w:autoSpaceDN w:val="0"/>
        <w:adjustRightInd w:val="0"/>
        <w:spacing w:before="240"/>
        <w:ind w:right="49"/>
        <w:rPr>
          <w:rFonts w:cs="Arial"/>
        </w:rPr>
      </w:pPr>
      <w:r w:rsidRPr="006E0899">
        <w:rPr>
          <w:rFonts w:cs="Arial"/>
          <w:b/>
        </w:rPr>
        <w:t>SEGUNDO.</w:t>
      </w:r>
      <w:r w:rsidRPr="006E0899">
        <w:rPr>
          <w:rFonts w:cs="Arial"/>
        </w:rPr>
        <w:t xml:space="preserve"> Se </w:t>
      </w:r>
      <w:r w:rsidRPr="006E0899">
        <w:rPr>
          <w:rFonts w:cs="Arial"/>
          <w:b/>
        </w:rPr>
        <w:t>ORDENA</w:t>
      </w:r>
      <w:r w:rsidRPr="006E0899">
        <w:rPr>
          <w:rFonts w:cs="Arial"/>
        </w:rPr>
        <w:t xml:space="preserve"> al </w:t>
      </w:r>
      <w:r w:rsidRPr="006E0899">
        <w:rPr>
          <w:rFonts w:cs="Arial"/>
          <w:b/>
        </w:rPr>
        <w:t>SUJETO OBLIGADO</w:t>
      </w:r>
      <w:r w:rsidRPr="006E0899">
        <w:rPr>
          <w:rFonts w:cs="Arial"/>
        </w:rPr>
        <w:t xml:space="preserve"> haga entrega al</w:t>
      </w:r>
      <w:r w:rsidRPr="006E0899">
        <w:rPr>
          <w:rFonts w:cs="Arial"/>
          <w:b/>
        </w:rPr>
        <w:t xml:space="preserve"> RECURRENTE </w:t>
      </w:r>
      <w:r w:rsidRPr="006E0899">
        <w:rPr>
          <w:rFonts w:cs="Arial"/>
        </w:rPr>
        <w:t xml:space="preserve">en términos del Considerando </w:t>
      </w:r>
      <w:r>
        <w:rPr>
          <w:rFonts w:cs="Arial"/>
          <w:b/>
        </w:rPr>
        <w:t>QUIN</w:t>
      </w:r>
      <w:r w:rsidRPr="006E0899">
        <w:rPr>
          <w:rFonts w:cs="Arial"/>
          <w:b/>
        </w:rPr>
        <w:t xml:space="preserve">TO </w:t>
      </w:r>
      <w:r w:rsidRPr="006E0899">
        <w:rPr>
          <w:rFonts w:cs="Arial"/>
        </w:rPr>
        <w:t>de esta resolución</w:t>
      </w:r>
      <w:r w:rsidRPr="006E0899">
        <w:rPr>
          <w:rFonts w:cs="Arial"/>
          <w:b/>
        </w:rPr>
        <w:t xml:space="preserve"> </w:t>
      </w:r>
      <w:r w:rsidRPr="006E0899">
        <w:rPr>
          <w:rFonts w:cs="Arial"/>
        </w:rPr>
        <w:t xml:space="preserve">a través del Sistema de Acceso a la Información Mexiquense </w:t>
      </w:r>
      <w:r w:rsidRPr="006E0899">
        <w:rPr>
          <w:rFonts w:cs="Arial"/>
          <w:b/>
        </w:rPr>
        <w:t xml:space="preserve">(SAIMEX), </w:t>
      </w:r>
      <w:r>
        <w:rPr>
          <w:rFonts w:cs="Arial"/>
        </w:rPr>
        <w:t xml:space="preserve">de ser procedente en versión pública </w:t>
      </w:r>
      <w:r w:rsidRPr="006E0899">
        <w:rPr>
          <w:rFonts w:cs="Arial"/>
        </w:rPr>
        <w:t xml:space="preserve">de lo siguiente: </w:t>
      </w:r>
    </w:p>
    <w:p w14:paraId="662DA772" w14:textId="77777777" w:rsidR="000B4B46" w:rsidRPr="006E0899" w:rsidRDefault="000B4B46" w:rsidP="000B4B46">
      <w:pPr>
        <w:rPr>
          <w:rFonts w:cs="Arial"/>
          <w:iCs/>
        </w:rPr>
      </w:pPr>
    </w:p>
    <w:p w14:paraId="13727853" w14:textId="2772B017" w:rsidR="000B4B46" w:rsidRDefault="000B4B46" w:rsidP="000B4B46">
      <w:pPr>
        <w:pStyle w:val="Prrafodelista"/>
        <w:numPr>
          <w:ilvl w:val="0"/>
          <w:numId w:val="27"/>
        </w:numPr>
        <w:autoSpaceDE w:val="0"/>
        <w:autoSpaceDN w:val="0"/>
        <w:adjustRightInd w:val="0"/>
        <w:contextualSpacing w:val="0"/>
        <w:rPr>
          <w:rFonts w:cs="Arial"/>
          <w:iCs/>
        </w:rPr>
      </w:pPr>
      <w:r>
        <w:rPr>
          <w:rFonts w:cs="Arial"/>
          <w:iCs/>
        </w:rPr>
        <w:t>De</w:t>
      </w:r>
      <w:r w:rsidR="00D13848">
        <w:rPr>
          <w:rFonts w:cs="Arial"/>
          <w:iCs/>
        </w:rPr>
        <w:t>l Ejercicio Fiscal 2022</w:t>
      </w:r>
      <w:r w:rsidR="007B6F7C">
        <w:rPr>
          <w:rFonts w:cs="Arial"/>
          <w:iCs/>
        </w:rPr>
        <w:t xml:space="preserve"> y 2023</w:t>
      </w:r>
    </w:p>
    <w:p w14:paraId="5F537192" w14:textId="75669194" w:rsidR="00D13848" w:rsidRPr="00545516" w:rsidRDefault="00D13848" w:rsidP="00545516">
      <w:pPr>
        <w:pStyle w:val="Prrafodelista"/>
        <w:numPr>
          <w:ilvl w:val="0"/>
          <w:numId w:val="7"/>
        </w:numPr>
        <w:autoSpaceDE w:val="0"/>
        <w:autoSpaceDN w:val="0"/>
        <w:adjustRightInd w:val="0"/>
        <w:contextualSpacing w:val="0"/>
        <w:rPr>
          <w:rFonts w:cs="Arial"/>
          <w:iCs/>
        </w:rPr>
      </w:pPr>
      <w:r>
        <w:rPr>
          <w:rFonts w:cs="Arial"/>
          <w:iCs/>
        </w:rPr>
        <w:t xml:space="preserve">Formato </w:t>
      </w:r>
      <w:r w:rsidRPr="00944916">
        <w:t>PbRM-01e</w:t>
      </w:r>
      <w:r>
        <w:t xml:space="preserve"> </w:t>
      </w:r>
      <w:r>
        <w:rPr>
          <w:rFonts w:eastAsia="Palatino Linotype" w:cs="Palatino Linotype"/>
          <w:color w:val="000000"/>
        </w:rPr>
        <w:t xml:space="preserve">correspondiente a la </w:t>
      </w:r>
      <w:r>
        <w:t>“Matriz de Indicadores para Resultados por Programa presupuestario y Dependencia General” en movilidad</w:t>
      </w:r>
    </w:p>
    <w:p w14:paraId="746BF49B" w14:textId="0377FACA" w:rsidR="00D13848" w:rsidRPr="00545516" w:rsidRDefault="00D13848" w:rsidP="00D13848">
      <w:pPr>
        <w:pStyle w:val="Prrafodelista"/>
        <w:numPr>
          <w:ilvl w:val="0"/>
          <w:numId w:val="7"/>
        </w:numPr>
        <w:autoSpaceDE w:val="0"/>
        <w:autoSpaceDN w:val="0"/>
        <w:adjustRightInd w:val="0"/>
        <w:contextualSpacing w:val="0"/>
        <w:rPr>
          <w:rFonts w:cs="Arial"/>
          <w:iCs/>
        </w:rPr>
      </w:pPr>
      <w:r>
        <w:rPr>
          <w:rFonts w:cs="Arial"/>
          <w:iCs/>
        </w:rPr>
        <w:t xml:space="preserve">Formato </w:t>
      </w:r>
      <w:r>
        <w:t xml:space="preserve">PbRM-01c </w:t>
      </w:r>
      <w:r>
        <w:rPr>
          <w:rFonts w:eastAsia="Palatino Linotype" w:cs="Palatino Linotype"/>
          <w:color w:val="000000"/>
        </w:rPr>
        <w:t xml:space="preserve">correspondiente al </w:t>
      </w:r>
      <w:r>
        <w:t xml:space="preserve">“Programa Anual de Metas de actividad por Proyecto” en movilidad. </w:t>
      </w:r>
    </w:p>
    <w:p w14:paraId="33CAA694" w14:textId="45490EDE" w:rsidR="00D13848" w:rsidRPr="00545516" w:rsidRDefault="00D13848" w:rsidP="007B6F7C">
      <w:pPr>
        <w:pStyle w:val="Prrafodelista"/>
        <w:numPr>
          <w:ilvl w:val="0"/>
          <w:numId w:val="7"/>
        </w:numPr>
        <w:autoSpaceDE w:val="0"/>
        <w:autoSpaceDN w:val="0"/>
        <w:adjustRightInd w:val="0"/>
        <w:contextualSpacing w:val="0"/>
        <w:rPr>
          <w:rFonts w:cs="Arial"/>
          <w:iCs/>
        </w:rPr>
      </w:pPr>
      <w:r>
        <w:t xml:space="preserve">Formato </w:t>
      </w:r>
      <w:r>
        <w:rPr>
          <w:rFonts w:eastAsia="Palatino Linotype" w:cs="Palatino Linotype"/>
          <w:color w:val="000000"/>
        </w:rPr>
        <w:t xml:space="preserve">Pbrm-02a correspondiente a la </w:t>
      </w:r>
      <w:r>
        <w:t>“Calendarización de metas de actividad” en movilidad.</w:t>
      </w:r>
    </w:p>
    <w:p w14:paraId="6650371B" w14:textId="1C8C2A7A" w:rsidR="00D13848" w:rsidRPr="000B4B46" w:rsidRDefault="00D13848" w:rsidP="00D13848">
      <w:pPr>
        <w:pStyle w:val="Prrafodelista"/>
        <w:numPr>
          <w:ilvl w:val="0"/>
          <w:numId w:val="27"/>
        </w:numPr>
        <w:autoSpaceDE w:val="0"/>
        <w:autoSpaceDN w:val="0"/>
        <w:adjustRightInd w:val="0"/>
        <w:contextualSpacing w:val="0"/>
        <w:rPr>
          <w:rFonts w:cs="Arial"/>
          <w:iCs/>
        </w:rPr>
      </w:pPr>
      <w:r>
        <w:rPr>
          <w:rFonts w:cs="Arial"/>
          <w:iCs/>
        </w:rPr>
        <w:t>Del Ejercicio Fiscal 2024</w:t>
      </w:r>
    </w:p>
    <w:p w14:paraId="318B1986" w14:textId="0499BA1F" w:rsidR="00D13848" w:rsidRPr="00D13848" w:rsidRDefault="00D13848" w:rsidP="00D13848">
      <w:pPr>
        <w:pStyle w:val="Prrafodelista"/>
        <w:numPr>
          <w:ilvl w:val="0"/>
          <w:numId w:val="7"/>
        </w:numPr>
        <w:autoSpaceDE w:val="0"/>
        <w:autoSpaceDN w:val="0"/>
        <w:adjustRightInd w:val="0"/>
        <w:contextualSpacing w:val="0"/>
        <w:rPr>
          <w:rFonts w:cs="Arial"/>
          <w:iCs/>
        </w:rPr>
      </w:pPr>
      <w:r>
        <w:rPr>
          <w:rFonts w:cs="AngsanaUPC"/>
        </w:rPr>
        <w:t xml:space="preserve">Formato </w:t>
      </w:r>
      <w:r w:rsidRPr="002D0A37">
        <w:rPr>
          <w:rFonts w:eastAsia="Palatino Linotype" w:cs="Palatino Linotype"/>
          <w:color w:val="000000"/>
        </w:rPr>
        <w:t>Pbrm-01d</w:t>
      </w:r>
      <w:r w:rsidRPr="00D13848">
        <w:rPr>
          <w:rFonts w:cs="Arial"/>
          <w:iCs/>
        </w:rPr>
        <w:t xml:space="preserve"> </w:t>
      </w:r>
      <w:r>
        <w:rPr>
          <w:rFonts w:eastAsia="Palatino Linotype" w:cs="Palatino Linotype"/>
          <w:color w:val="000000"/>
        </w:rPr>
        <w:t xml:space="preserve">correspondiente a la </w:t>
      </w:r>
      <w:r>
        <w:t>“Ficha técnica de diseño de indicadores estratégicos o de gestión” en movilidad.</w:t>
      </w:r>
    </w:p>
    <w:p w14:paraId="4D8B4D2A" w14:textId="77777777" w:rsidR="00D13848" w:rsidRDefault="00D13848" w:rsidP="00D13848">
      <w:pPr>
        <w:pStyle w:val="Prrafodelista"/>
        <w:autoSpaceDE w:val="0"/>
        <w:autoSpaceDN w:val="0"/>
        <w:adjustRightInd w:val="0"/>
        <w:contextualSpacing w:val="0"/>
        <w:rPr>
          <w:rFonts w:cs="Arial"/>
          <w:iCs/>
        </w:rPr>
      </w:pPr>
    </w:p>
    <w:p w14:paraId="76BE2B1D" w14:textId="12D0B26C" w:rsidR="00D13848" w:rsidRPr="00545516" w:rsidRDefault="00D13848" w:rsidP="00D13848">
      <w:pPr>
        <w:pStyle w:val="Prrafodelista"/>
        <w:numPr>
          <w:ilvl w:val="0"/>
          <w:numId w:val="7"/>
        </w:numPr>
        <w:autoSpaceDE w:val="0"/>
        <w:autoSpaceDN w:val="0"/>
        <w:adjustRightInd w:val="0"/>
        <w:contextualSpacing w:val="0"/>
        <w:rPr>
          <w:rFonts w:cs="Arial"/>
          <w:iCs/>
        </w:rPr>
      </w:pPr>
      <w:r>
        <w:rPr>
          <w:rFonts w:cs="Arial"/>
          <w:iCs/>
        </w:rPr>
        <w:lastRenderedPageBreak/>
        <w:t xml:space="preserve">Formato </w:t>
      </w:r>
      <w:r w:rsidRPr="00944916">
        <w:t>PbRM-01e</w:t>
      </w:r>
      <w:r>
        <w:t xml:space="preserve"> </w:t>
      </w:r>
      <w:r>
        <w:rPr>
          <w:rFonts w:eastAsia="Palatino Linotype" w:cs="Palatino Linotype"/>
          <w:color w:val="000000"/>
        </w:rPr>
        <w:t xml:space="preserve">correspondiente a la </w:t>
      </w:r>
      <w:r>
        <w:t>“Matriz de Indicadores para Resultados por Programa presupuestario y Dependencia General” en movilidad.</w:t>
      </w:r>
    </w:p>
    <w:p w14:paraId="72E6899F" w14:textId="27F9CA64" w:rsidR="00D13848" w:rsidRDefault="00D13848" w:rsidP="00D13848">
      <w:pPr>
        <w:pStyle w:val="Prrafodelista"/>
        <w:numPr>
          <w:ilvl w:val="0"/>
          <w:numId w:val="7"/>
        </w:numPr>
        <w:autoSpaceDE w:val="0"/>
        <w:autoSpaceDN w:val="0"/>
        <w:adjustRightInd w:val="0"/>
        <w:contextualSpacing w:val="0"/>
        <w:rPr>
          <w:rFonts w:cs="Arial"/>
          <w:iCs/>
        </w:rPr>
      </w:pPr>
      <w:r>
        <w:rPr>
          <w:rFonts w:cs="Arial"/>
          <w:iCs/>
        </w:rPr>
        <w:t xml:space="preserve">Formato </w:t>
      </w:r>
      <w:r>
        <w:t xml:space="preserve">PbRM-01c </w:t>
      </w:r>
      <w:r>
        <w:rPr>
          <w:rFonts w:eastAsia="Palatino Linotype" w:cs="Palatino Linotype"/>
          <w:color w:val="000000"/>
        </w:rPr>
        <w:t xml:space="preserve">correspondiente al </w:t>
      </w:r>
      <w:r>
        <w:t>“Programa Anual de Metas de actividad por Proyecto” en movilidad.</w:t>
      </w:r>
    </w:p>
    <w:p w14:paraId="432C6907" w14:textId="77777777" w:rsidR="00D13848" w:rsidRPr="00D13848" w:rsidRDefault="00D13848" w:rsidP="00D13848">
      <w:pPr>
        <w:autoSpaceDE w:val="0"/>
        <w:autoSpaceDN w:val="0"/>
        <w:adjustRightInd w:val="0"/>
        <w:rPr>
          <w:rFonts w:cs="Arial"/>
          <w:iCs/>
        </w:rPr>
      </w:pPr>
    </w:p>
    <w:p w14:paraId="57AAEA39" w14:textId="7684DF19" w:rsidR="000B4B46" w:rsidRDefault="000B4B46" w:rsidP="00545516">
      <w:pPr>
        <w:pStyle w:val="Prrafodelista"/>
        <w:autoSpaceDE w:val="0"/>
        <w:autoSpaceDN w:val="0"/>
        <w:adjustRightInd w:val="0"/>
        <w:ind w:left="782"/>
        <w:rPr>
          <w:rFonts w:cs="Arial"/>
          <w:i/>
          <w:sz w:val="22"/>
        </w:rPr>
      </w:pPr>
      <w:r w:rsidRPr="006E0899">
        <w:rPr>
          <w:rFonts w:cs="Arial"/>
          <w:i/>
          <w:sz w:val="22"/>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recurrente.</w:t>
      </w:r>
    </w:p>
    <w:p w14:paraId="626FAAC1" w14:textId="77777777" w:rsidR="00545516" w:rsidRPr="00545516" w:rsidRDefault="00545516" w:rsidP="00545516">
      <w:pPr>
        <w:pStyle w:val="Prrafodelista"/>
        <w:autoSpaceDE w:val="0"/>
        <w:autoSpaceDN w:val="0"/>
        <w:adjustRightInd w:val="0"/>
        <w:ind w:left="782"/>
        <w:rPr>
          <w:rFonts w:cs="Arial"/>
          <w:i/>
          <w:sz w:val="22"/>
        </w:rPr>
      </w:pPr>
    </w:p>
    <w:p w14:paraId="52E860CF" w14:textId="77777777" w:rsidR="000B4B46" w:rsidRDefault="000B4B46" w:rsidP="000B4B46">
      <w:pPr>
        <w:rPr>
          <w:rFonts w:cstheme="minorHAnsi"/>
        </w:rPr>
      </w:pPr>
      <w:r w:rsidRPr="006E0899">
        <w:rPr>
          <w:rFonts w:cs="Arial"/>
          <w:b/>
          <w:sz w:val="28"/>
          <w:lang w:eastAsia="es-ES"/>
        </w:rPr>
        <w:t>TERCERO</w:t>
      </w:r>
      <w:r w:rsidRPr="006E0899">
        <w:rPr>
          <w:rFonts w:cs="Arial"/>
          <w:b/>
          <w:lang w:eastAsia="es-ES"/>
        </w:rPr>
        <w:t>.</w:t>
      </w:r>
      <w:r w:rsidRPr="006E0899">
        <w:rPr>
          <w:rFonts w:cs="Arial"/>
          <w:lang w:eastAsia="es-ES"/>
        </w:rPr>
        <w:t xml:space="preserve"> </w:t>
      </w:r>
      <w:r w:rsidRPr="006E0899">
        <w:rPr>
          <w:rFonts w:cstheme="minorHAnsi"/>
          <w:b/>
        </w:rPr>
        <w:t>NOTIFÍQUESE</w:t>
      </w:r>
      <w:r w:rsidRPr="006E0899">
        <w:rPr>
          <w:rFonts w:cstheme="minorHAnsi"/>
          <w:i/>
        </w:rPr>
        <w:t xml:space="preserve"> </w:t>
      </w:r>
      <w:r w:rsidRPr="006E0899">
        <w:rPr>
          <w:rFonts w:cstheme="minorHAnsi"/>
        </w:rPr>
        <w:t>la presente resolución al Titular de la Unidad de Transparencia del Sujeto Obligado</w:t>
      </w:r>
      <w:r w:rsidRPr="00D7274C">
        <w:rPr>
          <w:rFonts w:cstheme="minorHAnsi"/>
        </w:rPr>
        <w:t xml:space="preserve">, </w:t>
      </w:r>
      <w:r w:rsidRPr="00D7274C">
        <w:rPr>
          <w:rFonts w:cstheme="minorHAnsi"/>
          <w:b/>
        </w:rPr>
        <w:t>vía SAIMEX</w:t>
      </w:r>
      <w:r w:rsidRPr="00D7274C">
        <w:rPr>
          <w:rFonts w:cstheme="minorHAnsi"/>
        </w:rPr>
        <w:t xml:space="preserve"> </w:t>
      </w:r>
      <w:r w:rsidRPr="006E0899">
        <w:rPr>
          <w:rFonts w:cstheme="minorHAnsi"/>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7D6C675" w14:textId="77777777" w:rsidR="000B4B46" w:rsidRPr="006E0899" w:rsidRDefault="000B4B46" w:rsidP="000B4B46">
      <w:pPr>
        <w:rPr>
          <w:rFonts w:cs="Tahoma"/>
          <w:lang w:eastAsia="es-ES"/>
        </w:rPr>
      </w:pPr>
    </w:p>
    <w:p w14:paraId="45884780" w14:textId="77777777" w:rsidR="000B4B46" w:rsidRPr="006E0899" w:rsidRDefault="000B4B46" w:rsidP="000B4B46">
      <w:pPr>
        <w:autoSpaceDE w:val="0"/>
        <w:autoSpaceDN w:val="0"/>
        <w:adjustRightInd w:val="0"/>
        <w:rPr>
          <w:rFonts w:cs="Arial"/>
          <w:lang w:val="es-ES" w:eastAsia="es-ES"/>
        </w:rPr>
      </w:pPr>
      <w:r w:rsidRPr="006E0899">
        <w:rPr>
          <w:rFonts w:cs="Arial"/>
          <w:b/>
          <w:sz w:val="26"/>
          <w:szCs w:val="26"/>
          <w:lang w:eastAsia="es-ES"/>
        </w:rPr>
        <w:t>CUARTO.</w:t>
      </w:r>
      <w:r w:rsidRPr="006E0899">
        <w:rPr>
          <w:rFonts w:cs="Arial"/>
          <w:b/>
          <w:lang w:eastAsia="es-ES"/>
        </w:rPr>
        <w:t xml:space="preserve"> </w:t>
      </w:r>
      <w:r w:rsidRPr="006E0899">
        <w:rPr>
          <w:rFonts w:cs="Arial"/>
          <w:lang w:val="es-ES" w:eastAsia="es-ES"/>
        </w:rPr>
        <w:t xml:space="preserve">De conformidad con el artículo 198 de la Ley de Transparencia y Acceso a la Información Pública del Estado de México y Municipios, de considerarlo procedente, el </w:t>
      </w:r>
      <w:r w:rsidRPr="006E0899">
        <w:rPr>
          <w:rFonts w:cs="Arial"/>
          <w:lang w:val="es-ES" w:eastAsia="es-ES"/>
        </w:rPr>
        <w:lastRenderedPageBreak/>
        <w:t>Sujeto Obligado de manera fundada y motivada, podrá solicitar una ampliación de plazo para el cumplimiento de la presente resolución.</w:t>
      </w:r>
    </w:p>
    <w:p w14:paraId="665FCADE" w14:textId="77777777" w:rsidR="000B4B46" w:rsidRPr="006E0899" w:rsidRDefault="000B4B46" w:rsidP="000B4B46">
      <w:pPr>
        <w:autoSpaceDE w:val="0"/>
        <w:autoSpaceDN w:val="0"/>
        <w:adjustRightInd w:val="0"/>
        <w:rPr>
          <w:rFonts w:cs="Arial"/>
        </w:rPr>
      </w:pPr>
    </w:p>
    <w:p w14:paraId="03F69565" w14:textId="77777777" w:rsidR="000B4B46" w:rsidRPr="006E0899" w:rsidRDefault="000B4B46" w:rsidP="000B4B46">
      <w:pPr>
        <w:autoSpaceDE w:val="0"/>
        <w:autoSpaceDN w:val="0"/>
        <w:adjustRightInd w:val="0"/>
        <w:rPr>
          <w:rFonts w:cs="Arial"/>
        </w:rPr>
      </w:pPr>
      <w:r w:rsidRPr="006E0899">
        <w:rPr>
          <w:rFonts w:cs="Arial"/>
          <w:b/>
          <w:sz w:val="28"/>
          <w:szCs w:val="28"/>
        </w:rPr>
        <w:t xml:space="preserve">QUINTO. </w:t>
      </w:r>
      <w:r w:rsidRPr="006E0899">
        <w:rPr>
          <w:rFonts w:cs="Arial"/>
          <w:b/>
          <w:lang w:eastAsia="es-ES"/>
        </w:rPr>
        <w:t xml:space="preserve">NOTIFÍQUESE </w:t>
      </w:r>
      <w:r w:rsidRPr="006E0899">
        <w:rPr>
          <w:rFonts w:cs="Arial"/>
          <w:lang w:eastAsia="es-ES"/>
        </w:rPr>
        <w:t xml:space="preserve">la presente resolución al </w:t>
      </w:r>
      <w:r w:rsidRPr="006E0899">
        <w:rPr>
          <w:rFonts w:cs="Arial"/>
          <w:b/>
          <w:lang w:eastAsia="es-ES"/>
        </w:rPr>
        <w:t xml:space="preserve">RECURRENTE vía </w:t>
      </w:r>
      <w:r w:rsidRPr="006E0899">
        <w:rPr>
          <w:rFonts w:cs="Arial"/>
        </w:rPr>
        <w:t xml:space="preserve">Sistema de Acceso a la Información Mexiquense </w:t>
      </w:r>
      <w:r w:rsidRPr="006E0899">
        <w:rPr>
          <w:rFonts w:cs="Arial"/>
          <w:b/>
        </w:rPr>
        <w:t xml:space="preserve">(SAIMEX) </w:t>
      </w:r>
      <w:r w:rsidRPr="006E0899">
        <w:rPr>
          <w:rFonts w:cs="Arial"/>
          <w:lang w:eastAsia="es-ES"/>
        </w:rPr>
        <w:t xml:space="preserve">y hágase de su conocimiento que, </w:t>
      </w:r>
      <w:r w:rsidRPr="006E0899">
        <w:rPr>
          <w:color w:val="222222"/>
          <w:shd w:val="clear" w:color="auto" w:fill="FFFFFF"/>
          <w:lang w:eastAsia="es-ES"/>
        </w:rPr>
        <w:t xml:space="preserve">de conformidad con lo </w:t>
      </w:r>
      <w:r w:rsidRPr="006E0899">
        <w:rPr>
          <w:color w:val="222222"/>
          <w:lang w:eastAsia="es-ES"/>
        </w:rPr>
        <w:t xml:space="preserve">establecido en el artículo 196, de la Ley de Transparencia y Acceso a la Información Pública del Estado de México y Municipios, podrá promover el Juicio de Amparo en los términos de las </w:t>
      </w:r>
      <w:r w:rsidRPr="006E0899">
        <w:rPr>
          <w:color w:val="222222"/>
          <w:shd w:val="clear" w:color="auto" w:fill="FFFFFF"/>
          <w:lang w:eastAsia="es-ES"/>
        </w:rPr>
        <w:t>leyes aplicables.</w:t>
      </w:r>
    </w:p>
    <w:p w14:paraId="13409A8C" w14:textId="77777777" w:rsidR="00BB1B59" w:rsidRDefault="00BB1B59" w:rsidP="00511260">
      <w:pPr>
        <w:rPr>
          <w:rFonts w:cs="Arial"/>
          <w:color w:val="000000"/>
          <w:szCs w:val="24"/>
        </w:rPr>
      </w:pPr>
    </w:p>
    <w:p w14:paraId="447A58D6" w14:textId="31AC8B27" w:rsidR="00511260" w:rsidRDefault="00511260" w:rsidP="00511260">
      <w:pPr>
        <w:rPr>
          <w:rFonts w:cs="Arial"/>
          <w:szCs w:val="24"/>
        </w:rPr>
      </w:pPr>
      <w:r>
        <w:rPr>
          <w:rFonts w:cs="Arial"/>
          <w:szCs w:val="24"/>
        </w:rPr>
        <w:t xml:space="preserve">ASÍ LO RESUELVE, POR </w:t>
      </w:r>
      <w:r w:rsidRPr="005F5C5C">
        <w:rPr>
          <w:rFonts w:cs="Arial"/>
          <w:b/>
          <w:bCs/>
          <w:szCs w:val="24"/>
        </w:rPr>
        <w:t>UNANIMIDAD DE VOTOS</w:t>
      </w:r>
      <w:r>
        <w:rPr>
          <w:rFonts w:cs="Arial"/>
          <w:szCs w:val="24"/>
        </w:rPr>
        <w:t xml:space="preserve"> EL PLENO DEL</w:t>
      </w:r>
      <w:r>
        <w:rPr>
          <w:rFonts w:eastAsia="Arial Unicode MS" w:cs="Arial"/>
          <w:szCs w:val="24"/>
        </w:rPr>
        <w:t xml:space="preserve"> INSTITUTO DE TRANSPARENCIA, ACCESO A LA INFORMACIÓN PÚBLICA Y PROTECCIÓN DE DATOS PERSONALES DEL ESTADO DE MÉXICO Y MUNICIPIOS</w:t>
      </w:r>
      <w:r>
        <w:rPr>
          <w:rFonts w:cs="Arial"/>
          <w:szCs w:val="24"/>
        </w:rPr>
        <w:t>, CONFORMADO POR LOS COMISIONADOS JOSÉ MARTÍNEZ VILCHIS, MARÍA DEL ROSARIO MEJÍA AYALA, SHARON CRISTINA MORALES MARTÍNEZ, LUIS GUSTAVO PARRA NORIEGA Y GUADALUPE RAMÍREZ PEÑA, E</w:t>
      </w:r>
      <w:r w:rsidR="005F5C5C">
        <w:rPr>
          <w:rFonts w:cs="Arial"/>
          <w:szCs w:val="24"/>
        </w:rPr>
        <w:t xml:space="preserve">N </w:t>
      </w:r>
      <w:r w:rsidR="005F5C5C" w:rsidRPr="005F5C5C">
        <w:rPr>
          <w:rFonts w:cs="Arial"/>
          <w:b/>
          <w:bCs/>
          <w:szCs w:val="24"/>
        </w:rPr>
        <w:t>LA TRIGÉSIMA</w:t>
      </w:r>
      <w:r w:rsidRPr="005F5C5C">
        <w:rPr>
          <w:rFonts w:cs="Arial"/>
          <w:b/>
          <w:bCs/>
          <w:szCs w:val="24"/>
          <w:lang w:val="es-419"/>
        </w:rPr>
        <w:t xml:space="preserve"> </w:t>
      </w:r>
      <w:r w:rsidR="0057412A">
        <w:rPr>
          <w:rFonts w:cs="Arial"/>
          <w:b/>
          <w:bCs/>
          <w:szCs w:val="24"/>
          <w:lang w:val="es-419"/>
        </w:rPr>
        <w:t>OCTAV</w:t>
      </w:r>
      <w:r w:rsidRPr="005F5C5C">
        <w:rPr>
          <w:rFonts w:cs="Arial"/>
          <w:b/>
          <w:bCs/>
          <w:szCs w:val="24"/>
          <w:lang w:val="es-419"/>
        </w:rPr>
        <w:t xml:space="preserve">A </w:t>
      </w:r>
      <w:r w:rsidRPr="005F5C5C">
        <w:rPr>
          <w:rFonts w:cs="Arial"/>
          <w:b/>
          <w:bCs/>
          <w:szCs w:val="24"/>
        </w:rPr>
        <w:t>SESIÓN ORDINARIA CELEBRADA</w:t>
      </w:r>
      <w:r w:rsidR="005F5C5C">
        <w:rPr>
          <w:rFonts w:cs="Arial"/>
          <w:b/>
          <w:bCs/>
          <w:szCs w:val="24"/>
        </w:rPr>
        <w:t xml:space="preserve"> EL </w:t>
      </w:r>
      <w:r w:rsidR="0057412A">
        <w:rPr>
          <w:rFonts w:cs="Arial"/>
          <w:b/>
          <w:bCs/>
          <w:szCs w:val="24"/>
        </w:rPr>
        <w:t xml:space="preserve">SEIS DE NOVIEMBRE </w:t>
      </w:r>
      <w:r w:rsidR="005F5C5C">
        <w:rPr>
          <w:rFonts w:cs="Arial"/>
          <w:b/>
          <w:bCs/>
          <w:szCs w:val="24"/>
        </w:rPr>
        <w:t>DE DOS MIL VEINTICUATRO</w:t>
      </w:r>
      <w:r>
        <w:rPr>
          <w:rFonts w:cs="Arial"/>
          <w:szCs w:val="24"/>
        </w:rPr>
        <w:t>, ANTE EL SECRETARIO TÉCNICO DEL PLENO, ALEXIS TAPIA RAMÍREZ. ----------------------------------------------------------------------------------------------------------------------------------------------------------------------------------------------------------------</w:t>
      </w:r>
      <w:r w:rsidR="00776EB3">
        <w:rPr>
          <w:rFonts w:cs="Arial"/>
          <w:szCs w:val="24"/>
        </w:rPr>
        <w:t>----------</w:t>
      </w:r>
    </w:p>
    <w:p w14:paraId="0E7942B0" w14:textId="66B7056F" w:rsidR="00776EB3" w:rsidRDefault="00511260" w:rsidP="00776EB3">
      <w:pPr>
        <w:rPr>
          <w:rFonts w:cs="Arial"/>
          <w:lang w:val="en-US"/>
        </w:rPr>
      </w:pPr>
      <w:r>
        <w:rPr>
          <w:rFonts w:cs="Arial"/>
          <w:szCs w:val="24"/>
        </w:rPr>
        <w:t>------------------------------------------------------------------------------------------------------------------------------------------------------------------------------------------------------------------------------------------</w:t>
      </w:r>
      <w:r w:rsidR="00776EB3" w:rsidRPr="00F0578D">
        <w:rPr>
          <w:rFonts w:cs="Arial"/>
          <w:lang w:val="en-US"/>
        </w:rPr>
        <w:t>------------------------------------------------------------------------------------------------------------------------------------------------------------------------------------------------------------------------------------------</w:t>
      </w:r>
    </w:p>
    <w:p w14:paraId="4AAAEFDA" w14:textId="44C68215" w:rsidR="00511260" w:rsidRDefault="00511260" w:rsidP="00776EB3">
      <w:pPr>
        <w:rPr>
          <w:rFonts w:cs="Arial"/>
          <w:sz w:val="20"/>
        </w:rPr>
      </w:pPr>
      <w:r>
        <w:rPr>
          <w:rFonts w:cs="Arial"/>
          <w:sz w:val="20"/>
        </w:rPr>
        <w:t>JMV/CCR/NJMB</w:t>
      </w:r>
    </w:p>
    <w:p w14:paraId="1AC06A9F" w14:textId="77777777" w:rsidR="00511260" w:rsidRDefault="00511260" w:rsidP="00511260">
      <w:pPr>
        <w:rPr>
          <w:rFonts w:cs="Arial"/>
          <w:sz w:val="20"/>
        </w:rPr>
      </w:pPr>
    </w:p>
    <w:p w14:paraId="62C702DE" w14:textId="77777777" w:rsidR="00511260" w:rsidRDefault="00511260" w:rsidP="00511260">
      <w:pPr>
        <w:rPr>
          <w:rFonts w:cs="Arial"/>
          <w:sz w:val="20"/>
        </w:rPr>
      </w:pPr>
    </w:p>
    <w:p w14:paraId="07C5E5D4"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4E0EAE10"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2438708F"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2442E223"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34EA176E"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1391B214"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576957F2"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7F5FBEF8"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172E2B0E" w14:textId="77777777" w:rsidR="00511260" w:rsidRDefault="00511260" w:rsidP="00511260">
      <w:pPr>
        <w:pBdr>
          <w:top w:val="nil"/>
          <w:left w:val="nil"/>
          <w:bottom w:val="nil"/>
          <w:right w:val="nil"/>
          <w:between w:val="nil"/>
        </w:pBdr>
        <w:contextualSpacing/>
        <w:rPr>
          <w:rFonts w:eastAsia="Palatino Linotype" w:cs="Palatino Linotype"/>
          <w:color w:val="000000"/>
          <w:sz w:val="20"/>
          <w:szCs w:val="20"/>
        </w:rPr>
      </w:pPr>
    </w:p>
    <w:p w14:paraId="7E063C5F" w14:textId="77777777" w:rsidR="0057412A" w:rsidRDefault="0057412A" w:rsidP="00511260">
      <w:pPr>
        <w:pBdr>
          <w:top w:val="nil"/>
          <w:left w:val="nil"/>
          <w:bottom w:val="nil"/>
          <w:right w:val="nil"/>
          <w:between w:val="nil"/>
        </w:pBdr>
        <w:contextualSpacing/>
        <w:rPr>
          <w:rFonts w:eastAsia="Palatino Linotype" w:cs="Palatino Linotype"/>
          <w:color w:val="000000"/>
          <w:sz w:val="20"/>
          <w:szCs w:val="20"/>
        </w:rPr>
      </w:pPr>
    </w:p>
    <w:p w14:paraId="5047069E" w14:textId="77777777" w:rsidR="0057412A" w:rsidRDefault="0057412A" w:rsidP="00511260">
      <w:pPr>
        <w:pBdr>
          <w:top w:val="nil"/>
          <w:left w:val="nil"/>
          <w:bottom w:val="nil"/>
          <w:right w:val="nil"/>
          <w:between w:val="nil"/>
        </w:pBdr>
        <w:contextualSpacing/>
        <w:rPr>
          <w:rFonts w:eastAsia="Palatino Linotype" w:cs="Palatino Linotype"/>
          <w:color w:val="000000"/>
          <w:sz w:val="20"/>
          <w:szCs w:val="20"/>
        </w:rPr>
      </w:pPr>
    </w:p>
    <w:p w14:paraId="4FD5A9D9" w14:textId="77777777" w:rsidR="0057412A" w:rsidRDefault="0057412A" w:rsidP="00511260">
      <w:pPr>
        <w:pBdr>
          <w:top w:val="nil"/>
          <w:left w:val="nil"/>
          <w:bottom w:val="nil"/>
          <w:right w:val="nil"/>
          <w:between w:val="nil"/>
        </w:pBdr>
        <w:contextualSpacing/>
        <w:rPr>
          <w:rFonts w:eastAsia="Palatino Linotype" w:cs="Palatino Linotype"/>
          <w:color w:val="000000"/>
          <w:sz w:val="20"/>
          <w:szCs w:val="20"/>
        </w:rPr>
      </w:pPr>
    </w:p>
    <w:p w14:paraId="52E1CA7D" w14:textId="77777777" w:rsidR="0057412A" w:rsidRDefault="0057412A" w:rsidP="00511260">
      <w:pPr>
        <w:pBdr>
          <w:top w:val="nil"/>
          <w:left w:val="nil"/>
          <w:bottom w:val="nil"/>
          <w:right w:val="nil"/>
          <w:between w:val="nil"/>
        </w:pBdr>
        <w:contextualSpacing/>
        <w:rPr>
          <w:rFonts w:eastAsia="Palatino Linotype" w:cs="Palatino Linotype"/>
          <w:color w:val="000000"/>
          <w:sz w:val="20"/>
          <w:szCs w:val="20"/>
        </w:rPr>
      </w:pPr>
    </w:p>
    <w:p w14:paraId="3B220363" w14:textId="77777777" w:rsidR="0057412A" w:rsidRDefault="0057412A" w:rsidP="00511260">
      <w:pPr>
        <w:pBdr>
          <w:top w:val="nil"/>
          <w:left w:val="nil"/>
          <w:bottom w:val="nil"/>
          <w:right w:val="nil"/>
          <w:between w:val="nil"/>
        </w:pBdr>
        <w:contextualSpacing/>
        <w:rPr>
          <w:rFonts w:eastAsia="Palatino Linotype" w:cs="Palatino Linotype"/>
          <w:color w:val="000000"/>
          <w:sz w:val="20"/>
          <w:szCs w:val="20"/>
        </w:rPr>
      </w:pPr>
    </w:p>
    <w:p w14:paraId="22E8CEF9" w14:textId="77777777" w:rsidR="0057412A" w:rsidRDefault="0057412A" w:rsidP="00511260">
      <w:pPr>
        <w:pBdr>
          <w:top w:val="nil"/>
          <w:left w:val="nil"/>
          <w:bottom w:val="nil"/>
          <w:right w:val="nil"/>
          <w:between w:val="nil"/>
        </w:pBdr>
        <w:contextualSpacing/>
        <w:rPr>
          <w:rFonts w:eastAsia="Palatino Linotype" w:cs="Palatino Linotype"/>
          <w:color w:val="000000"/>
          <w:sz w:val="20"/>
          <w:szCs w:val="20"/>
        </w:rPr>
      </w:pPr>
    </w:p>
    <w:p w14:paraId="5858F069" w14:textId="77777777" w:rsidR="0057412A" w:rsidRDefault="0057412A" w:rsidP="00511260">
      <w:pPr>
        <w:pBdr>
          <w:top w:val="nil"/>
          <w:left w:val="nil"/>
          <w:bottom w:val="nil"/>
          <w:right w:val="nil"/>
          <w:between w:val="nil"/>
        </w:pBdr>
        <w:contextualSpacing/>
        <w:rPr>
          <w:rFonts w:eastAsia="Palatino Linotype" w:cs="Palatino Linotype"/>
          <w:color w:val="000000"/>
          <w:sz w:val="20"/>
          <w:szCs w:val="20"/>
        </w:rPr>
      </w:pPr>
    </w:p>
    <w:p w14:paraId="670BD0B2" w14:textId="77777777" w:rsidR="0057412A" w:rsidRDefault="0057412A" w:rsidP="00511260">
      <w:pPr>
        <w:pBdr>
          <w:top w:val="nil"/>
          <w:left w:val="nil"/>
          <w:bottom w:val="nil"/>
          <w:right w:val="nil"/>
          <w:between w:val="nil"/>
        </w:pBdr>
        <w:contextualSpacing/>
        <w:rPr>
          <w:rFonts w:eastAsia="Palatino Linotype" w:cs="Palatino Linotype"/>
          <w:color w:val="000000"/>
          <w:sz w:val="20"/>
          <w:szCs w:val="20"/>
        </w:rPr>
      </w:pPr>
    </w:p>
    <w:p w14:paraId="4B5233BA" w14:textId="77777777" w:rsidR="0057412A" w:rsidRPr="004B7011" w:rsidRDefault="0057412A" w:rsidP="00511260">
      <w:pPr>
        <w:pBdr>
          <w:top w:val="nil"/>
          <w:left w:val="nil"/>
          <w:bottom w:val="nil"/>
          <w:right w:val="nil"/>
          <w:between w:val="nil"/>
        </w:pBdr>
        <w:contextualSpacing/>
        <w:rPr>
          <w:rFonts w:eastAsia="Palatino Linotype" w:cs="Palatino Linotype"/>
          <w:color w:val="000000"/>
          <w:sz w:val="20"/>
          <w:szCs w:val="20"/>
        </w:rPr>
      </w:pPr>
    </w:p>
    <w:p w14:paraId="61366E68" w14:textId="77777777" w:rsidR="00511260" w:rsidRPr="004B7011" w:rsidRDefault="00511260" w:rsidP="00511260"/>
    <w:p w14:paraId="00368013" w14:textId="77777777" w:rsidR="00511260" w:rsidRDefault="00511260" w:rsidP="00511260"/>
    <w:p w14:paraId="45DC08C8" w14:textId="77777777" w:rsidR="00511260" w:rsidRDefault="00511260" w:rsidP="00511260"/>
    <w:p w14:paraId="1A6A0019" w14:textId="77777777" w:rsidR="00511260" w:rsidRDefault="00511260"/>
    <w:sectPr w:rsidR="00511260" w:rsidSect="00511260">
      <w:headerReference w:type="even" r:id="rId7"/>
      <w:headerReference w:type="default" r:id="rId8"/>
      <w:footerReference w:type="default" r:id="rId9"/>
      <w:headerReference w:type="first" r:id="rId10"/>
      <w:footerReference w:type="first" r:id="rId11"/>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36D7C" w14:textId="77777777" w:rsidR="00121FE6" w:rsidRDefault="00121FE6" w:rsidP="00511260">
      <w:pPr>
        <w:spacing w:line="240" w:lineRule="auto"/>
      </w:pPr>
      <w:r>
        <w:separator/>
      </w:r>
    </w:p>
  </w:endnote>
  <w:endnote w:type="continuationSeparator" w:id="0">
    <w:p w14:paraId="0C2455C2" w14:textId="77777777" w:rsidR="00121FE6" w:rsidRDefault="00121FE6" w:rsidP="005112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AE979" w14:textId="77777777" w:rsidR="00944916" w:rsidRPr="00871A91" w:rsidRDefault="00944916" w:rsidP="00F34B8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E199E">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E199E">
      <w:rPr>
        <w:rFonts w:ascii="Palatino Linotype" w:hAnsi="Palatino Linotype"/>
        <w:b/>
        <w:bCs/>
        <w:noProof/>
        <w:sz w:val="20"/>
      </w:rPr>
      <w:t>53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808D4" w14:textId="77777777" w:rsidR="00944916" w:rsidRPr="00871A91" w:rsidRDefault="00944916" w:rsidP="00F34B8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E199E">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E199E">
      <w:rPr>
        <w:rFonts w:ascii="Palatino Linotype" w:hAnsi="Palatino Linotype"/>
        <w:b/>
        <w:bCs/>
        <w:noProof/>
        <w:sz w:val="20"/>
      </w:rPr>
      <w:t>53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8369A" w14:textId="77777777" w:rsidR="00121FE6" w:rsidRDefault="00121FE6" w:rsidP="00511260">
      <w:pPr>
        <w:spacing w:line="240" w:lineRule="auto"/>
      </w:pPr>
      <w:r>
        <w:separator/>
      </w:r>
    </w:p>
  </w:footnote>
  <w:footnote w:type="continuationSeparator" w:id="0">
    <w:p w14:paraId="229F40F8" w14:textId="77777777" w:rsidR="00121FE6" w:rsidRDefault="00121FE6" w:rsidP="00511260">
      <w:pPr>
        <w:spacing w:line="240" w:lineRule="auto"/>
      </w:pPr>
      <w:r>
        <w:continuationSeparator/>
      </w:r>
    </w:p>
  </w:footnote>
  <w:footnote w:id="1">
    <w:p w14:paraId="624D0606" w14:textId="77777777" w:rsidR="00944916" w:rsidRPr="0031280C" w:rsidRDefault="00944916" w:rsidP="007B63EE">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3FECED58" w14:textId="77777777" w:rsidR="00944916" w:rsidRPr="0031280C" w:rsidRDefault="00944916" w:rsidP="007B63EE">
      <w:pPr>
        <w:rPr>
          <w:rFonts w:cs="Palatino Linotype"/>
          <w:color w:val="000000"/>
          <w:sz w:val="20"/>
          <w:szCs w:val="20"/>
        </w:rPr>
      </w:pPr>
    </w:p>
    <w:p w14:paraId="7F5A28A6" w14:textId="77777777" w:rsidR="00944916" w:rsidRPr="0031280C" w:rsidRDefault="00944916" w:rsidP="007B63EE">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40D666C9" w14:textId="77777777" w:rsidR="00944916" w:rsidRPr="00783A97" w:rsidRDefault="00944916" w:rsidP="007B63EE">
      <w:pPr>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8423B" w14:textId="77777777" w:rsidR="00944916" w:rsidRDefault="004E199E">
    <w:pPr>
      <w:pStyle w:val="Encabezado"/>
    </w:pPr>
    <w:r>
      <w:rPr>
        <w:noProof/>
        <w:lang w:val="es-MX" w:eastAsia="es-MX"/>
      </w:rPr>
      <w:pict w14:anchorId="40F11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944916" w:rsidRPr="00B17577" w14:paraId="74F8F2EF" w14:textId="77777777" w:rsidTr="00F34B81">
      <w:trPr>
        <w:trHeight w:val="227"/>
      </w:trPr>
      <w:tc>
        <w:tcPr>
          <w:tcW w:w="5103" w:type="dxa"/>
          <w:hideMark/>
        </w:tcPr>
        <w:p w14:paraId="7016A1D4" w14:textId="77777777" w:rsidR="00944916" w:rsidRPr="00096248" w:rsidRDefault="00944916" w:rsidP="00F34B81">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2F4B4092" w14:textId="47DCFFAB" w:rsidR="00944916" w:rsidRPr="00096248" w:rsidRDefault="00944916" w:rsidP="00F34B81">
          <w:pPr>
            <w:spacing w:after="120" w:line="240" w:lineRule="auto"/>
            <w:ind w:right="71"/>
            <w:jc w:val="right"/>
            <w:rPr>
              <w:rFonts w:cs="Arial"/>
              <w:b/>
              <w:szCs w:val="24"/>
            </w:rPr>
          </w:pPr>
          <w:r>
            <w:rPr>
              <w:rFonts w:cs="Arial"/>
              <w:b/>
              <w:bCs/>
              <w:szCs w:val="24"/>
            </w:rPr>
            <w:t>05985</w:t>
          </w:r>
          <w:r w:rsidRPr="00096248">
            <w:rPr>
              <w:rFonts w:cs="Arial"/>
              <w:b/>
              <w:bCs/>
              <w:szCs w:val="24"/>
            </w:rPr>
            <w:t>/INFOEM/IP/RR/202</w:t>
          </w:r>
          <w:r>
            <w:rPr>
              <w:rFonts w:cs="Arial"/>
              <w:b/>
              <w:bCs/>
              <w:szCs w:val="24"/>
            </w:rPr>
            <w:t>4 y acumulados</w:t>
          </w:r>
        </w:p>
      </w:tc>
    </w:tr>
    <w:tr w:rsidR="00944916" w14:paraId="18E3B481" w14:textId="77777777" w:rsidTr="00F34B81">
      <w:trPr>
        <w:trHeight w:val="242"/>
      </w:trPr>
      <w:tc>
        <w:tcPr>
          <w:tcW w:w="5103" w:type="dxa"/>
          <w:hideMark/>
        </w:tcPr>
        <w:p w14:paraId="0D8CA91F" w14:textId="77777777" w:rsidR="00944916" w:rsidRPr="00096248" w:rsidRDefault="00944916" w:rsidP="00F34B81">
          <w:pPr>
            <w:spacing w:after="120" w:line="240" w:lineRule="auto"/>
            <w:ind w:right="69"/>
            <w:jc w:val="right"/>
            <w:rPr>
              <w:rFonts w:cs="Arial"/>
              <w:b/>
              <w:szCs w:val="24"/>
            </w:rPr>
          </w:pPr>
          <w:r w:rsidRPr="00096248">
            <w:rPr>
              <w:rFonts w:cs="Arial"/>
              <w:b/>
              <w:szCs w:val="24"/>
            </w:rPr>
            <w:t>Sujeto Obligado:</w:t>
          </w:r>
        </w:p>
      </w:tc>
      <w:tc>
        <w:tcPr>
          <w:tcW w:w="4395" w:type="dxa"/>
          <w:hideMark/>
        </w:tcPr>
        <w:p w14:paraId="6840CC1F" w14:textId="79500BB8" w:rsidR="00944916" w:rsidRPr="00096248" w:rsidRDefault="00944916" w:rsidP="00F34B81">
          <w:pPr>
            <w:spacing w:after="120" w:line="240" w:lineRule="auto"/>
            <w:ind w:left="-81" w:right="71"/>
            <w:jc w:val="right"/>
            <w:rPr>
              <w:rFonts w:cs="Arial"/>
              <w:szCs w:val="24"/>
            </w:rPr>
          </w:pPr>
          <w:r w:rsidRPr="001535C3">
            <w:rPr>
              <w:b/>
              <w:bCs/>
              <w:color w:val="000000"/>
              <w:szCs w:val="24"/>
            </w:rPr>
            <w:t>Ayuntamiento de Tlalnepantla de Baz</w:t>
          </w:r>
        </w:p>
      </w:tc>
    </w:tr>
    <w:tr w:rsidR="00944916" w:rsidRPr="00F63239" w14:paraId="2CCA9704" w14:textId="77777777" w:rsidTr="00F34B81">
      <w:trPr>
        <w:trHeight w:val="342"/>
      </w:trPr>
      <w:tc>
        <w:tcPr>
          <w:tcW w:w="5103" w:type="dxa"/>
          <w:hideMark/>
        </w:tcPr>
        <w:p w14:paraId="72907A46" w14:textId="77777777" w:rsidR="00944916" w:rsidRPr="00096248" w:rsidRDefault="00944916" w:rsidP="00F34B81">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2BAFBF39" w14:textId="77777777" w:rsidR="00944916" w:rsidRDefault="00944916" w:rsidP="00F34B81">
          <w:pPr>
            <w:spacing w:after="120" w:line="240" w:lineRule="auto"/>
            <w:ind w:left="-486" w:right="71" w:firstLine="567"/>
            <w:jc w:val="right"/>
            <w:rPr>
              <w:rFonts w:cs="Arial"/>
              <w:szCs w:val="24"/>
            </w:rPr>
          </w:pPr>
          <w:r w:rsidRPr="00096248">
            <w:rPr>
              <w:rFonts w:cs="Arial"/>
              <w:szCs w:val="24"/>
            </w:rPr>
            <w:t>José Martínez Vilchis</w:t>
          </w:r>
        </w:p>
        <w:p w14:paraId="1047C7D9" w14:textId="77777777" w:rsidR="00944916" w:rsidRPr="00711916" w:rsidRDefault="00944916" w:rsidP="00F34B81">
          <w:pPr>
            <w:spacing w:after="120" w:line="240" w:lineRule="auto"/>
            <w:ind w:left="-486" w:right="71" w:firstLine="567"/>
            <w:jc w:val="right"/>
            <w:rPr>
              <w:rFonts w:cs="Arial"/>
              <w:sz w:val="2"/>
              <w:szCs w:val="2"/>
            </w:rPr>
          </w:pPr>
        </w:p>
      </w:tc>
    </w:tr>
  </w:tbl>
  <w:p w14:paraId="73103D5B" w14:textId="77777777" w:rsidR="00944916" w:rsidRPr="00871A91" w:rsidRDefault="004E199E">
    <w:pPr>
      <w:pStyle w:val="Encabezado"/>
      <w:rPr>
        <w:sz w:val="2"/>
      </w:rPr>
    </w:pPr>
    <w:r>
      <w:rPr>
        <w:noProof/>
        <w:lang w:val="es-MX" w:eastAsia="es-MX"/>
      </w:rPr>
      <w:pict w14:anchorId="7D3C7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55pt;margin-top:-142.95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r w:rsidR="00944916">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944916" w14:paraId="70AFDA88" w14:textId="77777777" w:rsidTr="00F34B81">
      <w:trPr>
        <w:trHeight w:val="227"/>
      </w:trPr>
      <w:tc>
        <w:tcPr>
          <w:tcW w:w="5103" w:type="dxa"/>
          <w:hideMark/>
        </w:tcPr>
        <w:p w14:paraId="3D064589" w14:textId="77777777" w:rsidR="00944916" w:rsidRPr="00663A37" w:rsidRDefault="00944916" w:rsidP="00F34B81">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34A673A9" w14:textId="6DF1454C" w:rsidR="00944916" w:rsidRPr="001776EC" w:rsidRDefault="00944916" w:rsidP="00F34B81">
          <w:pPr>
            <w:spacing w:after="120" w:line="240" w:lineRule="auto"/>
            <w:ind w:left="-486" w:right="68" w:firstLine="558"/>
            <w:jc w:val="right"/>
            <w:rPr>
              <w:rFonts w:cs="Arial"/>
              <w:b/>
              <w:bCs/>
              <w:szCs w:val="24"/>
            </w:rPr>
          </w:pPr>
          <w:r>
            <w:rPr>
              <w:rFonts w:cs="Arial"/>
              <w:b/>
              <w:bCs/>
              <w:szCs w:val="24"/>
            </w:rPr>
            <w:t>05985/INFOEM/IP/RR/2024 y acumulados</w:t>
          </w:r>
        </w:p>
      </w:tc>
    </w:tr>
    <w:tr w:rsidR="00944916" w:rsidRPr="001F57CD" w14:paraId="32A34B18" w14:textId="77777777" w:rsidTr="00F34B81">
      <w:trPr>
        <w:trHeight w:val="196"/>
      </w:trPr>
      <w:tc>
        <w:tcPr>
          <w:tcW w:w="5103" w:type="dxa"/>
          <w:hideMark/>
        </w:tcPr>
        <w:p w14:paraId="255F7FD4" w14:textId="77777777" w:rsidR="00944916" w:rsidRPr="00663A37" w:rsidRDefault="00944916" w:rsidP="00F34B81">
          <w:pPr>
            <w:spacing w:after="120" w:line="240" w:lineRule="auto"/>
            <w:ind w:right="68"/>
            <w:jc w:val="right"/>
            <w:rPr>
              <w:rFonts w:cs="Arial"/>
              <w:b/>
              <w:szCs w:val="24"/>
            </w:rPr>
          </w:pPr>
          <w:r w:rsidRPr="00663A37">
            <w:rPr>
              <w:rFonts w:cs="Arial"/>
              <w:b/>
              <w:szCs w:val="24"/>
            </w:rPr>
            <w:t>Recurrente:</w:t>
          </w:r>
          <w:r>
            <w:rPr>
              <w:rFonts w:cs="Arial"/>
              <w:b/>
              <w:szCs w:val="24"/>
            </w:rPr>
            <w:t xml:space="preserve">     </w:t>
          </w:r>
        </w:p>
      </w:tc>
      <w:tc>
        <w:tcPr>
          <w:tcW w:w="4395" w:type="dxa"/>
          <w:hideMark/>
        </w:tcPr>
        <w:p w14:paraId="5BB7BB8F" w14:textId="327EB162" w:rsidR="00944916" w:rsidRPr="00663A37" w:rsidRDefault="004E199E" w:rsidP="00F34B81">
          <w:pPr>
            <w:spacing w:after="120" w:line="240" w:lineRule="auto"/>
            <w:ind w:right="68"/>
            <w:jc w:val="right"/>
            <w:rPr>
              <w:rFonts w:cs="Arial"/>
              <w:szCs w:val="24"/>
            </w:rPr>
          </w:pPr>
          <w:r>
            <w:rPr>
              <w:rFonts w:cs="Arial"/>
              <w:szCs w:val="24"/>
            </w:rPr>
            <w:t>XXXX</w:t>
          </w:r>
        </w:p>
      </w:tc>
    </w:tr>
    <w:tr w:rsidR="00944916" w14:paraId="7472047E" w14:textId="77777777" w:rsidTr="00F34B81">
      <w:trPr>
        <w:trHeight w:val="242"/>
      </w:trPr>
      <w:tc>
        <w:tcPr>
          <w:tcW w:w="5103" w:type="dxa"/>
          <w:hideMark/>
        </w:tcPr>
        <w:p w14:paraId="3D84B202" w14:textId="77777777" w:rsidR="00944916" w:rsidRPr="00663A37" w:rsidRDefault="00944916" w:rsidP="00F34B81">
          <w:pPr>
            <w:spacing w:after="120" w:line="240" w:lineRule="auto"/>
            <w:ind w:right="68"/>
            <w:jc w:val="right"/>
            <w:rPr>
              <w:rFonts w:cs="Arial"/>
              <w:b/>
              <w:szCs w:val="24"/>
            </w:rPr>
          </w:pPr>
          <w:r w:rsidRPr="00663A37">
            <w:rPr>
              <w:rFonts w:cs="Arial"/>
              <w:b/>
              <w:szCs w:val="24"/>
            </w:rPr>
            <w:t>Sujeto Obligado:</w:t>
          </w:r>
        </w:p>
      </w:tc>
      <w:tc>
        <w:tcPr>
          <w:tcW w:w="4395" w:type="dxa"/>
          <w:hideMark/>
        </w:tcPr>
        <w:p w14:paraId="26ADCBD9" w14:textId="6D7A7072" w:rsidR="00944916" w:rsidRPr="001535C3" w:rsidRDefault="00944916" w:rsidP="00F34B81">
          <w:pPr>
            <w:spacing w:after="120" w:line="240" w:lineRule="auto"/>
            <w:ind w:left="-70" w:right="68"/>
            <w:jc w:val="right"/>
            <w:rPr>
              <w:rFonts w:cs="Arial"/>
              <w:szCs w:val="24"/>
            </w:rPr>
          </w:pPr>
          <w:r w:rsidRPr="001535C3">
            <w:rPr>
              <w:b/>
              <w:bCs/>
              <w:color w:val="000000"/>
              <w:szCs w:val="24"/>
            </w:rPr>
            <w:t>Ayuntamiento de Tlalnepantla de Baz</w:t>
          </w:r>
        </w:p>
      </w:tc>
    </w:tr>
    <w:tr w:rsidR="00944916" w14:paraId="7436AB92" w14:textId="77777777" w:rsidTr="00F34B81">
      <w:trPr>
        <w:trHeight w:val="342"/>
      </w:trPr>
      <w:tc>
        <w:tcPr>
          <w:tcW w:w="5103" w:type="dxa"/>
          <w:hideMark/>
        </w:tcPr>
        <w:p w14:paraId="55234C9C" w14:textId="77777777" w:rsidR="00944916" w:rsidRPr="00663A37" w:rsidRDefault="00944916" w:rsidP="00F34B81">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463ED9CF" w14:textId="77777777" w:rsidR="00944916" w:rsidRPr="00663A37" w:rsidRDefault="00944916" w:rsidP="00F34B81">
          <w:pPr>
            <w:spacing w:after="120" w:line="240" w:lineRule="auto"/>
            <w:ind w:left="-486" w:right="68" w:firstLine="567"/>
            <w:jc w:val="right"/>
            <w:rPr>
              <w:rFonts w:cs="Arial"/>
              <w:szCs w:val="24"/>
            </w:rPr>
          </w:pPr>
          <w:r w:rsidRPr="00663A37">
            <w:rPr>
              <w:rFonts w:cs="Arial"/>
              <w:szCs w:val="24"/>
            </w:rPr>
            <w:t>José Martínez Vilchis</w:t>
          </w:r>
        </w:p>
      </w:tc>
    </w:tr>
  </w:tbl>
  <w:p w14:paraId="7060E3EA" w14:textId="77777777" w:rsidR="00944916" w:rsidRPr="00871A91" w:rsidRDefault="00944916">
    <w:pPr>
      <w:pStyle w:val="Encabezado"/>
      <w:rPr>
        <w:sz w:val="2"/>
      </w:rPr>
    </w:pPr>
    <w:r>
      <w:rPr>
        <w:noProof/>
        <w:lang w:val="es-MX" w:eastAsia="es-MX"/>
      </w:rPr>
      <w:drawing>
        <wp:anchor distT="0" distB="0" distL="114300" distR="114300" simplePos="0" relativeHeight="251661312" behindDoc="1" locked="0" layoutInCell="0" allowOverlap="1" wp14:anchorId="05732BEF" wp14:editId="2E69136B">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2DAE"/>
    <w:multiLevelType w:val="hybridMultilevel"/>
    <w:tmpl w:val="D714B6F6"/>
    <w:lvl w:ilvl="0" w:tplc="7D2452E6">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C7E669F"/>
    <w:multiLevelType w:val="hybridMultilevel"/>
    <w:tmpl w:val="69DE07A4"/>
    <w:lvl w:ilvl="0" w:tplc="A3D6F8CC">
      <w:start w:val="1"/>
      <w:numFmt w:val="decimal"/>
      <w:lvlText w:val="%1."/>
      <w:lvlJc w:val="left"/>
      <w:pPr>
        <w:ind w:left="1429" w:hanging="360"/>
      </w:pPr>
      <w:rPr>
        <w:rFonts w:eastAsia="Calibri" w:cs="Calibri" w:hint="default"/>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AC121C"/>
    <w:multiLevelType w:val="hybridMultilevel"/>
    <w:tmpl w:val="B628CFBA"/>
    <w:lvl w:ilvl="0" w:tplc="53D8213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14122E0B"/>
    <w:multiLevelType w:val="multilevel"/>
    <w:tmpl w:val="72F6A312"/>
    <w:lvl w:ilvl="0">
      <w:start w:val="1"/>
      <w:numFmt w:val="decimal"/>
      <w:lvlText w:val="%1."/>
      <w:lvlJc w:val="left"/>
      <w:pPr>
        <w:ind w:left="1133" w:hanging="425"/>
      </w:pPr>
      <w:rPr>
        <w:rFonts w:hint="default"/>
        <w:i/>
        <w:iCs/>
      </w:rPr>
    </w:lvl>
    <w:lvl w:ilvl="1">
      <w:start w:val="1"/>
      <w:numFmt w:val="decimal"/>
      <w:lvlText w:val="%1.%2."/>
      <w:lvlJc w:val="left"/>
      <w:pPr>
        <w:ind w:left="1700" w:hanging="567"/>
      </w:pPr>
      <w:rPr>
        <w:rFonts w:hint="default"/>
        <w:i/>
        <w:iCs/>
      </w:rPr>
    </w:lvl>
    <w:lvl w:ilvl="2">
      <w:start w:val="1"/>
      <w:numFmt w:val="decimal"/>
      <w:lvlText w:val="%1.%2.%3."/>
      <w:lvlJc w:val="left"/>
      <w:pPr>
        <w:ind w:left="1648" w:hanging="504"/>
      </w:pPr>
      <w:rPr>
        <w:rFonts w:hint="default"/>
      </w:rPr>
    </w:lvl>
    <w:lvl w:ilvl="3">
      <w:start w:val="1"/>
      <w:numFmt w:val="decimal"/>
      <w:lvlText w:val="%1.%2.%3.%4."/>
      <w:lvlJc w:val="left"/>
      <w:pPr>
        <w:ind w:left="2152" w:hanging="648"/>
      </w:pPr>
      <w:rPr>
        <w:rFonts w:hint="default"/>
      </w:rPr>
    </w:lvl>
    <w:lvl w:ilvl="4">
      <w:start w:val="1"/>
      <w:numFmt w:val="decimal"/>
      <w:lvlText w:val="%1.%2.%3.%4.%5."/>
      <w:lvlJc w:val="left"/>
      <w:pPr>
        <w:ind w:left="2656" w:hanging="792"/>
      </w:pPr>
      <w:rPr>
        <w:rFonts w:hint="default"/>
      </w:rPr>
    </w:lvl>
    <w:lvl w:ilvl="5">
      <w:start w:val="1"/>
      <w:numFmt w:val="decimal"/>
      <w:lvlText w:val="%1.%2.%3.%4.%5.%6."/>
      <w:lvlJc w:val="left"/>
      <w:pPr>
        <w:ind w:left="3160" w:hanging="936"/>
      </w:pPr>
      <w:rPr>
        <w:rFonts w:hint="default"/>
      </w:rPr>
    </w:lvl>
    <w:lvl w:ilvl="6">
      <w:start w:val="1"/>
      <w:numFmt w:val="decimal"/>
      <w:lvlText w:val="%1.%2.%3.%4.%5.%6.%7."/>
      <w:lvlJc w:val="left"/>
      <w:pPr>
        <w:ind w:left="3664" w:hanging="1080"/>
      </w:pPr>
      <w:rPr>
        <w:rFonts w:hint="default"/>
      </w:rPr>
    </w:lvl>
    <w:lvl w:ilvl="7">
      <w:start w:val="1"/>
      <w:numFmt w:val="decimal"/>
      <w:lvlText w:val="%1.%2.%3.%4.%5.%6.%7.%8."/>
      <w:lvlJc w:val="left"/>
      <w:pPr>
        <w:ind w:left="4168" w:hanging="1224"/>
      </w:pPr>
      <w:rPr>
        <w:rFonts w:hint="default"/>
      </w:rPr>
    </w:lvl>
    <w:lvl w:ilvl="8">
      <w:start w:val="1"/>
      <w:numFmt w:val="decimal"/>
      <w:lvlText w:val="%1.%2.%3.%4.%5.%6.%7.%8.%9."/>
      <w:lvlJc w:val="left"/>
      <w:pPr>
        <w:ind w:left="4744" w:hanging="1440"/>
      </w:pPr>
      <w:rPr>
        <w:rFonts w:hint="default"/>
      </w:rPr>
    </w:lvl>
  </w:abstractNum>
  <w:abstractNum w:abstractNumId="5" w15:restartNumberingAfterBreak="0">
    <w:nsid w:val="14B75C02"/>
    <w:multiLevelType w:val="hybridMultilevel"/>
    <w:tmpl w:val="0A269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D50347"/>
    <w:multiLevelType w:val="hybridMultilevel"/>
    <w:tmpl w:val="741A9054"/>
    <w:lvl w:ilvl="0" w:tplc="247C098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 w15:restartNumberingAfterBreak="0">
    <w:nsid w:val="1D8C4DE0"/>
    <w:multiLevelType w:val="hybridMultilevel"/>
    <w:tmpl w:val="69DE07A4"/>
    <w:lvl w:ilvl="0" w:tplc="A3D6F8CC">
      <w:start w:val="1"/>
      <w:numFmt w:val="decimal"/>
      <w:lvlText w:val="%1."/>
      <w:lvlJc w:val="left"/>
      <w:pPr>
        <w:ind w:left="1429" w:hanging="360"/>
      </w:pPr>
      <w:rPr>
        <w:rFonts w:eastAsia="Calibri" w:cs="Calibri" w:hint="default"/>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42565F4"/>
    <w:multiLevelType w:val="hybridMultilevel"/>
    <w:tmpl w:val="D952BB7A"/>
    <w:lvl w:ilvl="0" w:tplc="08ACF12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0" w15:restartNumberingAfterBreak="0">
    <w:nsid w:val="3D117D7D"/>
    <w:multiLevelType w:val="hybridMultilevel"/>
    <w:tmpl w:val="B7C81186"/>
    <w:lvl w:ilvl="0" w:tplc="A93A8C16">
      <w:start w:val="1"/>
      <w:numFmt w:val="decimal"/>
      <w:lvlText w:val="%1."/>
      <w:lvlJc w:val="left"/>
      <w:pPr>
        <w:ind w:left="1080" w:hanging="360"/>
      </w:pPr>
      <w:rPr>
        <w:rFonts w:eastAsia="Calibri" w:cs="Arial" w:hint="default"/>
        <w:b/>
        <w:i/>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D3A2424"/>
    <w:multiLevelType w:val="hybridMultilevel"/>
    <w:tmpl w:val="05968B24"/>
    <w:lvl w:ilvl="0" w:tplc="EB8E356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 w15:restartNumberingAfterBreak="0">
    <w:nsid w:val="3F2B0EA3"/>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420B6475"/>
    <w:multiLevelType w:val="hybridMultilevel"/>
    <w:tmpl w:val="B7C81186"/>
    <w:lvl w:ilvl="0" w:tplc="A93A8C16">
      <w:start w:val="1"/>
      <w:numFmt w:val="decimal"/>
      <w:lvlText w:val="%1."/>
      <w:lvlJc w:val="left"/>
      <w:pPr>
        <w:ind w:left="1080" w:hanging="360"/>
      </w:pPr>
      <w:rPr>
        <w:rFonts w:eastAsia="Calibri" w:cs="Arial" w:hint="default"/>
        <w:b/>
        <w:i/>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2A32513"/>
    <w:multiLevelType w:val="hybridMultilevel"/>
    <w:tmpl w:val="B9E642F2"/>
    <w:lvl w:ilvl="0" w:tplc="42A668D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5D61B5"/>
    <w:multiLevelType w:val="hybridMultilevel"/>
    <w:tmpl w:val="C2060912"/>
    <w:lvl w:ilvl="0" w:tplc="06A8B0F8">
      <w:numFmt w:val="bullet"/>
      <w:lvlText w:val=""/>
      <w:lvlJc w:val="left"/>
      <w:pPr>
        <w:ind w:left="720" w:hanging="360"/>
      </w:pPr>
      <w:rPr>
        <w:rFonts w:ascii="Symbol" w:eastAsia="Palatino Linotype" w:hAnsi="Symbol" w:cs="Palatino Linotype"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8E608F"/>
    <w:multiLevelType w:val="hybridMultilevel"/>
    <w:tmpl w:val="4E92B1E0"/>
    <w:lvl w:ilvl="0" w:tplc="893AD8B0">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D625B66"/>
    <w:multiLevelType w:val="hybridMultilevel"/>
    <w:tmpl w:val="7E62F2E4"/>
    <w:lvl w:ilvl="0" w:tplc="422E2BE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1DC3C40"/>
    <w:multiLevelType w:val="hybridMultilevel"/>
    <w:tmpl w:val="138C69A8"/>
    <w:lvl w:ilvl="0" w:tplc="AFFE295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9" w15:restartNumberingAfterBreak="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560839D1"/>
    <w:multiLevelType w:val="hybridMultilevel"/>
    <w:tmpl w:val="5D169F9C"/>
    <w:lvl w:ilvl="0" w:tplc="C302A056">
      <w:start w:val="1"/>
      <w:numFmt w:val="decimal"/>
      <w:lvlText w:val="%1."/>
      <w:lvlJc w:val="left"/>
      <w:pPr>
        <w:ind w:left="502"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125084A"/>
    <w:multiLevelType w:val="hybridMultilevel"/>
    <w:tmpl w:val="0ED0BEBE"/>
    <w:lvl w:ilvl="0" w:tplc="2FB6D926">
      <w:start w:val="1"/>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39F25CE"/>
    <w:multiLevelType w:val="hybridMultilevel"/>
    <w:tmpl w:val="84C4DA46"/>
    <w:lvl w:ilvl="0" w:tplc="F726131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24" w15:restartNumberingAfterBreak="0">
    <w:nsid w:val="69984205"/>
    <w:multiLevelType w:val="hybridMultilevel"/>
    <w:tmpl w:val="11DA4158"/>
    <w:lvl w:ilvl="0" w:tplc="364C5A56">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D5827C0"/>
    <w:multiLevelType w:val="hybridMultilevel"/>
    <w:tmpl w:val="7E62F2E4"/>
    <w:lvl w:ilvl="0" w:tplc="422E2BE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A1F5B2E"/>
    <w:multiLevelType w:val="hybridMultilevel"/>
    <w:tmpl w:val="D952BB7A"/>
    <w:lvl w:ilvl="0" w:tplc="08ACF12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21"/>
  </w:num>
  <w:num w:numId="4">
    <w:abstractNumId w:val="6"/>
  </w:num>
  <w:num w:numId="5">
    <w:abstractNumId w:val="14"/>
  </w:num>
  <w:num w:numId="6">
    <w:abstractNumId w:val="7"/>
  </w:num>
  <w:num w:numId="7">
    <w:abstractNumId w:val="24"/>
  </w:num>
  <w:num w:numId="8">
    <w:abstractNumId w:val="0"/>
  </w:num>
  <w:num w:numId="9">
    <w:abstractNumId w:val="20"/>
  </w:num>
  <w:num w:numId="10">
    <w:abstractNumId w:val="19"/>
  </w:num>
  <w:num w:numId="11">
    <w:abstractNumId w:val="5"/>
  </w:num>
  <w:num w:numId="12">
    <w:abstractNumId w:val="4"/>
  </w:num>
  <w:num w:numId="13">
    <w:abstractNumId w:val="22"/>
  </w:num>
  <w:num w:numId="14">
    <w:abstractNumId w:val="2"/>
  </w:num>
  <w:num w:numId="15">
    <w:abstractNumId w:val="15"/>
  </w:num>
  <w:num w:numId="16">
    <w:abstractNumId w:val="9"/>
  </w:num>
  <w:num w:numId="17">
    <w:abstractNumId w:val="10"/>
  </w:num>
  <w:num w:numId="18">
    <w:abstractNumId w:val="26"/>
  </w:num>
  <w:num w:numId="19">
    <w:abstractNumId w:val="17"/>
  </w:num>
  <w:num w:numId="20">
    <w:abstractNumId w:val="25"/>
  </w:num>
  <w:num w:numId="21">
    <w:abstractNumId w:val="1"/>
  </w:num>
  <w:num w:numId="22">
    <w:abstractNumId w:val="3"/>
  </w:num>
  <w:num w:numId="23">
    <w:abstractNumId w:val="11"/>
  </w:num>
  <w:num w:numId="24">
    <w:abstractNumId w:val="13"/>
  </w:num>
  <w:num w:numId="25">
    <w:abstractNumId w:val="16"/>
  </w:num>
  <w:num w:numId="26">
    <w:abstractNumId w:val="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60"/>
    <w:rsid w:val="000076C9"/>
    <w:rsid w:val="0002248C"/>
    <w:rsid w:val="00090A5D"/>
    <w:rsid w:val="000B4B46"/>
    <w:rsid w:val="00121FE6"/>
    <w:rsid w:val="00133F65"/>
    <w:rsid w:val="001535C3"/>
    <w:rsid w:val="001963C1"/>
    <w:rsid w:val="001A0AE4"/>
    <w:rsid w:val="001C6BDD"/>
    <w:rsid w:val="001D651F"/>
    <w:rsid w:val="001F14B4"/>
    <w:rsid w:val="0022130E"/>
    <w:rsid w:val="002413B0"/>
    <w:rsid w:val="00246D6E"/>
    <w:rsid w:val="0027504B"/>
    <w:rsid w:val="00281400"/>
    <w:rsid w:val="00284DAC"/>
    <w:rsid w:val="002C6981"/>
    <w:rsid w:val="002D0A37"/>
    <w:rsid w:val="002E63E8"/>
    <w:rsid w:val="00350334"/>
    <w:rsid w:val="00362D0C"/>
    <w:rsid w:val="003847EE"/>
    <w:rsid w:val="003E3CFD"/>
    <w:rsid w:val="00407F9E"/>
    <w:rsid w:val="00422D32"/>
    <w:rsid w:val="00426497"/>
    <w:rsid w:val="0044416C"/>
    <w:rsid w:val="004643B1"/>
    <w:rsid w:val="004C1EAB"/>
    <w:rsid w:val="004E199E"/>
    <w:rsid w:val="00511260"/>
    <w:rsid w:val="00514EB8"/>
    <w:rsid w:val="005276F9"/>
    <w:rsid w:val="00545516"/>
    <w:rsid w:val="0057412A"/>
    <w:rsid w:val="00594641"/>
    <w:rsid w:val="005D3B64"/>
    <w:rsid w:val="005F5C5C"/>
    <w:rsid w:val="005F6C6D"/>
    <w:rsid w:val="00646E4F"/>
    <w:rsid w:val="006537E2"/>
    <w:rsid w:val="006757F8"/>
    <w:rsid w:val="00690C9E"/>
    <w:rsid w:val="006A4B22"/>
    <w:rsid w:val="007460DF"/>
    <w:rsid w:val="00776EB3"/>
    <w:rsid w:val="00796422"/>
    <w:rsid w:val="007B1488"/>
    <w:rsid w:val="007B63EE"/>
    <w:rsid w:val="007B6F7C"/>
    <w:rsid w:val="008030AF"/>
    <w:rsid w:val="008156CA"/>
    <w:rsid w:val="0082399A"/>
    <w:rsid w:val="0083523D"/>
    <w:rsid w:val="0088097A"/>
    <w:rsid w:val="008D2BAF"/>
    <w:rsid w:val="008E4499"/>
    <w:rsid w:val="008F0140"/>
    <w:rsid w:val="008F7EEB"/>
    <w:rsid w:val="009275AE"/>
    <w:rsid w:val="00931B6C"/>
    <w:rsid w:val="0093331B"/>
    <w:rsid w:val="009417F8"/>
    <w:rsid w:val="00944916"/>
    <w:rsid w:val="00963ABA"/>
    <w:rsid w:val="00991F74"/>
    <w:rsid w:val="009D70F8"/>
    <w:rsid w:val="00A14478"/>
    <w:rsid w:val="00A35E71"/>
    <w:rsid w:val="00B06067"/>
    <w:rsid w:val="00B156C7"/>
    <w:rsid w:val="00B3787B"/>
    <w:rsid w:val="00B40A7A"/>
    <w:rsid w:val="00B41B79"/>
    <w:rsid w:val="00B426F3"/>
    <w:rsid w:val="00B52B00"/>
    <w:rsid w:val="00B84D40"/>
    <w:rsid w:val="00B8643B"/>
    <w:rsid w:val="00B96CD0"/>
    <w:rsid w:val="00BA3232"/>
    <w:rsid w:val="00BB1B59"/>
    <w:rsid w:val="00C836E8"/>
    <w:rsid w:val="00CB17C5"/>
    <w:rsid w:val="00CF7459"/>
    <w:rsid w:val="00D13848"/>
    <w:rsid w:val="00D321D8"/>
    <w:rsid w:val="00D46485"/>
    <w:rsid w:val="00D67845"/>
    <w:rsid w:val="00D86BF2"/>
    <w:rsid w:val="00DA406E"/>
    <w:rsid w:val="00DA5FB4"/>
    <w:rsid w:val="00DE2D4E"/>
    <w:rsid w:val="00E37B9A"/>
    <w:rsid w:val="00E513F1"/>
    <w:rsid w:val="00F12321"/>
    <w:rsid w:val="00F34B81"/>
    <w:rsid w:val="00FF14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500566"/>
  <w15:chartTrackingRefBased/>
  <w15:docId w15:val="{4650A120-658D-49D8-A205-3B2DFAB0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260"/>
    <w:pPr>
      <w:spacing w:after="0" w:line="360" w:lineRule="auto"/>
      <w:jc w:val="both"/>
    </w:pPr>
    <w:rPr>
      <w:rFonts w:ascii="Palatino Linotype" w:eastAsia="Calibri" w:hAnsi="Palatino Linotype" w:cs="Calibri"/>
      <w:kern w:val="0"/>
      <w:szCs w:val="22"/>
      <w:lang w:val="es-ES_tradnl" w:eastAsia="es-MX"/>
      <w14:ligatures w14:val="none"/>
    </w:rPr>
  </w:style>
  <w:style w:type="paragraph" w:styleId="Ttulo1">
    <w:name w:val="heading 1"/>
    <w:aliases w:val="Título Res"/>
    <w:basedOn w:val="Normal"/>
    <w:next w:val="Normal"/>
    <w:link w:val="Ttulo1Car"/>
    <w:uiPriority w:val="9"/>
    <w:qFormat/>
    <w:rsid w:val="005112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aliases w:val="Subtítulos"/>
    <w:basedOn w:val="Normal"/>
    <w:next w:val="Normal"/>
    <w:link w:val="Ttulo2Car"/>
    <w:uiPriority w:val="9"/>
    <w:unhideWhenUsed/>
    <w:qFormat/>
    <w:rsid w:val="005112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1126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1126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1126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1126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1126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1126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1126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Res Car"/>
    <w:basedOn w:val="Fuentedeprrafopredeter"/>
    <w:link w:val="Ttulo1"/>
    <w:uiPriority w:val="9"/>
    <w:rsid w:val="00511260"/>
    <w:rPr>
      <w:rFonts w:asciiTheme="majorHAnsi" w:eastAsiaTheme="majorEastAsia" w:hAnsiTheme="majorHAnsi" w:cstheme="majorBidi"/>
      <w:color w:val="0F4761" w:themeColor="accent1" w:themeShade="BF"/>
      <w:sz w:val="40"/>
      <w:szCs w:val="40"/>
    </w:rPr>
  </w:style>
  <w:style w:type="character" w:customStyle="1" w:styleId="Ttulo2Car">
    <w:name w:val="Título 2 Car"/>
    <w:aliases w:val="Subtítulos Car"/>
    <w:basedOn w:val="Fuentedeprrafopredeter"/>
    <w:link w:val="Ttulo2"/>
    <w:uiPriority w:val="9"/>
    <w:rsid w:val="0051126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1126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1126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1126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1126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1126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1126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11260"/>
    <w:rPr>
      <w:rFonts w:eastAsiaTheme="majorEastAsia" w:cstheme="majorBidi"/>
      <w:color w:val="272727" w:themeColor="text1" w:themeTint="D8"/>
    </w:rPr>
  </w:style>
  <w:style w:type="paragraph" w:styleId="Puesto">
    <w:name w:val="Title"/>
    <w:basedOn w:val="Normal"/>
    <w:next w:val="Normal"/>
    <w:link w:val="PuestoCar"/>
    <w:uiPriority w:val="10"/>
    <w:qFormat/>
    <w:rsid w:val="005112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5112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1126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1126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11260"/>
    <w:pPr>
      <w:spacing w:before="160"/>
      <w:jc w:val="center"/>
    </w:pPr>
    <w:rPr>
      <w:i/>
      <w:iCs/>
      <w:color w:val="404040" w:themeColor="text1" w:themeTint="BF"/>
    </w:rPr>
  </w:style>
  <w:style w:type="character" w:customStyle="1" w:styleId="CitaCar">
    <w:name w:val="Cita Car"/>
    <w:basedOn w:val="Fuentedeprrafopredeter"/>
    <w:link w:val="Cita"/>
    <w:uiPriority w:val="29"/>
    <w:rsid w:val="0051126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11260"/>
    <w:pPr>
      <w:ind w:left="720"/>
      <w:contextualSpacing/>
    </w:pPr>
  </w:style>
  <w:style w:type="character" w:styleId="nfasisintenso">
    <w:name w:val="Intense Emphasis"/>
    <w:basedOn w:val="Fuentedeprrafopredeter"/>
    <w:uiPriority w:val="21"/>
    <w:qFormat/>
    <w:rsid w:val="00511260"/>
    <w:rPr>
      <w:i/>
      <w:iCs/>
      <w:color w:val="0F4761" w:themeColor="accent1" w:themeShade="BF"/>
    </w:rPr>
  </w:style>
  <w:style w:type="paragraph" w:styleId="Citadestacada">
    <w:name w:val="Intense Quote"/>
    <w:basedOn w:val="Normal"/>
    <w:next w:val="Normal"/>
    <w:link w:val="CitadestacadaCar"/>
    <w:uiPriority w:val="30"/>
    <w:qFormat/>
    <w:rsid w:val="005112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11260"/>
    <w:rPr>
      <w:i/>
      <w:iCs/>
      <w:color w:val="0F4761" w:themeColor="accent1" w:themeShade="BF"/>
    </w:rPr>
  </w:style>
  <w:style w:type="character" w:styleId="Referenciaintensa">
    <w:name w:val="Intense Reference"/>
    <w:basedOn w:val="Fuentedeprrafopredeter"/>
    <w:uiPriority w:val="32"/>
    <w:qFormat/>
    <w:rsid w:val="00511260"/>
    <w:rPr>
      <w:b/>
      <w:bCs/>
      <w:smallCaps/>
      <w:color w:val="0F4761" w:themeColor="accent1" w:themeShade="BF"/>
      <w:spacing w:val="5"/>
    </w:rPr>
  </w:style>
  <w:style w:type="paragraph" w:styleId="Encabezado">
    <w:name w:val="header"/>
    <w:basedOn w:val="Normal"/>
    <w:link w:val="EncabezadoCar"/>
    <w:uiPriority w:val="99"/>
    <w:unhideWhenUsed/>
    <w:rsid w:val="00511260"/>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511260"/>
    <w:rPr>
      <w:rFonts w:ascii="Times New Roman" w:eastAsia="Calibri" w:hAnsi="Times New Roman" w:cs="Times New Roman"/>
      <w:kern w:val="0"/>
      <w:lang w:val="es-ES" w:eastAsia="es-ES"/>
      <w14:ligatures w14:val="none"/>
    </w:rPr>
  </w:style>
  <w:style w:type="paragraph" w:styleId="Piedepgina">
    <w:name w:val="footer"/>
    <w:basedOn w:val="Normal"/>
    <w:link w:val="PiedepginaCar"/>
    <w:uiPriority w:val="99"/>
    <w:unhideWhenUsed/>
    <w:rsid w:val="00511260"/>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511260"/>
    <w:rPr>
      <w:rFonts w:ascii="Times New Roman" w:eastAsia="Calibri" w:hAnsi="Times New Roman" w:cs="Times New Roman"/>
      <w:kern w:val="0"/>
      <w:lang w:val="es-ES"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11260"/>
  </w:style>
  <w:style w:type="character" w:customStyle="1" w:styleId="apple-converted-space">
    <w:name w:val="apple-converted-space"/>
    <w:basedOn w:val="Fuentedeprrafopredeter"/>
    <w:rsid w:val="00511260"/>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1126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511260"/>
    <w:rPr>
      <w:color w:val="467886" w:themeColor="hyperlink"/>
      <w:u w:val="single"/>
    </w:rPr>
  </w:style>
  <w:style w:type="paragraph" w:customStyle="1" w:styleId="Fundamentos">
    <w:name w:val="Fundamentos"/>
    <w:basedOn w:val="Normal"/>
    <w:qFormat/>
    <w:rsid w:val="00511260"/>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styleId="Sinespaciado">
    <w:name w:val="No Spacing"/>
    <w:aliases w:val="Francesa,INAI"/>
    <w:link w:val="SinespaciadoCar"/>
    <w:uiPriority w:val="1"/>
    <w:qFormat/>
    <w:rsid w:val="00511260"/>
    <w:pPr>
      <w:spacing w:after="0" w:line="240" w:lineRule="auto"/>
    </w:pPr>
    <w:rPr>
      <w:rFonts w:ascii="Times New Roman" w:eastAsia="Times New Roman" w:hAnsi="Times New Roman" w:cs="Times New Roman"/>
      <w:kern w:val="0"/>
      <w:lang w:eastAsia="es-ES"/>
      <w14:ligatures w14:val="none"/>
    </w:rPr>
  </w:style>
  <w:style w:type="character" w:customStyle="1" w:styleId="SinespaciadoCar">
    <w:name w:val="Sin espaciado Car"/>
    <w:aliases w:val="Francesa Car,INAI Car"/>
    <w:link w:val="Sinespaciado"/>
    <w:uiPriority w:val="1"/>
    <w:locked/>
    <w:rsid w:val="00511260"/>
    <w:rPr>
      <w:rFonts w:ascii="Times New Roman" w:eastAsia="Times New Roman" w:hAnsi="Times New Roman" w:cs="Times New Roman"/>
      <w:kern w:val="0"/>
      <w:lang w:eastAsia="es-ES"/>
      <w14:ligatures w14:val="none"/>
    </w:rPr>
  </w:style>
  <w:style w:type="table" w:styleId="Tablaconcuadrcula">
    <w:name w:val="Table Grid"/>
    <w:basedOn w:val="Tablanormal"/>
    <w:uiPriority w:val="39"/>
    <w:rsid w:val="00D3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D321D8"/>
    <w:rPr>
      <w:color w:val="605E5C"/>
      <w:shd w:val="clear" w:color="auto" w:fill="E1DFDD"/>
    </w:rPr>
  </w:style>
  <w:style w:type="paragraph" w:customStyle="1" w:styleId="Default">
    <w:name w:val="Default"/>
    <w:rsid w:val="00E513F1"/>
    <w:pPr>
      <w:autoSpaceDE w:val="0"/>
      <w:autoSpaceDN w:val="0"/>
      <w:adjustRightInd w:val="0"/>
      <w:spacing w:after="0" w:line="240" w:lineRule="auto"/>
    </w:pPr>
    <w:rPr>
      <w:rFonts w:ascii="Palatino Linotype" w:hAnsi="Palatino Linotype" w:cs="Palatino Linotype"/>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56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53</Pages>
  <Words>11997</Words>
  <Characters>65988</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INFOEM557</cp:lastModifiedBy>
  <cp:revision>5</cp:revision>
  <dcterms:created xsi:type="dcterms:W3CDTF">2024-11-06T22:05:00Z</dcterms:created>
  <dcterms:modified xsi:type="dcterms:W3CDTF">2024-12-06T15:49:00Z</dcterms:modified>
</cp:coreProperties>
</file>