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3D4AE" w14:textId="77777777" w:rsidR="00FE161E" w:rsidRPr="002F17DA" w:rsidRDefault="0068353D">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2F17D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2F17DA">
        <w:rPr>
          <w:rFonts w:ascii="Palatino Linotype" w:eastAsia="Palatino Linotype" w:hAnsi="Palatino Linotype" w:cs="Palatino Linotype"/>
          <w:b/>
          <w:sz w:val="22"/>
          <w:szCs w:val="22"/>
        </w:rPr>
        <w:t>veinticinco de septiembre de dos mil veinticuatro</w:t>
      </w:r>
      <w:r w:rsidRPr="002F17DA">
        <w:rPr>
          <w:rFonts w:ascii="Palatino Linotype" w:eastAsia="Palatino Linotype" w:hAnsi="Palatino Linotype" w:cs="Palatino Linotype"/>
          <w:sz w:val="22"/>
          <w:szCs w:val="22"/>
        </w:rPr>
        <w:t xml:space="preserve">. </w:t>
      </w:r>
    </w:p>
    <w:p w14:paraId="6CC2F1A6" w14:textId="77777777" w:rsidR="00FE161E" w:rsidRPr="002F17DA" w:rsidRDefault="0068353D">
      <w:pPr>
        <w:spacing w:before="240" w:after="240"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Visto</w:t>
      </w:r>
      <w:r w:rsidRPr="002F17DA">
        <w:rPr>
          <w:rFonts w:ascii="Palatino Linotype" w:eastAsia="Palatino Linotype" w:hAnsi="Palatino Linotype" w:cs="Palatino Linotype"/>
          <w:sz w:val="22"/>
          <w:szCs w:val="22"/>
        </w:rPr>
        <w:t xml:space="preserve"> el expediente formado con motivo del recurso de revisión </w:t>
      </w:r>
      <w:r w:rsidRPr="002F17DA">
        <w:rPr>
          <w:rFonts w:ascii="Palatino Linotype" w:eastAsia="Palatino Linotype" w:hAnsi="Palatino Linotype" w:cs="Palatino Linotype"/>
          <w:b/>
          <w:sz w:val="22"/>
          <w:szCs w:val="22"/>
        </w:rPr>
        <w:t>03989/INFOEM/IP/RR/2024</w:t>
      </w:r>
      <w:r w:rsidRPr="002F17DA">
        <w:rPr>
          <w:rFonts w:ascii="Palatino Linotype" w:eastAsia="Palatino Linotype" w:hAnsi="Palatino Linotype" w:cs="Palatino Linotype"/>
          <w:sz w:val="22"/>
          <w:szCs w:val="22"/>
        </w:rPr>
        <w:t xml:space="preserve">, interpuesto por </w:t>
      </w:r>
      <w:r w:rsidRPr="002F17DA">
        <w:rPr>
          <w:rFonts w:ascii="Palatino Linotype" w:eastAsia="Palatino Linotype" w:hAnsi="Palatino Linotype" w:cs="Palatino Linotype"/>
          <w:b/>
          <w:sz w:val="22"/>
          <w:szCs w:val="22"/>
        </w:rPr>
        <w:t>una persona usuaria del Sistema de Acceso a la Información Mexiquense que no proporcionó nombre,</w:t>
      </w:r>
      <w:r w:rsidRPr="002F17DA">
        <w:rPr>
          <w:rFonts w:ascii="Palatino Linotype" w:eastAsia="Palatino Linotype" w:hAnsi="Palatino Linotype" w:cs="Palatino Linotype"/>
          <w:sz w:val="22"/>
          <w:szCs w:val="22"/>
        </w:rPr>
        <w:t xml:space="preserve"> en lo sucesivo</w:t>
      </w:r>
      <w:r w:rsidRPr="002F17DA">
        <w:rPr>
          <w:rFonts w:ascii="Palatino Linotype" w:eastAsia="Palatino Linotype" w:hAnsi="Palatino Linotype" w:cs="Palatino Linotype"/>
          <w:b/>
          <w:sz w:val="22"/>
          <w:szCs w:val="22"/>
        </w:rPr>
        <w:t xml:space="preserve"> la parte</w:t>
      </w:r>
      <w:r w:rsidRPr="002F17DA">
        <w:rPr>
          <w:rFonts w:ascii="Palatino Linotype" w:eastAsia="Palatino Linotype" w:hAnsi="Palatino Linotype" w:cs="Palatino Linotype"/>
          <w:sz w:val="22"/>
          <w:szCs w:val="22"/>
        </w:rPr>
        <w:t xml:space="preserve"> </w:t>
      </w:r>
      <w:r w:rsidRPr="002F17DA">
        <w:rPr>
          <w:rFonts w:ascii="Palatino Linotype" w:eastAsia="Palatino Linotype" w:hAnsi="Palatino Linotype" w:cs="Palatino Linotype"/>
          <w:b/>
          <w:sz w:val="22"/>
          <w:szCs w:val="22"/>
        </w:rPr>
        <w:t>Recurrente,</w:t>
      </w:r>
      <w:r w:rsidRPr="002F17DA">
        <w:rPr>
          <w:rFonts w:ascii="Palatino Linotype" w:eastAsia="Palatino Linotype" w:hAnsi="Palatino Linotype" w:cs="Palatino Linotype"/>
          <w:sz w:val="22"/>
          <w:szCs w:val="22"/>
        </w:rPr>
        <w:t xml:space="preserve"> en contra de la respuesta a su solicitud por parte del </w:t>
      </w:r>
      <w:r w:rsidRPr="002F17DA">
        <w:rPr>
          <w:rFonts w:ascii="Palatino Linotype" w:eastAsia="Palatino Linotype" w:hAnsi="Palatino Linotype" w:cs="Palatino Linotype"/>
          <w:b/>
          <w:sz w:val="22"/>
          <w:szCs w:val="22"/>
        </w:rPr>
        <w:t xml:space="preserve">Ayuntamiento de Metepec, </w:t>
      </w:r>
      <w:r w:rsidRPr="002F17DA">
        <w:rPr>
          <w:rFonts w:ascii="Palatino Linotype" w:eastAsia="Palatino Linotype" w:hAnsi="Palatino Linotype" w:cs="Palatino Linotype"/>
          <w:sz w:val="22"/>
          <w:szCs w:val="22"/>
        </w:rPr>
        <w:t xml:space="preserve">en lo sucesivo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 xml:space="preserve">se procede a dictar la presente resolución con base en los siguientes: </w:t>
      </w:r>
    </w:p>
    <w:p w14:paraId="0DBD505D" w14:textId="77777777" w:rsidR="00FE161E" w:rsidRPr="002F17DA" w:rsidRDefault="0068353D">
      <w:pPr>
        <w:spacing w:before="240" w:after="240" w:line="360" w:lineRule="auto"/>
        <w:jc w:val="center"/>
        <w:rPr>
          <w:rFonts w:ascii="Palatino Linotype" w:eastAsia="Palatino Linotype" w:hAnsi="Palatino Linotype" w:cs="Palatino Linotype"/>
          <w:b/>
          <w:sz w:val="22"/>
          <w:szCs w:val="22"/>
        </w:rPr>
      </w:pPr>
      <w:r w:rsidRPr="002F17DA">
        <w:rPr>
          <w:rFonts w:ascii="Palatino Linotype" w:eastAsia="Palatino Linotype" w:hAnsi="Palatino Linotype" w:cs="Palatino Linotype"/>
          <w:b/>
          <w:sz w:val="22"/>
          <w:szCs w:val="22"/>
        </w:rPr>
        <w:t>I. A N T E C E D E N T E S</w:t>
      </w:r>
    </w:p>
    <w:p w14:paraId="32C0B835" w14:textId="77777777" w:rsidR="00FE161E" w:rsidRPr="002F17DA" w:rsidRDefault="0068353D">
      <w:pPr>
        <w:spacing w:before="240" w:after="240"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1. Solicitud de acceso a la información.</w:t>
      </w:r>
      <w:r w:rsidRPr="002F17DA">
        <w:rPr>
          <w:rFonts w:ascii="Palatino Linotype" w:eastAsia="Palatino Linotype" w:hAnsi="Palatino Linotype" w:cs="Palatino Linotype"/>
          <w:sz w:val="22"/>
          <w:szCs w:val="22"/>
        </w:rPr>
        <w:t xml:space="preserve"> El </w:t>
      </w:r>
      <w:r w:rsidRPr="002F17DA">
        <w:rPr>
          <w:rFonts w:ascii="Palatino Linotype" w:eastAsia="Palatino Linotype" w:hAnsi="Palatino Linotype" w:cs="Palatino Linotype"/>
          <w:b/>
          <w:sz w:val="22"/>
          <w:szCs w:val="22"/>
        </w:rPr>
        <w:t>trece de mayo de dos mil veinticuatro,</w:t>
      </w:r>
      <w:r w:rsidRPr="002F17DA">
        <w:rPr>
          <w:rFonts w:ascii="Palatino Linotype" w:eastAsia="Palatino Linotype" w:hAnsi="Palatino Linotype" w:cs="Palatino Linotype"/>
          <w:sz w:val="22"/>
          <w:szCs w:val="22"/>
        </w:rPr>
        <w:t xml:space="preserve"> la parte </w:t>
      </w:r>
      <w:r w:rsidRPr="002F17DA">
        <w:rPr>
          <w:rFonts w:ascii="Palatino Linotype" w:eastAsia="Palatino Linotype" w:hAnsi="Palatino Linotype" w:cs="Palatino Linotype"/>
          <w:b/>
          <w:sz w:val="22"/>
          <w:szCs w:val="22"/>
        </w:rPr>
        <w:t>Recurrente</w:t>
      </w:r>
      <w:r w:rsidRPr="002F17DA">
        <w:rPr>
          <w:rFonts w:ascii="Palatino Linotype" w:eastAsia="Palatino Linotype" w:hAnsi="Palatino Linotype" w:cs="Palatino Linotype"/>
          <w:sz w:val="22"/>
          <w:szCs w:val="22"/>
        </w:rPr>
        <w:t xml:space="preserve"> a través del Sistema de Acceso a la Información Mexiquense, en lo subsecuente el SAIMEX, formuló ante el </w:t>
      </w:r>
      <w:r w:rsidRPr="002F17DA">
        <w:rPr>
          <w:rFonts w:ascii="Palatino Linotype" w:eastAsia="Palatino Linotype" w:hAnsi="Palatino Linotype" w:cs="Palatino Linotype"/>
          <w:b/>
          <w:sz w:val="22"/>
          <w:szCs w:val="22"/>
        </w:rPr>
        <w:t>Sujeto Obligado</w:t>
      </w:r>
      <w:r w:rsidRPr="002F17DA">
        <w:rPr>
          <w:rFonts w:ascii="Palatino Linotype" w:eastAsia="Palatino Linotype" w:hAnsi="Palatino Linotype" w:cs="Palatino Linotype"/>
          <w:sz w:val="22"/>
          <w:szCs w:val="22"/>
        </w:rPr>
        <w:t xml:space="preserve">, la solicitud de acceso a la información pública a la que se le asignó el número </w:t>
      </w:r>
      <w:r w:rsidRPr="002F17DA">
        <w:rPr>
          <w:rFonts w:ascii="Palatino Linotype" w:eastAsia="Palatino Linotype" w:hAnsi="Palatino Linotype" w:cs="Palatino Linotype"/>
          <w:b/>
          <w:sz w:val="22"/>
          <w:szCs w:val="22"/>
        </w:rPr>
        <w:t>00433/METEPEC/IP/2024,</w:t>
      </w:r>
      <w:r w:rsidRPr="002F17DA">
        <w:rPr>
          <w:rFonts w:ascii="Palatino Linotype" w:eastAsia="Palatino Linotype" w:hAnsi="Palatino Linotype" w:cs="Palatino Linotype"/>
          <w:sz w:val="22"/>
          <w:szCs w:val="22"/>
        </w:rPr>
        <w:t xml:space="preserve"> mediante la cual requirió la información siguiente:</w:t>
      </w:r>
    </w:p>
    <w:p w14:paraId="26679A7A" w14:textId="77777777" w:rsidR="00FE161E" w:rsidRPr="002F17DA" w:rsidRDefault="0068353D">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2F17DA">
        <w:rPr>
          <w:rFonts w:ascii="Palatino Linotype" w:eastAsia="Palatino Linotype" w:hAnsi="Palatino Linotype" w:cs="Palatino Linotype"/>
          <w:i/>
          <w:sz w:val="22"/>
          <w:szCs w:val="22"/>
        </w:rPr>
        <w:t xml:space="preserve">“Solicito información sobre la inversión realizada para la obra que se lleva acabo junto a Galerias Metepec y Cotsco, los contratos celebrados para llevarla a cabo, documentos donde se justifican los trabajos, extensión de la obra, se observan trabajos dentro de la Galerías ¿también es inversión pública?, cuál será la obra final y cuándo se prevé que se concluyan, si hay inversión privada y cuánta.” (Sic) </w:t>
      </w:r>
    </w:p>
    <w:p w14:paraId="6F9E1043" w14:textId="77777777" w:rsidR="00FE161E" w:rsidRPr="002F17DA" w:rsidRDefault="0068353D">
      <w:pPr>
        <w:spacing w:before="240" w:after="240" w:line="360" w:lineRule="auto"/>
        <w:ind w:right="49"/>
        <w:jc w:val="both"/>
        <w:rPr>
          <w:rFonts w:ascii="Palatino Linotype" w:eastAsia="Palatino Linotype" w:hAnsi="Palatino Linotype" w:cs="Palatino Linotype"/>
          <w:sz w:val="22"/>
          <w:szCs w:val="22"/>
        </w:rPr>
      </w:pPr>
      <w:bookmarkStart w:id="2" w:name="_heading=h.3dy6vkm" w:colFirst="0" w:colLast="0"/>
      <w:bookmarkEnd w:id="2"/>
      <w:r w:rsidRPr="002F17DA">
        <w:rPr>
          <w:rFonts w:ascii="Palatino Linotype" w:eastAsia="Palatino Linotype" w:hAnsi="Palatino Linotype" w:cs="Palatino Linotype"/>
          <w:b/>
          <w:sz w:val="22"/>
          <w:szCs w:val="22"/>
        </w:rPr>
        <w:t xml:space="preserve">Modalidad elegida para la entrega de la información: </w:t>
      </w:r>
      <w:r w:rsidRPr="002F17DA">
        <w:rPr>
          <w:rFonts w:ascii="Palatino Linotype" w:eastAsia="Palatino Linotype" w:hAnsi="Palatino Linotype" w:cs="Palatino Linotype"/>
          <w:sz w:val="22"/>
          <w:szCs w:val="22"/>
        </w:rPr>
        <w:t>a través del Sistema de Acceso a la Información Mexiquense (SAIMEX).</w:t>
      </w:r>
    </w:p>
    <w:p w14:paraId="1DE2C14B" w14:textId="77777777" w:rsidR="00FE161E" w:rsidRPr="002F17DA" w:rsidRDefault="0068353D">
      <w:pPr>
        <w:numPr>
          <w:ilvl w:val="0"/>
          <w:numId w:val="1"/>
        </w:numPr>
        <w:pBdr>
          <w:top w:val="nil"/>
          <w:left w:val="nil"/>
          <w:bottom w:val="nil"/>
          <w:right w:val="nil"/>
          <w:between w:val="nil"/>
        </w:pBdr>
        <w:tabs>
          <w:tab w:val="left" w:pos="142"/>
          <w:tab w:val="left" w:pos="284"/>
        </w:tabs>
        <w:spacing w:before="240" w:after="240" w:line="360" w:lineRule="auto"/>
        <w:ind w:left="0" w:firstLine="0"/>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b/>
          <w:sz w:val="22"/>
          <w:szCs w:val="22"/>
        </w:rPr>
        <w:lastRenderedPageBreak/>
        <w:t xml:space="preserve">Solicitud de aclaración: </w:t>
      </w:r>
      <w:r w:rsidRPr="002F17DA">
        <w:rPr>
          <w:rFonts w:ascii="Palatino Linotype" w:eastAsia="Palatino Linotype" w:hAnsi="Palatino Linotype" w:cs="Palatino Linotype"/>
          <w:sz w:val="22"/>
          <w:szCs w:val="22"/>
        </w:rPr>
        <w:t xml:space="preserve">En fecha </w:t>
      </w:r>
      <w:r w:rsidRPr="002F17DA">
        <w:rPr>
          <w:rFonts w:ascii="Palatino Linotype" w:eastAsia="Palatino Linotype" w:hAnsi="Palatino Linotype" w:cs="Palatino Linotype"/>
          <w:b/>
          <w:sz w:val="22"/>
          <w:szCs w:val="22"/>
        </w:rPr>
        <w:t>veinte de mayo de dos mil veinticuatro</w:t>
      </w:r>
      <w:r w:rsidRPr="002F17DA">
        <w:rPr>
          <w:rFonts w:ascii="Palatino Linotype" w:eastAsia="Palatino Linotype" w:hAnsi="Palatino Linotype" w:cs="Palatino Linotype"/>
          <w:sz w:val="22"/>
          <w:szCs w:val="22"/>
        </w:rPr>
        <w:t xml:space="preserve">,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formuló solicitud de aclaración a la persona Solicitante, en los siguientes términos:</w:t>
      </w:r>
    </w:p>
    <w:p w14:paraId="1F1E23C1" w14:textId="77777777" w:rsidR="00FE161E" w:rsidRPr="002F17DA" w:rsidRDefault="0068353D">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624E5DDB" w14:textId="77777777" w:rsidR="00FE161E" w:rsidRPr="002F17DA" w:rsidRDefault="0068353D">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b/>
          <w:i/>
          <w:sz w:val="22"/>
          <w:szCs w:val="22"/>
          <w:u w:val="single"/>
        </w:rPr>
      </w:pPr>
      <w:r w:rsidRPr="002F17DA">
        <w:rPr>
          <w:rFonts w:ascii="Palatino Linotype" w:eastAsia="Palatino Linotype" w:hAnsi="Palatino Linotype" w:cs="Palatino Linotype"/>
          <w:b/>
          <w:i/>
          <w:sz w:val="22"/>
          <w:szCs w:val="22"/>
          <w:u w:val="single"/>
        </w:rPr>
        <w:t>A FIN DE DAR PUNTUAL ATENCIÓN A SU SOLICITUD, SE REQUIERE PRECISE QUE INFORMACIÓN ESPECÍFICAMENTE REQUIERE. ATENTAMENTE.</w:t>
      </w:r>
    </w:p>
    <w:p w14:paraId="737383FB" w14:textId="77777777" w:rsidR="00FE161E" w:rsidRPr="002F17DA" w:rsidRDefault="0068353D">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319B23D4" w14:textId="77777777" w:rsidR="00FE161E" w:rsidRPr="002F17DA" w:rsidRDefault="0068353D">
      <w:pPr>
        <w:numPr>
          <w:ilvl w:val="0"/>
          <w:numId w:val="1"/>
        </w:numPr>
        <w:pBdr>
          <w:top w:val="nil"/>
          <w:left w:val="nil"/>
          <w:bottom w:val="nil"/>
          <w:right w:val="nil"/>
          <w:between w:val="nil"/>
        </w:pBdr>
        <w:tabs>
          <w:tab w:val="left" w:pos="142"/>
          <w:tab w:val="left" w:pos="284"/>
        </w:tabs>
        <w:spacing w:before="240" w:after="240" w:line="360" w:lineRule="auto"/>
        <w:ind w:left="0" w:firstLine="0"/>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b/>
          <w:sz w:val="22"/>
          <w:szCs w:val="22"/>
        </w:rPr>
        <w:t xml:space="preserve">Aclaración: </w:t>
      </w:r>
      <w:r w:rsidRPr="002F17DA">
        <w:rPr>
          <w:rFonts w:ascii="Palatino Linotype" w:eastAsia="Palatino Linotype" w:hAnsi="Palatino Linotype" w:cs="Palatino Linotype"/>
          <w:sz w:val="22"/>
          <w:szCs w:val="22"/>
        </w:rPr>
        <w:t xml:space="preserve">El </w:t>
      </w:r>
      <w:r w:rsidRPr="002F17DA">
        <w:rPr>
          <w:rFonts w:ascii="Palatino Linotype" w:eastAsia="Palatino Linotype" w:hAnsi="Palatino Linotype" w:cs="Palatino Linotype"/>
          <w:b/>
          <w:sz w:val="22"/>
          <w:szCs w:val="22"/>
        </w:rPr>
        <w:t>veintisiete de mayo de dos mil veinticuatro</w:t>
      </w:r>
      <w:r w:rsidRPr="002F17DA">
        <w:rPr>
          <w:rFonts w:ascii="Palatino Linotype" w:eastAsia="Palatino Linotype" w:hAnsi="Palatino Linotype" w:cs="Palatino Linotype"/>
          <w:sz w:val="22"/>
          <w:szCs w:val="22"/>
        </w:rPr>
        <w:t xml:space="preserve">, la persona Solicitante desahogo la aclaración formulada por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en los siguientes términos:</w:t>
      </w:r>
    </w:p>
    <w:p w14:paraId="27BA4838" w14:textId="77777777" w:rsidR="00FE161E" w:rsidRPr="002F17DA" w:rsidRDefault="0068353D">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“Como se precisa en la solicitud de información: </w:t>
      </w:r>
      <w:r w:rsidRPr="002F17DA">
        <w:rPr>
          <w:rFonts w:ascii="Palatino Linotype" w:eastAsia="Palatino Linotype" w:hAnsi="Palatino Linotype" w:cs="Palatino Linotype"/>
          <w:b/>
          <w:i/>
          <w:sz w:val="22"/>
          <w:szCs w:val="22"/>
        </w:rPr>
        <w:t>-</w:t>
      </w:r>
      <w:r w:rsidRPr="002F17DA">
        <w:rPr>
          <w:rFonts w:ascii="Palatino Linotype" w:eastAsia="Palatino Linotype" w:hAnsi="Palatino Linotype" w:cs="Palatino Linotype"/>
          <w:b/>
          <w:i/>
          <w:sz w:val="22"/>
          <w:szCs w:val="22"/>
          <w:u w:val="single"/>
        </w:rPr>
        <w:t>inversión realizada para la obra vial</w:t>
      </w:r>
      <w:r w:rsidRPr="002F17DA">
        <w:rPr>
          <w:rFonts w:ascii="Palatino Linotype" w:eastAsia="Palatino Linotype" w:hAnsi="Palatino Linotype" w:cs="Palatino Linotype"/>
          <w:i/>
          <w:sz w:val="22"/>
          <w:szCs w:val="22"/>
        </w:rPr>
        <w:t xml:space="preserve"> que se lleva acabo junto a Galerias Metepec y Cotsco (</w:t>
      </w:r>
      <w:r w:rsidRPr="002F17DA">
        <w:rPr>
          <w:rFonts w:ascii="Palatino Linotype" w:eastAsia="Palatino Linotype" w:hAnsi="Palatino Linotype" w:cs="Palatino Linotype"/>
          <w:b/>
          <w:i/>
          <w:sz w:val="22"/>
          <w:szCs w:val="22"/>
        </w:rPr>
        <w:t>por la cual llevan varias semanas cerrada la calle Paseo del Agricultor que se encuentra entre Toyota y la gasolinería</w:t>
      </w:r>
      <w:r w:rsidRPr="002F17DA">
        <w:rPr>
          <w:rFonts w:ascii="Palatino Linotype" w:eastAsia="Palatino Linotype" w:hAnsi="Palatino Linotype" w:cs="Palatino Linotype"/>
          <w:i/>
          <w:sz w:val="22"/>
          <w:szCs w:val="22"/>
        </w:rPr>
        <w:t xml:space="preserve">). </w:t>
      </w:r>
      <w:r w:rsidRPr="002F17DA">
        <w:rPr>
          <w:rFonts w:ascii="Palatino Linotype" w:eastAsia="Palatino Linotype" w:hAnsi="Palatino Linotype" w:cs="Palatino Linotype"/>
          <w:b/>
          <w:i/>
          <w:sz w:val="22"/>
          <w:szCs w:val="22"/>
          <w:u w:val="single"/>
        </w:rPr>
        <w:t>-Los contratos celebrados para llevar a cabo dicha obra</w:t>
      </w:r>
      <w:r w:rsidRPr="002F17DA">
        <w:rPr>
          <w:rFonts w:ascii="Palatino Linotype" w:eastAsia="Palatino Linotype" w:hAnsi="Palatino Linotype" w:cs="Palatino Linotype"/>
          <w:i/>
          <w:sz w:val="22"/>
          <w:szCs w:val="22"/>
        </w:rPr>
        <w:t>, documentos donde se justifican los trabajos (</w:t>
      </w:r>
      <w:r w:rsidRPr="002F17DA">
        <w:rPr>
          <w:rFonts w:ascii="Palatino Linotype" w:eastAsia="Palatino Linotype" w:hAnsi="Palatino Linotype" w:cs="Palatino Linotype"/>
          <w:b/>
          <w:i/>
          <w:sz w:val="22"/>
          <w:szCs w:val="22"/>
          <w:u w:val="single"/>
        </w:rPr>
        <w:t>estudio de factibilidad o el proyecto</w:t>
      </w:r>
      <w:r w:rsidRPr="002F17DA">
        <w:rPr>
          <w:rFonts w:ascii="Palatino Linotype" w:eastAsia="Palatino Linotype" w:hAnsi="Palatino Linotype" w:cs="Palatino Linotype"/>
          <w:i/>
          <w:sz w:val="22"/>
          <w:szCs w:val="22"/>
        </w:rPr>
        <w:t>), extensión de la obra (</w:t>
      </w:r>
      <w:r w:rsidRPr="002F17DA">
        <w:rPr>
          <w:rFonts w:ascii="Palatino Linotype" w:eastAsia="Palatino Linotype" w:hAnsi="Palatino Linotype" w:cs="Palatino Linotype"/>
          <w:b/>
          <w:i/>
          <w:sz w:val="22"/>
          <w:szCs w:val="22"/>
          <w:u w:val="single"/>
        </w:rPr>
        <w:t>cuánto mide</w:t>
      </w:r>
      <w:r w:rsidRPr="002F17DA">
        <w:rPr>
          <w:rFonts w:ascii="Palatino Linotype" w:eastAsia="Palatino Linotype" w:hAnsi="Palatino Linotype" w:cs="Palatino Linotype"/>
          <w:i/>
          <w:sz w:val="22"/>
          <w:szCs w:val="22"/>
        </w:rPr>
        <w:t>), -Dado que se observan trabajos dentro de la Galerías se solicitó información sobre si también es inversión pública, -Información sobre cuál será la obra final (</w:t>
      </w:r>
      <w:r w:rsidRPr="002F17DA">
        <w:rPr>
          <w:rFonts w:ascii="Palatino Linotype" w:eastAsia="Palatino Linotype" w:hAnsi="Palatino Linotype" w:cs="Palatino Linotype"/>
          <w:b/>
          <w:i/>
          <w:sz w:val="22"/>
          <w:szCs w:val="22"/>
          <w:u w:val="single"/>
        </w:rPr>
        <w:t>paso a desnivel, puente, reencarpetamiento, o qué tipo de obra resultarán de los trabajos actuales, -Información sobre cuándo se prevé que se concluyan, si hay inversión privada y cuánta.</w:t>
      </w:r>
      <w:r w:rsidRPr="002F17DA">
        <w:rPr>
          <w:rFonts w:ascii="Palatino Linotype" w:eastAsia="Palatino Linotype" w:hAnsi="Palatino Linotype" w:cs="Palatino Linotype"/>
          <w:i/>
          <w:sz w:val="22"/>
          <w:szCs w:val="22"/>
        </w:rPr>
        <w:t>” (Sic)</w:t>
      </w:r>
    </w:p>
    <w:p w14:paraId="30715BC5" w14:textId="77777777" w:rsidR="00FE161E" w:rsidRPr="002F17DA" w:rsidRDefault="00FE161E">
      <w:pPr>
        <w:pBdr>
          <w:top w:val="nil"/>
          <w:left w:val="nil"/>
          <w:bottom w:val="nil"/>
          <w:right w:val="nil"/>
          <w:between w:val="nil"/>
        </w:pBdr>
        <w:tabs>
          <w:tab w:val="left" w:pos="142"/>
          <w:tab w:val="left" w:pos="284"/>
        </w:tabs>
        <w:spacing w:line="360" w:lineRule="auto"/>
        <w:ind w:right="49"/>
        <w:jc w:val="both"/>
        <w:rPr>
          <w:rFonts w:ascii="Palatino Linotype" w:eastAsia="Palatino Linotype" w:hAnsi="Palatino Linotype" w:cs="Palatino Linotype"/>
          <w:b/>
          <w:sz w:val="22"/>
          <w:szCs w:val="22"/>
        </w:rPr>
      </w:pPr>
    </w:p>
    <w:p w14:paraId="07DA5CBA" w14:textId="77777777" w:rsidR="00FE161E" w:rsidRPr="002F17DA" w:rsidRDefault="0068353D">
      <w:pPr>
        <w:pBdr>
          <w:top w:val="nil"/>
          <w:left w:val="nil"/>
          <w:bottom w:val="nil"/>
          <w:right w:val="nil"/>
          <w:between w:val="nil"/>
        </w:pBdr>
        <w:tabs>
          <w:tab w:val="left" w:pos="142"/>
          <w:tab w:val="left" w:pos="284"/>
        </w:tabs>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 xml:space="preserve">4. Prórroga. </w:t>
      </w:r>
      <w:r w:rsidRPr="002F17DA">
        <w:rPr>
          <w:rFonts w:ascii="Palatino Linotype" w:eastAsia="Palatino Linotype" w:hAnsi="Palatino Linotype" w:cs="Palatino Linotype"/>
          <w:sz w:val="22"/>
          <w:szCs w:val="22"/>
        </w:rPr>
        <w:t xml:space="preserve">El </w:t>
      </w:r>
      <w:r w:rsidRPr="002F17DA">
        <w:rPr>
          <w:rFonts w:ascii="Palatino Linotype" w:eastAsia="Palatino Linotype" w:hAnsi="Palatino Linotype" w:cs="Palatino Linotype"/>
          <w:b/>
          <w:sz w:val="22"/>
          <w:szCs w:val="22"/>
        </w:rPr>
        <w:t xml:space="preserve">diecisiete de junio de dos mil veinticuatro, </w:t>
      </w:r>
      <w:r w:rsidRPr="002F17DA">
        <w:rPr>
          <w:rFonts w:ascii="Palatino Linotype" w:eastAsia="Palatino Linotype" w:hAnsi="Palatino Linotype" w:cs="Palatino Linotype"/>
          <w:sz w:val="22"/>
          <w:szCs w:val="22"/>
        </w:rPr>
        <w:t xml:space="preserve">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 xml:space="preserve">informó que el plazo de quince días hábiles para atender la solicitud de mérito fue prorrogado por siete días más en virtud de las siguientes razones: </w:t>
      </w:r>
    </w:p>
    <w:p w14:paraId="5F23FBF9" w14:textId="77777777" w:rsidR="00FE161E" w:rsidRPr="002F17DA" w:rsidRDefault="00FE161E">
      <w:pPr>
        <w:spacing w:line="360" w:lineRule="auto"/>
        <w:ind w:right="49"/>
        <w:jc w:val="both"/>
        <w:rPr>
          <w:rFonts w:ascii="Palatino Linotype" w:eastAsia="Palatino Linotype" w:hAnsi="Palatino Linotype" w:cs="Palatino Linotype"/>
          <w:sz w:val="22"/>
          <w:szCs w:val="22"/>
        </w:rPr>
      </w:pPr>
    </w:p>
    <w:p w14:paraId="02866656" w14:textId="77777777" w:rsidR="00FE161E" w:rsidRPr="002F17DA" w:rsidRDefault="0068353D">
      <w:pPr>
        <w:spacing w:line="276" w:lineRule="auto"/>
        <w:ind w:left="567" w:right="560"/>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910B3C6" w14:textId="77777777" w:rsidR="00FE161E" w:rsidRPr="002F17DA" w:rsidRDefault="0068353D">
      <w:pPr>
        <w:spacing w:line="276" w:lineRule="auto"/>
        <w:ind w:left="567" w:right="560"/>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METEPEC, ESTADO DE JUNIO DEL 2024 ASUNTO: EL QUE SE INDICA A QUIEN CORRESPONDA P R E S E N T E. Por este conducto y con fundamento en lo dispuesto por los artículos 53, fracción VI y 163 de la Ley de Transparencia y Acceso a la Información Pública del Estado de México y Municipios, </w:t>
      </w:r>
      <w:r w:rsidRPr="002F17DA">
        <w:rPr>
          <w:rFonts w:ascii="Palatino Linotype" w:eastAsia="Palatino Linotype" w:hAnsi="Palatino Linotype" w:cs="Palatino Linotype"/>
          <w:b/>
          <w:i/>
          <w:sz w:val="22"/>
          <w:szCs w:val="22"/>
          <w:u w:val="single"/>
        </w:rPr>
        <w:t>me permito notificarle la ampliación del plazo por siete días hábiles, aprobado por el Comité de Transparencia del Ayuntamiento de Metepec, Estado de México, mediante la Centésima Vigésima Sexta Sesión Extraordinaria.</w:t>
      </w:r>
      <w:r w:rsidRPr="002F17DA">
        <w:rPr>
          <w:rFonts w:ascii="Palatino Linotype" w:eastAsia="Palatino Linotype" w:hAnsi="Palatino Linotype" w:cs="Palatino Linotype"/>
          <w:i/>
          <w:sz w:val="22"/>
          <w:szCs w:val="22"/>
        </w:rPr>
        <w:t xml:space="preserve"> Sin más por el momento quedo a sus órdenes. ATENTAMENTE GERARDO ARTURO OZUNA MARTÍNEZ DIRECTOR DE TRANSPARENCIA Y GOBIERNO ABIERTO” (Sic)</w:t>
      </w:r>
    </w:p>
    <w:p w14:paraId="10CDBE87" w14:textId="77777777" w:rsidR="00FE161E" w:rsidRPr="002F17DA" w:rsidRDefault="00FE161E">
      <w:pPr>
        <w:spacing w:line="276" w:lineRule="auto"/>
        <w:ind w:left="567" w:right="560"/>
        <w:jc w:val="both"/>
        <w:rPr>
          <w:rFonts w:ascii="Palatino Linotype" w:eastAsia="Palatino Linotype" w:hAnsi="Palatino Linotype" w:cs="Palatino Linotype"/>
          <w:i/>
          <w:sz w:val="22"/>
          <w:szCs w:val="22"/>
        </w:rPr>
      </w:pPr>
    </w:p>
    <w:p w14:paraId="4012F45F" w14:textId="77777777" w:rsidR="00FE161E" w:rsidRPr="002F17DA" w:rsidRDefault="0068353D">
      <w:pP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De esta manera, como refiere el </w:t>
      </w:r>
      <w:r w:rsidRPr="002F17DA">
        <w:rPr>
          <w:rFonts w:ascii="Palatino Linotype" w:eastAsia="Palatino Linotype" w:hAnsi="Palatino Linotype" w:cs="Palatino Linotype"/>
          <w:b/>
          <w:sz w:val="22"/>
          <w:szCs w:val="22"/>
        </w:rPr>
        <w:t>Sujeto Obligado</w:t>
      </w:r>
      <w:r w:rsidRPr="002F17DA">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2F17DA">
        <w:rPr>
          <w:rFonts w:ascii="Palatino Linotype" w:eastAsia="Palatino Linotype" w:hAnsi="Palatino Linotype" w:cs="Palatino Linotype"/>
          <w:b/>
          <w:sz w:val="22"/>
          <w:szCs w:val="22"/>
        </w:rPr>
        <w:t>NO se observaron las formalidades que establece la Ley de la materia</w:t>
      </w:r>
      <w:r w:rsidRPr="002F17DA">
        <w:rPr>
          <w:rFonts w:ascii="Palatino Linotype" w:eastAsia="Palatino Linotype" w:hAnsi="Palatino Linotype" w:cs="Palatino Linotype"/>
          <w:sz w:val="22"/>
          <w:szCs w:val="22"/>
        </w:rPr>
        <w:t>, pues no se anexó el Acuerdo del Comité de Transparencia de dicho ente público, mediante el cual se aprobara la ampliación del plazo para dar atención a la solicitud de información, a pesar de que indicó que la ampliación fue aprobada en la Centésima Vigésima Sexta Sesión Extraordinaria del Comité de Transparencia.</w:t>
      </w:r>
    </w:p>
    <w:p w14:paraId="3235A440" w14:textId="77777777" w:rsidR="00FE161E" w:rsidRPr="002F17DA" w:rsidRDefault="00FE161E">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p>
    <w:p w14:paraId="4EEAE685" w14:textId="77777777" w:rsidR="00FE161E" w:rsidRPr="002F17DA" w:rsidRDefault="0068353D">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b/>
          <w:sz w:val="22"/>
          <w:szCs w:val="22"/>
        </w:rPr>
        <w:t xml:space="preserve">5. Respuesta. </w:t>
      </w:r>
      <w:r w:rsidRPr="002F17DA">
        <w:rPr>
          <w:rFonts w:ascii="Palatino Linotype" w:eastAsia="Palatino Linotype" w:hAnsi="Palatino Linotype" w:cs="Palatino Linotype"/>
          <w:sz w:val="22"/>
          <w:szCs w:val="22"/>
        </w:rPr>
        <w:t xml:space="preserve">El </w:t>
      </w:r>
      <w:r w:rsidRPr="002F17DA">
        <w:rPr>
          <w:rFonts w:ascii="Palatino Linotype" w:eastAsia="Palatino Linotype" w:hAnsi="Palatino Linotype" w:cs="Palatino Linotype"/>
          <w:b/>
          <w:sz w:val="22"/>
          <w:szCs w:val="22"/>
        </w:rPr>
        <w:t>veintiséis de junio de dos mil veinticuatro</w:t>
      </w:r>
      <w:r w:rsidRPr="002F17DA">
        <w:rPr>
          <w:rFonts w:ascii="Palatino Linotype" w:eastAsia="Palatino Linotype" w:hAnsi="Palatino Linotype" w:cs="Palatino Linotype"/>
          <w:sz w:val="22"/>
          <w:szCs w:val="22"/>
        </w:rPr>
        <w:t xml:space="preserve">,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249A49CB" w14:textId="77777777" w:rsidR="00FE161E" w:rsidRPr="002F17DA" w:rsidRDefault="0068353D">
      <w:pPr>
        <w:spacing w:before="240" w:after="240"/>
        <w:ind w:left="567" w:right="902"/>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lastRenderedPageBreak/>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MARTINEZ DIRECTOR DE TRANSPARENCIA Y GOBIERNO ABIERTO…” (Sic)</w:t>
      </w:r>
    </w:p>
    <w:p w14:paraId="4E0DC38B" w14:textId="77777777" w:rsidR="00FE161E" w:rsidRPr="002F17DA" w:rsidRDefault="0068353D">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Adjunto a la respuesta,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entregó el siguiente documento:</w:t>
      </w:r>
    </w:p>
    <w:p w14:paraId="01137A53" w14:textId="77777777" w:rsidR="00FE161E" w:rsidRPr="002F17DA" w:rsidRDefault="00FE161E">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634878EC" w14:textId="77777777" w:rsidR="00FE161E" w:rsidRPr="002F17DA" w:rsidRDefault="0068353D">
      <w:p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u w:val="single"/>
        </w:rPr>
      </w:pPr>
      <w:r w:rsidRPr="002F17DA">
        <w:rPr>
          <w:rFonts w:ascii="Palatino Linotype" w:eastAsia="Palatino Linotype" w:hAnsi="Palatino Linotype" w:cs="Palatino Linotype"/>
          <w:sz w:val="22"/>
          <w:szCs w:val="22"/>
        </w:rPr>
        <w:t>- Oficio DOP/SPYNO/DCCE/1436/2024 del catorce de junio de dos mil veinticuatro, a través del cual el Director de Obras Públicas informó que con relación a la solicitud de información, la obra mencionada que se ubica en Galerías Metepec, no forma parte del Programa Anual de Obra Pública del Municipio, y por tanto no era competencia de esa Dirección.</w:t>
      </w:r>
    </w:p>
    <w:p w14:paraId="6E53ED78" w14:textId="77777777" w:rsidR="00FE161E" w:rsidRPr="002F17DA" w:rsidRDefault="00FE161E">
      <w:p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p>
    <w:p w14:paraId="24CA03F0" w14:textId="77777777" w:rsidR="00FE161E" w:rsidRPr="002F17DA" w:rsidRDefault="007B6D3A">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b/>
          <w:sz w:val="22"/>
          <w:szCs w:val="22"/>
        </w:rPr>
        <w:t>6</w:t>
      </w:r>
      <w:r w:rsidR="0068353D" w:rsidRPr="002F17DA">
        <w:rPr>
          <w:rFonts w:ascii="Palatino Linotype" w:eastAsia="Palatino Linotype" w:hAnsi="Palatino Linotype" w:cs="Palatino Linotype"/>
          <w:b/>
          <w:sz w:val="22"/>
          <w:szCs w:val="22"/>
        </w:rPr>
        <w:t xml:space="preserve">. Interposición del recurso de revisión. </w:t>
      </w:r>
      <w:r w:rsidR="0068353D" w:rsidRPr="002F17DA">
        <w:rPr>
          <w:rFonts w:ascii="Palatino Linotype" w:eastAsia="Palatino Linotype" w:hAnsi="Palatino Linotype" w:cs="Palatino Linotype"/>
          <w:sz w:val="22"/>
          <w:szCs w:val="22"/>
        </w:rPr>
        <w:t xml:space="preserve">Inconforme con los términos de la respuesta emitida por parte del </w:t>
      </w:r>
      <w:r w:rsidR="0068353D" w:rsidRPr="002F17DA">
        <w:rPr>
          <w:rFonts w:ascii="Palatino Linotype" w:eastAsia="Palatino Linotype" w:hAnsi="Palatino Linotype" w:cs="Palatino Linotype"/>
          <w:b/>
          <w:sz w:val="22"/>
          <w:szCs w:val="22"/>
        </w:rPr>
        <w:t>Sujeto Obligado</w:t>
      </w:r>
      <w:r w:rsidR="0068353D" w:rsidRPr="002F17DA">
        <w:rPr>
          <w:rFonts w:ascii="Palatino Linotype" w:eastAsia="Palatino Linotype" w:hAnsi="Palatino Linotype" w:cs="Palatino Linotype"/>
          <w:sz w:val="22"/>
          <w:szCs w:val="22"/>
        </w:rPr>
        <w:t>, el</w:t>
      </w:r>
      <w:r w:rsidR="0068353D" w:rsidRPr="002F17DA">
        <w:rPr>
          <w:rFonts w:ascii="Palatino Linotype" w:eastAsia="Palatino Linotype" w:hAnsi="Palatino Linotype" w:cs="Palatino Linotype"/>
          <w:b/>
          <w:sz w:val="22"/>
          <w:szCs w:val="22"/>
        </w:rPr>
        <w:t xml:space="preserve"> primero de julio de dos mil veinticuatro,</w:t>
      </w:r>
      <w:r w:rsidR="0068353D" w:rsidRPr="002F17DA">
        <w:rPr>
          <w:rFonts w:ascii="Palatino Linotype" w:eastAsia="Palatino Linotype" w:hAnsi="Palatino Linotype" w:cs="Palatino Linotype"/>
          <w:sz w:val="22"/>
          <w:szCs w:val="22"/>
        </w:rPr>
        <w:t xml:space="preserve"> </w:t>
      </w:r>
      <w:r w:rsidR="0068353D" w:rsidRPr="002F17DA">
        <w:rPr>
          <w:rFonts w:ascii="Palatino Linotype" w:eastAsia="Palatino Linotype" w:hAnsi="Palatino Linotype" w:cs="Palatino Linotype"/>
          <w:b/>
          <w:sz w:val="22"/>
          <w:szCs w:val="22"/>
        </w:rPr>
        <w:t>la parte</w:t>
      </w:r>
      <w:r w:rsidR="0068353D" w:rsidRPr="002F17DA">
        <w:rPr>
          <w:rFonts w:ascii="Palatino Linotype" w:eastAsia="Palatino Linotype" w:hAnsi="Palatino Linotype" w:cs="Palatino Linotype"/>
          <w:sz w:val="22"/>
          <w:szCs w:val="22"/>
        </w:rPr>
        <w:t xml:space="preserve"> </w:t>
      </w:r>
      <w:r w:rsidR="0068353D" w:rsidRPr="002F17DA">
        <w:rPr>
          <w:rFonts w:ascii="Palatino Linotype" w:eastAsia="Palatino Linotype" w:hAnsi="Palatino Linotype" w:cs="Palatino Linotype"/>
          <w:b/>
          <w:sz w:val="22"/>
          <w:szCs w:val="22"/>
        </w:rPr>
        <w:t>Recurrente</w:t>
      </w:r>
      <w:r w:rsidR="0068353D" w:rsidRPr="002F17DA">
        <w:rPr>
          <w:rFonts w:ascii="Palatino Linotype" w:eastAsia="Palatino Linotype" w:hAnsi="Palatino Linotype" w:cs="Palatino Linotype"/>
          <w:sz w:val="22"/>
          <w:szCs w:val="22"/>
        </w:rPr>
        <w:t xml:space="preserve"> interpuso el recurso de revisión a través de </w:t>
      </w:r>
      <w:r w:rsidR="0068353D" w:rsidRPr="002F17DA">
        <w:rPr>
          <w:rFonts w:ascii="Palatino Linotype" w:eastAsia="Palatino Linotype" w:hAnsi="Palatino Linotype" w:cs="Palatino Linotype"/>
          <w:b/>
          <w:sz w:val="22"/>
          <w:szCs w:val="22"/>
        </w:rPr>
        <w:t xml:space="preserve">SAIMEX, </w:t>
      </w:r>
      <w:r w:rsidR="0068353D" w:rsidRPr="002F17DA">
        <w:rPr>
          <w:rFonts w:ascii="Palatino Linotype" w:eastAsia="Palatino Linotype" w:hAnsi="Palatino Linotype" w:cs="Palatino Linotype"/>
          <w:sz w:val="22"/>
          <w:szCs w:val="22"/>
        </w:rPr>
        <w:t>en donde se manifestó de la siguiente manera:</w:t>
      </w:r>
    </w:p>
    <w:p w14:paraId="7505E4E0" w14:textId="77777777" w:rsidR="00FE161E" w:rsidRPr="002F17DA" w:rsidRDefault="0068353D">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b/>
          <w:sz w:val="22"/>
          <w:szCs w:val="22"/>
        </w:rPr>
        <w:t xml:space="preserve">a) Acto impugnado: </w:t>
      </w:r>
      <w:r w:rsidRPr="002F17DA">
        <w:rPr>
          <w:rFonts w:ascii="Palatino Linotype" w:eastAsia="Palatino Linotype" w:hAnsi="Palatino Linotype" w:cs="Palatino Linotype"/>
          <w:i/>
          <w:sz w:val="22"/>
          <w:szCs w:val="22"/>
        </w:rPr>
        <w:t>“No respondió la solicitud” (Sic)</w:t>
      </w:r>
    </w:p>
    <w:p w14:paraId="7E2A6BA5" w14:textId="77777777" w:rsidR="00FE161E" w:rsidRPr="002F17DA" w:rsidRDefault="0068353D">
      <w:pPr>
        <w:spacing w:line="276" w:lineRule="auto"/>
        <w:ind w:left="567" w:right="900"/>
        <w:jc w:val="both"/>
        <w:rPr>
          <w:rFonts w:ascii="Palatino Linotype" w:eastAsia="Palatino Linotype" w:hAnsi="Palatino Linotype" w:cs="Palatino Linotype"/>
          <w:sz w:val="22"/>
          <w:szCs w:val="22"/>
        </w:rPr>
      </w:pPr>
      <w:bookmarkStart w:id="3" w:name="_heading=h.30j0zll" w:colFirst="0" w:colLast="0"/>
      <w:bookmarkEnd w:id="3"/>
      <w:r w:rsidRPr="002F17DA">
        <w:rPr>
          <w:rFonts w:ascii="Palatino Linotype" w:eastAsia="Palatino Linotype" w:hAnsi="Palatino Linotype" w:cs="Palatino Linotype"/>
          <w:b/>
          <w:sz w:val="22"/>
          <w:szCs w:val="22"/>
        </w:rPr>
        <w:t>b) Razones o motivos de inconformidad</w:t>
      </w:r>
      <w:r w:rsidRPr="002F17DA">
        <w:rPr>
          <w:rFonts w:ascii="Palatino Linotype" w:eastAsia="Palatino Linotype" w:hAnsi="Palatino Linotype" w:cs="Palatino Linotype"/>
          <w:sz w:val="22"/>
          <w:szCs w:val="22"/>
        </w:rPr>
        <w:t xml:space="preserve">: </w:t>
      </w:r>
      <w:r w:rsidRPr="002F17DA">
        <w:rPr>
          <w:rFonts w:ascii="Palatino Linotype" w:eastAsia="Palatino Linotype" w:hAnsi="Palatino Linotype" w:cs="Palatino Linotype"/>
          <w:i/>
          <w:sz w:val="22"/>
          <w:szCs w:val="22"/>
        </w:rPr>
        <w:t xml:space="preserve">“Las obras que se llevan a cabo se encuentran en una vialidad pública, la cuál es responsabilidad del ayuntamiento, por </w:t>
      </w:r>
      <w:r w:rsidRPr="002F17DA">
        <w:rPr>
          <w:rFonts w:ascii="Palatino Linotype" w:eastAsia="Palatino Linotype" w:hAnsi="Palatino Linotype" w:cs="Palatino Linotype"/>
          <w:i/>
          <w:sz w:val="22"/>
          <w:szCs w:val="22"/>
        </w:rPr>
        <w:lastRenderedPageBreak/>
        <w:t>ende, es inviable que no cuente con la información, en caso de ser, por lo que solicito se dé la información solicitada.” (Sic)</w:t>
      </w:r>
    </w:p>
    <w:p w14:paraId="3C7085F6" w14:textId="77777777" w:rsidR="00FE161E" w:rsidRPr="002F17DA" w:rsidRDefault="00FE161E">
      <w:pPr>
        <w:spacing w:line="276" w:lineRule="auto"/>
        <w:ind w:right="900"/>
        <w:jc w:val="both"/>
        <w:rPr>
          <w:rFonts w:ascii="Palatino Linotype" w:eastAsia="Palatino Linotype" w:hAnsi="Palatino Linotype" w:cs="Palatino Linotype"/>
          <w:i/>
          <w:sz w:val="22"/>
          <w:szCs w:val="22"/>
        </w:rPr>
      </w:pPr>
    </w:p>
    <w:p w14:paraId="43D0134C" w14:textId="77777777" w:rsidR="00FE161E" w:rsidRPr="002F17DA" w:rsidRDefault="007B6D3A">
      <w:pPr>
        <w:spacing w:line="360" w:lineRule="auto"/>
        <w:ind w:right="51"/>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7</w:t>
      </w:r>
      <w:r w:rsidR="0068353D" w:rsidRPr="002F17DA">
        <w:rPr>
          <w:rFonts w:ascii="Palatino Linotype" w:eastAsia="Palatino Linotype" w:hAnsi="Palatino Linotype" w:cs="Palatino Linotype"/>
          <w:b/>
          <w:sz w:val="22"/>
          <w:szCs w:val="22"/>
        </w:rPr>
        <w:t xml:space="preserve">. Turno. </w:t>
      </w:r>
      <w:r w:rsidR="0068353D" w:rsidRPr="002F17D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8353D" w:rsidRPr="002F17DA">
        <w:rPr>
          <w:rFonts w:ascii="Palatino Linotype" w:eastAsia="Palatino Linotype" w:hAnsi="Palatino Linotype" w:cs="Palatino Linotype"/>
          <w:b/>
          <w:sz w:val="22"/>
          <w:szCs w:val="22"/>
        </w:rPr>
        <w:t xml:space="preserve">Guadalupe Ramírez Peña, </w:t>
      </w:r>
      <w:r w:rsidR="0068353D" w:rsidRPr="002F17DA">
        <w:rPr>
          <w:rFonts w:ascii="Palatino Linotype" w:eastAsia="Palatino Linotype" w:hAnsi="Palatino Linotype" w:cs="Palatino Linotype"/>
          <w:sz w:val="22"/>
          <w:szCs w:val="22"/>
        </w:rPr>
        <w:t>a efecto de que analizara sobre su admisión o su desechamiento.</w:t>
      </w:r>
    </w:p>
    <w:p w14:paraId="208117CA" w14:textId="77777777" w:rsidR="00FE161E" w:rsidRPr="002F17DA" w:rsidRDefault="00FE161E">
      <w:pPr>
        <w:spacing w:line="360" w:lineRule="auto"/>
        <w:ind w:right="51"/>
        <w:jc w:val="both"/>
        <w:rPr>
          <w:rFonts w:ascii="Palatino Linotype" w:eastAsia="Palatino Linotype" w:hAnsi="Palatino Linotype" w:cs="Palatino Linotype"/>
          <w:sz w:val="22"/>
          <w:szCs w:val="22"/>
        </w:rPr>
      </w:pPr>
    </w:p>
    <w:p w14:paraId="137A574F" w14:textId="77777777" w:rsidR="00FE161E" w:rsidRPr="002F17DA" w:rsidRDefault="007B6D3A">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8</w:t>
      </w:r>
      <w:r w:rsidR="0068353D" w:rsidRPr="002F17DA">
        <w:rPr>
          <w:rFonts w:ascii="Palatino Linotype" w:eastAsia="Palatino Linotype" w:hAnsi="Palatino Linotype" w:cs="Palatino Linotype"/>
          <w:b/>
          <w:sz w:val="22"/>
          <w:szCs w:val="22"/>
        </w:rPr>
        <w:t>. Admisión del Recurso de revisión.</w:t>
      </w:r>
      <w:r w:rsidR="0068353D" w:rsidRPr="002F17DA">
        <w:rPr>
          <w:rFonts w:ascii="Palatino Linotype" w:eastAsia="Palatino Linotype" w:hAnsi="Palatino Linotype" w:cs="Palatino Linotype"/>
          <w:sz w:val="22"/>
          <w:szCs w:val="22"/>
        </w:rPr>
        <w:t xml:space="preserve"> Mediante acuerdo del </w:t>
      </w:r>
      <w:r w:rsidR="0068353D" w:rsidRPr="002F17DA">
        <w:rPr>
          <w:rFonts w:ascii="Palatino Linotype" w:eastAsia="Palatino Linotype" w:hAnsi="Palatino Linotype" w:cs="Palatino Linotype"/>
          <w:b/>
          <w:sz w:val="22"/>
          <w:szCs w:val="22"/>
        </w:rPr>
        <w:t xml:space="preserve">cuatro de julio de dos mil veinticuatro, </w:t>
      </w:r>
      <w:r w:rsidR="0068353D" w:rsidRPr="002F17DA">
        <w:rPr>
          <w:rFonts w:ascii="Palatino Linotype" w:eastAsia="Palatino Linotype" w:hAnsi="Palatino Linotype" w:cs="Palatino Linotype"/>
          <w:sz w:val="22"/>
          <w:szCs w:val="22"/>
        </w:rPr>
        <w:t>notificado en esa misma fecha,</w:t>
      </w:r>
      <w:r w:rsidR="0068353D" w:rsidRPr="002F17DA">
        <w:rPr>
          <w:rFonts w:ascii="Palatino Linotype" w:eastAsia="Palatino Linotype" w:hAnsi="Palatino Linotype" w:cs="Palatino Linotype"/>
          <w:b/>
          <w:sz w:val="22"/>
          <w:szCs w:val="22"/>
        </w:rPr>
        <w:t xml:space="preserve"> </w:t>
      </w:r>
      <w:r w:rsidR="0068353D" w:rsidRPr="002F17D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8353D" w:rsidRPr="002F17DA">
        <w:rPr>
          <w:rFonts w:ascii="Palatino Linotype" w:eastAsia="Palatino Linotype" w:hAnsi="Palatino Linotype" w:cs="Palatino Linotype"/>
          <w:b/>
          <w:sz w:val="22"/>
          <w:szCs w:val="22"/>
        </w:rPr>
        <w:t xml:space="preserve">Sujeto Obligado </w:t>
      </w:r>
      <w:r w:rsidR="0068353D" w:rsidRPr="002F17DA">
        <w:rPr>
          <w:rFonts w:ascii="Palatino Linotype" w:eastAsia="Palatino Linotype" w:hAnsi="Palatino Linotype" w:cs="Palatino Linotype"/>
          <w:sz w:val="22"/>
          <w:szCs w:val="22"/>
        </w:rPr>
        <w:t>presentara su informe justificado.</w:t>
      </w:r>
    </w:p>
    <w:p w14:paraId="57742AA5"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E94D795" w14:textId="77777777" w:rsidR="00FE161E" w:rsidRPr="002F17DA" w:rsidRDefault="007B6D3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2F17DA">
        <w:rPr>
          <w:rFonts w:ascii="Palatino Linotype" w:eastAsia="Palatino Linotype" w:hAnsi="Palatino Linotype" w:cs="Palatino Linotype"/>
          <w:b/>
          <w:sz w:val="22"/>
          <w:szCs w:val="22"/>
        </w:rPr>
        <w:t>9</w:t>
      </w:r>
      <w:r w:rsidR="0068353D" w:rsidRPr="002F17DA">
        <w:rPr>
          <w:rFonts w:ascii="Palatino Linotype" w:eastAsia="Palatino Linotype" w:hAnsi="Palatino Linotype" w:cs="Palatino Linotype"/>
          <w:b/>
          <w:sz w:val="22"/>
          <w:szCs w:val="22"/>
        </w:rPr>
        <w:t>. Manifestaciones</w:t>
      </w:r>
      <w:r w:rsidR="0068353D" w:rsidRPr="002F17DA">
        <w:rPr>
          <w:rFonts w:ascii="Palatino Linotype" w:eastAsia="Palatino Linotype" w:hAnsi="Palatino Linotype" w:cs="Palatino Linotype"/>
          <w:sz w:val="22"/>
          <w:szCs w:val="22"/>
        </w:rPr>
        <w:t xml:space="preserve">. De las constancias que obran en el expediente electrónico aperturado con motivo del presente medio de impugnación, se advierte que el </w:t>
      </w:r>
      <w:r w:rsidR="0068353D" w:rsidRPr="002F17DA">
        <w:rPr>
          <w:rFonts w:ascii="Palatino Linotype" w:eastAsia="Palatino Linotype" w:hAnsi="Palatino Linotype" w:cs="Palatino Linotype"/>
          <w:b/>
          <w:sz w:val="22"/>
          <w:szCs w:val="22"/>
        </w:rPr>
        <w:t xml:space="preserve">Sujeto Obligado </w:t>
      </w:r>
      <w:r w:rsidR="0068353D" w:rsidRPr="002F17DA">
        <w:rPr>
          <w:rFonts w:ascii="Palatino Linotype" w:eastAsia="Palatino Linotype" w:hAnsi="Palatino Linotype" w:cs="Palatino Linotype"/>
          <w:sz w:val="22"/>
          <w:szCs w:val="22"/>
        </w:rPr>
        <w:t xml:space="preserve">en fechas </w:t>
      </w:r>
      <w:r w:rsidR="0068353D" w:rsidRPr="002F17DA">
        <w:rPr>
          <w:rFonts w:ascii="Palatino Linotype" w:eastAsia="Palatino Linotype" w:hAnsi="Palatino Linotype" w:cs="Palatino Linotype"/>
          <w:b/>
          <w:sz w:val="22"/>
          <w:szCs w:val="22"/>
        </w:rPr>
        <w:t xml:space="preserve">diez y once de julio de dos mil veinticuatro </w:t>
      </w:r>
      <w:r w:rsidR="0068353D" w:rsidRPr="002F17DA">
        <w:rPr>
          <w:rFonts w:ascii="Palatino Linotype" w:eastAsia="Palatino Linotype" w:hAnsi="Palatino Linotype" w:cs="Palatino Linotype"/>
          <w:sz w:val="22"/>
          <w:szCs w:val="22"/>
        </w:rPr>
        <w:t>rindió informe justificado a través de los archivos electrónicos que contienen la información siguiente:</w:t>
      </w:r>
    </w:p>
    <w:p w14:paraId="4F1F2839" w14:textId="77777777" w:rsidR="00FE161E" w:rsidRPr="002F17DA" w:rsidRDefault="00FE161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956FC47" w14:textId="77777777" w:rsidR="00FE161E" w:rsidRPr="002F17DA" w:rsidRDefault="0068353D">
      <w:pPr>
        <w:numPr>
          <w:ilvl w:val="0"/>
          <w:numId w:val="2"/>
        </w:numPr>
        <w:pBdr>
          <w:top w:val="nil"/>
          <w:left w:val="nil"/>
          <w:bottom w:val="nil"/>
          <w:right w:val="nil"/>
          <w:between w:val="nil"/>
        </w:pBdr>
        <w:tabs>
          <w:tab w:val="left" w:pos="567"/>
        </w:tabs>
        <w:spacing w:line="276" w:lineRule="auto"/>
        <w:ind w:left="567" w:right="49" w:hanging="425"/>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i/>
          <w:sz w:val="22"/>
          <w:szCs w:val="22"/>
        </w:rPr>
        <w:t>00433-OBRAS.pdf</w:t>
      </w:r>
      <w:r w:rsidRPr="002F17DA">
        <w:rPr>
          <w:rFonts w:ascii="Palatino Linotype" w:eastAsia="Palatino Linotype" w:hAnsi="Palatino Linotype" w:cs="Palatino Linotype"/>
          <w:sz w:val="22"/>
          <w:szCs w:val="22"/>
        </w:rPr>
        <w:t>: DTyGA/MET/0642/2024 del ocho de julio de dos mil veinticuatro, a través del cual el Director de Transparencia y Gobierno Abierto requirió al Director de Obras Públicas para que enviara la información que resultara conveniente para estar en posibilidades de rendir el informe justificado dentro del medio de impugnación que nos ocupa.</w:t>
      </w:r>
    </w:p>
    <w:p w14:paraId="19192D60" w14:textId="77777777" w:rsidR="00FE161E" w:rsidRPr="002F17DA" w:rsidRDefault="0068353D">
      <w:pPr>
        <w:numPr>
          <w:ilvl w:val="0"/>
          <w:numId w:val="2"/>
        </w:numPr>
        <w:pBdr>
          <w:top w:val="nil"/>
          <w:left w:val="nil"/>
          <w:bottom w:val="nil"/>
          <w:right w:val="nil"/>
          <w:between w:val="nil"/>
        </w:pBdr>
        <w:tabs>
          <w:tab w:val="left" w:pos="567"/>
        </w:tabs>
        <w:spacing w:line="276" w:lineRule="auto"/>
        <w:ind w:left="567" w:right="49" w:hanging="425"/>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i/>
          <w:sz w:val="22"/>
          <w:szCs w:val="22"/>
        </w:rPr>
        <w:lastRenderedPageBreak/>
        <w:t>RR 3989 DE LA SOL 433 DOP.pdf</w:t>
      </w:r>
      <w:r w:rsidRPr="002F17DA">
        <w:rPr>
          <w:rFonts w:ascii="Palatino Linotype" w:eastAsia="Palatino Linotype" w:hAnsi="Palatino Linotype" w:cs="Palatino Linotype"/>
          <w:sz w:val="22"/>
          <w:szCs w:val="22"/>
        </w:rPr>
        <w:t>: Oficio DOP/1629/2024 del diez de julio de dos mil veinticuatro, a través del cual el Director de Obras Públicas ratificó su respuesta, ya la obra mencionada en la solicitud de información refiere que se ubica en Galerías Metepec, no forma parte del Programa Anual de Obra Pública del Municipio, y por tanto no era competencia de esa Dirección, por ser una obra de particulares y no existe información de la misma.</w:t>
      </w:r>
    </w:p>
    <w:p w14:paraId="75EE7FD5" w14:textId="77777777" w:rsidR="00FE161E" w:rsidRPr="002F17DA" w:rsidRDefault="00FE161E">
      <w:pPr>
        <w:pBdr>
          <w:top w:val="nil"/>
          <w:left w:val="nil"/>
          <w:bottom w:val="nil"/>
          <w:right w:val="nil"/>
          <w:between w:val="nil"/>
        </w:pBdr>
        <w:tabs>
          <w:tab w:val="left" w:pos="567"/>
        </w:tabs>
        <w:spacing w:line="276" w:lineRule="auto"/>
        <w:ind w:left="567" w:right="49"/>
        <w:jc w:val="both"/>
        <w:rPr>
          <w:rFonts w:ascii="Palatino Linotype" w:eastAsia="Palatino Linotype" w:hAnsi="Palatino Linotype" w:cs="Palatino Linotype"/>
          <w:sz w:val="22"/>
          <w:szCs w:val="22"/>
        </w:rPr>
      </w:pPr>
    </w:p>
    <w:p w14:paraId="59AB04EA" w14:textId="77777777" w:rsidR="00FE161E" w:rsidRPr="002F17DA" w:rsidRDefault="0068353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Documento el anterior, que fue puesto a la vista de la parte </w:t>
      </w:r>
      <w:r w:rsidRPr="002F17DA">
        <w:rPr>
          <w:rFonts w:ascii="Palatino Linotype" w:eastAsia="Palatino Linotype" w:hAnsi="Palatino Linotype" w:cs="Palatino Linotype"/>
          <w:b/>
          <w:sz w:val="22"/>
          <w:szCs w:val="22"/>
        </w:rPr>
        <w:t xml:space="preserve">Recurrente </w:t>
      </w:r>
      <w:r w:rsidRPr="002F17DA">
        <w:rPr>
          <w:rFonts w:ascii="Palatino Linotype" w:eastAsia="Palatino Linotype" w:hAnsi="Palatino Linotype" w:cs="Palatino Linotype"/>
          <w:sz w:val="22"/>
          <w:szCs w:val="22"/>
        </w:rPr>
        <w:t xml:space="preserve">en fecha </w:t>
      </w:r>
      <w:r w:rsidRPr="002F17DA">
        <w:rPr>
          <w:rFonts w:ascii="Palatino Linotype" w:eastAsia="Palatino Linotype" w:hAnsi="Palatino Linotype" w:cs="Palatino Linotype"/>
          <w:b/>
          <w:sz w:val="22"/>
          <w:szCs w:val="22"/>
        </w:rPr>
        <w:t>diez de septiembre de dos mil veinticuatro</w:t>
      </w:r>
      <w:r w:rsidRPr="002F17DA">
        <w:rPr>
          <w:rFonts w:ascii="Palatino Linotype" w:eastAsia="Palatino Linotype" w:hAnsi="Palatino Linotype" w:cs="Palatino Linotype"/>
          <w:sz w:val="22"/>
          <w:szCs w:val="22"/>
        </w:rPr>
        <w:t>,</w:t>
      </w:r>
      <w:r w:rsidRPr="002F17DA">
        <w:rPr>
          <w:rFonts w:ascii="Palatino Linotype" w:eastAsia="Palatino Linotype" w:hAnsi="Palatino Linotype" w:cs="Palatino Linotype"/>
          <w:b/>
          <w:sz w:val="22"/>
          <w:szCs w:val="22"/>
        </w:rPr>
        <w:t xml:space="preserve"> </w:t>
      </w:r>
      <w:r w:rsidRPr="002F17DA">
        <w:rPr>
          <w:rFonts w:ascii="Palatino Linotype" w:eastAsia="Palatino Linotype" w:hAnsi="Palatino Linotype" w:cs="Palatino Linotype"/>
          <w:sz w:val="22"/>
          <w:szCs w:val="22"/>
        </w:rPr>
        <w:t>a fin de que hiciera valer manifestaciones o rindiera alegatos que conforme a derecho resultaran convenientes; no obstante fue omisa en ejercer dicha prerrogativa.</w:t>
      </w:r>
    </w:p>
    <w:p w14:paraId="10E86C7D" w14:textId="77777777" w:rsidR="00FE161E" w:rsidRPr="002F17DA" w:rsidRDefault="00FE161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F96A4F8" w14:textId="77777777" w:rsidR="00FE161E" w:rsidRPr="002F17DA" w:rsidRDefault="007B6D3A">
      <w:pPr>
        <w:tabs>
          <w:tab w:val="left" w:pos="360"/>
        </w:tabs>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10</w:t>
      </w:r>
      <w:r w:rsidR="0068353D" w:rsidRPr="002F17DA">
        <w:rPr>
          <w:rFonts w:ascii="Palatino Linotype" w:eastAsia="Palatino Linotype" w:hAnsi="Palatino Linotype" w:cs="Palatino Linotype"/>
          <w:b/>
          <w:sz w:val="22"/>
          <w:szCs w:val="22"/>
        </w:rPr>
        <w:t xml:space="preserve">. Ampliación del plazo. </w:t>
      </w:r>
      <w:r w:rsidR="0068353D" w:rsidRPr="002F17DA">
        <w:rPr>
          <w:rFonts w:ascii="Palatino Linotype" w:eastAsia="Palatino Linotype" w:hAnsi="Palatino Linotype" w:cs="Palatino Linotype"/>
          <w:sz w:val="22"/>
          <w:szCs w:val="22"/>
        </w:rPr>
        <w:t>El</w:t>
      </w:r>
      <w:r w:rsidR="0068353D" w:rsidRPr="002F17DA">
        <w:rPr>
          <w:rFonts w:ascii="Palatino Linotype" w:eastAsia="Palatino Linotype" w:hAnsi="Palatino Linotype" w:cs="Palatino Linotype"/>
          <w:b/>
          <w:sz w:val="22"/>
          <w:szCs w:val="22"/>
        </w:rPr>
        <w:t xml:space="preserve"> diez de septiembre de dos mil veinticuatro</w:t>
      </w:r>
      <w:r w:rsidR="0068353D" w:rsidRPr="002F17DA">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143825B" w14:textId="77777777" w:rsidR="00FE161E" w:rsidRPr="002F17DA" w:rsidRDefault="00FE161E">
      <w:pPr>
        <w:tabs>
          <w:tab w:val="left" w:pos="360"/>
        </w:tabs>
        <w:spacing w:line="360" w:lineRule="auto"/>
        <w:ind w:right="49"/>
        <w:jc w:val="both"/>
        <w:rPr>
          <w:rFonts w:ascii="Palatino Linotype" w:eastAsia="Palatino Linotype" w:hAnsi="Palatino Linotype" w:cs="Palatino Linotype"/>
          <w:sz w:val="22"/>
          <w:szCs w:val="22"/>
        </w:rPr>
      </w:pPr>
    </w:p>
    <w:p w14:paraId="65ECA2BD" w14:textId="77777777" w:rsidR="00FE161E" w:rsidRPr="002F17DA" w:rsidRDefault="007B6D3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11</w:t>
      </w:r>
      <w:r w:rsidR="0068353D" w:rsidRPr="002F17DA">
        <w:rPr>
          <w:rFonts w:ascii="Palatino Linotype" w:eastAsia="Palatino Linotype" w:hAnsi="Palatino Linotype" w:cs="Palatino Linotype"/>
          <w:b/>
          <w:sz w:val="22"/>
          <w:szCs w:val="22"/>
        </w:rPr>
        <w:t xml:space="preserve">. Cierre de instrucción. </w:t>
      </w:r>
      <w:r w:rsidR="0068353D" w:rsidRPr="002F17D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2F17DA">
        <w:rPr>
          <w:rFonts w:ascii="Palatino Linotype" w:eastAsia="Palatino Linotype" w:hAnsi="Palatino Linotype" w:cs="Palatino Linotype"/>
          <w:b/>
          <w:sz w:val="22"/>
          <w:szCs w:val="22"/>
        </w:rPr>
        <w:t>diecinueve</w:t>
      </w:r>
      <w:r w:rsidR="0068353D" w:rsidRPr="002F17DA">
        <w:rPr>
          <w:rFonts w:ascii="Palatino Linotype" w:eastAsia="Palatino Linotype" w:hAnsi="Palatino Linotype" w:cs="Palatino Linotype"/>
          <w:b/>
          <w:sz w:val="22"/>
          <w:szCs w:val="22"/>
        </w:rPr>
        <w:t xml:space="preserve"> de septiembre de dos mil veinticuatro,</w:t>
      </w:r>
      <w:r w:rsidR="0068353D" w:rsidRPr="002F17D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22C2A04" w14:textId="77777777" w:rsidR="00FE161E" w:rsidRPr="002F17DA" w:rsidRDefault="00FE161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354B0DF" w14:textId="77777777" w:rsidR="00FE161E" w:rsidRPr="002F17DA" w:rsidRDefault="0068353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312378C" w14:textId="77777777" w:rsidR="00FE161E" w:rsidRPr="002F17DA" w:rsidRDefault="00FE161E">
      <w:pPr>
        <w:pBdr>
          <w:top w:val="nil"/>
          <w:left w:val="nil"/>
          <w:bottom w:val="nil"/>
          <w:right w:val="nil"/>
          <w:between w:val="nil"/>
        </w:pBdr>
        <w:tabs>
          <w:tab w:val="left" w:pos="284"/>
        </w:tabs>
        <w:spacing w:line="360" w:lineRule="auto"/>
        <w:ind w:right="49"/>
        <w:rPr>
          <w:rFonts w:ascii="Palatino Linotype" w:eastAsia="Palatino Linotype" w:hAnsi="Palatino Linotype" w:cs="Palatino Linotype"/>
          <w:sz w:val="22"/>
          <w:szCs w:val="22"/>
        </w:rPr>
      </w:pPr>
    </w:p>
    <w:p w14:paraId="7CE9DC35" w14:textId="77777777" w:rsidR="00FE161E" w:rsidRPr="002F17DA" w:rsidRDefault="0068353D">
      <w:pPr>
        <w:widowControl w:val="0"/>
        <w:spacing w:before="240" w:after="240" w:line="360" w:lineRule="auto"/>
        <w:jc w:val="center"/>
        <w:rPr>
          <w:rFonts w:ascii="Palatino Linotype" w:eastAsia="Palatino Linotype" w:hAnsi="Palatino Linotype" w:cs="Palatino Linotype"/>
          <w:b/>
          <w:sz w:val="22"/>
          <w:szCs w:val="22"/>
        </w:rPr>
      </w:pPr>
      <w:r w:rsidRPr="002F17DA">
        <w:rPr>
          <w:rFonts w:ascii="Palatino Linotype" w:eastAsia="Palatino Linotype" w:hAnsi="Palatino Linotype" w:cs="Palatino Linotype"/>
          <w:b/>
          <w:sz w:val="22"/>
          <w:szCs w:val="22"/>
        </w:rPr>
        <w:t>II. C O N S I D E R A N D O S</w:t>
      </w:r>
    </w:p>
    <w:p w14:paraId="32B1E21A" w14:textId="77777777" w:rsidR="00FE161E" w:rsidRPr="002F17DA" w:rsidRDefault="0068353D">
      <w:pP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2F17DA">
        <w:rPr>
          <w:rFonts w:ascii="Palatino Linotype" w:eastAsia="Palatino Linotype" w:hAnsi="Palatino Linotype" w:cs="Palatino Linotype"/>
          <w:b/>
          <w:sz w:val="22"/>
          <w:szCs w:val="22"/>
        </w:rPr>
        <w:lastRenderedPageBreak/>
        <w:t>Primero. Competencia.</w:t>
      </w:r>
      <w:r w:rsidRPr="002F17D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D3BDB3B"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2C5653D5" w14:textId="77777777" w:rsidR="00FE161E" w:rsidRPr="002F17DA" w:rsidRDefault="0068353D">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2F17DA">
        <w:rPr>
          <w:rFonts w:ascii="Palatino Linotype" w:eastAsia="Palatino Linotype" w:hAnsi="Palatino Linotype" w:cs="Palatino Linotype"/>
          <w:b/>
          <w:sz w:val="22"/>
          <w:szCs w:val="22"/>
        </w:rPr>
        <w:t>Segundo. Oportunidad y Procedibilidad del Recurso de Revisión</w:t>
      </w:r>
      <w:r w:rsidRPr="002F17D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6DACD5A"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304A74D"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 xml:space="preserve">remitió la respuesta a la solicitud de información el </w:t>
      </w:r>
      <w:r w:rsidRPr="002F17DA">
        <w:rPr>
          <w:rFonts w:ascii="Palatino Linotype" w:eastAsia="Palatino Linotype" w:hAnsi="Palatino Linotype" w:cs="Palatino Linotype"/>
          <w:b/>
          <w:sz w:val="22"/>
          <w:szCs w:val="22"/>
        </w:rPr>
        <w:t xml:space="preserve">veintiséis de junio de dos mil veinticuatro, </w:t>
      </w:r>
      <w:r w:rsidRPr="002F17DA">
        <w:rPr>
          <w:rFonts w:ascii="Palatino Linotype" w:eastAsia="Palatino Linotype" w:hAnsi="Palatino Linotype" w:cs="Palatino Linotype"/>
          <w:sz w:val="22"/>
          <w:szCs w:val="22"/>
        </w:rPr>
        <w:t xml:space="preserve">mientras que el recurso de revisión interpuesto por </w:t>
      </w:r>
      <w:r w:rsidRPr="002F17DA">
        <w:rPr>
          <w:rFonts w:ascii="Palatino Linotype" w:eastAsia="Palatino Linotype" w:hAnsi="Palatino Linotype" w:cs="Palatino Linotype"/>
          <w:b/>
          <w:sz w:val="22"/>
          <w:szCs w:val="22"/>
        </w:rPr>
        <w:t>la parte</w:t>
      </w:r>
      <w:r w:rsidRPr="002F17DA">
        <w:rPr>
          <w:rFonts w:ascii="Palatino Linotype" w:eastAsia="Palatino Linotype" w:hAnsi="Palatino Linotype" w:cs="Palatino Linotype"/>
          <w:sz w:val="22"/>
          <w:szCs w:val="22"/>
        </w:rPr>
        <w:t xml:space="preserve"> </w:t>
      </w:r>
      <w:r w:rsidRPr="002F17DA">
        <w:rPr>
          <w:rFonts w:ascii="Palatino Linotype" w:eastAsia="Palatino Linotype" w:hAnsi="Palatino Linotype" w:cs="Palatino Linotype"/>
          <w:b/>
          <w:sz w:val="22"/>
          <w:szCs w:val="22"/>
        </w:rPr>
        <w:t>Recurrente</w:t>
      </w:r>
      <w:r w:rsidRPr="002F17DA">
        <w:rPr>
          <w:rFonts w:ascii="Palatino Linotype" w:eastAsia="Palatino Linotype" w:hAnsi="Palatino Linotype" w:cs="Palatino Linotype"/>
          <w:sz w:val="22"/>
          <w:szCs w:val="22"/>
        </w:rPr>
        <w:t xml:space="preserve">, se tuvo por presentado el </w:t>
      </w:r>
      <w:r w:rsidRPr="002F17DA">
        <w:rPr>
          <w:rFonts w:ascii="Palatino Linotype" w:eastAsia="Palatino Linotype" w:hAnsi="Palatino Linotype" w:cs="Palatino Linotype"/>
          <w:b/>
          <w:sz w:val="22"/>
          <w:szCs w:val="22"/>
        </w:rPr>
        <w:t xml:space="preserve">primero de julio de dos mil veinticuatro, </w:t>
      </w:r>
      <w:r w:rsidRPr="002F17DA">
        <w:rPr>
          <w:rFonts w:ascii="Palatino Linotype" w:eastAsia="Palatino Linotype" w:hAnsi="Palatino Linotype" w:cs="Palatino Linotype"/>
          <w:sz w:val="22"/>
          <w:szCs w:val="22"/>
        </w:rPr>
        <w:t xml:space="preserve">esto es, al tercer día hábil siguiente a aquel en </w:t>
      </w:r>
      <w:r w:rsidRPr="002F17DA">
        <w:rPr>
          <w:rFonts w:ascii="Palatino Linotype" w:eastAsia="Palatino Linotype" w:hAnsi="Palatino Linotype" w:cs="Palatino Linotype"/>
          <w:b/>
          <w:sz w:val="22"/>
          <w:szCs w:val="22"/>
        </w:rPr>
        <w:t>que se tuvo conocimiento de la respuesta impugnada</w:t>
      </w:r>
      <w:r w:rsidRPr="002F17DA">
        <w:rPr>
          <w:rFonts w:ascii="Palatino Linotype" w:eastAsia="Palatino Linotype" w:hAnsi="Palatino Linotype" w:cs="Palatino Linotype"/>
          <w:sz w:val="22"/>
          <w:szCs w:val="22"/>
        </w:rPr>
        <w:t xml:space="preserve">. </w:t>
      </w:r>
    </w:p>
    <w:p w14:paraId="3492F1E4"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04568528"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63F1465"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3CFE1765" w14:textId="77777777" w:rsidR="00FE161E" w:rsidRPr="002F17DA" w:rsidRDefault="0068353D">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2F17DA">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AD45A13" w14:textId="77777777" w:rsidR="00FE161E" w:rsidRPr="002F17DA" w:rsidRDefault="00FE161E">
      <w:pPr>
        <w:tabs>
          <w:tab w:val="left" w:pos="7938"/>
        </w:tabs>
        <w:spacing w:line="360" w:lineRule="auto"/>
        <w:jc w:val="both"/>
        <w:rPr>
          <w:rFonts w:ascii="Palatino Linotype" w:eastAsia="Palatino Linotype" w:hAnsi="Palatino Linotype" w:cs="Palatino Linotype"/>
          <w:sz w:val="22"/>
          <w:szCs w:val="22"/>
        </w:rPr>
      </w:pPr>
    </w:p>
    <w:p w14:paraId="3F9089AE"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Por otro lado, es de suma importancia mencionar que, si bien la parte</w:t>
      </w:r>
      <w:r w:rsidRPr="002F17DA">
        <w:rPr>
          <w:rFonts w:ascii="Palatino Linotype" w:eastAsia="Palatino Linotype" w:hAnsi="Palatino Linotype" w:cs="Palatino Linotype"/>
          <w:b/>
          <w:sz w:val="22"/>
          <w:szCs w:val="22"/>
        </w:rPr>
        <w:t xml:space="preserve"> Recurrente</w:t>
      </w:r>
      <w:r w:rsidRPr="002F17DA">
        <w:rPr>
          <w:rFonts w:ascii="Palatino Linotype" w:eastAsia="Palatino Linotype" w:hAnsi="Palatino Linotype" w:cs="Palatino Linotype"/>
          <w:sz w:val="22"/>
          <w:szCs w:val="22"/>
        </w:rPr>
        <w:t xml:space="preserve"> no </w:t>
      </w:r>
      <w:r w:rsidRPr="002F17DA">
        <w:rPr>
          <w:rFonts w:ascii="Palatino Linotype" w:eastAsia="Palatino Linotype" w:hAnsi="Palatino Linotype" w:cs="Palatino Linotype"/>
          <w:b/>
          <w:sz w:val="22"/>
          <w:szCs w:val="22"/>
        </w:rPr>
        <w:t>proporcionó nombre</w:t>
      </w:r>
      <w:r w:rsidRPr="002F17DA">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6FEBEF1"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5EFD827" w14:textId="77777777" w:rsidR="00FE161E" w:rsidRPr="002F17DA" w:rsidRDefault="0068353D">
      <w:pPr>
        <w:spacing w:line="276" w:lineRule="auto"/>
        <w:ind w:left="851" w:right="902"/>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i/>
          <w:sz w:val="22"/>
          <w:szCs w:val="22"/>
        </w:rPr>
        <w:t>"</w:t>
      </w:r>
      <w:r w:rsidRPr="002F17DA">
        <w:rPr>
          <w:rFonts w:ascii="Palatino Linotype" w:eastAsia="Palatino Linotype" w:hAnsi="Palatino Linotype" w:cs="Palatino Linotype"/>
          <w:b/>
          <w:i/>
          <w:sz w:val="22"/>
          <w:szCs w:val="22"/>
        </w:rPr>
        <w:t>Las solicitudes anónimas</w:t>
      </w:r>
      <w:r w:rsidRPr="002F17DA">
        <w:rPr>
          <w:rFonts w:ascii="Palatino Linotype" w:eastAsia="Palatino Linotype" w:hAnsi="Palatino Linotype" w:cs="Palatino Linotype"/>
          <w:i/>
          <w:sz w:val="22"/>
          <w:szCs w:val="22"/>
        </w:rPr>
        <w:t>, con nombre incompleto o seudónimo</w:t>
      </w:r>
      <w:r w:rsidRPr="002F17DA">
        <w:rPr>
          <w:rFonts w:ascii="Palatino Linotype" w:eastAsia="Palatino Linotype" w:hAnsi="Palatino Linotype" w:cs="Palatino Linotype"/>
          <w:b/>
          <w:i/>
          <w:sz w:val="22"/>
          <w:szCs w:val="22"/>
        </w:rPr>
        <w:t> serán procedentes para su trámite por parte del sujeto obligado ante quien se presente</w:t>
      </w:r>
      <w:r w:rsidRPr="002F17DA">
        <w:rPr>
          <w:rFonts w:ascii="Palatino Linotype" w:eastAsia="Palatino Linotype" w:hAnsi="Palatino Linotype" w:cs="Palatino Linotype"/>
          <w:i/>
          <w:sz w:val="22"/>
          <w:szCs w:val="22"/>
        </w:rPr>
        <w:t>. No podrá requerirse información adicional con motivo del nombre proporcionado por el solicitante."</w:t>
      </w:r>
    </w:p>
    <w:p w14:paraId="2D441747" w14:textId="77777777" w:rsidR="00FE161E" w:rsidRPr="002F17DA" w:rsidRDefault="00FE161E">
      <w:pPr>
        <w:tabs>
          <w:tab w:val="left" w:pos="7938"/>
        </w:tabs>
        <w:spacing w:line="360" w:lineRule="auto"/>
        <w:jc w:val="both"/>
        <w:rPr>
          <w:rFonts w:ascii="Palatino Linotype" w:eastAsia="Palatino Linotype" w:hAnsi="Palatino Linotype" w:cs="Palatino Linotype"/>
          <w:sz w:val="22"/>
          <w:szCs w:val="22"/>
        </w:rPr>
      </w:pPr>
    </w:p>
    <w:p w14:paraId="283DC0BB"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Finalmente, se advierte que resulta procedente la interposición del recurso, según lo manifestado por </w:t>
      </w:r>
      <w:r w:rsidRPr="002F17DA">
        <w:rPr>
          <w:rFonts w:ascii="Palatino Linotype" w:eastAsia="Palatino Linotype" w:hAnsi="Palatino Linotype" w:cs="Palatino Linotype"/>
          <w:b/>
          <w:sz w:val="22"/>
          <w:szCs w:val="22"/>
        </w:rPr>
        <w:t>la parte</w:t>
      </w:r>
      <w:r w:rsidRPr="002F17DA">
        <w:rPr>
          <w:rFonts w:ascii="Palatino Linotype" w:eastAsia="Palatino Linotype" w:hAnsi="Palatino Linotype" w:cs="Palatino Linotype"/>
          <w:sz w:val="22"/>
          <w:szCs w:val="22"/>
        </w:rPr>
        <w:t xml:space="preserve"> </w:t>
      </w:r>
      <w:r w:rsidRPr="002F17DA">
        <w:rPr>
          <w:rFonts w:ascii="Palatino Linotype" w:eastAsia="Palatino Linotype" w:hAnsi="Palatino Linotype" w:cs="Palatino Linotype"/>
          <w:b/>
          <w:sz w:val="22"/>
          <w:szCs w:val="22"/>
        </w:rPr>
        <w:t>Recurrente</w:t>
      </w:r>
      <w:r w:rsidRPr="002F17DA">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641799C7"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78734AF2" w14:textId="77777777" w:rsidR="00FE161E" w:rsidRPr="002F17DA" w:rsidRDefault="0068353D">
      <w:pPr>
        <w:ind w:left="567" w:right="902"/>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w:t>
      </w:r>
      <w:r w:rsidRPr="002F17DA">
        <w:rPr>
          <w:rFonts w:ascii="Palatino Linotype" w:eastAsia="Palatino Linotype" w:hAnsi="Palatino Linotype" w:cs="Palatino Linotype"/>
          <w:b/>
          <w:i/>
          <w:sz w:val="22"/>
          <w:szCs w:val="22"/>
        </w:rPr>
        <w:t>Artículo 179.</w:t>
      </w:r>
      <w:r w:rsidRPr="002F17D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A0F1614" w14:textId="77777777" w:rsidR="00FE161E" w:rsidRPr="002F17DA" w:rsidRDefault="0068353D">
      <w:pPr>
        <w:ind w:left="567" w:right="902"/>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w:t>
      </w:r>
    </w:p>
    <w:p w14:paraId="2FCEFA52" w14:textId="77777777" w:rsidR="00FE161E" w:rsidRPr="002F17DA" w:rsidRDefault="0068353D">
      <w:pPr>
        <w:ind w:left="567"/>
        <w:rPr>
          <w:rFonts w:ascii="Palatino Linotype" w:eastAsia="Palatino Linotype" w:hAnsi="Palatino Linotype" w:cs="Palatino Linotype"/>
          <w:i/>
          <w:sz w:val="22"/>
          <w:szCs w:val="22"/>
        </w:rPr>
      </w:pPr>
      <w:r w:rsidRPr="002F17DA">
        <w:rPr>
          <w:rFonts w:ascii="Palatino Linotype" w:eastAsia="Palatino Linotype" w:hAnsi="Palatino Linotype" w:cs="Palatino Linotype"/>
          <w:b/>
          <w:i/>
          <w:sz w:val="22"/>
          <w:szCs w:val="22"/>
        </w:rPr>
        <w:t>I. La negativa a la información solicitada;”</w:t>
      </w:r>
    </w:p>
    <w:p w14:paraId="3265FBC6" w14:textId="77777777" w:rsidR="00FE161E" w:rsidRPr="002F17DA" w:rsidRDefault="00FE161E">
      <w:pPr>
        <w:ind w:left="567"/>
        <w:rPr>
          <w:rFonts w:ascii="Palatino Linotype" w:eastAsia="Palatino Linotype" w:hAnsi="Palatino Linotype" w:cs="Palatino Linotype"/>
          <w:b/>
          <w:i/>
          <w:sz w:val="22"/>
          <w:szCs w:val="22"/>
        </w:rPr>
      </w:pPr>
    </w:p>
    <w:p w14:paraId="0D78A88F" w14:textId="77777777" w:rsidR="00FE161E" w:rsidRPr="002F17DA" w:rsidRDefault="0068353D">
      <w:pPr>
        <w:ind w:left="567"/>
        <w:jc w:val="right"/>
        <w:rPr>
          <w:rFonts w:ascii="Palatino Linotype" w:eastAsia="Palatino Linotype" w:hAnsi="Palatino Linotype" w:cs="Palatino Linotype"/>
          <w:b/>
          <w:i/>
          <w:sz w:val="22"/>
          <w:szCs w:val="22"/>
        </w:rPr>
      </w:pPr>
      <w:r w:rsidRPr="002F17DA">
        <w:rPr>
          <w:rFonts w:ascii="Palatino Linotype" w:eastAsia="Palatino Linotype" w:hAnsi="Palatino Linotype" w:cs="Palatino Linotype"/>
          <w:b/>
          <w:i/>
          <w:sz w:val="22"/>
          <w:szCs w:val="22"/>
        </w:rPr>
        <w:t xml:space="preserve"> </w:t>
      </w:r>
      <w:r w:rsidRPr="002F17DA">
        <w:rPr>
          <w:rFonts w:ascii="Palatino Linotype" w:eastAsia="Palatino Linotype" w:hAnsi="Palatino Linotype" w:cs="Palatino Linotype"/>
          <w:i/>
          <w:sz w:val="22"/>
          <w:szCs w:val="22"/>
        </w:rPr>
        <w:t>(Énfasis añadido)</w:t>
      </w:r>
    </w:p>
    <w:p w14:paraId="68E73051" w14:textId="77777777" w:rsidR="00FE161E" w:rsidRPr="002F17DA" w:rsidRDefault="00FE161E">
      <w:pPr>
        <w:spacing w:line="360" w:lineRule="auto"/>
        <w:jc w:val="both"/>
        <w:rPr>
          <w:rFonts w:ascii="Palatino Linotype" w:eastAsia="Palatino Linotype" w:hAnsi="Palatino Linotype" w:cs="Palatino Linotype"/>
          <w:b/>
          <w:sz w:val="22"/>
          <w:szCs w:val="22"/>
        </w:rPr>
      </w:pPr>
    </w:p>
    <w:p w14:paraId="08358060"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lastRenderedPageBreak/>
        <w:t>Tercero. Análisis de las causales de sobreseimiento del recurso de revisión.</w:t>
      </w:r>
      <w:r w:rsidRPr="002F17DA">
        <w:rPr>
          <w:rFonts w:ascii="Palatino Linotype" w:eastAsia="Palatino Linotype" w:hAnsi="Palatino Linotype" w:cs="Palatino Linotype"/>
          <w:sz w:val="22"/>
          <w:szCs w:val="22"/>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informe justificado rendido por el </w:t>
      </w:r>
      <w:r w:rsidRPr="002F17DA">
        <w:rPr>
          <w:rFonts w:ascii="Palatino Linotype" w:eastAsia="Palatino Linotype" w:hAnsi="Palatino Linotype" w:cs="Palatino Linotype"/>
          <w:b/>
          <w:sz w:val="22"/>
          <w:szCs w:val="22"/>
        </w:rPr>
        <w:t>Sujeto Obligado.</w:t>
      </w:r>
      <w:r w:rsidRPr="002F17DA">
        <w:rPr>
          <w:rFonts w:ascii="Palatino Linotype" w:eastAsia="Palatino Linotype" w:hAnsi="Palatino Linotype" w:cs="Palatino Linotype"/>
          <w:sz w:val="22"/>
          <w:szCs w:val="22"/>
        </w:rPr>
        <w:t xml:space="preserve"> </w:t>
      </w:r>
    </w:p>
    <w:p w14:paraId="078A9A67"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6B520562" w14:textId="77777777" w:rsidR="00FE161E" w:rsidRPr="002F17DA" w:rsidRDefault="0068353D">
      <w:pPr>
        <w:tabs>
          <w:tab w:val="left" w:pos="7513"/>
        </w:tabs>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Para una mejor comprensión del asunto, de las constancias que obran en el expediente electrónico, valoradas anteriormente, destacan por su importancia los antecedentes siguientes:</w:t>
      </w:r>
    </w:p>
    <w:p w14:paraId="44A561A2" w14:textId="77777777" w:rsidR="00FE161E" w:rsidRPr="002F17DA" w:rsidRDefault="00FE161E">
      <w:pPr>
        <w:tabs>
          <w:tab w:val="left" w:pos="7513"/>
        </w:tabs>
        <w:spacing w:line="360" w:lineRule="auto"/>
        <w:ind w:right="49"/>
        <w:jc w:val="both"/>
        <w:rPr>
          <w:rFonts w:ascii="Palatino Linotype" w:eastAsia="Palatino Linotype" w:hAnsi="Palatino Linotype" w:cs="Palatino Linotype"/>
          <w:sz w:val="22"/>
          <w:szCs w:val="22"/>
        </w:rPr>
      </w:pPr>
    </w:p>
    <w:p w14:paraId="179F6663" w14:textId="77777777" w:rsidR="00FE161E" w:rsidRPr="002F17DA" w:rsidRDefault="0068353D">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8" w:name="_heading=h.1y810tw" w:colFirst="0" w:colLast="0"/>
      <w:bookmarkEnd w:id="8"/>
      <w:r w:rsidRPr="002F17DA">
        <w:rPr>
          <w:rFonts w:ascii="Palatino Linotype" w:eastAsia="Palatino Linotype" w:hAnsi="Palatino Linotype" w:cs="Palatino Linotype"/>
          <w:sz w:val="22"/>
          <w:szCs w:val="22"/>
        </w:rPr>
        <w:t xml:space="preserve">Del análisis a la solicitud de información, se advierte que la persona solicitante requirió del </w:t>
      </w:r>
      <w:r w:rsidRPr="002F17DA">
        <w:rPr>
          <w:rFonts w:ascii="Palatino Linotype" w:eastAsia="Palatino Linotype" w:hAnsi="Palatino Linotype" w:cs="Palatino Linotype"/>
          <w:b/>
          <w:sz w:val="22"/>
          <w:szCs w:val="22"/>
        </w:rPr>
        <w:t>Sujeto Obligado, lo siguiente:</w:t>
      </w:r>
    </w:p>
    <w:p w14:paraId="592791F8" w14:textId="77777777" w:rsidR="00FE161E" w:rsidRPr="002F17DA" w:rsidRDefault="00FE161E">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5E17C529" w14:textId="77777777" w:rsidR="00FE161E" w:rsidRPr="002F17DA" w:rsidRDefault="0068353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u w:val="single"/>
        </w:rPr>
        <w:t>Sobre la obra que se lleva a cabo junto a Galerías Metepec y Costco,</w:t>
      </w:r>
      <w:r w:rsidRPr="002F17DA">
        <w:rPr>
          <w:rFonts w:ascii="Palatino Linotype" w:eastAsia="Palatino Linotype" w:hAnsi="Palatino Linotype" w:cs="Palatino Linotype"/>
          <w:sz w:val="22"/>
          <w:szCs w:val="22"/>
        </w:rPr>
        <w:t xml:space="preserve"> lo siguiente: </w:t>
      </w:r>
    </w:p>
    <w:p w14:paraId="50F3AF94" w14:textId="77777777" w:rsidR="00FE161E" w:rsidRPr="002F17DA" w:rsidRDefault="00FE161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FA39A02" w14:textId="77777777" w:rsidR="00FE161E" w:rsidRPr="002F17DA" w:rsidRDefault="0068353D">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Inversión realizada.</w:t>
      </w:r>
    </w:p>
    <w:p w14:paraId="3257FF04" w14:textId="77777777" w:rsidR="00FE161E" w:rsidRPr="002F17DA" w:rsidRDefault="0068353D">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Contratos celebrados para su realización.</w:t>
      </w:r>
    </w:p>
    <w:p w14:paraId="74DF1072" w14:textId="77777777" w:rsidR="00FE161E" w:rsidRPr="002F17DA" w:rsidRDefault="0068353D">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Documento que contenga la justificación de los trabajos.</w:t>
      </w:r>
    </w:p>
    <w:p w14:paraId="2C86D702" w14:textId="77777777" w:rsidR="00FE161E" w:rsidRPr="002F17DA" w:rsidRDefault="0068353D">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Documento donde conste la extensión de la obra.</w:t>
      </w:r>
    </w:p>
    <w:p w14:paraId="4BF3294A" w14:textId="77777777" w:rsidR="00FE161E" w:rsidRPr="002F17DA" w:rsidRDefault="00FE161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83D340" w14:textId="77777777" w:rsidR="00FE161E" w:rsidRPr="002F17DA" w:rsidRDefault="0068353D">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2F17DA">
        <w:rPr>
          <w:rFonts w:ascii="Palatino Linotype" w:eastAsia="Palatino Linotype" w:hAnsi="Palatino Linotype" w:cs="Palatino Linotype"/>
          <w:b/>
          <w:sz w:val="22"/>
          <w:szCs w:val="22"/>
          <w:u w:val="single"/>
        </w:rPr>
        <w:t>Sobre los trabajos que se llevan dentro de Galerías Metepec:</w:t>
      </w:r>
    </w:p>
    <w:p w14:paraId="3E4C1026" w14:textId="77777777" w:rsidR="00FE161E" w:rsidRPr="002F17DA" w:rsidRDefault="00FE161E">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071449BD" w14:textId="77777777" w:rsidR="00FE161E" w:rsidRPr="002F17DA" w:rsidRDefault="0068353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sz w:val="22"/>
          <w:szCs w:val="22"/>
        </w:rPr>
        <w:t>Documento que indique el tipo de inversión: pública o privada; y, en caso de ser privada, la cantidad.</w:t>
      </w:r>
    </w:p>
    <w:p w14:paraId="305D9986" w14:textId="77777777" w:rsidR="00FE161E" w:rsidRPr="002F17DA" w:rsidRDefault="0068353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Documento donde conste la obra final.</w:t>
      </w:r>
    </w:p>
    <w:p w14:paraId="11D7768F" w14:textId="77777777" w:rsidR="00FE161E" w:rsidRPr="002F17DA" w:rsidRDefault="0068353D">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Fecha de conclusión.</w:t>
      </w:r>
    </w:p>
    <w:p w14:paraId="11EC0D5D" w14:textId="77777777" w:rsidR="00FE161E" w:rsidRPr="002F17DA" w:rsidRDefault="00FE161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C97237" w14:textId="77777777" w:rsidR="00FE161E" w:rsidRPr="002F17DA" w:rsidRDefault="0068353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A lo anterior,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realizó un requerimiento de aclaración al particular, a fin de que precisara la información específica a la que pretende acceder.</w:t>
      </w:r>
    </w:p>
    <w:p w14:paraId="762F821E" w14:textId="77777777" w:rsidR="00FE161E" w:rsidRPr="002F17DA" w:rsidRDefault="00FE161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9FA672"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En atención al requerimiento de aclaración, el particular desahogó el mismo, en los siguientes términos:</w:t>
      </w:r>
    </w:p>
    <w:p w14:paraId="62C12C51" w14:textId="77777777" w:rsidR="00FE161E" w:rsidRPr="002F17DA" w:rsidRDefault="0068353D">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“Como se precisa en la solicitud de información: </w:t>
      </w:r>
      <w:r w:rsidRPr="002F17DA">
        <w:rPr>
          <w:rFonts w:ascii="Palatino Linotype" w:eastAsia="Palatino Linotype" w:hAnsi="Palatino Linotype" w:cs="Palatino Linotype"/>
          <w:b/>
          <w:i/>
          <w:sz w:val="22"/>
          <w:szCs w:val="22"/>
        </w:rPr>
        <w:t>-</w:t>
      </w:r>
      <w:r w:rsidRPr="002F17DA">
        <w:rPr>
          <w:rFonts w:ascii="Palatino Linotype" w:eastAsia="Palatino Linotype" w:hAnsi="Palatino Linotype" w:cs="Palatino Linotype"/>
          <w:b/>
          <w:i/>
          <w:sz w:val="22"/>
          <w:szCs w:val="22"/>
          <w:u w:val="single"/>
        </w:rPr>
        <w:t>inversión realizada para la obra vial</w:t>
      </w:r>
      <w:r w:rsidRPr="002F17DA">
        <w:rPr>
          <w:rFonts w:ascii="Palatino Linotype" w:eastAsia="Palatino Linotype" w:hAnsi="Palatino Linotype" w:cs="Palatino Linotype"/>
          <w:i/>
          <w:sz w:val="22"/>
          <w:szCs w:val="22"/>
        </w:rPr>
        <w:t xml:space="preserve"> que se lleva acabo junto a Galerias Metepec y Cotsco (</w:t>
      </w:r>
      <w:r w:rsidRPr="002F17DA">
        <w:rPr>
          <w:rFonts w:ascii="Palatino Linotype" w:eastAsia="Palatino Linotype" w:hAnsi="Palatino Linotype" w:cs="Palatino Linotype"/>
          <w:b/>
          <w:i/>
          <w:sz w:val="22"/>
          <w:szCs w:val="22"/>
        </w:rPr>
        <w:t>por la cual llevan varias semanas cerrada la calle Paseo del Agricultor que se encuentra entre Toyota y la gasolinería</w:t>
      </w:r>
      <w:r w:rsidRPr="002F17DA">
        <w:rPr>
          <w:rFonts w:ascii="Palatino Linotype" w:eastAsia="Palatino Linotype" w:hAnsi="Palatino Linotype" w:cs="Palatino Linotype"/>
          <w:i/>
          <w:sz w:val="22"/>
          <w:szCs w:val="22"/>
        </w:rPr>
        <w:t xml:space="preserve">). </w:t>
      </w:r>
      <w:r w:rsidRPr="002F17DA">
        <w:rPr>
          <w:rFonts w:ascii="Palatino Linotype" w:eastAsia="Palatino Linotype" w:hAnsi="Palatino Linotype" w:cs="Palatino Linotype"/>
          <w:b/>
          <w:i/>
          <w:sz w:val="22"/>
          <w:szCs w:val="22"/>
          <w:u w:val="single"/>
        </w:rPr>
        <w:t>-Los contratos celebrados para llevar a cabo dicha obra</w:t>
      </w:r>
      <w:r w:rsidRPr="002F17DA">
        <w:rPr>
          <w:rFonts w:ascii="Palatino Linotype" w:eastAsia="Palatino Linotype" w:hAnsi="Palatino Linotype" w:cs="Palatino Linotype"/>
          <w:i/>
          <w:sz w:val="22"/>
          <w:szCs w:val="22"/>
        </w:rPr>
        <w:t>, documentos donde se justifican los trabajos (</w:t>
      </w:r>
      <w:r w:rsidRPr="002F17DA">
        <w:rPr>
          <w:rFonts w:ascii="Palatino Linotype" w:eastAsia="Palatino Linotype" w:hAnsi="Palatino Linotype" w:cs="Palatino Linotype"/>
          <w:b/>
          <w:i/>
          <w:sz w:val="22"/>
          <w:szCs w:val="22"/>
          <w:u w:val="single"/>
        </w:rPr>
        <w:t>estudio de factibilidad o el proyecto</w:t>
      </w:r>
      <w:r w:rsidRPr="002F17DA">
        <w:rPr>
          <w:rFonts w:ascii="Palatino Linotype" w:eastAsia="Palatino Linotype" w:hAnsi="Palatino Linotype" w:cs="Palatino Linotype"/>
          <w:i/>
          <w:sz w:val="22"/>
          <w:szCs w:val="22"/>
        </w:rPr>
        <w:t>), extensión de la obra (</w:t>
      </w:r>
      <w:r w:rsidRPr="002F17DA">
        <w:rPr>
          <w:rFonts w:ascii="Palatino Linotype" w:eastAsia="Palatino Linotype" w:hAnsi="Palatino Linotype" w:cs="Palatino Linotype"/>
          <w:b/>
          <w:i/>
          <w:sz w:val="22"/>
          <w:szCs w:val="22"/>
          <w:u w:val="single"/>
        </w:rPr>
        <w:t>cuánto mide</w:t>
      </w:r>
      <w:r w:rsidRPr="002F17DA">
        <w:rPr>
          <w:rFonts w:ascii="Palatino Linotype" w:eastAsia="Palatino Linotype" w:hAnsi="Palatino Linotype" w:cs="Palatino Linotype"/>
          <w:i/>
          <w:sz w:val="22"/>
          <w:szCs w:val="22"/>
        </w:rPr>
        <w:t>), -Dado que se observan trabajos dentro de la Galerías se solicitó información sobre si también es inversión pública, -Información sobre cuál será la obra final (</w:t>
      </w:r>
      <w:r w:rsidRPr="002F17DA">
        <w:rPr>
          <w:rFonts w:ascii="Palatino Linotype" w:eastAsia="Palatino Linotype" w:hAnsi="Palatino Linotype" w:cs="Palatino Linotype"/>
          <w:b/>
          <w:i/>
          <w:sz w:val="22"/>
          <w:szCs w:val="22"/>
          <w:u w:val="single"/>
        </w:rPr>
        <w:t>paso a desnivel, puente, reencarpetamiento, o qué tipo de obra resultarán de los trabajos actuales, -Información sobre cuándo se prevé que se concluyan, si hay inversión privada y cuánta.</w:t>
      </w:r>
      <w:r w:rsidRPr="002F17DA">
        <w:rPr>
          <w:rFonts w:ascii="Palatino Linotype" w:eastAsia="Palatino Linotype" w:hAnsi="Palatino Linotype" w:cs="Palatino Linotype"/>
          <w:i/>
          <w:sz w:val="22"/>
          <w:szCs w:val="22"/>
        </w:rPr>
        <w:t>” (Sic)</w:t>
      </w:r>
    </w:p>
    <w:p w14:paraId="27CE1584"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81C269F"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En ese orden de ideas, a fin de contextualizar la información a la que se pretende acceder, atendiendo el desahogo de la aclaración, se procedió a hacer consulta mediante la página electrónica de Google maps, de la vialidad en donde refiere el particular se está realizando la obra vial o trabajos; localizándose lo siguiente:</w:t>
      </w:r>
    </w:p>
    <w:p w14:paraId="5B02680B"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noProof/>
          <w:sz w:val="22"/>
          <w:szCs w:val="22"/>
        </w:rPr>
        <w:drawing>
          <wp:inline distT="0" distB="0" distL="0" distR="0" wp14:anchorId="1C2CCFA1" wp14:editId="7E260277">
            <wp:extent cx="5610225" cy="196215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0225" cy="1962150"/>
                    </a:xfrm>
                    <a:prstGeom prst="rect">
                      <a:avLst/>
                    </a:prstGeom>
                    <a:ln/>
                  </pic:spPr>
                </pic:pic>
              </a:graphicData>
            </a:graphic>
          </wp:inline>
        </w:drawing>
      </w:r>
    </w:p>
    <w:p w14:paraId="065E5660"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C245553"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noProof/>
          <w:sz w:val="22"/>
          <w:szCs w:val="22"/>
        </w:rPr>
        <w:lastRenderedPageBreak/>
        <w:drawing>
          <wp:inline distT="0" distB="0" distL="0" distR="0" wp14:anchorId="13398B2A" wp14:editId="219C8E5F">
            <wp:extent cx="4972050" cy="3914775"/>
            <wp:effectExtent l="0" t="0" r="0" b="0"/>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4972050" cy="3914775"/>
                    </a:xfrm>
                    <a:prstGeom prst="rect">
                      <a:avLst/>
                    </a:prstGeom>
                    <a:ln/>
                  </pic:spPr>
                </pic:pic>
              </a:graphicData>
            </a:graphic>
          </wp:inline>
        </w:drawing>
      </w:r>
      <w:r w:rsidRPr="002F17DA">
        <w:rPr>
          <w:noProof/>
        </w:rPr>
        <mc:AlternateContent>
          <mc:Choice Requires="wpg">
            <w:drawing>
              <wp:anchor distT="0" distB="0" distL="114300" distR="114300" simplePos="0" relativeHeight="251658240" behindDoc="0" locked="0" layoutInCell="1" hidden="0" allowOverlap="1" wp14:anchorId="0E0E8A43" wp14:editId="5EDAE535">
                <wp:simplePos x="0" y="0"/>
                <wp:positionH relativeFrom="column">
                  <wp:posOffset>2882900</wp:posOffset>
                </wp:positionH>
                <wp:positionV relativeFrom="paragraph">
                  <wp:posOffset>1879600</wp:posOffset>
                </wp:positionV>
                <wp:extent cx="2168525" cy="92075"/>
                <wp:effectExtent l="0" t="0" r="0" b="0"/>
                <wp:wrapNone/>
                <wp:docPr id="32" name="Conector recto de flecha 32"/>
                <wp:cNvGraphicFramePr/>
                <a:graphic xmlns:a="http://schemas.openxmlformats.org/drawingml/2006/main">
                  <a:graphicData uri="http://schemas.microsoft.com/office/word/2010/wordprocessingShape">
                    <wps:wsp>
                      <wps:cNvCnPr/>
                      <wps:spPr>
                        <a:xfrm>
                          <a:off x="4274438" y="3746663"/>
                          <a:ext cx="2143125" cy="66675"/>
                        </a:xfrm>
                        <a:prstGeom prst="straightConnector1">
                          <a:avLst/>
                        </a:prstGeom>
                        <a:noFill/>
                        <a:ln w="25400" cap="flat" cmpd="sng">
                          <a:solidFill>
                            <a:schemeClr val="accent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2882900</wp:posOffset>
                </wp:positionH>
                <wp:positionV relativeFrom="paragraph">
                  <wp:posOffset>1879600</wp:posOffset>
                </wp:positionV>
                <wp:extent cx="2168525" cy="92075"/>
                <wp:effectExtent b="0" l="0" r="0" t="0"/>
                <wp:wrapNone/>
                <wp:docPr id="3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168525" cy="92075"/>
                        </a:xfrm>
                        <a:prstGeom prst="rect"/>
                        <a:ln/>
                      </pic:spPr>
                    </pic:pic>
                  </a:graphicData>
                </a:graphic>
              </wp:anchor>
            </w:drawing>
          </mc:Fallback>
        </mc:AlternateContent>
      </w:r>
      <w:r w:rsidRPr="002F17DA">
        <w:rPr>
          <w:noProof/>
        </w:rPr>
        <mc:AlternateContent>
          <mc:Choice Requires="wpg">
            <w:drawing>
              <wp:anchor distT="0" distB="0" distL="114300" distR="114300" simplePos="0" relativeHeight="251659264" behindDoc="0" locked="0" layoutInCell="1" hidden="0" allowOverlap="1" wp14:anchorId="0E981D4A" wp14:editId="7CA85D19">
                <wp:simplePos x="0" y="0"/>
                <wp:positionH relativeFrom="column">
                  <wp:posOffset>5067300</wp:posOffset>
                </wp:positionH>
                <wp:positionV relativeFrom="paragraph">
                  <wp:posOffset>1270000</wp:posOffset>
                </wp:positionV>
                <wp:extent cx="962025" cy="1885950"/>
                <wp:effectExtent l="0" t="0" r="0" b="0"/>
                <wp:wrapNone/>
                <wp:docPr id="37" name="Rectángulo 37"/>
                <wp:cNvGraphicFramePr/>
                <a:graphic xmlns:a="http://schemas.openxmlformats.org/drawingml/2006/main">
                  <a:graphicData uri="http://schemas.microsoft.com/office/word/2010/wordprocessingShape">
                    <wps:wsp>
                      <wps:cNvSpPr/>
                      <wps:spPr>
                        <a:xfrm>
                          <a:off x="4869750" y="2841788"/>
                          <a:ext cx="952500" cy="1876425"/>
                        </a:xfrm>
                        <a:prstGeom prst="rect">
                          <a:avLst/>
                        </a:prstGeom>
                        <a:solidFill>
                          <a:schemeClr val="lt1"/>
                        </a:solidFill>
                        <a:ln w="9525" cap="flat" cmpd="sng">
                          <a:solidFill>
                            <a:schemeClr val="dk1"/>
                          </a:solidFill>
                          <a:prstDash val="solid"/>
                          <a:round/>
                          <a:headEnd type="none" w="sm" len="sm"/>
                          <a:tailEnd type="none" w="sm" len="sm"/>
                        </a:ln>
                      </wps:spPr>
                      <wps:txbx>
                        <w:txbxContent>
                          <w:p w14:paraId="774A8F2C" w14:textId="77777777" w:rsidR="00FE161E" w:rsidRDefault="0068353D">
                            <w:pPr>
                              <w:jc w:val="both"/>
                              <w:textDirection w:val="btLr"/>
                            </w:pPr>
                            <w:r>
                              <w:rPr>
                                <w:rFonts w:ascii="Palatino Linotype" w:eastAsia="Palatino Linotype" w:hAnsi="Palatino Linotype" w:cs="Palatino Linotype"/>
                                <w:color w:val="000000"/>
                                <w:sz w:val="18"/>
                              </w:rPr>
                              <w:t>Esta es una de las estructuras de la plaza de Galerías Metepec, que se conectara con motivo del proyecto de ampliación.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5067300</wp:posOffset>
                </wp:positionH>
                <wp:positionV relativeFrom="paragraph">
                  <wp:posOffset>1270000</wp:posOffset>
                </wp:positionV>
                <wp:extent cx="962025" cy="1885950"/>
                <wp:effectExtent b="0" l="0" r="0" t="0"/>
                <wp:wrapNone/>
                <wp:docPr id="37"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962025" cy="1885950"/>
                        </a:xfrm>
                        <a:prstGeom prst="rect"/>
                        <a:ln/>
                      </pic:spPr>
                    </pic:pic>
                  </a:graphicData>
                </a:graphic>
              </wp:anchor>
            </w:drawing>
          </mc:Fallback>
        </mc:AlternateContent>
      </w:r>
      <w:r w:rsidRPr="002F17DA">
        <w:rPr>
          <w:noProof/>
        </w:rPr>
        <mc:AlternateContent>
          <mc:Choice Requires="wps">
            <w:drawing>
              <wp:anchor distT="0" distB="0" distL="114300" distR="114300" simplePos="0" relativeHeight="251660288" behindDoc="0" locked="0" layoutInCell="1" hidden="0" allowOverlap="1" wp14:anchorId="62087148" wp14:editId="78EEB1E4">
                <wp:simplePos x="0" y="0"/>
                <wp:positionH relativeFrom="column">
                  <wp:posOffset>4699000</wp:posOffset>
                </wp:positionH>
                <wp:positionV relativeFrom="paragraph">
                  <wp:posOffset>533400</wp:posOffset>
                </wp:positionV>
                <wp:extent cx="0" cy="25400"/>
                <wp:effectExtent l="0" t="0" r="0" b="0"/>
                <wp:wrapNone/>
                <wp:docPr id="36" name="Conector recto de flecha 36"/>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25400" cap="flat" cmpd="sng">
                          <a:solidFill>
                            <a:schemeClr val="accent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4699000</wp:posOffset>
                </wp:positionH>
                <wp:positionV relativeFrom="paragraph">
                  <wp:posOffset>533400</wp:posOffset>
                </wp:positionV>
                <wp:extent cx="0" cy="25400"/>
                <wp:effectExtent b="0" l="0" r="0" t="0"/>
                <wp:wrapNone/>
                <wp:docPr id="36"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r w:rsidRPr="002F17DA">
        <w:rPr>
          <w:noProof/>
        </w:rPr>
        <mc:AlternateContent>
          <mc:Choice Requires="wpg">
            <w:drawing>
              <wp:anchor distT="0" distB="0" distL="114300" distR="114300" simplePos="0" relativeHeight="251661312" behindDoc="0" locked="0" layoutInCell="1" hidden="0" allowOverlap="1" wp14:anchorId="782B76C1" wp14:editId="3677BEC7">
                <wp:simplePos x="0" y="0"/>
                <wp:positionH relativeFrom="column">
                  <wp:posOffset>5207000</wp:posOffset>
                </wp:positionH>
                <wp:positionV relativeFrom="paragraph">
                  <wp:posOffset>165100</wp:posOffset>
                </wp:positionV>
                <wp:extent cx="828675" cy="609600"/>
                <wp:effectExtent l="0" t="0" r="0" b="0"/>
                <wp:wrapNone/>
                <wp:docPr id="30" name="Rectángulo 30"/>
                <wp:cNvGraphicFramePr/>
                <a:graphic xmlns:a="http://schemas.openxmlformats.org/drawingml/2006/main">
                  <a:graphicData uri="http://schemas.microsoft.com/office/word/2010/wordprocessingShape">
                    <wps:wsp>
                      <wps:cNvSpPr/>
                      <wps:spPr>
                        <a:xfrm>
                          <a:off x="4936425" y="3479963"/>
                          <a:ext cx="819150" cy="600075"/>
                        </a:xfrm>
                        <a:prstGeom prst="rect">
                          <a:avLst/>
                        </a:prstGeom>
                        <a:solidFill>
                          <a:schemeClr val="lt1"/>
                        </a:solidFill>
                        <a:ln w="9525" cap="flat" cmpd="sng">
                          <a:solidFill>
                            <a:schemeClr val="dk1"/>
                          </a:solidFill>
                          <a:prstDash val="solid"/>
                          <a:round/>
                          <a:headEnd type="none" w="sm" len="sm"/>
                          <a:tailEnd type="none" w="sm" len="sm"/>
                        </a:ln>
                      </wps:spPr>
                      <wps:txbx>
                        <w:txbxContent>
                          <w:p w14:paraId="4101D50C" w14:textId="77777777" w:rsidR="00FE161E" w:rsidRDefault="0068353D">
                            <w:pPr>
                              <w:jc w:val="center"/>
                              <w:textDirection w:val="btLr"/>
                            </w:pPr>
                            <w:r>
                              <w:rPr>
                                <w:rFonts w:ascii="Palatino Linotype" w:eastAsia="Palatino Linotype" w:hAnsi="Palatino Linotype" w:cs="Palatino Linotype"/>
                                <w:color w:val="000000"/>
                                <w:sz w:val="20"/>
                              </w:rPr>
                              <w:t>Aquí se encuentra Costco</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5207000</wp:posOffset>
                </wp:positionH>
                <wp:positionV relativeFrom="paragraph">
                  <wp:posOffset>165100</wp:posOffset>
                </wp:positionV>
                <wp:extent cx="828675" cy="609600"/>
                <wp:effectExtent b="0" l="0" r="0" t="0"/>
                <wp:wrapNone/>
                <wp:docPr id="30"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828675" cy="609600"/>
                        </a:xfrm>
                        <a:prstGeom prst="rect"/>
                        <a:ln/>
                      </pic:spPr>
                    </pic:pic>
                  </a:graphicData>
                </a:graphic>
              </wp:anchor>
            </w:drawing>
          </mc:Fallback>
        </mc:AlternateContent>
      </w:r>
      <w:r w:rsidRPr="002F17DA">
        <w:rPr>
          <w:noProof/>
        </w:rPr>
        <mc:AlternateContent>
          <mc:Choice Requires="wpg">
            <w:drawing>
              <wp:anchor distT="0" distB="0" distL="114300" distR="114300" simplePos="0" relativeHeight="251662336" behindDoc="0" locked="0" layoutInCell="1" hidden="0" allowOverlap="1" wp14:anchorId="2ADEAB17" wp14:editId="3B56602E">
                <wp:simplePos x="0" y="0"/>
                <wp:positionH relativeFrom="column">
                  <wp:posOffset>190500</wp:posOffset>
                </wp:positionH>
                <wp:positionV relativeFrom="paragraph">
                  <wp:posOffset>0</wp:posOffset>
                </wp:positionV>
                <wp:extent cx="1571625" cy="1409700"/>
                <wp:effectExtent l="0" t="0" r="0" b="0"/>
                <wp:wrapNone/>
                <wp:docPr id="31" name="Rectángulo 31"/>
                <wp:cNvGraphicFramePr/>
                <a:graphic xmlns:a="http://schemas.openxmlformats.org/drawingml/2006/main">
                  <a:graphicData uri="http://schemas.microsoft.com/office/word/2010/wordprocessingShape">
                    <wps:wsp>
                      <wps:cNvSpPr/>
                      <wps:spPr>
                        <a:xfrm>
                          <a:off x="4564950" y="3079913"/>
                          <a:ext cx="1562100" cy="1400175"/>
                        </a:xfrm>
                        <a:prstGeom prst="rect">
                          <a:avLst/>
                        </a:prstGeom>
                        <a:solidFill>
                          <a:schemeClr val="lt1"/>
                        </a:solidFill>
                        <a:ln w="9525" cap="flat" cmpd="sng">
                          <a:solidFill>
                            <a:schemeClr val="dk1"/>
                          </a:solidFill>
                          <a:prstDash val="solid"/>
                          <a:round/>
                          <a:headEnd type="none" w="sm" len="sm"/>
                          <a:tailEnd type="none" w="sm" len="sm"/>
                        </a:ln>
                      </wps:spPr>
                      <wps:txbx>
                        <w:txbxContent>
                          <w:p w14:paraId="6C882F05" w14:textId="77777777" w:rsidR="00FE161E" w:rsidRDefault="0068353D">
                            <w:pPr>
                              <w:jc w:val="center"/>
                              <w:textDirection w:val="btLr"/>
                            </w:pPr>
                            <w:r>
                              <w:rPr>
                                <w:rFonts w:ascii="Palatino Linotype" w:eastAsia="Palatino Linotype" w:hAnsi="Palatino Linotype" w:cs="Palatino Linotype"/>
                                <w:color w:val="000000"/>
                                <w:sz w:val="17"/>
                              </w:rPr>
                              <w:t>Aquí es la continuación de la vialidad referida por el particular, donde se están llevando a cabo los trabajos para conectar ambas estructuras de la plaza con motivo del proyecto de ampliación de Galerías Metepec</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1571625" cy="1409700"/>
                <wp:effectExtent b="0" l="0" r="0" t="0"/>
                <wp:wrapNone/>
                <wp:docPr id="3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571625" cy="1409700"/>
                        </a:xfrm>
                        <a:prstGeom prst="rect"/>
                        <a:ln/>
                      </pic:spPr>
                    </pic:pic>
                  </a:graphicData>
                </a:graphic>
              </wp:anchor>
            </w:drawing>
          </mc:Fallback>
        </mc:AlternateContent>
      </w:r>
      <w:r w:rsidRPr="002F17DA">
        <w:rPr>
          <w:noProof/>
        </w:rPr>
        <mc:AlternateContent>
          <mc:Choice Requires="wpg">
            <w:drawing>
              <wp:anchor distT="0" distB="0" distL="114300" distR="114300" simplePos="0" relativeHeight="251663360" behindDoc="0" locked="0" layoutInCell="1" hidden="0" allowOverlap="1" wp14:anchorId="7BB4A1D8" wp14:editId="5BB1D334">
                <wp:simplePos x="0" y="0"/>
                <wp:positionH relativeFrom="column">
                  <wp:posOffset>4584700</wp:posOffset>
                </wp:positionH>
                <wp:positionV relativeFrom="paragraph">
                  <wp:posOffset>2743200</wp:posOffset>
                </wp:positionV>
                <wp:extent cx="463550" cy="444500"/>
                <wp:effectExtent l="0" t="0" r="0" b="0"/>
                <wp:wrapNone/>
                <wp:docPr id="29" name="Conector recto de flecha 29"/>
                <wp:cNvGraphicFramePr/>
                <a:graphic xmlns:a="http://schemas.openxmlformats.org/drawingml/2006/main">
                  <a:graphicData uri="http://schemas.microsoft.com/office/word/2010/wordprocessingShape">
                    <wps:wsp>
                      <wps:cNvCnPr/>
                      <wps:spPr>
                        <a:xfrm rot="10800000" flipH="1">
                          <a:off x="5126925" y="3570450"/>
                          <a:ext cx="438150" cy="419100"/>
                        </a:xfrm>
                        <a:prstGeom prst="straightConnector1">
                          <a:avLst/>
                        </a:prstGeom>
                        <a:noFill/>
                        <a:ln w="25400" cap="flat" cmpd="sng">
                          <a:solidFill>
                            <a:schemeClr val="accent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4584700</wp:posOffset>
                </wp:positionH>
                <wp:positionV relativeFrom="paragraph">
                  <wp:posOffset>2743200</wp:posOffset>
                </wp:positionV>
                <wp:extent cx="463550" cy="444500"/>
                <wp:effectExtent b="0" l="0" r="0" t="0"/>
                <wp:wrapNone/>
                <wp:docPr id="29"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463550" cy="444500"/>
                        </a:xfrm>
                        <a:prstGeom prst="rect"/>
                        <a:ln/>
                      </pic:spPr>
                    </pic:pic>
                  </a:graphicData>
                </a:graphic>
              </wp:anchor>
            </w:drawing>
          </mc:Fallback>
        </mc:AlternateContent>
      </w:r>
      <w:r w:rsidRPr="002F17DA">
        <w:rPr>
          <w:noProof/>
        </w:rPr>
        <mc:AlternateContent>
          <mc:Choice Requires="wpg">
            <w:drawing>
              <wp:anchor distT="0" distB="0" distL="114300" distR="114300" simplePos="0" relativeHeight="251664384" behindDoc="0" locked="0" layoutInCell="1" hidden="0" allowOverlap="1" wp14:anchorId="500055C5" wp14:editId="37E74547">
                <wp:simplePos x="0" y="0"/>
                <wp:positionH relativeFrom="column">
                  <wp:posOffset>1257300</wp:posOffset>
                </wp:positionH>
                <wp:positionV relativeFrom="paragraph">
                  <wp:posOffset>1600200</wp:posOffset>
                </wp:positionV>
                <wp:extent cx="1635125" cy="415925"/>
                <wp:effectExtent l="0" t="0" r="0" b="0"/>
                <wp:wrapNone/>
                <wp:docPr id="34" name="Elipse 34"/>
                <wp:cNvGraphicFramePr/>
                <a:graphic xmlns:a="http://schemas.openxmlformats.org/drawingml/2006/main">
                  <a:graphicData uri="http://schemas.microsoft.com/office/word/2010/wordprocessingShape">
                    <wps:wsp>
                      <wps:cNvSpPr/>
                      <wps:spPr>
                        <a:xfrm>
                          <a:off x="4541138" y="3584738"/>
                          <a:ext cx="1609725" cy="390525"/>
                        </a:xfrm>
                        <a:prstGeom prst="ellipse">
                          <a:avLst/>
                        </a:prstGeom>
                        <a:noFill/>
                        <a:ln w="25400" cap="flat" cmpd="sng">
                          <a:solidFill>
                            <a:schemeClr val="accent2"/>
                          </a:solidFill>
                          <a:prstDash val="solid"/>
                          <a:round/>
                          <a:headEnd type="none" w="sm" len="sm"/>
                          <a:tailEnd type="none" w="sm" len="sm"/>
                        </a:ln>
                      </wps:spPr>
                      <wps:txbx>
                        <w:txbxContent>
                          <w:p w14:paraId="47247280" w14:textId="77777777" w:rsidR="00FE161E" w:rsidRDefault="00FE161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1257300</wp:posOffset>
                </wp:positionH>
                <wp:positionV relativeFrom="paragraph">
                  <wp:posOffset>1600200</wp:posOffset>
                </wp:positionV>
                <wp:extent cx="1635125" cy="415925"/>
                <wp:effectExtent b="0" l="0" r="0" t="0"/>
                <wp:wrapNone/>
                <wp:docPr id="34"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635125" cy="415925"/>
                        </a:xfrm>
                        <a:prstGeom prst="rect"/>
                        <a:ln/>
                      </pic:spPr>
                    </pic:pic>
                  </a:graphicData>
                </a:graphic>
              </wp:anchor>
            </w:drawing>
          </mc:Fallback>
        </mc:AlternateContent>
      </w:r>
      <w:r w:rsidRPr="002F17DA">
        <w:rPr>
          <w:noProof/>
        </w:rPr>
        <mc:AlternateContent>
          <mc:Choice Requires="wpg">
            <w:drawing>
              <wp:anchor distT="0" distB="0" distL="114300" distR="114300" simplePos="0" relativeHeight="251665408" behindDoc="0" locked="0" layoutInCell="1" hidden="0" allowOverlap="1" wp14:anchorId="3E597F0C" wp14:editId="0A6BC96D">
                <wp:simplePos x="0" y="0"/>
                <wp:positionH relativeFrom="column">
                  <wp:posOffset>1562100</wp:posOffset>
                </wp:positionH>
                <wp:positionV relativeFrom="paragraph">
                  <wp:posOffset>1130300</wp:posOffset>
                </wp:positionV>
                <wp:extent cx="549275" cy="635000"/>
                <wp:effectExtent l="0" t="0" r="0" b="0"/>
                <wp:wrapNone/>
                <wp:docPr id="35" name="Conector recto de flecha 35"/>
                <wp:cNvGraphicFramePr/>
                <a:graphic xmlns:a="http://schemas.openxmlformats.org/drawingml/2006/main">
                  <a:graphicData uri="http://schemas.microsoft.com/office/word/2010/wordprocessingShape">
                    <wps:wsp>
                      <wps:cNvCnPr/>
                      <wps:spPr>
                        <a:xfrm>
                          <a:off x="5084063" y="3475200"/>
                          <a:ext cx="523875" cy="609600"/>
                        </a:xfrm>
                        <a:prstGeom prst="straightConnector1">
                          <a:avLst/>
                        </a:prstGeom>
                        <a:noFill/>
                        <a:ln w="25400" cap="flat" cmpd="sng">
                          <a:solidFill>
                            <a:schemeClr val="accent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1562100</wp:posOffset>
                </wp:positionH>
                <wp:positionV relativeFrom="paragraph">
                  <wp:posOffset>1130300</wp:posOffset>
                </wp:positionV>
                <wp:extent cx="549275" cy="635000"/>
                <wp:effectExtent b="0" l="0" r="0" t="0"/>
                <wp:wrapNone/>
                <wp:docPr id="35"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549275" cy="635000"/>
                        </a:xfrm>
                        <a:prstGeom prst="rect"/>
                        <a:ln/>
                      </pic:spPr>
                    </pic:pic>
                  </a:graphicData>
                </a:graphic>
              </wp:anchor>
            </w:drawing>
          </mc:Fallback>
        </mc:AlternateContent>
      </w:r>
      <w:r w:rsidRPr="002F17DA">
        <w:rPr>
          <w:noProof/>
        </w:rPr>
        <mc:AlternateContent>
          <mc:Choice Requires="wpg">
            <w:drawing>
              <wp:anchor distT="0" distB="0" distL="114300" distR="114300" simplePos="0" relativeHeight="251666432" behindDoc="0" locked="0" layoutInCell="1" hidden="0" allowOverlap="1" wp14:anchorId="641B1ACF" wp14:editId="7EE06A96">
                <wp:simplePos x="0" y="0"/>
                <wp:positionH relativeFrom="column">
                  <wp:posOffset>825500</wp:posOffset>
                </wp:positionH>
                <wp:positionV relativeFrom="paragraph">
                  <wp:posOffset>3556000</wp:posOffset>
                </wp:positionV>
                <wp:extent cx="330200" cy="644525"/>
                <wp:effectExtent l="0" t="0" r="0" b="0"/>
                <wp:wrapNone/>
                <wp:docPr id="28" name="Conector recto de flecha 28"/>
                <wp:cNvGraphicFramePr/>
                <a:graphic xmlns:a="http://schemas.openxmlformats.org/drawingml/2006/main">
                  <a:graphicData uri="http://schemas.microsoft.com/office/word/2010/wordprocessingShape">
                    <wps:wsp>
                      <wps:cNvCnPr/>
                      <wps:spPr>
                        <a:xfrm>
                          <a:off x="5193600" y="3470438"/>
                          <a:ext cx="304800" cy="619125"/>
                        </a:xfrm>
                        <a:prstGeom prst="straightConnector1">
                          <a:avLst/>
                        </a:prstGeom>
                        <a:noFill/>
                        <a:ln w="25400" cap="flat" cmpd="sng">
                          <a:solidFill>
                            <a:schemeClr val="accent1"/>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825500</wp:posOffset>
                </wp:positionH>
                <wp:positionV relativeFrom="paragraph">
                  <wp:posOffset>3556000</wp:posOffset>
                </wp:positionV>
                <wp:extent cx="330200" cy="644525"/>
                <wp:effectExtent b="0" l="0" r="0" t="0"/>
                <wp:wrapNone/>
                <wp:docPr id="28"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330200" cy="644525"/>
                        </a:xfrm>
                        <a:prstGeom prst="rect"/>
                        <a:ln/>
                      </pic:spPr>
                    </pic:pic>
                  </a:graphicData>
                </a:graphic>
              </wp:anchor>
            </w:drawing>
          </mc:Fallback>
        </mc:AlternateContent>
      </w:r>
    </w:p>
    <w:p w14:paraId="48EA30B0"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noProof/>
        </w:rPr>
        <mc:AlternateContent>
          <mc:Choice Requires="wpg">
            <w:drawing>
              <wp:anchor distT="0" distB="0" distL="114300" distR="114300" simplePos="0" relativeHeight="251667456" behindDoc="0" locked="0" layoutInCell="1" hidden="0" allowOverlap="1" wp14:anchorId="0265F235" wp14:editId="1C099C85">
                <wp:simplePos x="0" y="0"/>
                <wp:positionH relativeFrom="column">
                  <wp:posOffset>1</wp:posOffset>
                </wp:positionH>
                <wp:positionV relativeFrom="paragraph">
                  <wp:posOffset>76200</wp:posOffset>
                </wp:positionV>
                <wp:extent cx="4981575" cy="638175"/>
                <wp:effectExtent l="0" t="0" r="0" b="0"/>
                <wp:wrapNone/>
                <wp:docPr id="33" name="Rectángulo 33"/>
                <wp:cNvGraphicFramePr/>
                <a:graphic xmlns:a="http://schemas.openxmlformats.org/drawingml/2006/main">
                  <a:graphicData uri="http://schemas.microsoft.com/office/word/2010/wordprocessingShape">
                    <wps:wsp>
                      <wps:cNvSpPr/>
                      <wps:spPr>
                        <a:xfrm>
                          <a:off x="2859975" y="3465675"/>
                          <a:ext cx="4972050" cy="628650"/>
                        </a:xfrm>
                        <a:prstGeom prst="rect">
                          <a:avLst/>
                        </a:prstGeom>
                        <a:solidFill>
                          <a:schemeClr val="lt1"/>
                        </a:solidFill>
                        <a:ln w="9525" cap="flat" cmpd="sng">
                          <a:solidFill>
                            <a:schemeClr val="dk1"/>
                          </a:solidFill>
                          <a:prstDash val="solid"/>
                          <a:round/>
                          <a:headEnd type="none" w="sm" len="sm"/>
                          <a:tailEnd type="none" w="sm" len="sm"/>
                        </a:ln>
                      </wps:spPr>
                      <wps:txbx>
                        <w:txbxContent>
                          <w:p w14:paraId="0A6651C1" w14:textId="77777777" w:rsidR="00FE161E" w:rsidRDefault="0068353D">
                            <w:pPr>
                              <w:jc w:val="center"/>
                              <w:textDirection w:val="btLr"/>
                            </w:pPr>
                            <w:r>
                              <w:rPr>
                                <w:rFonts w:ascii="Palatino Linotype" w:eastAsia="Palatino Linotype" w:hAnsi="Palatino Linotype" w:cs="Palatino Linotype"/>
                                <w:color w:val="000000"/>
                                <w:sz w:val="18"/>
                              </w:rPr>
                              <w:t xml:space="preserve">Aquí se encuentra el comienzo de la vialidad referida por el particular, que se localiza por la agencia Toyota  y la gasolinera Hidrosina por Blvd José María Pino Súarez y justo atraviesa Galerías Metepec y el centro comercial Costco y </w:t>
                            </w:r>
                            <w:r>
                              <w:rPr>
                                <w:rFonts w:ascii="Palatino Linotype" w:eastAsia="Palatino Linotype" w:hAnsi="Palatino Linotype" w:cs="Palatino Linotype"/>
                                <w:b/>
                                <w:color w:val="000000"/>
                                <w:sz w:val="18"/>
                                <w:u w:val="single"/>
                              </w:rPr>
                              <w:t>se denomina Paseo Agricultor.</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4981575" cy="638175"/>
                <wp:effectExtent b="0" l="0" r="0" t="0"/>
                <wp:wrapNone/>
                <wp:docPr id="33"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4981575" cy="638175"/>
                        </a:xfrm>
                        <a:prstGeom prst="rect"/>
                        <a:ln/>
                      </pic:spPr>
                    </pic:pic>
                  </a:graphicData>
                </a:graphic>
              </wp:anchor>
            </w:drawing>
          </mc:Fallback>
        </mc:AlternateContent>
      </w:r>
    </w:p>
    <w:p w14:paraId="5B5A9A31"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DDA23DD"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49EBBDC"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899DA51"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De lo anterior, se advierte que la información a la que pretende acceder el particular está relacionada con los trabajos u obras que se están llevando a cabo sobre la vialidad denominada “Paseo El Agricultor”, que a traviesa Galerías Metepec y el centro comercial Costco dentro del Municipio de Metepec, que se encuentra entre la Agencia Toyota y una Gasolinera, con motivo del proyecto de ampliación del centro comercial Galerías Metepec.</w:t>
      </w:r>
    </w:p>
    <w:p w14:paraId="1158FE6A"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E24E9B3"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9262C8E"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88803BA"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503BCA1"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B683FF5"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Se afirma lo anterior, pues del desahogo de la aclaración, por cuanto hace al requerimiento relativo a la obra final de los trabajos que se están llevado a cabo dentro del centro comercial Galerías Metepec, el particular </w:t>
      </w:r>
      <w:r w:rsidRPr="002F17DA">
        <w:rPr>
          <w:rFonts w:ascii="Palatino Linotype" w:eastAsia="Palatino Linotype" w:hAnsi="Palatino Linotype" w:cs="Palatino Linotype"/>
          <w:sz w:val="22"/>
          <w:szCs w:val="22"/>
          <w:u w:val="single"/>
        </w:rPr>
        <w:t>pone como ejemplos: paso a desnivel, puente y reencarpetamiento</w:t>
      </w:r>
      <w:r w:rsidRPr="002F17DA">
        <w:rPr>
          <w:rFonts w:ascii="Palatino Linotype" w:eastAsia="Palatino Linotype" w:hAnsi="Palatino Linotype" w:cs="Palatino Linotype"/>
          <w:sz w:val="22"/>
          <w:szCs w:val="22"/>
        </w:rPr>
        <w:t>; lo cual se relaciona con trabajos que se están ejecutando por parte de una empresa particular con motivo del proyecto de ampliación del centro comercial Galerías Metepec, como a continuación se expondrá:</w:t>
      </w:r>
    </w:p>
    <w:p w14:paraId="196A812F"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5EAA033"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Para mayor comprensión de lo anterior, este Órgano Garante realizó una consulta en medios de difusión, localizando las siguientes notas periodísticas:</w:t>
      </w:r>
    </w:p>
    <w:p w14:paraId="351079E1"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4206CCD" w14:textId="77777777" w:rsidR="00FE161E" w:rsidRPr="002F17DA" w:rsidRDefault="0068353D">
      <w:pPr>
        <w:spacing w:line="360" w:lineRule="auto"/>
        <w:ind w:right="141"/>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La nota periodística del 13 de marzo de 2023, localizable en el siguiente enlace: </w:t>
      </w:r>
      <w:hyperlink r:id="rId20">
        <w:r w:rsidRPr="002F17DA">
          <w:rPr>
            <w:rFonts w:ascii="Palatino Linotype" w:eastAsia="Palatino Linotype" w:hAnsi="Palatino Linotype" w:cs="Palatino Linotype"/>
            <w:sz w:val="22"/>
            <w:szCs w:val="22"/>
            <w:u w:val="single"/>
          </w:rPr>
          <w:t>https://mvsnoticias.com/nacional/estados/2023/3/13/malltertainment-galerias-metepec-conoce-como-sera-cuando-se-inaugurara-585819.html</w:t>
        </w:r>
      </w:hyperlink>
      <w:r w:rsidRPr="002F17DA">
        <w:rPr>
          <w:rFonts w:ascii="Palatino Linotype" w:eastAsia="Palatino Linotype" w:hAnsi="Palatino Linotype" w:cs="Palatino Linotype"/>
          <w:sz w:val="22"/>
          <w:szCs w:val="22"/>
        </w:rPr>
        <w:t>, que indica lo siguiente:</w:t>
      </w:r>
    </w:p>
    <w:p w14:paraId="7AFAD9EC" w14:textId="77777777" w:rsidR="00FE161E" w:rsidRPr="002F17DA" w:rsidRDefault="00FE161E">
      <w:pPr>
        <w:spacing w:line="360" w:lineRule="auto"/>
        <w:ind w:right="141"/>
        <w:jc w:val="both"/>
        <w:rPr>
          <w:rFonts w:ascii="Palatino Linotype" w:eastAsia="Palatino Linotype" w:hAnsi="Palatino Linotype" w:cs="Palatino Linotype"/>
          <w:sz w:val="22"/>
          <w:szCs w:val="22"/>
        </w:rPr>
      </w:pPr>
    </w:p>
    <w:p w14:paraId="048730B1" w14:textId="77777777" w:rsidR="00FE161E" w:rsidRPr="002F17DA" w:rsidRDefault="0068353D">
      <w:pPr>
        <w:spacing w:line="360" w:lineRule="auto"/>
        <w:ind w:right="141"/>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noProof/>
          <w:sz w:val="22"/>
          <w:szCs w:val="22"/>
        </w:rPr>
        <w:drawing>
          <wp:inline distT="0" distB="0" distL="0" distR="0" wp14:anchorId="37C655D0" wp14:editId="4ED6DF95">
            <wp:extent cx="5612130" cy="695325"/>
            <wp:effectExtent l="3175" t="3175" r="3175" b="3175"/>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b="66624"/>
                    <a:stretch>
                      <a:fillRect/>
                    </a:stretch>
                  </pic:blipFill>
                  <pic:spPr>
                    <a:xfrm>
                      <a:off x="0" y="0"/>
                      <a:ext cx="5612130" cy="695325"/>
                    </a:xfrm>
                    <a:prstGeom prst="rect">
                      <a:avLst/>
                    </a:prstGeom>
                    <a:ln w="3175">
                      <a:solidFill>
                        <a:srgbClr val="000000"/>
                      </a:solidFill>
                      <a:prstDash val="solid"/>
                    </a:ln>
                  </pic:spPr>
                </pic:pic>
              </a:graphicData>
            </a:graphic>
          </wp:inline>
        </w:drawing>
      </w:r>
    </w:p>
    <w:p w14:paraId="5163B6D0" w14:textId="77777777" w:rsidR="00FE161E" w:rsidRPr="002F17DA" w:rsidRDefault="0068353D">
      <w:pPr>
        <w:spacing w:line="360" w:lineRule="auto"/>
        <w:ind w:right="141"/>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noProof/>
          <w:sz w:val="22"/>
          <w:szCs w:val="22"/>
        </w:rPr>
        <w:drawing>
          <wp:inline distT="0" distB="0" distL="0" distR="0" wp14:anchorId="244C3ADC" wp14:editId="1B7ADAB2">
            <wp:extent cx="5612130" cy="2181225"/>
            <wp:effectExtent l="3175" t="3175" r="3175" b="3175"/>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t="38939"/>
                    <a:stretch>
                      <a:fillRect/>
                    </a:stretch>
                  </pic:blipFill>
                  <pic:spPr>
                    <a:xfrm>
                      <a:off x="0" y="0"/>
                      <a:ext cx="5612130" cy="2181225"/>
                    </a:xfrm>
                    <a:prstGeom prst="rect">
                      <a:avLst/>
                    </a:prstGeom>
                    <a:ln w="3175">
                      <a:solidFill>
                        <a:srgbClr val="000000"/>
                      </a:solidFill>
                      <a:prstDash val="solid"/>
                    </a:ln>
                  </pic:spPr>
                </pic:pic>
              </a:graphicData>
            </a:graphic>
          </wp:inline>
        </w:drawing>
      </w:r>
    </w:p>
    <w:p w14:paraId="79693275" w14:textId="77777777" w:rsidR="00FE161E" w:rsidRPr="002F17DA" w:rsidRDefault="0068353D">
      <w:pPr>
        <w:spacing w:line="360" w:lineRule="auto"/>
        <w:ind w:right="141"/>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noProof/>
          <w:sz w:val="22"/>
          <w:szCs w:val="22"/>
        </w:rPr>
        <w:lastRenderedPageBreak/>
        <w:drawing>
          <wp:inline distT="0" distB="0" distL="0" distR="0" wp14:anchorId="5324B129" wp14:editId="41AD4B36">
            <wp:extent cx="5612130" cy="691515"/>
            <wp:effectExtent l="3175" t="3175" r="3175" b="3175"/>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612130" cy="691515"/>
                    </a:xfrm>
                    <a:prstGeom prst="rect">
                      <a:avLst/>
                    </a:prstGeom>
                    <a:ln w="3175">
                      <a:solidFill>
                        <a:srgbClr val="000000"/>
                      </a:solidFill>
                      <a:prstDash val="solid"/>
                    </a:ln>
                  </pic:spPr>
                </pic:pic>
              </a:graphicData>
            </a:graphic>
          </wp:inline>
        </w:drawing>
      </w:r>
    </w:p>
    <w:p w14:paraId="53C1BE18" w14:textId="77777777" w:rsidR="00FE161E" w:rsidRPr="002F17DA" w:rsidRDefault="00FE161E">
      <w:pPr>
        <w:spacing w:line="360" w:lineRule="auto"/>
        <w:ind w:right="141"/>
        <w:jc w:val="both"/>
        <w:rPr>
          <w:rFonts w:ascii="Palatino Linotype" w:eastAsia="Palatino Linotype" w:hAnsi="Palatino Linotype" w:cs="Palatino Linotype"/>
          <w:sz w:val="22"/>
          <w:szCs w:val="22"/>
        </w:rPr>
      </w:pPr>
    </w:p>
    <w:p w14:paraId="4AA687D8"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Así como, la nota periodística del 18 de febrero de 2024, localizable en el siguiente enlace: </w:t>
      </w:r>
      <w:hyperlink r:id="rId23">
        <w:r w:rsidRPr="002F17DA">
          <w:rPr>
            <w:rFonts w:ascii="Palatino Linotype" w:eastAsia="Palatino Linotype" w:hAnsi="Palatino Linotype" w:cs="Palatino Linotype"/>
            <w:sz w:val="22"/>
            <w:szCs w:val="22"/>
            <w:u w:val="single"/>
          </w:rPr>
          <w:t>https://lajornadaestadodemexico.com/metepec-cerraran-vialidad-en-zona-comercial-por-6-meses/</w:t>
        </w:r>
      </w:hyperlink>
      <w:r w:rsidRPr="002F17DA">
        <w:rPr>
          <w:rFonts w:ascii="Palatino Linotype" w:eastAsia="Palatino Linotype" w:hAnsi="Palatino Linotype" w:cs="Palatino Linotype"/>
          <w:sz w:val="22"/>
          <w:szCs w:val="22"/>
        </w:rPr>
        <w:t>, en la que se advierte lo siguiente:</w:t>
      </w:r>
    </w:p>
    <w:p w14:paraId="71B63D3C"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75829D8"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noProof/>
          <w:sz w:val="22"/>
          <w:szCs w:val="22"/>
        </w:rPr>
        <w:drawing>
          <wp:inline distT="0" distB="0" distL="0" distR="0" wp14:anchorId="302B1DE0" wp14:editId="0125EA41">
            <wp:extent cx="5612130" cy="1524000"/>
            <wp:effectExtent l="3175" t="3175" r="3175" b="3175"/>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b="40893"/>
                    <a:stretch>
                      <a:fillRect/>
                    </a:stretch>
                  </pic:blipFill>
                  <pic:spPr>
                    <a:xfrm>
                      <a:off x="0" y="0"/>
                      <a:ext cx="5612130" cy="1524000"/>
                    </a:xfrm>
                    <a:prstGeom prst="rect">
                      <a:avLst/>
                    </a:prstGeom>
                    <a:ln w="3175">
                      <a:solidFill>
                        <a:srgbClr val="000000"/>
                      </a:solidFill>
                      <a:prstDash val="solid"/>
                    </a:ln>
                  </pic:spPr>
                </pic:pic>
              </a:graphicData>
            </a:graphic>
          </wp:inline>
        </w:drawing>
      </w:r>
    </w:p>
    <w:p w14:paraId="0C4A37D6" w14:textId="77777777" w:rsidR="00FE161E" w:rsidRPr="002F17DA" w:rsidRDefault="0068353D">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w:t>
      </w:r>
    </w:p>
    <w:p w14:paraId="164CC3AB" w14:textId="77777777" w:rsidR="00FE161E" w:rsidRPr="002F17DA" w:rsidRDefault="0068353D">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2F17DA">
        <w:rPr>
          <w:rFonts w:ascii="Palatino Linotype" w:eastAsia="Palatino Linotype" w:hAnsi="Palatino Linotype" w:cs="Palatino Linotype"/>
          <w:noProof/>
          <w:sz w:val="22"/>
          <w:szCs w:val="22"/>
        </w:rPr>
        <w:drawing>
          <wp:inline distT="0" distB="0" distL="0" distR="0" wp14:anchorId="269864DB" wp14:editId="3F61E39A">
            <wp:extent cx="5612130" cy="1143000"/>
            <wp:effectExtent l="3175" t="3175" r="3175" b="3175"/>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612130" cy="1143000"/>
                    </a:xfrm>
                    <a:prstGeom prst="rect">
                      <a:avLst/>
                    </a:prstGeom>
                    <a:ln w="3175">
                      <a:solidFill>
                        <a:srgbClr val="000000"/>
                      </a:solidFill>
                      <a:prstDash val="solid"/>
                    </a:ln>
                  </pic:spPr>
                </pic:pic>
              </a:graphicData>
            </a:graphic>
          </wp:inline>
        </w:drawing>
      </w:r>
    </w:p>
    <w:p w14:paraId="19FB3012" w14:textId="77777777" w:rsidR="00FE161E" w:rsidRPr="002F17DA" w:rsidRDefault="0068353D">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w:t>
      </w:r>
    </w:p>
    <w:p w14:paraId="546FD7D0"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noProof/>
          <w:sz w:val="22"/>
          <w:szCs w:val="22"/>
        </w:rPr>
        <w:drawing>
          <wp:inline distT="0" distB="0" distL="0" distR="0" wp14:anchorId="29655936" wp14:editId="301C28B6">
            <wp:extent cx="5612130" cy="1720215"/>
            <wp:effectExtent l="3175" t="3175" r="3175" b="3175"/>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612130" cy="1720215"/>
                    </a:xfrm>
                    <a:prstGeom prst="rect">
                      <a:avLst/>
                    </a:prstGeom>
                    <a:ln w="3175">
                      <a:solidFill>
                        <a:srgbClr val="000000"/>
                      </a:solidFill>
                      <a:prstDash val="solid"/>
                    </a:ln>
                  </pic:spPr>
                </pic:pic>
              </a:graphicData>
            </a:graphic>
          </wp:inline>
        </w:drawing>
      </w:r>
    </w:p>
    <w:p w14:paraId="61B72605"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A3A7764"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De las notas periodísticas insertas, se desprende lo siguiente:</w:t>
      </w:r>
    </w:p>
    <w:p w14:paraId="40030E8C"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051D4D2" w14:textId="77777777" w:rsidR="00FE161E" w:rsidRPr="002F17DA" w:rsidRDefault="0068353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Que en  la vialidad a la que hace referencia el particular en su solicitud de información –</w:t>
      </w:r>
      <w:r w:rsidRPr="002F17DA">
        <w:rPr>
          <w:rFonts w:ascii="Palatino Linotype" w:eastAsia="Palatino Linotype" w:hAnsi="Palatino Linotype" w:cs="Palatino Linotype"/>
          <w:b/>
          <w:sz w:val="22"/>
          <w:szCs w:val="22"/>
        </w:rPr>
        <w:t>Paseo Agricultor</w:t>
      </w:r>
      <w:r w:rsidRPr="002F17DA">
        <w:rPr>
          <w:rFonts w:ascii="Palatino Linotype" w:eastAsia="Palatino Linotype" w:hAnsi="Palatino Linotype" w:cs="Palatino Linotype"/>
          <w:sz w:val="22"/>
          <w:szCs w:val="22"/>
        </w:rPr>
        <w:t xml:space="preserve">- se pretende construir un paso a desnivel para unir las dos estructuras de la Plaza Galerías Metepec, con motivo del proyecto de ampliación, el cual ha sido aprobado tanto por el Gobierno de la Entidad como por el Gobierno Municipal de Metepec, y que está ejecutando una empresa privada denominada </w:t>
      </w:r>
      <w:r w:rsidRPr="002F17DA">
        <w:rPr>
          <w:rFonts w:ascii="Palatino Linotype" w:eastAsia="Palatino Linotype" w:hAnsi="Palatino Linotype" w:cs="Palatino Linotype"/>
          <w:b/>
          <w:sz w:val="22"/>
          <w:szCs w:val="22"/>
        </w:rPr>
        <w:t>Grupo Gicsa.</w:t>
      </w:r>
    </w:p>
    <w:p w14:paraId="6E5E4C76"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2A83258" w14:textId="77777777" w:rsidR="00FE161E" w:rsidRPr="002F17DA" w:rsidRDefault="0068353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Que la intención es cerrar esa vialidad –Paseo Agricultor- que pasa entre Galerías Metepec y el Costco aproximadamente 6 meses </w:t>
      </w:r>
      <w:r w:rsidRPr="002F17DA">
        <w:rPr>
          <w:rFonts w:ascii="Palatino Linotype" w:eastAsia="Palatino Linotype" w:hAnsi="Palatino Linotype" w:cs="Palatino Linotype"/>
          <w:b/>
          <w:sz w:val="22"/>
          <w:szCs w:val="22"/>
          <w:u w:val="single"/>
        </w:rPr>
        <w:t>para hacer un paso a desnivel o un paso deprimido</w:t>
      </w:r>
      <w:r w:rsidRPr="002F17DA">
        <w:rPr>
          <w:rFonts w:ascii="Palatino Linotype" w:eastAsia="Palatino Linotype" w:hAnsi="Palatino Linotype" w:cs="Palatino Linotype"/>
          <w:sz w:val="22"/>
          <w:szCs w:val="22"/>
        </w:rPr>
        <w:t>, porque en el proyecto de ampliación una plaza se conecta con la otra estructura.</w:t>
      </w:r>
    </w:p>
    <w:p w14:paraId="79A02DF6"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11027F6" w14:textId="77777777" w:rsidR="00FE161E" w:rsidRPr="002F17DA" w:rsidRDefault="0068353D">
      <w:pPr>
        <w:spacing w:line="360" w:lineRule="auto"/>
        <w:ind w:right="-93"/>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2F17DA">
        <w:rPr>
          <w:rFonts w:ascii="Palatino Linotype" w:eastAsia="Palatino Linotype" w:hAnsi="Palatino Linotype" w:cs="Palatino Linotype"/>
          <w:b/>
          <w:i/>
          <w:sz w:val="22"/>
          <w:szCs w:val="22"/>
        </w:rPr>
        <w:t>“NOTAS PERIODISTICAS, EL CONOCIMIENTO QUE DE ELLAS SE OBTIENE NO CONSTITUYE ‘UN HECHO PUBLICO Y NOTORIO’”</w:t>
      </w:r>
      <w:r w:rsidRPr="002F17DA">
        <w:rPr>
          <w:rFonts w:ascii="Palatino Linotype" w:eastAsia="Palatino Linotype" w:hAnsi="Palatino Linotype" w:cs="Palatino Linotype"/>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33D9C9EE" w14:textId="77777777" w:rsidR="00FE161E" w:rsidRPr="002F17DA" w:rsidRDefault="00FE161E">
      <w:pPr>
        <w:spacing w:line="360" w:lineRule="auto"/>
        <w:ind w:right="-93"/>
        <w:jc w:val="both"/>
        <w:rPr>
          <w:rFonts w:ascii="Palatino Linotype" w:eastAsia="Palatino Linotype" w:hAnsi="Palatino Linotype" w:cs="Palatino Linotype"/>
          <w:sz w:val="22"/>
          <w:szCs w:val="22"/>
        </w:rPr>
      </w:pPr>
    </w:p>
    <w:p w14:paraId="452486D4" w14:textId="77777777" w:rsidR="00FE161E" w:rsidRPr="002F17DA" w:rsidRDefault="0068353D">
      <w:pPr>
        <w:spacing w:line="360" w:lineRule="auto"/>
        <w:ind w:right="-93"/>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lastRenderedPageBreak/>
        <w:t xml:space="preserve">De tal situación, si bien lo consignado en las notas periodísticas no constituye un hecho público o notorio, sino una opinión de su autor, las mismas se toman como </w:t>
      </w:r>
      <w:r w:rsidRPr="002F17DA">
        <w:rPr>
          <w:rFonts w:ascii="Palatino Linotype" w:eastAsia="Palatino Linotype" w:hAnsi="Palatino Linotype" w:cs="Palatino Linotype"/>
          <w:b/>
          <w:sz w:val="22"/>
          <w:szCs w:val="22"/>
        </w:rPr>
        <w:t xml:space="preserve">indicios, </w:t>
      </w:r>
      <w:r w:rsidRPr="002F17DA">
        <w:rPr>
          <w:rFonts w:ascii="Palatino Linotype" w:eastAsia="Palatino Linotype" w:hAnsi="Palatino Linotype" w:cs="Palatino Linotype"/>
          <w:sz w:val="22"/>
          <w:szCs w:val="22"/>
        </w:rPr>
        <w:t>que permiten observar que la información a la que pretende acceder el particular se relaciona con un proyecto efectuado por una empresa particular para la ampliación de un centro comercial.</w:t>
      </w:r>
    </w:p>
    <w:p w14:paraId="255544EA"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53418CF0"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Bajo ese contexto, se tiene que el particular, sobre la obra y/o trabajos que se están llevando a cabo sobre la vialidad “Paseo Agricultor” que</w:t>
      </w:r>
      <w:r w:rsidRPr="002F17DA">
        <w:t xml:space="preserve"> </w:t>
      </w:r>
      <w:r w:rsidRPr="002F17DA">
        <w:rPr>
          <w:rFonts w:ascii="Palatino Linotype" w:eastAsia="Palatino Linotype" w:hAnsi="Palatino Linotype" w:cs="Palatino Linotype"/>
          <w:sz w:val="22"/>
          <w:szCs w:val="22"/>
        </w:rPr>
        <w:t xml:space="preserve">cruza al lado de Galerías Metepec y los supermercados al costado como Costco en el Municipio de Metepec, y que se relaciona con el proyecto de ampliación de Galerias Metepec ejecutado por la empresa privada denominada </w:t>
      </w:r>
      <w:r w:rsidRPr="002F17DA">
        <w:rPr>
          <w:rFonts w:ascii="Palatino Linotype" w:eastAsia="Palatino Linotype" w:hAnsi="Palatino Linotype" w:cs="Palatino Linotype"/>
          <w:b/>
          <w:sz w:val="22"/>
          <w:szCs w:val="22"/>
        </w:rPr>
        <w:t>Grupo Gicsa</w:t>
      </w:r>
      <w:r w:rsidRPr="002F17DA">
        <w:rPr>
          <w:rFonts w:ascii="Palatino Linotype" w:eastAsia="Palatino Linotype" w:hAnsi="Palatino Linotype" w:cs="Palatino Linotype"/>
          <w:sz w:val="22"/>
          <w:szCs w:val="22"/>
        </w:rPr>
        <w:t>, pretende acceder a la siguiente información:</w:t>
      </w:r>
    </w:p>
    <w:p w14:paraId="14C8BB6A"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3CA9E62" w14:textId="77777777" w:rsidR="00FE161E" w:rsidRPr="002F17DA" w:rsidRDefault="0068353D">
      <w:pPr>
        <w:numPr>
          <w:ilvl w:val="0"/>
          <w:numId w:val="4"/>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Documento que indique el tipo de inversión: pública o privada.</w:t>
      </w:r>
    </w:p>
    <w:p w14:paraId="3F2AFD61" w14:textId="77777777" w:rsidR="00FE161E" w:rsidRPr="002F17DA" w:rsidRDefault="0068353D">
      <w:pPr>
        <w:numPr>
          <w:ilvl w:val="0"/>
          <w:numId w:val="4"/>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Documento donde conste el monto de la inversión realizada.</w:t>
      </w:r>
    </w:p>
    <w:p w14:paraId="6F473BBE" w14:textId="77777777" w:rsidR="00FE161E" w:rsidRPr="002F17DA" w:rsidRDefault="0068353D">
      <w:pPr>
        <w:numPr>
          <w:ilvl w:val="0"/>
          <w:numId w:val="4"/>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Contratos celebrados para su realización.</w:t>
      </w:r>
    </w:p>
    <w:p w14:paraId="1ACBC922" w14:textId="77777777" w:rsidR="00FE161E" w:rsidRPr="002F17DA" w:rsidRDefault="0068353D">
      <w:pPr>
        <w:numPr>
          <w:ilvl w:val="0"/>
          <w:numId w:val="4"/>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Documento que contenga la justificación de los trabajos (estudio de factibilidad o el proyecto).</w:t>
      </w:r>
    </w:p>
    <w:p w14:paraId="16EFE06A" w14:textId="77777777" w:rsidR="00FE161E" w:rsidRPr="002F17DA" w:rsidRDefault="0068353D">
      <w:pPr>
        <w:numPr>
          <w:ilvl w:val="0"/>
          <w:numId w:val="4"/>
        </w:numPr>
        <w:pBdr>
          <w:top w:val="nil"/>
          <w:left w:val="nil"/>
          <w:bottom w:val="nil"/>
          <w:right w:val="nil"/>
          <w:between w:val="nil"/>
        </w:pBdr>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Documento donde conste la obra final (ejemplo: paso a desnivel, puente, reencarpetamiento, etc).</w:t>
      </w:r>
    </w:p>
    <w:p w14:paraId="0B810BCB" w14:textId="77777777" w:rsidR="00FE161E" w:rsidRPr="002F17DA" w:rsidRDefault="0068353D">
      <w:pPr>
        <w:numPr>
          <w:ilvl w:val="0"/>
          <w:numId w:val="4"/>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Documento donde conste la extensión y/o cuanto mide la obra.</w:t>
      </w:r>
    </w:p>
    <w:p w14:paraId="70AE1095" w14:textId="77777777" w:rsidR="00FE161E" w:rsidRPr="002F17DA" w:rsidRDefault="0068353D">
      <w:pPr>
        <w:numPr>
          <w:ilvl w:val="0"/>
          <w:numId w:val="4"/>
        </w:numPr>
        <w:pBdr>
          <w:top w:val="nil"/>
          <w:left w:val="nil"/>
          <w:bottom w:val="nil"/>
          <w:right w:val="nil"/>
          <w:between w:val="nil"/>
        </w:pBdr>
        <w:spacing w:line="276" w:lineRule="auto"/>
        <w:ind w:right="-150"/>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Fecha de conclusión.</w:t>
      </w:r>
    </w:p>
    <w:p w14:paraId="60BF19EA" w14:textId="77777777" w:rsidR="00FE161E" w:rsidRPr="002F17DA" w:rsidRDefault="00FE161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E521488" w14:textId="77777777" w:rsidR="00FE161E" w:rsidRPr="002F17DA" w:rsidRDefault="0068353D">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sz w:val="22"/>
          <w:szCs w:val="22"/>
        </w:rPr>
        <w:t>En respuesta, el Director de Obras Públicas informó que con relación a la solicitud de información, la obra mencionada que se ubica en Galerías Metepec, no forma parte del Programa Anual de Obra Pública del Municipio, y por tanto no era competencia de esa Dirección.</w:t>
      </w:r>
    </w:p>
    <w:p w14:paraId="4DEA55CF"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31EACD14"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Una vez conocida la respuesta, </w:t>
      </w:r>
      <w:r w:rsidRPr="002F17DA">
        <w:rPr>
          <w:rFonts w:ascii="Palatino Linotype" w:eastAsia="Palatino Linotype" w:hAnsi="Palatino Linotype" w:cs="Palatino Linotype"/>
          <w:b/>
          <w:sz w:val="22"/>
          <w:szCs w:val="22"/>
        </w:rPr>
        <w:t>la parte Recurrente</w:t>
      </w:r>
      <w:r w:rsidRPr="002F17DA">
        <w:rPr>
          <w:rFonts w:ascii="Palatino Linotype" w:eastAsia="Palatino Linotype" w:hAnsi="Palatino Linotype" w:cs="Palatino Linotype"/>
          <w:sz w:val="22"/>
          <w:szCs w:val="22"/>
        </w:rPr>
        <w:t xml:space="preserve"> al no estar conforme con los términos de la misma, interpuso el recurso de revisión que nos ocupa, </w:t>
      </w:r>
      <w:r w:rsidRPr="002F17DA">
        <w:rPr>
          <w:rFonts w:ascii="Palatino Linotype" w:eastAsia="Palatino Linotype" w:hAnsi="Palatino Linotype" w:cs="Palatino Linotype"/>
          <w:b/>
          <w:sz w:val="22"/>
          <w:szCs w:val="22"/>
        </w:rPr>
        <w:t xml:space="preserve">inconformándose medularmente de la negativa a la entrega de la información, ya que considera que la obra </w:t>
      </w:r>
      <w:r w:rsidRPr="002F17DA">
        <w:rPr>
          <w:rFonts w:ascii="Palatino Linotype" w:eastAsia="Palatino Linotype" w:hAnsi="Palatino Linotype" w:cs="Palatino Linotype"/>
          <w:b/>
          <w:sz w:val="22"/>
          <w:szCs w:val="22"/>
        </w:rPr>
        <w:lastRenderedPageBreak/>
        <w:t>se lleva a cabo en una vialidad pública y por tanto es responsabilidad del ayuntamiento contar con la información.</w:t>
      </w:r>
    </w:p>
    <w:p w14:paraId="17CA3ACE"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443EAFB3"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Así las cosas, de las constancias que obran en el expediente en que se actúa se desprende que,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 xml:space="preserve">rindió su informe justificado a través del Director de Obras Públicas, señalando medularmente que la obra mencionada en la solicitud de información que se ubica en Galerías Metepec, no formaba parte del Programa Anual de Obra Pública del Municipio, </w:t>
      </w:r>
      <w:r w:rsidRPr="002F17DA">
        <w:rPr>
          <w:rFonts w:ascii="Palatino Linotype" w:eastAsia="Palatino Linotype" w:hAnsi="Palatino Linotype" w:cs="Palatino Linotype"/>
          <w:b/>
          <w:sz w:val="22"/>
          <w:szCs w:val="22"/>
          <w:u w:val="single"/>
        </w:rPr>
        <w:t>por ser una obra de particulares</w:t>
      </w:r>
      <w:r w:rsidRPr="002F17DA">
        <w:rPr>
          <w:rFonts w:ascii="Palatino Linotype" w:eastAsia="Palatino Linotype" w:hAnsi="Palatino Linotype" w:cs="Palatino Linotype"/>
          <w:sz w:val="22"/>
          <w:szCs w:val="22"/>
        </w:rPr>
        <w:t xml:space="preserve"> y por tanto no existe información de la misma.</w:t>
      </w:r>
    </w:p>
    <w:p w14:paraId="33E74F14"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4BD17F11" w14:textId="77777777" w:rsidR="00FE161E" w:rsidRPr="002F17DA" w:rsidRDefault="0068353D">
      <w:pPr>
        <w:spacing w:line="360" w:lineRule="auto"/>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sz w:val="22"/>
          <w:szCs w:val="22"/>
        </w:rPr>
        <w:t xml:space="preserve">Por su lado, </w:t>
      </w:r>
      <w:r w:rsidRPr="002F17DA">
        <w:rPr>
          <w:rFonts w:ascii="Palatino Linotype" w:eastAsia="Palatino Linotype" w:hAnsi="Palatino Linotype" w:cs="Palatino Linotype"/>
          <w:b/>
          <w:sz w:val="22"/>
          <w:szCs w:val="22"/>
        </w:rPr>
        <w:t xml:space="preserve">la parte Recurrente </w:t>
      </w:r>
      <w:r w:rsidRPr="002F17DA">
        <w:rPr>
          <w:rFonts w:ascii="Palatino Linotype" w:eastAsia="Palatino Linotype" w:hAnsi="Palatino Linotype" w:cs="Palatino Linotype"/>
          <w:sz w:val="22"/>
          <w:szCs w:val="22"/>
        </w:rPr>
        <w:t>fue omisa en realizar manifestaciones o rendir alegatos que conforme a derecho resultaran procedentes.</w:t>
      </w:r>
    </w:p>
    <w:p w14:paraId="3F048FFC"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2D148419"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Expuestas las posturas de las partes, es de retomar que, quien se pronunció sobre la información requerida fue el Director de Obras Públicas, quien conforme el artículo 96. Bis, fracciones I, II, III y IV de la Ley Orgánica Municipal del Estado de México, en relación con el artículo 3.243, fracciones I, II y III del Código de Reglamentación Municipal de Metepec, Estado de México, tiene las siguientes atribuciones:</w:t>
      </w:r>
    </w:p>
    <w:p w14:paraId="071C8CDA" w14:textId="77777777" w:rsidR="00FE161E" w:rsidRPr="002F17DA" w:rsidRDefault="00FE161E">
      <w:pPr>
        <w:spacing w:line="360" w:lineRule="auto"/>
        <w:jc w:val="center"/>
        <w:rPr>
          <w:rFonts w:ascii="Palatino Linotype" w:eastAsia="Palatino Linotype" w:hAnsi="Palatino Linotype" w:cs="Palatino Linotype"/>
          <w:b/>
          <w:i/>
          <w:sz w:val="22"/>
          <w:szCs w:val="22"/>
          <w:u w:val="single"/>
        </w:rPr>
      </w:pPr>
    </w:p>
    <w:p w14:paraId="6D542B88" w14:textId="77777777" w:rsidR="00FE161E" w:rsidRPr="002F17DA" w:rsidRDefault="0068353D">
      <w:pPr>
        <w:spacing w:line="360" w:lineRule="auto"/>
        <w:jc w:val="center"/>
        <w:rPr>
          <w:rFonts w:ascii="Palatino Linotype" w:eastAsia="Palatino Linotype" w:hAnsi="Palatino Linotype" w:cs="Palatino Linotype"/>
          <w:b/>
          <w:i/>
          <w:sz w:val="22"/>
          <w:szCs w:val="22"/>
          <w:u w:val="single"/>
        </w:rPr>
      </w:pPr>
      <w:r w:rsidRPr="002F17DA">
        <w:rPr>
          <w:rFonts w:ascii="Palatino Linotype" w:eastAsia="Palatino Linotype" w:hAnsi="Palatino Linotype" w:cs="Palatino Linotype"/>
          <w:b/>
          <w:i/>
          <w:sz w:val="22"/>
          <w:szCs w:val="22"/>
          <w:u w:val="single"/>
        </w:rPr>
        <w:t>Ley Orgánica Municipal del Estado de México</w:t>
      </w:r>
    </w:p>
    <w:p w14:paraId="51170448" w14:textId="77777777" w:rsidR="00FE161E" w:rsidRPr="002F17DA" w:rsidRDefault="0068353D">
      <w:pPr>
        <w:spacing w:line="276" w:lineRule="auto"/>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“Artículo 96. Bis.- El Director de Obras Públicas o el Titular de la Unidad Administrativa equivalente, tiene las siguientes atribuciones: </w:t>
      </w:r>
    </w:p>
    <w:p w14:paraId="7B0C0C01" w14:textId="77777777" w:rsidR="00FE161E" w:rsidRPr="002F17DA" w:rsidRDefault="0068353D">
      <w:pPr>
        <w:spacing w:line="276" w:lineRule="auto"/>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b/>
          <w:i/>
          <w:sz w:val="22"/>
          <w:szCs w:val="22"/>
        </w:rPr>
        <w:t xml:space="preserve">I. Realizar la programación y ejecución de las obras públicas </w:t>
      </w:r>
      <w:r w:rsidRPr="002F17DA">
        <w:rPr>
          <w:rFonts w:ascii="Palatino Linotype" w:eastAsia="Palatino Linotype" w:hAnsi="Palatino Linotype" w:cs="Palatino Linotype"/>
          <w:i/>
          <w:sz w:val="22"/>
          <w:szCs w:val="22"/>
        </w:rPr>
        <w:t xml:space="preserve">y servicios relacionados, que por orden expresa del Ayuntamiento requieran prioridad; </w:t>
      </w:r>
    </w:p>
    <w:p w14:paraId="18357801" w14:textId="77777777" w:rsidR="00FE161E" w:rsidRPr="002F17DA" w:rsidRDefault="0068353D">
      <w:pPr>
        <w:spacing w:line="276" w:lineRule="auto"/>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b/>
          <w:i/>
          <w:sz w:val="22"/>
          <w:szCs w:val="22"/>
        </w:rPr>
        <w:t>II. Planear y coordinar los proyectos de obras públicas</w:t>
      </w:r>
      <w:r w:rsidRPr="002F17DA">
        <w:rPr>
          <w:rFonts w:ascii="Palatino Linotype" w:eastAsia="Palatino Linotype" w:hAnsi="Palatino Linotype" w:cs="Palatino Linotype"/>
          <w:i/>
          <w:sz w:val="22"/>
          <w:szCs w:val="22"/>
        </w:rPr>
        <w:t xml:space="preserve"> y servicios relacionados con las mismas que autorice el Ayuntamiento, una vez que se cumplan los requisitos de licitación y otros que determine la ley de la materia; </w:t>
      </w:r>
    </w:p>
    <w:p w14:paraId="56497895" w14:textId="77777777" w:rsidR="00FE161E" w:rsidRPr="002F17DA" w:rsidRDefault="0068353D">
      <w:pPr>
        <w:spacing w:line="276" w:lineRule="auto"/>
        <w:ind w:left="567" w:right="616"/>
        <w:jc w:val="both"/>
        <w:rPr>
          <w:rFonts w:ascii="Palatino Linotype" w:eastAsia="Palatino Linotype" w:hAnsi="Palatino Linotype" w:cs="Palatino Linotype"/>
          <w:b/>
          <w:i/>
          <w:sz w:val="22"/>
          <w:szCs w:val="22"/>
        </w:rPr>
      </w:pPr>
      <w:r w:rsidRPr="002F17DA">
        <w:rPr>
          <w:rFonts w:ascii="Palatino Linotype" w:eastAsia="Palatino Linotype" w:hAnsi="Palatino Linotype" w:cs="Palatino Linotype"/>
          <w:b/>
          <w:i/>
          <w:sz w:val="22"/>
          <w:szCs w:val="22"/>
        </w:rPr>
        <w:lastRenderedPageBreak/>
        <w:t xml:space="preserve">III. Proyectar las obras públicas y servicios relacionados, que realice el Municipio, incluyendo la conservación y mantenimiento de edificios, monumentos, calles, parques y jardines; </w:t>
      </w:r>
    </w:p>
    <w:p w14:paraId="5BA3CB23" w14:textId="77777777" w:rsidR="00FE161E" w:rsidRPr="002F17DA" w:rsidRDefault="0068353D">
      <w:pPr>
        <w:spacing w:line="276" w:lineRule="auto"/>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b/>
          <w:i/>
          <w:sz w:val="22"/>
          <w:szCs w:val="22"/>
        </w:rPr>
        <w:t>IV. Construir y ejecutar todas aquellas obras públicas y servicios relacionados</w:t>
      </w:r>
      <w:r w:rsidRPr="002F17DA">
        <w:rPr>
          <w:rFonts w:ascii="Palatino Linotype" w:eastAsia="Palatino Linotype" w:hAnsi="Palatino Linotype" w:cs="Palatino Linotype"/>
          <w:i/>
          <w:sz w:val="22"/>
          <w:szCs w:val="22"/>
        </w:rPr>
        <w:t>, que aumenten y mantengan la infraestructura municipal y que estén consideradas en el programa respectivo;[…]”</w:t>
      </w:r>
    </w:p>
    <w:p w14:paraId="35B4E3D8" w14:textId="77777777" w:rsidR="00FE161E" w:rsidRPr="002F17DA" w:rsidRDefault="00FE161E">
      <w:pPr>
        <w:spacing w:line="276" w:lineRule="auto"/>
        <w:ind w:left="567" w:right="616"/>
        <w:jc w:val="both"/>
        <w:rPr>
          <w:rFonts w:ascii="Palatino Linotype" w:eastAsia="Palatino Linotype" w:hAnsi="Palatino Linotype" w:cs="Palatino Linotype"/>
          <w:i/>
          <w:sz w:val="22"/>
          <w:szCs w:val="22"/>
        </w:rPr>
      </w:pPr>
    </w:p>
    <w:p w14:paraId="77959F0C" w14:textId="77777777" w:rsidR="00FE161E" w:rsidRPr="002F17DA" w:rsidRDefault="0068353D">
      <w:pPr>
        <w:spacing w:line="276" w:lineRule="auto"/>
        <w:ind w:left="567" w:right="616"/>
        <w:jc w:val="center"/>
        <w:rPr>
          <w:rFonts w:ascii="Palatino Linotype" w:eastAsia="Palatino Linotype" w:hAnsi="Palatino Linotype" w:cs="Palatino Linotype"/>
          <w:b/>
          <w:i/>
          <w:sz w:val="22"/>
          <w:szCs w:val="22"/>
          <w:u w:val="single"/>
        </w:rPr>
      </w:pPr>
      <w:r w:rsidRPr="002F17DA">
        <w:rPr>
          <w:rFonts w:ascii="Palatino Linotype" w:eastAsia="Palatino Linotype" w:hAnsi="Palatino Linotype" w:cs="Palatino Linotype"/>
          <w:b/>
          <w:i/>
          <w:sz w:val="22"/>
          <w:szCs w:val="22"/>
          <w:u w:val="single"/>
        </w:rPr>
        <w:t>Código de Reglamentación Municipal de Metepec</w:t>
      </w:r>
    </w:p>
    <w:p w14:paraId="4203776F"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A09C2B4" w14:textId="77777777" w:rsidR="00FE161E" w:rsidRPr="002F17DA" w:rsidRDefault="0068353D">
      <w:pPr>
        <w:spacing w:line="276" w:lineRule="auto"/>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“Artículo 3.243. Además de las previstas en la Ley Orgánica, la Dirección de Obras Públicas, tiene las atribuciones siguientes: </w:t>
      </w:r>
    </w:p>
    <w:p w14:paraId="037F4404" w14:textId="77777777" w:rsidR="00FE161E" w:rsidRPr="002F17DA" w:rsidRDefault="0068353D">
      <w:pPr>
        <w:spacing w:line="276" w:lineRule="auto"/>
        <w:ind w:left="567" w:right="616"/>
        <w:jc w:val="both"/>
        <w:rPr>
          <w:rFonts w:ascii="Palatino Linotype" w:eastAsia="Palatino Linotype" w:hAnsi="Palatino Linotype" w:cs="Palatino Linotype"/>
          <w:b/>
          <w:i/>
          <w:sz w:val="22"/>
          <w:szCs w:val="22"/>
        </w:rPr>
      </w:pPr>
      <w:r w:rsidRPr="002F17DA">
        <w:rPr>
          <w:rFonts w:ascii="Palatino Linotype" w:eastAsia="Palatino Linotype" w:hAnsi="Palatino Linotype" w:cs="Palatino Linotype"/>
          <w:b/>
          <w:i/>
          <w:sz w:val="22"/>
          <w:szCs w:val="22"/>
        </w:rPr>
        <w:t xml:space="preserve">I. Ejercer el gasto autorizado para la obra pública conforme al presupuesto de egresos, los planes, programas, especificaciones técnicas, controles y procedimientos administrativos aprobados; </w:t>
      </w:r>
    </w:p>
    <w:p w14:paraId="44611203" w14:textId="77777777" w:rsidR="00FE161E" w:rsidRPr="002F17DA" w:rsidRDefault="0068353D">
      <w:pPr>
        <w:spacing w:line="276" w:lineRule="auto"/>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b/>
          <w:i/>
          <w:sz w:val="22"/>
          <w:szCs w:val="22"/>
        </w:rPr>
        <w:t>II. Elaborar e informar al Comité Interno de Obra Pública, el Programa General de Obras Públicas, para la construcción y mejoramiento de las mismas</w:t>
      </w:r>
      <w:r w:rsidRPr="002F17DA">
        <w:rPr>
          <w:rFonts w:ascii="Palatino Linotype" w:eastAsia="Palatino Linotype" w:hAnsi="Palatino Linotype" w:cs="Palatino Linotype"/>
          <w:i/>
          <w:sz w:val="22"/>
          <w:szCs w:val="22"/>
        </w:rPr>
        <w:t xml:space="preserve">, de acuerdo a la normatividad aplicable y a las políticas, objetivos y prioridades del desarrollo del Municipio; </w:t>
      </w:r>
    </w:p>
    <w:p w14:paraId="5AFCDEA5" w14:textId="77777777" w:rsidR="00FE161E" w:rsidRPr="002F17DA" w:rsidRDefault="0068353D">
      <w:pPr>
        <w:spacing w:line="276" w:lineRule="auto"/>
        <w:ind w:left="567" w:right="616"/>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b/>
          <w:i/>
          <w:sz w:val="22"/>
          <w:szCs w:val="22"/>
        </w:rPr>
        <w:t>III. Elaborar los proyectos de inversión y los presupuestos de cada una de las obras públicas que se deban realizar y de los servicios relacionados con las mismas,</w:t>
      </w:r>
      <w:r w:rsidRPr="002F17DA">
        <w:rPr>
          <w:rFonts w:ascii="Palatino Linotype" w:eastAsia="Palatino Linotype" w:hAnsi="Palatino Linotype" w:cs="Palatino Linotype"/>
          <w:i/>
          <w:sz w:val="22"/>
          <w:szCs w:val="22"/>
        </w:rPr>
        <w:t xml:space="preserve"> de conformidad con la experiencia y los conocimientos técnicos en la materia y en estricto apego a la normatividad aplicable, los cuales deberán ser informados al Comité Interno de Obra Pública para su visto bueno y posterior presentación para la aprobación del Ayuntamiento;[…]”</w:t>
      </w:r>
    </w:p>
    <w:p w14:paraId="31F64CD0"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50ED9E7B"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Como se desprende de lo anterior, la Dirección de Obras Públicas es la encargada de realizar la programación y ejecución de las obras públicas, planear y coordinar los proyectos de las mismas y servicios relacionados, que realice el Municipio, incluyendo la conservación y mantenimiento, entre otros, </w:t>
      </w:r>
      <w:r w:rsidRPr="002F17DA">
        <w:rPr>
          <w:rFonts w:ascii="Palatino Linotype" w:eastAsia="Palatino Linotype" w:hAnsi="Palatino Linotype" w:cs="Palatino Linotype"/>
          <w:b/>
          <w:sz w:val="22"/>
          <w:szCs w:val="22"/>
        </w:rPr>
        <w:t>de calles</w:t>
      </w:r>
      <w:r w:rsidRPr="002F17DA">
        <w:rPr>
          <w:rFonts w:ascii="Palatino Linotype" w:eastAsia="Palatino Linotype" w:hAnsi="Palatino Linotype" w:cs="Palatino Linotype"/>
          <w:sz w:val="22"/>
          <w:szCs w:val="22"/>
        </w:rPr>
        <w:t>.</w:t>
      </w:r>
    </w:p>
    <w:p w14:paraId="46E5A322"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72B03002"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Por tanto, si bien, de acuerdo al tipo de información a la que pretende acceder el particular, conforme lo analizado, se pudiera relacionar con un proyecto de ampliación de un centro </w:t>
      </w:r>
      <w:r w:rsidRPr="002F17DA">
        <w:rPr>
          <w:rFonts w:ascii="Palatino Linotype" w:eastAsia="Palatino Linotype" w:hAnsi="Palatino Linotype" w:cs="Palatino Linotype"/>
          <w:sz w:val="22"/>
          <w:szCs w:val="22"/>
        </w:rPr>
        <w:lastRenderedPageBreak/>
        <w:t xml:space="preserve">comercial ejecutado por una empresa particular; también lo es que, la Dirección de Obras Públicas resulta ser la unidad administrativa competente en el presente asunto, ya que al ser la encargada de la programación, proyección y ejecución de toda obra pública que se realice en el Municipio, es a quien le compete pronunciarse si la obra o trabajos a los que se refiere el particular son ejecutados con motivo de una obra pública, o bien, si corresponde a un particular.  </w:t>
      </w:r>
    </w:p>
    <w:p w14:paraId="6C2EA2B4" w14:textId="77777777" w:rsidR="00FE161E" w:rsidRPr="002F17DA" w:rsidRDefault="00FE161E">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5424B579" w14:textId="77777777" w:rsidR="00FE161E" w:rsidRPr="002F17DA" w:rsidRDefault="0068353D">
      <w:pPr>
        <w:widowControl w:val="0"/>
        <w:tabs>
          <w:tab w:val="left" w:pos="1701"/>
          <w:tab w:val="left" w:pos="1843"/>
        </w:tabs>
        <w:spacing w:line="360" w:lineRule="auto"/>
        <w:ind w:right="49"/>
        <w:jc w:val="both"/>
        <w:rPr>
          <w:sz w:val="22"/>
          <w:szCs w:val="22"/>
        </w:rPr>
      </w:pPr>
      <w:r w:rsidRPr="002F17DA">
        <w:rPr>
          <w:rFonts w:ascii="Palatino Linotype" w:eastAsia="Palatino Linotype" w:hAnsi="Palatino Linotype" w:cs="Palatino Linotype"/>
          <w:sz w:val="22"/>
          <w:szCs w:val="22"/>
        </w:rPr>
        <w:t>De esta manera, el  procedimiento para la atención a las solicitudes de acceso a la información, en el caso se tiene por cumplido por haberse turnado la solicitud de información al área que conforme sus atribuciones puede tener conocimiento de lo solicitado en el presente asunto; procedimiento que se encuentra establecido en los artículos 151, 159, 160, 162, 163, 164, 165 y 166, de la Ley de Transparencia y Acceso a la Información Pública del Estado de México y Municipios, que versa en lo siguiente:</w:t>
      </w:r>
    </w:p>
    <w:p w14:paraId="1F52B3F5" w14:textId="77777777" w:rsidR="00FE161E" w:rsidRPr="002F17DA" w:rsidRDefault="00FE161E">
      <w:pPr>
        <w:spacing w:line="360" w:lineRule="auto"/>
        <w:rPr>
          <w:sz w:val="22"/>
          <w:szCs w:val="22"/>
        </w:rPr>
      </w:pPr>
    </w:p>
    <w:p w14:paraId="42CE7F0B" w14:textId="77777777" w:rsidR="00FE161E" w:rsidRPr="002F17DA" w:rsidRDefault="0068353D">
      <w:pPr>
        <w:numPr>
          <w:ilvl w:val="0"/>
          <w:numId w:val="5"/>
        </w:numPr>
        <w:spacing w:line="276"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6EC95F4" w14:textId="77777777" w:rsidR="00FE161E" w:rsidRPr="002F17DA" w:rsidRDefault="00FE161E">
      <w:pPr>
        <w:spacing w:line="276" w:lineRule="auto"/>
        <w:ind w:left="360"/>
        <w:jc w:val="both"/>
        <w:rPr>
          <w:rFonts w:ascii="Palatino Linotype" w:eastAsia="Palatino Linotype" w:hAnsi="Palatino Linotype" w:cs="Palatino Linotype"/>
          <w:sz w:val="22"/>
          <w:szCs w:val="22"/>
        </w:rPr>
      </w:pPr>
    </w:p>
    <w:p w14:paraId="3D4153A9" w14:textId="77777777" w:rsidR="00FE161E" w:rsidRPr="002F17DA" w:rsidRDefault="0068353D">
      <w:pPr>
        <w:numPr>
          <w:ilvl w:val="0"/>
          <w:numId w:val="5"/>
        </w:numPr>
        <w:spacing w:line="276"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E333FB5" w14:textId="77777777" w:rsidR="00FE161E" w:rsidRPr="002F17DA" w:rsidRDefault="00FE161E">
      <w:pPr>
        <w:spacing w:line="276" w:lineRule="auto"/>
        <w:ind w:left="720"/>
        <w:rPr>
          <w:rFonts w:ascii="Palatino Linotype" w:eastAsia="Palatino Linotype" w:hAnsi="Palatino Linotype" w:cs="Palatino Linotype"/>
          <w:sz w:val="22"/>
          <w:szCs w:val="22"/>
        </w:rPr>
      </w:pPr>
    </w:p>
    <w:p w14:paraId="5F1FB6E7" w14:textId="77777777" w:rsidR="00FE161E" w:rsidRPr="002F17DA" w:rsidRDefault="0068353D">
      <w:pPr>
        <w:numPr>
          <w:ilvl w:val="0"/>
          <w:numId w:val="5"/>
        </w:numPr>
        <w:spacing w:line="276"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2F17DA">
        <w:rPr>
          <w:rFonts w:ascii="Palatino Linotype" w:eastAsia="Palatino Linotype" w:hAnsi="Palatino Linotype" w:cs="Palatino Linotype"/>
          <w:b/>
          <w:sz w:val="22"/>
          <w:szCs w:val="22"/>
        </w:rPr>
        <w:t>quince días, contados a partir del día siguiente a la presentación de ésta.</w:t>
      </w:r>
      <w:r w:rsidRPr="002F17DA">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5EB8A5F1" w14:textId="77777777" w:rsidR="00FE161E" w:rsidRPr="002F17DA" w:rsidRDefault="00FE161E">
      <w:pPr>
        <w:spacing w:line="276" w:lineRule="auto"/>
        <w:ind w:left="720"/>
        <w:rPr>
          <w:rFonts w:ascii="Palatino Linotype" w:eastAsia="Palatino Linotype" w:hAnsi="Palatino Linotype" w:cs="Palatino Linotype"/>
          <w:sz w:val="22"/>
          <w:szCs w:val="22"/>
        </w:rPr>
      </w:pPr>
    </w:p>
    <w:p w14:paraId="6CC2E936" w14:textId="77777777" w:rsidR="00FE161E" w:rsidRPr="002F17DA" w:rsidRDefault="0068353D">
      <w:pPr>
        <w:numPr>
          <w:ilvl w:val="0"/>
          <w:numId w:val="5"/>
        </w:numPr>
        <w:spacing w:line="276" w:lineRule="auto"/>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C79B495" w14:textId="77777777" w:rsidR="00FE161E" w:rsidRPr="002F17DA" w:rsidRDefault="00FE161E">
      <w:pPr>
        <w:spacing w:line="276" w:lineRule="auto"/>
        <w:ind w:left="720"/>
        <w:rPr>
          <w:rFonts w:ascii="Palatino Linotype" w:eastAsia="Palatino Linotype" w:hAnsi="Palatino Linotype" w:cs="Palatino Linotype"/>
          <w:b/>
          <w:sz w:val="22"/>
          <w:szCs w:val="22"/>
          <w:u w:val="single"/>
        </w:rPr>
      </w:pPr>
    </w:p>
    <w:p w14:paraId="34116443" w14:textId="77777777" w:rsidR="00FE161E" w:rsidRPr="002F17DA" w:rsidRDefault="0068353D">
      <w:pPr>
        <w:numPr>
          <w:ilvl w:val="0"/>
          <w:numId w:val="5"/>
        </w:numPr>
        <w:spacing w:line="276" w:lineRule="auto"/>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A4037A8" w14:textId="77777777" w:rsidR="00FE161E" w:rsidRPr="002F17DA" w:rsidRDefault="00FE161E">
      <w:pPr>
        <w:spacing w:line="276" w:lineRule="auto"/>
        <w:ind w:left="360"/>
        <w:jc w:val="both"/>
        <w:rPr>
          <w:rFonts w:ascii="Palatino Linotype" w:eastAsia="Palatino Linotype" w:hAnsi="Palatino Linotype" w:cs="Palatino Linotype"/>
          <w:b/>
          <w:sz w:val="22"/>
          <w:szCs w:val="22"/>
        </w:rPr>
      </w:pPr>
    </w:p>
    <w:p w14:paraId="2CA3EF4A" w14:textId="77777777" w:rsidR="00FE161E" w:rsidRPr="002F17DA" w:rsidRDefault="0068353D">
      <w:pPr>
        <w:numPr>
          <w:ilvl w:val="0"/>
          <w:numId w:val="5"/>
        </w:numPr>
        <w:spacing w:line="276" w:lineRule="auto"/>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281FB9C2" w14:textId="77777777" w:rsidR="00FE161E" w:rsidRPr="002F17DA" w:rsidRDefault="00FE161E">
      <w:pPr>
        <w:spacing w:line="360" w:lineRule="auto"/>
        <w:rPr>
          <w:sz w:val="22"/>
          <w:szCs w:val="22"/>
        </w:rPr>
      </w:pPr>
    </w:p>
    <w:p w14:paraId="64261314" w14:textId="77777777" w:rsidR="00FE161E" w:rsidRPr="002F17DA" w:rsidRDefault="0068353D">
      <w:pPr>
        <w:spacing w:line="360" w:lineRule="auto"/>
        <w:ind w:right="49"/>
        <w:jc w:val="both"/>
        <w:rPr>
          <w:rFonts w:ascii="Palatino Linotype" w:eastAsia="Palatino Linotype" w:hAnsi="Palatino Linotype" w:cs="Palatino Linotype"/>
          <w:b/>
          <w:sz w:val="22"/>
          <w:szCs w:val="22"/>
          <w:u w:val="single"/>
        </w:rPr>
      </w:pPr>
      <w:r w:rsidRPr="002F17DA">
        <w:rPr>
          <w:rFonts w:ascii="Palatino Linotype" w:eastAsia="Palatino Linotype" w:hAnsi="Palatino Linotype" w:cs="Palatino Linotype"/>
          <w:sz w:val="22"/>
          <w:szCs w:val="22"/>
        </w:rPr>
        <w:t xml:space="preserve">En ese sentido, se tiene que, </w:t>
      </w:r>
      <w:r w:rsidRPr="002F17DA">
        <w:rPr>
          <w:rFonts w:ascii="Palatino Linotype" w:eastAsia="Palatino Linotype" w:hAnsi="Palatino Linotype" w:cs="Palatino Linotype"/>
          <w:b/>
          <w:sz w:val="22"/>
          <w:szCs w:val="22"/>
          <w:u w:val="single"/>
        </w:rPr>
        <w:t>el procedimiento de búsqueda de la información se tiene por atendido.</w:t>
      </w:r>
    </w:p>
    <w:p w14:paraId="23B6CAAC" w14:textId="77777777" w:rsidR="00FE161E" w:rsidRPr="002F17DA" w:rsidRDefault="00FE161E">
      <w:pPr>
        <w:spacing w:line="360" w:lineRule="auto"/>
        <w:ind w:right="141"/>
        <w:jc w:val="both"/>
        <w:rPr>
          <w:rFonts w:ascii="Palatino Linotype" w:eastAsia="Palatino Linotype" w:hAnsi="Palatino Linotype" w:cs="Palatino Linotype"/>
          <w:sz w:val="22"/>
          <w:szCs w:val="22"/>
        </w:rPr>
      </w:pPr>
    </w:p>
    <w:p w14:paraId="3689EB3F"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Acotado lo anterior, si bien en respuesta el Director de Obras Públicas informó que con relación a la solicitud de información, la obra mencionada por el particular no formaba parte del Programa Anual de Obra Pública del Municipio, y por tanto no era competencia de esa Dirección; también lo es que dicha respuesta no se puede tomar como válida, en virtud de que no genera certeza de que la obra o trabajos a que se refiere el particular que se están ejecutando en vialidad señalada por este último guarde relación con la ejecución de recursos públicos, o bien, que dichos trabajos sean efectuados por un particular.</w:t>
      </w:r>
    </w:p>
    <w:p w14:paraId="6412A3A8"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3A1D40B8"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lastRenderedPageBreak/>
        <w:t xml:space="preserve">No obstante lo anterior, si bien la respuesta no garantizó el derecho de acceso a la información del particular; de la consulta a las constancias que obran en el expediente aperturado con motivo del medio de impugnación que nos ocupa, se desprende que vía informe justificado el ente público por conducto del Director de Obras Públicas ahondo en los motivos por los cuales no contaba con la información, y que ello se debía a que la obra mencionada en la solicitud de información que se ubica en Galerías Metepec, no forma parte del Programa Anual de Obra Pública del Municipio, </w:t>
      </w:r>
      <w:r w:rsidRPr="002F17DA">
        <w:rPr>
          <w:rFonts w:ascii="Palatino Linotype" w:eastAsia="Palatino Linotype" w:hAnsi="Palatino Linotype" w:cs="Palatino Linotype"/>
          <w:b/>
          <w:sz w:val="22"/>
          <w:szCs w:val="22"/>
          <w:u w:val="single"/>
        </w:rPr>
        <w:t>por ser una obra de particulares</w:t>
      </w:r>
      <w:r w:rsidRPr="002F17DA">
        <w:rPr>
          <w:rFonts w:ascii="Palatino Linotype" w:eastAsia="Palatino Linotype" w:hAnsi="Palatino Linotype" w:cs="Palatino Linotype"/>
          <w:sz w:val="22"/>
          <w:szCs w:val="22"/>
        </w:rPr>
        <w:t xml:space="preserve"> y no existe información de la misma.</w:t>
      </w:r>
    </w:p>
    <w:p w14:paraId="0F48A0C6"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704C7BCE"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De esta manera, se tiene que vía informe justificado el servidor público habilitado competente señaló que no existía información relacionada con lo requerido, ya que la obra a la que hace mención la persona solicitante era de particulares y no formaba parte del programa anual de obras públicas; cuestión que hace patente con lo localizado por este Órgano Garante en las notas periodísticas anteriormente analizadas.</w:t>
      </w:r>
    </w:p>
    <w:p w14:paraId="413690A9"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655882C7" w14:textId="77777777" w:rsidR="00FE161E" w:rsidRPr="002F17DA" w:rsidRDefault="0068353D">
      <w:pPr>
        <w:spacing w:line="360" w:lineRule="auto"/>
        <w:jc w:val="both"/>
        <w:rPr>
          <w:rFonts w:ascii="Palatino Linotype" w:eastAsia="Palatino Linotype" w:hAnsi="Palatino Linotype" w:cs="Palatino Linotype"/>
          <w:sz w:val="22"/>
          <w:szCs w:val="22"/>
        </w:rPr>
      </w:pPr>
      <w:bookmarkStart w:id="9" w:name="_heading=h.4d34og8" w:colFirst="0" w:colLast="0"/>
      <w:bookmarkEnd w:id="9"/>
      <w:r w:rsidRPr="002F17DA">
        <w:rPr>
          <w:rFonts w:ascii="Palatino Linotype" w:eastAsia="Palatino Linotype" w:hAnsi="Palatino Linotype" w:cs="Palatino Linotype"/>
          <w:sz w:val="22"/>
          <w:szCs w:val="22"/>
        </w:rPr>
        <w:t xml:space="preserve">Máxime que de acuerdo a las atribuciones con las que cuenta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este únicamente se encuentra constreñido a conocer lo relativo a obras públicas, es decir, a la información relacionada con toda obra que guarde relación con el ejercicio de recursos públicos; y, que a su vez se relaciona con la obligación de transparencia común relativa a los  procedimientos de adquisición, prevista en la fracción XXIX del artículo 92, de la Ley de Transparencia y Acceso a la Información Pública del Estado de México y Municipios, que dispone lo siguiente:</w:t>
      </w:r>
    </w:p>
    <w:p w14:paraId="0F9DEEE7" w14:textId="77777777" w:rsidR="00FE161E" w:rsidRPr="002F17DA" w:rsidRDefault="00FE161E">
      <w:pPr>
        <w:spacing w:line="360" w:lineRule="auto"/>
        <w:ind w:right="141"/>
        <w:jc w:val="both"/>
        <w:rPr>
          <w:rFonts w:ascii="Palatino Linotype" w:eastAsia="Palatino Linotype" w:hAnsi="Palatino Linotype" w:cs="Palatino Linotype"/>
          <w:sz w:val="22"/>
          <w:szCs w:val="22"/>
        </w:rPr>
      </w:pPr>
    </w:p>
    <w:p w14:paraId="38E2C8E5" w14:textId="77777777" w:rsidR="00FE161E" w:rsidRPr="002F17DA" w:rsidRDefault="0068353D">
      <w:pPr>
        <w:tabs>
          <w:tab w:val="left" w:pos="851"/>
        </w:tabs>
        <w:ind w:left="709"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w:t>
      </w:r>
      <w:r w:rsidRPr="002F17DA">
        <w:rPr>
          <w:rFonts w:ascii="Palatino Linotype" w:eastAsia="Palatino Linotype" w:hAnsi="Palatino Linotype" w:cs="Palatino Linotype"/>
          <w:b/>
          <w:i/>
          <w:sz w:val="22"/>
          <w:szCs w:val="22"/>
        </w:rPr>
        <w:t>Artículo 92</w:t>
      </w:r>
      <w:r w:rsidRPr="002F17DA">
        <w:rPr>
          <w:rFonts w:ascii="Palatino Linotype" w:eastAsia="Palatino Linotype" w:hAnsi="Palatino Linotype" w:cs="Palatino Linotype"/>
          <w:i/>
          <w:sz w:val="22"/>
          <w:szCs w:val="22"/>
        </w:rPr>
        <w:t xml:space="preserve">. </w:t>
      </w:r>
      <w:r w:rsidRPr="002F17DA">
        <w:rPr>
          <w:rFonts w:ascii="Palatino Linotype" w:eastAsia="Palatino Linotype" w:hAnsi="Palatino Linotype" w:cs="Palatino Linotype"/>
          <w:b/>
          <w:i/>
          <w:sz w:val="22"/>
          <w:szCs w:val="22"/>
          <w:u w:val="single"/>
        </w:rPr>
        <w:t>Los sujetos obligados deberán poner a disposición del público de manera permanente y actualizada de forma sencilla, precisa y entendible, en los respectivos medios electrónicos</w:t>
      </w:r>
      <w:r w:rsidRPr="002F17DA">
        <w:rPr>
          <w:rFonts w:ascii="Palatino Linotype" w:eastAsia="Palatino Linotype" w:hAnsi="Palatino Linotype" w:cs="Palatino Linotype"/>
          <w:i/>
          <w:sz w:val="22"/>
          <w:szCs w:val="22"/>
        </w:rPr>
        <w:t xml:space="preserve">, de acuerdo con sus facultades, atribuciones, funciones u objeto social, según corresponda, la información, </w:t>
      </w:r>
      <w:r w:rsidRPr="002F17DA">
        <w:rPr>
          <w:rFonts w:ascii="Palatino Linotype" w:eastAsia="Palatino Linotype" w:hAnsi="Palatino Linotype" w:cs="Palatino Linotype"/>
          <w:b/>
          <w:i/>
          <w:sz w:val="22"/>
          <w:szCs w:val="22"/>
          <w:u w:val="single"/>
        </w:rPr>
        <w:t>por lo menos, de los temas, documentos y políticas que a continuación se señalan</w:t>
      </w:r>
      <w:r w:rsidRPr="002F17DA">
        <w:rPr>
          <w:rFonts w:ascii="Palatino Linotype" w:eastAsia="Palatino Linotype" w:hAnsi="Palatino Linotype" w:cs="Palatino Linotype"/>
          <w:i/>
          <w:sz w:val="22"/>
          <w:szCs w:val="22"/>
        </w:rPr>
        <w:t>:</w:t>
      </w:r>
    </w:p>
    <w:p w14:paraId="6F41BCC6" w14:textId="77777777" w:rsidR="00FE161E" w:rsidRPr="002F17DA" w:rsidRDefault="0068353D">
      <w:pPr>
        <w:tabs>
          <w:tab w:val="left" w:pos="851"/>
        </w:tabs>
        <w:ind w:left="709"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lastRenderedPageBreak/>
        <w:t>…</w:t>
      </w:r>
    </w:p>
    <w:p w14:paraId="47F3F1FD" w14:textId="77777777" w:rsidR="00FE161E" w:rsidRPr="002F17DA" w:rsidRDefault="0068353D">
      <w:pPr>
        <w:tabs>
          <w:tab w:val="left" w:pos="851"/>
        </w:tabs>
        <w:ind w:left="709"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b/>
          <w:i/>
          <w:sz w:val="22"/>
          <w:szCs w:val="22"/>
        </w:rPr>
        <w:t>XXIX.</w:t>
      </w:r>
      <w:r w:rsidRPr="002F17DA">
        <w:rPr>
          <w:rFonts w:ascii="Palatino Linotype" w:eastAsia="Palatino Linotype" w:hAnsi="Palatino Linotype" w:cs="Palatino Linotype"/>
          <w:b/>
          <w:i/>
          <w:sz w:val="22"/>
          <w:szCs w:val="22"/>
        </w:rPr>
        <w:tab/>
      </w:r>
      <w:r w:rsidRPr="002F17DA">
        <w:rPr>
          <w:rFonts w:ascii="Palatino Linotype" w:eastAsia="Palatino Linotype" w:hAnsi="Palatino Linotype" w:cs="Palatino Linotype"/>
          <w:b/>
          <w:i/>
          <w:sz w:val="22"/>
          <w:szCs w:val="22"/>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2F17DA">
        <w:rPr>
          <w:rFonts w:ascii="Palatino Linotype" w:eastAsia="Palatino Linotype" w:hAnsi="Palatino Linotype" w:cs="Palatino Linotype"/>
          <w:i/>
          <w:sz w:val="22"/>
          <w:szCs w:val="22"/>
        </w:rPr>
        <w:t xml:space="preserve">, que deberán contener, por los menos, lo siguiente: </w:t>
      </w:r>
    </w:p>
    <w:p w14:paraId="74974CB3" w14:textId="77777777" w:rsidR="00FE161E" w:rsidRPr="002F17DA" w:rsidRDefault="00FE161E">
      <w:pPr>
        <w:tabs>
          <w:tab w:val="left" w:pos="851"/>
        </w:tabs>
        <w:ind w:left="709" w:right="709"/>
        <w:jc w:val="both"/>
        <w:rPr>
          <w:rFonts w:ascii="Palatino Linotype" w:eastAsia="Palatino Linotype" w:hAnsi="Palatino Linotype" w:cs="Palatino Linotype"/>
          <w:i/>
          <w:sz w:val="22"/>
          <w:szCs w:val="22"/>
        </w:rPr>
      </w:pPr>
    </w:p>
    <w:p w14:paraId="6B666E67" w14:textId="77777777" w:rsidR="00FE161E" w:rsidRPr="002F17DA" w:rsidRDefault="0068353D">
      <w:pPr>
        <w:tabs>
          <w:tab w:val="left" w:pos="851"/>
        </w:tabs>
        <w:ind w:left="709"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a)</w:t>
      </w:r>
      <w:r w:rsidRPr="002F17DA">
        <w:rPr>
          <w:rFonts w:ascii="Palatino Linotype" w:eastAsia="Palatino Linotype" w:hAnsi="Palatino Linotype" w:cs="Palatino Linotype"/>
          <w:i/>
          <w:sz w:val="22"/>
          <w:szCs w:val="22"/>
        </w:rPr>
        <w:tab/>
        <w:t xml:space="preserve">De licitaciones públicas o procedimientos de invitación restringida: </w:t>
      </w:r>
    </w:p>
    <w:p w14:paraId="53A65D87"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1)</w:t>
      </w:r>
      <w:r w:rsidRPr="002F17DA">
        <w:rPr>
          <w:rFonts w:ascii="Palatino Linotype" w:eastAsia="Palatino Linotype" w:hAnsi="Palatino Linotype" w:cs="Palatino Linotype"/>
          <w:i/>
          <w:sz w:val="22"/>
          <w:szCs w:val="22"/>
        </w:rPr>
        <w:tab/>
        <w:t xml:space="preserve">La convocatoria o invitación emitida, así como los fundamentos legales aplicados para llevarla a cabo; </w:t>
      </w:r>
    </w:p>
    <w:p w14:paraId="305EE47A"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2)</w:t>
      </w:r>
      <w:r w:rsidRPr="002F17DA">
        <w:rPr>
          <w:rFonts w:ascii="Palatino Linotype" w:eastAsia="Palatino Linotype" w:hAnsi="Palatino Linotype" w:cs="Palatino Linotype"/>
          <w:i/>
          <w:sz w:val="22"/>
          <w:szCs w:val="22"/>
        </w:rPr>
        <w:tab/>
        <w:t xml:space="preserve">Los nombres de los participantes o invitados; </w:t>
      </w:r>
    </w:p>
    <w:p w14:paraId="436FED65"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3)</w:t>
      </w:r>
      <w:r w:rsidRPr="002F17DA">
        <w:rPr>
          <w:rFonts w:ascii="Palatino Linotype" w:eastAsia="Palatino Linotype" w:hAnsi="Palatino Linotype" w:cs="Palatino Linotype"/>
          <w:i/>
          <w:sz w:val="22"/>
          <w:szCs w:val="22"/>
        </w:rPr>
        <w:tab/>
      </w:r>
      <w:r w:rsidRPr="002F17DA">
        <w:rPr>
          <w:rFonts w:ascii="Palatino Linotype" w:eastAsia="Palatino Linotype" w:hAnsi="Palatino Linotype" w:cs="Palatino Linotype"/>
          <w:b/>
          <w:i/>
          <w:sz w:val="22"/>
          <w:szCs w:val="22"/>
          <w:u w:val="single"/>
        </w:rPr>
        <w:t xml:space="preserve">El nombre del ganador y las razones que lo justifican; </w:t>
      </w:r>
    </w:p>
    <w:p w14:paraId="37F303B3"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4)</w:t>
      </w:r>
      <w:r w:rsidRPr="002F17DA">
        <w:rPr>
          <w:rFonts w:ascii="Palatino Linotype" w:eastAsia="Palatino Linotype" w:hAnsi="Palatino Linotype" w:cs="Palatino Linotype"/>
          <w:i/>
          <w:sz w:val="22"/>
          <w:szCs w:val="22"/>
        </w:rPr>
        <w:tab/>
        <w:t xml:space="preserve">El área solicitante y la responsable de su ejecución; </w:t>
      </w:r>
    </w:p>
    <w:p w14:paraId="00E1B2DD"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5)</w:t>
      </w:r>
      <w:r w:rsidRPr="002F17DA">
        <w:rPr>
          <w:rFonts w:ascii="Palatino Linotype" w:eastAsia="Palatino Linotype" w:hAnsi="Palatino Linotype" w:cs="Palatino Linotype"/>
          <w:i/>
          <w:sz w:val="22"/>
          <w:szCs w:val="22"/>
        </w:rPr>
        <w:tab/>
        <w:t xml:space="preserve">Las convocatorias e invitaciones emitidas; </w:t>
      </w:r>
    </w:p>
    <w:p w14:paraId="6D976AAD"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6)</w:t>
      </w:r>
      <w:r w:rsidRPr="002F17DA">
        <w:rPr>
          <w:rFonts w:ascii="Palatino Linotype" w:eastAsia="Palatino Linotype" w:hAnsi="Palatino Linotype" w:cs="Palatino Linotype"/>
          <w:i/>
          <w:sz w:val="22"/>
          <w:szCs w:val="22"/>
        </w:rPr>
        <w:tab/>
        <w:t xml:space="preserve">Los dictámenes y fallo de adjudicación; </w:t>
      </w:r>
    </w:p>
    <w:p w14:paraId="64E456FF"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7)</w:t>
      </w:r>
      <w:r w:rsidRPr="002F17DA">
        <w:rPr>
          <w:rFonts w:ascii="Palatino Linotype" w:eastAsia="Palatino Linotype" w:hAnsi="Palatino Linotype" w:cs="Palatino Linotype"/>
          <w:i/>
          <w:sz w:val="22"/>
          <w:szCs w:val="22"/>
        </w:rPr>
        <w:tab/>
      </w:r>
      <w:r w:rsidRPr="002F17DA">
        <w:rPr>
          <w:rFonts w:ascii="Palatino Linotype" w:eastAsia="Palatino Linotype" w:hAnsi="Palatino Linotype" w:cs="Palatino Linotype"/>
          <w:b/>
          <w:i/>
          <w:sz w:val="22"/>
          <w:szCs w:val="22"/>
          <w:u w:val="single"/>
        </w:rPr>
        <w:t>El contrato y, en su caso, sus anexos</w:t>
      </w:r>
      <w:r w:rsidRPr="002F17DA">
        <w:rPr>
          <w:rFonts w:ascii="Palatino Linotype" w:eastAsia="Palatino Linotype" w:hAnsi="Palatino Linotype" w:cs="Palatino Linotype"/>
          <w:i/>
          <w:sz w:val="22"/>
          <w:szCs w:val="22"/>
        </w:rPr>
        <w:t xml:space="preserve">; </w:t>
      </w:r>
    </w:p>
    <w:p w14:paraId="26EA6C73"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8)</w:t>
      </w:r>
      <w:r w:rsidRPr="002F17DA">
        <w:rPr>
          <w:rFonts w:ascii="Palatino Linotype" w:eastAsia="Palatino Linotype" w:hAnsi="Palatino Linotype" w:cs="Palatino Linotype"/>
          <w:i/>
          <w:sz w:val="22"/>
          <w:szCs w:val="22"/>
        </w:rPr>
        <w:tab/>
        <w:t xml:space="preserve">Los mecanismos de vigilancia y supervisión, incluyendo en su caso, los estudios de impacto urbano y ambiental, según corresponda; </w:t>
      </w:r>
    </w:p>
    <w:p w14:paraId="0A4F3C44"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9)</w:t>
      </w:r>
      <w:r w:rsidRPr="002F17DA">
        <w:rPr>
          <w:rFonts w:ascii="Palatino Linotype" w:eastAsia="Palatino Linotype" w:hAnsi="Palatino Linotype" w:cs="Palatino Linotype"/>
          <w:i/>
          <w:sz w:val="22"/>
          <w:szCs w:val="22"/>
        </w:rPr>
        <w:tab/>
        <w:t xml:space="preserve">La partida presupuestal, de conformidad con el clasificador por objeto del gasto, en el caso de ser aplicable; </w:t>
      </w:r>
    </w:p>
    <w:p w14:paraId="1CC7B0EE"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10)</w:t>
      </w:r>
      <w:r w:rsidRPr="002F17DA">
        <w:rPr>
          <w:rFonts w:ascii="Palatino Linotype" w:eastAsia="Palatino Linotype" w:hAnsi="Palatino Linotype" w:cs="Palatino Linotype"/>
          <w:i/>
          <w:sz w:val="22"/>
          <w:szCs w:val="22"/>
        </w:rPr>
        <w:tab/>
        <w:t xml:space="preserve">Origen de los recursos especificando si son federales, estatales o municipales, así como el tipo de fondo de participación o aportación respectiva; </w:t>
      </w:r>
    </w:p>
    <w:p w14:paraId="33DB6517"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11)</w:t>
      </w:r>
      <w:r w:rsidRPr="002F17DA">
        <w:rPr>
          <w:rFonts w:ascii="Palatino Linotype" w:eastAsia="Palatino Linotype" w:hAnsi="Palatino Linotype" w:cs="Palatino Linotype"/>
          <w:i/>
          <w:sz w:val="22"/>
          <w:szCs w:val="22"/>
        </w:rPr>
        <w:tab/>
        <w:t xml:space="preserve">Los convenios modificatorios que, en su caso, sean firmados, precisando el objeto y la fecha de celebración; </w:t>
      </w:r>
    </w:p>
    <w:p w14:paraId="02C1F9E7"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12)</w:t>
      </w:r>
      <w:r w:rsidRPr="002F17DA">
        <w:rPr>
          <w:rFonts w:ascii="Palatino Linotype" w:eastAsia="Palatino Linotype" w:hAnsi="Palatino Linotype" w:cs="Palatino Linotype"/>
          <w:i/>
          <w:sz w:val="22"/>
          <w:szCs w:val="22"/>
        </w:rPr>
        <w:tab/>
        <w:t xml:space="preserve">Los informes de avance físico y financiero sobre las obras o servicios contratados; </w:t>
      </w:r>
    </w:p>
    <w:p w14:paraId="669CBE86"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13)</w:t>
      </w:r>
      <w:r w:rsidRPr="002F17DA">
        <w:rPr>
          <w:rFonts w:ascii="Palatino Linotype" w:eastAsia="Palatino Linotype" w:hAnsi="Palatino Linotype" w:cs="Palatino Linotype"/>
          <w:i/>
          <w:sz w:val="22"/>
          <w:szCs w:val="22"/>
        </w:rPr>
        <w:tab/>
      </w:r>
      <w:r w:rsidRPr="002F17DA">
        <w:rPr>
          <w:rFonts w:ascii="Palatino Linotype" w:eastAsia="Palatino Linotype" w:hAnsi="Palatino Linotype" w:cs="Palatino Linotype"/>
          <w:b/>
          <w:i/>
          <w:sz w:val="22"/>
          <w:szCs w:val="22"/>
          <w:u w:val="single"/>
        </w:rPr>
        <w:t>El convenio de terminación; y</w:t>
      </w:r>
      <w:r w:rsidRPr="002F17DA">
        <w:rPr>
          <w:rFonts w:ascii="Palatino Linotype" w:eastAsia="Palatino Linotype" w:hAnsi="Palatino Linotype" w:cs="Palatino Linotype"/>
          <w:i/>
          <w:sz w:val="22"/>
          <w:szCs w:val="22"/>
        </w:rPr>
        <w:t xml:space="preserve"> </w:t>
      </w:r>
    </w:p>
    <w:p w14:paraId="26460FF2" w14:textId="77777777" w:rsidR="00FE161E" w:rsidRPr="002F17DA" w:rsidRDefault="0068353D">
      <w:pPr>
        <w:tabs>
          <w:tab w:val="left" w:pos="851"/>
        </w:tabs>
        <w:ind w:left="1416" w:right="709"/>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14)</w:t>
      </w:r>
      <w:r w:rsidRPr="002F17DA">
        <w:rPr>
          <w:rFonts w:ascii="Palatino Linotype" w:eastAsia="Palatino Linotype" w:hAnsi="Palatino Linotype" w:cs="Palatino Linotype"/>
          <w:i/>
          <w:sz w:val="22"/>
          <w:szCs w:val="22"/>
        </w:rPr>
        <w:tab/>
        <w:t>El finiquito. “</w:t>
      </w:r>
    </w:p>
    <w:p w14:paraId="68DE8BA8" w14:textId="77777777" w:rsidR="00FE161E" w:rsidRPr="002F17DA" w:rsidRDefault="0068353D">
      <w:pPr>
        <w:spacing w:line="276" w:lineRule="auto"/>
        <w:ind w:left="851" w:right="141"/>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b) De las adjudicaciones directas: </w:t>
      </w:r>
    </w:p>
    <w:p w14:paraId="3CA09694"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1) La propuesta enviada por el participante; </w:t>
      </w:r>
    </w:p>
    <w:p w14:paraId="77BD90D7"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2) Los motivos y fundamentos legales aplicados para llevarla a cabo; </w:t>
      </w:r>
    </w:p>
    <w:p w14:paraId="3E6A8995"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3) La autorización del ejercicio de la opción; </w:t>
      </w:r>
    </w:p>
    <w:p w14:paraId="182CEE2D"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0EB9EE0C"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5) El nombre de la persona física o jurídica colectiva adjudicada; </w:t>
      </w:r>
    </w:p>
    <w:p w14:paraId="0DEDF098"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6) La unidad administrativa solicitante y la responsable de su ejecución; </w:t>
      </w:r>
    </w:p>
    <w:p w14:paraId="7C33AD77"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65929B8D"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lastRenderedPageBreak/>
        <w:t xml:space="preserve">8) Los mecanismos de vigilancia y supervisión, incluyendo, en su caso, los estudios de impacto urbano y ambiental, según corresponda; </w:t>
      </w:r>
    </w:p>
    <w:p w14:paraId="44664AA9"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 xml:space="preserve">9) Los informes de avance sobre las obras o servicios contratados; </w:t>
      </w:r>
    </w:p>
    <w:p w14:paraId="234B1874"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b/>
          <w:i/>
          <w:sz w:val="22"/>
          <w:szCs w:val="22"/>
          <w:u w:val="single"/>
        </w:rPr>
      </w:pPr>
      <w:r w:rsidRPr="002F17DA">
        <w:rPr>
          <w:rFonts w:ascii="Palatino Linotype" w:eastAsia="Palatino Linotype" w:hAnsi="Palatino Linotype" w:cs="Palatino Linotype"/>
          <w:b/>
          <w:i/>
          <w:sz w:val="22"/>
          <w:szCs w:val="22"/>
          <w:u w:val="single"/>
        </w:rPr>
        <w:t xml:space="preserve">10) El convenio de terminación; y </w:t>
      </w:r>
    </w:p>
    <w:p w14:paraId="12F5D291" w14:textId="77777777" w:rsidR="00FE161E" w:rsidRPr="002F17DA" w:rsidRDefault="0068353D">
      <w:pPr>
        <w:tabs>
          <w:tab w:val="left" w:pos="8080"/>
        </w:tabs>
        <w:spacing w:line="276" w:lineRule="auto"/>
        <w:ind w:left="1418" w:right="758"/>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11) El finiquito. “</w:t>
      </w:r>
    </w:p>
    <w:p w14:paraId="7B9BAF88"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EA9F0B7"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Por tanto, obras o trabajos efectuados por particulares que no guarden relación con el ejercicio de recursos públicos, no constituye obligación para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contar con la información como a la que se pretende acceder en el presente asunto.</w:t>
      </w:r>
    </w:p>
    <w:p w14:paraId="78845D24"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08F624EB" w14:textId="77777777" w:rsidR="00FE161E" w:rsidRPr="002F17DA" w:rsidRDefault="0068353D">
      <w:pPr>
        <w:spacing w:line="360" w:lineRule="auto"/>
        <w:ind w:right="141"/>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De esta manera, con el pronunciamiento realizado vía informe justificado por el Director de Obras Públicas, se considera que se colmó el derecho de acceso a la información del particular, pues se precisaron las razones por las que no se contaba con lo requerido.</w:t>
      </w:r>
    </w:p>
    <w:p w14:paraId="65F301FE" w14:textId="77777777" w:rsidR="00FE161E" w:rsidRPr="002F17DA" w:rsidRDefault="00FE161E">
      <w:pPr>
        <w:spacing w:line="360" w:lineRule="auto"/>
        <w:ind w:right="141"/>
        <w:jc w:val="both"/>
        <w:rPr>
          <w:rFonts w:ascii="Palatino Linotype" w:eastAsia="Palatino Linotype" w:hAnsi="Palatino Linotype" w:cs="Palatino Linotype"/>
          <w:sz w:val="22"/>
          <w:szCs w:val="22"/>
        </w:rPr>
      </w:pPr>
    </w:p>
    <w:p w14:paraId="36A05713"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Corolario a lo anterior, se estima que el presente caso actualiza el supuesto previsto en el artículo 192, fracción III de la Ley de Transparencia y Acceso a la Información Pública del Estado de México y Municipios vigente, a saber:</w:t>
      </w:r>
    </w:p>
    <w:p w14:paraId="403939A9"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6E65E65A" w14:textId="77777777" w:rsidR="00FE161E" w:rsidRPr="002F17DA" w:rsidRDefault="0068353D">
      <w:pPr>
        <w:ind w:left="851" w:right="900"/>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w:t>
      </w:r>
      <w:r w:rsidRPr="002F17DA">
        <w:rPr>
          <w:rFonts w:ascii="Palatino Linotype" w:eastAsia="Palatino Linotype" w:hAnsi="Palatino Linotype" w:cs="Palatino Linotype"/>
          <w:b/>
          <w:i/>
          <w:sz w:val="22"/>
          <w:szCs w:val="22"/>
        </w:rPr>
        <w:t>Artículo 192</w:t>
      </w:r>
      <w:r w:rsidRPr="002F17DA">
        <w:rPr>
          <w:rFonts w:ascii="Palatino Linotype" w:eastAsia="Palatino Linotype" w:hAnsi="Palatino Linotype" w:cs="Palatino Linotype"/>
          <w:i/>
          <w:sz w:val="22"/>
          <w:szCs w:val="22"/>
        </w:rPr>
        <w:t xml:space="preserve">. </w:t>
      </w:r>
      <w:r w:rsidRPr="002F17DA">
        <w:rPr>
          <w:rFonts w:ascii="Palatino Linotype" w:eastAsia="Palatino Linotype" w:hAnsi="Palatino Linotype" w:cs="Palatino Linotype"/>
          <w:b/>
          <w:i/>
          <w:sz w:val="22"/>
          <w:szCs w:val="22"/>
        </w:rPr>
        <w:t>El recurso será sobreseído</w:t>
      </w:r>
      <w:r w:rsidRPr="002F17DA">
        <w:rPr>
          <w:rFonts w:ascii="Palatino Linotype" w:eastAsia="Palatino Linotype" w:hAnsi="Palatino Linotype" w:cs="Palatino Linotype"/>
          <w:i/>
          <w:sz w:val="22"/>
          <w:szCs w:val="22"/>
        </w:rPr>
        <w:t xml:space="preserve">, </w:t>
      </w:r>
      <w:r w:rsidRPr="002F17DA">
        <w:rPr>
          <w:rFonts w:ascii="Palatino Linotype" w:eastAsia="Palatino Linotype" w:hAnsi="Palatino Linotype" w:cs="Palatino Linotype"/>
          <w:b/>
          <w:i/>
          <w:sz w:val="22"/>
          <w:szCs w:val="22"/>
        </w:rPr>
        <w:t>en todo o en parte,</w:t>
      </w:r>
      <w:r w:rsidRPr="002F17DA">
        <w:rPr>
          <w:rFonts w:ascii="Palatino Linotype" w:eastAsia="Palatino Linotype" w:hAnsi="Palatino Linotype" w:cs="Palatino Linotype"/>
          <w:i/>
          <w:sz w:val="22"/>
          <w:szCs w:val="22"/>
        </w:rPr>
        <w:t xml:space="preserve"> </w:t>
      </w:r>
      <w:r w:rsidRPr="002F17DA">
        <w:rPr>
          <w:rFonts w:ascii="Palatino Linotype" w:eastAsia="Palatino Linotype" w:hAnsi="Palatino Linotype" w:cs="Palatino Linotype"/>
          <w:b/>
          <w:i/>
          <w:sz w:val="22"/>
          <w:szCs w:val="22"/>
        </w:rPr>
        <w:t>cuando una vez admitido, se actualicen alguno de los siguientes supuestos</w:t>
      </w:r>
      <w:r w:rsidRPr="002F17DA">
        <w:rPr>
          <w:rFonts w:ascii="Palatino Linotype" w:eastAsia="Palatino Linotype" w:hAnsi="Palatino Linotype" w:cs="Palatino Linotype"/>
          <w:i/>
          <w:sz w:val="22"/>
          <w:szCs w:val="22"/>
        </w:rPr>
        <w:t xml:space="preserve">: </w:t>
      </w:r>
    </w:p>
    <w:p w14:paraId="5643025B" w14:textId="77777777" w:rsidR="00FE161E" w:rsidRPr="002F17DA" w:rsidRDefault="0068353D">
      <w:pPr>
        <w:ind w:left="1134" w:right="900"/>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i/>
          <w:sz w:val="22"/>
          <w:szCs w:val="22"/>
        </w:rPr>
        <w:t>(…)</w:t>
      </w:r>
    </w:p>
    <w:p w14:paraId="63BE3A0B" w14:textId="77777777" w:rsidR="00FE161E" w:rsidRPr="002F17DA" w:rsidRDefault="0068353D">
      <w:pPr>
        <w:ind w:left="1134" w:right="900"/>
        <w:jc w:val="both"/>
        <w:rPr>
          <w:rFonts w:ascii="Palatino Linotype" w:eastAsia="Palatino Linotype" w:hAnsi="Palatino Linotype" w:cs="Palatino Linotype"/>
          <w:i/>
          <w:sz w:val="22"/>
          <w:szCs w:val="22"/>
        </w:rPr>
      </w:pPr>
      <w:r w:rsidRPr="002F17DA">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2F17DA">
        <w:rPr>
          <w:rFonts w:ascii="Palatino Linotype" w:eastAsia="Palatino Linotype" w:hAnsi="Palatino Linotype" w:cs="Palatino Linotype"/>
          <w:i/>
          <w:sz w:val="22"/>
          <w:szCs w:val="22"/>
        </w:rPr>
        <w:t>”</w:t>
      </w:r>
    </w:p>
    <w:p w14:paraId="13C5A1CC" w14:textId="77777777" w:rsidR="00FE161E" w:rsidRPr="002F17DA" w:rsidRDefault="00FE161E">
      <w:pPr>
        <w:ind w:left="1134" w:right="900"/>
        <w:jc w:val="both"/>
        <w:rPr>
          <w:rFonts w:ascii="Palatino Linotype" w:eastAsia="Palatino Linotype" w:hAnsi="Palatino Linotype" w:cs="Palatino Linotype"/>
          <w:i/>
          <w:sz w:val="22"/>
          <w:szCs w:val="22"/>
        </w:rPr>
      </w:pPr>
    </w:p>
    <w:p w14:paraId="1FDCD4DF"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75DF269B"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0CD8FFF9" w14:textId="77777777" w:rsidR="00FE161E" w:rsidRPr="002F17DA" w:rsidRDefault="0068353D">
      <w:pPr>
        <w:spacing w:line="360" w:lineRule="auto"/>
        <w:ind w:left="284"/>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a) Cuando el sujeto obligado modifique el acto impugnado. </w:t>
      </w:r>
    </w:p>
    <w:p w14:paraId="7BE0AA14" w14:textId="77777777" w:rsidR="00FE161E" w:rsidRPr="002F17DA" w:rsidRDefault="0068353D">
      <w:pPr>
        <w:spacing w:line="360" w:lineRule="auto"/>
        <w:ind w:left="284"/>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b) Cuando el sujeto obligado revoque el acto impugnado; </w:t>
      </w:r>
    </w:p>
    <w:p w14:paraId="74E9AB10" w14:textId="77777777" w:rsidR="00FE161E" w:rsidRPr="002F17DA" w:rsidRDefault="00FE161E">
      <w:pPr>
        <w:spacing w:line="360" w:lineRule="auto"/>
        <w:ind w:left="284"/>
        <w:jc w:val="both"/>
        <w:rPr>
          <w:rFonts w:ascii="Palatino Linotype" w:eastAsia="Palatino Linotype" w:hAnsi="Palatino Linotype" w:cs="Palatino Linotype"/>
          <w:sz w:val="22"/>
          <w:szCs w:val="22"/>
        </w:rPr>
      </w:pPr>
    </w:p>
    <w:p w14:paraId="435470EF"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lastRenderedPageBreak/>
        <w:t>Quedando en ambos casos el acto combatido sin materia o sin efectos.</w:t>
      </w:r>
    </w:p>
    <w:p w14:paraId="197D5EDD"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79ACF62F" w14:textId="77777777" w:rsidR="00FE161E" w:rsidRPr="002F17DA" w:rsidRDefault="0068353D">
      <w:pPr>
        <w:spacing w:line="360" w:lineRule="auto"/>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sz w:val="22"/>
          <w:szCs w:val="22"/>
        </w:rPr>
        <w:t xml:space="preserve">Como se observa de lo anterior, un acto impugnado es modificado en aquellos casos en los que el </w:t>
      </w:r>
      <w:r w:rsidRPr="002F17DA">
        <w:rPr>
          <w:rFonts w:ascii="Palatino Linotype" w:eastAsia="Palatino Linotype" w:hAnsi="Palatino Linotype" w:cs="Palatino Linotype"/>
          <w:b/>
          <w:sz w:val="22"/>
          <w:szCs w:val="22"/>
        </w:rPr>
        <w:t>Sujeto Obligado</w:t>
      </w:r>
      <w:r w:rsidRPr="002F17DA">
        <w:rPr>
          <w:rFonts w:ascii="Palatino Linotype" w:eastAsia="Palatino Linotype" w:hAnsi="Palatino Linotype" w:cs="Palatino Linotype"/>
          <w:sz w:val="22"/>
          <w:szCs w:val="22"/>
        </w:rPr>
        <w:t xml:space="preserve"> después de haber otorgado una respuesta, o haber omitido hacerlo (acto de no hacer), emite una o una diversa de manera posterior y en ésta subsana las deficiencias que hubiera tenido, quedando satisfecho el derecho subjetivo accionado por la </w:t>
      </w:r>
      <w:r w:rsidRPr="002F17DA">
        <w:rPr>
          <w:rFonts w:ascii="Palatino Linotype" w:eastAsia="Palatino Linotype" w:hAnsi="Palatino Linotype" w:cs="Palatino Linotype"/>
          <w:b/>
          <w:sz w:val="22"/>
          <w:szCs w:val="22"/>
        </w:rPr>
        <w:t>parte Recurrente.</w:t>
      </w:r>
    </w:p>
    <w:p w14:paraId="7B6D6839" w14:textId="77777777" w:rsidR="00FE161E" w:rsidRPr="002F17DA" w:rsidRDefault="00FE161E">
      <w:pPr>
        <w:spacing w:line="360" w:lineRule="auto"/>
        <w:jc w:val="both"/>
        <w:rPr>
          <w:rFonts w:ascii="Palatino Linotype" w:eastAsia="Palatino Linotype" w:hAnsi="Palatino Linotype" w:cs="Palatino Linotype"/>
          <w:b/>
          <w:sz w:val="22"/>
          <w:szCs w:val="22"/>
        </w:rPr>
      </w:pPr>
    </w:p>
    <w:p w14:paraId="2F445C5A"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Por lo que hace a la revocación, ésta se actualiza cuando el </w:t>
      </w:r>
      <w:r w:rsidRPr="002F17DA">
        <w:rPr>
          <w:rFonts w:ascii="Palatino Linotype" w:eastAsia="Palatino Linotype" w:hAnsi="Palatino Linotype" w:cs="Palatino Linotype"/>
          <w:b/>
          <w:sz w:val="22"/>
          <w:szCs w:val="22"/>
        </w:rPr>
        <w:t>Sujeto Obligado</w:t>
      </w:r>
      <w:r w:rsidRPr="002F17DA">
        <w:rPr>
          <w:rFonts w:ascii="Palatino Linotype" w:eastAsia="Palatino Linotype" w:hAnsi="Palatino Linotype" w:cs="Palatino Linotype"/>
          <w:sz w:val="22"/>
          <w:szCs w:val="22"/>
        </w:rPr>
        <w:t xml:space="preserve"> deja sin efectos la primera respuesta o su primer acto y en su lugar emite otro con las características y cualidades suficientes para dejar satisfecho el ejercicio del derecho al acceso a la información pública.</w:t>
      </w:r>
    </w:p>
    <w:p w14:paraId="6C97B618"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331A8EA"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En este orden de ideas, un acto impugnado queda sin efectos, cuando aun existiendo jurídicamente (esto es, que no se ha modificado, ni revocado) ya no genera ninguna consecuencia legal.</w:t>
      </w:r>
    </w:p>
    <w:p w14:paraId="7329C596"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248E0E9E"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En tanto que, un acto impugnado queda sin materia, cuando ha sido satisfecha la pretensión del recurrente de manera que el </w:t>
      </w:r>
      <w:r w:rsidRPr="002F17DA">
        <w:rPr>
          <w:rFonts w:ascii="Palatino Linotype" w:eastAsia="Palatino Linotype" w:hAnsi="Palatino Linotype" w:cs="Palatino Linotype"/>
          <w:b/>
          <w:sz w:val="22"/>
          <w:szCs w:val="22"/>
        </w:rPr>
        <w:t>Sujeto Obligado</w:t>
      </w:r>
      <w:r w:rsidRPr="002F17DA">
        <w:rPr>
          <w:rFonts w:ascii="Palatino Linotype" w:eastAsia="Palatino Linotype" w:hAnsi="Palatino Linotype" w:cs="Palatino Linotype"/>
          <w:sz w:val="22"/>
          <w:szCs w:val="22"/>
        </w:rPr>
        <w:t xml:space="preserve"> entregó una respuesta, aunque sea posterior a los términos previstos en la ley y mediante ésta concede la información solicitada.</w:t>
      </w:r>
    </w:p>
    <w:p w14:paraId="78D3984A"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6886475E"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Atento a lo anterior, resulta evidente que en el presente asunto, el </w:t>
      </w:r>
      <w:r w:rsidRPr="002F17DA">
        <w:rPr>
          <w:rFonts w:ascii="Palatino Linotype" w:eastAsia="Palatino Linotype" w:hAnsi="Palatino Linotype" w:cs="Palatino Linotype"/>
          <w:b/>
          <w:sz w:val="22"/>
          <w:szCs w:val="22"/>
        </w:rPr>
        <w:t>Sujeto Obligado</w:t>
      </w:r>
      <w:r w:rsidRPr="002F17DA">
        <w:rPr>
          <w:rFonts w:ascii="Palatino Linotype" w:eastAsia="Palatino Linotype" w:hAnsi="Palatino Linotype" w:cs="Palatino Linotype"/>
          <w:sz w:val="22"/>
          <w:szCs w:val="22"/>
        </w:rPr>
        <w:t xml:space="preserve"> modificó la respuesta a la solicitud de la persona solicitante, aunque ello haya sido de manera posterior a su respuesta inicial, información que se hizo su conocimiento con la finalidad de que manifestara lo que a su derecho estimara conveniente, sin que obre constancia en el </w:t>
      </w:r>
      <w:r w:rsidRPr="002F17DA">
        <w:rPr>
          <w:rFonts w:ascii="Palatino Linotype" w:eastAsia="Palatino Linotype" w:hAnsi="Palatino Linotype" w:cs="Palatino Linotype"/>
          <w:sz w:val="22"/>
          <w:szCs w:val="22"/>
        </w:rPr>
        <w:lastRenderedPageBreak/>
        <w:t xml:space="preserve">expediente electrónico de que hubiera ejercido dicha prerrogativa hasta el momento de decretar el cierre de instrucción correspondiente. </w:t>
      </w:r>
    </w:p>
    <w:p w14:paraId="026CBDFD"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20C14869"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 xml:space="preserve">Con base en los argumentos vertidos, se concluye que la información remitida por el </w:t>
      </w:r>
      <w:r w:rsidRPr="002F17DA">
        <w:rPr>
          <w:rFonts w:ascii="Palatino Linotype" w:eastAsia="Palatino Linotype" w:hAnsi="Palatino Linotype" w:cs="Palatino Linotype"/>
          <w:b/>
          <w:sz w:val="22"/>
          <w:szCs w:val="22"/>
        </w:rPr>
        <w:t xml:space="preserve">Sujeto Obligado </w:t>
      </w:r>
      <w:r w:rsidRPr="002F17DA">
        <w:rPr>
          <w:rFonts w:ascii="Palatino Linotype" w:eastAsia="Palatino Linotype" w:hAnsi="Palatino Linotype" w:cs="Palatino Linotype"/>
          <w:sz w:val="22"/>
          <w:szCs w:val="22"/>
        </w:rPr>
        <w:t xml:space="preserve">en la etapa de manifestaciones satisface el requerimiento de información combatido, con lo cual quedó sin materia el presente recurso de revisión, actualizando entonces la causal prevista en la fracción III del artículo 192 de la Ley de la Materia vigente en la Entidad, antes transcrita. </w:t>
      </w:r>
    </w:p>
    <w:p w14:paraId="3203B226"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52D629A8" w14:textId="77777777" w:rsidR="00FE161E" w:rsidRPr="002F17DA" w:rsidRDefault="0068353D">
      <w:pPr>
        <w:spacing w:line="360" w:lineRule="auto"/>
        <w:jc w:val="both"/>
        <w:rPr>
          <w:rFonts w:ascii="Palatino Linotype" w:eastAsia="Palatino Linotype" w:hAnsi="Palatino Linotype" w:cs="Palatino Linotype"/>
          <w:b/>
          <w:sz w:val="22"/>
          <w:szCs w:val="22"/>
        </w:rPr>
      </w:pPr>
      <w:r w:rsidRPr="002F17DA">
        <w:rPr>
          <w:rFonts w:ascii="Palatino Linotype" w:eastAsia="Palatino Linotype" w:hAnsi="Palatino Linotype" w:cs="Palatino Linotype"/>
          <w:sz w:val="22"/>
          <w:szCs w:val="22"/>
        </w:rPr>
        <w:t xml:space="preserve">Siendo el </w:t>
      </w:r>
      <w:r w:rsidRPr="002F17DA">
        <w:rPr>
          <w:rFonts w:ascii="Palatino Linotype" w:eastAsia="Palatino Linotype" w:hAnsi="Palatino Linotype" w:cs="Palatino Linotype"/>
          <w:i/>
          <w:sz w:val="22"/>
          <w:szCs w:val="22"/>
        </w:rPr>
        <w:t>sobreseimiento</w:t>
      </w:r>
      <w:r w:rsidRPr="002F17DA">
        <w:rPr>
          <w:rFonts w:ascii="Palatino Linotype" w:eastAsia="Palatino Linotype" w:hAnsi="Palatino Linotype" w:cs="Palatino Linotype"/>
          <w:sz w:val="22"/>
          <w:szCs w:val="22"/>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2F17DA">
        <w:rPr>
          <w:rFonts w:ascii="Palatino Linotype" w:eastAsia="Palatino Linotype" w:hAnsi="Palatino Linotype" w:cs="Palatino Linotype"/>
          <w:b/>
          <w:sz w:val="22"/>
          <w:szCs w:val="22"/>
        </w:rPr>
        <w:t>SOBRESEIMIENTO, NO PERMITE ENTRAR AL ESTUDIO DE LAS CUESTIONES DE FONDO</w:t>
      </w:r>
      <w:r w:rsidRPr="002F17DA">
        <w:rPr>
          <w:rFonts w:ascii="Palatino Linotype" w:eastAsia="Palatino Linotype" w:hAnsi="Palatino Linotype" w:cs="Palatino Linotype"/>
          <w:b/>
          <w:sz w:val="22"/>
          <w:szCs w:val="22"/>
          <w:vertAlign w:val="superscript"/>
        </w:rPr>
        <w:footnoteReference w:id="1"/>
      </w:r>
      <w:r w:rsidRPr="002F17DA">
        <w:rPr>
          <w:rFonts w:ascii="Palatino Linotype" w:eastAsia="Palatino Linotype" w:hAnsi="Palatino Linotype" w:cs="Palatino Linotype"/>
          <w:b/>
          <w:sz w:val="22"/>
          <w:szCs w:val="22"/>
        </w:rPr>
        <w:t>.</w:t>
      </w:r>
    </w:p>
    <w:p w14:paraId="7D08E14D" w14:textId="77777777" w:rsidR="00FE161E" w:rsidRPr="002F17DA" w:rsidRDefault="00FE161E">
      <w:pPr>
        <w:spacing w:line="360" w:lineRule="auto"/>
        <w:jc w:val="both"/>
        <w:rPr>
          <w:rFonts w:ascii="Palatino Linotype" w:eastAsia="Palatino Linotype" w:hAnsi="Palatino Linotype" w:cs="Palatino Linotype"/>
          <w:b/>
          <w:sz w:val="22"/>
          <w:szCs w:val="22"/>
        </w:rPr>
      </w:pPr>
    </w:p>
    <w:p w14:paraId="58B84DEB" w14:textId="77777777" w:rsidR="00FE161E" w:rsidRPr="002F17DA" w:rsidRDefault="0068353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 de la Ley de Transparencia y Acceso a la Información Pública del Estado de México y Municipios, este Pleno:</w:t>
      </w:r>
    </w:p>
    <w:p w14:paraId="31920F75" w14:textId="77777777" w:rsidR="00FE161E" w:rsidRPr="002F17DA" w:rsidRDefault="00FE161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67C23C" w14:textId="77777777" w:rsidR="00FE161E" w:rsidRPr="002F17DA" w:rsidRDefault="0068353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lnxbz9" w:colFirst="0" w:colLast="0"/>
      <w:bookmarkEnd w:id="10"/>
      <w:r w:rsidRPr="002F17DA">
        <w:rPr>
          <w:rFonts w:ascii="Palatino Linotype" w:eastAsia="Palatino Linotype" w:hAnsi="Palatino Linotype" w:cs="Palatino Linotype"/>
          <w:b/>
          <w:sz w:val="22"/>
          <w:szCs w:val="22"/>
        </w:rPr>
        <w:lastRenderedPageBreak/>
        <w:t>III. R E S U E L V E</w:t>
      </w:r>
    </w:p>
    <w:p w14:paraId="6693639E" w14:textId="77777777" w:rsidR="00FE161E" w:rsidRPr="002F17DA" w:rsidRDefault="00FE161E">
      <w:pPr>
        <w:spacing w:line="360" w:lineRule="auto"/>
        <w:jc w:val="both"/>
        <w:rPr>
          <w:rFonts w:ascii="Palatino Linotype" w:eastAsia="Palatino Linotype" w:hAnsi="Palatino Linotype" w:cs="Palatino Linotype"/>
          <w:b/>
          <w:sz w:val="22"/>
          <w:szCs w:val="22"/>
        </w:rPr>
      </w:pPr>
    </w:p>
    <w:p w14:paraId="3F618CD9"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 xml:space="preserve">Primero. </w:t>
      </w:r>
      <w:r w:rsidRPr="002F17DA">
        <w:rPr>
          <w:rFonts w:ascii="Palatino Linotype" w:eastAsia="Palatino Linotype" w:hAnsi="Palatino Linotype" w:cs="Palatino Linotype"/>
          <w:sz w:val="22"/>
          <w:szCs w:val="22"/>
        </w:rPr>
        <w:t>Se</w:t>
      </w:r>
      <w:r w:rsidRPr="002F17DA">
        <w:rPr>
          <w:rFonts w:ascii="Palatino Linotype" w:eastAsia="Palatino Linotype" w:hAnsi="Palatino Linotype" w:cs="Palatino Linotype"/>
          <w:b/>
          <w:sz w:val="22"/>
          <w:szCs w:val="22"/>
        </w:rPr>
        <w:t xml:space="preserve"> Sobresee </w:t>
      </w:r>
      <w:r w:rsidRPr="002F17DA">
        <w:rPr>
          <w:rFonts w:ascii="Palatino Linotype" w:eastAsia="Palatino Linotype" w:hAnsi="Palatino Linotype" w:cs="Palatino Linotype"/>
          <w:sz w:val="22"/>
          <w:szCs w:val="22"/>
        </w:rPr>
        <w:t xml:space="preserve">el recurso de revisión número </w:t>
      </w:r>
      <w:r w:rsidRPr="002F17DA">
        <w:rPr>
          <w:rFonts w:ascii="Palatino Linotype" w:eastAsia="Palatino Linotype" w:hAnsi="Palatino Linotype" w:cs="Palatino Linotype"/>
          <w:b/>
          <w:sz w:val="22"/>
          <w:szCs w:val="22"/>
        </w:rPr>
        <w:t xml:space="preserve">03989/INFOEM/IP/RR/2024, </w:t>
      </w:r>
      <w:r w:rsidRPr="002F17DA">
        <w:rPr>
          <w:rFonts w:ascii="Palatino Linotype" w:eastAsia="Palatino Linotype" w:hAnsi="Palatino Linotype" w:cs="Palatino Linotype"/>
          <w:sz w:val="22"/>
          <w:szCs w:val="22"/>
        </w:rPr>
        <w:t xml:space="preserve">porque al </w:t>
      </w:r>
      <w:r w:rsidRPr="002F17DA">
        <w:rPr>
          <w:rFonts w:ascii="Palatino Linotype" w:eastAsia="Palatino Linotype" w:hAnsi="Palatino Linotype" w:cs="Palatino Linotype"/>
          <w:b/>
          <w:sz w:val="22"/>
          <w:szCs w:val="22"/>
        </w:rPr>
        <w:t>modificar la respuesta</w:t>
      </w:r>
      <w:r w:rsidRPr="002F17DA">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quedando sin materia en términos del considerando </w:t>
      </w:r>
      <w:r w:rsidRPr="002F17DA">
        <w:rPr>
          <w:rFonts w:ascii="Palatino Linotype" w:eastAsia="Palatino Linotype" w:hAnsi="Palatino Linotype" w:cs="Palatino Linotype"/>
          <w:b/>
          <w:sz w:val="22"/>
          <w:szCs w:val="22"/>
        </w:rPr>
        <w:t xml:space="preserve">Tercero </w:t>
      </w:r>
      <w:r w:rsidRPr="002F17DA">
        <w:rPr>
          <w:rFonts w:ascii="Palatino Linotype" w:eastAsia="Palatino Linotype" w:hAnsi="Palatino Linotype" w:cs="Palatino Linotype"/>
          <w:sz w:val="22"/>
          <w:szCs w:val="22"/>
        </w:rPr>
        <w:t>de la presente Resolución.</w:t>
      </w:r>
    </w:p>
    <w:p w14:paraId="1C65429E"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73B95C72" w14:textId="77777777" w:rsidR="00FE161E" w:rsidRPr="002F17DA" w:rsidRDefault="0068353D">
      <w:pPr>
        <w:spacing w:line="360" w:lineRule="auto"/>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b/>
          <w:sz w:val="22"/>
          <w:szCs w:val="22"/>
        </w:rPr>
        <w:t xml:space="preserve">Segundo. Notifíquese, </w:t>
      </w:r>
      <w:r w:rsidRPr="002F17DA">
        <w:rPr>
          <w:rFonts w:ascii="Palatino Linotype" w:eastAsia="Palatino Linotype" w:hAnsi="Palatino Linotype" w:cs="Palatino Linotype"/>
          <w:sz w:val="22"/>
          <w:szCs w:val="22"/>
        </w:rPr>
        <w:t>vía</w:t>
      </w:r>
      <w:r w:rsidRPr="002F17DA">
        <w:rPr>
          <w:rFonts w:ascii="Palatino Linotype" w:eastAsia="Palatino Linotype" w:hAnsi="Palatino Linotype" w:cs="Palatino Linotype"/>
          <w:b/>
          <w:sz w:val="22"/>
          <w:szCs w:val="22"/>
        </w:rPr>
        <w:t xml:space="preserve"> SAIMEX</w:t>
      </w:r>
      <w:r w:rsidRPr="002F17DA">
        <w:rPr>
          <w:rFonts w:ascii="Palatino Linotype" w:eastAsia="Palatino Linotype" w:hAnsi="Palatino Linotype" w:cs="Palatino Linotype"/>
          <w:b/>
          <w:i/>
          <w:sz w:val="22"/>
          <w:szCs w:val="22"/>
        </w:rPr>
        <w:t xml:space="preserve">, </w:t>
      </w:r>
      <w:r w:rsidRPr="002F17DA">
        <w:rPr>
          <w:rFonts w:ascii="Palatino Linotype" w:eastAsia="Palatino Linotype" w:hAnsi="Palatino Linotype" w:cs="Palatino Linotype"/>
          <w:sz w:val="22"/>
          <w:szCs w:val="22"/>
        </w:rPr>
        <w:t xml:space="preserve">al Titular de la Unidad de Transparencia del </w:t>
      </w:r>
      <w:r w:rsidRPr="002F17DA">
        <w:rPr>
          <w:rFonts w:ascii="Palatino Linotype" w:eastAsia="Palatino Linotype" w:hAnsi="Palatino Linotype" w:cs="Palatino Linotype"/>
          <w:b/>
          <w:sz w:val="22"/>
          <w:szCs w:val="22"/>
        </w:rPr>
        <w:t>Sujeto Obligado</w:t>
      </w:r>
      <w:r w:rsidRPr="002F17DA">
        <w:rPr>
          <w:rFonts w:ascii="Palatino Linotype" w:eastAsia="Palatino Linotype" w:hAnsi="Palatino Linotype" w:cs="Palatino Linotype"/>
          <w:sz w:val="22"/>
          <w:szCs w:val="22"/>
        </w:rPr>
        <w:t xml:space="preserve"> la presente resolución, para su conocimiento.</w:t>
      </w:r>
    </w:p>
    <w:p w14:paraId="291C7255"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435AF687" w14:textId="77777777" w:rsidR="00FE161E" w:rsidRPr="002F17DA" w:rsidRDefault="0068353D">
      <w:pPr>
        <w:spacing w:line="360" w:lineRule="auto"/>
        <w:jc w:val="both"/>
        <w:rPr>
          <w:rFonts w:ascii="Palatino Linotype" w:eastAsia="Palatino Linotype" w:hAnsi="Palatino Linotype" w:cs="Palatino Linotype"/>
          <w:sz w:val="22"/>
          <w:szCs w:val="22"/>
        </w:rPr>
      </w:pPr>
      <w:bookmarkStart w:id="11" w:name="_heading=h.26in1rg" w:colFirst="0" w:colLast="0"/>
      <w:bookmarkEnd w:id="11"/>
      <w:r w:rsidRPr="002F17DA">
        <w:rPr>
          <w:rFonts w:ascii="Palatino Linotype" w:eastAsia="Palatino Linotype" w:hAnsi="Palatino Linotype" w:cs="Palatino Linotype"/>
          <w:b/>
          <w:sz w:val="22"/>
          <w:szCs w:val="22"/>
        </w:rPr>
        <w:t xml:space="preserve">Tercero. Notifíquese, </w:t>
      </w:r>
      <w:r w:rsidRPr="002F17DA">
        <w:rPr>
          <w:rFonts w:ascii="Palatino Linotype" w:eastAsia="Palatino Linotype" w:hAnsi="Palatino Linotype" w:cs="Palatino Linotype"/>
          <w:sz w:val="22"/>
          <w:szCs w:val="22"/>
        </w:rPr>
        <w:t>vía</w:t>
      </w:r>
      <w:r w:rsidRPr="002F17DA">
        <w:rPr>
          <w:rFonts w:ascii="Palatino Linotype" w:eastAsia="Palatino Linotype" w:hAnsi="Palatino Linotype" w:cs="Palatino Linotype"/>
          <w:b/>
          <w:sz w:val="22"/>
          <w:szCs w:val="22"/>
        </w:rPr>
        <w:t xml:space="preserve"> SAIMEX</w:t>
      </w:r>
      <w:r w:rsidRPr="002F17DA">
        <w:rPr>
          <w:rFonts w:ascii="Palatino Linotype" w:eastAsia="Palatino Linotype" w:hAnsi="Palatino Linotype" w:cs="Palatino Linotype"/>
          <w:sz w:val="22"/>
          <w:szCs w:val="22"/>
        </w:rPr>
        <w:t>, a</w:t>
      </w:r>
      <w:r w:rsidRPr="002F17DA">
        <w:rPr>
          <w:rFonts w:ascii="Palatino Linotype" w:eastAsia="Palatino Linotype" w:hAnsi="Palatino Linotype" w:cs="Palatino Linotype"/>
          <w:b/>
          <w:sz w:val="22"/>
          <w:szCs w:val="22"/>
        </w:rPr>
        <w:t xml:space="preserve"> </w:t>
      </w:r>
      <w:r w:rsidRPr="002F17DA">
        <w:rPr>
          <w:rFonts w:ascii="Palatino Linotype" w:eastAsia="Palatino Linotype" w:hAnsi="Palatino Linotype" w:cs="Palatino Linotype"/>
          <w:sz w:val="22"/>
          <w:szCs w:val="22"/>
        </w:rPr>
        <w:t xml:space="preserve">la parte </w:t>
      </w:r>
      <w:r w:rsidRPr="002F17DA">
        <w:rPr>
          <w:rFonts w:ascii="Palatino Linotype" w:eastAsia="Palatino Linotype" w:hAnsi="Palatino Linotype" w:cs="Palatino Linotype"/>
          <w:b/>
          <w:sz w:val="22"/>
          <w:szCs w:val="22"/>
        </w:rPr>
        <w:t>Recurrente</w:t>
      </w:r>
      <w:r w:rsidRPr="002F17DA">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13B0761B" w14:textId="77777777" w:rsidR="00FE161E" w:rsidRPr="002F17DA" w:rsidRDefault="00FE161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3AFB436" w14:textId="77777777" w:rsidR="00FE161E" w:rsidRPr="002F17DA" w:rsidRDefault="0068353D">
      <w:pPr>
        <w:spacing w:line="360" w:lineRule="auto"/>
        <w:ind w:right="-93"/>
        <w:jc w:val="both"/>
        <w:rPr>
          <w:rFonts w:ascii="Palatino Linotype" w:eastAsia="Palatino Linotype" w:hAnsi="Palatino Linotype" w:cs="Palatino Linotype"/>
          <w:sz w:val="22"/>
          <w:szCs w:val="22"/>
        </w:rPr>
      </w:pPr>
      <w:r w:rsidRPr="002F17D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VEINTICINCO DE SEPTIEMBRE DE DOS MIL VEINTICUATRO, ANTE EL SECRETARIO TÉCNICO DEL PLENO ALEXIS TAPIA RAMÍREZ.</w:t>
      </w:r>
    </w:p>
    <w:p w14:paraId="36A1639E" w14:textId="77777777" w:rsidR="00FE161E" w:rsidRPr="002F17DA" w:rsidRDefault="00FE161E">
      <w:pPr>
        <w:spacing w:line="360" w:lineRule="auto"/>
        <w:ind w:right="-7"/>
        <w:jc w:val="both"/>
        <w:rPr>
          <w:rFonts w:ascii="Palatino Linotype" w:eastAsia="Palatino Linotype" w:hAnsi="Palatino Linotype" w:cs="Palatino Linotype"/>
          <w:sz w:val="22"/>
          <w:szCs w:val="22"/>
        </w:rPr>
      </w:pPr>
    </w:p>
    <w:p w14:paraId="687782BB" w14:textId="77777777" w:rsidR="00FE161E" w:rsidRPr="002F17DA" w:rsidRDefault="00FE161E">
      <w:pPr>
        <w:spacing w:line="360" w:lineRule="auto"/>
        <w:jc w:val="both"/>
        <w:rPr>
          <w:rFonts w:ascii="Palatino Linotype" w:eastAsia="Palatino Linotype" w:hAnsi="Palatino Linotype" w:cs="Palatino Linotype"/>
          <w:sz w:val="22"/>
          <w:szCs w:val="22"/>
        </w:rPr>
      </w:pPr>
      <w:bookmarkStart w:id="12" w:name="_heading=h.3rdcrjn" w:colFirst="0" w:colLast="0"/>
      <w:bookmarkEnd w:id="12"/>
    </w:p>
    <w:p w14:paraId="4BDF3412"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4CDD8535"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694C26F5" w14:textId="77777777" w:rsidR="00FE161E" w:rsidRPr="002F17DA" w:rsidRDefault="00FE161E">
      <w:pPr>
        <w:spacing w:line="360" w:lineRule="auto"/>
        <w:jc w:val="both"/>
        <w:rPr>
          <w:rFonts w:ascii="Palatino Linotype" w:eastAsia="Palatino Linotype" w:hAnsi="Palatino Linotype" w:cs="Palatino Linotype"/>
          <w:sz w:val="22"/>
          <w:szCs w:val="22"/>
        </w:rPr>
      </w:pPr>
      <w:bookmarkStart w:id="13" w:name="_heading=h.1t3h5sf" w:colFirst="0" w:colLast="0"/>
      <w:bookmarkEnd w:id="13"/>
    </w:p>
    <w:p w14:paraId="297F63A4"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71E4DDE"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009DF579"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46DEE2CC"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6FAF7CA8"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3A4E2873"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6372A183"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3FAB0158"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E5F763F"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4F480A3B"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9BD4DE1"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0E617F6B"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4D61D4B5"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3D29FD5E"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0EE9E248"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3D9AA38C"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7080FEF5"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FC1F9B0"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6F949200"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31B20BA1" w14:textId="77777777" w:rsidR="00FE161E" w:rsidRPr="002F17DA" w:rsidRDefault="00FE161E">
      <w:pPr>
        <w:spacing w:line="360" w:lineRule="auto"/>
        <w:jc w:val="both"/>
        <w:rPr>
          <w:rFonts w:ascii="Palatino Linotype" w:eastAsia="Palatino Linotype" w:hAnsi="Palatino Linotype" w:cs="Palatino Linotype"/>
          <w:sz w:val="22"/>
          <w:szCs w:val="22"/>
        </w:rPr>
      </w:pPr>
    </w:p>
    <w:p w14:paraId="1674DC1C" w14:textId="77777777" w:rsidR="00FE161E" w:rsidRPr="002F17DA" w:rsidRDefault="00FE161E">
      <w:pPr>
        <w:spacing w:line="360" w:lineRule="auto"/>
        <w:jc w:val="both"/>
        <w:rPr>
          <w:rFonts w:ascii="Palatino Linotype" w:eastAsia="Palatino Linotype" w:hAnsi="Palatino Linotype" w:cs="Palatino Linotype"/>
          <w:sz w:val="22"/>
          <w:szCs w:val="22"/>
        </w:rPr>
      </w:pPr>
    </w:p>
    <w:sectPr w:rsidR="00FE161E" w:rsidRPr="002F17DA">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B410E" w14:textId="77777777" w:rsidR="00677D38" w:rsidRDefault="00677D38">
      <w:r>
        <w:separator/>
      </w:r>
    </w:p>
  </w:endnote>
  <w:endnote w:type="continuationSeparator" w:id="0">
    <w:p w14:paraId="729068F4" w14:textId="77777777" w:rsidR="00677D38" w:rsidRDefault="00677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9CF0" w14:textId="77777777" w:rsidR="00FE161E" w:rsidRDefault="006835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46992">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46992">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70706340" w14:textId="77777777" w:rsidR="00FE161E" w:rsidRDefault="00FE161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2CC50" w14:textId="77777777" w:rsidR="00FE161E" w:rsidRDefault="0068353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F17D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F17DA">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p>
  <w:p w14:paraId="1E94D2C3" w14:textId="77777777" w:rsidR="00FE161E" w:rsidRDefault="00FE161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D3AD2" w14:textId="77777777" w:rsidR="00677D38" w:rsidRDefault="00677D38">
      <w:r>
        <w:separator/>
      </w:r>
    </w:p>
  </w:footnote>
  <w:footnote w:type="continuationSeparator" w:id="0">
    <w:p w14:paraId="00580F46" w14:textId="77777777" w:rsidR="00677D38" w:rsidRDefault="00677D38">
      <w:r>
        <w:continuationSeparator/>
      </w:r>
    </w:p>
  </w:footnote>
  <w:footnote w:id="1">
    <w:p w14:paraId="163B0AD7" w14:textId="77777777" w:rsidR="00FE161E" w:rsidRDefault="0068353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721B97B2" w14:textId="77777777" w:rsidR="00FE161E" w:rsidRDefault="0068353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77B1" w14:textId="77777777" w:rsidR="00FE161E" w:rsidRDefault="0068353D">
    <w:pPr>
      <w:rPr>
        <w:rFonts w:ascii="Cambria" w:eastAsia="Cambria" w:hAnsi="Cambria" w:cs="Cambria"/>
        <w:color w:val="000000"/>
      </w:rPr>
    </w:pPr>
    <w:r>
      <w:rPr>
        <w:noProof/>
      </w:rPr>
      <w:drawing>
        <wp:anchor distT="0" distB="0" distL="0" distR="0" simplePos="0" relativeHeight="251658240" behindDoc="1" locked="0" layoutInCell="1" hidden="0" allowOverlap="1" wp14:anchorId="0CCE0790" wp14:editId="5704D33D">
          <wp:simplePos x="0" y="0"/>
          <wp:positionH relativeFrom="column">
            <wp:posOffset>-1080111</wp:posOffset>
          </wp:positionH>
          <wp:positionV relativeFrom="paragraph">
            <wp:posOffset>-488286</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7087" w:type="dxa"/>
      <w:tblInd w:w="3261" w:type="dxa"/>
      <w:tblLayout w:type="fixed"/>
      <w:tblLook w:val="0400" w:firstRow="0" w:lastRow="0" w:firstColumn="0" w:lastColumn="0" w:noHBand="0" w:noVBand="1"/>
    </w:tblPr>
    <w:tblGrid>
      <w:gridCol w:w="2489"/>
      <w:gridCol w:w="4598"/>
    </w:tblGrid>
    <w:tr w:rsidR="00FE161E" w14:paraId="34DB65CB" w14:textId="77777777">
      <w:tc>
        <w:tcPr>
          <w:tcW w:w="2489" w:type="dxa"/>
          <w:shd w:val="clear" w:color="auto" w:fill="auto"/>
        </w:tcPr>
        <w:p w14:paraId="5CE87500" w14:textId="77777777" w:rsidR="00FE161E" w:rsidRDefault="006835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5CDD6793" w14:textId="77777777" w:rsidR="00FE161E" w:rsidRDefault="0068353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03989/INFOEM/IP/RR/2024</w:t>
          </w:r>
        </w:p>
      </w:tc>
    </w:tr>
    <w:tr w:rsidR="00FE161E" w14:paraId="55C6FDF4" w14:textId="77777777">
      <w:trPr>
        <w:trHeight w:val="228"/>
      </w:trPr>
      <w:tc>
        <w:tcPr>
          <w:tcW w:w="2489" w:type="dxa"/>
          <w:shd w:val="clear" w:color="auto" w:fill="auto"/>
          <w:vAlign w:val="center"/>
        </w:tcPr>
        <w:p w14:paraId="5FDCEC18" w14:textId="77777777" w:rsidR="00FE161E" w:rsidRDefault="006835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395A3C45" w14:textId="77777777" w:rsidR="00FE161E" w:rsidRDefault="0068353D">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FE161E" w14:paraId="7A09CEF8" w14:textId="77777777">
      <w:tc>
        <w:tcPr>
          <w:tcW w:w="2489" w:type="dxa"/>
          <w:shd w:val="clear" w:color="auto" w:fill="auto"/>
          <w:vAlign w:val="center"/>
        </w:tcPr>
        <w:p w14:paraId="4E096024" w14:textId="77777777" w:rsidR="00FE161E" w:rsidRDefault="0068353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8BA3180" w14:textId="77777777" w:rsidR="00FE161E" w:rsidRDefault="0068353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55E745" w14:textId="77777777" w:rsidR="00FE161E" w:rsidRDefault="0068353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97FB" w14:textId="77777777" w:rsidR="00FE161E" w:rsidRDefault="0068353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F28A047" wp14:editId="0499AAD3">
          <wp:simplePos x="0" y="0"/>
          <wp:positionH relativeFrom="column">
            <wp:posOffset>-1079489</wp:posOffset>
          </wp:positionH>
          <wp:positionV relativeFrom="paragraph">
            <wp:posOffset>-328919</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6945" w:type="dxa"/>
      <w:tblInd w:w="3261" w:type="dxa"/>
      <w:tblLayout w:type="fixed"/>
      <w:tblLook w:val="0400" w:firstRow="0" w:lastRow="0" w:firstColumn="0" w:lastColumn="0" w:noHBand="0" w:noVBand="1"/>
    </w:tblPr>
    <w:tblGrid>
      <w:gridCol w:w="2551"/>
      <w:gridCol w:w="4394"/>
    </w:tblGrid>
    <w:tr w:rsidR="00FE161E" w14:paraId="09A8F0AC" w14:textId="77777777">
      <w:tc>
        <w:tcPr>
          <w:tcW w:w="2551" w:type="dxa"/>
          <w:shd w:val="clear" w:color="auto" w:fill="auto"/>
          <w:vAlign w:val="center"/>
        </w:tcPr>
        <w:p w14:paraId="5C465EFC" w14:textId="77777777" w:rsidR="00FE161E" w:rsidRDefault="006835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12B6CB7B" w14:textId="77777777" w:rsidR="00FE161E" w:rsidRDefault="0068353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03989/INFOEM/IP/RR/2024</w:t>
          </w:r>
        </w:p>
      </w:tc>
    </w:tr>
    <w:tr w:rsidR="00FE161E" w14:paraId="21E18360" w14:textId="77777777">
      <w:trPr>
        <w:trHeight w:val="130"/>
      </w:trPr>
      <w:tc>
        <w:tcPr>
          <w:tcW w:w="2551" w:type="dxa"/>
          <w:shd w:val="clear" w:color="auto" w:fill="auto"/>
          <w:vAlign w:val="center"/>
        </w:tcPr>
        <w:p w14:paraId="3125B8CC" w14:textId="77777777" w:rsidR="00FE161E" w:rsidRDefault="006835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0F2F3A70" w14:textId="77777777" w:rsidR="00FE161E" w:rsidRDefault="00FE161E">
          <w:pPr>
            <w:ind w:left="-45"/>
            <w:jc w:val="both"/>
            <w:rPr>
              <w:rFonts w:ascii="Palatino Linotype" w:eastAsia="Palatino Linotype" w:hAnsi="Palatino Linotype" w:cs="Palatino Linotype"/>
              <w:b/>
              <w:sz w:val="22"/>
              <w:szCs w:val="22"/>
            </w:rPr>
          </w:pPr>
        </w:p>
      </w:tc>
    </w:tr>
    <w:tr w:rsidR="00FE161E" w14:paraId="0056B53A" w14:textId="77777777">
      <w:trPr>
        <w:trHeight w:val="228"/>
      </w:trPr>
      <w:tc>
        <w:tcPr>
          <w:tcW w:w="2551" w:type="dxa"/>
          <w:shd w:val="clear" w:color="auto" w:fill="auto"/>
          <w:vAlign w:val="center"/>
        </w:tcPr>
        <w:p w14:paraId="6379C58D" w14:textId="77777777" w:rsidR="00FE161E" w:rsidRDefault="006835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519C9D98" w14:textId="77777777" w:rsidR="00FE161E" w:rsidRDefault="0068353D">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FE161E" w14:paraId="56820279" w14:textId="77777777">
      <w:tc>
        <w:tcPr>
          <w:tcW w:w="2551" w:type="dxa"/>
          <w:shd w:val="clear" w:color="auto" w:fill="auto"/>
          <w:vAlign w:val="center"/>
        </w:tcPr>
        <w:p w14:paraId="19731FDB" w14:textId="77777777" w:rsidR="00FE161E" w:rsidRDefault="0068353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099C75C" w14:textId="77777777" w:rsidR="00FE161E" w:rsidRDefault="0068353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A5B725" w14:textId="77777777" w:rsidR="00FE161E" w:rsidRDefault="00FE161E">
    <w:pPr>
      <w:pBdr>
        <w:top w:val="nil"/>
        <w:left w:val="nil"/>
        <w:bottom w:val="nil"/>
        <w:right w:val="nil"/>
        <w:between w:val="nil"/>
      </w:pBdr>
      <w:tabs>
        <w:tab w:val="center" w:pos="4252"/>
        <w:tab w:val="right" w:pos="8504"/>
      </w:tabs>
      <w:rPr>
        <w:rFonts w:ascii="Cambria" w:eastAsia="Cambria" w:hAnsi="Cambria" w:cs="Cambria"/>
        <w:color w:val="000000"/>
      </w:rPr>
    </w:pPr>
  </w:p>
  <w:p w14:paraId="746FE273" w14:textId="77777777" w:rsidR="00FE161E" w:rsidRDefault="00FE16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41522"/>
    <w:multiLevelType w:val="multilevel"/>
    <w:tmpl w:val="B62C66A8"/>
    <w:lvl w:ilvl="0">
      <w:start w:val="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2491FD2"/>
    <w:multiLevelType w:val="multilevel"/>
    <w:tmpl w:val="F94C912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5D0671E8"/>
    <w:multiLevelType w:val="multilevel"/>
    <w:tmpl w:val="2D8CA82E"/>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877D78"/>
    <w:multiLevelType w:val="multilevel"/>
    <w:tmpl w:val="8B6295A8"/>
    <w:lvl w:ilvl="0">
      <w:start w:val="6"/>
      <w:numFmt w:val="bullet"/>
      <w:pStyle w:val="Listaconvietas2"/>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D77151"/>
    <w:multiLevelType w:val="multilevel"/>
    <w:tmpl w:val="11DEF2EA"/>
    <w:lvl w:ilvl="0">
      <w:start w:val="1"/>
      <w:numFmt w:val="decimal"/>
      <w:lvlText w:val="%1."/>
      <w:lvlJc w:val="left"/>
      <w:pPr>
        <w:ind w:left="36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61E"/>
    <w:rsid w:val="00034D1E"/>
    <w:rsid w:val="002F17DA"/>
    <w:rsid w:val="00677D38"/>
    <w:rsid w:val="0068353D"/>
    <w:rsid w:val="00741F7B"/>
    <w:rsid w:val="007B6D3A"/>
    <w:rsid w:val="00F46992"/>
    <w:rsid w:val="00F726CD"/>
    <w:rsid w:val="00FE16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2A6C"/>
  <w15:docId w15:val="{ED8E6543-5A38-4798-BE14-D09CFD09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basedOn w:val="Normal"/>
    <w:link w:val="TextonotapieCar"/>
    <w:uiPriority w:val="99"/>
    <w:semiHidden/>
    <w:unhideWhenUsed/>
    <w:rsid w:val="00F759CF"/>
    <w:rPr>
      <w:sz w:val="20"/>
      <w:szCs w:val="20"/>
    </w:rPr>
  </w:style>
  <w:style w:type="character" w:customStyle="1" w:styleId="TextonotapieCar">
    <w:name w:val="Texto nota pie Car"/>
    <w:basedOn w:val="Fuentedeprrafopredeter"/>
    <w:link w:val="Textonotapie"/>
    <w:uiPriority w:val="99"/>
    <w:semiHidden/>
    <w:rsid w:val="00F759C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759CF"/>
    <w:rPr>
      <w:vertAlign w:val="superscript"/>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C28F5"/>
    <w:pPr>
      <w:numPr>
        <w:numId w:val="3"/>
      </w:numPr>
      <w:contextualSpacing/>
    </w:pPr>
  </w:style>
  <w:style w:type="paragraph" w:styleId="Textodeglobo">
    <w:name w:val="Balloon Text"/>
    <w:basedOn w:val="Normal"/>
    <w:link w:val="TextodegloboCar"/>
    <w:uiPriority w:val="99"/>
    <w:semiHidden/>
    <w:unhideWhenUsed/>
    <w:rsid w:val="00B37A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7A94"/>
    <w:rPr>
      <w:rFonts w:ascii="Segoe UI" w:hAnsi="Segoe UI" w:cs="Segoe UI"/>
      <w:sz w:val="18"/>
      <w:szCs w:val="18"/>
    </w:r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932E42"/>
    <w:rPr>
      <w:color w:val="800080" w:themeColor="followedHyperlink"/>
      <w:u w:val="single"/>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8.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7.png"/><Relationship Id="rId17" Type="http://schemas.openxmlformats.org/officeDocument/2006/relationships/image" Target="media/image16.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hyperlink" Target="https://mvsnoticias.com/nacional/estados/2023/3/13/malltertainment-galerias-metepec-conoce-como-sera-cuando-se-inaugurara-585819.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lajornadaestadodemexico.com/metepec-cerraran-vialidad-en-zona-comercial-por-6-meses/" TargetMode="External"/><Relationship Id="rId28" Type="http://schemas.openxmlformats.org/officeDocument/2006/relationships/footer" Target="footer1.xml"/><Relationship Id="rId10" Type="http://schemas.openxmlformats.org/officeDocument/2006/relationships/image" Target="media/image12.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WVlF2nxyiYgkvTgUi3z2EElLMA==">CgMxLjAyCWguMWZvYjl0ZTIIaC5namRneHMyCWguM2R5NnZrbTIJaC4zMGowemxsMgloLjJzOGV5bzEyCWguMTdkcDh2dTIIaC50eWpjd3QyCWguM3pueXNoNzIJaC4xeTgxMHR3MgloLjRkMzRvZzgyCGgubG54Yno5MgloLjI2aW4xcmcyCWguM3JkY3JqbjIJaC4xdDNoNXNmOAByITF2Y1d2NHZuVzNYVHdDTTZWekVnSm1uQWZ5TXRQdk41aQ==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6281</Words>
  <Characters>34549</Characters>
  <Application>Microsoft Office Word</Application>
  <DocSecurity>0</DocSecurity>
  <Lines>287</Lines>
  <Paragraphs>81</Paragraphs>
  <ScaleCrop>false</ScaleCrop>
  <Company>HP Inc.</Company>
  <LinksUpToDate>false</LinksUpToDate>
  <CharactersWithSpaces>40749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2024-09-27T16:53:00Z</cp:lastPrinted>
  <dcterms:created xsi:type="dcterms:W3CDTF">2024-10-04T19:48:00Z</dcterms:created>
  <dcterms:modified xsi:type="dcterms:W3CDTF">2024-10-04T19:48:00Z</dcterms:modified>
</cp:coreProperties>
</file>