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0E6E0B" w14:textId="77777777" w:rsidR="003E1096" w:rsidRDefault="005806A6">
      <w:pPr>
        <w:spacing w:before="240" w:after="240"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w:t>
      </w:r>
      <w:r>
        <w:rPr>
          <w:rFonts w:ascii="Palatino Linotype" w:eastAsia="Palatino Linotype" w:hAnsi="Palatino Linotype" w:cs="Palatino Linotype"/>
          <w:color w:val="000000"/>
          <w:sz w:val="22"/>
          <w:szCs w:val="22"/>
        </w:rPr>
        <w:t xml:space="preserve">a </w:t>
      </w:r>
      <w:r>
        <w:rPr>
          <w:rFonts w:ascii="Palatino Linotype" w:eastAsia="Palatino Linotype" w:hAnsi="Palatino Linotype" w:cs="Palatino Linotype"/>
          <w:b/>
          <w:color w:val="000000"/>
          <w:sz w:val="22"/>
          <w:szCs w:val="22"/>
        </w:rPr>
        <w:t xml:space="preserve">cuatro de diciembre </w:t>
      </w:r>
      <w:r>
        <w:rPr>
          <w:rFonts w:ascii="Palatino Linotype" w:eastAsia="Palatino Linotype" w:hAnsi="Palatino Linotype" w:cs="Palatino Linotype"/>
          <w:b/>
          <w:sz w:val="22"/>
          <w:szCs w:val="22"/>
        </w:rPr>
        <w:t>de dos mil veinticuatro</w:t>
      </w:r>
      <w:r>
        <w:rPr>
          <w:rFonts w:ascii="Palatino Linotype" w:eastAsia="Palatino Linotype" w:hAnsi="Palatino Linotype" w:cs="Palatino Linotype"/>
          <w:sz w:val="22"/>
          <w:szCs w:val="22"/>
        </w:rPr>
        <w:t xml:space="preserve">. </w:t>
      </w:r>
    </w:p>
    <w:p w14:paraId="60A0692C" w14:textId="77777777" w:rsidR="003E1096" w:rsidRDefault="005806A6">
      <w:pPr>
        <w:spacing w:before="240" w:after="240"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Vistos</w:t>
      </w:r>
      <w:r>
        <w:rPr>
          <w:rFonts w:ascii="Palatino Linotype" w:eastAsia="Palatino Linotype" w:hAnsi="Palatino Linotype" w:cs="Palatino Linotype"/>
          <w:sz w:val="22"/>
          <w:szCs w:val="22"/>
        </w:rPr>
        <w:t xml:space="preserve"> los expedientes formados con motivo de los recursos de revisión </w:t>
      </w:r>
      <w:r>
        <w:rPr>
          <w:rFonts w:ascii="Palatino Linotype" w:eastAsia="Palatino Linotype" w:hAnsi="Palatino Linotype" w:cs="Palatino Linotype"/>
          <w:b/>
          <w:sz w:val="22"/>
          <w:szCs w:val="22"/>
        </w:rPr>
        <w:t xml:space="preserve">06714/INFOEM/IP/RR/2024, 06716/INFOEM/IP/RR/2024, 06728/INFOEM/IP/RR/2024, </w:t>
      </w:r>
      <w:r>
        <w:t xml:space="preserve"> </w:t>
      </w:r>
      <w:r>
        <w:rPr>
          <w:rFonts w:ascii="Palatino Linotype" w:eastAsia="Palatino Linotype" w:hAnsi="Palatino Linotype" w:cs="Palatino Linotype"/>
          <w:b/>
          <w:sz w:val="22"/>
          <w:szCs w:val="22"/>
        </w:rPr>
        <w:t xml:space="preserve">06732/INFOEM/IP/RR/2024, 06882/INFOEM/IP/RR/2024 y 06905/INFOEM/IP/RR/2024 acumulados, </w:t>
      </w:r>
      <w:r>
        <w:rPr>
          <w:rFonts w:ascii="Palatino Linotype" w:eastAsia="Palatino Linotype" w:hAnsi="Palatino Linotype" w:cs="Palatino Linotype"/>
          <w:sz w:val="22"/>
          <w:szCs w:val="22"/>
        </w:rPr>
        <w:t>interpuestos por</w:t>
      </w:r>
      <w:r>
        <w:rPr>
          <w:rFonts w:ascii="Palatino Linotype" w:eastAsia="Palatino Linotype" w:hAnsi="Palatino Linotype" w:cs="Palatino Linotype"/>
          <w:b/>
          <w:sz w:val="22"/>
          <w:szCs w:val="22"/>
        </w:rPr>
        <w:t xml:space="preserve"> un particular de manera anónima, </w:t>
      </w:r>
      <w:r>
        <w:rPr>
          <w:rFonts w:ascii="Palatino Linotype" w:eastAsia="Palatino Linotype" w:hAnsi="Palatino Linotype" w:cs="Palatino Linotype"/>
          <w:sz w:val="22"/>
          <w:szCs w:val="22"/>
        </w:rPr>
        <w:t>quien en lo sucesivo</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 xml:space="preserve">será identificado como </w:t>
      </w:r>
      <w:r>
        <w:rPr>
          <w:rFonts w:ascii="Palatino Linotype" w:eastAsia="Palatino Linotype" w:hAnsi="Palatino Linotype" w:cs="Palatino Linotype"/>
          <w:b/>
          <w:sz w:val="22"/>
          <w:szCs w:val="22"/>
        </w:rPr>
        <w:t>la parte Recurrente,</w:t>
      </w:r>
      <w:r>
        <w:rPr>
          <w:rFonts w:ascii="Palatino Linotype" w:eastAsia="Palatino Linotype" w:hAnsi="Palatino Linotype" w:cs="Palatino Linotype"/>
          <w:sz w:val="22"/>
          <w:szCs w:val="22"/>
        </w:rPr>
        <w:t xml:space="preserve"> en contra de las respuestas en las solicitudes de información con número de folio </w:t>
      </w:r>
      <w:r>
        <w:rPr>
          <w:rFonts w:ascii="Palatino Linotype" w:eastAsia="Palatino Linotype" w:hAnsi="Palatino Linotype" w:cs="Palatino Linotype"/>
          <w:b/>
          <w:sz w:val="22"/>
          <w:szCs w:val="22"/>
        </w:rPr>
        <w:t xml:space="preserve">00498/TEMAMATL/IP/2024, 00500/TEMAMATL/IP/2024, 00518/TEMAMATL/IP/2024, 00521/TEMAMATL/IP/2024, 00619/TEMAMATL/IP/2024 y 00614/TEMAMATL/IP/2024, </w:t>
      </w:r>
      <w:r>
        <w:rPr>
          <w:rFonts w:ascii="Palatino Linotype" w:eastAsia="Palatino Linotype" w:hAnsi="Palatino Linotype" w:cs="Palatino Linotype"/>
          <w:sz w:val="22"/>
          <w:szCs w:val="22"/>
        </w:rPr>
        <w:t>por parte</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 xml:space="preserve">del </w:t>
      </w:r>
      <w:r>
        <w:rPr>
          <w:rFonts w:ascii="Palatino Linotype" w:eastAsia="Palatino Linotype" w:hAnsi="Palatino Linotype" w:cs="Palatino Linotype"/>
          <w:b/>
          <w:sz w:val="22"/>
          <w:szCs w:val="22"/>
        </w:rPr>
        <w:t xml:space="preserve">Ayuntamiento de Temamatla, </w:t>
      </w:r>
      <w:r>
        <w:rPr>
          <w:rFonts w:ascii="Palatino Linotype" w:eastAsia="Palatino Linotype" w:hAnsi="Palatino Linotype" w:cs="Palatino Linotype"/>
          <w:sz w:val="22"/>
          <w:szCs w:val="22"/>
        </w:rPr>
        <w:t xml:space="preserve">en lo sucesivo el </w:t>
      </w:r>
      <w:r>
        <w:rPr>
          <w:rFonts w:ascii="Palatino Linotype" w:eastAsia="Palatino Linotype" w:hAnsi="Palatino Linotype" w:cs="Palatino Linotype"/>
          <w:b/>
          <w:sz w:val="22"/>
          <w:szCs w:val="22"/>
        </w:rPr>
        <w:t xml:space="preserve">Sujeto Obligado, </w:t>
      </w:r>
      <w:r>
        <w:rPr>
          <w:rFonts w:ascii="Palatino Linotype" w:eastAsia="Palatino Linotype" w:hAnsi="Palatino Linotype" w:cs="Palatino Linotype"/>
          <w:sz w:val="22"/>
          <w:szCs w:val="22"/>
        </w:rPr>
        <w:t xml:space="preserve">se procede a dictar la presente resolución con base en los siguientes: </w:t>
      </w:r>
    </w:p>
    <w:p w14:paraId="04EF9A46" w14:textId="77777777" w:rsidR="003E1096" w:rsidRDefault="005806A6">
      <w:pPr>
        <w:spacing w:before="240" w:after="240" w:line="360" w:lineRule="auto"/>
        <w:jc w:val="cente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I. A N T E C E D E N T E S:</w:t>
      </w:r>
    </w:p>
    <w:p w14:paraId="76FE285F" w14:textId="77777777" w:rsidR="003E1096" w:rsidRDefault="005806A6">
      <w:pPr>
        <w:spacing w:before="240" w:after="240" w:line="360" w:lineRule="auto"/>
        <w:jc w:val="both"/>
        <w:rPr>
          <w:rFonts w:ascii="Palatino Linotype" w:eastAsia="Palatino Linotype" w:hAnsi="Palatino Linotype" w:cs="Palatino Linotype"/>
          <w:sz w:val="22"/>
          <w:szCs w:val="22"/>
        </w:rPr>
      </w:pPr>
      <w:bookmarkStart w:id="0" w:name="_heading=h.gjdgxs" w:colFirst="0" w:colLast="0"/>
      <w:bookmarkEnd w:id="0"/>
      <w:r>
        <w:rPr>
          <w:rFonts w:ascii="Palatino Linotype" w:eastAsia="Palatino Linotype" w:hAnsi="Palatino Linotype" w:cs="Palatino Linotype"/>
          <w:b/>
          <w:sz w:val="22"/>
          <w:szCs w:val="22"/>
        </w:rPr>
        <w:t>1. Solicitudes de acceso a la información.</w:t>
      </w:r>
      <w:r>
        <w:rPr>
          <w:rFonts w:ascii="Palatino Linotype" w:eastAsia="Palatino Linotype" w:hAnsi="Palatino Linotype" w:cs="Palatino Linotype"/>
          <w:sz w:val="22"/>
          <w:szCs w:val="22"/>
        </w:rPr>
        <w:t xml:space="preserve"> Los días </w:t>
      </w:r>
      <w:r>
        <w:rPr>
          <w:rFonts w:ascii="Palatino Linotype" w:eastAsia="Palatino Linotype" w:hAnsi="Palatino Linotype" w:cs="Palatino Linotype"/>
          <w:b/>
          <w:sz w:val="22"/>
          <w:szCs w:val="22"/>
        </w:rPr>
        <w:t>dos, cuatro</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y siete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color w:val="000000"/>
          <w:sz w:val="22"/>
          <w:szCs w:val="22"/>
        </w:rPr>
        <w:t xml:space="preserve">de octubre </w:t>
      </w:r>
      <w:r>
        <w:rPr>
          <w:rFonts w:ascii="Palatino Linotype" w:eastAsia="Palatino Linotype" w:hAnsi="Palatino Linotype" w:cs="Palatino Linotype"/>
          <w:b/>
          <w:sz w:val="22"/>
          <w:szCs w:val="22"/>
        </w:rPr>
        <w:t>de dos mil veinticuatro,</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 xml:space="preserve">la parte Recurrente </w:t>
      </w:r>
      <w:r>
        <w:rPr>
          <w:rFonts w:ascii="Palatino Linotype" w:eastAsia="Palatino Linotype" w:hAnsi="Palatino Linotype" w:cs="Palatino Linotype"/>
          <w:sz w:val="22"/>
          <w:szCs w:val="22"/>
        </w:rPr>
        <w:t>formuló solicitudes de acceso a información pública a través del Sistema de Acceso a la Información Mexiquense (SAIMEX)</w:t>
      </w:r>
      <w:r>
        <w:rPr>
          <w:rFonts w:ascii="Palatino Linotype" w:eastAsia="Palatino Linotype" w:hAnsi="Palatino Linotype" w:cs="Palatino Linotype"/>
          <w:b/>
          <w:sz w:val="22"/>
          <w:szCs w:val="22"/>
        </w:rPr>
        <w:t>,</w:t>
      </w:r>
      <w:r>
        <w:rPr>
          <w:rFonts w:ascii="Palatino Linotype" w:eastAsia="Palatino Linotype" w:hAnsi="Palatino Linotype" w:cs="Palatino Linotype"/>
          <w:sz w:val="22"/>
          <w:szCs w:val="22"/>
        </w:rPr>
        <w:t xml:space="preserve"> en las que requirió lo siguiente:</w:t>
      </w:r>
    </w:p>
    <w:tbl>
      <w:tblPr>
        <w:tblStyle w:val="affff"/>
        <w:tblW w:w="892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098"/>
      </w:tblGrid>
      <w:tr w:rsidR="003E1096" w14:paraId="4A66E8CE" w14:textId="77777777">
        <w:tc>
          <w:tcPr>
            <w:tcW w:w="3823" w:type="dxa"/>
            <w:shd w:val="clear" w:color="auto" w:fill="EBF1DD"/>
          </w:tcPr>
          <w:p w14:paraId="0F5FC684" w14:textId="77777777" w:rsidR="003E1096" w:rsidRDefault="005806A6">
            <w:pPr>
              <w:spacing w:before="240" w:after="240"/>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Número de solicitud y recurso de revisión</w:t>
            </w:r>
          </w:p>
        </w:tc>
        <w:tc>
          <w:tcPr>
            <w:tcW w:w="5098" w:type="dxa"/>
            <w:shd w:val="clear" w:color="auto" w:fill="EBF1DD"/>
          </w:tcPr>
          <w:p w14:paraId="684F6F1F" w14:textId="77777777" w:rsidR="003E1096" w:rsidRDefault="005806A6">
            <w:pPr>
              <w:spacing w:before="240" w:after="240" w:line="360" w:lineRule="auto"/>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Información requerida</w:t>
            </w:r>
          </w:p>
        </w:tc>
      </w:tr>
      <w:tr w:rsidR="003E1096" w14:paraId="6914938B" w14:textId="77777777">
        <w:tc>
          <w:tcPr>
            <w:tcW w:w="3823" w:type="dxa"/>
          </w:tcPr>
          <w:p w14:paraId="68FDF9EE"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00498/TEMAMATL/IP/2024,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06714/INFOEM/IP/RR/2024</w:t>
            </w:r>
          </w:p>
        </w:tc>
        <w:tc>
          <w:tcPr>
            <w:tcW w:w="5098" w:type="dxa"/>
          </w:tcPr>
          <w:p w14:paraId="726A0A28"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“Solicito </w:t>
            </w:r>
            <w:r>
              <w:rPr>
                <w:rFonts w:ascii="Palatino Linotype" w:eastAsia="Palatino Linotype" w:hAnsi="Palatino Linotype" w:cs="Palatino Linotype"/>
                <w:b/>
                <w:i/>
                <w:sz w:val="20"/>
                <w:szCs w:val="20"/>
                <w:u w:val="single"/>
              </w:rPr>
              <w:t xml:space="preserve">todas y cada una de las pólizas de egresos. Facturas y respaldo de compras de uniformes para </w:t>
            </w:r>
            <w:proofErr w:type="spellStart"/>
            <w:r>
              <w:rPr>
                <w:rFonts w:ascii="Palatino Linotype" w:eastAsia="Palatino Linotype" w:hAnsi="Palatino Linotype" w:cs="Palatino Linotype"/>
                <w:b/>
                <w:i/>
                <w:sz w:val="20"/>
                <w:szCs w:val="20"/>
                <w:u w:val="single"/>
              </w:rPr>
              <w:t>dif</w:t>
            </w:r>
            <w:proofErr w:type="spellEnd"/>
            <w:r>
              <w:rPr>
                <w:rFonts w:ascii="Palatino Linotype" w:eastAsia="Palatino Linotype" w:hAnsi="Palatino Linotype" w:cs="Palatino Linotype"/>
                <w:b/>
                <w:i/>
                <w:sz w:val="20"/>
                <w:szCs w:val="20"/>
                <w:u w:val="single"/>
              </w:rPr>
              <w:t xml:space="preserve">, </w:t>
            </w:r>
            <w:proofErr w:type="spellStart"/>
            <w:r>
              <w:rPr>
                <w:rFonts w:ascii="Palatino Linotype" w:eastAsia="Palatino Linotype" w:hAnsi="Palatino Linotype" w:cs="Palatino Linotype"/>
                <w:b/>
                <w:i/>
                <w:sz w:val="20"/>
                <w:szCs w:val="20"/>
                <w:u w:val="single"/>
              </w:rPr>
              <w:lastRenderedPageBreak/>
              <w:t>imcufide</w:t>
            </w:r>
            <w:proofErr w:type="spellEnd"/>
            <w:r>
              <w:rPr>
                <w:rFonts w:ascii="Palatino Linotype" w:eastAsia="Palatino Linotype" w:hAnsi="Palatino Linotype" w:cs="Palatino Linotype"/>
                <w:b/>
                <w:i/>
                <w:sz w:val="20"/>
                <w:szCs w:val="20"/>
                <w:u w:val="single"/>
              </w:rPr>
              <w:t xml:space="preserve"> y presidencia durante la administración 2022 2024</w:t>
            </w:r>
            <w:r>
              <w:rPr>
                <w:rFonts w:ascii="Palatino Linotype" w:eastAsia="Palatino Linotype" w:hAnsi="Palatino Linotype" w:cs="Palatino Linotype"/>
                <w:i/>
                <w:sz w:val="20"/>
                <w:szCs w:val="20"/>
              </w:rPr>
              <w:t xml:space="preserve">” (Sic) </w:t>
            </w:r>
          </w:p>
        </w:tc>
      </w:tr>
      <w:tr w:rsidR="003E1096" w14:paraId="75EA8579" w14:textId="77777777">
        <w:tc>
          <w:tcPr>
            <w:tcW w:w="3823" w:type="dxa"/>
          </w:tcPr>
          <w:p w14:paraId="556D34CE" w14:textId="77777777" w:rsidR="003E1096" w:rsidRDefault="005806A6">
            <w:pPr>
              <w:spacing w:before="240" w:after="240"/>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lastRenderedPageBreak/>
              <w:t xml:space="preserve">00500/TEMAMATL/IP/2024,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06716/INFOEM/IP/RR/2024</w:t>
            </w:r>
          </w:p>
        </w:tc>
        <w:tc>
          <w:tcPr>
            <w:tcW w:w="5098" w:type="dxa"/>
          </w:tcPr>
          <w:p w14:paraId="598F9F99"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“Solicito </w:t>
            </w:r>
            <w:r>
              <w:rPr>
                <w:rFonts w:ascii="Palatino Linotype" w:eastAsia="Palatino Linotype" w:hAnsi="Palatino Linotype" w:cs="Palatino Linotype"/>
                <w:b/>
                <w:i/>
                <w:sz w:val="20"/>
                <w:szCs w:val="20"/>
                <w:u w:val="single"/>
              </w:rPr>
              <w:t>todas y cada una de las pólizas de egresos, facturas y documentos de respaldo de las compras de ropa o cualquier vestimenta adquirido por el municipio para servidores públicos o ciudadanos durante la administración 2022 2024</w:t>
            </w:r>
            <w:r>
              <w:rPr>
                <w:rFonts w:ascii="Palatino Linotype" w:eastAsia="Palatino Linotype" w:hAnsi="Palatino Linotype" w:cs="Palatino Linotype"/>
                <w:i/>
                <w:sz w:val="20"/>
                <w:szCs w:val="20"/>
              </w:rPr>
              <w:t xml:space="preserve">” (Sic) </w:t>
            </w:r>
          </w:p>
        </w:tc>
      </w:tr>
      <w:tr w:rsidR="003E1096" w14:paraId="2D3DA254" w14:textId="77777777">
        <w:tc>
          <w:tcPr>
            <w:tcW w:w="3823" w:type="dxa"/>
          </w:tcPr>
          <w:p w14:paraId="410F6B71"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00518/TEMAMATL/IP/2024,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06728/INFOEM/IP/RR/2024</w:t>
            </w:r>
          </w:p>
        </w:tc>
        <w:tc>
          <w:tcPr>
            <w:tcW w:w="5098" w:type="dxa"/>
          </w:tcPr>
          <w:p w14:paraId="0799AAE4"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“Solicito </w:t>
            </w:r>
            <w:r>
              <w:rPr>
                <w:rFonts w:ascii="Palatino Linotype" w:eastAsia="Palatino Linotype" w:hAnsi="Palatino Linotype" w:cs="Palatino Linotype"/>
                <w:b/>
                <w:i/>
                <w:sz w:val="20"/>
                <w:szCs w:val="20"/>
                <w:u w:val="single"/>
              </w:rPr>
              <w:t xml:space="preserve">todas las pólizas de egresos por concepto de compra de bienes muebles municipales durante el período 2022,2023 y </w:t>
            </w:r>
            <w:proofErr w:type="gramStart"/>
            <w:r>
              <w:rPr>
                <w:rFonts w:ascii="Palatino Linotype" w:eastAsia="Palatino Linotype" w:hAnsi="Palatino Linotype" w:cs="Palatino Linotype"/>
                <w:b/>
                <w:i/>
                <w:sz w:val="20"/>
                <w:szCs w:val="20"/>
                <w:u w:val="single"/>
              </w:rPr>
              <w:t>2024</w:t>
            </w:r>
            <w:r>
              <w:rPr>
                <w:rFonts w:ascii="Palatino Linotype" w:eastAsia="Palatino Linotype" w:hAnsi="Palatino Linotype" w:cs="Palatino Linotype"/>
                <w:i/>
                <w:sz w:val="20"/>
                <w:szCs w:val="20"/>
              </w:rPr>
              <w:t>”(</w:t>
            </w:r>
            <w:proofErr w:type="gramEnd"/>
            <w:r>
              <w:rPr>
                <w:rFonts w:ascii="Palatino Linotype" w:eastAsia="Palatino Linotype" w:hAnsi="Palatino Linotype" w:cs="Palatino Linotype"/>
                <w:i/>
                <w:sz w:val="20"/>
                <w:szCs w:val="20"/>
              </w:rPr>
              <w:t>Sic)</w:t>
            </w:r>
          </w:p>
        </w:tc>
      </w:tr>
      <w:tr w:rsidR="003E1096" w14:paraId="7EF4C298" w14:textId="77777777">
        <w:tc>
          <w:tcPr>
            <w:tcW w:w="3823" w:type="dxa"/>
          </w:tcPr>
          <w:p w14:paraId="30893E84"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00521/TEMAMATL/IP/2024,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06732/INFOEM/IP/RR/2024</w:t>
            </w:r>
          </w:p>
        </w:tc>
        <w:tc>
          <w:tcPr>
            <w:tcW w:w="5098" w:type="dxa"/>
          </w:tcPr>
          <w:p w14:paraId="1C302B2B"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“Solicito </w:t>
            </w:r>
            <w:r>
              <w:rPr>
                <w:rFonts w:ascii="Palatino Linotype" w:eastAsia="Palatino Linotype" w:hAnsi="Palatino Linotype" w:cs="Palatino Linotype"/>
                <w:b/>
                <w:i/>
                <w:sz w:val="20"/>
                <w:szCs w:val="20"/>
                <w:u w:val="single"/>
              </w:rPr>
              <w:t xml:space="preserve">todas las pólizas de egresos y facturas por concepto de reparación, rehabilitación o mantenimiento de la bomba del pozo de agua municipal durante los años 2022, 2023 y </w:t>
            </w:r>
            <w:proofErr w:type="gramStart"/>
            <w:r>
              <w:rPr>
                <w:rFonts w:ascii="Palatino Linotype" w:eastAsia="Palatino Linotype" w:hAnsi="Palatino Linotype" w:cs="Palatino Linotype"/>
                <w:b/>
                <w:i/>
                <w:sz w:val="20"/>
                <w:szCs w:val="20"/>
                <w:u w:val="single"/>
              </w:rPr>
              <w:t>2024</w:t>
            </w:r>
            <w:r>
              <w:rPr>
                <w:rFonts w:ascii="Palatino Linotype" w:eastAsia="Palatino Linotype" w:hAnsi="Palatino Linotype" w:cs="Palatino Linotype"/>
                <w:i/>
                <w:sz w:val="20"/>
                <w:szCs w:val="20"/>
              </w:rPr>
              <w:t>”(</w:t>
            </w:r>
            <w:proofErr w:type="gramEnd"/>
            <w:r>
              <w:rPr>
                <w:rFonts w:ascii="Palatino Linotype" w:eastAsia="Palatino Linotype" w:hAnsi="Palatino Linotype" w:cs="Palatino Linotype"/>
                <w:i/>
                <w:sz w:val="20"/>
                <w:szCs w:val="20"/>
              </w:rPr>
              <w:t>Sic)</w:t>
            </w:r>
          </w:p>
        </w:tc>
      </w:tr>
      <w:tr w:rsidR="003E1096" w14:paraId="14D313C7" w14:textId="77777777">
        <w:tc>
          <w:tcPr>
            <w:tcW w:w="3823" w:type="dxa"/>
          </w:tcPr>
          <w:p w14:paraId="0EDA4758"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00619/TEMAMATL/IP/2024,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06882/INFOEM/IP/RR/2024</w:t>
            </w:r>
          </w:p>
        </w:tc>
        <w:tc>
          <w:tcPr>
            <w:tcW w:w="5098" w:type="dxa"/>
          </w:tcPr>
          <w:p w14:paraId="66EFB3D6"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“Solicito </w:t>
            </w:r>
            <w:r>
              <w:rPr>
                <w:rFonts w:ascii="Palatino Linotype" w:eastAsia="Palatino Linotype" w:hAnsi="Palatino Linotype" w:cs="Palatino Linotype"/>
                <w:b/>
                <w:i/>
                <w:sz w:val="20"/>
                <w:szCs w:val="20"/>
                <w:u w:val="single"/>
              </w:rPr>
              <w:t>todas las facturas y pólizas de egresos por concepto de compra de bienes muebles municipales durante el período 2022,2023 y 2024</w:t>
            </w:r>
            <w:r>
              <w:rPr>
                <w:rFonts w:ascii="Palatino Linotype" w:eastAsia="Palatino Linotype" w:hAnsi="Palatino Linotype" w:cs="Palatino Linotype"/>
                <w:i/>
                <w:sz w:val="20"/>
                <w:szCs w:val="20"/>
              </w:rPr>
              <w:t>” (Sic)</w:t>
            </w:r>
          </w:p>
        </w:tc>
      </w:tr>
      <w:tr w:rsidR="003E1096" w14:paraId="2DAE2A57" w14:textId="77777777">
        <w:tc>
          <w:tcPr>
            <w:tcW w:w="3823" w:type="dxa"/>
          </w:tcPr>
          <w:p w14:paraId="00AA7683"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00614/TEMAMATL/IP/2024,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06905/INFOEM/IP/RR/2024</w:t>
            </w:r>
          </w:p>
        </w:tc>
        <w:tc>
          <w:tcPr>
            <w:tcW w:w="5098" w:type="dxa"/>
          </w:tcPr>
          <w:p w14:paraId="2691426E"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i/>
                <w:sz w:val="20"/>
                <w:szCs w:val="20"/>
              </w:rPr>
              <w:t xml:space="preserve">“Solicito </w:t>
            </w:r>
            <w:r>
              <w:rPr>
                <w:rFonts w:ascii="Palatino Linotype" w:eastAsia="Palatino Linotype" w:hAnsi="Palatino Linotype" w:cs="Palatino Linotype"/>
                <w:b/>
                <w:i/>
                <w:sz w:val="20"/>
                <w:szCs w:val="20"/>
                <w:u w:val="single"/>
              </w:rPr>
              <w:t>todas las pólizas de egresos y facturas por concepto de reparación, rehabilitación o mantenimiento de la bomba del pozo de agua municipal durante los años 2022, 2023 y 2024</w:t>
            </w:r>
            <w:r>
              <w:rPr>
                <w:rFonts w:ascii="Palatino Linotype" w:eastAsia="Palatino Linotype" w:hAnsi="Palatino Linotype" w:cs="Palatino Linotype"/>
                <w:i/>
                <w:sz w:val="20"/>
                <w:szCs w:val="20"/>
              </w:rPr>
              <w:t>” (Sic)</w:t>
            </w:r>
          </w:p>
        </w:tc>
      </w:tr>
    </w:tbl>
    <w:p w14:paraId="0D9B0950" w14:textId="77777777" w:rsidR="003E1096" w:rsidRDefault="005806A6">
      <w:pPr>
        <w:spacing w:before="240" w:after="240"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 xml:space="preserve">Modalidad elegida para la entrega de la información: </w:t>
      </w:r>
      <w:r>
        <w:rPr>
          <w:rFonts w:ascii="Palatino Linotype" w:eastAsia="Palatino Linotype" w:hAnsi="Palatino Linotype" w:cs="Palatino Linotype"/>
          <w:sz w:val="22"/>
          <w:szCs w:val="22"/>
        </w:rPr>
        <w:t xml:space="preserve">A través del </w:t>
      </w:r>
      <w:r>
        <w:rPr>
          <w:rFonts w:ascii="Palatino Linotype" w:eastAsia="Palatino Linotype" w:hAnsi="Palatino Linotype" w:cs="Palatino Linotype"/>
          <w:b/>
          <w:sz w:val="22"/>
          <w:szCs w:val="22"/>
        </w:rPr>
        <w:t xml:space="preserve">SAIMEX </w:t>
      </w:r>
    </w:p>
    <w:p w14:paraId="0FC0F8A7"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2. Respuestas. </w:t>
      </w:r>
      <w:r>
        <w:rPr>
          <w:rFonts w:ascii="Palatino Linotype" w:eastAsia="Palatino Linotype" w:hAnsi="Palatino Linotype" w:cs="Palatino Linotype"/>
          <w:sz w:val="22"/>
          <w:szCs w:val="22"/>
        </w:rPr>
        <w:t xml:space="preserve"> Los días </w:t>
      </w:r>
      <w:r>
        <w:rPr>
          <w:rFonts w:ascii="Palatino Linotype" w:eastAsia="Palatino Linotype" w:hAnsi="Palatino Linotype" w:cs="Palatino Linotype"/>
          <w:b/>
          <w:sz w:val="22"/>
          <w:szCs w:val="22"/>
        </w:rPr>
        <w:t>veintidós y veintitrés de octubre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de dos mil veinticuatro</w:t>
      </w:r>
      <w:r>
        <w:rPr>
          <w:rFonts w:ascii="Palatino Linotype" w:eastAsia="Palatino Linotype" w:hAnsi="Palatino Linotype" w:cs="Palatino Linotype"/>
          <w:sz w:val="22"/>
          <w:szCs w:val="22"/>
        </w:rPr>
        <w:t xml:space="preserv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notificó a </w:t>
      </w:r>
      <w:r>
        <w:rPr>
          <w:rFonts w:ascii="Palatino Linotype" w:eastAsia="Palatino Linotype" w:hAnsi="Palatino Linotype" w:cs="Palatino Linotype"/>
          <w:b/>
          <w:sz w:val="22"/>
          <w:szCs w:val="22"/>
        </w:rPr>
        <w:t>la parte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Recurrente</w:t>
      </w:r>
      <w:r>
        <w:rPr>
          <w:rFonts w:ascii="Palatino Linotype" w:eastAsia="Palatino Linotype" w:hAnsi="Palatino Linotype" w:cs="Palatino Linotype"/>
          <w:sz w:val="22"/>
          <w:szCs w:val="22"/>
        </w:rPr>
        <w:t xml:space="preserve">, en la totalidad de los expedientes, las respuestas a sus solicitudes de información, en los términos siguientes: </w:t>
      </w:r>
    </w:p>
    <w:tbl>
      <w:tblPr>
        <w:tblStyle w:val="affff0"/>
        <w:tblW w:w="892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23"/>
        <w:gridCol w:w="5098"/>
      </w:tblGrid>
      <w:tr w:rsidR="003E1096" w14:paraId="0662D7D4" w14:textId="77777777">
        <w:tc>
          <w:tcPr>
            <w:tcW w:w="3823" w:type="dxa"/>
            <w:shd w:val="clear" w:color="auto" w:fill="EBF1DD"/>
          </w:tcPr>
          <w:p w14:paraId="790FCB6F" w14:textId="77777777" w:rsidR="003E1096" w:rsidRDefault="005806A6">
            <w:pPr>
              <w:spacing w:before="240" w:after="240"/>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lastRenderedPageBreak/>
              <w:t>Número de solicitud y recurso de revisión</w:t>
            </w:r>
          </w:p>
        </w:tc>
        <w:tc>
          <w:tcPr>
            <w:tcW w:w="5098" w:type="dxa"/>
            <w:shd w:val="clear" w:color="auto" w:fill="EBF1DD"/>
          </w:tcPr>
          <w:p w14:paraId="6DFC62AF" w14:textId="77777777" w:rsidR="003E1096" w:rsidRDefault="005806A6">
            <w:pPr>
              <w:spacing w:before="240" w:after="240" w:line="360" w:lineRule="auto"/>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Respuesta</w:t>
            </w:r>
          </w:p>
        </w:tc>
      </w:tr>
      <w:tr w:rsidR="003E1096" w14:paraId="07D2035F" w14:textId="77777777">
        <w:tc>
          <w:tcPr>
            <w:tcW w:w="3823" w:type="dxa"/>
          </w:tcPr>
          <w:p w14:paraId="18FE840F"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00498/TEMAMATL/IP/2024,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06714/INFOEM/IP/RR/2024</w:t>
            </w:r>
          </w:p>
        </w:tc>
        <w:tc>
          <w:tcPr>
            <w:tcW w:w="5098" w:type="dxa"/>
          </w:tcPr>
          <w:p w14:paraId="771CF515" w14:textId="77777777" w:rsidR="003E1096" w:rsidRDefault="005806A6">
            <w:pPr>
              <w:spacing w:before="240" w:after="240"/>
              <w:jc w:val="both"/>
              <w:rPr>
                <w:rFonts w:ascii="Palatino Linotype" w:eastAsia="Palatino Linotype" w:hAnsi="Palatino Linotype" w:cs="Palatino Linotype"/>
                <w:sz w:val="18"/>
                <w:szCs w:val="18"/>
              </w:rPr>
            </w:pPr>
            <w:r>
              <w:rPr>
                <w:rFonts w:ascii="Palatino Linotype" w:eastAsia="Palatino Linotype" w:hAnsi="Palatino Linotype" w:cs="Palatino Linotype"/>
                <w:b/>
                <w:i/>
                <w:sz w:val="18"/>
                <w:szCs w:val="18"/>
              </w:rPr>
              <w:t xml:space="preserve"> “498.pdf”: </w:t>
            </w:r>
            <w:r>
              <w:rPr>
                <w:rFonts w:ascii="Palatino Linotype" w:eastAsia="Palatino Linotype" w:hAnsi="Palatino Linotype" w:cs="Palatino Linotype"/>
                <w:sz w:val="18"/>
                <w:szCs w:val="18"/>
              </w:rPr>
              <w:t xml:space="preserve">Oficio ADMON/378/OI/08/10/2024, suscrito por el </w:t>
            </w:r>
            <w:proofErr w:type="gramStart"/>
            <w:r>
              <w:rPr>
                <w:rFonts w:ascii="Palatino Linotype" w:eastAsia="Palatino Linotype" w:hAnsi="Palatino Linotype" w:cs="Palatino Linotype"/>
                <w:sz w:val="18"/>
                <w:szCs w:val="18"/>
              </w:rPr>
              <w:t>Director</w:t>
            </w:r>
            <w:proofErr w:type="gramEnd"/>
            <w:r>
              <w:rPr>
                <w:rFonts w:ascii="Palatino Linotype" w:eastAsia="Palatino Linotype" w:hAnsi="Palatino Linotype" w:cs="Palatino Linotype"/>
                <w:sz w:val="18"/>
                <w:szCs w:val="18"/>
              </w:rPr>
              <w:t xml:space="preserve"> de Administración, por el cual propone el cambio de modalidad a consulta directa, derivado de los procesos de entrega-recepción, las mesas de transición, la falta de personal, así como la capacidad técnica, tecnológica. </w:t>
            </w:r>
          </w:p>
          <w:p w14:paraId="2CF32B54" w14:textId="77777777" w:rsidR="003E1096" w:rsidRDefault="005806A6">
            <w:pPr>
              <w:spacing w:before="240" w:after="240"/>
              <w:jc w:val="both"/>
              <w:rPr>
                <w:rFonts w:ascii="Palatino Linotype" w:eastAsia="Palatino Linotype" w:hAnsi="Palatino Linotype" w:cs="Palatino Linotype"/>
                <w:b/>
                <w:i/>
                <w:sz w:val="20"/>
                <w:szCs w:val="20"/>
              </w:rPr>
            </w:pPr>
            <w:r>
              <w:rPr>
                <w:rFonts w:ascii="Palatino Linotype" w:eastAsia="Palatino Linotype" w:hAnsi="Palatino Linotype" w:cs="Palatino Linotype"/>
                <w:b/>
                <w:i/>
                <w:sz w:val="18"/>
                <w:szCs w:val="18"/>
              </w:rPr>
              <w:t xml:space="preserve">“ACTA 84.pdf”: </w:t>
            </w:r>
            <w:r>
              <w:rPr>
                <w:rFonts w:ascii="Palatino Linotype" w:eastAsia="Palatino Linotype" w:hAnsi="Palatino Linotype" w:cs="Palatino Linotype"/>
                <w:sz w:val="18"/>
                <w:szCs w:val="18"/>
              </w:rPr>
              <w:t>Acta de la Octagésima Cuarta Sesión Ordinaria del Comité de Transparencia, por la cual se aprueba el cambio de modalidad a consulta directa.</w:t>
            </w:r>
          </w:p>
        </w:tc>
      </w:tr>
      <w:tr w:rsidR="003E1096" w14:paraId="0359D9F5" w14:textId="77777777">
        <w:tc>
          <w:tcPr>
            <w:tcW w:w="3823" w:type="dxa"/>
          </w:tcPr>
          <w:p w14:paraId="1ED7FC6D" w14:textId="77777777" w:rsidR="003E1096" w:rsidRDefault="005806A6">
            <w:pPr>
              <w:spacing w:before="240" w:after="240"/>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 xml:space="preserve">00500/TEMAMATL/IP/2024,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06716/INFOEM/IP/RR/2024</w:t>
            </w:r>
          </w:p>
        </w:tc>
        <w:tc>
          <w:tcPr>
            <w:tcW w:w="5098" w:type="dxa"/>
          </w:tcPr>
          <w:p w14:paraId="5EFB9BD1" w14:textId="77777777" w:rsidR="003E1096" w:rsidRDefault="005806A6">
            <w:pPr>
              <w:spacing w:before="240" w:after="240"/>
              <w:jc w:val="both"/>
              <w:rPr>
                <w:rFonts w:ascii="Palatino Linotype" w:eastAsia="Palatino Linotype" w:hAnsi="Palatino Linotype" w:cs="Palatino Linotype"/>
                <w:sz w:val="18"/>
                <w:szCs w:val="18"/>
              </w:rPr>
            </w:pPr>
            <w:r>
              <w:rPr>
                <w:rFonts w:ascii="Palatino Linotype" w:eastAsia="Palatino Linotype" w:hAnsi="Palatino Linotype" w:cs="Palatino Linotype"/>
                <w:b/>
                <w:i/>
                <w:sz w:val="18"/>
                <w:szCs w:val="18"/>
              </w:rPr>
              <w:t>“500.pdf”:</w:t>
            </w:r>
            <w:r>
              <w:rPr>
                <w:rFonts w:ascii="Palatino Linotype" w:eastAsia="Palatino Linotype" w:hAnsi="Palatino Linotype" w:cs="Palatino Linotype"/>
                <w:sz w:val="18"/>
                <w:szCs w:val="18"/>
              </w:rPr>
              <w:t xml:space="preserve"> Oficio ADMON/379/OI/08/10/2024, suscrito por el </w:t>
            </w:r>
            <w:proofErr w:type="gramStart"/>
            <w:r>
              <w:rPr>
                <w:rFonts w:ascii="Palatino Linotype" w:eastAsia="Palatino Linotype" w:hAnsi="Palatino Linotype" w:cs="Palatino Linotype"/>
                <w:sz w:val="18"/>
                <w:szCs w:val="18"/>
              </w:rPr>
              <w:t>Director</w:t>
            </w:r>
            <w:proofErr w:type="gramEnd"/>
            <w:r>
              <w:rPr>
                <w:rFonts w:ascii="Palatino Linotype" w:eastAsia="Palatino Linotype" w:hAnsi="Palatino Linotype" w:cs="Palatino Linotype"/>
                <w:sz w:val="18"/>
                <w:szCs w:val="18"/>
              </w:rPr>
              <w:t xml:space="preserve"> de Administración, por el cual propone el cambio de modalidad a consulta directa, derivado de los procesos de entrega-recepción, las mesas de transición, la falta de personal, así como la capacidad técnica, tecnológica.</w:t>
            </w:r>
          </w:p>
          <w:p w14:paraId="75957FEF" w14:textId="77777777" w:rsidR="003E1096" w:rsidRDefault="005806A6">
            <w:pPr>
              <w:spacing w:before="240" w:after="240"/>
              <w:jc w:val="both"/>
              <w:rPr>
                <w:rFonts w:ascii="Palatino Linotype" w:eastAsia="Palatino Linotype" w:hAnsi="Palatino Linotype" w:cs="Palatino Linotype"/>
                <w:sz w:val="18"/>
                <w:szCs w:val="18"/>
              </w:rPr>
            </w:pPr>
            <w:r>
              <w:rPr>
                <w:rFonts w:ascii="Palatino Linotype" w:eastAsia="Palatino Linotype" w:hAnsi="Palatino Linotype" w:cs="Palatino Linotype"/>
                <w:b/>
                <w:i/>
                <w:sz w:val="18"/>
                <w:szCs w:val="18"/>
              </w:rPr>
              <w:t>“ACTA 84.pdf”:</w:t>
            </w:r>
            <w:r>
              <w:rPr>
                <w:rFonts w:ascii="Palatino Linotype" w:eastAsia="Palatino Linotype" w:hAnsi="Palatino Linotype" w:cs="Palatino Linotype"/>
                <w:sz w:val="18"/>
                <w:szCs w:val="18"/>
              </w:rPr>
              <w:t xml:space="preserve"> Acta de la Octagésima Cuarta Sesión Ordinaria del Comité de Transparencia, por la cual se aprueba el cambio de modalidad a consulta directa.</w:t>
            </w:r>
          </w:p>
        </w:tc>
      </w:tr>
      <w:tr w:rsidR="003E1096" w14:paraId="3AFAE535" w14:textId="77777777">
        <w:tc>
          <w:tcPr>
            <w:tcW w:w="3823" w:type="dxa"/>
          </w:tcPr>
          <w:p w14:paraId="290B2F4C"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00518/TEMAMATL/IP/2024,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06728/INFOEM/IP/RR/2024</w:t>
            </w:r>
          </w:p>
        </w:tc>
        <w:tc>
          <w:tcPr>
            <w:tcW w:w="5098" w:type="dxa"/>
          </w:tcPr>
          <w:p w14:paraId="2D223F4B" w14:textId="77777777" w:rsidR="003E1096" w:rsidRDefault="005806A6">
            <w:pPr>
              <w:spacing w:before="240" w:after="240"/>
              <w:jc w:val="both"/>
              <w:rPr>
                <w:rFonts w:ascii="Palatino Linotype" w:eastAsia="Palatino Linotype" w:hAnsi="Palatino Linotype" w:cs="Palatino Linotype"/>
                <w:sz w:val="18"/>
                <w:szCs w:val="18"/>
              </w:rPr>
            </w:pPr>
            <w:r>
              <w:rPr>
                <w:rFonts w:ascii="Palatino Linotype" w:eastAsia="Palatino Linotype" w:hAnsi="Palatino Linotype" w:cs="Palatino Linotype"/>
                <w:b/>
                <w:i/>
                <w:sz w:val="18"/>
                <w:szCs w:val="18"/>
              </w:rPr>
              <w:t xml:space="preserve">“SOL_00518.pdf”: </w:t>
            </w:r>
            <w:r>
              <w:rPr>
                <w:rFonts w:ascii="Palatino Linotype" w:eastAsia="Palatino Linotype" w:hAnsi="Palatino Linotype" w:cs="Palatino Linotype"/>
                <w:sz w:val="18"/>
                <w:szCs w:val="18"/>
              </w:rPr>
              <w:t>Oficio MT/TESORERIAMPAL/OI/473/2024, suscrito por la Tesorera Municipal, por el cual propone el cambio de modalidad a consulta directa, derivado de que los recursos materiales y humanos con los que cuenta dicha dirección son limitados, asimismo, la entrega-recepción y las mesas de transición.</w:t>
            </w:r>
          </w:p>
          <w:p w14:paraId="15E2DB11"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 xml:space="preserve"> “ACTA 84.pdf”:</w:t>
            </w:r>
            <w:r>
              <w:rPr>
                <w:rFonts w:ascii="Palatino Linotype" w:eastAsia="Palatino Linotype" w:hAnsi="Palatino Linotype" w:cs="Palatino Linotype"/>
                <w:sz w:val="18"/>
                <w:szCs w:val="18"/>
              </w:rPr>
              <w:t xml:space="preserve"> Acta de la Octagésima Cuarta Sesión Ordinaria del Comité de Transparencia, por la cual se aprueba el cambio de modalidad a consulta directa.</w:t>
            </w:r>
          </w:p>
        </w:tc>
      </w:tr>
      <w:tr w:rsidR="003E1096" w14:paraId="4BB9701B" w14:textId="77777777">
        <w:tc>
          <w:tcPr>
            <w:tcW w:w="3823" w:type="dxa"/>
          </w:tcPr>
          <w:p w14:paraId="4637E76A"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00521/TEMAMATL/IP/2024,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06732/INFOEM/IP/RR/2024</w:t>
            </w:r>
          </w:p>
        </w:tc>
        <w:tc>
          <w:tcPr>
            <w:tcW w:w="5098" w:type="dxa"/>
          </w:tcPr>
          <w:p w14:paraId="69B59A15" w14:textId="77777777" w:rsidR="003E1096" w:rsidRDefault="005806A6">
            <w:pPr>
              <w:spacing w:before="240" w:after="240"/>
              <w:jc w:val="both"/>
              <w:rPr>
                <w:rFonts w:ascii="Palatino Linotype" w:eastAsia="Palatino Linotype" w:hAnsi="Palatino Linotype" w:cs="Palatino Linotype"/>
                <w:sz w:val="18"/>
                <w:szCs w:val="18"/>
              </w:rPr>
            </w:pPr>
            <w:r>
              <w:rPr>
                <w:rFonts w:ascii="Palatino Linotype" w:eastAsia="Palatino Linotype" w:hAnsi="Palatino Linotype" w:cs="Palatino Linotype"/>
                <w:b/>
                <w:i/>
                <w:sz w:val="18"/>
                <w:szCs w:val="18"/>
              </w:rPr>
              <w:t xml:space="preserve">“SOL_00521.pdf”: </w:t>
            </w:r>
            <w:r>
              <w:rPr>
                <w:rFonts w:ascii="Palatino Linotype" w:eastAsia="Palatino Linotype" w:hAnsi="Palatino Linotype" w:cs="Palatino Linotype"/>
                <w:sz w:val="18"/>
                <w:szCs w:val="18"/>
              </w:rPr>
              <w:t xml:space="preserve">Oficio MT/TESORERIAMPAL/OI/475/2024, suscrito por la Tesorera Municipal, por el cual propone el cambio de modalidad a consulta directa, derivado de que los recursos materiales y </w:t>
            </w:r>
            <w:r>
              <w:rPr>
                <w:rFonts w:ascii="Palatino Linotype" w:eastAsia="Palatino Linotype" w:hAnsi="Palatino Linotype" w:cs="Palatino Linotype"/>
                <w:sz w:val="18"/>
                <w:szCs w:val="18"/>
              </w:rPr>
              <w:lastRenderedPageBreak/>
              <w:t>humanos con los que cuenta dicha dirección son limitados, asimismo, la entrega-recepción y las mesas de transición.</w:t>
            </w:r>
          </w:p>
          <w:p w14:paraId="76E509E4"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“ACTA 84.pdf”:</w:t>
            </w:r>
            <w:r>
              <w:rPr>
                <w:rFonts w:ascii="Palatino Linotype" w:eastAsia="Palatino Linotype" w:hAnsi="Palatino Linotype" w:cs="Palatino Linotype"/>
                <w:sz w:val="18"/>
                <w:szCs w:val="18"/>
              </w:rPr>
              <w:t xml:space="preserve"> Acta de la Octagésima Cuarta Sesión Ordinaria del Comité de Transparencia, por la cual se aprueba el cambio de modalidad a consulta directa.</w:t>
            </w:r>
          </w:p>
        </w:tc>
      </w:tr>
      <w:tr w:rsidR="003E1096" w14:paraId="5A6CD499" w14:textId="77777777">
        <w:tc>
          <w:tcPr>
            <w:tcW w:w="3823" w:type="dxa"/>
          </w:tcPr>
          <w:p w14:paraId="240E9473"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lastRenderedPageBreak/>
              <w:t xml:space="preserve">00619/TEMAMATL/IP/2024,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06882/INFOEM/IP/RR/2024</w:t>
            </w:r>
          </w:p>
        </w:tc>
        <w:tc>
          <w:tcPr>
            <w:tcW w:w="5098" w:type="dxa"/>
          </w:tcPr>
          <w:p w14:paraId="5E61D50B" w14:textId="77777777" w:rsidR="003E1096" w:rsidRDefault="005806A6">
            <w:pPr>
              <w:spacing w:before="240" w:after="240"/>
              <w:jc w:val="both"/>
              <w:rPr>
                <w:rFonts w:ascii="Palatino Linotype" w:eastAsia="Palatino Linotype" w:hAnsi="Palatino Linotype" w:cs="Palatino Linotype"/>
                <w:b/>
                <w:i/>
                <w:sz w:val="18"/>
                <w:szCs w:val="18"/>
              </w:rPr>
            </w:pPr>
            <w:r>
              <w:rPr>
                <w:rFonts w:ascii="Palatino Linotype" w:eastAsia="Palatino Linotype" w:hAnsi="Palatino Linotype" w:cs="Palatino Linotype"/>
                <w:b/>
                <w:i/>
                <w:sz w:val="18"/>
                <w:szCs w:val="18"/>
              </w:rPr>
              <w:t>“SOL_00619.pdf”:</w:t>
            </w:r>
            <w:r>
              <w:rPr>
                <w:rFonts w:ascii="Palatino Linotype" w:eastAsia="Palatino Linotype" w:hAnsi="Palatino Linotype" w:cs="Palatino Linotype"/>
                <w:sz w:val="18"/>
                <w:szCs w:val="18"/>
              </w:rPr>
              <w:t xml:space="preserve"> Oficio MT/TESORERIAMPAL/OI/508/2024, suscrito por la Tesorera Municipal, por el cual propone el cambio de modalidad a consulta directa, derivado de que los recursos materiales y humanos con los que cuenta dicha dirección son limitados, asimismo, la entrega-recepción y las mesas de transición.</w:t>
            </w:r>
          </w:p>
          <w:p w14:paraId="6A36FBF5"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“ACTA 85.pdf”:</w:t>
            </w:r>
            <w:r>
              <w:rPr>
                <w:rFonts w:ascii="Palatino Linotype" w:eastAsia="Palatino Linotype" w:hAnsi="Palatino Linotype" w:cs="Palatino Linotype"/>
                <w:sz w:val="18"/>
                <w:szCs w:val="18"/>
              </w:rPr>
              <w:t xml:space="preserve"> Acta de la Octagésima Quinta Sesión Ordinaria del Comité de Transparencia, por la cual se aprueba el cambio de modalidad a consulta directa.</w:t>
            </w:r>
          </w:p>
        </w:tc>
      </w:tr>
      <w:tr w:rsidR="003E1096" w14:paraId="0755DF42" w14:textId="77777777">
        <w:tc>
          <w:tcPr>
            <w:tcW w:w="3823" w:type="dxa"/>
          </w:tcPr>
          <w:p w14:paraId="1C24CF52"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 xml:space="preserve">00614/TEMAMATL/IP/2024, </w:t>
            </w:r>
            <w:r>
              <w:rPr>
                <w:rFonts w:ascii="Palatino Linotype" w:eastAsia="Palatino Linotype" w:hAnsi="Palatino Linotype" w:cs="Palatino Linotype"/>
                <w:sz w:val="20"/>
                <w:szCs w:val="20"/>
              </w:rPr>
              <w:t>correspondiente al Recurso de Revisión</w:t>
            </w:r>
            <w:r>
              <w:rPr>
                <w:rFonts w:ascii="Palatino Linotype" w:eastAsia="Palatino Linotype" w:hAnsi="Palatino Linotype" w:cs="Palatino Linotype"/>
                <w:b/>
                <w:sz w:val="20"/>
                <w:szCs w:val="20"/>
              </w:rPr>
              <w:t xml:space="preserve">      06905/INFOEM/IP/RR/2024</w:t>
            </w:r>
          </w:p>
        </w:tc>
        <w:tc>
          <w:tcPr>
            <w:tcW w:w="5098" w:type="dxa"/>
          </w:tcPr>
          <w:p w14:paraId="4B32392E" w14:textId="77777777" w:rsidR="003E1096" w:rsidRDefault="005806A6">
            <w:pPr>
              <w:spacing w:before="240" w:after="240"/>
              <w:jc w:val="both"/>
              <w:rPr>
                <w:rFonts w:ascii="Palatino Linotype" w:eastAsia="Palatino Linotype" w:hAnsi="Palatino Linotype" w:cs="Palatino Linotype"/>
                <w:sz w:val="18"/>
                <w:szCs w:val="18"/>
              </w:rPr>
            </w:pPr>
            <w:r>
              <w:rPr>
                <w:rFonts w:ascii="Palatino Linotype" w:eastAsia="Palatino Linotype" w:hAnsi="Palatino Linotype" w:cs="Palatino Linotype"/>
                <w:b/>
                <w:i/>
                <w:sz w:val="18"/>
                <w:szCs w:val="18"/>
              </w:rPr>
              <w:t>“SOL_00614.pdf”:</w:t>
            </w:r>
            <w:r>
              <w:t xml:space="preserve"> </w:t>
            </w:r>
            <w:r>
              <w:rPr>
                <w:rFonts w:ascii="Palatino Linotype" w:eastAsia="Palatino Linotype" w:hAnsi="Palatino Linotype" w:cs="Palatino Linotype"/>
                <w:sz w:val="18"/>
                <w:szCs w:val="18"/>
              </w:rPr>
              <w:t>Oficio MT/TESORERIAMPAL/OI/506/2024, suscrito por la Tesorera Municipal, por el cual propone el cambio de modalidad a consulta directa, derivado de que los recursos materiales y humanos con los que cuenta dicha dirección son limitados, asimismo, la entrega-recepción y las mesas de transición.</w:t>
            </w:r>
          </w:p>
          <w:p w14:paraId="60C882FC"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“ACTA 85.pdf”:</w:t>
            </w:r>
            <w:r>
              <w:t xml:space="preserve"> </w:t>
            </w:r>
            <w:r>
              <w:rPr>
                <w:rFonts w:ascii="Palatino Linotype" w:eastAsia="Palatino Linotype" w:hAnsi="Palatino Linotype" w:cs="Palatino Linotype"/>
                <w:sz w:val="18"/>
                <w:szCs w:val="18"/>
              </w:rPr>
              <w:t>Acta de la Octagésima Quinta Sesión Ordinaria del Comité de Transparencia, por la cual se aprueba el cambio de modalidad a consulta directa.</w:t>
            </w:r>
          </w:p>
        </w:tc>
      </w:tr>
    </w:tbl>
    <w:p w14:paraId="04629510"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3. Interposición de los recursos de revisión.  </w:t>
      </w:r>
      <w:r>
        <w:rPr>
          <w:rFonts w:ascii="Palatino Linotype" w:eastAsia="Palatino Linotype" w:hAnsi="Palatino Linotype" w:cs="Palatino Linotype"/>
          <w:sz w:val="22"/>
          <w:szCs w:val="22"/>
        </w:rPr>
        <w:t xml:space="preserve">Los días </w:t>
      </w:r>
      <w:r>
        <w:rPr>
          <w:rFonts w:ascii="Palatino Linotype" w:eastAsia="Palatino Linotype" w:hAnsi="Palatino Linotype" w:cs="Palatino Linotype"/>
          <w:b/>
          <w:sz w:val="22"/>
          <w:szCs w:val="22"/>
        </w:rPr>
        <w:t>veintiocho y</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 xml:space="preserve">treinta de octubre de dos mil veinticuatro, la parte Recurrente, </w:t>
      </w:r>
      <w:r>
        <w:rPr>
          <w:rFonts w:ascii="Palatino Linotype" w:eastAsia="Palatino Linotype" w:hAnsi="Palatino Linotype" w:cs="Palatino Linotype"/>
          <w:sz w:val="22"/>
          <w:szCs w:val="22"/>
        </w:rPr>
        <w:t xml:space="preserve">inconforme con las respuestas, interpuso los recursos de revisión que nos ocupan, expresando </w:t>
      </w:r>
      <w:r>
        <w:rPr>
          <w:rFonts w:ascii="Palatino Linotype" w:eastAsia="Palatino Linotype" w:hAnsi="Palatino Linotype" w:cs="Palatino Linotype"/>
          <w:color w:val="000000"/>
          <w:sz w:val="22"/>
          <w:szCs w:val="22"/>
        </w:rPr>
        <w:t xml:space="preserve">lo </w:t>
      </w:r>
      <w:r>
        <w:rPr>
          <w:rFonts w:ascii="Palatino Linotype" w:eastAsia="Palatino Linotype" w:hAnsi="Palatino Linotype" w:cs="Palatino Linotype"/>
          <w:sz w:val="22"/>
          <w:szCs w:val="22"/>
        </w:rPr>
        <w:t>siguiente:</w:t>
      </w:r>
    </w:p>
    <w:tbl>
      <w:tblPr>
        <w:tblStyle w:val="affff1"/>
        <w:tblW w:w="949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3402"/>
        <w:gridCol w:w="3261"/>
      </w:tblGrid>
      <w:tr w:rsidR="003E1096" w14:paraId="6C3C80D5" w14:textId="77777777">
        <w:tc>
          <w:tcPr>
            <w:tcW w:w="2830" w:type="dxa"/>
            <w:shd w:val="clear" w:color="auto" w:fill="EBF1DD"/>
          </w:tcPr>
          <w:p w14:paraId="54FD2F1F" w14:textId="77777777" w:rsidR="003E1096" w:rsidRDefault="005806A6">
            <w:pPr>
              <w:spacing w:before="240" w:after="240"/>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Número de recurso de revisión</w:t>
            </w:r>
          </w:p>
        </w:tc>
        <w:tc>
          <w:tcPr>
            <w:tcW w:w="3402" w:type="dxa"/>
            <w:shd w:val="clear" w:color="auto" w:fill="EBF1DD"/>
          </w:tcPr>
          <w:p w14:paraId="1005ADD4" w14:textId="77777777" w:rsidR="003E1096" w:rsidRDefault="005806A6">
            <w:pPr>
              <w:spacing w:before="240" w:after="240" w:line="360" w:lineRule="auto"/>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Acto Impugnado</w:t>
            </w:r>
          </w:p>
        </w:tc>
        <w:tc>
          <w:tcPr>
            <w:tcW w:w="3261" w:type="dxa"/>
            <w:shd w:val="clear" w:color="auto" w:fill="EBF1DD"/>
          </w:tcPr>
          <w:p w14:paraId="44EA5144"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t>Razones o Motivos de Inconformidad</w:t>
            </w:r>
          </w:p>
        </w:tc>
      </w:tr>
      <w:tr w:rsidR="003E1096" w14:paraId="231FF9B8" w14:textId="77777777">
        <w:tc>
          <w:tcPr>
            <w:tcW w:w="2830" w:type="dxa"/>
          </w:tcPr>
          <w:p w14:paraId="68275121"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lastRenderedPageBreak/>
              <w:t>06714/INFOEM/IP/RR/2024</w:t>
            </w:r>
          </w:p>
        </w:tc>
        <w:tc>
          <w:tcPr>
            <w:tcW w:w="3402" w:type="dxa"/>
          </w:tcPr>
          <w:p w14:paraId="4760529A" w14:textId="77777777" w:rsidR="003E1096" w:rsidRDefault="005806A6">
            <w:pPr>
              <w:spacing w:before="240" w:after="240"/>
              <w:jc w:val="center"/>
              <w:rPr>
                <w:rFonts w:ascii="Palatino Linotype" w:eastAsia="Palatino Linotype" w:hAnsi="Palatino Linotype" w:cs="Palatino Linotype"/>
                <w:b/>
                <w:i/>
                <w:sz w:val="20"/>
                <w:szCs w:val="20"/>
              </w:rPr>
            </w:pPr>
            <w:r>
              <w:rPr>
                <w:rFonts w:ascii="Palatino Linotype" w:eastAsia="Palatino Linotype" w:hAnsi="Palatino Linotype" w:cs="Palatino Linotype"/>
                <w:i/>
              </w:rPr>
              <w:t>RESPUESTA OTORGADA</w:t>
            </w:r>
          </w:p>
        </w:tc>
        <w:tc>
          <w:tcPr>
            <w:tcW w:w="3261" w:type="dxa"/>
          </w:tcPr>
          <w:p w14:paraId="554DC233" w14:textId="77777777" w:rsidR="003E1096" w:rsidRDefault="005806A6">
            <w:pPr>
              <w:spacing w:before="240" w:after="240"/>
              <w:jc w:val="both"/>
              <w:rPr>
                <w:rFonts w:ascii="Palatino Linotype" w:eastAsia="Palatino Linotype" w:hAnsi="Palatino Linotype" w:cs="Palatino Linotype"/>
                <w:i/>
                <w:sz w:val="20"/>
                <w:szCs w:val="20"/>
              </w:rPr>
            </w:pPr>
            <w:r>
              <w:rPr>
                <w:rFonts w:ascii="Palatino Linotype" w:eastAsia="Palatino Linotype" w:hAnsi="Palatino Linotype" w:cs="Palatino Linotype"/>
                <w:b/>
                <w:i/>
                <w:sz w:val="18"/>
                <w:szCs w:val="18"/>
              </w:rPr>
              <w:t>EL SUJETO OBLIGADO MANIFIESTA QUE LA ENTREGA DE INFORMACION SERA MEDIANTE CONSULTA DIRECTA</w:t>
            </w:r>
            <w:r>
              <w:rPr>
                <w:rFonts w:ascii="Palatino Linotype" w:eastAsia="Palatino Linotype" w:hAnsi="Palatino Linotype" w:cs="Palatino Linotype"/>
                <w:i/>
                <w:sz w:val="18"/>
                <w:szCs w:val="18"/>
              </w:rPr>
              <w:t xml:space="preserve"> EN UNA FECHA Y UN HORARIO IGUAL AL ESTABLECIDO EN LAS SOLICITUDES 438, 441, 442, 445, 446, 448, 449, 450, 451, 452, 454, 455, 456, 458, 459, 460, 461, 462, 463, 464, 465, 466, 467, 468, 470, 471, 472, 473, 474, 480, 481, 482, 483, 493, 498, 499, 500, 560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SOLICITO QUE LA INFORMACION SEA ENTREGADA A TRAVES DE ESTA PLATAFORMA</w:t>
            </w:r>
          </w:p>
        </w:tc>
      </w:tr>
      <w:tr w:rsidR="003E1096" w14:paraId="2C6B0A15" w14:textId="77777777">
        <w:tc>
          <w:tcPr>
            <w:tcW w:w="2830" w:type="dxa"/>
          </w:tcPr>
          <w:p w14:paraId="1CBBBD7F" w14:textId="77777777" w:rsidR="003E1096" w:rsidRDefault="005806A6">
            <w:pPr>
              <w:spacing w:before="240" w:after="240"/>
              <w:jc w:val="center"/>
              <w:rPr>
                <w:rFonts w:ascii="Palatino Linotype" w:eastAsia="Palatino Linotype" w:hAnsi="Palatino Linotype" w:cs="Palatino Linotype"/>
                <w:b/>
              </w:rPr>
            </w:pPr>
            <w:r>
              <w:rPr>
                <w:rFonts w:ascii="Palatino Linotype" w:eastAsia="Palatino Linotype" w:hAnsi="Palatino Linotype" w:cs="Palatino Linotype"/>
                <w:b/>
                <w:sz w:val="20"/>
                <w:szCs w:val="20"/>
              </w:rPr>
              <w:t>06716/INFOEM/IP/RR/2024</w:t>
            </w:r>
          </w:p>
        </w:tc>
        <w:tc>
          <w:tcPr>
            <w:tcW w:w="3402" w:type="dxa"/>
          </w:tcPr>
          <w:p w14:paraId="696166B5" w14:textId="77777777" w:rsidR="003E1096" w:rsidRDefault="005806A6">
            <w:pPr>
              <w:spacing w:before="240" w:after="240"/>
              <w:jc w:val="center"/>
              <w:rPr>
                <w:rFonts w:ascii="Palatino Linotype" w:eastAsia="Palatino Linotype" w:hAnsi="Palatino Linotype" w:cs="Palatino Linotype"/>
                <w:i/>
                <w:sz w:val="18"/>
                <w:szCs w:val="18"/>
              </w:rPr>
            </w:pPr>
            <w:r>
              <w:rPr>
                <w:rFonts w:ascii="Palatino Linotype" w:eastAsia="Palatino Linotype" w:hAnsi="Palatino Linotype" w:cs="Palatino Linotype"/>
                <w:i/>
              </w:rPr>
              <w:t>RESPUESTA OTORGADA</w:t>
            </w:r>
          </w:p>
        </w:tc>
        <w:tc>
          <w:tcPr>
            <w:tcW w:w="3261" w:type="dxa"/>
          </w:tcPr>
          <w:p w14:paraId="58AE2916"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EL SUJETO OBLIGADO MANIFIESTA QUE LA ENTREGA DE INFORMACION SERA MEDIANTE CONSULTA DIRECTA</w:t>
            </w:r>
            <w:r>
              <w:rPr>
                <w:rFonts w:ascii="Palatino Linotype" w:eastAsia="Palatino Linotype" w:hAnsi="Palatino Linotype" w:cs="Palatino Linotype"/>
                <w:i/>
                <w:sz w:val="18"/>
                <w:szCs w:val="18"/>
              </w:rPr>
              <w:t xml:space="preserve"> EN UNA FECHA Y UN HORARIO IGUAL AL ESTABLECIDO EN LAS SOLICITUDES 438, 441, 442, 445, 446, 448, 449, 450, 451, 452, 454, 455, 456, 458, 459, 460, 461, 462, 463, 464, 465, 466, 467, 468, 470, 471, 472, 473, 474, </w:t>
            </w:r>
            <w:r>
              <w:rPr>
                <w:rFonts w:ascii="Palatino Linotype" w:eastAsia="Palatino Linotype" w:hAnsi="Palatino Linotype" w:cs="Palatino Linotype"/>
                <w:i/>
                <w:sz w:val="18"/>
                <w:szCs w:val="18"/>
              </w:rPr>
              <w:lastRenderedPageBreak/>
              <w:t>480, 481, 482, 483, 493, 498, 499, 500, 560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SOLICITO QUE LA INFORMACION SEA ENTREGADA A TRAVES DE ESTA PLATAFORMA</w:t>
            </w:r>
          </w:p>
        </w:tc>
      </w:tr>
      <w:tr w:rsidR="003E1096" w14:paraId="6FEB6FE6" w14:textId="77777777">
        <w:tc>
          <w:tcPr>
            <w:tcW w:w="2830" w:type="dxa"/>
          </w:tcPr>
          <w:p w14:paraId="216EA059"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lastRenderedPageBreak/>
              <w:t>06728/INFOEM/IP/RR/2024</w:t>
            </w:r>
          </w:p>
        </w:tc>
        <w:tc>
          <w:tcPr>
            <w:tcW w:w="3402" w:type="dxa"/>
          </w:tcPr>
          <w:p w14:paraId="2C0A2C35" w14:textId="77777777" w:rsidR="003E1096" w:rsidRDefault="005806A6">
            <w:pPr>
              <w:spacing w:before="240" w:after="240"/>
              <w:jc w:val="center"/>
              <w:rPr>
                <w:rFonts w:ascii="Palatino Linotype" w:eastAsia="Palatino Linotype" w:hAnsi="Palatino Linotype" w:cs="Palatino Linotype"/>
                <w:i/>
                <w:sz w:val="18"/>
                <w:szCs w:val="18"/>
              </w:rPr>
            </w:pPr>
            <w:r>
              <w:rPr>
                <w:rFonts w:ascii="Palatino Linotype" w:eastAsia="Palatino Linotype" w:hAnsi="Palatino Linotype" w:cs="Palatino Linotype"/>
                <w:i/>
              </w:rPr>
              <w:t>RESPUESTA OTORGADA</w:t>
            </w:r>
          </w:p>
        </w:tc>
        <w:tc>
          <w:tcPr>
            <w:tcW w:w="3261" w:type="dxa"/>
          </w:tcPr>
          <w:p w14:paraId="1D4EB7BC"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EL SUJETO OBLIGADO MANIFIESTA QUE LA ENTREGA DE INFORMACION SERA MEDIANTE CONSULTA DIRECTA</w:t>
            </w:r>
            <w:r>
              <w:rPr>
                <w:rFonts w:ascii="Palatino Linotype" w:eastAsia="Palatino Linotype" w:hAnsi="Palatino Linotype" w:cs="Palatino Linotype"/>
                <w:i/>
                <w:sz w:val="18"/>
                <w:szCs w:val="18"/>
              </w:rPr>
              <w:t xml:space="preserve"> EN UNA FECHA Y UN HORARIO IGUAL AL ESTABLECIDO EN LAS SOLICITUDES 516,517,518,520,521,555,571,574,575,582,583,584,585,586,587,588,589,592,594,595,596,599,600 PONIENDO A DISPOCISION LA INFORMACION EN LUGARES TOTALMENTE DISTINTOS ENTRE UNA SOLICITUD Y OTRA, HACIENDO ESTO HUMANAMENTE IMPOSIBLE DE SOLVENTAR, EN UN ACTO DE TOTAL OPACIDAD E IRREGULARIDAD, MENOSCABANDO LO ESTIPULADO EN LOS ARTICULOS 4, 7 Y 24 FRACCION XVII, XIX, XXII, XXIII DE </w:t>
            </w:r>
            <w:r>
              <w:rPr>
                <w:rFonts w:ascii="Palatino Linotype" w:eastAsia="Palatino Linotype" w:hAnsi="Palatino Linotype" w:cs="Palatino Linotype"/>
                <w:i/>
                <w:sz w:val="18"/>
                <w:szCs w:val="18"/>
              </w:rPr>
              <w:lastRenderedPageBreak/>
              <w:t>LA LEY DE TRANSPARENCIA Y ACCESO A LA INFORMACION PUBLICA DEL ESTADO DE MEXICO, DEMOSTRANDO DE MANERA RECURRENTE QUE EL SUJETO OBLIGADO ENTORPESE EL DERECHO AL ACCESO DE LA INFORMACION SOLICITADA, POR LO QUE SOLICITO QUE LA INFORMACION SEA ENTREGADA A TRAVES DE ESTA PLATAFORMA</w:t>
            </w:r>
          </w:p>
        </w:tc>
      </w:tr>
      <w:tr w:rsidR="003E1096" w14:paraId="49EC5267" w14:textId="77777777">
        <w:tc>
          <w:tcPr>
            <w:tcW w:w="2830" w:type="dxa"/>
          </w:tcPr>
          <w:p w14:paraId="3630CB22"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lastRenderedPageBreak/>
              <w:t>06732/INFOEM/IP/RR/2024</w:t>
            </w:r>
          </w:p>
        </w:tc>
        <w:tc>
          <w:tcPr>
            <w:tcW w:w="3402" w:type="dxa"/>
          </w:tcPr>
          <w:p w14:paraId="08EDA581" w14:textId="77777777" w:rsidR="003E1096" w:rsidRDefault="005806A6">
            <w:pPr>
              <w:spacing w:before="240" w:after="240"/>
              <w:jc w:val="center"/>
              <w:rPr>
                <w:rFonts w:ascii="Palatino Linotype" w:eastAsia="Palatino Linotype" w:hAnsi="Palatino Linotype" w:cs="Palatino Linotype"/>
                <w:i/>
                <w:sz w:val="18"/>
                <w:szCs w:val="18"/>
              </w:rPr>
            </w:pPr>
            <w:r>
              <w:rPr>
                <w:rFonts w:ascii="Palatino Linotype" w:eastAsia="Palatino Linotype" w:hAnsi="Palatino Linotype" w:cs="Palatino Linotype"/>
                <w:i/>
              </w:rPr>
              <w:t>RESPUESTA OTORGADA</w:t>
            </w:r>
          </w:p>
        </w:tc>
        <w:tc>
          <w:tcPr>
            <w:tcW w:w="3261" w:type="dxa"/>
          </w:tcPr>
          <w:p w14:paraId="1FF30AA6"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i/>
                <w:sz w:val="18"/>
                <w:szCs w:val="18"/>
              </w:rPr>
              <w:t>EL SUJETO OBLIGADO MANIFIESTA QUE LA ENTREGA DE INFORMACION SERA MEDIANTE CONSULTA DIRECTA EN UNA FECHA Y UN HORARIO IGUAL AL ESTABLECIDO EN LAS SOLICITUDES 516,517,518,520,521,555,571,574,575,582,583,584,585,586,587,588,589,592,594,595,596,599,600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SOLICITO QUE LA INFORMACION SEA ENTREGADA A TRAVES DE ESTA PLATAFORMA</w:t>
            </w:r>
          </w:p>
        </w:tc>
      </w:tr>
      <w:tr w:rsidR="003E1096" w14:paraId="44D10DEF" w14:textId="77777777">
        <w:tc>
          <w:tcPr>
            <w:tcW w:w="2830" w:type="dxa"/>
          </w:tcPr>
          <w:p w14:paraId="0A2219EE"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lastRenderedPageBreak/>
              <w:t>06882/INFOEM/IP/RR/2024</w:t>
            </w:r>
          </w:p>
        </w:tc>
        <w:tc>
          <w:tcPr>
            <w:tcW w:w="3402" w:type="dxa"/>
          </w:tcPr>
          <w:p w14:paraId="59497123" w14:textId="77777777" w:rsidR="003E1096" w:rsidRDefault="005806A6">
            <w:pPr>
              <w:spacing w:before="240" w:after="240"/>
              <w:jc w:val="center"/>
              <w:rPr>
                <w:rFonts w:ascii="Palatino Linotype" w:eastAsia="Palatino Linotype" w:hAnsi="Palatino Linotype" w:cs="Palatino Linotype"/>
                <w:i/>
                <w:sz w:val="18"/>
                <w:szCs w:val="18"/>
              </w:rPr>
            </w:pPr>
            <w:r>
              <w:rPr>
                <w:rFonts w:ascii="Palatino Linotype" w:eastAsia="Palatino Linotype" w:hAnsi="Palatino Linotype" w:cs="Palatino Linotype"/>
                <w:i/>
              </w:rPr>
              <w:t>RESPUESTA OTORGADA</w:t>
            </w:r>
          </w:p>
        </w:tc>
        <w:tc>
          <w:tcPr>
            <w:tcW w:w="3261" w:type="dxa"/>
          </w:tcPr>
          <w:p w14:paraId="718635F6"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EL SUJETO OBLIGADO MANIFIESTA QUE LA ENTREGA DE INFORMACION SERA MEDIANTE CONSULTA DIRECTA</w:t>
            </w:r>
            <w:r>
              <w:rPr>
                <w:rFonts w:ascii="Palatino Linotype" w:eastAsia="Palatino Linotype" w:hAnsi="Palatino Linotype" w:cs="Palatino Linotype"/>
                <w:i/>
                <w:sz w:val="18"/>
                <w:szCs w:val="18"/>
              </w:rPr>
              <w:t xml:space="preserve"> EN UNA FECHA Y UN HORARIO IGUAL AL ESTABLECIDO EN LAS SOLICITUDES 625,651,649,638,623,637,639,635,626,681,668,667,621,620,619,611,605,663,664,665 Y 666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SOLICITO QUE LA INFORMACION SEA ENTREGADA A TRAVES DE ESTA PLATAFORMA CONSIDERANDO MI SOLICITUD Y LA JURISPRIDENCIA DE LOS MAS ALTOS TRIBUNALES LA CUAL ESTABLECE Registro digital: 2027906 Instancia: Tribunales Colegiados de Circuito Undécima Época Materia(s): Administrativa, Constitucional Tesis: I.18o.A.1 CS (11a.) Fuente: Gaceta del Semanario Judicial de la Federación. Libro 33, </w:t>
            </w:r>
            <w:proofErr w:type="gramStart"/>
            <w:r>
              <w:rPr>
                <w:rFonts w:ascii="Palatino Linotype" w:eastAsia="Palatino Linotype" w:hAnsi="Palatino Linotype" w:cs="Palatino Linotype"/>
                <w:i/>
                <w:sz w:val="18"/>
                <w:szCs w:val="18"/>
              </w:rPr>
              <w:t>Enero</w:t>
            </w:r>
            <w:proofErr w:type="gramEnd"/>
            <w:r>
              <w:rPr>
                <w:rFonts w:ascii="Palatino Linotype" w:eastAsia="Palatino Linotype" w:hAnsi="Palatino Linotype" w:cs="Palatino Linotype"/>
                <w:i/>
                <w:sz w:val="18"/>
                <w:szCs w:val="18"/>
              </w:rPr>
              <w:t xml:space="preserve"> de 2024, Tomo VI, página 5953 Tipo: Aislada DERECHO DE ACCESO A LA INFORMACIÓN. PARA GARANTIZARLO DE MANERA </w:t>
            </w:r>
            <w:r>
              <w:rPr>
                <w:rFonts w:ascii="Palatino Linotype" w:eastAsia="Palatino Linotype" w:hAnsi="Palatino Linotype" w:cs="Palatino Linotype"/>
                <w:i/>
                <w:sz w:val="18"/>
                <w:szCs w:val="18"/>
              </w:rPr>
              <w:lastRenderedPageBreak/>
              <w:t xml:space="preserve">EFECTIVA, EL SUJETO OBLIGADO DEBE PRIVILEGIAR EL MEDIO Y FORMATO SOLICITADOS POR EL INTERESADO PARA RECIBIRLA. Criterio jurídico: Este Tribunal Colegiado de Circuito determina que el derecho a solicitar y recibir la información comprende la forma o medio en el cual pide su entrega, a fin de garantizar al interesado el pleno acceso y disposición de la información solicitada, sin que se pueda dejar al arbitrio del sujeto obligado el medio para entregarla, y sin atender la forma como la solicitó el peticionario. Justificación: Los artículos 6o. de la Constitución Política de los Estados Unidos Mexicanos y 121 a 126, 128, 130, 132, 136, 138, 142 y 145 de la Ley Federal de Transparencia y Acceso a la Información Pública, establecen que toda persona tiene derecho al libre acceso a la información plural y oportuna, y a buscar, recibir y difundir información e ideas de toda índole por cualquier medio de expresión, así como el procedimiento para su acceso. Por tanto, para garantizar de la mejor manera posible el derecho de acceso a la información, incluso cuando el sujeto obligado cuente con distintos medios físicos o electrónicos para entregarla, se debe privilegiar el medio o formato elegido por el solicitante, sin que obste a lo anterior que, incluso, el Instituto Nacional de Transparencia, Acceso a la Información y Protección de Datos Personales hubiera indicado en la resolución del recurso de revisión la posibilidad de otorgar los datos por distintos medios, pues eso no faculta al sujeto obligado a decidir con cuál cumple su obligación, sino que debe privilegiar el modo de entrega que elija el interesado, por ser su derecho de acceder y disponer de la información de la forma que le permita de mejor manera su manejo y disposición. DÉCIMO OCTAVO TRIBUNAL COLEGIADO EN MATERIA </w:t>
            </w:r>
            <w:r>
              <w:rPr>
                <w:rFonts w:ascii="Palatino Linotype" w:eastAsia="Palatino Linotype" w:hAnsi="Palatino Linotype" w:cs="Palatino Linotype"/>
                <w:i/>
                <w:sz w:val="18"/>
                <w:szCs w:val="18"/>
              </w:rPr>
              <w:lastRenderedPageBreak/>
              <w:t>ADMINISTRATIVA DEL PRIMER CIRCUITO.</w:t>
            </w:r>
          </w:p>
        </w:tc>
      </w:tr>
      <w:tr w:rsidR="003E1096" w14:paraId="016C8E2F" w14:textId="77777777">
        <w:tc>
          <w:tcPr>
            <w:tcW w:w="2830" w:type="dxa"/>
          </w:tcPr>
          <w:p w14:paraId="23107580" w14:textId="77777777" w:rsidR="003E1096" w:rsidRDefault="005806A6">
            <w:pPr>
              <w:spacing w:before="240" w:after="240"/>
              <w:jc w:val="center"/>
              <w:rPr>
                <w:rFonts w:ascii="Palatino Linotype" w:eastAsia="Palatino Linotype" w:hAnsi="Palatino Linotype" w:cs="Palatino Linotype"/>
                <w:b/>
                <w:sz w:val="20"/>
                <w:szCs w:val="20"/>
              </w:rPr>
            </w:pPr>
            <w:r>
              <w:rPr>
                <w:rFonts w:ascii="Palatino Linotype" w:eastAsia="Palatino Linotype" w:hAnsi="Palatino Linotype" w:cs="Palatino Linotype"/>
                <w:b/>
                <w:sz w:val="20"/>
                <w:szCs w:val="20"/>
              </w:rPr>
              <w:lastRenderedPageBreak/>
              <w:t>06905/INFOEM/IP/RR/2024</w:t>
            </w:r>
          </w:p>
        </w:tc>
        <w:tc>
          <w:tcPr>
            <w:tcW w:w="3402" w:type="dxa"/>
          </w:tcPr>
          <w:p w14:paraId="497863A6" w14:textId="77777777" w:rsidR="003E1096" w:rsidRDefault="005806A6">
            <w:pPr>
              <w:spacing w:before="240" w:after="240"/>
              <w:jc w:val="center"/>
              <w:rPr>
                <w:rFonts w:ascii="Palatino Linotype" w:eastAsia="Palatino Linotype" w:hAnsi="Palatino Linotype" w:cs="Palatino Linotype"/>
                <w:i/>
                <w:sz w:val="18"/>
                <w:szCs w:val="18"/>
              </w:rPr>
            </w:pPr>
            <w:r>
              <w:rPr>
                <w:rFonts w:ascii="Palatino Linotype" w:eastAsia="Palatino Linotype" w:hAnsi="Palatino Linotype" w:cs="Palatino Linotype"/>
                <w:i/>
              </w:rPr>
              <w:t>RESPUESTA OTORGADA</w:t>
            </w:r>
          </w:p>
        </w:tc>
        <w:tc>
          <w:tcPr>
            <w:tcW w:w="3261" w:type="dxa"/>
          </w:tcPr>
          <w:p w14:paraId="2A93C154" w14:textId="77777777" w:rsidR="003E1096" w:rsidRDefault="005806A6">
            <w:pPr>
              <w:spacing w:before="240" w:after="240"/>
              <w:jc w:val="both"/>
              <w:rPr>
                <w:rFonts w:ascii="Palatino Linotype" w:eastAsia="Palatino Linotype" w:hAnsi="Palatino Linotype" w:cs="Palatino Linotype"/>
                <w:i/>
                <w:sz w:val="18"/>
                <w:szCs w:val="18"/>
              </w:rPr>
            </w:pPr>
            <w:r>
              <w:rPr>
                <w:rFonts w:ascii="Palatino Linotype" w:eastAsia="Palatino Linotype" w:hAnsi="Palatino Linotype" w:cs="Palatino Linotype"/>
                <w:b/>
                <w:i/>
                <w:sz w:val="18"/>
                <w:szCs w:val="18"/>
              </w:rPr>
              <w:t>EL SUJETO OBLIGADO MANIFIESTA QUE LA ENTREGA DE INFORMACION SERA MEDIANTE CONSULTA DIRECTA</w:t>
            </w:r>
            <w:r>
              <w:rPr>
                <w:rFonts w:ascii="Palatino Linotype" w:eastAsia="Palatino Linotype" w:hAnsi="Palatino Linotype" w:cs="Palatino Linotype"/>
                <w:i/>
                <w:sz w:val="18"/>
                <w:szCs w:val="18"/>
              </w:rPr>
              <w:t xml:space="preserve"> EN UNA FECHA Y UN HORARIO IGUAL AL ESTABLECIDO EN LAS SOLICITUDES 625,651,649,638,623,637,639,635,626,681,668,667,621,620,619,611,615,614, 605,663,664,665 Y 666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SOLICITO QUE LA INFORMACION SEA ENTREGADA A TRAVES DE ESTA PLATAFORMA CONSIDERANDO MI SOLICITUD Y LA JURISPRIDENCIA DE LOS MAS ALTOS TRIBUNALES LA CUAL ESTABLECE Registro digital: 2027906 Instancia: Tribunales Colegiados de Circuito Undécima Época Materia(s): Administrativa, Constitucional Tesis: I.18o.A.1 CS (11a.) Fuente: Gaceta del Semanario Judicial de la Federación. Libro 33, </w:t>
            </w:r>
            <w:proofErr w:type="gramStart"/>
            <w:r>
              <w:rPr>
                <w:rFonts w:ascii="Palatino Linotype" w:eastAsia="Palatino Linotype" w:hAnsi="Palatino Linotype" w:cs="Palatino Linotype"/>
                <w:i/>
                <w:sz w:val="18"/>
                <w:szCs w:val="18"/>
              </w:rPr>
              <w:t>Enero</w:t>
            </w:r>
            <w:proofErr w:type="gramEnd"/>
            <w:r>
              <w:rPr>
                <w:rFonts w:ascii="Palatino Linotype" w:eastAsia="Palatino Linotype" w:hAnsi="Palatino Linotype" w:cs="Palatino Linotype"/>
                <w:i/>
                <w:sz w:val="18"/>
                <w:szCs w:val="18"/>
              </w:rPr>
              <w:t xml:space="preserve"> de 2024, Tomo VI, página 5953 </w:t>
            </w:r>
            <w:r>
              <w:rPr>
                <w:rFonts w:ascii="Palatino Linotype" w:eastAsia="Palatino Linotype" w:hAnsi="Palatino Linotype" w:cs="Palatino Linotype"/>
                <w:i/>
                <w:sz w:val="18"/>
                <w:szCs w:val="18"/>
              </w:rPr>
              <w:lastRenderedPageBreak/>
              <w:t xml:space="preserve">Tipo: Aislada DERECHO DE ACCESO A LA INFORMACIÓN. PARA GARANTIZARLO DE MANERA EFECTIVA, EL SUJETO OBLIGADO DEBE PRIVILEGIAR EL MEDIO Y FORMATO SOLICITADOS POR EL INTERESADO PARA RECIBIRLA. Criterio jurídico: Este Tribunal Colegiado de Circuito determina que el derecho a solicitar y recibir la información comprende la forma o medio en el cual pide su entrega, a fin de garantizar al interesado el pleno acceso y disposición de la información solicitada, sin que se pueda dejar al arbitrio del sujeto obligado el medio para entregarla, y sin atender la forma como la solicitó el peticionario. Justificación: Los artículos 6o. de la Constitución Política de los Estados Unidos Mexicanos y 121 a 126, 128, 130, 132, 136, 138, 142 y 145 de la Ley Federal de Transparencia y Acceso a la Información Pública, establecen que toda persona tiene derecho al libre acceso a la información plural y oportuna, y a buscar, recibir y difundir información e ideas de toda índole por cualquier medio de expresión, así como el procedimiento para su acceso. Por tanto, para garantizar de la mejor manera posible el derecho de acceso a la información, incluso cuando el sujeto obligado cuente con distintos medios físicos o electrónicos para entregarla, se debe privilegiar el medio o formato elegido por el solicitante, sin que obste a lo anterior que, incluso, el Instituto Nacional de Transparencia, Acceso a la Información y Protección de Datos Personales hubiera indicado en la resolución del recurso de revisión la posibilidad de otorgar los datos por distintos medios, pues eso no faculta al sujeto obligado a decidir con cuál cumple su obligación, sino que debe privilegiar el modo de entrega que elija el interesado, por ser su derecho de acceder y disponer de la información de la forma que le permita de </w:t>
            </w:r>
            <w:r>
              <w:rPr>
                <w:rFonts w:ascii="Palatino Linotype" w:eastAsia="Palatino Linotype" w:hAnsi="Palatino Linotype" w:cs="Palatino Linotype"/>
                <w:i/>
                <w:sz w:val="18"/>
                <w:szCs w:val="18"/>
              </w:rPr>
              <w:lastRenderedPageBreak/>
              <w:t>mejor manera su manejo y disposición. DÉCIMO OCTAVO TRIBUNAL COLEGIADO EN MATERIA ADMINISTRATIVA DEL PRIMER CIRCUITO.</w:t>
            </w:r>
          </w:p>
        </w:tc>
      </w:tr>
    </w:tbl>
    <w:p w14:paraId="3C974C4F"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lastRenderedPageBreak/>
        <w:t xml:space="preserve">4. Turnos. </w:t>
      </w:r>
      <w:r>
        <w:rPr>
          <w:rFonts w:ascii="Palatino Linotype" w:eastAsia="Palatino Linotype" w:hAnsi="Palatino Linotype" w:cs="Palatino Linotype"/>
          <w:sz w:val="22"/>
          <w:szCs w:val="22"/>
        </w:rPr>
        <w:t>De conformidad con el artículo 185 fracción I de la Ley Transparencia y Acceso a la Información Pública, los recursos de revisión fueron</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 xml:space="preserve">turnados de la siguiente manera a efecto de presentar al Pleno los proyectos de resolución correspondientes: </w:t>
      </w:r>
    </w:p>
    <w:tbl>
      <w:tblPr>
        <w:tblStyle w:val="affff2"/>
        <w:tblW w:w="892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0"/>
        <w:gridCol w:w="4461"/>
      </w:tblGrid>
      <w:tr w:rsidR="003E1096" w14:paraId="22546044" w14:textId="77777777">
        <w:tc>
          <w:tcPr>
            <w:tcW w:w="4460" w:type="dxa"/>
            <w:shd w:val="clear" w:color="auto" w:fill="EBF1DD"/>
          </w:tcPr>
          <w:p w14:paraId="13574520" w14:textId="77777777" w:rsidR="003E1096" w:rsidRDefault="005806A6">
            <w:pPr>
              <w:spacing w:before="240" w:after="240" w:line="360" w:lineRule="auto"/>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Recurso de Revisión</w:t>
            </w:r>
          </w:p>
        </w:tc>
        <w:tc>
          <w:tcPr>
            <w:tcW w:w="4461" w:type="dxa"/>
            <w:shd w:val="clear" w:color="auto" w:fill="EBF1DD"/>
          </w:tcPr>
          <w:p w14:paraId="16039413" w14:textId="77777777" w:rsidR="003E1096" w:rsidRDefault="005806A6">
            <w:pPr>
              <w:spacing w:before="240" w:after="240" w:line="360" w:lineRule="auto"/>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Comisionada/o</w:t>
            </w:r>
          </w:p>
        </w:tc>
      </w:tr>
      <w:tr w:rsidR="003E1096" w14:paraId="67C4007B" w14:textId="77777777">
        <w:tc>
          <w:tcPr>
            <w:tcW w:w="4460" w:type="dxa"/>
          </w:tcPr>
          <w:p w14:paraId="19FDCF7F" w14:textId="77777777" w:rsidR="003E1096" w:rsidRDefault="005806A6">
            <w:pPr>
              <w:jc w:val="center"/>
              <w:rPr>
                <w:sz w:val="18"/>
                <w:szCs w:val="18"/>
              </w:rPr>
            </w:pPr>
            <w:r>
              <w:rPr>
                <w:rFonts w:ascii="Palatino Linotype" w:eastAsia="Palatino Linotype" w:hAnsi="Palatino Linotype" w:cs="Palatino Linotype"/>
                <w:b/>
                <w:sz w:val="18"/>
                <w:szCs w:val="18"/>
              </w:rPr>
              <w:t>06714/INFOEM/IP/RR/2024</w:t>
            </w:r>
          </w:p>
        </w:tc>
        <w:tc>
          <w:tcPr>
            <w:tcW w:w="4461" w:type="dxa"/>
          </w:tcPr>
          <w:p w14:paraId="390DF6DB" w14:textId="77777777" w:rsidR="003E1096" w:rsidRDefault="005806A6">
            <w:pPr>
              <w:spacing w:before="240" w:after="240"/>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Comisionada Guadalupe Ramírez Peña</w:t>
            </w:r>
          </w:p>
        </w:tc>
      </w:tr>
      <w:tr w:rsidR="003E1096" w14:paraId="02F1D278" w14:textId="77777777">
        <w:tc>
          <w:tcPr>
            <w:tcW w:w="4460" w:type="dxa"/>
          </w:tcPr>
          <w:p w14:paraId="65534F1D" w14:textId="77777777" w:rsidR="003E1096" w:rsidRDefault="005806A6">
            <w:pPr>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06716/INFOEM/IP/RR/2024</w:t>
            </w:r>
          </w:p>
        </w:tc>
        <w:tc>
          <w:tcPr>
            <w:tcW w:w="4461" w:type="dxa"/>
          </w:tcPr>
          <w:p w14:paraId="480F02F8" w14:textId="77777777" w:rsidR="003E1096" w:rsidRDefault="005806A6">
            <w:pPr>
              <w:spacing w:before="240" w:after="240"/>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Comisionado Luis Gustavo Parra Noriega</w:t>
            </w:r>
          </w:p>
        </w:tc>
      </w:tr>
      <w:tr w:rsidR="003E1096" w14:paraId="08F397D5" w14:textId="77777777">
        <w:tc>
          <w:tcPr>
            <w:tcW w:w="4460" w:type="dxa"/>
          </w:tcPr>
          <w:p w14:paraId="1223E810" w14:textId="77777777" w:rsidR="003E1096" w:rsidRDefault="005806A6">
            <w:pPr>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06905/INFOEM/IP/RR/2024</w:t>
            </w:r>
          </w:p>
        </w:tc>
        <w:tc>
          <w:tcPr>
            <w:tcW w:w="4461" w:type="dxa"/>
          </w:tcPr>
          <w:p w14:paraId="068A7693" w14:textId="77777777" w:rsidR="003E1096" w:rsidRDefault="005806A6">
            <w:pPr>
              <w:spacing w:before="240" w:after="240"/>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 xml:space="preserve">Comisionado </w:t>
            </w:r>
            <w:proofErr w:type="gramStart"/>
            <w:r>
              <w:rPr>
                <w:rFonts w:ascii="Palatino Linotype" w:eastAsia="Palatino Linotype" w:hAnsi="Palatino Linotype" w:cs="Palatino Linotype"/>
                <w:b/>
                <w:sz w:val="18"/>
                <w:szCs w:val="18"/>
              </w:rPr>
              <w:t>Presidente</w:t>
            </w:r>
            <w:proofErr w:type="gramEnd"/>
            <w:r>
              <w:rPr>
                <w:rFonts w:ascii="Palatino Linotype" w:eastAsia="Palatino Linotype" w:hAnsi="Palatino Linotype" w:cs="Palatino Linotype"/>
                <w:b/>
                <w:sz w:val="18"/>
                <w:szCs w:val="18"/>
              </w:rPr>
              <w:t xml:space="preserve"> José Martínez Vilchis</w:t>
            </w:r>
          </w:p>
        </w:tc>
      </w:tr>
      <w:tr w:rsidR="003E1096" w14:paraId="31A59D28" w14:textId="77777777">
        <w:tc>
          <w:tcPr>
            <w:tcW w:w="4460" w:type="dxa"/>
          </w:tcPr>
          <w:p w14:paraId="0414833A" w14:textId="77777777" w:rsidR="003E1096" w:rsidRDefault="005806A6">
            <w:pPr>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06732/INFOEM/IP/RR/2024 y 06882/INFOEM/IP/RR/2024</w:t>
            </w:r>
          </w:p>
        </w:tc>
        <w:tc>
          <w:tcPr>
            <w:tcW w:w="4461" w:type="dxa"/>
          </w:tcPr>
          <w:p w14:paraId="21FAE811" w14:textId="77777777" w:rsidR="003E1096" w:rsidRDefault="005806A6">
            <w:pPr>
              <w:spacing w:before="240" w:after="240"/>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Comisionada Sharon Cristina Morales Martínez</w:t>
            </w:r>
          </w:p>
        </w:tc>
      </w:tr>
      <w:tr w:rsidR="003E1096" w14:paraId="7596440E" w14:textId="77777777">
        <w:tc>
          <w:tcPr>
            <w:tcW w:w="4460" w:type="dxa"/>
          </w:tcPr>
          <w:p w14:paraId="398ADE39" w14:textId="77777777" w:rsidR="003E1096" w:rsidRDefault="005806A6">
            <w:pPr>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06728/INFOEM/IP/RR/2024</w:t>
            </w:r>
          </w:p>
        </w:tc>
        <w:tc>
          <w:tcPr>
            <w:tcW w:w="4461" w:type="dxa"/>
          </w:tcPr>
          <w:p w14:paraId="1F7C109E" w14:textId="77777777" w:rsidR="003E1096" w:rsidRDefault="005806A6">
            <w:pPr>
              <w:spacing w:before="240" w:after="240"/>
              <w:jc w:val="center"/>
              <w:rPr>
                <w:rFonts w:ascii="Palatino Linotype" w:eastAsia="Palatino Linotype" w:hAnsi="Palatino Linotype" w:cs="Palatino Linotype"/>
                <w:b/>
                <w:sz w:val="18"/>
                <w:szCs w:val="18"/>
              </w:rPr>
            </w:pPr>
            <w:r>
              <w:rPr>
                <w:rFonts w:ascii="Palatino Linotype" w:eastAsia="Palatino Linotype" w:hAnsi="Palatino Linotype" w:cs="Palatino Linotype"/>
                <w:b/>
                <w:sz w:val="18"/>
                <w:szCs w:val="18"/>
              </w:rPr>
              <w:t>Comisionada María del Rosario Mejía Ayala</w:t>
            </w:r>
          </w:p>
        </w:tc>
      </w:tr>
    </w:tbl>
    <w:p w14:paraId="20BDB1F1"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5. Admisiones. </w:t>
      </w:r>
      <w:r>
        <w:rPr>
          <w:rFonts w:ascii="Palatino Linotype" w:eastAsia="Palatino Linotype" w:hAnsi="Palatino Linotype" w:cs="Palatino Linotype"/>
          <w:sz w:val="22"/>
          <w:szCs w:val="22"/>
        </w:rPr>
        <w:t xml:space="preserve">Los días </w:t>
      </w:r>
      <w:proofErr w:type="gramStart"/>
      <w:r>
        <w:rPr>
          <w:rFonts w:ascii="Palatino Linotype" w:eastAsia="Palatino Linotype" w:hAnsi="Palatino Linotype" w:cs="Palatino Linotype"/>
          <w:b/>
          <w:sz w:val="22"/>
          <w:szCs w:val="22"/>
        </w:rPr>
        <w:t>treinta,  treinta</w:t>
      </w:r>
      <w:proofErr w:type="gramEnd"/>
      <w:r>
        <w:rPr>
          <w:rFonts w:ascii="Palatino Linotype" w:eastAsia="Palatino Linotype" w:hAnsi="Palatino Linotype" w:cs="Palatino Linotype"/>
          <w:b/>
          <w:sz w:val="22"/>
          <w:szCs w:val="22"/>
        </w:rPr>
        <w:t xml:space="preserve"> y uno de octubre, así como el cuatro </w:t>
      </w:r>
      <w:r>
        <w:rPr>
          <w:rFonts w:ascii="Palatino Linotype" w:eastAsia="Palatino Linotype" w:hAnsi="Palatino Linotype" w:cs="Palatino Linotype"/>
          <w:b/>
          <w:color w:val="000000"/>
          <w:sz w:val="22"/>
          <w:szCs w:val="22"/>
        </w:rPr>
        <w:t xml:space="preserve">de noviembre de </w:t>
      </w:r>
      <w:r>
        <w:rPr>
          <w:rFonts w:ascii="Palatino Linotype" w:eastAsia="Palatino Linotype" w:hAnsi="Palatino Linotype" w:cs="Palatino Linotype"/>
          <w:b/>
          <w:sz w:val="22"/>
          <w:szCs w:val="22"/>
        </w:rPr>
        <w:t>dos mil veinticuatro,</w:t>
      </w:r>
      <w:r>
        <w:rPr>
          <w:rFonts w:ascii="Palatino Linotype" w:eastAsia="Palatino Linotype" w:hAnsi="Palatino Linotype" w:cs="Palatino Linotype"/>
          <w:sz w:val="22"/>
          <w:szCs w:val="22"/>
        </w:rPr>
        <w:t xml:space="preserve"> en términos de lo dispuesto en el artículo 185 fracciones I, II y IV de la Ley de Transparencia y Acceso a la Información Pública del Estado de México y Municipios, se admitieron a trámite los recursos de revisión.</w:t>
      </w:r>
    </w:p>
    <w:p w14:paraId="286030E9" w14:textId="77777777" w:rsidR="003E1096" w:rsidRDefault="005806A6">
      <w:pPr>
        <w:spacing w:before="240" w:after="240"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 xml:space="preserve">6. Acumulación. </w:t>
      </w:r>
      <w:r>
        <w:rPr>
          <w:rFonts w:ascii="Palatino Linotype" w:eastAsia="Palatino Linotype" w:hAnsi="Palatino Linotype" w:cs="Palatino Linotype"/>
          <w:sz w:val="22"/>
          <w:szCs w:val="22"/>
        </w:rPr>
        <w:t xml:space="preserve">En </w:t>
      </w:r>
      <w:r>
        <w:rPr>
          <w:rFonts w:ascii="Palatino Linotype" w:eastAsia="Palatino Linotype" w:hAnsi="Palatino Linotype" w:cs="Palatino Linotype"/>
          <w:color w:val="000000"/>
          <w:sz w:val="22"/>
          <w:szCs w:val="22"/>
        </w:rPr>
        <w:t xml:space="preserve">la </w:t>
      </w:r>
      <w:r>
        <w:rPr>
          <w:rFonts w:ascii="Palatino Linotype" w:eastAsia="Palatino Linotype" w:hAnsi="Palatino Linotype" w:cs="Palatino Linotype"/>
          <w:b/>
          <w:color w:val="000000"/>
          <w:sz w:val="22"/>
          <w:szCs w:val="22"/>
        </w:rPr>
        <w:t xml:space="preserve">Trigésima Novena Sesión Ordinaria </w:t>
      </w:r>
      <w:r>
        <w:rPr>
          <w:rFonts w:ascii="Palatino Linotype" w:eastAsia="Palatino Linotype" w:hAnsi="Palatino Linotype" w:cs="Palatino Linotype"/>
          <w:sz w:val="22"/>
          <w:szCs w:val="22"/>
        </w:rPr>
        <w:t xml:space="preserve">celebrada el </w:t>
      </w:r>
      <w:r>
        <w:rPr>
          <w:rFonts w:ascii="Palatino Linotype" w:eastAsia="Palatino Linotype" w:hAnsi="Palatino Linotype" w:cs="Palatino Linotype"/>
          <w:b/>
          <w:sz w:val="22"/>
          <w:szCs w:val="22"/>
        </w:rPr>
        <w:t>trece de noviembre de dos mil veinticuatro</w:t>
      </w:r>
      <w:r>
        <w:rPr>
          <w:rFonts w:ascii="Palatino Linotype" w:eastAsia="Palatino Linotype" w:hAnsi="Palatino Linotype" w:cs="Palatino Linotype"/>
          <w:sz w:val="22"/>
          <w:szCs w:val="22"/>
        </w:rPr>
        <w:t xml:space="preserve">, al advertir la conexidad de causa y con la finalidad de </w:t>
      </w:r>
      <w:r>
        <w:rPr>
          <w:rFonts w:ascii="Palatino Linotype" w:eastAsia="Palatino Linotype" w:hAnsi="Palatino Linotype" w:cs="Palatino Linotype"/>
          <w:sz w:val="22"/>
          <w:szCs w:val="22"/>
        </w:rPr>
        <w:lastRenderedPageBreak/>
        <w:t xml:space="preserve">evitar que se dicten resoluciones contradictorias, de conformidad con el artículo 195 de la Ley de Transparencia y Acceso a la Información Pública del Estado de México y Municipios y artículo 18 del Código de Procedimientos Administrativos del Estado de México, se acordó la acumulación de los recursos antes señalados, acordando que fuera Ponente la </w:t>
      </w:r>
      <w:r>
        <w:rPr>
          <w:rFonts w:ascii="Palatino Linotype" w:eastAsia="Palatino Linotype" w:hAnsi="Palatino Linotype" w:cs="Palatino Linotype"/>
          <w:b/>
          <w:sz w:val="22"/>
          <w:szCs w:val="22"/>
        </w:rPr>
        <w:t>Comisionada</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Guadalupe Ramírez Peña</w:t>
      </w:r>
      <w:r>
        <w:rPr>
          <w:rFonts w:ascii="Palatino Linotype" w:eastAsia="Palatino Linotype" w:hAnsi="Palatino Linotype" w:cs="Palatino Linotype"/>
          <w:sz w:val="22"/>
          <w:szCs w:val="22"/>
        </w:rPr>
        <w:t xml:space="preserve">; es de precisar que dicha situación se notificó a las partes mediante acuerdo vía SAIMEX. </w:t>
      </w:r>
    </w:p>
    <w:p w14:paraId="0D4123A1"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7. Manifestaciones e Informe Justificado. </w:t>
      </w:r>
      <w:r>
        <w:rPr>
          <w:rFonts w:ascii="Palatino Linotype" w:eastAsia="Palatino Linotype" w:hAnsi="Palatino Linotype" w:cs="Palatino Linotype"/>
          <w:sz w:val="22"/>
          <w:szCs w:val="22"/>
        </w:rPr>
        <w:t>De las constancias que obran en los expedientes electrónicos del SAIMEX se desprende que</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 xml:space="preserve">las partes fueron omisas en remitir sus informes justificados y manifestaciones, por lo que se tuvo por precluido su derecho para tal efecto y se procede a emitir la resolución que conforme a derecho corresponda. </w:t>
      </w:r>
    </w:p>
    <w:p w14:paraId="170087D2"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8. Requerimientos de Información Adicional. </w:t>
      </w:r>
      <w:r>
        <w:rPr>
          <w:rFonts w:ascii="Palatino Linotype" w:eastAsia="Palatino Linotype" w:hAnsi="Palatino Linotype" w:cs="Palatino Linotype"/>
          <w:sz w:val="22"/>
          <w:szCs w:val="22"/>
        </w:rPr>
        <w:t>Con el objeto de contar con los elementos necesarios para la elaboración del proyecto de resolución correspondiente y, contar con la incidencia respectiva, se le hizo llegar al</w:t>
      </w:r>
      <w:r>
        <w:rPr>
          <w:rFonts w:ascii="Palatino Linotype" w:eastAsia="Palatino Linotype" w:hAnsi="Palatino Linotype" w:cs="Palatino Linotype"/>
          <w:b/>
          <w:sz w:val="22"/>
          <w:szCs w:val="22"/>
        </w:rPr>
        <w:t xml:space="preserve"> Sujeto Obligado </w:t>
      </w:r>
      <w:r>
        <w:rPr>
          <w:rFonts w:ascii="Palatino Linotype" w:eastAsia="Palatino Linotype" w:hAnsi="Palatino Linotype" w:cs="Palatino Linotype"/>
          <w:sz w:val="22"/>
          <w:szCs w:val="22"/>
        </w:rPr>
        <w:t xml:space="preserve">un requerimiento de información adicional, en el que se le solicitó lo siguiente: </w:t>
      </w:r>
    </w:p>
    <w:p w14:paraId="0A673CD6"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“1.- ¿Ha realizado adquisiciones realizadas para uniformes para DIF, IMCUFIDE y presidencia, del 01 de enero de 2022 al 02 de octubre de 2024? De ser afirmativa la respuesta, detalle el número de adquisiciones realizadas.</w:t>
      </w:r>
    </w:p>
    <w:p w14:paraId="3595A467"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2.- ¿Ha realizado adquisiciones de ropa o cualquier vestimenta para servidores públicos o ciudadanos, del 01 de enero de 2022 al 02 de octubre de 2024? De ser afirmativa la respuesta, detalle el número de adquisiciones realizadas.</w:t>
      </w:r>
    </w:p>
    <w:p w14:paraId="48D0C1E8"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3.- ¿Ha realizado adquisiciones de bienes muebles, del 01 de enero de 2022 al 02 de octubre de 2024? De ser afirmativa la respuesta, detalle el número de adquisiciones realizadas.</w:t>
      </w:r>
    </w:p>
    <w:p w14:paraId="0BABCDDB" w14:textId="77777777" w:rsidR="003E1096" w:rsidRDefault="003E1096">
      <w:pPr>
        <w:spacing w:before="240" w:after="240" w:line="276" w:lineRule="auto"/>
        <w:ind w:left="567" w:right="900"/>
        <w:jc w:val="both"/>
        <w:rPr>
          <w:rFonts w:ascii="Palatino Linotype" w:eastAsia="Palatino Linotype" w:hAnsi="Palatino Linotype" w:cs="Palatino Linotype"/>
          <w:i/>
          <w:sz w:val="22"/>
          <w:szCs w:val="22"/>
        </w:rPr>
      </w:pPr>
    </w:p>
    <w:p w14:paraId="5905059A"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4.- ¿Ha realizado reparaciones, rehabilitaciones o mantenimiento a la bomba del pozo de agua municipal, del 01 de enero de 2022 al 02 de octubre de 2024? De ser afirmativa la respuesta, detalle el número de reparaciones, rehabilitaciones o mantenimiento realizados.</w:t>
      </w:r>
    </w:p>
    <w:p w14:paraId="30B4C3E1"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5.- Precise el número de pólizas de egresos que soportan los siguientes montos erogados:</w:t>
      </w:r>
    </w:p>
    <w:p w14:paraId="21CB6DE6"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 Adquisiciones realizadas para uniformes para DIF, IMCUFIDE y presidencia, del 01 de enero de 2022 al 02 de octubre de 2024.</w:t>
      </w:r>
    </w:p>
    <w:p w14:paraId="1443DE42"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b) Adquisiciones de ropa o cualquier vestimenta para servidores públicos o ciudadanos, del 01 de enero de 2022 al 02 de octubre de 2024.</w:t>
      </w:r>
    </w:p>
    <w:p w14:paraId="0AB24B51"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c) Adquisiciones de bienes muebles, del 01 de enero de 2022 al 07 de octubre de 2024.</w:t>
      </w:r>
    </w:p>
    <w:p w14:paraId="750024E2"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d) Reparaciones, rehabilitaciones o mantenimiento a la bomba del pozo de agua municipal, del 01 de enero de 2022 al 07 de octubre de 2024.</w:t>
      </w:r>
    </w:p>
    <w:p w14:paraId="2193F6BA"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6.- Indique, de manera pormenorizada el número de fojas que componen las pólizas referidas en el numeral cinco.</w:t>
      </w:r>
    </w:p>
    <w:p w14:paraId="446D0487"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7.- Precise el número de facturas que soportan los siguientes montos erogados:</w:t>
      </w:r>
    </w:p>
    <w:p w14:paraId="25538969"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 Adquisiciones realizadas para uniformes para DIF, IMCUFIDE y presidencia, del 01 de enero de 2022 al 02 de octubre de 2024.</w:t>
      </w:r>
    </w:p>
    <w:p w14:paraId="10CB36DF"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b) Adquisiciones de ropa o cualquier vestimenta para servidores públicos o ciudadanos, del 01 de enero de 2022 al 02 de octubre de 2024.</w:t>
      </w:r>
    </w:p>
    <w:p w14:paraId="5F04C58D"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c) Adquisiciones de bienes muebles, del 01 de enero de 2022 al 07 de octubre de 2024.</w:t>
      </w:r>
    </w:p>
    <w:p w14:paraId="551BA96F"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d) Reparaciones, rehabilitaciones o mantenimiento a la bomba del pozo de agua municipal, del 01 de enero de 2022 al 07 de octubre de 2024.</w:t>
      </w:r>
    </w:p>
    <w:p w14:paraId="213FE0CA" w14:textId="77777777" w:rsidR="003E1096" w:rsidRDefault="003E1096">
      <w:pPr>
        <w:spacing w:before="240" w:after="240" w:line="276" w:lineRule="auto"/>
        <w:ind w:left="567" w:right="900"/>
        <w:jc w:val="both"/>
        <w:rPr>
          <w:rFonts w:ascii="Palatino Linotype" w:eastAsia="Palatino Linotype" w:hAnsi="Palatino Linotype" w:cs="Palatino Linotype"/>
          <w:i/>
          <w:sz w:val="22"/>
          <w:szCs w:val="22"/>
        </w:rPr>
      </w:pPr>
    </w:p>
    <w:p w14:paraId="2A9F7A94"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8.- Indique, el número de fojas que componen las facturas referidas en el numeral siete.</w:t>
      </w:r>
    </w:p>
    <w:p w14:paraId="432E4766"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9.- Dentro de sus archivos, ¿obra otro tipo de documentos soportan el monto erogado por los conceptos descritos en los numerales cinco y siete? De ser afirmativa la respuesta, precise la denominación de dicho documento y proporcione el número de fojas que compone esta información.</w:t>
      </w:r>
    </w:p>
    <w:p w14:paraId="6175E068"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10.- Señale, si emplea los parámetros de escaneo recomendados por este Instituto, los cuales consisten en una resolución alta de 150 </w:t>
      </w:r>
      <w:proofErr w:type="spellStart"/>
      <w:r>
        <w:rPr>
          <w:rFonts w:ascii="Palatino Linotype" w:eastAsia="Palatino Linotype" w:hAnsi="Palatino Linotype" w:cs="Palatino Linotype"/>
          <w:i/>
          <w:sz w:val="22"/>
          <w:szCs w:val="22"/>
        </w:rPr>
        <w:t>Dpi's</w:t>
      </w:r>
      <w:proofErr w:type="spellEnd"/>
      <w:r>
        <w:rPr>
          <w:rFonts w:ascii="Palatino Linotype" w:eastAsia="Palatino Linotype" w:hAnsi="Palatino Linotype" w:cs="Palatino Linotype"/>
          <w:i/>
          <w:sz w:val="22"/>
          <w:szCs w:val="22"/>
        </w:rPr>
        <w:t>, en escala de grises y formato "PDF"; extraído directamente del escáner.</w:t>
      </w:r>
    </w:p>
    <w:p w14:paraId="022ED325"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11.- Proporcione una foja escaneada de alguna de las pólizas de egresos y facturas referidas.</w:t>
      </w:r>
    </w:p>
    <w:p w14:paraId="5966F25B"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12.- Indique si, presentó la incidencia ante la Dirección General de Informática de este Instituto o al correo nelson.correa@infoem.org.mx </w:t>
      </w:r>
      <w:proofErr w:type="gramStart"/>
      <w:r>
        <w:rPr>
          <w:rFonts w:ascii="Palatino Linotype" w:eastAsia="Palatino Linotype" w:hAnsi="Palatino Linotype" w:cs="Palatino Linotype"/>
          <w:i/>
          <w:sz w:val="22"/>
          <w:szCs w:val="22"/>
        </w:rPr>
        <w:t xml:space="preserve">  ”</w:t>
      </w:r>
      <w:proofErr w:type="gramEnd"/>
    </w:p>
    <w:p w14:paraId="5D6C6493" w14:textId="77777777" w:rsidR="003E1096" w:rsidRDefault="005806A6">
      <w:pPr>
        <w:spacing w:before="240" w:after="240" w:line="360" w:lineRule="auto"/>
        <w:ind w:right="49"/>
        <w:jc w:val="both"/>
        <w:rPr>
          <w:rFonts w:ascii="Palatino Linotype" w:eastAsia="Palatino Linotype" w:hAnsi="Palatino Linotype" w:cs="Palatino Linotype"/>
          <w:i/>
          <w:sz w:val="22"/>
          <w:szCs w:val="22"/>
        </w:rPr>
      </w:pPr>
      <w:r>
        <w:rPr>
          <w:rFonts w:ascii="Palatino Linotype" w:eastAsia="Palatino Linotype" w:hAnsi="Palatino Linotype" w:cs="Palatino Linotype"/>
          <w:sz w:val="22"/>
          <w:szCs w:val="22"/>
        </w:rPr>
        <w:t xml:space="preserve">Cabe señalar que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fue omiso en atender el presente requerimiento de información adicional.</w:t>
      </w:r>
      <w:r>
        <w:rPr>
          <w:rFonts w:ascii="Palatino Linotype" w:eastAsia="Palatino Linotype" w:hAnsi="Palatino Linotype" w:cs="Palatino Linotype"/>
          <w:i/>
          <w:sz w:val="22"/>
          <w:szCs w:val="22"/>
        </w:rPr>
        <w:t xml:space="preserve">   </w:t>
      </w:r>
    </w:p>
    <w:p w14:paraId="225B523E" w14:textId="77777777" w:rsidR="003E1096" w:rsidRDefault="005806A6">
      <w:pPr>
        <w:spacing w:line="360" w:lineRule="auto"/>
        <w:jc w:val="both"/>
        <w:rPr>
          <w:rFonts w:ascii="Palatino Linotype" w:eastAsia="Palatino Linotype" w:hAnsi="Palatino Linotype" w:cs="Palatino Linotype"/>
          <w:sz w:val="22"/>
          <w:szCs w:val="22"/>
          <w:highlight w:val="yellow"/>
        </w:rPr>
      </w:pPr>
      <w:r>
        <w:rPr>
          <w:rFonts w:ascii="Palatino Linotype" w:eastAsia="Palatino Linotype" w:hAnsi="Palatino Linotype" w:cs="Palatino Linotype"/>
          <w:b/>
          <w:sz w:val="22"/>
          <w:szCs w:val="22"/>
        </w:rPr>
        <w:t xml:space="preserve">8. Cierres de instrucción. </w:t>
      </w:r>
      <w:r>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 los expedientes, el </w:t>
      </w:r>
      <w:r>
        <w:rPr>
          <w:rFonts w:ascii="Palatino Linotype" w:eastAsia="Palatino Linotype" w:hAnsi="Palatino Linotype" w:cs="Palatino Linotype"/>
          <w:b/>
          <w:sz w:val="22"/>
          <w:szCs w:val="22"/>
        </w:rPr>
        <w:t>veintiocho de noviembre de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dos mil veinticuatro</w:t>
      </w:r>
      <w:r>
        <w:rPr>
          <w:rFonts w:ascii="Palatino Linotype" w:eastAsia="Palatino Linotype" w:hAnsi="Palatino Linotype" w:cs="Palatino Linotype"/>
          <w:sz w:val="22"/>
          <w:szCs w:val="22"/>
        </w:rPr>
        <w:t>, la Comisionada Ponente determinó los cierres de instrucción en términos de la fracción VI del artículo 185 de la Ley de Transparencia y Acceso a la Información Pública del Estado de México y Municipios.</w:t>
      </w:r>
    </w:p>
    <w:p w14:paraId="246ECB26"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razón de que fueron debidamente sustanciados los expedientes electrónicos y no existen diligencias pendientes de desahogo, se emite la Resolución que conforme a Derecho proceda, de acuerdo con los siguientes: </w:t>
      </w:r>
    </w:p>
    <w:p w14:paraId="4974343D" w14:textId="77777777" w:rsidR="003E1096" w:rsidRDefault="005806A6">
      <w:pPr>
        <w:widowControl w:val="0"/>
        <w:spacing w:before="240" w:after="240" w:line="360" w:lineRule="auto"/>
        <w:jc w:val="cente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II. C O N S I D E R A N D O</w:t>
      </w:r>
    </w:p>
    <w:p w14:paraId="0A04F449"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lastRenderedPageBreak/>
        <w:t>Primero. Competencia.</w:t>
      </w:r>
      <w:r>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conocer y resolver los presentes recursos de revisión interpuestos por </w:t>
      </w:r>
      <w:r>
        <w:rPr>
          <w:rFonts w:ascii="Palatino Linotype" w:eastAsia="Palatino Linotype" w:hAnsi="Palatino Linotype" w:cs="Palatino Linotype"/>
          <w:b/>
          <w:sz w:val="22"/>
          <w:szCs w:val="22"/>
        </w:rPr>
        <w:t>la parte Recurrente</w:t>
      </w:r>
      <w:r>
        <w:rPr>
          <w:rFonts w:ascii="Palatino Linotype" w:eastAsia="Palatino Linotype" w:hAnsi="Palatino Linotype" w:cs="Palatino Linotype"/>
          <w:sz w:val="22"/>
          <w:szCs w:val="22"/>
        </w:rPr>
        <w:t>, conforme a lo dispuesto en los artículos 6, apartado A de la Constitución Política de los Estados Unidos Mexicanos; 5 párrafos trigésimo tercero, trigésimo cuarto y trigésimo quinto fracciones IV y V de la Constitución Política del Estado Libre y Soberano de México; 2, fracción II; 29, 36 fracciones I y II; 176, 178, 181, 185, fracción I, 186 y 188 de la Ley Transparencia y Acceso a la Información Pública del Estado de México y Municipios; 9</w:t>
      </w:r>
      <w:r>
        <w:rPr>
          <w:rFonts w:ascii="Palatino Linotype" w:eastAsia="Palatino Linotype" w:hAnsi="Palatino Linotype" w:cs="Palatino Linotype"/>
          <w:color w:val="000000"/>
          <w:sz w:val="22"/>
          <w:szCs w:val="22"/>
        </w:rPr>
        <w:t xml:space="preserve">, fracciones I, XXIII y XXIV  y </w:t>
      </w:r>
      <w:r>
        <w:rPr>
          <w:rFonts w:ascii="Palatino Linotype" w:eastAsia="Palatino Linotype" w:hAnsi="Palatino Linotype" w:cs="Palatino Linotype"/>
          <w:sz w:val="22"/>
          <w:szCs w:val="22"/>
        </w:rPr>
        <w:t>11 del Reglamento Interior del Instituto de Transparencia, Acceso a la Información Pública y Protección de Datos Personales del Estado de México y Municipios.</w:t>
      </w:r>
    </w:p>
    <w:p w14:paraId="7B1C4C1D" w14:textId="77777777" w:rsidR="003E1096" w:rsidRDefault="005806A6">
      <w:pPr>
        <w:spacing w:before="240" w:after="240" w:line="360" w:lineRule="auto"/>
        <w:jc w:val="both"/>
        <w:rPr>
          <w:rFonts w:ascii="Palatino Linotype" w:eastAsia="Palatino Linotype" w:hAnsi="Palatino Linotype" w:cs="Palatino Linotype"/>
          <w:sz w:val="22"/>
          <w:szCs w:val="22"/>
        </w:rPr>
      </w:pPr>
      <w:bookmarkStart w:id="1" w:name="_heading=h.30j0zll" w:colFirst="0" w:colLast="0"/>
      <w:bookmarkEnd w:id="1"/>
      <w:r>
        <w:rPr>
          <w:rFonts w:ascii="Palatino Linotype" w:eastAsia="Palatino Linotype" w:hAnsi="Palatino Linotype" w:cs="Palatino Linotype"/>
          <w:b/>
          <w:sz w:val="22"/>
          <w:szCs w:val="22"/>
        </w:rPr>
        <w:t>Segundo. Oportunidad y Procedibilidad de los Recursos de Revisión</w:t>
      </w:r>
      <w:r>
        <w:rPr>
          <w:rFonts w:ascii="Palatino Linotype" w:eastAsia="Palatino Linotype" w:hAnsi="Palatino Linotype" w:cs="Palatino Linotype"/>
          <w:sz w:val="22"/>
          <w:szCs w:val="22"/>
        </w:rPr>
        <w:t>. Previo al estudio del fondo del asunto, se procede a analizar los requisitos de oportunidad y procedibilidad que deben reunir los recursos de revisión interpuestos, previstos en los artículos 178 y 180 de la Ley de Transparencia y Acceso a la Información Pública del Estado de México y Municipios.</w:t>
      </w:r>
    </w:p>
    <w:p w14:paraId="07A0EC33" w14:textId="77777777" w:rsidR="003E1096" w:rsidRDefault="005806A6">
      <w:pPr>
        <w:spacing w:before="240" w:after="240"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sz w:val="22"/>
          <w:szCs w:val="22"/>
        </w:rPr>
        <w:t xml:space="preserve">Los recursos de revisión fueron interpuestos dentro del plazo de quince días hábiles, previsto en el artículo 178 de la Ley de Transparencia y Acceso a la Información Pública del Estado de México y Municipios, toda vez que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respondió a las solicitudes de información que </w:t>
      </w:r>
      <w:proofErr w:type="spellStart"/>
      <w:r>
        <w:rPr>
          <w:rFonts w:ascii="Palatino Linotype" w:eastAsia="Palatino Linotype" w:hAnsi="Palatino Linotype" w:cs="Palatino Linotype"/>
          <w:sz w:val="22"/>
          <w:szCs w:val="22"/>
        </w:rPr>
        <w:t>aperturaron</w:t>
      </w:r>
      <w:proofErr w:type="spellEnd"/>
      <w:r>
        <w:rPr>
          <w:rFonts w:ascii="Palatino Linotype" w:eastAsia="Palatino Linotype" w:hAnsi="Palatino Linotype" w:cs="Palatino Linotype"/>
          <w:sz w:val="22"/>
          <w:szCs w:val="22"/>
        </w:rPr>
        <w:t xml:space="preserve"> los recursos de revisión los días </w:t>
      </w:r>
      <w:r>
        <w:rPr>
          <w:rFonts w:ascii="Palatino Linotype" w:eastAsia="Palatino Linotype" w:hAnsi="Palatino Linotype" w:cs="Palatino Linotype"/>
          <w:b/>
          <w:sz w:val="22"/>
          <w:szCs w:val="22"/>
        </w:rPr>
        <w:t>veintidós y veintitrés de octubre de dos mil veinticuatro</w:t>
      </w:r>
      <w:r>
        <w:rPr>
          <w:rFonts w:ascii="Palatino Linotype" w:eastAsia="Palatino Linotype" w:hAnsi="Palatino Linotype" w:cs="Palatino Linotype"/>
          <w:sz w:val="22"/>
          <w:szCs w:val="22"/>
        </w:rPr>
        <w:t xml:space="preserve">, por su parte, los recursos de revisión se interpusieron </w:t>
      </w:r>
      <w:r>
        <w:rPr>
          <w:rFonts w:ascii="Palatino Linotype" w:eastAsia="Palatino Linotype" w:hAnsi="Palatino Linotype" w:cs="Palatino Linotype"/>
          <w:color w:val="000000"/>
          <w:sz w:val="22"/>
          <w:szCs w:val="22"/>
        </w:rPr>
        <w:t xml:space="preserve">los días </w:t>
      </w:r>
      <w:r>
        <w:rPr>
          <w:rFonts w:ascii="Palatino Linotype" w:eastAsia="Palatino Linotype" w:hAnsi="Palatino Linotype" w:cs="Palatino Linotype"/>
          <w:b/>
          <w:color w:val="000000"/>
          <w:sz w:val="22"/>
          <w:szCs w:val="22"/>
        </w:rPr>
        <w:t>veintiocho y</w:t>
      </w:r>
      <w:r>
        <w:rPr>
          <w:rFonts w:ascii="Palatino Linotype" w:eastAsia="Palatino Linotype" w:hAnsi="Palatino Linotype" w:cs="Palatino Linotype"/>
          <w:color w:val="000000"/>
          <w:sz w:val="22"/>
          <w:szCs w:val="22"/>
        </w:rPr>
        <w:t xml:space="preserve"> </w:t>
      </w:r>
      <w:r>
        <w:rPr>
          <w:rFonts w:ascii="Palatino Linotype" w:eastAsia="Palatino Linotype" w:hAnsi="Palatino Linotype" w:cs="Palatino Linotype"/>
          <w:b/>
          <w:sz w:val="22"/>
          <w:szCs w:val="22"/>
        </w:rPr>
        <w:t>treinta de octubre de dos mil veinticuatro</w:t>
      </w:r>
      <w:r>
        <w:rPr>
          <w:rFonts w:ascii="Palatino Linotype" w:eastAsia="Palatino Linotype" w:hAnsi="Palatino Linotype" w:cs="Palatino Linotype"/>
          <w:sz w:val="22"/>
          <w:szCs w:val="22"/>
        </w:rPr>
        <w:t xml:space="preserve">, siendo estos el </w:t>
      </w:r>
      <w:r>
        <w:rPr>
          <w:rFonts w:ascii="Palatino Linotype" w:eastAsia="Palatino Linotype" w:hAnsi="Palatino Linotype" w:cs="Palatino Linotype"/>
          <w:b/>
          <w:sz w:val="22"/>
          <w:szCs w:val="22"/>
        </w:rPr>
        <w:t>cuarto y quinto día hábil</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después de conocerse las respuestas.</w:t>
      </w:r>
    </w:p>
    <w:p w14:paraId="43921726" w14:textId="77777777" w:rsidR="003E1096" w:rsidRDefault="005806A6">
      <w:pP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lastRenderedPageBreak/>
        <w:t>En este sentido, al considerar las fechas en que se formularon las solicitudes y las fechas en que respondieron a estas; así como la fecha en que se interpusieron los recursos de revisión, se concluye que los presentes recursos de revisión se encuentran dentro de los márgenes temporales previstos las disposiciones legales referidas.</w:t>
      </w:r>
    </w:p>
    <w:p w14:paraId="568EF69A" w14:textId="77777777" w:rsidR="003E1096" w:rsidRDefault="005806A6">
      <w:pPr>
        <w:spacing w:before="240" w:after="240" w:line="360" w:lineRule="auto"/>
        <w:ind w:right="49"/>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Al mismo tiempo, por cuanto hace a la procedibilidad de los recursos de revisión, es de suma importancia señalar que l</w:t>
      </w:r>
      <w:r>
        <w:rPr>
          <w:rFonts w:ascii="Palatino Linotype" w:eastAsia="Palatino Linotype" w:hAnsi="Palatino Linotype" w:cs="Palatino Linotype"/>
          <w:b/>
          <w:sz w:val="22"/>
          <w:szCs w:val="22"/>
        </w:rPr>
        <w:t>a parte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Recurrente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fue omisa en proporcionar un nombre o seudónimo con el que desea ser identificado</w:t>
      </w:r>
      <w:r>
        <w:rPr>
          <w:rFonts w:ascii="Palatino Linotype" w:eastAsia="Palatino Linotype" w:hAnsi="Palatino Linotype" w:cs="Palatino Linotype"/>
          <w:sz w:val="22"/>
          <w:szCs w:val="22"/>
        </w:rPr>
        <w:t>, no obstante el no proporcionar nombre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45975E11" w14:textId="77777777" w:rsidR="003E1096" w:rsidRDefault="005806A6">
      <w:pPr>
        <w:spacing w:after="200" w:line="276" w:lineRule="auto"/>
        <w:ind w:left="567" w:right="474"/>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Las solicitudes anónimas</w:t>
      </w:r>
      <w:r>
        <w:rPr>
          <w:rFonts w:ascii="Palatino Linotype" w:eastAsia="Palatino Linotype" w:hAnsi="Palatino Linotype" w:cs="Palatino Linotype"/>
          <w:i/>
          <w:sz w:val="22"/>
          <w:szCs w:val="22"/>
        </w:rPr>
        <w:t xml:space="preserve">, con nombre incompleto o seudónimo </w:t>
      </w:r>
      <w:r>
        <w:rPr>
          <w:rFonts w:ascii="Palatino Linotype" w:eastAsia="Palatino Linotype" w:hAnsi="Palatino Linotype" w:cs="Palatino Linotype"/>
          <w:b/>
          <w:i/>
          <w:sz w:val="22"/>
          <w:szCs w:val="22"/>
        </w:rPr>
        <w:t>serán procedentes para su trámite por parte del sujeto obligado ante quien se presente</w:t>
      </w:r>
      <w:r>
        <w:rPr>
          <w:rFonts w:ascii="Palatino Linotype" w:eastAsia="Palatino Linotype" w:hAnsi="Palatino Linotype" w:cs="Palatino Linotype"/>
          <w:i/>
          <w:sz w:val="22"/>
          <w:szCs w:val="22"/>
        </w:rPr>
        <w:t>. No podrá requerirse información adicional con motivo del nombre proporcionado por el solicitante."</w:t>
      </w:r>
    </w:p>
    <w:p w14:paraId="5B009022"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Por cuanto hace a la procedibilidad de los recursos de revisión, una vez realizado el análisis de los formatos de interposición de los recursos, se concluye la acreditación plena de los elementos formales precisados por el artículo 180 de la Ley de Transparencia y Acceso a la Información Pública del Estado de México y Municipios, en atención a que fueron presentados mediante el formato visible en el SAIMEX.</w:t>
      </w:r>
    </w:p>
    <w:p w14:paraId="3FA66003"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Finalmente, se advierte que resulta procedente la interposición de los recursos, según lo manifestado por la parte recurrente en sus motivos de inconformidad, de acuerdo al artículo 179, fracción VIII del ordenamiento legal citado, que a la letra dice: </w:t>
      </w:r>
    </w:p>
    <w:p w14:paraId="6CBE3000" w14:textId="77777777" w:rsidR="003E1096" w:rsidRDefault="005806A6">
      <w:pPr>
        <w:tabs>
          <w:tab w:val="left" w:pos="7088"/>
        </w:tabs>
        <w:spacing w:before="240" w:after="240"/>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w:t>
      </w:r>
      <w:r>
        <w:rPr>
          <w:rFonts w:ascii="Palatino Linotype" w:eastAsia="Palatino Linotype" w:hAnsi="Palatino Linotype" w:cs="Palatino Linotype"/>
          <w:b/>
          <w:i/>
          <w:sz w:val="22"/>
          <w:szCs w:val="22"/>
        </w:rPr>
        <w:t>Artículo 179.</w:t>
      </w:r>
      <w:r>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574452D4" w14:textId="77777777" w:rsidR="003E1096" w:rsidRDefault="005806A6">
      <w:pPr>
        <w:tabs>
          <w:tab w:val="left" w:pos="7088"/>
        </w:tabs>
        <w:spacing w:before="240" w:after="240"/>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732A7F55" w14:textId="77777777" w:rsidR="003E1096" w:rsidRDefault="005806A6">
      <w:pPr>
        <w:tabs>
          <w:tab w:val="left" w:pos="7088"/>
        </w:tabs>
        <w:spacing w:before="240" w:after="240"/>
        <w:ind w:left="567" w:right="900"/>
        <w:jc w:val="both"/>
        <w:rPr>
          <w:rFonts w:ascii="Palatino Linotype" w:eastAsia="Palatino Linotype" w:hAnsi="Palatino Linotype" w:cs="Palatino Linotype"/>
          <w:b/>
          <w:i/>
          <w:sz w:val="22"/>
          <w:szCs w:val="22"/>
          <w:u w:val="single"/>
        </w:rPr>
      </w:pPr>
      <w:r>
        <w:rPr>
          <w:rFonts w:ascii="Palatino Linotype" w:eastAsia="Palatino Linotype" w:hAnsi="Palatino Linotype" w:cs="Palatino Linotype"/>
          <w:b/>
          <w:i/>
          <w:sz w:val="22"/>
          <w:szCs w:val="22"/>
          <w:u w:val="single"/>
        </w:rPr>
        <w:t>VIII. La notificación, entrega o puesta a disposición de información en una modalidad o formato distinto al solicitado;</w:t>
      </w:r>
      <w:r>
        <w:rPr>
          <w:rFonts w:ascii="Palatino Linotype" w:eastAsia="Palatino Linotype" w:hAnsi="Palatino Linotype" w:cs="Palatino Linotype"/>
          <w:b/>
          <w:i/>
          <w:sz w:val="22"/>
          <w:szCs w:val="22"/>
        </w:rPr>
        <w:t xml:space="preserve">” </w:t>
      </w:r>
      <w:r>
        <w:rPr>
          <w:rFonts w:ascii="Palatino Linotype" w:eastAsia="Palatino Linotype" w:hAnsi="Palatino Linotype" w:cs="Palatino Linotype"/>
          <w:i/>
          <w:sz w:val="22"/>
          <w:szCs w:val="22"/>
        </w:rPr>
        <w:t>(Énfasis añadido)</w:t>
      </w:r>
    </w:p>
    <w:p w14:paraId="4063C46F"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Tercero. Materia de la revisión. </w:t>
      </w:r>
      <w:r>
        <w:rPr>
          <w:rFonts w:ascii="Palatino Linotype" w:eastAsia="Palatino Linotype" w:hAnsi="Palatino Linotype" w:cs="Palatino Linotype"/>
          <w:sz w:val="22"/>
          <w:szCs w:val="22"/>
        </w:rPr>
        <w:t xml:space="preserve">De la revisión a las constancias y documentos que obran en los expedientes electrónicos se advierte, que el tema sobre el que este Organismo Garante de Transparencia y Acceso a la Información se pronunciará será: </w:t>
      </w:r>
      <w:r>
        <w:rPr>
          <w:rFonts w:ascii="Palatino Linotype" w:eastAsia="Palatino Linotype" w:hAnsi="Palatino Linotype" w:cs="Palatino Linotype"/>
          <w:b/>
          <w:sz w:val="22"/>
          <w:szCs w:val="22"/>
        </w:rPr>
        <w:t xml:space="preserve">verificar si las respuestas otorgadas por el Sujeto Obligado son adecuadas y suficientes para satisfacer el derecho de acceso a la información pública </w:t>
      </w:r>
      <w:r>
        <w:rPr>
          <w:rFonts w:ascii="Palatino Linotype" w:eastAsia="Palatino Linotype" w:hAnsi="Palatino Linotype" w:cs="Palatino Linotype"/>
          <w:sz w:val="22"/>
          <w:szCs w:val="22"/>
        </w:rPr>
        <w:t xml:space="preserve">de </w:t>
      </w:r>
      <w:r>
        <w:rPr>
          <w:rFonts w:ascii="Palatino Linotype" w:eastAsia="Palatino Linotype" w:hAnsi="Palatino Linotype" w:cs="Palatino Linotype"/>
          <w:b/>
          <w:sz w:val="22"/>
          <w:szCs w:val="22"/>
        </w:rPr>
        <w:t>la parte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Recurrente</w:t>
      </w:r>
      <w:r>
        <w:rPr>
          <w:rFonts w:ascii="Palatino Linotype" w:eastAsia="Palatino Linotype" w:hAnsi="Palatino Linotype" w:cs="Palatino Linotype"/>
          <w:sz w:val="22"/>
          <w:szCs w:val="22"/>
        </w:rPr>
        <w:t xml:space="preserve">, o en su defecto, en caso de ser procedente, ordenar la entrega de información.  </w:t>
      </w:r>
    </w:p>
    <w:p w14:paraId="4E73A72C"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Cuarto. Estudio del asunto. </w:t>
      </w:r>
      <w:r>
        <w:rPr>
          <w:rFonts w:ascii="Palatino Linotype" w:eastAsia="Palatino Linotype" w:hAnsi="Palatino Linotype" w:cs="Palatino Linotype"/>
          <w:sz w:val="22"/>
          <w:szCs w:val="22"/>
        </w:rPr>
        <w:t>En primer término, se estima pertinente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45E11C73" w14:textId="77777777" w:rsidR="003E1096" w:rsidRDefault="005806A6">
      <w:pPr>
        <w:tabs>
          <w:tab w:val="left" w:pos="709"/>
        </w:tabs>
        <w:spacing w:before="240" w:after="240"/>
        <w:ind w:left="851"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u w:val="single"/>
        </w:rPr>
        <w:t>Artículo 1o. En los Estados Unidos Mexicanos todas las personas gozarán de los derechos humanos reconocidos en esta Constitución y en los tratados internacionales de los que el Estado Mexicano sea parte</w:t>
      </w:r>
      <w:r>
        <w:rPr>
          <w:rFonts w:ascii="Palatino Linotype" w:eastAsia="Palatino Linotype" w:hAnsi="Palatino Linotype" w:cs="Palatino Linotype"/>
          <w:i/>
          <w:sz w:val="22"/>
          <w:szCs w:val="22"/>
        </w:rPr>
        <w:t>, así como de las garantías para su protección, cuyo ejercicio no podrá restringirse ni suspenderse, salvo en los casos y bajo las condiciones que esta Constitución establece.</w:t>
      </w:r>
    </w:p>
    <w:p w14:paraId="680D3CF8" w14:textId="77777777" w:rsidR="003E1096" w:rsidRDefault="005806A6">
      <w:pPr>
        <w:tabs>
          <w:tab w:val="left" w:pos="709"/>
        </w:tabs>
        <w:spacing w:before="240" w:after="240"/>
        <w:ind w:left="851" w:right="85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 xml:space="preserve">Las normas relativas a los derechos humanos se interpretarán de conformidad con esta Constitución y con los tratados internacionales de </w:t>
      </w:r>
      <w:r>
        <w:rPr>
          <w:rFonts w:ascii="Palatino Linotype" w:eastAsia="Palatino Linotype" w:hAnsi="Palatino Linotype" w:cs="Palatino Linotype"/>
          <w:b/>
          <w:i/>
          <w:sz w:val="22"/>
          <w:szCs w:val="22"/>
        </w:rPr>
        <w:lastRenderedPageBreak/>
        <w:t>la materia favoreciendo en todo tiempo a las personas la protección más amplia.</w:t>
      </w:r>
    </w:p>
    <w:p w14:paraId="5EE8E416" w14:textId="77777777" w:rsidR="003E1096" w:rsidRDefault="005806A6">
      <w:pPr>
        <w:tabs>
          <w:tab w:val="left" w:pos="709"/>
        </w:tabs>
        <w:spacing w:before="240" w:after="240"/>
        <w:ind w:left="851"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u w:val="single"/>
        </w:rPr>
        <w:t>Todas las autoridades, en el ámbito de sus competencias, tienen la obligación de promover, respetar, proteger y garantizar los derechos humanos de conformidad con los principios de universalidad, interdependencia, indivisibilidad y progresividad.</w:t>
      </w:r>
      <w:r>
        <w:rPr>
          <w:rFonts w:ascii="Palatino Linotype" w:eastAsia="Palatino Linotype" w:hAnsi="Palatino Linotype" w:cs="Palatino Linotype"/>
          <w:i/>
          <w:sz w:val="22"/>
          <w:szCs w:val="22"/>
        </w:rPr>
        <w:t xml:space="preserve"> En consecuencia, el Estado deberá prevenir, investigar, sancionar y reparar las violaciones a los derechos humanos, en los términos que establezca la ley</w:t>
      </w:r>
    </w:p>
    <w:p w14:paraId="278312B6" w14:textId="77777777" w:rsidR="003E1096" w:rsidRDefault="005806A6">
      <w:pPr>
        <w:tabs>
          <w:tab w:val="left" w:pos="709"/>
        </w:tabs>
        <w:spacing w:before="240" w:after="240"/>
        <w:ind w:left="851"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6A71871D" w14:textId="77777777" w:rsidR="003E1096" w:rsidRDefault="005806A6">
      <w:pPr>
        <w:spacing w:before="240" w:after="240"/>
        <w:ind w:left="851" w:right="90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6o.</w:t>
      </w:r>
    </w:p>
    <w:p w14:paraId="205949D1" w14:textId="77777777" w:rsidR="003E1096" w:rsidRDefault="005806A6">
      <w:pPr>
        <w:spacing w:before="240" w:after="240"/>
        <w:ind w:left="851" w:right="90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1C718815"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A. Para el ejercicio del derecho de acceso a la información, la Federación y </w:t>
      </w:r>
      <w:r>
        <w:rPr>
          <w:rFonts w:ascii="Palatino Linotype" w:eastAsia="Palatino Linotype" w:hAnsi="Palatino Linotype" w:cs="Palatino Linotype"/>
          <w:b/>
          <w:i/>
          <w:sz w:val="22"/>
          <w:szCs w:val="22"/>
          <w:u w:val="single"/>
        </w:rPr>
        <w:t>las entidades federativas</w:t>
      </w:r>
      <w:r>
        <w:rPr>
          <w:rFonts w:ascii="Palatino Linotype" w:eastAsia="Palatino Linotype" w:hAnsi="Palatino Linotype" w:cs="Palatino Linotype"/>
          <w:b/>
          <w:i/>
          <w:sz w:val="22"/>
          <w:szCs w:val="22"/>
        </w:rPr>
        <w:t>,</w:t>
      </w:r>
      <w:r>
        <w:rPr>
          <w:rFonts w:ascii="Palatino Linotype" w:eastAsia="Palatino Linotype" w:hAnsi="Palatino Linotype" w:cs="Palatino Linotype"/>
          <w:i/>
          <w:sz w:val="22"/>
          <w:szCs w:val="22"/>
        </w:rPr>
        <w:t xml:space="preserve"> en el ámbito de sus respectivas competencias, se regirán por los siguientes principios y bases:</w:t>
      </w:r>
    </w:p>
    <w:p w14:paraId="4A7E4719"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I. </w:t>
      </w:r>
      <w:r>
        <w:rPr>
          <w:rFonts w:ascii="Palatino Linotype" w:eastAsia="Palatino Linotype" w:hAnsi="Palatino Linotype" w:cs="Palatino Linotype"/>
          <w:b/>
          <w:i/>
          <w:sz w:val="22"/>
          <w:szCs w:val="22"/>
          <w:u w:val="single"/>
        </w:rPr>
        <w:t>Toda la información en posesión de cualquier autoridad, entidad, órgano y organismo de los Poderes</w:t>
      </w:r>
      <w:r>
        <w:rPr>
          <w:rFonts w:ascii="Palatino Linotype" w:eastAsia="Palatino Linotype" w:hAnsi="Palatino Linotype" w:cs="Palatino Linotype"/>
          <w:i/>
          <w:sz w:val="22"/>
          <w:szCs w:val="22"/>
        </w:rPr>
        <w:t xml:space="preserve"> Ejecutivo, Legislativo </w:t>
      </w:r>
      <w:r>
        <w:rPr>
          <w:rFonts w:ascii="Palatino Linotype" w:eastAsia="Palatino Linotype" w:hAnsi="Palatino Linotype" w:cs="Palatino Linotype"/>
          <w:b/>
          <w:i/>
          <w:sz w:val="22"/>
          <w:szCs w:val="22"/>
          <w:u w:val="single"/>
        </w:rPr>
        <w:t>y Judicial</w:t>
      </w:r>
      <w:r>
        <w:rPr>
          <w:rFonts w:ascii="Palatino Linotype" w:eastAsia="Palatino Linotype" w:hAnsi="Palatino Linotype" w:cs="Palatino Linotype"/>
          <w:i/>
          <w:sz w:val="22"/>
          <w:szCs w:val="22"/>
        </w:rPr>
        <w:t xml:space="preserve">, órganos autónomos, partidos políticos, fideicomisos y fondos públicos, así como de cualquier persona física, moral o sindicato que reciba y ejerza recursos públicos o realice actos de autoridad en el ámbito federal, estatal y municipal, </w:t>
      </w:r>
      <w:r>
        <w:rPr>
          <w:rFonts w:ascii="Palatino Linotype" w:eastAsia="Palatino Linotype" w:hAnsi="Palatino Linotype" w:cs="Palatino Linotype"/>
          <w:b/>
          <w:i/>
          <w:sz w:val="22"/>
          <w:szCs w:val="22"/>
        </w:rPr>
        <w:t>es pública y sólo podrá ser reservada temporalmente por razones de interés público y seguridad nacional,</w:t>
      </w:r>
      <w:r>
        <w:rPr>
          <w:rFonts w:ascii="Palatino Linotype" w:eastAsia="Palatino Linotype" w:hAnsi="Palatino Linotype" w:cs="Palatino Linotype"/>
          <w:i/>
          <w:sz w:val="22"/>
          <w:szCs w:val="22"/>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697A7022" w14:textId="77777777" w:rsidR="003E1096" w:rsidRDefault="005806A6">
      <w:pPr>
        <w:spacing w:before="240" w:after="240"/>
        <w:ind w:left="851" w:right="851"/>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t> </w:t>
      </w:r>
      <w:r>
        <w:rPr>
          <w:rFonts w:ascii="Palatino Linotype" w:eastAsia="Palatino Linotype" w:hAnsi="Palatino Linotype" w:cs="Palatino Linotype"/>
          <w:b/>
          <w:i/>
          <w:sz w:val="22"/>
          <w:szCs w:val="22"/>
        </w:rPr>
        <w:t>II. La información que se refiere a la vida privada y los datos personales será protegida en los términos y con las excepciones que fijen las leyes.</w:t>
      </w:r>
    </w:p>
    <w:p w14:paraId="192CB154"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w:t>
      </w:r>
      <w:r>
        <w:rPr>
          <w:rFonts w:ascii="Palatino Linotype" w:eastAsia="Palatino Linotype" w:hAnsi="Palatino Linotype" w:cs="Palatino Linotype"/>
          <w:b/>
          <w:i/>
          <w:sz w:val="22"/>
          <w:szCs w:val="22"/>
        </w:rPr>
        <w:t xml:space="preserve">III. </w:t>
      </w:r>
      <w:r>
        <w:rPr>
          <w:rFonts w:ascii="Palatino Linotype" w:eastAsia="Palatino Linotype" w:hAnsi="Palatino Linotype" w:cs="Palatino Linotype"/>
          <w:b/>
          <w:i/>
          <w:sz w:val="22"/>
          <w:szCs w:val="22"/>
          <w:u w:val="single"/>
        </w:rPr>
        <w:t>Toda persona, sin necesidad de acreditar interés alguno o justificar su utilización, tendrá acceso gratuito a la información pública,</w:t>
      </w:r>
      <w:r>
        <w:rPr>
          <w:rFonts w:ascii="Palatino Linotype" w:eastAsia="Palatino Linotype" w:hAnsi="Palatino Linotype" w:cs="Palatino Linotype"/>
          <w:i/>
          <w:sz w:val="22"/>
          <w:szCs w:val="22"/>
        </w:rPr>
        <w:t xml:space="preserve"> a sus datos personales o a la rectificación de éstos.</w:t>
      </w:r>
    </w:p>
    <w:p w14:paraId="629BA959"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 </w:t>
      </w:r>
      <w:r>
        <w:rPr>
          <w:rFonts w:ascii="Palatino Linotype" w:eastAsia="Palatino Linotype" w:hAnsi="Palatino Linotype" w:cs="Palatino Linotype"/>
          <w:b/>
          <w:i/>
          <w:sz w:val="22"/>
          <w:szCs w:val="22"/>
        </w:rPr>
        <w:t xml:space="preserve">IV. </w:t>
      </w:r>
      <w:r>
        <w:rPr>
          <w:rFonts w:ascii="Palatino Linotype" w:eastAsia="Palatino Linotype" w:hAnsi="Palatino Linotype" w:cs="Palatino Linotype"/>
          <w:i/>
          <w:sz w:val="22"/>
          <w:szCs w:val="22"/>
        </w:rPr>
        <w:t>Se establecerán mecanismos de acceso a la información y procedimientos de revisión expeditos que se sustanciarán ante los organismos autónomos especializados e imparciales que establece esta Constitución.</w:t>
      </w:r>
    </w:p>
    <w:p w14:paraId="08BCA044"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V. </w:t>
      </w:r>
      <w:r>
        <w:rPr>
          <w:rFonts w:ascii="Palatino Linotype" w:eastAsia="Palatino Linotype" w:hAnsi="Palatino Linotype" w:cs="Palatino Linotype"/>
          <w:i/>
          <w:sz w:val="22"/>
          <w:szCs w:val="22"/>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475CF784"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VI. </w:t>
      </w:r>
      <w:r>
        <w:rPr>
          <w:rFonts w:ascii="Palatino Linotype" w:eastAsia="Palatino Linotype" w:hAnsi="Palatino Linotype" w:cs="Palatino Linotype"/>
          <w:i/>
          <w:sz w:val="22"/>
          <w:szCs w:val="22"/>
        </w:rPr>
        <w:t>Las leyes determinarán la manera en que los sujetos obligados deberán hacer pública la información relativa a los recursos públicos que entreguen a personas físicas o morales.</w:t>
      </w:r>
    </w:p>
    <w:p w14:paraId="5490603D"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w:t>
      </w:r>
      <w:r>
        <w:rPr>
          <w:rFonts w:ascii="Palatino Linotype" w:eastAsia="Palatino Linotype" w:hAnsi="Palatino Linotype" w:cs="Palatino Linotype"/>
          <w:b/>
          <w:i/>
          <w:sz w:val="22"/>
          <w:szCs w:val="22"/>
        </w:rPr>
        <w:t xml:space="preserve">VII. </w:t>
      </w:r>
      <w:r>
        <w:rPr>
          <w:rFonts w:ascii="Palatino Linotype" w:eastAsia="Palatino Linotype" w:hAnsi="Palatino Linotype" w:cs="Palatino Linotype"/>
          <w:i/>
          <w:sz w:val="22"/>
          <w:szCs w:val="22"/>
        </w:rPr>
        <w:t>La inobservancia a las disposiciones en materia de acceso a la información pública será sancionada en los términos que dispongan las leyes. [...]”</w:t>
      </w:r>
    </w:p>
    <w:p w14:paraId="41C8E378" w14:textId="77777777" w:rsidR="003E1096" w:rsidRDefault="005806A6">
      <w:pPr>
        <w:tabs>
          <w:tab w:val="left" w:pos="709"/>
        </w:tabs>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Así, de la interpretación sistémica de los numerales inmersos en los instrumentos legales Internacionales y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el presente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debe cumplir con dichos dispositivos legales.</w:t>
      </w:r>
    </w:p>
    <w:p w14:paraId="52CB4E3B"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Esto es, que cualquier persona tiene el derecho al acceso de la información pública, información que consiste en aquella que sea generada, obtenida, adquirida, transformada, administrada o en posesión de los Sujetos Obligados, como así también lo señala la Ley de Transparencia y Acceso a la Información Pública del Estado de México y Municipios en su artículo 4, que toda la información generada, obtenida, adquirida, transformada, administrada o en posesión de los sujetos obligados, es pública y accesible, de manera permanente a cualquier persona, privilegiando el principio de máxima publicidad, como así </w:t>
      </w:r>
      <w:r>
        <w:rPr>
          <w:rFonts w:ascii="Palatino Linotype" w:eastAsia="Palatino Linotype" w:hAnsi="Palatino Linotype" w:cs="Palatino Linotype"/>
          <w:sz w:val="22"/>
          <w:szCs w:val="22"/>
        </w:rPr>
        <w:lastRenderedPageBreak/>
        <w:t>lo establece dicha determinación, que a continuación se transcribe para un mejor entendimiento:</w:t>
      </w:r>
    </w:p>
    <w:p w14:paraId="5C850CE4" w14:textId="77777777" w:rsidR="003E1096" w:rsidRDefault="005806A6">
      <w:pPr>
        <w:spacing w:before="240" w:after="240"/>
        <w:ind w:left="709" w:right="76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Artículo 4</w:t>
      </w:r>
      <w:r>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774C7066" w14:textId="77777777" w:rsidR="003E1096" w:rsidRDefault="005806A6">
      <w:pPr>
        <w:spacing w:before="240" w:after="240"/>
        <w:ind w:left="709" w:right="76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4A80F6A2" w14:textId="77777777" w:rsidR="003E1096" w:rsidRDefault="005806A6">
      <w:pPr>
        <w:spacing w:before="240" w:after="240"/>
        <w:ind w:left="709" w:right="76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Los sujetos obligados deben poner en práctica, políticas y programas de acceso a la información que se apeguen a criterios de publicidad, veracidad, oportunidad, precisión y suficiencia en beneficio de los solicitantes.”</w:t>
      </w:r>
    </w:p>
    <w:p w14:paraId="50828F2D"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De lo precedente, se desprende que los Sujetos Obligados tiene la obligación o deber de atender las solicitudes de acceso a la información pública que se les hagan de su conocimiento y proporcionar la información pública que obren en su poder como así lo establece el </w:t>
      </w:r>
      <w:r>
        <w:rPr>
          <w:rFonts w:ascii="Palatino Linotype" w:eastAsia="Palatino Linotype" w:hAnsi="Palatino Linotype" w:cs="Palatino Linotype"/>
          <w:b/>
          <w:sz w:val="22"/>
          <w:szCs w:val="22"/>
        </w:rPr>
        <w:t>artículo 12</w:t>
      </w:r>
      <w:r>
        <w:rPr>
          <w:rFonts w:ascii="Palatino Linotype" w:eastAsia="Palatino Linotype" w:hAnsi="Palatino Linotype" w:cs="Palatino Linotype"/>
          <w:sz w:val="22"/>
          <w:szCs w:val="22"/>
        </w:rPr>
        <w:t xml:space="preserve"> de la Ley de Transparencia y Acceso a la Información Pública del Estado de México y Municipios, el cual a la letra dice:</w:t>
      </w:r>
    </w:p>
    <w:p w14:paraId="3BBB8186" w14:textId="77777777" w:rsidR="003E1096" w:rsidRDefault="005806A6">
      <w:pPr>
        <w:spacing w:before="240" w:after="240"/>
        <w:ind w:left="567"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Artículo 12</w:t>
      </w:r>
      <w:r>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2364B2CB" w14:textId="77777777" w:rsidR="003E1096" w:rsidRDefault="005806A6">
      <w:pPr>
        <w:spacing w:before="240" w:after="240"/>
        <w:ind w:left="567"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Los sujetos obligados sólo proporcionarán la información pública que se les requiera y que obre en sus archivos y en el estado en que ésta se encuentre. La obligación de </w:t>
      </w:r>
      <w:r>
        <w:rPr>
          <w:rFonts w:ascii="Palatino Linotype" w:eastAsia="Palatino Linotype" w:hAnsi="Palatino Linotype" w:cs="Palatino Linotype"/>
          <w:i/>
          <w:sz w:val="22"/>
          <w:szCs w:val="22"/>
        </w:rPr>
        <w:lastRenderedPageBreak/>
        <w:t xml:space="preserve">proporcionar información no comprende el procesamiento de la misma, ni el presentarla conforme al interés del solicitante; no estarán obligados a generarla, resumirla, efectuar cálculos o practicar investigaciones.” </w:t>
      </w:r>
    </w:p>
    <w:p w14:paraId="692BE9AA"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Es decir, que el derecho de acceso a la información pública se satisface en aquellos casos en que se entregue documento en que conste la información requerida, toda vez que, los Sujetos Obligados</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 xml:space="preserve">no tienen el deber de generar, poseer o administrar la información pública con el grado de detalle solicitado; esto es, que no tienen el deber de generar un documento </w:t>
      </w:r>
      <w:r>
        <w:rPr>
          <w:rFonts w:ascii="Palatino Linotype" w:eastAsia="Palatino Linotype" w:hAnsi="Palatino Linotype" w:cs="Palatino Linotype"/>
          <w:i/>
          <w:sz w:val="22"/>
          <w:szCs w:val="22"/>
        </w:rPr>
        <w:t>ad hoc</w:t>
      </w:r>
      <w:r>
        <w:rPr>
          <w:rFonts w:ascii="Palatino Linotype" w:eastAsia="Palatino Linotype" w:hAnsi="Palatino Linotype" w:cs="Palatino Linotype"/>
          <w:sz w:val="22"/>
          <w:szCs w:val="22"/>
        </w:rPr>
        <w:t>, para satisfacer el derecho de acceso a la información pública, como así lo establece el criterio 03/17 emitidos por el Instituto Nacional de Transparencia, Acceso a la Información Pública y Protección de Datos Personales, los cuales señalan lo siguiente:</w:t>
      </w:r>
    </w:p>
    <w:p w14:paraId="54B00961" w14:textId="77777777" w:rsidR="003E1096" w:rsidRDefault="005806A6">
      <w:pPr>
        <w:spacing w:before="240" w:after="240"/>
        <w:ind w:left="567" w:right="851"/>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“03/17</w:t>
      </w:r>
    </w:p>
    <w:p w14:paraId="0064BA4A" w14:textId="77777777" w:rsidR="003E1096" w:rsidRDefault="005806A6">
      <w:pPr>
        <w:spacing w:before="240" w:after="240"/>
        <w:ind w:left="567" w:right="851"/>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“NO EXISTE OBLIGACIÓN DE ELABORAR DOCUMENTOS AD HOC PARA ATENDER LAS SOLICITUDES DE ACCESO A LA INFORMACIÓN.</w:t>
      </w:r>
    </w:p>
    <w:p w14:paraId="334B5983" w14:textId="77777777" w:rsidR="003E1096" w:rsidRDefault="005806A6">
      <w:pPr>
        <w:spacing w:before="240" w:after="240"/>
        <w:ind w:left="567"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6CB5CC02"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Por otra parte, conviene mencionar que la Ley de Transparencia vigente en el Estado de México refiere: </w:t>
      </w:r>
    </w:p>
    <w:p w14:paraId="156053A7"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18.</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u w:val="single"/>
        </w:rPr>
        <w:t xml:space="preserve">Los sujetos obligados deberán documentar todo acto que derive del ejercicio de sus facultades, competencias o funciones, </w:t>
      </w:r>
      <w:r>
        <w:rPr>
          <w:rFonts w:ascii="Palatino Linotype" w:eastAsia="Palatino Linotype" w:hAnsi="Palatino Linotype" w:cs="Palatino Linotype"/>
          <w:b/>
          <w:i/>
          <w:sz w:val="22"/>
          <w:szCs w:val="22"/>
          <w:u w:val="single"/>
        </w:rPr>
        <w:lastRenderedPageBreak/>
        <w:t>considerando desde su origen la eventual publicidad</w:t>
      </w:r>
      <w:r>
        <w:rPr>
          <w:rFonts w:ascii="Palatino Linotype" w:eastAsia="Palatino Linotype" w:hAnsi="Palatino Linotype" w:cs="Palatino Linotype"/>
          <w:i/>
          <w:sz w:val="22"/>
          <w:szCs w:val="22"/>
        </w:rPr>
        <w:t xml:space="preserve"> y reutilización de la información que generen.</w:t>
      </w:r>
    </w:p>
    <w:p w14:paraId="2B75E8F0"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Artículo 19. </w:t>
      </w:r>
      <w:r>
        <w:rPr>
          <w:rFonts w:ascii="Palatino Linotype" w:eastAsia="Palatino Linotype" w:hAnsi="Palatino Linotype" w:cs="Palatino Linotype"/>
          <w:b/>
          <w:i/>
          <w:sz w:val="22"/>
          <w:szCs w:val="22"/>
          <w:u w:val="single"/>
        </w:rPr>
        <w:t>Se presume que la información debe existir si se refiere a las facultades, competencias y funciones que los ordenamientos jurídicos aplicables otorgan a los sujetos obligados</w:t>
      </w:r>
      <w:r>
        <w:rPr>
          <w:rFonts w:ascii="Palatino Linotype" w:eastAsia="Palatino Linotype" w:hAnsi="Palatino Linotype" w:cs="Palatino Linotype"/>
          <w:i/>
          <w:sz w:val="22"/>
          <w:szCs w:val="22"/>
        </w:rPr>
        <w:t>.</w:t>
      </w:r>
    </w:p>
    <w:p w14:paraId="65760CA9"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los casos en que ciertas facultades, competencias o funciones no se hayan ejercido, se debe motivar la respuesta en función de las causas que motiven tal circunstancia. </w:t>
      </w:r>
    </w:p>
    <w:p w14:paraId="7CD0A88D" w14:textId="77777777" w:rsidR="003E1096" w:rsidRDefault="005806A6">
      <w:pPr>
        <w:spacing w:before="240" w:after="240"/>
        <w:ind w:left="851" w:right="8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 (Énfasis añadido)</w:t>
      </w:r>
    </w:p>
    <w:p w14:paraId="6BDF1E68"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De los dispositivos legales en comento, se aprecia que todo acto de autoridad en el ejercicio de sus funciones y atribuciones debe estar documentado, por lo que para dar atención a una solicitud de información el Sujeto Obligado debe entregar el soporte documental en donde conste la información requerida, debiendo contemplar que no se trate de información reservada o confidencial y cuidar dicha información a través del acuerdo clasificatorio del comité de transparencia y la versión pública que emita cada Sujeto Obligado; como así se establece en la Ley de Transparencia y Acceso a la Información Pública del Estado de México y Municipios.</w:t>
      </w:r>
    </w:p>
    <w:p w14:paraId="699E7F47"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w:t>
      </w:r>
      <w:r>
        <w:rPr>
          <w:rFonts w:ascii="Palatino Linotype" w:eastAsia="Palatino Linotype" w:hAnsi="Palatino Linotype" w:cs="Palatino Linotype"/>
          <w:b/>
          <w:sz w:val="22"/>
          <w:szCs w:val="22"/>
        </w:rPr>
        <w:t>cualquier otro registro que documente el ejercicio de las facultades, funciones, obligaciones y competencias de los Sujetos Obligados</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los que, podrán estar en cualquier medio</w:t>
      </w:r>
      <w:r>
        <w:rPr>
          <w:rFonts w:ascii="Palatino Linotype" w:eastAsia="Palatino Linotype" w:hAnsi="Palatino Linotype" w:cs="Palatino Linotype"/>
          <w:sz w:val="22"/>
          <w:szCs w:val="22"/>
        </w:rPr>
        <w:t xml:space="preserve">, sea escrito, impreso, sonoro, visual, </w:t>
      </w:r>
      <w:r>
        <w:rPr>
          <w:rFonts w:ascii="Palatino Linotype" w:eastAsia="Palatino Linotype" w:hAnsi="Palatino Linotype" w:cs="Palatino Linotype"/>
          <w:b/>
          <w:sz w:val="22"/>
          <w:szCs w:val="22"/>
        </w:rPr>
        <w:t>electrónico</w:t>
      </w:r>
      <w:r>
        <w:rPr>
          <w:rFonts w:ascii="Palatino Linotype" w:eastAsia="Palatino Linotype" w:hAnsi="Palatino Linotype" w:cs="Palatino Linotype"/>
          <w:sz w:val="22"/>
          <w:szCs w:val="22"/>
        </w:rPr>
        <w:t xml:space="preserve">, informático u holográfico, esto es, </w:t>
      </w:r>
      <w:r>
        <w:rPr>
          <w:rFonts w:ascii="Palatino Linotype" w:eastAsia="Palatino Linotype" w:hAnsi="Palatino Linotype" w:cs="Palatino Linotype"/>
          <w:b/>
          <w:sz w:val="22"/>
          <w:szCs w:val="22"/>
        </w:rPr>
        <w:lastRenderedPageBreak/>
        <w:t>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0085BE9C"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De ahí que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cuenta con el deber de satisfacer las solicitudes de acceso a la información que le sean formuladas y entregar la información pública que obre en sus archivos pudiendo ser de manera electrónica; más aún si la misma se trata de información relativa a obligaciones de transparencia, la cual se relaciona con aquella que se genere de acuerdo con sus facultades, atribuciones y obligaciones señaladas por la Ley en la materia</w:t>
      </w:r>
      <w:r>
        <w:rPr>
          <w:rFonts w:ascii="Palatino Linotype" w:eastAsia="Palatino Linotype" w:hAnsi="Palatino Linotype" w:cs="Palatino Linotype"/>
          <w:sz w:val="22"/>
          <w:szCs w:val="22"/>
          <w:vertAlign w:val="superscript"/>
        </w:rPr>
        <w:footnoteReference w:id="1"/>
      </w:r>
      <w:r>
        <w:rPr>
          <w:rFonts w:ascii="Palatino Linotype" w:eastAsia="Palatino Linotype" w:hAnsi="Palatino Linotype" w:cs="Palatino Linotype"/>
          <w:sz w:val="22"/>
          <w:szCs w:val="22"/>
        </w:rPr>
        <w:t>, así como de interés público, es decir, aquella que resulta relevante o beneficiosa para la sociedad y no simplemente de interés individual, y cuya divulgación resulta útil para que el público comprenda las actividades que llevan a cabo los Sujetos Obligados</w:t>
      </w:r>
      <w:r>
        <w:rPr>
          <w:rFonts w:ascii="Palatino Linotype" w:eastAsia="Palatino Linotype" w:hAnsi="Palatino Linotype" w:cs="Palatino Linotype"/>
          <w:sz w:val="22"/>
          <w:szCs w:val="22"/>
          <w:vertAlign w:val="superscript"/>
        </w:rPr>
        <w:footnoteReference w:id="2"/>
      </w:r>
      <w:r>
        <w:rPr>
          <w:rFonts w:ascii="Palatino Linotype" w:eastAsia="Palatino Linotype" w:hAnsi="Palatino Linotype" w:cs="Palatino Linotype"/>
          <w:sz w:val="22"/>
          <w:szCs w:val="22"/>
        </w:rPr>
        <w:t>, como pudiera tratarse de aquella relacionada con las obligaciones de transparencia señaladas en los artículos 92 y 97, fracción I de la Ley de la Materia.</w:t>
      </w:r>
    </w:p>
    <w:p w14:paraId="25EE04CC" w14:textId="77777777" w:rsidR="003E1096" w:rsidRDefault="005806A6">
      <w:pPr>
        <w:tabs>
          <w:tab w:val="left" w:pos="709"/>
        </w:tabs>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este sentido, cabe reiterar que la persona solicitante requirió al </w:t>
      </w:r>
      <w:r>
        <w:rPr>
          <w:rFonts w:ascii="Palatino Linotype" w:eastAsia="Palatino Linotype" w:hAnsi="Palatino Linotype" w:cs="Palatino Linotype"/>
          <w:b/>
          <w:sz w:val="22"/>
          <w:szCs w:val="22"/>
        </w:rPr>
        <w:t xml:space="preserve">Sujeto Obligado, </w:t>
      </w:r>
      <w:r>
        <w:rPr>
          <w:rFonts w:ascii="Palatino Linotype" w:eastAsia="Palatino Linotype" w:hAnsi="Palatino Linotype" w:cs="Palatino Linotype"/>
          <w:sz w:val="22"/>
          <w:szCs w:val="22"/>
        </w:rPr>
        <w:t>lo siguiente:</w:t>
      </w:r>
    </w:p>
    <w:p w14:paraId="373ABA56" w14:textId="77777777" w:rsidR="003E1096" w:rsidRDefault="005806A6">
      <w:pPr>
        <w:numPr>
          <w:ilvl w:val="0"/>
          <w:numId w:val="2"/>
        </w:numPr>
        <w:pBdr>
          <w:top w:val="nil"/>
          <w:left w:val="nil"/>
          <w:bottom w:val="nil"/>
          <w:right w:val="nil"/>
          <w:between w:val="nil"/>
        </w:pBdr>
        <w:tabs>
          <w:tab w:val="left" w:pos="709"/>
        </w:tabs>
        <w:spacing w:before="240"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Facturas y respaldo de compras de uniformes para DIF, IMCUFIDE y presidencia durante la administración 2022-2024.</w:t>
      </w:r>
    </w:p>
    <w:p w14:paraId="630B4B5F" w14:textId="77777777" w:rsidR="003E1096" w:rsidRDefault="005806A6">
      <w:pPr>
        <w:numPr>
          <w:ilvl w:val="0"/>
          <w:numId w:val="2"/>
        </w:numPr>
        <w:pBdr>
          <w:top w:val="nil"/>
          <w:left w:val="nil"/>
          <w:bottom w:val="nil"/>
          <w:right w:val="nil"/>
          <w:between w:val="nil"/>
        </w:pBdr>
        <w:tabs>
          <w:tab w:val="left" w:pos="709"/>
        </w:tabs>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lastRenderedPageBreak/>
        <w:t>Pólizas de egresos, facturas y documentos de respaldo de las compras de ropa o cualquier vestimenta adquirido por el municipio para servidores públicos o ciudadanos durante la administración 2022-2024.</w:t>
      </w:r>
    </w:p>
    <w:p w14:paraId="435760AA" w14:textId="77777777" w:rsidR="003E1096" w:rsidRDefault="005806A6">
      <w:pPr>
        <w:numPr>
          <w:ilvl w:val="0"/>
          <w:numId w:val="2"/>
        </w:numPr>
        <w:pBdr>
          <w:top w:val="nil"/>
          <w:left w:val="nil"/>
          <w:bottom w:val="nil"/>
          <w:right w:val="nil"/>
          <w:between w:val="nil"/>
        </w:pBdr>
        <w:tabs>
          <w:tab w:val="left" w:pos="709"/>
        </w:tabs>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por concepto de compra de bienes muebles municipales durante el período 2022, 2023 y 2024.</w:t>
      </w:r>
    </w:p>
    <w:p w14:paraId="0A243BD8" w14:textId="77777777" w:rsidR="003E1096" w:rsidRDefault="005806A6">
      <w:pPr>
        <w:numPr>
          <w:ilvl w:val="0"/>
          <w:numId w:val="2"/>
        </w:numPr>
        <w:pBdr>
          <w:top w:val="nil"/>
          <w:left w:val="nil"/>
          <w:bottom w:val="nil"/>
          <w:right w:val="nil"/>
          <w:between w:val="nil"/>
        </w:pBdr>
        <w:tabs>
          <w:tab w:val="left" w:pos="709"/>
        </w:tabs>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y facturas por concepto de reparación, rehabilitación o mantenimiento de la bomba del pozo de agua municipal durante los años 2022, 2023 y 2024.</w:t>
      </w:r>
    </w:p>
    <w:p w14:paraId="2B187808" w14:textId="77777777" w:rsidR="003E1096" w:rsidRDefault="005806A6">
      <w:pPr>
        <w:numPr>
          <w:ilvl w:val="0"/>
          <w:numId w:val="2"/>
        </w:numPr>
        <w:pBdr>
          <w:top w:val="nil"/>
          <w:left w:val="nil"/>
          <w:bottom w:val="nil"/>
          <w:right w:val="nil"/>
          <w:between w:val="nil"/>
        </w:pBdr>
        <w:tabs>
          <w:tab w:val="left" w:pos="709"/>
        </w:tabs>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Facturas y pólizas de egresos por concepto de compra de bienes muebles municipales durante el período 2022, 2023 y 2024.</w:t>
      </w:r>
    </w:p>
    <w:p w14:paraId="64C184F9" w14:textId="77777777" w:rsidR="003E1096" w:rsidRDefault="005806A6">
      <w:pPr>
        <w:numPr>
          <w:ilvl w:val="0"/>
          <w:numId w:val="2"/>
        </w:numPr>
        <w:pBdr>
          <w:top w:val="nil"/>
          <w:left w:val="nil"/>
          <w:bottom w:val="nil"/>
          <w:right w:val="nil"/>
          <w:between w:val="nil"/>
        </w:pBdr>
        <w:tabs>
          <w:tab w:val="left" w:pos="709"/>
        </w:tabs>
        <w:spacing w:after="240"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y facturas por concepto de reparación, rehabilitación o mantenimiento de la bomba del pozo de agua municipal durante los años 2022, 2023 y 2024.</w:t>
      </w:r>
    </w:p>
    <w:p w14:paraId="6F173BE4"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sus respuestas, el </w:t>
      </w:r>
      <w:r>
        <w:rPr>
          <w:rFonts w:ascii="Palatino Linotype" w:eastAsia="Palatino Linotype" w:hAnsi="Palatino Linotype" w:cs="Palatino Linotype"/>
          <w:b/>
          <w:sz w:val="22"/>
          <w:szCs w:val="22"/>
        </w:rPr>
        <w:t xml:space="preserve">Sujeto Obligado </w:t>
      </w:r>
      <w:r>
        <w:rPr>
          <w:rFonts w:ascii="Palatino Linotype" w:eastAsia="Palatino Linotype" w:hAnsi="Palatino Linotype" w:cs="Palatino Linotype"/>
          <w:sz w:val="22"/>
          <w:szCs w:val="22"/>
        </w:rPr>
        <w:t>emitió respuestas por conducto de la</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Tesorera Municipal y Dirección de Administración, en las cuales informa que se propone la consulta directa derivado de la cantidad, volumen, los recursos materiales y humanos con los que cuenta dicha dirección son limitados.</w:t>
      </w:r>
    </w:p>
    <w:p w14:paraId="69618832"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Una vez conocidas las respuestas, </w:t>
      </w:r>
      <w:r>
        <w:rPr>
          <w:rFonts w:ascii="Palatino Linotype" w:eastAsia="Palatino Linotype" w:hAnsi="Palatino Linotype" w:cs="Palatino Linotype"/>
          <w:b/>
          <w:sz w:val="22"/>
          <w:szCs w:val="22"/>
        </w:rPr>
        <w:t>la parte Recurrente</w:t>
      </w:r>
      <w:r>
        <w:rPr>
          <w:rFonts w:ascii="Palatino Linotype" w:eastAsia="Palatino Linotype" w:hAnsi="Palatino Linotype" w:cs="Palatino Linotype"/>
          <w:sz w:val="22"/>
          <w:szCs w:val="22"/>
        </w:rPr>
        <w:t xml:space="preserve"> interpuso los recursos de revisión que nos ocupan, inconformándose medularmente por la puesta a disposición de la información en consulta directa, toda vez que a su consideración le proporcionan una fecha y hora iguales en diversas solicitudes de información, lo cual causa que sea humanamente imposible de solventar dicha consulta.</w:t>
      </w:r>
    </w:p>
    <w:p w14:paraId="5DB2D56E"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color w:val="000000"/>
          <w:sz w:val="22"/>
          <w:szCs w:val="22"/>
        </w:rPr>
        <w:lastRenderedPageBreak/>
        <w:t xml:space="preserve">Admitidos los presentes recursos </w:t>
      </w:r>
      <w:r>
        <w:rPr>
          <w:rFonts w:ascii="Palatino Linotype" w:eastAsia="Palatino Linotype" w:hAnsi="Palatino Linotype" w:cs="Palatino Linotype"/>
          <w:sz w:val="22"/>
          <w:szCs w:val="22"/>
        </w:rPr>
        <w:t>de revisión, en términos del artículo 185 fracción II</w:t>
      </w:r>
      <w:r>
        <w:rPr>
          <w:rFonts w:ascii="Palatino Linotype" w:eastAsia="Palatino Linotype" w:hAnsi="Palatino Linotype" w:cs="Palatino Linotype"/>
          <w:sz w:val="22"/>
          <w:szCs w:val="22"/>
          <w:vertAlign w:val="superscript"/>
        </w:rPr>
        <w:footnoteReference w:id="3"/>
      </w:r>
      <w:r>
        <w:rPr>
          <w:rFonts w:ascii="Palatino Linotype" w:eastAsia="Palatino Linotype" w:hAnsi="Palatino Linotype" w:cs="Palatino Linotype"/>
          <w:sz w:val="22"/>
          <w:szCs w:val="22"/>
        </w:rPr>
        <w:t xml:space="preserve"> de la Ley de Transparencia y Acceso a la Información Pública del Estado de México y Municipios, se integró el expediente y se puso a disposición de las partes para que, en un plazo máximo de siete días hábiles, manifestaran lo que a su derecho resultara conveniente; teniendo así que las partes fueron omisas en rendir sus manifestaciones e informes justificados, por lo que se tuvo por precluido su derecho para tal efecto y se procede a la emisión de la presente resolución, ello bajo el análisis de los siguientes argumentos:</w:t>
      </w:r>
    </w:p>
    <w:p w14:paraId="30B2D30D"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Una vez expuestas las posturas de las partes, resulta importante señalar que en una aproximación inicial a las respuestas proporcionadas, se observa </w:t>
      </w:r>
      <w:proofErr w:type="gramStart"/>
      <w:r>
        <w:rPr>
          <w:rFonts w:ascii="Palatino Linotype" w:eastAsia="Palatino Linotype" w:hAnsi="Palatino Linotype" w:cs="Palatino Linotype"/>
          <w:sz w:val="22"/>
          <w:szCs w:val="22"/>
        </w:rPr>
        <w:t>que  se</w:t>
      </w:r>
      <w:proofErr w:type="gramEnd"/>
      <w:r>
        <w:rPr>
          <w:rFonts w:ascii="Palatino Linotype" w:eastAsia="Palatino Linotype" w:hAnsi="Palatino Linotype" w:cs="Palatino Linotype"/>
          <w:sz w:val="22"/>
          <w:szCs w:val="22"/>
        </w:rPr>
        <w:t xml:space="preserve"> pronunciaron la </w:t>
      </w:r>
      <w:r>
        <w:rPr>
          <w:rFonts w:ascii="Palatino Linotype" w:eastAsia="Palatino Linotype" w:hAnsi="Palatino Linotype" w:cs="Palatino Linotype"/>
          <w:b/>
          <w:sz w:val="22"/>
          <w:szCs w:val="22"/>
        </w:rPr>
        <w:t>Tesorería Municipal y la Dirección de Administración</w:t>
      </w:r>
      <w:r>
        <w:rPr>
          <w:rFonts w:ascii="Palatino Linotype" w:eastAsia="Palatino Linotype" w:hAnsi="Palatino Linotype" w:cs="Palatino Linotype"/>
          <w:sz w:val="22"/>
          <w:szCs w:val="22"/>
        </w:rPr>
        <w:t>.</w:t>
      </w:r>
    </w:p>
    <w:p w14:paraId="57575763"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primera instancia, resulta importante señalar que el ámbito competencial de la </w:t>
      </w:r>
      <w:r>
        <w:rPr>
          <w:rFonts w:ascii="Palatino Linotype" w:eastAsia="Palatino Linotype" w:hAnsi="Palatino Linotype" w:cs="Palatino Linotype"/>
          <w:b/>
          <w:sz w:val="22"/>
          <w:szCs w:val="22"/>
        </w:rPr>
        <w:t xml:space="preserve">Tesorería Municipal, </w:t>
      </w:r>
      <w:r>
        <w:rPr>
          <w:rFonts w:ascii="Palatino Linotype" w:eastAsia="Palatino Linotype" w:hAnsi="Palatino Linotype" w:cs="Palatino Linotype"/>
          <w:sz w:val="22"/>
          <w:szCs w:val="22"/>
        </w:rPr>
        <w:t>se encuentra estipulado en el artículo 57 del Bando Municipal, el cual contempla que dicha unidad administrativa cuenta con la atribución de encargarse de la recaudación de los ingresos municipales y es responsable de realizar las erogaciones que haga el Ayuntamiento.</w:t>
      </w:r>
    </w:p>
    <w:p w14:paraId="4CC05D9C"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Asimismo, la Ley Orgánica Municipal, señala que cuenta con las siguientes atribuciones:</w:t>
      </w:r>
    </w:p>
    <w:p w14:paraId="0AD4120D" w14:textId="77777777" w:rsidR="003E1096" w:rsidRDefault="005806A6">
      <w:pPr>
        <w:spacing w:before="240" w:after="240" w:line="276" w:lineRule="auto"/>
        <w:ind w:left="567" w:right="900"/>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t xml:space="preserve">“Artículo 93.- </w:t>
      </w:r>
      <w:r>
        <w:rPr>
          <w:rFonts w:ascii="Palatino Linotype" w:eastAsia="Palatino Linotype" w:hAnsi="Palatino Linotype" w:cs="Palatino Linotype"/>
          <w:b/>
          <w:i/>
          <w:sz w:val="22"/>
          <w:szCs w:val="22"/>
        </w:rPr>
        <w:t>La tesorería municipal es el órgano encargado de</w:t>
      </w:r>
      <w:r>
        <w:rPr>
          <w:rFonts w:ascii="Palatino Linotype" w:eastAsia="Palatino Linotype" w:hAnsi="Palatino Linotype" w:cs="Palatino Linotype"/>
          <w:i/>
          <w:sz w:val="22"/>
          <w:szCs w:val="22"/>
        </w:rPr>
        <w:t xml:space="preserve"> la recaudación de los ingresos municipales y responsable de </w:t>
      </w:r>
      <w:r>
        <w:rPr>
          <w:rFonts w:ascii="Palatino Linotype" w:eastAsia="Palatino Linotype" w:hAnsi="Palatino Linotype" w:cs="Palatino Linotype"/>
          <w:b/>
          <w:i/>
          <w:sz w:val="22"/>
          <w:szCs w:val="22"/>
        </w:rPr>
        <w:t>realizar las erogaciones que haga el ayuntamiento.</w:t>
      </w:r>
    </w:p>
    <w:p w14:paraId="04C5312D"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1BFC4485"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Artículo 95.- Son atribuciones del tesorero municipal:</w:t>
      </w:r>
    </w:p>
    <w:p w14:paraId="37DD6C7F"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i/>
        </w:rPr>
        <w:t xml:space="preserve"> </w:t>
      </w:r>
      <w:r>
        <w:rPr>
          <w:rFonts w:ascii="Palatino Linotype" w:eastAsia="Palatino Linotype" w:hAnsi="Palatino Linotype" w:cs="Palatino Linotype"/>
          <w:b/>
          <w:i/>
          <w:sz w:val="22"/>
          <w:szCs w:val="22"/>
        </w:rPr>
        <w:t>I. Administrar la hacienda pública municipal, de conformidad con las disposiciones legales aplicables</w:t>
      </w:r>
      <w:r>
        <w:rPr>
          <w:rFonts w:ascii="Palatino Linotype" w:eastAsia="Palatino Linotype" w:hAnsi="Palatino Linotype" w:cs="Palatino Linotype"/>
          <w:i/>
          <w:sz w:val="22"/>
          <w:szCs w:val="22"/>
        </w:rPr>
        <w:t>;</w:t>
      </w:r>
    </w:p>
    <w:p w14:paraId="4498173B"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19C01D22" w14:textId="77777777" w:rsidR="003E1096" w:rsidRDefault="005806A6">
      <w:pPr>
        <w:spacing w:before="240" w:after="240" w:line="276" w:lineRule="auto"/>
        <w:ind w:left="567" w:right="90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IV. Llevar los registros contables, financieros y administrativos de los ingresos, egresos, e inventarios</w:t>
      </w:r>
      <w:r>
        <w:rPr>
          <w:rFonts w:ascii="Palatino Linotype" w:eastAsia="Palatino Linotype" w:hAnsi="Palatino Linotype" w:cs="Palatino Linotype"/>
          <w:i/>
          <w:sz w:val="22"/>
          <w:szCs w:val="22"/>
        </w:rPr>
        <w:t>;” (Énfasis añadido)</w:t>
      </w:r>
    </w:p>
    <w:p w14:paraId="7A2A6E00" w14:textId="77777777" w:rsidR="003E1096" w:rsidRDefault="005806A6">
      <w:pPr>
        <w:pBdr>
          <w:top w:val="nil"/>
          <w:left w:val="nil"/>
          <w:bottom w:val="nil"/>
          <w:right w:val="nil"/>
          <w:between w:val="nil"/>
        </w:pBdr>
        <w:spacing w:line="360" w:lineRule="auto"/>
        <w:jc w:val="both"/>
        <w:rPr>
          <w:color w:val="000000"/>
          <w:sz w:val="22"/>
          <w:szCs w:val="22"/>
        </w:rPr>
      </w:pPr>
      <w:r>
        <w:rPr>
          <w:rFonts w:ascii="Palatino Linotype" w:eastAsia="Palatino Linotype" w:hAnsi="Palatino Linotype" w:cs="Palatino Linotype"/>
          <w:sz w:val="22"/>
          <w:szCs w:val="22"/>
        </w:rPr>
        <w:t xml:space="preserve">Ahora bien, respecto a la </w:t>
      </w:r>
      <w:r>
        <w:rPr>
          <w:rFonts w:ascii="Palatino Linotype" w:eastAsia="Palatino Linotype" w:hAnsi="Palatino Linotype" w:cs="Palatino Linotype"/>
          <w:b/>
          <w:sz w:val="22"/>
          <w:szCs w:val="22"/>
        </w:rPr>
        <w:t>Dirección de Administración</w:t>
      </w:r>
      <w:r>
        <w:rPr>
          <w:rFonts w:ascii="Palatino Linotype" w:eastAsia="Palatino Linotype" w:hAnsi="Palatino Linotype" w:cs="Palatino Linotype"/>
          <w:sz w:val="22"/>
          <w:szCs w:val="22"/>
        </w:rPr>
        <w:t>, el Manual de Organización de la Dirección de Administración del Ayuntamiento de Temamatla, señala que a esta unidad administrativa le corresponde el planear, organizar, dirigir y controlar la adquisición de bienes, así como la presentación de los servicios requeridos por las áreas administrativas para el cumplimiento de sus funciones y programas institucionales.</w:t>
      </w:r>
    </w:p>
    <w:p w14:paraId="48CAEF3C" w14:textId="77777777" w:rsidR="003E1096" w:rsidRDefault="005806A6">
      <w:pPr>
        <w:spacing w:before="240" w:after="240" w:line="360" w:lineRule="auto"/>
        <w:jc w:val="both"/>
        <w:rPr>
          <w:rFonts w:ascii="Palatino Linotype" w:eastAsia="Palatino Linotype" w:hAnsi="Palatino Linotype" w:cs="Palatino Linotype"/>
          <w:color w:val="222222"/>
          <w:sz w:val="22"/>
          <w:szCs w:val="22"/>
        </w:rPr>
      </w:pPr>
      <w:r>
        <w:rPr>
          <w:rFonts w:ascii="Palatino Linotype" w:eastAsia="Palatino Linotype" w:hAnsi="Palatino Linotype" w:cs="Palatino Linotype"/>
          <w:sz w:val="22"/>
          <w:szCs w:val="22"/>
        </w:rPr>
        <w:t xml:space="preserve"> De lo anteriormente citado, observamos que </w:t>
      </w:r>
      <w:r>
        <w:rPr>
          <w:rFonts w:ascii="Palatino Linotype" w:eastAsia="Palatino Linotype" w:hAnsi="Palatino Linotype" w:cs="Palatino Linotype"/>
          <w:color w:val="222222"/>
          <w:sz w:val="22"/>
          <w:szCs w:val="22"/>
        </w:rPr>
        <w:t xml:space="preserve">la respuesta fue proporcionada por </w:t>
      </w:r>
      <w:r>
        <w:rPr>
          <w:rFonts w:ascii="Palatino Linotype" w:eastAsia="Palatino Linotype" w:hAnsi="Palatino Linotype" w:cs="Palatino Linotype"/>
          <w:color w:val="000000"/>
          <w:sz w:val="22"/>
          <w:szCs w:val="22"/>
        </w:rPr>
        <w:t>las Unidades Administrativas Competentes, siguiendo el procedimiento establecido por el artículo 162 de la Ley de Transparencia y Acceso a la Información Pública del Estado de México y Municipios, ya que turnó la solicitud al área en la que podría obrar la información de conformidad con la fracción XXXIX del artículo tercero de la legislación local vigente en materia de transparencia: </w:t>
      </w:r>
    </w:p>
    <w:p w14:paraId="2C48A6BE" w14:textId="77777777" w:rsidR="003E1096" w:rsidRDefault="005806A6">
      <w:pPr>
        <w:pBdr>
          <w:top w:val="nil"/>
          <w:left w:val="nil"/>
          <w:bottom w:val="nil"/>
          <w:right w:val="nil"/>
          <w:between w:val="nil"/>
        </w:pBdr>
        <w:ind w:left="864" w:right="864"/>
        <w:jc w:val="both"/>
        <w:rPr>
          <w:color w:val="000000"/>
        </w:rPr>
      </w:pPr>
      <w:r>
        <w:rPr>
          <w:rFonts w:ascii="Palatino Linotype" w:eastAsia="Palatino Linotype" w:hAnsi="Palatino Linotype" w:cs="Palatino Linotype"/>
          <w:i/>
          <w:color w:val="000000"/>
          <w:sz w:val="22"/>
          <w:szCs w:val="22"/>
        </w:rPr>
        <w:t>“XXXIX. Servidor público habilitado: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 </w:t>
      </w:r>
    </w:p>
    <w:p w14:paraId="7A31879C" w14:textId="77777777" w:rsidR="003E1096" w:rsidRDefault="003E1096"/>
    <w:p w14:paraId="592C5B8A"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lastRenderedPageBreak/>
        <w:t>Por consiguiente, se tiene que el procedimiento de búsqueda de la información se ejecutó conforme a derecho.</w:t>
      </w:r>
    </w:p>
    <w:p w14:paraId="15C09E51" w14:textId="77777777" w:rsidR="003E1096" w:rsidRDefault="005806A6">
      <w:pPr>
        <w:pBdr>
          <w:top w:val="nil"/>
          <w:left w:val="nil"/>
          <w:bottom w:val="nil"/>
          <w:right w:val="nil"/>
          <w:between w:val="nil"/>
        </w:pBd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 xml:space="preserve">Acotado lo anterior, se debe recordar que la persona solicitante requirió la información descrita en la solicitud de acceso a la información pública de toda la administración pública municipal 2022-2024, sin embargo, las solicitudes se tuvieron por presentadas los días </w:t>
      </w:r>
      <w:r>
        <w:rPr>
          <w:rFonts w:ascii="Palatino Linotype" w:eastAsia="Palatino Linotype" w:hAnsi="Palatino Linotype" w:cs="Palatino Linotype"/>
          <w:b/>
          <w:color w:val="000000"/>
          <w:sz w:val="22"/>
          <w:szCs w:val="22"/>
        </w:rPr>
        <w:t>dos</w:t>
      </w:r>
      <w:r>
        <w:rPr>
          <w:rFonts w:ascii="Palatino Linotype" w:eastAsia="Palatino Linotype" w:hAnsi="Palatino Linotype" w:cs="Palatino Linotype"/>
          <w:color w:val="000000"/>
          <w:sz w:val="22"/>
          <w:szCs w:val="22"/>
        </w:rPr>
        <w:t xml:space="preserve"> </w:t>
      </w:r>
      <w:r>
        <w:rPr>
          <w:rFonts w:ascii="Palatino Linotype" w:eastAsia="Palatino Linotype" w:hAnsi="Palatino Linotype" w:cs="Palatino Linotype"/>
          <w:b/>
          <w:color w:val="000000"/>
          <w:sz w:val="22"/>
          <w:szCs w:val="22"/>
        </w:rPr>
        <w:t>y siete</w:t>
      </w:r>
      <w:r>
        <w:rPr>
          <w:rFonts w:ascii="Palatino Linotype" w:eastAsia="Palatino Linotype" w:hAnsi="Palatino Linotype" w:cs="Palatino Linotype"/>
          <w:color w:val="000000"/>
          <w:sz w:val="22"/>
          <w:szCs w:val="22"/>
        </w:rPr>
        <w:t xml:space="preserve"> </w:t>
      </w:r>
      <w:r>
        <w:rPr>
          <w:rFonts w:ascii="Palatino Linotype" w:eastAsia="Palatino Linotype" w:hAnsi="Palatino Linotype" w:cs="Palatino Linotype"/>
          <w:b/>
          <w:color w:val="000000"/>
          <w:sz w:val="22"/>
          <w:szCs w:val="22"/>
        </w:rPr>
        <w:t>de octubre de dos mil veinticuatro</w:t>
      </w:r>
      <w:r>
        <w:rPr>
          <w:rFonts w:ascii="Palatino Linotype" w:eastAsia="Palatino Linotype" w:hAnsi="Palatino Linotype" w:cs="Palatino Linotype"/>
          <w:color w:val="000000"/>
          <w:sz w:val="22"/>
          <w:szCs w:val="22"/>
        </w:rPr>
        <w:t>, por lo que es ineludible señalar que la información sobre hechos que aún no se han generado debido a la temporalidad, son hechos futuros e inciertos, los cuales no se pueden determinar ya que están supeditados a la conclusión de los mismos; por consiguiente no es procedente que los Sujetos Obligados proporcionen dicha información.</w:t>
      </w:r>
    </w:p>
    <w:p w14:paraId="19865375" w14:textId="77777777" w:rsidR="003E1096" w:rsidRDefault="005806A6">
      <w:pPr>
        <w:pBdr>
          <w:top w:val="nil"/>
          <w:left w:val="nil"/>
          <w:bottom w:val="nil"/>
          <w:right w:val="nil"/>
          <w:between w:val="nil"/>
        </w:pBdr>
        <w:spacing w:before="240" w:after="240" w:line="360" w:lineRule="auto"/>
        <w:ind w:right="-93"/>
        <w:jc w:val="both"/>
        <w:rPr>
          <w:color w:val="000000"/>
          <w:sz w:val="22"/>
          <w:szCs w:val="22"/>
        </w:rPr>
      </w:pPr>
      <w:r>
        <w:rPr>
          <w:rFonts w:ascii="Palatino Linotype" w:eastAsia="Palatino Linotype" w:hAnsi="Palatino Linotype" w:cs="Palatino Linotype"/>
          <w:color w:val="000000"/>
          <w:sz w:val="22"/>
          <w:szCs w:val="22"/>
        </w:rPr>
        <w:t xml:space="preserve">Lo anterior se robustece con la Tesis Aislada con número de registro 209001, de la Suprema Corte de Justicia de la Nación, emitida por los Tribunales Colegiados de </w:t>
      </w:r>
      <w:proofErr w:type="gramStart"/>
      <w:r>
        <w:rPr>
          <w:rFonts w:ascii="Palatino Linotype" w:eastAsia="Palatino Linotype" w:hAnsi="Palatino Linotype" w:cs="Palatino Linotype"/>
          <w:color w:val="000000"/>
          <w:sz w:val="22"/>
          <w:szCs w:val="22"/>
        </w:rPr>
        <w:t>Circuito,  que</w:t>
      </w:r>
      <w:proofErr w:type="gramEnd"/>
      <w:r>
        <w:rPr>
          <w:rFonts w:ascii="Palatino Linotype" w:eastAsia="Palatino Linotype" w:hAnsi="Palatino Linotype" w:cs="Palatino Linotype"/>
          <w:color w:val="000000"/>
          <w:sz w:val="22"/>
          <w:szCs w:val="22"/>
        </w:rPr>
        <w:t xml:space="preserve"> a la letra señala:</w:t>
      </w:r>
    </w:p>
    <w:p w14:paraId="513C74A9" w14:textId="77777777" w:rsidR="003E1096" w:rsidRDefault="005806A6">
      <w:pPr>
        <w:pBdr>
          <w:top w:val="nil"/>
          <w:left w:val="nil"/>
          <w:bottom w:val="nil"/>
          <w:right w:val="nil"/>
          <w:between w:val="nil"/>
        </w:pBdr>
        <w:ind w:left="851" w:right="900"/>
        <w:jc w:val="both"/>
        <w:rPr>
          <w:color w:val="000000"/>
        </w:rPr>
      </w:pPr>
      <w:r>
        <w:rPr>
          <w:rFonts w:ascii="Palatino Linotype" w:eastAsia="Palatino Linotype" w:hAnsi="Palatino Linotype" w:cs="Palatino Linotype"/>
          <w:b/>
          <w:i/>
          <w:color w:val="000000"/>
          <w:sz w:val="22"/>
          <w:szCs w:val="22"/>
        </w:rPr>
        <w:t xml:space="preserve">“ACTOS FUTUROS DE REALIZACION INCIERTA. NO PROCEDE EL JUICIO DE AMPARO CONTRA LOS. </w:t>
      </w:r>
      <w:r>
        <w:rPr>
          <w:rFonts w:ascii="Palatino Linotype" w:eastAsia="Palatino Linotype" w:hAnsi="Palatino Linotype" w:cs="Palatino Linotype"/>
          <w:i/>
          <w:color w:val="000000"/>
          <w:sz w:val="22"/>
          <w:szCs w:val="22"/>
        </w:rPr>
        <w:t>Contra actos futuros de realización incierta no procede el juicio de garantías.”</w:t>
      </w:r>
    </w:p>
    <w:p w14:paraId="17546A56" w14:textId="77777777" w:rsidR="003E1096" w:rsidRDefault="005806A6">
      <w:pPr>
        <w:spacing w:before="240" w:after="240"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color w:val="000000"/>
          <w:sz w:val="22"/>
          <w:szCs w:val="22"/>
        </w:rPr>
        <w:t xml:space="preserve">En ese sentido, no es procedente la exigencia de la parte </w:t>
      </w:r>
      <w:r>
        <w:rPr>
          <w:rFonts w:ascii="Palatino Linotype" w:eastAsia="Palatino Linotype" w:hAnsi="Palatino Linotype" w:cs="Palatino Linotype"/>
          <w:b/>
          <w:color w:val="000000"/>
          <w:sz w:val="22"/>
          <w:szCs w:val="22"/>
        </w:rPr>
        <w:t>Recurrente</w:t>
      </w:r>
      <w:r>
        <w:rPr>
          <w:rFonts w:ascii="Palatino Linotype" w:eastAsia="Palatino Linotype" w:hAnsi="Palatino Linotype" w:cs="Palatino Linotype"/>
          <w:color w:val="000000"/>
          <w:sz w:val="22"/>
          <w:szCs w:val="22"/>
        </w:rPr>
        <w:t xml:space="preserve"> de que el </w:t>
      </w:r>
      <w:r>
        <w:rPr>
          <w:rFonts w:ascii="Palatino Linotype" w:eastAsia="Palatino Linotype" w:hAnsi="Palatino Linotype" w:cs="Palatino Linotype"/>
          <w:b/>
          <w:color w:val="000000"/>
          <w:sz w:val="22"/>
          <w:szCs w:val="22"/>
        </w:rPr>
        <w:t>Sujeto Obligado</w:t>
      </w:r>
      <w:r>
        <w:rPr>
          <w:rFonts w:ascii="Palatino Linotype" w:eastAsia="Palatino Linotype" w:hAnsi="Palatino Linotype" w:cs="Palatino Linotype"/>
          <w:color w:val="000000"/>
          <w:sz w:val="22"/>
          <w:szCs w:val="22"/>
        </w:rPr>
        <w:t xml:space="preserve"> atienda su solicitud en los términos solicitados, es decir, al día treinta y uno de diciembre de dos mil veinticuatro, pues dicha autoridad únicamente está constreñida a proporcionar la información pública que genere en uso de sus atribuciones de derecho público con anterioridad a la fecha de las solicitudes de información, esto es en los días </w:t>
      </w:r>
      <w:r>
        <w:rPr>
          <w:rFonts w:ascii="Palatino Linotype" w:eastAsia="Palatino Linotype" w:hAnsi="Palatino Linotype" w:cs="Palatino Linotype"/>
          <w:b/>
          <w:color w:val="000000"/>
          <w:sz w:val="22"/>
          <w:szCs w:val="22"/>
        </w:rPr>
        <w:t>dos y siete de octubre de dos mil veinticuatro.</w:t>
      </w:r>
    </w:p>
    <w:p w14:paraId="1C803126" w14:textId="77777777" w:rsidR="003E1096" w:rsidRDefault="005806A6">
      <w:pP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 xml:space="preserve">Por otro lado, este Organismo Garante no quiere dejar de mencionar que mediante el Acuerdo del  </w:t>
      </w:r>
      <w:r>
        <w:rPr>
          <w:rFonts w:ascii="Palatino Linotype" w:eastAsia="Palatino Linotype" w:hAnsi="Palatino Linotype" w:cs="Palatino Linotype"/>
          <w:b/>
          <w:color w:val="000000"/>
          <w:sz w:val="22"/>
          <w:szCs w:val="22"/>
        </w:rPr>
        <w:t>diecisiete de octubre de dos mil veinticuatro</w:t>
      </w:r>
      <w:r>
        <w:rPr>
          <w:rFonts w:ascii="Palatino Linotype" w:eastAsia="Palatino Linotype" w:hAnsi="Palatino Linotype" w:cs="Palatino Linotype"/>
          <w:color w:val="000000"/>
          <w:sz w:val="22"/>
          <w:szCs w:val="22"/>
        </w:rPr>
        <w:t xml:space="preserve">, el Pleno del Instituto de </w:t>
      </w:r>
      <w:r>
        <w:rPr>
          <w:rFonts w:ascii="Palatino Linotype" w:eastAsia="Palatino Linotype" w:hAnsi="Palatino Linotype" w:cs="Palatino Linotype"/>
          <w:color w:val="000000"/>
          <w:sz w:val="22"/>
          <w:szCs w:val="22"/>
        </w:rPr>
        <w:lastRenderedPageBreak/>
        <w:t xml:space="preserve">Transparencia, Acceso a la Información Pública y Protección de Datos Personales del Estado de México y Municipios, modificó el Padrón de Sujetos Obligados, por el cual el Sistema Municipal para el Desarrollo Integral de la Familia de Temamatla, se considera Sujeto Obligado diverso; sin embargo considerando que la solicitud de la información data </w:t>
      </w:r>
      <w:r>
        <w:rPr>
          <w:rFonts w:ascii="Palatino Linotype" w:eastAsia="Palatino Linotype" w:hAnsi="Palatino Linotype" w:cs="Palatino Linotype"/>
          <w:b/>
          <w:color w:val="000000"/>
          <w:sz w:val="22"/>
          <w:szCs w:val="22"/>
        </w:rPr>
        <w:t>del dos de octubre de dos mil veinticuatro</w:t>
      </w:r>
      <w:r>
        <w:rPr>
          <w:rFonts w:ascii="Palatino Linotype" w:eastAsia="Palatino Linotype" w:hAnsi="Palatino Linotype" w:cs="Palatino Linotype"/>
          <w:color w:val="000000"/>
          <w:sz w:val="22"/>
          <w:szCs w:val="22"/>
        </w:rPr>
        <w:t>, se determina que corresponde al Ayuntamiento de Temamatla, proporcionar la información requerida.</w:t>
      </w:r>
    </w:p>
    <w:p w14:paraId="7CEA325A" w14:textId="77777777" w:rsidR="003E1096" w:rsidRDefault="005806A6">
      <w:p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sz w:val="22"/>
          <w:szCs w:val="22"/>
        </w:rPr>
        <w:t>Bajo otro orden de ideas,</w:t>
      </w:r>
      <w:r>
        <w:t xml:space="preserve"> </w:t>
      </w:r>
      <w:r>
        <w:rPr>
          <w:rFonts w:ascii="Palatino Linotype" w:eastAsia="Palatino Linotype" w:hAnsi="Palatino Linotype" w:cs="Palatino Linotype"/>
          <w:sz w:val="22"/>
          <w:szCs w:val="22"/>
        </w:rPr>
        <w:t xml:space="preserve">se procede a analizar el cambio de modalidad, para ello debemos tener presente </w:t>
      </w:r>
      <w:proofErr w:type="gramStart"/>
      <w:r>
        <w:rPr>
          <w:rFonts w:ascii="Palatino Linotype" w:eastAsia="Palatino Linotype" w:hAnsi="Palatino Linotype" w:cs="Palatino Linotype"/>
          <w:sz w:val="22"/>
          <w:szCs w:val="22"/>
        </w:rPr>
        <w:t>que</w:t>
      </w:r>
      <w:proofErr w:type="gramEnd"/>
      <w:r>
        <w:rPr>
          <w:rFonts w:ascii="Palatino Linotype" w:eastAsia="Palatino Linotype" w:hAnsi="Palatino Linotype" w:cs="Palatino Linotype"/>
          <w:sz w:val="22"/>
          <w:szCs w:val="22"/>
        </w:rPr>
        <w:t xml:space="preserve"> si bien es cierto, </w:t>
      </w:r>
      <w:r>
        <w:rPr>
          <w:rFonts w:ascii="Palatino Linotype" w:eastAsia="Palatino Linotype" w:hAnsi="Palatino Linotype" w:cs="Palatino Linotype"/>
          <w:sz w:val="20"/>
          <w:szCs w:val="20"/>
        </w:rPr>
        <w:t xml:space="preserve">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pretende hacer valer un cambio de modalidad de entrega de la información mediante consulta directa, adjuntando para tal efecto un Acuerdo del Comité de Transparencia por el cual se aprueba el cambio a consulta directa in situ. No debemos perder de vista que respecto al cambio de modalidad hecho valer por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es necesario precisar </w:t>
      </w:r>
      <w:r>
        <w:rPr>
          <w:rFonts w:ascii="Palatino Linotype" w:eastAsia="Palatino Linotype" w:hAnsi="Palatino Linotype" w:cs="Palatino Linotype"/>
          <w:color w:val="000000"/>
          <w:sz w:val="22"/>
          <w:szCs w:val="22"/>
        </w:rPr>
        <w:t>el contenido de los artículos 155, fracción V y 164, de la Ley de Transparencia y Acceso a la Información Pública del Estado de México y Municipios, disponen lo siguiente:</w:t>
      </w:r>
    </w:p>
    <w:p w14:paraId="3F9AA5B3" w14:textId="77777777" w:rsidR="003E1096" w:rsidRDefault="003E1096">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2AD3995F" w14:textId="77777777" w:rsidR="003E1096" w:rsidRDefault="005806A6">
      <w:pPr>
        <w:ind w:left="567" w:right="567"/>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 xml:space="preserve">Artículo 155. Para presentar una solicitud por escrito, no se podrán exigir mayores requisitos que los siguientes: </w:t>
      </w:r>
    </w:p>
    <w:p w14:paraId="12AFA715" w14:textId="77777777" w:rsidR="003E1096" w:rsidRDefault="005806A6">
      <w:pPr>
        <w:ind w:left="567" w:righ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77A994BC" w14:textId="77777777" w:rsidR="003E1096" w:rsidRDefault="005806A6">
      <w:pPr>
        <w:ind w:left="567" w:right="567"/>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 xml:space="preserve">V. La modalidad en la que prefiere se otorgue el acceso a la información, la cual podrá ser verbal, siempre y cuando sea para fines de orientación, mediante consulta directa, mediante la expedición de copias simples o certificadas o la reproducción en cualquier otro medio, incluidos los electrónicos. </w:t>
      </w:r>
    </w:p>
    <w:p w14:paraId="3FBBF4C5" w14:textId="77777777" w:rsidR="003E1096" w:rsidRDefault="005806A6">
      <w:pPr>
        <w:ind w:left="567" w:right="567"/>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164. El</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acceso se dará en la modalidad de entrega</w:t>
      </w:r>
      <w:r>
        <w:rPr>
          <w:rFonts w:ascii="Palatino Linotype" w:eastAsia="Palatino Linotype" w:hAnsi="Palatino Linotype" w:cs="Palatino Linotype"/>
          <w:i/>
          <w:sz w:val="22"/>
          <w:szCs w:val="22"/>
        </w:rPr>
        <w:t xml:space="preserve"> y, en su caso, de envío </w:t>
      </w:r>
      <w:r>
        <w:rPr>
          <w:rFonts w:ascii="Palatino Linotype" w:eastAsia="Palatino Linotype" w:hAnsi="Palatino Linotype" w:cs="Palatino Linotype"/>
          <w:b/>
          <w:i/>
          <w:sz w:val="22"/>
          <w:szCs w:val="22"/>
        </w:rPr>
        <w:t>elegidos por el solicitante</w:t>
      </w:r>
      <w:r>
        <w:rPr>
          <w:rFonts w:ascii="Palatino Linotype" w:eastAsia="Palatino Linotype" w:hAnsi="Palatino Linotype" w:cs="Palatino Linotype"/>
          <w:i/>
          <w:sz w:val="22"/>
          <w:szCs w:val="22"/>
        </w:rPr>
        <w:t xml:space="preserve">. Cuando la información no pueda entregarse o enviarse en la modalidad solicitada, el sujeto obligado deberá ofrecer otra u otras modalidades de entrega. </w:t>
      </w:r>
    </w:p>
    <w:p w14:paraId="28AA08CD" w14:textId="77777777" w:rsidR="003E1096" w:rsidRDefault="005806A6">
      <w:pPr>
        <w:ind w:left="567" w:righ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cualquier caso, se deberá fundar y motivar la necesidad de ofrecer otras modalidades.” </w:t>
      </w:r>
    </w:p>
    <w:p w14:paraId="1E207525" w14:textId="77777777" w:rsidR="003E1096" w:rsidRDefault="005806A6">
      <w:pPr>
        <w:ind w:left="567" w:righ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(Énfasis añadido)</w:t>
      </w:r>
    </w:p>
    <w:p w14:paraId="5E3AC9A8" w14:textId="77777777" w:rsidR="003E1096" w:rsidRDefault="003E1096">
      <w:pPr>
        <w:widowControl w:val="0"/>
        <w:spacing w:line="360" w:lineRule="auto"/>
        <w:jc w:val="both"/>
        <w:rPr>
          <w:rFonts w:ascii="Palatino Linotype" w:eastAsia="Palatino Linotype" w:hAnsi="Palatino Linotype" w:cs="Palatino Linotype"/>
          <w:sz w:val="22"/>
          <w:szCs w:val="22"/>
        </w:rPr>
      </w:pPr>
    </w:p>
    <w:p w14:paraId="10571B3C" w14:textId="77777777" w:rsidR="003E1096" w:rsidRDefault="005806A6">
      <w:pPr>
        <w:spacing w:line="360" w:lineRule="auto"/>
        <w:ind w:right="-93"/>
        <w:jc w:val="both"/>
        <w:rPr>
          <w:rFonts w:ascii="Palatino Linotype" w:eastAsia="Palatino Linotype" w:hAnsi="Palatino Linotype" w:cs="Palatino Linotype"/>
          <w:sz w:val="22"/>
          <w:szCs w:val="22"/>
        </w:rPr>
      </w:pPr>
      <w:r>
        <w:rPr>
          <w:rFonts w:ascii="Palatino Linotype" w:eastAsia="Palatino Linotype" w:hAnsi="Palatino Linotype" w:cs="Palatino Linotype"/>
          <w:color w:val="000000"/>
          <w:sz w:val="22"/>
          <w:szCs w:val="22"/>
        </w:rPr>
        <w:lastRenderedPageBreak/>
        <w:t xml:space="preserve">En ese sentido, a efecto de dar cumplimiento al derecho de acceso a la Información Pública, los particulares tienen la posibilidad de elegir la modalidad de entrega que prefieran, entre ellas, vía </w:t>
      </w:r>
      <w:r>
        <w:rPr>
          <w:rFonts w:ascii="Palatino Linotype" w:eastAsia="Palatino Linotype" w:hAnsi="Palatino Linotype" w:cs="Palatino Linotype"/>
          <w:b/>
          <w:color w:val="000000"/>
          <w:sz w:val="22"/>
          <w:szCs w:val="22"/>
        </w:rPr>
        <w:t>SAIMEX</w:t>
      </w:r>
      <w:r>
        <w:rPr>
          <w:rFonts w:ascii="Palatino Linotype" w:eastAsia="Palatino Linotype" w:hAnsi="Palatino Linotype" w:cs="Palatino Linotype"/>
          <w:color w:val="000000"/>
          <w:sz w:val="22"/>
          <w:szCs w:val="22"/>
        </w:rPr>
        <w:t>, como lo realizó el particular en las solicitudes materia de estudio.</w:t>
      </w:r>
    </w:p>
    <w:p w14:paraId="78BC812B" w14:textId="77777777" w:rsidR="003E1096" w:rsidRDefault="003E1096">
      <w:pPr>
        <w:widowControl w:val="0"/>
        <w:spacing w:line="360" w:lineRule="auto"/>
        <w:jc w:val="both"/>
        <w:rPr>
          <w:rFonts w:ascii="Palatino Linotype" w:eastAsia="Palatino Linotype" w:hAnsi="Palatino Linotype" w:cs="Palatino Linotype"/>
          <w:sz w:val="22"/>
          <w:szCs w:val="22"/>
        </w:rPr>
      </w:pPr>
    </w:p>
    <w:p w14:paraId="72B44D8C" w14:textId="77777777" w:rsidR="003E1096" w:rsidRDefault="005806A6">
      <w:pPr>
        <w:spacing w:line="360" w:lineRule="auto"/>
        <w:ind w:right="-93"/>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Ahora bien, es necesario referir que la Ley de Transparencia y Acceso a la Información Pública del Estado de México y Municipios, busca privilegiar la entrega de la información solicitada en la modalidad requerida por el particular. Así el citado artículo 164, de la Ley de Transparencia y Acceso a la Información Pública del Estado de México y Municipio, establece que tanto la modalidad de entrega como la forma de envío de la información se hará preferentemente como lo haya señalado el requirente. En los casos en que esto no sea posible, se</w:t>
      </w:r>
      <w:r>
        <w:rPr>
          <w:rFonts w:ascii="Palatino Linotype" w:eastAsia="Palatino Linotype" w:hAnsi="Palatino Linotype" w:cs="Palatino Linotype"/>
          <w:b/>
          <w:color w:val="000000"/>
          <w:sz w:val="22"/>
          <w:szCs w:val="22"/>
        </w:rPr>
        <w:t xml:space="preserve"> </w:t>
      </w:r>
      <w:r>
        <w:rPr>
          <w:rFonts w:ascii="Palatino Linotype" w:eastAsia="Palatino Linotype" w:hAnsi="Palatino Linotype" w:cs="Palatino Linotype"/>
          <w:color w:val="000000"/>
          <w:sz w:val="22"/>
          <w:szCs w:val="22"/>
        </w:rPr>
        <w:t>podrá garantizar la entrega a través de cualquier otro medio, siempre y cuando funde y motive la razón para hacerlo.</w:t>
      </w:r>
    </w:p>
    <w:p w14:paraId="0A0FE8AD" w14:textId="77777777" w:rsidR="003E1096" w:rsidRDefault="003E1096">
      <w:pPr>
        <w:spacing w:line="360" w:lineRule="auto"/>
        <w:ind w:right="-93"/>
        <w:jc w:val="both"/>
        <w:rPr>
          <w:rFonts w:ascii="Palatino Linotype" w:eastAsia="Palatino Linotype" w:hAnsi="Palatino Linotype" w:cs="Palatino Linotype"/>
          <w:color w:val="000000"/>
          <w:sz w:val="22"/>
          <w:szCs w:val="22"/>
        </w:rPr>
      </w:pPr>
    </w:p>
    <w:p w14:paraId="1F5DEF38" w14:textId="77777777" w:rsidR="003E1096" w:rsidRDefault="005806A6">
      <w:pPr>
        <w:spacing w:line="360" w:lineRule="auto"/>
        <w:ind w:right="-9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color w:val="000000"/>
          <w:sz w:val="22"/>
          <w:szCs w:val="22"/>
        </w:rPr>
        <w:t xml:space="preserve">Sin embargo, en el presente asunto la actuación del </w:t>
      </w:r>
      <w:r>
        <w:rPr>
          <w:rFonts w:ascii="Palatino Linotype" w:eastAsia="Palatino Linotype" w:hAnsi="Palatino Linotype" w:cs="Palatino Linotype"/>
          <w:b/>
          <w:color w:val="000000"/>
          <w:sz w:val="22"/>
          <w:szCs w:val="22"/>
        </w:rPr>
        <w:t xml:space="preserve">Sujeto Obligado </w:t>
      </w:r>
      <w:r>
        <w:rPr>
          <w:rFonts w:ascii="Palatino Linotype" w:eastAsia="Palatino Linotype" w:hAnsi="Palatino Linotype" w:cs="Palatino Linotype"/>
          <w:color w:val="000000"/>
          <w:sz w:val="22"/>
          <w:szCs w:val="22"/>
        </w:rPr>
        <w:t xml:space="preserve">constituye una afectación al derecho humano de acceso a la información pública del particular, toda vez que pretendió cambiar la modalidad de entrega de la información, aún y cuando el particular mencionó que la manera de entrega de la información sería a través del </w:t>
      </w:r>
      <w:r>
        <w:rPr>
          <w:rFonts w:ascii="Palatino Linotype" w:eastAsia="Palatino Linotype" w:hAnsi="Palatino Linotype" w:cs="Palatino Linotype"/>
          <w:b/>
          <w:color w:val="000000"/>
          <w:sz w:val="22"/>
          <w:szCs w:val="22"/>
        </w:rPr>
        <w:t>SAIMEX.</w:t>
      </w:r>
    </w:p>
    <w:p w14:paraId="71AEFDEC" w14:textId="77777777" w:rsidR="003E1096" w:rsidRDefault="003E1096">
      <w:pPr>
        <w:spacing w:line="360" w:lineRule="auto"/>
        <w:ind w:right="-93"/>
        <w:jc w:val="both"/>
        <w:rPr>
          <w:rFonts w:ascii="Palatino Linotype" w:eastAsia="Palatino Linotype" w:hAnsi="Palatino Linotype" w:cs="Palatino Linotype"/>
          <w:b/>
          <w:color w:val="000000"/>
          <w:sz w:val="22"/>
          <w:szCs w:val="22"/>
        </w:rPr>
      </w:pPr>
    </w:p>
    <w:p w14:paraId="61504AFB" w14:textId="77777777" w:rsidR="003E1096" w:rsidRDefault="005806A6">
      <w:pP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 xml:space="preserve">Por lo que el cambio de modalidad que pretendió hacer </w:t>
      </w:r>
      <w:r>
        <w:rPr>
          <w:rFonts w:ascii="Palatino Linotype" w:eastAsia="Palatino Linotype" w:hAnsi="Palatino Linotype" w:cs="Palatino Linotype"/>
          <w:b/>
          <w:color w:val="000000"/>
          <w:sz w:val="22"/>
          <w:szCs w:val="22"/>
        </w:rPr>
        <w:t>el Sujeto Obligado</w:t>
      </w:r>
      <w:r>
        <w:rPr>
          <w:rFonts w:ascii="Palatino Linotype" w:eastAsia="Palatino Linotype" w:hAnsi="Palatino Linotype" w:cs="Palatino Linotype"/>
          <w:color w:val="000000"/>
          <w:sz w:val="22"/>
          <w:szCs w:val="22"/>
        </w:rPr>
        <w:t xml:space="preserve"> constituye una restricción indirecta del derecho acceso a la información pública, dado que no proporciona la información que requirió el particular y que de manera libre el decidió sobre la vía de la modalidad de entrega de la misma situación que no se respetó. </w:t>
      </w:r>
    </w:p>
    <w:p w14:paraId="60596FF3" w14:textId="77777777" w:rsidR="003E1096" w:rsidRDefault="003E1096">
      <w:pPr>
        <w:spacing w:line="360" w:lineRule="auto"/>
        <w:jc w:val="both"/>
        <w:rPr>
          <w:rFonts w:ascii="Palatino Linotype" w:eastAsia="Palatino Linotype" w:hAnsi="Palatino Linotype" w:cs="Palatino Linotype"/>
          <w:color w:val="000000"/>
          <w:sz w:val="22"/>
          <w:szCs w:val="22"/>
        </w:rPr>
      </w:pPr>
    </w:p>
    <w:p w14:paraId="6228A547" w14:textId="77777777" w:rsidR="003E1096" w:rsidRDefault="005806A6">
      <w:pP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lastRenderedPageBreak/>
        <w:t xml:space="preserve">Ahora bien, </w:t>
      </w:r>
      <w:r>
        <w:rPr>
          <w:rFonts w:ascii="Palatino Linotype" w:eastAsia="Palatino Linotype" w:hAnsi="Palatino Linotype" w:cs="Palatino Linotype"/>
          <w:sz w:val="22"/>
          <w:szCs w:val="22"/>
        </w:rPr>
        <w:t>el artículo 158 de la Ley de Transparencia y Acceso a la Información Pública del Estado de México y Municipios</w:t>
      </w:r>
      <w:r>
        <w:rPr>
          <w:rFonts w:ascii="Palatino Linotype" w:eastAsia="Palatino Linotype" w:hAnsi="Palatino Linotype" w:cs="Palatino Linotype"/>
          <w:color w:val="000000"/>
          <w:sz w:val="22"/>
          <w:szCs w:val="22"/>
        </w:rPr>
        <w:t xml:space="preserve">, precisa los casos en que de manera excepcional se puede proceder al cambio de modalidad: </w:t>
      </w:r>
    </w:p>
    <w:p w14:paraId="4C597321" w14:textId="77777777" w:rsidR="003E1096" w:rsidRDefault="003E1096">
      <w:pPr>
        <w:spacing w:line="360" w:lineRule="auto"/>
        <w:jc w:val="both"/>
        <w:rPr>
          <w:rFonts w:ascii="Palatino Linotype" w:eastAsia="Palatino Linotype" w:hAnsi="Palatino Linotype" w:cs="Palatino Linotype"/>
          <w:sz w:val="22"/>
          <w:szCs w:val="22"/>
        </w:rPr>
      </w:pPr>
    </w:p>
    <w:p w14:paraId="1EA286C4" w14:textId="77777777" w:rsidR="003E1096" w:rsidRDefault="005806A6">
      <w:pPr>
        <w:ind w:left="567" w:righ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Artículo 158.</w:t>
      </w:r>
      <w:r>
        <w:rPr>
          <w:rFonts w:ascii="Palatino Linotype" w:eastAsia="Palatino Linotype" w:hAnsi="Palatino Linotype" w:cs="Palatino Linotype"/>
          <w:i/>
          <w:sz w:val="22"/>
          <w:szCs w:val="22"/>
        </w:rPr>
        <w:t xml:space="preserve"> De manera excepcional, cuando de forma fundada y motivada así lo determine el sujeto obligado, en aquellos casos en que la información solicitada que ya se encuentre en su posesión implique análisis, estudio o procesamiento de documentos cuya entrega o reproducción </w:t>
      </w:r>
      <w:r>
        <w:rPr>
          <w:rFonts w:ascii="Palatino Linotype" w:eastAsia="Palatino Linotype" w:hAnsi="Palatino Linotype" w:cs="Palatino Linotype"/>
          <w:b/>
          <w:i/>
          <w:sz w:val="22"/>
          <w:szCs w:val="22"/>
        </w:rPr>
        <w:t>sobrepase las capacidades técnicas administrativas y humanas del sujeto obligado</w:t>
      </w:r>
      <w:r>
        <w:rPr>
          <w:rFonts w:ascii="Palatino Linotype" w:eastAsia="Palatino Linotype" w:hAnsi="Palatino Linotype" w:cs="Palatino Linotype"/>
          <w:i/>
          <w:sz w:val="22"/>
          <w:szCs w:val="22"/>
        </w:rPr>
        <w:t xml:space="preserve"> para cumplir con la solicitud, en los plazos establecidos para dichos efectos, se podrá poner a disposición del solicitante los documentos en consulta directa, salvo la información clasificada.”.</w:t>
      </w:r>
    </w:p>
    <w:p w14:paraId="5C18D582" w14:textId="77777777" w:rsidR="003E1096" w:rsidRDefault="005806A6">
      <w:pPr>
        <w:ind w:left="567" w:righ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(Énfasis añadido) </w:t>
      </w:r>
    </w:p>
    <w:p w14:paraId="3FC3C0EE" w14:textId="77777777" w:rsidR="003E1096" w:rsidRDefault="003E1096">
      <w:pPr>
        <w:spacing w:line="360" w:lineRule="auto"/>
        <w:jc w:val="both"/>
        <w:rPr>
          <w:rFonts w:ascii="Palatino Linotype" w:eastAsia="Palatino Linotype" w:hAnsi="Palatino Linotype" w:cs="Palatino Linotype"/>
          <w:i/>
          <w:sz w:val="22"/>
          <w:szCs w:val="22"/>
        </w:rPr>
      </w:pPr>
    </w:p>
    <w:p w14:paraId="53CD4918"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Es así que, la Ley de la materia contempla que excepcionalmente, de forma fundada y motivada, en el caso de que la información solicitada implique análisis, estudio o procesamiento de documentos, cuya entrega o reproducción sobrepase las capacidades técnicas administrativas y humanas del Sujeto Obligado, se podrá poder a disposición del solicitante los documentos en consulta directa. </w:t>
      </w:r>
    </w:p>
    <w:p w14:paraId="057A075F" w14:textId="77777777" w:rsidR="003E1096" w:rsidRDefault="003E1096">
      <w:pPr>
        <w:spacing w:line="360" w:lineRule="auto"/>
        <w:ind w:right="-93"/>
        <w:jc w:val="both"/>
        <w:rPr>
          <w:rFonts w:ascii="Palatino Linotype" w:eastAsia="Palatino Linotype" w:hAnsi="Palatino Linotype" w:cs="Palatino Linotype"/>
          <w:sz w:val="22"/>
          <w:szCs w:val="22"/>
        </w:rPr>
      </w:pPr>
    </w:p>
    <w:p w14:paraId="35797F56"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Es decir, del artículo anterior, se derivan tres hipótesis que en conjunto y de manera fundada y motivada, validan el cambio de modalidad de entrega de la información y las cuales son, que las documentales a proporcionar </w:t>
      </w:r>
      <w:r>
        <w:rPr>
          <w:rFonts w:ascii="Palatino Linotype" w:eastAsia="Palatino Linotype" w:hAnsi="Palatino Linotype" w:cs="Palatino Linotype"/>
          <w:b/>
          <w:sz w:val="22"/>
          <w:szCs w:val="22"/>
        </w:rPr>
        <w:t xml:space="preserve">sobrepasen las capacidades técnicas administrativas y humanas del Sujeto Obligado. </w:t>
      </w:r>
    </w:p>
    <w:p w14:paraId="1116C616" w14:textId="77777777" w:rsidR="003E1096" w:rsidRDefault="003E1096">
      <w:pPr>
        <w:spacing w:line="360" w:lineRule="auto"/>
        <w:jc w:val="both"/>
        <w:rPr>
          <w:rFonts w:ascii="Palatino Linotype" w:eastAsia="Palatino Linotype" w:hAnsi="Palatino Linotype" w:cs="Palatino Linotype"/>
          <w:color w:val="000000"/>
          <w:sz w:val="22"/>
          <w:szCs w:val="22"/>
        </w:rPr>
      </w:pPr>
    </w:p>
    <w:p w14:paraId="31B9E42E"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Derivado de lo anterior, cabe mencionar lo que se tiene por </w:t>
      </w:r>
      <w:r>
        <w:rPr>
          <w:rFonts w:ascii="Palatino Linotype" w:eastAsia="Palatino Linotype" w:hAnsi="Palatino Linotype" w:cs="Palatino Linotype"/>
          <w:b/>
          <w:sz w:val="22"/>
          <w:szCs w:val="22"/>
        </w:rPr>
        <w:t>“capacidad”</w:t>
      </w:r>
      <w:r>
        <w:rPr>
          <w:rFonts w:ascii="Palatino Linotype" w:eastAsia="Palatino Linotype" w:hAnsi="Palatino Linotype" w:cs="Palatino Linotype"/>
          <w:sz w:val="22"/>
          <w:szCs w:val="22"/>
        </w:rPr>
        <w:t>, que de manera general puede ser interpretado como la circunstancia o conjunto de condiciones, cualidades o aptitudes que permiten el desarrollo o el cumplimiento de una función o desempeño de un cargo.</w:t>
      </w:r>
    </w:p>
    <w:p w14:paraId="4373764D"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lastRenderedPageBreak/>
        <w:t xml:space="preserve">Ahora bien, respecto a las </w:t>
      </w:r>
      <w:r>
        <w:rPr>
          <w:rFonts w:ascii="Palatino Linotype" w:eastAsia="Palatino Linotype" w:hAnsi="Palatino Linotype" w:cs="Palatino Linotype"/>
          <w:b/>
          <w:sz w:val="22"/>
          <w:szCs w:val="22"/>
        </w:rPr>
        <w:t>capacidades técnicas</w:t>
      </w:r>
      <w:r>
        <w:rPr>
          <w:rFonts w:ascii="Palatino Linotype" w:eastAsia="Palatino Linotype" w:hAnsi="Palatino Linotype" w:cs="Palatino Linotype"/>
          <w:sz w:val="22"/>
          <w:szCs w:val="22"/>
        </w:rPr>
        <w:t xml:space="preserve">, el Sistema de Acceso a la Información Mexiquense (SAIMEX), es el medio electrónico a través del cual se formulan las solicitudes de información pública y se interponen los Recursos de Revisión. De esta manera, tras registrar una cuenta en el sistema electrónico y realizar una solicitud de información, es posible darle seguimiento a la presentación, respuesta, inconformidad y resolución de la misma. </w:t>
      </w:r>
    </w:p>
    <w:p w14:paraId="3F8E4DA7" w14:textId="77777777" w:rsidR="003E1096" w:rsidRDefault="003E1096">
      <w:pPr>
        <w:spacing w:line="360" w:lineRule="auto"/>
        <w:jc w:val="both"/>
        <w:rPr>
          <w:rFonts w:ascii="Palatino Linotype" w:eastAsia="Palatino Linotype" w:hAnsi="Palatino Linotype" w:cs="Palatino Linotype"/>
          <w:sz w:val="22"/>
          <w:szCs w:val="22"/>
        </w:rPr>
      </w:pPr>
    </w:p>
    <w:p w14:paraId="5145C5CD"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Derivado de lo anterior, es importante señalar que conforme al numeral Vigésimo Cuarto de los Lineamientos para la operación del Sistema de Acceso a la Información Mexiquense (SAIMEX) y del Sistema de Acceso, Rectificación, Cancelación y Oposición de Datos Personales del Estado de México (SARCOEM), los sistemas electrónicos cuentan con una capacidad máxima de carga dentro del servidor </w:t>
      </w:r>
      <w:r>
        <w:rPr>
          <w:rFonts w:ascii="Palatino Linotype" w:eastAsia="Palatino Linotype" w:hAnsi="Palatino Linotype" w:cs="Palatino Linotype"/>
          <w:b/>
          <w:sz w:val="22"/>
          <w:szCs w:val="22"/>
        </w:rPr>
        <w:t>con un peso total de quinientos megabytes o su equivalente a ocho mil fojas aproximadamente</w:t>
      </w:r>
      <w:r>
        <w:rPr>
          <w:rFonts w:ascii="Palatino Linotype" w:eastAsia="Palatino Linotype" w:hAnsi="Palatino Linotype" w:cs="Palatino Linotype"/>
          <w:sz w:val="22"/>
          <w:szCs w:val="22"/>
        </w:rPr>
        <w:t>.</w:t>
      </w:r>
    </w:p>
    <w:p w14:paraId="7CC223E8" w14:textId="77777777" w:rsidR="003E1096" w:rsidRDefault="003E1096">
      <w:pPr>
        <w:spacing w:line="360" w:lineRule="auto"/>
        <w:jc w:val="both"/>
        <w:rPr>
          <w:rFonts w:ascii="Palatino Linotype" w:eastAsia="Palatino Linotype" w:hAnsi="Palatino Linotype" w:cs="Palatino Linotype"/>
          <w:sz w:val="22"/>
          <w:szCs w:val="22"/>
        </w:rPr>
      </w:pPr>
    </w:p>
    <w:p w14:paraId="3EE884B3"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Por cuanto hace a las </w:t>
      </w:r>
      <w:r>
        <w:rPr>
          <w:rFonts w:ascii="Palatino Linotype" w:eastAsia="Palatino Linotype" w:hAnsi="Palatino Linotype" w:cs="Palatino Linotype"/>
          <w:b/>
          <w:sz w:val="22"/>
          <w:szCs w:val="22"/>
        </w:rPr>
        <w:t>capacidades humanas</w:t>
      </w:r>
      <w:r>
        <w:rPr>
          <w:rFonts w:ascii="Palatino Linotype" w:eastAsia="Palatino Linotype" w:hAnsi="Palatino Linotype" w:cs="Palatino Linotype"/>
          <w:sz w:val="22"/>
          <w:szCs w:val="22"/>
        </w:rPr>
        <w:t>, se entiende que es la cantidad efectiva de personal de una institución pública donde usan sus habilidades, motivaciones, activos organizacionales como patente.</w:t>
      </w:r>
    </w:p>
    <w:p w14:paraId="7937A5F5" w14:textId="77777777" w:rsidR="003E1096" w:rsidRDefault="003E1096">
      <w:pPr>
        <w:spacing w:line="360" w:lineRule="auto"/>
        <w:jc w:val="both"/>
        <w:rPr>
          <w:rFonts w:ascii="Palatino Linotype" w:eastAsia="Palatino Linotype" w:hAnsi="Palatino Linotype" w:cs="Palatino Linotype"/>
          <w:sz w:val="22"/>
          <w:szCs w:val="22"/>
        </w:rPr>
      </w:pPr>
    </w:p>
    <w:p w14:paraId="66E6AD86" w14:textId="77777777" w:rsidR="003E1096" w:rsidRDefault="005806A6">
      <w:pPr>
        <w:widowControl w:val="0"/>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Teniendo en cuenta lo anteriormente expuesto, abordamos a la conclusión en el presente asunto </w:t>
      </w:r>
      <w:r>
        <w:rPr>
          <w:rFonts w:ascii="Palatino Linotype" w:eastAsia="Palatino Linotype" w:hAnsi="Palatino Linotype" w:cs="Palatino Linotype"/>
          <w:b/>
          <w:sz w:val="22"/>
          <w:szCs w:val="22"/>
        </w:rPr>
        <w:t xml:space="preserve">el Sujeto Obligado </w:t>
      </w:r>
      <w:r>
        <w:rPr>
          <w:rFonts w:ascii="Palatino Linotype" w:eastAsia="Palatino Linotype" w:hAnsi="Palatino Linotype" w:cs="Palatino Linotype"/>
          <w:sz w:val="22"/>
          <w:szCs w:val="22"/>
        </w:rPr>
        <w:t xml:space="preserve">omitió argumentar o presentar los motivos que impiden entregar la información requerida a través de la plataforma </w:t>
      </w:r>
      <w:r>
        <w:rPr>
          <w:rFonts w:ascii="Palatino Linotype" w:eastAsia="Palatino Linotype" w:hAnsi="Palatino Linotype" w:cs="Palatino Linotype"/>
          <w:b/>
          <w:sz w:val="22"/>
          <w:szCs w:val="22"/>
        </w:rPr>
        <w:t xml:space="preserve">SAIMEX, </w:t>
      </w:r>
      <w:r>
        <w:rPr>
          <w:rFonts w:ascii="Palatino Linotype" w:eastAsia="Palatino Linotype" w:hAnsi="Palatino Linotype" w:cs="Palatino Linotype"/>
          <w:sz w:val="22"/>
          <w:szCs w:val="22"/>
        </w:rPr>
        <w:t xml:space="preserve">pues no basta con manifestar el cambio de modalidad por sí solo, sin fundamentar ni motivar dicha pretensión, asimismo cabe resaltar que este Organismo Garante le envió al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un requerimiento tendiente a conocer el número de fojas que compone la información para efecto de allegarse de mayores elementos que permitieran acreditar o desvirtuar el cambio de modalidad, sin </w:t>
      </w:r>
      <w:r>
        <w:rPr>
          <w:rFonts w:ascii="Palatino Linotype" w:eastAsia="Palatino Linotype" w:hAnsi="Palatino Linotype" w:cs="Palatino Linotype"/>
          <w:sz w:val="22"/>
          <w:szCs w:val="22"/>
        </w:rPr>
        <w:lastRenderedPageBreak/>
        <w:t>embargo, el Ayuntamiento de Temamatla fue omiso en atender dicho requerimiento.</w:t>
      </w:r>
    </w:p>
    <w:p w14:paraId="3A9BE1E5" w14:textId="77777777" w:rsidR="003E1096" w:rsidRDefault="003E1096">
      <w:pPr>
        <w:widowControl w:val="0"/>
        <w:spacing w:line="360" w:lineRule="auto"/>
        <w:jc w:val="both"/>
        <w:rPr>
          <w:rFonts w:ascii="Palatino Linotype" w:eastAsia="Palatino Linotype" w:hAnsi="Palatino Linotype" w:cs="Palatino Linotype"/>
          <w:sz w:val="22"/>
          <w:szCs w:val="22"/>
        </w:rPr>
      </w:pPr>
    </w:p>
    <w:p w14:paraId="0935DD78" w14:textId="77777777" w:rsidR="003E1096" w:rsidRDefault="005806A6">
      <w:pPr>
        <w:widowControl w:val="0"/>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A mayor abundamiento de lo anterior, si bien es cierto,  la autoridad haya proporcionado el acta del Comité de Transparencia en donde se aprueba el cambio de modalidad a consulta directa para la entrega de información, no menos cierto es que de la misma se puede observar que no contiene los elementos de validez suficientes para dar sustento sobre la acción ejecutada por el </w:t>
      </w:r>
      <w:r>
        <w:rPr>
          <w:rFonts w:ascii="Palatino Linotype" w:eastAsia="Palatino Linotype" w:hAnsi="Palatino Linotype" w:cs="Palatino Linotype"/>
          <w:b/>
          <w:sz w:val="22"/>
          <w:szCs w:val="22"/>
        </w:rPr>
        <w:t xml:space="preserve">Sujeto Obligado </w:t>
      </w:r>
      <w:r>
        <w:rPr>
          <w:rFonts w:ascii="Palatino Linotype" w:eastAsia="Palatino Linotype" w:hAnsi="Palatino Linotype" w:cs="Palatino Linotype"/>
          <w:sz w:val="22"/>
          <w:szCs w:val="22"/>
        </w:rPr>
        <w:t xml:space="preserve">toda vez que, dicha autoridad únicamente se limitó a invocar diversas fuentes normativas aplicables al tema en concreto, sin presentar algún argumento de relevancia que impida la entrega de la información a través del </w:t>
      </w:r>
      <w:r>
        <w:rPr>
          <w:rFonts w:ascii="Palatino Linotype" w:eastAsia="Palatino Linotype" w:hAnsi="Palatino Linotype" w:cs="Palatino Linotype"/>
          <w:b/>
          <w:sz w:val="22"/>
          <w:szCs w:val="22"/>
        </w:rPr>
        <w:t>SAIMEX</w:t>
      </w:r>
      <w:r>
        <w:rPr>
          <w:rFonts w:ascii="Palatino Linotype" w:eastAsia="Palatino Linotype" w:hAnsi="Palatino Linotype" w:cs="Palatino Linotype"/>
          <w:sz w:val="22"/>
          <w:szCs w:val="22"/>
        </w:rPr>
        <w:t>.</w:t>
      </w:r>
    </w:p>
    <w:p w14:paraId="727DFECF" w14:textId="77777777" w:rsidR="003E1096" w:rsidRDefault="003E1096">
      <w:pPr>
        <w:pBdr>
          <w:top w:val="nil"/>
          <w:left w:val="nil"/>
          <w:bottom w:val="nil"/>
          <w:right w:val="nil"/>
          <w:between w:val="nil"/>
        </w:pBdr>
        <w:jc w:val="both"/>
        <w:rPr>
          <w:rFonts w:ascii="Palatino Linotype" w:eastAsia="Palatino Linotype" w:hAnsi="Palatino Linotype" w:cs="Palatino Linotype"/>
          <w:color w:val="000000"/>
          <w:sz w:val="22"/>
          <w:szCs w:val="22"/>
        </w:rPr>
      </w:pPr>
    </w:p>
    <w:p w14:paraId="66A55092" w14:textId="77777777" w:rsidR="003E1096" w:rsidRDefault="005806A6">
      <w:pPr>
        <w:pBdr>
          <w:top w:val="nil"/>
          <w:left w:val="nil"/>
          <w:bottom w:val="nil"/>
          <w:right w:val="nil"/>
          <w:between w:val="nil"/>
        </w:pBdr>
        <w:spacing w:line="360" w:lineRule="auto"/>
        <w:jc w:val="both"/>
        <w:rPr>
          <w:color w:val="000000"/>
        </w:rPr>
      </w:pPr>
      <w:r>
        <w:rPr>
          <w:rFonts w:ascii="Palatino Linotype" w:eastAsia="Palatino Linotype" w:hAnsi="Palatino Linotype" w:cs="Palatino Linotype"/>
          <w:color w:val="000000"/>
          <w:sz w:val="22"/>
          <w:szCs w:val="22"/>
        </w:rPr>
        <w:t xml:space="preserve">En otro orden de ideas, resulta importante traer a colación que el </w:t>
      </w:r>
      <w:r>
        <w:rPr>
          <w:rFonts w:ascii="Palatino Linotype" w:eastAsia="Palatino Linotype" w:hAnsi="Palatino Linotype" w:cs="Palatino Linotype"/>
          <w:b/>
          <w:color w:val="000000"/>
          <w:sz w:val="22"/>
          <w:szCs w:val="22"/>
        </w:rPr>
        <w:t>Sujeto Obligado</w:t>
      </w:r>
      <w:r>
        <w:rPr>
          <w:rFonts w:ascii="Palatino Linotype" w:eastAsia="Palatino Linotype" w:hAnsi="Palatino Linotype" w:cs="Palatino Linotype"/>
          <w:color w:val="000000"/>
          <w:sz w:val="22"/>
          <w:szCs w:val="22"/>
        </w:rPr>
        <w:t xml:space="preserve"> únicamente puso a disposición del particular la información de seis solicitudes de información por dos días en específico que son el 22 de octubre y 05 de noviembre de 2024, en un periodo de una hora en cada uno de los días, es decir, de 09:00 a 10:00 horas, por ende, estamos ante una restricción a su derecho humano de acceso a la información pública, pues dicha notificación a juicio de este Organismo Garante resulta contradictoria, toda vez que el </w:t>
      </w:r>
      <w:r>
        <w:rPr>
          <w:rFonts w:ascii="Palatino Linotype" w:eastAsia="Palatino Linotype" w:hAnsi="Palatino Linotype" w:cs="Palatino Linotype"/>
          <w:b/>
          <w:color w:val="000000"/>
          <w:sz w:val="22"/>
          <w:szCs w:val="22"/>
        </w:rPr>
        <w:t>Sujeto Obligado</w:t>
      </w:r>
      <w:r>
        <w:rPr>
          <w:rFonts w:ascii="Palatino Linotype" w:eastAsia="Palatino Linotype" w:hAnsi="Palatino Linotype" w:cs="Palatino Linotype"/>
          <w:color w:val="000000"/>
          <w:sz w:val="22"/>
          <w:szCs w:val="22"/>
        </w:rPr>
        <w:t xml:space="preserve"> alega un cambio de modalidad por incapacidad técnica y tecnológica pero a </w:t>
      </w:r>
      <w:r>
        <w:rPr>
          <w:rFonts w:ascii="Palatino Linotype" w:eastAsia="Palatino Linotype" w:hAnsi="Palatino Linotype" w:cs="Palatino Linotype"/>
          <w:b/>
          <w:color w:val="000000"/>
          <w:sz w:val="22"/>
          <w:szCs w:val="22"/>
        </w:rPr>
        <w:t>la parte Recurrente</w:t>
      </w:r>
      <w:r>
        <w:rPr>
          <w:rFonts w:ascii="Palatino Linotype" w:eastAsia="Palatino Linotype" w:hAnsi="Palatino Linotype" w:cs="Palatino Linotype"/>
          <w:color w:val="000000"/>
          <w:sz w:val="22"/>
          <w:szCs w:val="22"/>
        </w:rPr>
        <w:t xml:space="preserve"> le indica que cuenta con un plazo de dos días y específicamente de una  hora en cada día para consultar la información de seis solicitudes.</w:t>
      </w:r>
    </w:p>
    <w:p w14:paraId="6F10D72A" w14:textId="77777777" w:rsidR="003E1096" w:rsidRDefault="003E1096">
      <w:pPr>
        <w:widowControl w:val="0"/>
        <w:spacing w:line="360" w:lineRule="auto"/>
        <w:jc w:val="both"/>
        <w:rPr>
          <w:rFonts w:ascii="Palatino Linotype" w:eastAsia="Palatino Linotype" w:hAnsi="Palatino Linotype" w:cs="Palatino Linotype"/>
          <w:sz w:val="22"/>
          <w:szCs w:val="22"/>
        </w:rPr>
      </w:pPr>
    </w:p>
    <w:p w14:paraId="741B5633" w14:textId="77777777" w:rsidR="003E1096" w:rsidRDefault="005806A6">
      <w:pPr>
        <w:widowControl w:val="0"/>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Por lo anterior, es dable afirmar </w:t>
      </w:r>
      <w:proofErr w:type="gramStart"/>
      <w:r>
        <w:rPr>
          <w:rFonts w:ascii="Palatino Linotype" w:eastAsia="Palatino Linotype" w:hAnsi="Palatino Linotype" w:cs="Palatino Linotype"/>
          <w:sz w:val="22"/>
          <w:szCs w:val="22"/>
        </w:rPr>
        <w:t>que</w:t>
      </w:r>
      <w:proofErr w:type="gramEnd"/>
      <w:r>
        <w:rPr>
          <w:rFonts w:ascii="Palatino Linotype" w:eastAsia="Palatino Linotype" w:hAnsi="Palatino Linotype" w:cs="Palatino Linotype"/>
          <w:sz w:val="22"/>
          <w:szCs w:val="22"/>
        </w:rPr>
        <w:t xml:space="preserve"> a juicio de este Organismo Garante, no se cuentan con los elementos suficientes para determinar que el cambio de modalidad aprobado por el</w:t>
      </w:r>
      <w:r>
        <w:rPr>
          <w:rFonts w:ascii="Palatino Linotype" w:eastAsia="Palatino Linotype" w:hAnsi="Palatino Linotype" w:cs="Palatino Linotype"/>
          <w:b/>
          <w:sz w:val="22"/>
          <w:szCs w:val="22"/>
        </w:rPr>
        <w:t xml:space="preserve"> Sujeto Obligado</w:t>
      </w:r>
      <w:r>
        <w:rPr>
          <w:rFonts w:ascii="Palatino Linotype" w:eastAsia="Palatino Linotype" w:hAnsi="Palatino Linotype" w:cs="Palatino Linotype"/>
          <w:sz w:val="22"/>
          <w:szCs w:val="22"/>
        </w:rPr>
        <w:t xml:space="preserve"> no satisface el derecho de acceso a la información de la</w:t>
      </w:r>
      <w:r>
        <w:rPr>
          <w:rFonts w:ascii="Palatino Linotype" w:eastAsia="Palatino Linotype" w:hAnsi="Palatino Linotype" w:cs="Palatino Linotype"/>
          <w:b/>
          <w:sz w:val="22"/>
          <w:szCs w:val="22"/>
        </w:rPr>
        <w:t xml:space="preserve"> parte Recurrente </w:t>
      </w:r>
      <w:r>
        <w:rPr>
          <w:rFonts w:ascii="Palatino Linotype" w:eastAsia="Palatino Linotype" w:hAnsi="Palatino Linotype" w:cs="Palatino Linotype"/>
          <w:sz w:val="22"/>
          <w:szCs w:val="22"/>
        </w:rPr>
        <w:t>al no haberse acreditado de manera fehaciente la imposibilidad de proporcionar la información a través del sistema electrónico respectivo, es por ello que se deberá hacer entrega de la misma de ser el caso en versión pública.</w:t>
      </w:r>
    </w:p>
    <w:p w14:paraId="57C6CAC0" w14:textId="77777777" w:rsidR="003E1096" w:rsidRDefault="005806A6">
      <w:pPr>
        <w:widowControl w:val="0"/>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lastRenderedPageBreak/>
        <w:t>Ahora bien, respecto a la naturaleza de la información, resulta pertinente tener en cuenta que nuestros requerimientos en cuestión versan sobre lo siguiente:</w:t>
      </w:r>
    </w:p>
    <w:p w14:paraId="005D1B12" w14:textId="77777777" w:rsidR="003E1096" w:rsidRDefault="005806A6">
      <w:pPr>
        <w:numPr>
          <w:ilvl w:val="0"/>
          <w:numId w:val="3"/>
        </w:numPr>
        <w:pBdr>
          <w:top w:val="nil"/>
          <w:left w:val="nil"/>
          <w:bottom w:val="nil"/>
          <w:right w:val="nil"/>
          <w:between w:val="nil"/>
        </w:pBdr>
        <w:tabs>
          <w:tab w:val="left" w:pos="1134"/>
        </w:tabs>
        <w:spacing w:before="240" w:line="360" w:lineRule="auto"/>
        <w:ind w:left="567" w:right="900" w:hanging="28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Facturas y respaldo de compras de uniformes para DIF, IMCUFIDE y presidencia durante la administración 2022-2024.</w:t>
      </w:r>
    </w:p>
    <w:p w14:paraId="0EE4238F" w14:textId="77777777" w:rsidR="003E1096" w:rsidRDefault="005806A6">
      <w:pPr>
        <w:numPr>
          <w:ilvl w:val="0"/>
          <w:numId w:val="3"/>
        </w:numPr>
        <w:pBdr>
          <w:top w:val="nil"/>
          <w:left w:val="nil"/>
          <w:bottom w:val="nil"/>
          <w:right w:val="nil"/>
          <w:between w:val="nil"/>
        </w:pBdr>
        <w:tabs>
          <w:tab w:val="left" w:pos="1134"/>
        </w:tabs>
        <w:spacing w:line="360" w:lineRule="auto"/>
        <w:ind w:left="567" w:right="900" w:hanging="28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facturas y documentos de respaldo de las compras de ropa o cualquier vestimenta adquirido por el municipio para servidores públicos o ciudadanos durante la administración 2022-2024.</w:t>
      </w:r>
    </w:p>
    <w:p w14:paraId="6134EA42" w14:textId="77777777" w:rsidR="003E1096" w:rsidRDefault="005806A6">
      <w:pPr>
        <w:numPr>
          <w:ilvl w:val="0"/>
          <w:numId w:val="3"/>
        </w:numPr>
        <w:pBdr>
          <w:top w:val="nil"/>
          <w:left w:val="nil"/>
          <w:bottom w:val="nil"/>
          <w:right w:val="nil"/>
          <w:between w:val="nil"/>
        </w:pBdr>
        <w:tabs>
          <w:tab w:val="left" w:pos="1134"/>
        </w:tabs>
        <w:spacing w:line="360" w:lineRule="auto"/>
        <w:ind w:left="567" w:right="900" w:hanging="28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por concepto de compra de bienes muebles municipales durante el período 2022, 2023 y 2024.</w:t>
      </w:r>
    </w:p>
    <w:p w14:paraId="460BCEDB" w14:textId="77777777" w:rsidR="003E1096" w:rsidRDefault="005806A6">
      <w:pPr>
        <w:numPr>
          <w:ilvl w:val="0"/>
          <w:numId w:val="3"/>
        </w:numPr>
        <w:pBdr>
          <w:top w:val="nil"/>
          <w:left w:val="nil"/>
          <w:bottom w:val="nil"/>
          <w:right w:val="nil"/>
          <w:between w:val="nil"/>
        </w:pBdr>
        <w:tabs>
          <w:tab w:val="left" w:pos="1134"/>
        </w:tabs>
        <w:spacing w:line="360" w:lineRule="auto"/>
        <w:ind w:left="567" w:right="900" w:hanging="28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y facturas por concepto de reparación, rehabilitación o mantenimiento de la bomba del pozo de agua municipal durante los años 2022, 2023 y 2024.</w:t>
      </w:r>
    </w:p>
    <w:p w14:paraId="4E0B94A7" w14:textId="77777777" w:rsidR="003E1096" w:rsidRDefault="005806A6">
      <w:pPr>
        <w:numPr>
          <w:ilvl w:val="0"/>
          <w:numId w:val="3"/>
        </w:numPr>
        <w:pBdr>
          <w:top w:val="nil"/>
          <w:left w:val="nil"/>
          <w:bottom w:val="nil"/>
          <w:right w:val="nil"/>
          <w:between w:val="nil"/>
        </w:pBdr>
        <w:tabs>
          <w:tab w:val="left" w:pos="1134"/>
        </w:tabs>
        <w:spacing w:line="360" w:lineRule="auto"/>
        <w:ind w:left="567" w:right="900" w:hanging="28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Facturas y pólizas de egresos por concepto de compra de bienes muebles municipales durante el período 2022, 2023 y 2024.</w:t>
      </w:r>
    </w:p>
    <w:p w14:paraId="2D52B67E" w14:textId="77777777" w:rsidR="003E1096" w:rsidRDefault="005806A6">
      <w:pPr>
        <w:numPr>
          <w:ilvl w:val="0"/>
          <w:numId w:val="3"/>
        </w:numPr>
        <w:pBdr>
          <w:top w:val="nil"/>
          <w:left w:val="nil"/>
          <w:bottom w:val="nil"/>
          <w:right w:val="nil"/>
          <w:between w:val="nil"/>
        </w:pBdr>
        <w:tabs>
          <w:tab w:val="left" w:pos="1134"/>
        </w:tabs>
        <w:spacing w:after="240" w:line="360" w:lineRule="auto"/>
        <w:ind w:left="567" w:right="900" w:hanging="283"/>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Pólizas de egresos y facturas por concepto de reparación, rehabilitación o mantenimiento de la bomba del pozo de agua municipal durante los años 2022, 2023 y 2024.</w:t>
      </w:r>
    </w:p>
    <w:p w14:paraId="592FC1DC"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tal tesitura, resulta pertinente señalar que los Manuales para la Planeación, Programación y Presupuesto de Egresos Municipal, para los Ejercicios Fiscales dos mil veintidós, dos mil veintitrés y dos mil veinticuatro, contienen el Clasificador por Objeto del Gasto, el cual contempla la existencia de las siguientes partidas genéricas y específicas: </w:t>
      </w:r>
    </w:p>
    <w:p w14:paraId="182CF6B5"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noProof/>
          <w:sz w:val="22"/>
          <w:szCs w:val="22"/>
        </w:rPr>
        <w:lastRenderedPageBreak/>
        <w:drawing>
          <wp:inline distT="0" distB="0" distL="0" distR="0" wp14:anchorId="12B43C87" wp14:editId="2782BD11">
            <wp:extent cx="5602605" cy="4194810"/>
            <wp:effectExtent l="9525" t="9525" r="9525" b="9525"/>
            <wp:docPr id="4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l="170" t="677"/>
                    <a:stretch>
                      <a:fillRect/>
                    </a:stretch>
                  </pic:blipFill>
                  <pic:spPr>
                    <a:xfrm>
                      <a:off x="0" y="0"/>
                      <a:ext cx="5602605" cy="4194810"/>
                    </a:xfrm>
                    <a:prstGeom prst="rect">
                      <a:avLst/>
                    </a:prstGeom>
                    <a:ln w="9525">
                      <a:solidFill>
                        <a:srgbClr val="000000"/>
                      </a:solidFill>
                      <a:prstDash val="solid"/>
                    </a:ln>
                  </pic:spPr>
                </pic:pic>
              </a:graphicData>
            </a:graphic>
          </wp:inline>
        </w:drawing>
      </w:r>
    </w:p>
    <w:p w14:paraId="100132CE" w14:textId="77777777" w:rsidR="003E1096" w:rsidRDefault="003E1096">
      <w:pPr>
        <w:spacing w:line="360" w:lineRule="auto"/>
        <w:jc w:val="both"/>
        <w:rPr>
          <w:rFonts w:ascii="Palatino Linotype" w:eastAsia="Palatino Linotype" w:hAnsi="Palatino Linotype" w:cs="Palatino Linotype"/>
          <w:sz w:val="22"/>
          <w:szCs w:val="22"/>
        </w:rPr>
      </w:pPr>
    </w:p>
    <w:p w14:paraId="1906D364"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noProof/>
          <w:sz w:val="22"/>
          <w:szCs w:val="22"/>
        </w:rPr>
        <w:lastRenderedPageBreak/>
        <w:drawing>
          <wp:inline distT="0" distB="0" distL="0" distR="0" wp14:anchorId="5D9C0D97" wp14:editId="46C24095">
            <wp:extent cx="5612130" cy="5264785"/>
            <wp:effectExtent l="0" t="0" r="0" b="0"/>
            <wp:docPr id="4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
                    <a:srcRect/>
                    <a:stretch>
                      <a:fillRect/>
                    </a:stretch>
                  </pic:blipFill>
                  <pic:spPr>
                    <a:xfrm>
                      <a:off x="0" y="0"/>
                      <a:ext cx="5612130" cy="5264785"/>
                    </a:xfrm>
                    <a:prstGeom prst="rect">
                      <a:avLst/>
                    </a:prstGeom>
                    <a:ln/>
                  </pic:spPr>
                </pic:pic>
              </a:graphicData>
            </a:graphic>
          </wp:inline>
        </w:drawing>
      </w:r>
    </w:p>
    <w:p w14:paraId="35E872E7" w14:textId="77777777" w:rsidR="003E1096" w:rsidRDefault="005806A6">
      <w:pPr>
        <w:widowControl w:val="0"/>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noProof/>
          <w:sz w:val="22"/>
          <w:szCs w:val="22"/>
        </w:rPr>
        <w:drawing>
          <wp:inline distT="0" distB="0" distL="0" distR="0" wp14:anchorId="25346F18" wp14:editId="6796B2D3">
            <wp:extent cx="5612130" cy="342265"/>
            <wp:effectExtent l="0" t="0" r="0" b="0"/>
            <wp:docPr id="4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612130" cy="342265"/>
                    </a:xfrm>
                    <a:prstGeom prst="rect">
                      <a:avLst/>
                    </a:prstGeom>
                    <a:ln/>
                  </pic:spPr>
                </pic:pic>
              </a:graphicData>
            </a:graphic>
          </wp:inline>
        </w:drawing>
      </w:r>
    </w:p>
    <w:p w14:paraId="318CDE03" w14:textId="77777777" w:rsidR="003E1096" w:rsidRDefault="005806A6">
      <w:pPr>
        <w:widowControl w:val="0"/>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Cabe precisar </w:t>
      </w:r>
      <w:proofErr w:type="gramStart"/>
      <w:r>
        <w:rPr>
          <w:rFonts w:ascii="Palatino Linotype" w:eastAsia="Palatino Linotype" w:hAnsi="Palatino Linotype" w:cs="Palatino Linotype"/>
          <w:sz w:val="22"/>
          <w:szCs w:val="22"/>
        </w:rPr>
        <w:t>que</w:t>
      </w:r>
      <w:proofErr w:type="gramEnd"/>
      <w:r>
        <w:rPr>
          <w:rFonts w:ascii="Palatino Linotype" w:eastAsia="Palatino Linotype" w:hAnsi="Palatino Linotype" w:cs="Palatino Linotype"/>
          <w:sz w:val="22"/>
          <w:szCs w:val="22"/>
        </w:rPr>
        <w:t xml:space="preserve"> de la búsqueda realizada por este Instituto, localizó un indicio en el que se refiere que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si realizó las siguientes erogaciones durante el primer trimestre del año 2024:</w:t>
      </w:r>
    </w:p>
    <w:p w14:paraId="042DE79E" w14:textId="77777777" w:rsidR="003E1096" w:rsidRDefault="005806A6">
      <w:pPr>
        <w:widowControl w:val="0"/>
        <w:spacing w:before="240" w:after="240"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lastRenderedPageBreak/>
        <w:t xml:space="preserve">Ayuntamiento: </w:t>
      </w:r>
    </w:p>
    <w:p w14:paraId="701B59A9" w14:textId="77777777" w:rsidR="003E1096" w:rsidRDefault="005806A6">
      <w:pPr>
        <w:widowControl w:val="0"/>
        <w:spacing w:before="240" w:after="240"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noProof/>
          <w:sz w:val="22"/>
          <w:szCs w:val="22"/>
        </w:rPr>
        <w:drawing>
          <wp:inline distT="0" distB="0" distL="0" distR="0" wp14:anchorId="1B5730F5" wp14:editId="7AFDD47B">
            <wp:extent cx="6351869" cy="4359633"/>
            <wp:effectExtent l="0" t="0" r="0" b="0"/>
            <wp:docPr id="4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1"/>
                    <a:srcRect/>
                    <a:stretch>
                      <a:fillRect/>
                    </a:stretch>
                  </pic:blipFill>
                  <pic:spPr>
                    <a:xfrm>
                      <a:off x="0" y="0"/>
                      <a:ext cx="6351869" cy="4359633"/>
                    </a:xfrm>
                    <a:prstGeom prst="rect">
                      <a:avLst/>
                    </a:prstGeom>
                    <a:ln/>
                  </pic:spPr>
                </pic:pic>
              </a:graphicData>
            </a:graphic>
          </wp:inline>
        </w:drawing>
      </w:r>
      <w:r>
        <w:rPr>
          <w:noProof/>
        </w:rPr>
        <mc:AlternateContent>
          <mc:Choice Requires="wpg">
            <w:drawing>
              <wp:anchor distT="0" distB="0" distL="114300" distR="114300" simplePos="0" relativeHeight="251658240" behindDoc="0" locked="0" layoutInCell="1" hidden="0" allowOverlap="1" wp14:anchorId="76CD7CB3" wp14:editId="4435CF58">
                <wp:simplePos x="0" y="0"/>
                <wp:positionH relativeFrom="column">
                  <wp:posOffset>88901</wp:posOffset>
                </wp:positionH>
                <wp:positionV relativeFrom="paragraph">
                  <wp:posOffset>1841500</wp:posOffset>
                </wp:positionV>
                <wp:extent cx="6162675" cy="152400"/>
                <wp:effectExtent l="0" t="0" r="0" b="0"/>
                <wp:wrapNone/>
                <wp:docPr id="39" name="Rectángulo 39"/>
                <wp:cNvGraphicFramePr/>
                <a:graphic xmlns:a="http://schemas.openxmlformats.org/drawingml/2006/main">
                  <a:graphicData uri="http://schemas.microsoft.com/office/word/2010/wordprocessingShape">
                    <wps:wsp>
                      <wps:cNvSpPr/>
                      <wps:spPr>
                        <a:xfrm>
                          <a:off x="2278950" y="3718088"/>
                          <a:ext cx="6134100" cy="123825"/>
                        </a:xfrm>
                        <a:prstGeom prst="rect">
                          <a:avLst/>
                        </a:prstGeom>
                        <a:noFill/>
                        <a:ln w="28575" cap="flat" cmpd="sng">
                          <a:solidFill>
                            <a:srgbClr val="FF0000"/>
                          </a:solidFill>
                          <a:prstDash val="solid"/>
                          <a:round/>
                          <a:headEnd type="none" w="sm" len="sm"/>
                          <a:tailEnd type="none" w="sm" len="sm"/>
                        </a:ln>
                      </wps:spPr>
                      <wps:txbx>
                        <w:txbxContent>
                          <w:p w14:paraId="20AD094A" w14:textId="77777777" w:rsidR="003E1096" w:rsidRDefault="003E1096">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88901</wp:posOffset>
                </wp:positionH>
                <wp:positionV relativeFrom="paragraph">
                  <wp:posOffset>1841500</wp:posOffset>
                </wp:positionV>
                <wp:extent cx="6162675" cy="152400"/>
                <wp:effectExtent b="0" l="0" r="0" t="0"/>
                <wp:wrapNone/>
                <wp:docPr id="39" name="image7.png"/>
                <a:graphic>
                  <a:graphicData uri="http://schemas.openxmlformats.org/drawingml/2006/picture">
                    <pic:pic>
                      <pic:nvPicPr>
                        <pic:cNvPr id="0" name="image7.png"/>
                        <pic:cNvPicPr preferRelativeResize="0"/>
                      </pic:nvPicPr>
                      <pic:blipFill>
                        <a:blip r:embed="rId12"/>
                        <a:srcRect/>
                        <a:stretch>
                          <a:fillRect/>
                        </a:stretch>
                      </pic:blipFill>
                      <pic:spPr>
                        <a:xfrm>
                          <a:off x="0" y="0"/>
                          <a:ext cx="6162675" cy="152400"/>
                        </a:xfrm>
                        <a:prstGeom prst="rect"/>
                        <a:ln/>
                      </pic:spPr>
                    </pic:pic>
                  </a:graphicData>
                </a:graphic>
              </wp:anchor>
            </w:drawing>
          </mc:Fallback>
        </mc:AlternateContent>
      </w:r>
      <w:r>
        <w:rPr>
          <w:noProof/>
        </w:rPr>
        <mc:AlternateContent>
          <mc:Choice Requires="wpg">
            <w:drawing>
              <wp:anchor distT="0" distB="0" distL="114300" distR="114300" simplePos="0" relativeHeight="251659264" behindDoc="0" locked="0" layoutInCell="1" hidden="0" allowOverlap="1" wp14:anchorId="5F604799" wp14:editId="0BA79040">
                <wp:simplePos x="0" y="0"/>
                <wp:positionH relativeFrom="column">
                  <wp:posOffset>50801</wp:posOffset>
                </wp:positionH>
                <wp:positionV relativeFrom="paragraph">
                  <wp:posOffset>3860800</wp:posOffset>
                </wp:positionV>
                <wp:extent cx="6210300" cy="209550"/>
                <wp:effectExtent l="0" t="0" r="0" b="0"/>
                <wp:wrapNone/>
                <wp:docPr id="40" name="Rectángulo 40"/>
                <wp:cNvGraphicFramePr/>
                <a:graphic xmlns:a="http://schemas.openxmlformats.org/drawingml/2006/main">
                  <a:graphicData uri="http://schemas.microsoft.com/office/word/2010/wordprocessingShape">
                    <wps:wsp>
                      <wps:cNvSpPr/>
                      <wps:spPr>
                        <a:xfrm>
                          <a:off x="2259900" y="3694275"/>
                          <a:ext cx="6172200" cy="171450"/>
                        </a:xfrm>
                        <a:prstGeom prst="rect">
                          <a:avLst/>
                        </a:prstGeom>
                        <a:noFill/>
                        <a:ln w="38100" cap="flat" cmpd="sng">
                          <a:solidFill>
                            <a:srgbClr val="FF0000"/>
                          </a:solidFill>
                          <a:prstDash val="solid"/>
                          <a:round/>
                          <a:headEnd type="none" w="sm" len="sm"/>
                          <a:tailEnd type="none" w="sm" len="sm"/>
                        </a:ln>
                      </wps:spPr>
                      <wps:txbx>
                        <w:txbxContent>
                          <w:p w14:paraId="19250F22" w14:textId="77777777" w:rsidR="003E1096" w:rsidRDefault="003E1096">
                            <w:pPr>
                              <w:textDirection w:val="btLr"/>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50801</wp:posOffset>
                </wp:positionH>
                <wp:positionV relativeFrom="paragraph">
                  <wp:posOffset>3860800</wp:posOffset>
                </wp:positionV>
                <wp:extent cx="6210300" cy="209550"/>
                <wp:effectExtent b="0" l="0" r="0" t="0"/>
                <wp:wrapNone/>
                <wp:docPr id="40" name="image8.png"/>
                <a:graphic>
                  <a:graphicData uri="http://schemas.openxmlformats.org/drawingml/2006/picture">
                    <pic:pic>
                      <pic:nvPicPr>
                        <pic:cNvPr id="0" name="image8.png"/>
                        <pic:cNvPicPr preferRelativeResize="0"/>
                      </pic:nvPicPr>
                      <pic:blipFill>
                        <a:blip r:embed="rId13"/>
                        <a:srcRect/>
                        <a:stretch>
                          <a:fillRect/>
                        </a:stretch>
                      </pic:blipFill>
                      <pic:spPr>
                        <a:xfrm>
                          <a:off x="0" y="0"/>
                          <a:ext cx="6210300" cy="209550"/>
                        </a:xfrm>
                        <a:prstGeom prst="rect"/>
                        <a:ln/>
                      </pic:spPr>
                    </pic:pic>
                  </a:graphicData>
                </a:graphic>
              </wp:anchor>
            </w:drawing>
          </mc:Fallback>
        </mc:AlternateContent>
      </w:r>
    </w:p>
    <w:p w14:paraId="644B8A40" w14:textId="77777777" w:rsidR="003E1096" w:rsidRDefault="005806A6">
      <w:pPr>
        <w:widowControl w:val="0"/>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Establecido lo anterior, los artículos 342, 343, 344 y 345 del Código Financiero del Estado de México y Municipios disponen el sistema y las políticas que deben seguirse para llevar el registro contable y presupuestal de las operaciones financieras, en los siguientes términos:</w:t>
      </w:r>
    </w:p>
    <w:p w14:paraId="41039BC8" w14:textId="77777777" w:rsidR="003E1096" w:rsidRDefault="005806A6">
      <w:pPr>
        <w:spacing w:before="120" w:after="120" w:line="276" w:lineRule="auto"/>
        <w:ind w:left="567"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i/>
          <w:color w:val="000000"/>
          <w:sz w:val="22"/>
          <w:szCs w:val="22"/>
        </w:rPr>
        <w:t>“</w:t>
      </w:r>
      <w:r>
        <w:rPr>
          <w:rFonts w:ascii="Palatino Linotype" w:eastAsia="Palatino Linotype" w:hAnsi="Palatino Linotype" w:cs="Palatino Linotype"/>
          <w:b/>
          <w:i/>
          <w:sz w:val="22"/>
          <w:szCs w:val="22"/>
        </w:rPr>
        <w:t>Artículo 342.-</w:t>
      </w:r>
      <w:r>
        <w:rPr>
          <w:rFonts w:ascii="Palatino Linotype" w:eastAsia="Palatino Linotype" w:hAnsi="Palatino Linotype" w:cs="Palatino Linotype"/>
          <w:i/>
          <w:sz w:val="22"/>
          <w:szCs w:val="22"/>
        </w:rPr>
        <w:t xml:space="preserve"> El registro contable del efecto patrimonial y presupuestal de las operaciones financieras, se realizará conforme al sistema y a las disposiciones que se aprueben en materia de </w:t>
      </w:r>
      <w:r>
        <w:rPr>
          <w:rFonts w:ascii="Palatino Linotype" w:eastAsia="Palatino Linotype" w:hAnsi="Palatino Linotype" w:cs="Palatino Linotype"/>
          <w:i/>
          <w:color w:val="000000"/>
          <w:sz w:val="22"/>
          <w:szCs w:val="22"/>
        </w:rPr>
        <w:t>planeación</w:t>
      </w:r>
      <w:r>
        <w:rPr>
          <w:rFonts w:ascii="Palatino Linotype" w:eastAsia="Palatino Linotype" w:hAnsi="Palatino Linotype" w:cs="Palatino Linotype"/>
          <w:i/>
          <w:sz w:val="22"/>
          <w:szCs w:val="22"/>
        </w:rPr>
        <w:t xml:space="preserve">, programación, presupuestación, evaluación y </w:t>
      </w:r>
      <w:r>
        <w:rPr>
          <w:rFonts w:ascii="Palatino Linotype" w:eastAsia="Palatino Linotype" w:hAnsi="Palatino Linotype" w:cs="Palatino Linotype"/>
          <w:i/>
          <w:color w:val="000000"/>
          <w:sz w:val="22"/>
          <w:szCs w:val="22"/>
        </w:rPr>
        <w:t>contabilidad</w:t>
      </w:r>
      <w:r>
        <w:rPr>
          <w:rFonts w:ascii="Palatino Linotype" w:eastAsia="Palatino Linotype" w:hAnsi="Palatino Linotype" w:cs="Palatino Linotype"/>
          <w:i/>
          <w:sz w:val="22"/>
          <w:szCs w:val="22"/>
        </w:rPr>
        <w:t xml:space="preserve"> gubernamental. </w:t>
      </w:r>
    </w:p>
    <w:p w14:paraId="427C1C07" w14:textId="77777777" w:rsidR="003E1096" w:rsidRDefault="005806A6">
      <w:pPr>
        <w:spacing w:before="120" w:after="120" w:line="276" w:lineRule="auto"/>
        <w:ind w:left="567" w:right="850"/>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color w:val="000000"/>
          <w:sz w:val="22"/>
          <w:szCs w:val="22"/>
        </w:rPr>
        <w:lastRenderedPageBreak/>
        <w:t>…</w:t>
      </w:r>
    </w:p>
    <w:p w14:paraId="2E4C0040" w14:textId="77777777" w:rsidR="003E1096" w:rsidRDefault="005806A6">
      <w:pPr>
        <w:spacing w:before="120" w:after="120" w:line="276" w:lineRule="auto"/>
        <w:ind w:left="567"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343.-</w:t>
      </w:r>
      <w:r>
        <w:rPr>
          <w:rFonts w:ascii="Palatino Linotype" w:eastAsia="Palatino Linotype" w:hAnsi="Palatino Linotype" w:cs="Palatino Linotype"/>
          <w:i/>
          <w:sz w:val="22"/>
          <w:szCs w:val="22"/>
        </w:rPr>
        <w:t xml:space="preserve"> El sistema de contabilidad debe diseñarse sobre base acumulativa total y operarse en forma que facilite la fiscalización de los activos, pasivos, ingresos, egresos y, en general, que posibilite medir la eficacia del gasto público, y contener las medidas de control interno que permitan verificar el registro de la totalidad de las operaciones financieras. </w:t>
      </w:r>
    </w:p>
    <w:p w14:paraId="34B26A92" w14:textId="77777777" w:rsidR="003E1096" w:rsidRDefault="005806A6">
      <w:pPr>
        <w:spacing w:before="120" w:after="120" w:line="276" w:lineRule="auto"/>
        <w:ind w:left="567"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El sistema de contabilidad sobre base acumulativa total se sustentará en los postulados básicos y el marco conceptual de la contabilidad gubernamental. </w:t>
      </w:r>
    </w:p>
    <w:p w14:paraId="3BAF3C47" w14:textId="77777777" w:rsidR="003E1096" w:rsidRDefault="005806A6">
      <w:pPr>
        <w:spacing w:before="120" w:after="120" w:line="276" w:lineRule="auto"/>
        <w:ind w:left="567"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 xml:space="preserve">Artículo 344.- Las Dependencias, Entidades Públicas y unidades administrativas registrarán contablemente el efecto patrimonial y presupuestal de las operaciones financieras que realicen, en el momento en que ocurran, con base en el sistema y políticas de registro establecidas, </w:t>
      </w:r>
      <w:r>
        <w:rPr>
          <w:rFonts w:ascii="Palatino Linotype" w:eastAsia="Palatino Linotype" w:hAnsi="Palatino Linotype" w:cs="Palatino Linotype"/>
          <w:i/>
          <w:sz w:val="22"/>
          <w:szCs w:val="22"/>
        </w:rPr>
        <w:t xml:space="preserve">en el caso de los Municipios se hará por la Tesorería. </w:t>
      </w:r>
    </w:p>
    <w:p w14:paraId="4CA85672" w14:textId="77777777" w:rsidR="003E1096" w:rsidRDefault="005806A6">
      <w:pPr>
        <w:spacing w:before="120" w:after="120" w:line="276" w:lineRule="auto"/>
        <w:ind w:left="567" w:right="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Derogado. </w:t>
      </w:r>
    </w:p>
    <w:p w14:paraId="71092768" w14:textId="77777777" w:rsidR="003E1096" w:rsidRDefault="005806A6">
      <w:pPr>
        <w:spacing w:before="120" w:after="120" w:line="276" w:lineRule="auto"/>
        <w:ind w:left="567"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Todo registro contable y presupuestal deberá estar soportado con los documentos comprobatorios originales, los que deberán permanecer en custodia y conservación de las dependencias, entidades públicas y unidades administrativas que ejercieron el gasto, y a disposición del Órgano Superior de Fiscalización del Estado de México y de los órganos de control interno, por un término de cinco años contados</w:t>
      </w:r>
      <w:r>
        <w:rPr>
          <w:rFonts w:ascii="Palatino Linotype" w:eastAsia="Palatino Linotype" w:hAnsi="Palatino Linotype" w:cs="Palatino Linotype"/>
          <w:i/>
          <w:sz w:val="22"/>
          <w:szCs w:val="22"/>
        </w:rPr>
        <w:t xml:space="preserve"> a partir del ejercicio presupuestal siguiente al que corresponda, en el caso de los municipios se hará por la Tesorería. </w:t>
      </w:r>
    </w:p>
    <w:p w14:paraId="0739B260" w14:textId="77777777" w:rsidR="003E1096" w:rsidRDefault="005806A6">
      <w:pPr>
        <w:spacing w:before="120" w:after="120" w:line="276" w:lineRule="auto"/>
        <w:ind w:left="567" w:right="5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p>
    <w:p w14:paraId="4B7CCE70" w14:textId="77777777" w:rsidR="003E1096" w:rsidRDefault="005806A6">
      <w:pPr>
        <w:spacing w:before="120" w:after="120" w:line="276" w:lineRule="auto"/>
        <w:ind w:left="567" w:right="850"/>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345.-</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Las Dependencias, Entidades Públicas y unidades administrativas deberán conservar la documentación contable del año en curso y la de ejercicios anteriores cuyas cuentas públicas hayan sido revisadas y fiscalizadas por la Legislatura</w:t>
      </w:r>
      <w:r>
        <w:rPr>
          <w:rFonts w:ascii="Palatino Linotype" w:eastAsia="Palatino Linotype" w:hAnsi="Palatino Linotype" w:cs="Palatino Linotype"/>
          <w:i/>
          <w:sz w:val="22"/>
          <w:szCs w:val="22"/>
        </w:rPr>
        <w:t xml:space="preserve">, la remitirán en un plazo que no excederá de seis meses al Archivo Contable Gubernamental. </w:t>
      </w:r>
      <w:r>
        <w:rPr>
          <w:rFonts w:ascii="Palatino Linotype" w:eastAsia="Palatino Linotype" w:hAnsi="Palatino Linotype" w:cs="Palatino Linotype"/>
          <w:b/>
          <w:i/>
          <w:sz w:val="22"/>
          <w:szCs w:val="22"/>
        </w:rPr>
        <w:t>Tratándose de los comprobantes fiscales digitales, estos deberán estar agregados en forma electrónica en cada póliza de registro contable</w:t>
      </w:r>
      <w:r>
        <w:rPr>
          <w:rFonts w:ascii="Palatino Linotype" w:eastAsia="Palatino Linotype" w:hAnsi="Palatino Linotype" w:cs="Palatino Linotype"/>
          <w:i/>
          <w:sz w:val="22"/>
          <w:szCs w:val="22"/>
        </w:rPr>
        <w:t xml:space="preserve">. </w:t>
      </w:r>
    </w:p>
    <w:p w14:paraId="0E08760F" w14:textId="77777777" w:rsidR="003E1096" w:rsidRDefault="005806A6">
      <w:pPr>
        <w:spacing w:before="120" w:after="120" w:line="276" w:lineRule="auto"/>
        <w:ind w:left="851" w:right="85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sz w:val="22"/>
          <w:szCs w:val="22"/>
        </w:rPr>
        <w:lastRenderedPageBreak/>
        <w:t>El plazo señalado en el párrafo anterior, empezará a contar a partir de la publicación en el Periódico Oficial, del decreto correspondiente.</w:t>
      </w:r>
      <w:r>
        <w:rPr>
          <w:rFonts w:ascii="Palatino Linotype" w:eastAsia="Palatino Linotype" w:hAnsi="Palatino Linotype" w:cs="Palatino Linotype"/>
          <w:i/>
          <w:color w:val="000000"/>
          <w:sz w:val="22"/>
          <w:szCs w:val="22"/>
        </w:rPr>
        <w:t xml:space="preserve"> “</w:t>
      </w:r>
    </w:p>
    <w:p w14:paraId="75A5C8FB" w14:textId="77777777" w:rsidR="003E1096" w:rsidRDefault="005806A6">
      <w:pP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sz w:val="22"/>
          <w:szCs w:val="22"/>
        </w:rPr>
        <w:t>De una interpretación sistemática de los artículos transcritos, se desprende primeramente que el</w:t>
      </w:r>
      <w:r>
        <w:rPr>
          <w:rFonts w:ascii="Palatino Linotype" w:eastAsia="Palatino Linotype" w:hAnsi="Palatino Linotype" w:cs="Palatino Linotype"/>
          <w:color w:val="000000"/>
          <w:sz w:val="22"/>
          <w:szCs w:val="22"/>
        </w:rPr>
        <w:t xml:space="preserve"> registro contable del efecto patrimonial y presupuestal de las operaciones financieras se realizará conforme al sistema y a las disposiciones que se aprueben en materia de planeación, programación, presupuestación, evaluación y contabilidad gubernamental y deberá estar soportado con los documentos comprobatorios originales.</w:t>
      </w:r>
    </w:p>
    <w:p w14:paraId="741C337A" w14:textId="77777777" w:rsidR="003E1096" w:rsidRDefault="005806A6">
      <w:pPr>
        <w:spacing w:before="240" w:after="240" w:line="360" w:lineRule="auto"/>
        <w:ind w:right="-232"/>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En ese sentido, debe decirse que las facturas emitidas en favor de los proveedores, contratistas o prestadores de servicios, la cual se encuentra definida en el Glosario de Términos Hacendarios que emite el Instituto Hacendario del Estado de México, como:</w:t>
      </w:r>
    </w:p>
    <w:p w14:paraId="78EFB78B" w14:textId="77777777" w:rsidR="003E1096" w:rsidRDefault="005806A6">
      <w:pPr>
        <w:spacing w:before="120" w:after="120" w:line="276" w:lineRule="auto"/>
        <w:ind w:left="567" w:right="902"/>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FACTURA</w:t>
      </w:r>
    </w:p>
    <w:p w14:paraId="1F6142D0" w14:textId="77777777" w:rsidR="003E1096" w:rsidRDefault="005806A6">
      <w:pPr>
        <w:spacing w:before="120" w:after="120" w:line="276" w:lineRule="auto"/>
        <w:ind w:left="567" w:right="902"/>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Es el documento fiscal que emite la persona física o moral para comprobar la venta o adquisición de un bien y/o servicio.” </w:t>
      </w:r>
    </w:p>
    <w:p w14:paraId="714CEE04" w14:textId="77777777" w:rsidR="003E1096" w:rsidRDefault="005806A6">
      <w:pP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sz w:val="22"/>
          <w:szCs w:val="22"/>
        </w:rPr>
        <w:t>Luego entonces las facturas son comprobantes que amparan las erogaciones que se realizan con erario público tienen naturaleza pública pues, constituyen los medios idóneos de evidencia del gasto realizado con recursos públicos, de ahí que convenga precisar que la Constitución Política del Estado Libre y Soberano de México en su artículo 129 señala que l</w:t>
      </w:r>
      <w:r>
        <w:rPr>
          <w:rFonts w:ascii="Palatino Linotype" w:eastAsia="Palatino Linotype" w:hAnsi="Palatino Linotype" w:cs="Palatino Linotype"/>
          <w:color w:val="000000"/>
          <w:sz w:val="22"/>
          <w:szCs w:val="22"/>
        </w:rPr>
        <w:t xml:space="preserve">os recursos económicos del Estado, de los Municipios, así como de los Organismos Autónomos, se administrarán con eficiencia, eficacia y honradez, para cumplir con los objetivos y programas a los que estén destinados. </w:t>
      </w:r>
    </w:p>
    <w:p w14:paraId="2F540218"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Al respecto, si bien es cierto que el Código Financiero del Estado de México y Municipios establece la obligación de los Municipios para llevar los registros contables y presupuestales; también lo es que, dicho ordenamiento jurídico no establece que debemos </w:t>
      </w:r>
      <w:r>
        <w:rPr>
          <w:rFonts w:ascii="Palatino Linotype" w:eastAsia="Palatino Linotype" w:hAnsi="Palatino Linotype" w:cs="Palatino Linotype"/>
          <w:sz w:val="22"/>
          <w:szCs w:val="22"/>
        </w:rPr>
        <w:lastRenderedPageBreak/>
        <w:t xml:space="preserve">entender por registro contable y presupuestal; sin embargo, el “Glosario de Términos Administrativos”, emitido por el Instituto Nacional de Administración Pública, A.C. y el “Glosario de Términos para el Proceso de Planeación, Programación, Presupuestación y 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las siguientes definiciones de las palabras registro contable y registro presupuestario: </w:t>
      </w:r>
    </w:p>
    <w:p w14:paraId="44E12943" w14:textId="77777777" w:rsidR="003E1096" w:rsidRDefault="005806A6">
      <w:pPr>
        <w:spacing w:before="120" w:after="120" w:line="276" w:lineRule="auto"/>
        <w:ind w:firstLine="708"/>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 xml:space="preserve">“REGISTRO CONTABLE </w:t>
      </w:r>
    </w:p>
    <w:p w14:paraId="0CF8C151" w14:textId="77777777" w:rsidR="003E1096" w:rsidRDefault="005806A6">
      <w:pPr>
        <w:spacing w:before="120" w:after="120" w:line="276" w:lineRule="auto"/>
        <w:ind w:left="851" w:right="89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Asiento que se realiza en los libros de contabilidad de las actividades relacionadas con el ingreso y egresos de un ente económico.” </w:t>
      </w:r>
    </w:p>
    <w:p w14:paraId="3E1CE8F6" w14:textId="77777777" w:rsidR="003E1096" w:rsidRDefault="005806A6">
      <w:pPr>
        <w:spacing w:before="120" w:after="120" w:line="276" w:lineRule="auto"/>
        <w:ind w:right="899" w:firstLine="708"/>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“REGISTRO PRESUPUESTARIO</w:t>
      </w:r>
    </w:p>
    <w:p w14:paraId="76220978" w14:textId="77777777" w:rsidR="003E1096" w:rsidRDefault="005806A6">
      <w:pPr>
        <w:spacing w:before="120" w:after="120" w:line="276" w:lineRule="auto"/>
        <w:ind w:left="708" w:right="89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Asiento contable de las erogaciones realizadas por las dependencias y entidades con relación a la asignación, modificación y ejercicio de los recursos presupuestarios que se les hayan autorizado.” </w:t>
      </w:r>
    </w:p>
    <w:p w14:paraId="12D23436" w14:textId="77777777" w:rsidR="003E1096" w:rsidRDefault="005806A6">
      <w:pP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Por otra parte, se establece que el sistema de contabilidad sobre base acumulativa total se sustentará en los principios de contabilidad gubernamental.</w:t>
      </w:r>
    </w:p>
    <w:p w14:paraId="2529B996" w14:textId="77777777" w:rsidR="003E1096" w:rsidRDefault="005806A6">
      <w:pPr>
        <w:spacing w:before="240" w:after="240"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Igualmente, los preceptos legales citados señalan que los Sujetos Obligados deben contar con una unidad administrativa que registra contablemente el efecto patrimonial y presupuestal de las operaciones financieras que realizan, en el momento en que ocurran, con base en el sistema y políticas de registro establecidas.</w:t>
      </w:r>
    </w:p>
    <w:p w14:paraId="4CC16B49"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Correlativo a lo anterior, es preciso referir una definición de </w:t>
      </w:r>
      <w:r>
        <w:rPr>
          <w:rFonts w:ascii="Palatino Linotype" w:eastAsia="Palatino Linotype" w:hAnsi="Palatino Linotype" w:cs="Palatino Linotype"/>
          <w:i/>
          <w:sz w:val="22"/>
          <w:szCs w:val="22"/>
        </w:rPr>
        <w:t>póliza contable</w:t>
      </w:r>
      <w:r>
        <w:rPr>
          <w:rFonts w:ascii="Palatino Linotype" w:eastAsia="Palatino Linotype" w:hAnsi="Palatino Linotype" w:cs="Palatino Linotype"/>
          <w:sz w:val="22"/>
          <w:szCs w:val="22"/>
        </w:rPr>
        <w:t xml:space="preserve">, la cual, primeramente, no está definida en el Código Financiero del Estado de México y Municipios; no obstante, los ya mencionados Glosarios la definen como: </w:t>
      </w:r>
    </w:p>
    <w:p w14:paraId="333DA769" w14:textId="77777777" w:rsidR="003E1096" w:rsidRDefault="005806A6">
      <w:pPr>
        <w:spacing w:before="120" w:after="120" w:line="276" w:lineRule="auto"/>
        <w:ind w:left="851" w:right="899"/>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lastRenderedPageBreak/>
        <w:t>“</w:t>
      </w:r>
      <w:r>
        <w:rPr>
          <w:rFonts w:ascii="Palatino Linotype" w:eastAsia="Palatino Linotype" w:hAnsi="Palatino Linotype" w:cs="Palatino Linotype"/>
          <w:b/>
          <w:i/>
          <w:sz w:val="22"/>
          <w:szCs w:val="22"/>
        </w:rPr>
        <w:t>PÓLIZA CONTABLE</w:t>
      </w:r>
    </w:p>
    <w:p w14:paraId="5F4C4374" w14:textId="77777777" w:rsidR="003E1096" w:rsidRDefault="005806A6">
      <w:pPr>
        <w:spacing w:before="120" w:after="120" w:line="276" w:lineRule="auto"/>
        <w:ind w:left="851" w:right="89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Documento en el cual se asientan en forma individual todas y cada una de las operaciones desarrolladas por una institución, así como la información necesaria para la identificación de dichas operaciones.” </w:t>
      </w:r>
    </w:p>
    <w:p w14:paraId="0BC4B0F4"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Así, se advierte que la </w:t>
      </w:r>
      <w:r>
        <w:rPr>
          <w:rFonts w:ascii="Palatino Linotype" w:eastAsia="Palatino Linotype" w:hAnsi="Palatino Linotype" w:cs="Palatino Linotype"/>
          <w:i/>
          <w:sz w:val="22"/>
          <w:szCs w:val="22"/>
        </w:rPr>
        <w:t>póliza contable</w:t>
      </w:r>
      <w:r>
        <w:rPr>
          <w:rFonts w:ascii="Palatino Linotype" w:eastAsia="Palatino Linotype" w:hAnsi="Palatino Linotype" w:cs="Palatino Linotype"/>
          <w:sz w:val="22"/>
          <w:szCs w:val="22"/>
        </w:rPr>
        <w:t xml:space="preserve"> constituye un registro contable y presupuestal con el que cuentan los Municipios para el registro de sus operaciones relacionadas con sus ingresos y egresos y se anexan los documentos o comprobantes que justifiquen las anotaciones y cantidades en ellas registradas, lo que permite la identificación plena de dichas operaciones.</w:t>
      </w:r>
    </w:p>
    <w:p w14:paraId="13C54521"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En este sentido, existen diversos tipos de pólizas contables de acuerdo a las operaciones realizadas, dentro de las cuales, encontramos las llamadas </w:t>
      </w:r>
      <w:r>
        <w:rPr>
          <w:rFonts w:ascii="Palatino Linotype" w:eastAsia="Palatino Linotype" w:hAnsi="Palatino Linotype" w:cs="Palatino Linotype"/>
          <w:i/>
          <w:sz w:val="22"/>
          <w:szCs w:val="22"/>
        </w:rPr>
        <w:t>pólizas de egresos</w:t>
      </w:r>
      <w:r>
        <w:rPr>
          <w:rFonts w:ascii="Palatino Linotype" w:eastAsia="Palatino Linotype" w:hAnsi="Palatino Linotype" w:cs="Palatino Linotype"/>
          <w:sz w:val="22"/>
          <w:szCs w:val="22"/>
        </w:rPr>
        <w:t xml:space="preserve">, son aquellas en las cuales se anotan diariamente las operaciones que representan gastos, es decir, salidas de dinero para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las que, además, deben encontrarse acompañadas de las documentales que sirven de soporte de dicho movimiento. </w:t>
      </w:r>
    </w:p>
    <w:p w14:paraId="11F9B737" w14:textId="77777777" w:rsidR="003E1096" w:rsidRDefault="005806A6">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mayor abundamiento de lo anterior, los Lineamientos para la Integración del Informe Trimestral Municipal Ejercicio Fiscal 2024, contemplan a las pólizas de egresos de la siguiente manera:</w:t>
      </w:r>
    </w:p>
    <w:p w14:paraId="33F6839C" w14:textId="77777777" w:rsidR="003E1096" w:rsidRDefault="003E1096">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1323CE38" w14:textId="77777777" w:rsidR="003E1096" w:rsidRDefault="005806A6">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noProof/>
          <w:sz w:val="22"/>
          <w:szCs w:val="22"/>
        </w:rPr>
        <w:lastRenderedPageBreak/>
        <w:drawing>
          <wp:inline distT="0" distB="0" distL="0" distR="0" wp14:anchorId="3655AEA8" wp14:editId="101A40D8">
            <wp:extent cx="5608686" cy="5649937"/>
            <wp:effectExtent l="0" t="0" r="0" b="0"/>
            <wp:docPr id="4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4"/>
                    <a:srcRect/>
                    <a:stretch>
                      <a:fillRect/>
                    </a:stretch>
                  </pic:blipFill>
                  <pic:spPr>
                    <a:xfrm>
                      <a:off x="0" y="0"/>
                      <a:ext cx="5608686" cy="5649937"/>
                    </a:xfrm>
                    <a:prstGeom prst="rect">
                      <a:avLst/>
                    </a:prstGeom>
                    <a:ln/>
                  </pic:spPr>
                </pic:pic>
              </a:graphicData>
            </a:graphic>
          </wp:inline>
        </w:drawing>
      </w:r>
    </w:p>
    <w:p w14:paraId="5FAAE5F3" w14:textId="77777777" w:rsidR="003E1096" w:rsidRDefault="003E1096">
      <w:pPr>
        <w:widowControl w:val="0"/>
        <w:spacing w:line="360" w:lineRule="auto"/>
        <w:jc w:val="both"/>
        <w:rPr>
          <w:rFonts w:ascii="Palatino Linotype" w:eastAsia="Palatino Linotype" w:hAnsi="Palatino Linotype" w:cs="Palatino Linotype"/>
          <w:sz w:val="22"/>
          <w:szCs w:val="22"/>
        </w:rPr>
      </w:pPr>
    </w:p>
    <w:p w14:paraId="3A44908A" w14:textId="77777777" w:rsidR="003E1096" w:rsidRDefault="005806A6">
      <w:pPr>
        <w:spacing w:line="360" w:lineRule="auto"/>
        <w:jc w:val="both"/>
        <w:rPr>
          <w:rFonts w:ascii="Palatino Linotype" w:eastAsia="Palatino Linotype" w:hAnsi="Palatino Linotype" w:cs="Palatino Linotype"/>
          <w:color w:val="000000"/>
          <w:sz w:val="22"/>
          <w:szCs w:val="22"/>
        </w:rPr>
      </w:pPr>
      <w:bookmarkStart w:id="2" w:name="_heading=h.3dy6vkm" w:colFirst="0" w:colLast="0"/>
      <w:bookmarkEnd w:id="2"/>
      <w:r>
        <w:rPr>
          <w:rFonts w:ascii="Palatino Linotype" w:eastAsia="Palatino Linotype" w:hAnsi="Palatino Linotype" w:cs="Palatino Linotype"/>
          <w:color w:val="000000"/>
          <w:sz w:val="22"/>
          <w:szCs w:val="22"/>
        </w:rPr>
        <w:t xml:space="preserve">Por lo expuesto a través de estas líneas argumentativas es que se determina que el </w:t>
      </w:r>
      <w:r>
        <w:rPr>
          <w:rFonts w:ascii="Palatino Linotype" w:eastAsia="Palatino Linotype" w:hAnsi="Palatino Linotype" w:cs="Palatino Linotype"/>
          <w:b/>
          <w:color w:val="000000"/>
          <w:sz w:val="22"/>
          <w:szCs w:val="22"/>
        </w:rPr>
        <w:t>Sujeto Obligado</w:t>
      </w:r>
      <w:r>
        <w:rPr>
          <w:rFonts w:ascii="Palatino Linotype" w:eastAsia="Palatino Linotype" w:hAnsi="Palatino Linotype" w:cs="Palatino Linotype"/>
          <w:color w:val="000000"/>
          <w:sz w:val="22"/>
          <w:szCs w:val="22"/>
        </w:rPr>
        <w:t xml:space="preserve"> no acreditó el respectivo cambio de modalidad de entrega de la información, por lo que se determina </w:t>
      </w:r>
      <w:r>
        <w:rPr>
          <w:rFonts w:ascii="Palatino Linotype" w:eastAsia="Palatino Linotype" w:hAnsi="Palatino Linotype" w:cs="Palatino Linotype"/>
          <w:b/>
          <w:color w:val="000000"/>
          <w:sz w:val="22"/>
          <w:szCs w:val="22"/>
        </w:rPr>
        <w:t>REVOCAR</w:t>
      </w:r>
      <w:r>
        <w:rPr>
          <w:rFonts w:ascii="Palatino Linotype" w:eastAsia="Palatino Linotype" w:hAnsi="Palatino Linotype" w:cs="Palatino Linotype"/>
          <w:color w:val="000000"/>
          <w:sz w:val="22"/>
          <w:szCs w:val="22"/>
        </w:rPr>
        <w:t xml:space="preserve"> las respuestas y ordenar la entrega de la información mediante el SAIMEX.</w:t>
      </w:r>
    </w:p>
    <w:p w14:paraId="7369E23C" w14:textId="77777777" w:rsidR="003E1096" w:rsidRDefault="005806A6">
      <w:pP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lastRenderedPageBreak/>
        <w:t xml:space="preserve">No obsta mencionar que </w:t>
      </w:r>
      <w:r>
        <w:rPr>
          <w:rFonts w:ascii="Palatino Linotype" w:eastAsia="Palatino Linotype" w:hAnsi="Palatino Linotype" w:cs="Palatino Linotype"/>
          <w:b/>
          <w:color w:val="000000"/>
          <w:sz w:val="22"/>
          <w:szCs w:val="22"/>
        </w:rPr>
        <w:t>para el caso en el que dentro de alguno de los periodos de los que se determina la entrega de la información, no se realizaron erogaciones por alguno de los conceptos que se ordena</w:t>
      </w:r>
      <w:r>
        <w:rPr>
          <w:rFonts w:ascii="Palatino Linotype" w:eastAsia="Palatino Linotype" w:hAnsi="Palatino Linotype" w:cs="Palatino Linotype"/>
          <w:color w:val="000000"/>
          <w:sz w:val="22"/>
          <w:szCs w:val="22"/>
        </w:rPr>
        <w:t>, bastará con que así se haga del conocimiento de la persona solicitante para tener por colmado su derecho de acceso a la información, en términos de lo dispuesto por el artículo 19, párrafo segundo de la Ley de Transparencia y Acceso a la Información Pública del Estado de México y Municipios, a saber:</w:t>
      </w:r>
    </w:p>
    <w:p w14:paraId="40190B69" w14:textId="77777777" w:rsidR="003E1096" w:rsidRDefault="005806A6">
      <w:pPr>
        <w:pBdr>
          <w:top w:val="nil"/>
          <w:left w:val="nil"/>
          <w:bottom w:val="nil"/>
          <w:right w:val="nil"/>
          <w:between w:val="nil"/>
        </w:pBdr>
        <w:spacing w:line="276" w:lineRule="auto"/>
        <w:ind w:left="567" w:right="616"/>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“Artículo 19…</w:t>
      </w:r>
    </w:p>
    <w:p w14:paraId="1BD79F7A" w14:textId="77777777" w:rsidR="003E1096" w:rsidRDefault="005806A6">
      <w:pPr>
        <w:pBdr>
          <w:top w:val="nil"/>
          <w:left w:val="nil"/>
          <w:bottom w:val="nil"/>
          <w:right w:val="nil"/>
          <w:between w:val="nil"/>
        </w:pBdr>
        <w:spacing w:line="276" w:lineRule="auto"/>
        <w:ind w:left="567" w:right="900"/>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En los casos en que ciertas facultades, competencias o funciones no se hayan ejercido, se debe motivar la respuesta en función de las causas que motiven tal circunstancia.”</w:t>
      </w:r>
    </w:p>
    <w:p w14:paraId="3A0DC71D" w14:textId="77777777" w:rsidR="003E1096" w:rsidRDefault="005806A6">
      <w:pPr>
        <w:spacing w:before="240" w:after="240" w:line="360" w:lineRule="auto"/>
        <w:ind w:right="49"/>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Quinto. Versión Pública. </w:t>
      </w:r>
      <w:r>
        <w:rPr>
          <w:rFonts w:ascii="Palatino Linotype" w:eastAsia="Palatino Linotype" w:hAnsi="Palatino Linotype" w:cs="Palatino Linotype"/>
          <w:sz w:val="22"/>
          <w:szCs w:val="22"/>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 </w:t>
      </w:r>
      <w:r>
        <w:rPr>
          <w:rFonts w:ascii="Palatino Linotype" w:eastAsia="Palatino Linotype" w:hAnsi="Palatino Linotype" w:cs="Palatino Linotype"/>
          <w:b/>
          <w:sz w:val="22"/>
          <w:szCs w:val="22"/>
        </w:rPr>
        <w:t>la parte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Recurrente</w:t>
      </w:r>
      <w:r>
        <w:rPr>
          <w:rFonts w:ascii="Palatino Linotype" w:eastAsia="Palatino Linotype" w:hAnsi="Palatino Linotype" w:cs="Palatino Linotype"/>
          <w:sz w:val="22"/>
          <w:szCs w:val="22"/>
        </w:rPr>
        <w:t xml:space="preserve"> sin menoscabar el derecho a la protección de los datos personales de terceros.</w:t>
      </w:r>
    </w:p>
    <w:p w14:paraId="3D9C7B6D" w14:textId="77777777" w:rsidR="003E1096" w:rsidRDefault="005806A6">
      <w:pPr>
        <w:spacing w:before="240" w:after="240" w:line="360" w:lineRule="auto"/>
        <w:ind w:right="49"/>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Lo anterior, de conformidad a lo que señalan los artículos 3, fracciones IX, XX, XXXII, XLV; 6, 137 y 143 fracción I, de la Ley de Transparencia y Acceso a la Información Pública del Estado de México y Municipios vigente, que se leen como sigue:</w:t>
      </w:r>
    </w:p>
    <w:p w14:paraId="3737E0E9" w14:textId="77777777" w:rsidR="003E1096" w:rsidRDefault="005806A6">
      <w:pPr>
        <w:ind w:left="993" w:right="1041"/>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 xml:space="preserve"> “Artículo 3. Para los efectos de la presente Ley se entenderá por:</w:t>
      </w:r>
    </w:p>
    <w:p w14:paraId="75BC1C17"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IX. Datos personales:</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La información concerniente a una persona, identificada o identificable</w:t>
      </w:r>
      <w:r>
        <w:rPr>
          <w:rFonts w:ascii="Palatino Linotype" w:eastAsia="Palatino Linotype" w:hAnsi="Palatino Linotype" w:cs="Palatino Linotype"/>
          <w:i/>
          <w:sz w:val="22"/>
          <w:szCs w:val="22"/>
        </w:rPr>
        <w:t xml:space="preserve"> según lo dispuesto por la Ley de Protección de Datos Personales del Estado de México;</w:t>
      </w:r>
    </w:p>
    <w:p w14:paraId="4C8E8934"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XX. Información clasificada:</w:t>
      </w:r>
      <w:r>
        <w:rPr>
          <w:rFonts w:ascii="Palatino Linotype" w:eastAsia="Palatino Linotype" w:hAnsi="Palatino Linotype" w:cs="Palatino Linotype"/>
          <w:i/>
          <w:sz w:val="22"/>
          <w:szCs w:val="22"/>
        </w:rPr>
        <w:t xml:space="preserve"> Aquella considerada por la presente Ley como reservada o confidencial;</w:t>
      </w:r>
    </w:p>
    <w:p w14:paraId="13326AA2"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lastRenderedPageBreak/>
        <w:t>XXXII. Protección de Datos Personales:</w:t>
      </w:r>
      <w:r>
        <w:rPr>
          <w:rFonts w:ascii="Palatino Linotype" w:eastAsia="Palatino Linotype" w:hAnsi="Palatino Linotype" w:cs="Palatino Linotype"/>
          <w:i/>
          <w:sz w:val="22"/>
          <w:szCs w:val="22"/>
        </w:rPr>
        <w:t xml:space="preserve"> Derecho humano que tutela la privacidad de datos personales en poder de los sujetos obligados y sujetos particulares;</w:t>
      </w:r>
    </w:p>
    <w:p w14:paraId="10317B0F"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XLV. Versión pública</w:t>
      </w:r>
      <w:r>
        <w:rPr>
          <w:rFonts w:ascii="Palatino Linotype" w:eastAsia="Palatino Linotype" w:hAnsi="Palatino Linotype" w:cs="Palatino Linotype"/>
          <w:i/>
          <w:sz w:val="22"/>
          <w:szCs w:val="22"/>
        </w:rPr>
        <w:t>: Documento en el que se elimine, suprime o borra la información clasificada como reservada o confidencial para permitir su acceso.”</w:t>
      </w:r>
    </w:p>
    <w:p w14:paraId="554A9663" w14:textId="77777777" w:rsidR="003E1096" w:rsidRDefault="003E1096">
      <w:pPr>
        <w:ind w:left="993" w:right="1041"/>
        <w:jc w:val="both"/>
        <w:rPr>
          <w:rFonts w:ascii="Palatino Linotype" w:eastAsia="Palatino Linotype" w:hAnsi="Palatino Linotype" w:cs="Palatino Linotype"/>
          <w:i/>
          <w:sz w:val="22"/>
          <w:szCs w:val="22"/>
        </w:rPr>
      </w:pPr>
    </w:p>
    <w:p w14:paraId="297826B0"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6.</w:t>
      </w:r>
      <w:r>
        <w:rPr>
          <w:rFonts w:ascii="Palatino Linotype" w:eastAsia="Palatino Linotype" w:hAnsi="Palatino Linotype" w:cs="Palatino Linotype"/>
          <w:i/>
          <w:sz w:val="22"/>
          <w:szCs w:val="22"/>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seguridad en el tratamiento y demás disposiciones en materia de datos personales, se deberá estar a lo dispuesto en las leyes de la materia.”</w:t>
      </w:r>
    </w:p>
    <w:p w14:paraId="0170F5CC" w14:textId="77777777" w:rsidR="003E1096" w:rsidRDefault="003E1096">
      <w:pPr>
        <w:ind w:left="993" w:right="1041"/>
        <w:jc w:val="both"/>
        <w:rPr>
          <w:rFonts w:ascii="Palatino Linotype" w:eastAsia="Palatino Linotype" w:hAnsi="Palatino Linotype" w:cs="Palatino Linotype"/>
          <w:i/>
          <w:sz w:val="22"/>
          <w:szCs w:val="22"/>
        </w:rPr>
      </w:pPr>
    </w:p>
    <w:p w14:paraId="65924E00" w14:textId="77777777" w:rsidR="003E1096" w:rsidRDefault="005806A6">
      <w:pPr>
        <w:ind w:left="993" w:right="1041"/>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“Artículo 137.</w:t>
      </w:r>
      <w:r>
        <w:rPr>
          <w:rFonts w:ascii="Palatino Linotype" w:eastAsia="Palatino Linotype" w:hAnsi="Palatino Linotype" w:cs="Palatino Linotype"/>
          <w:i/>
          <w:sz w:val="22"/>
          <w:szCs w:val="22"/>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38C74D5D" w14:textId="77777777" w:rsidR="003E1096" w:rsidRDefault="003E1096">
      <w:pPr>
        <w:ind w:left="993" w:right="1041"/>
        <w:jc w:val="both"/>
        <w:rPr>
          <w:rFonts w:ascii="Palatino Linotype" w:eastAsia="Palatino Linotype" w:hAnsi="Palatino Linotype" w:cs="Palatino Linotype"/>
          <w:b/>
          <w:i/>
          <w:sz w:val="22"/>
          <w:szCs w:val="22"/>
        </w:rPr>
      </w:pPr>
    </w:p>
    <w:p w14:paraId="50EFB549"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143</w:t>
      </w:r>
      <w:r>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170A9CD2"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I.</w:t>
      </w:r>
      <w:r>
        <w:rPr>
          <w:rFonts w:ascii="Palatino Linotype" w:eastAsia="Palatino Linotype" w:hAnsi="Palatino Linotype" w:cs="Palatino Linotype"/>
          <w:i/>
          <w:sz w:val="22"/>
          <w:szCs w:val="22"/>
        </w:rPr>
        <w:t xml:space="preserve"> Se refiera a la información privada y los datos personales concernientes a una persona física o jurídica colectiva identificada o identificable;</w:t>
      </w:r>
    </w:p>
    <w:p w14:paraId="0D2EDBF7"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II. Los secretos bancario, fiduciario, industrial, comercial, fiscal, bursátil y postal, cuya titularidad corresponda a particulares, sujetos de derecho internacional o a sujetos obligados cuando no involucren el ejercicio de recursos públicos; y</w:t>
      </w:r>
    </w:p>
    <w:p w14:paraId="59B944A2" w14:textId="77777777" w:rsidR="003E1096" w:rsidRDefault="005806A6">
      <w:pPr>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III. La que presenten los particulares a los sujetos obligados, de conformidad con lo dispuesto por las leyes o los tratados internacionales.” </w:t>
      </w:r>
    </w:p>
    <w:p w14:paraId="338AD3A5" w14:textId="77777777" w:rsidR="003E1096" w:rsidRDefault="003E1096">
      <w:pPr>
        <w:ind w:left="993" w:right="1041"/>
        <w:jc w:val="both"/>
        <w:rPr>
          <w:rFonts w:ascii="Palatino Linotype" w:eastAsia="Palatino Linotype" w:hAnsi="Palatino Linotype" w:cs="Palatino Linotype"/>
          <w:i/>
          <w:sz w:val="22"/>
          <w:szCs w:val="22"/>
        </w:rPr>
      </w:pPr>
    </w:p>
    <w:p w14:paraId="6FE61DC8" w14:textId="77777777" w:rsidR="003E1096" w:rsidRDefault="005806A6">
      <w:pPr>
        <w:spacing w:line="360" w:lineRule="auto"/>
        <w:ind w:right="51"/>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w:t>
      </w:r>
      <w:r>
        <w:rPr>
          <w:rFonts w:ascii="Palatino Linotype" w:eastAsia="Palatino Linotype" w:hAnsi="Palatino Linotype" w:cs="Palatino Linotype"/>
          <w:sz w:val="22"/>
          <w:szCs w:val="22"/>
        </w:rPr>
        <w:lastRenderedPageBreak/>
        <w:t xml:space="preserve">las secciones o datos que deban ser clasificados; por ende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deberá proceder a testar los datos personales que se encuentren contenidos en los documentos a entregar para satisfacer el derecho de acceso a la información pública de </w:t>
      </w:r>
      <w:r>
        <w:rPr>
          <w:rFonts w:ascii="Palatino Linotype" w:eastAsia="Palatino Linotype" w:hAnsi="Palatino Linotype" w:cs="Palatino Linotype"/>
          <w:b/>
          <w:sz w:val="22"/>
          <w:szCs w:val="22"/>
        </w:rPr>
        <w:t>la parte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Recurrente</w:t>
      </w:r>
      <w:r>
        <w:rPr>
          <w:rFonts w:ascii="Palatino Linotype" w:eastAsia="Palatino Linotype" w:hAnsi="Palatino Linotype" w:cs="Palatino Linotype"/>
          <w:sz w:val="22"/>
          <w:szCs w:val="22"/>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6A116E60" w14:textId="77777777" w:rsidR="003E1096" w:rsidRDefault="003E1096">
      <w:pPr>
        <w:spacing w:line="360" w:lineRule="auto"/>
        <w:ind w:right="51"/>
        <w:jc w:val="both"/>
        <w:rPr>
          <w:rFonts w:ascii="Palatino Linotype" w:eastAsia="Palatino Linotype" w:hAnsi="Palatino Linotype" w:cs="Palatino Linotype"/>
          <w:sz w:val="22"/>
          <w:szCs w:val="22"/>
        </w:rPr>
      </w:pPr>
    </w:p>
    <w:p w14:paraId="39C4484B" w14:textId="77777777" w:rsidR="003E1096" w:rsidRDefault="005806A6">
      <w:pPr>
        <w:spacing w:line="360" w:lineRule="auto"/>
        <w:ind w:right="50"/>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3A1642E8" w14:textId="77777777" w:rsidR="003E1096" w:rsidRDefault="003E1096">
      <w:pPr>
        <w:spacing w:line="360" w:lineRule="auto"/>
        <w:ind w:right="51"/>
        <w:jc w:val="both"/>
        <w:rPr>
          <w:rFonts w:ascii="Palatino Linotype" w:eastAsia="Palatino Linotype" w:hAnsi="Palatino Linotype" w:cs="Palatino Linotype"/>
          <w:sz w:val="22"/>
          <w:szCs w:val="22"/>
        </w:rPr>
      </w:pPr>
    </w:p>
    <w:p w14:paraId="03119A13" w14:textId="77777777" w:rsidR="003E1096" w:rsidRDefault="005806A6">
      <w:pPr>
        <w:spacing w:line="360" w:lineRule="auto"/>
        <w:ind w:right="51"/>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Por ende, la clasificación de la información no opera con la simple supresión de datos que se haga en los documentos de que se trate o con la simple decisión que tome el Servidor Público Habilitado o el </w:t>
      </w:r>
      <w:proofErr w:type="gramStart"/>
      <w:r>
        <w:rPr>
          <w:rFonts w:ascii="Palatino Linotype" w:eastAsia="Palatino Linotype" w:hAnsi="Palatino Linotype" w:cs="Palatino Linotype"/>
          <w:sz w:val="22"/>
          <w:szCs w:val="22"/>
        </w:rPr>
        <w:t>Responsable</w:t>
      </w:r>
      <w:proofErr w:type="gramEnd"/>
      <w:r>
        <w:rPr>
          <w:rFonts w:ascii="Palatino Linotype" w:eastAsia="Palatino Linotype" w:hAnsi="Palatino Linotype" w:cs="Palatino Linotype"/>
          <w:sz w:val="22"/>
          <w:szCs w:val="22"/>
        </w:rPr>
        <w:t xml:space="preserve"> de la Unidad de Transparencia del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sino que ello deberá realizarse en términos de lo que disponen los artículos 49 fracción VIII, 53, fracción X y 59, fracción V, de la Ley en consulta, cuyo sentido literal es el siguiente:</w:t>
      </w:r>
    </w:p>
    <w:p w14:paraId="55506B92" w14:textId="77777777" w:rsidR="003E1096" w:rsidRDefault="003E1096">
      <w:pPr>
        <w:spacing w:line="360" w:lineRule="auto"/>
        <w:ind w:right="51"/>
        <w:jc w:val="both"/>
        <w:rPr>
          <w:rFonts w:ascii="Palatino Linotype" w:eastAsia="Palatino Linotype" w:hAnsi="Palatino Linotype" w:cs="Palatino Linotype"/>
          <w:sz w:val="22"/>
          <w:szCs w:val="22"/>
        </w:rPr>
      </w:pPr>
    </w:p>
    <w:p w14:paraId="093BA160" w14:textId="77777777" w:rsidR="003E1096" w:rsidRDefault="005806A6">
      <w:pPr>
        <w:ind w:left="567" w:right="1043"/>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49.</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b/>
          <w:i/>
          <w:sz w:val="22"/>
          <w:szCs w:val="22"/>
        </w:rPr>
        <w:t>Los Comités de Transparencia</w:t>
      </w:r>
      <w:r>
        <w:rPr>
          <w:rFonts w:ascii="Palatino Linotype" w:eastAsia="Palatino Linotype" w:hAnsi="Palatino Linotype" w:cs="Palatino Linotype"/>
          <w:i/>
          <w:sz w:val="22"/>
          <w:szCs w:val="22"/>
        </w:rPr>
        <w:t xml:space="preserve"> tendrán las siguientes atribuciones:</w:t>
      </w:r>
    </w:p>
    <w:p w14:paraId="4FAAA87B" w14:textId="77777777" w:rsidR="003E1096" w:rsidRDefault="005806A6">
      <w:pPr>
        <w:ind w:left="567" w:right="1043"/>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VIII. Aprobar, modificar o revocar la clasificación de la información</w:t>
      </w:r>
      <w:r>
        <w:rPr>
          <w:rFonts w:ascii="Palatino Linotype" w:eastAsia="Palatino Linotype" w:hAnsi="Palatino Linotype" w:cs="Palatino Linotype"/>
          <w:i/>
          <w:sz w:val="22"/>
          <w:szCs w:val="22"/>
        </w:rPr>
        <w:t>…”</w:t>
      </w:r>
    </w:p>
    <w:p w14:paraId="610E50E5" w14:textId="77777777" w:rsidR="003E1096" w:rsidRDefault="005806A6">
      <w:pPr>
        <w:ind w:left="567" w:right="1043"/>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Artículo 53.</w:t>
      </w:r>
      <w:r>
        <w:rPr>
          <w:rFonts w:ascii="Palatino Linotype" w:eastAsia="Palatino Linotype" w:hAnsi="Palatino Linotype" w:cs="Palatino Linotype"/>
          <w:i/>
          <w:sz w:val="22"/>
          <w:szCs w:val="22"/>
        </w:rPr>
        <w:t xml:space="preserve"> Las </w:t>
      </w:r>
      <w:r>
        <w:rPr>
          <w:rFonts w:ascii="Palatino Linotype" w:eastAsia="Palatino Linotype" w:hAnsi="Palatino Linotype" w:cs="Palatino Linotype"/>
          <w:b/>
          <w:i/>
          <w:sz w:val="22"/>
          <w:szCs w:val="22"/>
        </w:rPr>
        <w:t>Unidades de Transparencia</w:t>
      </w:r>
      <w:r>
        <w:rPr>
          <w:rFonts w:ascii="Palatino Linotype" w:eastAsia="Palatino Linotype" w:hAnsi="Palatino Linotype" w:cs="Palatino Linotype"/>
          <w:i/>
          <w:sz w:val="22"/>
          <w:szCs w:val="22"/>
        </w:rPr>
        <w:t xml:space="preserve"> tendrán las siguientes </w:t>
      </w:r>
      <w:r>
        <w:rPr>
          <w:rFonts w:ascii="Palatino Linotype" w:eastAsia="Palatino Linotype" w:hAnsi="Palatino Linotype" w:cs="Palatino Linotype"/>
          <w:b/>
          <w:i/>
          <w:sz w:val="22"/>
          <w:szCs w:val="22"/>
        </w:rPr>
        <w:t>funciones</w:t>
      </w:r>
      <w:r>
        <w:rPr>
          <w:rFonts w:ascii="Palatino Linotype" w:eastAsia="Palatino Linotype" w:hAnsi="Palatino Linotype" w:cs="Palatino Linotype"/>
          <w:i/>
          <w:sz w:val="22"/>
          <w:szCs w:val="22"/>
        </w:rPr>
        <w:t>:</w:t>
      </w:r>
    </w:p>
    <w:p w14:paraId="7D4255B4" w14:textId="77777777" w:rsidR="003E1096" w:rsidRDefault="005806A6">
      <w:pPr>
        <w:ind w:left="567" w:right="1043"/>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X. Presentar ante el Comité, el proyecto de clasificación de información</w:t>
      </w:r>
      <w:r>
        <w:rPr>
          <w:rFonts w:ascii="Palatino Linotype" w:eastAsia="Palatino Linotype" w:hAnsi="Palatino Linotype" w:cs="Palatino Linotype"/>
          <w:i/>
          <w:sz w:val="22"/>
          <w:szCs w:val="22"/>
        </w:rPr>
        <w:t xml:space="preserve">…” </w:t>
      </w:r>
    </w:p>
    <w:p w14:paraId="74DEC589" w14:textId="77777777" w:rsidR="003E1096" w:rsidRDefault="005806A6">
      <w:pPr>
        <w:ind w:left="567" w:right="1043"/>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lastRenderedPageBreak/>
        <w:t>“Artículo 59.</w:t>
      </w:r>
      <w:r>
        <w:rPr>
          <w:rFonts w:ascii="Palatino Linotype" w:eastAsia="Palatino Linotype" w:hAnsi="Palatino Linotype" w:cs="Palatino Linotype"/>
          <w:i/>
          <w:sz w:val="22"/>
          <w:szCs w:val="22"/>
        </w:rPr>
        <w:t xml:space="preserve"> Los </w:t>
      </w:r>
      <w:r>
        <w:rPr>
          <w:rFonts w:ascii="Palatino Linotype" w:eastAsia="Palatino Linotype" w:hAnsi="Palatino Linotype" w:cs="Palatino Linotype"/>
          <w:b/>
          <w:i/>
          <w:sz w:val="22"/>
          <w:szCs w:val="22"/>
        </w:rPr>
        <w:t>servidores públicos habilitados</w:t>
      </w:r>
      <w:r>
        <w:rPr>
          <w:rFonts w:ascii="Palatino Linotype" w:eastAsia="Palatino Linotype" w:hAnsi="Palatino Linotype" w:cs="Palatino Linotype"/>
          <w:i/>
          <w:sz w:val="22"/>
          <w:szCs w:val="22"/>
        </w:rPr>
        <w:t xml:space="preserve"> tendrán las </w:t>
      </w:r>
      <w:r>
        <w:rPr>
          <w:rFonts w:ascii="Palatino Linotype" w:eastAsia="Palatino Linotype" w:hAnsi="Palatino Linotype" w:cs="Palatino Linotype"/>
          <w:b/>
          <w:i/>
          <w:sz w:val="22"/>
          <w:szCs w:val="22"/>
        </w:rPr>
        <w:t>funciones</w:t>
      </w:r>
      <w:r>
        <w:rPr>
          <w:rFonts w:ascii="Palatino Linotype" w:eastAsia="Palatino Linotype" w:hAnsi="Palatino Linotype" w:cs="Palatino Linotype"/>
          <w:i/>
          <w:sz w:val="22"/>
          <w:szCs w:val="22"/>
        </w:rPr>
        <w:t xml:space="preserve"> siguientes:</w:t>
      </w:r>
    </w:p>
    <w:p w14:paraId="214D0F62" w14:textId="77777777" w:rsidR="003E1096" w:rsidRDefault="005806A6">
      <w:pPr>
        <w:ind w:left="567" w:right="1043"/>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V. Integrar y presentar al responsable de la Unidad de Transparencia la propuesta de clasificación de información</w:t>
      </w:r>
      <w:r>
        <w:rPr>
          <w:rFonts w:ascii="Palatino Linotype" w:eastAsia="Palatino Linotype" w:hAnsi="Palatino Linotype" w:cs="Palatino Linotype"/>
          <w:i/>
          <w:sz w:val="22"/>
          <w:szCs w:val="22"/>
        </w:rPr>
        <w:t xml:space="preserve">, la cual tendrá los fundamentos y argumentos en que se basa dicha propuesta…” </w:t>
      </w:r>
    </w:p>
    <w:p w14:paraId="2453EAC2" w14:textId="77777777" w:rsidR="003E1096" w:rsidRDefault="003E1096">
      <w:pPr>
        <w:ind w:left="992" w:right="1043"/>
        <w:jc w:val="both"/>
        <w:rPr>
          <w:rFonts w:ascii="Palatino Linotype" w:eastAsia="Palatino Linotype" w:hAnsi="Palatino Linotype" w:cs="Palatino Linotype"/>
          <w:i/>
          <w:sz w:val="22"/>
          <w:szCs w:val="22"/>
        </w:rPr>
      </w:pPr>
    </w:p>
    <w:p w14:paraId="4261EB3E"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418A9066" w14:textId="77777777" w:rsidR="003E1096" w:rsidRDefault="003E1096">
      <w:pPr>
        <w:spacing w:line="360" w:lineRule="auto"/>
        <w:jc w:val="both"/>
        <w:rPr>
          <w:rFonts w:ascii="Palatino Linotype" w:eastAsia="Palatino Linotype" w:hAnsi="Palatino Linotype" w:cs="Palatino Linotype"/>
          <w:sz w:val="22"/>
          <w:szCs w:val="22"/>
        </w:rPr>
      </w:pPr>
    </w:p>
    <w:p w14:paraId="7BD281F3"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55D052DE" w14:textId="77777777" w:rsidR="003E1096" w:rsidRDefault="005806A6">
      <w:pPr>
        <w:spacing w:after="240"/>
        <w:ind w:left="993" w:right="1041"/>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w:t>
      </w:r>
      <w:r>
        <w:rPr>
          <w:rFonts w:ascii="Palatino Linotype" w:eastAsia="Palatino Linotype" w:hAnsi="Palatino Linotype" w:cs="Palatino Linotype"/>
          <w:b/>
          <w:i/>
          <w:sz w:val="22"/>
          <w:szCs w:val="22"/>
        </w:rPr>
        <w:t>Artículo 149.</w:t>
      </w:r>
      <w:r>
        <w:rPr>
          <w:rFonts w:ascii="Palatino Linotype" w:eastAsia="Palatino Linotype" w:hAnsi="Palatino Linotype" w:cs="Palatino Linotype"/>
          <w:i/>
          <w:sz w:val="22"/>
          <w:szCs w:val="22"/>
        </w:rPr>
        <w:t xml:space="preserve"> El </w:t>
      </w:r>
      <w:r>
        <w:rPr>
          <w:rFonts w:ascii="Palatino Linotype" w:eastAsia="Palatino Linotype" w:hAnsi="Palatino Linotype" w:cs="Palatino Linotype"/>
          <w:b/>
          <w:i/>
          <w:sz w:val="22"/>
          <w:szCs w:val="22"/>
        </w:rPr>
        <w:t>acuerdo que clasifique la información como confidencial</w:t>
      </w:r>
      <w:r>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w:t>
      </w:r>
    </w:p>
    <w:p w14:paraId="3407F7C6" w14:textId="77777777" w:rsidR="003E1096" w:rsidRDefault="005806A6">
      <w:pPr>
        <w:spacing w:line="360" w:lineRule="auto"/>
        <w:ind w:right="51"/>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Es decir,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w:t>
      </w:r>
      <w:r>
        <w:rPr>
          <w:rFonts w:ascii="Palatino Linotype" w:eastAsia="Palatino Linotype" w:hAnsi="Palatino Linotype" w:cs="Palatino Linotype"/>
          <w:sz w:val="22"/>
          <w:szCs w:val="22"/>
        </w:rPr>
        <w:lastRenderedPageBreak/>
        <w:t>de manera puntual las razones de la versión pública de la documentación entregada se estaría violentando el derecho de acceso a la información de la parte solicitante.</w:t>
      </w:r>
    </w:p>
    <w:p w14:paraId="30B93AB3" w14:textId="77777777" w:rsidR="003E1096" w:rsidRDefault="003E1096">
      <w:pPr>
        <w:spacing w:line="360" w:lineRule="auto"/>
        <w:jc w:val="both"/>
        <w:rPr>
          <w:rFonts w:ascii="Palatino Linotype" w:eastAsia="Palatino Linotype" w:hAnsi="Palatino Linotype" w:cs="Palatino Linotype"/>
          <w:sz w:val="22"/>
          <w:szCs w:val="22"/>
        </w:rPr>
      </w:pPr>
    </w:p>
    <w:p w14:paraId="4D0DC1B7" w14:textId="77777777" w:rsidR="003E1096" w:rsidRDefault="005806A6">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Al respecto, se destaca que la versión pública que elabore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ya expuesto; así como con los numerales aplicables de los </w:t>
      </w:r>
      <w:r>
        <w:rPr>
          <w:rFonts w:ascii="Palatino Linotype" w:eastAsia="Palatino Linotype" w:hAnsi="Palatino Linotype" w:cs="Palatino Linotype"/>
          <w:b/>
          <w:sz w:val="22"/>
          <w:szCs w:val="22"/>
        </w:rPr>
        <w:t>LINEAMIENTOS GENERALES EN MATERIA DE CLASIFICACIÓN Y DESCLASIFICACIÓN DE LA INFORMACIÓN, ASÍ COMO PARA LA ELABORACIÓN DE VERSIONES PÚBLICAS</w:t>
      </w:r>
      <w:r>
        <w:rPr>
          <w:rFonts w:ascii="Palatino Linotype" w:eastAsia="Palatino Linotype" w:hAnsi="Palatino Linotype" w:cs="Palatino Linotype"/>
          <w:sz w:val="22"/>
          <w:szCs w:val="22"/>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23CD5768" w14:textId="77777777" w:rsidR="003E1096" w:rsidRDefault="003E1096">
      <w:pPr>
        <w:ind w:left="709" w:right="709"/>
        <w:jc w:val="both"/>
        <w:rPr>
          <w:rFonts w:ascii="Palatino Linotype" w:eastAsia="Palatino Linotype" w:hAnsi="Palatino Linotype" w:cs="Palatino Linotype"/>
          <w:b/>
          <w:i/>
          <w:sz w:val="22"/>
          <w:szCs w:val="22"/>
        </w:rPr>
      </w:pPr>
    </w:p>
    <w:p w14:paraId="179F0707"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“Lineamientos Generales en materia de Clasificación y Desclasificación de la Información, así como para la elaboración de Versiones Públicas.</w:t>
      </w:r>
    </w:p>
    <w:p w14:paraId="4ADD4DA4"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t>“</w:t>
      </w:r>
      <w:proofErr w:type="gramStart"/>
      <w:r>
        <w:rPr>
          <w:rFonts w:ascii="Palatino Linotype" w:eastAsia="Palatino Linotype" w:hAnsi="Palatino Linotype" w:cs="Palatino Linotype"/>
          <w:b/>
          <w:i/>
          <w:color w:val="000000"/>
          <w:sz w:val="22"/>
          <w:szCs w:val="22"/>
        </w:rPr>
        <w:t>Segundo.-</w:t>
      </w:r>
      <w:proofErr w:type="gramEnd"/>
      <w:r>
        <w:rPr>
          <w:rFonts w:ascii="Palatino Linotype" w:eastAsia="Palatino Linotype" w:hAnsi="Palatino Linotype" w:cs="Palatino Linotype"/>
          <w:i/>
          <w:color w:val="000000"/>
          <w:sz w:val="22"/>
          <w:szCs w:val="22"/>
        </w:rPr>
        <w:t xml:space="preserve"> Para efectos de los presentes Lineamientos Generales, se entenderá por:</w:t>
      </w:r>
    </w:p>
    <w:p w14:paraId="26F86BF7"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XVIII.</w:t>
      </w:r>
      <w:r>
        <w:rPr>
          <w:rFonts w:ascii="Palatino Linotype" w:eastAsia="Palatino Linotype" w:hAnsi="Palatino Linotype" w:cs="Palatino Linotype"/>
          <w:i/>
          <w:color w:val="000000"/>
          <w:sz w:val="22"/>
          <w:szCs w:val="22"/>
        </w:rPr>
        <w:t xml:space="preserve"> </w:t>
      </w:r>
      <w:r>
        <w:rPr>
          <w:rFonts w:ascii="Palatino Linotype" w:eastAsia="Palatino Linotype" w:hAnsi="Palatino Linotype" w:cs="Palatino Linotype"/>
          <w:b/>
          <w:i/>
          <w:color w:val="000000"/>
          <w:sz w:val="22"/>
          <w:szCs w:val="22"/>
        </w:rPr>
        <w:t>Versión pública:</w:t>
      </w:r>
      <w:r>
        <w:rPr>
          <w:rFonts w:ascii="Palatino Linotype" w:eastAsia="Palatino Linotype" w:hAnsi="Palatino Linotype" w:cs="Palatino Linotype"/>
          <w:i/>
          <w:color w:val="000000"/>
          <w:sz w:val="22"/>
          <w:szCs w:val="22"/>
        </w:rPr>
        <w:t xml:space="preserve"> El documento a partir del que se otorga acceso a la información, en el que se testan partes o secciones clasificadas, indicando el contenido de éstas de manera genérica, </w:t>
      </w:r>
      <w:r>
        <w:rPr>
          <w:rFonts w:ascii="Palatino Linotype" w:eastAsia="Palatino Linotype" w:hAnsi="Palatino Linotype" w:cs="Palatino Linotype"/>
          <w:b/>
          <w:i/>
          <w:color w:val="000000"/>
          <w:sz w:val="22"/>
          <w:szCs w:val="22"/>
          <w:u w:val="single"/>
        </w:rPr>
        <w:t>fundando y motivando la</w:t>
      </w:r>
      <w:r>
        <w:rPr>
          <w:rFonts w:ascii="Palatino Linotype" w:eastAsia="Palatino Linotype" w:hAnsi="Palatino Linotype" w:cs="Palatino Linotype"/>
          <w:i/>
          <w:color w:val="000000"/>
          <w:sz w:val="22"/>
          <w:szCs w:val="22"/>
        </w:rPr>
        <w:t xml:space="preserve"> reserva o </w:t>
      </w:r>
      <w:r>
        <w:rPr>
          <w:rFonts w:ascii="Palatino Linotype" w:eastAsia="Palatino Linotype" w:hAnsi="Palatino Linotype" w:cs="Palatino Linotype"/>
          <w:b/>
          <w:i/>
          <w:color w:val="000000"/>
          <w:sz w:val="22"/>
          <w:szCs w:val="22"/>
          <w:u w:val="single"/>
        </w:rPr>
        <w:t>confidencialidad</w:t>
      </w:r>
      <w:r>
        <w:rPr>
          <w:rFonts w:ascii="Palatino Linotype" w:eastAsia="Palatino Linotype" w:hAnsi="Palatino Linotype" w:cs="Palatino Linotype"/>
          <w:i/>
          <w:color w:val="000000"/>
          <w:sz w:val="22"/>
          <w:szCs w:val="22"/>
        </w:rPr>
        <w:t>, a través de la resolución que para tal efecto emita el Comité de Transparencia.</w:t>
      </w:r>
    </w:p>
    <w:p w14:paraId="23529EFA"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Cuarto.</w:t>
      </w:r>
      <w:r>
        <w:rPr>
          <w:rFonts w:ascii="Palatino Linotype" w:eastAsia="Palatino Linotype" w:hAnsi="Palatino Linotype" w:cs="Palatino Linotype"/>
          <w:i/>
          <w:color w:val="000000"/>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33A991CC"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lastRenderedPageBreak/>
        <w:t>Los sujetos obligados deberán aplicar, de manera estricta, las excepciones al derecho de acceso a la información y sólo podrán invocarlas cuando acrediten su procedencia.</w:t>
      </w:r>
    </w:p>
    <w:p w14:paraId="0B4B02B3"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Quinto.</w:t>
      </w:r>
      <w:r>
        <w:rPr>
          <w:rFonts w:ascii="Palatino Linotype" w:eastAsia="Palatino Linotype" w:hAnsi="Palatino Linotype" w:cs="Palatino Linotype"/>
          <w:i/>
          <w:color w:val="000000"/>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57B33A5C"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w:t>
      </w:r>
    </w:p>
    <w:p w14:paraId="11D2B125"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Séptimo.</w:t>
      </w:r>
      <w:r>
        <w:rPr>
          <w:rFonts w:ascii="Palatino Linotype" w:eastAsia="Palatino Linotype" w:hAnsi="Palatino Linotype" w:cs="Palatino Linotype"/>
          <w:i/>
          <w:color w:val="000000"/>
          <w:sz w:val="22"/>
          <w:szCs w:val="22"/>
        </w:rPr>
        <w:t xml:space="preserve"> La clasificación de la información se llevará a cabo en el momento en que:</w:t>
      </w:r>
    </w:p>
    <w:p w14:paraId="5AE28420"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I.</w:t>
      </w:r>
      <w:r>
        <w:rPr>
          <w:rFonts w:ascii="Palatino Linotype" w:eastAsia="Palatino Linotype" w:hAnsi="Palatino Linotype" w:cs="Palatino Linotype"/>
          <w:i/>
          <w:color w:val="000000"/>
          <w:sz w:val="22"/>
          <w:szCs w:val="22"/>
        </w:rPr>
        <w:t xml:space="preserve"> Se reciba una solicitud de acceso a la información;</w:t>
      </w:r>
    </w:p>
    <w:p w14:paraId="3EF3957E" w14:textId="77777777" w:rsidR="003E1096" w:rsidRDefault="005806A6">
      <w:pPr>
        <w:pBdr>
          <w:top w:val="nil"/>
          <w:left w:val="nil"/>
          <w:bottom w:val="nil"/>
          <w:right w:val="nil"/>
          <w:between w:val="nil"/>
        </w:pBdr>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II.</w:t>
      </w:r>
      <w:r>
        <w:rPr>
          <w:rFonts w:ascii="Palatino Linotype" w:eastAsia="Palatino Linotype" w:hAnsi="Palatino Linotype" w:cs="Palatino Linotype"/>
          <w:i/>
          <w:color w:val="000000"/>
          <w:sz w:val="22"/>
          <w:szCs w:val="22"/>
        </w:rPr>
        <w:t xml:space="preserve"> </w:t>
      </w:r>
      <w:proofErr w:type="gramStart"/>
      <w:r>
        <w:rPr>
          <w:rFonts w:ascii="Palatino Linotype" w:eastAsia="Palatino Linotype" w:hAnsi="Palatino Linotype" w:cs="Palatino Linotype"/>
          <w:i/>
          <w:color w:val="000000"/>
          <w:sz w:val="22"/>
          <w:szCs w:val="22"/>
        </w:rPr>
        <w:t>Se  determine</w:t>
      </w:r>
      <w:proofErr w:type="gramEnd"/>
      <w:r>
        <w:rPr>
          <w:rFonts w:ascii="Palatino Linotype" w:eastAsia="Palatino Linotype" w:hAnsi="Palatino Linotype" w:cs="Palatino Linotype"/>
          <w:i/>
          <w:color w:val="000000"/>
          <w:sz w:val="22"/>
          <w:szCs w:val="22"/>
        </w:rPr>
        <w:t xml:space="preserve"> mediante resolución del Comité de Transparencia, el órgano garante </w:t>
      </w:r>
    </w:p>
    <w:p w14:paraId="21BAE2C2"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t>competente, o en cumplimiento a una sentencia del Poder Judicial; o</w:t>
      </w:r>
    </w:p>
    <w:p w14:paraId="1999FA1B"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III.</w:t>
      </w:r>
      <w:r>
        <w:rPr>
          <w:rFonts w:ascii="Palatino Linotype" w:eastAsia="Palatino Linotype" w:hAnsi="Palatino Linotype" w:cs="Palatino Linotype"/>
          <w:i/>
          <w:color w:val="000000"/>
          <w:sz w:val="22"/>
          <w:szCs w:val="22"/>
        </w:rPr>
        <w:t xml:space="preserve"> Se generen versiones públicas para dar cumplimiento a las obligaciones de transparencia previstas en la Ley General, la Ley Federal y las correspondientes de las entidades federativas.</w:t>
      </w:r>
    </w:p>
    <w:p w14:paraId="431C982E"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t>Los titulares de las áreas deberán revisar la clasificación al momento de la recepción de una solicitud de acceso a la información, para verificar si encuadra en una causal de reserva o de confidencialidad.</w:t>
      </w:r>
    </w:p>
    <w:p w14:paraId="3B06E34B"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Octavo.</w:t>
      </w:r>
      <w:r>
        <w:rPr>
          <w:rFonts w:ascii="Palatino Linotype" w:eastAsia="Palatino Linotype" w:hAnsi="Palatino Linotype" w:cs="Palatino Linotype"/>
          <w:i/>
          <w:color w:val="000000"/>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124A9222"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t>Para motivar la clasificación se deberán señalar las razones o circunstancias especiales que lo llevaron a concluir que el caso particular se ajusta al supuesto previsto por la norma legal invocada como fundamento.</w:t>
      </w:r>
    </w:p>
    <w:p w14:paraId="51D4ECAE" w14:textId="77777777" w:rsidR="003E1096" w:rsidRDefault="005806A6">
      <w:pPr>
        <w:pBdr>
          <w:top w:val="nil"/>
          <w:left w:val="nil"/>
          <w:bottom w:val="nil"/>
          <w:right w:val="nil"/>
          <w:between w:val="nil"/>
        </w:pBdr>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7088B03E"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Noveno.</w:t>
      </w:r>
      <w:r>
        <w:rPr>
          <w:rFonts w:ascii="Palatino Linotype" w:eastAsia="Palatino Linotype" w:hAnsi="Palatino Linotype" w:cs="Palatino Linotype"/>
          <w:i/>
          <w:color w:val="000000"/>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46DE1CFB"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b/>
          <w:i/>
          <w:color w:val="000000"/>
          <w:sz w:val="22"/>
          <w:szCs w:val="22"/>
        </w:rPr>
        <w:t>Décimo.</w:t>
      </w:r>
      <w:r>
        <w:rPr>
          <w:rFonts w:ascii="Palatino Linotype" w:eastAsia="Palatino Linotype" w:hAnsi="Palatino Linotype" w:cs="Palatino Linotype"/>
          <w:i/>
          <w:color w:val="000000"/>
          <w:sz w:val="22"/>
          <w:szCs w:val="22"/>
        </w:rPr>
        <w:t xml:space="preserve"> Los titulares de las áreas, deberán tener conocimiento y llevar un registro del personal que, por la naturaleza de sus atribuciones, tenga acceso a los documentos </w:t>
      </w:r>
      <w:r>
        <w:rPr>
          <w:rFonts w:ascii="Palatino Linotype" w:eastAsia="Palatino Linotype" w:hAnsi="Palatino Linotype" w:cs="Palatino Linotype"/>
          <w:i/>
          <w:color w:val="000000"/>
          <w:sz w:val="22"/>
          <w:szCs w:val="22"/>
        </w:rPr>
        <w:lastRenderedPageBreak/>
        <w:t>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520A96BC"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t>En ausencia de los titulares de las áreas, la información será clasificada o desclasificada por la persona que lo supla, en términos de la normativa que rija la actuación del sujeto obligado.</w:t>
      </w:r>
    </w:p>
    <w:p w14:paraId="7B45840F" w14:textId="77777777" w:rsidR="003E1096" w:rsidRDefault="005806A6">
      <w:pPr>
        <w:pBdr>
          <w:top w:val="nil"/>
          <w:left w:val="nil"/>
          <w:bottom w:val="nil"/>
          <w:right w:val="nil"/>
          <w:between w:val="nil"/>
        </w:pBdr>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Décimo primero.</w:t>
      </w:r>
      <w:r>
        <w:rPr>
          <w:rFonts w:ascii="Palatino Linotype" w:eastAsia="Palatino Linotype" w:hAnsi="Palatino Linotype" w:cs="Palatino Linotype"/>
          <w:i/>
          <w:color w:val="000000"/>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34E82484" w14:textId="77777777" w:rsidR="003E1096" w:rsidRDefault="003E1096">
      <w:pPr>
        <w:pBdr>
          <w:top w:val="nil"/>
          <w:left w:val="nil"/>
          <w:bottom w:val="nil"/>
          <w:right w:val="nil"/>
          <w:between w:val="nil"/>
        </w:pBdr>
        <w:ind w:right="709"/>
        <w:jc w:val="both"/>
        <w:rPr>
          <w:color w:val="000000"/>
          <w:sz w:val="22"/>
          <w:szCs w:val="22"/>
        </w:rPr>
      </w:pPr>
    </w:p>
    <w:p w14:paraId="48CDB98A" w14:textId="77777777" w:rsidR="003E1096" w:rsidRDefault="005806A6">
      <w:pPr>
        <w:pBdr>
          <w:top w:val="nil"/>
          <w:left w:val="nil"/>
          <w:bottom w:val="nil"/>
          <w:right w:val="nil"/>
          <w:between w:val="nil"/>
        </w:pBdr>
        <w:ind w:left="709" w:right="709"/>
        <w:jc w:val="both"/>
        <w:rPr>
          <w:color w:val="000000"/>
          <w:sz w:val="22"/>
          <w:szCs w:val="22"/>
        </w:rPr>
      </w:pPr>
      <w:r>
        <w:rPr>
          <w:rFonts w:ascii="Palatino Linotype" w:eastAsia="Palatino Linotype" w:hAnsi="Palatino Linotype" w:cs="Palatino Linotype"/>
          <w:i/>
          <w:color w:val="000000"/>
          <w:sz w:val="22"/>
          <w:szCs w:val="22"/>
        </w:rPr>
        <w:t>[…]</w:t>
      </w:r>
    </w:p>
    <w:p w14:paraId="1753B7F4" w14:textId="77777777" w:rsidR="003E1096" w:rsidRDefault="005806A6">
      <w:pPr>
        <w:pBdr>
          <w:top w:val="nil"/>
          <w:left w:val="nil"/>
          <w:bottom w:val="nil"/>
          <w:right w:val="nil"/>
          <w:between w:val="nil"/>
        </w:pBdr>
        <w:ind w:left="709" w:right="709"/>
        <w:jc w:val="center"/>
        <w:rPr>
          <w:color w:val="000000"/>
          <w:sz w:val="22"/>
          <w:szCs w:val="22"/>
        </w:rPr>
      </w:pPr>
      <w:r>
        <w:rPr>
          <w:rFonts w:ascii="Palatino Linotype" w:eastAsia="Palatino Linotype" w:hAnsi="Palatino Linotype" w:cs="Palatino Linotype"/>
          <w:b/>
          <w:i/>
          <w:color w:val="000000"/>
          <w:sz w:val="22"/>
          <w:szCs w:val="22"/>
        </w:rPr>
        <w:t>CAPÍTULO VIII</w:t>
      </w:r>
    </w:p>
    <w:p w14:paraId="01C4D6CC" w14:textId="77777777" w:rsidR="003E1096" w:rsidRDefault="005806A6">
      <w:pPr>
        <w:pBdr>
          <w:top w:val="nil"/>
          <w:left w:val="nil"/>
          <w:bottom w:val="nil"/>
          <w:right w:val="nil"/>
          <w:between w:val="nil"/>
        </w:pBdr>
        <w:spacing w:after="160"/>
        <w:ind w:left="709" w:right="709"/>
        <w:jc w:val="center"/>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i/>
          <w:color w:val="000000"/>
          <w:sz w:val="22"/>
          <w:szCs w:val="22"/>
        </w:rPr>
        <w:t>DE LOS ELEMENTOS PARA LA CLASIFICACIÓN</w:t>
      </w:r>
    </w:p>
    <w:p w14:paraId="77710AB3"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Quincuagésimo</w:t>
      </w:r>
      <w:r>
        <w:rPr>
          <w:rFonts w:ascii="Palatino Linotype" w:eastAsia="Palatino Linotype" w:hAnsi="Palatino Linotype" w:cs="Palatino Linotype"/>
          <w:i/>
          <w:color w:val="000000"/>
          <w:sz w:val="22"/>
          <w:szCs w:val="22"/>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46B476E1"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Quincuagésimo primero</w:t>
      </w:r>
      <w:r>
        <w:rPr>
          <w:rFonts w:ascii="Palatino Linotype" w:eastAsia="Palatino Linotype" w:hAnsi="Palatino Linotype" w:cs="Palatino Linotype"/>
          <w:i/>
          <w:color w:val="000000"/>
          <w:sz w:val="22"/>
          <w:szCs w:val="22"/>
        </w:rPr>
        <w:t>. Toda acta del Comité de Transparencia deberá contener:</w:t>
      </w:r>
    </w:p>
    <w:p w14:paraId="14417E44"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I. El número de sesión y fecha; </w:t>
      </w:r>
    </w:p>
    <w:p w14:paraId="2F95B917"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 El nombre del área que solicitó la clasificación de información;</w:t>
      </w:r>
    </w:p>
    <w:p w14:paraId="1DEA7EA6"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III. La fundamentación legal y motivación correspondiente;</w:t>
      </w:r>
    </w:p>
    <w:p w14:paraId="4809713C"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IV. La resolución o resoluciones aprobadas; y</w:t>
      </w:r>
    </w:p>
    <w:p w14:paraId="2D49D6DA"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V. La rúbrica o firma digital de cada integrante del Comité de Transparencia. </w:t>
      </w:r>
    </w:p>
    <w:p w14:paraId="04C42AB0"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Las resoluciones del Comité en las que se haya determinado confirmar o modificar la clasificación de información pública como reservada, deberán incluir, cuando menos:</w:t>
      </w:r>
    </w:p>
    <w:p w14:paraId="74A64BF8"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 Los motivos y razonamientos que sustenten la confirmación o modificación de la prueba de daño;</w:t>
      </w:r>
    </w:p>
    <w:p w14:paraId="2ABD657A"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 Descripción de las partes o secciones reservadas, en caso de clasificación parcial;</w:t>
      </w:r>
    </w:p>
    <w:p w14:paraId="3EEAC0E1"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III. El periodo por el que mantendrá su clasificación y fecha de expiración; y</w:t>
      </w:r>
    </w:p>
    <w:p w14:paraId="4EF63D1F"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lastRenderedPageBreak/>
        <w:t>IV. El nombre del titular y área encargada de realizar la versión pública del documento, en su caso.</w:t>
      </w:r>
    </w:p>
    <w:p w14:paraId="5793AFBE"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 xml:space="preserve">En los casos en que se clasifique la información como reservada siempre se entregará o anexará la prueba de daño con la respuesta al solicitante. </w:t>
      </w:r>
    </w:p>
    <w:p w14:paraId="57C9F1ED"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En los casos de resoluciones del Comité de Transparencia en las que se confirme la clasificación de información confidencial solo se deberán de identificar los tipos de datos protegidos, de conformidad con el lineamiento trigésimo octavo.</w:t>
      </w:r>
    </w:p>
    <w:p w14:paraId="7952EC22"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i/>
          <w:color w:val="000000"/>
          <w:sz w:val="22"/>
          <w:szCs w:val="22"/>
        </w:rPr>
        <w:t>Quincuagésimo segundo</w:t>
      </w:r>
      <w:r>
        <w:rPr>
          <w:rFonts w:ascii="Palatino Linotype" w:eastAsia="Palatino Linotype" w:hAnsi="Palatino Linotype" w:cs="Palatino Linotype"/>
          <w:i/>
          <w:color w:val="000000"/>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7D39C8C9"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En el caso específico de la clasificación y elaboración de versiones públicas de documentos que contengan información confidencial, las áreas de los sujetos obligados deberán:</w:t>
      </w:r>
    </w:p>
    <w:p w14:paraId="2CD8D1B7"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 Fijar la fecha en que se elaboró la versión pública y la fecha en la cual el Comité de Transparencia confirmó dicha versión;</w:t>
      </w:r>
    </w:p>
    <w:p w14:paraId="14F2155A"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 Señalar dentro del documento el tipo de información confidencial que fue testada en cada caso específico, de conformidad con el lineamiento trigésimo octavo; y</w:t>
      </w:r>
    </w:p>
    <w:p w14:paraId="2629D631"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III. Señalar las personas o instancias autorizadas a acceder a la información clasificada.</w:t>
      </w:r>
    </w:p>
    <w:p w14:paraId="2E0AEDFE" w14:textId="77777777" w:rsidR="003E1096" w:rsidRDefault="005806A6">
      <w:pPr>
        <w:pBdr>
          <w:top w:val="nil"/>
          <w:left w:val="nil"/>
          <w:bottom w:val="nil"/>
          <w:right w:val="nil"/>
          <w:between w:val="nil"/>
        </w:pBdr>
        <w:spacing w:after="160"/>
        <w:ind w:left="709" w:right="709"/>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En los documentos de difusión electrónica, señalar en la primera hoja y en el nombre del archivo, que la versión pública corresponde a un documento que contiene información confidencial.</w:t>
      </w:r>
    </w:p>
    <w:p w14:paraId="7458FB18" w14:textId="77777777" w:rsidR="003E1096" w:rsidRDefault="005806A6">
      <w:pPr>
        <w:pBdr>
          <w:top w:val="nil"/>
          <w:left w:val="nil"/>
          <w:bottom w:val="nil"/>
          <w:right w:val="nil"/>
          <w:between w:val="nil"/>
        </w:pBdr>
        <w:spacing w:after="160"/>
        <w:ind w:left="709" w:right="709"/>
        <w:jc w:val="both"/>
        <w:rPr>
          <w:sz w:val="22"/>
          <w:szCs w:val="22"/>
        </w:rPr>
      </w:pPr>
      <w:r>
        <w:rPr>
          <w:rFonts w:ascii="Palatino Linotype" w:eastAsia="Palatino Linotype" w:hAnsi="Palatino Linotype" w:cs="Palatino Linotype"/>
          <w:i/>
          <w:color w:val="000000"/>
          <w:sz w:val="22"/>
          <w:szCs w:val="22"/>
        </w:rPr>
        <w:t xml:space="preserve">Quincuagésimo quinto. Cada área del sujeto obligado podrá designar formalmente a una o más personas como responsables del </w:t>
      </w:r>
      <w:proofErr w:type="spellStart"/>
      <w:r>
        <w:rPr>
          <w:rFonts w:ascii="Palatino Linotype" w:eastAsia="Palatino Linotype" w:hAnsi="Palatino Linotype" w:cs="Palatino Linotype"/>
          <w:i/>
          <w:color w:val="000000"/>
          <w:sz w:val="22"/>
          <w:szCs w:val="22"/>
        </w:rPr>
        <w:t>testado</w:t>
      </w:r>
      <w:proofErr w:type="spellEnd"/>
      <w:r>
        <w:rPr>
          <w:rFonts w:ascii="Palatino Linotype" w:eastAsia="Palatino Linotype" w:hAnsi="Palatino Linotype" w:cs="Palatino Linotype"/>
          <w:i/>
          <w:color w:val="000000"/>
          <w:sz w:val="22"/>
          <w:szCs w:val="22"/>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w:t>
      </w:r>
    </w:p>
    <w:p w14:paraId="14A5AF0C" w14:textId="77777777" w:rsidR="003E1096" w:rsidRDefault="003E1096">
      <w:pPr>
        <w:rPr>
          <w:color w:val="000000"/>
          <w:sz w:val="22"/>
          <w:szCs w:val="22"/>
        </w:rPr>
      </w:pPr>
    </w:p>
    <w:p w14:paraId="3339256B" w14:textId="77777777" w:rsidR="003E1096" w:rsidRDefault="005806A6">
      <w:pPr>
        <w:spacing w:line="360" w:lineRule="auto"/>
        <w:jc w:val="both"/>
        <w:rPr>
          <w:rFonts w:ascii="Palatino Linotype" w:eastAsia="Palatino Linotype" w:hAnsi="Palatino Linotype" w:cs="Palatino Linotype"/>
          <w:sz w:val="22"/>
          <w:szCs w:val="22"/>
        </w:rPr>
      </w:pPr>
      <w:bookmarkStart w:id="3" w:name="_heading=h.lnxbz9" w:colFirst="0" w:colLast="0"/>
      <w:bookmarkEnd w:id="3"/>
      <w:r>
        <w:rPr>
          <w:rFonts w:ascii="Palatino Linotype" w:eastAsia="Palatino Linotype" w:hAnsi="Palatino Linotype" w:cs="Palatino Linotype"/>
          <w:sz w:val="22"/>
          <w:szCs w:val="22"/>
        </w:rPr>
        <w:lastRenderedPageBreak/>
        <w:t>Efectivamente, cuando se clasifica información como confidencial es importante someterlo al Comité de Transparencia, quien debe confirmar, modificar o revocar la clasificación.</w:t>
      </w:r>
    </w:p>
    <w:p w14:paraId="325D4D58" w14:textId="77777777" w:rsidR="003E1096" w:rsidRDefault="003E1096">
      <w:pPr>
        <w:spacing w:line="360" w:lineRule="auto"/>
        <w:jc w:val="both"/>
        <w:rPr>
          <w:rFonts w:ascii="Palatino Linotype" w:eastAsia="Palatino Linotype" w:hAnsi="Palatino Linotype" w:cs="Palatino Linotype"/>
          <w:sz w:val="22"/>
          <w:szCs w:val="22"/>
        </w:rPr>
      </w:pPr>
    </w:p>
    <w:p w14:paraId="406CE9C8" w14:textId="77777777" w:rsidR="003E1096" w:rsidRDefault="005806A6">
      <w:pPr>
        <w:shd w:val="clear" w:color="auto" w:fill="FFFFFF"/>
        <w:spacing w:line="360" w:lineRule="auto"/>
        <w:ind w:right="51"/>
        <w:jc w:val="both"/>
        <w:rPr>
          <w:rFonts w:ascii="Palatino Linotype" w:eastAsia="Palatino Linotype" w:hAnsi="Palatino Linotype" w:cs="Palatino Linotype"/>
          <w:sz w:val="22"/>
          <w:szCs w:val="22"/>
        </w:rPr>
      </w:pPr>
      <w:bookmarkStart w:id="4" w:name="_heading=h.4d34og8" w:colFirst="0" w:colLast="0"/>
      <w:bookmarkEnd w:id="4"/>
      <w:r>
        <w:rPr>
          <w:rFonts w:ascii="Palatino Linotype" w:eastAsia="Palatino Linotype" w:hAnsi="Palatino Linotype" w:cs="Palatino Linotype"/>
          <w:sz w:val="22"/>
          <w:szCs w:val="22"/>
        </w:rPr>
        <w:t xml:space="preserve">Por lo tanto, la entrega de documentos en su versión pública debe acompañarse necesariamente del Acuerdo del Comité de Transparencia que la sustente, en el que se expongan los fundamentos y razonamientos que llevaron al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Pr>
          <w:rFonts w:ascii="Palatino Linotype" w:eastAsia="Palatino Linotype" w:hAnsi="Palatino Linotype" w:cs="Palatino Linotype"/>
          <w:b/>
          <w:sz w:val="22"/>
          <w:szCs w:val="22"/>
        </w:rPr>
        <w:t>la parte</w:t>
      </w:r>
      <w:r>
        <w:rPr>
          <w:rFonts w:ascii="Palatino Linotype" w:eastAsia="Palatino Linotype" w:hAnsi="Palatino Linotype" w:cs="Palatino Linotype"/>
          <w:sz w:val="22"/>
          <w:szCs w:val="22"/>
        </w:rPr>
        <w:t xml:space="preserve"> </w:t>
      </w:r>
      <w:r>
        <w:rPr>
          <w:rFonts w:ascii="Palatino Linotype" w:eastAsia="Palatino Linotype" w:hAnsi="Palatino Linotype" w:cs="Palatino Linotype"/>
          <w:b/>
          <w:sz w:val="22"/>
          <w:szCs w:val="22"/>
        </w:rPr>
        <w:t>Recurrente</w:t>
      </w:r>
      <w:r>
        <w:rPr>
          <w:rFonts w:ascii="Palatino Linotype" w:eastAsia="Palatino Linotype" w:hAnsi="Palatino Linotype" w:cs="Palatino Linotype"/>
          <w:sz w:val="22"/>
          <w:szCs w:val="22"/>
        </w:rPr>
        <w:t>.</w:t>
      </w:r>
    </w:p>
    <w:p w14:paraId="2D517C11"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Por lo anteriormente expuesto y con fundamento en lo prescrito en los artículos 5 párrafos trigésimo tercero, trigésimo cuarto y trigésimo quinto de la Constitución Política del Estado Libre y Soberano de México; 2, fracción II; 29, 36 fracciones I y II; 176, 178, 181, 185 y 186 fracción III de la Ley de Transparencia y Acceso a la Información Pública del Estado de México y Municipios, este Pleno:</w:t>
      </w:r>
    </w:p>
    <w:p w14:paraId="2A116CEC" w14:textId="77777777" w:rsidR="003E1096" w:rsidRDefault="005806A6">
      <w:pPr>
        <w:numPr>
          <w:ilvl w:val="0"/>
          <w:numId w:val="1"/>
        </w:numPr>
        <w:pBdr>
          <w:top w:val="nil"/>
          <w:left w:val="nil"/>
          <w:bottom w:val="nil"/>
          <w:right w:val="nil"/>
          <w:between w:val="nil"/>
        </w:pBdr>
        <w:spacing w:before="240" w:after="240" w:line="360" w:lineRule="auto"/>
        <w:ind w:left="567" w:hanging="141"/>
        <w:jc w:val="center"/>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R E S U E L V E:</w:t>
      </w:r>
    </w:p>
    <w:p w14:paraId="798C5DEA" w14:textId="77777777" w:rsidR="003E1096" w:rsidRDefault="005806A6">
      <w:pPr>
        <w:spacing w:before="240" w:after="240" w:line="360" w:lineRule="auto"/>
        <w:jc w:val="both"/>
        <w:rPr>
          <w:rFonts w:ascii="Palatino Linotype" w:eastAsia="Palatino Linotype" w:hAnsi="Palatino Linotype" w:cs="Palatino Linotype"/>
          <w:sz w:val="22"/>
          <w:szCs w:val="22"/>
        </w:rPr>
      </w:pPr>
      <w:bookmarkStart w:id="5" w:name="_heading=h.3znysh7" w:colFirst="0" w:colLast="0"/>
      <w:bookmarkEnd w:id="5"/>
      <w:r>
        <w:rPr>
          <w:rFonts w:ascii="Palatino Linotype" w:eastAsia="Palatino Linotype" w:hAnsi="Palatino Linotype" w:cs="Palatino Linotype"/>
          <w:b/>
          <w:sz w:val="22"/>
          <w:szCs w:val="22"/>
        </w:rPr>
        <w:t xml:space="preserve">Primero. </w:t>
      </w:r>
      <w:r>
        <w:rPr>
          <w:rFonts w:ascii="Palatino Linotype" w:eastAsia="Palatino Linotype" w:hAnsi="Palatino Linotype" w:cs="Palatino Linotype"/>
          <w:sz w:val="22"/>
          <w:szCs w:val="22"/>
        </w:rPr>
        <w:t>Resultan</w:t>
      </w:r>
      <w:r>
        <w:rPr>
          <w:rFonts w:ascii="Palatino Linotype" w:eastAsia="Palatino Linotype" w:hAnsi="Palatino Linotype" w:cs="Palatino Linotype"/>
          <w:b/>
          <w:sz w:val="22"/>
          <w:szCs w:val="22"/>
        </w:rPr>
        <w:t xml:space="preserve"> fundados </w:t>
      </w:r>
      <w:r>
        <w:rPr>
          <w:rFonts w:ascii="Palatino Linotype" w:eastAsia="Palatino Linotype" w:hAnsi="Palatino Linotype" w:cs="Palatino Linotype"/>
          <w:sz w:val="22"/>
          <w:szCs w:val="22"/>
        </w:rPr>
        <w:t xml:space="preserve">los motivos de inconformidad hechos valer por </w:t>
      </w:r>
      <w:r>
        <w:rPr>
          <w:rFonts w:ascii="Palatino Linotype" w:eastAsia="Palatino Linotype" w:hAnsi="Palatino Linotype" w:cs="Palatino Linotype"/>
          <w:b/>
          <w:sz w:val="22"/>
          <w:szCs w:val="22"/>
        </w:rPr>
        <w:t>la parte Recurrente</w:t>
      </w:r>
      <w:r>
        <w:rPr>
          <w:rFonts w:ascii="Palatino Linotype" w:eastAsia="Palatino Linotype" w:hAnsi="Palatino Linotype" w:cs="Palatino Linotype"/>
          <w:sz w:val="22"/>
          <w:szCs w:val="22"/>
        </w:rPr>
        <w:t xml:space="preserve"> en los Recursos de Revisión</w:t>
      </w:r>
      <w:r>
        <w:rPr>
          <w:rFonts w:ascii="Palatino Linotype" w:eastAsia="Palatino Linotype" w:hAnsi="Palatino Linotype" w:cs="Palatino Linotype"/>
          <w:b/>
          <w:sz w:val="22"/>
          <w:szCs w:val="22"/>
        </w:rPr>
        <w:t xml:space="preserve"> 06714/INFOEM/IP/RR/2024, 06716/INFOEM/IP/RR/2024, 06728/INFOEM/IP/RR/</w:t>
      </w:r>
      <w:proofErr w:type="gramStart"/>
      <w:r>
        <w:rPr>
          <w:rFonts w:ascii="Palatino Linotype" w:eastAsia="Palatino Linotype" w:hAnsi="Palatino Linotype" w:cs="Palatino Linotype"/>
          <w:b/>
          <w:sz w:val="22"/>
          <w:szCs w:val="22"/>
        </w:rPr>
        <w:t>2024,  06732</w:t>
      </w:r>
      <w:proofErr w:type="gramEnd"/>
      <w:r>
        <w:rPr>
          <w:rFonts w:ascii="Palatino Linotype" w:eastAsia="Palatino Linotype" w:hAnsi="Palatino Linotype" w:cs="Palatino Linotype"/>
          <w:b/>
          <w:sz w:val="22"/>
          <w:szCs w:val="22"/>
        </w:rPr>
        <w:t xml:space="preserve">/INFOEM/IP/RR/2024, </w:t>
      </w:r>
      <w:r>
        <w:rPr>
          <w:rFonts w:ascii="Palatino Linotype" w:eastAsia="Palatino Linotype" w:hAnsi="Palatino Linotype" w:cs="Palatino Linotype"/>
          <w:b/>
          <w:sz w:val="22"/>
          <w:szCs w:val="22"/>
        </w:rPr>
        <w:lastRenderedPageBreak/>
        <w:t xml:space="preserve">06882/INFOEM/IP/RR/2024 y 06905/INFOEM/IP/RR/2024 acumulados, </w:t>
      </w:r>
      <w:r>
        <w:rPr>
          <w:rFonts w:ascii="Palatino Linotype" w:eastAsia="Palatino Linotype" w:hAnsi="Palatino Linotype" w:cs="Palatino Linotype"/>
          <w:sz w:val="22"/>
          <w:szCs w:val="22"/>
        </w:rPr>
        <w:t>por lo que</w:t>
      </w:r>
      <w:r>
        <w:rPr>
          <w:rFonts w:ascii="Palatino Linotype" w:eastAsia="Palatino Linotype" w:hAnsi="Palatino Linotype" w:cs="Palatino Linotype"/>
          <w:b/>
          <w:sz w:val="22"/>
          <w:szCs w:val="22"/>
        </w:rPr>
        <w:t xml:space="preserve">, en términos del Considerando Cuarto </w:t>
      </w:r>
      <w:r>
        <w:rPr>
          <w:rFonts w:ascii="Palatino Linotype" w:eastAsia="Palatino Linotype" w:hAnsi="Palatino Linotype" w:cs="Palatino Linotype"/>
          <w:sz w:val="22"/>
          <w:szCs w:val="22"/>
        </w:rPr>
        <w:t xml:space="preserve">de la presente resolución, </w:t>
      </w:r>
      <w:r>
        <w:rPr>
          <w:rFonts w:ascii="Palatino Linotype" w:eastAsia="Palatino Linotype" w:hAnsi="Palatino Linotype" w:cs="Palatino Linotype"/>
          <w:b/>
          <w:color w:val="000000"/>
          <w:sz w:val="22"/>
          <w:szCs w:val="22"/>
        </w:rPr>
        <w:t>se REVOCAN</w:t>
      </w:r>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sz w:val="22"/>
          <w:szCs w:val="22"/>
        </w:rPr>
        <w:t>las respuestas del</w:t>
      </w:r>
      <w:r>
        <w:rPr>
          <w:rFonts w:ascii="Palatino Linotype" w:eastAsia="Palatino Linotype" w:hAnsi="Palatino Linotype" w:cs="Palatino Linotype"/>
          <w:b/>
          <w:sz w:val="22"/>
          <w:szCs w:val="22"/>
        </w:rPr>
        <w:t xml:space="preserve"> Sujeto Obligado.</w:t>
      </w:r>
    </w:p>
    <w:p w14:paraId="18FBE574" w14:textId="77777777" w:rsidR="003E1096" w:rsidRDefault="005806A6">
      <w:pPr>
        <w:spacing w:before="240" w:after="240" w:line="360" w:lineRule="auto"/>
        <w:ind w:right="49"/>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Segundo. Se Ordena al Sujeto Obligado </w:t>
      </w:r>
      <w:r>
        <w:rPr>
          <w:rFonts w:ascii="Palatino Linotype" w:eastAsia="Palatino Linotype" w:hAnsi="Palatino Linotype" w:cs="Palatino Linotype"/>
          <w:sz w:val="22"/>
          <w:szCs w:val="22"/>
        </w:rPr>
        <w:t>que en términos de los</w:t>
      </w:r>
      <w:r>
        <w:rPr>
          <w:rFonts w:ascii="Palatino Linotype" w:eastAsia="Palatino Linotype" w:hAnsi="Palatino Linotype" w:cs="Palatino Linotype"/>
          <w:b/>
          <w:sz w:val="22"/>
          <w:szCs w:val="22"/>
        </w:rPr>
        <w:t xml:space="preserve"> Considerandos Cuarto y Quinto </w:t>
      </w:r>
      <w:r>
        <w:rPr>
          <w:rFonts w:ascii="Palatino Linotype" w:eastAsia="Palatino Linotype" w:hAnsi="Palatino Linotype" w:cs="Palatino Linotype"/>
          <w:sz w:val="22"/>
          <w:szCs w:val="22"/>
        </w:rPr>
        <w:t xml:space="preserve">de esta resolución haga entrega a </w:t>
      </w:r>
      <w:r>
        <w:rPr>
          <w:rFonts w:ascii="Palatino Linotype" w:eastAsia="Palatino Linotype" w:hAnsi="Palatino Linotype" w:cs="Palatino Linotype"/>
          <w:b/>
          <w:sz w:val="22"/>
          <w:szCs w:val="22"/>
        </w:rPr>
        <w:t>la parte Recurrente a través del SAIMEX</w:t>
      </w:r>
      <w:r>
        <w:rPr>
          <w:rFonts w:ascii="Palatino Linotype" w:eastAsia="Palatino Linotype" w:hAnsi="Palatino Linotype" w:cs="Palatino Linotype"/>
          <w:sz w:val="22"/>
          <w:szCs w:val="22"/>
        </w:rPr>
        <w:t>, en versión pública de ser procedente</w:t>
      </w:r>
      <w:r>
        <w:rPr>
          <w:rFonts w:ascii="Palatino Linotype" w:eastAsia="Palatino Linotype" w:hAnsi="Palatino Linotype" w:cs="Palatino Linotype"/>
          <w:b/>
          <w:sz w:val="22"/>
          <w:szCs w:val="22"/>
        </w:rPr>
        <w:t>, lo siguiente:</w:t>
      </w:r>
      <w:r>
        <w:rPr>
          <w:rFonts w:ascii="Palatino Linotype" w:eastAsia="Palatino Linotype" w:hAnsi="Palatino Linotype" w:cs="Palatino Linotype"/>
          <w:b/>
          <w:sz w:val="22"/>
          <w:szCs w:val="22"/>
          <w:u w:val="single"/>
        </w:rPr>
        <w:t xml:space="preserve"> </w:t>
      </w:r>
    </w:p>
    <w:p w14:paraId="129E47F8" w14:textId="77777777" w:rsidR="003E1096" w:rsidRDefault="005806A6" w:rsidP="00A34305">
      <w:pPr>
        <w:widowControl w:val="0"/>
        <w:spacing w:before="240" w:after="240" w:line="276" w:lineRule="auto"/>
        <w:ind w:right="49"/>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1. Pólizas de egresos, facturas y documentos que respalden la adquisición de uniformes para DIF, IMCUFIDE y presidencia, del 01 de enero de 2022 al 02 de octubre de 2024.</w:t>
      </w:r>
    </w:p>
    <w:p w14:paraId="5D3BAABE" w14:textId="77777777" w:rsidR="003E1096" w:rsidRDefault="005806A6" w:rsidP="00A34305">
      <w:pPr>
        <w:widowControl w:val="0"/>
        <w:spacing w:before="240" w:after="240" w:line="276" w:lineRule="auto"/>
        <w:ind w:right="49"/>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2. Pólizas de egresos, facturas y documentos que respalden las compras de ropa o cualquier vestimenta adquirido por el municipio para servidores públicos o ciudadanos, del 01 de enero de 2022 al 02 de octubre de 2024.</w:t>
      </w:r>
    </w:p>
    <w:p w14:paraId="551216F6" w14:textId="77777777" w:rsidR="003E1096" w:rsidRDefault="005806A6" w:rsidP="00A34305">
      <w:pPr>
        <w:widowControl w:val="0"/>
        <w:spacing w:before="240" w:after="240" w:line="276" w:lineRule="auto"/>
        <w:ind w:right="49"/>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 xml:space="preserve">3. Pólizas de egresos y facturas, generadas por concepto de compra de bienes muebles municipales, del 01 de enero de </w:t>
      </w:r>
      <w:proofErr w:type="gramStart"/>
      <w:r>
        <w:rPr>
          <w:rFonts w:ascii="Palatino Linotype" w:eastAsia="Palatino Linotype" w:hAnsi="Palatino Linotype" w:cs="Palatino Linotype"/>
          <w:b/>
          <w:i/>
          <w:sz w:val="22"/>
          <w:szCs w:val="22"/>
        </w:rPr>
        <w:t>2022  al</w:t>
      </w:r>
      <w:proofErr w:type="gramEnd"/>
      <w:r>
        <w:rPr>
          <w:rFonts w:ascii="Palatino Linotype" w:eastAsia="Palatino Linotype" w:hAnsi="Palatino Linotype" w:cs="Palatino Linotype"/>
          <w:b/>
          <w:i/>
          <w:sz w:val="22"/>
          <w:szCs w:val="22"/>
        </w:rPr>
        <w:t xml:space="preserve"> 07 de octubre de 2024.</w:t>
      </w:r>
    </w:p>
    <w:p w14:paraId="3207B056" w14:textId="77777777" w:rsidR="003E1096" w:rsidRDefault="005806A6" w:rsidP="00A34305">
      <w:pPr>
        <w:widowControl w:val="0"/>
        <w:spacing w:before="240" w:after="240" w:line="276" w:lineRule="auto"/>
        <w:ind w:right="49"/>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4. Pólizas de egresos y facturas, generadas por concepto de reparación, rehabilitación o mantenimiento de la bomba del pozo de agua municipal del 01 de enero de 2022 al 07 de octubre de 2024.</w:t>
      </w:r>
    </w:p>
    <w:p w14:paraId="6C04AC54" w14:textId="77777777" w:rsidR="003E1096" w:rsidRDefault="005806A6" w:rsidP="00A34305">
      <w:pPr>
        <w:widowControl w:val="0"/>
        <w:spacing w:before="240" w:after="240" w:line="276" w:lineRule="auto"/>
        <w:ind w:right="49"/>
        <w:jc w:val="both"/>
        <w:rPr>
          <w:rFonts w:ascii="Palatino Linotype" w:eastAsia="Palatino Linotype" w:hAnsi="Palatino Linotype" w:cs="Palatino Linotype"/>
          <w:b/>
          <w:i/>
          <w:sz w:val="22"/>
          <w:szCs w:val="22"/>
        </w:rPr>
      </w:pPr>
      <w:r>
        <w:rPr>
          <w:rFonts w:ascii="Palatino Linotype" w:eastAsia="Palatino Linotype" w:hAnsi="Palatino Linotype" w:cs="Palatino Linotype"/>
          <w:i/>
          <w:sz w:val="22"/>
          <w:szCs w:val="22"/>
        </w:rPr>
        <w:t xml:space="preserve">Debiendo acompañar el Acuerdo del Comité de Transparencia de conformidad a la Ley de Transparencia y Acceso a la Información Pública del Estado de México y Municipios, en el que funde y motive las razones sobre los datos que se supriman o eliminen de los soportes documentales objeto de las versiones públicas que se formulen y se pongan a disposición de </w:t>
      </w:r>
      <w:r>
        <w:rPr>
          <w:rFonts w:ascii="Palatino Linotype" w:eastAsia="Palatino Linotype" w:hAnsi="Palatino Linotype" w:cs="Palatino Linotype"/>
          <w:b/>
          <w:i/>
          <w:sz w:val="22"/>
          <w:szCs w:val="22"/>
        </w:rPr>
        <w:t>la parte Recurrente</w:t>
      </w:r>
      <w:r>
        <w:rPr>
          <w:rFonts w:ascii="Palatino Linotype" w:eastAsia="Palatino Linotype" w:hAnsi="Palatino Linotype" w:cs="Palatino Linotype"/>
          <w:i/>
          <w:sz w:val="22"/>
          <w:szCs w:val="22"/>
        </w:rPr>
        <w:t>.</w:t>
      </w:r>
    </w:p>
    <w:p w14:paraId="0A541199" w14:textId="77777777" w:rsidR="003E1096" w:rsidRDefault="005806A6" w:rsidP="00A34305">
      <w:pPr>
        <w:pBdr>
          <w:top w:val="nil"/>
          <w:left w:val="nil"/>
          <w:bottom w:val="nil"/>
          <w:right w:val="nil"/>
          <w:between w:val="nil"/>
        </w:pBdr>
        <w:spacing w:before="240" w:line="276" w:lineRule="auto"/>
        <w:ind w:right="49"/>
        <w:jc w:val="both"/>
        <w:rPr>
          <w:rFonts w:ascii="Palatino Linotype" w:eastAsia="Palatino Linotype" w:hAnsi="Palatino Linotype" w:cs="Palatino Linotype"/>
          <w:i/>
          <w:color w:val="000000"/>
          <w:sz w:val="22"/>
          <w:szCs w:val="22"/>
        </w:rPr>
      </w:pPr>
      <w:bookmarkStart w:id="6" w:name="_heading=h.1t3h5sf" w:colFirst="0" w:colLast="0"/>
      <w:bookmarkEnd w:id="6"/>
      <w:r>
        <w:rPr>
          <w:rFonts w:ascii="Palatino Linotype" w:eastAsia="Palatino Linotype" w:hAnsi="Palatino Linotype" w:cs="Palatino Linotype"/>
          <w:i/>
          <w:color w:val="000000"/>
          <w:sz w:val="22"/>
          <w:szCs w:val="22"/>
        </w:rPr>
        <w:t xml:space="preserve">En el supuesto en el que </w:t>
      </w:r>
      <w:r>
        <w:rPr>
          <w:rFonts w:ascii="Palatino Linotype" w:eastAsia="Palatino Linotype" w:hAnsi="Palatino Linotype" w:cs="Palatino Linotype"/>
          <w:b/>
          <w:i/>
          <w:sz w:val="22"/>
          <w:szCs w:val="22"/>
          <w:u w:val="single"/>
        </w:rPr>
        <w:t>en algún periodo de los que se ordena la entrega de información, no haya erogado recursos por los conceptos referidos</w:t>
      </w:r>
      <w:r>
        <w:rPr>
          <w:rFonts w:ascii="Palatino Linotype" w:eastAsia="Palatino Linotype" w:hAnsi="Palatino Linotype" w:cs="Palatino Linotype"/>
          <w:i/>
          <w:sz w:val="22"/>
          <w:szCs w:val="22"/>
        </w:rPr>
        <w:t>,</w:t>
      </w:r>
      <w:r>
        <w:rPr>
          <w:rFonts w:ascii="Palatino Linotype" w:eastAsia="Palatino Linotype" w:hAnsi="Palatino Linotype" w:cs="Palatino Linotype"/>
          <w:i/>
          <w:color w:val="000000"/>
          <w:sz w:val="22"/>
          <w:szCs w:val="22"/>
        </w:rPr>
        <w:t xml:space="preserve"> bastará con que así lo haga del conocimiento de </w:t>
      </w:r>
      <w:r>
        <w:rPr>
          <w:rFonts w:ascii="Palatino Linotype" w:eastAsia="Palatino Linotype" w:hAnsi="Palatino Linotype" w:cs="Palatino Linotype"/>
          <w:b/>
          <w:i/>
          <w:color w:val="000000"/>
          <w:sz w:val="22"/>
          <w:szCs w:val="22"/>
        </w:rPr>
        <w:t>la parte Recurrente</w:t>
      </w:r>
      <w:r>
        <w:rPr>
          <w:rFonts w:ascii="Palatino Linotype" w:eastAsia="Palatino Linotype" w:hAnsi="Palatino Linotype" w:cs="Palatino Linotype"/>
          <w:i/>
          <w:color w:val="000000"/>
          <w:sz w:val="22"/>
          <w:szCs w:val="22"/>
        </w:rPr>
        <w:t>, en términos del artículo 19, párrafo segundo de la Ley de Transparencia y Acceso a la Información Pública del Estado de México y Municipios.788</w:t>
      </w:r>
    </w:p>
    <w:p w14:paraId="5633D074"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lastRenderedPageBreak/>
        <w:t xml:space="preserve">Tercero. Notifíquese vía SAIMEX, </w:t>
      </w:r>
      <w:r>
        <w:rPr>
          <w:rFonts w:ascii="Palatino Linotype" w:eastAsia="Palatino Linotype" w:hAnsi="Palatino Linotype" w:cs="Palatino Linotype"/>
          <w:sz w:val="22"/>
          <w:szCs w:val="22"/>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1CD0E2FC" w14:textId="77777777" w:rsidR="003E1096" w:rsidRDefault="005806A6">
      <w:pPr>
        <w:spacing w:before="240" w:after="240"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 xml:space="preserve">Cuarto. </w:t>
      </w:r>
      <w:r>
        <w:rPr>
          <w:rFonts w:ascii="Palatino Linotype" w:eastAsia="Palatino Linotype" w:hAnsi="Palatino Linotype" w:cs="Palatino Linotype"/>
          <w:sz w:val="22"/>
          <w:szCs w:val="22"/>
        </w:rPr>
        <w:t xml:space="preserve">De conformidad con el artículo 198 de la Ley de Transparencia y Acceso a la Información Pública del Estado de México y Municipios, de considerarlo procedente, el </w:t>
      </w:r>
      <w:r>
        <w:rPr>
          <w:rFonts w:ascii="Palatino Linotype" w:eastAsia="Palatino Linotype" w:hAnsi="Palatino Linotype" w:cs="Palatino Linotype"/>
          <w:b/>
          <w:sz w:val="22"/>
          <w:szCs w:val="22"/>
        </w:rPr>
        <w:t>Sujeto Obligado</w:t>
      </w:r>
      <w:r>
        <w:rPr>
          <w:rFonts w:ascii="Palatino Linotype" w:eastAsia="Palatino Linotype" w:hAnsi="Palatino Linotype" w:cs="Palatino Linotype"/>
          <w:sz w:val="22"/>
          <w:szCs w:val="22"/>
        </w:rPr>
        <w:t xml:space="preserve"> de manera fundada y motivada, podrá solicitar una ampliación de plazo para el cumplimiento de la presente resolución.</w:t>
      </w:r>
    </w:p>
    <w:p w14:paraId="14A0A628" w14:textId="77777777" w:rsidR="003E1096" w:rsidRDefault="005806A6">
      <w:pPr>
        <w:spacing w:before="240" w:after="240" w:line="360" w:lineRule="auto"/>
        <w:jc w:val="both"/>
        <w:rPr>
          <w:rFonts w:ascii="Palatino Linotype" w:eastAsia="Palatino Linotype" w:hAnsi="Palatino Linotype" w:cs="Palatino Linotype"/>
          <w:sz w:val="22"/>
          <w:szCs w:val="22"/>
        </w:rPr>
      </w:pPr>
      <w:bookmarkStart w:id="7" w:name="_heading=h.tyjcwt" w:colFirst="0" w:colLast="0"/>
      <w:bookmarkEnd w:id="7"/>
      <w:r>
        <w:rPr>
          <w:rFonts w:ascii="Palatino Linotype" w:eastAsia="Palatino Linotype" w:hAnsi="Palatino Linotype" w:cs="Palatino Linotype"/>
          <w:b/>
          <w:sz w:val="22"/>
          <w:szCs w:val="22"/>
        </w:rPr>
        <w:t xml:space="preserve">Quinto. Notifíquese vía SAIMEX, </w:t>
      </w:r>
      <w:r>
        <w:rPr>
          <w:rFonts w:ascii="Palatino Linotype" w:eastAsia="Palatino Linotype" w:hAnsi="Palatino Linotype" w:cs="Palatino Linotype"/>
          <w:sz w:val="22"/>
          <w:szCs w:val="22"/>
        </w:rPr>
        <w:t>a</w:t>
      </w:r>
      <w:r>
        <w:rPr>
          <w:rFonts w:ascii="Palatino Linotype" w:eastAsia="Palatino Linotype" w:hAnsi="Palatino Linotype" w:cs="Palatino Linotype"/>
          <w:b/>
          <w:sz w:val="22"/>
          <w:szCs w:val="22"/>
        </w:rPr>
        <w:t xml:space="preserve"> la parte Recurrente</w:t>
      </w:r>
      <w:r>
        <w:rPr>
          <w:rFonts w:ascii="Palatino Linotype" w:eastAsia="Palatino Linotype" w:hAnsi="Palatino Linotype" w:cs="Palatino Linotype"/>
          <w:sz w:val="22"/>
          <w:szCs w:val="22"/>
        </w:rPr>
        <w:t xml:space="preserve"> la presente resolución, así como que podrá impugnar vía Juicio de Amparo en los términos de las leyes aplicables, de conformidad con lo establecido en el artículo 196 de la Ley de Transparencia y Acceso a la Información Pública del Estado de México y Municipios. </w:t>
      </w:r>
    </w:p>
    <w:p w14:paraId="72130061" w14:textId="77777777" w:rsidR="003E1096" w:rsidRDefault="005806A6">
      <w:pPr>
        <w:spacing w:before="240" w:after="240" w:line="360" w:lineRule="auto"/>
        <w:jc w:val="both"/>
        <w:rPr>
          <w:rFonts w:ascii="Palatino Linotype" w:eastAsia="Palatino Linotype" w:hAnsi="Palatino Linotype" w:cs="Palatino Linotype"/>
        </w:rPr>
        <w:sectPr w:rsidR="003E1096">
          <w:headerReference w:type="even" r:id="rId15"/>
          <w:headerReference w:type="default" r:id="rId16"/>
          <w:footerReference w:type="even" r:id="rId17"/>
          <w:footerReference w:type="default" r:id="rId18"/>
          <w:headerReference w:type="first" r:id="rId19"/>
          <w:footerReference w:type="first" r:id="rId20"/>
          <w:pgSz w:w="12240" w:h="15840"/>
          <w:pgMar w:top="621" w:right="1701" w:bottom="1701" w:left="1701" w:header="618" w:footer="709" w:gutter="0"/>
          <w:pgNumType w:start="1"/>
          <w:cols w:space="720"/>
          <w:titlePg/>
        </w:sectPr>
      </w:pPr>
      <w:r>
        <w:rPr>
          <w:rFonts w:ascii="Palatino Linotype" w:eastAsia="Palatino Linotype" w:hAnsi="Palatino Linotype" w:cs="Palatino Linotype"/>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w:t>
      </w:r>
      <w:r>
        <w:rPr>
          <w:rFonts w:ascii="Palatino Linotype" w:eastAsia="Palatino Linotype" w:hAnsi="Palatino Linotype" w:cs="Palatino Linotype"/>
        </w:rPr>
        <w:lastRenderedPageBreak/>
        <w:t xml:space="preserve">RAMÍREZ PEÑA; EN </w:t>
      </w:r>
      <w:r>
        <w:rPr>
          <w:rFonts w:ascii="Palatino Linotype" w:eastAsia="Palatino Linotype" w:hAnsi="Palatino Linotype" w:cs="Palatino Linotype"/>
          <w:color w:val="000000"/>
        </w:rPr>
        <w:t xml:space="preserve">LA CUADRAGÉSIMA SEGUNDA SESIÓN ORDINARIA CELEBRADA EL CUATRO DE DICIEMBRE </w:t>
      </w:r>
      <w:r>
        <w:rPr>
          <w:rFonts w:ascii="Palatino Linotype" w:eastAsia="Palatino Linotype" w:hAnsi="Palatino Linotype" w:cs="Palatino Linotype"/>
        </w:rPr>
        <w:t>DE DOS MIL VEINTICUATRO, ANTE EL SECRETARIO TÉCNICO DEL PLENO, ALEXIS TAPIA RAMÍREZ.</w:t>
      </w:r>
    </w:p>
    <w:p w14:paraId="5E027DC0" w14:textId="77777777" w:rsidR="003E1096" w:rsidRDefault="003E1096">
      <w:pPr>
        <w:spacing w:before="240" w:after="240"/>
        <w:jc w:val="both"/>
        <w:rPr>
          <w:rFonts w:ascii="Palatino Linotype" w:eastAsia="Palatino Linotype" w:hAnsi="Palatino Linotype" w:cs="Palatino Linotype"/>
          <w:sz w:val="20"/>
          <w:szCs w:val="20"/>
        </w:rPr>
      </w:pPr>
    </w:p>
    <w:p w14:paraId="209F19FA" w14:textId="77777777" w:rsidR="003E1096" w:rsidRDefault="003E1096">
      <w:pPr>
        <w:spacing w:before="240" w:after="240"/>
        <w:jc w:val="both"/>
        <w:rPr>
          <w:rFonts w:ascii="Palatino Linotype" w:eastAsia="Palatino Linotype" w:hAnsi="Palatino Linotype" w:cs="Palatino Linotype"/>
          <w:sz w:val="20"/>
          <w:szCs w:val="20"/>
        </w:rPr>
      </w:pPr>
      <w:bookmarkStart w:id="8" w:name="_heading=h.1fob9te" w:colFirst="0" w:colLast="0"/>
      <w:bookmarkEnd w:id="8"/>
    </w:p>
    <w:sectPr w:rsidR="003E1096">
      <w:headerReference w:type="first" r:id="rId21"/>
      <w:pgSz w:w="12240" w:h="15840"/>
      <w:pgMar w:top="1985" w:right="1701" w:bottom="1701" w:left="1701"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1ACD72" w14:textId="77777777" w:rsidR="0086001C" w:rsidRDefault="0086001C">
      <w:r>
        <w:separator/>
      </w:r>
    </w:p>
  </w:endnote>
  <w:endnote w:type="continuationSeparator" w:id="0">
    <w:p w14:paraId="673183B7" w14:textId="77777777" w:rsidR="0086001C" w:rsidRDefault="008600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Liberation Serif">
    <w:panose1 w:val="00000000000000000000"/>
    <w:charset w:val="00"/>
    <w:family w:val="roman"/>
    <w:notTrueType/>
    <w:pitch w:val="default"/>
  </w:font>
  <w:font w:name="DejaVu Sans">
    <w:panose1 w:val="00000000000000000000"/>
    <w:charset w:val="00"/>
    <w:family w:val="roman"/>
    <w:notTrueType/>
    <w:pitch w:val="default"/>
  </w:font>
  <w:font w:name="Lohit Hindi">
    <w:panose1 w:val="00000000000000000000"/>
    <w:charset w:val="00"/>
    <w:family w:val="roman"/>
    <w:notTrueType/>
    <w:pitch w:val="default"/>
  </w:font>
  <w:font w:name="Helvetica">
    <w:panose1 w:val="020B0504020202020204"/>
    <w:charset w:val="00"/>
    <w:family w:val="swiss"/>
    <w:notTrueType/>
    <w:pitch w:val="variable"/>
    <w:sig w:usb0="00000003" w:usb1="00000000" w:usb2="00000000" w:usb3="00000000" w:csb0="00000001" w:csb1="00000000"/>
  </w:font>
  <w:font w:name="Myriad Pro">
    <w:panose1 w:val="00000000000000000000"/>
    <w:charset w:val="00"/>
    <w:family w:val="roman"/>
    <w:notTrueType/>
    <w:pitch w:val="default"/>
  </w:font>
  <w:font w:name="MS Mincho">
    <w:altName w:val="ＭＳ 明朝"/>
    <w:panose1 w:val="02020609040205080304"/>
    <w:charset w:val="80"/>
    <w:family w:val="roman"/>
    <w:notTrueType/>
    <w:pitch w:val="fixed"/>
    <w:sig w:usb0="00000001" w:usb1="08070000" w:usb2="00000010" w:usb3="00000000" w:csb0="00020000"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A3E32" w14:textId="77777777" w:rsidR="003E1096" w:rsidRDefault="003E1096">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ADB22" w14:textId="77777777" w:rsidR="003E1096" w:rsidRDefault="005806A6">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A34305">
      <w:rPr>
        <w:rFonts w:ascii="Palatino Linotype" w:eastAsia="Palatino Linotype" w:hAnsi="Palatino Linotype" w:cs="Palatino Linotype"/>
        <w:b/>
        <w:noProof/>
        <w:color w:val="000000"/>
        <w:sz w:val="20"/>
        <w:szCs w:val="20"/>
      </w:rPr>
      <w:t>54</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A34305">
      <w:rPr>
        <w:rFonts w:ascii="Palatino Linotype" w:eastAsia="Palatino Linotype" w:hAnsi="Palatino Linotype" w:cs="Palatino Linotype"/>
        <w:b/>
        <w:noProof/>
        <w:color w:val="000000"/>
        <w:sz w:val="20"/>
        <w:szCs w:val="20"/>
      </w:rPr>
      <w:t>55</w:t>
    </w:r>
    <w:r>
      <w:rPr>
        <w:rFonts w:ascii="Palatino Linotype" w:eastAsia="Palatino Linotype" w:hAnsi="Palatino Linotype" w:cs="Palatino Linotype"/>
        <w:b/>
        <w:color w:val="000000"/>
        <w:sz w:val="20"/>
        <w:szCs w:val="20"/>
      </w:rPr>
      <w:fldChar w:fldCharType="end"/>
    </w:r>
  </w:p>
  <w:p w14:paraId="19558743" w14:textId="77777777" w:rsidR="003E1096" w:rsidRDefault="003E1096">
    <w:pPr>
      <w:pBdr>
        <w:top w:val="nil"/>
        <w:left w:val="nil"/>
        <w:bottom w:val="nil"/>
        <w:right w:val="nil"/>
        <w:between w:val="nil"/>
      </w:pBdr>
      <w:tabs>
        <w:tab w:val="center" w:pos="4252"/>
        <w:tab w:val="right" w:pos="8504"/>
      </w:tabs>
      <w:ind w:firstLine="708"/>
      <w:rPr>
        <w:rFonts w:ascii="Cambria" w:eastAsia="Cambria" w:hAnsi="Cambria" w:cs="Cambria"/>
        <w:color w:val="000000"/>
      </w:rPr>
    </w:pPr>
  </w:p>
  <w:p w14:paraId="0132DC00" w14:textId="77777777" w:rsidR="003E1096" w:rsidRDefault="003E1096"/>
  <w:p w14:paraId="172EAA7E" w14:textId="77777777" w:rsidR="003E1096" w:rsidRDefault="003E109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04E96" w14:textId="77777777" w:rsidR="003E1096" w:rsidRDefault="005806A6">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A34305">
      <w:rPr>
        <w:rFonts w:ascii="Palatino Linotype" w:eastAsia="Palatino Linotype" w:hAnsi="Palatino Linotype" w:cs="Palatino Linotype"/>
        <w:b/>
        <w:noProof/>
        <w:color w:val="000000"/>
        <w:sz w:val="20"/>
        <w:szCs w:val="20"/>
      </w:rPr>
      <w:t>55</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A34305">
      <w:rPr>
        <w:rFonts w:ascii="Palatino Linotype" w:eastAsia="Palatino Linotype" w:hAnsi="Palatino Linotype" w:cs="Palatino Linotype"/>
        <w:b/>
        <w:noProof/>
        <w:color w:val="000000"/>
        <w:sz w:val="20"/>
        <w:szCs w:val="20"/>
      </w:rPr>
      <w:t>55</w:t>
    </w:r>
    <w:r>
      <w:rPr>
        <w:rFonts w:ascii="Palatino Linotype" w:eastAsia="Palatino Linotype" w:hAnsi="Palatino Linotype" w:cs="Palatino Linotype"/>
        <w:b/>
        <w:color w:val="000000"/>
        <w:sz w:val="20"/>
        <w:szCs w:val="20"/>
      </w:rPr>
      <w:fldChar w:fldCharType="end"/>
    </w:r>
  </w:p>
  <w:p w14:paraId="35639F05" w14:textId="77777777" w:rsidR="003E1096" w:rsidRDefault="003E1096">
    <w:pPr>
      <w:pBdr>
        <w:top w:val="nil"/>
        <w:left w:val="nil"/>
        <w:bottom w:val="nil"/>
        <w:right w:val="nil"/>
        <w:between w:val="nil"/>
      </w:pBdr>
      <w:tabs>
        <w:tab w:val="center" w:pos="4252"/>
        <w:tab w:val="right" w:pos="8504"/>
      </w:tabs>
      <w:rPr>
        <w:rFonts w:ascii="Cambria" w:eastAsia="Cambria" w:hAnsi="Cambria" w:cs="Cambria"/>
        <w:color w:val="000000"/>
      </w:rPr>
    </w:pPr>
  </w:p>
  <w:p w14:paraId="49D84414" w14:textId="77777777" w:rsidR="003E1096" w:rsidRDefault="003E1096"/>
  <w:p w14:paraId="08B89520" w14:textId="77777777" w:rsidR="003E1096" w:rsidRDefault="003E109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661D4" w14:textId="77777777" w:rsidR="0086001C" w:rsidRDefault="0086001C">
      <w:r>
        <w:separator/>
      </w:r>
    </w:p>
  </w:footnote>
  <w:footnote w:type="continuationSeparator" w:id="0">
    <w:p w14:paraId="74D83EB3" w14:textId="77777777" w:rsidR="0086001C" w:rsidRDefault="0086001C">
      <w:r>
        <w:continuationSeparator/>
      </w:r>
    </w:p>
  </w:footnote>
  <w:footnote w:id="1">
    <w:p w14:paraId="1B4DE03A" w14:textId="77777777" w:rsidR="003E1096" w:rsidRDefault="005806A6">
      <w:pPr>
        <w:pBdr>
          <w:top w:val="nil"/>
          <w:left w:val="nil"/>
          <w:bottom w:val="nil"/>
          <w:right w:val="nil"/>
          <w:between w:val="nil"/>
        </w:pBdr>
        <w:rPr>
          <w:rFonts w:ascii="Cambria" w:eastAsia="Cambria" w:hAnsi="Cambria" w:cs="Cambria"/>
          <w:color w:val="000000"/>
          <w:sz w:val="20"/>
          <w:szCs w:val="20"/>
        </w:rPr>
      </w:pPr>
      <w:r>
        <w:rPr>
          <w:vertAlign w:val="superscript"/>
        </w:rPr>
        <w:footnoteRef/>
      </w:r>
      <w:r>
        <w:rPr>
          <w:rFonts w:ascii="Cambria" w:eastAsia="Cambria" w:hAnsi="Cambria" w:cs="Cambria"/>
          <w:color w:val="000000"/>
          <w:sz w:val="20"/>
          <w:szCs w:val="20"/>
        </w:rPr>
        <w:t xml:space="preserve"> </w:t>
      </w:r>
      <w:r>
        <w:rPr>
          <w:rFonts w:ascii="Palatino Linotype" w:eastAsia="Palatino Linotype" w:hAnsi="Palatino Linotype" w:cs="Palatino Linotype"/>
          <w:color w:val="000000"/>
          <w:sz w:val="16"/>
          <w:szCs w:val="16"/>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r>
        <w:rPr>
          <w:rFonts w:ascii="Cambria" w:eastAsia="Cambria" w:hAnsi="Cambria" w:cs="Cambria"/>
          <w:color w:val="000000"/>
          <w:sz w:val="20"/>
          <w:szCs w:val="20"/>
        </w:rPr>
        <w:t xml:space="preserve"> (…)</w:t>
      </w:r>
    </w:p>
  </w:footnote>
  <w:footnote w:id="2">
    <w:p w14:paraId="159FCEF7" w14:textId="77777777" w:rsidR="003E1096" w:rsidRDefault="005806A6">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9"/>
          <w:szCs w:val="19"/>
        </w:rPr>
        <w:t xml:space="preserve"> </w:t>
      </w:r>
      <w:r>
        <w:rPr>
          <w:rFonts w:ascii="Palatino Linotype" w:eastAsia="Palatino Linotype" w:hAnsi="Palatino Linotype" w:cs="Palatino Linotype"/>
          <w:color w:val="000000"/>
          <w:sz w:val="16"/>
          <w:szCs w:val="16"/>
        </w:rPr>
        <w:t>“Artículo 3. Para los efectos de la presente Ley se entenderá por: (…) XXII. Información de interés público: Se refiere a la información que resulta relevante o beneficiosa para la sociedad y no simplemente de interés individual, cuya divulgación resulta útil para que el público comprenda las actividades que llevan a cabo los sujetos obligados…”</w:t>
      </w:r>
    </w:p>
  </w:footnote>
  <w:footnote w:id="3">
    <w:p w14:paraId="2ED38E8E" w14:textId="77777777" w:rsidR="003E1096" w:rsidRDefault="005806A6">
      <w:pPr>
        <w:pBdr>
          <w:top w:val="nil"/>
          <w:left w:val="nil"/>
          <w:bottom w:val="nil"/>
          <w:right w:val="nil"/>
          <w:between w:val="nil"/>
        </w:pBdr>
        <w:ind w:left="720" w:hanging="720"/>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Artículo 185.</w:t>
      </w:r>
      <w:r>
        <w:rPr>
          <w:rFonts w:ascii="Palatino Linotype" w:eastAsia="Palatino Linotype" w:hAnsi="Palatino Linotype" w:cs="Palatino Linotype"/>
          <w:color w:val="000000"/>
          <w:sz w:val="16"/>
          <w:szCs w:val="16"/>
        </w:rPr>
        <w:t xml:space="preserve"> El Instituto resolverá el recurso de revisión conforme a lo siguiente: (…)</w:t>
      </w:r>
    </w:p>
    <w:p w14:paraId="0510B99A" w14:textId="77777777" w:rsidR="003E1096" w:rsidRDefault="005806A6">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II. Admitido el recurso de revisión, la o el Comisionado ponente deberá integrar un expediente y ponerlo a disposición de las partes, para que, en un plazo máximo de siete días hábiles, manifiesten lo que a su derecho convenga;”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FE509" w14:textId="77777777" w:rsidR="003E1096" w:rsidRDefault="003E1096">
    <w:pPr>
      <w:pBdr>
        <w:top w:val="nil"/>
        <w:left w:val="nil"/>
        <w:bottom w:val="nil"/>
        <w:right w:val="nil"/>
        <w:between w:val="nil"/>
      </w:pBdr>
      <w:tabs>
        <w:tab w:val="center" w:pos="4252"/>
        <w:tab w:val="right" w:pos="8504"/>
      </w:tabs>
      <w:rPr>
        <w:rFonts w:ascii="Cambria" w:eastAsia="Cambria" w:hAnsi="Cambria" w:cs="Cambria"/>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09F58" w14:textId="77777777" w:rsidR="003E1096" w:rsidRDefault="005806A6">
    <w:pPr>
      <w:rPr>
        <w:rFonts w:ascii="Cambria" w:eastAsia="Cambria" w:hAnsi="Cambria" w:cs="Cambria"/>
        <w:color w:val="000000"/>
      </w:rPr>
    </w:pPr>
    <w:r>
      <w:rPr>
        <w:noProof/>
      </w:rPr>
      <w:drawing>
        <wp:anchor distT="0" distB="0" distL="0" distR="0" simplePos="0" relativeHeight="251658240" behindDoc="1" locked="0" layoutInCell="1" hidden="0" allowOverlap="1" wp14:anchorId="65236BA4" wp14:editId="1AE55436">
          <wp:simplePos x="0" y="0"/>
          <wp:positionH relativeFrom="column">
            <wp:posOffset>-1080123</wp:posOffset>
          </wp:positionH>
          <wp:positionV relativeFrom="paragraph">
            <wp:posOffset>-234299</wp:posOffset>
          </wp:positionV>
          <wp:extent cx="7809865" cy="10165715"/>
          <wp:effectExtent l="0" t="0" r="0" b="0"/>
          <wp:wrapNone/>
          <wp:docPr id="4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fff3"/>
      <w:tblW w:w="6520" w:type="dxa"/>
      <w:tblInd w:w="3261" w:type="dxa"/>
      <w:tblLayout w:type="fixed"/>
      <w:tblLook w:val="0400" w:firstRow="0" w:lastRow="0" w:firstColumn="0" w:lastColumn="0" w:noHBand="0" w:noVBand="1"/>
    </w:tblPr>
    <w:tblGrid>
      <w:gridCol w:w="2390"/>
      <w:gridCol w:w="4130"/>
    </w:tblGrid>
    <w:tr w:rsidR="003E1096" w14:paraId="064E8229" w14:textId="77777777">
      <w:trPr>
        <w:trHeight w:val="502"/>
      </w:trPr>
      <w:tc>
        <w:tcPr>
          <w:tcW w:w="2390" w:type="dxa"/>
          <w:shd w:val="clear" w:color="auto" w:fill="auto"/>
        </w:tcPr>
        <w:p w14:paraId="4BBDD533" w14:textId="77777777" w:rsidR="003E1096" w:rsidRDefault="005806A6">
          <w:pPr>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4130" w:type="dxa"/>
          <w:shd w:val="clear" w:color="auto" w:fill="auto"/>
          <w:vAlign w:val="center"/>
        </w:tcPr>
        <w:p w14:paraId="4CA8E463" w14:textId="77777777" w:rsidR="003E1096" w:rsidRDefault="005806A6">
          <w:pPr>
            <w:ind w:right="1019"/>
            <w:jc w:val="both"/>
            <w:rPr>
              <w:rFonts w:ascii="Palatino Linotype" w:eastAsia="Palatino Linotype" w:hAnsi="Palatino Linotype" w:cs="Palatino Linotype"/>
              <w:b/>
            </w:rPr>
          </w:pPr>
          <w:r>
            <w:rPr>
              <w:rFonts w:ascii="Palatino Linotype" w:eastAsia="Palatino Linotype" w:hAnsi="Palatino Linotype" w:cs="Palatino Linotype"/>
              <w:b/>
            </w:rPr>
            <w:t>06714/INFOEM/IP/RR/2024 y acumulados</w:t>
          </w:r>
        </w:p>
      </w:tc>
    </w:tr>
    <w:tr w:rsidR="003E1096" w14:paraId="4EE9DA2A" w14:textId="77777777">
      <w:trPr>
        <w:trHeight w:val="190"/>
      </w:trPr>
      <w:tc>
        <w:tcPr>
          <w:tcW w:w="2390" w:type="dxa"/>
          <w:shd w:val="clear" w:color="auto" w:fill="auto"/>
          <w:vAlign w:val="center"/>
        </w:tcPr>
        <w:p w14:paraId="0CE40A5B" w14:textId="77777777" w:rsidR="003E1096" w:rsidRDefault="005806A6">
          <w:pPr>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130" w:type="dxa"/>
          <w:shd w:val="clear" w:color="auto" w:fill="auto"/>
          <w:vAlign w:val="center"/>
        </w:tcPr>
        <w:p w14:paraId="236E0606" w14:textId="77777777" w:rsidR="003E1096" w:rsidRDefault="005806A6">
          <w:pPr>
            <w:ind w:left="27" w:right="452"/>
            <w:jc w:val="both"/>
            <w:rPr>
              <w:rFonts w:ascii="Palatino Linotype" w:eastAsia="Palatino Linotype" w:hAnsi="Palatino Linotype" w:cs="Palatino Linotype"/>
              <w:b/>
            </w:rPr>
          </w:pPr>
          <w:r>
            <w:rPr>
              <w:rFonts w:ascii="Palatino Linotype" w:eastAsia="Palatino Linotype" w:hAnsi="Palatino Linotype" w:cs="Palatino Linotype"/>
              <w:b/>
            </w:rPr>
            <w:t>Ayuntamiento de Temamatla</w:t>
          </w:r>
        </w:p>
      </w:tc>
    </w:tr>
    <w:tr w:rsidR="003E1096" w14:paraId="22D2C3F8" w14:textId="77777777">
      <w:trPr>
        <w:trHeight w:val="251"/>
      </w:trPr>
      <w:tc>
        <w:tcPr>
          <w:tcW w:w="2390" w:type="dxa"/>
          <w:shd w:val="clear" w:color="auto" w:fill="auto"/>
          <w:vAlign w:val="center"/>
        </w:tcPr>
        <w:p w14:paraId="7C6349C2" w14:textId="77777777" w:rsidR="003E1096" w:rsidRDefault="005806A6">
          <w:pPr>
            <w:ind w:right="-108"/>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4130" w:type="dxa"/>
          <w:shd w:val="clear" w:color="auto" w:fill="auto"/>
          <w:vAlign w:val="center"/>
        </w:tcPr>
        <w:p w14:paraId="081182C7" w14:textId="77777777" w:rsidR="003E1096" w:rsidRDefault="005806A6">
          <w:pPr>
            <w:ind w:right="175"/>
            <w:jc w:val="both"/>
            <w:rPr>
              <w:rFonts w:ascii="Palatino Linotype" w:eastAsia="Palatino Linotype" w:hAnsi="Palatino Linotype" w:cs="Palatino Linotype"/>
              <w:b/>
            </w:rPr>
          </w:pPr>
          <w:r>
            <w:rPr>
              <w:rFonts w:ascii="Palatino Linotype" w:eastAsia="Palatino Linotype" w:hAnsi="Palatino Linotype" w:cs="Palatino Linotype"/>
              <w:b/>
            </w:rPr>
            <w:t>Guadalupe Ramírez Peña</w:t>
          </w:r>
        </w:p>
      </w:tc>
    </w:tr>
  </w:tbl>
  <w:p w14:paraId="0AB4B300" w14:textId="77777777" w:rsidR="003E1096" w:rsidRDefault="005806A6">
    <w:pPr>
      <w:rPr>
        <w:rFonts w:ascii="Cambria" w:eastAsia="Cambria" w:hAnsi="Cambria" w:cs="Cambria"/>
        <w:color w:val="000000"/>
      </w:rPr>
    </w:pPr>
    <w:r>
      <w:tab/>
    </w:r>
  </w:p>
  <w:p w14:paraId="5143B96D" w14:textId="77777777" w:rsidR="003E1096" w:rsidRDefault="005806A6">
    <w:pPr>
      <w:tabs>
        <w:tab w:val="left" w:pos="7560"/>
        <w:tab w:val="right" w:pos="8838"/>
      </w:tabs>
    </w:pP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1AF18" w14:textId="77777777" w:rsidR="003E1096" w:rsidRDefault="005806A6">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6ADC6917" wp14:editId="24B89084">
          <wp:simplePos x="0" y="0"/>
          <wp:positionH relativeFrom="column">
            <wp:posOffset>-934921</wp:posOffset>
          </wp:positionH>
          <wp:positionV relativeFrom="paragraph">
            <wp:posOffset>-357602</wp:posOffset>
          </wp:positionV>
          <wp:extent cx="7809865" cy="10165715"/>
          <wp:effectExtent l="0" t="0" r="0" b="0"/>
          <wp:wrapNone/>
          <wp:docPr id="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fff4"/>
      <w:tblW w:w="6378" w:type="dxa"/>
      <w:tblInd w:w="3261" w:type="dxa"/>
      <w:tblLayout w:type="fixed"/>
      <w:tblLook w:val="0400" w:firstRow="0" w:lastRow="0" w:firstColumn="0" w:lastColumn="0" w:noHBand="0" w:noVBand="1"/>
    </w:tblPr>
    <w:tblGrid>
      <w:gridCol w:w="2512"/>
      <w:gridCol w:w="3866"/>
    </w:tblGrid>
    <w:tr w:rsidR="003E1096" w14:paraId="73ACE844" w14:textId="77777777">
      <w:trPr>
        <w:trHeight w:val="442"/>
      </w:trPr>
      <w:tc>
        <w:tcPr>
          <w:tcW w:w="2512" w:type="dxa"/>
          <w:shd w:val="clear" w:color="auto" w:fill="auto"/>
          <w:vAlign w:val="center"/>
        </w:tcPr>
        <w:p w14:paraId="46C6F2FA" w14:textId="77777777" w:rsidR="003E1096" w:rsidRDefault="005806A6">
          <w:pPr>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3866" w:type="dxa"/>
          <w:shd w:val="clear" w:color="auto" w:fill="auto"/>
          <w:vAlign w:val="center"/>
        </w:tcPr>
        <w:p w14:paraId="596430B1" w14:textId="77777777" w:rsidR="003E1096" w:rsidRDefault="005806A6">
          <w:pPr>
            <w:tabs>
              <w:tab w:val="left" w:pos="2334"/>
            </w:tabs>
            <w:ind w:left="-45" w:right="877"/>
            <w:jc w:val="both"/>
            <w:rPr>
              <w:rFonts w:ascii="Palatino Linotype" w:eastAsia="Palatino Linotype" w:hAnsi="Palatino Linotype" w:cs="Palatino Linotype"/>
              <w:b/>
            </w:rPr>
          </w:pPr>
          <w:r>
            <w:rPr>
              <w:rFonts w:ascii="Palatino Linotype" w:eastAsia="Palatino Linotype" w:hAnsi="Palatino Linotype" w:cs="Palatino Linotype"/>
              <w:b/>
            </w:rPr>
            <w:t>06714/INFOEM/IP/RR/2024y acumulados</w:t>
          </w:r>
        </w:p>
      </w:tc>
    </w:tr>
    <w:tr w:rsidR="003E1096" w14:paraId="7ED24D97" w14:textId="77777777">
      <w:trPr>
        <w:trHeight w:val="95"/>
      </w:trPr>
      <w:tc>
        <w:tcPr>
          <w:tcW w:w="2512" w:type="dxa"/>
          <w:shd w:val="clear" w:color="auto" w:fill="auto"/>
          <w:vAlign w:val="center"/>
        </w:tcPr>
        <w:p w14:paraId="4B575D1B" w14:textId="77777777" w:rsidR="003E1096" w:rsidRDefault="005806A6">
          <w:pPr>
            <w:rPr>
              <w:rFonts w:ascii="Palatino Linotype" w:eastAsia="Palatino Linotype" w:hAnsi="Palatino Linotype" w:cs="Palatino Linotype"/>
              <w:b/>
            </w:rPr>
          </w:pPr>
          <w:r>
            <w:rPr>
              <w:rFonts w:ascii="Palatino Linotype" w:eastAsia="Palatino Linotype" w:hAnsi="Palatino Linotype" w:cs="Palatino Linotype"/>
              <w:b/>
            </w:rPr>
            <w:t>Recurrente:</w:t>
          </w:r>
        </w:p>
      </w:tc>
      <w:tc>
        <w:tcPr>
          <w:tcW w:w="3866" w:type="dxa"/>
          <w:shd w:val="clear" w:color="auto" w:fill="auto"/>
          <w:vAlign w:val="center"/>
        </w:tcPr>
        <w:p w14:paraId="719BBDEE" w14:textId="77777777" w:rsidR="003E1096" w:rsidRDefault="003E1096">
          <w:pPr>
            <w:jc w:val="both"/>
            <w:rPr>
              <w:rFonts w:ascii="Palatino Linotype" w:eastAsia="Palatino Linotype" w:hAnsi="Palatino Linotype" w:cs="Palatino Linotype"/>
              <w:b/>
            </w:rPr>
          </w:pPr>
        </w:p>
      </w:tc>
    </w:tr>
    <w:tr w:rsidR="003E1096" w14:paraId="602E0126" w14:textId="77777777">
      <w:trPr>
        <w:trHeight w:val="168"/>
      </w:trPr>
      <w:tc>
        <w:tcPr>
          <w:tcW w:w="2512" w:type="dxa"/>
          <w:shd w:val="clear" w:color="auto" w:fill="auto"/>
          <w:vAlign w:val="center"/>
        </w:tcPr>
        <w:p w14:paraId="64F79D0E" w14:textId="77777777" w:rsidR="003E1096" w:rsidRDefault="005806A6">
          <w:pPr>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3866" w:type="dxa"/>
          <w:shd w:val="clear" w:color="auto" w:fill="auto"/>
          <w:vAlign w:val="center"/>
        </w:tcPr>
        <w:p w14:paraId="0A50FE07" w14:textId="77777777" w:rsidR="003E1096" w:rsidRDefault="005806A6">
          <w:pPr>
            <w:ind w:left="-45" w:right="310"/>
            <w:jc w:val="both"/>
            <w:rPr>
              <w:rFonts w:ascii="Palatino Linotype" w:eastAsia="Palatino Linotype" w:hAnsi="Palatino Linotype" w:cs="Palatino Linotype"/>
              <w:b/>
            </w:rPr>
          </w:pPr>
          <w:r>
            <w:rPr>
              <w:rFonts w:ascii="Palatino Linotype" w:eastAsia="Palatino Linotype" w:hAnsi="Palatino Linotype" w:cs="Palatino Linotype"/>
              <w:b/>
            </w:rPr>
            <w:t>Ayuntamiento de Temamatla</w:t>
          </w:r>
        </w:p>
      </w:tc>
    </w:tr>
    <w:tr w:rsidR="003E1096" w14:paraId="0785E486" w14:textId="77777777">
      <w:trPr>
        <w:trHeight w:val="221"/>
      </w:trPr>
      <w:tc>
        <w:tcPr>
          <w:tcW w:w="2512" w:type="dxa"/>
          <w:shd w:val="clear" w:color="auto" w:fill="auto"/>
          <w:vAlign w:val="center"/>
        </w:tcPr>
        <w:p w14:paraId="5FEEE7E5" w14:textId="77777777" w:rsidR="003E1096" w:rsidRDefault="005806A6">
          <w:pPr>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3866" w:type="dxa"/>
          <w:shd w:val="clear" w:color="auto" w:fill="auto"/>
          <w:vAlign w:val="center"/>
        </w:tcPr>
        <w:p w14:paraId="6B4314E7" w14:textId="77777777" w:rsidR="003E1096" w:rsidRDefault="005806A6">
          <w:pPr>
            <w:ind w:left="-45" w:right="-533"/>
            <w:jc w:val="both"/>
            <w:rPr>
              <w:rFonts w:ascii="Palatino Linotype" w:eastAsia="Palatino Linotype" w:hAnsi="Palatino Linotype" w:cs="Palatino Linotype"/>
              <w:b/>
            </w:rPr>
          </w:pPr>
          <w:r>
            <w:rPr>
              <w:rFonts w:ascii="Palatino Linotype" w:eastAsia="Palatino Linotype" w:hAnsi="Palatino Linotype" w:cs="Palatino Linotype"/>
              <w:b/>
            </w:rPr>
            <w:t>Guadalupe Ramírez Peña</w:t>
          </w:r>
        </w:p>
      </w:tc>
    </w:tr>
  </w:tbl>
  <w:p w14:paraId="369C8CDF" w14:textId="77777777" w:rsidR="003E1096" w:rsidRDefault="003E109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ffff3"/>
      <w:tblW w:w="6520" w:type="dxa"/>
      <w:tblInd w:w="3261" w:type="dxa"/>
      <w:tblLayout w:type="fixed"/>
      <w:tblLook w:val="0400" w:firstRow="0" w:lastRow="0" w:firstColumn="0" w:lastColumn="0" w:noHBand="0" w:noVBand="1"/>
    </w:tblPr>
    <w:tblGrid>
      <w:gridCol w:w="2390"/>
      <w:gridCol w:w="4130"/>
    </w:tblGrid>
    <w:tr w:rsidR="00685974" w14:paraId="7DDF6338" w14:textId="77777777" w:rsidTr="00EA6028">
      <w:trPr>
        <w:trHeight w:val="502"/>
      </w:trPr>
      <w:tc>
        <w:tcPr>
          <w:tcW w:w="2390" w:type="dxa"/>
          <w:shd w:val="clear" w:color="auto" w:fill="auto"/>
        </w:tcPr>
        <w:p w14:paraId="547B8860" w14:textId="77777777" w:rsidR="00685974" w:rsidRDefault="00685974" w:rsidP="00685974">
          <w:pPr>
            <w:rPr>
              <w:rFonts w:ascii="Palatino Linotype" w:eastAsia="Palatino Linotype" w:hAnsi="Palatino Linotype" w:cs="Palatino Linotype"/>
              <w:b/>
            </w:rPr>
          </w:pPr>
          <w:r>
            <w:rPr>
              <w:rFonts w:ascii="Palatino Linotype" w:eastAsia="Palatino Linotype" w:hAnsi="Palatino Linotype" w:cs="Palatino Linotype"/>
              <w:b/>
            </w:rPr>
            <w:t>Recurso de Revisión:</w:t>
          </w:r>
        </w:p>
      </w:tc>
      <w:tc>
        <w:tcPr>
          <w:tcW w:w="4130" w:type="dxa"/>
          <w:shd w:val="clear" w:color="auto" w:fill="auto"/>
          <w:vAlign w:val="center"/>
        </w:tcPr>
        <w:p w14:paraId="222B9AD3" w14:textId="77777777" w:rsidR="00685974" w:rsidRDefault="00685974" w:rsidP="00685974">
          <w:pPr>
            <w:ind w:right="1019"/>
            <w:jc w:val="both"/>
            <w:rPr>
              <w:rFonts w:ascii="Palatino Linotype" w:eastAsia="Palatino Linotype" w:hAnsi="Palatino Linotype" w:cs="Palatino Linotype"/>
              <w:b/>
            </w:rPr>
          </w:pPr>
          <w:r>
            <w:rPr>
              <w:rFonts w:ascii="Palatino Linotype" w:eastAsia="Palatino Linotype" w:hAnsi="Palatino Linotype" w:cs="Palatino Linotype"/>
              <w:b/>
            </w:rPr>
            <w:t>06714/INFOEM/IP/RR/2024 y acumulados</w:t>
          </w:r>
        </w:p>
      </w:tc>
    </w:tr>
    <w:tr w:rsidR="00685974" w14:paraId="44AF3C57" w14:textId="77777777" w:rsidTr="00EA6028">
      <w:trPr>
        <w:trHeight w:val="190"/>
      </w:trPr>
      <w:tc>
        <w:tcPr>
          <w:tcW w:w="2390" w:type="dxa"/>
          <w:shd w:val="clear" w:color="auto" w:fill="auto"/>
          <w:vAlign w:val="center"/>
        </w:tcPr>
        <w:p w14:paraId="7DEE61FD" w14:textId="77777777" w:rsidR="00685974" w:rsidRDefault="00685974" w:rsidP="00685974">
          <w:pPr>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130" w:type="dxa"/>
          <w:shd w:val="clear" w:color="auto" w:fill="auto"/>
          <w:vAlign w:val="center"/>
        </w:tcPr>
        <w:p w14:paraId="3D32107C" w14:textId="77777777" w:rsidR="00685974" w:rsidRDefault="00685974" w:rsidP="00685974">
          <w:pPr>
            <w:ind w:left="27" w:right="452"/>
            <w:jc w:val="both"/>
            <w:rPr>
              <w:rFonts w:ascii="Palatino Linotype" w:eastAsia="Palatino Linotype" w:hAnsi="Palatino Linotype" w:cs="Palatino Linotype"/>
              <w:b/>
            </w:rPr>
          </w:pPr>
          <w:r>
            <w:rPr>
              <w:rFonts w:ascii="Palatino Linotype" w:eastAsia="Palatino Linotype" w:hAnsi="Palatino Linotype" w:cs="Palatino Linotype"/>
              <w:b/>
            </w:rPr>
            <w:t>Ayuntamiento de Temamatla</w:t>
          </w:r>
        </w:p>
      </w:tc>
    </w:tr>
    <w:tr w:rsidR="00685974" w14:paraId="1FB12724" w14:textId="77777777" w:rsidTr="00EA6028">
      <w:trPr>
        <w:trHeight w:val="251"/>
      </w:trPr>
      <w:tc>
        <w:tcPr>
          <w:tcW w:w="2390" w:type="dxa"/>
          <w:shd w:val="clear" w:color="auto" w:fill="auto"/>
          <w:vAlign w:val="center"/>
        </w:tcPr>
        <w:p w14:paraId="11AAA089" w14:textId="77777777" w:rsidR="00685974" w:rsidRDefault="00685974" w:rsidP="00685974">
          <w:pPr>
            <w:ind w:right="-108"/>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4130" w:type="dxa"/>
          <w:shd w:val="clear" w:color="auto" w:fill="auto"/>
          <w:vAlign w:val="center"/>
        </w:tcPr>
        <w:p w14:paraId="59DD73D2" w14:textId="77777777" w:rsidR="00685974" w:rsidRDefault="00685974" w:rsidP="00685974">
          <w:pPr>
            <w:ind w:right="175"/>
            <w:jc w:val="both"/>
            <w:rPr>
              <w:rFonts w:ascii="Palatino Linotype" w:eastAsia="Palatino Linotype" w:hAnsi="Palatino Linotype" w:cs="Palatino Linotype"/>
              <w:b/>
            </w:rPr>
          </w:pPr>
          <w:r>
            <w:rPr>
              <w:rFonts w:ascii="Palatino Linotype" w:eastAsia="Palatino Linotype" w:hAnsi="Palatino Linotype" w:cs="Palatino Linotype"/>
              <w:b/>
            </w:rPr>
            <w:t>Guadalupe Ramírez Peña</w:t>
          </w:r>
        </w:p>
      </w:tc>
    </w:tr>
  </w:tbl>
  <w:p w14:paraId="6A376079" w14:textId="77777777" w:rsidR="003E1096" w:rsidRDefault="00685974">
    <w:pPr>
      <w:pBdr>
        <w:top w:val="nil"/>
        <w:left w:val="nil"/>
        <w:bottom w:val="nil"/>
        <w:right w:val="nil"/>
        <w:between w:val="nil"/>
      </w:pBdr>
      <w:tabs>
        <w:tab w:val="center" w:pos="4252"/>
        <w:tab w:val="right" w:pos="8504"/>
      </w:tabs>
      <w:rPr>
        <w:rFonts w:ascii="Cambria" w:eastAsia="Cambria" w:hAnsi="Cambria" w:cs="Cambria"/>
        <w:color w:val="000000"/>
      </w:rPr>
    </w:pPr>
    <w:r>
      <w:rPr>
        <w:noProof/>
      </w:rPr>
      <w:drawing>
        <wp:anchor distT="0" distB="0" distL="0" distR="0" simplePos="0" relativeHeight="251661312" behindDoc="1" locked="0" layoutInCell="1" hidden="0" allowOverlap="1" wp14:anchorId="578CE6DA" wp14:editId="53811D4C">
          <wp:simplePos x="0" y="0"/>
          <wp:positionH relativeFrom="column">
            <wp:posOffset>-1057275</wp:posOffset>
          </wp:positionH>
          <wp:positionV relativeFrom="paragraph">
            <wp:posOffset>-1210310</wp:posOffset>
          </wp:positionV>
          <wp:extent cx="7809865" cy="10165715"/>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62E79"/>
    <w:multiLevelType w:val="multilevel"/>
    <w:tmpl w:val="12720070"/>
    <w:lvl w:ilvl="0">
      <w:start w:val="1"/>
      <w:numFmt w:val="decimal"/>
      <w:pStyle w:val="Listaconvietas3"/>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3FD0B57"/>
    <w:multiLevelType w:val="multilevel"/>
    <w:tmpl w:val="513023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1266337"/>
    <w:multiLevelType w:val="multilevel"/>
    <w:tmpl w:val="011A8926"/>
    <w:lvl w:ilvl="0">
      <w:start w:val="1"/>
      <w:numFmt w:val="upperRoman"/>
      <w:lvlText w:val="%1."/>
      <w:lvlJc w:val="righ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096"/>
    <w:rsid w:val="003E1096"/>
    <w:rsid w:val="005806A6"/>
    <w:rsid w:val="00685974"/>
    <w:rsid w:val="0086001C"/>
    <w:rsid w:val="00A34305"/>
    <w:rsid w:val="00DC549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9A5EE"/>
  <w15:docId w15:val="{29910392-DB15-4852-8C6E-11345BED8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2C7E"/>
  </w:style>
  <w:style w:type="paragraph" w:styleId="Ttulo1">
    <w:name w:val="heading 1"/>
    <w:basedOn w:val="Normal"/>
    <w:next w:val="Normal"/>
    <w:link w:val="Ttulo1Car"/>
    <w:uiPriority w:val="9"/>
    <w:qFormat/>
    <w:rsid w:val="00603D7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semiHidden/>
    <w:unhideWhenUsed/>
    <w:qFormat/>
    <w:rsid w:val="00603D7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semiHidden/>
    <w:unhideWhenUsed/>
    <w:qFormat/>
    <w:rsid w:val="003B73CD"/>
    <w:pPr>
      <w:keepNext/>
      <w:tabs>
        <w:tab w:val="num" w:pos="2160"/>
      </w:tabs>
      <w:spacing w:before="240" w:after="60"/>
      <w:ind w:left="2160" w:hanging="720"/>
      <w:outlineLvl w:val="2"/>
    </w:pPr>
    <w:rPr>
      <w:rFonts w:asciiTheme="majorHAnsi" w:eastAsiaTheme="majorEastAsia" w:hAnsiTheme="majorHAnsi" w:cstheme="majorBidi"/>
      <w:b/>
      <w:bCs/>
      <w:sz w:val="26"/>
      <w:szCs w:val="26"/>
      <w:lang w:val="en-US" w:eastAsia="en-US"/>
    </w:rPr>
  </w:style>
  <w:style w:type="paragraph" w:styleId="Ttulo4">
    <w:name w:val="heading 4"/>
    <w:basedOn w:val="Normal"/>
    <w:next w:val="Normal"/>
    <w:link w:val="Ttulo4Car"/>
    <w:uiPriority w:val="9"/>
    <w:semiHidden/>
    <w:unhideWhenUsed/>
    <w:qFormat/>
    <w:rsid w:val="003B73CD"/>
    <w:pPr>
      <w:keepNext/>
      <w:tabs>
        <w:tab w:val="num" w:pos="2880"/>
      </w:tabs>
      <w:spacing w:before="240" w:after="60"/>
      <w:ind w:left="2880" w:hanging="720"/>
      <w:outlineLvl w:val="3"/>
    </w:pPr>
    <w:rPr>
      <w:rFonts w:asciiTheme="minorHAnsi" w:eastAsiaTheme="minorEastAsia" w:hAnsiTheme="minorHAnsi" w:cstheme="minorBidi"/>
      <w:b/>
      <w:bCs/>
      <w:sz w:val="28"/>
      <w:szCs w:val="28"/>
      <w:lang w:val="en-US" w:eastAsia="en-US"/>
    </w:rPr>
  </w:style>
  <w:style w:type="paragraph" w:styleId="Ttulo5">
    <w:name w:val="heading 5"/>
    <w:basedOn w:val="Normal"/>
    <w:next w:val="Normal"/>
    <w:link w:val="Ttulo5Car"/>
    <w:uiPriority w:val="9"/>
    <w:semiHidden/>
    <w:unhideWhenUsed/>
    <w:qFormat/>
    <w:rsid w:val="003B73CD"/>
    <w:pPr>
      <w:tabs>
        <w:tab w:val="num" w:pos="3600"/>
      </w:tabs>
      <w:spacing w:before="240" w:after="60"/>
      <w:ind w:left="3600" w:hanging="720"/>
      <w:outlineLvl w:val="4"/>
    </w:pPr>
    <w:rPr>
      <w:rFonts w:asciiTheme="minorHAnsi" w:eastAsiaTheme="minorEastAsia" w:hAnsiTheme="minorHAnsi" w:cstheme="minorBidi"/>
      <w:b/>
      <w:bCs/>
      <w:i/>
      <w:iCs/>
      <w:sz w:val="26"/>
      <w:szCs w:val="26"/>
      <w:lang w:val="en-US" w:eastAsia="en-US"/>
    </w:rPr>
  </w:style>
  <w:style w:type="paragraph" w:styleId="Ttulo6">
    <w:name w:val="heading 6"/>
    <w:basedOn w:val="Normal"/>
    <w:next w:val="Normal"/>
    <w:link w:val="Ttulo6Car"/>
    <w:uiPriority w:val="9"/>
    <w:semiHidden/>
    <w:unhideWhenUsed/>
    <w:qFormat/>
    <w:rsid w:val="003B73CD"/>
    <w:pPr>
      <w:tabs>
        <w:tab w:val="num" w:pos="4320"/>
      </w:tabs>
      <w:spacing w:before="240" w:after="60"/>
      <w:ind w:left="4320" w:hanging="720"/>
      <w:outlineLvl w:val="5"/>
    </w:pPr>
    <w:rPr>
      <w:b/>
      <w:bCs/>
      <w:sz w:val="22"/>
      <w:szCs w:val="22"/>
      <w:lang w:val="en-US" w:eastAsia="en-US"/>
    </w:rPr>
  </w:style>
  <w:style w:type="paragraph" w:styleId="Ttulo7">
    <w:name w:val="heading 7"/>
    <w:basedOn w:val="Normal"/>
    <w:next w:val="Normal"/>
    <w:link w:val="Ttulo7Car"/>
    <w:uiPriority w:val="9"/>
    <w:semiHidden/>
    <w:unhideWhenUsed/>
    <w:qFormat/>
    <w:rsid w:val="003B73CD"/>
    <w:pPr>
      <w:tabs>
        <w:tab w:val="num" w:pos="5040"/>
      </w:tabs>
      <w:spacing w:before="240" w:after="60"/>
      <w:ind w:left="5040" w:hanging="720"/>
      <w:outlineLvl w:val="6"/>
    </w:pPr>
    <w:rPr>
      <w:rFonts w:asciiTheme="minorHAnsi" w:eastAsiaTheme="minorEastAsia" w:hAnsiTheme="minorHAnsi" w:cstheme="minorBidi"/>
      <w:lang w:val="en-US" w:eastAsia="en-US"/>
    </w:rPr>
  </w:style>
  <w:style w:type="paragraph" w:styleId="Ttulo8">
    <w:name w:val="heading 8"/>
    <w:basedOn w:val="Normal"/>
    <w:next w:val="Normal"/>
    <w:link w:val="Ttulo8Car"/>
    <w:uiPriority w:val="9"/>
    <w:semiHidden/>
    <w:unhideWhenUsed/>
    <w:qFormat/>
    <w:rsid w:val="003B73CD"/>
    <w:pPr>
      <w:tabs>
        <w:tab w:val="num" w:pos="5760"/>
      </w:tabs>
      <w:spacing w:before="240" w:after="60"/>
      <w:ind w:left="5760" w:hanging="720"/>
      <w:outlineLvl w:val="7"/>
    </w:pPr>
    <w:rPr>
      <w:rFonts w:asciiTheme="minorHAnsi" w:eastAsiaTheme="minorEastAsia" w:hAnsiTheme="minorHAnsi" w:cstheme="minorBidi"/>
      <w:i/>
      <w:iCs/>
      <w:lang w:val="en-US" w:eastAsia="en-US"/>
    </w:rPr>
  </w:style>
  <w:style w:type="paragraph" w:styleId="Ttulo9">
    <w:name w:val="heading 9"/>
    <w:basedOn w:val="Normal"/>
    <w:next w:val="Normal"/>
    <w:link w:val="Ttulo9Car"/>
    <w:uiPriority w:val="9"/>
    <w:semiHidden/>
    <w:unhideWhenUsed/>
    <w:qFormat/>
    <w:rsid w:val="003B73CD"/>
    <w:pPr>
      <w:tabs>
        <w:tab w:val="num" w:pos="6480"/>
      </w:tabs>
      <w:spacing w:before="240" w:after="60"/>
      <w:ind w:left="6480" w:hanging="720"/>
      <w:outlineLvl w:val="8"/>
    </w:pPr>
    <w:rPr>
      <w:rFonts w:asciiTheme="majorHAnsi" w:eastAsiaTheme="majorEastAsia" w:hAnsiTheme="majorHAnsi" w:cstheme="majorBidi"/>
      <w:sz w:val="22"/>
      <w:szCs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70">
    <w:name w:val="Table Normal7"/>
    <w:tblPr>
      <w:tblCellMar>
        <w:top w:w="0" w:type="dxa"/>
        <w:left w:w="0" w:type="dxa"/>
        <w:bottom w:w="0" w:type="dxa"/>
        <w:right w:w="0" w:type="dxa"/>
      </w:tblCellMar>
    </w:tblPr>
  </w:style>
  <w:style w:type="table" w:customStyle="1" w:styleId="TableNormal60">
    <w:name w:val="Table Normal6"/>
    <w:tblPr>
      <w:tblCellMar>
        <w:top w:w="0" w:type="dxa"/>
        <w:left w:w="0" w:type="dxa"/>
        <w:bottom w:w="0" w:type="dxa"/>
        <w:right w:w="0" w:type="dxa"/>
      </w:tblCellMar>
    </w:tblPr>
  </w:style>
  <w:style w:type="table" w:customStyle="1" w:styleId="TableNormal50">
    <w:name w:val="Table Normal5"/>
    <w:tblPr>
      <w:tblCellMar>
        <w:top w:w="0" w:type="dxa"/>
        <w:left w:w="0" w:type="dxa"/>
        <w:bottom w:w="0" w:type="dxa"/>
        <w:right w:w="0" w:type="dxa"/>
      </w:tblCellMar>
    </w:tblPr>
  </w:style>
  <w:style w:type="table" w:customStyle="1" w:styleId="TableNormal40">
    <w:name w:val="Table Normal4"/>
    <w:tblPr>
      <w:tblCellMar>
        <w:top w:w="0" w:type="dxa"/>
        <w:left w:w="0" w:type="dxa"/>
        <w:bottom w:w="0" w:type="dxa"/>
        <w:right w:w="0" w:type="dxa"/>
      </w:tblCellMar>
    </w:tblPr>
  </w:style>
  <w:style w:type="table" w:customStyle="1" w:styleId="TableNormal30">
    <w:name w:val="Table Normal3"/>
    <w:tblPr>
      <w:tblCellMar>
        <w:top w:w="0" w:type="dxa"/>
        <w:left w:w="0" w:type="dxa"/>
        <w:bottom w:w="0" w:type="dxa"/>
        <w:right w:w="0" w:type="dxa"/>
      </w:tblCellMar>
    </w:tblPr>
  </w:style>
  <w:style w:type="table" w:customStyle="1" w:styleId="TableNormal20">
    <w:name w:val="Table Normal2"/>
    <w:tblPr>
      <w:tblCellMar>
        <w:top w:w="0" w:type="dxa"/>
        <w:left w:w="0" w:type="dxa"/>
        <w:bottom w:w="0" w:type="dxa"/>
        <w:right w:w="0" w:type="dxa"/>
      </w:tblCellMar>
    </w:tblPr>
  </w:style>
  <w:style w:type="paragraph" w:styleId="Encabezado">
    <w:name w:val="header"/>
    <w:basedOn w:val="Normal"/>
    <w:link w:val="Encabezado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C80F8C"/>
  </w:style>
  <w:style w:type="paragraph" w:styleId="Piedepgina">
    <w:name w:val="footer"/>
    <w:basedOn w:val="Normal"/>
    <w:link w:val="Piedepgina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C80F8C"/>
  </w:style>
  <w:style w:type="paragraph" w:styleId="Textodeglobo">
    <w:name w:val="Balloon Text"/>
    <w:basedOn w:val="Normal"/>
    <w:link w:val="TextodegloboCar"/>
    <w:uiPriority w:val="99"/>
    <w:semiHidden/>
    <w:unhideWhenUsed/>
    <w:rsid w:val="00C80F8C"/>
    <w:rPr>
      <w:rFonts w:ascii="Lucida Grande" w:eastAsiaTheme="minorEastAsia" w:hAnsi="Lucida Grande" w:cs="Lucida Grande"/>
      <w:sz w:val="18"/>
      <w:szCs w:val="18"/>
      <w:lang w:val="es-ES_tradnl"/>
    </w:rPr>
  </w:style>
  <w:style w:type="character" w:customStyle="1" w:styleId="TextodegloboCar">
    <w:name w:val="Texto de globo Car"/>
    <w:basedOn w:val="Fuentedeprrafopredeter"/>
    <w:link w:val="Textodeglobo"/>
    <w:uiPriority w:val="99"/>
    <w:semiHidden/>
    <w:rsid w:val="00C80F8C"/>
    <w:rPr>
      <w:rFonts w:ascii="Lucida Grande" w:hAnsi="Lucida Grande" w:cs="Lucida Grande"/>
      <w:sz w:val="18"/>
      <w:szCs w:val="18"/>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70703E"/>
    <w:pPr>
      <w:ind w:left="720"/>
      <w:contextualSpacing/>
    </w:pPr>
  </w:style>
  <w:style w:type="character" w:styleId="Hipervnculo">
    <w:name w:val="Hyperlink"/>
    <w:basedOn w:val="Fuentedeprrafopredeter"/>
    <w:uiPriority w:val="99"/>
    <w:unhideWhenUsed/>
    <w:rsid w:val="00FD7589"/>
    <w:rPr>
      <w:color w:val="0000FF"/>
      <w:u w:val="single"/>
    </w:rPr>
  </w:style>
  <w:style w:type="character" w:customStyle="1" w:styleId="apple-converted-space">
    <w:name w:val="apple-converted-space"/>
    <w:basedOn w:val="Fuentedeprrafopredeter"/>
    <w:rsid w:val="00FD7589"/>
  </w:style>
  <w:style w:type="paragraph" w:customStyle="1" w:styleId="Listavistosa-nfasis11">
    <w:name w:val="Lista vistosa - Énfasis 11"/>
    <w:basedOn w:val="Normal"/>
    <w:link w:val="Listavistosa-nfasis1Car"/>
    <w:uiPriority w:val="34"/>
    <w:qFormat/>
    <w:rsid w:val="000D2D89"/>
    <w:pPr>
      <w:ind w:left="708"/>
    </w:pPr>
  </w:style>
  <w:style w:type="character" w:customStyle="1" w:styleId="Listavistosa-nfasis1Car">
    <w:name w:val="Lista vistosa - Énfasis 1 Car"/>
    <w:link w:val="Listavistosa-nfasis11"/>
    <w:uiPriority w:val="34"/>
    <w:locked/>
    <w:rsid w:val="000D2D89"/>
    <w:rPr>
      <w:rFonts w:ascii="Times New Roman" w:eastAsia="Times New Roman" w:hAnsi="Times New Roman" w:cs="Times New Roman"/>
      <w:lang w:val="es-ES"/>
    </w:rPr>
  </w:style>
  <w:style w:type="paragraph" w:customStyle="1" w:styleId="Texto">
    <w:name w:val="Texto"/>
    <w:basedOn w:val="Normal"/>
    <w:link w:val="TextoCar"/>
    <w:rsid w:val="000470FE"/>
    <w:pPr>
      <w:spacing w:after="101" w:line="216" w:lineRule="exact"/>
      <w:ind w:firstLine="288"/>
      <w:jc w:val="both"/>
    </w:pPr>
    <w:rPr>
      <w:rFonts w:ascii="Arial" w:hAnsi="Arial" w:cs="Arial"/>
      <w:sz w:val="18"/>
      <w:szCs w:val="18"/>
    </w:rPr>
  </w:style>
  <w:style w:type="paragraph" w:styleId="NormalWeb">
    <w:name w:val="Normal (Web)"/>
    <w:basedOn w:val="Normal"/>
    <w:uiPriority w:val="99"/>
    <w:rsid w:val="000470FE"/>
    <w:pPr>
      <w:spacing w:before="100" w:beforeAutospacing="1" w:after="100" w:afterAutospacing="1"/>
    </w:pPr>
  </w:style>
  <w:style w:type="character" w:customStyle="1" w:styleId="apple-style-span">
    <w:name w:val="apple-style-span"/>
    <w:rsid w:val="008846E7"/>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7E1FF4"/>
    <w:rPr>
      <w:rFonts w:ascii="Times New Roman" w:eastAsia="Times New Roman" w:hAnsi="Times New Roman" w:cs="Times New Roman"/>
      <w:lang w:val="es-ES"/>
    </w:rPr>
  </w:style>
  <w:style w:type="character" w:styleId="Textoennegrita">
    <w:name w:val="Strong"/>
    <w:uiPriority w:val="22"/>
    <w:qFormat/>
    <w:rsid w:val="003D1B5F"/>
    <w:rPr>
      <w:b/>
      <w:bC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nhideWhenUsed/>
    <w:qFormat/>
    <w:rsid w:val="002944C8"/>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qFormat/>
    <w:rsid w:val="002944C8"/>
    <w:rPr>
      <w:rFonts w:eastAsiaTheme="minorHAnsi"/>
      <w:sz w:val="20"/>
      <w:szCs w:val="20"/>
      <w:lang w:val="es-MX"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iPriority w:val="99"/>
    <w:unhideWhenUsed/>
    <w:qFormat/>
    <w:rsid w:val="002944C8"/>
    <w:rPr>
      <w:vertAlign w:val="superscript"/>
    </w:rPr>
  </w:style>
  <w:style w:type="paragraph" w:styleId="Sinespaciado">
    <w:name w:val="No Spacing"/>
    <w:aliases w:val="Francesa,INAI"/>
    <w:link w:val="SinespaciadoCar"/>
    <w:uiPriority w:val="1"/>
    <w:qFormat/>
    <w:rsid w:val="002944C8"/>
  </w:style>
  <w:style w:type="paragraph" w:styleId="Textoindependiente2">
    <w:name w:val="Body Text 2"/>
    <w:basedOn w:val="Normal"/>
    <w:link w:val="Textoindependiente2Car"/>
    <w:uiPriority w:val="99"/>
    <w:unhideWhenUsed/>
    <w:rsid w:val="002944C8"/>
    <w:pPr>
      <w:spacing w:after="120" w:line="480" w:lineRule="auto"/>
    </w:pPr>
  </w:style>
  <w:style w:type="character" w:customStyle="1" w:styleId="Textoindependiente2Car">
    <w:name w:val="Texto independiente 2 Car"/>
    <w:basedOn w:val="Fuentedeprrafopredeter"/>
    <w:link w:val="Textoindependiente2"/>
    <w:uiPriority w:val="99"/>
    <w:rsid w:val="002944C8"/>
    <w:rPr>
      <w:rFonts w:ascii="Times New Roman" w:eastAsia="Times New Roman" w:hAnsi="Times New Roman" w:cs="Times New Roman"/>
      <w:lang w:val="es-ES"/>
    </w:rPr>
  </w:style>
  <w:style w:type="paragraph" w:styleId="Textosinformato">
    <w:name w:val="Plain Text"/>
    <w:basedOn w:val="Normal"/>
    <w:link w:val="TextosinformatoCar"/>
    <w:rsid w:val="002944C8"/>
    <w:rPr>
      <w:rFonts w:ascii="Courier New" w:hAnsi="Courier New"/>
      <w:sz w:val="20"/>
      <w:szCs w:val="20"/>
    </w:rPr>
  </w:style>
  <w:style w:type="character" w:customStyle="1" w:styleId="TextosinformatoCar">
    <w:name w:val="Texto sin formato Car"/>
    <w:basedOn w:val="Fuentedeprrafopredeter"/>
    <w:link w:val="Textosinformato"/>
    <w:rsid w:val="002944C8"/>
    <w:rPr>
      <w:rFonts w:ascii="Courier New" w:eastAsia="Times New Roman" w:hAnsi="Courier New" w:cs="Times New Roman"/>
      <w:sz w:val="20"/>
      <w:szCs w:val="20"/>
      <w:lang w:val="es-ES"/>
    </w:rPr>
  </w:style>
  <w:style w:type="paragraph" w:customStyle="1" w:styleId="Standard">
    <w:name w:val="Standard"/>
    <w:rsid w:val="002944C8"/>
    <w:pPr>
      <w:widowControl w:val="0"/>
      <w:suppressAutoHyphens/>
      <w:autoSpaceDN w:val="0"/>
      <w:textAlignment w:val="baseline"/>
    </w:pPr>
    <w:rPr>
      <w:rFonts w:ascii="Liberation Serif" w:eastAsia="DejaVu Sans" w:hAnsi="Liberation Serif" w:cs="Lohit Hindi"/>
      <w:kern w:val="3"/>
      <w:lang w:eastAsia="zh-CN" w:bidi="hi-IN"/>
    </w:rPr>
  </w:style>
  <w:style w:type="character" w:customStyle="1" w:styleId="negritas1">
    <w:name w:val="negritas1"/>
    <w:rsid w:val="002944C8"/>
    <w:rPr>
      <w:rFonts w:ascii="Arial" w:hAnsi="Arial" w:cs="Arial" w:hint="default"/>
      <w:b/>
      <w:bCs/>
      <w:sz w:val="18"/>
      <w:szCs w:val="18"/>
    </w:rPr>
  </w:style>
  <w:style w:type="paragraph" w:customStyle="1" w:styleId="Pa2">
    <w:name w:val="Pa2"/>
    <w:basedOn w:val="Normal"/>
    <w:next w:val="Normal"/>
    <w:uiPriority w:val="99"/>
    <w:rsid w:val="002944C8"/>
    <w:pPr>
      <w:autoSpaceDE w:val="0"/>
      <w:autoSpaceDN w:val="0"/>
      <w:adjustRightInd w:val="0"/>
      <w:spacing w:line="240" w:lineRule="atLeast"/>
    </w:pPr>
    <w:rPr>
      <w:rFonts w:ascii="Helvetica" w:hAnsi="Helvetica"/>
      <w:lang w:val="es-ES_tradnl" w:eastAsia="es-ES_tradnl"/>
    </w:rPr>
  </w:style>
  <w:style w:type="paragraph" w:customStyle="1" w:styleId="Default">
    <w:name w:val="Default"/>
    <w:rsid w:val="002944C8"/>
    <w:pPr>
      <w:autoSpaceDE w:val="0"/>
      <w:autoSpaceDN w:val="0"/>
      <w:adjustRightInd w:val="0"/>
    </w:pPr>
    <w:rPr>
      <w:rFonts w:ascii="Arial" w:eastAsiaTheme="minorHAnsi" w:hAnsi="Arial" w:cs="Arial"/>
      <w:color w:val="000000"/>
      <w:lang w:eastAsia="en-US"/>
    </w:rPr>
  </w:style>
  <w:style w:type="character" w:customStyle="1" w:styleId="f">
    <w:name w:val="f"/>
    <w:basedOn w:val="Fuentedeprrafopredeter"/>
    <w:rsid w:val="002944C8"/>
  </w:style>
  <w:style w:type="paragraph" w:customStyle="1" w:styleId="q">
    <w:name w:val="q"/>
    <w:basedOn w:val="Normal"/>
    <w:rsid w:val="002944C8"/>
    <w:pPr>
      <w:spacing w:before="100" w:beforeAutospacing="1" w:after="100" w:afterAutospacing="1"/>
    </w:pPr>
  </w:style>
  <w:style w:type="character" w:customStyle="1" w:styleId="d">
    <w:name w:val="d"/>
    <w:basedOn w:val="Fuentedeprrafopredeter"/>
    <w:rsid w:val="002944C8"/>
  </w:style>
  <w:style w:type="character" w:customStyle="1" w:styleId="b">
    <w:name w:val="b"/>
    <w:basedOn w:val="Fuentedeprrafopredeter"/>
    <w:rsid w:val="002944C8"/>
  </w:style>
  <w:style w:type="character" w:customStyle="1" w:styleId="k">
    <w:name w:val="k"/>
    <w:basedOn w:val="Fuentedeprrafopredeter"/>
    <w:rsid w:val="002944C8"/>
  </w:style>
  <w:style w:type="character" w:customStyle="1" w:styleId="h">
    <w:name w:val="h"/>
    <w:basedOn w:val="Fuentedeprrafopredeter"/>
    <w:rsid w:val="002944C8"/>
  </w:style>
  <w:style w:type="character" w:styleId="Hipervnculovisitado">
    <w:name w:val="FollowedHyperlink"/>
    <w:basedOn w:val="Fuentedeprrafopredeter"/>
    <w:uiPriority w:val="99"/>
    <w:semiHidden/>
    <w:unhideWhenUsed/>
    <w:rsid w:val="002944C8"/>
    <w:rPr>
      <w:color w:val="800080" w:themeColor="followedHyperlink"/>
      <w:u w:val="single"/>
    </w:rPr>
  </w:style>
  <w:style w:type="character" w:styleId="CitaHTML">
    <w:name w:val="HTML Cite"/>
    <w:uiPriority w:val="99"/>
    <w:semiHidden/>
    <w:unhideWhenUsed/>
    <w:rsid w:val="00B85C7C"/>
    <w:rPr>
      <w:i/>
      <w:iCs/>
    </w:rPr>
  </w:style>
  <w:style w:type="character" w:customStyle="1" w:styleId="SinespaciadoCar">
    <w:name w:val="Sin espaciado Car"/>
    <w:aliases w:val="Francesa Car,INAI Car"/>
    <w:link w:val="Sinespaciado"/>
    <w:uiPriority w:val="1"/>
    <w:locked/>
    <w:rsid w:val="00270539"/>
    <w:rPr>
      <w:rFonts w:ascii="Times New Roman" w:eastAsia="Times New Roman" w:hAnsi="Times New Roman" w:cs="Times New Roman"/>
      <w:lang w:val="es-MX"/>
    </w:rPr>
  </w:style>
  <w:style w:type="character" w:customStyle="1" w:styleId="medium">
    <w:name w:val="medium"/>
    <w:basedOn w:val="Fuentedeprrafopredeter"/>
    <w:rsid w:val="00354DB7"/>
  </w:style>
  <w:style w:type="table" w:styleId="Tablaconcuadrcula">
    <w:name w:val="Table Grid"/>
    <w:basedOn w:val="Tablanormal"/>
    <w:uiPriority w:val="59"/>
    <w:rsid w:val="00BB3A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umeroconsecutivo">
    <w:name w:val="numeroconsecutivo"/>
    <w:basedOn w:val="Fuentedeprrafopredeter"/>
    <w:rsid w:val="00615060"/>
  </w:style>
  <w:style w:type="character" w:customStyle="1" w:styleId="titulorubrolgt">
    <w:name w:val="titulorubrolgt"/>
    <w:basedOn w:val="Fuentedeprrafopredeter"/>
    <w:rsid w:val="00615060"/>
  </w:style>
  <w:style w:type="character" w:customStyle="1" w:styleId="ctr">
    <w:name w:val="ctr"/>
    <w:basedOn w:val="Fuentedeprrafopredeter"/>
    <w:rsid w:val="00615060"/>
  </w:style>
  <w:style w:type="paragraph" w:styleId="Textonotaalfinal">
    <w:name w:val="endnote text"/>
    <w:basedOn w:val="Normal"/>
    <w:link w:val="TextonotaalfinalCar"/>
    <w:uiPriority w:val="99"/>
    <w:semiHidden/>
    <w:unhideWhenUsed/>
    <w:rsid w:val="00D25E88"/>
    <w:rPr>
      <w:sz w:val="20"/>
      <w:szCs w:val="20"/>
    </w:rPr>
  </w:style>
  <w:style w:type="character" w:customStyle="1" w:styleId="TextonotaalfinalCar">
    <w:name w:val="Texto nota al final Car"/>
    <w:basedOn w:val="Fuentedeprrafopredeter"/>
    <w:link w:val="Textonotaalfinal"/>
    <w:uiPriority w:val="99"/>
    <w:semiHidden/>
    <w:rsid w:val="00D25E88"/>
    <w:rPr>
      <w:rFonts w:ascii="Times New Roman" w:eastAsia="Times New Roman" w:hAnsi="Times New Roman" w:cs="Times New Roman"/>
      <w:sz w:val="20"/>
      <w:szCs w:val="20"/>
      <w:lang w:val="es-ES"/>
    </w:rPr>
  </w:style>
  <w:style w:type="character" w:styleId="Refdenotaalfinal">
    <w:name w:val="endnote reference"/>
    <w:basedOn w:val="Fuentedeprrafopredeter"/>
    <w:uiPriority w:val="99"/>
    <w:semiHidden/>
    <w:unhideWhenUsed/>
    <w:rsid w:val="00D25E88"/>
    <w:rPr>
      <w:vertAlign w:val="superscript"/>
    </w:rPr>
  </w:style>
  <w:style w:type="character" w:customStyle="1" w:styleId="A1">
    <w:name w:val="A1"/>
    <w:uiPriority w:val="99"/>
    <w:rsid w:val="00EC4ECD"/>
    <w:rPr>
      <w:rFonts w:ascii="Myriad Pro" w:hAnsi="Myriad Pro" w:cs="Myriad Pro" w:hint="default"/>
      <w:color w:val="000000"/>
      <w:sz w:val="22"/>
      <w:szCs w:val="22"/>
    </w:rPr>
  </w:style>
  <w:style w:type="paragraph" w:customStyle="1" w:styleId="Pa9">
    <w:name w:val="Pa9"/>
    <w:basedOn w:val="Normal"/>
    <w:next w:val="Normal"/>
    <w:uiPriority w:val="99"/>
    <w:rsid w:val="00EC4ECD"/>
    <w:pPr>
      <w:autoSpaceDE w:val="0"/>
      <w:autoSpaceDN w:val="0"/>
      <w:adjustRightInd w:val="0"/>
      <w:spacing w:line="241" w:lineRule="atLeast"/>
    </w:pPr>
    <w:rPr>
      <w:rFonts w:ascii="Myriad Pro" w:eastAsiaTheme="minorHAnsi" w:hAnsi="Myriad Pro" w:cstheme="minorBidi"/>
      <w:lang w:eastAsia="en-US"/>
    </w:rPr>
  </w:style>
  <w:style w:type="paragraph" w:customStyle="1" w:styleId="Pa5">
    <w:name w:val="Pa5"/>
    <w:basedOn w:val="Normal"/>
    <w:next w:val="Normal"/>
    <w:uiPriority w:val="99"/>
    <w:rsid w:val="00EC4ECD"/>
    <w:pPr>
      <w:autoSpaceDE w:val="0"/>
      <w:autoSpaceDN w:val="0"/>
      <w:adjustRightInd w:val="0"/>
      <w:spacing w:line="201" w:lineRule="atLeast"/>
    </w:pPr>
    <w:rPr>
      <w:rFonts w:ascii="Myriad Pro" w:eastAsiaTheme="minorHAnsi" w:hAnsi="Myriad Pro" w:cstheme="minorBidi"/>
      <w:lang w:eastAsia="en-US"/>
    </w:rPr>
  </w:style>
  <w:style w:type="paragraph" w:customStyle="1" w:styleId="m5127500252372250437gmail-paragraph">
    <w:name w:val="m_5127500252372250437gmail-paragraph"/>
    <w:basedOn w:val="Normal"/>
    <w:rsid w:val="00980B7E"/>
    <w:pPr>
      <w:spacing w:before="100" w:beforeAutospacing="1" w:after="100" w:afterAutospacing="1"/>
    </w:pPr>
  </w:style>
  <w:style w:type="character" w:customStyle="1" w:styleId="nombrefraccder">
    <w:name w:val="nombrefraccder"/>
    <w:basedOn w:val="Fuentedeprrafopredeter"/>
    <w:rsid w:val="009B4A68"/>
  </w:style>
  <w:style w:type="character" w:customStyle="1" w:styleId="numberfraccder">
    <w:name w:val="numberfraccder"/>
    <w:basedOn w:val="Fuentedeprrafopredeter"/>
    <w:rsid w:val="009B4A68"/>
  </w:style>
  <w:style w:type="character" w:customStyle="1" w:styleId="TextoCar">
    <w:name w:val="Texto Car"/>
    <w:link w:val="Texto"/>
    <w:locked/>
    <w:rsid w:val="002B0963"/>
    <w:rPr>
      <w:rFonts w:ascii="Arial" w:eastAsia="Times New Roman" w:hAnsi="Arial" w:cs="Arial"/>
      <w:sz w:val="18"/>
      <w:szCs w:val="18"/>
      <w:lang w:val="es-MX"/>
    </w:rPr>
  </w:style>
  <w:style w:type="character" w:styleId="nfasis">
    <w:name w:val="Emphasis"/>
    <w:basedOn w:val="Fuentedeprrafopredeter"/>
    <w:uiPriority w:val="20"/>
    <w:qFormat/>
    <w:rsid w:val="00C536F2"/>
    <w:rPr>
      <w:i/>
      <w:iCs/>
    </w:rPr>
  </w:style>
  <w:style w:type="character" w:customStyle="1" w:styleId="normaltextrun">
    <w:name w:val="normaltextrun"/>
    <w:basedOn w:val="Fuentedeprrafopredeter"/>
    <w:rsid w:val="0011437B"/>
  </w:style>
  <w:style w:type="character" w:customStyle="1" w:styleId="m5127500252372250437gmail-normaltextrun">
    <w:name w:val="m_5127500252372250437gmail-normaltextrun"/>
    <w:basedOn w:val="Fuentedeprrafopredeter"/>
    <w:rsid w:val="0011437B"/>
  </w:style>
  <w:style w:type="paragraph" w:customStyle="1" w:styleId="m-60081275284358516gmail-msolistparagraph">
    <w:name w:val="m_-60081275284358516gmail-msolistparagraph"/>
    <w:basedOn w:val="Normal"/>
    <w:rsid w:val="00207C90"/>
    <w:pPr>
      <w:spacing w:before="100" w:beforeAutospacing="1" w:after="100" w:afterAutospacing="1"/>
    </w:pPr>
  </w:style>
  <w:style w:type="paragraph" w:customStyle="1" w:styleId="ANOTACION">
    <w:name w:val="ANOTACION"/>
    <w:basedOn w:val="Normal"/>
    <w:link w:val="ANOTACIONCar"/>
    <w:rsid w:val="001B5A73"/>
    <w:pPr>
      <w:spacing w:before="101" w:after="101" w:line="216" w:lineRule="atLeast"/>
      <w:jc w:val="center"/>
    </w:pPr>
    <w:rPr>
      <w:b/>
      <w:sz w:val="18"/>
      <w:szCs w:val="20"/>
      <w:lang w:val="es-ES_tradnl"/>
    </w:rPr>
  </w:style>
  <w:style w:type="character" w:customStyle="1" w:styleId="ANOTACIONCar">
    <w:name w:val="ANOTACION Car"/>
    <w:link w:val="ANOTACION"/>
    <w:locked/>
    <w:rsid w:val="001B5A73"/>
    <w:rPr>
      <w:rFonts w:ascii="Times New Roman" w:eastAsia="Times New Roman" w:hAnsi="Times New Roman" w:cs="Times New Roman"/>
      <w:b/>
      <w:sz w:val="18"/>
      <w:szCs w:val="20"/>
    </w:rPr>
  </w:style>
  <w:style w:type="paragraph" w:customStyle="1" w:styleId="j">
    <w:name w:val="j"/>
    <w:basedOn w:val="Normal"/>
    <w:rsid w:val="007B00BD"/>
    <w:pPr>
      <w:spacing w:before="100" w:beforeAutospacing="1" w:after="100" w:afterAutospacing="1"/>
    </w:pPr>
  </w:style>
  <w:style w:type="character" w:customStyle="1" w:styleId="nacep">
    <w:name w:val="n_acep"/>
    <w:basedOn w:val="Fuentedeprrafopredeter"/>
    <w:rsid w:val="007B00BD"/>
  </w:style>
  <w:style w:type="paragraph" w:customStyle="1" w:styleId="k5">
    <w:name w:val="k5"/>
    <w:basedOn w:val="Normal"/>
    <w:rsid w:val="007B00BD"/>
    <w:pPr>
      <w:spacing w:before="100" w:beforeAutospacing="1" w:after="100" w:afterAutospacing="1"/>
    </w:pPr>
  </w:style>
  <w:style w:type="paragraph" w:customStyle="1" w:styleId="m">
    <w:name w:val="m"/>
    <w:basedOn w:val="Normal"/>
    <w:rsid w:val="007B00BD"/>
    <w:pPr>
      <w:spacing w:before="100" w:beforeAutospacing="1" w:after="100" w:afterAutospacing="1"/>
    </w:pPr>
  </w:style>
  <w:style w:type="character" w:styleId="Refdecomentario">
    <w:name w:val="annotation reference"/>
    <w:basedOn w:val="Fuentedeprrafopredeter"/>
    <w:uiPriority w:val="99"/>
    <w:semiHidden/>
    <w:unhideWhenUsed/>
    <w:rsid w:val="003219FE"/>
    <w:rPr>
      <w:sz w:val="16"/>
      <w:szCs w:val="16"/>
    </w:rPr>
  </w:style>
  <w:style w:type="paragraph" w:styleId="Textocomentario">
    <w:name w:val="annotation text"/>
    <w:basedOn w:val="Normal"/>
    <w:link w:val="TextocomentarioCar"/>
    <w:uiPriority w:val="99"/>
    <w:semiHidden/>
    <w:unhideWhenUsed/>
    <w:rsid w:val="003219FE"/>
    <w:rPr>
      <w:sz w:val="20"/>
      <w:szCs w:val="20"/>
    </w:rPr>
  </w:style>
  <w:style w:type="character" w:customStyle="1" w:styleId="TextocomentarioCar">
    <w:name w:val="Texto comentario Car"/>
    <w:basedOn w:val="Fuentedeprrafopredeter"/>
    <w:link w:val="Textocomentario"/>
    <w:uiPriority w:val="99"/>
    <w:semiHidden/>
    <w:rsid w:val="003219FE"/>
    <w:rPr>
      <w:rFonts w:ascii="Times New Roman" w:eastAsia="Times New Roman" w:hAnsi="Times New Roman" w:cs="Times New Roman"/>
      <w:sz w:val="20"/>
      <w:szCs w:val="20"/>
      <w:lang w:val="es-ES"/>
    </w:rPr>
  </w:style>
  <w:style w:type="paragraph" w:styleId="Asuntodelcomentario">
    <w:name w:val="annotation subject"/>
    <w:basedOn w:val="Textocomentario"/>
    <w:next w:val="Textocomentario"/>
    <w:link w:val="AsuntodelcomentarioCar"/>
    <w:uiPriority w:val="99"/>
    <w:semiHidden/>
    <w:unhideWhenUsed/>
    <w:rsid w:val="003219FE"/>
    <w:rPr>
      <w:b/>
      <w:bCs/>
    </w:rPr>
  </w:style>
  <w:style w:type="character" w:customStyle="1" w:styleId="AsuntodelcomentarioCar">
    <w:name w:val="Asunto del comentario Car"/>
    <w:basedOn w:val="TextocomentarioCar"/>
    <w:link w:val="Asuntodelcomentario"/>
    <w:uiPriority w:val="99"/>
    <w:semiHidden/>
    <w:rsid w:val="003219FE"/>
    <w:rPr>
      <w:rFonts w:ascii="Times New Roman" w:eastAsia="Times New Roman" w:hAnsi="Times New Roman" w:cs="Times New Roman"/>
      <w:b/>
      <w:bCs/>
      <w:sz w:val="20"/>
      <w:szCs w:val="20"/>
      <w:lang w:val="es-ES"/>
    </w:rPr>
  </w:style>
  <w:style w:type="paragraph" w:customStyle="1" w:styleId="FAFunotente1">
    <w:name w:val="FA Fu?notente1"/>
    <w:basedOn w:val="Normal"/>
    <w:next w:val="Textonotapie"/>
    <w:uiPriority w:val="99"/>
    <w:unhideWhenUsed/>
    <w:rsid w:val="00A403D3"/>
    <w:rPr>
      <w:rFonts w:asciiTheme="minorHAnsi" w:eastAsia="Cambria" w:hAnsiTheme="minorHAnsi" w:cstheme="minorBidi"/>
      <w:sz w:val="20"/>
      <w:szCs w:val="20"/>
      <w:lang w:eastAsia="en-US"/>
    </w:rPr>
  </w:style>
  <w:style w:type="character" w:customStyle="1" w:styleId="Ttulo1Car">
    <w:name w:val="Título 1 Car"/>
    <w:basedOn w:val="Fuentedeprrafopredeter"/>
    <w:link w:val="Ttulo1"/>
    <w:uiPriority w:val="9"/>
    <w:rsid w:val="00603D72"/>
    <w:rPr>
      <w:rFonts w:asciiTheme="majorHAnsi" w:eastAsiaTheme="majorEastAsia" w:hAnsiTheme="majorHAnsi" w:cstheme="majorBidi"/>
      <w:color w:val="365F91" w:themeColor="accent1" w:themeShade="BF"/>
      <w:sz w:val="32"/>
      <w:szCs w:val="32"/>
      <w:lang w:val="es-ES"/>
    </w:rPr>
  </w:style>
  <w:style w:type="character" w:customStyle="1" w:styleId="Ttulo2Car">
    <w:name w:val="Título 2 Car"/>
    <w:basedOn w:val="Fuentedeprrafopredeter"/>
    <w:link w:val="Ttulo2"/>
    <w:uiPriority w:val="9"/>
    <w:rsid w:val="00603D72"/>
    <w:rPr>
      <w:rFonts w:asciiTheme="majorHAnsi" w:eastAsiaTheme="majorEastAsia" w:hAnsiTheme="majorHAnsi" w:cstheme="majorBidi"/>
      <w:color w:val="365F91" w:themeColor="accent1" w:themeShade="BF"/>
      <w:sz w:val="26"/>
      <w:szCs w:val="26"/>
      <w:lang w:val="es-ES"/>
    </w:rPr>
  </w:style>
  <w:style w:type="paragraph" w:styleId="Lista">
    <w:name w:val="List"/>
    <w:basedOn w:val="Normal"/>
    <w:uiPriority w:val="99"/>
    <w:unhideWhenUsed/>
    <w:rsid w:val="00603D72"/>
    <w:pPr>
      <w:ind w:left="283" w:hanging="283"/>
      <w:contextualSpacing/>
    </w:pPr>
  </w:style>
  <w:style w:type="paragraph" w:styleId="Lista2">
    <w:name w:val="List 2"/>
    <w:basedOn w:val="Normal"/>
    <w:uiPriority w:val="99"/>
    <w:unhideWhenUsed/>
    <w:rsid w:val="00603D72"/>
    <w:pPr>
      <w:ind w:left="566" w:hanging="283"/>
      <w:contextualSpacing/>
    </w:pPr>
  </w:style>
  <w:style w:type="paragraph" w:styleId="Lista3">
    <w:name w:val="List 3"/>
    <w:basedOn w:val="Normal"/>
    <w:uiPriority w:val="99"/>
    <w:unhideWhenUsed/>
    <w:rsid w:val="00603D72"/>
    <w:pPr>
      <w:ind w:left="849" w:hanging="283"/>
      <w:contextualSpacing/>
    </w:pPr>
  </w:style>
  <w:style w:type="paragraph" w:styleId="Listaconvietas3">
    <w:name w:val="List Bullet 3"/>
    <w:basedOn w:val="Normal"/>
    <w:uiPriority w:val="99"/>
    <w:unhideWhenUsed/>
    <w:rsid w:val="00603D72"/>
    <w:pPr>
      <w:numPr>
        <w:numId w:val="2"/>
      </w:numPr>
      <w:contextualSpacing/>
    </w:pPr>
  </w:style>
  <w:style w:type="paragraph" w:styleId="Continuarlista">
    <w:name w:val="List Continue"/>
    <w:basedOn w:val="Normal"/>
    <w:uiPriority w:val="99"/>
    <w:unhideWhenUsed/>
    <w:rsid w:val="00603D72"/>
    <w:pPr>
      <w:spacing w:after="120"/>
      <w:ind w:left="283"/>
      <w:contextualSpacing/>
    </w:pPr>
  </w:style>
  <w:style w:type="paragraph" w:styleId="Continuarlista2">
    <w:name w:val="List Continue 2"/>
    <w:basedOn w:val="Normal"/>
    <w:uiPriority w:val="99"/>
    <w:unhideWhenUsed/>
    <w:rsid w:val="00603D72"/>
    <w:pPr>
      <w:spacing w:after="120"/>
      <w:ind w:left="566"/>
      <w:contextualSpacing/>
    </w:pPr>
  </w:style>
  <w:style w:type="paragraph" w:styleId="Textoindependiente">
    <w:name w:val="Body Text"/>
    <w:basedOn w:val="Normal"/>
    <w:link w:val="TextoindependienteCar"/>
    <w:uiPriority w:val="99"/>
    <w:unhideWhenUsed/>
    <w:rsid w:val="00603D72"/>
    <w:pPr>
      <w:spacing w:after="120"/>
    </w:pPr>
  </w:style>
  <w:style w:type="character" w:customStyle="1" w:styleId="TextoindependienteCar">
    <w:name w:val="Texto independiente Car"/>
    <w:basedOn w:val="Fuentedeprrafopredeter"/>
    <w:link w:val="Textoindependiente"/>
    <w:uiPriority w:val="99"/>
    <w:rsid w:val="00603D72"/>
    <w:rPr>
      <w:rFonts w:ascii="Times New Roman" w:eastAsia="Times New Roman" w:hAnsi="Times New Roman" w:cs="Times New Roman"/>
      <w:lang w:val="es-ES"/>
    </w:rPr>
  </w:style>
  <w:style w:type="paragraph" w:styleId="Sangradetextonormal">
    <w:name w:val="Body Text Indent"/>
    <w:basedOn w:val="Normal"/>
    <w:link w:val="SangradetextonormalCar"/>
    <w:uiPriority w:val="99"/>
    <w:semiHidden/>
    <w:unhideWhenUsed/>
    <w:rsid w:val="00603D72"/>
    <w:pPr>
      <w:spacing w:after="120"/>
      <w:ind w:left="283"/>
    </w:pPr>
  </w:style>
  <w:style w:type="character" w:customStyle="1" w:styleId="SangradetextonormalCar">
    <w:name w:val="Sangría de texto normal Car"/>
    <w:basedOn w:val="Fuentedeprrafopredeter"/>
    <w:link w:val="Sangradetextonormal"/>
    <w:uiPriority w:val="99"/>
    <w:semiHidden/>
    <w:rsid w:val="00603D72"/>
    <w:rPr>
      <w:rFonts w:ascii="Times New Roman" w:eastAsia="Times New Roman" w:hAnsi="Times New Roman" w:cs="Times New Roman"/>
      <w:lang w:val="es-ES"/>
    </w:rPr>
  </w:style>
  <w:style w:type="paragraph" w:styleId="Textoindependienteprimerasangra2">
    <w:name w:val="Body Text First Indent 2"/>
    <w:basedOn w:val="Sangradetextonormal"/>
    <w:link w:val="Textoindependienteprimerasangra2Car"/>
    <w:uiPriority w:val="99"/>
    <w:unhideWhenUsed/>
    <w:rsid w:val="00603D7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603D72"/>
    <w:rPr>
      <w:rFonts w:ascii="Times New Roman" w:eastAsia="Times New Roman" w:hAnsi="Times New Roman" w:cs="Times New Roman"/>
      <w:lang w:val="es-ES"/>
    </w:rPr>
  </w:style>
  <w:style w:type="paragraph" w:customStyle="1" w:styleId="paragraph">
    <w:name w:val="paragraph"/>
    <w:basedOn w:val="Normal"/>
    <w:rsid w:val="00E34821"/>
    <w:pPr>
      <w:spacing w:before="100" w:beforeAutospacing="1" w:after="100" w:afterAutospacing="1"/>
    </w:pPr>
  </w:style>
  <w:style w:type="paragraph" w:customStyle="1" w:styleId="n2">
    <w:name w:val="n2"/>
    <w:basedOn w:val="Normal"/>
    <w:rsid w:val="009D307C"/>
    <w:pPr>
      <w:spacing w:before="100" w:beforeAutospacing="1" w:after="100" w:afterAutospacing="1"/>
    </w:pPr>
  </w:style>
  <w:style w:type="character" w:customStyle="1" w:styleId="u">
    <w:name w:val="u"/>
    <w:basedOn w:val="Fuentedeprrafopredeter"/>
    <w:rsid w:val="009D307C"/>
  </w:style>
  <w:style w:type="paragraph" w:customStyle="1" w:styleId="j1">
    <w:name w:val="j1"/>
    <w:basedOn w:val="Normal"/>
    <w:rsid w:val="009D307C"/>
    <w:pPr>
      <w:spacing w:before="100" w:beforeAutospacing="1" w:after="100" w:afterAutospacing="1"/>
    </w:pPr>
  </w:style>
  <w:style w:type="paragraph" w:customStyle="1" w:styleId="j2">
    <w:name w:val="j2"/>
    <w:basedOn w:val="Normal"/>
    <w:rsid w:val="009D307C"/>
    <w:pPr>
      <w:spacing w:before="100" w:beforeAutospacing="1" w:after="100" w:afterAutospacing="1"/>
    </w:pPr>
  </w:style>
  <w:style w:type="table" w:styleId="Tabladelista1clara-nfasis1">
    <w:name w:val="List Table 1 Light Accent 1"/>
    <w:basedOn w:val="Tablanormal"/>
    <w:uiPriority w:val="46"/>
    <w:rsid w:val="00A01B91"/>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cinsinresolver1">
    <w:name w:val="Mención sin resolver1"/>
    <w:basedOn w:val="Fuentedeprrafopredeter"/>
    <w:uiPriority w:val="99"/>
    <w:semiHidden/>
    <w:unhideWhenUsed/>
    <w:rsid w:val="00457753"/>
    <w:rPr>
      <w:color w:val="605E5C"/>
      <w:shd w:val="clear" w:color="auto" w:fill="E1DFDD"/>
    </w:rPr>
  </w:style>
  <w:style w:type="character" w:customStyle="1" w:styleId="Mencinsinresolver2">
    <w:name w:val="Mención sin resolver2"/>
    <w:basedOn w:val="Fuentedeprrafopredeter"/>
    <w:uiPriority w:val="99"/>
    <w:semiHidden/>
    <w:unhideWhenUsed/>
    <w:rsid w:val="00CE48D4"/>
    <w:rPr>
      <w:color w:val="605E5C"/>
      <w:shd w:val="clear" w:color="auto" w:fill="E1DFDD"/>
    </w:rPr>
  </w:style>
  <w:style w:type="table" w:customStyle="1" w:styleId="Tabladelista1clara-nfasis11">
    <w:name w:val="Tabla de lista 1 clara - Énfasis 11"/>
    <w:basedOn w:val="Tablanormal"/>
    <w:uiPriority w:val="46"/>
    <w:rsid w:val="008F79FD"/>
    <w:rPr>
      <w:rFonts w:eastAsia="MS Mincho"/>
    </w:rPr>
    <w:tblPr>
      <w:tblStyleRowBandSize w:val="1"/>
      <w:tblStyleColBandSize w:val="1"/>
    </w:tblPr>
    <w:tblStylePr w:type="firstRow">
      <w:rPr>
        <w:b/>
        <w:bCs/>
      </w:rPr>
      <w:tblPr/>
      <w:tcPr>
        <w:tcBorders>
          <w:bottom w:val="single" w:sz="4" w:space="0" w:color="95B3D7"/>
        </w:tcBorders>
      </w:tcPr>
    </w:tblStylePr>
    <w:tblStylePr w:type="lastRow">
      <w:rPr>
        <w:b/>
        <w:bCs/>
      </w:rPr>
      <w:tblPr/>
      <w:tcPr>
        <w:tcBorders>
          <w:top w:val="sing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Ttulo3Car">
    <w:name w:val="Título 3 Car"/>
    <w:basedOn w:val="Fuentedeprrafopredeter"/>
    <w:link w:val="Ttulo3"/>
    <w:uiPriority w:val="9"/>
    <w:semiHidden/>
    <w:rsid w:val="003B73CD"/>
    <w:rPr>
      <w:rFonts w:asciiTheme="majorHAnsi" w:eastAsiaTheme="majorEastAsia" w:hAnsiTheme="majorHAnsi" w:cstheme="majorBidi"/>
      <w:b/>
      <w:bCs/>
      <w:sz w:val="26"/>
      <w:szCs w:val="26"/>
      <w:lang w:val="en-US" w:eastAsia="en-US"/>
    </w:rPr>
  </w:style>
  <w:style w:type="character" w:customStyle="1" w:styleId="Ttulo4Car">
    <w:name w:val="Título 4 Car"/>
    <w:basedOn w:val="Fuentedeprrafopredeter"/>
    <w:link w:val="Ttulo4"/>
    <w:uiPriority w:val="9"/>
    <w:semiHidden/>
    <w:rsid w:val="003B73CD"/>
    <w:rPr>
      <w:b/>
      <w:bCs/>
      <w:sz w:val="28"/>
      <w:szCs w:val="28"/>
      <w:lang w:val="en-US" w:eastAsia="en-US"/>
    </w:rPr>
  </w:style>
  <w:style w:type="character" w:customStyle="1" w:styleId="Ttulo5Car">
    <w:name w:val="Título 5 Car"/>
    <w:basedOn w:val="Fuentedeprrafopredeter"/>
    <w:link w:val="Ttulo5"/>
    <w:uiPriority w:val="9"/>
    <w:semiHidden/>
    <w:rsid w:val="003B73CD"/>
    <w:rPr>
      <w:b/>
      <w:bCs/>
      <w:i/>
      <w:iCs/>
      <w:sz w:val="26"/>
      <w:szCs w:val="26"/>
      <w:lang w:val="en-US" w:eastAsia="en-US"/>
    </w:rPr>
  </w:style>
  <w:style w:type="character" w:customStyle="1" w:styleId="Ttulo6Car">
    <w:name w:val="Título 6 Car"/>
    <w:basedOn w:val="Fuentedeprrafopredeter"/>
    <w:link w:val="Ttulo6"/>
    <w:semiHidden/>
    <w:rsid w:val="003B73CD"/>
    <w:rPr>
      <w:rFonts w:ascii="Times New Roman" w:eastAsia="Times New Roman" w:hAnsi="Times New Roman" w:cs="Times New Roman"/>
      <w:b/>
      <w:bCs/>
      <w:sz w:val="22"/>
      <w:szCs w:val="22"/>
      <w:lang w:val="en-US" w:eastAsia="en-US"/>
    </w:rPr>
  </w:style>
  <w:style w:type="character" w:customStyle="1" w:styleId="Ttulo7Car">
    <w:name w:val="Título 7 Car"/>
    <w:basedOn w:val="Fuentedeprrafopredeter"/>
    <w:link w:val="Ttulo7"/>
    <w:uiPriority w:val="9"/>
    <w:semiHidden/>
    <w:rsid w:val="003B73CD"/>
    <w:rPr>
      <w:lang w:val="en-US" w:eastAsia="en-US"/>
    </w:rPr>
  </w:style>
  <w:style w:type="character" w:customStyle="1" w:styleId="Ttulo8Car">
    <w:name w:val="Título 8 Car"/>
    <w:basedOn w:val="Fuentedeprrafopredeter"/>
    <w:link w:val="Ttulo8"/>
    <w:uiPriority w:val="9"/>
    <w:semiHidden/>
    <w:rsid w:val="003B73CD"/>
    <w:rPr>
      <w:i/>
      <w:iCs/>
      <w:lang w:val="en-US" w:eastAsia="en-US"/>
    </w:rPr>
  </w:style>
  <w:style w:type="character" w:customStyle="1" w:styleId="Ttulo9Car">
    <w:name w:val="Título 9 Car"/>
    <w:basedOn w:val="Fuentedeprrafopredeter"/>
    <w:link w:val="Ttulo9"/>
    <w:uiPriority w:val="9"/>
    <w:semiHidden/>
    <w:rsid w:val="003B73CD"/>
    <w:rPr>
      <w:rFonts w:asciiTheme="majorHAnsi" w:eastAsiaTheme="majorEastAsia" w:hAnsiTheme="majorHAnsi" w:cstheme="majorBidi"/>
      <w:sz w:val="22"/>
      <w:szCs w:val="22"/>
      <w:lang w:val="en-US" w:eastAsia="en-US"/>
    </w:rPr>
  </w:style>
  <w:style w:type="paragraph" w:styleId="Revisin">
    <w:name w:val="Revision"/>
    <w:hidden/>
    <w:uiPriority w:val="99"/>
    <w:semiHidden/>
    <w:rsid w:val="00564B24"/>
  </w:style>
  <w:style w:type="table" w:customStyle="1" w:styleId="Tablanormal11">
    <w:name w:val="Tabla normal 11"/>
    <w:basedOn w:val="Tablanormal"/>
    <w:next w:val="Tablanormal1"/>
    <w:uiPriority w:val="41"/>
    <w:rsid w:val="007A5E15"/>
    <w:rPr>
      <w:rFonts w:eastAsia="Calibri"/>
      <w:sz w:val="22"/>
      <w:szCs w:val="22"/>
      <w:lang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Tablanormal1">
    <w:name w:val="Plain Table 1"/>
    <w:basedOn w:val="Tablanormal"/>
    <w:uiPriority w:val="41"/>
    <w:rsid w:val="007A5E1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extonotapieCar1">
    <w:name w:val="Texto nota pie Car1"/>
    <w:uiPriority w:val="99"/>
    <w:rsid w:val="006233E2"/>
    <w:rPr>
      <w:rFonts w:ascii="Times New Roman" w:eastAsia="Times New Roman" w:hAnsi="Times New Roman" w:cs="Times New Roman"/>
      <w:sz w:val="20"/>
      <w:szCs w:val="20"/>
      <w:lang w:val="es-ES" w:eastAsia="es-ES"/>
    </w:rPr>
  </w:style>
  <w:style w:type="paragraph" w:styleId="Subttulo">
    <w:name w:val="Subtitle"/>
    <w:basedOn w:val="Normal"/>
    <w:next w:val="Normal"/>
    <w:link w:val="SubttuloCar"/>
    <w:pPr>
      <w:spacing w:after="160"/>
    </w:pPr>
    <w:rPr>
      <w:rFonts w:ascii="Cambria" w:eastAsia="Cambria" w:hAnsi="Cambria" w:cs="Cambria"/>
      <w:color w:val="5A5A5A"/>
      <w:sz w:val="22"/>
      <w:szCs w:val="22"/>
    </w:rPr>
  </w:style>
  <w:style w:type="character" w:customStyle="1" w:styleId="SubttuloCar">
    <w:name w:val="Subtítulo Car"/>
    <w:basedOn w:val="Fuentedeprrafopredeter"/>
    <w:link w:val="Subttulo"/>
    <w:uiPriority w:val="11"/>
    <w:rsid w:val="00D91005"/>
    <w:rPr>
      <w:color w:val="5A5A5A" w:themeColor="text1" w:themeTint="A5"/>
      <w:spacing w:val="15"/>
      <w:sz w:val="22"/>
      <w:szCs w:val="22"/>
      <w:lang w:val="es-ES"/>
    </w:rPr>
  </w:style>
  <w:style w:type="table" w:customStyle="1" w:styleId="44">
    <w:name w:val="44"/>
    <w:basedOn w:val="TableNormal20"/>
    <w:tblPr>
      <w:tblStyleRowBandSize w:val="1"/>
      <w:tblStyleColBandSize w:val="1"/>
      <w:tblCellMar>
        <w:left w:w="115" w:type="dxa"/>
        <w:right w:w="115" w:type="dxa"/>
      </w:tblCellMar>
    </w:tblPr>
  </w:style>
  <w:style w:type="table" w:customStyle="1" w:styleId="43">
    <w:name w:val="43"/>
    <w:basedOn w:val="TableNormal20"/>
    <w:tblPr>
      <w:tblStyleRowBandSize w:val="1"/>
      <w:tblStyleColBandSize w:val="1"/>
      <w:tblCellMar>
        <w:left w:w="115" w:type="dxa"/>
        <w:right w:w="115" w:type="dxa"/>
      </w:tblCellMar>
    </w:tblPr>
  </w:style>
  <w:style w:type="table" w:customStyle="1" w:styleId="42">
    <w:name w:val="42"/>
    <w:basedOn w:val="TableNormal20"/>
    <w:tblPr>
      <w:tblStyleRowBandSize w:val="1"/>
      <w:tblStyleColBandSize w:val="1"/>
      <w:tblCellMar>
        <w:left w:w="115" w:type="dxa"/>
        <w:right w:w="115" w:type="dxa"/>
      </w:tblCellMar>
    </w:tblPr>
  </w:style>
  <w:style w:type="table" w:customStyle="1" w:styleId="41">
    <w:name w:val="41"/>
    <w:basedOn w:val="TableNormal20"/>
    <w:tblPr>
      <w:tblStyleRowBandSize w:val="1"/>
      <w:tblStyleColBandSize w:val="1"/>
      <w:tblCellMar>
        <w:left w:w="115" w:type="dxa"/>
        <w:right w:w="115" w:type="dxa"/>
      </w:tblCellMar>
    </w:tblPr>
  </w:style>
  <w:style w:type="table" w:customStyle="1" w:styleId="40">
    <w:name w:val="40"/>
    <w:basedOn w:val="TableNormal20"/>
    <w:rPr>
      <w:sz w:val="22"/>
      <w:szCs w:val="22"/>
    </w:rPr>
    <w:tblPr>
      <w:tblStyleRowBandSize w:val="1"/>
      <w:tblStyleColBandSize w:val="1"/>
      <w:tblCellMar>
        <w:left w:w="108" w:type="dxa"/>
        <w:right w:w="108" w:type="dxa"/>
      </w:tblCellMar>
    </w:tblPr>
    <w:tblStylePr w:type="firstRow">
      <w:rPr>
        <w:b/>
      </w:rPr>
      <w:tblPr/>
      <w:tcPr>
        <w:tcBorders>
          <w:bottom w:val="single" w:sz="4" w:space="0" w:color="95B3D7"/>
        </w:tcBorders>
      </w:tcPr>
    </w:tblStylePr>
    <w:tblStylePr w:type="lastRow">
      <w:rPr>
        <w:b/>
      </w:rPr>
      <w:tblPr/>
      <w:tcPr>
        <w:tcBorders>
          <w:top w:val="single" w:sz="4" w:space="0" w:color="95B3D7"/>
        </w:tcBorders>
      </w:tcPr>
    </w:tblStylePr>
    <w:tblStylePr w:type="firstCol">
      <w:rPr>
        <w:b/>
      </w:rPr>
    </w:tblStylePr>
    <w:tblStylePr w:type="lastCol">
      <w:rPr>
        <w:b/>
      </w:rPr>
    </w:tblStylePr>
    <w:tblStylePr w:type="band1Vert">
      <w:tblPr/>
      <w:tcPr>
        <w:shd w:val="clear" w:color="auto" w:fill="DBE5F1"/>
      </w:tcPr>
    </w:tblStylePr>
    <w:tblStylePr w:type="band1Horz">
      <w:tblPr/>
      <w:tcPr>
        <w:shd w:val="clear" w:color="auto" w:fill="DBE5F1"/>
      </w:tcPr>
    </w:tblStylePr>
  </w:style>
  <w:style w:type="table" w:customStyle="1" w:styleId="39">
    <w:name w:val="39"/>
    <w:basedOn w:val="TableNormal20"/>
    <w:tblPr>
      <w:tblStyleRowBandSize w:val="1"/>
      <w:tblStyleColBandSize w:val="1"/>
      <w:tblCellMar>
        <w:left w:w="115" w:type="dxa"/>
        <w:right w:w="115" w:type="dxa"/>
      </w:tblCellMar>
    </w:tblPr>
  </w:style>
  <w:style w:type="table" w:customStyle="1" w:styleId="38">
    <w:name w:val="38"/>
    <w:basedOn w:val="TableNormal20"/>
    <w:tblPr>
      <w:tblStyleRowBandSize w:val="1"/>
      <w:tblStyleColBandSize w:val="1"/>
      <w:tblCellMar>
        <w:left w:w="115" w:type="dxa"/>
        <w:right w:w="115" w:type="dxa"/>
      </w:tblCellMar>
    </w:tblPr>
  </w:style>
  <w:style w:type="table" w:customStyle="1" w:styleId="37">
    <w:name w:val="37"/>
    <w:basedOn w:val="TableNormal20"/>
    <w:rPr>
      <w:sz w:val="22"/>
      <w:szCs w:val="22"/>
    </w:rPr>
    <w:tblPr>
      <w:tblStyleRowBandSize w:val="1"/>
      <w:tblStyleColBandSize w:val="1"/>
      <w:tblCellMar>
        <w:left w:w="115" w:type="dxa"/>
        <w:right w:w="115" w:type="dxa"/>
      </w:tblCellMar>
    </w:tblPr>
  </w:style>
  <w:style w:type="table" w:customStyle="1" w:styleId="36">
    <w:name w:val="36"/>
    <w:basedOn w:val="TableNormal20"/>
    <w:rPr>
      <w:sz w:val="22"/>
      <w:szCs w:val="22"/>
    </w:rPr>
    <w:tblPr>
      <w:tblStyleRowBandSize w:val="1"/>
      <w:tblStyleColBandSize w:val="1"/>
      <w:tblCellMar>
        <w:left w:w="115" w:type="dxa"/>
        <w:right w:w="115" w:type="dxa"/>
      </w:tblCellMar>
    </w:tblPr>
  </w:style>
  <w:style w:type="table" w:customStyle="1" w:styleId="35">
    <w:name w:val="35"/>
    <w:basedOn w:val="TableNormal20"/>
    <w:rPr>
      <w:sz w:val="22"/>
      <w:szCs w:val="22"/>
    </w:rPr>
    <w:tblPr>
      <w:tblStyleRowBandSize w:val="1"/>
      <w:tblStyleColBandSize w:val="1"/>
      <w:tblCellMar>
        <w:left w:w="115" w:type="dxa"/>
        <w:right w:w="115" w:type="dxa"/>
      </w:tblCellMar>
    </w:tblPr>
  </w:style>
  <w:style w:type="table" w:customStyle="1" w:styleId="34">
    <w:name w:val="34"/>
    <w:basedOn w:val="TableNormal20"/>
    <w:tblPr>
      <w:tblStyleRowBandSize w:val="1"/>
      <w:tblStyleColBandSize w:val="1"/>
      <w:tblCellMar>
        <w:left w:w="115" w:type="dxa"/>
        <w:right w:w="115" w:type="dxa"/>
      </w:tblCellMar>
    </w:tblPr>
  </w:style>
  <w:style w:type="table" w:customStyle="1" w:styleId="33">
    <w:name w:val="33"/>
    <w:basedOn w:val="TableNormal20"/>
    <w:tblPr>
      <w:tblStyleRowBandSize w:val="1"/>
      <w:tblStyleColBandSize w:val="1"/>
      <w:tblCellMar>
        <w:left w:w="115" w:type="dxa"/>
        <w:right w:w="115" w:type="dxa"/>
      </w:tblCellMar>
    </w:tblPr>
  </w:style>
  <w:style w:type="table" w:customStyle="1" w:styleId="32">
    <w:name w:val="32"/>
    <w:basedOn w:val="TableNormal20"/>
    <w:tblPr>
      <w:tblStyleRowBandSize w:val="1"/>
      <w:tblStyleColBandSize w:val="1"/>
      <w:tblCellMar>
        <w:left w:w="115" w:type="dxa"/>
        <w:right w:w="115" w:type="dxa"/>
      </w:tblCellMar>
    </w:tblPr>
  </w:style>
  <w:style w:type="table" w:customStyle="1" w:styleId="31">
    <w:name w:val="31"/>
    <w:basedOn w:val="TableNormal20"/>
    <w:tblPr>
      <w:tblStyleRowBandSize w:val="1"/>
      <w:tblStyleColBandSize w:val="1"/>
      <w:tblCellMar>
        <w:left w:w="115" w:type="dxa"/>
        <w:right w:w="115" w:type="dxa"/>
      </w:tblCellMar>
    </w:tblPr>
  </w:style>
  <w:style w:type="table" w:customStyle="1" w:styleId="30">
    <w:name w:val="30"/>
    <w:basedOn w:val="TableNormal20"/>
    <w:rPr>
      <w:sz w:val="22"/>
      <w:szCs w:val="22"/>
    </w:rPr>
    <w:tblPr>
      <w:tblStyleRowBandSize w:val="1"/>
      <w:tblStyleColBandSize w:val="1"/>
      <w:tblCellMar>
        <w:left w:w="115" w:type="dxa"/>
        <w:right w:w="115" w:type="dxa"/>
      </w:tblCellMar>
    </w:tblPr>
    <w:tblStylePr w:type="firstRow">
      <w:rPr>
        <w:b/>
      </w:rPr>
      <w:tblPr/>
      <w:tcPr>
        <w:tcBorders>
          <w:bottom w:val="single" w:sz="4" w:space="0" w:color="95B3D7"/>
        </w:tcBorders>
      </w:tcPr>
    </w:tblStylePr>
    <w:tblStylePr w:type="lastRow">
      <w:rPr>
        <w:b/>
      </w:rPr>
      <w:tblPr/>
      <w:tcPr>
        <w:tcBorders>
          <w:top w:val="single" w:sz="4" w:space="0" w:color="95B3D7"/>
        </w:tcBorders>
      </w:tcPr>
    </w:tblStylePr>
    <w:tblStylePr w:type="firstCol">
      <w:rPr>
        <w:b/>
      </w:rPr>
    </w:tblStylePr>
    <w:tblStylePr w:type="lastCol">
      <w:rPr>
        <w:b/>
      </w:rPr>
    </w:tblStylePr>
    <w:tblStylePr w:type="band1Vert">
      <w:tblPr/>
      <w:tcPr>
        <w:shd w:val="clear" w:color="auto" w:fill="DBE5F1"/>
      </w:tcPr>
    </w:tblStylePr>
    <w:tblStylePr w:type="band1Horz">
      <w:tblPr/>
      <w:tcPr>
        <w:shd w:val="clear" w:color="auto" w:fill="DBE5F1"/>
      </w:tcPr>
    </w:tblStylePr>
  </w:style>
  <w:style w:type="table" w:customStyle="1" w:styleId="29">
    <w:name w:val="29"/>
    <w:basedOn w:val="TableNormal20"/>
    <w:rPr>
      <w:sz w:val="22"/>
      <w:szCs w:val="22"/>
    </w:rPr>
    <w:tblPr>
      <w:tblStyleRowBandSize w:val="1"/>
      <w:tblStyleColBandSize w:val="1"/>
      <w:tblCellMar>
        <w:left w:w="115" w:type="dxa"/>
        <w:right w:w="115" w:type="dxa"/>
      </w:tblCellMar>
    </w:tblPr>
  </w:style>
  <w:style w:type="table" w:customStyle="1" w:styleId="28">
    <w:name w:val="28"/>
    <w:basedOn w:val="TableNormal20"/>
    <w:rPr>
      <w:sz w:val="22"/>
      <w:szCs w:val="22"/>
    </w:rPr>
    <w:tblPr>
      <w:tblStyleRowBandSize w:val="1"/>
      <w:tblStyleColBandSize w:val="1"/>
      <w:tblCellMar>
        <w:left w:w="115" w:type="dxa"/>
        <w:right w:w="115" w:type="dxa"/>
      </w:tblCellMar>
    </w:tblPr>
  </w:style>
  <w:style w:type="table" w:customStyle="1" w:styleId="27">
    <w:name w:val="27"/>
    <w:basedOn w:val="TableNormal30"/>
    <w:rPr>
      <w:sz w:val="22"/>
      <w:szCs w:val="22"/>
    </w:rPr>
    <w:tblPr>
      <w:tblStyleRowBandSize w:val="1"/>
      <w:tblStyleColBandSize w:val="1"/>
      <w:tblCellMar>
        <w:left w:w="115" w:type="dxa"/>
        <w:right w:w="115" w:type="dxa"/>
      </w:tblCellMar>
    </w:tblPr>
  </w:style>
  <w:style w:type="table" w:customStyle="1" w:styleId="26">
    <w:name w:val="26"/>
    <w:basedOn w:val="TableNormal30"/>
    <w:rPr>
      <w:sz w:val="22"/>
      <w:szCs w:val="22"/>
    </w:rPr>
    <w:tblPr>
      <w:tblStyleRowBandSize w:val="1"/>
      <w:tblStyleColBandSize w:val="1"/>
      <w:tblCellMar>
        <w:left w:w="115" w:type="dxa"/>
        <w:right w:w="115" w:type="dxa"/>
      </w:tblCellMar>
    </w:tblPr>
  </w:style>
  <w:style w:type="table" w:customStyle="1" w:styleId="25">
    <w:name w:val="25"/>
    <w:basedOn w:val="TableNormal30"/>
    <w:tblPr>
      <w:tblStyleRowBandSize w:val="1"/>
      <w:tblStyleColBandSize w:val="1"/>
      <w:tblCellMar>
        <w:left w:w="115" w:type="dxa"/>
        <w:right w:w="115" w:type="dxa"/>
      </w:tblCellMar>
    </w:tblPr>
  </w:style>
  <w:style w:type="table" w:customStyle="1" w:styleId="24">
    <w:name w:val="24"/>
    <w:basedOn w:val="TableNormal30"/>
    <w:rPr>
      <w:sz w:val="22"/>
      <w:szCs w:val="22"/>
    </w:rPr>
    <w:tblPr>
      <w:tblStyleRowBandSize w:val="1"/>
      <w:tblStyleColBandSize w:val="1"/>
      <w:tblCellMar>
        <w:left w:w="115" w:type="dxa"/>
        <w:right w:w="115" w:type="dxa"/>
      </w:tblCellMar>
    </w:tblPr>
  </w:style>
  <w:style w:type="table" w:customStyle="1" w:styleId="23">
    <w:name w:val="23"/>
    <w:basedOn w:val="TableNormal30"/>
    <w:rPr>
      <w:sz w:val="22"/>
      <w:szCs w:val="22"/>
    </w:rPr>
    <w:tblPr>
      <w:tblStyleRowBandSize w:val="1"/>
      <w:tblStyleColBandSize w:val="1"/>
      <w:tblCellMar>
        <w:left w:w="115" w:type="dxa"/>
        <w:right w:w="115" w:type="dxa"/>
      </w:tblCellMar>
    </w:tblPr>
  </w:style>
  <w:style w:type="table" w:customStyle="1" w:styleId="22">
    <w:name w:val="22"/>
    <w:basedOn w:val="TableNormal40"/>
    <w:rPr>
      <w:sz w:val="22"/>
      <w:szCs w:val="22"/>
    </w:rPr>
    <w:tblPr>
      <w:tblStyleRowBandSize w:val="1"/>
      <w:tblStyleColBandSize w:val="1"/>
      <w:tblCellMar>
        <w:left w:w="115" w:type="dxa"/>
        <w:right w:w="115" w:type="dxa"/>
      </w:tblCellMar>
    </w:tblPr>
  </w:style>
  <w:style w:type="table" w:customStyle="1" w:styleId="21">
    <w:name w:val="21"/>
    <w:basedOn w:val="TableNormal40"/>
    <w:rPr>
      <w:sz w:val="22"/>
      <w:szCs w:val="22"/>
    </w:rPr>
    <w:tblPr>
      <w:tblStyleRowBandSize w:val="1"/>
      <w:tblStyleColBandSize w:val="1"/>
      <w:tblCellMar>
        <w:left w:w="115" w:type="dxa"/>
        <w:right w:w="115" w:type="dxa"/>
      </w:tblCellMar>
    </w:tblPr>
  </w:style>
  <w:style w:type="table" w:customStyle="1" w:styleId="20">
    <w:name w:val="20"/>
    <w:basedOn w:val="TableNormal40"/>
    <w:rPr>
      <w:sz w:val="22"/>
      <w:szCs w:val="22"/>
    </w:rPr>
    <w:tblPr>
      <w:tblStyleRowBandSize w:val="1"/>
      <w:tblStyleColBandSize w:val="1"/>
      <w:tblCellMar>
        <w:left w:w="115" w:type="dxa"/>
        <w:right w:w="115" w:type="dxa"/>
      </w:tblCellMar>
    </w:tblPr>
  </w:style>
  <w:style w:type="table" w:customStyle="1" w:styleId="19">
    <w:name w:val="19"/>
    <w:basedOn w:val="TableNormal40"/>
    <w:rPr>
      <w:sz w:val="22"/>
      <w:szCs w:val="22"/>
    </w:rPr>
    <w:tblPr>
      <w:tblStyleRowBandSize w:val="1"/>
      <w:tblStyleColBandSize w:val="1"/>
      <w:tblCellMar>
        <w:left w:w="115" w:type="dxa"/>
        <w:right w:w="115" w:type="dxa"/>
      </w:tblCellMar>
    </w:tblPr>
  </w:style>
  <w:style w:type="table" w:customStyle="1" w:styleId="18">
    <w:name w:val="18"/>
    <w:basedOn w:val="TableNormal40"/>
    <w:rPr>
      <w:sz w:val="22"/>
      <w:szCs w:val="22"/>
    </w:rPr>
    <w:tblPr>
      <w:tblStyleRowBandSize w:val="1"/>
      <w:tblStyleColBandSize w:val="1"/>
      <w:tblCellMar>
        <w:left w:w="115" w:type="dxa"/>
        <w:right w:w="115" w:type="dxa"/>
      </w:tblCellMar>
    </w:tblPr>
  </w:style>
  <w:style w:type="table" w:customStyle="1" w:styleId="Tablaconcuadrcula1">
    <w:name w:val="Tabla con cuadrícula1"/>
    <w:basedOn w:val="Tablanormal"/>
    <w:next w:val="Tablaconcuadrcula"/>
    <w:uiPriority w:val="59"/>
    <w:rsid w:val="00E144A5"/>
    <w:rPr>
      <w:rFonts w:ascii="Calibri" w:hAnsi="Calibri"/>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0">
    <w:name w:val="Table Normal1"/>
    <w:rsid w:val="00166DE3"/>
    <w:tblPr>
      <w:tblCellMar>
        <w:top w:w="0" w:type="dxa"/>
        <w:left w:w="0" w:type="dxa"/>
        <w:bottom w:w="0" w:type="dxa"/>
        <w:right w:w="0" w:type="dxa"/>
      </w:tblCellMar>
    </w:tblPr>
  </w:style>
  <w:style w:type="table" w:customStyle="1" w:styleId="17">
    <w:name w:val="17"/>
    <w:basedOn w:val="TableNormal50"/>
    <w:tblPr>
      <w:tblStyleRowBandSize w:val="1"/>
      <w:tblStyleColBandSize w:val="1"/>
      <w:tblCellMar>
        <w:left w:w="115" w:type="dxa"/>
        <w:right w:w="115" w:type="dxa"/>
      </w:tblCellMar>
    </w:tblPr>
  </w:style>
  <w:style w:type="table" w:customStyle="1" w:styleId="16">
    <w:name w:val="16"/>
    <w:basedOn w:val="TableNormal50"/>
    <w:tblPr>
      <w:tblStyleRowBandSize w:val="1"/>
      <w:tblStyleColBandSize w:val="1"/>
      <w:tblCellMar>
        <w:left w:w="115" w:type="dxa"/>
        <w:right w:w="115" w:type="dxa"/>
      </w:tblCellMar>
    </w:tblPr>
  </w:style>
  <w:style w:type="table" w:customStyle="1" w:styleId="15">
    <w:name w:val="15"/>
    <w:basedOn w:val="TableNormal50"/>
    <w:rPr>
      <w:sz w:val="22"/>
      <w:szCs w:val="22"/>
    </w:rPr>
    <w:tblPr>
      <w:tblStyleRowBandSize w:val="1"/>
      <w:tblStyleColBandSize w:val="1"/>
      <w:tblCellMar>
        <w:left w:w="115" w:type="dxa"/>
        <w:right w:w="115" w:type="dxa"/>
      </w:tblCellMar>
    </w:tblPr>
  </w:style>
  <w:style w:type="table" w:customStyle="1" w:styleId="14">
    <w:name w:val="14"/>
    <w:basedOn w:val="TableNormal50"/>
    <w:rPr>
      <w:sz w:val="22"/>
      <w:szCs w:val="22"/>
    </w:rPr>
    <w:tblPr>
      <w:tblStyleRowBandSize w:val="1"/>
      <w:tblStyleColBandSize w:val="1"/>
      <w:tblCellMar>
        <w:left w:w="115" w:type="dxa"/>
        <w:right w:w="115" w:type="dxa"/>
      </w:tblCellMar>
    </w:tblPr>
  </w:style>
  <w:style w:type="table" w:customStyle="1" w:styleId="13">
    <w:name w:val="13"/>
    <w:basedOn w:val="TableNormal60"/>
    <w:rPr>
      <w:sz w:val="22"/>
      <w:szCs w:val="22"/>
    </w:rPr>
    <w:tblPr>
      <w:tblStyleRowBandSize w:val="1"/>
      <w:tblStyleColBandSize w:val="1"/>
      <w:tblCellMar>
        <w:left w:w="115" w:type="dxa"/>
        <w:right w:w="115" w:type="dxa"/>
      </w:tblCellMar>
    </w:tblPr>
  </w:style>
  <w:style w:type="table" w:customStyle="1" w:styleId="12">
    <w:name w:val="12"/>
    <w:basedOn w:val="TableNormal60"/>
    <w:rPr>
      <w:sz w:val="22"/>
      <w:szCs w:val="22"/>
    </w:rPr>
    <w:tblPr>
      <w:tblStyleRowBandSize w:val="1"/>
      <w:tblStyleColBandSize w:val="1"/>
      <w:tblCellMar>
        <w:left w:w="115" w:type="dxa"/>
        <w:right w:w="115" w:type="dxa"/>
      </w:tblCellMar>
    </w:tblPr>
  </w:style>
  <w:style w:type="table" w:customStyle="1" w:styleId="11">
    <w:name w:val="11"/>
    <w:basedOn w:val="TableNormal60"/>
    <w:rPr>
      <w:sz w:val="22"/>
      <w:szCs w:val="22"/>
    </w:rPr>
    <w:tblPr>
      <w:tblStyleRowBandSize w:val="1"/>
      <w:tblStyleColBandSize w:val="1"/>
      <w:tblCellMar>
        <w:left w:w="115" w:type="dxa"/>
        <w:right w:w="115" w:type="dxa"/>
      </w:tblCellMar>
    </w:tblPr>
  </w:style>
  <w:style w:type="table" w:customStyle="1" w:styleId="10">
    <w:name w:val="10"/>
    <w:basedOn w:val="TableNormal60"/>
    <w:rPr>
      <w:sz w:val="22"/>
      <w:szCs w:val="22"/>
    </w:rPr>
    <w:tblPr>
      <w:tblStyleRowBandSize w:val="1"/>
      <w:tblStyleColBandSize w:val="1"/>
      <w:tblCellMar>
        <w:left w:w="115" w:type="dxa"/>
        <w:right w:w="115" w:type="dxa"/>
      </w:tblCellMar>
    </w:tblPr>
  </w:style>
  <w:style w:type="table" w:customStyle="1" w:styleId="9">
    <w:name w:val="9"/>
    <w:basedOn w:val="TableNormal70"/>
    <w:rPr>
      <w:sz w:val="22"/>
      <w:szCs w:val="22"/>
    </w:rPr>
    <w:tblPr>
      <w:tblStyleRowBandSize w:val="1"/>
      <w:tblStyleColBandSize w:val="1"/>
      <w:tblCellMar>
        <w:left w:w="115" w:type="dxa"/>
        <w:right w:w="115" w:type="dxa"/>
      </w:tblCellMar>
    </w:tblPr>
  </w:style>
  <w:style w:type="table" w:customStyle="1" w:styleId="8">
    <w:name w:val="8"/>
    <w:basedOn w:val="TableNormal70"/>
    <w:rPr>
      <w:sz w:val="22"/>
      <w:szCs w:val="22"/>
    </w:rPr>
    <w:tblPr>
      <w:tblStyleRowBandSize w:val="1"/>
      <w:tblStyleColBandSize w:val="1"/>
      <w:tblCellMar>
        <w:left w:w="115" w:type="dxa"/>
        <w:right w:w="115" w:type="dxa"/>
      </w:tblCellMar>
    </w:tblPr>
  </w:style>
  <w:style w:type="table" w:customStyle="1" w:styleId="7">
    <w:name w:val="7"/>
    <w:basedOn w:val="TableNormal70"/>
    <w:rPr>
      <w:sz w:val="22"/>
      <w:szCs w:val="22"/>
    </w:rPr>
    <w:tblPr>
      <w:tblStyleRowBandSize w:val="1"/>
      <w:tblStyleColBandSize w:val="1"/>
      <w:tblCellMar>
        <w:left w:w="115" w:type="dxa"/>
        <w:right w:w="115" w:type="dxa"/>
      </w:tblCellMar>
    </w:tblPr>
  </w:style>
  <w:style w:type="table" w:customStyle="1" w:styleId="6">
    <w:name w:val="6"/>
    <w:basedOn w:val="TableNormal70"/>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5">
    <w:name w:val="5"/>
    <w:basedOn w:val="TableNormal70"/>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4">
    <w:name w:val="4"/>
    <w:basedOn w:val="TableNormal70"/>
    <w:rPr>
      <w:sz w:val="22"/>
      <w:szCs w:val="22"/>
    </w:rPr>
    <w:tblPr>
      <w:tblStyleRowBandSize w:val="1"/>
      <w:tblStyleColBandSize w:val="1"/>
      <w:tblCellMar>
        <w:left w:w="115" w:type="dxa"/>
        <w:right w:w="115" w:type="dxa"/>
      </w:tblCellMar>
    </w:tblPr>
  </w:style>
  <w:style w:type="table" w:customStyle="1" w:styleId="3">
    <w:name w:val="3"/>
    <w:basedOn w:val="TableNormal70"/>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2">
    <w:name w:val="2"/>
    <w:basedOn w:val="TableNormal70"/>
    <w:rPr>
      <w:sz w:val="22"/>
      <w:szCs w:val="22"/>
    </w:rPr>
    <w:tblPr>
      <w:tblStyleRowBandSize w:val="1"/>
      <w:tblStyleColBandSize w:val="1"/>
      <w:tblCellMar>
        <w:left w:w="115" w:type="dxa"/>
        <w:right w:w="115" w:type="dxa"/>
      </w:tblCellMar>
    </w:tblPr>
  </w:style>
  <w:style w:type="table" w:customStyle="1" w:styleId="1">
    <w:name w:val="1"/>
    <w:basedOn w:val="TableNormal70"/>
    <w:rPr>
      <w:sz w:val="22"/>
      <w:szCs w:val="22"/>
    </w:rPr>
    <w:tblPr>
      <w:tblStyleRowBandSize w:val="1"/>
      <w:tblStyleColBandSize w:val="1"/>
      <w:tblCellMar>
        <w:left w:w="115" w:type="dxa"/>
        <w:right w:w="115" w:type="dxa"/>
      </w:tblCellMar>
    </w:tblPr>
  </w:style>
  <w:style w:type="table" w:customStyle="1" w:styleId="a">
    <w:basedOn w:val="TableNormala"/>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0">
    <w:basedOn w:val="TableNormala"/>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2">
    <w:basedOn w:val="TableNormala"/>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3">
    <w:basedOn w:val="TableNormala"/>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4">
    <w:basedOn w:val="TableNormala"/>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5">
    <w:basedOn w:val="TableNormala"/>
    <w:rPr>
      <w:rFonts w:ascii="Calibri" w:eastAsia="Calibri" w:hAnsi="Calibri" w:cs="Calibri"/>
      <w:sz w:val="22"/>
      <w:szCs w:val="22"/>
    </w:rPr>
    <w:tblPr>
      <w:tblStyleRowBandSize w:val="1"/>
      <w:tblStyleColBandSize w:val="1"/>
      <w:tblCellMar>
        <w:left w:w="115" w:type="dxa"/>
        <w:right w:w="115" w:type="dxa"/>
      </w:tblCellMar>
    </w:tblPr>
  </w:style>
  <w:style w:type="character" w:customStyle="1" w:styleId="eop">
    <w:name w:val="eop"/>
    <w:basedOn w:val="Fuentedeprrafopredeter"/>
    <w:rsid w:val="00652AFE"/>
  </w:style>
  <w:style w:type="table" w:customStyle="1" w:styleId="a6">
    <w:basedOn w:val="TableNormal9"/>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7">
    <w:basedOn w:val="TableNormal9"/>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8">
    <w:basedOn w:val="TableNormal9"/>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9">
    <w:basedOn w:val="TableNormal9"/>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a">
    <w:basedOn w:val="TableNormal9"/>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b">
    <w:basedOn w:val="TableNormal9"/>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c">
    <w:basedOn w:val="TableNormal8"/>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d">
    <w:basedOn w:val="TableNormal8"/>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e">
    <w:basedOn w:val="TableNormal8"/>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
    <w:basedOn w:val="TableNormal8"/>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af0">
    <w:basedOn w:val="TableNormal8"/>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1">
    <w:basedOn w:val="TableNormal8"/>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2">
    <w:basedOn w:val="TableNormal7"/>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3">
    <w:basedOn w:val="TableNormal7"/>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4">
    <w:basedOn w:val="TableNormal7"/>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5">
    <w:basedOn w:val="TableNormal7"/>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6">
    <w:basedOn w:val="TableNormal7"/>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af7">
    <w:basedOn w:val="TableNormal7"/>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8">
    <w:basedOn w:val="TableNormal7"/>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9">
    <w:basedOn w:val="TableNormal6"/>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a">
    <w:basedOn w:val="TableNormal6"/>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b">
    <w:basedOn w:val="TableNormal6"/>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c">
    <w:basedOn w:val="TableNormal6"/>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d">
    <w:basedOn w:val="TableNormal6"/>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afe">
    <w:basedOn w:val="TableNormal6"/>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aff">
    <w:basedOn w:val="TableNormal6"/>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0">
    <w:basedOn w:val="TableNormal6"/>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1">
    <w:basedOn w:val="TableNormal5"/>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2">
    <w:basedOn w:val="TableNormal5"/>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3">
    <w:basedOn w:val="TableNormal5"/>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4">
    <w:basedOn w:val="TableNormal5"/>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5">
    <w:basedOn w:val="TableNormal5"/>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aff6">
    <w:basedOn w:val="TableNormal5"/>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7">
    <w:basedOn w:val="TableNormal5"/>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8">
    <w:basedOn w:val="TableNormal4"/>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9">
    <w:basedOn w:val="TableNormal4"/>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a">
    <w:basedOn w:val="TableNormal4"/>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b">
    <w:basedOn w:val="TableNormal4"/>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c">
    <w:basedOn w:val="TableNormal4"/>
    <w:tblPr>
      <w:tblStyleRowBandSize w:val="1"/>
      <w:tblStyleColBandSize w:val="1"/>
      <w:tblCellMar>
        <w:top w:w="15" w:type="dxa"/>
        <w:left w:w="15" w:type="dxa"/>
        <w:bottom w:w="15" w:type="dxa"/>
        <w:right w:w="15" w:type="dxa"/>
      </w:tblCellMar>
    </w:tblPr>
  </w:style>
  <w:style w:type="table" w:customStyle="1" w:styleId="affd">
    <w:basedOn w:val="TableNormal4"/>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e">
    <w:basedOn w:val="TableNormal4"/>
    <w:rPr>
      <w:rFonts w:ascii="Calibri" w:eastAsia="Calibri" w:hAnsi="Calibri" w:cs="Calibri"/>
      <w:sz w:val="22"/>
      <w:szCs w:val="22"/>
    </w:rPr>
    <w:tblPr>
      <w:tblStyleRowBandSize w:val="1"/>
      <w:tblStyleColBandSize w:val="1"/>
      <w:tblCellMar>
        <w:left w:w="115" w:type="dxa"/>
        <w:right w:w="115" w:type="dxa"/>
      </w:tblCellMar>
    </w:tblPr>
  </w:style>
  <w:style w:type="table" w:customStyle="1" w:styleId="afff">
    <w:basedOn w:val="TableNormal3"/>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0">
    <w:basedOn w:val="TableNormal3"/>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1">
    <w:basedOn w:val="TableNormal3"/>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2">
    <w:basedOn w:val="TableNormal3"/>
    <w:rPr>
      <w:rFonts w:ascii="Calibri" w:eastAsia="Calibri" w:hAnsi="Calibri" w:cs="Calibri"/>
      <w:sz w:val="22"/>
      <w:szCs w:val="22"/>
    </w:rPr>
    <w:tblPr>
      <w:tblStyleRowBandSize w:val="1"/>
      <w:tblStyleColBandSize w:val="1"/>
      <w:tblCellMar>
        <w:left w:w="108" w:type="dxa"/>
        <w:right w:w="108" w:type="dxa"/>
      </w:tblCellMar>
    </w:tblPr>
  </w:style>
  <w:style w:type="table" w:customStyle="1" w:styleId="afff3">
    <w:basedOn w:val="TableNormal3"/>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4">
    <w:basedOn w:val="TableNormal3"/>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5">
    <w:basedOn w:val="TableNormal3"/>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6">
    <w:basedOn w:val="TableNormal2"/>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7">
    <w:basedOn w:val="TableNormal2"/>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8">
    <w:basedOn w:val="TableNormal2"/>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9">
    <w:basedOn w:val="TableNormal2"/>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a">
    <w:basedOn w:val="TableNormal1"/>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b">
    <w:basedOn w:val="TableNormal1"/>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c">
    <w:basedOn w:val="TableNormal1"/>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d">
    <w:basedOn w:val="TableNormal1"/>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e">
    <w:basedOn w:val="TableNormal1"/>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f">
    <w:basedOn w:val="TableNormal0"/>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f0">
    <w:basedOn w:val="TableNormal0"/>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f1">
    <w:basedOn w:val="TableNormal0"/>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f2">
    <w:basedOn w:val="TableNormal0"/>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f3">
    <w:basedOn w:val="TableNormal0"/>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 w:type="table" w:customStyle="1" w:styleId="affff4">
    <w:basedOn w:val="TableNormal0"/>
    <w:rPr>
      <w:rFonts w:ascii="Calibri" w:eastAsia="Calibri" w:hAnsi="Calibri" w:cs="Calibri"/>
      <w:sz w:val="22"/>
      <w:szCs w:val="22"/>
    </w:rPr>
    <w:tblPr>
      <w:tblStyleRowBandSize w:val="1"/>
      <w:tblStyleColBandSize w:val="1"/>
      <w:tblCellMar>
        <w:top w:w="15" w:type="dxa"/>
        <w:left w:w="115" w:type="dxa"/>
        <w:bottom w:w="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8.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image" Target="media/image7.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_rels/header4.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dD1SfmoaIM6hA59Mx+u6X6VuNw==">CgMxLjAyCGguZ2pkZ3hzMgloLjMwajB6bGwyCWguM2R5NnZrbTIIaC5sbnhiejkyCWguNGQzNG9nODIJaC4zem55c2g3MgloLjF0M2g1c2YyCGgudHlqY3d0MgloLjFmb2I5dGU4AHIhMW5OcGdzaFFoY2VqTzlJSk5mNzF1RFpaUjFKMXNEcDE4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55</Pages>
  <Words>13331</Words>
  <Characters>73326</Characters>
  <Application>Microsoft Office Word</Application>
  <DocSecurity>0</DocSecurity>
  <Lines>611</Lines>
  <Paragraphs>172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86485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iMac</dc:creator>
  <cp:lastModifiedBy>Maricela Villagómez Martínez</cp:lastModifiedBy>
  <cp:revision>2</cp:revision>
  <cp:lastPrinted>2024-12-06T16:34:00Z</cp:lastPrinted>
  <dcterms:created xsi:type="dcterms:W3CDTF">2025-01-14T20:50:00Z</dcterms:created>
  <dcterms:modified xsi:type="dcterms:W3CDTF">2025-01-14T20:50:00Z</dcterms:modified>
</cp:coreProperties>
</file>