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020D1" w14:textId="77777777" w:rsidR="004D55F8" w:rsidRPr="00390F7F" w:rsidRDefault="00E162D9">
      <w:pPr>
        <w:spacing w:before="240" w:after="240" w:line="360" w:lineRule="auto"/>
        <w:jc w:val="both"/>
        <w:rPr>
          <w:rFonts w:ascii="Palatino Linotype" w:eastAsia="Palatino Linotype" w:hAnsi="Palatino Linotype" w:cs="Palatino Linotype"/>
        </w:rPr>
      </w:pPr>
      <w:bookmarkStart w:id="0" w:name="_GoBack"/>
      <w:bookmarkEnd w:id="0"/>
      <w:r w:rsidRPr="00390F7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treinta y uno de enero de dos mil veinticuatro. </w:t>
      </w:r>
    </w:p>
    <w:p w14:paraId="5307CB64"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VISTO</w:t>
      </w:r>
      <w:r w:rsidRPr="00390F7F">
        <w:rPr>
          <w:rFonts w:ascii="Palatino Linotype" w:eastAsia="Palatino Linotype" w:hAnsi="Palatino Linotype" w:cs="Palatino Linotype"/>
        </w:rPr>
        <w:t xml:space="preserve"> el expediente formado con motivo del recurso de revisión </w:t>
      </w:r>
      <w:r w:rsidRPr="00390F7F">
        <w:rPr>
          <w:rFonts w:ascii="Palatino Linotype" w:eastAsia="Palatino Linotype" w:hAnsi="Palatino Linotype" w:cs="Palatino Linotype"/>
          <w:b/>
        </w:rPr>
        <w:t>04699/INFOEM/IP/RR/2023</w:t>
      </w:r>
      <w:r w:rsidRPr="00390F7F">
        <w:rPr>
          <w:rFonts w:ascii="Palatino Linotype" w:eastAsia="Palatino Linotype" w:hAnsi="Palatino Linotype" w:cs="Palatino Linotype"/>
        </w:rPr>
        <w:t>, interpuesto por</w:t>
      </w:r>
      <w:r w:rsidRPr="00390F7F">
        <w:rPr>
          <w:rFonts w:ascii="Palatino Linotype" w:eastAsia="Palatino Linotype" w:hAnsi="Palatino Linotype" w:cs="Palatino Linotype"/>
          <w:b/>
        </w:rPr>
        <w:t xml:space="preserve"> un particular que no proporcionó su nombre</w:t>
      </w:r>
      <w:r w:rsidRPr="00390F7F">
        <w:rPr>
          <w:rFonts w:ascii="Palatino Linotype" w:eastAsia="Palatino Linotype" w:hAnsi="Palatino Linotype" w:cs="Palatino Linotype"/>
        </w:rPr>
        <w:t xml:space="preserve">, en lo sucesivo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xml:space="preserve"> en contra de la respuesta a su solicitud de información con número de folio</w:t>
      </w:r>
      <w:r w:rsidRPr="00390F7F">
        <w:rPr>
          <w:rFonts w:ascii="Palatino Linotype" w:eastAsia="Palatino Linotype" w:hAnsi="Palatino Linotype" w:cs="Palatino Linotype"/>
          <w:b/>
        </w:rPr>
        <w:t xml:space="preserve"> 00477/ZINACANT/IP/2023, </w:t>
      </w:r>
      <w:r w:rsidRPr="00390F7F">
        <w:rPr>
          <w:rFonts w:ascii="Palatino Linotype" w:eastAsia="Palatino Linotype" w:hAnsi="Palatino Linotype" w:cs="Palatino Linotype"/>
        </w:rPr>
        <w:t xml:space="preserve">por parte del </w:t>
      </w:r>
      <w:r w:rsidRPr="00390F7F">
        <w:rPr>
          <w:rFonts w:ascii="Palatino Linotype" w:eastAsia="Palatino Linotype" w:hAnsi="Palatino Linotype" w:cs="Palatino Linotype"/>
          <w:b/>
        </w:rPr>
        <w:t xml:space="preserve">Ayuntamiento de Zinacantepec, </w:t>
      </w:r>
      <w:r w:rsidRPr="00390F7F">
        <w:rPr>
          <w:rFonts w:ascii="Palatino Linotype" w:eastAsia="Palatino Linotype" w:hAnsi="Palatino Linotype" w:cs="Palatino Linotype"/>
        </w:rPr>
        <w:t xml:space="preserve">en lo sucesivo el </w:t>
      </w:r>
      <w:r w:rsidRPr="00390F7F">
        <w:rPr>
          <w:rFonts w:ascii="Palatino Linotype" w:eastAsia="Palatino Linotype" w:hAnsi="Palatino Linotype" w:cs="Palatino Linotype"/>
          <w:b/>
        </w:rPr>
        <w:t xml:space="preserve">SUJETO OBLIGADO, </w:t>
      </w:r>
      <w:r w:rsidRPr="00390F7F">
        <w:rPr>
          <w:rFonts w:ascii="Palatino Linotype" w:eastAsia="Palatino Linotype" w:hAnsi="Palatino Linotype" w:cs="Palatino Linotype"/>
        </w:rPr>
        <w:t xml:space="preserve">se procede a dictar la presente resolución con base en los siguientes: </w:t>
      </w:r>
    </w:p>
    <w:p w14:paraId="6D129085" w14:textId="77777777" w:rsidR="004D55F8" w:rsidRPr="00390F7F" w:rsidRDefault="00E162D9">
      <w:pPr>
        <w:spacing w:before="240" w:after="240" w:line="360" w:lineRule="auto"/>
        <w:jc w:val="center"/>
        <w:rPr>
          <w:rFonts w:ascii="Palatino Linotype" w:eastAsia="Palatino Linotype" w:hAnsi="Palatino Linotype" w:cs="Palatino Linotype"/>
          <w:b/>
        </w:rPr>
      </w:pPr>
      <w:r w:rsidRPr="00390F7F">
        <w:rPr>
          <w:rFonts w:ascii="Palatino Linotype" w:eastAsia="Palatino Linotype" w:hAnsi="Palatino Linotype" w:cs="Palatino Linotype"/>
          <w:b/>
        </w:rPr>
        <w:t>I. A N T E C E D E N T E S</w:t>
      </w:r>
    </w:p>
    <w:p w14:paraId="7C3F2C4F"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1. Solicitud de acceso a la información.</w:t>
      </w:r>
      <w:r w:rsidRPr="00390F7F">
        <w:rPr>
          <w:rFonts w:ascii="Palatino Linotype" w:eastAsia="Palatino Linotype" w:hAnsi="Palatino Linotype" w:cs="Palatino Linotype"/>
        </w:rPr>
        <w:t xml:space="preserve"> Con fecha </w:t>
      </w:r>
      <w:r w:rsidRPr="00390F7F">
        <w:rPr>
          <w:rFonts w:ascii="Palatino Linotype" w:eastAsia="Palatino Linotype" w:hAnsi="Palatino Linotype" w:cs="Palatino Linotype"/>
          <w:b/>
        </w:rPr>
        <w:t>siete de julio del dos mil veintitrés,</w:t>
      </w:r>
      <w:r w:rsidRPr="00390F7F">
        <w:rPr>
          <w:rFonts w:ascii="Palatino Linotype" w:eastAsia="Palatino Linotype" w:hAnsi="Palatino Linotype" w:cs="Palatino Linotype"/>
        </w:rPr>
        <w:t xml:space="preserve"> la parte </w:t>
      </w:r>
      <w:r w:rsidRPr="00390F7F">
        <w:rPr>
          <w:rFonts w:ascii="Palatino Linotype" w:eastAsia="Palatino Linotype" w:hAnsi="Palatino Linotype" w:cs="Palatino Linotype"/>
          <w:b/>
        </w:rPr>
        <w:t xml:space="preserve">RECURRENTE </w:t>
      </w:r>
      <w:r w:rsidRPr="00390F7F">
        <w:rPr>
          <w:rFonts w:ascii="Palatino Linotype" w:eastAsia="Palatino Linotype" w:hAnsi="Palatino Linotype" w:cs="Palatino Linotype"/>
        </w:rPr>
        <w:t xml:space="preserve">presentó, a través del Sistema de Acceso a la Información Mexiquense, en lo subsecuente el </w:t>
      </w:r>
      <w:r w:rsidRPr="00390F7F">
        <w:rPr>
          <w:rFonts w:ascii="Palatino Linotype" w:eastAsia="Palatino Linotype" w:hAnsi="Palatino Linotype" w:cs="Palatino Linotype"/>
          <w:b/>
        </w:rPr>
        <w:t>SAIMEX,</w:t>
      </w:r>
      <w:r w:rsidRPr="00390F7F">
        <w:rPr>
          <w:rFonts w:ascii="Palatino Linotype" w:eastAsia="Palatino Linotype" w:hAnsi="Palatino Linotype" w:cs="Palatino Linotype"/>
        </w:rPr>
        <w:t xml:space="preserve"> ante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la solicitud de acceso a la información pública, a la que se le asignó el número</w:t>
      </w:r>
      <w:r w:rsidRPr="00390F7F">
        <w:rPr>
          <w:rFonts w:ascii="Palatino Linotype" w:eastAsia="Palatino Linotype" w:hAnsi="Palatino Linotype" w:cs="Palatino Linotype"/>
          <w:b/>
        </w:rPr>
        <w:t xml:space="preserve"> 00477/ZINACANT/IP/2023, </w:t>
      </w:r>
      <w:r w:rsidRPr="00390F7F">
        <w:rPr>
          <w:rFonts w:ascii="Palatino Linotype" w:eastAsia="Palatino Linotype" w:hAnsi="Palatino Linotype" w:cs="Palatino Linotype"/>
        </w:rPr>
        <w:t xml:space="preserve">mediante la cual requirió la información siguiente: </w:t>
      </w:r>
    </w:p>
    <w:p w14:paraId="1E93C56B" w14:textId="77777777" w:rsidR="004D55F8" w:rsidRPr="00390F7F" w:rsidRDefault="00E162D9">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390F7F">
        <w:rPr>
          <w:rFonts w:ascii="Palatino Linotype" w:eastAsia="Palatino Linotype" w:hAnsi="Palatino Linotype" w:cs="Palatino Linotype"/>
          <w:i/>
          <w:sz w:val="22"/>
          <w:szCs w:val="22"/>
        </w:rPr>
        <w:t xml:space="preserve">“solicito las licencias de funcionamiento de todos los locales de </w:t>
      </w:r>
      <w:proofErr w:type="spellStart"/>
      <w:r w:rsidRPr="00390F7F">
        <w:rPr>
          <w:rFonts w:ascii="Palatino Linotype" w:eastAsia="Palatino Linotype" w:hAnsi="Palatino Linotype" w:cs="Palatino Linotype"/>
          <w:i/>
          <w:sz w:val="22"/>
          <w:szCs w:val="22"/>
        </w:rPr>
        <w:t>zinacantepec</w:t>
      </w:r>
      <w:proofErr w:type="spellEnd"/>
      <w:r w:rsidRPr="00390F7F">
        <w:rPr>
          <w:rFonts w:ascii="Palatino Linotype" w:eastAsia="Palatino Linotype" w:hAnsi="Palatino Linotype" w:cs="Palatino Linotype"/>
          <w:i/>
          <w:sz w:val="22"/>
          <w:szCs w:val="22"/>
        </w:rPr>
        <w:t>” (Sic)</w:t>
      </w:r>
    </w:p>
    <w:p w14:paraId="260950F2" w14:textId="77777777" w:rsidR="004D55F8" w:rsidRPr="00390F7F" w:rsidRDefault="004D55F8">
      <w:pPr>
        <w:spacing w:before="240"/>
        <w:ind w:left="851" w:right="902"/>
        <w:jc w:val="both"/>
        <w:rPr>
          <w:rFonts w:ascii="Palatino Linotype" w:eastAsia="Palatino Linotype" w:hAnsi="Palatino Linotype" w:cs="Palatino Linotype"/>
          <w:i/>
          <w:sz w:val="22"/>
          <w:szCs w:val="22"/>
        </w:rPr>
      </w:pPr>
    </w:p>
    <w:p w14:paraId="4E731ACC"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Modalidad de Entrega:</w:t>
      </w:r>
      <w:r w:rsidRPr="00390F7F">
        <w:rPr>
          <w:rFonts w:ascii="Palatino Linotype" w:eastAsia="Palatino Linotype" w:hAnsi="Palatino Linotype" w:cs="Palatino Linotype"/>
        </w:rPr>
        <w:t xml:space="preserve"> A través de SAIMEX.</w:t>
      </w:r>
    </w:p>
    <w:p w14:paraId="30D7D781" w14:textId="77777777" w:rsidR="004D55F8" w:rsidRPr="00390F7F" w:rsidRDefault="004D55F8">
      <w:pPr>
        <w:spacing w:line="360" w:lineRule="auto"/>
        <w:jc w:val="both"/>
        <w:rPr>
          <w:rFonts w:ascii="Palatino Linotype" w:eastAsia="Palatino Linotype" w:hAnsi="Palatino Linotype" w:cs="Palatino Linotype"/>
        </w:rPr>
      </w:pPr>
    </w:p>
    <w:p w14:paraId="63735012" w14:textId="77777777" w:rsidR="004D55F8" w:rsidRPr="00390F7F" w:rsidRDefault="00E162D9">
      <w:pPr>
        <w:spacing w:after="240" w:line="360" w:lineRule="auto"/>
        <w:jc w:val="both"/>
        <w:rPr>
          <w:rFonts w:ascii="Palatino Linotype" w:eastAsia="Palatino Linotype" w:hAnsi="Palatino Linotype" w:cs="Palatino Linotype"/>
          <w:b/>
        </w:rPr>
      </w:pPr>
      <w:r w:rsidRPr="00390F7F">
        <w:rPr>
          <w:rFonts w:ascii="Palatino Linotype" w:eastAsia="Palatino Linotype" w:hAnsi="Palatino Linotype" w:cs="Palatino Linotype"/>
          <w:b/>
        </w:rPr>
        <w:lastRenderedPageBreak/>
        <w:t xml:space="preserve">2. Solicitud de Aclaración, </w:t>
      </w:r>
      <w:r w:rsidRPr="00390F7F">
        <w:rPr>
          <w:rFonts w:ascii="Palatino Linotype" w:eastAsia="Palatino Linotype" w:hAnsi="Palatino Linotype" w:cs="Palatino Linotype"/>
        </w:rPr>
        <w:t xml:space="preserve">Con fecha doce de julio del dos mil veintitrés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requirió al particular que complemente y/o aclare su solicitud, la cual versa como sigue:</w:t>
      </w:r>
    </w:p>
    <w:p w14:paraId="59D3A512" w14:textId="77777777" w:rsidR="004D55F8" w:rsidRPr="00390F7F" w:rsidRDefault="00E162D9">
      <w:pPr>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“Con fundamento en el </w:t>
      </w:r>
      <w:proofErr w:type="spellStart"/>
      <w:r w:rsidRPr="00390F7F">
        <w:rPr>
          <w:rFonts w:ascii="Palatino Linotype" w:eastAsia="Palatino Linotype" w:hAnsi="Palatino Linotype" w:cs="Palatino Linotype"/>
          <w:i/>
          <w:sz w:val="22"/>
          <w:szCs w:val="22"/>
        </w:rPr>
        <w:t>articulo</w:t>
      </w:r>
      <w:proofErr w:type="spellEnd"/>
      <w:r w:rsidRPr="00390F7F">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277077E9" w14:textId="77777777" w:rsidR="004D55F8" w:rsidRPr="00390F7F" w:rsidRDefault="00E162D9">
      <w:pPr>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20B4ED5A" w14:textId="77777777" w:rsidR="004D55F8" w:rsidRPr="00390F7F" w:rsidRDefault="00E162D9">
      <w:pPr>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8026904" w14:textId="77777777" w:rsidR="004D55F8" w:rsidRPr="00390F7F" w:rsidRDefault="00E162D9">
      <w:pPr>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ATENTAMENTE</w:t>
      </w:r>
    </w:p>
    <w:p w14:paraId="6F8397B1" w14:textId="77777777" w:rsidR="004D55F8" w:rsidRPr="00390F7F" w:rsidRDefault="00E162D9">
      <w:pPr>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ING. JESUS EMMANUEL ENCASTIN RENDON” (Sic)</w:t>
      </w:r>
    </w:p>
    <w:p w14:paraId="265F47F4" w14:textId="77777777" w:rsidR="004D55F8" w:rsidRPr="00390F7F" w:rsidRDefault="004D55F8">
      <w:pPr>
        <w:ind w:left="851" w:right="900"/>
        <w:jc w:val="both"/>
        <w:rPr>
          <w:rFonts w:ascii="Palatino Linotype" w:eastAsia="Palatino Linotype" w:hAnsi="Palatino Linotype" w:cs="Palatino Linotype"/>
          <w:i/>
          <w:sz w:val="22"/>
          <w:szCs w:val="22"/>
        </w:rPr>
      </w:pPr>
    </w:p>
    <w:p w14:paraId="30582FC9"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3. Aclaración de Solicitud. </w:t>
      </w:r>
      <w:r w:rsidRPr="00390F7F">
        <w:rPr>
          <w:rFonts w:ascii="Palatino Linotype" w:eastAsia="Palatino Linotype" w:hAnsi="Palatino Linotype" w:cs="Palatino Linotype"/>
        </w:rPr>
        <w:t>De las constancias que obran en el expediente electrónico del SAIMEX, se advierte que el solicitante en fecha doce de julio del año dos mil veintitrés, desahogó su aclaración en los siguientes términos:</w:t>
      </w:r>
    </w:p>
    <w:p w14:paraId="422E0B2F" w14:textId="77777777" w:rsidR="004D55F8" w:rsidRPr="00390F7F" w:rsidRDefault="004D55F8">
      <w:pPr>
        <w:spacing w:line="360" w:lineRule="auto"/>
        <w:jc w:val="both"/>
        <w:rPr>
          <w:rFonts w:ascii="Palatino Linotype" w:eastAsia="Palatino Linotype" w:hAnsi="Palatino Linotype" w:cs="Palatino Linotype"/>
        </w:rPr>
      </w:pPr>
    </w:p>
    <w:p w14:paraId="7B6FE9C1" w14:textId="77777777" w:rsidR="004D55F8" w:rsidRPr="00390F7F" w:rsidRDefault="00E162D9">
      <w:pPr>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“LA SOLICITUD ES MUY ESPECÍFICA” (Sic)</w:t>
      </w:r>
    </w:p>
    <w:p w14:paraId="0F678F98" w14:textId="77777777" w:rsidR="004D55F8" w:rsidRPr="00390F7F" w:rsidRDefault="004D55F8">
      <w:pPr>
        <w:spacing w:before="240" w:after="240" w:line="360" w:lineRule="auto"/>
        <w:jc w:val="both"/>
        <w:rPr>
          <w:rFonts w:ascii="Palatino Linotype" w:eastAsia="Palatino Linotype" w:hAnsi="Palatino Linotype" w:cs="Palatino Linotype"/>
          <w:b/>
        </w:rPr>
      </w:pPr>
    </w:p>
    <w:p w14:paraId="12FC8513" w14:textId="77777777" w:rsidR="004D55F8" w:rsidRPr="00390F7F" w:rsidRDefault="004D55F8">
      <w:pPr>
        <w:spacing w:before="240" w:after="240" w:line="360" w:lineRule="auto"/>
        <w:jc w:val="both"/>
        <w:rPr>
          <w:rFonts w:ascii="Palatino Linotype" w:eastAsia="Palatino Linotype" w:hAnsi="Palatino Linotype" w:cs="Palatino Linotype"/>
          <w:b/>
        </w:rPr>
      </w:pPr>
    </w:p>
    <w:p w14:paraId="7C89EEFC" w14:textId="77777777" w:rsidR="004D55F8" w:rsidRPr="00390F7F" w:rsidRDefault="004D55F8">
      <w:pPr>
        <w:spacing w:before="240" w:after="240" w:line="360" w:lineRule="auto"/>
        <w:jc w:val="both"/>
        <w:rPr>
          <w:rFonts w:ascii="Palatino Linotype" w:eastAsia="Palatino Linotype" w:hAnsi="Palatino Linotype" w:cs="Palatino Linotype"/>
          <w:b/>
        </w:rPr>
      </w:pPr>
    </w:p>
    <w:p w14:paraId="52A22585" w14:textId="77777777" w:rsidR="004D55F8" w:rsidRPr="00390F7F" w:rsidRDefault="00E162D9">
      <w:pPr>
        <w:spacing w:before="240" w:after="240" w:line="360" w:lineRule="auto"/>
        <w:jc w:val="both"/>
        <w:rPr>
          <w:rFonts w:ascii="Palatino Linotype" w:eastAsia="Palatino Linotype" w:hAnsi="Palatino Linotype" w:cs="Palatino Linotype"/>
          <w:b/>
        </w:rPr>
      </w:pPr>
      <w:r w:rsidRPr="00390F7F">
        <w:rPr>
          <w:rFonts w:ascii="Palatino Linotype" w:eastAsia="Palatino Linotype" w:hAnsi="Palatino Linotype" w:cs="Palatino Linotype"/>
          <w:b/>
        </w:rPr>
        <w:lastRenderedPageBreak/>
        <w:t xml:space="preserve">4. Prorroga. </w:t>
      </w:r>
      <w:r w:rsidRPr="00390F7F">
        <w:rPr>
          <w:rFonts w:ascii="Palatino Linotype" w:eastAsia="Palatino Linotype" w:hAnsi="Palatino Linotype" w:cs="Palatino Linotype"/>
        </w:rPr>
        <w:t xml:space="preserve">Con fecha </w:t>
      </w:r>
      <w:r w:rsidRPr="00390F7F">
        <w:rPr>
          <w:rFonts w:ascii="Palatino Linotype" w:eastAsia="Palatino Linotype" w:hAnsi="Palatino Linotype" w:cs="Palatino Linotype"/>
          <w:b/>
        </w:rPr>
        <w:t xml:space="preserve">dieciséis de agosto de dos mil veintitrés, </w:t>
      </w:r>
      <w:r w:rsidRPr="00390F7F">
        <w:rPr>
          <w:rFonts w:ascii="Palatino Linotype" w:eastAsia="Palatino Linotype" w:hAnsi="Palatino Linotype" w:cs="Palatino Linotype"/>
        </w:rPr>
        <w:t xml:space="preserve">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solicitó prórroga mediante </w:t>
      </w:r>
      <w:r w:rsidRPr="00390F7F">
        <w:rPr>
          <w:rFonts w:ascii="Palatino Linotype" w:eastAsia="Palatino Linotype" w:hAnsi="Palatino Linotype" w:cs="Palatino Linotype"/>
          <w:b/>
        </w:rPr>
        <w:t xml:space="preserve">SAIMEX, </w:t>
      </w:r>
      <w:r w:rsidRPr="00390F7F">
        <w:rPr>
          <w:rFonts w:ascii="Palatino Linotype" w:eastAsia="Palatino Linotype" w:hAnsi="Palatino Linotype" w:cs="Palatino Linotype"/>
        </w:rPr>
        <w:t>argumentando lo siguiente:</w:t>
      </w:r>
    </w:p>
    <w:p w14:paraId="31862F6A" w14:textId="77777777" w:rsidR="004D55F8" w:rsidRPr="00390F7F" w:rsidRDefault="00E162D9">
      <w:pPr>
        <w:spacing w:before="240" w:after="240"/>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3D5D605" w14:textId="77777777" w:rsidR="004D55F8" w:rsidRPr="00390F7F" w:rsidRDefault="00E162D9">
      <w:pPr>
        <w:spacing w:before="240" w:after="240"/>
        <w:ind w:left="851" w:right="90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Se le exhorta a cumplir con el requerimiento en merito...”</w:t>
      </w:r>
    </w:p>
    <w:p w14:paraId="3D802F7F"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Como refiere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79AADF05" w14:textId="77777777" w:rsidR="004D55F8" w:rsidRPr="00390F7F" w:rsidRDefault="004D55F8">
      <w:pPr>
        <w:spacing w:line="360" w:lineRule="auto"/>
        <w:jc w:val="both"/>
        <w:rPr>
          <w:rFonts w:ascii="Palatino Linotype" w:eastAsia="Palatino Linotype" w:hAnsi="Palatino Linotype" w:cs="Palatino Linotype"/>
          <w:b/>
        </w:rPr>
      </w:pPr>
    </w:p>
    <w:p w14:paraId="2B3AB263"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5. Respuesta. </w:t>
      </w:r>
      <w:r w:rsidRPr="00390F7F">
        <w:rPr>
          <w:rFonts w:ascii="Palatino Linotype" w:eastAsia="Palatino Linotype" w:hAnsi="Palatino Linotype" w:cs="Palatino Linotype"/>
        </w:rPr>
        <w:t xml:space="preserve">Con fecha </w:t>
      </w:r>
      <w:r w:rsidRPr="00390F7F">
        <w:rPr>
          <w:rFonts w:ascii="Palatino Linotype" w:eastAsia="Palatino Linotype" w:hAnsi="Palatino Linotype" w:cs="Palatino Linotype"/>
          <w:b/>
        </w:rPr>
        <w:t>veintidós de agosto de dos mil veintitrés</w:t>
      </w:r>
      <w:r w:rsidRPr="00390F7F">
        <w:rPr>
          <w:rFonts w:ascii="Palatino Linotype" w:eastAsia="Palatino Linotype" w:hAnsi="Palatino Linotype" w:cs="Palatino Linotype"/>
        </w:rPr>
        <w:t xml:space="preserve">, el </w:t>
      </w:r>
      <w:r w:rsidRPr="00390F7F">
        <w:rPr>
          <w:rFonts w:ascii="Palatino Linotype" w:eastAsia="Palatino Linotype" w:hAnsi="Palatino Linotype" w:cs="Palatino Linotype"/>
          <w:b/>
        </w:rPr>
        <w:t xml:space="preserve">SUJETO OBLIGADO </w:t>
      </w:r>
      <w:r w:rsidRPr="00390F7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5DA4547" w14:textId="77777777" w:rsidR="004D55F8" w:rsidRPr="00390F7F" w:rsidRDefault="00E162D9">
      <w:pPr>
        <w:spacing w:line="360" w:lineRule="auto"/>
        <w:jc w:val="both"/>
        <w:rPr>
          <w:rFonts w:ascii="Palatino Linotype" w:eastAsia="Palatino Linotype" w:hAnsi="Palatino Linotype" w:cs="Palatino Linotype"/>
          <w:b/>
        </w:rPr>
      </w:pPr>
      <w:r w:rsidRPr="00390F7F">
        <w:rPr>
          <w:rFonts w:ascii="Palatino Linotype" w:eastAsia="Palatino Linotype" w:hAnsi="Palatino Linotype" w:cs="Palatino Linotype"/>
        </w:rPr>
        <w:t xml:space="preserve"> </w:t>
      </w:r>
    </w:p>
    <w:p w14:paraId="21A068F2" w14:textId="77777777" w:rsidR="004D55F8" w:rsidRPr="00390F7F" w:rsidRDefault="00E162D9">
      <w:pP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“…Por medio del presente reciba un cordial saludo, al tiempo de informarle con fundamento en los artículos 51, 53 fracciones II y III, IV, V y VI, de la Ley de Transparencia y Acceso a la Información Pública del Estado de México y Municipios; y en seguimiento a su solicitud de información con número de folio </w:t>
      </w:r>
      <w:r w:rsidRPr="00390F7F">
        <w:rPr>
          <w:rFonts w:ascii="Palatino Linotype" w:eastAsia="Palatino Linotype" w:hAnsi="Palatino Linotype" w:cs="Palatino Linotype"/>
          <w:i/>
          <w:sz w:val="22"/>
          <w:szCs w:val="22"/>
        </w:rPr>
        <w:lastRenderedPageBreak/>
        <w:t xml:space="preserve">00488/ZINACANT/IP/2023, recibida a través del Sistema SAIMEX, En apego a lo establecido por la ley en materia su solicitud fue analizada y turnada a las áreas </w:t>
      </w:r>
      <w:proofErr w:type="spellStart"/>
      <w:r w:rsidRPr="00390F7F">
        <w:rPr>
          <w:rFonts w:ascii="Palatino Linotype" w:eastAsia="Palatino Linotype" w:hAnsi="Palatino Linotype" w:cs="Palatino Linotype"/>
          <w:i/>
          <w:sz w:val="22"/>
          <w:szCs w:val="22"/>
        </w:rPr>
        <w:t>correspondientse</w:t>
      </w:r>
      <w:proofErr w:type="spellEnd"/>
      <w:r w:rsidRPr="00390F7F">
        <w:rPr>
          <w:rFonts w:ascii="Palatino Linotype" w:eastAsia="Palatino Linotype" w:hAnsi="Palatino Linotype" w:cs="Palatino Linotype"/>
          <w:i/>
          <w:sz w:val="22"/>
          <w:szCs w:val="22"/>
        </w:rPr>
        <w:t>, por lo que con fundamento en el artículo 12 de la Ley de Transparencia y Acceso a la Información Pública del Estado de México y Municipios en donde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anexo al presente, la respuesta remitida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la misma. Sin más por el momento me reitero a sus órdenes....” (Sic)</w:t>
      </w:r>
    </w:p>
    <w:p w14:paraId="21E6CF94"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adjuntó a su respuesta el archivo electrónico siguiente:</w:t>
      </w:r>
    </w:p>
    <w:p w14:paraId="2EB61511"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w:t>
      </w:r>
      <w:hyperlink r:id="rId8">
        <w:r w:rsidRPr="00390F7F">
          <w:rPr>
            <w:rFonts w:ascii="Palatino Linotype" w:eastAsia="Palatino Linotype" w:hAnsi="Palatino Linotype" w:cs="Palatino Linotype"/>
          </w:rPr>
          <w:t>20230814154019075.pdf</w:t>
        </w:r>
      </w:hyperlink>
      <w:r w:rsidRPr="00390F7F">
        <w:rPr>
          <w:rFonts w:ascii="Palatino Linotype" w:eastAsia="Palatino Linotype" w:hAnsi="Palatino Linotype" w:cs="Palatino Linotype"/>
        </w:rPr>
        <w:t>”, el cual contiene el oficio número ZIN/DDE/0451/2023, por medio del cual la Dirección de Desarrollo Económico informó que respecto de la solicitud de meritó la podrá consultar en la siguiente liga, de los años 2018, 2019, 2020, 2021, 2022 y 2023, como se advierte a continuación:</w:t>
      </w:r>
      <w:r w:rsidRPr="00390F7F">
        <w:rPr>
          <w:noProof/>
          <w:lang w:val="es-MX"/>
        </w:rPr>
        <mc:AlternateContent>
          <mc:Choice Requires="wpg">
            <w:drawing>
              <wp:anchor distT="0" distB="0" distL="114300" distR="114300" simplePos="0" relativeHeight="251658240" behindDoc="0" locked="0" layoutInCell="1" hidden="0" allowOverlap="1" wp14:anchorId="6048FFC4" wp14:editId="6B88E99A">
                <wp:simplePos x="0" y="0"/>
                <wp:positionH relativeFrom="column">
                  <wp:posOffset>101601</wp:posOffset>
                </wp:positionH>
                <wp:positionV relativeFrom="paragraph">
                  <wp:posOffset>1270000</wp:posOffset>
                </wp:positionV>
                <wp:extent cx="5416798" cy="2703286"/>
                <wp:effectExtent l="0" t="0" r="0" b="0"/>
                <wp:wrapNone/>
                <wp:docPr id="60" name="Conector recto de flecha 60"/>
                <wp:cNvGraphicFramePr/>
                <a:graphic xmlns:a="http://schemas.openxmlformats.org/drawingml/2006/main">
                  <a:graphicData uri="http://schemas.microsoft.com/office/word/2010/wordprocessingShape">
                    <wps:wsp>
                      <wps:cNvCnPr/>
                      <wps:spPr>
                        <a:xfrm>
                          <a:off x="2650301" y="2441057"/>
                          <a:ext cx="5391398" cy="2677886"/>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1270000</wp:posOffset>
                </wp:positionV>
                <wp:extent cx="5416798" cy="2703286"/>
                <wp:effectExtent b="0" l="0" r="0" t="0"/>
                <wp:wrapNone/>
                <wp:docPr id="60"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416798" cy="2703286"/>
                        </a:xfrm>
                        <a:prstGeom prst="rect"/>
                        <a:ln/>
                      </pic:spPr>
                    </pic:pic>
                  </a:graphicData>
                </a:graphic>
              </wp:anchor>
            </w:drawing>
          </mc:Fallback>
        </mc:AlternateContent>
      </w:r>
    </w:p>
    <w:p w14:paraId="1A52FEC6" w14:textId="77777777" w:rsidR="004D55F8" w:rsidRPr="00390F7F" w:rsidRDefault="004D55F8">
      <w:pPr>
        <w:spacing w:before="240" w:after="240" w:line="360" w:lineRule="auto"/>
        <w:ind w:right="49"/>
        <w:jc w:val="both"/>
        <w:rPr>
          <w:rFonts w:ascii="Palatino Linotype" w:eastAsia="Palatino Linotype" w:hAnsi="Palatino Linotype" w:cs="Palatino Linotype"/>
        </w:rPr>
      </w:pPr>
    </w:p>
    <w:p w14:paraId="7D04C459"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noProof/>
          <w:lang w:val="es-MX"/>
        </w:rPr>
        <w:lastRenderedPageBreak/>
        <w:drawing>
          <wp:inline distT="0" distB="0" distL="0" distR="0" wp14:anchorId="7E76AC42" wp14:editId="29BB4ECC">
            <wp:extent cx="5474970" cy="7717790"/>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74970" cy="7717790"/>
                    </a:xfrm>
                    <a:prstGeom prst="rect">
                      <a:avLst/>
                    </a:prstGeom>
                    <a:ln/>
                  </pic:spPr>
                </pic:pic>
              </a:graphicData>
            </a:graphic>
          </wp:inline>
        </w:drawing>
      </w:r>
      <w:r w:rsidRPr="00390F7F">
        <w:rPr>
          <w:rFonts w:ascii="Palatino Linotype" w:eastAsia="Palatino Linotype" w:hAnsi="Palatino Linotype" w:cs="Palatino Linotype"/>
        </w:rPr>
        <w:t xml:space="preserve"> </w:t>
      </w:r>
    </w:p>
    <w:p w14:paraId="3AED830B"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b/>
        </w:rPr>
        <w:lastRenderedPageBreak/>
        <w:t xml:space="preserve">6. Interposición del recurso de revisión. </w:t>
      </w:r>
      <w:r w:rsidRPr="00390F7F">
        <w:rPr>
          <w:rFonts w:ascii="Palatino Linotype" w:eastAsia="Palatino Linotype" w:hAnsi="Palatino Linotype" w:cs="Palatino Linotype"/>
        </w:rPr>
        <w:t xml:space="preserve">Inconforme con los términos de la respuesta emitida por parte del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el </w:t>
      </w:r>
      <w:r w:rsidRPr="00390F7F">
        <w:rPr>
          <w:rFonts w:ascii="Palatino Linotype" w:eastAsia="Palatino Linotype" w:hAnsi="Palatino Linotype" w:cs="Palatino Linotype"/>
          <w:b/>
        </w:rPr>
        <w:t>veintidós de agosto del dos mil veintitrés,</w:t>
      </w:r>
      <w:r w:rsidRPr="00390F7F">
        <w:rPr>
          <w:rFonts w:ascii="Palatino Linotype" w:eastAsia="Palatino Linotype" w:hAnsi="Palatino Linotype" w:cs="Palatino Linotype"/>
        </w:rPr>
        <w:t xml:space="preserve"> la parte recurrente interpuso el recurso de revisión a través de </w:t>
      </w:r>
      <w:r w:rsidRPr="00390F7F">
        <w:rPr>
          <w:rFonts w:ascii="Palatino Linotype" w:eastAsia="Palatino Linotype" w:hAnsi="Palatino Linotype" w:cs="Palatino Linotype"/>
          <w:b/>
        </w:rPr>
        <w:t xml:space="preserve">SAIMEX, </w:t>
      </w:r>
      <w:r w:rsidRPr="00390F7F">
        <w:rPr>
          <w:rFonts w:ascii="Palatino Linotype" w:eastAsia="Palatino Linotype" w:hAnsi="Palatino Linotype" w:cs="Palatino Linotype"/>
        </w:rPr>
        <w:t>en donde se manifestó de la siguiente manera:</w:t>
      </w:r>
    </w:p>
    <w:p w14:paraId="44C90873" w14:textId="77777777" w:rsidR="004D55F8" w:rsidRPr="00390F7F" w:rsidRDefault="00E162D9">
      <w:pPr>
        <w:tabs>
          <w:tab w:val="left" w:pos="2745"/>
        </w:tabs>
        <w:spacing w:before="240" w:after="240" w:line="360" w:lineRule="auto"/>
        <w:jc w:val="both"/>
        <w:rPr>
          <w:rFonts w:ascii="Palatino Linotype" w:eastAsia="Palatino Linotype" w:hAnsi="Palatino Linotype" w:cs="Palatino Linotype"/>
          <w:b/>
        </w:rPr>
      </w:pPr>
      <w:r w:rsidRPr="00390F7F">
        <w:rPr>
          <w:rFonts w:ascii="Palatino Linotype" w:eastAsia="Palatino Linotype" w:hAnsi="Palatino Linotype" w:cs="Palatino Linotype"/>
          <w:b/>
        </w:rPr>
        <w:t xml:space="preserve">Acto impugnado: </w:t>
      </w:r>
      <w:r w:rsidRPr="00390F7F">
        <w:rPr>
          <w:rFonts w:ascii="Palatino Linotype" w:eastAsia="Palatino Linotype" w:hAnsi="Palatino Linotype" w:cs="Palatino Linotype"/>
          <w:b/>
        </w:rPr>
        <w:tab/>
      </w:r>
    </w:p>
    <w:p w14:paraId="6F55FA3E" w14:textId="77777777" w:rsidR="004D55F8" w:rsidRPr="00390F7F" w:rsidRDefault="00E162D9">
      <w:pP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“NO ENTREGA INFORMACIÓN</w:t>
      </w:r>
      <w:proofErr w:type="gramStart"/>
      <w:r w:rsidRPr="00390F7F">
        <w:rPr>
          <w:rFonts w:ascii="Palatino Linotype" w:eastAsia="Palatino Linotype" w:hAnsi="Palatino Linotype" w:cs="Palatino Linotype"/>
          <w:i/>
          <w:sz w:val="22"/>
          <w:szCs w:val="22"/>
        </w:rPr>
        <w:t>”(</w:t>
      </w:r>
      <w:proofErr w:type="gramEnd"/>
      <w:r w:rsidRPr="00390F7F">
        <w:rPr>
          <w:rFonts w:ascii="Palatino Linotype" w:eastAsia="Palatino Linotype" w:hAnsi="Palatino Linotype" w:cs="Palatino Linotype"/>
          <w:i/>
          <w:sz w:val="22"/>
          <w:szCs w:val="22"/>
        </w:rPr>
        <w:t>Sic)</w:t>
      </w:r>
    </w:p>
    <w:p w14:paraId="506E0DE4" w14:textId="77777777" w:rsidR="004D55F8" w:rsidRPr="00390F7F" w:rsidRDefault="004D55F8">
      <w:pPr>
        <w:ind w:left="851" w:right="902"/>
        <w:jc w:val="both"/>
        <w:rPr>
          <w:rFonts w:ascii="Palatino Linotype" w:eastAsia="Palatino Linotype" w:hAnsi="Palatino Linotype" w:cs="Palatino Linotype"/>
          <w:i/>
          <w:sz w:val="22"/>
          <w:szCs w:val="22"/>
        </w:rPr>
      </w:pPr>
    </w:p>
    <w:p w14:paraId="2917B6ED"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Y Razones o motivos de inconformidad</w:t>
      </w:r>
      <w:r w:rsidRPr="00390F7F">
        <w:rPr>
          <w:rFonts w:ascii="Palatino Linotype" w:eastAsia="Palatino Linotype" w:hAnsi="Palatino Linotype" w:cs="Palatino Linotype"/>
        </w:rPr>
        <w:t>:</w:t>
      </w:r>
    </w:p>
    <w:p w14:paraId="0DD16670" w14:textId="77777777" w:rsidR="004D55F8" w:rsidRPr="00390F7F" w:rsidRDefault="00E162D9">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390F7F">
        <w:rPr>
          <w:rFonts w:ascii="Palatino Linotype" w:eastAsia="Palatino Linotype" w:hAnsi="Palatino Linotype" w:cs="Palatino Linotype"/>
          <w:i/>
          <w:sz w:val="22"/>
          <w:szCs w:val="22"/>
        </w:rPr>
        <w:t xml:space="preserve"> “PUES QUE SOLICITE</w:t>
      </w:r>
      <w:proofErr w:type="gramStart"/>
      <w:r w:rsidRPr="00390F7F">
        <w:rPr>
          <w:rFonts w:ascii="Palatino Linotype" w:eastAsia="Palatino Linotype" w:hAnsi="Palatino Linotype" w:cs="Palatino Linotype"/>
          <w:i/>
          <w:sz w:val="22"/>
          <w:szCs w:val="22"/>
        </w:rPr>
        <w:t>?</w:t>
      </w:r>
      <w:proofErr w:type="gramEnd"/>
      <w:r w:rsidRPr="00390F7F">
        <w:rPr>
          <w:rFonts w:ascii="Palatino Linotype" w:eastAsia="Palatino Linotype" w:hAnsi="Palatino Linotype" w:cs="Palatino Linotype"/>
          <w:i/>
          <w:sz w:val="22"/>
          <w:szCs w:val="22"/>
        </w:rPr>
        <w:t>, ESA LIGA NO MANDA A NINGÚN LADO DIJE LICENCIAS NO LIGAS DE IPOMEX”(Sic)</w:t>
      </w:r>
    </w:p>
    <w:p w14:paraId="35537CFA" w14:textId="77777777" w:rsidR="004D55F8" w:rsidRPr="00390F7F" w:rsidRDefault="004D55F8">
      <w:pPr>
        <w:ind w:left="851" w:right="902"/>
        <w:jc w:val="both"/>
        <w:rPr>
          <w:rFonts w:ascii="Palatino Linotype" w:eastAsia="Palatino Linotype" w:hAnsi="Palatino Linotype" w:cs="Palatino Linotype"/>
          <w:i/>
          <w:sz w:val="22"/>
          <w:szCs w:val="22"/>
        </w:rPr>
      </w:pPr>
    </w:p>
    <w:p w14:paraId="5EEE55B0" w14:textId="77777777" w:rsidR="004D55F8" w:rsidRPr="00390F7F" w:rsidRDefault="00E162D9">
      <w:pPr>
        <w:spacing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7. Turno. </w:t>
      </w:r>
      <w:r w:rsidRPr="00390F7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90F7F">
        <w:rPr>
          <w:rFonts w:ascii="Palatino Linotype" w:eastAsia="Palatino Linotype" w:hAnsi="Palatino Linotype" w:cs="Palatino Linotype"/>
          <w:b/>
        </w:rPr>
        <w:t xml:space="preserve">Guadalupe Ramírez Peña, </w:t>
      </w:r>
      <w:r w:rsidRPr="00390F7F">
        <w:rPr>
          <w:rFonts w:ascii="Palatino Linotype" w:eastAsia="Palatino Linotype" w:hAnsi="Palatino Linotype" w:cs="Palatino Linotype"/>
        </w:rPr>
        <w:t xml:space="preserve">a efecto de que analizara sobre su admisión o su </w:t>
      </w:r>
      <w:proofErr w:type="spellStart"/>
      <w:r w:rsidRPr="00390F7F">
        <w:rPr>
          <w:rFonts w:ascii="Palatino Linotype" w:eastAsia="Palatino Linotype" w:hAnsi="Palatino Linotype" w:cs="Palatino Linotype"/>
        </w:rPr>
        <w:t>desechamiento</w:t>
      </w:r>
      <w:proofErr w:type="spellEnd"/>
      <w:r w:rsidRPr="00390F7F">
        <w:rPr>
          <w:rFonts w:ascii="Palatino Linotype" w:eastAsia="Palatino Linotype" w:hAnsi="Palatino Linotype" w:cs="Palatino Linotype"/>
        </w:rPr>
        <w:t>.</w:t>
      </w:r>
    </w:p>
    <w:p w14:paraId="785A3D17" w14:textId="77777777" w:rsidR="004D55F8" w:rsidRPr="00390F7F" w:rsidRDefault="004D55F8">
      <w:pPr>
        <w:spacing w:line="360" w:lineRule="auto"/>
        <w:ind w:right="51"/>
        <w:jc w:val="both"/>
        <w:rPr>
          <w:rFonts w:ascii="Palatino Linotype" w:eastAsia="Palatino Linotype" w:hAnsi="Palatino Linotype" w:cs="Palatino Linotype"/>
        </w:rPr>
      </w:pPr>
    </w:p>
    <w:p w14:paraId="38E69ABC" w14:textId="77777777" w:rsidR="004D55F8" w:rsidRPr="00390F7F" w:rsidRDefault="00E162D9">
      <w:pPr>
        <w:spacing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8. Admisión del Recurso de revisión.</w:t>
      </w:r>
      <w:r w:rsidRPr="00390F7F">
        <w:rPr>
          <w:rFonts w:ascii="Palatino Linotype" w:eastAsia="Palatino Linotype" w:hAnsi="Palatino Linotype" w:cs="Palatino Linotype"/>
        </w:rPr>
        <w:t xml:space="preserve"> Con fecha</w:t>
      </w:r>
      <w:r w:rsidRPr="00390F7F">
        <w:rPr>
          <w:rFonts w:ascii="Palatino Linotype" w:eastAsia="Palatino Linotype" w:hAnsi="Palatino Linotype" w:cs="Palatino Linotype"/>
          <w:b/>
        </w:rPr>
        <w:t xml:space="preserve"> veinticinco de agosto de dos mil veintitrés, </w:t>
      </w:r>
      <w:r w:rsidRPr="00390F7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90F7F">
        <w:rPr>
          <w:rFonts w:ascii="Palatino Linotype" w:eastAsia="Palatino Linotype" w:hAnsi="Palatino Linotype" w:cs="Palatino Linotype"/>
          <w:b/>
        </w:rPr>
        <w:t xml:space="preserve">SUJETO OBLIGADO </w:t>
      </w:r>
      <w:r w:rsidRPr="00390F7F">
        <w:rPr>
          <w:rFonts w:ascii="Palatino Linotype" w:eastAsia="Palatino Linotype" w:hAnsi="Palatino Linotype" w:cs="Palatino Linotype"/>
        </w:rPr>
        <w:t>presentara su informe justificado.</w:t>
      </w:r>
    </w:p>
    <w:p w14:paraId="01CAF00C" w14:textId="77777777" w:rsidR="004D55F8" w:rsidRPr="00390F7F" w:rsidRDefault="00E162D9">
      <w:pPr>
        <w:spacing w:before="240" w:after="240" w:line="360" w:lineRule="auto"/>
        <w:jc w:val="both"/>
      </w:pPr>
      <w:r w:rsidRPr="00390F7F">
        <w:rPr>
          <w:rFonts w:ascii="Palatino Linotype" w:eastAsia="Palatino Linotype" w:hAnsi="Palatino Linotype" w:cs="Palatino Linotype"/>
          <w:b/>
        </w:rPr>
        <w:lastRenderedPageBreak/>
        <w:t>9. Manifestaciones</w:t>
      </w:r>
      <w:r w:rsidRPr="00390F7F">
        <w:rPr>
          <w:rFonts w:ascii="Palatino Linotype" w:eastAsia="Palatino Linotype" w:hAnsi="Palatino Linotype" w:cs="Palatino Linotype"/>
        </w:rPr>
        <w:t xml:space="preserve">. De las constancias que obran en el expediente electrónico del SAIMEX se desprende que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no rindió su informe justificado, del mismo modo la parte</w:t>
      </w:r>
      <w:r w:rsidRPr="00390F7F">
        <w:rPr>
          <w:rFonts w:ascii="Palatino Linotype" w:eastAsia="Palatino Linotype" w:hAnsi="Palatino Linotype" w:cs="Palatino Linotype"/>
          <w:b/>
        </w:rPr>
        <w:t xml:space="preserve"> RECURRENTE</w:t>
      </w:r>
      <w:r w:rsidRPr="00390F7F">
        <w:rPr>
          <w:rFonts w:ascii="Palatino Linotype" w:eastAsia="Palatino Linotype" w:hAnsi="Palatino Linotype" w:cs="Palatino Linotype"/>
        </w:rPr>
        <w:t xml:space="preserve"> omitió realizar manifestaciones, como se observa a continuación:</w:t>
      </w:r>
    </w:p>
    <w:p w14:paraId="6167B65A" w14:textId="77777777" w:rsidR="004D55F8" w:rsidRPr="00390F7F" w:rsidRDefault="00E162D9">
      <w:pPr>
        <w:spacing w:before="240" w:after="240" w:line="360" w:lineRule="auto"/>
        <w:jc w:val="both"/>
      </w:pPr>
      <w:r w:rsidRPr="00390F7F">
        <w:rPr>
          <w:noProof/>
          <w:lang w:val="es-MX"/>
        </w:rPr>
        <w:drawing>
          <wp:inline distT="0" distB="0" distL="0" distR="0" wp14:anchorId="11CAB477" wp14:editId="2879F03B">
            <wp:extent cx="5612130" cy="1441450"/>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1441450"/>
                    </a:xfrm>
                    <a:prstGeom prst="rect">
                      <a:avLst/>
                    </a:prstGeom>
                    <a:ln/>
                  </pic:spPr>
                </pic:pic>
              </a:graphicData>
            </a:graphic>
          </wp:inline>
        </w:drawing>
      </w:r>
    </w:p>
    <w:p w14:paraId="62CB8B2A" w14:textId="77777777" w:rsidR="004D55F8" w:rsidRPr="00390F7F" w:rsidRDefault="00E162D9">
      <w:pPr>
        <w:widowControl w:val="0"/>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10</w:t>
      </w:r>
      <w:r w:rsidRPr="00390F7F">
        <w:rPr>
          <w:rFonts w:ascii="Palatino Linotype" w:eastAsia="Palatino Linotype" w:hAnsi="Palatino Linotype" w:cs="Palatino Linotype"/>
        </w:rPr>
        <w:t xml:space="preserve">. </w:t>
      </w:r>
      <w:r w:rsidRPr="00390F7F">
        <w:rPr>
          <w:rFonts w:ascii="Palatino Linotype" w:eastAsia="Palatino Linotype" w:hAnsi="Palatino Linotype" w:cs="Palatino Linotype"/>
          <w:b/>
        </w:rPr>
        <w:t>Ampliación del plazo.</w:t>
      </w:r>
      <w:r w:rsidRPr="00390F7F">
        <w:rPr>
          <w:rFonts w:ascii="Palatino Linotype" w:eastAsia="Palatino Linotype" w:hAnsi="Palatino Linotype" w:cs="Palatino Linotype"/>
        </w:rPr>
        <w:t xml:space="preserve"> El veintitrés de enero del dos mil veinticuatro, con fundamento en el artículo 181, párrafo tercero de la Ley de Transparencia y Acceso a la Información Pública del Estado de México y Municipios, se acordó la ampliación del plazo para su resolución.</w:t>
      </w:r>
    </w:p>
    <w:p w14:paraId="35A6AD64" w14:textId="77777777" w:rsidR="004D55F8" w:rsidRPr="00390F7F" w:rsidRDefault="004D55F8">
      <w:pPr>
        <w:widowControl w:val="0"/>
        <w:spacing w:line="360" w:lineRule="auto"/>
        <w:jc w:val="both"/>
        <w:rPr>
          <w:rFonts w:ascii="Palatino Linotype" w:eastAsia="Palatino Linotype" w:hAnsi="Palatino Linotype" w:cs="Palatino Linotype"/>
        </w:rPr>
      </w:pPr>
    </w:p>
    <w:p w14:paraId="565694B7" w14:textId="77777777" w:rsidR="004D55F8" w:rsidRPr="00390F7F" w:rsidRDefault="00E162D9">
      <w:pPr>
        <w:widowControl w:val="0"/>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29423F2" w14:textId="77777777" w:rsidR="004D55F8" w:rsidRPr="00390F7F" w:rsidRDefault="004D55F8">
      <w:pPr>
        <w:spacing w:line="360" w:lineRule="auto"/>
        <w:jc w:val="both"/>
        <w:rPr>
          <w:rFonts w:ascii="Palatino Linotype" w:eastAsia="Palatino Linotype" w:hAnsi="Palatino Linotype" w:cs="Palatino Linotype"/>
        </w:rPr>
      </w:pPr>
    </w:p>
    <w:p w14:paraId="1833D13C"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390F7F">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14:paraId="16EEA7DE" w14:textId="77777777" w:rsidR="004D55F8" w:rsidRPr="00390F7F" w:rsidRDefault="004D55F8">
      <w:pPr>
        <w:spacing w:line="360" w:lineRule="auto"/>
        <w:jc w:val="both"/>
        <w:rPr>
          <w:rFonts w:ascii="Palatino Linotype" w:eastAsia="Palatino Linotype" w:hAnsi="Palatino Linotype" w:cs="Palatino Linotype"/>
        </w:rPr>
      </w:pPr>
    </w:p>
    <w:p w14:paraId="5CAAA48C"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7771D8" w14:textId="77777777" w:rsidR="004D55F8" w:rsidRPr="00390F7F" w:rsidRDefault="004D55F8">
      <w:pPr>
        <w:spacing w:line="360" w:lineRule="auto"/>
        <w:jc w:val="both"/>
        <w:rPr>
          <w:rFonts w:ascii="Palatino Linotype" w:eastAsia="Palatino Linotype" w:hAnsi="Palatino Linotype" w:cs="Palatino Linotype"/>
        </w:rPr>
      </w:pPr>
    </w:p>
    <w:p w14:paraId="16571CED"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FD5F14" w14:textId="77777777" w:rsidR="004D55F8" w:rsidRPr="00390F7F" w:rsidRDefault="004D55F8">
      <w:pPr>
        <w:spacing w:line="360" w:lineRule="auto"/>
        <w:jc w:val="both"/>
        <w:rPr>
          <w:rFonts w:ascii="Palatino Linotype" w:eastAsia="Palatino Linotype" w:hAnsi="Palatino Linotype" w:cs="Palatino Linotype"/>
        </w:rPr>
      </w:pPr>
    </w:p>
    <w:p w14:paraId="613557D5" w14:textId="77777777" w:rsidR="004D55F8" w:rsidRPr="00390F7F" w:rsidRDefault="00E162D9">
      <w:pPr>
        <w:spacing w:line="360" w:lineRule="auto"/>
        <w:jc w:val="both"/>
        <w:rPr>
          <w:rFonts w:ascii="Palatino Linotype" w:eastAsia="Palatino Linotype" w:hAnsi="Palatino Linotype" w:cs="Palatino Linotype"/>
          <w:strike/>
        </w:rPr>
      </w:pPr>
      <w:r w:rsidRPr="00390F7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67770DA" w14:textId="77777777" w:rsidR="004D55F8" w:rsidRPr="00390F7F" w:rsidRDefault="004D55F8">
      <w:pPr>
        <w:spacing w:line="360" w:lineRule="auto"/>
        <w:jc w:val="both"/>
        <w:rPr>
          <w:rFonts w:ascii="Palatino Linotype" w:eastAsia="Palatino Linotype" w:hAnsi="Palatino Linotype" w:cs="Palatino Linotype"/>
        </w:rPr>
      </w:pPr>
    </w:p>
    <w:p w14:paraId="3F31394E" w14:textId="77777777" w:rsidR="004D55F8" w:rsidRPr="00390F7F" w:rsidRDefault="00E162D9">
      <w:pPr>
        <w:numPr>
          <w:ilvl w:val="0"/>
          <w:numId w:val="6"/>
        </w:numPr>
        <w:spacing w:line="360" w:lineRule="auto"/>
        <w:ind w:left="850" w:hanging="357"/>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E704491" w14:textId="77777777" w:rsidR="004D55F8" w:rsidRPr="00390F7F" w:rsidRDefault="004D55F8">
      <w:pPr>
        <w:spacing w:line="360" w:lineRule="auto"/>
        <w:ind w:left="850" w:hanging="357"/>
        <w:jc w:val="both"/>
        <w:rPr>
          <w:rFonts w:ascii="Palatino Linotype" w:eastAsia="Palatino Linotype" w:hAnsi="Palatino Linotype" w:cs="Palatino Linotype"/>
        </w:rPr>
      </w:pPr>
    </w:p>
    <w:p w14:paraId="140369B6" w14:textId="77777777" w:rsidR="004D55F8" w:rsidRPr="00390F7F" w:rsidRDefault="00E162D9">
      <w:pPr>
        <w:numPr>
          <w:ilvl w:val="0"/>
          <w:numId w:val="6"/>
        </w:numPr>
        <w:spacing w:line="360" w:lineRule="auto"/>
        <w:ind w:left="850" w:hanging="357"/>
        <w:jc w:val="both"/>
        <w:rPr>
          <w:rFonts w:ascii="Palatino Linotype" w:eastAsia="Palatino Linotype" w:hAnsi="Palatino Linotype" w:cs="Palatino Linotype"/>
        </w:rPr>
      </w:pPr>
      <w:r w:rsidRPr="00390F7F">
        <w:rPr>
          <w:rFonts w:ascii="Palatino Linotype" w:eastAsia="Palatino Linotype" w:hAnsi="Palatino Linotype" w:cs="Palatino Linotype"/>
        </w:rPr>
        <w:t>Actividad Procesal del interesado. Acciones u omisiones del interesado.</w:t>
      </w:r>
    </w:p>
    <w:p w14:paraId="61FB2855" w14:textId="77777777" w:rsidR="004D55F8" w:rsidRPr="00390F7F" w:rsidRDefault="004D55F8">
      <w:pPr>
        <w:spacing w:line="360" w:lineRule="auto"/>
        <w:ind w:left="850" w:hanging="357"/>
        <w:jc w:val="both"/>
        <w:rPr>
          <w:rFonts w:ascii="Palatino Linotype" w:eastAsia="Palatino Linotype" w:hAnsi="Palatino Linotype" w:cs="Palatino Linotype"/>
        </w:rPr>
      </w:pPr>
    </w:p>
    <w:p w14:paraId="7B472E13" w14:textId="77777777" w:rsidR="004D55F8" w:rsidRPr="00390F7F" w:rsidRDefault="00E162D9">
      <w:pPr>
        <w:numPr>
          <w:ilvl w:val="0"/>
          <w:numId w:val="6"/>
        </w:numPr>
        <w:spacing w:line="360" w:lineRule="auto"/>
        <w:ind w:left="850" w:hanging="357"/>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74BF9000" w14:textId="77777777" w:rsidR="004D55F8" w:rsidRPr="00390F7F" w:rsidRDefault="004D55F8">
      <w:pPr>
        <w:spacing w:line="360" w:lineRule="auto"/>
        <w:ind w:left="850" w:hanging="357"/>
        <w:rPr>
          <w:rFonts w:ascii="Palatino Linotype" w:eastAsia="Palatino Linotype" w:hAnsi="Palatino Linotype" w:cs="Palatino Linotype"/>
        </w:rPr>
      </w:pPr>
    </w:p>
    <w:p w14:paraId="74044F00" w14:textId="77777777" w:rsidR="004D55F8" w:rsidRPr="00390F7F" w:rsidRDefault="00E162D9">
      <w:pPr>
        <w:spacing w:line="360" w:lineRule="auto"/>
        <w:ind w:left="850" w:hanging="357"/>
        <w:jc w:val="both"/>
        <w:rPr>
          <w:rFonts w:ascii="Palatino Linotype" w:eastAsia="Palatino Linotype" w:hAnsi="Palatino Linotype" w:cs="Palatino Linotype"/>
        </w:rPr>
      </w:pPr>
      <w:r w:rsidRPr="00390F7F">
        <w:rPr>
          <w:rFonts w:ascii="Palatino Linotype" w:eastAsia="Palatino Linotype" w:hAnsi="Palatino Linotype" w:cs="Palatino Linotype"/>
        </w:rPr>
        <w:t>d) La afectación generada en la situación jurídica de la persona involucrada en el proceso: Violación a sus derechos humanos.</w:t>
      </w:r>
    </w:p>
    <w:p w14:paraId="6457AEB4" w14:textId="77777777" w:rsidR="004D55F8" w:rsidRPr="00390F7F" w:rsidRDefault="004D55F8">
      <w:pPr>
        <w:spacing w:line="360" w:lineRule="auto"/>
        <w:jc w:val="both"/>
        <w:rPr>
          <w:rFonts w:ascii="Palatino Linotype" w:eastAsia="Palatino Linotype" w:hAnsi="Palatino Linotype" w:cs="Palatino Linotype"/>
        </w:rPr>
      </w:pPr>
    </w:p>
    <w:p w14:paraId="12D62B66"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4BB322" w14:textId="77777777" w:rsidR="004D55F8" w:rsidRPr="00390F7F" w:rsidRDefault="004D55F8">
      <w:pPr>
        <w:spacing w:line="360" w:lineRule="auto"/>
        <w:jc w:val="both"/>
        <w:rPr>
          <w:rFonts w:ascii="Palatino Linotype" w:eastAsia="Palatino Linotype" w:hAnsi="Palatino Linotype" w:cs="Palatino Linotype"/>
        </w:rPr>
      </w:pPr>
    </w:p>
    <w:p w14:paraId="1C23F958" w14:textId="77777777" w:rsidR="004D55F8" w:rsidRPr="00390F7F" w:rsidRDefault="00E162D9">
      <w:pPr>
        <w:spacing w:line="360" w:lineRule="auto"/>
        <w:jc w:val="both"/>
        <w:rPr>
          <w:rFonts w:ascii="Palatino Linotype" w:eastAsia="Palatino Linotype" w:hAnsi="Palatino Linotype" w:cs="Palatino Linotype"/>
          <w:b/>
        </w:rPr>
      </w:pPr>
      <w:r w:rsidRPr="00390F7F">
        <w:rPr>
          <w:rFonts w:ascii="Palatino Linotype" w:eastAsia="Palatino Linotype" w:hAnsi="Palatino Linotype" w:cs="Palatino Linotype"/>
        </w:rPr>
        <w:t>Argumento que encuentra sustento en la jurisprudencia P</w:t>
      </w:r>
      <w:proofErr w:type="gramStart"/>
      <w:r w:rsidRPr="00390F7F">
        <w:rPr>
          <w:rFonts w:ascii="Palatino Linotype" w:eastAsia="Palatino Linotype" w:hAnsi="Palatino Linotype" w:cs="Palatino Linotype"/>
        </w:rPr>
        <w:t>./</w:t>
      </w:r>
      <w:proofErr w:type="gramEnd"/>
      <w:r w:rsidRPr="00390F7F">
        <w:rPr>
          <w:rFonts w:ascii="Palatino Linotype" w:eastAsia="Palatino Linotype" w:hAnsi="Palatino Linotype" w:cs="Palatino Linotype"/>
        </w:rPr>
        <w:t xml:space="preserve">J. 32/92 emitida por el Pleno de la Suprema Corte de Justicia de la Nación de rubro </w:t>
      </w:r>
      <w:r w:rsidRPr="00390F7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90F7F">
        <w:rPr>
          <w:rFonts w:ascii="Palatino Linotype" w:eastAsia="Palatino Linotype" w:hAnsi="Palatino Linotype" w:cs="Palatino Linotype"/>
        </w:rPr>
        <w:t>, visible en la Gaceta del Seminario Judicial de la Federación con el registro digital 205635.</w:t>
      </w:r>
    </w:p>
    <w:p w14:paraId="2B215E37" w14:textId="77777777" w:rsidR="004D55F8" w:rsidRPr="00390F7F" w:rsidRDefault="004D55F8">
      <w:pPr>
        <w:spacing w:line="360" w:lineRule="auto"/>
        <w:jc w:val="both"/>
        <w:rPr>
          <w:rFonts w:ascii="Palatino Linotype" w:eastAsia="Palatino Linotype" w:hAnsi="Palatino Linotype" w:cs="Palatino Linotype"/>
        </w:rPr>
      </w:pPr>
    </w:p>
    <w:p w14:paraId="3A283521"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390F7F">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38B01F7" w14:textId="77777777" w:rsidR="004D55F8" w:rsidRPr="00390F7F" w:rsidRDefault="004D55F8">
      <w:pPr>
        <w:spacing w:line="360" w:lineRule="auto"/>
        <w:jc w:val="both"/>
        <w:rPr>
          <w:rFonts w:ascii="Palatino Linotype" w:eastAsia="Palatino Linotype" w:hAnsi="Palatino Linotype" w:cs="Palatino Linotype"/>
        </w:rPr>
      </w:pPr>
    </w:p>
    <w:p w14:paraId="76D72570"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C4292F" w14:textId="77777777" w:rsidR="004D55F8" w:rsidRPr="00390F7F" w:rsidRDefault="004D55F8">
      <w:pPr>
        <w:spacing w:line="360" w:lineRule="auto"/>
        <w:jc w:val="both"/>
        <w:rPr>
          <w:rFonts w:ascii="Palatino Linotype" w:eastAsia="Palatino Linotype" w:hAnsi="Palatino Linotype" w:cs="Palatino Linotype"/>
          <w:i/>
        </w:rPr>
      </w:pPr>
    </w:p>
    <w:p w14:paraId="1E6CAE58"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i/>
        </w:rPr>
        <w:t>“PLAZO RAZONABLE PARA RESOLVER. DIMENSIÓN Y EFECTOS DE ESTE CONCEPTO CUANDO SE ADUCE EXCESIVA CARGA DE TRABAJO.”</w:t>
      </w:r>
      <w:r w:rsidRPr="00390F7F">
        <w:rPr>
          <w:rFonts w:ascii="Palatino Linotype" w:eastAsia="Palatino Linotype" w:hAnsi="Palatino Linotype" w:cs="Palatino Linotype"/>
        </w:rPr>
        <w:t xml:space="preserve"> consultable en el Seminario Judicial de la Federación y su gaceta, con el registro digital 2002351.</w:t>
      </w:r>
    </w:p>
    <w:p w14:paraId="4A691745" w14:textId="77777777" w:rsidR="004D55F8" w:rsidRPr="00390F7F" w:rsidRDefault="004D55F8">
      <w:pPr>
        <w:spacing w:line="360" w:lineRule="auto"/>
        <w:jc w:val="both"/>
        <w:rPr>
          <w:rFonts w:ascii="Palatino Linotype" w:eastAsia="Palatino Linotype" w:hAnsi="Palatino Linotype" w:cs="Palatino Linotype"/>
          <w:b/>
        </w:rPr>
      </w:pPr>
    </w:p>
    <w:p w14:paraId="3CAE9FD6"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i/>
        </w:rPr>
        <w:t>“PLAZO RAZONABLE PARA RESOLVER. CONCEPTO Y ELEMENTOS QUE LO INTEGRAN A LA LUZ DEL DERECHO INTERNACIONAL DE LOS DERECHOS HUMANOS.”</w:t>
      </w:r>
      <w:r w:rsidRPr="00390F7F">
        <w:rPr>
          <w:rFonts w:ascii="Palatino Linotype" w:eastAsia="Palatino Linotype" w:hAnsi="Palatino Linotype" w:cs="Palatino Linotype"/>
        </w:rPr>
        <w:t>, visible en el Seminario Judicial de la Federación y su gaceta, con el registro digital 2002350.</w:t>
      </w:r>
    </w:p>
    <w:p w14:paraId="1236B28E" w14:textId="77777777" w:rsidR="004D55F8" w:rsidRPr="00390F7F" w:rsidRDefault="004D55F8">
      <w:pPr>
        <w:spacing w:line="360" w:lineRule="auto"/>
        <w:jc w:val="both"/>
        <w:rPr>
          <w:rFonts w:ascii="Palatino Linotype" w:eastAsia="Palatino Linotype" w:hAnsi="Palatino Linotype" w:cs="Palatino Linotype"/>
        </w:rPr>
      </w:pPr>
    </w:p>
    <w:p w14:paraId="576CB4F2"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0668D12" w14:textId="77777777" w:rsidR="004D55F8" w:rsidRPr="00390F7F" w:rsidRDefault="00E162D9">
      <w:pPr>
        <w:widowControl w:val="0"/>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lastRenderedPageBreak/>
        <w:t xml:space="preserve">11. Cierre de instrucción. </w:t>
      </w:r>
      <w:r w:rsidRPr="00390F7F">
        <w:rPr>
          <w:rFonts w:ascii="Palatino Linotype" w:eastAsia="Palatino Linotype" w:hAnsi="Palatino Linotype" w:cs="Palatino Linotype"/>
        </w:rPr>
        <w:t>Una vez transcurrido el periodo otorgado a las partes para realizar sus manifestaciones y no habiendo documentos que integrar al expediente, el</w:t>
      </w:r>
      <w:r w:rsidRPr="00390F7F">
        <w:rPr>
          <w:rFonts w:ascii="Palatino Linotype" w:eastAsia="Palatino Linotype" w:hAnsi="Palatino Linotype" w:cs="Palatino Linotype"/>
          <w:b/>
        </w:rPr>
        <w:t xml:space="preserve"> veintitrés de enero de dos mil veinticuatro</w:t>
      </w:r>
      <w:r w:rsidRPr="00390F7F">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93EA741"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3A35FE6" w14:textId="77777777" w:rsidR="004D55F8" w:rsidRPr="00390F7F" w:rsidRDefault="00E162D9">
      <w:pPr>
        <w:widowControl w:val="0"/>
        <w:spacing w:line="360" w:lineRule="auto"/>
        <w:jc w:val="center"/>
        <w:rPr>
          <w:rFonts w:ascii="Palatino Linotype" w:eastAsia="Palatino Linotype" w:hAnsi="Palatino Linotype" w:cs="Palatino Linotype"/>
          <w:b/>
        </w:rPr>
      </w:pPr>
      <w:r w:rsidRPr="00390F7F">
        <w:rPr>
          <w:rFonts w:ascii="Palatino Linotype" w:eastAsia="Palatino Linotype" w:hAnsi="Palatino Linotype" w:cs="Palatino Linotype"/>
          <w:b/>
        </w:rPr>
        <w:t>II. C O N S I D E R A N D O S</w:t>
      </w:r>
    </w:p>
    <w:p w14:paraId="5DA2E95F" w14:textId="77777777" w:rsidR="004D55F8" w:rsidRPr="00390F7F" w:rsidRDefault="004D55F8">
      <w:pPr>
        <w:widowControl w:val="0"/>
        <w:spacing w:line="360" w:lineRule="auto"/>
        <w:jc w:val="center"/>
        <w:rPr>
          <w:rFonts w:ascii="Palatino Linotype" w:eastAsia="Palatino Linotype" w:hAnsi="Palatino Linotype" w:cs="Palatino Linotype"/>
          <w:b/>
        </w:rPr>
      </w:pPr>
    </w:p>
    <w:p w14:paraId="4DDFD43A"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Primero. Competencia.</w:t>
      </w:r>
      <w:r w:rsidRPr="00390F7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EDD926F"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lastRenderedPageBreak/>
        <w:t xml:space="preserve">Segundo. Oportunidad y </w:t>
      </w:r>
      <w:proofErr w:type="spellStart"/>
      <w:r w:rsidRPr="00390F7F">
        <w:rPr>
          <w:rFonts w:ascii="Palatino Linotype" w:eastAsia="Palatino Linotype" w:hAnsi="Palatino Linotype" w:cs="Palatino Linotype"/>
          <w:b/>
        </w:rPr>
        <w:t>Procedibilidad</w:t>
      </w:r>
      <w:proofErr w:type="spellEnd"/>
      <w:r w:rsidRPr="00390F7F">
        <w:rPr>
          <w:rFonts w:ascii="Palatino Linotype" w:eastAsia="Palatino Linotype" w:hAnsi="Palatino Linotype" w:cs="Palatino Linotype"/>
          <w:b/>
        </w:rPr>
        <w:t xml:space="preserve"> del Recurso de Revisión</w:t>
      </w:r>
      <w:r w:rsidRPr="00390F7F">
        <w:rPr>
          <w:rFonts w:ascii="Palatino Linotype" w:eastAsia="Palatino Linotype" w:hAnsi="Palatino Linotype" w:cs="Palatino Linotype"/>
        </w:rPr>
        <w:t xml:space="preserve">. Previo al estudio del fondo del asunto, se procede a analizar los requisitos de oportunidad y </w:t>
      </w:r>
      <w:proofErr w:type="spellStart"/>
      <w:r w:rsidRPr="00390F7F">
        <w:rPr>
          <w:rFonts w:ascii="Palatino Linotype" w:eastAsia="Palatino Linotype" w:hAnsi="Palatino Linotype" w:cs="Palatino Linotype"/>
        </w:rPr>
        <w:t>procedibilidad</w:t>
      </w:r>
      <w:proofErr w:type="spellEnd"/>
      <w:r w:rsidRPr="00390F7F">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35476C3D"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proporcionó su respuesta a la solicitud de información el veintidós de agosto del dos mil veintitrés y el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xml:space="preserve"> presentó su recurso de revisión el veintidós de agosto del mismo año; esto es, el mismo día hábil en que tuvo conocimiento de la respuesta impugnada.</w:t>
      </w:r>
    </w:p>
    <w:p w14:paraId="101037AE"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este sentido, al considerar la fecha en que se formuló la solicitud y la fecha en que respondió a esta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5934C7AE"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w:t>
      </w:r>
      <w:r w:rsidRPr="00390F7F">
        <w:rPr>
          <w:rFonts w:ascii="Palatino Linotype" w:eastAsia="Palatino Linotype" w:hAnsi="Palatino Linotype" w:cs="Palatino Linotype"/>
        </w:rPr>
        <w:lastRenderedPageBreak/>
        <w:t>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8DD4443" w14:textId="77777777" w:rsidR="004D55F8" w:rsidRPr="00390F7F" w:rsidRDefault="00E162D9">
      <w:pPr>
        <w:spacing w:before="120" w:after="12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390F7F">
        <w:rPr>
          <w:rFonts w:ascii="Palatino Linotype" w:eastAsia="Palatino Linotype" w:hAnsi="Palatino Linotype" w:cs="Palatino Linotype"/>
          <w:i/>
          <w:sz w:val="22"/>
          <w:szCs w:val="22"/>
        </w:rPr>
        <w:t>.</w:t>
      </w:r>
    </w:p>
    <w:p w14:paraId="3B90A751" w14:textId="77777777" w:rsidR="004D55F8" w:rsidRPr="00390F7F" w:rsidRDefault="00E162D9">
      <w:pPr>
        <w:spacing w:before="120" w:after="12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376F9443" w14:textId="77777777" w:rsidR="004D55F8" w:rsidRPr="00390F7F" w:rsidRDefault="00E162D9">
      <w:pPr>
        <w:spacing w:before="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Al mismo tiempo, por cuanto hace a la </w:t>
      </w:r>
      <w:proofErr w:type="spellStart"/>
      <w:r w:rsidRPr="00390F7F">
        <w:rPr>
          <w:rFonts w:ascii="Palatino Linotype" w:eastAsia="Palatino Linotype" w:hAnsi="Palatino Linotype" w:cs="Palatino Linotype"/>
        </w:rPr>
        <w:t>procedibilidad</w:t>
      </w:r>
      <w:proofErr w:type="spellEnd"/>
      <w:r w:rsidRPr="00390F7F">
        <w:rPr>
          <w:rFonts w:ascii="Palatino Linotype" w:eastAsia="Palatino Linotype" w:hAnsi="Palatino Linotype" w:cs="Palatino Linotype"/>
        </w:rPr>
        <w:t xml:space="preserve">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E978CE8" w14:textId="77777777" w:rsidR="004D55F8" w:rsidRPr="00390F7F" w:rsidRDefault="004D55F8">
      <w:pPr>
        <w:ind w:left="567" w:right="474"/>
        <w:jc w:val="both"/>
        <w:rPr>
          <w:rFonts w:ascii="Palatino Linotype" w:eastAsia="Palatino Linotype" w:hAnsi="Palatino Linotype" w:cs="Palatino Linotype"/>
          <w:i/>
        </w:rPr>
      </w:pPr>
    </w:p>
    <w:p w14:paraId="27056D76" w14:textId="77777777" w:rsidR="004D55F8" w:rsidRPr="00390F7F" w:rsidRDefault="00E162D9">
      <w:pPr>
        <w:ind w:left="567" w:right="474"/>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Las solicitudes anónimas</w:t>
      </w:r>
      <w:r w:rsidRPr="00390F7F">
        <w:rPr>
          <w:rFonts w:ascii="Palatino Linotype" w:eastAsia="Palatino Linotype" w:hAnsi="Palatino Linotype" w:cs="Palatino Linotype"/>
          <w:i/>
          <w:sz w:val="22"/>
          <w:szCs w:val="22"/>
        </w:rPr>
        <w:t xml:space="preserve">, con nombre incompleto o seudónimo </w:t>
      </w:r>
      <w:r w:rsidRPr="00390F7F">
        <w:rPr>
          <w:rFonts w:ascii="Palatino Linotype" w:eastAsia="Palatino Linotype" w:hAnsi="Palatino Linotype" w:cs="Palatino Linotype"/>
          <w:b/>
          <w:i/>
          <w:sz w:val="22"/>
          <w:szCs w:val="22"/>
        </w:rPr>
        <w:t>serán procedentes para su trámite por parte del sujeto obligado ante quien se presente</w:t>
      </w:r>
      <w:r w:rsidRPr="00390F7F">
        <w:rPr>
          <w:rFonts w:ascii="Palatino Linotype" w:eastAsia="Palatino Linotype" w:hAnsi="Palatino Linotype" w:cs="Palatino Linotype"/>
          <w:i/>
          <w:sz w:val="22"/>
          <w:szCs w:val="22"/>
        </w:rPr>
        <w:t>. No podrá requerirse información adicional con motivo del nombre proporcionado por el solicitante."(Sic)</w:t>
      </w:r>
    </w:p>
    <w:p w14:paraId="1644FECB"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Al mismo tiempo, tras la revisión del formato de interposición del recurso, se concluye en la acreditación plena de todos y cada uno de los elementos formales </w:t>
      </w:r>
      <w:r w:rsidRPr="00390F7F">
        <w:rPr>
          <w:rFonts w:ascii="Palatino Linotype" w:eastAsia="Palatino Linotype" w:hAnsi="Palatino Linotype" w:cs="Palatino Linotype"/>
        </w:rPr>
        <w:lastRenderedPageBreak/>
        <w:t>exigidos por el artículo 180 de la Ley de Transparencia y Acceso a la Información Pública del Estado de México y Municipios, toda vez que fue ingresado a través del SAIMEX.</w:t>
      </w:r>
    </w:p>
    <w:p w14:paraId="6FEF6AB0"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IX de la ley de la materia, que a la letra dice:</w:t>
      </w:r>
    </w:p>
    <w:p w14:paraId="4EDCE3F0" w14:textId="77777777" w:rsidR="004D55F8" w:rsidRPr="00390F7F" w:rsidRDefault="00E162D9">
      <w:pPr>
        <w:ind w:left="1276" w:right="175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 xml:space="preserve">Artículo 179. </w:t>
      </w:r>
      <w:r w:rsidRPr="00390F7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B214DBA" w14:textId="77777777" w:rsidR="004D55F8" w:rsidRPr="00390F7F" w:rsidRDefault="00E162D9">
      <w:pPr>
        <w:ind w:left="1276" w:right="175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p>
    <w:p w14:paraId="17AF7C64" w14:textId="77777777" w:rsidR="004D55F8" w:rsidRPr="00390F7F" w:rsidRDefault="00E162D9">
      <w:pPr>
        <w:ind w:left="1276" w:right="175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(Sic) </w:t>
      </w:r>
    </w:p>
    <w:p w14:paraId="4243B50F"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b/>
        </w:rPr>
        <w:t>Tercero. Materia de Revisión</w:t>
      </w:r>
      <w:r w:rsidRPr="00390F7F">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390F7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90F7F">
        <w:rPr>
          <w:rFonts w:ascii="Palatino Linotype" w:eastAsia="Palatino Linotype" w:hAnsi="Palatino Linotype" w:cs="Palatino Linotype"/>
        </w:rPr>
        <w:t xml:space="preserve">de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o en su defecto, en caso de ser procedente, ordenar la entrega de información.</w:t>
      </w:r>
    </w:p>
    <w:p w14:paraId="3A85EB26"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Cuarto. Estudio de fondo del asunto. </w:t>
      </w:r>
      <w:r w:rsidRPr="00390F7F">
        <w:rPr>
          <w:rFonts w:ascii="Palatino Linotype" w:eastAsia="Palatino Linotype" w:hAnsi="Palatino Linotype" w:cs="Palatino Linotype"/>
        </w:rPr>
        <w:t xml:space="preserve">es conveniente analizar si la respuesta del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w:t>
      </w:r>
      <w:r w:rsidRPr="00390F7F">
        <w:rPr>
          <w:rFonts w:ascii="Palatino Linotype" w:eastAsia="Palatino Linotype" w:hAnsi="Palatino Linotype" w:cs="Palatino Linotype"/>
        </w:rPr>
        <w:lastRenderedPageBreak/>
        <w:t>permanente a cualquier persona, privilegiando el principio de máxima publicidad, como así lo establece dicha determinación, que a continuación se trascribe para un mejor entendimiento:</w:t>
      </w:r>
    </w:p>
    <w:p w14:paraId="3E9ADD75" w14:textId="77777777" w:rsidR="004D55F8" w:rsidRPr="00390F7F" w:rsidRDefault="00E162D9">
      <w:pPr>
        <w:spacing w:before="240"/>
        <w:ind w:left="709" w:right="76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Artículo 4.</w:t>
      </w:r>
      <w:r w:rsidRPr="00390F7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2EA460" w14:textId="77777777" w:rsidR="004D55F8" w:rsidRPr="00390F7F" w:rsidRDefault="00E162D9">
      <w:pPr>
        <w:ind w:left="709" w:right="76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90F7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64CCAB" w14:textId="77777777" w:rsidR="004D55F8" w:rsidRPr="00390F7F" w:rsidRDefault="00E162D9">
      <w:pPr>
        <w:ind w:left="709" w:right="760"/>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90F7F">
        <w:rPr>
          <w:rFonts w:ascii="Palatino Linotype" w:eastAsia="Palatino Linotype" w:hAnsi="Palatino Linotype" w:cs="Palatino Linotype"/>
          <w:i/>
          <w:sz w:val="22"/>
          <w:szCs w:val="22"/>
        </w:rPr>
        <w:t>.”(Sic)</w:t>
      </w:r>
    </w:p>
    <w:p w14:paraId="740C9522"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1C23177" w14:textId="77777777" w:rsidR="004D55F8" w:rsidRPr="00390F7F" w:rsidRDefault="00E162D9">
      <w:pPr>
        <w:ind w:left="567" w:right="758"/>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Artículo12.-</w:t>
      </w:r>
      <w:r w:rsidRPr="00390F7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F05C4D" w14:textId="77777777" w:rsidR="004D55F8" w:rsidRPr="00390F7F" w:rsidRDefault="00E162D9">
      <w:pPr>
        <w:ind w:left="567" w:right="758"/>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D11C70B" w14:textId="77777777" w:rsidR="004D55F8" w:rsidRPr="00390F7F" w:rsidRDefault="004D55F8">
      <w:pPr>
        <w:spacing w:line="360" w:lineRule="auto"/>
        <w:ind w:right="-93"/>
        <w:jc w:val="both"/>
        <w:rPr>
          <w:rFonts w:ascii="Palatino Linotype" w:eastAsia="Palatino Linotype" w:hAnsi="Palatino Linotype" w:cs="Palatino Linotype"/>
        </w:rPr>
      </w:pPr>
    </w:p>
    <w:p w14:paraId="5E0DDF5D" w14:textId="77777777" w:rsidR="004D55F8" w:rsidRPr="00390F7F" w:rsidRDefault="00E162D9">
      <w:pPr>
        <w:spacing w:line="360" w:lineRule="auto"/>
        <w:ind w:right="-93"/>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53EE20D" w14:textId="77777777" w:rsidR="004D55F8" w:rsidRPr="00390F7F" w:rsidRDefault="004D55F8">
      <w:pPr>
        <w:spacing w:line="360" w:lineRule="auto"/>
        <w:jc w:val="both"/>
        <w:rPr>
          <w:rFonts w:ascii="Palatino Linotype" w:eastAsia="Palatino Linotype" w:hAnsi="Palatino Linotype" w:cs="Palatino Linotype"/>
        </w:rPr>
      </w:pPr>
    </w:p>
    <w:p w14:paraId="687302CF"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1F3FA33B" w14:textId="77777777" w:rsidR="004D55F8" w:rsidRPr="00390F7F" w:rsidRDefault="00E162D9">
      <w:pPr>
        <w:spacing w:line="360" w:lineRule="auto"/>
        <w:jc w:val="both"/>
        <w:rPr>
          <w:rFonts w:ascii="Palatino Linotype" w:eastAsia="Palatino Linotype" w:hAnsi="Palatino Linotype" w:cs="Palatino Linotype"/>
          <w:b/>
        </w:rPr>
      </w:pPr>
      <w:r w:rsidRPr="00390F7F">
        <w:rPr>
          <w:rFonts w:ascii="Palatino Linotype" w:eastAsia="Palatino Linotype" w:hAnsi="Palatino Linotype" w:cs="Palatino Linotype"/>
          <w:b/>
        </w:rPr>
        <w:t xml:space="preserve"> </w:t>
      </w:r>
    </w:p>
    <w:p w14:paraId="6765D4B7" w14:textId="77777777" w:rsidR="004D55F8" w:rsidRPr="00390F7F" w:rsidRDefault="00E162D9">
      <w:pPr>
        <w:ind w:left="851" w:right="90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No existe obligación de elaborar documentos ad hoc para atender las solicitudes de acceso a la información.</w:t>
      </w:r>
      <w:r w:rsidRPr="00390F7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89E58DB" w14:textId="77777777" w:rsidR="004D55F8" w:rsidRPr="00390F7F" w:rsidRDefault="00E162D9">
      <w:pPr>
        <w:ind w:left="851" w:right="90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Resoluciones: </w:t>
      </w:r>
    </w:p>
    <w:p w14:paraId="7DC3A45E" w14:textId="77777777" w:rsidR="004D55F8" w:rsidRPr="00390F7F" w:rsidRDefault="00E162D9">
      <w:pPr>
        <w:ind w:left="851" w:right="901"/>
        <w:jc w:val="both"/>
        <w:rPr>
          <w:rFonts w:ascii="Palatino Linotype" w:eastAsia="Palatino Linotype" w:hAnsi="Palatino Linotype" w:cs="Palatino Linotype"/>
          <w:i/>
          <w:sz w:val="22"/>
          <w:szCs w:val="22"/>
        </w:rPr>
      </w:pPr>
      <w:r w:rsidRPr="00390F7F">
        <w:rPr>
          <w:rFonts w:ascii="Noto Sans Symbols" w:eastAsia="Noto Sans Symbols" w:hAnsi="Noto Sans Symbols" w:cs="Noto Sans Symbols"/>
          <w:i/>
          <w:sz w:val="22"/>
          <w:szCs w:val="22"/>
        </w:rPr>
        <w:lastRenderedPageBreak/>
        <w:t>∙</w:t>
      </w:r>
      <w:r w:rsidRPr="00390F7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585B00B" w14:textId="77777777" w:rsidR="004D55F8" w:rsidRPr="00390F7F" w:rsidRDefault="00E162D9">
      <w:pPr>
        <w:ind w:left="851" w:right="901"/>
        <w:jc w:val="both"/>
        <w:rPr>
          <w:rFonts w:ascii="Palatino Linotype" w:eastAsia="Palatino Linotype" w:hAnsi="Palatino Linotype" w:cs="Palatino Linotype"/>
          <w:i/>
          <w:sz w:val="22"/>
          <w:szCs w:val="22"/>
        </w:rPr>
      </w:pPr>
      <w:r w:rsidRPr="00390F7F">
        <w:rPr>
          <w:rFonts w:ascii="Noto Sans Symbols" w:eastAsia="Noto Sans Symbols" w:hAnsi="Noto Sans Symbols" w:cs="Noto Sans Symbols"/>
          <w:i/>
          <w:sz w:val="22"/>
          <w:szCs w:val="22"/>
        </w:rPr>
        <w:t>∙</w:t>
      </w:r>
      <w:r w:rsidRPr="00390F7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4BF869E" w14:textId="77777777" w:rsidR="004D55F8" w:rsidRPr="00390F7F" w:rsidRDefault="00E162D9">
      <w:pPr>
        <w:ind w:left="851" w:right="901"/>
        <w:jc w:val="both"/>
        <w:rPr>
          <w:rFonts w:ascii="Palatino Linotype" w:eastAsia="Palatino Linotype" w:hAnsi="Palatino Linotype" w:cs="Palatino Linotype"/>
          <w:i/>
          <w:sz w:val="22"/>
          <w:szCs w:val="22"/>
        </w:rPr>
      </w:pPr>
      <w:r w:rsidRPr="00390F7F">
        <w:rPr>
          <w:rFonts w:ascii="Noto Sans Symbols" w:eastAsia="Noto Sans Symbols" w:hAnsi="Noto Sans Symbols" w:cs="Noto Sans Symbols"/>
          <w:i/>
          <w:sz w:val="22"/>
          <w:szCs w:val="22"/>
        </w:rPr>
        <w:t>∙</w:t>
      </w:r>
      <w:r w:rsidRPr="00390F7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429C0F19" w14:textId="77777777" w:rsidR="004D55F8" w:rsidRPr="00390F7F" w:rsidRDefault="004D55F8">
      <w:pPr>
        <w:spacing w:line="360" w:lineRule="auto"/>
        <w:jc w:val="both"/>
        <w:rPr>
          <w:rFonts w:ascii="Palatino Linotype" w:eastAsia="Palatino Linotype" w:hAnsi="Palatino Linotype" w:cs="Palatino Linotype"/>
        </w:rPr>
      </w:pPr>
    </w:p>
    <w:p w14:paraId="77FC18A8" w14:textId="77777777" w:rsidR="004D55F8" w:rsidRPr="00390F7F" w:rsidRDefault="00E162D9">
      <w:pPr>
        <w:spacing w:line="360" w:lineRule="auto"/>
        <w:jc w:val="both"/>
        <w:rPr>
          <w:rFonts w:ascii="Palatino Linotype" w:eastAsia="Palatino Linotype" w:hAnsi="Palatino Linotype" w:cs="Palatino Linotype"/>
          <w:strike/>
        </w:rPr>
      </w:pPr>
      <w:r w:rsidRPr="00390F7F">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1D4AD86C" w14:textId="77777777" w:rsidR="004D55F8" w:rsidRPr="00390F7F" w:rsidRDefault="004D55F8">
      <w:pPr>
        <w:spacing w:line="360" w:lineRule="auto"/>
        <w:jc w:val="both"/>
        <w:rPr>
          <w:rFonts w:ascii="Palatino Linotype" w:eastAsia="Palatino Linotype" w:hAnsi="Palatino Linotype" w:cs="Palatino Linotype"/>
        </w:rPr>
      </w:pPr>
    </w:p>
    <w:p w14:paraId="5B5D7695"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9B19AE" w14:textId="77777777" w:rsidR="004D55F8" w:rsidRPr="00390F7F" w:rsidRDefault="004D55F8">
      <w:pPr>
        <w:spacing w:line="360" w:lineRule="auto"/>
        <w:ind w:right="49"/>
        <w:jc w:val="both"/>
        <w:rPr>
          <w:rFonts w:ascii="Palatino Linotype" w:eastAsia="Palatino Linotype" w:hAnsi="Palatino Linotype" w:cs="Palatino Linotype"/>
        </w:rPr>
      </w:pPr>
    </w:p>
    <w:p w14:paraId="78350319"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390F7F">
        <w:rPr>
          <w:rFonts w:ascii="Palatino Linotype" w:eastAsia="Palatino Linotype" w:hAnsi="Palatino Linotype" w:cs="Palatino Linotype"/>
        </w:rPr>
        <w:lastRenderedPageBreak/>
        <w:t xml:space="preserve">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4C4BC96" w14:textId="77777777" w:rsidR="004D55F8" w:rsidRPr="00390F7F" w:rsidRDefault="004D55F8">
      <w:pPr>
        <w:ind w:left="851" w:right="899"/>
        <w:jc w:val="both"/>
        <w:rPr>
          <w:rFonts w:ascii="Palatino Linotype" w:eastAsia="Palatino Linotype" w:hAnsi="Palatino Linotype" w:cs="Palatino Linotype"/>
          <w:i/>
          <w:sz w:val="22"/>
          <w:szCs w:val="22"/>
        </w:rPr>
      </w:pPr>
    </w:p>
    <w:p w14:paraId="2A838C8D" w14:textId="77777777" w:rsidR="004D55F8" w:rsidRPr="00390F7F" w:rsidRDefault="00E162D9">
      <w:pPr>
        <w:ind w:left="851" w:right="89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 xml:space="preserve">Artículo 3. </w:t>
      </w:r>
      <w:r w:rsidRPr="00390F7F">
        <w:rPr>
          <w:rFonts w:ascii="Palatino Linotype" w:eastAsia="Palatino Linotype" w:hAnsi="Palatino Linotype" w:cs="Palatino Linotype"/>
          <w:i/>
          <w:sz w:val="22"/>
          <w:szCs w:val="22"/>
        </w:rPr>
        <w:t>Para los efectos de la presente Ley se entenderá por:</w:t>
      </w:r>
    </w:p>
    <w:p w14:paraId="13B3D0B2" w14:textId="77777777" w:rsidR="004D55F8" w:rsidRPr="00390F7F" w:rsidRDefault="00E162D9">
      <w:pPr>
        <w:ind w:left="851" w:right="89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p>
    <w:p w14:paraId="7459FD79" w14:textId="77777777" w:rsidR="004D55F8" w:rsidRPr="00390F7F" w:rsidRDefault="00E162D9">
      <w:pPr>
        <w:ind w:left="851" w:right="89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XI. Documento:</w:t>
      </w:r>
      <w:r w:rsidRPr="00390F7F">
        <w:rPr>
          <w:rFonts w:ascii="Palatino Linotype" w:eastAsia="Palatino Linotype" w:hAnsi="Palatino Linotype" w:cs="Palatino Linotype"/>
          <w:i/>
          <w:sz w:val="22"/>
          <w:szCs w:val="22"/>
        </w:rPr>
        <w:t xml:space="preserve"> Los expedientes, reportes, estudios, actas</w:t>
      </w:r>
      <w:r w:rsidRPr="00390F7F">
        <w:rPr>
          <w:rFonts w:ascii="Palatino Linotype" w:eastAsia="Palatino Linotype" w:hAnsi="Palatino Linotype" w:cs="Palatino Linotype"/>
          <w:b/>
          <w:i/>
          <w:sz w:val="22"/>
          <w:szCs w:val="22"/>
        </w:rPr>
        <w:t>,</w:t>
      </w:r>
      <w:r w:rsidRPr="00390F7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B5E0FBB" w14:textId="77777777" w:rsidR="004D55F8" w:rsidRPr="00390F7F" w:rsidRDefault="004D55F8">
      <w:pPr>
        <w:ind w:left="851" w:right="899"/>
        <w:jc w:val="both"/>
        <w:rPr>
          <w:rFonts w:ascii="Palatino Linotype" w:eastAsia="Palatino Linotype" w:hAnsi="Palatino Linotype" w:cs="Palatino Linotype"/>
          <w:sz w:val="22"/>
          <w:szCs w:val="22"/>
        </w:rPr>
      </w:pPr>
    </w:p>
    <w:p w14:paraId="228E4DAE"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846D065" w14:textId="77777777" w:rsidR="004D55F8" w:rsidRPr="00390F7F" w:rsidRDefault="004D55F8">
      <w:pPr>
        <w:ind w:left="851" w:right="899"/>
        <w:jc w:val="both"/>
        <w:rPr>
          <w:rFonts w:ascii="Palatino Linotype" w:eastAsia="Palatino Linotype" w:hAnsi="Palatino Linotype" w:cs="Palatino Linotype"/>
        </w:rPr>
      </w:pPr>
    </w:p>
    <w:p w14:paraId="5FB597C5" w14:textId="77777777" w:rsidR="004D55F8" w:rsidRPr="00390F7F" w:rsidRDefault="00E162D9">
      <w:pPr>
        <w:ind w:left="851" w:right="899"/>
        <w:jc w:val="both"/>
        <w:rPr>
          <w:rFonts w:ascii="Palatino Linotype" w:eastAsia="Palatino Linotype" w:hAnsi="Palatino Linotype" w:cs="Palatino Linotype"/>
          <w:b/>
          <w:i/>
          <w:sz w:val="22"/>
          <w:szCs w:val="22"/>
        </w:rPr>
      </w:pPr>
      <w:r w:rsidRPr="00390F7F">
        <w:rPr>
          <w:rFonts w:ascii="Palatino Linotype" w:eastAsia="Palatino Linotype" w:hAnsi="Palatino Linotype" w:cs="Palatino Linotype"/>
          <w:b/>
          <w:sz w:val="22"/>
          <w:szCs w:val="22"/>
        </w:rPr>
        <w:t>“</w:t>
      </w:r>
      <w:r w:rsidRPr="00390F7F">
        <w:rPr>
          <w:rFonts w:ascii="Palatino Linotype" w:eastAsia="Palatino Linotype" w:hAnsi="Palatino Linotype" w:cs="Palatino Linotype"/>
          <w:b/>
          <w:i/>
          <w:sz w:val="22"/>
          <w:szCs w:val="22"/>
        </w:rPr>
        <w:t>CRITERIO 0002-11</w:t>
      </w:r>
    </w:p>
    <w:p w14:paraId="548C3BAE" w14:textId="77777777" w:rsidR="004D55F8" w:rsidRPr="00390F7F" w:rsidRDefault="00E162D9">
      <w:pPr>
        <w:ind w:left="851" w:right="89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90F7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DA5742" w14:textId="77777777" w:rsidR="004D55F8" w:rsidRPr="00390F7F" w:rsidRDefault="00E162D9">
      <w:pPr>
        <w:ind w:left="851" w:right="89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2D5238AC" w14:textId="77777777" w:rsidR="004D55F8" w:rsidRPr="00390F7F" w:rsidRDefault="00E162D9">
      <w:pPr>
        <w:ind w:left="851" w:right="89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654F314" w14:textId="77777777" w:rsidR="004D55F8" w:rsidRPr="00390F7F" w:rsidRDefault="00E162D9">
      <w:pPr>
        <w:ind w:left="851" w:right="899"/>
        <w:jc w:val="both"/>
        <w:rPr>
          <w:rFonts w:ascii="Palatino Linotype" w:eastAsia="Palatino Linotype" w:hAnsi="Palatino Linotype" w:cs="Palatino Linotype"/>
          <w:b/>
          <w:i/>
          <w:sz w:val="22"/>
          <w:szCs w:val="22"/>
        </w:rPr>
      </w:pPr>
      <w:r w:rsidRPr="00390F7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3FE22E1" w14:textId="77777777" w:rsidR="004D55F8" w:rsidRPr="00390F7F" w:rsidRDefault="00E162D9">
      <w:pPr>
        <w:ind w:left="851" w:right="899"/>
        <w:jc w:val="both"/>
        <w:rPr>
          <w:rFonts w:ascii="Palatino Linotype" w:eastAsia="Palatino Linotype" w:hAnsi="Palatino Linotype" w:cs="Palatino Linotype"/>
          <w:b/>
          <w:i/>
          <w:sz w:val="22"/>
          <w:szCs w:val="22"/>
        </w:rPr>
      </w:pPr>
      <w:r w:rsidRPr="00390F7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078CD8B3"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Zinacantepec, lo siguiente:</w:t>
      </w:r>
    </w:p>
    <w:p w14:paraId="4161FF07" w14:textId="77777777" w:rsidR="004D55F8" w:rsidRPr="00390F7F" w:rsidRDefault="00E162D9">
      <w:pPr>
        <w:numPr>
          <w:ilvl w:val="0"/>
          <w:numId w:val="1"/>
        </w:numPr>
        <w:pBdr>
          <w:top w:val="nil"/>
          <w:left w:val="nil"/>
          <w:bottom w:val="nil"/>
          <w:right w:val="nil"/>
          <w:between w:val="nil"/>
        </w:pBdr>
        <w:ind w:right="899"/>
        <w:jc w:val="both"/>
        <w:rPr>
          <w:rFonts w:ascii="Palatino Linotype" w:eastAsia="Palatino Linotype" w:hAnsi="Palatino Linotype" w:cs="Palatino Linotype"/>
        </w:rPr>
      </w:pPr>
      <w:r w:rsidRPr="00390F7F">
        <w:rPr>
          <w:rFonts w:ascii="Palatino Linotype" w:eastAsia="Palatino Linotype" w:hAnsi="Palatino Linotype" w:cs="Palatino Linotype"/>
        </w:rPr>
        <w:t>Las licencias de funcionamiento de todos los locales de Zinacantepec.</w:t>
      </w:r>
    </w:p>
    <w:p w14:paraId="67818BA1"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respuesta, el </w:t>
      </w:r>
      <w:r w:rsidRPr="00390F7F">
        <w:rPr>
          <w:rFonts w:ascii="Palatino Linotype" w:eastAsia="Palatino Linotype" w:hAnsi="Palatino Linotype" w:cs="Palatino Linotype"/>
          <w:b/>
        </w:rPr>
        <w:t xml:space="preserve">SUJETO OBLIGADO, </w:t>
      </w:r>
      <w:r w:rsidRPr="00390F7F">
        <w:rPr>
          <w:rFonts w:ascii="Palatino Linotype" w:eastAsia="Palatino Linotype" w:hAnsi="Palatino Linotype" w:cs="Palatino Linotype"/>
        </w:rPr>
        <w:t>a través de su</w:t>
      </w:r>
      <w:r w:rsidRPr="00390F7F">
        <w:rPr>
          <w:rFonts w:ascii="Palatino Linotype" w:eastAsia="Palatino Linotype" w:hAnsi="Palatino Linotype" w:cs="Palatino Linotype"/>
          <w:b/>
        </w:rPr>
        <w:t xml:space="preserve"> </w:t>
      </w:r>
      <w:r w:rsidRPr="00390F7F">
        <w:rPr>
          <w:rFonts w:ascii="Palatino Linotype" w:eastAsia="Palatino Linotype" w:hAnsi="Palatino Linotype" w:cs="Palatino Linotype"/>
        </w:rPr>
        <w:t>Dirección de Desarrollo Económico informó que respecto de la solicitud de meritó la podrá consultar en la siguiente liga, de los años 2018, 2019, 2020, 2021, 2022 y 2023, como se advierte a continuación:</w:t>
      </w:r>
    </w:p>
    <w:p w14:paraId="6FD68264"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noProof/>
          <w:lang w:val="es-MX"/>
        </w:rPr>
        <w:drawing>
          <wp:inline distT="0" distB="0" distL="0" distR="0" wp14:anchorId="6901C758" wp14:editId="044978DA">
            <wp:extent cx="5165949" cy="2310485"/>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689" t="45575" r="2524" b="28326"/>
                    <a:stretch>
                      <a:fillRect/>
                    </a:stretch>
                  </pic:blipFill>
                  <pic:spPr>
                    <a:xfrm>
                      <a:off x="0" y="0"/>
                      <a:ext cx="5165949" cy="2310485"/>
                    </a:xfrm>
                    <a:prstGeom prst="rect">
                      <a:avLst/>
                    </a:prstGeom>
                    <a:ln/>
                  </pic:spPr>
                </pic:pic>
              </a:graphicData>
            </a:graphic>
          </wp:inline>
        </w:drawing>
      </w:r>
      <w:r w:rsidRPr="00390F7F">
        <w:rPr>
          <w:rFonts w:ascii="Palatino Linotype" w:eastAsia="Palatino Linotype" w:hAnsi="Palatino Linotype" w:cs="Palatino Linotype"/>
        </w:rPr>
        <w:t xml:space="preserve"> </w:t>
      </w:r>
    </w:p>
    <w:p w14:paraId="13552D8B" w14:textId="77777777" w:rsidR="004D55F8" w:rsidRPr="00390F7F" w:rsidRDefault="00E162D9">
      <w:pPr>
        <w:spacing w:before="240" w:after="240"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 xml:space="preserve">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al presentar el recurso de revisión que nos ocupa, se inconformó porque liga no manda a ningún lado, dije licencias no ligas de IPOMEX.</w:t>
      </w:r>
    </w:p>
    <w:p w14:paraId="45C0E0AC" w14:textId="77777777" w:rsidR="004D55F8" w:rsidRPr="00390F7F" w:rsidRDefault="00E162D9">
      <w:pPr>
        <w:spacing w:before="240" w:after="240"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Ante la interposición del recurso de revisión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fue omiso en rendir su informe justificado. </w:t>
      </w:r>
    </w:p>
    <w:p w14:paraId="137802A6"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siete de julio del año dos mil veintitrés. </w:t>
      </w:r>
    </w:p>
    <w:p w14:paraId="7E0A5DD0" w14:textId="77777777" w:rsidR="004D55F8" w:rsidRPr="00390F7F" w:rsidRDefault="004D55F8">
      <w:pPr>
        <w:spacing w:line="360" w:lineRule="auto"/>
        <w:jc w:val="both"/>
        <w:rPr>
          <w:rFonts w:ascii="Palatino Linotype" w:eastAsia="Palatino Linotype" w:hAnsi="Palatino Linotype" w:cs="Palatino Linotype"/>
        </w:rPr>
      </w:pPr>
    </w:p>
    <w:p w14:paraId="6EBDE7A6"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Determinado lo anterior, sobre la naturaleza de la información solicitada, el Bando Municipal de Zinacantepec establece que para el despacho de sus asuntos,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se auxiliará de dependencias, organismos públicos descentralizados, desconcentrados y autónomos de la administración pública municipal; cabe señalar, que entre las dependencias se encuentra la Dirección de Desarrollo Económico, quien de acuerdo al mismo ordenamiento legal,  artículo 95, refiere que es la dependencia responsable, de regular y fomentar el desarrollo económico sustentable en el Municipio, de promover e impulsar el fortalecimiento para el desarrollo de la competitividad mediante la generación de más y mejores </w:t>
      </w:r>
      <w:r w:rsidRPr="00390F7F">
        <w:rPr>
          <w:rFonts w:ascii="Palatino Linotype" w:eastAsia="Palatino Linotype" w:hAnsi="Palatino Linotype" w:cs="Palatino Linotype"/>
        </w:rPr>
        <w:lastRenderedPageBreak/>
        <w:t>empleos, así como apoyar al sector turístico, agropecuario y forestal. Asimismo, el artículo 96 del Bando Municipal, establece que impulsara las siguientes acciones:</w:t>
      </w:r>
    </w:p>
    <w:p w14:paraId="066CCB83" w14:textId="77777777" w:rsidR="004D55F8" w:rsidRPr="00390F7F" w:rsidRDefault="004D55F8">
      <w:pPr>
        <w:spacing w:line="360" w:lineRule="auto"/>
        <w:ind w:right="49"/>
        <w:jc w:val="both"/>
        <w:rPr>
          <w:rFonts w:ascii="Palatino Linotype" w:eastAsia="Palatino Linotype" w:hAnsi="Palatino Linotype" w:cs="Palatino Linotype"/>
        </w:rPr>
      </w:pPr>
    </w:p>
    <w:p w14:paraId="16C80BFA" w14:textId="77777777" w:rsidR="004D55F8" w:rsidRPr="00390F7F" w:rsidRDefault="00E162D9">
      <w:pPr>
        <w:pBdr>
          <w:top w:val="nil"/>
          <w:left w:val="nil"/>
          <w:bottom w:val="nil"/>
          <w:right w:val="nil"/>
          <w:between w:val="nil"/>
        </w:pBdr>
        <w:spacing w:before="24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 Participar en la planeación y ejecución de acciones coordinadas, con entidades federales y estatales, en las materias de: empleo y desarrollo sustentable, conforme a las leyes aplicables. </w:t>
      </w:r>
    </w:p>
    <w:p w14:paraId="13802FD1"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II. Fomentar, fortalecer, promover y dirigir, a través de su estructura orgánica, la actividad agropecuaria, acuícola, forestal, industrial, comercial, turística, cultural, artesanal y de prestación de servicios, que realizan los particulares, de conformidad con la normatividad aplicable. </w:t>
      </w:r>
    </w:p>
    <w:p w14:paraId="37B72F08"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III. Vigilar que el desarrollo económico y social del municipio sea armónico, para que beneficie en forma equitativa, a las diferentes regiones del mismo, evaluando periódicamente los resultados obtenidos, en términos simples y comprensibles. </w:t>
      </w:r>
    </w:p>
    <w:p w14:paraId="09941209"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IV. Impulsar y ejecutar programas y acciones, orientadas a fomentar el desarrollo regional de las zonas rurales y forestales, con el propósito de fortalecer las economías locales y mejorar las condiciones de vida de sus pueblos, mediante acciones coordinadas entre los tres órdenes de gobierno y con la participación de las comunidades.</w:t>
      </w:r>
    </w:p>
    <w:p w14:paraId="1084ABBA"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 Fomentar el fortalecimiento y ampliación de la red de abasto social del municipio. </w:t>
      </w:r>
    </w:p>
    <w:p w14:paraId="4CBCCAD9"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VI. Fomentar la creación de cadenas productivas entre micro, pequeñas y medianas empresas, con las grandes empresas. </w:t>
      </w:r>
    </w:p>
    <w:p w14:paraId="01BEBD3A"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VII. Promover el desarrollo de proyectos productivos en diversas comunidades municipales, para el fomento del empleo y autoempleo en estas zonas. </w:t>
      </w:r>
    </w:p>
    <w:p w14:paraId="0D6E1E1C"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VIII. Promover y difundir las ferias, exposiciones y foros regionales para impulsar la economía municipal. </w:t>
      </w:r>
    </w:p>
    <w:p w14:paraId="5485C8F4"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IX. Promover la creación y mantenimiento de zonas comerciales y de servicios, aprovechando las reservas territoriales. </w:t>
      </w:r>
    </w:p>
    <w:p w14:paraId="2B7B0CA3"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X. Brindar apoyo a las organizaciones de comerciantes, artesanos, empresarios, prestadores de servicios, transportistas, agropecuarios, ejidatarios, tianguistas y demás que existan en el Municipio. </w:t>
      </w:r>
    </w:p>
    <w:p w14:paraId="2AA09472" w14:textId="77777777" w:rsidR="004D55F8" w:rsidRPr="00390F7F" w:rsidRDefault="00E162D9">
      <w:pPr>
        <w:pBdr>
          <w:top w:val="nil"/>
          <w:left w:val="nil"/>
          <w:bottom w:val="nil"/>
          <w:right w:val="nil"/>
          <w:between w:val="nil"/>
        </w:pBdr>
        <w:spacing w:after="24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XI. Promover la operación de la ventanilla única de gestión, con la finalidad de dar cumplimiento al sistema único de gestión empresarial en los términos que establece la normatividad.”(Sic)</w:t>
      </w:r>
    </w:p>
    <w:p w14:paraId="6D6B9AF9" w14:textId="77777777" w:rsidR="004D55F8" w:rsidRPr="00390F7F" w:rsidRDefault="004D55F8">
      <w:pPr>
        <w:spacing w:line="360" w:lineRule="auto"/>
        <w:ind w:right="49"/>
        <w:jc w:val="both"/>
        <w:rPr>
          <w:rFonts w:ascii="Palatino Linotype" w:eastAsia="Palatino Linotype" w:hAnsi="Palatino Linotype" w:cs="Palatino Linotype"/>
        </w:rPr>
      </w:pPr>
    </w:p>
    <w:p w14:paraId="54254030"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Además, el artículo 112 del Bando Municipal del Ayuntamiento de Zinacantepec para el año 2023, establece lo siguiente:</w:t>
      </w:r>
    </w:p>
    <w:p w14:paraId="341C437C" w14:textId="77777777" w:rsidR="004D55F8" w:rsidRPr="00390F7F" w:rsidRDefault="00E162D9">
      <w:pPr>
        <w:pBdr>
          <w:top w:val="nil"/>
          <w:left w:val="nil"/>
          <w:bottom w:val="nil"/>
          <w:right w:val="nil"/>
          <w:between w:val="nil"/>
        </w:pBdr>
        <w:spacing w:before="24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“CAPITULO II </w:t>
      </w:r>
    </w:p>
    <w:p w14:paraId="3B55C1EA"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DE LAS LICENCIAS, PERMISOS Y AUTORIZACIONES</w:t>
      </w:r>
    </w:p>
    <w:p w14:paraId="63FD0DFD"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Artículo 112. Toda actividad económica que realicen las personas físicas o jurídico colectivas podrán ejercerla si cuentan con la Licencia de Funcionamiento, Permiso Municipal o Autorización, expedidas por la Dirección de Desarrollo Económico, previo cumplimiento de requisitos de acuerdo a la normatividad establecida en la materia. A través de la Dirección de Desarrollo Económico, se tramitará la licencia de funcionamiento, permiso municipal o autorización para las actividades y/o unidades económicas: </w:t>
      </w:r>
    </w:p>
    <w:p w14:paraId="7E0E96E5"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 Expedición o refrendo anual de permisos sobre anuncios publicitarios. </w:t>
      </w:r>
    </w:p>
    <w:p w14:paraId="10BFD64A"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 La expedición o refrendo anual de permisos sobre diversiones, juegos y espectáculos públicos.</w:t>
      </w:r>
    </w:p>
    <w:p w14:paraId="2A8C9B8B"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III. La expedición o refrendo anual de permisos por uso de vías y áreas públicas para el ejercicio de actividades comerciales y de servicios. </w:t>
      </w:r>
    </w:p>
    <w:p w14:paraId="6F37E1FC"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IV. La expedición o refrendo anual de licencia de funcionamiento o autorización de estacionamiento en la vía pública y de servicio público. </w:t>
      </w:r>
    </w:p>
    <w:p w14:paraId="4DE56D1E"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 La expedición o refrendo anual de licencia de funcionamiento para la venta de bebidas alcohólicas al público. </w:t>
      </w:r>
    </w:p>
    <w:p w14:paraId="7597F961"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VI. La expedición o refrendo anual de licencia de funcionamiento para unidades económicas. </w:t>
      </w:r>
    </w:p>
    <w:p w14:paraId="6246E424"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VII. La expedición o refrendo anual de licencia de funcionamiento para actividades de bajo impacto por medio del SARE (Sistema de apertura rápida de empresas). </w:t>
      </w:r>
    </w:p>
    <w:p w14:paraId="54AB141D" w14:textId="77777777" w:rsidR="004D55F8" w:rsidRPr="00390F7F" w:rsidRDefault="00E162D9">
      <w:pPr>
        <w:pBdr>
          <w:top w:val="nil"/>
          <w:left w:val="nil"/>
          <w:bottom w:val="nil"/>
          <w:right w:val="nil"/>
          <w:between w:val="nil"/>
        </w:pBdr>
        <w:spacing w:after="24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VIII. La expedición o refrendo anual de licencia de funcionamiento para Proyectos de Inversión que requieran de Dictamen de Impacto Estatal, expedidos por el Gobierno Estatal y Dictamen de giro expedido por el Comité Municipal de Dictamen de Giro.” (Sic)</w:t>
      </w:r>
    </w:p>
    <w:p w14:paraId="422F90F9" w14:textId="77777777" w:rsidR="004D55F8" w:rsidRPr="00390F7F" w:rsidRDefault="004D55F8">
      <w:pPr>
        <w:spacing w:line="360" w:lineRule="auto"/>
        <w:ind w:left="851" w:right="822"/>
        <w:jc w:val="both"/>
        <w:rPr>
          <w:rFonts w:ascii="Palatino Linotype" w:eastAsia="Palatino Linotype" w:hAnsi="Palatino Linotype" w:cs="Palatino Linotype"/>
          <w:i/>
          <w:sz w:val="22"/>
          <w:szCs w:val="22"/>
        </w:rPr>
      </w:pPr>
    </w:p>
    <w:p w14:paraId="35D984A3"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Como se advierte del precepto legal señalado, la Dirección de Desarrollo Económico es la encargada de expedir las licencias de funcionamiento derivado de las actividades económicas realizadas por las personas físicas o jurídicas colectivas. </w:t>
      </w:r>
    </w:p>
    <w:p w14:paraId="74C2356E" w14:textId="77777777" w:rsidR="004D55F8" w:rsidRPr="00390F7F" w:rsidRDefault="004D55F8">
      <w:pPr>
        <w:spacing w:line="360" w:lineRule="auto"/>
        <w:ind w:right="49"/>
        <w:jc w:val="both"/>
        <w:rPr>
          <w:rFonts w:ascii="Palatino Linotype" w:eastAsia="Palatino Linotype" w:hAnsi="Palatino Linotype" w:cs="Palatino Linotype"/>
        </w:rPr>
      </w:pPr>
    </w:p>
    <w:p w14:paraId="5988C375"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Robustece lo anterior, lo establecido en el artículo 65 del Reglamento Orgánico Municipal de Zinacantepec 2022-2024 y el numeral 1.8 del Manual General de Organización de la Administración Pública Municipal 2022-2024 que establecen:</w:t>
      </w:r>
    </w:p>
    <w:p w14:paraId="6EBF3B24" w14:textId="77777777" w:rsidR="004D55F8" w:rsidRPr="00390F7F" w:rsidRDefault="004D55F8">
      <w:pPr>
        <w:spacing w:line="360" w:lineRule="auto"/>
        <w:ind w:right="49"/>
        <w:jc w:val="both"/>
        <w:rPr>
          <w:rFonts w:ascii="Palatino Linotype" w:eastAsia="Palatino Linotype" w:hAnsi="Palatino Linotype" w:cs="Palatino Linotype"/>
        </w:rPr>
      </w:pPr>
    </w:p>
    <w:p w14:paraId="394CB38A" w14:textId="77777777" w:rsidR="004D55F8" w:rsidRPr="00390F7F" w:rsidRDefault="00E162D9">
      <w:pPr>
        <w:pBdr>
          <w:top w:val="nil"/>
          <w:left w:val="nil"/>
          <w:bottom w:val="nil"/>
          <w:right w:val="nil"/>
          <w:between w:val="nil"/>
        </w:pBdr>
        <w:spacing w:before="24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“Artículo 65. Además de las previstas en las disposiciones normativas y administrativas en la materia, la Dirección de Desarrollo Económico tiene las siguientes funciones y atribuciones:</w:t>
      </w:r>
    </w:p>
    <w:p w14:paraId="4E90787E"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p>
    <w:p w14:paraId="176B5EEE"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XV. Autorizar el otorgamiento de permisos o licencias de funcionamiento.</w:t>
      </w:r>
    </w:p>
    <w:p w14:paraId="0D258C2F"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p>
    <w:p w14:paraId="747F91A1" w14:textId="77777777" w:rsidR="004D55F8" w:rsidRPr="00390F7F" w:rsidRDefault="004D55F8">
      <w:pPr>
        <w:pBdr>
          <w:top w:val="nil"/>
          <w:left w:val="nil"/>
          <w:bottom w:val="nil"/>
          <w:right w:val="nil"/>
          <w:between w:val="nil"/>
        </w:pBdr>
        <w:ind w:left="851" w:right="902"/>
        <w:jc w:val="both"/>
        <w:rPr>
          <w:rFonts w:ascii="Palatino Linotype" w:eastAsia="Palatino Linotype" w:hAnsi="Palatino Linotype" w:cs="Palatino Linotype"/>
          <w:i/>
          <w:sz w:val="22"/>
          <w:szCs w:val="22"/>
        </w:rPr>
      </w:pPr>
    </w:p>
    <w:p w14:paraId="5D02D448"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“1.8.- DIRECCIÓN DE DESARROLLO ECONÓMICO.-</w:t>
      </w:r>
    </w:p>
    <w:p w14:paraId="5096C5AB" w14:textId="77777777" w:rsidR="004D55F8" w:rsidRPr="00390F7F" w:rsidRDefault="00E162D9">
      <w:pPr>
        <w:pBdr>
          <w:top w:val="nil"/>
          <w:left w:val="nil"/>
          <w:bottom w:val="nil"/>
          <w:right w:val="nil"/>
          <w:between w:val="nil"/>
        </w:pBdr>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p>
    <w:p w14:paraId="432A0018" w14:textId="77777777" w:rsidR="004D55F8" w:rsidRPr="00390F7F" w:rsidRDefault="00E162D9">
      <w:pPr>
        <w:pBdr>
          <w:top w:val="nil"/>
          <w:left w:val="nil"/>
          <w:bottom w:val="nil"/>
          <w:right w:val="nil"/>
          <w:between w:val="nil"/>
        </w:pBdr>
        <w:spacing w:after="240"/>
        <w:ind w:left="851" w:right="902"/>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Autorizar la expedición de licencias de funcionamiento y permisos municipales del sector industria, comercio, prestadores de servicio y anuncios publicitarios…” (Sic)</w:t>
      </w:r>
    </w:p>
    <w:p w14:paraId="3D5283CB"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Máxime que se trata de una obligación de transparencia por así determinarlo el artículo 92 fracción XXXII, de la Ley de la Materia, que señala:</w:t>
      </w:r>
    </w:p>
    <w:p w14:paraId="2196CBE1" w14:textId="77777777" w:rsidR="004D55F8" w:rsidRPr="00390F7F" w:rsidRDefault="004D55F8">
      <w:pPr>
        <w:spacing w:after="120" w:line="360" w:lineRule="auto"/>
        <w:jc w:val="both"/>
        <w:rPr>
          <w:rFonts w:ascii="Palatino Linotype" w:eastAsia="Palatino Linotype" w:hAnsi="Palatino Linotype" w:cs="Palatino Linotype"/>
        </w:rPr>
      </w:pPr>
    </w:p>
    <w:p w14:paraId="31183501" w14:textId="77777777" w:rsidR="004D55F8" w:rsidRPr="00390F7F" w:rsidRDefault="00E162D9">
      <w:pPr>
        <w:spacing w:before="120" w:after="240" w:line="276" w:lineRule="auto"/>
        <w:ind w:left="567" w:right="567"/>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“Artículo 92. </w:t>
      </w:r>
      <w:r w:rsidRPr="00390F7F">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Pr="00390F7F">
        <w:rPr>
          <w:rFonts w:ascii="Palatino Linotype" w:eastAsia="Palatino Linotype" w:hAnsi="Palatino Linotype" w:cs="Palatino Linotype"/>
          <w:i/>
          <w:sz w:val="22"/>
          <w:szCs w:val="22"/>
        </w:rPr>
        <w:t xml:space="preserve">, de los temas, </w:t>
      </w:r>
      <w:r w:rsidRPr="00390F7F">
        <w:rPr>
          <w:rFonts w:ascii="Palatino Linotype" w:eastAsia="Palatino Linotype" w:hAnsi="Palatino Linotype" w:cs="Palatino Linotype"/>
          <w:b/>
          <w:i/>
          <w:sz w:val="22"/>
          <w:szCs w:val="22"/>
        </w:rPr>
        <w:t>documentos</w:t>
      </w:r>
      <w:r w:rsidRPr="00390F7F">
        <w:rPr>
          <w:rFonts w:ascii="Palatino Linotype" w:eastAsia="Palatino Linotype" w:hAnsi="Palatino Linotype" w:cs="Palatino Linotype"/>
          <w:i/>
          <w:sz w:val="22"/>
          <w:szCs w:val="22"/>
        </w:rPr>
        <w:t xml:space="preserve"> y políticas </w:t>
      </w:r>
      <w:r w:rsidRPr="00390F7F">
        <w:rPr>
          <w:rFonts w:ascii="Palatino Linotype" w:eastAsia="Palatino Linotype" w:hAnsi="Palatino Linotype" w:cs="Palatino Linotype"/>
          <w:b/>
          <w:i/>
          <w:sz w:val="22"/>
          <w:szCs w:val="22"/>
        </w:rPr>
        <w:t>que a continuación se señalan</w:t>
      </w:r>
      <w:r w:rsidRPr="00390F7F">
        <w:rPr>
          <w:rFonts w:ascii="Palatino Linotype" w:eastAsia="Palatino Linotype" w:hAnsi="Palatino Linotype" w:cs="Palatino Linotype"/>
          <w:i/>
          <w:sz w:val="22"/>
          <w:szCs w:val="22"/>
        </w:rPr>
        <w:t>:</w:t>
      </w:r>
    </w:p>
    <w:p w14:paraId="08B63F08" w14:textId="77777777" w:rsidR="004D55F8" w:rsidRPr="00390F7F" w:rsidRDefault="00E162D9">
      <w:pPr>
        <w:spacing w:before="240" w:after="240" w:line="276" w:lineRule="auto"/>
        <w:ind w:left="567" w:right="567"/>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XXXII. Las</w:t>
      </w:r>
      <w:r w:rsidRPr="00390F7F">
        <w:rPr>
          <w:rFonts w:ascii="Palatino Linotype" w:eastAsia="Palatino Linotype" w:hAnsi="Palatino Linotype" w:cs="Palatino Linotype"/>
          <w:i/>
          <w:sz w:val="22"/>
          <w:szCs w:val="22"/>
        </w:rPr>
        <w:t xml:space="preserve"> concesiones, contratos, convenios, permisos</w:t>
      </w:r>
      <w:r w:rsidRPr="00390F7F">
        <w:rPr>
          <w:rFonts w:ascii="Palatino Linotype" w:eastAsia="Palatino Linotype" w:hAnsi="Palatino Linotype" w:cs="Palatino Linotype"/>
          <w:b/>
          <w:i/>
          <w:sz w:val="22"/>
          <w:szCs w:val="22"/>
        </w:rPr>
        <w:t>,</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rPr>
        <w:t>licencias</w:t>
      </w:r>
      <w:r w:rsidRPr="00390F7F">
        <w:rPr>
          <w:rFonts w:ascii="Palatino Linotype" w:eastAsia="Palatino Linotype" w:hAnsi="Palatino Linotype" w:cs="Palatino Linotype"/>
          <w:i/>
          <w:sz w:val="22"/>
          <w:szCs w:val="22"/>
        </w:rPr>
        <w:t xml:space="preserve"> o autorizaciones</w:t>
      </w:r>
      <w:r w:rsidRPr="00390F7F">
        <w:rPr>
          <w:rFonts w:ascii="Palatino Linotype" w:eastAsia="Palatino Linotype" w:hAnsi="Palatino Linotype" w:cs="Palatino Linotype"/>
          <w:b/>
          <w:i/>
          <w:sz w:val="22"/>
          <w:szCs w:val="22"/>
        </w:rPr>
        <w:t xml:space="preserve"> otorgados,</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rPr>
        <w:t>especificando los titulares de aquéllos, debiendo publicarse su objeto, nombre o razón social del titular, vigencia, tipo, términos, condiciones, monto y modificaciones</w:t>
      </w: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 xml:space="preserve"> así como si el procedimiento involucra el aprovechamiento de bienes, servicios y/o recursos públicos</w:t>
      </w:r>
      <w:r w:rsidRPr="00390F7F">
        <w:rPr>
          <w:rFonts w:ascii="Palatino Linotype" w:eastAsia="Palatino Linotype" w:hAnsi="Palatino Linotype" w:cs="Palatino Linotype"/>
          <w:i/>
          <w:sz w:val="22"/>
          <w:szCs w:val="22"/>
        </w:rPr>
        <w:t>…” (Sic)</w:t>
      </w:r>
    </w:p>
    <w:p w14:paraId="529CDD50" w14:textId="77777777" w:rsidR="004D55F8" w:rsidRPr="00390F7F" w:rsidRDefault="00E162D9">
      <w:pPr>
        <w:spacing w:line="360" w:lineRule="auto"/>
        <w:jc w:val="both"/>
      </w:pPr>
      <w:r w:rsidRPr="00390F7F">
        <w:rPr>
          <w:rFonts w:ascii="Palatino Linotype" w:eastAsia="Palatino Linotype" w:hAnsi="Palatino Linotype" w:cs="Palatino Linotype"/>
        </w:rPr>
        <w:lastRenderedPageBreak/>
        <w:t>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al respecto:</w:t>
      </w:r>
      <w:r w:rsidRPr="00390F7F">
        <w:rPr>
          <w:noProof/>
          <w:lang w:val="es-MX"/>
        </w:rPr>
        <mc:AlternateContent>
          <mc:Choice Requires="wpg">
            <w:drawing>
              <wp:anchor distT="0" distB="0" distL="114300" distR="114300" simplePos="0" relativeHeight="251659264" behindDoc="0" locked="0" layoutInCell="1" hidden="0" allowOverlap="1" wp14:anchorId="11ADFCAB" wp14:editId="5AC2EBCF">
                <wp:simplePos x="0" y="0"/>
                <wp:positionH relativeFrom="column">
                  <wp:posOffset>139700</wp:posOffset>
                </wp:positionH>
                <wp:positionV relativeFrom="paragraph">
                  <wp:posOffset>1828800</wp:posOffset>
                </wp:positionV>
                <wp:extent cx="5231310" cy="3643731"/>
                <wp:effectExtent l="0" t="0" r="0" b="0"/>
                <wp:wrapNone/>
                <wp:docPr id="61" name="Conector recto de flecha 61"/>
                <wp:cNvGraphicFramePr/>
                <a:graphic xmlns:a="http://schemas.openxmlformats.org/drawingml/2006/main">
                  <a:graphicData uri="http://schemas.microsoft.com/office/word/2010/wordprocessingShape">
                    <wps:wsp>
                      <wps:cNvCnPr/>
                      <wps:spPr>
                        <a:xfrm>
                          <a:off x="2743045" y="1970835"/>
                          <a:ext cx="5205910" cy="3618331"/>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1828800</wp:posOffset>
                </wp:positionV>
                <wp:extent cx="5231310" cy="3643731"/>
                <wp:effectExtent b="0" l="0" r="0" t="0"/>
                <wp:wrapNone/>
                <wp:docPr id="61"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231310" cy="3643731"/>
                        </a:xfrm>
                        <a:prstGeom prst="rect"/>
                        <a:ln/>
                      </pic:spPr>
                    </pic:pic>
                  </a:graphicData>
                </a:graphic>
              </wp:anchor>
            </w:drawing>
          </mc:Fallback>
        </mc:AlternateContent>
      </w:r>
    </w:p>
    <w:p w14:paraId="66E323DF" w14:textId="77777777" w:rsidR="004D55F8" w:rsidRPr="00390F7F" w:rsidRDefault="00E162D9">
      <w:pPr>
        <w:spacing w:line="360" w:lineRule="auto"/>
        <w:jc w:val="both"/>
        <w:rPr>
          <w:rFonts w:ascii="Palatino Linotype" w:eastAsia="Palatino Linotype" w:hAnsi="Palatino Linotype" w:cs="Palatino Linotype"/>
          <w:b/>
          <w:u w:val="single"/>
        </w:rPr>
      </w:pPr>
      <w:r w:rsidRPr="00390F7F">
        <w:rPr>
          <w:noProof/>
          <w:lang w:val="es-MX"/>
        </w:rPr>
        <w:lastRenderedPageBreak/>
        <w:drawing>
          <wp:inline distT="0" distB="0" distL="0" distR="0" wp14:anchorId="02DD4D2E" wp14:editId="7EE67D2D">
            <wp:extent cx="5385817" cy="7285667"/>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41699" t="17930" r="26691" b="12690"/>
                    <a:stretch>
                      <a:fillRect/>
                    </a:stretch>
                  </pic:blipFill>
                  <pic:spPr>
                    <a:xfrm>
                      <a:off x="0" y="0"/>
                      <a:ext cx="5385817" cy="7285667"/>
                    </a:xfrm>
                    <a:prstGeom prst="rect">
                      <a:avLst/>
                    </a:prstGeom>
                    <a:ln/>
                  </pic:spPr>
                </pic:pic>
              </a:graphicData>
            </a:graphic>
          </wp:inline>
        </w:drawing>
      </w:r>
    </w:p>
    <w:p w14:paraId="32E40BBD" w14:textId="77777777" w:rsidR="004D55F8" w:rsidRPr="00390F7F" w:rsidRDefault="00E162D9">
      <w:pPr>
        <w:spacing w:line="360" w:lineRule="auto"/>
        <w:jc w:val="both"/>
        <w:rPr>
          <w:rFonts w:ascii="Palatino Linotype" w:eastAsia="Palatino Linotype" w:hAnsi="Palatino Linotype" w:cs="Palatino Linotype"/>
        </w:rPr>
      </w:pPr>
      <w:r w:rsidRPr="00390F7F">
        <w:rPr>
          <w:noProof/>
          <w:lang w:val="es-MX"/>
        </w:rPr>
        <w:lastRenderedPageBreak/>
        <w:drawing>
          <wp:inline distT="0" distB="0" distL="0" distR="0" wp14:anchorId="6B5D32A4" wp14:editId="716CA1C1">
            <wp:extent cx="5534948" cy="3766542"/>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37480" t="25952" r="25604" b="10857"/>
                    <a:stretch>
                      <a:fillRect/>
                    </a:stretch>
                  </pic:blipFill>
                  <pic:spPr>
                    <a:xfrm>
                      <a:off x="0" y="0"/>
                      <a:ext cx="5534948" cy="3766542"/>
                    </a:xfrm>
                    <a:prstGeom prst="rect">
                      <a:avLst/>
                    </a:prstGeom>
                    <a:ln/>
                  </pic:spPr>
                </pic:pic>
              </a:graphicData>
            </a:graphic>
          </wp:inline>
        </w:drawing>
      </w:r>
    </w:p>
    <w:p w14:paraId="71A31073" w14:textId="77777777" w:rsidR="004D55F8" w:rsidRPr="00390F7F" w:rsidRDefault="004D55F8">
      <w:pPr>
        <w:spacing w:line="360" w:lineRule="auto"/>
        <w:ind w:right="49"/>
        <w:jc w:val="both"/>
        <w:rPr>
          <w:rFonts w:ascii="Palatino Linotype" w:eastAsia="Palatino Linotype" w:hAnsi="Palatino Linotype" w:cs="Palatino Linotype"/>
        </w:rPr>
      </w:pPr>
    </w:p>
    <w:p w14:paraId="17BAEDDC"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Precisado lo anterior, se advierte que respecto a la solicitud de información </w:t>
      </w:r>
      <w:proofErr w:type="spellStart"/>
      <w:r w:rsidRPr="00390F7F">
        <w:rPr>
          <w:rFonts w:ascii="Palatino Linotype" w:eastAsia="Palatino Linotype" w:hAnsi="Palatino Linotype" w:cs="Palatino Linotype"/>
        </w:rPr>
        <w:t>la</w:t>
      </w:r>
      <w:proofErr w:type="spellEnd"/>
      <w:r w:rsidRPr="00390F7F">
        <w:rPr>
          <w:rFonts w:ascii="Palatino Linotype" w:eastAsia="Palatino Linotype" w:hAnsi="Palatino Linotype" w:cs="Palatino Linotype"/>
        </w:rPr>
        <w:t xml:space="preserve"> </w:t>
      </w:r>
      <w:proofErr w:type="spellStart"/>
      <w:r w:rsidRPr="00390F7F">
        <w:rPr>
          <w:rFonts w:ascii="Palatino Linotype" w:eastAsia="Palatino Linotype" w:hAnsi="Palatino Linotype" w:cs="Palatino Linotype"/>
        </w:rPr>
        <w:t>la</w:t>
      </w:r>
      <w:proofErr w:type="spellEnd"/>
      <w:r w:rsidRPr="00390F7F">
        <w:rPr>
          <w:rFonts w:ascii="Palatino Linotype" w:eastAsia="Palatino Linotype" w:hAnsi="Palatino Linotype" w:cs="Palatino Linotype"/>
        </w:rPr>
        <w:t xml:space="preserve"> Dirección de Desarrollo Económico del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se concretó a señalar que podría consultar la información de los años 2018, 2019, 2020, 2021, 2022 y 2023, en la siguiente liga electrónica:</w:t>
      </w:r>
    </w:p>
    <w:p w14:paraId="7943E1EB" w14:textId="77777777" w:rsidR="004D55F8" w:rsidRPr="00390F7F" w:rsidRDefault="004D55F8">
      <w:pPr>
        <w:spacing w:line="360" w:lineRule="auto"/>
        <w:ind w:right="49"/>
        <w:jc w:val="both"/>
        <w:rPr>
          <w:rFonts w:ascii="Palatino Linotype" w:eastAsia="Palatino Linotype" w:hAnsi="Palatino Linotype" w:cs="Palatino Linotype"/>
        </w:rPr>
      </w:pPr>
    </w:p>
    <w:p w14:paraId="3C3EDBC6"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noProof/>
          <w:lang w:val="es-MX"/>
        </w:rPr>
        <w:lastRenderedPageBreak/>
        <w:drawing>
          <wp:inline distT="0" distB="0" distL="0" distR="0" wp14:anchorId="6F8663C5" wp14:editId="11AE63BF">
            <wp:extent cx="5256807" cy="2042443"/>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664" t="45429" r="1319" b="28107"/>
                    <a:stretch>
                      <a:fillRect/>
                    </a:stretch>
                  </pic:blipFill>
                  <pic:spPr>
                    <a:xfrm>
                      <a:off x="0" y="0"/>
                      <a:ext cx="5256807" cy="2042443"/>
                    </a:xfrm>
                    <a:prstGeom prst="rect">
                      <a:avLst/>
                    </a:prstGeom>
                    <a:ln/>
                  </pic:spPr>
                </pic:pic>
              </a:graphicData>
            </a:graphic>
          </wp:inline>
        </w:drawing>
      </w:r>
    </w:p>
    <w:p w14:paraId="528207E1"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Por lo que respecta a la liga electrónica proporcionada por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se procedió a acceder a ella, arrojando la siguiente información:</w:t>
      </w:r>
    </w:p>
    <w:p w14:paraId="6175317B" w14:textId="77777777" w:rsidR="004D55F8" w:rsidRPr="00390F7F" w:rsidRDefault="00E162D9">
      <w:pPr>
        <w:spacing w:line="360" w:lineRule="auto"/>
        <w:jc w:val="both"/>
      </w:pPr>
      <w:r w:rsidRPr="00390F7F">
        <w:rPr>
          <w:noProof/>
          <w:lang w:val="es-MX"/>
        </w:rPr>
        <w:drawing>
          <wp:inline distT="0" distB="0" distL="0" distR="0" wp14:anchorId="6A354E81" wp14:editId="1A11ACF1">
            <wp:extent cx="5612130" cy="3314700"/>
            <wp:effectExtent l="0" t="0" r="0" b="0"/>
            <wp:docPr id="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3314700"/>
                    </a:xfrm>
                    <a:prstGeom prst="rect">
                      <a:avLst/>
                    </a:prstGeom>
                    <a:ln/>
                  </pic:spPr>
                </pic:pic>
              </a:graphicData>
            </a:graphic>
          </wp:inline>
        </w:drawing>
      </w:r>
    </w:p>
    <w:p w14:paraId="67F8275A" w14:textId="77777777" w:rsidR="004D55F8" w:rsidRPr="00390F7F" w:rsidRDefault="004D55F8">
      <w:pPr>
        <w:spacing w:line="360" w:lineRule="auto"/>
        <w:jc w:val="both"/>
      </w:pPr>
    </w:p>
    <w:p w14:paraId="360AA893"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La cual corresponde a las concesiones, contratos, convenios, permisos licencias o autorizaciones otorgados por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en los años 2021 al 2023, pero estos registros corresponden a concesiones, contratos, convenios, permisos, licencias </w:t>
      </w:r>
      <w:r w:rsidRPr="00390F7F">
        <w:rPr>
          <w:rFonts w:ascii="Palatino Linotype" w:eastAsia="Palatino Linotype" w:hAnsi="Palatino Linotype" w:cs="Palatino Linotype"/>
        </w:rPr>
        <w:lastRenderedPageBreak/>
        <w:t xml:space="preserve">o autorizaciones, por ejemplo al ingresas al año 2023, este contiene sólo 80 registros, de los cuales se advierte que no sólo contempla licencias de funcionamiento, sino </w:t>
      </w:r>
      <w:proofErr w:type="spellStart"/>
      <w:r w:rsidRPr="00390F7F">
        <w:rPr>
          <w:rFonts w:ascii="Palatino Linotype" w:eastAsia="Palatino Linotype" w:hAnsi="Palatino Linotype" w:cs="Palatino Linotype"/>
        </w:rPr>
        <w:t>tambien</w:t>
      </w:r>
      <w:proofErr w:type="spellEnd"/>
      <w:r w:rsidRPr="00390F7F">
        <w:rPr>
          <w:rFonts w:ascii="Palatino Linotype" w:eastAsia="Palatino Linotype" w:hAnsi="Palatino Linotype" w:cs="Palatino Linotype"/>
        </w:rPr>
        <w:t xml:space="preserve"> autorizaciones, convenios, contratos de comodatos; entre otros, lo que implica que el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xml:space="preserve"> haga una búsqueda dentro de toda la información que yace en dicha liga electrónica y en razón de que el particular solicitó la información de una temporalidad en específico siendo la vigente al siete de julio del año dos mil veintitrés </w:t>
      </w:r>
      <w:r w:rsidRPr="00390F7F">
        <w:rPr>
          <w:rFonts w:ascii="Palatino Linotype" w:eastAsia="Palatino Linotype" w:hAnsi="Palatino Linotype" w:cs="Palatino Linotype"/>
          <w:b/>
          <w:u w:val="single"/>
        </w:rPr>
        <w:t>de todos</w:t>
      </w:r>
      <w:r w:rsidRPr="00390F7F">
        <w:rPr>
          <w:rFonts w:ascii="Palatino Linotype" w:eastAsia="Palatino Linotype" w:hAnsi="Palatino Linotype" w:cs="Palatino Linotype"/>
        </w:rPr>
        <w:t xml:space="preserve"> los locales ubicados en el Ayuntamiento de Zinacantepec; por consiguiente, no se colmó la pretensión de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xml:space="preserve">. </w:t>
      </w:r>
    </w:p>
    <w:p w14:paraId="51F1D310" w14:textId="77777777" w:rsidR="004D55F8" w:rsidRPr="00390F7F" w:rsidRDefault="004D55F8">
      <w:pPr>
        <w:spacing w:line="360" w:lineRule="auto"/>
        <w:jc w:val="both"/>
        <w:rPr>
          <w:rFonts w:ascii="Palatino Linotype" w:eastAsia="Palatino Linotype" w:hAnsi="Palatino Linotype" w:cs="Palatino Linotype"/>
        </w:rPr>
      </w:pPr>
    </w:p>
    <w:p w14:paraId="453AE77A" w14:textId="77777777" w:rsidR="004D55F8" w:rsidRPr="00390F7F" w:rsidRDefault="00E162D9">
      <w:pPr>
        <w:pBdr>
          <w:top w:val="nil"/>
          <w:left w:val="nil"/>
          <w:bottom w:val="nil"/>
          <w:right w:val="nil"/>
          <w:between w:val="nil"/>
        </w:pBd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7FCF04EA" w14:textId="77777777" w:rsidR="004D55F8" w:rsidRPr="00390F7F" w:rsidRDefault="004D55F8">
      <w:pPr>
        <w:pBdr>
          <w:top w:val="nil"/>
          <w:left w:val="nil"/>
          <w:bottom w:val="nil"/>
          <w:right w:val="nil"/>
          <w:between w:val="nil"/>
        </w:pBdr>
        <w:spacing w:line="360" w:lineRule="auto"/>
        <w:jc w:val="both"/>
        <w:rPr>
          <w:rFonts w:ascii="Palatino Linotype" w:eastAsia="Palatino Linotype" w:hAnsi="Palatino Linotype" w:cs="Palatino Linotype"/>
        </w:rPr>
      </w:pPr>
    </w:p>
    <w:p w14:paraId="43FC7DCB" w14:textId="77777777" w:rsidR="004D55F8" w:rsidRPr="00390F7F" w:rsidRDefault="00E162D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“Artículo 11.</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390F7F">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4872A718" w14:textId="77777777" w:rsidR="004D55F8" w:rsidRPr="00390F7F" w:rsidRDefault="00E162D9">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p>
    <w:p w14:paraId="71810F18" w14:textId="77777777" w:rsidR="004D55F8" w:rsidRPr="00390F7F" w:rsidRDefault="004D55F8">
      <w:pPr>
        <w:pBdr>
          <w:top w:val="nil"/>
          <w:left w:val="nil"/>
          <w:bottom w:val="nil"/>
          <w:right w:val="nil"/>
          <w:between w:val="nil"/>
        </w:pBdr>
        <w:ind w:left="567" w:right="567"/>
        <w:jc w:val="both"/>
        <w:rPr>
          <w:rFonts w:ascii="Palatino Linotype" w:eastAsia="Palatino Linotype" w:hAnsi="Palatino Linotype" w:cs="Palatino Linotype"/>
          <w:i/>
          <w:sz w:val="22"/>
          <w:szCs w:val="22"/>
        </w:rPr>
      </w:pPr>
    </w:p>
    <w:p w14:paraId="7F2D0194" w14:textId="77777777" w:rsidR="004D55F8" w:rsidRPr="00390F7F" w:rsidRDefault="00E162D9">
      <w:pPr>
        <w:pBdr>
          <w:top w:val="nil"/>
          <w:left w:val="nil"/>
          <w:bottom w:val="nil"/>
          <w:right w:val="nil"/>
          <w:between w:val="nil"/>
        </w:pBdr>
        <w:ind w:left="567" w:right="567"/>
        <w:jc w:val="both"/>
        <w:rPr>
          <w:rFonts w:ascii="Palatino Linotype" w:eastAsia="Palatino Linotype" w:hAnsi="Palatino Linotype" w:cs="Palatino Linotype"/>
          <w:sz w:val="22"/>
          <w:szCs w:val="22"/>
        </w:rPr>
      </w:pPr>
      <w:r w:rsidRPr="00390F7F">
        <w:rPr>
          <w:rFonts w:ascii="Palatino Linotype" w:eastAsia="Palatino Linotype" w:hAnsi="Palatino Linotype" w:cs="Palatino Linotype"/>
          <w:b/>
          <w:i/>
          <w:sz w:val="22"/>
          <w:szCs w:val="22"/>
        </w:rPr>
        <w:t>Artículo 161.</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u w:val="single"/>
        </w:rPr>
        <w:t>Cuando la información requerida por el solicitante ya esté disponible al público</w:t>
      </w:r>
      <w:r w:rsidRPr="00390F7F">
        <w:rPr>
          <w:rFonts w:ascii="Palatino Linotype" w:eastAsia="Palatino Linotype" w:hAnsi="Palatino Linotype" w:cs="Palatino Linotype"/>
          <w:i/>
          <w:sz w:val="22"/>
          <w:szCs w:val="22"/>
        </w:rPr>
        <w:t xml:space="preserve"> en medios impresos, tales como libros, compendios, trípticos, registros públicos, </w:t>
      </w:r>
      <w:r w:rsidRPr="00390F7F">
        <w:rPr>
          <w:rFonts w:ascii="Palatino Linotype" w:eastAsia="Palatino Linotype" w:hAnsi="Palatino Linotype" w:cs="Palatino Linotype"/>
          <w:b/>
          <w:i/>
          <w:sz w:val="22"/>
          <w:szCs w:val="22"/>
          <w:u w:val="single"/>
        </w:rPr>
        <w:t xml:space="preserve">en formatos electrónicos disponibles en Internet o en cualquier </w:t>
      </w:r>
      <w:r w:rsidRPr="00390F7F">
        <w:rPr>
          <w:rFonts w:ascii="Palatino Linotype" w:eastAsia="Palatino Linotype" w:hAnsi="Palatino Linotype" w:cs="Palatino Linotype"/>
          <w:b/>
          <w:i/>
          <w:sz w:val="22"/>
          <w:szCs w:val="22"/>
          <w:u w:val="single"/>
        </w:rPr>
        <w:lastRenderedPageBreak/>
        <w:t>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7CA28053" w14:textId="77777777" w:rsidR="004D55F8" w:rsidRPr="00390F7F" w:rsidRDefault="004D55F8">
      <w:pPr>
        <w:pBdr>
          <w:top w:val="nil"/>
          <w:left w:val="nil"/>
          <w:bottom w:val="nil"/>
          <w:right w:val="nil"/>
          <w:between w:val="nil"/>
        </w:pBdr>
        <w:spacing w:line="360" w:lineRule="auto"/>
        <w:jc w:val="both"/>
        <w:rPr>
          <w:rFonts w:ascii="Palatino Linotype" w:eastAsia="Palatino Linotype" w:hAnsi="Palatino Linotype" w:cs="Palatino Linotype"/>
        </w:rPr>
      </w:pPr>
    </w:p>
    <w:p w14:paraId="0121F035" w14:textId="77777777" w:rsidR="004D55F8" w:rsidRPr="00390F7F" w:rsidRDefault="00E162D9">
      <w:pPr>
        <w:pBdr>
          <w:top w:val="nil"/>
          <w:left w:val="nil"/>
          <w:bottom w:val="nil"/>
          <w:right w:val="nil"/>
          <w:between w:val="nil"/>
        </w:pBd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E08E511" w14:textId="77777777" w:rsidR="004D55F8" w:rsidRPr="00390F7F" w:rsidRDefault="004D55F8">
      <w:pPr>
        <w:pBdr>
          <w:top w:val="nil"/>
          <w:left w:val="nil"/>
          <w:bottom w:val="nil"/>
          <w:right w:val="nil"/>
          <w:between w:val="nil"/>
        </w:pBdr>
        <w:spacing w:line="360" w:lineRule="auto"/>
        <w:jc w:val="both"/>
        <w:rPr>
          <w:rFonts w:ascii="Palatino Linotype" w:eastAsia="Palatino Linotype" w:hAnsi="Palatino Linotype" w:cs="Palatino Linotype"/>
        </w:rPr>
      </w:pPr>
    </w:p>
    <w:p w14:paraId="06487F6B" w14:textId="77777777" w:rsidR="004D55F8" w:rsidRPr="00390F7F" w:rsidRDefault="00E162D9">
      <w:pPr>
        <w:numPr>
          <w:ilvl w:val="0"/>
          <w:numId w:val="3"/>
        </w:numPr>
        <w:pBdr>
          <w:top w:val="nil"/>
          <w:left w:val="nil"/>
          <w:bottom w:val="nil"/>
          <w:right w:val="nil"/>
          <w:between w:val="nil"/>
        </w:pBdr>
        <w:ind w:left="1134" w:hanging="567"/>
        <w:jc w:val="both"/>
        <w:rPr>
          <w:rFonts w:ascii="Palatino Linotype" w:eastAsia="Palatino Linotype" w:hAnsi="Palatino Linotype" w:cs="Palatino Linotype"/>
        </w:rPr>
      </w:pPr>
      <w:r w:rsidRPr="00390F7F">
        <w:rPr>
          <w:rFonts w:ascii="Palatino Linotype" w:eastAsia="Palatino Linotype" w:hAnsi="Palatino Linotype" w:cs="Palatino Linotype"/>
        </w:rPr>
        <w:t>La fuente</w:t>
      </w:r>
    </w:p>
    <w:p w14:paraId="264CDA5E" w14:textId="77777777" w:rsidR="004D55F8" w:rsidRPr="00390F7F" w:rsidRDefault="00E162D9">
      <w:pPr>
        <w:numPr>
          <w:ilvl w:val="0"/>
          <w:numId w:val="3"/>
        </w:numPr>
        <w:pBdr>
          <w:top w:val="nil"/>
          <w:left w:val="nil"/>
          <w:bottom w:val="nil"/>
          <w:right w:val="nil"/>
          <w:between w:val="nil"/>
        </w:pBdr>
        <w:ind w:left="1134" w:hanging="567"/>
        <w:jc w:val="both"/>
        <w:rPr>
          <w:rFonts w:ascii="Palatino Linotype" w:eastAsia="Palatino Linotype" w:hAnsi="Palatino Linotype" w:cs="Palatino Linotype"/>
        </w:rPr>
      </w:pPr>
      <w:r w:rsidRPr="00390F7F">
        <w:rPr>
          <w:rFonts w:ascii="Palatino Linotype" w:eastAsia="Palatino Linotype" w:hAnsi="Palatino Linotype" w:cs="Palatino Linotype"/>
        </w:rPr>
        <w:t>El lugar y</w:t>
      </w:r>
    </w:p>
    <w:p w14:paraId="6D62039A" w14:textId="77777777" w:rsidR="004D55F8" w:rsidRPr="00390F7F" w:rsidRDefault="00E162D9">
      <w:pPr>
        <w:numPr>
          <w:ilvl w:val="0"/>
          <w:numId w:val="3"/>
        </w:numPr>
        <w:pBdr>
          <w:top w:val="nil"/>
          <w:left w:val="nil"/>
          <w:bottom w:val="nil"/>
          <w:right w:val="nil"/>
          <w:between w:val="nil"/>
        </w:pBdr>
        <w:ind w:left="1134" w:hanging="567"/>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La forma </w:t>
      </w:r>
    </w:p>
    <w:p w14:paraId="64311D06" w14:textId="77777777" w:rsidR="004D55F8" w:rsidRPr="00390F7F" w:rsidRDefault="004D55F8">
      <w:pPr>
        <w:pBdr>
          <w:top w:val="nil"/>
          <w:left w:val="nil"/>
          <w:bottom w:val="nil"/>
          <w:right w:val="nil"/>
          <w:between w:val="nil"/>
        </w:pBdr>
        <w:spacing w:line="360" w:lineRule="auto"/>
        <w:jc w:val="both"/>
        <w:rPr>
          <w:rFonts w:ascii="Palatino Linotype" w:eastAsia="Palatino Linotype" w:hAnsi="Palatino Linotype" w:cs="Palatino Linotype"/>
        </w:rPr>
      </w:pPr>
    </w:p>
    <w:p w14:paraId="4B334AF7" w14:textId="77777777" w:rsidR="004D55F8" w:rsidRPr="00390F7F" w:rsidRDefault="00E162D9">
      <w:pPr>
        <w:pBdr>
          <w:top w:val="nil"/>
          <w:left w:val="nil"/>
          <w:bottom w:val="nil"/>
          <w:right w:val="nil"/>
          <w:between w:val="nil"/>
        </w:pBd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Asimismo, se establece que la fuente de la información deberá ser:</w:t>
      </w:r>
    </w:p>
    <w:p w14:paraId="09CFD321" w14:textId="77777777" w:rsidR="004D55F8" w:rsidRPr="00390F7F" w:rsidRDefault="00E162D9">
      <w:pPr>
        <w:numPr>
          <w:ilvl w:val="0"/>
          <w:numId w:val="4"/>
        </w:numPr>
        <w:pBdr>
          <w:top w:val="nil"/>
          <w:left w:val="nil"/>
          <w:bottom w:val="nil"/>
          <w:right w:val="nil"/>
          <w:between w:val="nil"/>
        </w:pBdr>
        <w:ind w:left="1134" w:hanging="556"/>
        <w:jc w:val="both"/>
        <w:rPr>
          <w:rFonts w:ascii="Palatino Linotype" w:eastAsia="Palatino Linotype" w:hAnsi="Palatino Linotype" w:cs="Palatino Linotype"/>
        </w:rPr>
      </w:pPr>
      <w:r w:rsidRPr="00390F7F">
        <w:rPr>
          <w:rFonts w:ascii="Palatino Linotype" w:eastAsia="Palatino Linotype" w:hAnsi="Palatino Linotype" w:cs="Palatino Linotype"/>
        </w:rPr>
        <w:t>Precisa</w:t>
      </w:r>
    </w:p>
    <w:p w14:paraId="04E353F6" w14:textId="77777777" w:rsidR="004D55F8" w:rsidRPr="00390F7F" w:rsidRDefault="00E162D9">
      <w:pPr>
        <w:numPr>
          <w:ilvl w:val="0"/>
          <w:numId w:val="4"/>
        </w:numPr>
        <w:pBdr>
          <w:top w:val="nil"/>
          <w:left w:val="nil"/>
          <w:bottom w:val="nil"/>
          <w:right w:val="nil"/>
          <w:between w:val="nil"/>
        </w:pBdr>
        <w:ind w:left="1134" w:hanging="556"/>
        <w:jc w:val="both"/>
        <w:rPr>
          <w:rFonts w:ascii="Palatino Linotype" w:eastAsia="Palatino Linotype" w:hAnsi="Palatino Linotype" w:cs="Palatino Linotype"/>
        </w:rPr>
      </w:pPr>
      <w:r w:rsidRPr="00390F7F">
        <w:rPr>
          <w:rFonts w:ascii="Palatino Linotype" w:eastAsia="Palatino Linotype" w:hAnsi="Palatino Linotype" w:cs="Palatino Linotype"/>
        </w:rPr>
        <w:t>Concreta</w:t>
      </w:r>
    </w:p>
    <w:p w14:paraId="2018B5F9" w14:textId="77777777" w:rsidR="004D55F8" w:rsidRPr="00390F7F" w:rsidRDefault="00E162D9">
      <w:pPr>
        <w:numPr>
          <w:ilvl w:val="0"/>
          <w:numId w:val="4"/>
        </w:numPr>
        <w:pBdr>
          <w:top w:val="nil"/>
          <w:left w:val="nil"/>
          <w:bottom w:val="nil"/>
          <w:right w:val="nil"/>
          <w:between w:val="nil"/>
        </w:pBdr>
        <w:ind w:left="1134" w:hanging="556"/>
        <w:jc w:val="both"/>
        <w:rPr>
          <w:rFonts w:ascii="Palatino Linotype" w:eastAsia="Palatino Linotype" w:hAnsi="Palatino Linotype" w:cs="Palatino Linotype"/>
        </w:rPr>
      </w:pPr>
      <w:r w:rsidRPr="00390F7F">
        <w:rPr>
          <w:rFonts w:ascii="Palatino Linotype" w:eastAsia="Palatino Linotype" w:hAnsi="Palatino Linotype" w:cs="Palatino Linotype"/>
          <w:b/>
        </w:rPr>
        <w:t>Y no debe implicar que el solicitante realice una búsqueda en toda la información que se encuentre disponible</w:t>
      </w:r>
      <w:r w:rsidRPr="00390F7F">
        <w:rPr>
          <w:rFonts w:ascii="Palatino Linotype" w:eastAsia="Palatino Linotype" w:hAnsi="Palatino Linotype" w:cs="Palatino Linotype"/>
        </w:rPr>
        <w:t>.</w:t>
      </w:r>
    </w:p>
    <w:p w14:paraId="6F09CE5F" w14:textId="77777777" w:rsidR="004D55F8" w:rsidRPr="00390F7F" w:rsidRDefault="004D55F8">
      <w:pPr>
        <w:pBdr>
          <w:top w:val="nil"/>
          <w:left w:val="nil"/>
          <w:bottom w:val="nil"/>
          <w:right w:val="nil"/>
          <w:between w:val="nil"/>
        </w:pBdr>
        <w:spacing w:line="360" w:lineRule="auto"/>
        <w:jc w:val="both"/>
        <w:rPr>
          <w:rFonts w:ascii="Palatino Linotype" w:eastAsia="Palatino Linotype" w:hAnsi="Palatino Linotype" w:cs="Palatino Linotype"/>
        </w:rPr>
      </w:pPr>
    </w:p>
    <w:p w14:paraId="663F0633" w14:textId="77777777" w:rsidR="004D55F8" w:rsidRPr="00390F7F" w:rsidRDefault="00E162D9">
      <w:pPr>
        <w:pBdr>
          <w:top w:val="nil"/>
          <w:left w:val="nil"/>
          <w:bottom w:val="nil"/>
          <w:right w:val="nil"/>
          <w:between w:val="nil"/>
        </w:pBd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Imperativos legales que establecen el procedimiento que debe seguir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no acontece; ello porque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se limitó a indicar la dirección </w:t>
      </w:r>
      <w:r w:rsidRPr="00390F7F">
        <w:rPr>
          <w:rFonts w:ascii="Palatino Linotype" w:eastAsia="Palatino Linotype" w:hAnsi="Palatino Linotype" w:cs="Palatino Linotype"/>
        </w:rPr>
        <w:lastRenderedPageBreak/>
        <w:t>electrónica de su página oficial, sin que señalara puntualmente el procedimiento que el particular debe seguir para acceder a la información requerida, lo que implica que  la fuente no es precisa y no es concreta, sino por el contrario ésta resulta abstracta y genera incertidumbre entre el cúmulo de información que se observa en la página; y por último, su fuente implica que el solicitante realice una búsqueda en toda la información que se encuentra disponible  a fin de localizar únicamente las correspondientes a las licencias de funcionamiento, lo que a todas luces transgrede el numeral citado.</w:t>
      </w:r>
    </w:p>
    <w:p w14:paraId="1ADDBDC1" w14:textId="77777777" w:rsidR="004D55F8" w:rsidRPr="00390F7F" w:rsidRDefault="004D55F8">
      <w:pPr>
        <w:pBdr>
          <w:top w:val="nil"/>
          <w:left w:val="nil"/>
          <w:bottom w:val="nil"/>
          <w:right w:val="nil"/>
          <w:between w:val="nil"/>
        </w:pBdr>
        <w:spacing w:line="360" w:lineRule="auto"/>
        <w:jc w:val="both"/>
        <w:rPr>
          <w:rFonts w:ascii="Palatino Linotype" w:eastAsia="Palatino Linotype" w:hAnsi="Palatino Linotype" w:cs="Palatino Linotype"/>
        </w:rPr>
      </w:pPr>
    </w:p>
    <w:p w14:paraId="47C545D1" w14:textId="77777777" w:rsidR="004D55F8" w:rsidRPr="00390F7F" w:rsidRDefault="00E162D9">
      <w:pPr>
        <w:pBdr>
          <w:top w:val="nil"/>
          <w:left w:val="nil"/>
          <w:bottom w:val="nil"/>
          <w:right w:val="nil"/>
          <w:between w:val="nil"/>
        </w:pBd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Por todo lo anterior, lo procedente es ordenar al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haga entrega de los documentos en donde consten la licencias de funcionamiento de todos los locales ubicados en el Ayuntamiento de Zinacantepec, vigentes al siete de julio del año 2023 y en versión pública conforme a lo señalado por el considerando quinto del presente fallo. </w:t>
      </w:r>
    </w:p>
    <w:p w14:paraId="76143F4F" w14:textId="77777777" w:rsidR="004D55F8" w:rsidRPr="00390F7F" w:rsidRDefault="004D55F8">
      <w:pPr>
        <w:spacing w:line="360" w:lineRule="auto"/>
        <w:jc w:val="both"/>
        <w:rPr>
          <w:rFonts w:ascii="Palatino Linotype" w:eastAsia="Palatino Linotype" w:hAnsi="Palatino Linotype" w:cs="Palatino Linotype"/>
        </w:rPr>
      </w:pPr>
    </w:p>
    <w:p w14:paraId="01CDB87B"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Quinto. Versión Pública. </w:t>
      </w:r>
      <w:r w:rsidRPr="00390F7F">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xml:space="preserve"> sin menoscabar el derecho a la protección de los datos personales de terceros.</w:t>
      </w:r>
    </w:p>
    <w:p w14:paraId="4C2B070C" w14:textId="77777777" w:rsidR="004D55F8" w:rsidRPr="00390F7F" w:rsidRDefault="00E162D9">
      <w:pPr>
        <w:spacing w:before="240" w:after="240" w:line="360" w:lineRule="auto"/>
        <w:ind w:right="50"/>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29BA3254" w14:textId="77777777" w:rsidR="004D55F8" w:rsidRPr="00390F7F" w:rsidRDefault="00E162D9">
      <w:pPr>
        <w:ind w:left="993" w:right="1041"/>
        <w:jc w:val="both"/>
        <w:rPr>
          <w:rFonts w:ascii="Palatino Linotype" w:eastAsia="Palatino Linotype" w:hAnsi="Palatino Linotype" w:cs="Palatino Linotype"/>
          <w:b/>
          <w:i/>
          <w:sz w:val="22"/>
          <w:szCs w:val="22"/>
        </w:rPr>
      </w:pPr>
      <w:r w:rsidRPr="00390F7F">
        <w:rPr>
          <w:rFonts w:ascii="Palatino Linotype" w:eastAsia="Palatino Linotype" w:hAnsi="Palatino Linotype" w:cs="Palatino Linotype"/>
          <w:b/>
          <w:i/>
          <w:sz w:val="22"/>
          <w:szCs w:val="22"/>
        </w:rPr>
        <w:t xml:space="preserve"> “Artículo 3. Para los efectos de la presente Ley se entenderá por:</w:t>
      </w:r>
    </w:p>
    <w:p w14:paraId="67297843"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IX. Datos personales:</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rPr>
        <w:t>La información concerniente a una persona, identificada o identificable</w:t>
      </w:r>
      <w:r w:rsidRPr="00390F7F">
        <w:rPr>
          <w:rFonts w:ascii="Palatino Linotype" w:eastAsia="Palatino Linotype" w:hAnsi="Palatino Linotype" w:cs="Palatino Linotype"/>
          <w:i/>
          <w:sz w:val="22"/>
          <w:szCs w:val="22"/>
        </w:rPr>
        <w:t xml:space="preserve"> según lo dispuesto por la Ley de Protección de Datos Personales del Estado de México;</w:t>
      </w:r>
    </w:p>
    <w:p w14:paraId="3CF78193"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XX. Información clasificada:</w:t>
      </w:r>
      <w:r w:rsidRPr="00390F7F">
        <w:rPr>
          <w:rFonts w:ascii="Palatino Linotype" w:eastAsia="Palatino Linotype" w:hAnsi="Palatino Linotype" w:cs="Palatino Linotype"/>
          <w:i/>
          <w:sz w:val="22"/>
          <w:szCs w:val="22"/>
        </w:rPr>
        <w:t xml:space="preserve"> Aquella considerada por la presente Ley como reservada o confidencial;</w:t>
      </w:r>
    </w:p>
    <w:p w14:paraId="7E32B911"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XXXII. Protección de Datos Personales:</w:t>
      </w:r>
      <w:r w:rsidRPr="00390F7F">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AF2CB1E"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XLV. Versión pública</w:t>
      </w:r>
      <w:r w:rsidRPr="00390F7F">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F67272C" w14:textId="77777777" w:rsidR="004D55F8" w:rsidRPr="00390F7F" w:rsidRDefault="004D55F8">
      <w:pPr>
        <w:ind w:left="993" w:right="1041"/>
        <w:jc w:val="both"/>
        <w:rPr>
          <w:rFonts w:ascii="Palatino Linotype" w:eastAsia="Palatino Linotype" w:hAnsi="Palatino Linotype" w:cs="Palatino Linotype"/>
          <w:i/>
          <w:sz w:val="22"/>
          <w:szCs w:val="22"/>
        </w:rPr>
      </w:pPr>
    </w:p>
    <w:p w14:paraId="4356A4C4"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“Artículo 6.</w:t>
      </w:r>
      <w:r w:rsidRPr="00390F7F">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DFBCE9D" w14:textId="77777777" w:rsidR="004D55F8" w:rsidRPr="00390F7F" w:rsidRDefault="004D55F8">
      <w:pPr>
        <w:ind w:left="993" w:right="1041"/>
        <w:jc w:val="both"/>
        <w:rPr>
          <w:rFonts w:ascii="Palatino Linotype" w:eastAsia="Palatino Linotype" w:hAnsi="Palatino Linotype" w:cs="Palatino Linotype"/>
          <w:i/>
          <w:sz w:val="22"/>
          <w:szCs w:val="22"/>
        </w:rPr>
      </w:pPr>
    </w:p>
    <w:p w14:paraId="70324DF3" w14:textId="77777777" w:rsidR="004D55F8" w:rsidRPr="00390F7F" w:rsidRDefault="00E162D9">
      <w:pPr>
        <w:ind w:left="993" w:right="1041"/>
        <w:jc w:val="both"/>
        <w:rPr>
          <w:rFonts w:ascii="Palatino Linotype" w:eastAsia="Palatino Linotype" w:hAnsi="Palatino Linotype" w:cs="Palatino Linotype"/>
          <w:b/>
          <w:i/>
          <w:sz w:val="22"/>
          <w:szCs w:val="22"/>
        </w:rPr>
      </w:pPr>
      <w:r w:rsidRPr="00390F7F">
        <w:rPr>
          <w:rFonts w:ascii="Palatino Linotype" w:eastAsia="Palatino Linotype" w:hAnsi="Palatino Linotype" w:cs="Palatino Linotype"/>
          <w:b/>
          <w:i/>
          <w:sz w:val="22"/>
          <w:szCs w:val="22"/>
        </w:rPr>
        <w:t>“Artículo 137.</w:t>
      </w:r>
      <w:r w:rsidRPr="00390F7F">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4E5594A" w14:textId="77777777" w:rsidR="004D55F8" w:rsidRPr="00390F7F" w:rsidRDefault="004D55F8">
      <w:pPr>
        <w:ind w:left="993" w:right="1041"/>
        <w:jc w:val="both"/>
        <w:rPr>
          <w:rFonts w:ascii="Palatino Linotype" w:eastAsia="Palatino Linotype" w:hAnsi="Palatino Linotype" w:cs="Palatino Linotype"/>
          <w:b/>
          <w:i/>
          <w:sz w:val="22"/>
          <w:szCs w:val="22"/>
        </w:rPr>
      </w:pPr>
    </w:p>
    <w:p w14:paraId="7D9F4904"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“Artículo 143</w:t>
      </w:r>
      <w:r w:rsidRPr="00390F7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2C11630"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lastRenderedPageBreak/>
        <w:t>I.</w:t>
      </w:r>
      <w:r w:rsidRPr="00390F7F">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47D1378"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D60A8E0" w14:textId="77777777" w:rsidR="004D55F8" w:rsidRPr="00390F7F" w:rsidRDefault="00E162D9">
      <w:pPr>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03B81C0" w14:textId="77777777" w:rsidR="004D55F8" w:rsidRPr="00390F7F" w:rsidRDefault="004D55F8">
      <w:pPr>
        <w:ind w:left="993" w:right="1041"/>
        <w:jc w:val="both"/>
        <w:rPr>
          <w:rFonts w:ascii="Palatino Linotype" w:eastAsia="Palatino Linotype" w:hAnsi="Palatino Linotype" w:cs="Palatino Linotype"/>
          <w:i/>
          <w:sz w:val="22"/>
          <w:szCs w:val="22"/>
        </w:rPr>
      </w:pPr>
    </w:p>
    <w:p w14:paraId="75ED7DA3" w14:textId="77777777" w:rsidR="004D55F8" w:rsidRPr="00390F7F" w:rsidRDefault="00E162D9">
      <w:pPr>
        <w:spacing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para satisfacer el derecho de acceso a la información pública de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2F9BCB8" w14:textId="77777777" w:rsidR="004D55F8" w:rsidRPr="00390F7F" w:rsidRDefault="004D55F8">
      <w:pPr>
        <w:spacing w:line="360" w:lineRule="auto"/>
        <w:ind w:right="51"/>
        <w:jc w:val="both"/>
        <w:rPr>
          <w:rFonts w:ascii="Palatino Linotype" w:eastAsia="Palatino Linotype" w:hAnsi="Palatino Linotype" w:cs="Palatino Linotype"/>
        </w:rPr>
      </w:pPr>
    </w:p>
    <w:p w14:paraId="31C9A4E7" w14:textId="77777777" w:rsidR="004D55F8" w:rsidRPr="00390F7F" w:rsidRDefault="00E162D9">
      <w:pPr>
        <w:spacing w:line="360" w:lineRule="auto"/>
        <w:ind w:right="50"/>
        <w:jc w:val="both"/>
        <w:rPr>
          <w:rFonts w:ascii="Palatino Linotype" w:eastAsia="Palatino Linotype" w:hAnsi="Palatino Linotype" w:cs="Palatino Linotype"/>
        </w:rPr>
      </w:pPr>
      <w:r w:rsidRPr="00390F7F">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FC80564" w14:textId="77777777" w:rsidR="004D55F8" w:rsidRPr="00390F7F" w:rsidRDefault="00E162D9">
      <w:pPr>
        <w:spacing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7838E24" w14:textId="77777777" w:rsidR="004D55F8" w:rsidRPr="00390F7F" w:rsidRDefault="004D55F8">
      <w:pPr>
        <w:spacing w:line="360" w:lineRule="auto"/>
        <w:ind w:right="51"/>
        <w:jc w:val="both"/>
        <w:rPr>
          <w:rFonts w:ascii="Palatino Linotype" w:eastAsia="Palatino Linotype" w:hAnsi="Palatino Linotype" w:cs="Palatino Linotype"/>
        </w:rPr>
      </w:pPr>
    </w:p>
    <w:p w14:paraId="6CF0D97C" w14:textId="77777777" w:rsidR="004D55F8" w:rsidRPr="00390F7F" w:rsidRDefault="00E162D9">
      <w:pPr>
        <w:ind w:left="992" w:right="1043"/>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“Artículo 49.</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rPr>
        <w:t>Los Comités de Transparencia</w:t>
      </w:r>
      <w:r w:rsidRPr="00390F7F">
        <w:rPr>
          <w:rFonts w:ascii="Palatino Linotype" w:eastAsia="Palatino Linotype" w:hAnsi="Palatino Linotype" w:cs="Palatino Linotype"/>
          <w:i/>
          <w:sz w:val="22"/>
          <w:szCs w:val="22"/>
        </w:rPr>
        <w:t xml:space="preserve"> tendrán las siguientes atribuciones:</w:t>
      </w:r>
    </w:p>
    <w:p w14:paraId="6ED46527" w14:textId="77777777" w:rsidR="004D55F8" w:rsidRPr="00390F7F" w:rsidRDefault="00E162D9">
      <w:pPr>
        <w:ind w:left="992" w:right="1043"/>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VIII. Aprobar, modificar o revocar la clasificación de la información</w:t>
      </w:r>
      <w:r w:rsidRPr="00390F7F">
        <w:rPr>
          <w:rFonts w:ascii="Palatino Linotype" w:eastAsia="Palatino Linotype" w:hAnsi="Palatino Linotype" w:cs="Palatino Linotype"/>
          <w:i/>
          <w:sz w:val="22"/>
          <w:szCs w:val="22"/>
        </w:rPr>
        <w:t>…”</w:t>
      </w:r>
    </w:p>
    <w:p w14:paraId="653973CA" w14:textId="77777777" w:rsidR="004D55F8" w:rsidRPr="00390F7F" w:rsidRDefault="00E162D9">
      <w:pPr>
        <w:ind w:left="992" w:right="1043"/>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Artículo 53.</w:t>
      </w:r>
      <w:r w:rsidRPr="00390F7F">
        <w:rPr>
          <w:rFonts w:ascii="Palatino Linotype" w:eastAsia="Palatino Linotype" w:hAnsi="Palatino Linotype" w:cs="Palatino Linotype"/>
          <w:i/>
          <w:sz w:val="22"/>
          <w:szCs w:val="22"/>
        </w:rPr>
        <w:t xml:space="preserve"> Las </w:t>
      </w:r>
      <w:r w:rsidRPr="00390F7F">
        <w:rPr>
          <w:rFonts w:ascii="Palatino Linotype" w:eastAsia="Palatino Linotype" w:hAnsi="Palatino Linotype" w:cs="Palatino Linotype"/>
          <w:b/>
          <w:i/>
          <w:sz w:val="22"/>
          <w:szCs w:val="22"/>
        </w:rPr>
        <w:t>Unidades de Transparencia</w:t>
      </w:r>
      <w:r w:rsidRPr="00390F7F">
        <w:rPr>
          <w:rFonts w:ascii="Palatino Linotype" w:eastAsia="Palatino Linotype" w:hAnsi="Palatino Linotype" w:cs="Palatino Linotype"/>
          <w:i/>
          <w:sz w:val="22"/>
          <w:szCs w:val="22"/>
        </w:rPr>
        <w:t xml:space="preserve"> tendrán las siguientes </w:t>
      </w:r>
      <w:r w:rsidRPr="00390F7F">
        <w:rPr>
          <w:rFonts w:ascii="Palatino Linotype" w:eastAsia="Palatino Linotype" w:hAnsi="Palatino Linotype" w:cs="Palatino Linotype"/>
          <w:b/>
          <w:i/>
          <w:sz w:val="22"/>
          <w:szCs w:val="22"/>
        </w:rPr>
        <w:t>funciones</w:t>
      </w:r>
      <w:r w:rsidRPr="00390F7F">
        <w:rPr>
          <w:rFonts w:ascii="Palatino Linotype" w:eastAsia="Palatino Linotype" w:hAnsi="Palatino Linotype" w:cs="Palatino Linotype"/>
          <w:i/>
          <w:sz w:val="22"/>
          <w:szCs w:val="22"/>
        </w:rPr>
        <w:t>:</w:t>
      </w:r>
    </w:p>
    <w:p w14:paraId="681BF881" w14:textId="77777777" w:rsidR="004D55F8" w:rsidRPr="00390F7F" w:rsidRDefault="00E162D9">
      <w:pPr>
        <w:ind w:left="992" w:right="1043"/>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X. Presentar ante el Comité, el proyecto de clasificación de información</w:t>
      </w:r>
      <w:r w:rsidRPr="00390F7F">
        <w:rPr>
          <w:rFonts w:ascii="Palatino Linotype" w:eastAsia="Palatino Linotype" w:hAnsi="Palatino Linotype" w:cs="Palatino Linotype"/>
          <w:i/>
          <w:sz w:val="22"/>
          <w:szCs w:val="22"/>
        </w:rPr>
        <w:t xml:space="preserve">…” </w:t>
      </w:r>
    </w:p>
    <w:p w14:paraId="14194AD4" w14:textId="77777777" w:rsidR="004D55F8" w:rsidRPr="00390F7F" w:rsidRDefault="00E162D9">
      <w:pPr>
        <w:ind w:left="992" w:right="1043"/>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“Artículo 59.</w:t>
      </w:r>
      <w:r w:rsidRPr="00390F7F">
        <w:rPr>
          <w:rFonts w:ascii="Palatino Linotype" w:eastAsia="Palatino Linotype" w:hAnsi="Palatino Linotype" w:cs="Palatino Linotype"/>
          <w:i/>
          <w:sz w:val="22"/>
          <w:szCs w:val="22"/>
        </w:rPr>
        <w:t xml:space="preserve"> Los </w:t>
      </w:r>
      <w:r w:rsidRPr="00390F7F">
        <w:rPr>
          <w:rFonts w:ascii="Palatino Linotype" w:eastAsia="Palatino Linotype" w:hAnsi="Palatino Linotype" w:cs="Palatino Linotype"/>
          <w:b/>
          <w:i/>
          <w:sz w:val="22"/>
          <w:szCs w:val="22"/>
        </w:rPr>
        <w:t>servidores públicos habilitados</w:t>
      </w:r>
      <w:r w:rsidRPr="00390F7F">
        <w:rPr>
          <w:rFonts w:ascii="Palatino Linotype" w:eastAsia="Palatino Linotype" w:hAnsi="Palatino Linotype" w:cs="Palatino Linotype"/>
          <w:i/>
          <w:sz w:val="22"/>
          <w:szCs w:val="22"/>
        </w:rPr>
        <w:t xml:space="preserve"> tendrán las </w:t>
      </w:r>
      <w:r w:rsidRPr="00390F7F">
        <w:rPr>
          <w:rFonts w:ascii="Palatino Linotype" w:eastAsia="Palatino Linotype" w:hAnsi="Palatino Linotype" w:cs="Palatino Linotype"/>
          <w:b/>
          <w:i/>
          <w:sz w:val="22"/>
          <w:szCs w:val="22"/>
        </w:rPr>
        <w:t>funciones</w:t>
      </w:r>
      <w:r w:rsidRPr="00390F7F">
        <w:rPr>
          <w:rFonts w:ascii="Palatino Linotype" w:eastAsia="Palatino Linotype" w:hAnsi="Palatino Linotype" w:cs="Palatino Linotype"/>
          <w:i/>
          <w:sz w:val="22"/>
          <w:szCs w:val="22"/>
        </w:rPr>
        <w:t xml:space="preserve"> siguientes:</w:t>
      </w:r>
    </w:p>
    <w:p w14:paraId="295851F4" w14:textId="77777777" w:rsidR="004D55F8" w:rsidRPr="00390F7F" w:rsidRDefault="00E162D9">
      <w:pPr>
        <w:ind w:left="992" w:right="1043"/>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90F7F">
        <w:rPr>
          <w:rFonts w:ascii="Palatino Linotype" w:eastAsia="Palatino Linotype" w:hAnsi="Palatino Linotype" w:cs="Palatino Linotype"/>
          <w:i/>
          <w:sz w:val="22"/>
          <w:szCs w:val="22"/>
        </w:rPr>
        <w:t>, la cual tendrá los fundamentos y argumentos en que se basa dicha propuesta…”(Sic)</w:t>
      </w:r>
    </w:p>
    <w:p w14:paraId="3C4CB430" w14:textId="77777777" w:rsidR="004D55F8" w:rsidRPr="00390F7F" w:rsidRDefault="004D55F8">
      <w:pPr>
        <w:ind w:left="992" w:right="1043"/>
        <w:jc w:val="both"/>
        <w:rPr>
          <w:rFonts w:ascii="Palatino Linotype" w:eastAsia="Palatino Linotype" w:hAnsi="Palatino Linotype" w:cs="Palatino Linotype"/>
          <w:i/>
          <w:sz w:val="22"/>
          <w:szCs w:val="22"/>
        </w:rPr>
      </w:pPr>
    </w:p>
    <w:p w14:paraId="65A97844"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177B8F2" w14:textId="77777777" w:rsidR="004D55F8" w:rsidRPr="00390F7F" w:rsidRDefault="004D55F8">
      <w:pPr>
        <w:spacing w:line="360" w:lineRule="auto"/>
        <w:jc w:val="both"/>
        <w:rPr>
          <w:rFonts w:ascii="Palatino Linotype" w:eastAsia="Palatino Linotype" w:hAnsi="Palatino Linotype" w:cs="Palatino Linotype"/>
        </w:rPr>
      </w:pPr>
    </w:p>
    <w:p w14:paraId="58FEF980"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8B67852" w14:textId="77777777" w:rsidR="004D55F8" w:rsidRPr="00390F7F" w:rsidRDefault="004D55F8">
      <w:pPr>
        <w:spacing w:line="360" w:lineRule="auto"/>
        <w:jc w:val="both"/>
        <w:rPr>
          <w:rFonts w:ascii="Palatino Linotype" w:eastAsia="Palatino Linotype" w:hAnsi="Palatino Linotype" w:cs="Palatino Linotype"/>
        </w:rPr>
      </w:pPr>
    </w:p>
    <w:p w14:paraId="1B32ACF2" w14:textId="77777777" w:rsidR="004D55F8" w:rsidRPr="00390F7F" w:rsidRDefault="00E162D9">
      <w:pPr>
        <w:spacing w:after="240"/>
        <w:ind w:left="993" w:right="104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Artículo 149.</w:t>
      </w:r>
      <w:r w:rsidRPr="00390F7F">
        <w:rPr>
          <w:rFonts w:ascii="Palatino Linotype" w:eastAsia="Palatino Linotype" w:hAnsi="Palatino Linotype" w:cs="Palatino Linotype"/>
          <w:i/>
          <w:sz w:val="22"/>
          <w:szCs w:val="22"/>
        </w:rPr>
        <w:t xml:space="preserve"> El </w:t>
      </w:r>
      <w:r w:rsidRPr="00390F7F">
        <w:rPr>
          <w:rFonts w:ascii="Palatino Linotype" w:eastAsia="Palatino Linotype" w:hAnsi="Palatino Linotype" w:cs="Palatino Linotype"/>
          <w:b/>
          <w:i/>
          <w:sz w:val="22"/>
          <w:szCs w:val="22"/>
        </w:rPr>
        <w:t>acuerdo que clasifique la información como confidencial</w:t>
      </w:r>
      <w:r w:rsidRPr="00390F7F">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2217A83" w14:textId="77777777" w:rsidR="004D55F8" w:rsidRPr="00390F7F" w:rsidRDefault="004D55F8">
      <w:pPr>
        <w:spacing w:before="240" w:line="360" w:lineRule="auto"/>
        <w:ind w:right="51"/>
        <w:jc w:val="both"/>
        <w:rPr>
          <w:rFonts w:ascii="Palatino Linotype" w:eastAsia="Palatino Linotype" w:hAnsi="Palatino Linotype" w:cs="Palatino Linotype"/>
          <w:i/>
          <w:sz w:val="22"/>
          <w:szCs w:val="22"/>
        </w:rPr>
      </w:pPr>
    </w:p>
    <w:p w14:paraId="5965A8B6" w14:textId="77777777" w:rsidR="004D55F8" w:rsidRPr="00390F7F" w:rsidRDefault="00E162D9">
      <w:pPr>
        <w:spacing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Es decir,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C064602" w14:textId="77777777" w:rsidR="004D55F8" w:rsidRPr="00390F7F" w:rsidRDefault="004D55F8">
      <w:pPr>
        <w:spacing w:line="360" w:lineRule="auto"/>
        <w:ind w:right="51"/>
        <w:jc w:val="both"/>
        <w:rPr>
          <w:rFonts w:ascii="Palatino Linotype" w:eastAsia="Palatino Linotype" w:hAnsi="Palatino Linotype" w:cs="Palatino Linotype"/>
        </w:rPr>
      </w:pPr>
    </w:p>
    <w:p w14:paraId="07B876D3" w14:textId="77777777" w:rsidR="004D55F8" w:rsidRPr="00390F7F" w:rsidRDefault="00E162D9">
      <w:pPr>
        <w:spacing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sz w:val="22"/>
          <w:szCs w:val="22"/>
        </w:rPr>
        <w:t xml:space="preserve">Es así, que </w:t>
      </w:r>
      <w:r w:rsidRPr="00390F7F">
        <w:rPr>
          <w:rFonts w:ascii="Palatino Linotype" w:eastAsia="Palatino Linotype" w:hAnsi="Palatino Linotype" w:cs="Palatino Linotype"/>
        </w:rPr>
        <w:t xml:space="preserve">por cuanto al </w:t>
      </w:r>
      <w:r w:rsidRPr="00390F7F">
        <w:rPr>
          <w:rFonts w:ascii="Palatino Linotype" w:eastAsia="Palatino Linotype" w:hAnsi="Palatino Linotype" w:cs="Palatino Linotype"/>
          <w:b/>
        </w:rPr>
        <w:t>Nombre del titular de la Licencia de funcionamiento (persona física):</w:t>
      </w:r>
    </w:p>
    <w:p w14:paraId="4AB323B1" w14:textId="77777777" w:rsidR="004D55F8" w:rsidRPr="00390F7F" w:rsidRDefault="004D55F8">
      <w:pPr>
        <w:spacing w:line="360" w:lineRule="auto"/>
        <w:jc w:val="both"/>
        <w:rPr>
          <w:rFonts w:ascii="Palatino Linotype" w:eastAsia="Palatino Linotype" w:hAnsi="Palatino Linotype" w:cs="Palatino Linotype"/>
        </w:rPr>
      </w:pPr>
    </w:p>
    <w:p w14:paraId="556D0921" w14:textId="77777777" w:rsidR="004D55F8" w:rsidRPr="00390F7F" w:rsidRDefault="00E162D9">
      <w:pPr>
        <w:spacing w:line="360" w:lineRule="auto"/>
        <w:ind w:right="-93"/>
        <w:jc w:val="both"/>
        <w:rPr>
          <w:rFonts w:ascii="Palatino Linotype" w:eastAsia="Palatino Linotype" w:hAnsi="Palatino Linotype" w:cs="Palatino Linotype"/>
          <w:b/>
        </w:rPr>
      </w:pPr>
      <w:r w:rsidRPr="00390F7F">
        <w:rPr>
          <w:rFonts w:ascii="Palatino Linotype" w:eastAsia="Palatino Linotype" w:hAnsi="Palatino Linotype" w:cs="Palatino Linotype"/>
        </w:rPr>
        <w:t xml:space="preserve">Al respecto, se considera que el nombre de una persona se integra con el sustantivo propio y el primer apellido de los padres, en el orden que, de común acuerdo </w:t>
      </w:r>
      <w:r w:rsidRPr="00390F7F">
        <w:rPr>
          <w:rFonts w:ascii="Palatino Linotype" w:eastAsia="Palatino Linotype" w:hAnsi="Palatino Linotype" w:cs="Palatino Linotype"/>
        </w:rPr>
        <w:lastRenderedPageBreak/>
        <w:t xml:space="preserve">determinen; asimismo es la manifestación principal del derecho subjetivo a la personalidad y atributo de esta en términos del artículo 2.3 del Código Civil del Estado de México, de tal suerte, el nombre </w:t>
      </w:r>
      <w:r w:rsidRPr="00390F7F">
        <w:rPr>
          <w:rFonts w:ascii="Palatino Linotype" w:eastAsia="Palatino Linotype" w:hAnsi="Palatino Linotype" w:cs="Palatino Linotype"/>
          <w:i/>
        </w:rPr>
        <w:t>per se</w:t>
      </w:r>
      <w:r w:rsidRPr="00390F7F">
        <w:rPr>
          <w:rFonts w:ascii="Palatino Linotype" w:eastAsia="Palatino Linotype" w:hAnsi="Palatino Linotype" w:cs="Palatino Linotype"/>
        </w:rPr>
        <w:t xml:space="preserve"> es un elemento que hace a una persona física identificada o identificable, por lo que, </w:t>
      </w:r>
      <w:r w:rsidRPr="00390F7F">
        <w:rPr>
          <w:rFonts w:ascii="Palatino Linotype" w:eastAsia="Palatino Linotype" w:hAnsi="Palatino Linotype" w:cs="Palatino Linotype"/>
          <w:b/>
        </w:rPr>
        <w:t>se considera un dato personal.</w:t>
      </w:r>
    </w:p>
    <w:p w14:paraId="530409EF" w14:textId="77777777" w:rsidR="004D55F8" w:rsidRPr="00390F7F" w:rsidRDefault="004D55F8">
      <w:pPr>
        <w:spacing w:line="360" w:lineRule="auto"/>
        <w:ind w:right="-93"/>
        <w:jc w:val="both"/>
        <w:rPr>
          <w:rFonts w:ascii="Palatino Linotype" w:eastAsia="Palatino Linotype" w:hAnsi="Palatino Linotype" w:cs="Palatino Linotype"/>
          <w:b/>
        </w:rPr>
      </w:pPr>
    </w:p>
    <w:p w14:paraId="5CFDF296"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Sobre el tema, se tiene presente que este Instituto emitió el Criterio Relevante 01/18, de la Segunda Época de este Instituto, que establece que el nombre del titular de una licencia (persona física), como en el caso que nos ocupa, es información confidencial, cuando no involucra aprovechamiento de recursos públicos.</w:t>
      </w:r>
    </w:p>
    <w:p w14:paraId="15503964" w14:textId="77777777" w:rsidR="004D55F8" w:rsidRPr="00390F7F" w:rsidRDefault="004D55F8">
      <w:pPr>
        <w:spacing w:line="360" w:lineRule="auto"/>
        <w:jc w:val="both"/>
        <w:rPr>
          <w:rFonts w:ascii="Palatino Linotype" w:eastAsia="Palatino Linotype" w:hAnsi="Palatino Linotype" w:cs="Palatino Linotype"/>
          <w:sz w:val="20"/>
          <w:szCs w:val="20"/>
        </w:rPr>
      </w:pPr>
    </w:p>
    <w:p w14:paraId="41B65D16" w14:textId="77777777" w:rsidR="004D55F8" w:rsidRPr="00390F7F" w:rsidRDefault="00E162D9">
      <w:pPr>
        <w:ind w:left="567" w:right="567"/>
        <w:jc w:val="both"/>
        <w:rPr>
          <w:rFonts w:ascii="Palatino Linotype" w:eastAsia="Palatino Linotype" w:hAnsi="Palatino Linotype" w:cs="Palatino Linotype"/>
          <w:i/>
          <w:sz w:val="20"/>
          <w:szCs w:val="20"/>
        </w:rPr>
      </w:pPr>
      <w:r w:rsidRPr="00390F7F">
        <w:rPr>
          <w:rFonts w:ascii="Palatino Linotype" w:eastAsia="Palatino Linotype" w:hAnsi="Palatino Linotype" w:cs="Palatino Linotype"/>
          <w:b/>
          <w:i/>
          <w:sz w:val="20"/>
          <w:szCs w:val="20"/>
        </w:rPr>
        <w:t>“Nombre del titular de una licencia que no involucre el aprovechamiento de bienes, servicios y/o recursos públicos, constituye un dato personal susceptible de clasificar como confidencial.</w:t>
      </w:r>
      <w:r w:rsidRPr="00390F7F">
        <w:rPr>
          <w:rFonts w:ascii="Palatino Linotype" w:eastAsia="Palatino Linotype" w:hAnsi="Palatino Linotype" w:cs="Palatino Linotype"/>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0C1DF1D5" w14:textId="77777777" w:rsidR="004D55F8" w:rsidRPr="00390F7F" w:rsidRDefault="004D55F8">
      <w:pPr>
        <w:spacing w:line="360" w:lineRule="auto"/>
        <w:ind w:right="-93"/>
        <w:jc w:val="both"/>
        <w:rPr>
          <w:rFonts w:ascii="Palatino Linotype" w:eastAsia="Palatino Linotype" w:hAnsi="Palatino Linotype" w:cs="Palatino Linotype"/>
        </w:rPr>
      </w:pPr>
    </w:p>
    <w:p w14:paraId="73D32DE0" w14:textId="77777777" w:rsidR="004D55F8" w:rsidRPr="00390F7F" w:rsidRDefault="00E162D9">
      <w:pPr>
        <w:spacing w:line="360" w:lineRule="auto"/>
        <w:ind w:right="-93"/>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En el Criterio en cita, se argumenta que si bien el nombre de los titulares de las licencias es un dato de carácter público, en términos del artículo 92, fracción XXXII de la Ley de Transparencia y Acceso a la Información Pública del Estado de México y Municipios, dicho 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0793DEBE" w14:textId="77777777" w:rsidR="004D55F8" w:rsidRPr="00390F7F" w:rsidRDefault="004D55F8">
      <w:pPr>
        <w:spacing w:line="360" w:lineRule="auto"/>
        <w:ind w:right="-93"/>
        <w:jc w:val="both"/>
        <w:rPr>
          <w:rFonts w:ascii="Palatino Linotype" w:eastAsia="Palatino Linotype" w:hAnsi="Palatino Linotype" w:cs="Palatino Linotype"/>
        </w:rPr>
      </w:pPr>
    </w:p>
    <w:p w14:paraId="4ED4D5F2" w14:textId="77777777" w:rsidR="004D55F8" w:rsidRPr="00390F7F" w:rsidRDefault="00E162D9">
      <w:pPr>
        <w:spacing w:line="360" w:lineRule="auto"/>
        <w:ind w:right="-93"/>
        <w:jc w:val="both"/>
        <w:rPr>
          <w:rFonts w:ascii="Palatino Linotype" w:eastAsia="Palatino Linotype" w:hAnsi="Palatino Linotype" w:cs="Palatino Linotype"/>
        </w:rPr>
      </w:pPr>
      <w:r w:rsidRPr="00390F7F">
        <w:rPr>
          <w:rFonts w:ascii="Palatino Linotype" w:eastAsia="Palatino Linotype" w:hAnsi="Palatino Linotype" w:cs="Palatino Linotype"/>
        </w:rPr>
        <w:t>No obstante, se considera que el nombre localizado en una licencia de funcionamiento, guarda cierto interés público, dado que cualquier actividad comercial, industrial o económica, es regulada por el Municipio de Zinacantepec dentro de su circunscripción territorial, pues ayuda a transparentar la gestión pública.</w:t>
      </w:r>
    </w:p>
    <w:p w14:paraId="56208439" w14:textId="77777777" w:rsidR="004D55F8" w:rsidRPr="00390F7F" w:rsidRDefault="004D55F8">
      <w:pPr>
        <w:spacing w:line="360" w:lineRule="auto"/>
        <w:ind w:right="-93"/>
        <w:jc w:val="both"/>
        <w:rPr>
          <w:rFonts w:ascii="Palatino Linotype" w:eastAsia="Palatino Linotype" w:hAnsi="Palatino Linotype" w:cs="Palatino Linotype"/>
        </w:rPr>
      </w:pPr>
    </w:p>
    <w:p w14:paraId="387D5A58" w14:textId="77777777" w:rsidR="004D55F8" w:rsidRPr="00390F7F" w:rsidRDefault="00E162D9">
      <w:pPr>
        <w:spacing w:line="360" w:lineRule="auto"/>
        <w:ind w:right="-93"/>
        <w:jc w:val="both"/>
        <w:rPr>
          <w:rFonts w:ascii="Palatino Linotype" w:eastAsia="Palatino Linotype" w:hAnsi="Palatino Linotype" w:cs="Palatino Linotype"/>
        </w:rPr>
      </w:pPr>
      <w:r w:rsidRPr="00390F7F">
        <w:rPr>
          <w:rFonts w:ascii="Palatino Linotype" w:eastAsia="Palatino Linotype" w:hAnsi="Palatino Linotype" w:cs="Palatino Linotype"/>
        </w:rPr>
        <w:t>Al respecto, cabe puntualizar que las licencias, tal como se estableció en párrafos anteriores, se refiere a los documentos que contienen la autorización por parte del Ayuntamiento de Zinacantepec, a través de la Dirección de Desarrollo Económico, para que un particular o persona jurídica colectiva pueda realizar una actividad económica, comercial o industrial, regulada por las Leyes respectivas.</w:t>
      </w:r>
    </w:p>
    <w:p w14:paraId="3BFFC16E" w14:textId="77777777" w:rsidR="004D55F8" w:rsidRPr="00390F7F" w:rsidRDefault="004D55F8">
      <w:pPr>
        <w:spacing w:line="360" w:lineRule="auto"/>
        <w:ind w:right="-93"/>
        <w:jc w:val="both"/>
        <w:rPr>
          <w:rFonts w:ascii="Palatino Linotype" w:eastAsia="Palatino Linotype" w:hAnsi="Palatino Linotype" w:cs="Palatino Linotype"/>
        </w:rPr>
      </w:pPr>
    </w:p>
    <w:p w14:paraId="5DAC5C2C" w14:textId="77777777" w:rsidR="004D55F8" w:rsidRPr="00390F7F" w:rsidRDefault="00E162D9">
      <w:pPr>
        <w:spacing w:line="360" w:lineRule="auto"/>
        <w:ind w:right="-93"/>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ese sentido, de acuerdo con el artículo 92, fracción XXXII de la Ley en cita, el legislador contempló como información de interés público y que debe estar disponible para consulta, aquellas licencias otorgadas, especificando </w:t>
      </w:r>
      <w:r w:rsidRPr="00390F7F">
        <w:rPr>
          <w:rFonts w:ascii="Palatino Linotype" w:eastAsia="Palatino Linotype" w:hAnsi="Palatino Linotype" w:cs="Palatino Linotype"/>
          <w:b/>
        </w:rPr>
        <w:t xml:space="preserve">el nombre de </w:t>
      </w:r>
      <w:r w:rsidRPr="00390F7F">
        <w:rPr>
          <w:rFonts w:ascii="Palatino Linotype" w:eastAsia="Palatino Linotype" w:hAnsi="Palatino Linotype" w:cs="Palatino Linotype"/>
          <w:b/>
        </w:rPr>
        <w:lastRenderedPageBreak/>
        <w:t>su titular</w:t>
      </w:r>
      <w:r w:rsidRPr="00390F7F">
        <w:rPr>
          <w:rFonts w:ascii="Palatino Linotype" w:eastAsia="Palatino Linotype" w:hAnsi="Palatino Linotype" w:cs="Palatino Linotype"/>
        </w:rPr>
        <w:t xml:space="preserve"> y las características principales. Lo anterior, en concordancia a lo establecido en la Ley General de Transparencia y Acceso a la Información Pública. </w:t>
      </w:r>
    </w:p>
    <w:p w14:paraId="3858DB34" w14:textId="77777777" w:rsidR="004D55F8" w:rsidRPr="00390F7F" w:rsidRDefault="004D55F8">
      <w:pPr>
        <w:spacing w:line="360" w:lineRule="auto"/>
        <w:ind w:right="-93"/>
        <w:jc w:val="both"/>
        <w:rPr>
          <w:rFonts w:ascii="Palatino Linotype" w:eastAsia="Palatino Linotype" w:hAnsi="Palatino Linotype" w:cs="Palatino Linotype"/>
        </w:rPr>
      </w:pPr>
    </w:p>
    <w:p w14:paraId="43DE1DDA" w14:textId="77777777" w:rsidR="004D55F8" w:rsidRPr="00390F7F" w:rsidRDefault="00E162D9">
      <w:pPr>
        <w:spacing w:line="360" w:lineRule="auto"/>
        <w:ind w:right="-93"/>
        <w:jc w:val="both"/>
        <w:rPr>
          <w:rFonts w:ascii="Palatino Linotype" w:eastAsia="Palatino Linotype" w:hAnsi="Palatino Linotype" w:cs="Palatino Linotype"/>
        </w:rPr>
      </w:pPr>
      <w:r w:rsidRPr="00390F7F">
        <w:rPr>
          <w:rFonts w:ascii="Palatino Linotype" w:eastAsia="Palatino Linotype" w:hAnsi="Palatino Linotype" w:cs="Palatino Linotype"/>
        </w:rPr>
        <w:t>Ello, con la finalidad de asegurar su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 Además, se incluyó el deber para los sujetos obligados de proporcionar, en la medida de lo posible, esta información con valor agregado, a efecto de facilitar su uso, comprensión y permitir evaluar su calidad, confiabilidad, oportunidad y veracidad.</w:t>
      </w:r>
    </w:p>
    <w:p w14:paraId="3B2C045F" w14:textId="77777777" w:rsidR="004D55F8" w:rsidRPr="00390F7F" w:rsidRDefault="004D55F8">
      <w:pPr>
        <w:spacing w:line="360" w:lineRule="auto"/>
        <w:ind w:right="51"/>
        <w:jc w:val="both"/>
        <w:rPr>
          <w:rFonts w:ascii="Palatino Linotype" w:eastAsia="Palatino Linotype" w:hAnsi="Palatino Linotype" w:cs="Palatino Linotype"/>
        </w:rPr>
      </w:pPr>
    </w:p>
    <w:p w14:paraId="22B071A0" w14:textId="77777777" w:rsidR="004D55F8" w:rsidRPr="00390F7F" w:rsidRDefault="00E162D9">
      <w:pPr>
        <w:spacing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Sobre la </w:t>
      </w:r>
      <w:r w:rsidRPr="00390F7F">
        <w:rPr>
          <w:rFonts w:ascii="Palatino Linotype" w:eastAsia="Palatino Linotype" w:hAnsi="Palatino Linotype" w:cs="Palatino Linotype"/>
          <w:b/>
        </w:rPr>
        <w:t>clave catastral</w:t>
      </w:r>
      <w:r w:rsidRPr="00390F7F">
        <w:rPr>
          <w:rFonts w:ascii="Palatino Linotype" w:eastAsia="Palatino Linotype" w:hAnsi="Palatino Linotype" w:cs="Palatino Linotype"/>
        </w:rPr>
        <w:t xml:space="preserve"> debe decirse que artículo 179, fracción I del </w:t>
      </w:r>
      <w:r w:rsidRPr="00390F7F">
        <w:rPr>
          <w:rFonts w:ascii="Palatino Linotype" w:eastAsia="Palatino Linotype" w:hAnsi="Palatino Linotype" w:cs="Palatino Linotype"/>
          <w:i/>
        </w:rPr>
        <w:t>Código Financiero del Estado de México y Municipios,</w:t>
      </w:r>
      <w:r w:rsidRPr="00390F7F">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6603DB0B" w14:textId="77777777" w:rsidR="004D55F8" w:rsidRPr="00390F7F" w:rsidRDefault="00E162D9">
      <w:pPr>
        <w:spacing w:before="240" w:after="240" w:line="360" w:lineRule="auto"/>
        <w:ind w:right="-93"/>
        <w:jc w:val="both"/>
        <w:rPr>
          <w:rFonts w:ascii="Palatino Linotype" w:eastAsia="Palatino Linotype" w:hAnsi="Palatino Linotype" w:cs="Palatino Linotype"/>
        </w:rPr>
      </w:pPr>
      <w:r w:rsidRPr="00390F7F">
        <w:rPr>
          <w:rFonts w:ascii="Palatino Linotype" w:eastAsia="Palatino Linotype" w:hAnsi="Palatino Linotype" w:cs="Palatino Linotype"/>
        </w:rPr>
        <w:t>Conforme a lo descrito, se advierte que el dato en comento, hace referencia a un predio determinado.</w:t>
      </w:r>
    </w:p>
    <w:p w14:paraId="3CF71F9F"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14:paraId="6F84DC71" w14:textId="77777777" w:rsidR="004D55F8" w:rsidRPr="00390F7F" w:rsidRDefault="00E162D9">
      <w:pPr>
        <w:spacing w:before="120" w:after="120"/>
        <w:ind w:left="709" w:right="85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lastRenderedPageBreak/>
        <w:t>“</w:t>
      </w:r>
      <w:r w:rsidRPr="00390F7F">
        <w:rPr>
          <w:rFonts w:ascii="Palatino Linotype" w:eastAsia="Palatino Linotype" w:hAnsi="Palatino Linotype" w:cs="Palatino Linotype"/>
          <w:b/>
          <w:i/>
          <w:sz w:val="22"/>
          <w:szCs w:val="22"/>
        </w:rPr>
        <w:t>Clave Catastral</w:t>
      </w:r>
      <w:r w:rsidRPr="00390F7F">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catastrales.”(Sic)</w:t>
      </w:r>
    </w:p>
    <w:p w14:paraId="5709D868"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2FBFE347"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cuanto al </w:t>
      </w:r>
      <w:r w:rsidRPr="00390F7F">
        <w:rPr>
          <w:rFonts w:ascii="Palatino Linotype" w:eastAsia="Palatino Linotype" w:hAnsi="Palatino Linotype" w:cs="Palatino Linotype"/>
          <w:b/>
        </w:rPr>
        <w:t>nombre de representante legal</w:t>
      </w:r>
      <w:r w:rsidRPr="00390F7F">
        <w:rPr>
          <w:rFonts w:ascii="Palatino Linotype" w:eastAsia="Palatino Linotype" w:hAnsi="Palatino Linotype" w:cs="Palatino Linotype"/>
        </w:rPr>
        <w:t>, al respecto,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solicitar y recibir diversas Licencias de Funcionamiento.</w:t>
      </w:r>
    </w:p>
    <w:p w14:paraId="6F7ED7EF" w14:textId="77777777" w:rsidR="004D55F8" w:rsidRPr="00390F7F" w:rsidRDefault="00E162D9">
      <w:pPr>
        <w:widowControl w:val="0"/>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702ECE0D" w14:textId="77777777" w:rsidR="004D55F8" w:rsidRPr="00390F7F" w:rsidRDefault="004D55F8">
      <w:pPr>
        <w:spacing w:line="360" w:lineRule="auto"/>
        <w:jc w:val="both"/>
        <w:rPr>
          <w:rFonts w:ascii="Palatino Linotype" w:eastAsia="Palatino Linotype" w:hAnsi="Palatino Linotype" w:cs="Palatino Linotype"/>
        </w:rPr>
      </w:pPr>
    </w:p>
    <w:p w14:paraId="4EA3CE05"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En esa tesitura, la representación de las personas morales se realizará por medio de representantes o apoderados, y en el caso específico de las sociedades mercantiles, dicha representación se otorgará mediante instrumento público.</w:t>
      </w:r>
    </w:p>
    <w:p w14:paraId="7D23750C" w14:textId="77777777" w:rsidR="004D55F8" w:rsidRPr="00390F7F" w:rsidRDefault="004D55F8">
      <w:pPr>
        <w:spacing w:line="360" w:lineRule="auto"/>
        <w:jc w:val="both"/>
        <w:rPr>
          <w:rFonts w:ascii="Palatino Linotype" w:eastAsia="Palatino Linotype" w:hAnsi="Palatino Linotype" w:cs="Palatino Linotype"/>
        </w:rPr>
      </w:pPr>
    </w:p>
    <w:p w14:paraId="544E4864"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14:paraId="5A3C080E" w14:textId="77777777" w:rsidR="004D55F8" w:rsidRPr="00390F7F" w:rsidRDefault="004D55F8">
      <w:pPr>
        <w:spacing w:line="360" w:lineRule="auto"/>
        <w:jc w:val="both"/>
        <w:rPr>
          <w:rFonts w:ascii="Palatino Linotype" w:eastAsia="Palatino Linotype" w:hAnsi="Palatino Linotype" w:cs="Palatino Linotype"/>
        </w:rPr>
      </w:pPr>
    </w:p>
    <w:p w14:paraId="4C0DF839"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w:t>
      </w:r>
      <w:r w:rsidRPr="00390F7F">
        <w:rPr>
          <w:rFonts w:ascii="Palatino Linotype" w:eastAsia="Palatino Linotype" w:hAnsi="Palatino Linotype" w:cs="Palatino Linotype"/>
          <w:b/>
        </w:rPr>
        <w:t xml:space="preserve">es público, </w:t>
      </w:r>
      <w:r w:rsidRPr="00390F7F">
        <w:rPr>
          <w:rFonts w:ascii="Palatino Linotype" w:eastAsia="Palatino Linotype" w:hAnsi="Palatino Linotype" w:cs="Palatino Linotype"/>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4EF87534" w14:textId="77777777" w:rsidR="004D55F8" w:rsidRPr="00390F7F" w:rsidRDefault="004D55F8">
      <w:pPr>
        <w:spacing w:line="360" w:lineRule="auto"/>
        <w:jc w:val="both"/>
        <w:rPr>
          <w:rFonts w:ascii="Palatino Linotype" w:eastAsia="Palatino Linotype" w:hAnsi="Palatino Linotype" w:cs="Palatino Linotype"/>
        </w:rPr>
      </w:pPr>
    </w:p>
    <w:p w14:paraId="2CB52535"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Lo anterior, se robustece con el criterio 01/19, emitido por el Instituto Nacional de Transparencia, Acceso a la Información Pública y Protección de Datos Personales, que establece lo siguiente:</w:t>
      </w:r>
    </w:p>
    <w:p w14:paraId="3C612983" w14:textId="77777777" w:rsidR="004D55F8" w:rsidRPr="00390F7F" w:rsidRDefault="004D55F8">
      <w:pPr>
        <w:spacing w:line="360" w:lineRule="auto"/>
        <w:ind w:left="567" w:right="567"/>
        <w:jc w:val="both"/>
        <w:rPr>
          <w:rFonts w:ascii="Palatino Linotype" w:eastAsia="Palatino Linotype" w:hAnsi="Palatino Linotype" w:cs="Palatino Linotype"/>
          <w:b/>
          <w:i/>
        </w:rPr>
      </w:pPr>
    </w:p>
    <w:p w14:paraId="76825676" w14:textId="77777777" w:rsidR="004D55F8" w:rsidRPr="00390F7F" w:rsidRDefault="00E162D9">
      <w:pPr>
        <w:ind w:left="567" w:right="53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lastRenderedPageBreak/>
        <w:t>“Datos de identificación del representante o apoderado legal.</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rPr>
        <w:t xml:space="preserve">Naturaleza jurídica. </w:t>
      </w:r>
      <w:r w:rsidRPr="00390F7F">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jurídico.”(Sic)</w:t>
      </w:r>
    </w:p>
    <w:p w14:paraId="013BDED6" w14:textId="77777777" w:rsidR="004D55F8" w:rsidRPr="00390F7F" w:rsidRDefault="004D55F8">
      <w:pPr>
        <w:spacing w:line="360" w:lineRule="auto"/>
        <w:jc w:val="both"/>
        <w:rPr>
          <w:rFonts w:ascii="Palatino Linotype" w:eastAsia="Palatino Linotype" w:hAnsi="Palatino Linotype" w:cs="Palatino Linotype"/>
        </w:rPr>
      </w:pPr>
    </w:p>
    <w:p w14:paraId="70E075DB"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Ante tales situaciones, el nombre del representante legal, de una persona jurídica colectiva que solicito una Licencia de Funcionamiento, no es susceptible de ser clasificado como confidencial, en términos del artículo 143, fracción I de la Ley Federal de Transparencia y Acceso a la Información Pública; inclusive ayuda a rendir cuentas, de que dicha autorización fue entregada a la persona adecuada.</w:t>
      </w:r>
    </w:p>
    <w:p w14:paraId="6E1642A6" w14:textId="77777777" w:rsidR="004D55F8" w:rsidRPr="00390F7F" w:rsidRDefault="004D55F8">
      <w:pPr>
        <w:spacing w:line="360" w:lineRule="auto"/>
        <w:ind w:right="51"/>
        <w:jc w:val="both"/>
        <w:rPr>
          <w:rFonts w:ascii="Palatino Linotype" w:eastAsia="Palatino Linotype" w:hAnsi="Palatino Linotype" w:cs="Palatino Linotype"/>
        </w:rPr>
      </w:pPr>
    </w:p>
    <w:p w14:paraId="6707DBDB"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 cuanto al </w:t>
      </w:r>
      <w:r w:rsidRPr="00390F7F">
        <w:rPr>
          <w:rFonts w:ascii="Palatino Linotype" w:eastAsia="Palatino Linotype" w:hAnsi="Palatino Linotype" w:cs="Palatino Linotype"/>
          <w:b/>
        </w:rPr>
        <w:t>domicilio particular del titular de la licencia de funcionamiento y el domicilio del local o establecimiento comercial</w:t>
      </w:r>
      <w:r w:rsidRPr="00390F7F">
        <w:rPr>
          <w:rFonts w:ascii="Palatino Linotype" w:eastAsia="Palatino Linotype" w:hAnsi="Palatino Linotype" w:cs="Palatino Linotype"/>
        </w:rPr>
        <w:t>, es dable precisar que el código civil, lo define de la siguiente manera:</w:t>
      </w:r>
    </w:p>
    <w:p w14:paraId="338A3CA6" w14:textId="77777777" w:rsidR="004D55F8" w:rsidRPr="00390F7F" w:rsidRDefault="004D55F8">
      <w:pPr>
        <w:spacing w:line="360" w:lineRule="auto"/>
        <w:jc w:val="both"/>
        <w:rPr>
          <w:rFonts w:ascii="Palatino Linotype" w:eastAsia="Palatino Linotype" w:hAnsi="Palatino Linotype" w:cs="Palatino Linotype"/>
        </w:rPr>
      </w:pPr>
    </w:p>
    <w:p w14:paraId="594568D8" w14:textId="77777777" w:rsidR="004D55F8" w:rsidRPr="00390F7F" w:rsidRDefault="00E162D9">
      <w:pPr>
        <w:ind w:left="567" w:right="618"/>
        <w:jc w:val="both"/>
      </w:pPr>
      <w:r w:rsidRPr="00390F7F">
        <w:rPr>
          <w:rFonts w:ascii="Palatino Linotype" w:eastAsia="Palatino Linotype" w:hAnsi="Palatino Linotype" w:cs="Palatino Linotype"/>
          <w:i/>
          <w:sz w:val="22"/>
          <w:szCs w:val="22"/>
        </w:rPr>
        <w:t>“Concepto de domicilio de las personas físicas Artículo 2.17.- El domicilio de una persona física es el lugar donde reside con el propósito de establecerse en él; a falta de éste, el lugar en que tiene el principal asiento de sus negocios; y a falta de uno y otro, el lugar en que se halle.”</w:t>
      </w:r>
      <w:r w:rsidRPr="00390F7F">
        <w:t xml:space="preserve"> </w:t>
      </w:r>
    </w:p>
    <w:p w14:paraId="56D41DAE" w14:textId="77777777" w:rsidR="004D55F8" w:rsidRPr="00390F7F" w:rsidRDefault="004D55F8">
      <w:pPr>
        <w:spacing w:line="360" w:lineRule="auto"/>
        <w:jc w:val="both"/>
      </w:pPr>
    </w:p>
    <w:p w14:paraId="228375AD"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Entonces se identifica que el domicilio no solamente permite identificar a una persona, sino que la hace localizable de manera física. </w:t>
      </w:r>
    </w:p>
    <w:p w14:paraId="2846430B" w14:textId="77777777" w:rsidR="004D55F8" w:rsidRPr="00390F7F" w:rsidRDefault="004D55F8">
      <w:pPr>
        <w:spacing w:line="360" w:lineRule="auto"/>
        <w:jc w:val="both"/>
        <w:rPr>
          <w:rFonts w:ascii="Palatino Linotype" w:eastAsia="Palatino Linotype" w:hAnsi="Palatino Linotype" w:cs="Palatino Linotype"/>
        </w:rPr>
      </w:pPr>
    </w:p>
    <w:p w14:paraId="2A86C4A1"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Ahora bien, en el caso que nos ocupa, el domicilio particular del titular de la licencia de funcionamiento, este dato se clasifica, en términos al criterio 01/18, del Instituto </w:t>
      </w:r>
      <w:r w:rsidRPr="00390F7F">
        <w:rPr>
          <w:rFonts w:ascii="Palatino Linotype" w:eastAsia="Palatino Linotype" w:hAnsi="Palatino Linotype" w:cs="Palatino Linotype"/>
        </w:rPr>
        <w:lastRenderedPageBreak/>
        <w:t>de Transparencia y Acceso a la Información Pública del Estado de México, ya señalado.</w:t>
      </w:r>
    </w:p>
    <w:p w14:paraId="0F3220D8" w14:textId="77777777" w:rsidR="004D55F8" w:rsidRPr="00390F7F" w:rsidRDefault="004D55F8">
      <w:pPr>
        <w:spacing w:line="360" w:lineRule="auto"/>
        <w:jc w:val="both"/>
        <w:rPr>
          <w:rFonts w:ascii="Palatino Linotype" w:eastAsia="Palatino Linotype" w:hAnsi="Palatino Linotype" w:cs="Palatino Linotype"/>
        </w:rPr>
      </w:pPr>
    </w:p>
    <w:p w14:paraId="1122B578"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No así en cuanto al domicilio del local o establecimiento comercial, ya que se identifica que el domicilio sobre el cual versa la licencia de funcionamiento es información de naturaleza pública.</w:t>
      </w:r>
    </w:p>
    <w:p w14:paraId="7B987C81" w14:textId="77777777" w:rsidR="004D55F8" w:rsidRPr="00390F7F" w:rsidRDefault="004D55F8">
      <w:pPr>
        <w:spacing w:line="360" w:lineRule="auto"/>
        <w:jc w:val="both"/>
        <w:rPr>
          <w:rFonts w:ascii="Palatino Linotype" w:eastAsia="Palatino Linotype" w:hAnsi="Palatino Linotype" w:cs="Palatino Linotype"/>
        </w:rPr>
      </w:pPr>
    </w:p>
    <w:p w14:paraId="23ED5EBF"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Del Registro Federal de Contribuyentes (RFC), en las licencias de funcionamiento, puede ser de personas físicas y morales.</w:t>
      </w:r>
    </w:p>
    <w:p w14:paraId="64587EDB" w14:textId="77777777" w:rsidR="004D55F8" w:rsidRPr="00390F7F" w:rsidRDefault="004D55F8">
      <w:pPr>
        <w:spacing w:line="360" w:lineRule="auto"/>
        <w:jc w:val="both"/>
        <w:rPr>
          <w:rFonts w:ascii="Palatino Linotype" w:eastAsia="Palatino Linotype" w:hAnsi="Palatino Linotype" w:cs="Palatino Linotype"/>
        </w:rPr>
      </w:pPr>
    </w:p>
    <w:p w14:paraId="32077D9D"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El Registro Federal de Contribuyentes de personas físicas,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w:t>
      </w:r>
    </w:p>
    <w:p w14:paraId="646AB2A5" w14:textId="77777777" w:rsidR="004D55F8" w:rsidRPr="00390F7F" w:rsidRDefault="004D55F8">
      <w:pPr>
        <w:spacing w:line="360" w:lineRule="auto"/>
        <w:jc w:val="both"/>
        <w:rPr>
          <w:rFonts w:ascii="Palatino Linotype" w:eastAsia="Palatino Linotype" w:hAnsi="Palatino Linotype" w:cs="Palatino Linotype"/>
        </w:rPr>
      </w:pPr>
    </w:p>
    <w:p w14:paraId="6C545023"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6Lo anterior, resulta congruente con el Criterio 19/17 emitido por el Instituto Nacional de Transparencia, Acceso a la Información y Protección de Datos Personales, en el cual se señala lo siguiente:</w:t>
      </w:r>
    </w:p>
    <w:p w14:paraId="799333A4" w14:textId="77777777" w:rsidR="004D55F8" w:rsidRPr="00390F7F" w:rsidRDefault="004D55F8">
      <w:pPr>
        <w:spacing w:line="360" w:lineRule="auto"/>
        <w:jc w:val="both"/>
        <w:rPr>
          <w:rFonts w:ascii="Palatino Linotype" w:eastAsia="Palatino Linotype" w:hAnsi="Palatino Linotype" w:cs="Palatino Linotype"/>
        </w:rPr>
      </w:pPr>
    </w:p>
    <w:p w14:paraId="1F310E32" w14:textId="77777777" w:rsidR="004D55F8" w:rsidRPr="00390F7F" w:rsidRDefault="00E162D9">
      <w:pPr>
        <w:ind w:left="567" w:right="618"/>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37FA5221" w14:textId="77777777" w:rsidR="004D55F8" w:rsidRPr="00390F7F" w:rsidRDefault="004D55F8">
      <w:pPr>
        <w:spacing w:line="360" w:lineRule="auto"/>
        <w:jc w:val="both"/>
        <w:rPr>
          <w:rFonts w:ascii="Palatino Linotype" w:eastAsia="Palatino Linotype" w:hAnsi="Palatino Linotype" w:cs="Palatino Linotype"/>
        </w:rPr>
      </w:pPr>
    </w:p>
    <w:p w14:paraId="192D9E26"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 xml:space="preserve">Al respecto, se destaca que la versión pública que elabore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90F7F">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90F7F">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618C956" w14:textId="77777777" w:rsidR="004D55F8" w:rsidRPr="00390F7F" w:rsidRDefault="004D55F8">
      <w:pPr>
        <w:ind w:left="709" w:right="709"/>
        <w:jc w:val="both"/>
        <w:rPr>
          <w:rFonts w:ascii="Palatino Linotype" w:eastAsia="Palatino Linotype" w:hAnsi="Palatino Linotype" w:cs="Palatino Linotype"/>
          <w:b/>
          <w:i/>
          <w:sz w:val="22"/>
          <w:szCs w:val="22"/>
        </w:rPr>
      </w:pPr>
    </w:p>
    <w:p w14:paraId="7FF09E30"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CF18F3F"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i/>
          <w:sz w:val="22"/>
          <w:szCs w:val="22"/>
        </w:rPr>
        <w:t>“</w:t>
      </w:r>
      <w:r w:rsidRPr="00390F7F">
        <w:rPr>
          <w:rFonts w:ascii="Palatino Linotype" w:eastAsia="Palatino Linotype" w:hAnsi="Palatino Linotype" w:cs="Palatino Linotype"/>
          <w:b/>
          <w:i/>
          <w:sz w:val="22"/>
          <w:szCs w:val="22"/>
        </w:rPr>
        <w:t>Segundo.-</w:t>
      </w:r>
      <w:r w:rsidRPr="00390F7F">
        <w:rPr>
          <w:rFonts w:ascii="Palatino Linotype" w:eastAsia="Palatino Linotype" w:hAnsi="Palatino Linotype" w:cs="Palatino Linotype"/>
          <w:i/>
          <w:sz w:val="22"/>
          <w:szCs w:val="22"/>
        </w:rPr>
        <w:t xml:space="preserve"> Para efectos de los presentes Lineamientos Generales, se entenderá por:</w:t>
      </w:r>
    </w:p>
    <w:p w14:paraId="6A114ECF"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XVIII.</w:t>
      </w:r>
      <w:r w:rsidRPr="00390F7F">
        <w:rPr>
          <w:rFonts w:ascii="Palatino Linotype" w:eastAsia="Palatino Linotype" w:hAnsi="Palatino Linotype" w:cs="Palatino Linotype"/>
          <w:i/>
          <w:sz w:val="22"/>
          <w:szCs w:val="22"/>
        </w:rPr>
        <w:t xml:space="preserve"> </w:t>
      </w:r>
      <w:r w:rsidRPr="00390F7F">
        <w:rPr>
          <w:rFonts w:ascii="Palatino Linotype" w:eastAsia="Palatino Linotype" w:hAnsi="Palatino Linotype" w:cs="Palatino Linotype"/>
          <w:b/>
          <w:i/>
          <w:sz w:val="22"/>
          <w:szCs w:val="22"/>
        </w:rPr>
        <w:t>Versión pública:</w:t>
      </w:r>
      <w:r w:rsidRPr="00390F7F">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90F7F">
        <w:rPr>
          <w:rFonts w:ascii="Palatino Linotype" w:eastAsia="Palatino Linotype" w:hAnsi="Palatino Linotype" w:cs="Palatino Linotype"/>
          <w:b/>
          <w:i/>
          <w:sz w:val="22"/>
          <w:szCs w:val="22"/>
          <w:u w:val="single"/>
        </w:rPr>
        <w:t>fundando y motivando la</w:t>
      </w:r>
      <w:r w:rsidRPr="00390F7F">
        <w:rPr>
          <w:rFonts w:ascii="Palatino Linotype" w:eastAsia="Palatino Linotype" w:hAnsi="Palatino Linotype" w:cs="Palatino Linotype"/>
          <w:i/>
          <w:sz w:val="22"/>
          <w:szCs w:val="22"/>
        </w:rPr>
        <w:t xml:space="preserve"> reserva o </w:t>
      </w:r>
      <w:r w:rsidRPr="00390F7F">
        <w:rPr>
          <w:rFonts w:ascii="Palatino Linotype" w:eastAsia="Palatino Linotype" w:hAnsi="Palatino Linotype" w:cs="Palatino Linotype"/>
          <w:b/>
          <w:i/>
          <w:sz w:val="22"/>
          <w:szCs w:val="22"/>
          <w:u w:val="single"/>
        </w:rPr>
        <w:t>confidencialidad</w:t>
      </w:r>
      <w:r w:rsidRPr="00390F7F">
        <w:rPr>
          <w:rFonts w:ascii="Palatino Linotype" w:eastAsia="Palatino Linotype" w:hAnsi="Palatino Linotype" w:cs="Palatino Linotype"/>
          <w:i/>
          <w:sz w:val="22"/>
          <w:szCs w:val="22"/>
        </w:rPr>
        <w:t>, a través de la resolución que para tal efecto emita el Comité de Transparencia.</w:t>
      </w:r>
    </w:p>
    <w:p w14:paraId="35093CC2"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Cuarto.</w:t>
      </w:r>
      <w:r w:rsidRPr="00390F7F">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6CA4FC"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9022E76"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lastRenderedPageBreak/>
        <w:t>Quinto.</w:t>
      </w:r>
      <w:r w:rsidRPr="00390F7F">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3BD59AF"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w:t>
      </w:r>
    </w:p>
    <w:p w14:paraId="622648DE"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Séptimo.</w:t>
      </w:r>
      <w:r w:rsidRPr="00390F7F">
        <w:rPr>
          <w:rFonts w:ascii="Palatino Linotype" w:eastAsia="Palatino Linotype" w:hAnsi="Palatino Linotype" w:cs="Palatino Linotype"/>
          <w:i/>
          <w:sz w:val="22"/>
          <w:szCs w:val="22"/>
        </w:rPr>
        <w:t xml:space="preserve"> La clasificación de la información se llevará a cabo en el momento en que:</w:t>
      </w:r>
    </w:p>
    <w:p w14:paraId="71C652A0"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I.</w:t>
      </w:r>
      <w:r w:rsidRPr="00390F7F">
        <w:rPr>
          <w:rFonts w:ascii="Palatino Linotype" w:eastAsia="Palatino Linotype" w:hAnsi="Palatino Linotype" w:cs="Palatino Linotype"/>
          <w:i/>
          <w:sz w:val="22"/>
          <w:szCs w:val="22"/>
        </w:rPr>
        <w:t xml:space="preserve"> Se reciba una solicitud de acceso a la información;</w:t>
      </w:r>
    </w:p>
    <w:p w14:paraId="605CA621" w14:textId="77777777" w:rsidR="004D55F8" w:rsidRPr="00390F7F" w:rsidRDefault="00E162D9">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II.</w:t>
      </w:r>
      <w:r w:rsidRPr="00390F7F">
        <w:rPr>
          <w:rFonts w:ascii="Palatino Linotype" w:eastAsia="Palatino Linotype" w:hAnsi="Palatino Linotype" w:cs="Palatino Linotype"/>
          <w:i/>
          <w:sz w:val="22"/>
          <w:szCs w:val="22"/>
        </w:rPr>
        <w:t xml:space="preserve"> Se  determine mediante resolución del Comité de Transparencia, el órgano garante </w:t>
      </w:r>
    </w:p>
    <w:p w14:paraId="5D5E304E" w14:textId="77777777" w:rsidR="004D55F8" w:rsidRPr="00390F7F" w:rsidRDefault="00E162D9">
      <w:pPr>
        <w:pBdr>
          <w:top w:val="nil"/>
          <w:left w:val="nil"/>
          <w:bottom w:val="nil"/>
          <w:right w:val="nil"/>
          <w:between w:val="nil"/>
        </w:pBdr>
        <w:ind w:left="709" w:right="709"/>
        <w:jc w:val="both"/>
      </w:pPr>
      <w:proofErr w:type="gramStart"/>
      <w:r w:rsidRPr="00390F7F">
        <w:rPr>
          <w:rFonts w:ascii="Palatino Linotype" w:eastAsia="Palatino Linotype" w:hAnsi="Palatino Linotype" w:cs="Palatino Linotype"/>
          <w:i/>
          <w:sz w:val="22"/>
          <w:szCs w:val="22"/>
        </w:rPr>
        <w:t>competente</w:t>
      </w:r>
      <w:proofErr w:type="gramEnd"/>
      <w:r w:rsidRPr="00390F7F">
        <w:rPr>
          <w:rFonts w:ascii="Palatino Linotype" w:eastAsia="Palatino Linotype" w:hAnsi="Palatino Linotype" w:cs="Palatino Linotype"/>
          <w:i/>
          <w:sz w:val="22"/>
          <w:szCs w:val="22"/>
        </w:rPr>
        <w:t>, o en cumplimiento a una sentencia del Poder Judicial; o</w:t>
      </w:r>
    </w:p>
    <w:p w14:paraId="017004E5"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III.</w:t>
      </w:r>
      <w:r w:rsidRPr="00390F7F">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1786F87"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45B5992"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Octavo.</w:t>
      </w:r>
      <w:r w:rsidRPr="00390F7F">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F881EEF"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417C26B" w14:textId="77777777" w:rsidR="004D55F8" w:rsidRPr="00390F7F" w:rsidRDefault="00E162D9">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E8A45A2"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Noveno.</w:t>
      </w:r>
      <w:r w:rsidRPr="00390F7F">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9E2B9F"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b/>
          <w:i/>
          <w:sz w:val="22"/>
          <w:szCs w:val="22"/>
        </w:rPr>
        <w:t>Décimo.</w:t>
      </w:r>
      <w:r w:rsidRPr="00390F7F">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390F7F">
        <w:rPr>
          <w:rFonts w:ascii="Palatino Linotype" w:eastAsia="Palatino Linotype" w:hAnsi="Palatino Linotype" w:cs="Palatino Linotype"/>
          <w:i/>
          <w:sz w:val="22"/>
          <w:szCs w:val="22"/>
        </w:rPr>
        <w:lastRenderedPageBreak/>
        <w:t>información clasificada, en los términos de la Ley General de Archivos, Lineamientos para la Organización y Conservación de Archivos y demás normatividad aplicable.</w:t>
      </w:r>
    </w:p>
    <w:p w14:paraId="23FC4F73"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180BCB4" w14:textId="77777777" w:rsidR="004D55F8" w:rsidRPr="00390F7F" w:rsidRDefault="00E162D9">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Décimo primero.</w:t>
      </w:r>
      <w:r w:rsidRPr="00390F7F">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2D41BA2" w14:textId="77777777" w:rsidR="004D55F8" w:rsidRPr="00390F7F" w:rsidRDefault="004D55F8">
      <w:pPr>
        <w:pBdr>
          <w:top w:val="nil"/>
          <w:left w:val="nil"/>
          <w:bottom w:val="nil"/>
          <w:right w:val="nil"/>
          <w:between w:val="nil"/>
        </w:pBdr>
        <w:ind w:right="709"/>
        <w:jc w:val="both"/>
      </w:pPr>
    </w:p>
    <w:p w14:paraId="7E34F24F" w14:textId="77777777" w:rsidR="004D55F8" w:rsidRPr="00390F7F" w:rsidRDefault="00E162D9">
      <w:pPr>
        <w:pBdr>
          <w:top w:val="nil"/>
          <w:left w:val="nil"/>
          <w:bottom w:val="nil"/>
          <w:right w:val="nil"/>
          <w:between w:val="nil"/>
        </w:pBdr>
        <w:ind w:left="709" w:right="709"/>
        <w:jc w:val="both"/>
      </w:pPr>
      <w:r w:rsidRPr="00390F7F">
        <w:rPr>
          <w:rFonts w:ascii="Palatino Linotype" w:eastAsia="Palatino Linotype" w:hAnsi="Palatino Linotype" w:cs="Palatino Linotype"/>
          <w:i/>
          <w:sz w:val="22"/>
          <w:szCs w:val="22"/>
        </w:rPr>
        <w:t>[…]</w:t>
      </w:r>
    </w:p>
    <w:p w14:paraId="5040C672" w14:textId="77777777" w:rsidR="004D55F8" w:rsidRPr="00390F7F" w:rsidRDefault="00E162D9">
      <w:pPr>
        <w:pBdr>
          <w:top w:val="nil"/>
          <w:left w:val="nil"/>
          <w:bottom w:val="nil"/>
          <w:right w:val="nil"/>
          <w:between w:val="nil"/>
        </w:pBdr>
        <w:ind w:left="709" w:right="709"/>
        <w:jc w:val="center"/>
      </w:pPr>
      <w:r w:rsidRPr="00390F7F">
        <w:rPr>
          <w:rFonts w:ascii="Palatino Linotype" w:eastAsia="Palatino Linotype" w:hAnsi="Palatino Linotype" w:cs="Palatino Linotype"/>
          <w:b/>
          <w:i/>
          <w:sz w:val="22"/>
          <w:szCs w:val="22"/>
        </w:rPr>
        <w:t>CAPÍTULO VIII</w:t>
      </w:r>
    </w:p>
    <w:p w14:paraId="6009E618" w14:textId="77777777" w:rsidR="004D55F8" w:rsidRPr="00390F7F" w:rsidRDefault="00E162D9">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390F7F">
        <w:rPr>
          <w:rFonts w:ascii="Palatino Linotype" w:eastAsia="Palatino Linotype" w:hAnsi="Palatino Linotype" w:cs="Palatino Linotype"/>
          <w:b/>
          <w:i/>
          <w:sz w:val="22"/>
          <w:szCs w:val="22"/>
        </w:rPr>
        <w:t>DE LOS ELEMENTOS PARA LA CLASIFICACIÓN</w:t>
      </w:r>
    </w:p>
    <w:p w14:paraId="76CD0906"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Quincuagésimo</w:t>
      </w:r>
      <w:r w:rsidRPr="00390F7F">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2E01102"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Quincuagésimo primero</w:t>
      </w:r>
      <w:r w:rsidRPr="00390F7F">
        <w:rPr>
          <w:rFonts w:ascii="Palatino Linotype" w:eastAsia="Palatino Linotype" w:hAnsi="Palatino Linotype" w:cs="Palatino Linotype"/>
          <w:i/>
          <w:sz w:val="22"/>
          <w:szCs w:val="22"/>
        </w:rPr>
        <w:t>. Toda acta del Comité de Transparencia deberá contener:</w:t>
      </w:r>
    </w:p>
    <w:p w14:paraId="58F94DDF"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I. El número de sesión y fecha; </w:t>
      </w:r>
    </w:p>
    <w:p w14:paraId="6F2D3D2D"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 El nombre del área que solicitó la clasificación de información;</w:t>
      </w:r>
    </w:p>
    <w:p w14:paraId="3590C708"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III. La fundamentación legal y motivación correspondiente;</w:t>
      </w:r>
    </w:p>
    <w:p w14:paraId="0E30561A"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IV. La resolución o resoluciones aprobadas; y</w:t>
      </w:r>
    </w:p>
    <w:p w14:paraId="6F63CEE7"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V. La rúbrica o firma digital de cada integrante del Comité de Transparencia. </w:t>
      </w:r>
    </w:p>
    <w:p w14:paraId="63055B3E"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5F8A45F1"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 Los motivos y razonamientos que sustenten la confirmación o modificación de la prueba de daño;</w:t>
      </w:r>
    </w:p>
    <w:p w14:paraId="56AA2862"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 Descripción de las partes o secciones reservadas, en caso de clasificación parcial;</w:t>
      </w:r>
    </w:p>
    <w:p w14:paraId="58DC1EC7"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III. El periodo por el que mantendrá su clasificación y fecha de expiración; y</w:t>
      </w:r>
    </w:p>
    <w:p w14:paraId="0F9596B5"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IV. El nombre del titular y área encargada de realizar la versión pública del documento, en su caso.</w:t>
      </w:r>
    </w:p>
    <w:p w14:paraId="78C34C22"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774C9EE6"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178C2C8"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b/>
          <w:i/>
          <w:sz w:val="22"/>
          <w:szCs w:val="22"/>
        </w:rPr>
        <w:t>Quincuagésimo segundo</w:t>
      </w:r>
      <w:r w:rsidRPr="00390F7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390F7F">
        <w:rPr>
          <w:rFonts w:ascii="Palatino Linotype" w:eastAsia="Palatino Linotype" w:hAnsi="Palatino Linotype" w:cs="Palatino Linotype"/>
          <w:i/>
          <w:sz w:val="22"/>
          <w:szCs w:val="22"/>
        </w:rPr>
        <w:t>sobreposición</w:t>
      </w:r>
      <w:proofErr w:type="spellEnd"/>
      <w:r w:rsidRPr="00390F7F">
        <w:rPr>
          <w:rFonts w:ascii="Palatino Linotype" w:eastAsia="Palatino Linotype" w:hAnsi="Palatino Linotype" w:cs="Palatino Linotype"/>
          <w:i/>
          <w:sz w:val="22"/>
          <w:szCs w:val="22"/>
        </w:rPr>
        <w:t xml:space="preserve"> de contenido distinto al autorizado por el Comité.</w:t>
      </w:r>
    </w:p>
    <w:p w14:paraId="20D55BC8"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42EDB6D"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4A4C14A"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3F97DB72"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III. Señalar las personas o instancias autorizadas a acceder a la información clasificada.</w:t>
      </w:r>
    </w:p>
    <w:p w14:paraId="3FCA7AA8"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5D05B7E" w14:textId="77777777" w:rsidR="004D55F8" w:rsidRPr="00390F7F" w:rsidRDefault="00E162D9">
      <w:pPr>
        <w:pBdr>
          <w:top w:val="nil"/>
          <w:left w:val="nil"/>
          <w:bottom w:val="nil"/>
          <w:right w:val="nil"/>
          <w:between w:val="nil"/>
        </w:pBdr>
        <w:spacing w:after="160"/>
        <w:ind w:left="709" w:right="709"/>
        <w:jc w:val="both"/>
      </w:pPr>
      <w:r w:rsidRPr="00390F7F">
        <w:rPr>
          <w:rFonts w:ascii="Palatino Linotype" w:eastAsia="Palatino Linotype" w:hAnsi="Palatino Linotype" w:cs="Palatino Linotype"/>
          <w:b/>
          <w:i/>
          <w:sz w:val="22"/>
          <w:szCs w:val="22"/>
        </w:rPr>
        <w:t xml:space="preserve">Quincuagésimo tercero. </w:t>
      </w:r>
      <w:r w:rsidRPr="00390F7F">
        <w:rPr>
          <w:rFonts w:ascii="Palatino Linotype" w:eastAsia="Palatino Linotype" w:hAnsi="Palatino Linotype" w:cs="Palatino Linotype"/>
          <w:b/>
          <w:i/>
          <w:sz w:val="22"/>
          <w:szCs w:val="22"/>
          <w:u w:val="single"/>
        </w:rPr>
        <w:t>El formato para señalar la clasificación de un documento o expediente que contenga información reservada, es el siguiente</w:t>
      </w:r>
      <w:proofErr w:type="gramStart"/>
      <w:r w:rsidRPr="00390F7F">
        <w:rPr>
          <w:rFonts w:ascii="Palatino Linotype" w:eastAsia="Palatino Linotype" w:hAnsi="Palatino Linotype" w:cs="Palatino Linotype"/>
          <w:b/>
          <w:i/>
          <w:sz w:val="22"/>
          <w:szCs w:val="22"/>
          <w:u w:val="single"/>
        </w:rPr>
        <w:t>:</w:t>
      </w:r>
      <w:r w:rsidRPr="00390F7F">
        <w:rPr>
          <w:rFonts w:ascii="Palatino Linotype" w:eastAsia="Palatino Linotype" w:hAnsi="Palatino Linotype" w:cs="Palatino Linotype"/>
          <w:i/>
          <w:sz w:val="22"/>
          <w:szCs w:val="22"/>
        </w:rPr>
        <w:t>:</w:t>
      </w:r>
      <w:proofErr w:type="gramEnd"/>
    </w:p>
    <w:tbl>
      <w:tblPr>
        <w:tblStyle w:val="a"/>
        <w:tblW w:w="8833" w:type="dxa"/>
        <w:jc w:val="center"/>
        <w:tblInd w:w="0" w:type="dxa"/>
        <w:tblLayout w:type="fixed"/>
        <w:tblLook w:val="0400" w:firstRow="0" w:lastRow="0" w:firstColumn="0" w:lastColumn="0" w:noHBand="0" w:noVBand="1"/>
      </w:tblPr>
      <w:tblGrid>
        <w:gridCol w:w="1660"/>
        <w:gridCol w:w="1980"/>
        <w:gridCol w:w="5193"/>
      </w:tblGrid>
      <w:tr w:rsidR="00390F7F" w:rsidRPr="00390F7F" w14:paraId="5E8C07AB"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552D028" w14:textId="77777777" w:rsidR="004D55F8" w:rsidRPr="00390F7F" w:rsidRDefault="004D55F8"/>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087123"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E9270D"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b/>
                <w:i/>
              </w:rPr>
              <w:t>Dónde:</w:t>
            </w:r>
          </w:p>
        </w:tc>
      </w:tr>
      <w:tr w:rsidR="00390F7F" w:rsidRPr="00390F7F" w14:paraId="72E1DBFF"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F2554"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17EB2D"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A5C0C9"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Se anotará la fecha en la que el Comité de Transparencia confirmó la clasificación del documento o expediente, en su caso.</w:t>
            </w:r>
          </w:p>
        </w:tc>
      </w:tr>
      <w:tr w:rsidR="00390F7F" w:rsidRPr="00390F7F" w14:paraId="786DB86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1C4F0"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D1C67"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2786DE"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Se señalará el nombre del área del cual es titular quien clasifica.</w:t>
            </w:r>
          </w:p>
        </w:tc>
      </w:tr>
      <w:tr w:rsidR="00390F7F" w:rsidRPr="00390F7F" w14:paraId="1189E8A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484BBE"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8E8979"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CAB70"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 xml:space="preserve">Se indicarán las partes o páginas del documento que se clasifican como reservadas, o, en su caso, se </w:t>
            </w:r>
            <w:r w:rsidRPr="00390F7F">
              <w:rPr>
                <w:rFonts w:ascii="Palatino Linotype" w:eastAsia="Palatino Linotype" w:hAnsi="Palatino Linotype" w:cs="Palatino Linotype"/>
                <w:i/>
              </w:rPr>
              <w:lastRenderedPageBreak/>
              <w:t>precisará que se ha reservado el documento o expediente en su totalidad.</w:t>
            </w:r>
          </w:p>
        </w:tc>
      </w:tr>
      <w:tr w:rsidR="00390F7F" w:rsidRPr="00390F7F" w14:paraId="024C15B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AEA647"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2DF5AB"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66EF9"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390F7F" w:rsidRPr="00390F7F" w14:paraId="4DD51A0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EA8784"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DB1F7"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12780"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Se señalará el nombre del ordenamiento, el o los artículos, fracción(es), párrafo(s) con base en los cuales se sustente la reserva.</w:t>
            </w:r>
          </w:p>
        </w:tc>
      </w:tr>
      <w:tr w:rsidR="00390F7F" w:rsidRPr="00390F7F" w14:paraId="710EF60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3CDFE"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24823"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664FC4"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390F7F" w:rsidRPr="00390F7F" w14:paraId="5D31BEA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008277"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9A040B"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9FAA6"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Rúbrica autógrafa o firma digital de quien clasifica.</w:t>
            </w:r>
          </w:p>
        </w:tc>
      </w:tr>
      <w:tr w:rsidR="00390F7F" w:rsidRPr="00390F7F" w14:paraId="2B0DF2D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6BA205"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3911A"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5272E1"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Se anotará la fecha en que se desclasifica el documento.</w:t>
            </w:r>
          </w:p>
        </w:tc>
      </w:tr>
      <w:tr w:rsidR="00390F7F" w:rsidRPr="00390F7F" w14:paraId="7BF4D05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28DD91" w14:textId="77777777" w:rsidR="004D55F8" w:rsidRPr="00390F7F" w:rsidRDefault="004D55F8">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8F2DF" w14:textId="77777777" w:rsidR="004D55F8" w:rsidRPr="00390F7F" w:rsidRDefault="00E162D9">
            <w:pPr>
              <w:pBdr>
                <w:top w:val="nil"/>
                <w:left w:val="nil"/>
                <w:bottom w:val="nil"/>
                <w:right w:val="nil"/>
                <w:between w:val="nil"/>
              </w:pBdr>
              <w:jc w:val="center"/>
            </w:pPr>
            <w:r w:rsidRPr="00390F7F">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1A1DC4" w14:textId="77777777" w:rsidR="004D55F8" w:rsidRPr="00390F7F" w:rsidRDefault="00E162D9">
            <w:pPr>
              <w:pBdr>
                <w:top w:val="nil"/>
                <w:left w:val="nil"/>
                <w:bottom w:val="nil"/>
                <w:right w:val="nil"/>
                <w:between w:val="nil"/>
              </w:pBdr>
              <w:jc w:val="both"/>
            </w:pPr>
            <w:r w:rsidRPr="00390F7F">
              <w:rPr>
                <w:rFonts w:ascii="Palatino Linotype" w:eastAsia="Palatino Linotype" w:hAnsi="Palatino Linotype" w:cs="Palatino Linotype"/>
                <w:i/>
              </w:rPr>
              <w:t>Rúbrica autógrafa o firma digital de quien desclasifica.</w:t>
            </w:r>
          </w:p>
        </w:tc>
      </w:tr>
      <w:tr w:rsidR="00390F7F" w:rsidRPr="00390F7F" w14:paraId="200107B4"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9F8F7" w14:textId="77777777" w:rsidR="004D55F8" w:rsidRPr="00390F7F" w:rsidRDefault="004D55F8">
            <w:pPr>
              <w:widowControl w:val="0"/>
              <w:pBdr>
                <w:top w:val="nil"/>
                <w:left w:val="nil"/>
                <w:bottom w:val="nil"/>
                <w:right w:val="nil"/>
                <w:between w:val="nil"/>
              </w:pBdr>
              <w:spacing w:line="276" w:lineRule="auto"/>
            </w:pPr>
          </w:p>
        </w:tc>
      </w:tr>
    </w:tbl>
    <w:p w14:paraId="6291547D" w14:textId="77777777" w:rsidR="004D55F8" w:rsidRPr="00390F7F" w:rsidRDefault="00E162D9">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C631FEA" w14:textId="77777777" w:rsidR="004D55F8" w:rsidRPr="00390F7F" w:rsidRDefault="00E162D9">
      <w:pPr>
        <w:pBdr>
          <w:top w:val="nil"/>
          <w:left w:val="nil"/>
          <w:bottom w:val="nil"/>
          <w:right w:val="nil"/>
          <w:between w:val="nil"/>
        </w:pBdr>
        <w:spacing w:after="160"/>
        <w:ind w:left="709" w:right="709"/>
        <w:jc w:val="both"/>
      </w:pPr>
      <w:r w:rsidRPr="00390F7F">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390F7F">
        <w:rPr>
          <w:rFonts w:ascii="Palatino Linotype" w:eastAsia="Palatino Linotype" w:hAnsi="Palatino Linotype" w:cs="Palatino Linotype"/>
          <w:i/>
          <w:sz w:val="22"/>
          <w:szCs w:val="22"/>
        </w:rPr>
        <w:t>testado</w:t>
      </w:r>
      <w:proofErr w:type="spellEnd"/>
      <w:r w:rsidRPr="00390F7F">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01CC526A" w14:textId="77777777" w:rsidR="004D55F8" w:rsidRPr="00390F7F" w:rsidRDefault="004D55F8">
      <w:pPr>
        <w:jc w:val="both"/>
      </w:pPr>
    </w:p>
    <w:p w14:paraId="16827078" w14:textId="77777777" w:rsidR="004D55F8" w:rsidRPr="00390F7F" w:rsidRDefault="004D55F8"/>
    <w:p w14:paraId="25217BC5" w14:textId="77777777" w:rsidR="004D55F8" w:rsidRPr="00390F7F" w:rsidRDefault="00E162D9">
      <w:pPr>
        <w:spacing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10960CAF" w14:textId="77777777" w:rsidR="004D55F8" w:rsidRPr="00390F7F" w:rsidRDefault="004D55F8">
      <w:pPr>
        <w:spacing w:line="360" w:lineRule="auto"/>
        <w:jc w:val="both"/>
        <w:rPr>
          <w:rFonts w:ascii="Palatino Linotype" w:eastAsia="Palatino Linotype" w:hAnsi="Palatino Linotype" w:cs="Palatino Linotype"/>
        </w:rPr>
      </w:pPr>
    </w:p>
    <w:p w14:paraId="6771606D" w14:textId="77777777" w:rsidR="004D55F8" w:rsidRPr="00390F7F" w:rsidRDefault="00E162D9">
      <w:pPr>
        <w:shd w:val="clear" w:color="auto" w:fill="FFFFFF"/>
        <w:spacing w:line="360" w:lineRule="auto"/>
        <w:ind w:right="51"/>
        <w:jc w:val="both"/>
        <w:rPr>
          <w:rFonts w:ascii="Palatino Linotype" w:eastAsia="Palatino Linotype" w:hAnsi="Palatino Linotype" w:cs="Palatino Linotype"/>
        </w:rPr>
      </w:pPr>
      <w:r w:rsidRPr="00390F7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w:t>
      </w:r>
    </w:p>
    <w:p w14:paraId="038D210D"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8398EF7" w14:textId="77777777" w:rsidR="004D55F8" w:rsidRPr="00390F7F" w:rsidRDefault="00E162D9">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90F7F">
        <w:rPr>
          <w:rFonts w:ascii="Palatino Linotype" w:eastAsia="Palatino Linotype" w:hAnsi="Palatino Linotype" w:cs="Palatino Linotype"/>
          <w:b/>
        </w:rPr>
        <w:t>R E S U E L V E:</w:t>
      </w:r>
    </w:p>
    <w:p w14:paraId="332E901E"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lastRenderedPageBreak/>
        <w:t xml:space="preserve">Primero. </w:t>
      </w:r>
      <w:r w:rsidRPr="00390F7F">
        <w:rPr>
          <w:rFonts w:ascii="Palatino Linotype" w:eastAsia="Palatino Linotype" w:hAnsi="Palatino Linotype" w:cs="Palatino Linotype"/>
        </w:rPr>
        <w:t xml:space="preserve">Resultan fundados los motivos de inconformidad hechos valer por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xml:space="preserve"> en el Recurso de Revisión </w:t>
      </w:r>
      <w:r w:rsidRPr="00390F7F">
        <w:rPr>
          <w:rFonts w:ascii="Palatino Linotype" w:eastAsia="Palatino Linotype" w:hAnsi="Palatino Linotype" w:cs="Palatino Linotype"/>
          <w:b/>
        </w:rPr>
        <w:t xml:space="preserve">04699/INFOEM/IP/RR/2023; </w:t>
      </w:r>
      <w:r w:rsidRPr="00390F7F">
        <w:rPr>
          <w:rFonts w:ascii="Palatino Linotype" w:eastAsia="Palatino Linotype" w:hAnsi="Palatino Linotype" w:cs="Palatino Linotype"/>
        </w:rPr>
        <w:t xml:space="preserve">por lo que, en términos del considerando </w:t>
      </w:r>
      <w:r w:rsidRPr="00390F7F">
        <w:rPr>
          <w:rFonts w:ascii="Palatino Linotype" w:eastAsia="Palatino Linotype" w:hAnsi="Palatino Linotype" w:cs="Palatino Linotype"/>
          <w:b/>
        </w:rPr>
        <w:t xml:space="preserve">Cuarto </w:t>
      </w:r>
      <w:r w:rsidRPr="00390F7F">
        <w:rPr>
          <w:rFonts w:ascii="Palatino Linotype" w:eastAsia="Palatino Linotype" w:hAnsi="Palatino Linotype" w:cs="Palatino Linotype"/>
        </w:rPr>
        <w:t xml:space="preserve">de esta resolución, se </w:t>
      </w:r>
      <w:r w:rsidRPr="00390F7F">
        <w:rPr>
          <w:rFonts w:ascii="Palatino Linotype" w:eastAsia="Palatino Linotype" w:hAnsi="Palatino Linotype" w:cs="Palatino Linotype"/>
          <w:b/>
        </w:rPr>
        <w:t xml:space="preserve">MODIFICA </w:t>
      </w:r>
      <w:r w:rsidRPr="00390F7F">
        <w:rPr>
          <w:rFonts w:ascii="Palatino Linotype" w:eastAsia="Palatino Linotype" w:hAnsi="Palatino Linotype" w:cs="Palatino Linotype"/>
        </w:rPr>
        <w:t xml:space="preserve">la respuesta emitida por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w:t>
      </w:r>
    </w:p>
    <w:p w14:paraId="1C5BA871" w14:textId="77777777" w:rsidR="004D55F8" w:rsidRPr="00390F7F" w:rsidRDefault="00E162D9">
      <w:pPr>
        <w:spacing w:before="240" w:after="240"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Segundo. </w:t>
      </w:r>
      <w:r w:rsidRPr="00390F7F">
        <w:rPr>
          <w:rFonts w:ascii="Palatino Linotype" w:eastAsia="Palatino Linotype" w:hAnsi="Palatino Linotype" w:cs="Palatino Linotype"/>
        </w:rPr>
        <w:t>Se</w:t>
      </w:r>
      <w:r w:rsidRPr="00390F7F">
        <w:rPr>
          <w:rFonts w:ascii="Palatino Linotype" w:eastAsia="Palatino Linotype" w:hAnsi="Palatino Linotype" w:cs="Palatino Linotype"/>
          <w:b/>
        </w:rPr>
        <w:t xml:space="preserve"> ORDENA </w:t>
      </w:r>
      <w:r w:rsidRPr="00390F7F">
        <w:rPr>
          <w:rFonts w:ascii="Palatino Linotype" w:eastAsia="Palatino Linotype" w:hAnsi="Palatino Linotype" w:cs="Palatino Linotype"/>
        </w:rPr>
        <w:t xml:space="preserve">al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a que,</w:t>
      </w:r>
      <w:r w:rsidRPr="00390F7F">
        <w:rPr>
          <w:rFonts w:ascii="Palatino Linotype" w:eastAsia="Palatino Linotype" w:hAnsi="Palatino Linotype" w:cs="Palatino Linotype"/>
          <w:b/>
        </w:rPr>
        <w:t xml:space="preserve"> </w:t>
      </w:r>
      <w:r w:rsidRPr="00390F7F">
        <w:rPr>
          <w:rFonts w:ascii="Palatino Linotype" w:eastAsia="Palatino Linotype" w:hAnsi="Palatino Linotype" w:cs="Palatino Linotype"/>
        </w:rPr>
        <w:t>en términos de los Considerandos Cuarto y Quinto, haga entrega vía SAIMEX, de ser el caso en versión pública, de lo siguiente:</w:t>
      </w:r>
    </w:p>
    <w:p w14:paraId="0359ACDA" w14:textId="77777777" w:rsidR="004D55F8" w:rsidRPr="00390F7F" w:rsidRDefault="00E162D9">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390F7F">
        <w:rPr>
          <w:rFonts w:ascii="Palatino Linotype" w:eastAsia="Palatino Linotype" w:hAnsi="Palatino Linotype" w:cs="Palatino Linotype"/>
        </w:rPr>
        <w:t>Las licencias de funcionamiento de todos los locales ubicados en el Ayuntamiento de Zinacantepec, vigentes al siete de julio del año 2023</w:t>
      </w:r>
      <w:r w:rsidRPr="00390F7F">
        <w:rPr>
          <w:rFonts w:ascii="Palatino Linotype" w:eastAsia="Palatino Linotype" w:hAnsi="Palatino Linotype" w:cs="Palatino Linotype"/>
          <w:b/>
        </w:rPr>
        <w:t xml:space="preserve">. </w:t>
      </w:r>
    </w:p>
    <w:p w14:paraId="2248EAB5" w14:textId="77777777" w:rsidR="004D55F8" w:rsidRPr="00390F7F" w:rsidRDefault="004D55F8">
      <w:pPr>
        <w:pBdr>
          <w:top w:val="nil"/>
          <w:left w:val="nil"/>
          <w:bottom w:val="nil"/>
          <w:right w:val="nil"/>
          <w:between w:val="nil"/>
        </w:pBdr>
        <w:spacing w:line="360" w:lineRule="auto"/>
        <w:ind w:left="720" w:right="49"/>
        <w:jc w:val="both"/>
        <w:rPr>
          <w:rFonts w:ascii="Palatino Linotype" w:eastAsia="Palatino Linotype" w:hAnsi="Palatino Linotype" w:cs="Palatino Linotype"/>
          <w:b/>
        </w:rPr>
      </w:pPr>
    </w:p>
    <w:p w14:paraId="6260EE7B" w14:textId="77777777" w:rsidR="004D55F8" w:rsidRPr="00390F7F" w:rsidRDefault="00E162D9">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390F7F">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390F7F">
        <w:rPr>
          <w:rFonts w:ascii="Palatino Linotype" w:eastAsia="Palatino Linotype" w:hAnsi="Palatino Linotype" w:cs="Palatino Linotype"/>
          <w:b/>
          <w:i/>
          <w:sz w:val="22"/>
          <w:szCs w:val="22"/>
        </w:rPr>
        <w:t>RECURRENTE</w:t>
      </w:r>
      <w:r w:rsidRPr="00390F7F">
        <w:rPr>
          <w:rFonts w:ascii="Palatino Linotype" w:eastAsia="Palatino Linotype" w:hAnsi="Palatino Linotype" w:cs="Palatino Linotype"/>
          <w:i/>
          <w:sz w:val="22"/>
          <w:szCs w:val="22"/>
        </w:rPr>
        <w:t>, mismo que igualmente hará de su conocimiento.</w:t>
      </w:r>
    </w:p>
    <w:p w14:paraId="3BA9BE86" w14:textId="77777777" w:rsidR="004D55F8" w:rsidRPr="00390F7F" w:rsidRDefault="004D55F8">
      <w:pPr>
        <w:spacing w:line="360" w:lineRule="auto"/>
        <w:ind w:left="360" w:right="49"/>
        <w:jc w:val="both"/>
        <w:rPr>
          <w:rFonts w:ascii="Palatino Linotype" w:eastAsia="Palatino Linotype" w:hAnsi="Palatino Linotype" w:cs="Palatino Linotype"/>
          <w:b/>
        </w:rPr>
      </w:pPr>
    </w:p>
    <w:p w14:paraId="79FEEC59" w14:textId="77777777" w:rsidR="004D55F8" w:rsidRPr="00390F7F" w:rsidRDefault="00E162D9">
      <w:pPr>
        <w:spacing w:line="360" w:lineRule="auto"/>
        <w:ind w:right="49"/>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Tercero. Notifíquese, </w:t>
      </w:r>
      <w:r w:rsidRPr="00390F7F">
        <w:rPr>
          <w:rFonts w:ascii="Palatino Linotype" w:eastAsia="Palatino Linotype" w:hAnsi="Palatino Linotype" w:cs="Palatino Linotype"/>
        </w:rPr>
        <w:t xml:space="preserve">vía </w:t>
      </w:r>
      <w:r w:rsidRPr="00390F7F">
        <w:rPr>
          <w:rFonts w:ascii="Palatino Linotype" w:eastAsia="Palatino Linotype" w:hAnsi="Palatino Linotype" w:cs="Palatino Linotype"/>
          <w:b/>
        </w:rPr>
        <w:t>SAIMEX</w:t>
      </w:r>
      <w:r w:rsidRPr="00390F7F">
        <w:rPr>
          <w:rFonts w:ascii="Palatino Linotype" w:eastAsia="Palatino Linotype" w:hAnsi="Palatino Linotype" w:cs="Palatino Linotype"/>
        </w:rPr>
        <w:t xml:space="preserve">, al Titular de la Unidad de Transparencia del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390F7F">
        <w:rPr>
          <w:rFonts w:ascii="Palatino Linotype" w:eastAsia="Palatino Linotype" w:hAnsi="Palatino Linotype" w:cs="Palatino Linotype"/>
        </w:rPr>
        <w:lastRenderedPageBreak/>
        <w:t>Transparencia y Acceso a la Información Pública del Estado de México y Municipios.</w:t>
      </w:r>
    </w:p>
    <w:p w14:paraId="43BE1216" w14:textId="77777777" w:rsidR="004D55F8" w:rsidRPr="00390F7F" w:rsidRDefault="004D55F8">
      <w:pPr>
        <w:spacing w:line="360" w:lineRule="auto"/>
        <w:ind w:right="49"/>
        <w:jc w:val="both"/>
        <w:rPr>
          <w:rFonts w:ascii="Palatino Linotype" w:eastAsia="Palatino Linotype" w:hAnsi="Palatino Linotype" w:cs="Palatino Linotype"/>
        </w:rPr>
      </w:pPr>
    </w:p>
    <w:p w14:paraId="6DC8A44A" w14:textId="77777777" w:rsidR="004D55F8" w:rsidRPr="00390F7F" w:rsidRDefault="00E162D9">
      <w:pPr>
        <w:spacing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 xml:space="preserve">Cuarto. </w:t>
      </w:r>
      <w:r w:rsidRPr="00390F7F">
        <w:rPr>
          <w:rFonts w:ascii="Palatino Linotype" w:eastAsia="Palatino Linotype" w:hAnsi="Palatino Linotype" w:cs="Palatino Linotype"/>
        </w:rPr>
        <w:t xml:space="preserve">Notifíquese, vía </w:t>
      </w:r>
      <w:r w:rsidRPr="00390F7F">
        <w:rPr>
          <w:rFonts w:ascii="Palatino Linotype" w:eastAsia="Palatino Linotype" w:hAnsi="Palatino Linotype" w:cs="Palatino Linotype"/>
          <w:b/>
        </w:rPr>
        <w:t>SAIMEX</w:t>
      </w:r>
      <w:r w:rsidRPr="00390F7F">
        <w:rPr>
          <w:rFonts w:ascii="Palatino Linotype" w:eastAsia="Palatino Linotype" w:hAnsi="Palatino Linotype" w:cs="Palatino Linotype"/>
        </w:rPr>
        <w:t xml:space="preserve">, a la parte </w:t>
      </w:r>
      <w:r w:rsidRPr="00390F7F">
        <w:rPr>
          <w:rFonts w:ascii="Palatino Linotype" w:eastAsia="Palatino Linotype" w:hAnsi="Palatino Linotype" w:cs="Palatino Linotype"/>
          <w:b/>
        </w:rPr>
        <w:t>RECURRENTE</w:t>
      </w:r>
      <w:r w:rsidRPr="00390F7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553A3F8" w14:textId="77777777" w:rsidR="004D55F8" w:rsidRPr="00390F7F" w:rsidRDefault="00E162D9">
      <w:pPr>
        <w:spacing w:before="240" w:after="240" w:line="360" w:lineRule="auto"/>
        <w:jc w:val="both"/>
        <w:rPr>
          <w:rFonts w:ascii="Palatino Linotype" w:eastAsia="Palatino Linotype" w:hAnsi="Palatino Linotype" w:cs="Palatino Linotype"/>
        </w:rPr>
      </w:pPr>
      <w:r w:rsidRPr="00390F7F">
        <w:rPr>
          <w:rFonts w:ascii="Palatino Linotype" w:eastAsia="Palatino Linotype" w:hAnsi="Palatino Linotype" w:cs="Palatino Linotype"/>
          <w:b/>
        </w:rPr>
        <w:t>Quinto.</w:t>
      </w:r>
      <w:r w:rsidRPr="00390F7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390F7F">
        <w:rPr>
          <w:rFonts w:ascii="Palatino Linotype" w:eastAsia="Palatino Linotype" w:hAnsi="Palatino Linotype" w:cs="Palatino Linotype"/>
          <w:b/>
        </w:rPr>
        <w:t>SUJETO OBLIGADO</w:t>
      </w:r>
      <w:r w:rsidRPr="00390F7F">
        <w:rPr>
          <w:rFonts w:ascii="Palatino Linotype" w:eastAsia="Palatino Linotype" w:hAnsi="Palatino Linotype" w:cs="Palatino Linotype"/>
        </w:rPr>
        <w:t xml:space="preserve"> de manera fundada y motivada, podrá solicitar una ampliación de plazo para el cumplimiento de la presente resolución.</w:t>
      </w:r>
    </w:p>
    <w:p w14:paraId="34C628F3" w14:textId="77777777" w:rsidR="004D55F8" w:rsidRPr="00390F7F" w:rsidRDefault="00E162D9">
      <w:pPr>
        <w:spacing w:before="240" w:after="240" w:line="360" w:lineRule="auto"/>
        <w:jc w:val="both"/>
        <w:rPr>
          <w:rFonts w:ascii="Palatino Linotype" w:eastAsia="Palatino Linotype" w:hAnsi="Palatino Linotype" w:cs="Palatino Linotype"/>
        </w:rPr>
      </w:pPr>
      <w:bookmarkStart w:id="3" w:name="_heading=h.2et92p0" w:colFirst="0" w:colLast="0"/>
      <w:bookmarkEnd w:id="3"/>
      <w:r w:rsidRPr="00390F7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TERCERA SESIÓN ORDINARIA CELEBRADA EL TREINTA Y UNO DE ENERO DE DOS MIL VEINTICUATRO, ANTE EL SECRETARIO TÉCNICO DEL PLENO ALEXIS TAPIA RAMÍREZ.</w:t>
      </w:r>
    </w:p>
    <w:p w14:paraId="311DD389" w14:textId="77777777" w:rsidR="004D55F8" w:rsidRPr="00390F7F" w:rsidRDefault="004D55F8">
      <w:pPr>
        <w:spacing w:before="240" w:after="240" w:line="360" w:lineRule="auto"/>
        <w:jc w:val="both"/>
        <w:rPr>
          <w:rFonts w:ascii="Palatino Linotype" w:eastAsia="Palatino Linotype" w:hAnsi="Palatino Linotype" w:cs="Palatino Linotype"/>
        </w:rPr>
      </w:pPr>
    </w:p>
    <w:sectPr w:rsidR="004D55F8" w:rsidRPr="00390F7F">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E5E0C" w14:textId="77777777" w:rsidR="00E2611E" w:rsidRDefault="00E2611E">
      <w:r>
        <w:separator/>
      </w:r>
    </w:p>
  </w:endnote>
  <w:endnote w:type="continuationSeparator" w:id="0">
    <w:p w14:paraId="35D00324" w14:textId="77777777" w:rsidR="00E2611E" w:rsidRDefault="00E26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63C1B" w14:textId="77777777" w:rsidR="004D55F8" w:rsidRDefault="00E162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55BCB0E6" w14:textId="77777777" w:rsidR="004D55F8" w:rsidRDefault="004D55F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E8420" w14:textId="77777777" w:rsidR="004D55F8" w:rsidRDefault="00E162D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02FB1">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0A6F8610" w14:textId="77777777" w:rsidR="004D55F8" w:rsidRDefault="004D55F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E729A" w14:textId="77777777" w:rsidR="00E2611E" w:rsidRDefault="00E2611E">
      <w:r>
        <w:separator/>
      </w:r>
    </w:p>
  </w:footnote>
  <w:footnote w:type="continuationSeparator" w:id="0">
    <w:p w14:paraId="5B85B0E1" w14:textId="77777777" w:rsidR="00E2611E" w:rsidRDefault="00E26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2EBDC" w14:textId="77777777" w:rsidR="004D55F8" w:rsidRDefault="00E162D9">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5200E8E" wp14:editId="69DB5505">
          <wp:simplePos x="0" y="0"/>
          <wp:positionH relativeFrom="column">
            <wp:posOffset>-1080131</wp:posOffset>
          </wp:positionH>
          <wp:positionV relativeFrom="paragraph">
            <wp:posOffset>-488311</wp:posOffset>
          </wp:positionV>
          <wp:extent cx="7809865" cy="10165715"/>
          <wp:effectExtent l="0" t="0" r="0" b="0"/>
          <wp:wrapNone/>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4D55F8" w14:paraId="1AE667AB" w14:textId="77777777">
      <w:tc>
        <w:tcPr>
          <w:tcW w:w="2489" w:type="dxa"/>
          <w:shd w:val="clear" w:color="auto" w:fill="auto"/>
        </w:tcPr>
        <w:p w14:paraId="605F48F6" w14:textId="77777777" w:rsidR="004D55F8" w:rsidRDefault="00E162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27EF0BD" w14:textId="77777777" w:rsidR="004D55F8" w:rsidRDefault="00E162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04699/INFOEM/IP/RR/2023</w:t>
          </w:r>
        </w:p>
      </w:tc>
    </w:tr>
    <w:tr w:rsidR="004D55F8" w14:paraId="7DDBB84F" w14:textId="77777777">
      <w:trPr>
        <w:trHeight w:val="228"/>
      </w:trPr>
      <w:tc>
        <w:tcPr>
          <w:tcW w:w="2489" w:type="dxa"/>
          <w:shd w:val="clear" w:color="auto" w:fill="auto"/>
          <w:vAlign w:val="center"/>
        </w:tcPr>
        <w:p w14:paraId="1423B8E8" w14:textId="77777777" w:rsidR="004D55F8" w:rsidRDefault="00E162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9794F15" w14:textId="77777777" w:rsidR="004D55F8" w:rsidRDefault="00E162D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4D55F8" w14:paraId="290DE7D6" w14:textId="77777777">
      <w:tc>
        <w:tcPr>
          <w:tcW w:w="2489" w:type="dxa"/>
          <w:shd w:val="clear" w:color="auto" w:fill="auto"/>
          <w:vAlign w:val="center"/>
        </w:tcPr>
        <w:p w14:paraId="713AAD2D" w14:textId="77777777" w:rsidR="004D55F8" w:rsidRDefault="00E162D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3128890" w14:textId="77777777" w:rsidR="004D55F8" w:rsidRDefault="00E162D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83C966" w14:textId="77777777" w:rsidR="004D55F8" w:rsidRDefault="00E162D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D734D" w14:textId="77777777" w:rsidR="004D55F8" w:rsidRDefault="004D55F8">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4D55F8" w14:paraId="605D765C" w14:textId="77777777">
      <w:tc>
        <w:tcPr>
          <w:tcW w:w="2551" w:type="dxa"/>
          <w:shd w:val="clear" w:color="auto" w:fill="auto"/>
          <w:vAlign w:val="center"/>
        </w:tcPr>
        <w:p w14:paraId="007D41D2" w14:textId="77777777" w:rsidR="004D55F8" w:rsidRDefault="00E162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052B7AE" w14:textId="77777777" w:rsidR="004D55F8" w:rsidRDefault="00E162D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04699/INFOEM/IP/RR/2023</w:t>
          </w:r>
        </w:p>
      </w:tc>
    </w:tr>
    <w:tr w:rsidR="004D55F8" w14:paraId="6E068BED" w14:textId="77777777">
      <w:trPr>
        <w:trHeight w:val="130"/>
      </w:trPr>
      <w:tc>
        <w:tcPr>
          <w:tcW w:w="2551" w:type="dxa"/>
          <w:shd w:val="clear" w:color="auto" w:fill="auto"/>
          <w:vAlign w:val="center"/>
        </w:tcPr>
        <w:p w14:paraId="7C929F27" w14:textId="77777777" w:rsidR="004D55F8" w:rsidRDefault="00E162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FF0A56A" w14:textId="77777777" w:rsidR="004D55F8" w:rsidRDefault="004D55F8">
          <w:pPr>
            <w:ind w:left="-45" w:right="-533"/>
            <w:jc w:val="both"/>
            <w:rPr>
              <w:rFonts w:ascii="Palatino Linotype" w:eastAsia="Palatino Linotype" w:hAnsi="Palatino Linotype" w:cs="Palatino Linotype"/>
              <w:b/>
              <w:sz w:val="22"/>
              <w:szCs w:val="22"/>
            </w:rPr>
          </w:pPr>
        </w:p>
      </w:tc>
    </w:tr>
    <w:tr w:rsidR="004D55F8" w14:paraId="01236BE9" w14:textId="77777777">
      <w:trPr>
        <w:trHeight w:val="228"/>
      </w:trPr>
      <w:tc>
        <w:tcPr>
          <w:tcW w:w="2551" w:type="dxa"/>
          <w:shd w:val="clear" w:color="auto" w:fill="auto"/>
          <w:vAlign w:val="center"/>
        </w:tcPr>
        <w:p w14:paraId="0C32FAB0" w14:textId="77777777" w:rsidR="004D55F8" w:rsidRDefault="00E162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AC7E185" w14:textId="77777777" w:rsidR="004D55F8" w:rsidRDefault="00E162D9">
          <w:pPr>
            <w:ind w:left="-45" w:right="27"/>
            <w:jc w:val="both"/>
          </w:pPr>
          <w:r>
            <w:rPr>
              <w:rFonts w:ascii="Palatino Linotype" w:eastAsia="Palatino Linotype" w:hAnsi="Palatino Linotype" w:cs="Palatino Linotype"/>
              <w:b/>
              <w:sz w:val="22"/>
              <w:szCs w:val="22"/>
            </w:rPr>
            <w:t>Ayuntamiento de Zinacantepec.</w:t>
          </w:r>
        </w:p>
      </w:tc>
    </w:tr>
    <w:tr w:rsidR="004D55F8" w14:paraId="64688C83" w14:textId="77777777">
      <w:tc>
        <w:tcPr>
          <w:tcW w:w="2551" w:type="dxa"/>
          <w:shd w:val="clear" w:color="auto" w:fill="auto"/>
          <w:vAlign w:val="center"/>
        </w:tcPr>
        <w:p w14:paraId="46EF6CC9" w14:textId="77777777" w:rsidR="004D55F8" w:rsidRDefault="00E162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A2D3C20" w14:textId="77777777" w:rsidR="004D55F8" w:rsidRDefault="00E162D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E36538" w14:textId="77777777" w:rsidR="004D55F8" w:rsidRDefault="00E162D9">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E598F57" wp14:editId="6CDCAD02">
          <wp:simplePos x="0" y="0"/>
          <wp:positionH relativeFrom="column">
            <wp:posOffset>-1089656</wp:posOffset>
          </wp:positionH>
          <wp:positionV relativeFrom="paragraph">
            <wp:posOffset>-1169666</wp:posOffset>
          </wp:positionV>
          <wp:extent cx="7809865" cy="10165715"/>
          <wp:effectExtent l="0" t="0" r="0" b="0"/>
          <wp:wrapNone/>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516DA"/>
    <w:multiLevelType w:val="multilevel"/>
    <w:tmpl w:val="E1A057EC"/>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071E2B6C"/>
    <w:multiLevelType w:val="multilevel"/>
    <w:tmpl w:val="0E309DF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32812C6"/>
    <w:multiLevelType w:val="multilevel"/>
    <w:tmpl w:val="DB028E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BF291E"/>
    <w:multiLevelType w:val="multilevel"/>
    <w:tmpl w:val="3EF80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CF371F"/>
    <w:multiLevelType w:val="multilevel"/>
    <w:tmpl w:val="CC94E12E"/>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DB57AE4"/>
    <w:multiLevelType w:val="multilevel"/>
    <w:tmpl w:val="B43CF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5F8"/>
    <w:rsid w:val="00390F7F"/>
    <w:rsid w:val="00402FB1"/>
    <w:rsid w:val="004D55F8"/>
    <w:rsid w:val="00697E03"/>
    <w:rsid w:val="007846E4"/>
    <w:rsid w:val="007F1D6B"/>
    <w:rsid w:val="00DD34F3"/>
    <w:rsid w:val="00E162D9"/>
    <w:rsid w:val="00E261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E58EB"/>
  <w15:docId w15:val="{0416D29A-D064-4EC3-BA68-A3A591D1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1A55EF"/>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59079.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bsbFNTjEPUnLmEz+23cSpQP8HQ==">CgMxLjAyCGguZ2pkZ3hzMgloLjMwajB6bGwyCWguMmV0OTJwMDgAciExQUsxclItZmttWEtodjBTeXQwTVhsSmozRTVjS1FrX24=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11759</Words>
  <Characters>64678</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INFOEM563</cp:lastModifiedBy>
  <cp:revision>2</cp:revision>
  <cp:lastPrinted>2024-02-02T16:06:00Z</cp:lastPrinted>
  <dcterms:created xsi:type="dcterms:W3CDTF">2024-02-07T18:46:00Z</dcterms:created>
  <dcterms:modified xsi:type="dcterms:W3CDTF">2024-02-07T18:46:00Z</dcterms:modified>
</cp:coreProperties>
</file>