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32F6858F" w:rsidR="00662C69" w:rsidRPr="00417D3B" w:rsidRDefault="009B11D6" w:rsidP="004015F3">
      <w:pPr>
        <w:spacing w:line="360" w:lineRule="auto"/>
        <w:jc w:val="both"/>
        <w:rPr>
          <w:rFonts w:ascii="Palatino Linotype" w:hAnsi="Palatino Linotype"/>
          <w:color w:val="000000" w:themeColor="text1"/>
        </w:rPr>
      </w:pPr>
      <w:r w:rsidRPr="00417D3B">
        <w:rPr>
          <w:rFonts w:ascii="Palatino Linotype" w:hAnsi="Palatino Linotype"/>
          <w:color w:val="000000" w:themeColor="text1"/>
        </w:rPr>
        <w:t>R</w:t>
      </w:r>
      <w:r w:rsidR="00662C69" w:rsidRPr="00417D3B">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417D3B">
        <w:rPr>
          <w:rFonts w:ascii="Palatino Linotype" w:hAnsi="Palatino Linotype"/>
          <w:color w:val="000000" w:themeColor="text1"/>
        </w:rPr>
        <w:t>icipios, con</w:t>
      </w:r>
      <w:r w:rsidR="00662C69" w:rsidRPr="00417D3B">
        <w:rPr>
          <w:rFonts w:ascii="Palatino Linotype" w:hAnsi="Palatino Linotype"/>
          <w:color w:val="000000" w:themeColor="text1"/>
        </w:rPr>
        <w:t xml:space="preserve"> </w:t>
      </w:r>
      <w:r w:rsidR="00485DB6" w:rsidRPr="00417D3B">
        <w:rPr>
          <w:rFonts w:ascii="Palatino Linotype" w:hAnsi="Palatino Linotype"/>
          <w:color w:val="000000" w:themeColor="text1"/>
        </w:rPr>
        <w:t xml:space="preserve">domicilio </w:t>
      </w:r>
      <w:r w:rsidR="00662C69" w:rsidRPr="00417D3B">
        <w:rPr>
          <w:rFonts w:ascii="Palatino Linotype" w:hAnsi="Palatino Linotype"/>
          <w:color w:val="000000" w:themeColor="text1"/>
        </w:rPr>
        <w:t>en Metepec, Estado de México; de</w:t>
      </w:r>
      <w:r w:rsidR="004015F3" w:rsidRPr="00417D3B">
        <w:rPr>
          <w:rFonts w:ascii="Palatino Linotype" w:hAnsi="Palatino Linotype"/>
          <w:color w:val="000000" w:themeColor="text1"/>
        </w:rPr>
        <w:t xml:space="preserve"> fecha</w:t>
      </w:r>
      <w:r w:rsidR="00662C69" w:rsidRPr="00417D3B">
        <w:rPr>
          <w:rFonts w:ascii="Palatino Linotype" w:hAnsi="Palatino Linotype"/>
          <w:color w:val="000000" w:themeColor="text1"/>
        </w:rPr>
        <w:t xml:space="preserve"> </w:t>
      </w:r>
      <w:r w:rsidR="008574BF" w:rsidRPr="00417D3B">
        <w:rPr>
          <w:rFonts w:ascii="Palatino Linotype" w:hAnsi="Palatino Linotype"/>
          <w:color w:val="000000" w:themeColor="text1"/>
        </w:rPr>
        <w:t>trece (13) de marzo</w:t>
      </w:r>
      <w:r w:rsidR="006C4D3F" w:rsidRPr="00417D3B">
        <w:rPr>
          <w:rFonts w:ascii="Palatino Linotype" w:hAnsi="Palatino Linotype"/>
          <w:color w:val="000000" w:themeColor="text1"/>
        </w:rPr>
        <w:t xml:space="preserve"> de dos mil veinticuatro.</w:t>
      </w:r>
    </w:p>
    <w:p w14:paraId="1181C59D" w14:textId="77777777" w:rsidR="00B31E90" w:rsidRPr="00417D3B" w:rsidRDefault="00B31E90" w:rsidP="00B31E90">
      <w:pPr>
        <w:tabs>
          <w:tab w:val="left" w:pos="3465"/>
        </w:tabs>
        <w:spacing w:line="360" w:lineRule="auto"/>
        <w:jc w:val="both"/>
        <w:rPr>
          <w:rFonts w:ascii="Palatino Linotype" w:hAnsi="Palatino Linotype"/>
          <w:color w:val="000000" w:themeColor="text1"/>
        </w:rPr>
      </w:pPr>
    </w:p>
    <w:p w14:paraId="04F87235" w14:textId="65117000" w:rsidR="005F0007" w:rsidRPr="00417D3B" w:rsidRDefault="00662C69" w:rsidP="00B31E90">
      <w:pPr>
        <w:spacing w:line="360" w:lineRule="auto"/>
        <w:jc w:val="both"/>
        <w:rPr>
          <w:rFonts w:ascii="Palatino Linotype" w:hAnsi="Palatino Linotype"/>
          <w:color w:val="000000" w:themeColor="text1"/>
        </w:rPr>
      </w:pPr>
      <w:r w:rsidRPr="00417D3B">
        <w:rPr>
          <w:rFonts w:ascii="Palatino Linotype" w:hAnsi="Palatino Linotype"/>
          <w:b/>
          <w:color w:val="000000" w:themeColor="text1"/>
        </w:rPr>
        <w:t>VISTO</w:t>
      </w:r>
      <w:r w:rsidRPr="00417D3B">
        <w:rPr>
          <w:rFonts w:ascii="Palatino Linotype" w:hAnsi="Palatino Linotype"/>
          <w:color w:val="000000" w:themeColor="text1"/>
        </w:rPr>
        <w:t xml:space="preserve"> el expediente electrónico for</w:t>
      </w:r>
      <w:r w:rsidR="00D37494" w:rsidRPr="00417D3B">
        <w:rPr>
          <w:rFonts w:ascii="Palatino Linotype" w:hAnsi="Palatino Linotype"/>
          <w:color w:val="000000" w:themeColor="text1"/>
        </w:rPr>
        <w:t>mado con motivo del</w:t>
      </w:r>
      <w:r w:rsidRPr="00417D3B">
        <w:rPr>
          <w:rFonts w:ascii="Palatino Linotype" w:hAnsi="Palatino Linotype"/>
          <w:color w:val="000000" w:themeColor="text1"/>
        </w:rPr>
        <w:t xml:space="preserve"> recurso de revisión </w:t>
      </w:r>
      <w:r w:rsidR="008574BF" w:rsidRPr="00417D3B">
        <w:rPr>
          <w:rFonts w:ascii="Palatino Linotype" w:hAnsi="Palatino Linotype"/>
          <w:b/>
          <w:bCs/>
          <w:color w:val="000000" w:themeColor="text1"/>
        </w:rPr>
        <w:t>11448</w:t>
      </w:r>
      <w:r w:rsidR="00A66149" w:rsidRPr="00417D3B">
        <w:rPr>
          <w:rFonts w:ascii="Palatino Linotype" w:hAnsi="Palatino Linotype"/>
          <w:b/>
          <w:bCs/>
          <w:color w:val="000000" w:themeColor="text1"/>
        </w:rPr>
        <w:t>/INFOEM/IP/RR/2022</w:t>
      </w:r>
      <w:r w:rsidR="005F1362" w:rsidRPr="00417D3B">
        <w:rPr>
          <w:rFonts w:ascii="Palatino Linotype" w:hAnsi="Palatino Linotype" w:cs="Arial"/>
          <w:bCs/>
          <w:color w:val="000000" w:themeColor="text1"/>
        </w:rPr>
        <w:t xml:space="preserve">, </w:t>
      </w:r>
      <w:r w:rsidR="006B31E7" w:rsidRPr="00417D3B">
        <w:rPr>
          <w:rFonts w:ascii="Palatino Linotype" w:hAnsi="Palatino Linotype"/>
          <w:color w:val="000000" w:themeColor="text1"/>
        </w:rPr>
        <w:t>interpuesto por</w:t>
      </w:r>
      <w:r w:rsidR="0078249C" w:rsidRPr="00417D3B">
        <w:rPr>
          <w:rFonts w:ascii="Palatino Linotype" w:hAnsi="Palatino Linotype"/>
          <w:color w:val="000000" w:themeColor="text1"/>
        </w:rPr>
        <w:t xml:space="preserve"> </w:t>
      </w:r>
      <w:r w:rsidR="006100B0">
        <w:rPr>
          <w:rFonts w:ascii="Palatino Linotype" w:hAnsi="Palatino Linotype"/>
          <w:b/>
          <w:bCs/>
          <w:iCs/>
          <w:color w:val="000000" w:themeColor="text1"/>
        </w:rPr>
        <w:t>XXX XXX</w:t>
      </w:r>
      <w:r w:rsidR="00E647FF" w:rsidRPr="00417D3B">
        <w:rPr>
          <w:rFonts w:ascii="Palatino Linotype" w:hAnsi="Palatino Linotype"/>
          <w:color w:val="000000" w:themeColor="text1"/>
        </w:rPr>
        <w:t>,</w:t>
      </w:r>
      <w:r w:rsidR="0078249C" w:rsidRPr="00417D3B">
        <w:rPr>
          <w:rFonts w:ascii="Palatino Linotype" w:hAnsi="Palatino Linotype"/>
          <w:color w:val="000000" w:themeColor="text1"/>
        </w:rPr>
        <w:t xml:space="preserve"> </w:t>
      </w:r>
      <w:r w:rsidR="002B4277" w:rsidRPr="00417D3B">
        <w:rPr>
          <w:rFonts w:ascii="Palatino Linotype" w:hAnsi="Palatino Linotype"/>
          <w:color w:val="000000" w:themeColor="text1"/>
        </w:rPr>
        <w:t>en</w:t>
      </w:r>
      <w:r w:rsidR="0078249C" w:rsidRPr="00417D3B">
        <w:rPr>
          <w:rFonts w:ascii="Palatino Linotype" w:hAnsi="Palatino Linotype"/>
          <w:color w:val="000000" w:themeColor="text1"/>
        </w:rPr>
        <w:t xml:space="preserve"> </w:t>
      </w:r>
      <w:r w:rsidR="00E647FF" w:rsidRPr="00417D3B">
        <w:rPr>
          <w:rFonts w:ascii="Palatino Linotype" w:hAnsi="Palatino Linotype"/>
          <w:color w:val="000000" w:themeColor="text1"/>
        </w:rPr>
        <w:t>lo</w:t>
      </w:r>
      <w:r w:rsidR="0078249C" w:rsidRPr="00417D3B">
        <w:rPr>
          <w:rFonts w:ascii="Palatino Linotype" w:hAnsi="Palatino Linotype"/>
          <w:color w:val="000000" w:themeColor="text1"/>
        </w:rPr>
        <w:t xml:space="preserve"> </w:t>
      </w:r>
      <w:r w:rsidR="00E647FF" w:rsidRPr="00417D3B">
        <w:rPr>
          <w:rFonts w:ascii="Palatino Linotype" w:hAnsi="Palatino Linotype"/>
          <w:color w:val="000000" w:themeColor="text1"/>
        </w:rPr>
        <w:t>sucesivo</w:t>
      </w:r>
      <w:r w:rsidR="00396F5D" w:rsidRPr="00417D3B">
        <w:rPr>
          <w:rFonts w:ascii="Palatino Linotype" w:hAnsi="Palatino Linotype"/>
          <w:color w:val="000000" w:themeColor="text1"/>
        </w:rPr>
        <w:t xml:space="preserve"> </w:t>
      </w:r>
      <w:r w:rsidR="00AF31FE" w:rsidRPr="00417D3B">
        <w:rPr>
          <w:rFonts w:ascii="Palatino Linotype" w:hAnsi="Palatino Linotype"/>
          <w:color w:val="000000" w:themeColor="text1"/>
        </w:rPr>
        <w:t>el</w:t>
      </w:r>
      <w:r w:rsidR="002B4277" w:rsidRPr="00417D3B">
        <w:rPr>
          <w:rFonts w:ascii="Palatino Linotype" w:hAnsi="Palatino Linotype"/>
          <w:color w:val="000000" w:themeColor="text1"/>
        </w:rPr>
        <w:t xml:space="preserve"> </w:t>
      </w:r>
      <w:r w:rsidR="006B31E7" w:rsidRPr="00417D3B">
        <w:rPr>
          <w:rFonts w:ascii="Palatino Linotype" w:hAnsi="Palatino Linotype"/>
          <w:b/>
          <w:bCs/>
          <w:color w:val="000000" w:themeColor="text1"/>
        </w:rPr>
        <w:t>RECURRENTE</w:t>
      </w:r>
      <w:r w:rsidR="004015F3" w:rsidRPr="00417D3B">
        <w:rPr>
          <w:rFonts w:ascii="Palatino Linotype" w:hAnsi="Palatino Linotype" w:cs="Arial"/>
          <w:color w:val="000000" w:themeColor="text1"/>
        </w:rPr>
        <w:t>,</w:t>
      </w:r>
      <w:r w:rsidR="005F1362" w:rsidRPr="00417D3B">
        <w:rPr>
          <w:rFonts w:ascii="Palatino Linotype" w:hAnsi="Palatino Linotype" w:cs="Arial"/>
          <w:color w:val="000000" w:themeColor="text1"/>
        </w:rPr>
        <w:t xml:space="preserve"> en contra de la respuesta del</w:t>
      </w:r>
      <w:r w:rsidR="002C1007" w:rsidRPr="00417D3B">
        <w:rPr>
          <w:rFonts w:ascii="Palatino Linotype" w:hAnsi="Palatino Linotype" w:cs="Arial"/>
          <w:color w:val="000000" w:themeColor="text1"/>
        </w:rPr>
        <w:t xml:space="preserve"> </w:t>
      </w:r>
      <w:r w:rsidR="00A66149" w:rsidRPr="00417D3B">
        <w:rPr>
          <w:rFonts w:ascii="Palatino Linotype" w:hAnsi="Palatino Linotype" w:cs="Arial"/>
          <w:b/>
          <w:color w:val="000000" w:themeColor="text1"/>
        </w:rPr>
        <w:t xml:space="preserve">Ayuntamiento de </w:t>
      </w:r>
      <w:r w:rsidR="008574BF" w:rsidRPr="00417D3B">
        <w:rPr>
          <w:rFonts w:ascii="Palatino Linotype" w:hAnsi="Palatino Linotype" w:cs="Arial"/>
          <w:b/>
          <w:bCs/>
          <w:color w:val="000000" w:themeColor="text1"/>
        </w:rPr>
        <w:t>Tianguistenco</w:t>
      </w:r>
      <w:r w:rsidR="009572EE" w:rsidRPr="00417D3B">
        <w:rPr>
          <w:rFonts w:ascii="Palatino Linotype" w:eastAsia="Calibri" w:hAnsi="Palatino Linotype" w:cs="Arial"/>
          <w:color w:val="000000" w:themeColor="text1"/>
          <w:lang w:val="es-ES"/>
        </w:rPr>
        <w:t>,</w:t>
      </w:r>
      <w:r w:rsidR="005F1362" w:rsidRPr="00417D3B">
        <w:rPr>
          <w:rFonts w:ascii="Palatino Linotype" w:eastAsia="Calibri" w:hAnsi="Palatino Linotype" w:cs="Arial"/>
          <w:color w:val="000000" w:themeColor="text1"/>
          <w:lang w:val="es-ES"/>
        </w:rPr>
        <w:t xml:space="preserve"> </w:t>
      </w:r>
      <w:r w:rsidR="005F1362" w:rsidRPr="00417D3B">
        <w:rPr>
          <w:rFonts w:ascii="Palatino Linotype" w:hAnsi="Palatino Linotype"/>
          <w:color w:val="000000" w:themeColor="text1"/>
        </w:rPr>
        <w:t xml:space="preserve">en </w:t>
      </w:r>
      <w:r w:rsidR="00C31E8F" w:rsidRPr="00417D3B">
        <w:rPr>
          <w:rFonts w:ascii="Palatino Linotype" w:hAnsi="Palatino Linotype"/>
          <w:color w:val="000000" w:themeColor="text1"/>
        </w:rPr>
        <w:t>adelante</w:t>
      </w:r>
      <w:r w:rsidR="005F1362" w:rsidRPr="00417D3B">
        <w:rPr>
          <w:rFonts w:ascii="Palatino Linotype" w:hAnsi="Palatino Linotype"/>
          <w:color w:val="000000" w:themeColor="text1"/>
        </w:rPr>
        <w:t xml:space="preserve"> el</w:t>
      </w:r>
      <w:r w:rsidR="005F1362" w:rsidRPr="00417D3B">
        <w:rPr>
          <w:rFonts w:ascii="Palatino Linotype" w:hAnsi="Palatino Linotype"/>
          <w:b/>
          <w:color w:val="000000" w:themeColor="text1"/>
        </w:rPr>
        <w:t xml:space="preserve"> SUJETO OBLIGADO</w:t>
      </w:r>
      <w:r w:rsidR="005F1362" w:rsidRPr="00417D3B">
        <w:rPr>
          <w:rFonts w:ascii="Palatino Linotype" w:hAnsi="Palatino Linotype"/>
          <w:bCs/>
          <w:color w:val="000000" w:themeColor="text1"/>
        </w:rPr>
        <w:t>,</w:t>
      </w:r>
      <w:r w:rsidR="005F1362" w:rsidRPr="00417D3B">
        <w:rPr>
          <w:rFonts w:ascii="Palatino Linotype" w:hAnsi="Palatino Linotype"/>
          <w:b/>
          <w:color w:val="000000" w:themeColor="text1"/>
        </w:rPr>
        <w:t xml:space="preserve"> </w:t>
      </w:r>
      <w:r w:rsidR="005F1362" w:rsidRPr="00417D3B">
        <w:rPr>
          <w:rFonts w:ascii="Palatino Linotype" w:hAnsi="Palatino Linotype"/>
          <w:color w:val="000000" w:themeColor="text1"/>
        </w:rPr>
        <w:t>se procede a dictar la presente resolución, con base en los siguientes:</w:t>
      </w:r>
    </w:p>
    <w:p w14:paraId="11EE5310" w14:textId="77777777" w:rsidR="009A593A" w:rsidRPr="00417D3B" w:rsidRDefault="009A593A" w:rsidP="00B31E90">
      <w:pPr>
        <w:spacing w:line="360" w:lineRule="auto"/>
        <w:jc w:val="both"/>
        <w:rPr>
          <w:rFonts w:ascii="Palatino Linotype" w:hAnsi="Palatino Linotype"/>
          <w:b/>
          <w:color w:val="000000" w:themeColor="text1"/>
        </w:rPr>
      </w:pPr>
    </w:p>
    <w:p w14:paraId="769E1410" w14:textId="5740327F" w:rsidR="00587366" w:rsidRPr="00417D3B"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96002399"/>
      <w:r w:rsidRPr="00417D3B">
        <w:rPr>
          <w:b/>
          <w:color w:val="000000" w:themeColor="text1"/>
          <w:szCs w:val="24"/>
        </w:rPr>
        <w:t>ANTECEDENTES</w:t>
      </w:r>
      <w:bookmarkEnd w:id="0"/>
      <w:bookmarkEnd w:id="1"/>
      <w:bookmarkEnd w:id="2"/>
    </w:p>
    <w:p w14:paraId="5672105D" w14:textId="77777777" w:rsidR="00B31E90" w:rsidRPr="00417D3B"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759A3E3A" w:rsidR="00D9392E" w:rsidRPr="00417D3B" w:rsidRDefault="005F0007"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417D3B">
        <w:rPr>
          <w:rFonts w:ascii="Palatino Linotype" w:eastAsia="Calibri" w:hAnsi="Palatino Linotype" w:cs="Arial"/>
          <w:color w:val="000000" w:themeColor="text1"/>
          <w:lang w:val="es-ES"/>
        </w:rPr>
        <w:t>El</w:t>
      </w:r>
      <w:r w:rsidR="00D9392E" w:rsidRPr="00417D3B">
        <w:rPr>
          <w:rFonts w:ascii="Palatino Linotype" w:eastAsia="Calibri" w:hAnsi="Palatino Linotype" w:cs="Arial"/>
          <w:color w:val="000000" w:themeColor="text1"/>
          <w:lang w:val="es-ES"/>
        </w:rPr>
        <w:t xml:space="preserve"> </w:t>
      </w:r>
      <w:r w:rsidR="008574BF" w:rsidRPr="00417D3B">
        <w:rPr>
          <w:rFonts w:ascii="Palatino Linotype" w:eastAsia="Calibri" w:hAnsi="Palatino Linotype" w:cs="Arial"/>
          <w:color w:val="000000" w:themeColor="text1"/>
          <w:lang w:val="es-ES"/>
        </w:rPr>
        <w:t>veinte (20)</w:t>
      </w:r>
      <w:r w:rsidR="006C4D3F" w:rsidRPr="00417D3B">
        <w:rPr>
          <w:rFonts w:ascii="Palatino Linotype" w:eastAsia="Calibri" w:hAnsi="Palatino Linotype" w:cs="Arial"/>
          <w:color w:val="000000" w:themeColor="text1"/>
          <w:lang w:val="es-ES"/>
        </w:rPr>
        <w:t xml:space="preserve"> </w:t>
      </w:r>
      <w:r w:rsidR="00AF31FE" w:rsidRPr="00417D3B">
        <w:rPr>
          <w:rFonts w:ascii="Palatino Linotype" w:eastAsia="Calibri" w:hAnsi="Palatino Linotype" w:cs="Arial"/>
          <w:color w:val="000000" w:themeColor="text1"/>
          <w:lang w:val="es-ES"/>
        </w:rPr>
        <w:t xml:space="preserve">de </w:t>
      </w:r>
      <w:r w:rsidR="00DD3E6A" w:rsidRPr="00417D3B">
        <w:rPr>
          <w:rFonts w:ascii="Palatino Linotype" w:eastAsia="Calibri" w:hAnsi="Palatino Linotype" w:cs="Arial"/>
          <w:color w:val="000000" w:themeColor="text1"/>
          <w:lang w:val="es-ES"/>
        </w:rPr>
        <w:t>mayo</w:t>
      </w:r>
      <w:r w:rsidR="00AF31FE" w:rsidRPr="00417D3B">
        <w:rPr>
          <w:rFonts w:ascii="Palatino Linotype" w:eastAsia="Calibri" w:hAnsi="Palatino Linotype" w:cs="Arial"/>
          <w:color w:val="000000" w:themeColor="text1"/>
          <w:lang w:val="es-ES"/>
        </w:rPr>
        <w:t xml:space="preserve"> de dos mil veintidós</w:t>
      </w:r>
      <w:r w:rsidR="005F1362" w:rsidRPr="00417D3B">
        <w:rPr>
          <w:rFonts w:ascii="Palatino Linotype" w:eastAsia="Calibri" w:hAnsi="Palatino Linotype" w:cs="Arial"/>
          <w:color w:val="000000" w:themeColor="text1"/>
          <w:lang w:val="es-ES"/>
        </w:rPr>
        <w:t xml:space="preserve">, </w:t>
      </w:r>
      <w:r w:rsidR="00396F5D" w:rsidRPr="00417D3B">
        <w:rPr>
          <w:rFonts w:ascii="Palatino Linotype" w:hAnsi="Palatino Linotype"/>
          <w:color w:val="000000" w:themeColor="text1"/>
        </w:rPr>
        <w:t>se</w:t>
      </w:r>
      <w:r w:rsidR="005F1362" w:rsidRPr="00417D3B">
        <w:rPr>
          <w:rFonts w:ascii="Palatino Linotype" w:hAnsi="Palatino Linotype"/>
          <w:color w:val="000000" w:themeColor="text1"/>
        </w:rPr>
        <w:t xml:space="preserve"> presentó</w:t>
      </w:r>
      <w:r w:rsidR="002B4277" w:rsidRPr="00417D3B">
        <w:rPr>
          <w:rFonts w:ascii="Palatino Linotype" w:hAnsi="Palatino Linotype"/>
          <w:color w:val="000000" w:themeColor="text1"/>
        </w:rPr>
        <w:t xml:space="preserve"> a través de</w:t>
      </w:r>
      <w:r w:rsidR="006F1507" w:rsidRPr="00417D3B">
        <w:rPr>
          <w:rFonts w:ascii="Palatino Linotype" w:hAnsi="Palatino Linotype"/>
          <w:color w:val="000000" w:themeColor="text1"/>
        </w:rPr>
        <w:t>l</w:t>
      </w:r>
      <w:r w:rsidR="002B4277" w:rsidRPr="00417D3B">
        <w:rPr>
          <w:rFonts w:ascii="Palatino Linotype" w:hAnsi="Palatino Linotype"/>
          <w:color w:val="000000" w:themeColor="text1"/>
        </w:rPr>
        <w:t xml:space="preserve"> Sistema de Acceso a la Información Mexiquense</w:t>
      </w:r>
      <w:r w:rsidR="005F1362" w:rsidRPr="00417D3B">
        <w:rPr>
          <w:rFonts w:ascii="Palatino Linotype" w:hAnsi="Palatino Linotype"/>
          <w:color w:val="000000" w:themeColor="text1"/>
        </w:rPr>
        <w:t xml:space="preserve"> </w:t>
      </w:r>
      <w:r w:rsidR="002B4277" w:rsidRPr="00417D3B">
        <w:rPr>
          <w:rFonts w:ascii="Palatino Linotype" w:hAnsi="Palatino Linotype"/>
          <w:color w:val="000000" w:themeColor="text1"/>
        </w:rPr>
        <w:t>(</w:t>
      </w:r>
      <w:r w:rsidR="00396F5D" w:rsidRPr="00417D3B">
        <w:rPr>
          <w:rFonts w:ascii="Palatino Linotype" w:hAnsi="Palatino Linotype"/>
          <w:bCs/>
          <w:color w:val="000000" w:themeColor="text1"/>
        </w:rPr>
        <w:t>SAIMEX</w:t>
      </w:r>
      <w:r w:rsidR="002B4277" w:rsidRPr="00417D3B">
        <w:rPr>
          <w:rFonts w:ascii="Palatino Linotype" w:hAnsi="Palatino Linotype"/>
          <w:bCs/>
          <w:color w:val="000000" w:themeColor="text1"/>
        </w:rPr>
        <w:t>)</w:t>
      </w:r>
      <w:r w:rsidR="00AF31FE" w:rsidRPr="00417D3B">
        <w:rPr>
          <w:rFonts w:ascii="Palatino Linotype" w:hAnsi="Palatino Linotype"/>
          <w:bCs/>
          <w:color w:val="000000" w:themeColor="text1"/>
        </w:rPr>
        <w:t>,</w:t>
      </w:r>
      <w:r w:rsidR="005F1362" w:rsidRPr="00417D3B">
        <w:rPr>
          <w:rFonts w:ascii="Palatino Linotype" w:eastAsia="Calibri" w:hAnsi="Palatino Linotype" w:cs="Arial"/>
          <w:color w:val="000000" w:themeColor="text1"/>
          <w:lang w:val="es-ES"/>
        </w:rPr>
        <w:t xml:space="preserve"> la solicitud de información pública registrada con el número</w:t>
      </w:r>
      <w:r w:rsidR="005F1362" w:rsidRPr="00417D3B">
        <w:rPr>
          <w:rFonts w:ascii="Palatino Linotype" w:hAnsi="Palatino Linotype"/>
          <w:b/>
          <w:bCs/>
          <w:color w:val="000000" w:themeColor="text1"/>
        </w:rPr>
        <w:t xml:space="preserve"> </w:t>
      </w:r>
      <w:r w:rsidR="008574BF" w:rsidRPr="00417D3B">
        <w:rPr>
          <w:rFonts w:ascii="Palatino Linotype" w:hAnsi="Palatino Linotype"/>
          <w:b/>
          <w:bCs/>
          <w:color w:val="000000" w:themeColor="text1"/>
        </w:rPr>
        <w:t>00105/TIANGUIS/IP/2022</w:t>
      </w:r>
      <w:r w:rsidR="005F1362" w:rsidRPr="00417D3B">
        <w:rPr>
          <w:rFonts w:ascii="Palatino Linotype" w:hAnsi="Palatino Linotype"/>
          <w:b/>
          <w:bCs/>
          <w:color w:val="000000" w:themeColor="text1"/>
        </w:rPr>
        <w:t>,</w:t>
      </w:r>
      <w:r w:rsidR="005F1362" w:rsidRPr="00417D3B">
        <w:rPr>
          <w:rFonts w:ascii="Palatino Linotype" w:eastAsia="Calibri" w:hAnsi="Palatino Linotype" w:cs="Arial"/>
          <w:color w:val="000000" w:themeColor="text1"/>
          <w:lang w:val="es-ES"/>
        </w:rPr>
        <w:t xml:space="preserve"> mediante la cual </w:t>
      </w:r>
      <w:r w:rsidR="00396F5D" w:rsidRPr="00417D3B">
        <w:rPr>
          <w:rFonts w:ascii="Palatino Linotype" w:eastAsia="Calibri" w:hAnsi="Palatino Linotype" w:cs="Arial"/>
          <w:color w:val="000000" w:themeColor="text1"/>
          <w:lang w:val="es-ES"/>
        </w:rPr>
        <w:t xml:space="preserve">se </w:t>
      </w:r>
      <w:r w:rsidR="005F1362" w:rsidRPr="00417D3B">
        <w:rPr>
          <w:rFonts w:ascii="Palatino Linotype" w:eastAsia="Calibri" w:hAnsi="Palatino Linotype" w:cs="Arial"/>
          <w:color w:val="000000" w:themeColor="text1"/>
          <w:lang w:val="es-ES"/>
        </w:rPr>
        <w:t>requirió</w:t>
      </w:r>
      <w:r w:rsidR="00022D89" w:rsidRPr="00417D3B">
        <w:rPr>
          <w:rFonts w:ascii="Palatino Linotype" w:eastAsia="Calibri" w:hAnsi="Palatino Linotype" w:cs="Arial"/>
          <w:color w:val="000000" w:themeColor="text1"/>
          <w:lang w:val="es-ES"/>
        </w:rPr>
        <w:t xml:space="preserve"> lo siguiente</w:t>
      </w:r>
      <w:r w:rsidR="005F1362" w:rsidRPr="00417D3B">
        <w:rPr>
          <w:rFonts w:ascii="Palatino Linotype" w:eastAsia="Calibri" w:hAnsi="Palatino Linotype" w:cs="Arial"/>
          <w:color w:val="000000" w:themeColor="text1"/>
          <w:lang w:val="es-ES"/>
        </w:rPr>
        <w:t>:</w:t>
      </w:r>
    </w:p>
    <w:p w14:paraId="76EB7490" w14:textId="6E735726" w:rsidR="00B31E90" w:rsidRPr="00417D3B" w:rsidRDefault="00B31E90" w:rsidP="00B31E90">
      <w:pPr>
        <w:pStyle w:val="Prrafodelista"/>
        <w:spacing w:line="276" w:lineRule="auto"/>
        <w:ind w:left="567" w:right="567"/>
        <w:jc w:val="both"/>
        <w:rPr>
          <w:rFonts w:ascii="Palatino Linotype" w:hAnsi="Palatino Linotype"/>
          <w:i/>
          <w:color w:val="000000" w:themeColor="text1"/>
        </w:rPr>
      </w:pPr>
    </w:p>
    <w:p w14:paraId="59E32C30" w14:textId="6EFF98B1" w:rsidR="00646D42" w:rsidRPr="00417D3B" w:rsidRDefault="00EB06C2" w:rsidP="00EB06C2">
      <w:pPr>
        <w:ind w:left="567" w:right="616"/>
        <w:jc w:val="both"/>
        <w:rPr>
          <w:rFonts w:ascii="Palatino Linotype" w:hAnsi="Palatino Linotype"/>
          <w:i/>
          <w:iCs/>
          <w:color w:val="000000" w:themeColor="text1"/>
        </w:rPr>
      </w:pPr>
      <w:r w:rsidRPr="00417D3B">
        <w:rPr>
          <w:rFonts w:ascii="Palatino Linotype" w:hAnsi="Palatino Linotype"/>
          <w:i/>
          <w:iCs/>
          <w:color w:val="000000"/>
        </w:rPr>
        <w:t>“</w:t>
      </w:r>
      <w:r w:rsidRPr="00417D3B">
        <w:rPr>
          <w:rFonts w:ascii="Palatino Linotype" w:hAnsi="Palatino Linotype"/>
          <w:i/>
          <w:color w:val="000000"/>
        </w:rPr>
        <w:t>S</w:t>
      </w:r>
      <w:r w:rsidR="006F1507" w:rsidRPr="00417D3B">
        <w:rPr>
          <w:rFonts w:ascii="Palatino Linotype" w:hAnsi="Palatino Linotype"/>
          <w:i/>
          <w:color w:val="000000"/>
        </w:rPr>
        <w:t>e adjunta la solicitud en PDF</w:t>
      </w:r>
      <w:r w:rsidR="00646D42" w:rsidRPr="00417D3B">
        <w:rPr>
          <w:rFonts w:ascii="Palatino Linotype" w:hAnsi="Palatino Linotype"/>
          <w:i/>
          <w:iCs/>
        </w:rPr>
        <w:t>” (Sic)</w:t>
      </w:r>
      <w:r w:rsidR="00646D42" w:rsidRPr="00417D3B">
        <w:rPr>
          <w:rFonts w:ascii="Palatino Linotype" w:hAnsi="Palatino Linotype"/>
          <w:i/>
          <w:iCs/>
          <w:color w:val="000000" w:themeColor="text1"/>
        </w:rPr>
        <w:t xml:space="preserve"> </w:t>
      </w:r>
    </w:p>
    <w:p w14:paraId="5E91B9B5" w14:textId="77777777" w:rsidR="006F1507" w:rsidRPr="00417D3B" w:rsidRDefault="006F1507" w:rsidP="006F1507">
      <w:pPr>
        <w:ind w:right="616"/>
        <w:jc w:val="both"/>
        <w:rPr>
          <w:rFonts w:ascii="Palatino Linotype" w:hAnsi="Palatino Linotype"/>
          <w:i/>
          <w:iCs/>
          <w:color w:val="000000" w:themeColor="text1"/>
        </w:rPr>
      </w:pPr>
    </w:p>
    <w:p w14:paraId="04996772" w14:textId="16A66995" w:rsidR="006F1507" w:rsidRPr="00417D3B" w:rsidRDefault="006F1507" w:rsidP="006F1507">
      <w:pPr>
        <w:ind w:right="616"/>
        <w:jc w:val="both"/>
        <w:rPr>
          <w:rFonts w:ascii="Palatino Linotype" w:hAnsi="Palatino Linotype"/>
          <w:color w:val="000000"/>
        </w:rPr>
      </w:pPr>
      <w:r w:rsidRPr="00417D3B">
        <w:rPr>
          <w:rFonts w:ascii="Palatino Linotype" w:hAnsi="Palatino Linotype"/>
          <w:color w:val="000000"/>
        </w:rPr>
        <w:t>Archivo adjunto:</w:t>
      </w:r>
    </w:p>
    <w:p w14:paraId="092D2E08" w14:textId="77777777" w:rsidR="006F1507" w:rsidRPr="00417D3B" w:rsidRDefault="006F1507" w:rsidP="006F1507">
      <w:pPr>
        <w:ind w:right="616"/>
        <w:jc w:val="both"/>
        <w:rPr>
          <w:rFonts w:ascii="Palatino Linotype" w:hAnsi="Palatino Linotype"/>
          <w:color w:val="000000"/>
        </w:rPr>
      </w:pPr>
    </w:p>
    <w:p w14:paraId="458FC407" w14:textId="01FDDED8" w:rsidR="006F1507" w:rsidRPr="00417D3B" w:rsidRDefault="006F1507">
      <w:pPr>
        <w:pStyle w:val="Prrafodelista"/>
        <w:numPr>
          <w:ilvl w:val="0"/>
          <w:numId w:val="5"/>
        </w:numPr>
        <w:ind w:right="616"/>
        <w:jc w:val="both"/>
        <w:rPr>
          <w:rFonts w:ascii="Palatino Linotype" w:hAnsi="Palatino Linotype"/>
          <w:b/>
          <w:bCs/>
          <w:color w:val="000000"/>
        </w:rPr>
      </w:pPr>
      <w:r w:rsidRPr="00417D3B">
        <w:rPr>
          <w:rFonts w:ascii="Palatino Linotype" w:hAnsi="Palatino Linotype"/>
          <w:b/>
          <w:bCs/>
          <w:color w:val="000000"/>
        </w:rPr>
        <w:t xml:space="preserve">SAI </w:t>
      </w:r>
      <w:r w:rsidR="006C4D3F" w:rsidRPr="00417D3B">
        <w:rPr>
          <w:rFonts w:ascii="Palatino Linotype" w:hAnsi="Palatino Linotype"/>
          <w:b/>
          <w:bCs/>
          <w:color w:val="000000"/>
        </w:rPr>
        <w:t>Rayón</w:t>
      </w:r>
      <w:r w:rsidRPr="00417D3B">
        <w:rPr>
          <w:rFonts w:ascii="Palatino Linotype" w:hAnsi="Palatino Linotype"/>
          <w:b/>
          <w:bCs/>
          <w:color w:val="000000"/>
        </w:rPr>
        <w:t>.pdf:</w:t>
      </w:r>
    </w:p>
    <w:p w14:paraId="0899DE0F" w14:textId="51DA6811" w:rsidR="00050575" w:rsidRPr="00417D3B" w:rsidRDefault="00050575" w:rsidP="00050575">
      <w:pPr>
        <w:ind w:right="616"/>
        <w:jc w:val="both"/>
        <w:rPr>
          <w:rFonts w:ascii="Palatino Linotype" w:hAnsi="Palatino Linotype"/>
          <w:color w:val="000000"/>
        </w:rPr>
      </w:pPr>
    </w:p>
    <w:p w14:paraId="2BF2CBCB" w14:textId="77777777" w:rsidR="008574BF" w:rsidRPr="00417D3B" w:rsidRDefault="00050575" w:rsidP="00050575">
      <w:pPr>
        <w:ind w:left="567" w:right="616"/>
        <w:jc w:val="both"/>
        <w:rPr>
          <w:rFonts w:ascii="Palatino Linotype" w:hAnsi="Palatino Linotype"/>
          <w:i/>
        </w:rPr>
      </w:pPr>
      <w:r w:rsidRPr="00417D3B">
        <w:rPr>
          <w:rFonts w:ascii="Palatino Linotype" w:hAnsi="Palatino Linotype"/>
          <w:i/>
          <w:iCs/>
        </w:rPr>
        <w:t>“</w:t>
      </w:r>
      <w:r w:rsidR="006C4D3F" w:rsidRPr="00417D3B">
        <w:rPr>
          <w:rFonts w:ascii="Palatino Linotype" w:hAnsi="Palatino Linotype"/>
          <w:i/>
        </w:rPr>
        <w:t xml:space="preserve">SOLICITUD #: «No_» </w:t>
      </w:r>
    </w:p>
    <w:p w14:paraId="1AFBD2CA"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Persona: Física </w:t>
      </w:r>
    </w:p>
    <w:p w14:paraId="24FC6555"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ESTADO: Estado de México </w:t>
      </w:r>
    </w:p>
    <w:p w14:paraId="7A99B957" w14:textId="300D619F"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INSTITUCIÓN: </w:t>
      </w:r>
      <w:r w:rsidR="008574BF" w:rsidRPr="00417D3B">
        <w:rPr>
          <w:rFonts w:ascii="Palatino Linotype" w:hAnsi="Palatino Linotype"/>
          <w:bCs/>
          <w:i/>
        </w:rPr>
        <w:t>Tianguistenco</w:t>
      </w:r>
    </w:p>
    <w:p w14:paraId="191EA9CA"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SOLICITUD DE ACCESO A LA INFORMACIÓN </w:t>
      </w:r>
    </w:p>
    <w:p w14:paraId="63E3E05F"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lastRenderedPageBreak/>
        <w:t xml:space="preserve">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w:t>
      </w:r>
    </w:p>
    <w:p w14:paraId="4917ABF6"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 TIPO DE INCIDENTE O EVENTO (es decir hechos presuntamente constitutivos de delito y/o falta administrativa, o situación reportada, cualquiera que esta sea, especificando si el hecho fue con o sin violencia) </w:t>
      </w:r>
    </w:p>
    <w:p w14:paraId="51F6E056"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 HORA DEL INCIDENTE O EVENTO </w:t>
      </w:r>
    </w:p>
    <w:p w14:paraId="0334C5BD"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 FECHA (dd/mm/aaaa) DEL INCIDENTE O EVENTO </w:t>
      </w:r>
    </w:p>
    <w:p w14:paraId="01DD0C80"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 LUGAR DEL INCIDENTE O EVENTO </w:t>
      </w:r>
    </w:p>
    <w:p w14:paraId="4E18CBAD"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 UBICACIÓN DEL INCIDENTE O EVENTO </w:t>
      </w:r>
    </w:p>
    <w:p w14:paraId="4C8D52E7"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 LAS COORDENADAS GEOGRÁFICAS DEL INCIDENTE O EVENTO. ESTABLECIDAS EN LA SECCIÓN “LUGAR DE LA INTERVENCIÓN” DEL INFORME POLICIAL HOMOLOGADO PARA 1) HECHOS PROBABLEMENTE DELICTIVOS O PARA 2) JUSTICIA CÍVICA SEGÚN CORRESPONDA AL TIPO DE INCIDENTE. </w:t>
      </w:r>
    </w:p>
    <w:p w14:paraId="2893DE7E"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Solicito explícitamente que la información se encuentre desglosada y particularizada por tipo de incidente, por lo que cada uno debe contener su hora, fecha, lugar, ubicación y coordenadas geográficas que le corresponde. </w:t>
      </w:r>
    </w:p>
    <w:p w14:paraId="4FD20ABB" w14:textId="32C8D03B" w:rsidR="008574BF" w:rsidRPr="00417D3B" w:rsidRDefault="006C4D3F" w:rsidP="00050575">
      <w:pPr>
        <w:ind w:left="567" w:right="616"/>
        <w:jc w:val="both"/>
        <w:rPr>
          <w:rFonts w:ascii="Palatino Linotype" w:hAnsi="Palatino Linotype"/>
          <w:b/>
          <w:i/>
          <w:u w:val="single"/>
        </w:rPr>
      </w:pPr>
      <w:r w:rsidRPr="00417D3B">
        <w:rPr>
          <w:rFonts w:ascii="Palatino Linotype" w:hAnsi="Palatino Linotype"/>
          <w:i/>
        </w:rPr>
        <w:t xml:space="preserve">Requiero se proporcione la información </w:t>
      </w:r>
      <w:r w:rsidRPr="00417D3B">
        <w:rPr>
          <w:rFonts w:ascii="Palatino Linotype" w:hAnsi="Palatino Linotype"/>
          <w:b/>
          <w:i/>
          <w:u w:val="single"/>
        </w:rPr>
        <w:t>correspondiente al pe</w:t>
      </w:r>
      <w:r w:rsidR="008574BF" w:rsidRPr="00417D3B">
        <w:rPr>
          <w:rFonts w:ascii="Palatino Linotype" w:hAnsi="Palatino Linotype"/>
          <w:b/>
          <w:i/>
          <w:u w:val="single"/>
        </w:rPr>
        <w:t>riodo del 1 de enero de 2010</w:t>
      </w:r>
      <w:r w:rsidRPr="00417D3B">
        <w:rPr>
          <w:rFonts w:ascii="Palatino Linotype" w:hAnsi="Palatino Linotype"/>
          <w:b/>
          <w:i/>
          <w:u w:val="single"/>
        </w:rPr>
        <w:t xml:space="preserve"> a la fecha de la presente solicitud. </w:t>
      </w:r>
    </w:p>
    <w:p w14:paraId="3D975888"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 </w:t>
      </w:r>
    </w:p>
    <w:p w14:paraId="05546141"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w:t>
      </w:r>
    </w:p>
    <w:p w14:paraId="211C970E" w14:textId="097CA242"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w:t>
      </w:r>
      <w:r w:rsidRPr="00417D3B">
        <w:rPr>
          <w:rFonts w:ascii="Palatino Linotype" w:hAnsi="Palatino Linotype"/>
          <w:i/>
        </w:rPr>
        <w:lastRenderedPageBreak/>
        <w:t xml:space="preserve">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w:t>
      </w:r>
      <w:hyperlink r:id="rId8" w:history="1">
        <w:r w:rsidR="008574BF" w:rsidRPr="00417D3B">
          <w:rPr>
            <w:rStyle w:val="Hipervnculo"/>
            <w:rFonts w:ascii="Palatino Linotype" w:hAnsi="Palatino Linotype"/>
            <w:i/>
          </w:rPr>
          <w:t>https://datos.cdmx.gob.mx/dataset/?groups=justicia-y-seguridad</w:t>
        </w:r>
      </w:hyperlink>
      <w:r w:rsidRPr="00417D3B">
        <w:rPr>
          <w:rFonts w:ascii="Palatino Linotype" w:hAnsi="Palatino Linotype"/>
          <w:i/>
        </w:rPr>
        <w:t xml:space="preserve"> </w:t>
      </w:r>
    </w:p>
    <w:p w14:paraId="14DA45E0" w14:textId="77777777" w:rsidR="008574BF" w:rsidRPr="00417D3B" w:rsidRDefault="008574BF" w:rsidP="00050575">
      <w:pPr>
        <w:ind w:left="567" w:right="616"/>
        <w:jc w:val="both"/>
        <w:rPr>
          <w:rFonts w:ascii="Palatino Linotype" w:hAnsi="Palatino Linotype"/>
          <w:i/>
        </w:rPr>
      </w:pPr>
    </w:p>
    <w:p w14:paraId="0D6966BE"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DATOS QUE FACILITEN LA BÚSQUEDA Y EVENTUAL LOCALIZACIÓN DE LA INFORMACIÓN </w:t>
      </w:r>
    </w:p>
    <w:p w14:paraId="06981E97" w14:textId="77777777" w:rsidR="008574BF" w:rsidRPr="00417D3B" w:rsidRDefault="008574BF" w:rsidP="00050575">
      <w:pPr>
        <w:ind w:left="567" w:right="616"/>
        <w:jc w:val="both"/>
        <w:rPr>
          <w:rFonts w:ascii="Palatino Linotype" w:hAnsi="Palatino Linotype"/>
          <w:i/>
        </w:rPr>
      </w:pPr>
    </w:p>
    <w:p w14:paraId="14B74CA3" w14:textId="3FE2E632"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Solicito se remita la solicitud a todas las áreas competentes al interior del sujeto obligado, en particular a: </w:t>
      </w:r>
      <w:r w:rsidR="008574BF" w:rsidRPr="00417D3B">
        <w:rPr>
          <w:rFonts w:ascii="Palatino Linotype" w:hAnsi="Palatino Linotype"/>
          <w:i/>
        </w:rPr>
        <w:t>Dirección de Seguridad Ciudadana, Protección Civil y Bomberos</w:t>
      </w:r>
    </w:p>
    <w:p w14:paraId="47FA067C" w14:textId="77777777" w:rsidR="008574BF" w:rsidRPr="00417D3B" w:rsidRDefault="008574BF" w:rsidP="00050575">
      <w:pPr>
        <w:ind w:left="567" w:right="616"/>
        <w:jc w:val="both"/>
        <w:rPr>
          <w:rFonts w:ascii="Palatino Linotype" w:hAnsi="Palatino Linotype"/>
          <w:i/>
        </w:rPr>
      </w:pPr>
    </w:p>
    <w:p w14:paraId="5DD7AFEB"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Fundamento mi solicitud en la funciones y atribuciones del sujeto obligado, así como las particulares de las áreas señaladas: </w:t>
      </w:r>
    </w:p>
    <w:p w14:paraId="56C53789" w14:textId="77777777" w:rsidR="008574BF" w:rsidRPr="00417D3B" w:rsidRDefault="008574BF" w:rsidP="00050575">
      <w:pPr>
        <w:ind w:left="567" w:right="616"/>
        <w:jc w:val="both"/>
        <w:rPr>
          <w:rFonts w:ascii="Palatino Linotype" w:hAnsi="Palatino Linotype"/>
          <w:i/>
        </w:rPr>
      </w:pPr>
    </w:p>
    <w:p w14:paraId="66F068BF" w14:textId="74758C13" w:rsidR="008574BF" w:rsidRPr="00417D3B" w:rsidRDefault="008574BF" w:rsidP="00050575">
      <w:pPr>
        <w:ind w:left="567" w:right="616"/>
        <w:jc w:val="both"/>
        <w:rPr>
          <w:rFonts w:ascii="Palatino Linotype" w:hAnsi="Palatino Linotype"/>
          <w:i/>
        </w:rPr>
      </w:pPr>
      <w:r w:rsidRPr="00417D3B">
        <w:rPr>
          <w:rFonts w:ascii="Palatino Linotype" w:hAnsi="Palatino Linotype"/>
          <w:i/>
        </w:rPr>
        <w:t>Bando Municipal. Artículo 103. Son atribuciones del Director de Seguridad Pública Municipal, Protección Civil y Bomberos, en materia de seguridad pública, las siguientes: V. Contar con las estadísticas delictivas y efectuar la supervisión permanente de las acciones de seguridad pública municipal.</w:t>
      </w:r>
    </w:p>
    <w:p w14:paraId="192C6256" w14:textId="77777777" w:rsidR="008574BF" w:rsidRPr="00417D3B" w:rsidRDefault="008574BF" w:rsidP="00050575">
      <w:pPr>
        <w:ind w:left="567" w:right="616"/>
        <w:jc w:val="both"/>
        <w:rPr>
          <w:rFonts w:ascii="Palatino Linotype" w:hAnsi="Palatino Linotype"/>
          <w:i/>
        </w:rPr>
      </w:pPr>
    </w:p>
    <w:p w14:paraId="3E589BD2"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Ley General del Sistema Nacional de Seguridad Pública, artículos 5, fracción X, 41 fracciones I y II, y 43. </w:t>
      </w:r>
    </w:p>
    <w:p w14:paraId="626395BD"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Ley Nacional del Registro de Detenciones, artículos 18, 20 y 21 párrafo I. </w:t>
      </w:r>
    </w:p>
    <w:p w14:paraId="0E7E2183" w14:textId="217471EB"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Código Nacional de Procedimientos Penales, artículos 51 y 132 fracción XIV. </w:t>
      </w:r>
    </w:p>
    <w:p w14:paraId="0B42FA53"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Acuerdo por el que se emiten los Lineamientos para el llenado, entrega, recepción, registro, resguardo y consulta del Informe Policial Homologado. Publicado el 20/02/2020. </w:t>
      </w:r>
    </w:p>
    <w:p w14:paraId="7D5F01A4"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MEDIO PARA RECIBIR NOTIFICACIONES Correo Electrónico </w:t>
      </w:r>
    </w:p>
    <w:p w14:paraId="5E14B91C"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FORMATO PARA RECIBIR LA INFORMACIÓN SOLICITADA </w:t>
      </w:r>
    </w:p>
    <w:p w14:paraId="2A6DBB6D" w14:textId="77777777" w:rsidR="008574BF" w:rsidRPr="00417D3B" w:rsidRDefault="006C4D3F" w:rsidP="00050575">
      <w:pPr>
        <w:ind w:left="567" w:right="616"/>
        <w:jc w:val="both"/>
        <w:rPr>
          <w:rFonts w:ascii="Palatino Linotype" w:hAnsi="Palatino Linotype"/>
          <w:i/>
        </w:rPr>
      </w:pPr>
      <w:r w:rsidRPr="00417D3B">
        <w:rPr>
          <w:rFonts w:ascii="Palatino Linotype" w:hAnsi="Palatino Linotype"/>
          <w:i/>
        </w:rPr>
        <w:t xml:space="preserve">Cualquier otro medio incluido los electrónicos: </w:t>
      </w:r>
    </w:p>
    <w:p w14:paraId="42D73C8D" w14:textId="4EBC13DF" w:rsidR="00050575" w:rsidRPr="00417D3B" w:rsidRDefault="006C4D3F" w:rsidP="00050575">
      <w:pPr>
        <w:ind w:left="567" w:right="616"/>
        <w:jc w:val="both"/>
        <w:rPr>
          <w:rFonts w:ascii="Palatino Linotype" w:hAnsi="Palatino Linotype"/>
          <w:i/>
          <w:iCs/>
          <w:color w:val="000000"/>
        </w:rPr>
      </w:pPr>
      <w:r w:rsidRPr="00417D3B">
        <w:rPr>
          <w:rFonts w:ascii="Palatino Linotype" w:hAnsi="Palatino Linotype"/>
          <w:i/>
        </w:rPr>
        <w:t>1) Correo electrónico proyectoinformacion21@gmail.com o 2) Sistema de Solicitudes de la Plataforma Nacional de Transparencia o bien, 3) mecanismo de almacenamiento y sincronización de archivos como Google Drive o We Transfer.</w:t>
      </w:r>
      <w:r w:rsidR="00050575" w:rsidRPr="00417D3B">
        <w:rPr>
          <w:rFonts w:ascii="Palatino Linotype" w:hAnsi="Palatino Linotype"/>
          <w:i/>
          <w:iCs/>
        </w:rPr>
        <w:t>” (Sic)</w:t>
      </w:r>
    </w:p>
    <w:p w14:paraId="0B2E3135" w14:textId="77777777" w:rsidR="00646D42" w:rsidRPr="00417D3B" w:rsidRDefault="00646D42" w:rsidP="006C4D3F">
      <w:pPr>
        <w:spacing w:line="360" w:lineRule="auto"/>
        <w:ind w:right="567"/>
        <w:jc w:val="both"/>
        <w:rPr>
          <w:rFonts w:ascii="Palatino Linotype" w:hAnsi="Palatino Linotype"/>
          <w:color w:val="000000" w:themeColor="text1"/>
        </w:rPr>
      </w:pPr>
    </w:p>
    <w:p w14:paraId="7962F7B5" w14:textId="7A9BF8D6" w:rsidR="00484F28" w:rsidRPr="00417D3B" w:rsidRDefault="005F1362" w:rsidP="00050575">
      <w:pPr>
        <w:pStyle w:val="Prrafodelista"/>
        <w:numPr>
          <w:ilvl w:val="0"/>
          <w:numId w:val="1"/>
        </w:numPr>
        <w:tabs>
          <w:tab w:val="left" w:pos="426"/>
        </w:tabs>
        <w:spacing w:line="360" w:lineRule="auto"/>
        <w:jc w:val="both"/>
        <w:rPr>
          <w:rFonts w:ascii="Palatino Linotype" w:eastAsia="MS Mincho" w:hAnsi="Palatino Linotype"/>
          <w:color w:val="000000" w:themeColor="text1"/>
          <w:lang w:eastAsia="es-ES"/>
        </w:rPr>
      </w:pPr>
      <w:r w:rsidRPr="00417D3B">
        <w:rPr>
          <w:rFonts w:ascii="Palatino Linotype" w:hAnsi="Palatino Linotype" w:cs="Arial"/>
          <w:color w:val="000000" w:themeColor="text1"/>
        </w:rPr>
        <w:lastRenderedPageBreak/>
        <w:t xml:space="preserve">Se hace constar que </w:t>
      </w:r>
      <w:r w:rsidR="00AF31FE" w:rsidRPr="00417D3B">
        <w:rPr>
          <w:rFonts w:ascii="Palatino Linotype" w:hAnsi="Palatino Linotype" w:cs="Arial"/>
          <w:color w:val="000000" w:themeColor="text1"/>
          <w:lang w:val="es-ES"/>
        </w:rPr>
        <w:t>el</w:t>
      </w:r>
      <w:r w:rsidR="00025127" w:rsidRPr="00417D3B">
        <w:rPr>
          <w:rFonts w:ascii="Palatino Linotype" w:hAnsi="Palatino Linotype" w:cs="Arial"/>
          <w:color w:val="000000" w:themeColor="text1"/>
          <w:lang w:val="es-ES"/>
        </w:rPr>
        <w:t xml:space="preserve"> entonces</w:t>
      </w:r>
      <w:r w:rsidR="00FD7996" w:rsidRPr="00417D3B">
        <w:rPr>
          <w:rFonts w:ascii="Palatino Linotype" w:hAnsi="Palatino Linotype" w:cs="Arial"/>
          <w:color w:val="000000" w:themeColor="text1"/>
          <w:lang w:val="es-ES"/>
        </w:rPr>
        <w:t xml:space="preserve"> </w:t>
      </w:r>
      <w:r w:rsidR="00FD7996" w:rsidRPr="00417D3B">
        <w:rPr>
          <w:rFonts w:ascii="Palatino Linotype" w:hAnsi="Palatino Linotype" w:cs="Arial"/>
          <w:b/>
          <w:color w:val="000000" w:themeColor="text1"/>
          <w:lang w:val="es-ES"/>
        </w:rPr>
        <w:t>SOLICITANTE</w:t>
      </w:r>
      <w:r w:rsidRPr="00417D3B">
        <w:rPr>
          <w:rFonts w:ascii="Palatino Linotype" w:hAnsi="Palatino Linotype" w:cs="Arial"/>
          <w:color w:val="000000" w:themeColor="text1"/>
          <w:lang w:val="es-ES"/>
        </w:rPr>
        <w:t xml:space="preserve"> señaló como modalidad de entrega de la información</w:t>
      </w:r>
      <w:r w:rsidRPr="00417D3B">
        <w:rPr>
          <w:rFonts w:ascii="Palatino Linotype" w:hAnsi="Palatino Linotype" w:cs="Arial"/>
          <w:b/>
          <w:color w:val="000000" w:themeColor="text1"/>
          <w:lang w:val="es-ES"/>
        </w:rPr>
        <w:t>:</w:t>
      </w:r>
      <w:r w:rsidR="001E4152" w:rsidRPr="00417D3B">
        <w:rPr>
          <w:rFonts w:ascii="Palatino Linotype" w:hAnsi="Palatino Linotype" w:cs="Arial"/>
          <w:b/>
          <w:color w:val="000000" w:themeColor="text1"/>
          <w:lang w:val="es-ES"/>
        </w:rPr>
        <w:t xml:space="preserve"> </w:t>
      </w:r>
      <w:r w:rsidR="001E4152" w:rsidRPr="00417D3B">
        <w:rPr>
          <w:rFonts w:ascii="Palatino Linotype" w:hAnsi="Palatino Linotype" w:cs="Arial"/>
          <w:b/>
          <w:iCs/>
          <w:color w:val="000000" w:themeColor="text1"/>
          <w:lang w:val="es-ES"/>
        </w:rPr>
        <w:t>A través del SAIMEX</w:t>
      </w:r>
      <w:r w:rsidR="00921DA5" w:rsidRPr="00417D3B">
        <w:rPr>
          <w:rFonts w:ascii="Palatino Linotype" w:hAnsi="Palatino Linotype" w:cs="Arial"/>
          <w:b/>
          <w:bCs/>
          <w:color w:val="000000" w:themeColor="text1"/>
          <w:lang w:val="es-ES"/>
        </w:rPr>
        <w:t>,</w:t>
      </w:r>
      <w:r w:rsidR="00AF31FE" w:rsidRPr="00417D3B">
        <w:rPr>
          <w:rFonts w:ascii="Palatino Linotype" w:eastAsia="Calibri" w:hAnsi="Palatino Linotype" w:cs="Arial"/>
          <w:b/>
          <w:color w:val="000000" w:themeColor="text1"/>
          <w:lang w:val="es-AR"/>
        </w:rPr>
        <w:t xml:space="preserve"> correo electrónico</w:t>
      </w:r>
      <w:r w:rsidR="00050575" w:rsidRPr="00417D3B">
        <w:rPr>
          <w:rFonts w:ascii="Palatino Linotype" w:eastAsia="Calibri" w:hAnsi="Palatino Linotype" w:cs="Arial"/>
          <w:b/>
          <w:bCs/>
          <w:iCs/>
          <w:color w:val="000000" w:themeColor="text1"/>
          <w:lang w:val="es-AR"/>
        </w:rPr>
        <w:t>, liga electrónica.</w:t>
      </w:r>
    </w:p>
    <w:p w14:paraId="7BC1A27B" w14:textId="77777777" w:rsidR="009A68B9" w:rsidRPr="00417D3B" w:rsidRDefault="009A68B9" w:rsidP="009A68B9">
      <w:pPr>
        <w:pStyle w:val="Prrafodelista"/>
        <w:tabs>
          <w:tab w:val="left" w:pos="426"/>
        </w:tabs>
        <w:spacing w:line="360" w:lineRule="auto"/>
        <w:ind w:left="0"/>
        <w:jc w:val="both"/>
        <w:rPr>
          <w:rFonts w:ascii="Palatino Linotype" w:eastAsia="MS Mincho" w:hAnsi="Palatino Linotype"/>
          <w:color w:val="000000" w:themeColor="text1"/>
        </w:rPr>
      </w:pPr>
    </w:p>
    <w:p w14:paraId="5CE92732" w14:textId="2628AA56" w:rsidR="008574BF" w:rsidRPr="00417D3B" w:rsidRDefault="008574BF"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417D3B">
        <w:rPr>
          <w:rFonts w:ascii="Palatino Linotype" w:eastAsia="MS Mincho" w:hAnsi="Palatino Linotype"/>
          <w:color w:val="000000" w:themeColor="text1"/>
        </w:rPr>
        <w:t xml:space="preserve">El veintitrés (23) de mayo de dos mil veintidós, se realizó un requerimiento al servidor público habilitado. </w:t>
      </w:r>
    </w:p>
    <w:p w14:paraId="7791991B" w14:textId="77777777" w:rsidR="008574BF" w:rsidRPr="00417D3B" w:rsidRDefault="008574BF" w:rsidP="008574BF">
      <w:pPr>
        <w:pStyle w:val="Prrafodelista"/>
        <w:rPr>
          <w:rFonts w:ascii="Palatino Linotype" w:eastAsia="MS Mincho" w:hAnsi="Palatino Linotype"/>
          <w:color w:val="000000" w:themeColor="text1"/>
        </w:rPr>
      </w:pPr>
    </w:p>
    <w:p w14:paraId="60DCDA4B" w14:textId="0562955D" w:rsidR="0022448D" w:rsidRPr="00417D3B" w:rsidRDefault="00970461"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417D3B">
        <w:rPr>
          <w:rFonts w:ascii="Palatino Linotype" w:eastAsia="MS Mincho" w:hAnsi="Palatino Linotype"/>
          <w:color w:val="000000" w:themeColor="text1"/>
        </w:rPr>
        <w:t>E</w:t>
      </w:r>
      <w:r w:rsidR="00B31E90" w:rsidRPr="00417D3B">
        <w:rPr>
          <w:rFonts w:ascii="Palatino Linotype" w:eastAsia="MS Mincho" w:hAnsi="Palatino Linotype"/>
          <w:color w:val="000000" w:themeColor="text1"/>
        </w:rPr>
        <w:t>l</w:t>
      </w:r>
      <w:r w:rsidR="001A1922" w:rsidRPr="00417D3B">
        <w:rPr>
          <w:rFonts w:ascii="Palatino Linotype" w:eastAsia="MS Mincho" w:hAnsi="Palatino Linotype"/>
          <w:color w:val="000000" w:themeColor="text1"/>
        </w:rPr>
        <w:t xml:space="preserve"> </w:t>
      </w:r>
      <w:r w:rsidR="008574BF" w:rsidRPr="00417D3B">
        <w:rPr>
          <w:rFonts w:ascii="Palatino Linotype" w:eastAsia="MS Mincho" w:hAnsi="Palatino Linotype"/>
          <w:color w:val="000000" w:themeColor="text1"/>
        </w:rPr>
        <w:t>tres (03)</w:t>
      </w:r>
      <w:r w:rsidR="00921DA5" w:rsidRPr="00417D3B">
        <w:rPr>
          <w:rFonts w:ascii="Palatino Linotype" w:eastAsia="MS Mincho" w:hAnsi="Palatino Linotype"/>
          <w:color w:val="000000" w:themeColor="text1"/>
        </w:rPr>
        <w:t xml:space="preserve"> de </w:t>
      </w:r>
      <w:r w:rsidR="009A68B9" w:rsidRPr="00417D3B">
        <w:rPr>
          <w:rFonts w:ascii="Palatino Linotype" w:eastAsia="MS Mincho" w:hAnsi="Palatino Linotype"/>
          <w:color w:val="000000" w:themeColor="text1"/>
        </w:rPr>
        <w:t>junio</w:t>
      </w:r>
      <w:r w:rsidR="00AF31FE" w:rsidRPr="00417D3B">
        <w:rPr>
          <w:rFonts w:ascii="Palatino Linotype" w:eastAsia="MS Mincho" w:hAnsi="Palatino Linotype"/>
          <w:color w:val="000000" w:themeColor="text1"/>
        </w:rPr>
        <w:t xml:space="preserve"> de dos mil veintidós</w:t>
      </w:r>
      <w:r w:rsidR="00762697" w:rsidRPr="00417D3B">
        <w:rPr>
          <w:rFonts w:ascii="Palatino Linotype" w:eastAsia="MS Mincho" w:hAnsi="Palatino Linotype"/>
          <w:color w:val="000000" w:themeColor="text1"/>
        </w:rPr>
        <w:t xml:space="preserve">, </w:t>
      </w:r>
      <w:r w:rsidR="005F1362" w:rsidRPr="00417D3B">
        <w:rPr>
          <w:rFonts w:ascii="Palatino Linotype" w:hAnsi="Palatino Linotype"/>
          <w:color w:val="000000" w:themeColor="text1"/>
        </w:rPr>
        <w:t xml:space="preserve">el </w:t>
      </w:r>
      <w:r w:rsidR="005F1362" w:rsidRPr="00417D3B">
        <w:rPr>
          <w:rFonts w:ascii="Palatino Linotype" w:hAnsi="Palatino Linotype"/>
          <w:b/>
          <w:color w:val="000000" w:themeColor="text1"/>
        </w:rPr>
        <w:t>SUJETO OBLIGADO</w:t>
      </w:r>
      <w:r w:rsidR="005F1362" w:rsidRPr="00417D3B">
        <w:rPr>
          <w:rFonts w:ascii="Palatino Linotype" w:hAnsi="Palatino Linotype"/>
          <w:color w:val="000000" w:themeColor="text1"/>
        </w:rPr>
        <w:t xml:space="preserve"> dio respuesta a la solicitud de información</w:t>
      </w:r>
      <w:r w:rsidR="009A68B9" w:rsidRPr="00417D3B">
        <w:rPr>
          <w:rFonts w:ascii="Palatino Linotype" w:hAnsi="Palatino Linotype"/>
          <w:color w:val="000000" w:themeColor="text1"/>
        </w:rPr>
        <w:t>,</w:t>
      </w:r>
      <w:r w:rsidR="005F1362" w:rsidRPr="00417D3B">
        <w:rPr>
          <w:rFonts w:ascii="Palatino Linotype" w:hAnsi="Palatino Linotype"/>
          <w:color w:val="000000" w:themeColor="text1"/>
        </w:rPr>
        <w:t xml:space="preserve"> en los siguientes términos:</w:t>
      </w:r>
    </w:p>
    <w:p w14:paraId="0ABE3D0F" w14:textId="3D4E8940" w:rsidR="00D8175A" w:rsidRPr="00417D3B" w:rsidRDefault="005F1362" w:rsidP="006C4D3F">
      <w:pPr>
        <w:ind w:left="567" w:right="616"/>
        <w:jc w:val="both"/>
        <w:rPr>
          <w:rFonts w:ascii="Palatino Linotype" w:hAnsi="Palatino Linotype"/>
          <w:i/>
          <w:sz w:val="22"/>
        </w:rPr>
      </w:pPr>
      <w:r w:rsidRPr="00417D3B">
        <w:rPr>
          <w:rFonts w:ascii="Palatino Linotype" w:hAnsi="Palatino Linotype"/>
          <w:i/>
          <w:noProof/>
          <w:color w:val="000000" w:themeColor="text1"/>
          <w:sz w:val="22"/>
        </w:rPr>
        <w:t>“</w:t>
      </w:r>
      <w:r w:rsidR="006C4D3F" w:rsidRPr="00417D3B">
        <w:rPr>
          <w:rFonts w:ascii="Palatino Linotype" w:hAnsi="Palatino Linotype"/>
          <w:i/>
          <w:color w:val="000000"/>
          <w:sz w:val="22"/>
        </w:rPr>
        <w:t>En respuesta a la solicitud recibida, nos permitimos hacer de su conocimiento que con fundamento en el artículo 53, Fracciones: II, V y VI de la Ley de Transparencia y Acceso a la Información Pública del Estado de México y Municipios, le contestamos que: Se envía respuesta en archivo adjunto. Lo anterior en cumplimiento a lo establecido en los artículos 1, 2, 3, fracción XLIV, 4, 12, 16, 23, fracción IV, 24, fracción XI y último párrafo, 50, 51, 52, 53, fracciones II, IV, V y VI de la Ley de Transparencia y Acceso a la Información Pública del Estado de México y Municipios. Se hace de su conocimiento el derecho que tiene a interponer recurso de revisión en términos de lo establecido en los artículos 176, 177 y 178 de la Ley invocada.</w:t>
      </w:r>
      <w:r w:rsidR="009A68B9" w:rsidRPr="00417D3B">
        <w:rPr>
          <w:rFonts w:ascii="Palatino Linotype" w:hAnsi="Palatino Linotype"/>
          <w:i/>
          <w:color w:val="000000"/>
          <w:sz w:val="22"/>
        </w:rPr>
        <w:t>” (Sic)</w:t>
      </w:r>
    </w:p>
    <w:p w14:paraId="7E831134" w14:textId="0537F27A" w:rsidR="00D8175A" w:rsidRPr="00417D3B" w:rsidRDefault="00D8175A" w:rsidP="00D8175A">
      <w:pPr>
        <w:jc w:val="both"/>
        <w:rPr>
          <w:rFonts w:ascii="Palatino Linotype" w:hAnsi="Palatino Linotype"/>
          <w:i/>
          <w:noProof/>
          <w:color w:val="000000" w:themeColor="text1"/>
          <w:sz w:val="22"/>
        </w:rPr>
      </w:pPr>
    </w:p>
    <w:p w14:paraId="01FEF689" w14:textId="487C8B46" w:rsidR="00EB06C2" w:rsidRPr="00417D3B" w:rsidRDefault="00D8175A" w:rsidP="001A1922">
      <w:pPr>
        <w:jc w:val="both"/>
        <w:rPr>
          <w:rFonts w:ascii="Palatino Linotype" w:hAnsi="Palatino Linotype"/>
          <w:iCs/>
          <w:noProof/>
          <w:color w:val="000000" w:themeColor="text1"/>
          <w:sz w:val="22"/>
        </w:rPr>
      </w:pPr>
      <w:r w:rsidRPr="00417D3B">
        <w:rPr>
          <w:rFonts w:ascii="Palatino Linotype" w:hAnsi="Palatino Linotype"/>
          <w:iCs/>
          <w:noProof/>
          <w:color w:val="000000" w:themeColor="text1"/>
          <w:sz w:val="22"/>
        </w:rPr>
        <w:t>Archivo</w:t>
      </w:r>
      <w:r w:rsidR="00324642" w:rsidRPr="00417D3B">
        <w:rPr>
          <w:rFonts w:ascii="Palatino Linotype" w:hAnsi="Palatino Linotype"/>
          <w:iCs/>
          <w:noProof/>
          <w:color w:val="000000" w:themeColor="text1"/>
          <w:sz w:val="22"/>
        </w:rPr>
        <w:t>s</w:t>
      </w:r>
      <w:r w:rsidR="005124A4" w:rsidRPr="00417D3B">
        <w:rPr>
          <w:rFonts w:ascii="Palatino Linotype" w:hAnsi="Palatino Linotype"/>
          <w:iCs/>
          <w:noProof/>
          <w:color w:val="000000" w:themeColor="text1"/>
          <w:sz w:val="22"/>
        </w:rPr>
        <w:t xml:space="preserve"> </w:t>
      </w:r>
      <w:r w:rsidRPr="00417D3B">
        <w:rPr>
          <w:rFonts w:ascii="Palatino Linotype" w:hAnsi="Palatino Linotype"/>
          <w:iCs/>
          <w:noProof/>
          <w:color w:val="000000" w:themeColor="text1"/>
          <w:sz w:val="22"/>
        </w:rPr>
        <w:t>adjunto</w:t>
      </w:r>
      <w:r w:rsidR="00324642" w:rsidRPr="00417D3B">
        <w:rPr>
          <w:rFonts w:ascii="Palatino Linotype" w:hAnsi="Palatino Linotype"/>
          <w:iCs/>
          <w:noProof/>
          <w:color w:val="000000" w:themeColor="text1"/>
          <w:sz w:val="22"/>
        </w:rPr>
        <w:t>s</w:t>
      </w:r>
      <w:r w:rsidR="005124A4" w:rsidRPr="00417D3B">
        <w:rPr>
          <w:rFonts w:ascii="Palatino Linotype" w:hAnsi="Palatino Linotype"/>
          <w:iCs/>
          <w:noProof/>
          <w:color w:val="000000" w:themeColor="text1"/>
          <w:sz w:val="22"/>
        </w:rPr>
        <w:t>:</w:t>
      </w:r>
    </w:p>
    <w:p w14:paraId="66FEAEE5" w14:textId="53887676" w:rsidR="001A1922" w:rsidRPr="00417D3B" w:rsidRDefault="001A1922" w:rsidP="005124A4">
      <w:pPr>
        <w:ind w:right="758"/>
        <w:jc w:val="both"/>
        <w:rPr>
          <w:rFonts w:ascii="Palatino Linotype" w:hAnsi="Palatino Linotype"/>
          <w:noProof/>
          <w:color w:val="000000" w:themeColor="text1"/>
          <w:sz w:val="22"/>
        </w:rPr>
      </w:pPr>
    </w:p>
    <w:p w14:paraId="73C064D5" w14:textId="7CCA8743" w:rsidR="00324642" w:rsidRPr="00417D3B" w:rsidRDefault="00000000" w:rsidP="003503DD">
      <w:pPr>
        <w:pStyle w:val="Prrafodelista"/>
        <w:numPr>
          <w:ilvl w:val="0"/>
          <w:numId w:val="5"/>
        </w:numPr>
        <w:tabs>
          <w:tab w:val="left" w:pos="2727"/>
        </w:tabs>
        <w:spacing w:line="360" w:lineRule="auto"/>
        <w:ind w:right="758"/>
        <w:jc w:val="both"/>
        <w:rPr>
          <w:rFonts w:ascii="Palatino Linotype" w:hAnsi="Palatino Linotype" w:cs="Arial"/>
          <w:b/>
          <w:bCs/>
          <w:sz w:val="22"/>
        </w:rPr>
      </w:pPr>
      <w:hyperlink r:id="rId9" w:tgtFrame="_blank" w:history="1">
        <w:r w:rsidR="00324642" w:rsidRPr="00417D3B">
          <w:rPr>
            <w:rStyle w:val="Hipervnculo"/>
            <w:rFonts w:ascii="Palatino Linotype" w:hAnsi="Palatino Linotype" w:cs="Arial"/>
            <w:b/>
            <w:bCs/>
            <w:color w:val="auto"/>
            <w:sz w:val="22"/>
          </w:rPr>
          <w:t>RESPUESTA DE SEGURIDAD PUBLICA 105.pdf</w:t>
        </w:r>
      </w:hyperlink>
      <w:r w:rsidR="00324642" w:rsidRPr="00417D3B">
        <w:rPr>
          <w:rFonts w:ascii="Palatino Linotype" w:hAnsi="Palatino Linotype"/>
          <w:sz w:val="22"/>
        </w:rPr>
        <w:t>:</w:t>
      </w:r>
      <w:r w:rsidR="003503DD" w:rsidRPr="00417D3B">
        <w:rPr>
          <w:rFonts w:ascii="Palatino Linotype" w:hAnsi="Palatino Linotype"/>
          <w:sz w:val="22"/>
        </w:rPr>
        <w:t xml:space="preserve"> oficio PMT/CSP/0942/2022 suscrito por la Titular de la Comisaria de Seguridad Pública de Santiago Tianguistenco, en el que solicitó se confirme la reserva de la información solicitada a través de Comité de Transparencia. </w:t>
      </w:r>
    </w:p>
    <w:p w14:paraId="51780F58" w14:textId="6E2B1B02" w:rsidR="00324642" w:rsidRPr="00417D3B" w:rsidRDefault="00000000" w:rsidP="003503DD">
      <w:pPr>
        <w:pStyle w:val="Prrafodelista"/>
        <w:numPr>
          <w:ilvl w:val="0"/>
          <w:numId w:val="5"/>
        </w:numPr>
        <w:tabs>
          <w:tab w:val="left" w:pos="2727"/>
        </w:tabs>
        <w:spacing w:line="360" w:lineRule="auto"/>
        <w:ind w:right="758"/>
        <w:jc w:val="both"/>
        <w:rPr>
          <w:rFonts w:ascii="Palatino Linotype" w:hAnsi="Palatino Linotype" w:cs="Arial"/>
          <w:b/>
          <w:bCs/>
          <w:sz w:val="22"/>
        </w:rPr>
      </w:pPr>
      <w:hyperlink r:id="rId10" w:tgtFrame="_blank" w:history="1">
        <w:r w:rsidR="00324642" w:rsidRPr="00417D3B">
          <w:rPr>
            <w:rStyle w:val="Hipervnculo"/>
            <w:rFonts w:ascii="Palatino Linotype" w:hAnsi="Palatino Linotype" w:cs="Arial"/>
            <w:b/>
            <w:bCs/>
            <w:color w:val="auto"/>
            <w:sz w:val="22"/>
          </w:rPr>
          <w:t>RESPUESTA A SOLICITANTE.pdf</w:t>
        </w:r>
      </w:hyperlink>
      <w:r w:rsidR="00324642" w:rsidRPr="00417D3B">
        <w:rPr>
          <w:rFonts w:ascii="Palatino Linotype" w:hAnsi="Palatino Linotype"/>
          <w:sz w:val="22"/>
        </w:rPr>
        <w:t>:</w:t>
      </w:r>
      <w:r w:rsidR="003503DD" w:rsidRPr="00417D3B">
        <w:rPr>
          <w:rFonts w:ascii="Palatino Linotype" w:hAnsi="Palatino Linotype"/>
          <w:sz w:val="22"/>
        </w:rPr>
        <w:t xml:space="preserve"> oficio PMT/UT/0401/2022 suscrito por la Titular de la Unidad de Transparencia en el que refiere dar respuesta de los servidores públicos habilitados. </w:t>
      </w:r>
    </w:p>
    <w:p w14:paraId="477A2D80" w14:textId="280B9CAE" w:rsidR="00324642" w:rsidRPr="00417D3B" w:rsidRDefault="00000000" w:rsidP="003503DD">
      <w:pPr>
        <w:pStyle w:val="Prrafodelista"/>
        <w:numPr>
          <w:ilvl w:val="0"/>
          <w:numId w:val="5"/>
        </w:numPr>
        <w:tabs>
          <w:tab w:val="left" w:pos="2727"/>
        </w:tabs>
        <w:spacing w:line="360" w:lineRule="auto"/>
        <w:ind w:right="758"/>
        <w:jc w:val="both"/>
        <w:rPr>
          <w:rFonts w:ascii="Palatino Linotype" w:hAnsi="Palatino Linotype" w:cs="Arial"/>
          <w:b/>
          <w:bCs/>
          <w:sz w:val="22"/>
        </w:rPr>
      </w:pPr>
      <w:hyperlink r:id="rId11" w:tgtFrame="_blank" w:history="1">
        <w:r w:rsidR="00324642" w:rsidRPr="00417D3B">
          <w:rPr>
            <w:rStyle w:val="Hipervnculo"/>
            <w:rFonts w:ascii="Palatino Linotype" w:hAnsi="Palatino Linotype" w:cs="Arial"/>
            <w:b/>
            <w:bCs/>
            <w:color w:val="auto"/>
            <w:sz w:val="22"/>
          </w:rPr>
          <w:t>OFICIOS GIRADOS A SERVIDORES PUBLICOS HABILITADOS.pdf</w:t>
        </w:r>
      </w:hyperlink>
      <w:r w:rsidR="00324642" w:rsidRPr="00417D3B">
        <w:rPr>
          <w:rFonts w:ascii="Palatino Linotype" w:hAnsi="Palatino Linotype"/>
          <w:sz w:val="22"/>
        </w:rPr>
        <w:t>:</w:t>
      </w:r>
      <w:r w:rsidR="003503DD" w:rsidRPr="00417D3B">
        <w:rPr>
          <w:rFonts w:ascii="Palatino Linotype" w:hAnsi="Palatino Linotype"/>
          <w:sz w:val="22"/>
        </w:rPr>
        <w:t xml:space="preserve"> consta de dos oficios de requerimiento de información, uno a la Comisaria </w:t>
      </w:r>
      <w:r w:rsidR="003503DD" w:rsidRPr="00417D3B">
        <w:rPr>
          <w:rFonts w:ascii="Palatino Linotype" w:hAnsi="Palatino Linotype"/>
          <w:sz w:val="22"/>
        </w:rPr>
        <w:lastRenderedPageBreak/>
        <w:t xml:space="preserve">de Seguridad Pública y el otro al Coordinador de Protección Civil y Bomberos. </w:t>
      </w:r>
    </w:p>
    <w:p w14:paraId="78695B99" w14:textId="5EFACE83" w:rsidR="00324642" w:rsidRPr="00417D3B" w:rsidRDefault="00000000" w:rsidP="003503DD">
      <w:pPr>
        <w:pStyle w:val="Prrafodelista"/>
        <w:numPr>
          <w:ilvl w:val="0"/>
          <w:numId w:val="5"/>
        </w:numPr>
        <w:tabs>
          <w:tab w:val="left" w:pos="2727"/>
        </w:tabs>
        <w:spacing w:line="360" w:lineRule="auto"/>
        <w:ind w:right="758"/>
        <w:jc w:val="both"/>
        <w:rPr>
          <w:rFonts w:ascii="Palatino Linotype" w:hAnsi="Palatino Linotype" w:cs="Arial"/>
          <w:b/>
          <w:bCs/>
          <w:sz w:val="22"/>
        </w:rPr>
      </w:pPr>
      <w:hyperlink r:id="rId12" w:tgtFrame="_blank" w:history="1">
        <w:r w:rsidR="00324642" w:rsidRPr="00417D3B">
          <w:rPr>
            <w:rStyle w:val="Hipervnculo"/>
            <w:rFonts w:ascii="Palatino Linotype" w:hAnsi="Palatino Linotype" w:cs="Arial"/>
            <w:b/>
            <w:bCs/>
            <w:color w:val="auto"/>
            <w:sz w:val="22"/>
          </w:rPr>
          <w:t>RESPUESTA DE PC 105.pdf</w:t>
        </w:r>
      </w:hyperlink>
      <w:r w:rsidR="00324642" w:rsidRPr="00417D3B">
        <w:rPr>
          <w:rFonts w:ascii="Palatino Linotype" w:hAnsi="Palatino Linotype"/>
          <w:sz w:val="22"/>
        </w:rPr>
        <w:t>:</w:t>
      </w:r>
      <w:r w:rsidR="003503DD" w:rsidRPr="00417D3B">
        <w:rPr>
          <w:rFonts w:ascii="Palatino Linotype" w:hAnsi="Palatino Linotype"/>
          <w:sz w:val="22"/>
        </w:rPr>
        <w:t xml:space="preserve"> oficio del Coordinador Municipal de Protección Civil </w:t>
      </w:r>
      <w:r w:rsidR="00816234" w:rsidRPr="00417D3B">
        <w:rPr>
          <w:rFonts w:ascii="Palatino Linotype" w:hAnsi="Palatino Linotype"/>
          <w:sz w:val="22"/>
        </w:rPr>
        <w:t xml:space="preserve">y Heroico Cuerpo de Bomberos en el que señaló que la información debe ser solicitada a la Comisaria de Seguridad Pública Municipal. </w:t>
      </w:r>
    </w:p>
    <w:p w14:paraId="0A57AA99" w14:textId="655D5D4B" w:rsidR="00816234" w:rsidRPr="00417D3B" w:rsidRDefault="00000000" w:rsidP="00816234">
      <w:pPr>
        <w:pStyle w:val="Prrafodelista"/>
        <w:numPr>
          <w:ilvl w:val="0"/>
          <w:numId w:val="5"/>
        </w:numPr>
        <w:tabs>
          <w:tab w:val="left" w:pos="2727"/>
        </w:tabs>
        <w:spacing w:line="360" w:lineRule="auto"/>
        <w:ind w:right="758"/>
        <w:jc w:val="both"/>
        <w:rPr>
          <w:rStyle w:val="Hipervnculo"/>
          <w:rFonts w:ascii="Palatino Linotype" w:hAnsi="Palatino Linotype" w:cs="Arial"/>
          <w:b/>
          <w:bCs/>
          <w:color w:val="auto"/>
          <w:sz w:val="22"/>
          <w:u w:val="none"/>
        </w:rPr>
      </w:pPr>
      <w:hyperlink r:id="rId13" w:tgtFrame="_blank" w:history="1">
        <w:r w:rsidR="00324642" w:rsidRPr="00417D3B">
          <w:rPr>
            <w:rStyle w:val="Hipervnculo"/>
            <w:rFonts w:ascii="Palatino Linotype" w:hAnsi="Palatino Linotype" w:cs="Arial"/>
            <w:b/>
            <w:bCs/>
            <w:color w:val="auto"/>
            <w:sz w:val="22"/>
          </w:rPr>
          <w:t>acta quinta ordinaria transparencia 22.pdf</w:t>
        </w:r>
      </w:hyperlink>
      <w:r w:rsidR="00324642" w:rsidRPr="00417D3B">
        <w:rPr>
          <w:rFonts w:ascii="Palatino Linotype" w:hAnsi="Palatino Linotype"/>
          <w:sz w:val="22"/>
        </w:rPr>
        <w:t>:</w:t>
      </w:r>
      <w:r w:rsidR="00816234" w:rsidRPr="00417D3B">
        <w:rPr>
          <w:rFonts w:ascii="Palatino Linotype" w:hAnsi="Palatino Linotype"/>
          <w:sz w:val="22"/>
        </w:rPr>
        <w:t xml:space="preserve"> Acta de la Quinta Sesión Ordinaria del Comité de Transparencia </w:t>
      </w:r>
      <w:r w:rsidR="00D9478C" w:rsidRPr="00417D3B">
        <w:rPr>
          <w:rFonts w:ascii="Palatino Linotype" w:hAnsi="Palatino Linotype"/>
          <w:sz w:val="22"/>
        </w:rPr>
        <w:t xml:space="preserve">en el que se confirmó la reserva de la información solicitada. </w:t>
      </w:r>
    </w:p>
    <w:p w14:paraId="293939D1" w14:textId="77777777" w:rsidR="00324642" w:rsidRPr="00417D3B" w:rsidRDefault="00324642" w:rsidP="00324642">
      <w:pPr>
        <w:tabs>
          <w:tab w:val="left" w:pos="2727"/>
        </w:tabs>
        <w:spacing w:line="360" w:lineRule="auto"/>
        <w:ind w:right="758"/>
        <w:jc w:val="both"/>
        <w:rPr>
          <w:rFonts w:ascii="Palatino Linotype" w:hAnsi="Palatino Linotype"/>
          <w:b/>
        </w:rPr>
      </w:pPr>
    </w:p>
    <w:p w14:paraId="272B63B3" w14:textId="3B8D88C8" w:rsidR="000D5A1D" w:rsidRPr="00417D3B"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417D3B">
        <w:rPr>
          <w:rFonts w:ascii="Palatino Linotype" w:hAnsi="Palatino Linotype" w:cs="Arial"/>
          <w:color w:val="000000" w:themeColor="text1"/>
          <w:lang w:val="es-ES"/>
        </w:rPr>
        <w:t>D</w:t>
      </w:r>
      <w:r w:rsidR="00561ED1" w:rsidRPr="00417D3B">
        <w:rPr>
          <w:rFonts w:ascii="Palatino Linotype" w:hAnsi="Palatino Linotype" w:cs="Arial"/>
          <w:color w:val="000000" w:themeColor="text1"/>
          <w:lang w:val="es-ES"/>
        </w:rPr>
        <w:t xml:space="preserve">erivado de la respuesta emitida por el </w:t>
      </w:r>
      <w:r w:rsidR="00561ED1" w:rsidRPr="00417D3B">
        <w:rPr>
          <w:rFonts w:ascii="Palatino Linotype" w:hAnsi="Palatino Linotype" w:cs="Arial"/>
          <w:b/>
          <w:color w:val="000000" w:themeColor="text1"/>
          <w:lang w:val="es-ES"/>
        </w:rPr>
        <w:t>SUJETO OBLIGADO</w:t>
      </w:r>
      <w:r w:rsidR="00561ED1" w:rsidRPr="00417D3B">
        <w:rPr>
          <w:rFonts w:ascii="Palatino Linotype" w:hAnsi="Palatino Linotype" w:cs="Arial"/>
          <w:color w:val="000000" w:themeColor="text1"/>
          <w:lang w:val="es-ES"/>
        </w:rPr>
        <w:t>, e</w:t>
      </w:r>
      <w:r w:rsidR="00DB4BEF" w:rsidRPr="00417D3B">
        <w:rPr>
          <w:rFonts w:ascii="Palatino Linotype" w:hAnsi="Palatino Linotype" w:cs="Arial"/>
          <w:color w:val="000000" w:themeColor="text1"/>
          <w:lang w:val="es-ES"/>
        </w:rPr>
        <w:t xml:space="preserve">l </w:t>
      </w:r>
      <w:r w:rsidR="00FD7B40" w:rsidRPr="00417D3B">
        <w:rPr>
          <w:rFonts w:ascii="Palatino Linotype" w:hAnsi="Palatino Linotype" w:cs="Arial"/>
          <w:color w:val="000000" w:themeColor="text1"/>
          <w:lang w:val="es-ES"/>
        </w:rPr>
        <w:t xml:space="preserve">diecisiete (17) de </w:t>
      </w:r>
      <w:r w:rsidR="008126BE" w:rsidRPr="00417D3B">
        <w:rPr>
          <w:rFonts w:ascii="Palatino Linotype" w:hAnsi="Palatino Linotype" w:cs="Arial"/>
          <w:color w:val="000000" w:themeColor="text1"/>
          <w:lang w:val="es-ES"/>
        </w:rPr>
        <w:t>junio</w:t>
      </w:r>
      <w:r w:rsidR="0016161C" w:rsidRPr="00417D3B">
        <w:rPr>
          <w:rFonts w:ascii="Palatino Linotype" w:hAnsi="Palatino Linotype" w:cs="Arial"/>
          <w:color w:val="000000" w:themeColor="text1"/>
          <w:lang w:val="es-ES"/>
        </w:rPr>
        <w:t xml:space="preserve"> de dos mil veintidós</w:t>
      </w:r>
      <w:r w:rsidR="00FE49E3" w:rsidRPr="00417D3B">
        <w:rPr>
          <w:rFonts w:ascii="Palatino Linotype" w:hAnsi="Palatino Linotype" w:cs="Arial"/>
          <w:color w:val="000000" w:themeColor="text1"/>
          <w:lang w:val="es-ES"/>
        </w:rPr>
        <w:t xml:space="preserve">, </w:t>
      </w:r>
      <w:r w:rsidR="0016161C" w:rsidRPr="00417D3B">
        <w:rPr>
          <w:rFonts w:ascii="Palatino Linotype" w:hAnsi="Palatino Linotype" w:cs="Arial"/>
          <w:color w:val="000000" w:themeColor="text1"/>
          <w:lang w:val="es-ES"/>
        </w:rPr>
        <w:t>el</w:t>
      </w:r>
      <w:r w:rsidR="005F1362" w:rsidRPr="00417D3B">
        <w:rPr>
          <w:rFonts w:ascii="Palatino Linotype" w:hAnsi="Palatino Linotype" w:cs="Arial"/>
          <w:color w:val="000000" w:themeColor="text1"/>
          <w:lang w:val="es-ES"/>
        </w:rPr>
        <w:t xml:space="preserve"> particular</w:t>
      </w:r>
      <w:r w:rsidR="00DB4BEF" w:rsidRPr="00417D3B">
        <w:rPr>
          <w:rFonts w:ascii="Palatino Linotype" w:hAnsi="Palatino Linotype" w:cs="Arial"/>
          <w:color w:val="000000" w:themeColor="text1"/>
          <w:lang w:val="es-ES"/>
        </w:rPr>
        <w:t xml:space="preserve"> interpuso</w:t>
      </w:r>
      <w:r w:rsidR="009316E9" w:rsidRPr="00417D3B">
        <w:rPr>
          <w:rFonts w:ascii="Palatino Linotype" w:hAnsi="Palatino Linotype" w:cs="Arial"/>
          <w:color w:val="000000" w:themeColor="text1"/>
          <w:lang w:val="es-ES"/>
        </w:rPr>
        <w:t xml:space="preserve"> </w:t>
      </w:r>
      <w:r w:rsidR="00102D65" w:rsidRPr="00417D3B">
        <w:rPr>
          <w:rFonts w:ascii="Palatino Linotype" w:hAnsi="Palatino Linotype" w:cs="Arial"/>
          <w:color w:val="000000" w:themeColor="text1"/>
          <w:lang w:val="es-ES"/>
        </w:rPr>
        <w:t>el</w:t>
      </w:r>
      <w:r w:rsidR="004D68F8" w:rsidRPr="00417D3B">
        <w:rPr>
          <w:rFonts w:ascii="Palatino Linotype" w:hAnsi="Palatino Linotype" w:cs="Arial"/>
          <w:color w:val="000000" w:themeColor="text1"/>
          <w:lang w:val="es-ES"/>
        </w:rPr>
        <w:t xml:space="preserve"> recurso de revisión </w:t>
      </w:r>
      <w:r w:rsidR="00FD7B40" w:rsidRPr="00417D3B">
        <w:rPr>
          <w:rFonts w:ascii="Palatino Linotype" w:eastAsia="Calibri" w:hAnsi="Palatino Linotype" w:cs="Arial"/>
          <w:b/>
          <w:bCs/>
          <w:color w:val="000000" w:themeColor="text1"/>
        </w:rPr>
        <w:t>00105/TIANGUIS/IP/2022</w:t>
      </w:r>
      <w:r w:rsidR="009A0461" w:rsidRPr="00417D3B">
        <w:rPr>
          <w:rFonts w:ascii="Palatino Linotype" w:eastAsia="Calibri" w:hAnsi="Palatino Linotype" w:cs="Arial"/>
          <w:b/>
          <w:color w:val="000000" w:themeColor="text1"/>
          <w:lang w:val="es-ES"/>
        </w:rPr>
        <w:t>;</w:t>
      </w:r>
      <w:r w:rsidR="00102D65" w:rsidRPr="00417D3B">
        <w:rPr>
          <w:rFonts w:ascii="Palatino Linotype" w:hAnsi="Palatino Linotype" w:cs="Arial"/>
          <w:color w:val="000000" w:themeColor="text1"/>
          <w:lang w:val="es-ES"/>
        </w:rPr>
        <w:t xml:space="preserve"> impugnación</w:t>
      </w:r>
      <w:r w:rsidR="004D68F8" w:rsidRPr="00417D3B">
        <w:rPr>
          <w:rFonts w:ascii="Palatino Linotype" w:hAnsi="Palatino Linotype" w:cs="Arial"/>
          <w:color w:val="000000" w:themeColor="text1"/>
          <w:lang w:val="es-ES"/>
        </w:rPr>
        <w:t xml:space="preserve"> </w:t>
      </w:r>
      <w:r w:rsidR="00A45546" w:rsidRPr="00417D3B">
        <w:rPr>
          <w:rFonts w:ascii="Palatino Linotype" w:hAnsi="Palatino Linotype" w:cs="Arial"/>
          <w:color w:val="000000" w:themeColor="text1"/>
          <w:lang w:val="es-ES"/>
        </w:rPr>
        <w:t xml:space="preserve">en </w:t>
      </w:r>
      <w:r w:rsidR="00977D37" w:rsidRPr="00417D3B">
        <w:rPr>
          <w:rFonts w:ascii="Palatino Linotype" w:hAnsi="Palatino Linotype" w:cs="Arial"/>
          <w:color w:val="000000" w:themeColor="text1"/>
          <w:lang w:val="es-ES"/>
        </w:rPr>
        <w:t>la</w:t>
      </w:r>
      <w:r w:rsidR="00A45546" w:rsidRPr="00417D3B">
        <w:rPr>
          <w:rFonts w:ascii="Palatino Linotype" w:hAnsi="Palatino Linotype" w:cs="Arial"/>
          <w:color w:val="000000" w:themeColor="text1"/>
          <w:lang w:val="es-ES"/>
        </w:rPr>
        <w:t xml:space="preserve"> que refirió </w:t>
      </w:r>
      <w:r w:rsidR="004D68F8" w:rsidRPr="00417D3B">
        <w:rPr>
          <w:rFonts w:ascii="Palatino Linotype" w:hAnsi="Palatino Linotype" w:cs="Arial"/>
          <w:color w:val="000000" w:themeColor="text1"/>
          <w:lang w:val="es-ES"/>
        </w:rPr>
        <w:t>lo siguiente:</w:t>
      </w:r>
    </w:p>
    <w:p w14:paraId="7CADF887" w14:textId="77777777" w:rsidR="00D63C47" w:rsidRPr="00417D3B" w:rsidRDefault="00E34622" w:rsidP="0008314B">
      <w:pPr>
        <w:pStyle w:val="Prrafodelista"/>
        <w:tabs>
          <w:tab w:val="left" w:pos="426"/>
        </w:tabs>
        <w:ind w:left="567" w:right="616"/>
        <w:jc w:val="both"/>
        <w:rPr>
          <w:rFonts w:ascii="Palatino Linotype" w:hAnsi="Palatino Linotype" w:cs="Arial"/>
          <w:color w:val="000000" w:themeColor="text1"/>
          <w:sz w:val="22"/>
          <w:lang w:val="es-ES"/>
        </w:rPr>
      </w:pPr>
      <w:r w:rsidRPr="00417D3B">
        <w:rPr>
          <w:rFonts w:ascii="Palatino Linotype" w:hAnsi="Palatino Linotype" w:cs="Arial"/>
          <w:b/>
          <w:color w:val="000000" w:themeColor="text1"/>
          <w:sz w:val="22"/>
          <w:lang w:val="es-ES"/>
        </w:rPr>
        <w:t>Acto impugnado:</w:t>
      </w:r>
      <w:r w:rsidRPr="00417D3B">
        <w:rPr>
          <w:rFonts w:ascii="Palatino Linotype" w:hAnsi="Palatino Linotype" w:cs="Arial"/>
          <w:color w:val="000000" w:themeColor="text1"/>
          <w:sz w:val="22"/>
          <w:lang w:val="es-ES"/>
        </w:rPr>
        <w:t xml:space="preserve"> </w:t>
      </w:r>
    </w:p>
    <w:p w14:paraId="5D958B88" w14:textId="66F6555A" w:rsidR="00E34622" w:rsidRPr="00417D3B" w:rsidRDefault="00E34622" w:rsidP="00BF4B61">
      <w:pPr>
        <w:ind w:left="567"/>
        <w:rPr>
          <w:rFonts w:ascii="Palatino Linotype" w:hAnsi="Palatino Linotype"/>
          <w:i/>
          <w:iCs/>
          <w:sz w:val="22"/>
        </w:rPr>
      </w:pPr>
      <w:r w:rsidRPr="00417D3B">
        <w:rPr>
          <w:rFonts w:ascii="Palatino Linotype" w:hAnsi="Palatino Linotype" w:cs="Arial"/>
          <w:i/>
          <w:iCs/>
          <w:color w:val="000000" w:themeColor="text1"/>
          <w:sz w:val="22"/>
          <w:lang w:val="es-ES"/>
        </w:rPr>
        <w:t>“</w:t>
      </w:r>
      <w:r w:rsidR="00FD7B40" w:rsidRPr="00417D3B">
        <w:rPr>
          <w:rFonts w:ascii="Palatino Linotype" w:hAnsi="Palatino Linotype"/>
          <w:i/>
          <w:iCs/>
          <w:color w:val="000000"/>
          <w:sz w:val="22"/>
        </w:rPr>
        <w:t>Reserva de información</w:t>
      </w:r>
      <w:r w:rsidRPr="00417D3B">
        <w:rPr>
          <w:rFonts w:ascii="Palatino Linotype" w:hAnsi="Palatino Linotype" w:cs="Arial"/>
          <w:i/>
          <w:iCs/>
          <w:color w:val="000000" w:themeColor="text1"/>
          <w:sz w:val="22"/>
          <w:lang w:val="es-ES"/>
        </w:rPr>
        <w:t>” (Sic)</w:t>
      </w:r>
    </w:p>
    <w:p w14:paraId="076F1F5D" w14:textId="77777777" w:rsidR="00D63C47" w:rsidRPr="00417D3B" w:rsidRDefault="00D63C47" w:rsidP="00BF4B61">
      <w:pPr>
        <w:tabs>
          <w:tab w:val="left" w:pos="426"/>
        </w:tabs>
        <w:ind w:left="567" w:right="616"/>
        <w:jc w:val="both"/>
        <w:rPr>
          <w:rFonts w:ascii="Palatino Linotype" w:hAnsi="Palatino Linotype" w:cs="Arial"/>
          <w:color w:val="000000" w:themeColor="text1"/>
          <w:sz w:val="22"/>
          <w:lang w:val="es-ES"/>
        </w:rPr>
      </w:pPr>
    </w:p>
    <w:p w14:paraId="40AD8F96" w14:textId="77777777" w:rsidR="00D63C47" w:rsidRPr="00417D3B" w:rsidRDefault="00E34622" w:rsidP="0008314B">
      <w:pPr>
        <w:pStyle w:val="Prrafodelista"/>
        <w:tabs>
          <w:tab w:val="left" w:pos="426"/>
          <w:tab w:val="left" w:pos="567"/>
        </w:tabs>
        <w:ind w:left="567" w:right="616"/>
        <w:jc w:val="both"/>
        <w:rPr>
          <w:rFonts w:ascii="Palatino Linotype" w:hAnsi="Palatino Linotype" w:cs="Arial"/>
          <w:color w:val="000000" w:themeColor="text1"/>
          <w:sz w:val="22"/>
          <w:lang w:val="es-ES"/>
        </w:rPr>
      </w:pPr>
      <w:r w:rsidRPr="00417D3B">
        <w:rPr>
          <w:rFonts w:ascii="Palatino Linotype" w:hAnsi="Palatino Linotype" w:cs="Arial"/>
          <w:b/>
          <w:color w:val="000000" w:themeColor="text1"/>
          <w:sz w:val="22"/>
          <w:lang w:val="es-ES"/>
        </w:rPr>
        <w:t>Razones o motivos de inconformidad:</w:t>
      </w:r>
      <w:r w:rsidRPr="00417D3B">
        <w:rPr>
          <w:rFonts w:ascii="Palatino Linotype" w:hAnsi="Palatino Linotype" w:cs="Arial"/>
          <w:color w:val="000000" w:themeColor="text1"/>
          <w:sz w:val="22"/>
          <w:lang w:val="es-ES"/>
        </w:rPr>
        <w:t xml:space="preserve"> </w:t>
      </w:r>
    </w:p>
    <w:p w14:paraId="21222FF6" w14:textId="741E3C35" w:rsidR="007D274E" w:rsidRPr="00417D3B" w:rsidRDefault="007909AE" w:rsidP="0008314B">
      <w:pPr>
        <w:ind w:left="567" w:right="616"/>
        <w:jc w:val="both"/>
        <w:rPr>
          <w:rFonts w:ascii="Palatino Linotype" w:hAnsi="Palatino Linotype"/>
          <w:i/>
          <w:iCs/>
          <w:sz w:val="22"/>
        </w:rPr>
      </w:pPr>
      <w:r w:rsidRPr="00417D3B">
        <w:rPr>
          <w:rFonts w:ascii="Palatino Linotype" w:hAnsi="Palatino Linotype" w:cs="Arial"/>
          <w:i/>
          <w:iCs/>
          <w:color w:val="000000" w:themeColor="text1"/>
          <w:sz w:val="22"/>
          <w:lang w:val="es-ES"/>
        </w:rPr>
        <w:t>“</w:t>
      </w:r>
      <w:r w:rsidR="00FD7B40" w:rsidRPr="00417D3B">
        <w:rPr>
          <w:rFonts w:ascii="Palatino Linotype" w:hAnsi="Palatino Linotype"/>
          <w:i/>
          <w:color w:val="000000"/>
          <w:sz w:val="22"/>
        </w:rPr>
        <w:t xml:space="preserve">En la respuesta recibida, el Sujeto Obligado niega el acceso a la información a un servidor por clasificarla como reservada. Lo anterior, fundamentado en los preceptos legales citados en su respuesta y adjuntando el Acta de Comité de Transparencia que la ratifica. Debo señalar que no coincido con su actuar para clasificar la información, en virtud de lo siguiente: En primer lugar, la información no puede clasificarla el sujeto obligado como reservada por disposición del artículo 110 de la Ley General de Sistema Nacional de Seguridad Pública, ya que la misma pertenece a las Bases de Datos del Sistema Nacional de Información, el cual es regulado por el Centro Nacional de Información. Entonces, cuando la información que solicito llega a dichas bases de datos, en ese momento si es reservada y, para que esto sucediera, tuve que haber hecho mi solicitud al Secretariado Ejecutivo del SNSP, el cual, es el facultado para reservarla. Mismo supuesto tratándose del artículo 25 y 27 de la Ley de Seguridad Pública del Estado de México. Al compartir la información, no se pone en peligro la vida, la seguridad o la salud de cualquier persona, debido a que explícitamente solicité que la información requerida (base de datos) no incluyera datos personales. Por lo anterior, no pueden relacionarse los incidentes reportados con ninguna persona en lo particular para poner en peligro su integridad. Por otro lado, remarco que la información que solicito </w:t>
      </w:r>
      <w:r w:rsidR="00FD7B40" w:rsidRPr="00417D3B">
        <w:rPr>
          <w:rFonts w:ascii="Palatino Linotype" w:hAnsi="Palatino Linotype"/>
          <w:i/>
          <w:color w:val="000000"/>
          <w:sz w:val="22"/>
        </w:rPr>
        <w:lastRenderedPageBreak/>
        <w:t>no da cuenta de las estrategias, técnicas, tecnologías, sistemas o información que pudieran obstruir la seguridad pública, en tanto que la misma, se refiere a la obtención de un registro o base de datos de incidencia delictiva o reporte de incidentes con un desglose específico, sin dar cuenta de mecanismos y/o herramientas propias de las autoridades para mantener el orden público y la seguridad pública. La información que solicito, con el grado de desglose requerido, no permite dar cuenta del estado de fuerza, ni la capacidad de reacción de las instituciones de seguridad pública, es decir, no se advierte la existencia de un nexo causal entre el hecho de entregar lo requerido y la seguridad pública, pues el sólo hecho de revelar la misma no es un elemento del que se desprenda un riesgo real, demostrable e identificable, pues el estado de fuerza se constituye por el personal sustantivo, su distribución operativos, técnicas, tácticas, estrategias, logística o actividades ministeriales, policiales, y funciones de los integrantes asignados a nivel municipal. Tomando en consideración que la prevención de los delitos se encuentra directamente con las actividades de seguridad pública aquí ya explicadas, establezco que tampoco obstruye la investigación de los delitos, puesto que no le solicito a la fiscalía estatal que extraiga la información de las carpetas de investigación sino a este sujeto obligado. Por lo ya señalado, la revelación de la información no puede actualizar o potencializar un riesgo o amenaza a la seguridad pública y, por ende, menoscabar, obstaculizar o dificultar la capacidad de reacción de las instituciones encargadas ésta. Finalmente, señalo que hice una solicitud idéntica a la de este sujeto obligado a la Secretaría al Ayuntamiento de Nezahualcóyotl, mismo que si me hace entrega de la información ya que es pública. Adjunto evidencia.</w:t>
      </w:r>
      <w:r w:rsidRPr="00417D3B">
        <w:rPr>
          <w:rFonts w:ascii="Palatino Linotype" w:hAnsi="Palatino Linotype" w:cs="Arial"/>
          <w:i/>
          <w:iCs/>
          <w:color w:val="000000" w:themeColor="text1"/>
          <w:sz w:val="22"/>
        </w:rPr>
        <w:t xml:space="preserve">” </w:t>
      </w:r>
      <w:r w:rsidRPr="00417D3B">
        <w:rPr>
          <w:rFonts w:ascii="Palatino Linotype" w:hAnsi="Palatino Linotype"/>
          <w:i/>
          <w:iCs/>
          <w:sz w:val="22"/>
        </w:rPr>
        <w:t>(Sic)</w:t>
      </w:r>
    </w:p>
    <w:p w14:paraId="0C7819BD" w14:textId="77777777" w:rsidR="0008314B" w:rsidRPr="00417D3B" w:rsidRDefault="0008314B" w:rsidP="0008314B">
      <w:pPr>
        <w:spacing w:line="360" w:lineRule="auto"/>
        <w:ind w:left="567" w:right="616"/>
        <w:jc w:val="both"/>
        <w:rPr>
          <w:rFonts w:ascii="Palatino Linotype" w:hAnsi="Palatino Linotype"/>
          <w:iCs/>
          <w:sz w:val="22"/>
        </w:rPr>
      </w:pPr>
    </w:p>
    <w:p w14:paraId="346BAD90" w14:textId="2A1C0D81" w:rsidR="0008314B" w:rsidRPr="00417D3B" w:rsidRDefault="0008314B" w:rsidP="0008314B">
      <w:pPr>
        <w:pStyle w:val="Prrafodelista"/>
        <w:tabs>
          <w:tab w:val="left" w:pos="426"/>
        </w:tabs>
        <w:spacing w:line="360" w:lineRule="auto"/>
        <w:ind w:left="0"/>
        <w:jc w:val="both"/>
        <w:rPr>
          <w:rFonts w:ascii="Palatino Linotype" w:eastAsia="Calibri" w:hAnsi="Palatino Linotype" w:cs="Arial"/>
          <w:color w:val="000000" w:themeColor="text1"/>
          <w:sz w:val="22"/>
          <w:lang w:val="es-ES"/>
        </w:rPr>
      </w:pPr>
      <w:r w:rsidRPr="00417D3B">
        <w:rPr>
          <w:rFonts w:ascii="Palatino Linotype" w:eastAsia="Calibri" w:hAnsi="Palatino Linotype" w:cs="Arial"/>
          <w:color w:val="000000" w:themeColor="text1"/>
          <w:sz w:val="22"/>
          <w:lang w:val="es-ES"/>
        </w:rPr>
        <w:t>Archivo adjunto:</w:t>
      </w:r>
    </w:p>
    <w:p w14:paraId="2DF96E03" w14:textId="3BCDDD86" w:rsidR="0008314B" w:rsidRPr="00417D3B" w:rsidRDefault="00000000" w:rsidP="00FD7B40">
      <w:pPr>
        <w:pStyle w:val="Prrafodelista"/>
        <w:numPr>
          <w:ilvl w:val="0"/>
          <w:numId w:val="14"/>
        </w:numPr>
        <w:tabs>
          <w:tab w:val="left" w:pos="426"/>
        </w:tabs>
        <w:spacing w:line="360" w:lineRule="auto"/>
        <w:jc w:val="both"/>
        <w:rPr>
          <w:rFonts w:ascii="Palatino Linotype" w:hAnsi="Palatino Linotype" w:cs="Arial"/>
          <w:b/>
          <w:bCs/>
          <w:sz w:val="22"/>
        </w:rPr>
      </w:pPr>
      <w:hyperlink r:id="rId14" w:tgtFrame="_blank" w:history="1">
        <w:r w:rsidR="00FD7B40" w:rsidRPr="00417D3B">
          <w:rPr>
            <w:rStyle w:val="Hipervnculo"/>
            <w:rFonts w:ascii="Palatino Linotype" w:hAnsi="Palatino Linotype" w:cs="Arial"/>
            <w:b/>
            <w:bCs/>
            <w:color w:val="auto"/>
            <w:sz w:val="22"/>
          </w:rPr>
          <w:t>Neza.pdf</w:t>
        </w:r>
      </w:hyperlink>
      <w:r w:rsidR="00FD7B40" w:rsidRPr="00417D3B">
        <w:rPr>
          <w:rFonts w:ascii="Palatino Linotype" w:hAnsi="Palatino Linotype" w:cs="Arial"/>
          <w:b/>
          <w:bCs/>
          <w:sz w:val="22"/>
        </w:rPr>
        <w:t xml:space="preserve">: </w:t>
      </w:r>
      <w:r w:rsidR="00FD7B40" w:rsidRPr="00417D3B">
        <w:rPr>
          <w:rFonts w:ascii="Palatino Linotype" w:hAnsi="Palatino Linotype" w:cs="Arial"/>
          <w:bCs/>
          <w:sz w:val="22"/>
        </w:rPr>
        <w:t>en este archivo se advierten dos oficios de respuesta del Municipio de Nezahualcóyotl.</w:t>
      </w:r>
      <w:r w:rsidR="00FD7B40" w:rsidRPr="00417D3B">
        <w:rPr>
          <w:rFonts w:ascii="Palatino Linotype" w:hAnsi="Palatino Linotype" w:cs="Arial"/>
          <w:b/>
          <w:bCs/>
          <w:sz w:val="22"/>
        </w:rPr>
        <w:t xml:space="preserve"> </w:t>
      </w:r>
    </w:p>
    <w:p w14:paraId="5C871CD9" w14:textId="77777777" w:rsidR="0008314B" w:rsidRPr="00417D3B" w:rsidRDefault="0008314B" w:rsidP="0008314B">
      <w:pPr>
        <w:pStyle w:val="Prrafodelista"/>
        <w:tabs>
          <w:tab w:val="left" w:pos="426"/>
        </w:tabs>
        <w:spacing w:line="360" w:lineRule="auto"/>
        <w:ind w:left="0"/>
        <w:jc w:val="both"/>
        <w:rPr>
          <w:rFonts w:ascii="Palatino Linotype" w:eastAsia="Calibri" w:hAnsi="Palatino Linotype" w:cs="Arial"/>
          <w:color w:val="000000" w:themeColor="text1"/>
          <w:sz w:val="22"/>
          <w:lang w:val="es-ES"/>
        </w:rPr>
      </w:pPr>
    </w:p>
    <w:p w14:paraId="65CB77BE" w14:textId="630CC3BD" w:rsidR="005F1362" w:rsidRPr="00417D3B" w:rsidRDefault="0016161C"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417D3B">
        <w:rPr>
          <w:rFonts w:ascii="Palatino Linotype" w:hAnsi="Palatino Linotype" w:cs="Arial"/>
          <w:color w:val="000000" w:themeColor="text1"/>
          <w:lang w:val="es-ES"/>
        </w:rPr>
        <w:t>S</w:t>
      </w:r>
      <w:r w:rsidR="005F1362" w:rsidRPr="00417D3B">
        <w:rPr>
          <w:rFonts w:ascii="Palatino Linotype" w:hAnsi="Palatino Linotype" w:cs="Arial"/>
          <w:color w:val="000000" w:themeColor="text1"/>
          <w:lang w:val="es-ES"/>
        </w:rPr>
        <w:t xml:space="preserve">e registró el recurso de revisión bajo el número de expediente </w:t>
      </w:r>
      <w:r w:rsidR="004F785F" w:rsidRPr="00417D3B">
        <w:rPr>
          <w:rFonts w:ascii="Palatino Linotype" w:hAnsi="Palatino Linotype" w:cs="Arial"/>
          <w:bCs/>
          <w:color w:val="000000" w:themeColor="text1"/>
        </w:rPr>
        <w:t>al rubro indicado, asi</w:t>
      </w:r>
      <w:r w:rsidR="005F1362" w:rsidRPr="00417D3B">
        <w:rPr>
          <w:rFonts w:ascii="Palatino Linotype" w:hAnsi="Palatino Linotype" w:cs="Arial"/>
          <w:bCs/>
          <w:color w:val="000000" w:themeColor="text1"/>
        </w:rPr>
        <w:t xml:space="preserve">mismo, con fundamento en lo dispuesto por el </w:t>
      </w:r>
      <w:r w:rsidR="005F1362" w:rsidRPr="00417D3B">
        <w:rPr>
          <w:rFonts w:ascii="Palatino Linotype" w:eastAsia="Calibri" w:hAnsi="Palatino Linotype" w:cs="Arial"/>
          <w:bCs/>
          <w:color w:val="000000" w:themeColor="text1"/>
          <w:lang w:val="es-ES"/>
        </w:rPr>
        <w:t>artículo 185</w:t>
      </w:r>
      <w:r w:rsidR="000125A8" w:rsidRPr="00417D3B">
        <w:rPr>
          <w:rFonts w:ascii="Palatino Linotype" w:eastAsia="Calibri" w:hAnsi="Palatino Linotype" w:cs="Arial"/>
          <w:bCs/>
          <w:color w:val="000000" w:themeColor="text1"/>
          <w:lang w:val="es-ES"/>
        </w:rPr>
        <w:t>,</w:t>
      </w:r>
      <w:r w:rsidR="005F1362" w:rsidRPr="00417D3B">
        <w:rPr>
          <w:rFonts w:ascii="Palatino Linotype" w:eastAsia="Calibri" w:hAnsi="Palatino Linotype" w:cs="Arial"/>
          <w:bCs/>
          <w:color w:val="000000" w:themeColor="text1"/>
          <w:lang w:val="es-ES"/>
        </w:rPr>
        <w:t xml:space="preserve"> fracción I</w:t>
      </w:r>
      <w:r w:rsidR="000125A8" w:rsidRPr="00417D3B">
        <w:rPr>
          <w:rFonts w:ascii="Palatino Linotype" w:eastAsia="Calibri" w:hAnsi="Palatino Linotype" w:cs="Arial"/>
          <w:bCs/>
          <w:color w:val="000000" w:themeColor="text1"/>
          <w:lang w:val="es-ES"/>
        </w:rPr>
        <w:t>,</w:t>
      </w:r>
      <w:r w:rsidR="005F1362" w:rsidRPr="00417D3B">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F1362" w:rsidRPr="00417D3B">
        <w:rPr>
          <w:rFonts w:ascii="Palatino Linotype" w:hAnsi="Palatino Linotype" w:cs="Arial"/>
          <w:bCs/>
          <w:color w:val="000000" w:themeColor="text1"/>
          <w:lang w:val="es-ES"/>
        </w:rPr>
        <w:t xml:space="preserve">se turnó </w:t>
      </w:r>
      <w:r w:rsidR="0096234B" w:rsidRPr="00417D3B">
        <w:rPr>
          <w:rFonts w:ascii="Palatino Linotype" w:hAnsi="Palatino Linotype" w:cs="Arial"/>
          <w:bCs/>
          <w:color w:val="000000" w:themeColor="text1"/>
          <w:lang w:val="es-ES"/>
        </w:rPr>
        <w:t xml:space="preserve">a la </w:t>
      </w:r>
      <w:r w:rsidR="0096234B" w:rsidRPr="00417D3B">
        <w:rPr>
          <w:rFonts w:ascii="Palatino Linotype" w:hAnsi="Palatino Linotype" w:cs="Arial"/>
          <w:b/>
          <w:bCs/>
          <w:color w:val="000000" w:themeColor="text1"/>
          <w:lang w:val="es-ES"/>
        </w:rPr>
        <w:t xml:space="preserve">Comisionada </w:t>
      </w:r>
      <w:r w:rsidR="00C44847" w:rsidRPr="00417D3B">
        <w:rPr>
          <w:rFonts w:ascii="Palatino Linotype" w:hAnsi="Palatino Linotype" w:cs="Arial"/>
          <w:b/>
          <w:bCs/>
          <w:color w:val="000000" w:themeColor="text1"/>
          <w:lang w:val="es-ES"/>
        </w:rPr>
        <w:t>María del Rosario Mejía Ayala</w:t>
      </w:r>
      <w:r w:rsidR="005F1362" w:rsidRPr="00417D3B">
        <w:rPr>
          <w:rFonts w:ascii="Palatino Linotype" w:hAnsi="Palatino Linotype" w:cs="Arial"/>
          <w:bCs/>
          <w:color w:val="000000" w:themeColor="text1"/>
          <w:lang w:val="es-ES"/>
        </w:rPr>
        <w:t xml:space="preserve">, </w:t>
      </w:r>
      <w:r w:rsidR="004015F3" w:rsidRPr="00417D3B">
        <w:rPr>
          <w:rFonts w:ascii="Palatino Linotype" w:hAnsi="Palatino Linotype" w:cs="Arial"/>
          <w:bCs/>
          <w:color w:val="000000" w:themeColor="text1"/>
          <w:lang w:val="es-ES"/>
        </w:rPr>
        <w:t xml:space="preserve">para </w:t>
      </w:r>
      <w:r w:rsidR="005F1362" w:rsidRPr="00417D3B">
        <w:rPr>
          <w:rFonts w:ascii="Palatino Linotype" w:hAnsi="Palatino Linotype" w:cs="Arial"/>
          <w:bCs/>
          <w:color w:val="000000" w:themeColor="text1"/>
        </w:rPr>
        <w:t>su análisis.</w:t>
      </w:r>
    </w:p>
    <w:p w14:paraId="2BDE682E" w14:textId="77777777" w:rsidR="005F1362" w:rsidRPr="00417D3B"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76662CED" w:rsidR="007446C2" w:rsidRPr="00417D3B"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417D3B">
        <w:rPr>
          <w:rFonts w:ascii="Palatino Linotype" w:hAnsi="Palatino Linotype" w:cs="Arial"/>
          <w:color w:val="000000" w:themeColor="text1"/>
          <w:lang w:val="es-ES"/>
        </w:rPr>
        <w:lastRenderedPageBreak/>
        <w:t>La</w:t>
      </w:r>
      <w:r w:rsidR="00E647FF" w:rsidRPr="00417D3B">
        <w:rPr>
          <w:rFonts w:ascii="Palatino Linotype" w:hAnsi="Palatino Linotype" w:cs="Arial"/>
          <w:color w:val="000000" w:themeColor="text1"/>
          <w:lang w:val="es-ES"/>
        </w:rPr>
        <w:t xml:space="preserve"> </w:t>
      </w:r>
      <w:r w:rsidR="0004686A" w:rsidRPr="00417D3B">
        <w:rPr>
          <w:rFonts w:ascii="Palatino Linotype" w:eastAsia="Calibri" w:hAnsi="Palatino Linotype" w:cs="Arial"/>
          <w:color w:val="000000" w:themeColor="text1"/>
          <w:lang w:val="es-ES"/>
        </w:rPr>
        <w:t>Comisionad</w:t>
      </w:r>
      <w:r w:rsidRPr="00417D3B">
        <w:rPr>
          <w:rFonts w:ascii="Palatino Linotype" w:eastAsia="Calibri" w:hAnsi="Palatino Linotype" w:cs="Arial"/>
          <w:color w:val="000000" w:themeColor="text1"/>
          <w:lang w:val="es-ES"/>
        </w:rPr>
        <w:t>a</w:t>
      </w:r>
      <w:r w:rsidR="0004686A" w:rsidRPr="00417D3B">
        <w:rPr>
          <w:rFonts w:ascii="Palatino Linotype" w:eastAsia="Calibri" w:hAnsi="Palatino Linotype" w:cs="Arial"/>
          <w:color w:val="000000" w:themeColor="text1"/>
          <w:lang w:val="es-ES"/>
        </w:rPr>
        <w:t xml:space="preserve"> Ponente</w:t>
      </w:r>
      <w:r w:rsidR="006B31E7" w:rsidRPr="00417D3B">
        <w:rPr>
          <w:rFonts w:ascii="Palatino Linotype" w:eastAsia="Calibri" w:hAnsi="Palatino Linotype" w:cs="Arial"/>
          <w:color w:val="000000" w:themeColor="text1"/>
          <w:lang w:val="es-ES"/>
        </w:rPr>
        <w:t>,</w:t>
      </w:r>
      <w:r w:rsidR="0004686A" w:rsidRPr="00417D3B">
        <w:rPr>
          <w:rFonts w:ascii="Palatino Linotype" w:eastAsia="Calibri" w:hAnsi="Palatino Linotype" w:cs="Arial"/>
          <w:color w:val="000000" w:themeColor="text1"/>
          <w:lang w:val="es-ES"/>
        </w:rPr>
        <w:t xml:space="preserve"> con fundamento en lo dispuesto por el artículo 185</w:t>
      </w:r>
      <w:r w:rsidR="0079427C" w:rsidRPr="00417D3B">
        <w:rPr>
          <w:rFonts w:ascii="Palatino Linotype" w:eastAsia="Calibri" w:hAnsi="Palatino Linotype" w:cs="Arial"/>
          <w:color w:val="000000" w:themeColor="text1"/>
          <w:lang w:val="es-ES"/>
        </w:rPr>
        <w:t>,</w:t>
      </w:r>
      <w:r w:rsidR="0004686A" w:rsidRPr="00417D3B">
        <w:rPr>
          <w:rFonts w:ascii="Palatino Linotype" w:eastAsia="Calibri" w:hAnsi="Palatino Linotype" w:cs="Arial"/>
          <w:color w:val="000000" w:themeColor="text1"/>
          <w:lang w:val="es-ES"/>
        </w:rPr>
        <w:t xml:space="preserve"> fracción II</w:t>
      </w:r>
      <w:r w:rsidR="0079427C" w:rsidRPr="00417D3B">
        <w:rPr>
          <w:rFonts w:ascii="Palatino Linotype" w:eastAsia="Calibri" w:hAnsi="Palatino Linotype" w:cs="Arial"/>
          <w:color w:val="000000" w:themeColor="text1"/>
          <w:lang w:val="es-ES"/>
        </w:rPr>
        <w:t>,</w:t>
      </w:r>
      <w:r w:rsidR="0004686A" w:rsidRPr="00417D3B">
        <w:rPr>
          <w:rFonts w:ascii="Palatino Linotype" w:eastAsia="Calibri" w:hAnsi="Palatino Linotype" w:cs="Arial"/>
          <w:color w:val="000000" w:themeColor="text1"/>
          <w:lang w:val="es-ES"/>
        </w:rPr>
        <w:t xml:space="preserve"> de la </w:t>
      </w:r>
      <w:r w:rsidR="00613655" w:rsidRPr="00417D3B">
        <w:rPr>
          <w:rFonts w:ascii="Palatino Linotype" w:eastAsia="Calibri" w:hAnsi="Palatino Linotype" w:cs="Arial"/>
          <w:color w:val="000000" w:themeColor="text1"/>
          <w:lang w:val="es-ES"/>
        </w:rPr>
        <w:t>Ley de Transparencia y Acceso a la Información Pública del Estado de México y Municipios</w:t>
      </w:r>
      <w:r w:rsidR="0004686A" w:rsidRPr="00417D3B">
        <w:rPr>
          <w:rFonts w:ascii="Palatino Linotype" w:eastAsia="Calibri" w:hAnsi="Palatino Linotype" w:cs="Arial"/>
          <w:color w:val="000000" w:themeColor="text1"/>
          <w:lang w:val="es-ES"/>
        </w:rPr>
        <w:t xml:space="preserve">, a través </w:t>
      </w:r>
      <w:r w:rsidR="006E4E2A" w:rsidRPr="00417D3B">
        <w:rPr>
          <w:rFonts w:ascii="Palatino Linotype" w:eastAsia="Calibri" w:hAnsi="Palatino Linotype" w:cs="Arial"/>
          <w:color w:val="000000" w:themeColor="text1"/>
          <w:lang w:val="es-ES"/>
        </w:rPr>
        <w:t>del</w:t>
      </w:r>
      <w:r w:rsidR="0004686A" w:rsidRPr="00417D3B">
        <w:rPr>
          <w:rFonts w:ascii="Palatino Linotype" w:eastAsia="Calibri" w:hAnsi="Palatino Linotype" w:cs="Arial"/>
          <w:color w:val="000000" w:themeColor="text1"/>
          <w:lang w:val="es-ES"/>
        </w:rPr>
        <w:t xml:space="preserve"> </w:t>
      </w:r>
      <w:r w:rsidR="00B81371" w:rsidRPr="00417D3B">
        <w:rPr>
          <w:rFonts w:ascii="Palatino Linotype" w:eastAsia="Calibri" w:hAnsi="Palatino Linotype" w:cs="Arial"/>
          <w:color w:val="000000" w:themeColor="text1"/>
          <w:lang w:val="es-ES"/>
        </w:rPr>
        <w:t xml:space="preserve">acuerdo </w:t>
      </w:r>
      <w:r w:rsidR="00F147C6" w:rsidRPr="00417D3B">
        <w:rPr>
          <w:rFonts w:ascii="Palatino Linotype" w:eastAsia="Calibri" w:hAnsi="Palatino Linotype" w:cs="Arial"/>
          <w:color w:val="000000" w:themeColor="text1"/>
          <w:lang w:val="es-ES"/>
        </w:rPr>
        <w:t xml:space="preserve">de admisión </w:t>
      </w:r>
      <w:r w:rsidR="003765C6" w:rsidRPr="00417D3B">
        <w:rPr>
          <w:rFonts w:ascii="Palatino Linotype" w:eastAsia="Calibri" w:hAnsi="Palatino Linotype" w:cs="Arial"/>
          <w:color w:val="000000" w:themeColor="text1"/>
          <w:lang w:val="es-ES"/>
        </w:rPr>
        <w:t>del veintitrés (23) de junio</w:t>
      </w:r>
      <w:r w:rsidR="000125A8" w:rsidRPr="00417D3B">
        <w:rPr>
          <w:rFonts w:ascii="Palatino Linotype" w:eastAsia="Calibri" w:hAnsi="Palatino Linotype" w:cs="Arial"/>
          <w:color w:val="000000" w:themeColor="text1"/>
          <w:lang w:val="es-ES"/>
        </w:rPr>
        <w:t xml:space="preserve"> de dos mil veintidós</w:t>
      </w:r>
      <w:r w:rsidR="006A1047" w:rsidRPr="00417D3B">
        <w:rPr>
          <w:rFonts w:ascii="Palatino Linotype" w:eastAsia="Calibri" w:hAnsi="Palatino Linotype" w:cs="Arial"/>
          <w:color w:val="000000" w:themeColor="text1"/>
          <w:lang w:val="es-ES"/>
        </w:rPr>
        <w:t xml:space="preserve">, </w:t>
      </w:r>
      <w:r w:rsidR="00B81371" w:rsidRPr="00417D3B">
        <w:rPr>
          <w:rFonts w:ascii="Palatino Linotype" w:eastAsia="Calibri" w:hAnsi="Palatino Linotype" w:cs="Arial"/>
          <w:color w:val="000000" w:themeColor="text1"/>
          <w:lang w:val="es-ES"/>
        </w:rPr>
        <w:t xml:space="preserve">puso a </w:t>
      </w:r>
      <w:r w:rsidR="00875167" w:rsidRPr="00417D3B">
        <w:rPr>
          <w:rFonts w:ascii="Palatino Linotype" w:eastAsia="Calibri" w:hAnsi="Palatino Linotype" w:cs="Arial"/>
          <w:color w:val="000000" w:themeColor="text1"/>
          <w:lang w:val="es-ES"/>
        </w:rPr>
        <w:t>disposición</w:t>
      </w:r>
      <w:r w:rsidR="00B81371" w:rsidRPr="00417D3B">
        <w:rPr>
          <w:rFonts w:ascii="Palatino Linotype" w:eastAsia="Calibri" w:hAnsi="Palatino Linotype" w:cs="Arial"/>
          <w:color w:val="000000" w:themeColor="text1"/>
          <w:lang w:val="es-ES"/>
        </w:rPr>
        <w:t xml:space="preserve"> de las partes el expediente electrónico </w:t>
      </w:r>
      <w:r w:rsidR="00B81371" w:rsidRPr="00417D3B">
        <w:rPr>
          <w:rFonts w:ascii="Palatino Linotype" w:eastAsia="Calibri" w:hAnsi="Palatino Linotype" w:cs="Arial"/>
          <w:color w:val="000000" w:themeColor="text1"/>
        </w:rPr>
        <w:t>vía</w:t>
      </w:r>
      <w:r w:rsidR="00C44847" w:rsidRPr="00417D3B">
        <w:rPr>
          <w:rFonts w:ascii="Palatino Linotype" w:eastAsia="Calibri" w:hAnsi="Palatino Linotype" w:cs="Arial"/>
          <w:color w:val="000000" w:themeColor="text1"/>
        </w:rPr>
        <w:t xml:space="preserve"> </w:t>
      </w:r>
      <w:r w:rsidR="00C44847" w:rsidRPr="00417D3B">
        <w:rPr>
          <w:rFonts w:ascii="Palatino Linotype" w:eastAsia="Calibri" w:hAnsi="Palatino Linotype" w:cs="Arial"/>
          <w:b/>
          <w:color w:val="000000" w:themeColor="text1"/>
        </w:rPr>
        <w:t>SAIMEX</w:t>
      </w:r>
      <w:r w:rsidR="00B81371" w:rsidRPr="00417D3B">
        <w:rPr>
          <w:rFonts w:ascii="Palatino Linotype" w:eastAsia="Calibri" w:hAnsi="Palatino Linotype" w:cs="Arial"/>
          <w:b/>
          <w:color w:val="000000" w:themeColor="text1"/>
          <w:lang w:val="es-ES"/>
        </w:rPr>
        <w:t xml:space="preserve"> </w:t>
      </w:r>
      <w:r w:rsidR="00B81371" w:rsidRPr="00417D3B">
        <w:rPr>
          <w:rFonts w:ascii="Palatino Linotype" w:eastAsia="Calibri" w:hAnsi="Palatino Linotype" w:cs="Arial"/>
          <w:color w:val="000000" w:themeColor="text1"/>
          <w:lang w:val="es-ES"/>
        </w:rPr>
        <w:t xml:space="preserve">a efecto de que en un plazo máximo de siete días </w:t>
      </w:r>
      <w:r w:rsidR="00875167" w:rsidRPr="00417D3B">
        <w:rPr>
          <w:rFonts w:ascii="Palatino Linotype" w:eastAsia="Calibri" w:hAnsi="Palatino Linotype" w:cs="Arial"/>
          <w:color w:val="000000" w:themeColor="text1"/>
          <w:lang w:val="es-ES"/>
        </w:rPr>
        <w:t>manifestaran</w:t>
      </w:r>
      <w:r w:rsidR="00B81371" w:rsidRPr="00417D3B">
        <w:rPr>
          <w:rFonts w:ascii="Palatino Linotype" w:eastAsia="Calibri" w:hAnsi="Palatino Linotype" w:cs="Arial"/>
          <w:color w:val="000000" w:themeColor="text1"/>
          <w:lang w:val="es-ES"/>
        </w:rPr>
        <w:t xml:space="preserve"> lo que a</w:t>
      </w:r>
      <w:r w:rsidR="003A2029" w:rsidRPr="00417D3B">
        <w:rPr>
          <w:rFonts w:ascii="Palatino Linotype" w:eastAsia="Calibri" w:hAnsi="Palatino Linotype" w:cs="Arial"/>
          <w:color w:val="000000" w:themeColor="text1"/>
          <w:lang w:val="es-ES"/>
        </w:rPr>
        <w:t xml:space="preserve"> su</w:t>
      </w:r>
      <w:r w:rsidR="00B81371" w:rsidRPr="00417D3B">
        <w:rPr>
          <w:rFonts w:ascii="Palatino Linotype" w:eastAsia="Calibri" w:hAnsi="Palatino Linotype" w:cs="Arial"/>
          <w:color w:val="000000" w:themeColor="text1"/>
          <w:lang w:val="es-ES"/>
        </w:rPr>
        <w:t xml:space="preserve"> derecho conviniera</w:t>
      </w:r>
      <w:r w:rsidR="00875167" w:rsidRPr="00417D3B">
        <w:rPr>
          <w:rFonts w:ascii="Palatino Linotype" w:eastAsia="Calibri" w:hAnsi="Palatino Linotype" w:cs="Arial"/>
          <w:color w:val="000000" w:themeColor="text1"/>
          <w:lang w:val="es-ES"/>
        </w:rPr>
        <w:t>n</w:t>
      </w:r>
      <w:r w:rsidR="00032493" w:rsidRPr="00417D3B">
        <w:rPr>
          <w:rFonts w:ascii="Palatino Linotype" w:eastAsia="Calibri" w:hAnsi="Palatino Linotype" w:cs="Arial"/>
          <w:color w:val="000000" w:themeColor="text1"/>
          <w:lang w:val="es-ES"/>
        </w:rPr>
        <w:t>,</w:t>
      </w:r>
      <w:r w:rsidR="00B81371" w:rsidRPr="00417D3B">
        <w:rPr>
          <w:rFonts w:ascii="Palatino Linotype" w:eastAsia="Calibri" w:hAnsi="Palatino Linotype" w:cs="Arial"/>
          <w:color w:val="000000" w:themeColor="text1"/>
          <w:lang w:val="es-ES"/>
        </w:rPr>
        <w:t xml:space="preserve"> </w:t>
      </w:r>
      <w:r w:rsidR="00875167" w:rsidRPr="00417D3B">
        <w:rPr>
          <w:rFonts w:ascii="Palatino Linotype" w:eastAsia="Calibri" w:hAnsi="Palatino Linotype" w:cs="Arial"/>
          <w:color w:val="000000" w:themeColor="text1"/>
          <w:lang w:val="es-ES"/>
        </w:rPr>
        <w:t>ofrecieran pruebas y</w:t>
      </w:r>
      <w:r w:rsidR="00132C06" w:rsidRPr="00417D3B">
        <w:rPr>
          <w:rFonts w:ascii="Palatino Linotype" w:eastAsia="Calibri" w:hAnsi="Palatino Linotype" w:cs="Arial"/>
          <w:color w:val="000000" w:themeColor="text1"/>
          <w:lang w:val="es-ES"/>
        </w:rPr>
        <w:t xml:space="preserve"> </w:t>
      </w:r>
      <w:r w:rsidR="00875167" w:rsidRPr="00417D3B">
        <w:rPr>
          <w:rFonts w:ascii="Palatino Linotype" w:eastAsia="Calibri" w:hAnsi="Palatino Linotype" w:cs="Arial"/>
          <w:color w:val="000000" w:themeColor="text1"/>
          <w:lang w:val="es-ES"/>
        </w:rPr>
        <w:t>alegatos según corresponda a</w:t>
      </w:r>
      <w:r w:rsidR="004C20F2" w:rsidRPr="00417D3B">
        <w:rPr>
          <w:rFonts w:ascii="Palatino Linotype" w:eastAsia="Calibri" w:hAnsi="Palatino Linotype" w:cs="Arial"/>
          <w:color w:val="000000" w:themeColor="text1"/>
          <w:lang w:val="es-ES"/>
        </w:rPr>
        <w:t xml:space="preserve"> </w:t>
      </w:r>
      <w:r w:rsidR="00875167" w:rsidRPr="00417D3B">
        <w:rPr>
          <w:rFonts w:ascii="Palatino Linotype" w:eastAsia="Calibri" w:hAnsi="Palatino Linotype" w:cs="Arial"/>
          <w:color w:val="000000" w:themeColor="text1"/>
          <w:lang w:val="es-ES"/>
        </w:rPr>
        <w:t>l</w:t>
      </w:r>
      <w:r w:rsidR="004C20F2" w:rsidRPr="00417D3B">
        <w:rPr>
          <w:rFonts w:ascii="Palatino Linotype" w:eastAsia="Calibri" w:hAnsi="Palatino Linotype" w:cs="Arial"/>
          <w:color w:val="000000" w:themeColor="text1"/>
          <w:lang w:val="es-ES"/>
        </w:rPr>
        <w:t>os</w:t>
      </w:r>
      <w:r w:rsidR="00875167" w:rsidRPr="00417D3B">
        <w:rPr>
          <w:rFonts w:ascii="Palatino Linotype" w:eastAsia="Calibri" w:hAnsi="Palatino Linotype" w:cs="Arial"/>
          <w:color w:val="000000" w:themeColor="text1"/>
          <w:lang w:val="es-ES"/>
        </w:rPr>
        <w:t xml:space="preserve"> caso</w:t>
      </w:r>
      <w:r w:rsidR="004C20F2" w:rsidRPr="00417D3B">
        <w:rPr>
          <w:rFonts w:ascii="Palatino Linotype" w:eastAsia="Calibri" w:hAnsi="Palatino Linotype" w:cs="Arial"/>
          <w:color w:val="000000" w:themeColor="text1"/>
          <w:lang w:val="es-ES"/>
        </w:rPr>
        <w:t>s</w:t>
      </w:r>
      <w:r w:rsidR="00875167" w:rsidRPr="00417D3B">
        <w:rPr>
          <w:rFonts w:ascii="Palatino Linotype" w:eastAsia="Calibri" w:hAnsi="Palatino Linotype" w:cs="Arial"/>
          <w:color w:val="000000" w:themeColor="text1"/>
          <w:lang w:val="es-ES"/>
        </w:rPr>
        <w:t xml:space="preserve"> concreto</w:t>
      </w:r>
      <w:r w:rsidR="004C20F2" w:rsidRPr="00417D3B">
        <w:rPr>
          <w:rFonts w:ascii="Palatino Linotype" w:eastAsia="Calibri" w:hAnsi="Palatino Linotype" w:cs="Arial"/>
          <w:color w:val="000000" w:themeColor="text1"/>
          <w:lang w:val="es-ES"/>
        </w:rPr>
        <w:t>s</w:t>
      </w:r>
      <w:r w:rsidR="00875167" w:rsidRPr="00417D3B">
        <w:rPr>
          <w:rFonts w:ascii="Palatino Linotype" w:eastAsia="Calibri" w:hAnsi="Palatino Linotype" w:cs="Arial"/>
          <w:color w:val="000000" w:themeColor="text1"/>
          <w:lang w:val="es-ES"/>
        </w:rPr>
        <w:t xml:space="preserve">, </w:t>
      </w:r>
      <w:r w:rsidR="00F147C6" w:rsidRPr="00417D3B">
        <w:rPr>
          <w:rFonts w:ascii="Palatino Linotype" w:eastAsia="Calibri" w:hAnsi="Palatino Linotype" w:cs="Arial"/>
          <w:color w:val="000000" w:themeColor="text1"/>
          <w:lang w:val="es-ES"/>
        </w:rPr>
        <w:t>de esta forma</w:t>
      </w:r>
      <w:r w:rsidR="00875167" w:rsidRPr="00417D3B">
        <w:rPr>
          <w:rFonts w:ascii="Palatino Linotype" w:eastAsia="Calibri" w:hAnsi="Palatino Linotype" w:cs="Arial"/>
          <w:color w:val="000000" w:themeColor="text1"/>
          <w:lang w:val="es-ES"/>
        </w:rPr>
        <w:t xml:space="preserve"> para que el </w:t>
      </w:r>
      <w:r w:rsidR="00875167" w:rsidRPr="00417D3B">
        <w:rPr>
          <w:rFonts w:ascii="Palatino Linotype" w:eastAsia="Calibri" w:hAnsi="Palatino Linotype" w:cs="Arial"/>
          <w:b/>
          <w:color w:val="000000" w:themeColor="text1"/>
          <w:lang w:val="es-ES"/>
        </w:rPr>
        <w:t>SUJETO OBLIGADO</w:t>
      </w:r>
      <w:r w:rsidR="00875167" w:rsidRPr="00417D3B">
        <w:rPr>
          <w:rFonts w:ascii="Palatino Linotype" w:eastAsia="Calibri" w:hAnsi="Palatino Linotype" w:cs="Arial"/>
          <w:color w:val="000000" w:themeColor="text1"/>
          <w:lang w:val="es-ES"/>
        </w:rPr>
        <w:t xml:space="preserve"> </w:t>
      </w:r>
      <w:r w:rsidR="00B81371" w:rsidRPr="00417D3B">
        <w:rPr>
          <w:rFonts w:ascii="Palatino Linotype" w:eastAsia="Calibri" w:hAnsi="Palatino Linotype" w:cs="Arial"/>
          <w:color w:val="000000" w:themeColor="text1"/>
          <w:lang w:val="es-ES"/>
        </w:rPr>
        <w:t>presentar</w:t>
      </w:r>
      <w:r w:rsidR="003A03D0" w:rsidRPr="00417D3B">
        <w:rPr>
          <w:rFonts w:ascii="Palatino Linotype" w:eastAsia="Calibri" w:hAnsi="Palatino Linotype" w:cs="Arial"/>
          <w:color w:val="000000" w:themeColor="text1"/>
          <w:lang w:val="es-ES"/>
        </w:rPr>
        <w:t>a</w:t>
      </w:r>
      <w:r w:rsidR="00B81371" w:rsidRPr="00417D3B">
        <w:rPr>
          <w:rFonts w:ascii="Palatino Linotype" w:eastAsia="Calibri" w:hAnsi="Palatino Linotype" w:cs="Arial"/>
          <w:color w:val="000000" w:themeColor="text1"/>
          <w:lang w:val="es-ES"/>
        </w:rPr>
        <w:t xml:space="preserve"> el </w:t>
      </w:r>
      <w:r w:rsidR="00556F72" w:rsidRPr="00417D3B">
        <w:rPr>
          <w:rFonts w:ascii="Palatino Linotype" w:eastAsia="Calibri" w:hAnsi="Palatino Linotype" w:cs="Arial"/>
          <w:color w:val="000000" w:themeColor="text1"/>
          <w:lang w:val="es-ES"/>
        </w:rPr>
        <w:t xml:space="preserve">informe justificado </w:t>
      </w:r>
      <w:r w:rsidR="00875167" w:rsidRPr="00417D3B">
        <w:rPr>
          <w:rFonts w:ascii="Palatino Linotype" w:eastAsia="Calibri" w:hAnsi="Palatino Linotype" w:cs="Arial"/>
          <w:color w:val="000000" w:themeColor="text1"/>
          <w:lang w:val="es-ES"/>
        </w:rPr>
        <w:t>procedente</w:t>
      </w:r>
      <w:r w:rsidR="00787184" w:rsidRPr="00417D3B">
        <w:rPr>
          <w:rFonts w:ascii="Palatino Linotype" w:eastAsia="Calibri" w:hAnsi="Palatino Linotype" w:cs="Arial"/>
          <w:color w:val="000000" w:themeColor="text1"/>
          <w:lang w:val="es-ES"/>
        </w:rPr>
        <w:t>.</w:t>
      </w:r>
    </w:p>
    <w:p w14:paraId="455C196B" w14:textId="77777777" w:rsidR="003F0DDA" w:rsidRPr="00417D3B" w:rsidRDefault="003F0DDA" w:rsidP="003F0DD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B632C55" w14:textId="4EBAAEF7" w:rsidR="00A03086" w:rsidRPr="00417D3B" w:rsidRDefault="00C44847" w:rsidP="00FB70B7">
      <w:pPr>
        <w:pStyle w:val="Prrafodelista"/>
        <w:numPr>
          <w:ilvl w:val="0"/>
          <w:numId w:val="1"/>
        </w:numPr>
        <w:tabs>
          <w:tab w:val="left" w:pos="426"/>
        </w:tabs>
        <w:spacing w:line="360" w:lineRule="auto"/>
        <w:jc w:val="both"/>
        <w:rPr>
          <w:rFonts w:ascii="Palatino Linotype" w:eastAsiaTheme="minorEastAsia" w:hAnsi="Palatino Linotype" w:cstheme="minorBidi"/>
          <w:color w:val="000000" w:themeColor="text1"/>
        </w:rPr>
      </w:pPr>
      <w:r w:rsidRPr="00417D3B">
        <w:rPr>
          <w:rFonts w:ascii="Palatino Linotype" w:eastAsia="Calibri" w:hAnsi="Palatino Linotype" w:cs="Arial"/>
          <w:color w:val="000000" w:themeColor="text1"/>
          <w:lang w:val="es-ES"/>
        </w:rPr>
        <w:t xml:space="preserve">El </w:t>
      </w:r>
      <w:r w:rsidR="003765C6" w:rsidRPr="00417D3B">
        <w:rPr>
          <w:rFonts w:ascii="Palatino Linotype" w:eastAsia="Calibri" w:hAnsi="Palatino Linotype" w:cs="Arial"/>
          <w:color w:val="000000" w:themeColor="text1"/>
          <w:lang w:val="es-ES"/>
        </w:rPr>
        <w:t>treinta (30) de junio</w:t>
      </w:r>
      <w:r w:rsidR="00A03086" w:rsidRPr="00417D3B">
        <w:rPr>
          <w:rFonts w:ascii="Palatino Linotype" w:eastAsia="Calibri" w:hAnsi="Palatino Linotype" w:cs="Arial"/>
          <w:color w:val="000000" w:themeColor="text1"/>
          <w:lang w:val="es-ES"/>
        </w:rPr>
        <w:t xml:space="preserve"> de dos mil veintidós</w:t>
      </w:r>
      <w:r w:rsidR="0067562B" w:rsidRPr="00417D3B">
        <w:rPr>
          <w:rFonts w:ascii="Palatino Linotype" w:eastAsia="Calibri" w:hAnsi="Palatino Linotype" w:cs="Arial"/>
          <w:color w:val="000000" w:themeColor="text1"/>
          <w:lang w:val="es-ES"/>
        </w:rPr>
        <w:t xml:space="preserve">, el </w:t>
      </w:r>
      <w:r w:rsidRPr="00417D3B">
        <w:rPr>
          <w:rFonts w:ascii="Palatino Linotype" w:eastAsia="Calibri" w:hAnsi="Palatino Linotype" w:cs="Arial"/>
          <w:b/>
          <w:color w:val="000000" w:themeColor="text1"/>
          <w:lang w:val="es-ES"/>
        </w:rPr>
        <w:t>SUJETO OBLIGADO</w:t>
      </w:r>
      <w:r w:rsidR="00FB70B7" w:rsidRPr="00417D3B">
        <w:rPr>
          <w:rFonts w:ascii="Palatino Linotype" w:eastAsia="Calibri" w:hAnsi="Palatino Linotype" w:cs="Arial"/>
          <w:color w:val="000000" w:themeColor="text1"/>
          <w:lang w:val="es-ES"/>
        </w:rPr>
        <w:t xml:space="preserve"> rindió</w:t>
      </w:r>
      <w:r w:rsidRPr="00417D3B">
        <w:rPr>
          <w:rFonts w:ascii="Palatino Linotype" w:eastAsia="Calibri" w:hAnsi="Palatino Linotype" w:cs="Arial"/>
          <w:color w:val="000000" w:themeColor="text1"/>
          <w:lang w:val="es-ES"/>
        </w:rPr>
        <w:t xml:space="preserve"> </w:t>
      </w:r>
      <w:r w:rsidR="00FB70B7" w:rsidRPr="00417D3B">
        <w:rPr>
          <w:rFonts w:ascii="Palatino Linotype" w:eastAsia="Calibri" w:hAnsi="Palatino Linotype" w:cs="Arial"/>
          <w:color w:val="000000" w:themeColor="text1"/>
          <w:lang w:val="es-ES"/>
        </w:rPr>
        <w:t>el</w:t>
      </w:r>
      <w:r w:rsidRPr="00417D3B">
        <w:rPr>
          <w:rFonts w:ascii="Palatino Linotype" w:eastAsia="Calibri" w:hAnsi="Palatino Linotype" w:cs="Arial"/>
          <w:color w:val="000000" w:themeColor="text1"/>
          <w:lang w:val="es-ES"/>
        </w:rPr>
        <w:t xml:space="preserve"> informe justificado </w:t>
      </w:r>
      <w:r w:rsidR="00FB70B7" w:rsidRPr="00417D3B">
        <w:rPr>
          <w:rFonts w:ascii="Palatino Linotype" w:eastAsia="Calibri" w:hAnsi="Palatino Linotype" w:cs="Arial"/>
          <w:color w:val="000000" w:themeColor="text1"/>
          <w:lang w:val="es-ES"/>
        </w:rPr>
        <w:t>correspondiente</w:t>
      </w:r>
      <w:bookmarkStart w:id="3" w:name="_Toc461555889"/>
      <w:bookmarkStart w:id="4" w:name="_Toc466371858"/>
      <w:r w:rsidR="0067562B" w:rsidRPr="00417D3B">
        <w:rPr>
          <w:rFonts w:ascii="Palatino Linotype" w:eastAsia="Calibri" w:hAnsi="Palatino Linotype" w:cs="Arial"/>
          <w:color w:val="000000" w:themeColor="text1"/>
          <w:lang w:val="es-ES"/>
        </w:rPr>
        <w:t xml:space="preserve"> por medio de</w:t>
      </w:r>
      <w:r w:rsidR="00A03086" w:rsidRPr="00417D3B">
        <w:rPr>
          <w:rFonts w:ascii="Palatino Linotype" w:eastAsia="Calibri" w:hAnsi="Palatino Linotype" w:cs="Arial"/>
          <w:color w:val="000000" w:themeColor="text1"/>
          <w:lang w:val="es-ES"/>
        </w:rPr>
        <w:t xml:space="preserve"> </w:t>
      </w:r>
      <w:r w:rsidR="0067562B" w:rsidRPr="00417D3B">
        <w:rPr>
          <w:rFonts w:ascii="Palatino Linotype" w:eastAsia="Calibri" w:hAnsi="Palatino Linotype" w:cs="Arial"/>
          <w:color w:val="000000" w:themeColor="text1"/>
          <w:lang w:val="es-ES"/>
        </w:rPr>
        <w:t>l</w:t>
      </w:r>
      <w:r w:rsidR="00A03086" w:rsidRPr="00417D3B">
        <w:rPr>
          <w:rFonts w:ascii="Palatino Linotype" w:eastAsia="Calibri" w:hAnsi="Palatino Linotype" w:cs="Arial"/>
          <w:color w:val="000000" w:themeColor="text1"/>
          <w:lang w:val="es-ES"/>
        </w:rPr>
        <w:t>os siguientes archivos electrónicos:</w:t>
      </w:r>
    </w:p>
    <w:p w14:paraId="1571D5C0" w14:textId="4CD424A9" w:rsidR="003765C6" w:rsidRPr="00417D3B" w:rsidRDefault="00000000" w:rsidP="003765C6">
      <w:pPr>
        <w:pStyle w:val="Prrafodelista"/>
        <w:numPr>
          <w:ilvl w:val="0"/>
          <w:numId w:val="15"/>
        </w:numPr>
        <w:spacing w:line="360" w:lineRule="auto"/>
        <w:ind w:right="616"/>
        <w:jc w:val="both"/>
        <w:rPr>
          <w:rFonts w:ascii="Palatino Linotype" w:hAnsi="Palatino Linotype"/>
          <w:sz w:val="22"/>
        </w:rPr>
      </w:pPr>
      <w:hyperlink r:id="rId15" w:history="1">
        <w:r w:rsidR="003765C6" w:rsidRPr="00417D3B">
          <w:rPr>
            <w:rStyle w:val="Hipervnculo"/>
            <w:rFonts w:ascii="Palatino Linotype" w:hAnsi="Palatino Linotype" w:cs="Arial"/>
            <w:b/>
            <w:bCs/>
            <w:color w:val="auto"/>
            <w:sz w:val="22"/>
          </w:rPr>
          <w:t xml:space="preserve">OFICIO GIRADO A SERVIDOR </w:t>
        </w:r>
        <w:r w:rsidR="00770ADF" w:rsidRPr="00417D3B">
          <w:rPr>
            <w:rStyle w:val="Hipervnculo"/>
            <w:rFonts w:ascii="Palatino Linotype" w:hAnsi="Palatino Linotype" w:cs="Arial"/>
            <w:b/>
            <w:bCs/>
            <w:color w:val="auto"/>
            <w:sz w:val="22"/>
          </w:rPr>
          <w:t>PÚBLICO</w:t>
        </w:r>
        <w:r w:rsidR="003765C6" w:rsidRPr="00417D3B">
          <w:rPr>
            <w:rStyle w:val="Hipervnculo"/>
            <w:rFonts w:ascii="Palatino Linotype" w:hAnsi="Palatino Linotype" w:cs="Arial"/>
            <w:b/>
            <w:bCs/>
            <w:color w:val="auto"/>
            <w:sz w:val="22"/>
          </w:rPr>
          <w:t xml:space="preserve"> HABILITADO.pdf</w:t>
        </w:r>
      </w:hyperlink>
      <w:r w:rsidR="003765C6" w:rsidRPr="00417D3B">
        <w:rPr>
          <w:rFonts w:ascii="Palatino Linotype" w:hAnsi="Palatino Linotype"/>
          <w:sz w:val="22"/>
        </w:rPr>
        <w:t xml:space="preserve">: oficio PMT/UT/0430/2022 de requerimiento de información suscrito por el Titular de la Unidad de Transparencia </w:t>
      </w:r>
      <w:r w:rsidR="00D43F2D" w:rsidRPr="00417D3B">
        <w:rPr>
          <w:rFonts w:ascii="Palatino Linotype" w:hAnsi="Palatino Linotype"/>
          <w:sz w:val="22"/>
        </w:rPr>
        <w:t xml:space="preserve">y dirigido al Comisario de Seguridad Pública. </w:t>
      </w:r>
    </w:p>
    <w:p w14:paraId="3B1C0DA2" w14:textId="77777777" w:rsidR="003765C6" w:rsidRPr="00417D3B" w:rsidRDefault="003765C6" w:rsidP="003765C6">
      <w:pPr>
        <w:pStyle w:val="Prrafodelista"/>
        <w:spacing w:line="360" w:lineRule="auto"/>
        <w:ind w:right="616"/>
        <w:jc w:val="both"/>
        <w:rPr>
          <w:rFonts w:ascii="Palatino Linotype" w:hAnsi="Palatino Linotype"/>
          <w:sz w:val="22"/>
        </w:rPr>
      </w:pPr>
    </w:p>
    <w:p w14:paraId="36DFB035" w14:textId="2DDDC938" w:rsidR="003765C6" w:rsidRPr="00417D3B" w:rsidRDefault="00000000" w:rsidP="003765C6">
      <w:pPr>
        <w:pStyle w:val="Prrafodelista"/>
        <w:numPr>
          <w:ilvl w:val="0"/>
          <w:numId w:val="15"/>
        </w:numPr>
        <w:spacing w:line="360" w:lineRule="auto"/>
        <w:ind w:right="616"/>
        <w:jc w:val="both"/>
        <w:rPr>
          <w:sz w:val="22"/>
        </w:rPr>
      </w:pPr>
      <w:hyperlink r:id="rId16" w:history="1">
        <w:r w:rsidR="003765C6" w:rsidRPr="00417D3B">
          <w:rPr>
            <w:rStyle w:val="Hipervnculo"/>
            <w:rFonts w:ascii="Palatino Linotype" w:hAnsi="Palatino Linotype" w:cs="Arial"/>
            <w:b/>
            <w:bCs/>
            <w:color w:val="auto"/>
            <w:sz w:val="22"/>
          </w:rPr>
          <w:t>RESPUESTA SEGURIDAD PUB RR 11448 2022.pdf</w:t>
        </w:r>
      </w:hyperlink>
      <w:r w:rsidR="003765C6" w:rsidRPr="00417D3B">
        <w:rPr>
          <w:rFonts w:ascii="Palatino Linotype" w:hAnsi="Palatino Linotype"/>
          <w:sz w:val="22"/>
        </w:rPr>
        <w:t>:</w:t>
      </w:r>
      <w:r w:rsidR="00D43F2D" w:rsidRPr="00417D3B">
        <w:rPr>
          <w:rFonts w:ascii="Palatino Linotype" w:hAnsi="Palatino Linotype"/>
          <w:sz w:val="22"/>
        </w:rPr>
        <w:t xml:space="preserve"> oficio de la Comisaria de Seguridad Pública, en el que señaló que la información solicitada es de carácter reservado. </w:t>
      </w:r>
    </w:p>
    <w:p w14:paraId="365A0B49" w14:textId="77777777" w:rsidR="003765C6" w:rsidRPr="00417D3B" w:rsidRDefault="003765C6" w:rsidP="003765C6">
      <w:pPr>
        <w:ind w:right="616"/>
        <w:jc w:val="both"/>
        <w:rPr>
          <w:rFonts w:ascii="Palatino Linotype" w:eastAsia="Calibri" w:hAnsi="Palatino Linotype" w:cs="Arial"/>
          <w:b/>
          <w:color w:val="000000" w:themeColor="text1"/>
          <w:lang w:val="es-ES"/>
        </w:rPr>
      </w:pPr>
    </w:p>
    <w:p w14:paraId="6C7AEEAF" w14:textId="77777777" w:rsidR="003765C6" w:rsidRPr="00417D3B" w:rsidRDefault="003765C6" w:rsidP="003765C6">
      <w:pPr>
        <w:ind w:right="616"/>
        <w:jc w:val="both"/>
        <w:rPr>
          <w:rFonts w:ascii="Palatino Linotype" w:eastAsia="Calibri" w:hAnsi="Palatino Linotype" w:cs="Arial"/>
          <w:color w:val="000000" w:themeColor="text1"/>
          <w:lang w:val="es-ES"/>
        </w:rPr>
      </w:pPr>
    </w:p>
    <w:p w14:paraId="07CDBF52" w14:textId="2E959D41" w:rsidR="00A4262E" w:rsidRPr="00417D3B" w:rsidRDefault="0067562B" w:rsidP="00C109C3">
      <w:pPr>
        <w:pStyle w:val="Prrafodelista"/>
        <w:numPr>
          <w:ilvl w:val="0"/>
          <w:numId w:val="1"/>
        </w:numPr>
        <w:tabs>
          <w:tab w:val="left" w:pos="426"/>
        </w:tabs>
        <w:spacing w:line="360" w:lineRule="auto"/>
        <w:jc w:val="both"/>
        <w:rPr>
          <w:rFonts w:ascii="Palatino Linotype" w:eastAsiaTheme="minorEastAsia" w:hAnsi="Palatino Linotype" w:cstheme="minorBidi"/>
          <w:color w:val="000000" w:themeColor="text1"/>
        </w:rPr>
      </w:pPr>
      <w:r w:rsidRPr="00417D3B">
        <w:rPr>
          <w:rFonts w:ascii="Palatino Linotype" w:eastAsia="Calibri" w:hAnsi="Palatino Linotype" w:cs="Arial"/>
          <w:color w:val="000000" w:themeColor="text1"/>
          <w:lang w:val="es-ES"/>
        </w:rPr>
        <w:t>P</w:t>
      </w:r>
      <w:r w:rsidR="00A03086" w:rsidRPr="00417D3B">
        <w:rPr>
          <w:rFonts w:ascii="Palatino Linotype" w:eastAsia="Calibri" w:hAnsi="Palatino Linotype" w:cs="Arial"/>
          <w:color w:val="000000" w:themeColor="text1"/>
          <w:lang w:val="es-ES"/>
        </w:rPr>
        <w:t xml:space="preserve">or su parte, </w:t>
      </w:r>
      <w:r w:rsidR="00FB70B7" w:rsidRPr="00417D3B">
        <w:rPr>
          <w:rFonts w:ascii="Palatino Linotype" w:eastAsia="Calibri" w:hAnsi="Palatino Linotype" w:cs="Arial"/>
          <w:color w:val="000000" w:themeColor="text1"/>
          <w:lang w:val="es-ES"/>
        </w:rPr>
        <w:t xml:space="preserve">el </w:t>
      </w:r>
      <w:r w:rsidR="00A03086" w:rsidRPr="00417D3B">
        <w:rPr>
          <w:rFonts w:ascii="Palatino Linotype" w:eastAsia="Calibri" w:hAnsi="Palatino Linotype" w:cs="Arial"/>
          <w:b/>
          <w:lang w:val="es-ES"/>
        </w:rPr>
        <w:t xml:space="preserve">RECURRENTE </w:t>
      </w:r>
      <w:r w:rsidR="00FB70B7" w:rsidRPr="00417D3B">
        <w:rPr>
          <w:rFonts w:ascii="Palatino Linotype" w:eastAsia="Calibri" w:hAnsi="Palatino Linotype" w:cs="Arial"/>
          <w:color w:val="000000" w:themeColor="text1"/>
          <w:lang w:val="es-ES"/>
        </w:rPr>
        <w:t>no presentó pruebas ni alegatos</w:t>
      </w:r>
      <w:r w:rsidR="00A03086" w:rsidRPr="00417D3B">
        <w:rPr>
          <w:rFonts w:ascii="Palatino Linotype" w:eastAsia="Calibri" w:hAnsi="Palatino Linotype" w:cs="Arial"/>
          <w:color w:val="000000" w:themeColor="text1"/>
          <w:lang w:val="es-ES"/>
        </w:rPr>
        <w:t xml:space="preserve"> que a su derecho convinieran</w:t>
      </w:r>
      <w:r w:rsidR="00FB70B7" w:rsidRPr="00417D3B">
        <w:rPr>
          <w:rFonts w:ascii="Palatino Linotype" w:eastAsia="Calibri" w:hAnsi="Palatino Linotype" w:cs="Arial"/>
          <w:color w:val="000000" w:themeColor="text1"/>
          <w:lang w:val="es-ES"/>
        </w:rPr>
        <w:t>.</w:t>
      </w:r>
    </w:p>
    <w:p w14:paraId="5BBED8D8" w14:textId="77777777" w:rsidR="00B66235" w:rsidRPr="00417D3B" w:rsidRDefault="00B66235" w:rsidP="00FB70B7">
      <w:pPr>
        <w:pStyle w:val="Prrafodelista"/>
        <w:tabs>
          <w:tab w:val="left" w:pos="426"/>
        </w:tabs>
        <w:spacing w:line="360" w:lineRule="auto"/>
        <w:ind w:left="0"/>
        <w:jc w:val="both"/>
        <w:rPr>
          <w:rFonts w:ascii="Palatino Linotype" w:hAnsi="Palatino Linotype"/>
          <w:color w:val="000000" w:themeColor="text1"/>
        </w:rPr>
      </w:pPr>
    </w:p>
    <w:p w14:paraId="21B76ECA" w14:textId="06BB2E30" w:rsidR="00A4262E" w:rsidRPr="00417D3B" w:rsidRDefault="00A4262E" w:rsidP="00AF31FE">
      <w:pPr>
        <w:pStyle w:val="Prrafodelista"/>
        <w:numPr>
          <w:ilvl w:val="0"/>
          <w:numId w:val="1"/>
        </w:numPr>
        <w:tabs>
          <w:tab w:val="left" w:pos="426"/>
        </w:tabs>
        <w:spacing w:line="360" w:lineRule="auto"/>
        <w:jc w:val="both"/>
        <w:rPr>
          <w:rFonts w:ascii="Palatino Linotype" w:hAnsi="Palatino Linotype"/>
          <w:color w:val="000000" w:themeColor="text1"/>
        </w:rPr>
      </w:pPr>
      <w:r w:rsidRPr="00417D3B">
        <w:rPr>
          <w:rFonts w:ascii="Palatino Linotype" w:hAnsi="Palatino Linotype" w:cs="Arial"/>
          <w:color w:val="000000" w:themeColor="text1"/>
        </w:rPr>
        <w:t>El</w:t>
      </w:r>
      <w:r w:rsidR="00C85A48" w:rsidRPr="00417D3B">
        <w:rPr>
          <w:rFonts w:ascii="Palatino Linotype" w:hAnsi="Palatino Linotype" w:cs="Arial"/>
          <w:color w:val="000000" w:themeColor="text1"/>
        </w:rPr>
        <w:t xml:space="preserve"> </w:t>
      </w:r>
      <w:r w:rsidR="00D43F2D" w:rsidRPr="00417D3B">
        <w:rPr>
          <w:rFonts w:ascii="Palatino Linotype" w:hAnsi="Palatino Linotype" w:cs="Arial"/>
          <w:color w:val="000000" w:themeColor="text1"/>
        </w:rPr>
        <w:t>veintinueve (29) de mayo de dos mil veintitrés</w:t>
      </w:r>
      <w:r w:rsidR="00B23EFA" w:rsidRPr="00417D3B">
        <w:rPr>
          <w:rFonts w:ascii="Palatino Linotype" w:hAnsi="Palatino Linotype" w:cs="Arial"/>
          <w:color w:val="000000" w:themeColor="text1"/>
        </w:rPr>
        <w:t xml:space="preserve">, </w:t>
      </w:r>
      <w:r w:rsidR="003522BF" w:rsidRPr="00417D3B">
        <w:rPr>
          <w:rFonts w:ascii="Palatino Linotype" w:hAnsi="Palatino Linotype" w:cs="Arial"/>
          <w:color w:val="000000" w:themeColor="text1"/>
          <w:lang w:val="es-ES"/>
        </w:rPr>
        <w:t>con fundamento en el artículo 181</w:t>
      </w:r>
      <w:r w:rsidR="00B23EFA" w:rsidRPr="00417D3B">
        <w:rPr>
          <w:rFonts w:ascii="Palatino Linotype" w:hAnsi="Palatino Linotype" w:cs="Arial"/>
          <w:color w:val="000000" w:themeColor="text1"/>
          <w:lang w:val="es-ES"/>
        </w:rPr>
        <w:t>,</w:t>
      </w:r>
      <w:r w:rsidR="003522BF" w:rsidRPr="00417D3B">
        <w:rPr>
          <w:rFonts w:ascii="Palatino Linotype" w:hAnsi="Palatino Linotype" w:cs="Arial"/>
          <w:color w:val="000000" w:themeColor="text1"/>
          <w:lang w:val="es-ES"/>
        </w:rPr>
        <w:t xml:space="preserve"> tercer párrafo</w:t>
      </w:r>
      <w:r w:rsidR="00B23EFA" w:rsidRPr="00417D3B">
        <w:rPr>
          <w:rFonts w:ascii="Palatino Linotype" w:hAnsi="Palatino Linotype" w:cs="Arial"/>
          <w:color w:val="000000" w:themeColor="text1"/>
          <w:lang w:val="es-ES"/>
        </w:rPr>
        <w:t>,</w:t>
      </w:r>
      <w:r w:rsidR="003522BF" w:rsidRPr="00417D3B">
        <w:rPr>
          <w:rFonts w:ascii="Palatino Linotype" w:hAnsi="Palatino Linotype" w:cs="Arial"/>
          <w:color w:val="000000" w:themeColor="text1"/>
          <w:lang w:val="es-ES"/>
        </w:rPr>
        <w:t xml:space="preserve"> de la Ley de Transparencia y Acceso a la Información Pública del </w:t>
      </w:r>
      <w:r w:rsidR="003522BF" w:rsidRPr="00417D3B">
        <w:rPr>
          <w:rFonts w:ascii="Palatino Linotype" w:hAnsi="Palatino Linotype" w:cs="Arial"/>
          <w:color w:val="000000" w:themeColor="text1"/>
          <w:lang w:val="es-ES"/>
        </w:rPr>
        <w:lastRenderedPageBreak/>
        <w:t>Estado de México y Municipios</w:t>
      </w:r>
      <w:r w:rsidR="003522BF" w:rsidRPr="00417D3B">
        <w:rPr>
          <w:rFonts w:ascii="Palatino Linotype" w:hAnsi="Palatino Linotype" w:cs="Arial"/>
          <w:bCs/>
          <w:color w:val="000000" w:themeColor="text1"/>
          <w:lang w:val="es-ES"/>
        </w:rPr>
        <w:t xml:space="preserve"> </w:t>
      </w:r>
      <w:r w:rsidR="003522BF" w:rsidRPr="00417D3B">
        <w:rPr>
          <w:rFonts w:ascii="Palatino Linotype" w:hAnsi="Palatino Linotype" w:cs="Arial"/>
          <w:color w:val="000000" w:themeColor="text1"/>
          <w:lang w:val="es-ES"/>
        </w:rPr>
        <w:t>se no</w:t>
      </w:r>
      <w:r w:rsidR="00C109C3" w:rsidRPr="00417D3B">
        <w:rPr>
          <w:rFonts w:ascii="Palatino Linotype" w:hAnsi="Palatino Linotype" w:cs="Arial"/>
          <w:color w:val="000000" w:themeColor="text1"/>
          <w:lang w:val="es-ES"/>
        </w:rPr>
        <w:t xml:space="preserve">tificó que el plazo de treinta </w:t>
      </w:r>
      <w:r w:rsidR="003522BF" w:rsidRPr="00417D3B">
        <w:rPr>
          <w:rFonts w:ascii="Palatino Linotype" w:hAnsi="Palatino Linotype" w:cs="Arial"/>
          <w:color w:val="000000" w:themeColor="text1"/>
          <w:lang w:val="es-ES"/>
        </w:rPr>
        <w:t>días para resolver el recurso de revisión sería ampliado por un periodo de quince días hábiles adicionales</w:t>
      </w:r>
      <w:r w:rsidRPr="00417D3B">
        <w:rPr>
          <w:rFonts w:ascii="Palatino Linotype" w:hAnsi="Palatino Linotype" w:cs="Arial"/>
          <w:color w:val="000000" w:themeColor="text1"/>
          <w:lang w:val="es-ES"/>
        </w:rPr>
        <w:t>.</w:t>
      </w:r>
    </w:p>
    <w:p w14:paraId="5BD89F78" w14:textId="77777777" w:rsidR="00452169" w:rsidRPr="00417D3B" w:rsidRDefault="00452169" w:rsidP="00452169">
      <w:pPr>
        <w:pStyle w:val="Prrafodelista"/>
        <w:tabs>
          <w:tab w:val="left" w:pos="426"/>
        </w:tabs>
        <w:spacing w:line="360" w:lineRule="auto"/>
        <w:ind w:left="0"/>
        <w:jc w:val="both"/>
        <w:rPr>
          <w:rFonts w:ascii="Palatino Linotype" w:hAnsi="Palatino Linotype"/>
          <w:color w:val="000000" w:themeColor="text1"/>
        </w:rPr>
      </w:pPr>
    </w:p>
    <w:p w14:paraId="4E77D5AB"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color w:val="000000" w:themeColor="text1"/>
        </w:rPr>
        <w:t xml:space="preserve">Este </w:t>
      </w:r>
      <w:r w:rsidRPr="00417D3B">
        <w:rPr>
          <w:rFonts w:ascii="Palatino Linotype" w:hAnsi="Palatino Linotype"/>
        </w:rPr>
        <w:t>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64CD99C"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2D45235E"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06AA3FD"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26220EC2"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9CE6E5"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35529E6F"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94C77D"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0FB5E4F9"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Por ello, excepcionalmente, si un asunto es resuelto con posterioridad a los plazos señalados por la norma debe analizarse la razonabilidad de dicha dilación atendiendo a los siguientes criterios:</w:t>
      </w:r>
    </w:p>
    <w:p w14:paraId="2544EE3D" w14:textId="77777777" w:rsidR="00452169" w:rsidRPr="00417D3B" w:rsidRDefault="00452169">
      <w:pPr>
        <w:pStyle w:val="Prrafodelista"/>
        <w:numPr>
          <w:ilvl w:val="0"/>
          <w:numId w:val="4"/>
        </w:numPr>
        <w:ind w:left="851" w:right="616" w:hanging="284"/>
        <w:jc w:val="both"/>
        <w:rPr>
          <w:rFonts w:ascii="Palatino Linotype" w:hAnsi="Palatino Linotype"/>
          <w:sz w:val="22"/>
        </w:rPr>
      </w:pPr>
      <w:r w:rsidRPr="00417D3B">
        <w:rPr>
          <w:rFonts w:ascii="Palatino Linotype" w:hAnsi="Palatino Linotype"/>
          <w:sz w:val="22"/>
        </w:rPr>
        <w:t xml:space="preserve">Complejidad del Asunto: La complejidad de la prueba, la pluralidad de sujetos procesales, el tiempo transcurrido, las características y contexto del recurso. </w:t>
      </w:r>
    </w:p>
    <w:p w14:paraId="6A9F2331" w14:textId="77777777" w:rsidR="00452169" w:rsidRPr="00417D3B" w:rsidRDefault="00452169">
      <w:pPr>
        <w:pStyle w:val="Prrafodelista"/>
        <w:numPr>
          <w:ilvl w:val="0"/>
          <w:numId w:val="4"/>
        </w:numPr>
        <w:ind w:left="851" w:right="616" w:hanging="284"/>
        <w:jc w:val="both"/>
        <w:rPr>
          <w:rFonts w:ascii="Palatino Linotype" w:hAnsi="Palatino Linotype"/>
          <w:sz w:val="22"/>
        </w:rPr>
      </w:pPr>
      <w:r w:rsidRPr="00417D3B">
        <w:rPr>
          <w:rFonts w:ascii="Palatino Linotype" w:hAnsi="Palatino Linotype"/>
          <w:sz w:val="22"/>
        </w:rPr>
        <w:t>Actividad Procesal del interesado. Acciones u omisiones del interesado.</w:t>
      </w:r>
    </w:p>
    <w:p w14:paraId="4625383A" w14:textId="77777777" w:rsidR="00452169" w:rsidRPr="00417D3B" w:rsidRDefault="00452169">
      <w:pPr>
        <w:pStyle w:val="Prrafodelista"/>
        <w:numPr>
          <w:ilvl w:val="0"/>
          <w:numId w:val="4"/>
        </w:numPr>
        <w:ind w:left="851" w:right="616" w:hanging="284"/>
        <w:jc w:val="both"/>
        <w:rPr>
          <w:rFonts w:ascii="Palatino Linotype" w:hAnsi="Palatino Linotype"/>
          <w:sz w:val="22"/>
        </w:rPr>
      </w:pPr>
      <w:r w:rsidRPr="00417D3B">
        <w:rPr>
          <w:rFonts w:ascii="Palatino Linotype" w:hAnsi="Palatino Linotype"/>
          <w:sz w:val="22"/>
        </w:rPr>
        <w:t>Conducta de la Autoridad: Las Acciones u omisiones realizadas en el procedimiento. Así como si la autoridad actuó con la debida diligencia.</w:t>
      </w:r>
    </w:p>
    <w:p w14:paraId="79BF59EF" w14:textId="77777777" w:rsidR="00452169" w:rsidRPr="00417D3B" w:rsidRDefault="00452169" w:rsidP="00452169">
      <w:pPr>
        <w:ind w:left="851" w:right="616" w:hanging="284"/>
        <w:jc w:val="both"/>
        <w:rPr>
          <w:rFonts w:ascii="Palatino Linotype" w:hAnsi="Palatino Linotype"/>
          <w:sz w:val="22"/>
        </w:rPr>
      </w:pPr>
      <w:r w:rsidRPr="00417D3B">
        <w:rPr>
          <w:rFonts w:ascii="Palatino Linotype" w:hAnsi="Palatino Linotype"/>
          <w:sz w:val="22"/>
        </w:rPr>
        <w:t>d) La afectación generada en la situación jurídica de la persona involucrada en el proceso: Violación a sus derechos humanos.</w:t>
      </w:r>
    </w:p>
    <w:p w14:paraId="3CEA25E1"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7DBBEC8C"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6E9F76"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07E83B3A"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 xml:space="preserve">Argumento que encuentra sustento en la jurisprudencia P./J. 32/92 emitida por el Pleno de la Suprema Corte de Justicia de la Nación de rubro </w:t>
      </w:r>
      <w:r w:rsidRPr="00417D3B">
        <w:rPr>
          <w:rFonts w:ascii="Palatino Linotype" w:hAnsi="Palatino Linotype"/>
          <w:i/>
        </w:rPr>
        <w:t xml:space="preserve">“TÉRMINOS PROCESALES. PARA DETERMINAR SI UN FUNCIONARIO JUDICIAL ACTUÓ INDEBIDAMENTE POR NO RESPETARLOS SE DEBE ATENDER AL </w:t>
      </w:r>
      <w:r w:rsidRPr="00417D3B">
        <w:rPr>
          <w:rFonts w:ascii="Palatino Linotype" w:hAnsi="Palatino Linotype"/>
          <w:i/>
        </w:rPr>
        <w:lastRenderedPageBreak/>
        <w:t>PRESUPUESTO QUE CONSIDERÓ EL LEGISLADOR AL FIJARLOS Y LAS CARACTERÍSTICAS DEL CASO.”</w:t>
      </w:r>
      <w:r w:rsidRPr="00417D3B">
        <w:rPr>
          <w:rFonts w:ascii="Palatino Linotype" w:hAnsi="Palatino Linotype"/>
        </w:rPr>
        <w:t>, visible en la Gaceta del Seminario Judicial de la Federación con el registro digital 205635.</w:t>
      </w:r>
    </w:p>
    <w:p w14:paraId="7334CCE0"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4BA49F0A"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76319B"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2259BB29" w14:textId="77777777"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76DE20B" w14:textId="77777777" w:rsidR="00452169" w:rsidRPr="00417D3B" w:rsidRDefault="00452169" w:rsidP="00452169">
      <w:pPr>
        <w:pStyle w:val="Prrafodelista"/>
        <w:tabs>
          <w:tab w:val="left" w:pos="426"/>
        </w:tabs>
        <w:spacing w:line="360" w:lineRule="auto"/>
        <w:ind w:left="0" w:right="49"/>
        <w:jc w:val="both"/>
        <w:rPr>
          <w:rFonts w:ascii="Palatino Linotype" w:hAnsi="Palatino Linotype" w:cs="Arial"/>
          <w:color w:val="000000" w:themeColor="text1"/>
        </w:rPr>
      </w:pPr>
    </w:p>
    <w:p w14:paraId="7D85AB24" w14:textId="78BCC272" w:rsidR="00452169" w:rsidRPr="00417D3B" w:rsidRDefault="00452169" w:rsidP="00452169">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C037A8B" w14:textId="77777777" w:rsidR="00452169" w:rsidRPr="00417D3B" w:rsidRDefault="00452169" w:rsidP="00BF5B15">
      <w:pPr>
        <w:ind w:left="567" w:right="616"/>
        <w:jc w:val="both"/>
        <w:rPr>
          <w:rFonts w:ascii="Palatino Linotype" w:hAnsi="Palatino Linotype"/>
          <w:sz w:val="22"/>
        </w:rPr>
      </w:pPr>
      <w:r w:rsidRPr="00417D3B">
        <w:rPr>
          <w:rFonts w:ascii="Palatino Linotype" w:hAnsi="Palatino Linotype"/>
          <w:i/>
          <w:sz w:val="22"/>
        </w:rPr>
        <w:t>“PLAZO RAZONABLE PARA RESOLVER. DIMENSIÓN Y EFECTOS DE ESTE CONCEPTO CUANDO SE ADUCE EXCESIVA CARGA DE TRABAJO.”</w:t>
      </w:r>
      <w:r w:rsidRPr="00417D3B">
        <w:rPr>
          <w:rFonts w:ascii="Palatino Linotype" w:hAnsi="Palatino Linotype"/>
          <w:sz w:val="22"/>
        </w:rPr>
        <w:t xml:space="preserve"> consultable en el Seminario Judicial de la Federación y su gaceta, con el registro digital 2002351.</w:t>
      </w:r>
    </w:p>
    <w:p w14:paraId="7C80E0B6" w14:textId="77777777" w:rsidR="00452169" w:rsidRPr="00417D3B" w:rsidRDefault="00452169" w:rsidP="00BF5B15">
      <w:pPr>
        <w:tabs>
          <w:tab w:val="left" w:pos="2070"/>
        </w:tabs>
        <w:ind w:left="567" w:right="616"/>
        <w:jc w:val="both"/>
        <w:rPr>
          <w:rFonts w:ascii="Palatino Linotype" w:hAnsi="Palatino Linotype"/>
          <w:b/>
          <w:sz w:val="22"/>
        </w:rPr>
      </w:pPr>
      <w:r w:rsidRPr="00417D3B">
        <w:rPr>
          <w:rFonts w:ascii="Palatino Linotype" w:hAnsi="Palatino Linotype"/>
          <w:b/>
          <w:sz w:val="22"/>
        </w:rPr>
        <w:tab/>
      </w:r>
    </w:p>
    <w:p w14:paraId="7739AB7D" w14:textId="77777777" w:rsidR="00452169" w:rsidRPr="00417D3B" w:rsidRDefault="00452169" w:rsidP="00BF5B15">
      <w:pPr>
        <w:ind w:left="567" w:right="616"/>
        <w:jc w:val="both"/>
        <w:rPr>
          <w:rFonts w:ascii="Palatino Linotype" w:hAnsi="Palatino Linotype"/>
          <w:sz w:val="22"/>
        </w:rPr>
      </w:pPr>
      <w:r w:rsidRPr="00417D3B">
        <w:rPr>
          <w:rFonts w:ascii="Palatino Linotype" w:hAnsi="Palatino Linotype"/>
          <w:i/>
          <w:sz w:val="22"/>
        </w:rPr>
        <w:lastRenderedPageBreak/>
        <w:t>“PLAZO RAZONABLE PARA RESOLVER. CONCEPTO Y ELEMENTOS QUE LO INTEGRAN A LA LUZ DEL DERECHO INTERNACIONAL DE LOS DERECHOS HUMANOS.”</w:t>
      </w:r>
      <w:r w:rsidRPr="00417D3B">
        <w:rPr>
          <w:rFonts w:ascii="Palatino Linotype" w:hAnsi="Palatino Linotype"/>
          <w:sz w:val="22"/>
        </w:rPr>
        <w:t>, visible en el Seminario Judicial de la Federación y su gaceta, con el registro digital 2002350.</w:t>
      </w:r>
    </w:p>
    <w:p w14:paraId="7A74C089" w14:textId="77777777" w:rsidR="00452169" w:rsidRPr="00417D3B" w:rsidRDefault="00452169" w:rsidP="00C109C3">
      <w:pPr>
        <w:spacing w:line="360" w:lineRule="auto"/>
        <w:rPr>
          <w:rFonts w:ascii="Palatino Linotype" w:hAnsi="Palatino Linotype"/>
        </w:rPr>
      </w:pPr>
    </w:p>
    <w:p w14:paraId="541ABEAB" w14:textId="1DD9B7E7" w:rsidR="000A71B6" w:rsidRPr="00417D3B" w:rsidRDefault="00452169" w:rsidP="000A71B6">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rPr>
        <w:t>Por ello, este Organismo Garante comprometido con la tutela de los derechos humanos confiados, señala que este exceso de plazo legal para resolver el presente asunto, resulta de carácter excepcional.</w:t>
      </w:r>
    </w:p>
    <w:p w14:paraId="7405CEC1" w14:textId="77777777" w:rsidR="000A71B6" w:rsidRPr="00417D3B" w:rsidRDefault="000A71B6" w:rsidP="000A71B6">
      <w:pPr>
        <w:pStyle w:val="Prrafodelista"/>
        <w:tabs>
          <w:tab w:val="left" w:pos="426"/>
        </w:tabs>
        <w:spacing w:line="360" w:lineRule="auto"/>
        <w:ind w:left="0" w:right="49"/>
        <w:jc w:val="both"/>
        <w:rPr>
          <w:rFonts w:ascii="Palatino Linotype" w:hAnsi="Palatino Linotype" w:cs="Arial"/>
          <w:color w:val="000000" w:themeColor="text1"/>
        </w:rPr>
      </w:pPr>
    </w:p>
    <w:p w14:paraId="384B8294" w14:textId="493357F1" w:rsidR="00EE6D29" w:rsidRPr="00417D3B" w:rsidRDefault="00A4262E" w:rsidP="00B31E90">
      <w:pPr>
        <w:pStyle w:val="Prrafodelista"/>
        <w:numPr>
          <w:ilvl w:val="0"/>
          <w:numId w:val="1"/>
        </w:numPr>
        <w:tabs>
          <w:tab w:val="left" w:pos="426"/>
        </w:tabs>
        <w:spacing w:line="360" w:lineRule="auto"/>
        <w:jc w:val="both"/>
        <w:rPr>
          <w:rFonts w:ascii="Palatino Linotype" w:hAnsi="Palatino Linotype"/>
          <w:color w:val="000000" w:themeColor="text1"/>
        </w:rPr>
      </w:pPr>
      <w:r w:rsidRPr="00417D3B">
        <w:rPr>
          <w:rFonts w:ascii="Palatino Linotype" w:eastAsia="Calibri" w:hAnsi="Palatino Linotype" w:cs="Arial"/>
          <w:color w:val="000000" w:themeColor="text1"/>
          <w:lang w:val="es-ES"/>
        </w:rPr>
        <w:t xml:space="preserve">El </w:t>
      </w:r>
      <w:r w:rsidR="00D43F2D" w:rsidRPr="00417D3B">
        <w:rPr>
          <w:rFonts w:ascii="Palatino Linotype" w:eastAsia="Calibri" w:hAnsi="Palatino Linotype" w:cs="Arial"/>
          <w:color w:val="000000" w:themeColor="text1"/>
          <w:lang w:val="es-ES"/>
        </w:rPr>
        <w:t>cinco (05) de marzo</w:t>
      </w:r>
      <w:r w:rsidR="00C109C3" w:rsidRPr="00417D3B">
        <w:rPr>
          <w:rFonts w:ascii="Palatino Linotype" w:eastAsia="Calibri" w:hAnsi="Palatino Linotype" w:cs="Arial"/>
          <w:color w:val="000000" w:themeColor="text1"/>
          <w:lang w:val="es-ES"/>
        </w:rPr>
        <w:t xml:space="preserve"> de dos mil veinticuatro</w:t>
      </w:r>
      <w:r w:rsidRPr="00417D3B">
        <w:rPr>
          <w:rFonts w:ascii="Palatino Linotype" w:hAnsi="Palatino Linotype" w:cs="Arial"/>
          <w:color w:val="000000" w:themeColor="text1"/>
        </w:rPr>
        <w:t>, la Comisionada Ponente decretó el cierre del periodo de instrucción, por lo que ordenó turnar el expediente para su resolución, misma que ahora se pronuncia.</w:t>
      </w:r>
      <w:r w:rsidR="003522BF" w:rsidRPr="00417D3B">
        <w:rPr>
          <w:rFonts w:ascii="Palatino Linotype" w:hAnsi="Palatino Linotype" w:cs="Arial"/>
          <w:color w:val="000000" w:themeColor="text1"/>
          <w:lang w:val="es-ES"/>
        </w:rPr>
        <w:t xml:space="preserve"> y ----------------------------------------</w:t>
      </w:r>
      <w:r w:rsidR="00EE6D29" w:rsidRPr="00417D3B">
        <w:rPr>
          <w:rFonts w:ascii="Palatino Linotype" w:hAnsi="Palatino Linotype" w:cs="Arial"/>
          <w:color w:val="000000" w:themeColor="text1"/>
          <w:lang w:val="es-ES"/>
        </w:rPr>
        <w:t>--------------------------------------------------------------------------------------------------------------</w:t>
      </w:r>
      <w:r w:rsidR="00D43F2D" w:rsidRPr="00417D3B">
        <w:rPr>
          <w:rFonts w:ascii="Palatino Linotype" w:hAnsi="Palatino Linotype" w:cs="Arial"/>
          <w:color w:val="000000" w:themeColor="text1"/>
          <w:lang w:val="es-ES"/>
        </w:rPr>
        <w:t>----------</w:t>
      </w:r>
    </w:p>
    <w:p w14:paraId="773A0F09" w14:textId="77777777" w:rsidR="00D43F2D" w:rsidRPr="00417D3B" w:rsidRDefault="00D43F2D" w:rsidP="00D43F2D">
      <w:pPr>
        <w:pStyle w:val="Prrafodelista"/>
        <w:rPr>
          <w:rFonts w:ascii="Palatino Linotype" w:hAnsi="Palatino Linotype"/>
          <w:color w:val="000000" w:themeColor="text1"/>
        </w:rPr>
      </w:pPr>
    </w:p>
    <w:p w14:paraId="5C872F6D" w14:textId="77777777" w:rsidR="00D43F2D" w:rsidRPr="00417D3B" w:rsidRDefault="00D43F2D" w:rsidP="00D43F2D">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417D3B" w:rsidRDefault="007C0013" w:rsidP="00B31E90">
      <w:pPr>
        <w:pStyle w:val="Ttulo1"/>
        <w:spacing w:before="0"/>
        <w:jc w:val="center"/>
        <w:rPr>
          <w:b/>
          <w:color w:val="000000" w:themeColor="text1"/>
          <w:szCs w:val="24"/>
        </w:rPr>
      </w:pPr>
      <w:bookmarkStart w:id="5" w:name="_Toc96002400"/>
      <w:r w:rsidRPr="00417D3B">
        <w:rPr>
          <w:b/>
          <w:color w:val="000000" w:themeColor="text1"/>
          <w:szCs w:val="24"/>
        </w:rPr>
        <w:t>CONSIDERANDO</w:t>
      </w:r>
      <w:bookmarkEnd w:id="3"/>
      <w:bookmarkEnd w:id="4"/>
      <w:bookmarkEnd w:id="5"/>
    </w:p>
    <w:p w14:paraId="435CF9A4" w14:textId="77777777" w:rsidR="00FC1DA7" w:rsidRPr="00417D3B" w:rsidRDefault="00FC1DA7" w:rsidP="00B31E90">
      <w:pPr>
        <w:rPr>
          <w:color w:val="000000" w:themeColor="text1"/>
          <w:lang w:eastAsia="en-US"/>
        </w:rPr>
      </w:pPr>
    </w:p>
    <w:p w14:paraId="629A5BE2" w14:textId="56C3E7D5" w:rsidR="007C0013" w:rsidRPr="00417D3B"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96002401"/>
      <w:r w:rsidRPr="00417D3B">
        <w:rPr>
          <w:rFonts w:ascii="Palatino Linotype" w:hAnsi="Palatino Linotype"/>
          <w:b/>
          <w:color w:val="000000" w:themeColor="text1"/>
          <w:sz w:val="24"/>
          <w:szCs w:val="24"/>
        </w:rPr>
        <w:t>PRIMERO. De la competencia</w:t>
      </w:r>
      <w:bookmarkEnd w:id="6"/>
      <w:bookmarkEnd w:id="7"/>
      <w:bookmarkEnd w:id="8"/>
    </w:p>
    <w:p w14:paraId="51900509" w14:textId="4D882861" w:rsidR="00D43F2D" w:rsidRPr="00417D3B" w:rsidRDefault="00D43F2D" w:rsidP="00D43F2D">
      <w:pPr>
        <w:pStyle w:val="Prrafodelista"/>
        <w:numPr>
          <w:ilvl w:val="0"/>
          <w:numId w:val="1"/>
        </w:numPr>
        <w:tabs>
          <w:tab w:val="left" w:pos="426"/>
        </w:tabs>
        <w:spacing w:line="360" w:lineRule="auto"/>
        <w:jc w:val="both"/>
        <w:rPr>
          <w:rFonts w:ascii="Palatino Linotype" w:eastAsia="Calibri" w:hAnsi="Palatino Linotype"/>
          <w:color w:val="000000" w:themeColor="text1"/>
          <w:lang w:val="es-ES"/>
        </w:rPr>
      </w:pPr>
      <w:r w:rsidRPr="00417D3B">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53DC7A1" w14:textId="5E205177" w:rsidR="00C6440A" w:rsidRPr="00417D3B"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96002402"/>
      <w:r w:rsidRPr="00417D3B">
        <w:rPr>
          <w:rFonts w:ascii="Palatino Linotype" w:hAnsi="Palatino Linotype"/>
          <w:b/>
          <w:color w:val="000000" w:themeColor="text1"/>
          <w:sz w:val="24"/>
          <w:szCs w:val="24"/>
        </w:rPr>
        <w:lastRenderedPageBreak/>
        <w:t>SEGUNDO. De la oportunidad y proced</w:t>
      </w:r>
      <w:r w:rsidR="00F35C44" w:rsidRPr="00417D3B">
        <w:rPr>
          <w:rFonts w:ascii="Palatino Linotype" w:hAnsi="Palatino Linotype"/>
          <w:b/>
          <w:color w:val="000000" w:themeColor="text1"/>
          <w:sz w:val="24"/>
          <w:szCs w:val="24"/>
        </w:rPr>
        <w:t>encia</w:t>
      </w:r>
      <w:r w:rsidRPr="00417D3B">
        <w:rPr>
          <w:rFonts w:ascii="Palatino Linotype" w:hAnsi="Palatino Linotype"/>
          <w:b/>
          <w:color w:val="000000" w:themeColor="text1"/>
          <w:sz w:val="24"/>
          <w:szCs w:val="24"/>
        </w:rPr>
        <w:t>.</w:t>
      </w:r>
      <w:bookmarkEnd w:id="9"/>
      <w:bookmarkEnd w:id="10"/>
      <w:bookmarkEnd w:id="11"/>
    </w:p>
    <w:p w14:paraId="21903286" w14:textId="163D5D57" w:rsidR="00740BA4" w:rsidRPr="00417D3B" w:rsidRDefault="003E6D0F" w:rsidP="00740BA4">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417D3B">
        <w:rPr>
          <w:rFonts w:ascii="Palatino Linotype" w:eastAsia="Calibri" w:hAnsi="Palatino Linotype" w:cs="Arial"/>
          <w:color w:val="000000" w:themeColor="text1"/>
        </w:rPr>
        <w:t xml:space="preserve">El </w:t>
      </w:r>
      <w:r w:rsidR="00740BA4" w:rsidRPr="00417D3B">
        <w:rPr>
          <w:rFonts w:ascii="Palatino Linotype" w:eastAsia="Calibri" w:hAnsi="Palatino Linotype" w:cs="Arial"/>
          <w:color w:val="000000" w:themeColor="text1"/>
        </w:rPr>
        <w:t xml:space="preserve">medio de impugnación fue presentado a través del </w:t>
      </w:r>
      <w:r w:rsidR="00740BA4" w:rsidRPr="00417D3B">
        <w:rPr>
          <w:rFonts w:ascii="Palatino Linotype" w:eastAsia="Calibri" w:hAnsi="Palatino Linotype" w:cs="Arial"/>
          <w:b/>
          <w:bCs/>
          <w:iCs/>
          <w:color w:val="000000" w:themeColor="text1"/>
        </w:rPr>
        <w:t>SAIMEX</w:t>
      </w:r>
      <w:r w:rsidR="00740BA4" w:rsidRPr="00417D3B">
        <w:rPr>
          <w:rFonts w:ascii="Palatino Linotype" w:eastAsia="Calibri" w:hAnsi="Palatino Linotype" w:cs="Arial"/>
          <w:b/>
          <w:color w:val="000000" w:themeColor="text1"/>
        </w:rPr>
        <w:t xml:space="preserve"> </w:t>
      </w:r>
      <w:r w:rsidR="00740BA4" w:rsidRPr="00417D3B">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00740BA4" w:rsidRPr="00417D3B">
        <w:rPr>
          <w:rFonts w:ascii="Palatino Linotype" w:eastAsia="Calibri" w:hAnsi="Palatino Linotype" w:cs="Arial"/>
          <w:b/>
          <w:color w:val="000000" w:themeColor="text1"/>
        </w:rPr>
        <w:t>SUJETO OBLIGADO</w:t>
      </w:r>
      <w:r w:rsidR="00740BA4" w:rsidRPr="00417D3B">
        <w:rPr>
          <w:rFonts w:ascii="Palatino Linotype" w:eastAsia="Calibri" w:hAnsi="Palatino Linotype" w:cs="Arial"/>
          <w:color w:val="000000" w:themeColor="text1"/>
        </w:rPr>
        <w:t xml:space="preserve"> entregó respuesta el </w:t>
      </w:r>
      <w:r w:rsidR="00D43F2D" w:rsidRPr="00417D3B">
        <w:rPr>
          <w:rFonts w:ascii="Palatino Linotype" w:eastAsia="Calibri" w:hAnsi="Palatino Linotype" w:cs="Arial"/>
          <w:color w:val="000000" w:themeColor="text1"/>
        </w:rPr>
        <w:t>tres (03)</w:t>
      </w:r>
      <w:r w:rsidR="00C109C3" w:rsidRPr="00417D3B">
        <w:rPr>
          <w:rFonts w:ascii="Palatino Linotype" w:eastAsia="Calibri" w:hAnsi="Palatino Linotype" w:cs="Arial"/>
          <w:color w:val="000000" w:themeColor="text1"/>
        </w:rPr>
        <w:t xml:space="preserve"> de junio </w:t>
      </w:r>
      <w:r w:rsidR="00C85A48" w:rsidRPr="00417D3B">
        <w:rPr>
          <w:rFonts w:ascii="Palatino Linotype" w:eastAsia="Calibri" w:hAnsi="Palatino Linotype" w:cs="Arial"/>
          <w:color w:val="000000" w:themeColor="text1"/>
        </w:rPr>
        <w:t>de dos mil veintidós</w:t>
      </w:r>
      <w:r w:rsidR="00740BA4" w:rsidRPr="00417D3B">
        <w:rPr>
          <w:rFonts w:ascii="Palatino Linotype" w:eastAsia="Calibri" w:hAnsi="Palatino Linotype" w:cs="Arial"/>
          <w:color w:val="000000" w:themeColor="text1"/>
        </w:rPr>
        <w:t xml:space="preserve">, de tal forma que el plazo para interponer el recurso de revisión transcurrió del </w:t>
      </w:r>
      <w:r w:rsidR="00D43F2D" w:rsidRPr="00417D3B">
        <w:rPr>
          <w:rFonts w:ascii="Palatino Linotype" w:eastAsia="Calibri" w:hAnsi="Palatino Linotype" w:cs="Arial"/>
          <w:color w:val="000000" w:themeColor="text1"/>
        </w:rPr>
        <w:t>seis (06) al veinticuatro (24) de junio</w:t>
      </w:r>
      <w:r w:rsidR="00740BA4" w:rsidRPr="00417D3B">
        <w:rPr>
          <w:rFonts w:ascii="Palatino Linotype" w:eastAsia="Calibri" w:hAnsi="Palatino Linotype" w:cs="Arial"/>
          <w:color w:val="000000" w:themeColor="text1"/>
        </w:rPr>
        <w:t xml:space="preserve"> de dos mil </w:t>
      </w:r>
      <w:r w:rsidR="00C85A48" w:rsidRPr="00417D3B">
        <w:rPr>
          <w:rFonts w:ascii="Palatino Linotype" w:eastAsia="Calibri" w:hAnsi="Palatino Linotype" w:cs="Arial"/>
          <w:color w:val="000000" w:themeColor="text1"/>
        </w:rPr>
        <w:t>veintidós</w:t>
      </w:r>
      <w:r w:rsidR="00740BA4" w:rsidRPr="00417D3B">
        <w:rPr>
          <w:rFonts w:ascii="Palatino Linotype" w:eastAsia="Calibri" w:hAnsi="Palatino Linotype" w:cs="Arial"/>
          <w:color w:val="000000" w:themeColor="text1"/>
        </w:rPr>
        <w:t>, en</w:t>
      </w:r>
      <w:r w:rsidR="00FE19DB" w:rsidRPr="00417D3B">
        <w:rPr>
          <w:rFonts w:ascii="Palatino Linotype" w:eastAsia="Calibri" w:hAnsi="Palatino Linotype" w:cs="Arial"/>
          <w:color w:val="000000" w:themeColor="text1"/>
        </w:rPr>
        <w:t xml:space="preserve"> consecuencia, </w:t>
      </w:r>
      <w:r w:rsidR="00FE19DB" w:rsidRPr="00417D3B">
        <w:rPr>
          <w:rFonts w:ascii="Palatino Linotype" w:hAnsi="Palatino Linotype" w:cs="Arial"/>
          <w:bCs/>
          <w:color w:val="000000" w:themeColor="text1"/>
        </w:rPr>
        <w:t xml:space="preserve">si la parte </w:t>
      </w:r>
      <w:r w:rsidR="00FE19DB" w:rsidRPr="00417D3B">
        <w:rPr>
          <w:rFonts w:ascii="Palatino Linotype" w:hAnsi="Palatino Linotype" w:cs="Arial"/>
          <w:b/>
          <w:color w:val="000000" w:themeColor="text1"/>
        </w:rPr>
        <w:t xml:space="preserve">RECURRENTE </w:t>
      </w:r>
      <w:r w:rsidR="00FE19DB" w:rsidRPr="00417D3B">
        <w:rPr>
          <w:rFonts w:ascii="Palatino Linotype" w:hAnsi="Palatino Linotype" w:cs="Arial"/>
          <w:bCs/>
          <w:color w:val="000000" w:themeColor="text1"/>
        </w:rPr>
        <w:t xml:space="preserve">presentó su inconformidad el </w:t>
      </w:r>
      <w:r w:rsidR="00D43F2D" w:rsidRPr="00417D3B">
        <w:rPr>
          <w:rFonts w:ascii="Palatino Linotype" w:hAnsi="Palatino Linotype" w:cs="Arial"/>
          <w:bCs/>
          <w:color w:val="000000" w:themeColor="text1"/>
        </w:rPr>
        <w:t>diecisiete (17)</w:t>
      </w:r>
      <w:r w:rsidR="00C109C3" w:rsidRPr="00417D3B">
        <w:rPr>
          <w:rFonts w:ascii="Palatino Linotype" w:hAnsi="Palatino Linotype" w:cs="Arial"/>
          <w:bCs/>
          <w:color w:val="000000" w:themeColor="text1"/>
        </w:rPr>
        <w:t xml:space="preserve"> </w:t>
      </w:r>
      <w:r w:rsidR="00FE19DB" w:rsidRPr="00417D3B">
        <w:rPr>
          <w:rFonts w:ascii="Palatino Linotype" w:hAnsi="Palatino Linotype" w:cs="Arial"/>
          <w:bCs/>
          <w:color w:val="000000" w:themeColor="text1"/>
        </w:rPr>
        <w:t>de</w:t>
      </w:r>
      <w:r w:rsidR="00F842FD" w:rsidRPr="00417D3B">
        <w:rPr>
          <w:rFonts w:ascii="Palatino Linotype" w:hAnsi="Palatino Linotype" w:cs="Arial"/>
          <w:bCs/>
          <w:color w:val="000000" w:themeColor="text1"/>
        </w:rPr>
        <w:t xml:space="preserve"> </w:t>
      </w:r>
      <w:r w:rsidR="00FB70B7" w:rsidRPr="00417D3B">
        <w:rPr>
          <w:rFonts w:ascii="Palatino Linotype" w:hAnsi="Palatino Linotype" w:cs="Arial"/>
          <w:bCs/>
          <w:color w:val="000000" w:themeColor="text1"/>
        </w:rPr>
        <w:t>junio</w:t>
      </w:r>
      <w:r w:rsidR="00FE19DB" w:rsidRPr="00417D3B">
        <w:rPr>
          <w:rFonts w:ascii="Palatino Linotype" w:hAnsi="Palatino Linotype" w:cs="Arial"/>
          <w:bCs/>
          <w:color w:val="000000" w:themeColor="text1"/>
        </w:rPr>
        <w:t xml:space="preserve"> de dos mil veintidós, se encuentra dentro de los márgenes temporales previstos en el artículo 178 de la Ley de Transparencia y Acceso a la Información Pública del Estado de México y Municipios.</w:t>
      </w:r>
    </w:p>
    <w:p w14:paraId="7B81F8C9" w14:textId="77777777" w:rsidR="00D43F2D" w:rsidRPr="00417D3B" w:rsidRDefault="00D43F2D" w:rsidP="00D43F2D">
      <w:pPr>
        <w:pStyle w:val="Prrafodelista"/>
        <w:tabs>
          <w:tab w:val="left" w:pos="426"/>
        </w:tabs>
        <w:spacing w:line="360" w:lineRule="auto"/>
        <w:ind w:left="0" w:right="49"/>
        <w:jc w:val="both"/>
        <w:rPr>
          <w:rFonts w:ascii="Palatino Linotype" w:hAnsi="Palatino Linotype" w:cs="Arial"/>
          <w:bCs/>
          <w:color w:val="000000" w:themeColor="text1"/>
        </w:rPr>
      </w:pPr>
    </w:p>
    <w:p w14:paraId="52DD5993" w14:textId="24F03837" w:rsidR="005F1362" w:rsidRPr="00417D3B"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417D3B">
        <w:rPr>
          <w:rFonts w:ascii="Palatino Linotype" w:eastAsia="Calibri" w:hAnsi="Palatino Linotype" w:cs="Arial"/>
          <w:color w:val="000000" w:themeColor="text1"/>
        </w:rPr>
        <w:t>Consecuencia</w:t>
      </w:r>
      <w:r w:rsidR="00C109C3" w:rsidRPr="00417D3B">
        <w:rPr>
          <w:rFonts w:ascii="Palatino Linotype" w:eastAsia="Calibri" w:hAnsi="Palatino Linotype" w:cs="Arial"/>
          <w:color w:val="000000" w:themeColor="text1"/>
        </w:rPr>
        <w:t>, este</w:t>
      </w:r>
      <w:r w:rsidRPr="00417D3B">
        <w:rPr>
          <w:rFonts w:ascii="Palatino Linotype" w:eastAsia="Calibri" w:hAnsi="Palatino Linotype" w:cs="Arial"/>
          <w:color w:val="000000" w:themeColor="text1"/>
        </w:rPr>
        <w:t xml:space="preserve"> </w:t>
      </w:r>
      <w:r w:rsidR="00C109C3" w:rsidRPr="00417D3B">
        <w:rPr>
          <w:rFonts w:ascii="Palatino Linotype" w:eastAsia="Calibri" w:hAnsi="Palatino Linotype" w:cs="Arial"/>
          <w:color w:val="000000" w:themeColor="text1"/>
        </w:rPr>
        <w:t>Órgano Garante</w:t>
      </w:r>
      <w:r w:rsidRPr="00417D3B">
        <w:rPr>
          <w:rFonts w:ascii="Palatino Linotype" w:eastAsia="Calibri" w:hAnsi="Palatino Linotype" w:cs="Arial"/>
          <w:color w:val="000000" w:themeColor="text1"/>
        </w:rPr>
        <w:t xml:space="preserve"> advierte que </w:t>
      </w:r>
      <w:r w:rsidR="00540208" w:rsidRPr="00417D3B">
        <w:rPr>
          <w:rFonts w:ascii="Palatino Linotype" w:eastAsia="Calibri" w:hAnsi="Palatino Linotype" w:cs="Arial"/>
          <w:color w:val="000000" w:themeColor="text1"/>
        </w:rPr>
        <w:t xml:space="preserve">el escrito contiene las formalidades previstas por el artículo 180 último párrafo de la Ley </w:t>
      </w:r>
      <w:r w:rsidR="004911B6" w:rsidRPr="00417D3B">
        <w:rPr>
          <w:rFonts w:ascii="Palatino Linotype" w:eastAsia="Calibri" w:hAnsi="Palatino Linotype" w:cs="Arial"/>
          <w:color w:val="000000" w:themeColor="text1"/>
        </w:rPr>
        <w:t>de Transparencia y Acceso a la Información Pública del Estado de México y Municipios</w:t>
      </w:r>
      <w:r w:rsidR="00540208" w:rsidRPr="00417D3B">
        <w:rPr>
          <w:rFonts w:ascii="Palatino Linotype" w:eastAsia="Calibri" w:hAnsi="Palatino Linotype" w:cs="Arial"/>
          <w:color w:val="000000" w:themeColor="text1"/>
        </w:rPr>
        <w:t xml:space="preserve">, por lo que es procedente que </w:t>
      </w:r>
      <w:r w:rsidR="004911B6" w:rsidRPr="00417D3B">
        <w:rPr>
          <w:rFonts w:ascii="Palatino Linotype" w:eastAsia="Calibri" w:hAnsi="Palatino Linotype" w:cs="Arial"/>
          <w:color w:val="000000" w:themeColor="text1"/>
        </w:rPr>
        <w:t>e</w:t>
      </w:r>
      <w:r w:rsidR="00540208" w:rsidRPr="00417D3B">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567545DB" w14:textId="77777777" w:rsidR="00A339DE" w:rsidRPr="00417D3B" w:rsidRDefault="00A339DE" w:rsidP="00A339DE">
      <w:pPr>
        <w:pStyle w:val="Prrafodelista"/>
        <w:tabs>
          <w:tab w:val="left" w:pos="426"/>
        </w:tabs>
        <w:spacing w:line="360" w:lineRule="auto"/>
        <w:ind w:left="0" w:right="49"/>
        <w:jc w:val="both"/>
        <w:rPr>
          <w:rFonts w:ascii="Palatino Linotype" w:hAnsi="Palatino Linotype" w:cs="Arial"/>
          <w:color w:val="000000" w:themeColor="text1"/>
        </w:rPr>
      </w:pPr>
      <w:bookmarkStart w:id="12" w:name="_Toc459174366"/>
      <w:bookmarkStart w:id="13" w:name="_Toc459659884"/>
      <w:bookmarkStart w:id="14" w:name="_Toc461687280"/>
      <w:bookmarkStart w:id="15" w:name="_Toc462771051"/>
      <w:bookmarkStart w:id="16" w:name="_Toc464139201"/>
    </w:p>
    <w:p w14:paraId="779C8BA9" w14:textId="4EA03B09" w:rsidR="00AB2CAA" w:rsidRPr="00417D3B" w:rsidRDefault="00452169" w:rsidP="00AB2CAA">
      <w:pPr>
        <w:pStyle w:val="Ttulo2"/>
        <w:spacing w:before="0"/>
        <w:rPr>
          <w:rFonts w:ascii="Palatino Linotype" w:hAnsi="Palatino Linotype"/>
          <w:b/>
          <w:color w:val="000000" w:themeColor="text1"/>
          <w:sz w:val="24"/>
          <w:szCs w:val="24"/>
        </w:rPr>
      </w:pPr>
      <w:r w:rsidRPr="00417D3B">
        <w:rPr>
          <w:rFonts w:ascii="Palatino Linotype" w:hAnsi="Palatino Linotype"/>
          <w:b/>
          <w:color w:val="000000" w:themeColor="text1"/>
          <w:sz w:val="24"/>
          <w:szCs w:val="24"/>
        </w:rPr>
        <w:t>TERCERO</w:t>
      </w:r>
      <w:r w:rsidR="00AB2CAA" w:rsidRPr="00417D3B">
        <w:rPr>
          <w:rFonts w:ascii="Palatino Linotype" w:hAnsi="Palatino Linotype"/>
          <w:b/>
          <w:color w:val="000000" w:themeColor="text1"/>
          <w:sz w:val="24"/>
          <w:szCs w:val="24"/>
        </w:rPr>
        <w:t xml:space="preserve">. Del planteamiento de la </w:t>
      </w:r>
      <w:r w:rsidR="00AB2CAA" w:rsidRPr="00417D3B">
        <w:rPr>
          <w:rFonts w:ascii="Palatino Linotype" w:hAnsi="Palatino Linotype"/>
          <w:b/>
          <w:i/>
          <w:color w:val="000000" w:themeColor="text1"/>
          <w:sz w:val="24"/>
          <w:szCs w:val="24"/>
        </w:rPr>
        <w:t>Litis</w:t>
      </w:r>
      <w:r w:rsidR="00AB2CAA" w:rsidRPr="00417D3B">
        <w:rPr>
          <w:rFonts w:ascii="Palatino Linotype" w:hAnsi="Palatino Linotype"/>
          <w:b/>
          <w:color w:val="000000" w:themeColor="text1"/>
          <w:sz w:val="24"/>
          <w:szCs w:val="24"/>
        </w:rPr>
        <w:t>.</w:t>
      </w:r>
    </w:p>
    <w:p w14:paraId="18934043" w14:textId="0E5A45EF" w:rsidR="00D16AE4" w:rsidRPr="00417D3B" w:rsidRDefault="00F46B41" w:rsidP="00D16AE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cs="Arial"/>
          <w:color w:val="000000" w:themeColor="text1"/>
        </w:rPr>
        <w:t xml:space="preserve">Se requirió </w:t>
      </w:r>
      <w:r w:rsidR="00667F62" w:rsidRPr="00417D3B">
        <w:rPr>
          <w:rFonts w:ascii="Palatino Linotype" w:hAnsi="Palatino Linotype" w:cs="Arial"/>
          <w:color w:val="000000" w:themeColor="text1"/>
        </w:rPr>
        <w:t>obtener</w:t>
      </w:r>
      <w:r w:rsidR="007E6DA4" w:rsidRPr="00417D3B">
        <w:rPr>
          <w:rFonts w:ascii="Palatino Linotype" w:hAnsi="Palatino Linotype" w:cs="Arial"/>
          <w:color w:val="000000" w:themeColor="text1"/>
        </w:rPr>
        <w:t xml:space="preserve"> </w:t>
      </w:r>
      <w:r w:rsidR="00D16AE4" w:rsidRPr="00417D3B">
        <w:rPr>
          <w:rFonts w:ascii="Palatino Linotype" w:hAnsi="Palatino Linotype" w:cs="Arial"/>
          <w:color w:val="000000" w:themeColor="text1"/>
        </w:rPr>
        <w:t xml:space="preserve">el </w:t>
      </w:r>
      <w:r w:rsidR="00D16AE4" w:rsidRPr="00417D3B">
        <w:rPr>
          <w:rFonts w:ascii="Palatino Linotype" w:hAnsi="Palatino Linotype"/>
        </w:rPr>
        <w:t>o los documentos donde conste la incidencia delictiva y/o incidencia de faltas administrativas -tipo de incidente o evento, hora, fecha, lugar, ubicación, coordenadas geográficas-, del periodo comprendido del u</w:t>
      </w:r>
      <w:r w:rsidR="00D43F2D" w:rsidRPr="00417D3B">
        <w:rPr>
          <w:rFonts w:ascii="Palatino Linotype" w:hAnsi="Palatino Linotype"/>
        </w:rPr>
        <w:t>no de enero de dos mil diez</w:t>
      </w:r>
      <w:r w:rsidR="00D16AE4" w:rsidRPr="00417D3B">
        <w:rPr>
          <w:rFonts w:ascii="Palatino Linotype" w:hAnsi="Palatino Linotype"/>
        </w:rPr>
        <w:t xml:space="preserve"> al </w:t>
      </w:r>
      <w:r w:rsidR="00D43F2D" w:rsidRPr="00417D3B">
        <w:rPr>
          <w:rFonts w:ascii="Palatino Linotype" w:hAnsi="Palatino Linotype"/>
        </w:rPr>
        <w:t xml:space="preserve">veinte </w:t>
      </w:r>
      <w:r w:rsidR="00D16AE4" w:rsidRPr="00417D3B">
        <w:rPr>
          <w:rFonts w:ascii="Palatino Linotype" w:hAnsi="Palatino Linotype"/>
        </w:rPr>
        <w:t xml:space="preserve">de mayo de dos mil veintidós. </w:t>
      </w:r>
    </w:p>
    <w:p w14:paraId="5FFA18B8" w14:textId="77777777" w:rsidR="00D16AE4" w:rsidRPr="00417D3B" w:rsidRDefault="00D16AE4" w:rsidP="00D16AE4">
      <w:pPr>
        <w:tabs>
          <w:tab w:val="left" w:pos="426"/>
        </w:tabs>
        <w:spacing w:line="360" w:lineRule="auto"/>
        <w:ind w:right="49"/>
        <w:jc w:val="both"/>
        <w:rPr>
          <w:rFonts w:ascii="Palatino Linotype" w:hAnsi="Palatino Linotype" w:cs="Arial"/>
          <w:color w:val="000000" w:themeColor="text1"/>
        </w:rPr>
      </w:pPr>
    </w:p>
    <w:p w14:paraId="72CB1D82" w14:textId="3D1D7E76" w:rsidR="00B6049C" w:rsidRPr="00417D3B" w:rsidRDefault="006F500E" w:rsidP="007E6DA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cs="Arial"/>
          <w:color w:val="000000" w:themeColor="text1"/>
        </w:rPr>
        <w:t>E</w:t>
      </w:r>
      <w:r w:rsidR="0088643C" w:rsidRPr="00417D3B">
        <w:rPr>
          <w:rFonts w:ascii="Palatino Linotype" w:hAnsi="Palatino Linotype" w:cs="Arial"/>
          <w:color w:val="000000" w:themeColor="text1"/>
        </w:rPr>
        <w:t xml:space="preserve">n este sentido, el </w:t>
      </w:r>
      <w:r w:rsidR="00E36C79" w:rsidRPr="00417D3B">
        <w:rPr>
          <w:rFonts w:ascii="Palatino Linotype" w:hAnsi="Palatino Linotype" w:cs="Arial"/>
          <w:b/>
          <w:color w:val="000000" w:themeColor="text1"/>
        </w:rPr>
        <w:t>SUJETO OBLIGADO</w:t>
      </w:r>
      <w:r w:rsidRPr="00417D3B">
        <w:rPr>
          <w:rFonts w:ascii="Palatino Linotype" w:hAnsi="Palatino Linotype" w:cs="Arial"/>
          <w:bCs/>
          <w:color w:val="000000" w:themeColor="text1"/>
        </w:rPr>
        <w:t xml:space="preserve"> </w:t>
      </w:r>
      <w:r w:rsidR="00B6049C" w:rsidRPr="00417D3B">
        <w:rPr>
          <w:rFonts w:ascii="Palatino Linotype" w:hAnsi="Palatino Linotype" w:cs="Arial"/>
          <w:bCs/>
          <w:color w:val="000000" w:themeColor="text1"/>
        </w:rPr>
        <w:t xml:space="preserve">por medio del Comisario de Seguridad Pública Municipal, refirió que </w:t>
      </w:r>
      <w:r w:rsidR="00B6049C" w:rsidRPr="00417D3B">
        <w:rPr>
          <w:rFonts w:ascii="Palatino Linotype" w:hAnsi="Palatino Linotype"/>
        </w:rPr>
        <w:t xml:space="preserve">la información contenida en el informe </w:t>
      </w:r>
      <w:r w:rsidR="00B6049C" w:rsidRPr="00417D3B">
        <w:rPr>
          <w:rFonts w:ascii="Palatino Linotype" w:hAnsi="Palatino Linotype"/>
        </w:rPr>
        <w:lastRenderedPageBreak/>
        <w:t xml:space="preserve">policial homologado, es </w:t>
      </w:r>
      <w:r w:rsidR="00D43F2D" w:rsidRPr="00417D3B">
        <w:rPr>
          <w:rFonts w:ascii="Palatino Linotype" w:hAnsi="Palatino Linotype"/>
        </w:rPr>
        <w:t xml:space="preserve">considerada </w:t>
      </w:r>
      <w:r w:rsidR="00B6049C" w:rsidRPr="00417D3B">
        <w:rPr>
          <w:rFonts w:ascii="Palatino Linotype" w:hAnsi="Palatino Linotype"/>
        </w:rPr>
        <w:t>reservada, por lo cual, solicitó su clasificación al Comité de Transpa</w:t>
      </w:r>
      <w:r w:rsidR="00D43F2D" w:rsidRPr="00417D3B">
        <w:rPr>
          <w:rFonts w:ascii="Palatino Linotype" w:hAnsi="Palatino Linotype"/>
        </w:rPr>
        <w:t>rencia del Ayuntamiento de Tianguistenco</w:t>
      </w:r>
      <w:r w:rsidR="00B6049C" w:rsidRPr="00417D3B">
        <w:rPr>
          <w:rFonts w:ascii="Palatino Linotype" w:hAnsi="Palatino Linotype"/>
        </w:rPr>
        <w:t>.</w:t>
      </w:r>
    </w:p>
    <w:p w14:paraId="5C6B0A67" w14:textId="77777777" w:rsidR="00B665B2" w:rsidRPr="00417D3B" w:rsidRDefault="00B665B2" w:rsidP="007E6DA4">
      <w:pPr>
        <w:pStyle w:val="Prrafodelista"/>
        <w:tabs>
          <w:tab w:val="left" w:pos="426"/>
        </w:tabs>
        <w:spacing w:line="360" w:lineRule="auto"/>
        <w:ind w:left="0" w:right="49"/>
        <w:jc w:val="both"/>
        <w:rPr>
          <w:rFonts w:ascii="Palatino Linotype" w:hAnsi="Palatino Linotype" w:cs="Arial"/>
          <w:color w:val="000000" w:themeColor="text1"/>
        </w:rPr>
      </w:pPr>
    </w:p>
    <w:p w14:paraId="5A315F66" w14:textId="23286077" w:rsidR="00F46B41" w:rsidRPr="00417D3B" w:rsidRDefault="007E6DA4" w:rsidP="00AF31F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cs="Arial"/>
          <w:color w:val="000000" w:themeColor="text1"/>
        </w:rPr>
        <w:t>El</w:t>
      </w:r>
      <w:r w:rsidR="00826F38" w:rsidRPr="00417D3B">
        <w:rPr>
          <w:rFonts w:ascii="Palatino Linotype" w:hAnsi="Palatino Linotype" w:cs="Arial"/>
          <w:color w:val="000000" w:themeColor="text1"/>
        </w:rPr>
        <w:t xml:space="preserve"> </w:t>
      </w:r>
      <w:r w:rsidR="00B6049C" w:rsidRPr="00417D3B">
        <w:rPr>
          <w:rFonts w:ascii="Palatino Linotype" w:hAnsi="Palatino Linotype" w:cs="Arial"/>
          <w:b/>
          <w:color w:val="000000" w:themeColor="text1"/>
        </w:rPr>
        <w:t>RECURRENTE</w:t>
      </w:r>
      <w:r w:rsidR="00826F38" w:rsidRPr="00417D3B">
        <w:rPr>
          <w:rFonts w:ascii="Palatino Linotype" w:hAnsi="Palatino Linotype" w:cs="Arial"/>
          <w:color w:val="000000" w:themeColor="text1"/>
        </w:rPr>
        <w:t xml:space="preserve"> impugnó </w:t>
      </w:r>
      <w:r w:rsidR="006A2EFB" w:rsidRPr="00417D3B">
        <w:rPr>
          <w:rFonts w:ascii="Palatino Linotype" w:hAnsi="Palatino Linotype" w:cs="Arial"/>
          <w:color w:val="000000" w:themeColor="text1"/>
        </w:rPr>
        <w:t>la respuesta</w:t>
      </w:r>
      <w:r w:rsidR="00826F38" w:rsidRPr="00417D3B">
        <w:rPr>
          <w:rFonts w:ascii="Palatino Linotype" w:hAnsi="Palatino Linotype" w:cs="Arial"/>
          <w:color w:val="000000" w:themeColor="text1"/>
        </w:rPr>
        <w:t xml:space="preserve"> mediante recurso de revisión, </w:t>
      </w:r>
      <w:r w:rsidR="006A2EFB" w:rsidRPr="00417D3B">
        <w:rPr>
          <w:rFonts w:ascii="Palatino Linotype" w:hAnsi="Palatino Linotype" w:cs="Arial"/>
          <w:color w:val="000000" w:themeColor="text1"/>
        </w:rPr>
        <w:t xml:space="preserve">en el que </w:t>
      </w:r>
      <w:r w:rsidR="0088643C" w:rsidRPr="00417D3B">
        <w:rPr>
          <w:rFonts w:ascii="Palatino Linotype" w:hAnsi="Palatino Linotype" w:cs="Arial"/>
          <w:color w:val="000000" w:themeColor="text1"/>
        </w:rPr>
        <w:t xml:space="preserve">se inconformó por </w:t>
      </w:r>
      <w:r w:rsidR="00B6049C" w:rsidRPr="00417D3B">
        <w:rPr>
          <w:rFonts w:ascii="Palatino Linotype" w:hAnsi="Palatino Linotype" w:cs="Arial"/>
          <w:color w:val="000000" w:themeColor="text1"/>
        </w:rPr>
        <w:t>la clasificación de la información solicitada.</w:t>
      </w:r>
    </w:p>
    <w:p w14:paraId="026A3A70" w14:textId="77777777" w:rsidR="00197091" w:rsidRPr="00417D3B"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6B99B9A7" w:rsidR="00AD76A1" w:rsidRPr="00417D3B"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417D3B">
        <w:rPr>
          <w:rFonts w:ascii="Palatino Linotype" w:hAnsi="Palatino Linotype" w:cs="Arial"/>
          <w:color w:val="000000" w:themeColor="text1"/>
        </w:rPr>
        <w:t xml:space="preserve">Por lo anterior, la </w:t>
      </w:r>
      <w:r w:rsidRPr="00417D3B">
        <w:rPr>
          <w:rFonts w:ascii="Palatino Linotype" w:hAnsi="Palatino Linotype" w:cs="Arial"/>
          <w:i/>
          <w:color w:val="000000" w:themeColor="text1"/>
        </w:rPr>
        <w:t>Litis</w:t>
      </w:r>
      <w:r w:rsidRPr="00417D3B">
        <w:rPr>
          <w:rFonts w:ascii="Palatino Linotype" w:hAnsi="Palatino Linotype" w:cs="Arial"/>
          <w:color w:val="000000" w:themeColor="text1"/>
        </w:rPr>
        <w:t xml:space="preserve"> a resolver en el presente recurso se circunscribe en determinar si</w:t>
      </w:r>
      <w:r w:rsidR="002C6561" w:rsidRPr="00417D3B">
        <w:rPr>
          <w:rFonts w:ascii="Palatino Linotype" w:hAnsi="Palatino Linotype" w:cs="Arial"/>
          <w:color w:val="000000" w:themeColor="text1"/>
        </w:rPr>
        <w:t xml:space="preserve"> </w:t>
      </w:r>
      <w:r w:rsidR="00F2227E" w:rsidRPr="00417D3B">
        <w:rPr>
          <w:rFonts w:ascii="Palatino Linotype" w:hAnsi="Palatino Linotype" w:cs="Arial"/>
          <w:color w:val="000000" w:themeColor="text1"/>
        </w:rPr>
        <w:t xml:space="preserve">la respuesta </w:t>
      </w:r>
      <w:r w:rsidR="004B0EB6" w:rsidRPr="00417D3B">
        <w:rPr>
          <w:rFonts w:ascii="Palatino Linotype" w:hAnsi="Palatino Linotype" w:cs="Arial"/>
          <w:color w:val="000000" w:themeColor="text1"/>
        </w:rPr>
        <w:t>del</w:t>
      </w:r>
      <w:r w:rsidR="002C6561" w:rsidRPr="00417D3B">
        <w:rPr>
          <w:rFonts w:ascii="Palatino Linotype" w:hAnsi="Palatino Linotype" w:cs="Arial"/>
          <w:color w:val="000000" w:themeColor="text1"/>
        </w:rPr>
        <w:t xml:space="preserve"> </w:t>
      </w:r>
      <w:r w:rsidR="002C6561" w:rsidRPr="00417D3B">
        <w:rPr>
          <w:rFonts w:ascii="Palatino Linotype" w:hAnsi="Palatino Linotype" w:cs="Arial"/>
          <w:b/>
          <w:bCs/>
          <w:color w:val="000000" w:themeColor="text1"/>
        </w:rPr>
        <w:t>SUJETO OBLIGADO</w:t>
      </w:r>
      <w:r w:rsidR="002C6561" w:rsidRPr="00417D3B">
        <w:rPr>
          <w:rFonts w:ascii="Palatino Linotype" w:hAnsi="Palatino Linotype" w:cs="Arial"/>
          <w:color w:val="000000" w:themeColor="text1"/>
        </w:rPr>
        <w:t xml:space="preserve"> </w:t>
      </w:r>
      <w:r w:rsidR="004B0EB6" w:rsidRPr="00417D3B">
        <w:rPr>
          <w:rFonts w:ascii="Palatino Linotype" w:hAnsi="Palatino Linotype" w:cs="Arial"/>
          <w:color w:val="000000" w:themeColor="text1"/>
        </w:rPr>
        <w:t xml:space="preserve">colma el derecho de acceso a la información ejercido por </w:t>
      </w:r>
      <w:r w:rsidR="00EB0909" w:rsidRPr="00417D3B">
        <w:rPr>
          <w:rFonts w:ascii="Palatino Linotype" w:hAnsi="Palatino Linotype" w:cs="Arial"/>
          <w:color w:val="000000" w:themeColor="text1"/>
        </w:rPr>
        <w:t>el</w:t>
      </w:r>
      <w:r w:rsidR="004B0EB6" w:rsidRPr="00417D3B">
        <w:rPr>
          <w:rFonts w:ascii="Palatino Linotype" w:hAnsi="Palatino Linotype" w:cs="Arial"/>
          <w:color w:val="000000" w:themeColor="text1"/>
        </w:rPr>
        <w:t xml:space="preserve"> </w:t>
      </w:r>
      <w:r w:rsidR="004B0EB6" w:rsidRPr="00417D3B">
        <w:rPr>
          <w:rFonts w:ascii="Palatino Linotype" w:hAnsi="Palatino Linotype" w:cs="Arial"/>
          <w:b/>
          <w:bCs/>
          <w:color w:val="000000" w:themeColor="text1"/>
        </w:rPr>
        <w:t>RECURRENTE</w:t>
      </w:r>
      <w:r w:rsidR="002C6561" w:rsidRPr="00417D3B">
        <w:rPr>
          <w:rFonts w:ascii="Palatino Linotype" w:hAnsi="Palatino Linotype" w:cs="Arial"/>
          <w:color w:val="000000" w:themeColor="text1"/>
        </w:rPr>
        <w:t>; o</w:t>
      </w:r>
      <w:r w:rsidR="00F2227E" w:rsidRPr="00417D3B">
        <w:rPr>
          <w:rFonts w:ascii="Palatino Linotype" w:hAnsi="Palatino Linotype" w:cs="Arial"/>
          <w:color w:val="000000" w:themeColor="text1"/>
        </w:rPr>
        <w:t>,</w:t>
      </w:r>
      <w:r w:rsidR="002C6561" w:rsidRPr="00417D3B">
        <w:rPr>
          <w:rFonts w:ascii="Palatino Linotype" w:hAnsi="Palatino Linotype" w:cs="Arial"/>
          <w:color w:val="000000" w:themeColor="text1"/>
        </w:rPr>
        <w:t xml:space="preserve"> si por el contrario, se</w:t>
      </w:r>
      <w:r w:rsidR="00E32652" w:rsidRPr="00417D3B">
        <w:rPr>
          <w:rFonts w:ascii="Palatino Linotype" w:hAnsi="Palatino Linotype" w:cs="Arial"/>
          <w:color w:val="000000" w:themeColor="text1"/>
        </w:rPr>
        <w:t xml:space="preserve"> </w:t>
      </w:r>
      <w:r w:rsidR="0028248C" w:rsidRPr="00417D3B">
        <w:rPr>
          <w:rFonts w:ascii="Palatino Linotype" w:hAnsi="Palatino Linotype"/>
          <w:color w:val="000000" w:themeColor="text1"/>
        </w:rPr>
        <w:t>actualiza</w:t>
      </w:r>
      <w:r w:rsidR="00C51671" w:rsidRPr="00417D3B">
        <w:rPr>
          <w:rFonts w:ascii="Palatino Linotype" w:hAnsi="Palatino Linotype"/>
          <w:color w:val="000000" w:themeColor="text1"/>
        </w:rPr>
        <w:t>n</w:t>
      </w:r>
      <w:r w:rsidR="0028248C" w:rsidRPr="00417D3B">
        <w:rPr>
          <w:rFonts w:ascii="Palatino Linotype" w:hAnsi="Palatino Linotype"/>
          <w:color w:val="000000" w:themeColor="text1"/>
        </w:rPr>
        <w:t xml:space="preserve"> la</w:t>
      </w:r>
      <w:r w:rsidR="00C51671" w:rsidRPr="00417D3B">
        <w:rPr>
          <w:rFonts w:ascii="Palatino Linotype" w:hAnsi="Palatino Linotype"/>
          <w:color w:val="000000" w:themeColor="text1"/>
        </w:rPr>
        <w:t>s</w:t>
      </w:r>
      <w:r w:rsidR="0028248C" w:rsidRPr="00417D3B">
        <w:rPr>
          <w:rFonts w:ascii="Palatino Linotype" w:hAnsi="Palatino Linotype"/>
          <w:color w:val="000000" w:themeColor="text1"/>
        </w:rPr>
        <w:t xml:space="preserve"> causal</w:t>
      </w:r>
      <w:r w:rsidR="00C51671" w:rsidRPr="00417D3B">
        <w:rPr>
          <w:rFonts w:ascii="Palatino Linotype" w:hAnsi="Palatino Linotype"/>
          <w:color w:val="000000" w:themeColor="text1"/>
        </w:rPr>
        <w:t>es</w:t>
      </w:r>
      <w:r w:rsidR="0028248C" w:rsidRPr="00417D3B">
        <w:rPr>
          <w:rFonts w:ascii="Palatino Linotype" w:hAnsi="Palatino Linotype"/>
          <w:color w:val="000000" w:themeColor="text1"/>
        </w:rPr>
        <w:t xml:space="preserve"> de procedencia</w:t>
      </w:r>
      <w:r w:rsidR="00E66A80" w:rsidRPr="00417D3B">
        <w:rPr>
          <w:rFonts w:ascii="Palatino Linotype" w:hAnsi="Palatino Linotype" w:cs="Arial"/>
          <w:color w:val="000000" w:themeColor="text1"/>
        </w:rPr>
        <w:t xml:space="preserve"> del recurso de revisión establecida</w:t>
      </w:r>
      <w:r w:rsidR="00C51671" w:rsidRPr="00417D3B">
        <w:rPr>
          <w:rFonts w:ascii="Palatino Linotype" w:hAnsi="Palatino Linotype" w:cs="Arial"/>
          <w:color w:val="000000" w:themeColor="text1"/>
        </w:rPr>
        <w:t>s</w:t>
      </w:r>
      <w:r w:rsidR="00E66A80" w:rsidRPr="00417D3B">
        <w:rPr>
          <w:rFonts w:ascii="Palatino Linotype" w:hAnsi="Palatino Linotype" w:cs="Arial"/>
          <w:color w:val="000000" w:themeColor="text1"/>
        </w:rPr>
        <w:t xml:space="preserve"> en el artículo 179 </w:t>
      </w:r>
      <w:r w:rsidR="00B6049C" w:rsidRPr="00417D3B">
        <w:rPr>
          <w:rFonts w:ascii="Palatino Linotype" w:hAnsi="Palatino Linotype" w:cs="Arial"/>
          <w:color w:val="000000" w:themeColor="text1"/>
        </w:rPr>
        <w:t>fracción</w:t>
      </w:r>
      <w:r w:rsidR="00E66A80" w:rsidRPr="00417D3B">
        <w:rPr>
          <w:rFonts w:ascii="Palatino Linotype" w:hAnsi="Palatino Linotype" w:cs="Arial"/>
          <w:color w:val="000000" w:themeColor="text1"/>
        </w:rPr>
        <w:t xml:space="preserve"> </w:t>
      </w:r>
      <w:r w:rsidR="002C6561" w:rsidRPr="00417D3B">
        <w:rPr>
          <w:rFonts w:ascii="Palatino Linotype" w:hAnsi="Palatino Linotype" w:cs="Arial"/>
          <w:color w:val="000000" w:themeColor="text1"/>
        </w:rPr>
        <w:t>I</w:t>
      </w:r>
      <w:r w:rsidR="00B6049C" w:rsidRPr="00417D3B">
        <w:rPr>
          <w:rFonts w:ascii="Palatino Linotype" w:hAnsi="Palatino Linotype" w:cs="Arial"/>
          <w:color w:val="000000" w:themeColor="text1"/>
        </w:rPr>
        <w:t xml:space="preserve"> y</w:t>
      </w:r>
      <w:r w:rsidR="00EB0909" w:rsidRPr="00417D3B">
        <w:rPr>
          <w:rFonts w:ascii="Palatino Linotype" w:hAnsi="Palatino Linotype" w:cs="Arial"/>
          <w:color w:val="000000" w:themeColor="text1"/>
        </w:rPr>
        <w:t xml:space="preserve"> </w:t>
      </w:r>
      <w:r w:rsidR="00B6049C" w:rsidRPr="00417D3B">
        <w:rPr>
          <w:rFonts w:ascii="Palatino Linotype" w:hAnsi="Palatino Linotype" w:cs="Arial"/>
          <w:color w:val="000000" w:themeColor="text1"/>
        </w:rPr>
        <w:t>II</w:t>
      </w:r>
      <w:r w:rsidR="009F3A10" w:rsidRPr="00417D3B">
        <w:rPr>
          <w:rFonts w:ascii="Palatino Linotype" w:hAnsi="Palatino Linotype" w:cs="Arial"/>
          <w:color w:val="000000" w:themeColor="text1"/>
        </w:rPr>
        <w:t xml:space="preserve"> </w:t>
      </w:r>
      <w:r w:rsidR="00E66A80" w:rsidRPr="00417D3B">
        <w:rPr>
          <w:rFonts w:ascii="Palatino Linotype" w:hAnsi="Palatino Linotype" w:cs="Arial"/>
          <w:color w:val="000000" w:themeColor="text1"/>
        </w:rPr>
        <w:t>de la Ley de Transparencia y Acceso a la Información Pública del Estado de México y Municipios, que se transcribe</w:t>
      </w:r>
      <w:r w:rsidR="00C51671" w:rsidRPr="00417D3B">
        <w:rPr>
          <w:rFonts w:ascii="Palatino Linotype" w:hAnsi="Palatino Linotype" w:cs="Arial"/>
          <w:color w:val="000000" w:themeColor="text1"/>
        </w:rPr>
        <w:t>n</w:t>
      </w:r>
      <w:r w:rsidR="00E66A80" w:rsidRPr="00417D3B">
        <w:rPr>
          <w:rFonts w:ascii="Palatino Linotype" w:hAnsi="Palatino Linotype" w:cs="Arial"/>
          <w:color w:val="000000" w:themeColor="text1"/>
        </w:rPr>
        <w:t xml:space="preserve"> a continuación:</w:t>
      </w:r>
    </w:p>
    <w:p w14:paraId="694942AF" w14:textId="62D2F7A9" w:rsidR="00AD76A1" w:rsidRPr="00417D3B" w:rsidRDefault="00E66A80" w:rsidP="00A339DE">
      <w:pPr>
        <w:pStyle w:val="Sinespaciado"/>
        <w:tabs>
          <w:tab w:val="left" w:pos="426"/>
        </w:tabs>
        <w:ind w:left="851" w:right="567"/>
        <w:jc w:val="both"/>
        <w:rPr>
          <w:rFonts w:ascii="Palatino Linotype" w:hAnsi="Palatino Linotype"/>
          <w:i/>
          <w:color w:val="000000" w:themeColor="text1"/>
          <w:sz w:val="22"/>
        </w:rPr>
      </w:pPr>
      <w:r w:rsidRPr="00417D3B">
        <w:rPr>
          <w:rFonts w:ascii="Palatino Linotype" w:hAnsi="Palatino Linotype"/>
          <w:i/>
          <w:color w:val="000000" w:themeColor="text1"/>
          <w:sz w:val="22"/>
        </w:rPr>
        <w:t>“</w:t>
      </w:r>
      <w:r w:rsidRPr="00417D3B">
        <w:rPr>
          <w:rFonts w:ascii="Palatino Linotype" w:hAnsi="Palatino Linotype"/>
          <w:b/>
          <w:i/>
          <w:color w:val="000000" w:themeColor="text1"/>
          <w:sz w:val="22"/>
        </w:rPr>
        <w:t>Artículo 179.</w:t>
      </w:r>
      <w:r w:rsidRPr="00417D3B">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34DC33E5" w14:textId="6743AE97" w:rsidR="008F7752" w:rsidRPr="00417D3B" w:rsidRDefault="00515DEC" w:rsidP="00A339DE">
      <w:pPr>
        <w:pStyle w:val="Sinespaciado"/>
        <w:tabs>
          <w:tab w:val="left" w:pos="426"/>
        </w:tabs>
        <w:ind w:left="851" w:right="567"/>
        <w:jc w:val="both"/>
        <w:rPr>
          <w:rFonts w:ascii="Palatino Linotype" w:hAnsi="Palatino Linotype"/>
          <w:i/>
          <w:color w:val="000000" w:themeColor="text1"/>
          <w:sz w:val="22"/>
        </w:rPr>
      </w:pPr>
      <w:r w:rsidRPr="00417D3B">
        <w:rPr>
          <w:rFonts w:ascii="Palatino Linotype" w:hAnsi="Palatino Linotype"/>
          <w:i/>
          <w:color w:val="000000" w:themeColor="text1"/>
          <w:sz w:val="22"/>
        </w:rPr>
        <w:t>(…)</w:t>
      </w:r>
    </w:p>
    <w:p w14:paraId="42FB990E" w14:textId="15B17148" w:rsidR="00457FBC" w:rsidRPr="00417D3B" w:rsidRDefault="00457FBC" w:rsidP="00A339DE">
      <w:pPr>
        <w:pStyle w:val="Sinespaciado"/>
        <w:tabs>
          <w:tab w:val="left" w:pos="426"/>
        </w:tabs>
        <w:ind w:left="851" w:right="567"/>
        <w:jc w:val="both"/>
        <w:rPr>
          <w:rFonts w:ascii="Palatino Linotype" w:hAnsi="Palatino Linotype"/>
          <w:b/>
          <w:bCs/>
          <w:i/>
          <w:color w:val="000000" w:themeColor="text1"/>
          <w:sz w:val="22"/>
          <w:lang w:val="es-MX"/>
        </w:rPr>
      </w:pPr>
      <w:r w:rsidRPr="00417D3B">
        <w:rPr>
          <w:rFonts w:ascii="Palatino Linotype" w:hAnsi="Palatino Linotype"/>
          <w:b/>
          <w:bCs/>
          <w:i/>
          <w:color w:val="000000" w:themeColor="text1"/>
          <w:sz w:val="22"/>
          <w:lang w:val="es-MX"/>
        </w:rPr>
        <w:t>I</w:t>
      </w:r>
      <w:r w:rsidR="009F3A10" w:rsidRPr="00417D3B">
        <w:rPr>
          <w:rFonts w:ascii="Palatino Linotype" w:hAnsi="Palatino Linotype"/>
          <w:b/>
          <w:bCs/>
          <w:i/>
          <w:color w:val="000000" w:themeColor="text1"/>
          <w:sz w:val="22"/>
          <w:lang w:val="es-MX"/>
        </w:rPr>
        <w:t>.</w:t>
      </w:r>
      <w:r w:rsidRPr="00417D3B">
        <w:rPr>
          <w:rFonts w:ascii="Palatino Linotype" w:hAnsi="Palatino Linotype"/>
          <w:b/>
          <w:bCs/>
          <w:i/>
          <w:color w:val="000000" w:themeColor="text1"/>
          <w:sz w:val="22"/>
          <w:lang w:val="es-MX"/>
        </w:rPr>
        <w:t xml:space="preserve"> </w:t>
      </w:r>
      <w:r w:rsidRPr="00417D3B">
        <w:rPr>
          <w:rFonts w:ascii="Palatino Linotype" w:hAnsi="Palatino Linotype"/>
          <w:b/>
          <w:i/>
          <w:color w:val="000000" w:themeColor="text1"/>
          <w:sz w:val="22"/>
          <w:lang w:val="es-MX"/>
        </w:rPr>
        <w:t xml:space="preserve">La </w:t>
      </w:r>
      <w:r w:rsidR="009F3A10" w:rsidRPr="00417D3B">
        <w:rPr>
          <w:rFonts w:ascii="Palatino Linotype" w:hAnsi="Palatino Linotype"/>
          <w:b/>
          <w:i/>
          <w:color w:val="000000" w:themeColor="text1"/>
          <w:sz w:val="22"/>
          <w:lang w:val="es-MX"/>
        </w:rPr>
        <w:t>negat</w:t>
      </w:r>
      <w:r w:rsidR="00B6049C" w:rsidRPr="00417D3B">
        <w:rPr>
          <w:rFonts w:ascii="Palatino Linotype" w:hAnsi="Palatino Linotype"/>
          <w:b/>
          <w:i/>
          <w:color w:val="000000" w:themeColor="text1"/>
          <w:sz w:val="22"/>
          <w:lang w:val="es-MX"/>
        </w:rPr>
        <w:t>iva a la información solicitada;</w:t>
      </w:r>
    </w:p>
    <w:p w14:paraId="48F27766" w14:textId="77777777" w:rsidR="00B6049C" w:rsidRPr="00417D3B" w:rsidRDefault="009F3A10" w:rsidP="00B6049C">
      <w:pPr>
        <w:pStyle w:val="Sinespaciado"/>
        <w:tabs>
          <w:tab w:val="left" w:pos="426"/>
        </w:tabs>
        <w:ind w:left="851" w:right="567"/>
        <w:jc w:val="both"/>
        <w:rPr>
          <w:rFonts w:ascii="Palatino Linotype" w:hAnsi="Palatino Linotype"/>
          <w:bCs/>
          <w:i/>
          <w:color w:val="000000" w:themeColor="text1"/>
          <w:sz w:val="22"/>
          <w:lang w:val="es-MX"/>
        </w:rPr>
      </w:pPr>
      <w:r w:rsidRPr="00417D3B">
        <w:rPr>
          <w:rFonts w:ascii="Palatino Linotype" w:hAnsi="Palatino Linotype"/>
          <w:b/>
          <w:bCs/>
          <w:i/>
          <w:color w:val="000000" w:themeColor="text1"/>
          <w:sz w:val="22"/>
          <w:lang w:val="es-MX"/>
        </w:rPr>
        <w:t>(…)</w:t>
      </w:r>
    </w:p>
    <w:p w14:paraId="77266041" w14:textId="3786CA36" w:rsidR="00457FBC" w:rsidRPr="00417D3B" w:rsidRDefault="0088643C" w:rsidP="00B6049C">
      <w:pPr>
        <w:pStyle w:val="Sinespaciado"/>
        <w:tabs>
          <w:tab w:val="left" w:pos="426"/>
        </w:tabs>
        <w:ind w:left="851" w:right="567"/>
        <w:jc w:val="both"/>
        <w:rPr>
          <w:rFonts w:ascii="Palatino Linotype" w:hAnsi="Palatino Linotype"/>
          <w:b/>
          <w:bCs/>
          <w:i/>
          <w:color w:val="000000" w:themeColor="text1"/>
          <w:sz w:val="22"/>
          <w:lang w:val="es-MX"/>
        </w:rPr>
      </w:pPr>
      <w:r w:rsidRPr="00417D3B">
        <w:rPr>
          <w:rFonts w:ascii="Palatino Linotype" w:hAnsi="Palatino Linotype"/>
          <w:b/>
          <w:i/>
          <w:color w:val="000000" w:themeColor="text1"/>
          <w:sz w:val="22"/>
          <w:lang w:val="es-MX"/>
        </w:rPr>
        <w:t>II</w:t>
      </w:r>
      <w:r w:rsidR="00457FBC" w:rsidRPr="00417D3B">
        <w:rPr>
          <w:rFonts w:ascii="Palatino Linotype" w:hAnsi="Palatino Linotype"/>
          <w:b/>
          <w:i/>
          <w:color w:val="000000" w:themeColor="text1"/>
          <w:sz w:val="22"/>
          <w:lang w:val="es-MX"/>
        </w:rPr>
        <w:t>.</w:t>
      </w:r>
      <w:r w:rsidR="00457FBC" w:rsidRPr="00417D3B">
        <w:rPr>
          <w:rFonts w:ascii="Palatino Linotype" w:hAnsi="Palatino Linotype"/>
          <w:b/>
          <w:bCs/>
          <w:i/>
          <w:color w:val="000000" w:themeColor="text1"/>
          <w:sz w:val="22"/>
          <w:lang w:val="es-MX"/>
        </w:rPr>
        <w:t xml:space="preserve"> La </w:t>
      </w:r>
      <w:r w:rsidR="00B6049C" w:rsidRPr="00417D3B">
        <w:rPr>
          <w:rFonts w:ascii="Palatino Linotype" w:hAnsi="Palatino Linotype"/>
          <w:b/>
          <w:bCs/>
          <w:i/>
          <w:color w:val="000000" w:themeColor="text1"/>
          <w:sz w:val="22"/>
          <w:lang w:val="es-MX"/>
        </w:rPr>
        <w:t>clasificación de la información;</w:t>
      </w:r>
    </w:p>
    <w:p w14:paraId="1C5AB6B5" w14:textId="1C2D9728" w:rsidR="009F1566" w:rsidRPr="00417D3B" w:rsidRDefault="00EB0909" w:rsidP="00A339DE">
      <w:pPr>
        <w:pStyle w:val="Sinespaciado"/>
        <w:tabs>
          <w:tab w:val="left" w:pos="426"/>
        </w:tabs>
        <w:ind w:left="851" w:right="567"/>
        <w:jc w:val="both"/>
        <w:rPr>
          <w:rFonts w:ascii="Palatino Linotype" w:hAnsi="Palatino Linotype"/>
          <w:i/>
          <w:color w:val="000000" w:themeColor="text1"/>
          <w:sz w:val="22"/>
        </w:rPr>
      </w:pPr>
      <w:r w:rsidRPr="00417D3B">
        <w:rPr>
          <w:rFonts w:ascii="Palatino Linotype" w:hAnsi="Palatino Linotype"/>
          <w:i/>
          <w:color w:val="000000" w:themeColor="text1"/>
          <w:sz w:val="22"/>
        </w:rPr>
        <w:t>(…)</w:t>
      </w:r>
      <w:r w:rsidR="00A073A0" w:rsidRPr="00417D3B">
        <w:rPr>
          <w:rFonts w:ascii="Palatino Linotype" w:hAnsi="Palatino Linotype"/>
          <w:i/>
          <w:color w:val="000000" w:themeColor="text1"/>
          <w:sz w:val="22"/>
        </w:rPr>
        <w:t>”</w:t>
      </w:r>
    </w:p>
    <w:p w14:paraId="1C0C8EE2" w14:textId="77777777" w:rsidR="00036385" w:rsidRPr="00417D3B" w:rsidRDefault="00036385" w:rsidP="00B6049C">
      <w:pPr>
        <w:pStyle w:val="Sinespaciado"/>
        <w:tabs>
          <w:tab w:val="left" w:pos="426"/>
        </w:tabs>
        <w:spacing w:line="360" w:lineRule="auto"/>
        <w:ind w:right="567"/>
        <w:jc w:val="both"/>
        <w:rPr>
          <w:rFonts w:ascii="Palatino Linotype" w:hAnsi="Palatino Linotype"/>
          <w:color w:val="000000" w:themeColor="text1"/>
        </w:rPr>
      </w:pPr>
    </w:p>
    <w:p w14:paraId="5CEC2F48" w14:textId="247E32A7" w:rsidR="00EF014A" w:rsidRPr="00417D3B" w:rsidRDefault="00452169" w:rsidP="00F96156">
      <w:pPr>
        <w:pStyle w:val="Ttulo2"/>
        <w:tabs>
          <w:tab w:val="left" w:pos="426"/>
        </w:tabs>
        <w:rPr>
          <w:rFonts w:ascii="Palatino Linotype" w:hAnsi="Palatino Linotype" w:cs="Arial"/>
          <w:b/>
          <w:color w:val="000000" w:themeColor="text1"/>
          <w:sz w:val="24"/>
          <w:szCs w:val="24"/>
        </w:rPr>
      </w:pPr>
      <w:bookmarkStart w:id="17" w:name="_Toc96002404"/>
      <w:r w:rsidRPr="00417D3B">
        <w:rPr>
          <w:rFonts w:ascii="Palatino Linotype" w:hAnsi="Palatino Linotype" w:cs="Arial"/>
          <w:b/>
          <w:color w:val="000000" w:themeColor="text1"/>
          <w:sz w:val="24"/>
          <w:szCs w:val="24"/>
        </w:rPr>
        <w:t>CUARTO</w:t>
      </w:r>
      <w:r w:rsidR="00EF014A" w:rsidRPr="00417D3B">
        <w:rPr>
          <w:rFonts w:ascii="Palatino Linotype" w:hAnsi="Palatino Linotype" w:cs="Arial"/>
          <w:b/>
          <w:color w:val="000000" w:themeColor="text1"/>
          <w:sz w:val="24"/>
          <w:szCs w:val="24"/>
        </w:rPr>
        <w:t>. Estudio y Resolución del asunto.</w:t>
      </w:r>
      <w:bookmarkEnd w:id="17"/>
    </w:p>
    <w:p w14:paraId="12E46371" w14:textId="00902002" w:rsidR="00457FBC" w:rsidRPr="00417D3B" w:rsidRDefault="00457FBC" w:rsidP="0088643C">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18" w:name="_Toc466371865"/>
      <w:bookmarkStart w:id="19" w:name="_Toc466377653"/>
      <w:bookmarkEnd w:id="12"/>
      <w:bookmarkEnd w:id="13"/>
      <w:bookmarkEnd w:id="14"/>
      <w:bookmarkEnd w:id="15"/>
      <w:bookmarkEnd w:id="16"/>
      <w:r w:rsidRPr="00417D3B">
        <w:rPr>
          <w:rFonts w:ascii="Palatino Linotype" w:hAnsi="Palatino Linotype"/>
          <w:b/>
          <w:bCs/>
          <w:color w:val="000000" w:themeColor="text1"/>
        </w:rPr>
        <w:t>I. Del deber de las autoridades de promover, respetar, proteger y garantizar el derecho de acceso a la información pública.</w:t>
      </w:r>
    </w:p>
    <w:p w14:paraId="0551196D" w14:textId="32E491D6" w:rsidR="00457FBC" w:rsidRPr="00417D3B"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Es menester precisar</w:t>
      </w:r>
      <w:r w:rsidRPr="00417D3B">
        <w:rPr>
          <w:rFonts w:ascii="Palatino Linotype" w:hAnsi="Palatino Linotype"/>
          <w:bCs/>
          <w:color w:val="000000" w:themeColor="text1"/>
        </w:rPr>
        <w:t xml:space="preserve"> que este Órgano Garante </w:t>
      </w:r>
      <w:r w:rsidR="00B6049C" w:rsidRPr="00417D3B">
        <w:rPr>
          <w:rFonts w:ascii="Palatino Linotype" w:hAnsi="Palatino Linotype"/>
          <w:bCs/>
          <w:color w:val="000000" w:themeColor="text1"/>
        </w:rPr>
        <w:t>+</w:t>
      </w:r>
      <w:r w:rsidRPr="00417D3B">
        <w:rPr>
          <w:rFonts w:ascii="Palatino Linotype" w:hAnsi="Palatino Linotype"/>
          <w:bCs/>
          <w:color w:val="000000" w:themeColor="text1"/>
        </w:rPr>
        <w:t xml:space="preserve">parte del hecho que el Derecho de Acceso a la Información Pública, es un derecho humano reconocido en el Pacto de Derechos Civiles y Políticos en su artículo 19.2; en la Convención Americana sobre Derechos Humanos en su artículo 13.1; en el artículo sexto de la Constitución </w:t>
      </w:r>
      <w:r w:rsidRPr="00417D3B">
        <w:rPr>
          <w:rFonts w:ascii="Palatino Linotype" w:hAnsi="Palatino Linotype"/>
          <w:bCs/>
          <w:color w:val="000000" w:themeColor="text1"/>
        </w:rPr>
        <w:lastRenderedPageBreak/>
        <w:t xml:space="preserve">Política de los Estados Unidos Mexicanos y en el artículo quinto de la Particular del Estado de México, por lo que al respecto el </w:t>
      </w:r>
      <w:r w:rsidRPr="00417D3B">
        <w:rPr>
          <w:rFonts w:ascii="Palatino Linotype" w:hAnsi="Palatino Linotype"/>
          <w:b/>
          <w:bCs/>
          <w:color w:val="000000" w:themeColor="text1"/>
        </w:rPr>
        <w:t>SUJETO OBLIGADO</w:t>
      </w:r>
      <w:r w:rsidRPr="00417D3B">
        <w:rPr>
          <w:rFonts w:ascii="Palatino Linotype" w:hAnsi="Palatino Linotype"/>
          <w:bCs/>
          <w:color w:val="000000" w:themeColor="text1"/>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17D3B">
        <w:rPr>
          <w:rFonts w:ascii="Palatino Linotype" w:hAnsi="Palatino Linotype"/>
          <w:b/>
          <w:bCs/>
          <w:color w:val="000000" w:themeColor="text1"/>
        </w:rPr>
        <w:t>Constitución Política de los Estados Unidos Mexicanos</w:t>
      </w:r>
      <w:r w:rsidRPr="00417D3B">
        <w:rPr>
          <w:rFonts w:ascii="Palatino Linotype" w:hAnsi="Palatino Linotype"/>
          <w:bCs/>
          <w:color w:val="000000" w:themeColor="text1"/>
        </w:rPr>
        <w:t>, tienen</w:t>
      </w:r>
      <w:r w:rsidRPr="00417D3B">
        <w:rPr>
          <w:rFonts w:ascii="Palatino Linotype" w:hAnsi="Palatino Linotype"/>
          <w:b/>
          <w:bCs/>
          <w:color w:val="000000" w:themeColor="text1"/>
        </w:rPr>
        <w:t xml:space="preserve"> </w:t>
      </w:r>
      <w:r w:rsidRPr="00417D3B">
        <w:rPr>
          <w:rFonts w:ascii="Palatino Linotype" w:hAnsi="Palatino Linotype"/>
          <w:bCs/>
          <w:color w:val="000000" w:themeColor="text1"/>
        </w:rPr>
        <w:t xml:space="preserve">la obligación de “promover, </w:t>
      </w:r>
      <w:r w:rsidRPr="00417D3B">
        <w:rPr>
          <w:rFonts w:ascii="Palatino Linotype" w:hAnsi="Palatino Linotype"/>
          <w:b/>
          <w:bCs/>
          <w:color w:val="000000" w:themeColor="text1"/>
        </w:rPr>
        <w:t>respetar</w:t>
      </w:r>
      <w:r w:rsidRPr="00417D3B">
        <w:rPr>
          <w:rFonts w:ascii="Palatino Linotype" w:hAnsi="Palatino Linotype"/>
          <w:bCs/>
          <w:color w:val="000000" w:themeColor="text1"/>
        </w:rPr>
        <w:t xml:space="preserve">, proteger y </w:t>
      </w:r>
      <w:r w:rsidRPr="00417D3B">
        <w:rPr>
          <w:rFonts w:ascii="Palatino Linotype" w:hAnsi="Palatino Linotype"/>
          <w:b/>
          <w:bCs/>
          <w:color w:val="000000" w:themeColor="text1"/>
        </w:rPr>
        <w:t>garantizar</w:t>
      </w:r>
      <w:r w:rsidRPr="00417D3B">
        <w:rPr>
          <w:rFonts w:ascii="Palatino Linotype" w:hAnsi="Palatino Linotype"/>
          <w:bCs/>
          <w:color w:val="000000" w:themeColor="text1"/>
        </w:rPr>
        <w:t xml:space="preserve"> los derechos humanos”, entre los cuales se encuentra dicho derecho.</w:t>
      </w:r>
    </w:p>
    <w:p w14:paraId="13491635" w14:textId="77777777" w:rsidR="00457FBC" w:rsidRPr="00417D3B" w:rsidRDefault="00457FBC" w:rsidP="00457FBC">
      <w:pPr>
        <w:pStyle w:val="Prrafodelista"/>
        <w:tabs>
          <w:tab w:val="left" w:pos="426"/>
        </w:tabs>
        <w:spacing w:before="240" w:after="240" w:line="360" w:lineRule="auto"/>
        <w:ind w:left="0" w:right="51"/>
        <w:jc w:val="both"/>
        <w:rPr>
          <w:rFonts w:ascii="Palatino Linotype" w:hAnsi="Palatino Linotype"/>
          <w:color w:val="000000" w:themeColor="text1"/>
        </w:rPr>
      </w:pPr>
    </w:p>
    <w:p w14:paraId="09BCC247" w14:textId="7187B3B5" w:rsidR="00457FBC" w:rsidRPr="00417D3B"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Por lo anterior,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7E061066" w14:textId="77777777" w:rsidR="00AB0C03" w:rsidRPr="00417D3B" w:rsidRDefault="00AB0C03" w:rsidP="00AB0C03">
      <w:pPr>
        <w:pStyle w:val="Prrafodelista"/>
        <w:tabs>
          <w:tab w:val="left" w:pos="426"/>
        </w:tabs>
        <w:spacing w:before="240" w:after="240" w:line="360" w:lineRule="auto"/>
        <w:ind w:left="0" w:right="51"/>
        <w:jc w:val="both"/>
        <w:rPr>
          <w:rFonts w:ascii="Palatino Linotype" w:hAnsi="Palatino Linotype"/>
          <w:color w:val="000000" w:themeColor="text1"/>
        </w:rPr>
      </w:pPr>
    </w:p>
    <w:p w14:paraId="2975C4AF" w14:textId="77777777" w:rsidR="00457FBC" w:rsidRPr="00417D3B"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Así las cosas, podemos definir el Derecho de Acceso a la Información Pública como: </w:t>
      </w:r>
      <w:r w:rsidRPr="00417D3B">
        <w:rPr>
          <w:rFonts w:ascii="Palatino Linotype" w:hAnsi="Palatino Linotype"/>
          <w:i/>
          <w:color w:val="000000" w:themeColor="text1"/>
        </w:rPr>
        <w:t>La igualdad de oportunidades para recibir, buscar e impartir información</w:t>
      </w:r>
      <w:r w:rsidRPr="00417D3B">
        <w:rPr>
          <w:rFonts w:ascii="Palatino Linotype" w:hAnsi="Palatino Linotype"/>
          <w:i/>
          <w:color w:val="000000" w:themeColor="text1"/>
          <w:vertAlign w:val="superscript"/>
        </w:rPr>
        <w:footnoteReference w:id="1"/>
      </w:r>
      <w:r w:rsidRPr="00417D3B">
        <w:rPr>
          <w:rFonts w:ascii="Palatino Linotype" w:hAnsi="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17D3B">
        <w:rPr>
          <w:rFonts w:ascii="Palatino Linotype" w:hAnsi="Palatino Linotype"/>
          <w:i/>
          <w:color w:val="000000" w:themeColor="text1"/>
          <w:vertAlign w:val="superscript"/>
        </w:rPr>
        <w:footnoteReference w:id="2"/>
      </w:r>
      <w:r w:rsidRPr="00417D3B">
        <w:rPr>
          <w:rFonts w:ascii="Palatino Linotype" w:hAnsi="Palatino Linotype"/>
          <w:color w:val="000000" w:themeColor="text1"/>
        </w:rPr>
        <w:t>que se constituye como una herramienta fundamental para ejercer</w:t>
      </w:r>
      <w:r w:rsidRPr="00417D3B">
        <w:rPr>
          <w:rFonts w:ascii="Palatino Linotype" w:hAnsi="Palatino Linotype"/>
          <w:i/>
          <w:color w:val="000000" w:themeColor="text1"/>
        </w:rPr>
        <w:t xml:space="preserve"> el control democrático de las gestiones estatales, de forma tal que puedan cuestionar, indagar y considerar si se está dando un adecuado </w:t>
      </w:r>
      <w:r w:rsidRPr="00417D3B">
        <w:rPr>
          <w:rFonts w:ascii="Palatino Linotype" w:hAnsi="Palatino Linotype"/>
          <w:i/>
          <w:color w:val="000000" w:themeColor="text1"/>
        </w:rPr>
        <w:lastRenderedPageBreak/>
        <w:t>cumplimiento a las funciones públicas,</w:t>
      </w:r>
      <w:r w:rsidRPr="00417D3B">
        <w:rPr>
          <w:rFonts w:ascii="Palatino Linotype" w:hAnsi="Palatino Linotype"/>
          <w:i/>
          <w:color w:val="000000" w:themeColor="text1"/>
          <w:vertAlign w:val="superscript"/>
        </w:rPr>
        <w:footnoteReference w:id="3"/>
      </w:r>
      <w:r w:rsidRPr="00417D3B">
        <w:rPr>
          <w:rFonts w:ascii="Palatino Linotype" w:hAnsi="Palatino Linotype"/>
          <w:i/>
          <w:color w:val="000000" w:themeColor="text1"/>
        </w:rPr>
        <w:t xml:space="preserve"> </w:t>
      </w:r>
      <w:r w:rsidRPr="00417D3B">
        <w:rPr>
          <w:rFonts w:ascii="Palatino Linotype" w:hAnsi="Palatino Linotype"/>
          <w:color w:val="000000" w:themeColor="text1"/>
        </w:rPr>
        <w:t>fomentando</w:t>
      </w:r>
      <w:r w:rsidRPr="00417D3B">
        <w:rPr>
          <w:rFonts w:ascii="Palatino Linotype" w:hAnsi="Palatino Linotype"/>
          <w:i/>
          <w:color w:val="000000" w:themeColor="text1"/>
        </w:rPr>
        <w:t xml:space="preserve"> la transparencia de las actividades estatales y </w:t>
      </w:r>
      <w:r w:rsidRPr="00417D3B">
        <w:rPr>
          <w:rFonts w:ascii="Palatino Linotype" w:hAnsi="Palatino Linotype"/>
          <w:color w:val="000000" w:themeColor="text1"/>
        </w:rPr>
        <w:t>promoviendo</w:t>
      </w:r>
      <w:r w:rsidRPr="00417D3B">
        <w:rPr>
          <w:rFonts w:ascii="Palatino Linotype" w:hAnsi="Palatino Linotype"/>
          <w:i/>
          <w:color w:val="000000" w:themeColor="text1"/>
        </w:rPr>
        <w:t xml:space="preserve"> la responsabilidad de los funcionarios sobre su gestión pública,</w:t>
      </w:r>
      <w:r w:rsidRPr="00417D3B">
        <w:rPr>
          <w:rFonts w:ascii="Palatino Linotype" w:hAnsi="Palatino Linotype"/>
          <w:i/>
          <w:color w:val="000000" w:themeColor="text1"/>
          <w:vertAlign w:val="superscript"/>
        </w:rPr>
        <w:footnoteReference w:id="4"/>
      </w:r>
      <w:r w:rsidRPr="00417D3B">
        <w:rPr>
          <w:rFonts w:ascii="Palatino Linotype" w:hAnsi="Palatino Linotype"/>
          <w:color w:val="000000" w:themeColor="text1"/>
        </w:rPr>
        <w:t>que permite</w:t>
      </w:r>
      <w:r w:rsidRPr="00417D3B">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26072B78" w14:textId="77777777" w:rsidR="00457FBC" w:rsidRPr="00417D3B" w:rsidRDefault="00457FBC" w:rsidP="00457FBC">
      <w:pPr>
        <w:pStyle w:val="Prrafodelista"/>
        <w:tabs>
          <w:tab w:val="left" w:pos="426"/>
        </w:tabs>
        <w:spacing w:before="240" w:after="240" w:line="360" w:lineRule="auto"/>
        <w:ind w:left="0" w:right="51"/>
        <w:jc w:val="both"/>
        <w:rPr>
          <w:rFonts w:ascii="Palatino Linotype" w:hAnsi="Palatino Linotype"/>
          <w:color w:val="000000" w:themeColor="text1"/>
        </w:rPr>
      </w:pPr>
    </w:p>
    <w:p w14:paraId="154190D7" w14:textId="7C1B4F6A" w:rsidR="00457FBC" w:rsidRPr="00417D3B" w:rsidRDefault="00457FBC" w:rsidP="00457FB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32A99B49" w14:textId="77777777" w:rsidR="00EB0909" w:rsidRPr="00417D3B" w:rsidRDefault="00EB0909" w:rsidP="00EB0909">
      <w:pPr>
        <w:pStyle w:val="Prrafodelista"/>
        <w:tabs>
          <w:tab w:val="left" w:pos="426"/>
        </w:tabs>
        <w:spacing w:before="240" w:after="240" w:line="360" w:lineRule="auto"/>
        <w:ind w:left="0" w:right="51"/>
        <w:jc w:val="both"/>
        <w:rPr>
          <w:rFonts w:ascii="Palatino Linotype" w:hAnsi="Palatino Linotype"/>
          <w:color w:val="000000" w:themeColor="text1"/>
        </w:rPr>
      </w:pPr>
    </w:p>
    <w:p w14:paraId="46B0833E" w14:textId="2838494C" w:rsidR="00DA2D95" w:rsidRPr="00417D3B" w:rsidRDefault="001F7C7F"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0" w:name="_Toc96002406"/>
      <w:r w:rsidRPr="00417D3B">
        <w:rPr>
          <w:rFonts w:ascii="Palatino Linotype" w:hAnsi="Palatino Linotype"/>
          <w:b/>
          <w:bCs/>
          <w:color w:val="000000" w:themeColor="text1"/>
        </w:rPr>
        <w:t>II</w:t>
      </w:r>
      <w:r w:rsidR="00DA2D95" w:rsidRPr="00417D3B">
        <w:rPr>
          <w:rFonts w:ascii="Palatino Linotype" w:hAnsi="Palatino Linotype"/>
          <w:b/>
          <w:bCs/>
          <w:color w:val="000000" w:themeColor="text1"/>
        </w:rPr>
        <w:t xml:space="preserve">. De la </w:t>
      </w:r>
      <w:r w:rsidR="00294CC2" w:rsidRPr="00417D3B">
        <w:rPr>
          <w:rFonts w:ascii="Palatino Linotype" w:hAnsi="Palatino Linotype"/>
          <w:b/>
          <w:bCs/>
          <w:color w:val="000000" w:themeColor="text1"/>
        </w:rPr>
        <w:t>atención a la solicitud de información</w:t>
      </w:r>
      <w:bookmarkEnd w:id="20"/>
      <w:r w:rsidR="00021913" w:rsidRPr="00417D3B">
        <w:rPr>
          <w:rFonts w:ascii="Palatino Linotype" w:hAnsi="Palatino Linotype"/>
          <w:b/>
          <w:bCs/>
          <w:color w:val="000000" w:themeColor="text1"/>
        </w:rPr>
        <w:t>.</w:t>
      </w:r>
    </w:p>
    <w:p w14:paraId="1B014070" w14:textId="4CFF4A3D" w:rsidR="00C83EF5" w:rsidRPr="00417D3B" w:rsidRDefault="00294CC2" w:rsidP="0091007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Una </w:t>
      </w:r>
      <w:r w:rsidR="00910076" w:rsidRPr="00417D3B">
        <w:rPr>
          <w:rFonts w:ascii="Palatino Linotype" w:hAnsi="Palatino Linotype"/>
        </w:rPr>
        <w:t xml:space="preserve">vez expuesto lo anterior, de la lectura a la solicitud de información </w:t>
      </w:r>
      <w:r w:rsidR="00AC4A31" w:rsidRPr="00417D3B">
        <w:rPr>
          <w:rFonts w:ascii="Palatino Linotype" w:hAnsi="Palatino Linotype"/>
          <w:b/>
          <w:bCs/>
        </w:rPr>
        <w:t>00105/TIANGUIS/IP/2022</w:t>
      </w:r>
      <w:r w:rsidR="00910076" w:rsidRPr="00417D3B">
        <w:rPr>
          <w:rFonts w:ascii="Palatino Linotype" w:hAnsi="Palatino Linotype"/>
        </w:rPr>
        <w:t xml:space="preserve">, y como fuera señalado en el </w:t>
      </w:r>
      <w:r w:rsidR="00910076" w:rsidRPr="00417D3B">
        <w:rPr>
          <w:rFonts w:ascii="Palatino Linotype" w:hAnsi="Palatino Linotype"/>
          <w:i/>
          <w:iCs/>
        </w:rPr>
        <w:t>Planteamiento de la Litis</w:t>
      </w:r>
      <w:r w:rsidR="00910076" w:rsidRPr="00417D3B">
        <w:rPr>
          <w:rFonts w:ascii="Palatino Linotype" w:hAnsi="Palatino Linotype"/>
        </w:rPr>
        <w:t xml:space="preserve"> de esta resolución, se advierte que </w:t>
      </w:r>
      <w:r w:rsidRPr="00417D3B">
        <w:rPr>
          <w:rFonts w:ascii="Palatino Linotype" w:hAnsi="Palatino Linotype"/>
        </w:rPr>
        <w:t>el</w:t>
      </w:r>
      <w:r w:rsidR="00910076" w:rsidRPr="00417D3B">
        <w:rPr>
          <w:rFonts w:ascii="Palatino Linotype" w:hAnsi="Palatino Linotype"/>
        </w:rPr>
        <w:t xml:space="preserve"> </w:t>
      </w:r>
      <w:r w:rsidR="00156056" w:rsidRPr="00417D3B">
        <w:rPr>
          <w:rFonts w:ascii="Palatino Linotype" w:hAnsi="Palatino Linotype"/>
        </w:rPr>
        <w:t>P</w:t>
      </w:r>
      <w:r w:rsidR="00910076" w:rsidRPr="00417D3B">
        <w:rPr>
          <w:rFonts w:ascii="Palatino Linotype" w:hAnsi="Palatino Linotype"/>
        </w:rPr>
        <w:t xml:space="preserve">articular requirió al </w:t>
      </w:r>
      <w:r w:rsidR="00A66149" w:rsidRPr="00417D3B">
        <w:rPr>
          <w:rFonts w:ascii="Palatino Linotype" w:hAnsi="Palatino Linotype"/>
        </w:rPr>
        <w:t xml:space="preserve">Ayuntamiento de </w:t>
      </w:r>
      <w:r w:rsidR="00AC4A31" w:rsidRPr="00417D3B">
        <w:rPr>
          <w:rFonts w:ascii="Palatino Linotype" w:hAnsi="Palatino Linotype"/>
        </w:rPr>
        <w:t>Tianguistenco</w:t>
      </w:r>
      <w:r w:rsidR="00910076" w:rsidRPr="00417D3B">
        <w:rPr>
          <w:rFonts w:ascii="Palatino Linotype" w:hAnsi="Palatino Linotype"/>
        </w:rPr>
        <w:t xml:space="preserve"> </w:t>
      </w:r>
      <w:r w:rsidR="00C83EF5" w:rsidRPr="00417D3B">
        <w:rPr>
          <w:rFonts w:ascii="Palatino Linotype" w:hAnsi="Palatino Linotype" w:cs="Arial"/>
          <w:color w:val="000000" w:themeColor="text1"/>
        </w:rPr>
        <w:t>acceder a la siguiente información:</w:t>
      </w:r>
    </w:p>
    <w:p w14:paraId="5016AEB3" w14:textId="7A6822A4" w:rsidR="00AB2CAA" w:rsidRPr="00417D3B" w:rsidRDefault="00AB2CAA" w:rsidP="00AB2CAA">
      <w:pPr>
        <w:pStyle w:val="Prrafodelista"/>
        <w:tabs>
          <w:tab w:val="left" w:pos="426"/>
        </w:tabs>
        <w:spacing w:before="240" w:after="240" w:line="360" w:lineRule="auto"/>
        <w:ind w:left="0" w:right="51"/>
        <w:jc w:val="both"/>
        <w:rPr>
          <w:rFonts w:ascii="Palatino Linotype" w:hAnsi="Palatino Linotype"/>
          <w:color w:val="000000" w:themeColor="text1"/>
        </w:rPr>
      </w:pPr>
    </w:p>
    <w:p w14:paraId="0E9FB042" w14:textId="2CE1CA2D" w:rsidR="006A687E" w:rsidRPr="00417D3B" w:rsidRDefault="009F3A10" w:rsidP="00AC4A31">
      <w:pPr>
        <w:pStyle w:val="Prrafodelista"/>
        <w:numPr>
          <w:ilvl w:val="0"/>
          <w:numId w:val="17"/>
        </w:numPr>
        <w:tabs>
          <w:tab w:val="left" w:pos="426"/>
        </w:tabs>
        <w:spacing w:before="240" w:after="240" w:line="360" w:lineRule="auto"/>
        <w:ind w:left="851" w:right="616" w:firstLine="0"/>
        <w:jc w:val="both"/>
        <w:rPr>
          <w:rFonts w:ascii="Palatino Linotype" w:hAnsi="Palatino Linotype" w:cs="Arial"/>
          <w:bCs/>
          <w:color w:val="000000" w:themeColor="text1"/>
          <w:sz w:val="22"/>
        </w:rPr>
      </w:pPr>
      <w:r w:rsidRPr="00417D3B">
        <w:rPr>
          <w:rFonts w:ascii="Palatino Linotype" w:hAnsi="Palatino Linotype" w:cs="Arial"/>
          <w:bCs/>
          <w:color w:val="000000" w:themeColor="text1"/>
          <w:sz w:val="22"/>
        </w:rPr>
        <w:lastRenderedPageBreak/>
        <w:t xml:space="preserve">El </w:t>
      </w:r>
      <w:r w:rsidRPr="00417D3B">
        <w:rPr>
          <w:rFonts w:ascii="Palatino Linotype" w:hAnsi="Palatino Linotype"/>
          <w:bCs/>
          <w:sz w:val="22"/>
        </w:rPr>
        <w:t>o los documentos donde conste la incidencia delictiva y/o incidencia de faltas administrativas -tipo de incidente o evento, hora, fecha, lugar, ubicación, coordenadas geográficas-, del periodo comprendido del u</w:t>
      </w:r>
      <w:r w:rsidR="00AC4A31" w:rsidRPr="00417D3B">
        <w:rPr>
          <w:rFonts w:ascii="Palatino Linotype" w:hAnsi="Palatino Linotype"/>
          <w:bCs/>
          <w:sz w:val="22"/>
        </w:rPr>
        <w:t>no de enero de dos mil diez</w:t>
      </w:r>
      <w:r w:rsidRPr="00417D3B">
        <w:rPr>
          <w:rFonts w:ascii="Palatino Linotype" w:hAnsi="Palatino Linotype"/>
          <w:bCs/>
          <w:sz w:val="22"/>
        </w:rPr>
        <w:t xml:space="preserve"> al </w:t>
      </w:r>
      <w:r w:rsidR="00650749" w:rsidRPr="00417D3B">
        <w:rPr>
          <w:rFonts w:ascii="Palatino Linotype" w:hAnsi="Palatino Linotype"/>
          <w:bCs/>
          <w:sz w:val="22"/>
        </w:rPr>
        <w:t>veinte</w:t>
      </w:r>
      <w:r w:rsidR="00AE2405" w:rsidRPr="00417D3B">
        <w:rPr>
          <w:rFonts w:ascii="Palatino Linotype" w:hAnsi="Palatino Linotype"/>
          <w:bCs/>
          <w:sz w:val="22"/>
        </w:rPr>
        <w:t xml:space="preserve"> </w:t>
      </w:r>
      <w:r w:rsidRPr="00417D3B">
        <w:rPr>
          <w:rFonts w:ascii="Palatino Linotype" w:hAnsi="Palatino Linotype"/>
          <w:bCs/>
          <w:sz w:val="22"/>
        </w:rPr>
        <w:t>de mayo de dos mil veintidós.</w:t>
      </w:r>
    </w:p>
    <w:p w14:paraId="74DC96C0" w14:textId="77777777" w:rsidR="003120A9" w:rsidRPr="00417D3B" w:rsidRDefault="003120A9" w:rsidP="003120A9">
      <w:pPr>
        <w:pStyle w:val="Prrafodelista"/>
        <w:tabs>
          <w:tab w:val="left" w:pos="426"/>
        </w:tabs>
        <w:spacing w:before="240" w:after="240" w:line="360" w:lineRule="auto"/>
        <w:ind w:left="0" w:right="51"/>
        <w:jc w:val="both"/>
        <w:rPr>
          <w:rFonts w:ascii="Palatino Linotype" w:hAnsi="Palatino Linotype"/>
          <w:color w:val="000000" w:themeColor="text1"/>
        </w:rPr>
      </w:pPr>
    </w:p>
    <w:p w14:paraId="413B891B" w14:textId="5FD254B7" w:rsidR="00074FDC" w:rsidRPr="00417D3B" w:rsidRDefault="002B4283" w:rsidP="00074FDC">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Así, </w:t>
      </w:r>
      <w:r w:rsidR="00EE7726" w:rsidRPr="00417D3B">
        <w:rPr>
          <w:rFonts w:ascii="Palatino Linotype" w:hAnsi="Palatino Linotype"/>
          <w:color w:val="000000" w:themeColor="text1"/>
        </w:rPr>
        <w:t xml:space="preserve">el </w:t>
      </w:r>
      <w:r w:rsidR="00EE7726" w:rsidRPr="00417D3B">
        <w:rPr>
          <w:rFonts w:ascii="Palatino Linotype" w:hAnsi="Palatino Linotype"/>
          <w:b/>
          <w:color w:val="000000" w:themeColor="text1"/>
        </w:rPr>
        <w:t>SUJETO OBLIGADO</w:t>
      </w:r>
      <w:r w:rsidR="00A526BF" w:rsidRPr="00417D3B">
        <w:rPr>
          <w:rFonts w:ascii="Palatino Linotype" w:hAnsi="Palatino Linotype"/>
          <w:color w:val="000000" w:themeColor="text1"/>
        </w:rPr>
        <w:t xml:space="preserve"> </w:t>
      </w:r>
      <w:r w:rsidR="00A526BF" w:rsidRPr="00417D3B">
        <w:rPr>
          <w:rFonts w:ascii="Palatino Linotype" w:hAnsi="Palatino Linotype" w:cs="Arial"/>
          <w:bCs/>
          <w:color w:val="000000" w:themeColor="text1"/>
        </w:rPr>
        <w:t xml:space="preserve">por medio del Comisario de Seguridad Pública Municipal, refirió que </w:t>
      </w:r>
      <w:r w:rsidR="00AC4A31" w:rsidRPr="00417D3B">
        <w:rPr>
          <w:rFonts w:ascii="Palatino Linotype" w:hAnsi="Palatino Linotype"/>
        </w:rPr>
        <w:t>la información solicitada</w:t>
      </w:r>
      <w:r w:rsidR="00A526BF" w:rsidRPr="00417D3B">
        <w:rPr>
          <w:rFonts w:ascii="Palatino Linotype" w:hAnsi="Palatino Linotype"/>
        </w:rPr>
        <w:t xml:space="preserve"> es </w:t>
      </w:r>
      <w:r w:rsidR="00AC4A31" w:rsidRPr="00417D3B">
        <w:rPr>
          <w:rFonts w:ascii="Palatino Linotype" w:hAnsi="Palatino Linotype"/>
        </w:rPr>
        <w:t xml:space="preserve">considerada </w:t>
      </w:r>
      <w:r w:rsidR="00A526BF" w:rsidRPr="00417D3B">
        <w:rPr>
          <w:rFonts w:ascii="Palatino Linotype" w:hAnsi="Palatino Linotype"/>
        </w:rPr>
        <w:t>reservada, por lo cual, solicitó su clasificación al Comité de Transpa</w:t>
      </w:r>
      <w:r w:rsidR="00AC4A31" w:rsidRPr="00417D3B">
        <w:rPr>
          <w:rFonts w:ascii="Palatino Linotype" w:hAnsi="Palatino Linotype"/>
        </w:rPr>
        <w:t xml:space="preserve">rencia del Ayuntamiento de Tianguistenco, mismo que la clasificó. </w:t>
      </w:r>
    </w:p>
    <w:p w14:paraId="64CE1932" w14:textId="77777777" w:rsidR="00733313" w:rsidRPr="00417D3B" w:rsidRDefault="00733313" w:rsidP="00733313">
      <w:pPr>
        <w:pStyle w:val="Prrafodelista"/>
        <w:tabs>
          <w:tab w:val="left" w:pos="426"/>
        </w:tabs>
        <w:spacing w:before="240" w:after="240" w:line="360" w:lineRule="auto"/>
        <w:ind w:left="0" w:right="51"/>
        <w:rPr>
          <w:rFonts w:ascii="Palatino Linotype" w:hAnsi="Palatino Linotype"/>
          <w:color w:val="000000" w:themeColor="text1"/>
        </w:rPr>
      </w:pPr>
    </w:p>
    <w:p w14:paraId="0132A28B" w14:textId="5A1302DF" w:rsidR="00874595" w:rsidRPr="00417D3B" w:rsidRDefault="006B0170" w:rsidP="00AC4A3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E</w:t>
      </w:r>
      <w:r w:rsidR="00C96E6B" w:rsidRPr="00417D3B">
        <w:rPr>
          <w:rFonts w:ascii="Palatino Linotype" w:hAnsi="Palatino Linotype"/>
          <w:color w:val="000000" w:themeColor="text1"/>
        </w:rPr>
        <w:t>n consecuencia, el</w:t>
      </w:r>
      <w:r w:rsidR="00565210" w:rsidRPr="00417D3B">
        <w:rPr>
          <w:rFonts w:ascii="Palatino Linotype" w:hAnsi="Palatino Linotype"/>
          <w:color w:val="000000" w:themeColor="text1"/>
        </w:rPr>
        <w:t xml:space="preserve"> </w:t>
      </w:r>
      <w:r w:rsidR="00A526BF" w:rsidRPr="00417D3B">
        <w:rPr>
          <w:rFonts w:ascii="Palatino Linotype" w:hAnsi="Palatino Linotype"/>
          <w:b/>
          <w:color w:val="000000" w:themeColor="text1"/>
        </w:rPr>
        <w:t>RECURRENTE</w:t>
      </w:r>
      <w:r w:rsidR="00565210" w:rsidRPr="00417D3B">
        <w:rPr>
          <w:rFonts w:ascii="Palatino Linotype" w:hAnsi="Palatino Linotype"/>
          <w:color w:val="000000" w:themeColor="text1"/>
        </w:rPr>
        <w:t xml:space="preserve"> impugnó la respuesta del </w:t>
      </w:r>
      <w:r w:rsidR="00565210" w:rsidRPr="00417D3B">
        <w:rPr>
          <w:rFonts w:ascii="Palatino Linotype" w:hAnsi="Palatino Linotype"/>
          <w:b/>
          <w:color w:val="000000" w:themeColor="text1"/>
        </w:rPr>
        <w:t>SUJETO OBLIGADO</w:t>
      </w:r>
      <w:r w:rsidR="00565210" w:rsidRPr="00417D3B">
        <w:rPr>
          <w:rFonts w:ascii="Palatino Linotype" w:hAnsi="Palatino Linotype"/>
          <w:color w:val="000000" w:themeColor="text1"/>
        </w:rPr>
        <w:t xml:space="preserve"> mediante el recurso de revisión </w:t>
      </w:r>
      <w:r w:rsidR="00AC4A31" w:rsidRPr="00417D3B">
        <w:rPr>
          <w:rFonts w:ascii="Palatino Linotype" w:hAnsi="Palatino Linotype"/>
          <w:color w:val="000000" w:themeColor="text1"/>
        </w:rPr>
        <w:t xml:space="preserve">al que le fue asignado el número </w:t>
      </w:r>
      <w:r w:rsidR="00AC4A31" w:rsidRPr="00417D3B">
        <w:rPr>
          <w:rFonts w:ascii="Palatino Linotype" w:hAnsi="Palatino Linotype"/>
          <w:b/>
          <w:color w:val="000000" w:themeColor="text1"/>
        </w:rPr>
        <w:t>11448</w:t>
      </w:r>
      <w:r w:rsidR="00A66149" w:rsidRPr="00417D3B">
        <w:rPr>
          <w:rFonts w:ascii="Palatino Linotype" w:hAnsi="Palatino Linotype"/>
          <w:b/>
          <w:color w:val="000000" w:themeColor="text1"/>
        </w:rPr>
        <w:t>/INFOEM/IP/RR/2022</w:t>
      </w:r>
      <w:r w:rsidRPr="00417D3B">
        <w:rPr>
          <w:rFonts w:ascii="Palatino Linotype" w:hAnsi="Palatino Linotype"/>
          <w:color w:val="000000" w:themeColor="text1"/>
        </w:rPr>
        <w:t>, en el que señaló por agravios</w:t>
      </w:r>
      <w:r w:rsidR="006B6ECB" w:rsidRPr="00417D3B">
        <w:rPr>
          <w:rFonts w:ascii="Palatino Linotype" w:hAnsi="Palatino Linotype"/>
          <w:color w:val="000000" w:themeColor="text1"/>
        </w:rPr>
        <w:t xml:space="preserve">, </w:t>
      </w:r>
      <w:r w:rsidR="000117A3" w:rsidRPr="00417D3B">
        <w:rPr>
          <w:rFonts w:ascii="Palatino Linotype" w:hAnsi="Palatino Linotype"/>
          <w:color w:val="000000" w:themeColor="text1"/>
        </w:rPr>
        <w:t>esencialmente</w:t>
      </w:r>
      <w:r w:rsidR="006B6ECB" w:rsidRPr="00417D3B">
        <w:rPr>
          <w:rFonts w:ascii="Palatino Linotype" w:hAnsi="Palatino Linotype"/>
          <w:color w:val="000000" w:themeColor="text1"/>
        </w:rPr>
        <w:t>,</w:t>
      </w:r>
      <w:r w:rsidRPr="00417D3B">
        <w:rPr>
          <w:rFonts w:ascii="Palatino Linotype" w:hAnsi="Palatino Linotype"/>
          <w:color w:val="000000" w:themeColor="text1"/>
        </w:rPr>
        <w:t xml:space="preserve"> </w:t>
      </w:r>
      <w:r w:rsidR="00A526BF" w:rsidRPr="00417D3B">
        <w:rPr>
          <w:rFonts w:ascii="Palatino Linotype" w:hAnsi="Palatino Linotype"/>
          <w:color w:val="000000" w:themeColor="text1"/>
        </w:rPr>
        <w:t>la clasificación de la información solicitada.</w:t>
      </w:r>
      <w:r w:rsidR="00AC4A31" w:rsidRPr="00417D3B">
        <w:rPr>
          <w:rFonts w:ascii="Palatino Linotype" w:hAnsi="Palatino Linotype"/>
          <w:color w:val="000000" w:themeColor="text1"/>
        </w:rPr>
        <w:t xml:space="preserve"> </w:t>
      </w:r>
      <w:r w:rsidR="00EE6D29" w:rsidRPr="00417D3B">
        <w:rPr>
          <w:rFonts w:ascii="Palatino Linotype" w:hAnsi="Palatino Linotype"/>
          <w:color w:val="000000" w:themeColor="text1"/>
        </w:rPr>
        <w:t xml:space="preserve">Ante </w:t>
      </w:r>
      <w:r w:rsidR="00EE6D29" w:rsidRPr="00417D3B">
        <w:rPr>
          <w:rFonts w:ascii="Palatino Linotype" w:eastAsia="Calibri" w:hAnsi="Palatino Linotype" w:cs="Arial"/>
          <w:color w:val="000000" w:themeColor="text1"/>
          <w:lang w:val="es-ES"/>
        </w:rPr>
        <w:t xml:space="preserve">la interposición del Recurso de Revisión, el </w:t>
      </w:r>
      <w:r w:rsidR="00B12EEA" w:rsidRPr="00417D3B">
        <w:rPr>
          <w:rFonts w:ascii="Palatino Linotype" w:eastAsia="Calibri" w:hAnsi="Palatino Linotype" w:cs="Arial"/>
          <w:bCs/>
          <w:color w:val="000000" w:themeColor="text1"/>
          <w:lang w:val="es-ES"/>
        </w:rPr>
        <w:t>Sujeto Obligado</w:t>
      </w:r>
      <w:r w:rsidR="00EE6D29" w:rsidRPr="00417D3B">
        <w:rPr>
          <w:rFonts w:ascii="Palatino Linotype" w:eastAsia="Calibri" w:hAnsi="Palatino Linotype" w:cs="Arial"/>
          <w:color w:val="000000" w:themeColor="text1"/>
          <w:lang w:val="es-ES"/>
        </w:rPr>
        <w:t xml:space="preserve"> </w:t>
      </w:r>
      <w:r w:rsidR="00A526BF" w:rsidRPr="00417D3B">
        <w:rPr>
          <w:rFonts w:ascii="Palatino Linotype" w:eastAsia="Calibri" w:hAnsi="Palatino Linotype" w:cs="Arial"/>
          <w:color w:val="000000" w:themeColor="text1"/>
          <w:lang w:val="es-ES"/>
        </w:rPr>
        <w:t>rindió</w:t>
      </w:r>
      <w:r w:rsidR="00EE6D29" w:rsidRPr="00417D3B">
        <w:rPr>
          <w:rFonts w:ascii="Palatino Linotype" w:eastAsia="Calibri" w:hAnsi="Palatino Linotype" w:cs="Arial"/>
          <w:color w:val="000000" w:themeColor="text1"/>
          <w:lang w:val="es-ES"/>
        </w:rPr>
        <w:t xml:space="preserve"> el informe</w:t>
      </w:r>
      <w:r w:rsidR="00A526BF" w:rsidRPr="00417D3B">
        <w:rPr>
          <w:rFonts w:ascii="Palatino Linotype" w:eastAsia="Calibri" w:hAnsi="Palatino Linotype" w:cs="Arial"/>
          <w:color w:val="000000" w:themeColor="text1"/>
          <w:lang w:val="es-ES"/>
        </w:rPr>
        <w:t xml:space="preserve"> justificado correspondiente </w:t>
      </w:r>
      <w:r w:rsidR="00AC4A31" w:rsidRPr="00417D3B">
        <w:rPr>
          <w:rFonts w:ascii="Palatino Linotype" w:eastAsia="Calibri" w:hAnsi="Palatino Linotype" w:cs="Arial"/>
          <w:color w:val="000000" w:themeColor="text1"/>
          <w:lang w:val="es-ES"/>
        </w:rPr>
        <w:t>en el que</w:t>
      </w:r>
      <w:r w:rsidR="00B12EEA" w:rsidRPr="00417D3B">
        <w:rPr>
          <w:rFonts w:ascii="Palatino Linotype" w:eastAsia="Calibri" w:hAnsi="Palatino Linotype" w:cs="Arial"/>
          <w:color w:val="000000" w:themeColor="text1"/>
          <w:lang w:val="es-ES"/>
        </w:rPr>
        <w:t xml:space="preserve">, medularmente,  confirmó su respuesta. </w:t>
      </w:r>
      <w:r w:rsidR="00AC4A31" w:rsidRPr="00417D3B">
        <w:rPr>
          <w:rFonts w:ascii="Palatino Linotype" w:eastAsia="Calibri" w:hAnsi="Palatino Linotype" w:cs="Arial"/>
          <w:color w:val="000000" w:themeColor="text1"/>
          <w:lang w:val="es-ES"/>
        </w:rPr>
        <w:t xml:space="preserve"> </w:t>
      </w:r>
    </w:p>
    <w:p w14:paraId="6710A2D9" w14:textId="77777777" w:rsidR="00874595" w:rsidRPr="00417D3B" w:rsidRDefault="00874595" w:rsidP="00874595">
      <w:pPr>
        <w:pStyle w:val="Prrafodelista"/>
        <w:tabs>
          <w:tab w:val="left" w:pos="426"/>
        </w:tabs>
        <w:spacing w:before="240" w:after="240" w:line="360" w:lineRule="auto"/>
        <w:ind w:left="0" w:right="51"/>
        <w:jc w:val="both"/>
        <w:rPr>
          <w:rFonts w:ascii="Palatino Linotype" w:hAnsi="Palatino Linotype"/>
          <w:color w:val="000000" w:themeColor="text1"/>
        </w:rPr>
      </w:pPr>
    </w:p>
    <w:p w14:paraId="23E54536" w14:textId="2C8B1F4B" w:rsidR="00874595" w:rsidRPr="00417D3B" w:rsidRDefault="00444364" w:rsidP="0087459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Expuesto</w:t>
      </w:r>
      <w:r w:rsidR="00A526BF" w:rsidRPr="00417D3B">
        <w:rPr>
          <w:rFonts w:ascii="Palatino Linotype" w:hAnsi="Palatino Linotype"/>
          <w:color w:val="000000" w:themeColor="text1"/>
        </w:rPr>
        <w:t xml:space="preserve"> lo anterior</w:t>
      </w:r>
      <w:r w:rsidR="00032E4B" w:rsidRPr="00417D3B">
        <w:rPr>
          <w:rFonts w:ascii="Palatino Linotype" w:hAnsi="Palatino Linotype"/>
          <w:color w:val="000000" w:themeColor="text1"/>
        </w:rPr>
        <w:t xml:space="preserve">, </w:t>
      </w:r>
      <w:r w:rsidR="00874595" w:rsidRPr="00417D3B">
        <w:rPr>
          <w:rFonts w:ascii="Palatino Linotype" w:hAnsi="Palatino Linotype"/>
          <w:color w:val="000000" w:themeColor="text1"/>
        </w:rPr>
        <w:t xml:space="preserve">resulta necesario referir lo establecido en los artículos </w:t>
      </w:r>
      <w:r w:rsidR="00874595" w:rsidRPr="00417D3B">
        <w:rPr>
          <w:rFonts w:ascii="Palatino Linotype" w:hAnsi="Palatino Linotype"/>
          <w:lang w:val="es-ES"/>
        </w:rPr>
        <w:t>4, 12, 23 fracción IV, 24 fracción XII y último párrafo, y 160 de la Ley de Transparencia y Acceso a la Información Pública del Estado de México y Municipios, mismos que se transcriben a continuación:</w:t>
      </w:r>
    </w:p>
    <w:p w14:paraId="2D9CF306"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w:t>
      </w:r>
      <w:r w:rsidRPr="00417D3B">
        <w:rPr>
          <w:rFonts w:ascii="Palatino Linotype" w:eastAsiaTheme="minorHAnsi" w:hAnsi="Palatino Linotype" w:cs="Arial"/>
          <w:b/>
          <w:bCs/>
          <w:i/>
          <w:sz w:val="22"/>
          <w:lang w:eastAsia="en-US"/>
        </w:rPr>
        <w:t>Artículo 4.</w:t>
      </w:r>
      <w:r w:rsidRPr="00417D3B">
        <w:rPr>
          <w:rFonts w:ascii="Palatino Linotype" w:eastAsiaTheme="minorHAnsi" w:hAnsi="Palatino Linotype" w:cs="Arial"/>
          <w:bCs/>
          <w:i/>
          <w:sz w:val="22"/>
          <w:lang w:eastAsia="en-US"/>
        </w:rPr>
        <w:t xml:space="preserve"> </w:t>
      </w:r>
      <w:r w:rsidRPr="00417D3B">
        <w:rPr>
          <w:rFonts w:ascii="Palatino Linotype" w:eastAsiaTheme="minorHAnsi" w:hAnsi="Palatino Linotype" w:cs="Arial"/>
          <w:bCs/>
          <w:i/>
          <w:sz w:val="22"/>
          <w:u w:val="single"/>
          <w:lang w:eastAsia="en-US"/>
        </w:rPr>
        <w:t>El derecho humano de acceso a la información pública</w:t>
      </w:r>
      <w:r w:rsidRPr="00417D3B">
        <w:rPr>
          <w:rFonts w:ascii="Palatino Linotype" w:eastAsiaTheme="minorHAnsi" w:hAnsi="Palatino Linotype" w:cs="Arial"/>
          <w:bCs/>
          <w:i/>
          <w:sz w:val="22"/>
          <w:lang w:eastAsia="en-US"/>
        </w:rPr>
        <w:t xml:space="preserve"> es la prerrogativa de las personas para buscar, difundir, investigar, recabar, recibir y solicitar información pública, sin necesidad de acreditar personalidad ni interés jurídico.</w:t>
      </w:r>
    </w:p>
    <w:p w14:paraId="7923EED0" w14:textId="77777777" w:rsidR="00874595" w:rsidRPr="00417D3B" w:rsidRDefault="00874595" w:rsidP="00874595">
      <w:pPr>
        <w:ind w:left="567" w:right="567"/>
        <w:jc w:val="both"/>
        <w:rPr>
          <w:rFonts w:ascii="Palatino Linotype" w:eastAsiaTheme="minorHAnsi" w:hAnsi="Palatino Linotype" w:cs="Arial"/>
          <w:bCs/>
          <w:i/>
          <w:sz w:val="22"/>
          <w:u w:val="single"/>
          <w:lang w:eastAsia="en-US"/>
        </w:rPr>
      </w:pPr>
    </w:p>
    <w:p w14:paraId="728DA642"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u w:val="single"/>
          <w:lang w:eastAsia="en-US"/>
        </w:rPr>
        <w:t xml:space="preserve">Toda la información generada, obtenida, adquirida, transformada, administrada o en posesión de los sujetos obligados es pública y accesible de manera permanente a cualquier </w:t>
      </w:r>
      <w:r w:rsidRPr="00417D3B">
        <w:rPr>
          <w:rFonts w:ascii="Palatino Linotype" w:eastAsiaTheme="minorHAnsi" w:hAnsi="Palatino Linotype" w:cs="Arial"/>
          <w:bCs/>
          <w:i/>
          <w:sz w:val="22"/>
          <w:u w:val="single"/>
          <w:lang w:eastAsia="en-US"/>
        </w:rPr>
        <w:lastRenderedPageBreak/>
        <w:t>persona</w:t>
      </w:r>
      <w:r w:rsidRPr="00417D3B">
        <w:rPr>
          <w:rFonts w:ascii="Palatino Linotype" w:eastAsiaTheme="minorHAnsi" w:hAnsi="Palatino Linotype" w:cs="Arial"/>
          <w:bCs/>
          <w:i/>
          <w:sz w:val="22"/>
          <w:lang w:eastAsia="en-U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F302631" w14:textId="77777777" w:rsidR="00874595" w:rsidRPr="00417D3B" w:rsidRDefault="00874595" w:rsidP="00874595">
      <w:pPr>
        <w:ind w:left="567" w:right="567"/>
        <w:jc w:val="both"/>
        <w:rPr>
          <w:rFonts w:ascii="Palatino Linotype" w:eastAsiaTheme="minorHAnsi" w:hAnsi="Palatino Linotype" w:cs="Arial"/>
          <w:bCs/>
          <w:i/>
          <w:sz w:val="22"/>
          <w:lang w:eastAsia="en-US"/>
        </w:rPr>
      </w:pPr>
    </w:p>
    <w:p w14:paraId="3535F527"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Los sujetos obligados deben poner en práctica, políticas y programas de acceso a la información que se apeguen a criterios de publicidad, veracidad, oportunidad, precisión y suficiencia en beneficio de los solicitantes.</w:t>
      </w:r>
    </w:p>
    <w:p w14:paraId="720A9A5A" w14:textId="77777777" w:rsidR="00874595" w:rsidRPr="00417D3B" w:rsidRDefault="00874595" w:rsidP="00874595">
      <w:pPr>
        <w:ind w:left="567" w:right="567"/>
        <w:jc w:val="both"/>
        <w:rPr>
          <w:rFonts w:ascii="Palatino Linotype" w:eastAsiaTheme="minorHAnsi" w:hAnsi="Palatino Linotype" w:cs="Arial"/>
          <w:bCs/>
          <w:i/>
          <w:sz w:val="22"/>
          <w:lang w:eastAsia="en-US"/>
        </w:rPr>
      </w:pPr>
    </w:p>
    <w:p w14:paraId="1BD06FF3"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
          <w:bCs/>
          <w:i/>
          <w:sz w:val="22"/>
          <w:lang w:eastAsia="en-US"/>
        </w:rPr>
        <w:t>Artículo 12.</w:t>
      </w:r>
      <w:r w:rsidRPr="00417D3B">
        <w:rPr>
          <w:rFonts w:ascii="Palatino Linotype" w:eastAsiaTheme="minorHAnsi" w:hAnsi="Palatino Linotype" w:cs="Arial"/>
          <w:bCs/>
          <w:i/>
          <w:sz w:val="22"/>
          <w:lang w:eastAsia="en-US"/>
        </w:rPr>
        <w:t xml:space="preserve"> Quienes generen, recopilen, administren, manejen, procesen, archiven o conserven información pública serán responsables de la misma en los términos de las disposiciones jurídicas aplicables.</w:t>
      </w:r>
    </w:p>
    <w:p w14:paraId="26637D7E" w14:textId="77777777" w:rsidR="00874595" w:rsidRPr="00417D3B" w:rsidRDefault="00874595" w:rsidP="00874595">
      <w:pPr>
        <w:ind w:left="567" w:right="567"/>
        <w:jc w:val="both"/>
        <w:rPr>
          <w:rFonts w:ascii="Palatino Linotype" w:eastAsiaTheme="minorHAnsi" w:hAnsi="Palatino Linotype" w:cs="Arial"/>
          <w:bCs/>
          <w:i/>
          <w:sz w:val="22"/>
          <w:u w:val="single"/>
          <w:lang w:eastAsia="en-US"/>
        </w:rPr>
      </w:pPr>
    </w:p>
    <w:p w14:paraId="51D217CD"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u w:val="single"/>
          <w:lang w:eastAsia="en-US"/>
        </w:rPr>
        <w:t>Los sujetos obligados sólo proporcionarán la información pública que se les requiera y que obre en sus archivos y en el estado en que ésta se encuentre.</w:t>
      </w:r>
      <w:r w:rsidRPr="00417D3B">
        <w:rPr>
          <w:rFonts w:ascii="Palatino Linotype" w:eastAsiaTheme="minorHAnsi" w:hAnsi="Palatino Linotype" w:cs="Arial"/>
          <w:bCs/>
          <w:i/>
          <w:sz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3E7E2D3"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w:t>
      </w:r>
    </w:p>
    <w:p w14:paraId="71F579D6" w14:textId="77777777" w:rsidR="00874595" w:rsidRPr="00417D3B" w:rsidRDefault="00874595" w:rsidP="00874595">
      <w:pPr>
        <w:ind w:left="567" w:right="567"/>
        <w:jc w:val="both"/>
        <w:rPr>
          <w:rFonts w:ascii="Palatino Linotype" w:eastAsiaTheme="minorHAnsi" w:hAnsi="Palatino Linotype" w:cs="Arial"/>
          <w:b/>
          <w:bCs/>
          <w:i/>
          <w:sz w:val="22"/>
          <w:lang w:eastAsia="en-US"/>
        </w:rPr>
      </w:pPr>
    </w:p>
    <w:p w14:paraId="715007FE"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
          <w:bCs/>
          <w:i/>
          <w:sz w:val="22"/>
          <w:lang w:eastAsia="en-US"/>
        </w:rPr>
        <w:t>Artículo 23</w:t>
      </w:r>
      <w:r w:rsidRPr="00417D3B">
        <w:rPr>
          <w:rFonts w:ascii="Palatino Linotype" w:eastAsiaTheme="minorHAnsi" w:hAnsi="Palatino Linotype" w:cs="Arial"/>
          <w:bCs/>
          <w:i/>
          <w:sz w:val="22"/>
          <w:lang w:eastAsia="en-US"/>
        </w:rPr>
        <w:t xml:space="preserve">. </w:t>
      </w:r>
      <w:r w:rsidRPr="00417D3B">
        <w:rPr>
          <w:rFonts w:ascii="Palatino Linotype" w:eastAsiaTheme="minorHAnsi" w:hAnsi="Palatino Linotype" w:cs="Arial"/>
          <w:b/>
          <w:bCs/>
          <w:i/>
          <w:sz w:val="22"/>
          <w:lang w:eastAsia="en-US"/>
        </w:rPr>
        <w:t>Son sujetos obligados</w:t>
      </w:r>
      <w:r w:rsidRPr="00417D3B">
        <w:rPr>
          <w:rFonts w:ascii="Palatino Linotype" w:eastAsiaTheme="minorHAnsi" w:hAnsi="Palatino Linotype" w:cs="Arial"/>
          <w:bCs/>
          <w:i/>
          <w:sz w:val="22"/>
          <w:lang w:eastAsia="en-US"/>
        </w:rPr>
        <w:t xml:space="preserve"> a transparentar y permitir el acceso a su información y proteger los datos personales que obren en su poder: </w:t>
      </w:r>
    </w:p>
    <w:p w14:paraId="264F81DA"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w:t>
      </w:r>
    </w:p>
    <w:p w14:paraId="5335554C"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
          <w:bCs/>
          <w:i/>
          <w:sz w:val="22"/>
          <w:lang w:eastAsia="en-US"/>
        </w:rPr>
        <w:t xml:space="preserve">IV. </w:t>
      </w:r>
      <w:r w:rsidRPr="00417D3B">
        <w:rPr>
          <w:rFonts w:ascii="Palatino Linotype" w:eastAsiaTheme="minorHAnsi" w:hAnsi="Palatino Linotype" w:cs="Arial"/>
          <w:bCs/>
          <w:i/>
          <w:sz w:val="22"/>
          <w:lang w:eastAsia="en-US"/>
        </w:rPr>
        <w:t>Los ayuntamientos y las dependencias, organismos,</w:t>
      </w:r>
      <w:r w:rsidRPr="00417D3B">
        <w:rPr>
          <w:rFonts w:ascii="Palatino Linotype" w:eastAsiaTheme="minorHAnsi" w:hAnsi="Palatino Linotype" w:cs="Arial"/>
          <w:b/>
          <w:bCs/>
          <w:i/>
          <w:sz w:val="22"/>
          <w:u w:val="single"/>
          <w:lang w:eastAsia="en-US"/>
        </w:rPr>
        <w:t xml:space="preserve"> órganos y entidades de la administración municipal;</w:t>
      </w:r>
    </w:p>
    <w:p w14:paraId="40161AED" w14:textId="77777777" w:rsidR="00874595" w:rsidRPr="00417D3B" w:rsidRDefault="00874595" w:rsidP="00874595">
      <w:pPr>
        <w:ind w:left="567" w:right="567"/>
        <w:jc w:val="both"/>
        <w:rPr>
          <w:rFonts w:ascii="Palatino Linotype" w:eastAsiaTheme="minorHAnsi" w:hAnsi="Palatino Linotype" w:cs="Arial"/>
          <w:bCs/>
          <w:i/>
          <w:sz w:val="22"/>
          <w:lang w:eastAsia="en-US"/>
        </w:rPr>
      </w:pPr>
    </w:p>
    <w:p w14:paraId="2B13D987" w14:textId="77777777" w:rsidR="00874595" w:rsidRPr="00417D3B" w:rsidRDefault="00874595" w:rsidP="00874595">
      <w:pPr>
        <w:ind w:left="567" w:right="567"/>
        <w:jc w:val="both"/>
        <w:rPr>
          <w:rFonts w:ascii="Palatino Linotype" w:eastAsiaTheme="minorHAnsi" w:hAnsi="Palatino Linotype" w:cs="Arial"/>
          <w:b/>
          <w:bCs/>
          <w:i/>
          <w:sz w:val="22"/>
          <w:lang w:eastAsia="en-US"/>
        </w:rPr>
      </w:pPr>
      <w:r w:rsidRPr="00417D3B">
        <w:rPr>
          <w:rFonts w:ascii="Palatino Linotype" w:eastAsiaTheme="minorHAnsi" w:hAnsi="Palatino Linotype" w:cs="Arial"/>
          <w:b/>
          <w:bCs/>
          <w:i/>
          <w:sz w:val="22"/>
          <w:lang w:eastAsia="en-US"/>
        </w:rPr>
        <w:t xml:space="preserve">Artículo 24. </w:t>
      </w:r>
    </w:p>
    <w:p w14:paraId="338CEB4F"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w:t>
      </w:r>
    </w:p>
    <w:p w14:paraId="402BF251"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
          <w:bCs/>
          <w:i/>
          <w:sz w:val="22"/>
          <w:lang w:eastAsia="en-US"/>
        </w:rPr>
        <w:t>XII.</w:t>
      </w:r>
      <w:r w:rsidRPr="00417D3B">
        <w:rPr>
          <w:rFonts w:ascii="Palatino Linotype" w:eastAsiaTheme="minorHAnsi" w:hAnsi="Palatino Linotype" w:cs="Arial"/>
          <w:bCs/>
          <w:i/>
          <w:sz w:val="22"/>
          <w:lang w:eastAsia="en-US"/>
        </w:rPr>
        <w:t xml:space="preserve"> Publicar y mantener actualizada la información relativa a las obligaciones generales de transparencia previstas en la presente Ley o determinadas así por el Instituto, y en general aquella que sea de interés público;</w:t>
      </w:r>
    </w:p>
    <w:p w14:paraId="70FBE53D"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w:t>
      </w:r>
    </w:p>
    <w:p w14:paraId="0A9650DF"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Los sujetos obligados solo proporcionarán la información pública que generen, administren o posean en el ejercicio de sus atribuciones.”</w:t>
      </w:r>
    </w:p>
    <w:p w14:paraId="43A92A4B" w14:textId="77777777" w:rsidR="00874595" w:rsidRPr="00417D3B" w:rsidRDefault="00874595" w:rsidP="00874595">
      <w:pPr>
        <w:ind w:left="567" w:right="567"/>
        <w:jc w:val="both"/>
        <w:rPr>
          <w:rFonts w:ascii="Palatino Linotype" w:eastAsiaTheme="minorHAnsi" w:hAnsi="Palatino Linotype" w:cs="Arial"/>
          <w:bCs/>
          <w:i/>
          <w:sz w:val="22"/>
          <w:lang w:eastAsia="en-US"/>
        </w:rPr>
      </w:pPr>
    </w:p>
    <w:p w14:paraId="5DAED0D7" w14:textId="7777777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
          <w:bCs/>
          <w:i/>
          <w:sz w:val="22"/>
          <w:lang w:eastAsia="en-US"/>
        </w:rPr>
        <w:t>Artículo 160.</w:t>
      </w:r>
      <w:r w:rsidRPr="00417D3B">
        <w:rPr>
          <w:rFonts w:ascii="Palatino Linotype" w:eastAsiaTheme="minorHAnsi" w:hAnsi="Palatino Linotype" w:cs="Arial"/>
          <w:bCs/>
          <w:i/>
          <w:sz w:val="22"/>
          <w:lang w:eastAsia="en-US"/>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417D3B">
        <w:rPr>
          <w:rFonts w:ascii="Palatino Linotype" w:eastAsiaTheme="minorHAnsi" w:hAnsi="Palatino Linotype" w:cs="Arial"/>
          <w:bCs/>
          <w:i/>
          <w:sz w:val="22"/>
          <w:lang w:eastAsia="en-US"/>
        </w:rPr>
        <w:lastRenderedPageBreak/>
        <w:t>aquellos formatos existentes, conforme a las características físicas de la información o del lugar donde se encuentre así lo permita.</w:t>
      </w:r>
    </w:p>
    <w:p w14:paraId="7CF823C4" w14:textId="77777777" w:rsidR="00874595" w:rsidRPr="00417D3B" w:rsidRDefault="00874595" w:rsidP="00874595">
      <w:pPr>
        <w:ind w:left="567" w:right="567"/>
        <w:jc w:val="both"/>
        <w:rPr>
          <w:rFonts w:ascii="Palatino Linotype" w:eastAsiaTheme="minorHAnsi" w:hAnsi="Palatino Linotype" w:cs="Arial"/>
          <w:bCs/>
          <w:i/>
          <w:sz w:val="22"/>
          <w:lang w:eastAsia="en-US"/>
        </w:rPr>
      </w:pPr>
    </w:p>
    <w:p w14:paraId="30BB9735" w14:textId="34A24EB7" w:rsidR="00874595" w:rsidRPr="00417D3B" w:rsidRDefault="00874595" w:rsidP="00874595">
      <w:pPr>
        <w:ind w:left="567" w:right="567"/>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En caso que la información solicitada consista en bases de datos se deberá privilegiar la entrega de la misma en formatos abiertos.”</w:t>
      </w:r>
    </w:p>
    <w:p w14:paraId="51B2A011" w14:textId="77777777" w:rsidR="00874595" w:rsidRPr="00417D3B" w:rsidRDefault="00874595" w:rsidP="00874595">
      <w:pPr>
        <w:ind w:right="567"/>
        <w:jc w:val="both"/>
        <w:rPr>
          <w:rFonts w:ascii="Palatino Linotype" w:eastAsiaTheme="minorHAnsi" w:hAnsi="Palatino Linotype" w:cs="Arial"/>
          <w:bCs/>
          <w:sz w:val="22"/>
          <w:lang w:eastAsia="en-US"/>
        </w:rPr>
      </w:pPr>
    </w:p>
    <w:p w14:paraId="6F995A03" w14:textId="77777777" w:rsidR="00874595" w:rsidRPr="00417D3B" w:rsidRDefault="00874595" w:rsidP="00874595">
      <w:pPr>
        <w:pStyle w:val="Prrafodelista"/>
        <w:rPr>
          <w:rFonts w:ascii="Palatino Linotype" w:hAnsi="Palatino Linotype"/>
          <w:color w:val="000000" w:themeColor="text1"/>
        </w:rPr>
      </w:pPr>
    </w:p>
    <w:p w14:paraId="4CB380FF" w14:textId="22AA0F8D" w:rsidR="00874595" w:rsidRPr="00417D3B" w:rsidRDefault="00874595" w:rsidP="007533A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Preceptos legales, </w:t>
      </w:r>
      <w:r w:rsidRPr="00417D3B">
        <w:rPr>
          <w:rFonts w:ascii="Palatino Linotype" w:eastAsiaTheme="minorHAnsi" w:hAnsi="Palatino Linotype" w:cs="Arial"/>
          <w:lang w:val="es-ES" w:eastAsia="en-US"/>
        </w:rPr>
        <w:t>que establecen la obligación de hacer pública toda la información que generen, administren o posean los Sujetos Obligados, en ejercicio de sus facultades, funciones y/o atribuciones.</w:t>
      </w:r>
    </w:p>
    <w:p w14:paraId="588AC531" w14:textId="77777777" w:rsidR="00874595" w:rsidRPr="00417D3B" w:rsidRDefault="00874595" w:rsidP="00874595">
      <w:pPr>
        <w:pStyle w:val="Prrafodelista"/>
        <w:tabs>
          <w:tab w:val="left" w:pos="426"/>
        </w:tabs>
        <w:spacing w:before="240" w:after="240" w:line="360" w:lineRule="auto"/>
        <w:ind w:left="0" w:right="51"/>
        <w:jc w:val="both"/>
        <w:rPr>
          <w:rFonts w:ascii="Palatino Linotype" w:hAnsi="Palatino Linotype"/>
          <w:color w:val="000000" w:themeColor="text1"/>
        </w:rPr>
      </w:pPr>
    </w:p>
    <w:p w14:paraId="08429E51" w14:textId="1AF3266B" w:rsidR="00A526BF" w:rsidRPr="00417D3B" w:rsidRDefault="00874595" w:rsidP="00A526B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Ahora bien, </w:t>
      </w:r>
      <w:r w:rsidR="00A526BF" w:rsidRPr="00417D3B">
        <w:rPr>
          <w:rFonts w:ascii="Palatino Linotype" w:hAnsi="Palatino Linotype"/>
          <w:color w:val="000000" w:themeColor="text1"/>
        </w:rPr>
        <w:t xml:space="preserve">en alusión a los requerimientos formulados por el </w:t>
      </w:r>
      <w:r w:rsidR="00B12EEA" w:rsidRPr="00417D3B">
        <w:rPr>
          <w:rFonts w:ascii="Palatino Linotype" w:hAnsi="Palatino Linotype"/>
          <w:color w:val="000000" w:themeColor="text1"/>
        </w:rPr>
        <w:t>Recurrente</w:t>
      </w:r>
      <w:r w:rsidR="00A526BF" w:rsidRPr="00417D3B">
        <w:rPr>
          <w:rFonts w:ascii="Palatino Linotype" w:hAnsi="Palatino Linotype"/>
          <w:color w:val="000000" w:themeColor="text1"/>
        </w:rPr>
        <w:t xml:space="preserve">, </w:t>
      </w:r>
      <w:r w:rsidR="00A526BF" w:rsidRPr="00417D3B">
        <w:rPr>
          <w:rFonts w:ascii="Palatino Linotype" w:eastAsiaTheme="minorHAnsi" w:hAnsi="Palatino Linotype" w:cs="Arial"/>
          <w:lang w:eastAsia="en-US"/>
        </w:rPr>
        <w:t>resulta oportuno traer a colación los artículos 5, fracción II, XVII, 7, fracción IX, 19, fracción I, 39, inciso b), fracción VI y XI, 118 de la Ley General del Sistema Nacional de Seguridad Públ</w:t>
      </w:r>
      <w:r w:rsidR="007533A6" w:rsidRPr="00417D3B">
        <w:rPr>
          <w:rFonts w:ascii="Palatino Linotype" w:eastAsiaTheme="minorHAnsi" w:hAnsi="Palatino Linotype" w:cs="Arial"/>
          <w:lang w:eastAsia="en-US"/>
        </w:rPr>
        <w:t>ica; así como, el artículo</w:t>
      </w:r>
      <w:r w:rsidR="00A526BF" w:rsidRPr="00417D3B">
        <w:rPr>
          <w:rFonts w:ascii="Palatino Linotype" w:eastAsiaTheme="minorHAnsi" w:hAnsi="Palatino Linotype" w:cs="Arial"/>
          <w:lang w:eastAsia="en-US"/>
        </w:rPr>
        <w:t xml:space="preserve"> 125, fracción VIII y 142 de la Ley Orgánica </w:t>
      </w:r>
      <w:r w:rsidR="007533A6" w:rsidRPr="00417D3B">
        <w:rPr>
          <w:rFonts w:ascii="Palatino Linotype" w:eastAsiaTheme="minorHAnsi" w:hAnsi="Palatino Linotype" w:cs="Arial"/>
          <w:lang w:eastAsia="en-US"/>
        </w:rPr>
        <w:t>Municipal del Estado de México:</w:t>
      </w:r>
    </w:p>
    <w:p w14:paraId="7EC038DA" w14:textId="77777777" w:rsidR="00A526BF" w:rsidRPr="00417D3B" w:rsidRDefault="00A526BF" w:rsidP="00A526BF">
      <w:pPr>
        <w:ind w:left="567" w:right="616"/>
        <w:jc w:val="center"/>
        <w:rPr>
          <w:rFonts w:ascii="Palatino Linotype" w:eastAsiaTheme="minorHAnsi" w:hAnsi="Palatino Linotype" w:cs="Arial"/>
          <w:b/>
          <w:i/>
          <w:sz w:val="22"/>
          <w:lang w:eastAsia="en-US"/>
        </w:rPr>
      </w:pPr>
      <w:r w:rsidRPr="00417D3B">
        <w:rPr>
          <w:rFonts w:ascii="Palatino Linotype" w:eastAsiaTheme="minorHAnsi" w:hAnsi="Palatino Linotype" w:cs="Arial"/>
          <w:b/>
          <w:i/>
          <w:sz w:val="22"/>
          <w:lang w:eastAsia="en-US"/>
        </w:rPr>
        <w:t>LEY GENERAL DEL SISTEMA NACIONAL DE SEGURIDAD PÚBLICA</w:t>
      </w:r>
    </w:p>
    <w:p w14:paraId="2F520293" w14:textId="77777777" w:rsidR="00A526BF" w:rsidRPr="00417D3B" w:rsidRDefault="00A526BF" w:rsidP="00A526BF">
      <w:pPr>
        <w:ind w:left="567" w:right="616"/>
        <w:jc w:val="both"/>
        <w:rPr>
          <w:rFonts w:ascii="Palatino Linotype" w:eastAsiaTheme="minorHAnsi" w:hAnsi="Palatino Linotype" w:cs="Arial"/>
          <w:i/>
          <w:sz w:val="22"/>
          <w:lang w:eastAsia="en-US"/>
        </w:rPr>
      </w:pPr>
    </w:p>
    <w:p w14:paraId="78399325"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r w:rsidRPr="00417D3B">
        <w:rPr>
          <w:rFonts w:ascii="Palatino Linotype" w:eastAsiaTheme="minorHAnsi" w:hAnsi="Palatino Linotype" w:cs="Arial"/>
          <w:b/>
          <w:i/>
          <w:sz w:val="22"/>
          <w:lang w:eastAsia="en-US"/>
        </w:rPr>
        <w:t>Artículo 5.-</w:t>
      </w:r>
      <w:r w:rsidRPr="00417D3B">
        <w:rPr>
          <w:rFonts w:ascii="Palatino Linotype" w:eastAsiaTheme="minorHAnsi" w:hAnsi="Palatino Linotype" w:cs="Arial"/>
          <w:i/>
          <w:sz w:val="22"/>
          <w:lang w:eastAsia="en-US"/>
        </w:rPr>
        <w:t xml:space="preserve"> Para los efectos de esta Ley, se entenderá por:</w:t>
      </w:r>
    </w:p>
    <w:p w14:paraId="53CEF929"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46398A83"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II. Bases de Datos:</w:t>
      </w:r>
      <w:r w:rsidRPr="00417D3B">
        <w:rPr>
          <w:rFonts w:ascii="Palatino Linotype" w:eastAsiaTheme="minorHAnsi" w:hAnsi="Palatino Linotype" w:cs="Arial"/>
          <w:i/>
          <w:sz w:val="22"/>
          <w:lang w:eastAsia="en-US"/>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28839DA8"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5C43F63E"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XVII. Sistema Nacional de Información:</w:t>
      </w:r>
      <w:r w:rsidRPr="00417D3B">
        <w:rPr>
          <w:rFonts w:ascii="Palatino Linotype" w:eastAsiaTheme="minorHAnsi" w:hAnsi="Palatino Linotype" w:cs="Arial"/>
          <w:i/>
          <w:sz w:val="22"/>
          <w:lang w:eastAsia="en-US"/>
        </w:rPr>
        <w:t xml:space="preserve"> al Sistema Nacional de Información en Seguridad Pública, el cual constituye el conjunto integrado, organizado y sistematizado de las Bases de Datos. Está integrado por elementos metodológicos y procedimentales </w:t>
      </w:r>
      <w:r w:rsidRPr="00417D3B">
        <w:rPr>
          <w:rFonts w:ascii="Palatino Linotype" w:eastAsiaTheme="minorHAnsi" w:hAnsi="Palatino Linotype" w:cs="Arial"/>
          <w:i/>
          <w:sz w:val="22"/>
          <w:lang w:eastAsia="en-US"/>
        </w:rPr>
        <w:lastRenderedPageBreak/>
        <w:t>que permiten a las Instituciones de Seguridad Pública su consulta e interconexión para el desempeño de sus funciones.</w:t>
      </w:r>
    </w:p>
    <w:p w14:paraId="364A9BEA"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674C2F5B" w14:textId="77777777" w:rsidR="00A526BF" w:rsidRPr="00417D3B" w:rsidRDefault="00A526BF" w:rsidP="00A526BF">
      <w:pPr>
        <w:ind w:left="567" w:right="616"/>
        <w:jc w:val="both"/>
        <w:rPr>
          <w:rFonts w:ascii="Palatino Linotype" w:eastAsiaTheme="minorHAnsi" w:hAnsi="Palatino Linotype" w:cs="Arial"/>
          <w:i/>
          <w:sz w:val="22"/>
          <w:lang w:eastAsia="en-US"/>
        </w:rPr>
      </w:pPr>
    </w:p>
    <w:p w14:paraId="70C19D9B"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Artículo 7.-</w:t>
      </w:r>
      <w:r w:rsidRPr="00417D3B">
        <w:rPr>
          <w:rFonts w:ascii="Palatino Linotype" w:eastAsiaTheme="minorHAnsi" w:hAnsi="Palatino Linotype" w:cs="Arial"/>
          <w:i/>
          <w:sz w:val="22"/>
          <w:lang w:eastAsia="en-US"/>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4EC8448F"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73FB0886"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 xml:space="preserve">IX. Generar, compartir, intercambiar, ingresar, almacenar y proveer información, archivos y contenidos a las Bases de Datos que integran el Sistema Nacional de Información, de conformidad con lo dispuesto en la legislación en la materia. </w:t>
      </w:r>
    </w:p>
    <w:p w14:paraId="0082F013"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Tratándose de manejo de datos que provengan del Registro Nacional de Detenciones se atendrá a lo dispuesto en la Ley Nacional del Registro de Detenciones;</w:t>
      </w:r>
    </w:p>
    <w:p w14:paraId="3A40B1E4"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5EF53904" w14:textId="77777777" w:rsidR="00A526BF" w:rsidRPr="00417D3B" w:rsidRDefault="00A526BF" w:rsidP="00A526BF">
      <w:pPr>
        <w:ind w:left="567" w:right="616"/>
        <w:jc w:val="both"/>
        <w:rPr>
          <w:rFonts w:ascii="Palatino Linotype" w:eastAsiaTheme="minorHAnsi" w:hAnsi="Palatino Linotype" w:cs="Arial"/>
          <w:i/>
          <w:sz w:val="22"/>
          <w:lang w:eastAsia="en-US"/>
        </w:rPr>
      </w:pPr>
    </w:p>
    <w:p w14:paraId="009934CF"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Artículo 19.-</w:t>
      </w:r>
      <w:r w:rsidRPr="00417D3B">
        <w:rPr>
          <w:rFonts w:ascii="Palatino Linotype" w:eastAsiaTheme="minorHAnsi" w:hAnsi="Palatino Linotype" w:cs="Arial"/>
          <w:i/>
          <w:sz w:val="22"/>
          <w:lang w:eastAsia="en-US"/>
        </w:rPr>
        <w:t xml:space="preserve"> El Centro Nacional de Información será el responsable de regular el Sistema Nacional de Información y tendrá, entre otras, las siguientes atribuciones: </w:t>
      </w:r>
    </w:p>
    <w:p w14:paraId="108BA153"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I. Determinar los criterios técnicos y de homologación de las Bases de Datos que conforman el Sistema Nacional de Información;</w:t>
      </w:r>
    </w:p>
    <w:p w14:paraId="57B8A280"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613EFA6D"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Artículo 39.-</w:t>
      </w:r>
      <w:r w:rsidRPr="00417D3B">
        <w:rPr>
          <w:rFonts w:ascii="Palatino Linotype" w:eastAsiaTheme="minorHAnsi" w:hAnsi="Palatino Linotype" w:cs="Arial"/>
          <w:i/>
          <w:sz w:val="22"/>
          <w:lang w:eastAsia="en-US"/>
        </w:rPr>
        <w:t xml:space="preserve"> La concurrencia de facultades entre la Federación, las entidades federativas y los Municipios, quedará distribuida conforme a lo siguiente:</w:t>
      </w:r>
    </w:p>
    <w:p w14:paraId="481A1BBD"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2CA6E9F8"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B. Corresponde a la Federación, a las entidades federativas y a los Municipios, en el ámbito de sus respectivas competencias:</w:t>
      </w:r>
    </w:p>
    <w:p w14:paraId="1A6A8D70"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04C0B9F6"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VI. Designar a un responsable del control, suministro y adecuado manejo de la información a que se refiere esta Ley;</w:t>
      </w:r>
    </w:p>
    <w:p w14:paraId="70AAD5A6"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64D345DA" w14:textId="77777777" w:rsidR="00A526BF" w:rsidRPr="00417D3B" w:rsidRDefault="00A526BF" w:rsidP="00A526BF">
      <w:pPr>
        <w:ind w:left="567" w:right="616"/>
        <w:jc w:val="both"/>
        <w:rPr>
          <w:rFonts w:ascii="Palatino Linotype" w:eastAsiaTheme="minorHAnsi" w:hAnsi="Palatino Linotype" w:cs="Arial"/>
          <w:bCs/>
          <w:i/>
          <w:sz w:val="22"/>
          <w:lang w:eastAsia="en-US"/>
        </w:rPr>
      </w:pPr>
      <w:r w:rsidRPr="00417D3B">
        <w:rPr>
          <w:rFonts w:ascii="Palatino Linotype" w:eastAsiaTheme="minorHAnsi" w:hAnsi="Palatino Linotype" w:cs="Arial"/>
          <w:bCs/>
          <w:i/>
          <w:sz w:val="22"/>
          <w:lang w:eastAsia="en-US"/>
        </w:rPr>
        <w:t xml:space="preserve">XI. Integrar y consultar la información relativa a la operación y Desarrollo Policial para el registro y seguimiento en el Sistema Nacional de Información; </w:t>
      </w:r>
    </w:p>
    <w:p w14:paraId="182BA27A"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5D04D379" w14:textId="77777777" w:rsidR="00A526BF" w:rsidRPr="00417D3B" w:rsidRDefault="00A526BF" w:rsidP="00A526BF">
      <w:pPr>
        <w:ind w:left="567" w:right="616"/>
        <w:jc w:val="both"/>
        <w:rPr>
          <w:rFonts w:ascii="Palatino Linotype" w:eastAsiaTheme="minorHAnsi" w:hAnsi="Palatino Linotype" w:cs="Arial"/>
          <w:b/>
          <w:bCs/>
          <w:i/>
          <w:sz w:val="22"/>
          <w:u w:val="single"/>
          <w:lang w:eastAsia="en-US"/>
        </w:rPr>
      </w:pPr>
    </w:p>
    <w:p w14:paraId="1D31A8CB" w14:textId="77777777" w:rsidR="00A526BF" w:rsidRPr="00417D3B" w:rsidRDefault="00A526BF" w:rsidP="00A526BF">
      <w:pPr>
        <w:ind w:left="567" w:right="616"/>
        <w:jc w:val="both"/>
        <w:rPr>
          <w:rFonts w:ascii="Palatino Linotype" w:eastAsiaTheme="minorHAnsi" w:hAnsi="Palatino Linotype" w:cs="Arial"/>
          <w:b/>
          <w:bCs/>
          <w:i/>
          <w:sz w:val="22"/>
          <w:u w:val="single"/>
          <w:lang w:eastAsia="en-US"/>
        </w:rPr>
      </w:pPr>
      <w:r w:rsidRPr="00417D3B">
        <w:rPr>
          <w:rFonts w:ascii="Palatino Linotype" w:eastAsiaTheme="minorHAnsi" w:hAnsi="Palatino Linotype" w:cs="Arial"/>
          <w:b/>
          <w:bCs/>
          <w:i/>
          <w:sz w:val="22"/>
          <w:u w:val="single"/>
          <w:lang w:eastAsia="en-US"/>
        </w:rPr>
        <w:t xml:space="preserve">Artículo 118.- Las Bases de Datos que integran el Sistema Nacional de Información se actualizarán permanentemente y serán de consulta obligatoria para garantizar la efectividad en las actividades de Seguridad Pública. </w:t>
      </w:r>
    </w:p>
    <w:p w14:paraId="15253370" w14:textId="77777777" w:rsidR="00A526BF" w:rsidRPr="00417D3B" w:rsidRDefault="00A526BF" w:rsidP="00A526BF">
      <w:pPr>
        <w:ind w:left="567" w:right="616"/>
        <w:jc w:val="both"/>
        <w:rPr>
          <w:rFonts w:ascii="Palatino Linotype" w:eastAsiaTheme="minorHAnsi" w:hAnsi="Palatino Linotype" w:cs="Arial"/>
          <w:b/>
          <w:bCs/>
          <w:i/>
          <w:sz w:val="22"/>
          <w:u w:val="single"/>
          <w:lang w:eastAsia="en-US"/>
        </w:rPr>
      </w:pPr>
      <w:r w:rsidRPr="00417D3B">
        <w:rPr>
          <w:rFonts w:ascii="Palatino Linotype" w:eastAsiaTheme="minorHAnsi" w:hAnsi="Palatino Linotype" w:cs="Arial"/>
          <w:b/>
          <w:bCs/>
          <w:i/>
          <w:sz w:val="22"/>
          <w:u w:val="single"/>
          <w:lang w:eastAsia="en-US"/>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4F33124C" w14:textId="77777777" w:rsidR="00A526BF" w:rsidRPr="00417D3B" w:rsidRDefault="00A526BF" w:rsidP="00A526BF">
      <w:pPr>
        <w:ind w:left="567" w:right="616"/>
        <w:jc w:val="both"/>
        <w:rPr>
          <w:rFonts w:ascii="Palatino Linotype" w:eastAsiaTheme="minorHAnsi" w:hAnsi="Palatino Linotype" w:cs="Arial"/>
          <w:b/>
          <w:bCs/>
          <w:i/>
          <w:sz w:val="22"/>
          <w:u w:val="single"/>
          <w:lang w:eastAsia="en-US"/>
        </w:rPr>
      </w:pPr>
    </w:p>
    <w:p w14:paraId="7551D9CE" w14:textId="00F23937" w:rsidR="00A526BF" w:rsidRPr="00417D3B" w:rsidRDefault="00A526BF" w:rsidP="00A526BF">
      <w:pPr>
        <w:ind w:left="567" w:right="616"/>
        <w:jc w:val="both"/>
        <w:rPr>
          <w:rFonts w:ascii="Palatino Linotype" w:eastAsiaTheme="minorHAnsi" w:hAnsi="Palatino Linotype" w:cs="Arial"/>
          <w:b/>
          <w:i/>
          <w:sz w:val="22"/>
          <w:lang w:eastAsia="en-US"/>
        </w:rPr>
      </w:pPr>
      <w:r w:rsidRPr="00417D3B">
        <w:rPr>
          <w:rFonts w:ascii="Palatino Linotype" w:eastAsiaTheme="minorHAnsi" w:hAnsi="Palatino Linotype" w:cs="Arial"/>
          <w:i/>
          <w:sz w:val="22"/>
          <w:lang w:eastAsia="en-US"/>
        </w:rPr>
        <w:t>El Registro Nacional de Detenciones se vinculará con las Bases de Datos a que se refiere el presente artículo, mediante el número de identificación al que hace referencia la ley de la materia.”</w:t>
      </w:r>
    </w:p>
    <w:p w14:paraId="056BEFE2" w14:textId="77777777" w:rsidR="00A526BF" w:rsidRPr="00417D3B" w:rsidRDefault="00A526BF" w:rsidP="00A526BF">
      <w:pPr>
        <w:ind w:right="616"/>
        <w:jc w:val="center"/>
        <w:rPr>
          <w:rFonts w:ascii="Palatino Linotype" w:eastAsiaTheme="minorHAnsi" w:hAnsi="Palatino Linotype" w:cs="Arial"/>
          <w:b/>
          <w:i/>
          <w:sz w:val="22"/>
          <w:lang w:eastAsia="en-US"/>
        </w:rPr>
      </w:pPr>
    </w:p>
    <w:p w14:paraId="18DE66D4" w14:textId="77777777" w:rsidR="00A526BF" w:rsidRPr="00417D3B" w:rsidRDefault="00A526BF" w:rsidP="00A526BF">
      <w:pPr>
        <w:ind w:left="567" w:right="616"/>
        <w:jc w:val="center"/>
        <w:rPr>
          <w:rFonts w:ascii="Palatino Linotype" w:eastAsiaTheme="minorHAnsi" w:hAnsi="Palatino Linotype" w:cs="Arial"/>
          <w:b/>
          <w:i/>
          <w:sz w:val="22"/>
          <w:lang w:eastAsia="en-US"/>
        </w:rPr>
      </w:pPr>
      <w:r w:rsidRPr="00417D3B">
        <w:rPr>
          <w:rFonts w:ascii="Palatino Linotype" w:eastAsiaTheme="minorHAnsi" w:hAnsi="Palatino Linotype" w:cs="Arial"/>
          <w:b/>
          <w:i/>
          <w:sz w:val="22"/>
          <w:lang w:eastAsia="en-US"/>
        </w:rPr>
        <w:t>LEY ORGÁNICA MUNICIPAL DEL ESTADO DE MÉXICO</w:t>
      </w:r>
    </w:p>
    <w:p w14:paraId="271B8F8F" w14:textId="77777777" w:rsidR="00A526BF" w:rsidRPr="00417D3B" w:rsidRDefault="00A526BF" w:rsidP="00A526BF">
      <w:pPr>
        <w:ind w:left="567" w:right="616"/>
        <w:jc w:val="both"/>
        <w:rPr>
          <w:rFonts w:ascii="Palatino Linotype" w:eastAsiaTheme="minorHAnsi" w:hAnsi="Palatino Linotype" w:cs="Arial"/>
          <w:i/>
          <w:sz w:val="22"/>
          <w:lang w:eastAsia="en-US"/>
        </w:rPr>
      </w:pPr>
    </w:p>
    <w:p w14:paraId="675F31CB"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“Artículo 125.-</w:t>
      </w:r>
      <w:r w:rsidRPr="00417D3B">
        <w:rPr>
          <w:rFonts w:ascii="Palatino Linotype" w:eastAsiaTheme="minorHAnsi" w:hAnsi="Palatino Linotype" w:cs="Arial"/>
          <w:i/>
          <w:sz w:val="22"/>
          <w:lang w:eastAsia="en-US"/>
        </w:rPr>
        <w:t xml:space="preserve"> Los municipios tendrán a su cargo la prestación, explotación, administración y conservación de los servicios públicos municipales, considerándose enunciativa y no limitativamente, los siguientes:</w:t>
      </w:r>
    </w:p>
    <w:p w14:paraId="4A063893"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6BB53498"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VIII. Seguridad pública y tránsito;</w:t>
      </w:r>
    </w:p>
    <w:p w14:paraId="21AF9937"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p>
    <w:p w14:paraId="68959F55" w14:textId="77777777" w:rsidR="00A526BF" w:rsidRPr="00417D3B" w:rsidRDefault="00A526BF" w:rsidP="00A526BF">
      <w:pPr>
        <w:ind w:left="567" w:right="616"/>
        <w:jc w:val="both"/>
        <w:rPr>
          <w:rFonts w:ascii="Palatino Linotype" w:eastAsiaTheme="minorHAnsi" w:hAnsi="Palatino Linotype" w:cs="Arial"/>
          <w:i/>
          <w:sz w:val="22"/>
          <w:lang w:eastAsia="en-US"/>
        </w:rPr>
      </w:pPr>
    </w:p>
    <w:p w14:paraId="139BA153" w14:textId="77777777" w:rsidR="00A526BF" w:rsidRPr="00417D3B" w:rsidRDefault="00A526BF" w:rsidP="00A526BF">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b/>
          <w:i/>
          <w:sz w:val="22"/>
          <w:lang w:eastAsia="en-US"/>
        </w:rPr>
        <w:t>Artículo 142.-</w:t>
      </w:r>
      <w:r w:rsidRPr="00417D3B">
        <w:rPr>
          <w:rFonts w:ascii="Palatino Linotype" w:eastAsiaTheme="minorHAnsi" w:hAnsi="Palatino Linotype" w:cs="Arial"/>
          <w:i/>
          <w:sz w:val="22"/>
          <w:lang w:eastAsia="en-US"/>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1A5B9D15" w14:textId="77777777" w:rsidR="00A526BF" w:rsidRPr="00417D3B" w:rsidRDefault="00A526BF" w:rsidP="00A526BF">
      <w:pPr>
        <w:ind w:left="567" w:right="616"/>
        <w:jc w:val="both"/>
        <w:rPr>
          <w:rFonts w:ascii="Palatino Linotype" w:eastAsiaTheme="minorHAnsi" w:hAnsi="Palatino Linotype" w:cs="Arial"/>
          <w:i/>
          <w:sz w:val="22"/>
          <w:lang w:eastAsia="en-US"/>
        </w:rPr>
      </w:pPr>
    </w:p>
    <w:p w14:paraId="0BECCEEB" w14:textId="798F486E" w:rsidR="00C96E6B" w:rsidRPr="00417D3B" w:rsidRDefault="00A526BF" w:rsidP="00032E4B">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14:paraId="08DAA524" w14:textId="77777777" w:rsidR="00032E4B" w:rsidRPr="00417D3B" w:rsidRDefault="00032E4B" w:rsidP="00032E4B">
      <w:pPr>
        <w:ind w:right="616"/>
        <w:jc w:val="both"/>
        <w:rPr>
          <w:rFonts w:ascii="Palatino Linotype" w:eastAsiaTheme="minorHAnsi" w:hAnsi="Palatino Linotype" w:cs="Arial"/>
          <w:lang w:eastAsia="en-US"/>
        </w:rPr>
      </w:pPr>
    </w:p>
    <w:p w14:paraId="259F27B6" w14:textId="0948E5E3" w:rsidR="00032E4B" w:rsidRPr="00417D3B" w:rsidRDefault="00032E4B" w:rsidP="00032E4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En este sentido, </w:t>
      </w:r>
      <w:r w:rsidRPr="00417D3B">
        <w:rPr>
          <w:rFonts w:ascii="Palatino Linotype" w:eastAsiaTheme="minorHAnsi" w:hAnsi="Palatino Linotype" w:cs="Arial"/>
          <w:lang w:val="es-ES" w:eastAsia="en-US"/>
        </w:rPr>
        <w:t>la Ley General del Sistema Nacional de Seguridad Pública prevé un esquema de distribución de competencias entre la Federación, los Estados y los Municipios. Destacando con relación a estos últimos la integración y actualización de diversas Bases de Datos. Luego entonces, es óbice mencionar 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65C338AC" w14:textId="77777777" w:rsidR="00032E4B" w:rsidRPr="00417D3B" w:rsidRDefault="00032E4B" w:rsidP="00032E4B">
      <w:pPr>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i/>
          <w:sz w:val="22"/>
          <w:lang w:val="es-ES" w:eastAsia="en-US"/>
        </w:rPr>
        <w:lastRenderedPageBreak/>
        <w:t xml:space="preserve"> “</w:t>
      </w:r>
      <w:r w:rsidRPr="00417D3B">
        <w:rPr>
          <w:rFonts w:ascii="Palatino Linotype" w:eastAsiaTheme="minorHAnsi" w:hAnsi="Palatino Linotype" w:cs="Arial"/>
          <w:b/>
          <w:i/>
          <w:sz w:val="22"/>
          <w:lang w:val="es-ES" w:eastAsia="en-US"/>
        </w:rPr>
        <w:t>Artículo 24.</w:t>
      </w:r>
      <w:r w:rsidRPr="00417D3B">
        <w:rPr>
          <w:rFonts w:ascii="Palatino Linotype" w:eastAsiaTheme="minorHAnsi" w:hAnsi="Palatino Linotype" w:cs="Arial"/>
          <w:i/>
          <w:sz w:val="22"/>
          <w:lang w:val="es-ES" w:eastAsia="en-US"/>
        </w:rPr>
        <w:t xml:space="preserve"> Para el cumplimiento de los objetivos de esta Ley, los sujetos obligados deberán cumplir con las siguientes obligaciones, según corresponda, de acuerdo a su naturaleza:</w:t>
      </w:r>
    </w:p>
    <w:p w14:paraId="0D620A3C" w14:textId="4CA7DC6D" w:rsidR="00032E4B" w:rsidRPr="00417D3B" w:rsidRDefault="00032E4B" w:rsidP="00032E4B">
      <w:pPr>
        <w:tabs>
          <w:tab w:val="left" w:pos="1287"/>
        </w:tabs>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i/>
          <w:sz w:val="22"/>
          <w:lang w:val="es-ES" w:eastAsia="en-US"/>
        </w:rPr>
        <w:t>…</w:t>
      </w:r>
      <w:r w:rsidRPr="00417D3B">
        <w:rPr>
          <w:rFonts w:ascii="Palatino Linotype" w:eastAsiaTheme="minorHAnsi" w:hAnsi="Palatino Linotype" w:cs="Arial"/>
          <w:i/>
          <w:sz w:val="22"/>
          <w:lang w:val="es-ES" w:eastAsia="en-US"/>
        </w:rPr>
        <w:tab/>
      </w:r>
    </w:p>
    <w:p w14:paraId="052F5AEB" w14:textId="77777777" w:rsidR="00032E4B" w:rsidRPr="00417D3B" w:rsidRDefault="00032E4B" w:rsidP="00032E4B">
      <w:pPr>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b/>
          <w:i/>
          <w:sz w:val="22"/>
          <w:lang w:val="es-ES" w:eastAsia="en-US"/>
        </w:rPr>
        <w:t>XII.</w:t>
      </w:r>
      <w:r w:rsidRPr="00417D3B">
        <w:rPr>
          <w:rFonts w:ascii="Palatino Linotype" w:eastAsiaTheme="minorHAnsi" w:hAnsi="Palatino Linotype" w:cs="Arial"/>
          <w:i/>
          <w:sz w:val="22"/>
          <w:lang w:val="es-ES" w:eastAsia="en-US"/>
        </w:rPr>
        <w:t xml:space="preserve"> Publicar y mantener actualizada la información relativa a las obligaciones generales de transparencia previstas en la presente Ley o determinadas así por el Instituto, y en general aquella que sea de interés público;</w:t>
      </w:r>
    </w:p>
    <w:p w14:paraId="04BFA8EA" w14:textId="77777777" w:rsidR="00032E4B" w:rsidRPr="00417D3B" w:rsidRDefault="00032E4B" w:rsidP="00032E4B">
      <w:pPr>
        <w:ind w:left="567" w:right="616"/>
        <w:jc w:val="both"/>
        <w:rPr>
          <w:rFonts w:ascii="Palatino Linotype" w:eastAsiaTheme="minorHAnsi" w:hAnsi="Palatino Linotype" w:cs="Arial"/>
          <w:i/>
          <w:sz w:val="22"/>
          <w:lang w:val="es-ES" w:eastAsia="en-US"/>
        </w:rPr>
      </w:pPr>
    </w:p>
    <w:p w14:paraId="47BFCDAF" w14:textId="77777777" w:rsidR="00032E4B" w:rsidRPr="00417D3B" w:rsidRDefault="00032E4B" w:rsidP="00032E4B">
      <w:pPr>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b/>
          <w:i/>
          <w:sz w:val="22"/>
          <w:lang w:val="es-ES" w:eastAsia="en-US"/>
        </w:rPr>
        <w:t>Artículo 92.</w:t>
      </w:r>
      <w:r w:rsidRPr="00417D3B">
        <w:rPr>
          <w:rFonts w:ascii="Palatino Linotype" w:eastAsiaTheme="minorHAnsi" w:hAnsi="Palatino Linotype" w:cs="Arial"/>
          <w:i/>
          <w:sz w:val="22"/>
          <w:lang w:val="es-ES"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4280A7" w14:textId="77777777" w:rsidR="00032E4B" w:rsidRPr="00417D3B" w:rsidRDefault="00032E4B" w:rsidP="00032E4B">
      <w:pPr>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i/>
          <w:sz w:val="22"/>
          <w:lang w:val="es-ES" w:eastAsia="en-US"/>
        </w:rPr>
        <w:t>…</w:t>
      </w:r>
    </w:p>
    <w:p w14:paraId="264E447C" w14:textId="77777777" w:rsidR="00032E4B" w:rsidRPr="00417D3B" w:rsidRDefault="00032E4B" w:rsidP="00032E4B">
      <w:pPr>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b/>
          <w:i/>
          <w:sz w:val="22"/>
          <w:lang w:val="es-ES" w:eastAsia="en-US"/>
        </w:rPr>
        <w:t>XXXIV.</w:t>
      </w:r>
      <w:r w:rsidRPr="00417D3B">
        <w:rPr>
          <w:rFonts w:ascii="Palatino Linotype" w:eastAsiaTheme="minorHAnsi" w:hAnsi="Palatino Linotype" w:cs="Arial"/>
          <w:i/>
          <w:sz w:val="22"/>
          <w:lang w:val="es-ES" w:eastAsia="en-US"/>
        </w:rPr>
        <w:t xml:space="preserve"> Las estadísticas que generen en cumplimiento de sus facultades, competencias o funciones con la mayor desagregación posible;</w:t>
      </w:r>
    </w:p>
    <w:p w14:paraId="23A61D45" w14:textId="1664737F" w:rsidR="00032E4B" w:rsidRPr="00417D3B" w:rsidRDefault="00032E4B" w:rsidP="00032E4B">
      <w:pPr>
        <w:ind w:left="567" w:right="616"/>
        <w:jc w:val="both"/>
        <w:rPr>
          <w:rFonts w:ascii="Palatino Linotype" w:eastAsiaTheme="minorHAnsi" w:hAnsi="Palatino Linotype" w:cs="Arial"/>
          <w:i/>
          <w:sz w:val="22"/>
          <w:lang w:val="es-ES" w:eastAsia="en-US"/>
        </w:rPr>
      </w:pPr>
      <w:r w:rsidRPr="00417D3B">
        <w:rPr>
          <w:rFonts w:ascii="Palatino Linotype" w:eastAsiaTheme="minorHAnsi" w:hAnsi="Palatino Linotype" w:cs="Arial"/>
          <w:i/>
          <w:sz w:val="22"/>
          <w:lang w:val="es-ES" w:eastAsia="en-US"/>
        </w:rPr>
        <w:t xml:space="preserve">(…)” </w:t>
      </w:r>
    </w:p>
    <w:p w14:paraId="51420713" w14:textId="77777777" w:rsidR="00032E4B" w:rsidRPr="00417D3B" w:rsidRDefault="00032E4B" w:rsidP="00032E4B">
      <w:pPr>
        <w:pStyle w:val="Prrafodelista"/>
        <w:tabs>
          <w:tab w:val="left" w:pos="426"/>
        </w:tabs>
        <w:spacing w:before="240" w:after="240" w:line="360" w:lineRule="auto"/>
        <w:ind w:left="0" w:right="51"/>
        <w:jc w:val="both"/>
        <w:rPr>
          <w:rFonts w:ascii="Palatino Linotype" w:hAnsi="Palatino Linotype"/>
          <w:color w:val="000000" w:themeColor="text1"/>
        </w:rPr>
      </w:pPr>
    </w:p>
    <w:p w14:paraId="4B4CD4F5" w14:textId="40747278" w:rsidR="00032E4B" w:rsidRPr="00417D3B" w:rsidRDefault="00032E4B" w:rsidP="00032E4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Arial"/>
          <w:lang w:val="es-ES" w:eastAsia="en-US"/>
        </w:rPr>
        <w:t xml:space="preserve">Robustece lo anterior, las siguientes imágenes ilustrativas, correspondientes a la tabla de aplicabilidad del </w:t>
      </w:r>
      <w:r w:rsidR="00B12EEA" w:rsidRPr="00417D3B">
        <w:rPr>
          <w:rFonts w:ascii="Palatino Linotype" w:eastAsiaTheme="minorHAnsi" w:hAnsi="Palatino Linotype" w:cs="Arial"/>
          <w:b/>
          <w:lang w:val="es-ES" w:eastAsia="en-US"/>
        </w:rPr>
        <w:t>Sujeto Obligado</w:t>
      </w:r>
      <w:r w:rsidRPr="00417D3B">
        <w:rPr>
          <w:rFonts w:ascii="Palatino Linotype" w:eastAsiaTheme="minorHAnsi" w:hAnsi="Palatino Linotype" w:cs="Arial"/>
          <w:lang w:val="es-ES" w:eastAsia="en-US"/>
        </w:rPr>
        <w:t>, misma que pueden ser consultada en la siguiente dirección electrónica:</w:t>
      </w:r>
    </w:p>
    <w:p w14:paraId="142F3189" w14:textId="2278FA65" w:rsidR="007533A6" w:rsidRPr="00417D3B" w:rsidRDefault="00650749" w:rsidP="00650749">
      <w:pPr>
        <w:tabs>
          <w:tab w:val="left" w:pos="426"/>
        </w:tabs>
        <w:spacing w:before="240" w:after="240" w:line="360" w:lineRule="auto"/>
        <w:ind w:right="51"/>
        <w:jc w:val="both"/>
        <w:rPr>
          <w:rFonts w:ascii="Palatino Linotype" w:hAnsi="Palatino Linotype"/>
          <w:color w:val="000000" w:themeColor="text1"/>
        </w:rPr>
      </w:pPr>
      <w:r w:rsidRPr="00417D3B">
        <w:rPr>
          <w:noProof/>
        </w:rPr>
        <w:t xml:space="preserve"> </w:t>
      </w:r>
    </w:p>
    <w:p w14:paraId="283D21D5" w14:textId="56B187B8" w:rsidR="007533A6" w:rsidRPr="00417D3B" w:rsidRDefault="00650749" w:rsidP="00650749">
      <w:pPr>
        <w:tabs>
          <w:tab w:val="left" w:pos="426"/>
          <w:tab w:val="left" w:pos="858"/>
        </w:tabs>
        <w:spacing w:before="240" w:after="240"/>
        <w:ind w:right="51"/>
        <w:rPr>
          <w:rFonts w:ascii="Palatino Linotype" w:hAnsi="Palatino Linotype"/>
          <w:b/>
          <w:color w:val="000000" w:themeColor="text1"/>
        </w:rPr>
      </w:pPr>
      <w:r w:rsidRPr="00417D3B">
        <w:rPr>
          <w:rFonts w:ascii="Palatino Linotype" w:hAnsi="Palatino Linotype"/>
          <w:b/>
          <w:noProof/>
          <w:color w:val="000000" w:themeColor="text1"/>
        </w:rPr>
        <w:lastRenderedPageBreak/>
        <w:drawing>
          <wp:inline distT="0" distB="0" distL="0" distR="0" wp14:anchorId="73B081B8" wp14:editId="411E2904">
            <wp:extent cx="5612130" cy="54629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5462905"/>
                    </a:xfrm>
                    <a:prstGeom prst="rect">
                      <a:avLst/>
                    </a:prstGeom>
                  </pic:spPr>
                </pic:pic>
              </a:graphicData>
            </a:graphic>
          </wp:inline>
        </w:drawing>
      </w:r>
    </w:p>
    <w:p w14:paraId="35834F62" w14:textId="1790E158" w:rsidR="00A526BF" w:rsidRPr="00417D3B" w:rsidRDefault="007533A6" w:rsidP="00E47802">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Correlativo a lo anterior, el </w:t>
      </w:r>
      <w:r w:rsidRPr="00417D3B">
        <w:rPr>
          <w:rFonts w:ascii="Palatino Linotype" w:eastAsiaTheme="minorHAnsi" w:hAnsi="Palatino Linotype" w:cs="Arial"/>
          <w:lang w:eastAsia="en-US"/>
        </w:rPr>
        <w:t xml:space="preserve">criterio 11/09 emitido por el hoy Instituto Nacional de Transparencia, Acceso a la Información y Protección de Datos Personales; refiere lo siguiente: </w:t>
      </w:r>
    </w:p>
    <w:p w14:paraId="5D20BA07" w14:textId="05E05EF6" w:rsidR="007533A6" w:rsidRPr="00417D3B" w:rsidRDefault="007533A6" w:rsidP="007533A6">
      <w:pPr>
        <w:pStyle w:val="Prrafodelista"/>
        <w:tabs>
          <w:tab w:val="left" w:pos="426"/>
        </w:tabs>
        <w:spacing w:before="240" w:after="240"/>
        <w:ind w:left="567" w:right="616"/>
        <w:jc w:val="both"/>
        <w:rPr>
          <w:rFonts w:ascii="Palatino Linotype" w:hAnsi="Palatino Linotype"/>
          <w:color w:val="000000" w:themeColor="text1"/>
          <w:sz w:val="22"/>
        </w:rPr>
      </w:pPr>
      <w:r w:rsidRPr="00417D3B">
        <w:rPr>
          <w:rFonts w:ascii="Palatino Linotype" w:eastAsiaTheme="minorHAnsi" w:hAnsi="Palatino Linotype" w:cs="Arial"/>
          <w:i/>
          <w:sz w:val="22"/>
          <w:lang w:eastAsia="en-US"/>
        </w:rPr>
        <w:t>“</w:t>
      </w:r>
      <w:r w:rsidRPr="00417D3B">
        <w:rPr>
          <w:rFonts w:ascii="Palatino Linotype" w:eastAsiaTheme="minorHAnsi" w:hAnsi="Palatino Linotype" w:cs="Arial"/>
          <w:b/>
          <w:i/>
          <w:sz w:val="22"/>
          <w:lang w:eastAsia="en-US"/>
        </w:rPr>
        <w:t>LA INFORMACIÓN ESTADÍSTICA ES DE NATURALEZA PÚBLICA, INDEPENDIENTEMENTE DE LA MATERIA CON LA QUE SE ENCUENTRE VINCULADA</w:t>
      </w:r>
      <w:r w:rsidRPr="00417D3B">
        <w:rPr>
          <w:rFonts w:ascii="Palatino Linotype" w:eastAsiaTheme="minorHAnsi" w:hAnsi="Palatino Linotype" w:cs="Arial"/>
          <w:i/>
          <w:sz w:val="22"/>
          <w:lang w:eastAsia="en-US"/>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w:t>
      </w:r>
      <w:r w:rsidRPr="00417D3B">
        <w:rPr>
          <w:rFonts w:ascii="Palatino Linotype" w:eastAsiaTheme="minorHAnsi" w:hAnsi="Palatino Linotype" w:cs="Arial"/>
          <w:i/>
          <w:sz w:val="22"/>
          <w:lang w:eastAsia="en-US"/>
        </w:rPr>
        <w:lastRenderedPageBreak/>
        <w:t>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7B6B16F" w14:textId="77777777" w:rsidR="007533A6" w:rsidRPr="00417D3B" w:rsidRDefault="007533A6" w:rsidP="007533A6">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Expedientes:</w:t>
      </w:r>
    </w:p>
    <w:p w14:paraId="46C1DB25" w14:textId="77777777" w:rsidR="007533A6" w:rsidRPr="00417D3B" w:rsidRDefault="007533A6" w:rsidP="007533A6">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r w:rsidRPr="00417D3B">
        <w:rPr>
          <w:rFonts w:ascii="Palatino Linotype" w:eastAsiaTheme="minorHAnsi" w:hAnsi="Palatino Linotype" w:cs="Arial"/>
          <w:i/>
          <w:sz w:val="22"/>
          <w:lang w:eastAsia="en-US"/>
        </w:rPr>
        <w:tab/>
        <w:t>2593/07 Procuraduría General de la República – Alonso Gómez-Robledo V.</w:t>
      </w:r>
    </w:p>
    <w:p w14:paraId="160102E5" w14:textId="77777777" w:rsidR="007533A6" w:rsidRPr="00417D3B" w:rsidRDefault="007533A6" w:rsidP="007533A6">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r w:rsidRPr="00417D3B">
        <w:rPr>
          <w:rFonts w:ascii="Palatino Linotype" w:eastAsiaTheme="minorHAnsi" w:hAnsi="Palatino Linotype" w:cs="Arial"/>
          <w:i/>
          <w:sz w:val="22"/>
          <w:lang w:eastAsia="en-US"/>
        </w:rPr>
        <w:tab/>
        <w:t>4333/08 Procuraduría General de la República – Alonso Lujambio Irazábal</w:t>
      </w:r>
    </w:p>
    <w:p w14:paraId="3FD8C69C" w14:textId="77777777" w:rsidR="007533A6" w:rsidRPr="00417D3B" w:rsidRDefault="007533A6" w:rsidP="007533A6">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r w:rsidRPr="00417D3B">
        <w:rPr>
          <w:rFonts w:ascii="Palatino Linotype" w:eastAsiaTheme="minorHAnsi" w:hAnsi="Palatino Linotype" w:cs="Arial"/>
          <w:i/>
          <w:sz w:val="22"/>
          <w:lang w:eastAsia="en-US"/>
        </w:rPr>
        <w:tab/>
        <w:t>2280/08 Policía Federal – Jacqueline Peschard Mariscal</w:t>
      </w:r>
    </w:p>
    <w:p w14:paraId="29B9DB6F" w14:textId="77777777" w:rsidR="007533A6" w:rsidRPr="00417D3B" w:rsidRDefault="007533A6" w:rsidP="007533A6">
      <w:pPr>
        <w:ind w:left="567" w:right="616"/>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w:t>
      </w:r>
      <w:r w:rsidRPr="00417D3B">
        <w:rPr>
          <w:rFonts w:ascii="Palatino Linotype" w:eastAsiaTheme="minorHAnsi" w:hAnsi="Palatino Linotype" w:cs="Arial"/>
          <w:i/>
          <w:sz w:val="22"/>
          <w:lang w:eastAsia="en-US"/>
        </w:rPr>
        <w:tab/>
        <w:t>3151/09 Secretaría de Seguridad Pública – María Marván Laborde</w:t>
      </w:r>
    </w:p>
    <w:p w14:paraId="3654D390" w14:textId="5A23FFD9" w:rsidR="007533A6" w:rsidRPr="00417D3B" w:rsidRDefault="007533A6" w:rsidP="007533A6">
      <w:pPr>
        <w:pStyle w:val="Prrafodelista"/>
        <w:numPr>
          <w:ilvl w:val="0"/>
          <w:numId w:val="5"/>
        </w:numPr>
        <w:ind w:left="567" w:right="616" w:firstLine="0"/>
        <w:jc w:val="both"/>
        <w:rPr>
          <w:rFonts w:ascii="Palatino Linotype" w:eastAsiaTheme="minorHAnsi" w:hAnsi="Palatino Linotype" w:cs="Arial"/>
          <w:i/>
          <w:sz w:val="22"/>
          <w:lang w:eastAsia="en-US"/>
        </w:rPr>
      </w:pPr>
      <w:r w:rsidRPr="00417D3B">
        <w:rPr>
          <w:rFonts w:ascii="Palatino Linotype" w:eastAsiaTheme="minorHAnsi" w:hAnsi="Palatino Linotype" w:cs="Arial"/>
          <w:i/>
          <w:sz w:val="22"/>
          <w:lang w:eastAsia="en-US"/>
        </w:rPr>
        <w:t>0547/09 Procuraduría General de la República – Juan Pablo Guerrero Amparán”</w:t>
      </w:r>
    </w:p>
    <w:p w14:paraId="6F451154" w14:textId="77777777" w:rsidR="007533A6" w:rsidRPr="00417D3B" w:rsidRDefault="007533A6" w:rsidP="007533A6">
      <w:pPr>
        <w:pStyle w:val="Prrafodelista"/>
        <w:tabs>
          <w:tab w:val="left" w:pos="426"/>
        </w:tabs>
        <w:spacing w:before="240" w:after="240" w:line="360" w:lineRule="auto"/>
        <w:ind w:left="0" w:right="51"/>
        <w:jc w:val="both"/>
        <w:rPr>
          <w:rFonts w:ascii="Palatino Linotype" w:hAnsi="Palatino Linotype"/>
          <w:color w:val="000000" w:themeColor="text1"/>
        </w:rPr>
      </w:pPr>
    </w:p>
    <w:p w14:paraId="1029782A" w14:textId="77777777" w:rsidR="00F339E9" w:rsidRPr="00417D3B" w:rsidRDefault="007533A6"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En este sentido, se concluye que al </w:t>
      </w:r>
      <w:r w:rsidRPr="00417D3B">
        <w:rPr>
          <w:rFonts w:ascii="Palatino Linotype" w:hAnsi="Palatino Linotype"/>
          <w:b/>
          <w:color w:val="000000" w:themeColor="text1"/>
        </w:rPr>
        <w:t>SUJETO OBLIGADO</w:t>
      </w:r>
      <w:r w:rsidRPr="00417D3B">
        <w:rPr>
          <w:rFonts w:ascii="Palatino Linotype" w:hAnsi="Palatino Linotype"/>
          <w:color w:val="000000" w:themeColor="text1"/>
        </w:rPr>
        <w:t xml:space="preserve"> le compete generar, poseer y administrar </w:t>
      </w:r>
      <w:r w:rsidRPr="00417D3B">
        <w:rPr>
          <w:rFonts w:ascii="Palatino Linotype" w:hAnsi="Palatino Linotype"/>
          <w:b/>
          <w:color w:val="000000" w:themeColor="text1"/>
        </w:rPr>
        <w:t>“incidencia delictiva”,</w:t>
      </w:r>
      <w:r w:rsidRPr="00417D3B">
        <w:rPr>
          <w:rFonts w:ascii="Palatino Linotype" w:hAnsi="Palatino Linotype"/>
          <w:color w:val="000000" w:themeColor="text1"/>
        </w:rPr>
        <w:t xml:space="preserve"> asimismo</w:t>
      </w:r>
      <w:r w:rsidRPr="00417D3B">
        <w:rPr>
          <w:rFonts w:ascii="Palatino Linotype" w:hAnsi="Palatino Linotype"/>
          <w:b/>
          <w:color w:val="000000" w:themeColor="text1"/>
        </w:rPr>
        <w:t>, esta información es susceptible de ser publicada oficiosamente.</w:t>
      </w:r>
    </w:p>
    <w:p w14:paraId="1A436C74" w14:textId="77777777" w:rsidR="00F339E9" w:rsidRPr="00417D3B" w:rsidRDefault="00F339E9" w:rsidP="00F339E9">
      <w:pPr>
        <w:pStyle w:val="Prrafodelista"/>
        <w:tabs>
          <w:tab w:val="left" w:pos="426"/>
        </w:tabs>
        <w:spacing w:before="240" w:after="240" w:line="360" w:lineRule="auto"/>
        <w:ind w:left="0" w:right="51"/>
        <w:jc w:val="both"/>
        <w:rPr>
          <w:rFonts w:ascii="Palatino Linotype" w:hAnsi="Palatino Linotype"/>
          <w:color w:val="000000" w:themeColor="text1"/>
        </w:rPr>
      </w:pPr>
    </w:p>
    <w:p w14:paraId="05546F3A" w14:textId="70C210CC" w:rsidR="00F339E9" w:rsidRPr="00417D3B" w:rsidRDefault="00F339E9"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Ahora bien, </w:t>
      </w:r>
      <w:r w:rsidRPr="00417D3B">
        <w:rPr>
          <w:rFonts w:ascii="Palatino Linotype" w:eastAsiaTheme="minorHAnsi" w:hAnsi="Palatino Linotype" w:cs="Arial"/>
          <w:lang w:eastAsia="en-US"/>
        </w:rPr>
        <w:t xml:space="preserve">si una vez realizada la búsqueda de la información que se ordena referente a </w:t>
      </w:r>
      <w:r w:rsidRPr="00417D3B">
        <w:rPr>
          <w:rFonts w:ascii="Palatino Linotype" w:eastAsiaTheme="minorHAnsi" w:hAnsi="Palatino Linotype" w:cs="Arial"/>
          <w:b/>
          <w:lang w:eastAsia="en-US"/>
        </w:rPr>
        <w:t xml:space="preserve">“los documentos donde conste la incidencia delictiva, al mayor grado de desagregación posible, comprendida del periodo del uno de enero de dos mil </w:t>
      </w:r>
      <w:r w:rsidR="00650749" w:rsidRPr="00417D3B">
        <w:rPr>
          <w:rFonts w:ascii="Palatino Linotype" w:eastAsiaTheme="minorHAnsi" w:hAnsi="Palatino Linotype" w:cs="Arial"/>
          <w:b/>
          <w:lang w:eastAsia="en-US"/>
        </w:rPr>
        <w:t>diez al veinte</w:t>
      </w:r>
      <w:r w:rsidRPr="00417D3B">
        <w:rPr>
          <w:rFonts w:ascii="Palatino Linotype" w:eastAsiaTheme="minorHAnsi" w:hAnsi="Palatino Linotype" w:cs="Arial"/>
          <w:b/>
          <w:lang w:eastAsia="en-US"/>
        </w:rPr>
        <w:t xml:space="preserve"> de mayo de dos mil veintidós”</w:t>
      </w:r>
      <w:r w:rsidRPr="00417D3B">
        <w:rPr>
          <w:rFonts w:ascii="Palatino Linotype" w:eastAsiaTheme="minorHAnsi" w:hAnsi="Palatino Linotype" w:cs="Arial"/>
          <w:lang w:eastAsia="en-US"/>
        </w:rPr>
        <w:t xml:space="preserve"> en las áreas competentes de poseerla, administrarla o generarla, se advierta no contar con la información, deberá emitir y hacer entrega del acuerdo de inexistencia en términos de los artículos </w:t>
      </w:r>
      <w:r w:rsidRPr="00417D3B">
        <w:rPr>
          <w:rFonts w:ascii="Palatino Linotype" w:eastAsiaTheme="minorHAnsi" w:hAnsi="Palatino Linotype" w:cstheme="minorBidi"/>
          <w:bCs/>
          <w:lang w:eastAsia="en-US"/>
        </w:rPr>
        <w:t>19, 49 fracciones II y XIII, 169 y 170 de la Ley de Transparencia y Acceso a la Información Pública del Estado de México y Municipios, cuyo contenido es el siguiente:</w:t>
      </w:r>
    </w:p>
    <w:p w14:paraId="133BB6A6"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w:t>
      </w:r>
      <w:r w:rsidRPr="00417D3B">
        <w:rPr>
          <w:rFonts w:ascii="Palatino Linotype" w:eastAsiaTheme="minorHAnsi" w:hAnsi="Palatino Linotype" w:cstheme="minorBidi"/>
          <w:b/>
          <w:bCs/>
          <w:i/>
          <w:sz w:val="22"/>
          <w:lang w:eastAsia="en-US"/>
        </w:rPr>
        <w:t>Artículo 19.</w:t>
      </w:r>
      <w:r w:rsidRPr="00417D3B">
        <w:rPr>
          <w:rFonts w:ascii="Palatino Linotype" w:eastAsiaTheme="minorHAnsi" w:hAnsi="Palatino Linotype" w:cstheme="minorBidi"/>
          <w:bCs/>
          <w:i/>
          <w:sz w:val="22"/>
          <w:lang w:eastAsia="en-US"/>
        </w:rPr>
        <w:t xml:space="preserve"> Se presume que la información debe existir si se refiere a las facultades, competencias y funciones que los ordenamientos jurídicos aplicables otorgan a los sujetos obligados. </w:t>
      </w:r>
    </w:p>
    <w:p w14:paraId="74DAC915"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w:t>
      </w:r>
    </w:p>
    <w:p w14:paraId="08610F1D"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E8D6EFB"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p>
    <w:p w14:paraId="62E74370"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
          <w:bCs/>
          <w:i/>
          <w:sz w:val="22"/>
          <w:lang w:eastAsia="en-US"/>
        </w:rPr>
        <w:t xml:space="preserve">Artículo 49. </w:t>
      </w:r>
      <w:r w:rsidRPr="00417D3B">
        <w:rPr>
          <w:rFonts w:ascii="Palatino Linotype" w:eastAsiaTheme="minorHAnsi" w:hAnsi="Palatino Linotype" w:cstheme="minorBidi"/>
          <w:bCs/>
          <w:i/>
          <w:sz w:val="22"/>
          <w:lang w:eastAsia="en-US"/>
        </w:rPr>
        <w:t>Los Comités de Transparencia tendrán las siguientes atribuciones:</w:t>
      </w:r>
    </w:p>
    <w:p w14:paraId="5D12F8A0"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w:t>
      </w:r>
    </w:p>
    <w:p w14:paraId="3BD90344"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 xml:space="preserve">II. Confirmar, modificar o revocar las determinaciones que en materia de ampliación del plazo de respuesta, clasificación de la información y </w:t>
      </w:r>
      <w:r w:rsidRPr="00417D3B">
        <w:rPr>
          <w:rFonts w:ascii="Palatino Linotype" w:eastAsiaTheme="minorHAnsi" w:hAnsi="Palatino Linotype" w:cstheme="minorBidi"/>
          <w:bCs/>
          <w:i/>
          <w:sz w:val="22"/>
          <w:u w:val="single"/>
          <w:lang w:eastAsia="en-US"/>
        </w:rPr>
        <w:t>declaración de inexistencia</w:t>
      </w:r>
      <w:r w:rsidRPr="00417D3B">
        <w:rPr>
          <w:rFonts w:ascii="Palatino Linotype" w:eastAsiaTheme="minorHAnsi" w:hAnsi="Palatino Linotype" w:cstheme="minorBidi"/>
          <w:bCs/>
          <w:i/>
          <w:sz w:val="22"/>
          <w:lang w:eastAsia="en-US"/>
        </w:rPr>
        <w:t xml:space="preserve"> o de incompetencia realicen los titulares de las áreas de los sujetos obligados;</w:t>
      </w:r>
    </w:p>
    <w:p w14:paraId="0F5F2C2F"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w:t>
      </w:r>
    </w:p>
    <w:p w14:paraId="512ED0CE"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XIII. Dictaminar las declaratorias de inexistencia de la información que les remitan las unidades administrativas y resolver en consecuencia;</w:t>
      </w:r>
    </w:p>
    <w:p w14:paraId="0C0D3E7D"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p>
    <w:p w14:paraId="7322F81B"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
          <w:bCs/>
          <w:i/>
          <w:sz w:val="22"/>
          <w:lang w:eastAsia="en-US"/>
        </w:rPr>
        <w:t>Artículo 169.</w:t>
      </w:r>
      <w:r w:rsidRPr="00417D3B">
        <w:rPr>
          <w:rFonts w:ascii="Palatino Linotype" w:eastAsiaTheme="minorHAnsi" w:hAnsi="Palatino Linotype" w:cstheme="minorBidi"/>
          <w:bCs/>
          <w:i/>
          <w:sz w:val="22"/>
          <w:lang w:eastAsia="en-US"/>
        </w:rPr>
        <w:t xml:space="preserve"> Cuando la información no se encuentre en los archivos del sujeto obligado, el Comité de Transparencia:</w:t>
      </w:r>
    </w:p>
    <w:p w14:paraId="1F951494"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I. Analizará el caso y tomará las medidas necesarias para localizar la información;</w:t>
      </w:r>
    </w:p>
    <w:p w14:paraId="3543337B"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II. Expedirá una resolución que confirme la inexistencia del documento;</w:t>
      </w:r>
    </w:p>
    <w:p w14:paraId="6E1AB49F"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19027C8"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IV. Notificará al órgano interno de control o equivalente del sujeto obligado quien, en su caso, deberá iniciar el procedimiento de responsabilidad administrativa que corresponda.</w:t>
      </w:r>
    </w:p>
    <w:p w14:paraId="6252EC69"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La Unidad de Transparencia deberá notificarlo al solicitante por escrito, en un plazo que no exceda de quince días hábiles contados a partir del día siguiente a la presentación de la solicitud.</w:t>
      </w:r>
    </w:p>
    <w:p w14:paraId="2244604C"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Este plazo podrá ampliarse hasta por otros siete días hábiles, siempre que existan razones para ello, debiendo notificarse por escrito al solicitante.</w:t>
      </w:r>
    </w:p>
    <w:p w14:paraId="342F0985" w14:textId="77777777" w:rsidR="00F339E9" w:rsidRPr="00417D3B" w:rsidRDefault="00F339E9" w:rsidP="00F339E9">
      <w:pPr>
        <w:ind w:left="567" w:right="567"/>
        <w:jc w:val="both"/>
        <w:rPr>
          <w:rFonts w:ascii="Palatino Linotype" w:eastAsiaTheme="minorHAnsi" w:hAnsi="Palatino Linotype" w:cstheme="minorBidi"/>
          <w:bCs/>
          <w:i/>
          <w:sz w:val="22"/>
          <w:lang w:eastAsia="en-US"/>
        </w:rPr>
      </w:pPr>
    </w:p>
    <w:p w14:paraId="19BA3E96" w14:textId="4330624D" w:rsidR="00F339E9" w:rsidRPr="00417D3B" w:rsidRDefault="00F339E9" w:rsidP="00F339E9">
      <w:pPr>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
          <w:bCs/>
          <w:i/>
          <w:sz w:val="22"/>
          <w:lang w:eastAsia="en-US"/>
        </w:rPr>
        <w:t>Artículo 170.</w:t>
      </w:r>
      <w:r w:rsidRPr="00417D3B">
        <w:rPr>
          <w:rFonts w:ascii="Palatino Linotype" w:eastAsiaTheme="minorHAnsi" w:hAnsi="Palatino Linotype" w:cstheme="minorBidi"/>
          <w:bCs/>
          <w:i/>
          <w:sz w:val="22"/>
          <w:lang w:eastAsia="en-US"/>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3237EC94" w14:textId="77777777" w:rsidR="00F339E9" w:rsidRPr="00417D3B" w:rsidRDefault="00F339E9" w:rsidP="00F339E9">
      <w:pPr>
        <w:ind w:right="567"/>
        <w:jc w:val="both"/>
        <w:rPr>
          <w:rFonts w:ascii="Palatino Linotype" w:eastAsiaTheme="minorHAnsi" w:hAnsi="Palatino Linotype" w:cstheme="minorBidi"/>
          <w:bCs/>
          <w:lang w:eastAsia="en-US"/>
        </w:rPr>
      </w:pPr>
    </w:p>
    <w:p w14:paraId="313305E0" w14:textId="477C8BEF" w:rsidR="00F339E9" w:rsidRPr="00417D3B" w:rsidRDefault="00F339E9" w:rsidP="00F339E9">
      <w:pPr>
        <w:pStyle w:val="Prrafodelista"/>
        <w:numPr>
          <w:ilvl w:val="0"/>
          <w:numId w:val="1"/>
        </w:numPr>
        <w:spacing w:line="360" w:lineRule="auto"/>
        <w:jc w:val="both"/>
        <w:rPr>
          <w:rFonts w:ascii="Palatino Linotype" w:eastAsiaTheme="minorHAnsi" w:hAnsi="Palatino Linotype" w:cstheme="minorBidi"/>
          <w:bCs/>
          <w:lang w:eastAsia="en-US"/>
        </w:rPr>
      </w:pPr>
      <w:r w:rsidRPr="00417D3B">
        <w:rPr>
          <w:rFonts w:ascii="Palatino Linotype" w:eastAsiaTheme="minorHAnsi" w:hAnsi="Palatino Linotype" w:cstheme="minorBidi"/>
          <w:bCs/>
          <w:lang w:eastAsia="en-US"/>
        </w:rPr>
        <w:t xml:space="preserve">En atención a lo anterior, tiene aplicación lo establecido en los Lineamientos para la Recepción, Trámite y Resolución de las solicitudes de Acceso a la </w:t>
      </w:r>
      <w:r w:rsidRPr="00417D3B">
        <w:rPr>
          <w:rFonts w:ascii="Palatino Linotype" w:eastAsiaTheme="minorHAnsi" w:hAnsi="Palatino Linotype" w:cstheme="minorBidi"/>
          <w:bCs/>
          <w:lang w:eastAsia="en-US"/>
        </w:rPr>
        <w:lastRenderedPageBreak/>
        <w:t>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0D7527C3" w14:textId="77777777" w:rsidR="00F339E9" w:rsidRPr="00417D3B" w:rsidRDefault="00F339E9" w:rsidP="00F339E9">
      <w:pPr>
        <w:pStyle w:val="Prrafodelista"/>
        <w:spacing w:line="360" w:lineRule="auto"/>
        <w:ind w:left="0"/>
        <w:jc w:val="both"/>
        <w:rPr>
          <w:rFonts w:ascii="Palatino Linotype" w:eastAsiaTheme="minorHAnsi" w:hAnsi="Palatino Linotype" w:cstheme="minorBidi"/>
          <w:bCs/>
          <w:lang w:eastAsia="en-US"/>
        </w:rPr>
      </w:pPr>
    </w:p>
    <w:p w14:paraId="62831EF5" w14:textId="45552A8E" w:rsidR="00F339E9" w:rsidRPr="00417D3B" w:rsidRDefault="00F339E9" w:rsidP="00F339E9">
      <w:pPr>
        <w:pStyle w:val="Prrafodelista"/>
        <w:numPr>
          <w:ilvl w:val="0"/>
          <w:numId w:val="1"/>
        </w:numPr>
        <w:spacing w:line="360" w:lineRule="auto"/>
        <w:jc w:val="both"/>
        <w:rPr>
          <w:rFonts w:ascii="Palatino Linotype" w:eastAsiaTheme="minorHAnsi" w:hAnsi="Palatino Linotype" w:cstheme="minorBidi"/>
          <w:bCs/>
          <w:lang w:eastAsia="en-US"/>
        </w:rPr>
      </w:pPr>
      <w:r w:rsidRPr="00417D3B">
        <w:rPr>
          <w:rFonts w:ascii="Palatino Linotype" w:eastAsiaTheme="minorHAnsi" w:hAnsi="Palatino Linotype" w:cstheme="minorBidi"/>
          <w:bCs/>
          <w:lang w:eastAsia="en-US"/>
        </w:rPr>
        <w:t xml:space="preserve">Al respecto, el Criterio </w:t>
      </w:r>
      <w:r w:rsidRPr="00417D3B">
        <w:rPr>
          <w:rFonts w:ascii="Palatino Linotype" w:eastAsiaTheme="minorHAnsi" w:hAnsi="Palatino Linotype" w:cstheme="minorBidi"/>
          <w:b/>
          <w:bCs/>
          <w:lang w:eastAsia="en-US"/>
        </w:rPr>
        <w:t>04/19</w:t>
      </w:r>
      <w:r w:rsidRPr="00417D3B">
        <w:rPr>
          <w:rFonts w:ascii="Palatino Linotype" w:eastAsiaTheme="minorHAnsi" w:hAnsi="Palatino Linotype" w:cstheme="minorBidi"/>
          <w:bCs/>
          <w:lang w:eastAsia="en-US"/>
        </w:rPr>
        <w:t xml:space="preserve"> emitido por el Instituto Nacional de Transparencia, Acceso a la Información y Protección de Datos Personales, refiere lo siguiente:</w:t>
      </w:r>
    </w:p>
    <w:p w14:paraId="101137C1" w14:textId="0F5AFF3E" w:rsidR="00F339E9" w:rsidRPr="00417D3B" w:rsidRDefault="00F339E9" w:rsidP="00F339E9">
      <w:pPr>
        <w:pStyle w:val="Prrafodelista"/>
        <w:tabs>
          <w:tab w:val="left" w:pos="8222"/>
        </w:tabs>
        <w:ind w:left="567" w:right="567"/>
        <w:jc w:val="both"/>
        <w:rPr>
          <w:rFonts w:ascii="Palatino Linotype" w:eastAsiaTheme="minorHAnsi" w:hAnsi="Palatino Linotype" w:cstheme="minorBidi"/>
          <w:bCs/>
          <w:i/>
          <w:sz w:val="22"/>
          <w:lang w:eastAsia="en-US"/>
        </w:rPr>
      </w:pPr>
      <w:r w:rsidRPr="00417D3B">
        <w:rPr>
          <w:rFonts w:ascii="Palatino Linotype" w:eastAsiaTheme="minorHAnsi" w:hAnsi="Palatino Linotype" w:cstheme="minorBidi"/>
          <w:bCs/>
          <w:i/>
          <w:sz w:val="22"/>
          <w:lang w:eastAsia="en-US"/>
        </w:rPr>
        <w:t>“</w:t>
      </w:r>
      <w:r w:rsidRPr="00417D3B">
        <w:rPr>
          <w:rFonts w:ascii="Palatino Linotype" w:eastAsiaTheme="minorHAnsi" w:hAnsi="Palatino Linotype" w:cstheme="minorBidi"/>
          <w:b/>
          <w:bCs/>
          <w:i/>
          <w:sz w:val="22"/>
          <w:lang w:eastAsia="en-US"/>
        </w:rPr>
        <w:t>PROPÓSITO DE LA DECLARACIÓN FORMAL DE INEXISTENCIA.</w:t>
      </w:r>
      <w:r w:rsidRPr="00417D3B">
        <w:rPr>
          <w:rFonts w:ascii="Palatino Linotype" w:eastAsiaTheme="minorHAnsi" w:hAnsi="Palatino Linotype" w:cstheme="minorBidi"/>
          <w:bCs/>
          <w:i/>
          <w:sz w:val="22"/>
          <w:lang w:eastAsia="en-US"/>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7F94981D" w14:textId="77777777" w:rsidR="00F339E9" w:rsidRPr="00417D3B" w:rsidRDefault="00F339E9" w:rsidP="00F339E9">
      <w:pPr>
        <w:pStyle w:val="Prrafodelista"/>
        <w:ind w:left="0"/>
        <w:jc w:val="both"/>
        <w:rPr>
          <w:rFonts w:ascii="Palatino Linotype" w:eastAsiaTheme="minorHAnsi" w:hAnsi="Palatino Linotype" w:cstheme="minorBidi"/>
          <w:bCs/>
          <w:lang w:eastAsia="en-US"/>
        </w:rPr>
      </w:pPr>
    </w:p>
    <w:p w14:paraId="1A71BE78" w14:textId="70B5E4A6" w:rsidR="00F339E9" w:rsidRPr="00417D3B" w:rsidRDefault="00F339E9"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theme="minorBidi"/>
          <w:bCs/>
          <w:lang w:eastAsia="en-US"/>
        </w:rPr>
        <w:t xml:space="preserve">De tal forma que, con el propósito de otorgarle certeza jurídica al </w:t>
      </w:r>
      <w:r w:rsidRPr="00417D3B">
        <w:rPr>
          <w:rFonts w:ascii="Palatino Linotype" w:eastAsiaTheme="minorHAnsi" w:hAnsi="Palatino Linotype" w:cstheme="minorBidi"/>
          <w:b/>
          <w:bCs/>
          <w:lang w:eastAsia="en-US"/>
        </w:rPr>
        <w:t>RECURRENTE</w:t>
      </w:r>
      <w:r w:rsidRPr="00417D3B">
        <w:rPr>
          <w:rFonts w:ascii="Palatino Linotype" w:eastAsiaTheme="minorHAnsi" w:hAnsi="Palatino Linotype" w:cstheme="minorBidi"/>
          <w:bCs/>
          <w:lang w:eastAsia="en-US"/>
        </w:rPr>
        <w:t xml:space="preserve"> de que se realizaron las acciones necesarias durante la búsqueda exhaustiva y razonable de la información, sin que esta fuera localizada, resulta procedente ordenar la entrega del acuerdo en cita.</w:t>
      </w:r>
    </w:p>
    <w:p w14:paraId="3E969085" w14:textId="77777777" w:rsidR="00F339E9" w:rsidRPr="00417D3B" w:rsidRDefault="00F339E9" w:rsidP="00F339E9">
      <w:pPr>
        <w:pStyle w:val="Prrafodelista"/>
        <w:tabs>
          <w:tab w:val="left" w:pos="426"/>
        </w:tabs>
        <w:spacing w:before="240" w:after="240" w:line="360" w:lineRule="auto"/>
        <w:ind w:left="0" w:right="51"/>
        <w:jc w:val="both"/>
        <w:rPr>
          <w:rFonts w:ascii="Palatino Linotype" w:hAnsi="Palatino Linotype"/>
          <w:color w:val="000000" w:themeColor="text1"/>
        </w:rPr>
      </w:pPr>
    </w:p>
    <w:p w14:paraId="7105EB0A" w14:textId="560D0285" w:rsidR="00A526BF" w:rsidRPr="00417D3B" w:rsidRDefault="00F339E9" w:rsidP="00F339E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Ahora bien, respecto a la </w:t>
      </w:r>
      <w:r w:rsidRPr="00417D3B">
        <w:rPr>
          <w:rFonts w:ascii="Palatino Linotype" w:hAnsi="Palatino Linotype"/>
          <w:b/>
          <w:color w:val="000000" w:themeColor="text1"/>
        </w:rPr>
        <w:t>“estadística de</w:t>
      </w:r>
      <w:r w:rsidRPr="00417D3B">
        <w:rPr>
          <w:rFonts w:ascii="Palatino Linotype" w:hAnsi="Palatino Linotype"/>
          <w:color w:val="000000" w:themeColor="text1"/>
        </w:rPr>
        <w:t xml:space="preserve"> </w:t>
      </w:r>
      <w:r w:rsidRPr="00417D3B">
        <w:rPr>
          <w:rFonts w:ascii="Palatino Linotype" w:eastAsiaTheme="minorHAnsi" w:hAnsi="Palatino Linotype" w:cs="Arial"/>
          <w:b/>
          <w:lang w:eastAsia="en-US"/>
        </w:rPr>
        <w:t>incidencia por faltas administrativas</w:t>
      </w:r>
      <w:r w:rsidR="00444364" w:rsidRPr="00417D3B">
        <w:rPr>
          <w:rFonts w:ascii="Palatino Linotype" w:eastAsiaTheme="minorHAnsi" w:hAnsi="Palatino Linotype" w:cs="Arial"/>
          <w:b/>
          <w:lang w:eastAsia="en-US"/>
        </w:rPr>
        <w:t xml:space="preserve"> comprendida del uno de en</w:t>
      </w:r>
      <w:r w:rsidR="00650749" w:rsidRPr="00417D3B">
        <w:rPr>
          <w:rFonts w:ascii="Palatino Linotype" w:eastAsiaTheme="minorHAnsi" w:hAnsi="Palatino Linotype" w:cs="Arial"/>
          <w:b/>
          <w:lang w:eastAsia="en-US"/>
        </w:rPr>
        <w:t>ero de dos mil diez al veinte</w:t>
      </w:r>
      <w:r w:rsidR="00444364" w:rsidRPr="00417D3B">
        <w:rPr>
          <w:rFonts w:ascii="Palatino Linotype" w:eastAsiaTheme="minorHAnsi" w:hAnsi="Palatino Linotype" w:cs="Arial"/>
          <w:b/>
          <w:lang w:eastAsia="en-US"/>
        </w:rPr>
        <w:t xml:space="preserve"> de mayo de dos mil veintidós</w:t>
      </w:r>
      <w:r w:rsidR="00444364" w:rsidRPr="00417D3B">
        <w:rPr>
          <w:rFonts w:ascii="Palatino Linotype" w:eastAsiaTheme="minorHAnsi" w:hAnsi="Palatino Linotype" w:cs="Arial"/>
          <w:lang w:eastAsia="en-US"/>
        </w:rPr>
        <w:t>”</w:t>
      </w:r>
      <w:r w:rsidR="00444364" w:rsidRPr="00417D3B">
        <w:rPr>
          <w:rFonts w:ascii="Palatino Linotype" w:eastAsiaTheme="minorHAnsi" w:hAnsi="Palatino Linotype" w:cs="Arial"/>
          <w:b/>
          <w:lang w:eastAsia="en-US"/>
        </w:rPr>
        <w:t>;</w:t>
      </w:r>
      <w:r w:rsidRPr="00417D3B">
        <w:rPr>
          <w:rFonts w:ascii="Palatino Linotype" w:eastAsiaTheme="minorHAnsi" w:hAnsi="Palatino Linotype" w:cs="Arial"/>
          <w:lang w:eastAsia="en-US"/>
        </w:rPr>
        <w:t xml:space="preserve"> </w:t>
      </w:r>
      <w:r w:rsidR="00874595" w:rsidRPr="00417D3B">
        <w:rPr>
          <w:rFonts w:ascii="Palatino Linotype" w:hAnsi="Palatino Linotype"/>
          <w:color w:val="000000" w:themeColor="text1"/>
        </w:rPr>
        <w:t xml:space="preserve">al no existir </w:t>
      </w:r>
      <w:r w:rsidR="00444364" w:rsidRPr="00417D3B">
        <w:rPr>
          <w:rFonts w:ascii="Palatino Linotype" w:eastAsiaTheme="minorHAnsi" w:hAnsi="Palatino Linotype" w:cs="Arial"/>
          <w:lang w:eastAsia="en-US"/>
        </w:rPr>
        <w:t>fuente obligacional, este Órgano G</w:t>
      </w:r>
      <w:r w:rsidR="00874595" w:rsidRPr="00417D3B">
        <w:rPr>
          <w:rFonts w:ascii="Palatino Linotype" w:eastAsiaTheme="minorHAnsi" w:hAnsi="Palatino Linotype" w:cs="Arial"/>
          <w:lang w:eastAsia="en-US"/>
        </w:rPr>
        <w:t>arante no tiene la certeza de que se haya</w:t>
      </w:r>
      <w:r w:rsidR="00444364" w:rsidRPr="00417D3B">
        <w:rPr>
          <w:rFonts w:ascii="Palatino Linotype" w:eastAsiaTheme="minorHAnsi" w:hAnsi="Palatino Linotype" w:cs="Arial"/>
          <w:lang w:eastAsia="en-US"/>
        </w:rPr>
        <w:t>n</w:t>
      </w:r>
      <w:r w:rsidR="00874595" w:rsidRPr="00417D3B">
        <w:rPr>
          <w:rFonts w:ascii="Palatino Linotype" w:eastAsiaTheme="minorHAnsi" w:hAnsi="Palatino Linotype" w:cs="Arial"/>
          <w:lang w:eastAsia="en-US"/>
        </w:rPr>
        <w:t xml:space="preserve"> generado documentos donde conste</w:t>
      </w:r>
      <w:r w:rsidR="00444364" w:rsidRPr="00417D3B">
        <w:rPr>
          <w:rFonts w:ascii="Palatino Linotype" w:eastAsiaTheme="minorHAnsi" w:hAnsi="Palatino Linotype" w:cs="Arial"/>
          <w:lang w:eastAsia="en-US"/>
        </w:rPr>
        <w:t>, en este sentido</w:t>
      </w:r>
      <w:r w:rsidR="00874595" w:rsidRPr="00417D3B">
        <w:rPr>
          <w:rFonts w:ascii="Palatino Linotype" w:eastAsiaTheme="minorHAnsi" w:hAnsi="Palatino Linotype" w:cs="Arial"/>
          <w:lang w:eastAsia="en-US"/>
        </w:rPr>
        <w:t>, para el caso de que</w:t>
      </w:r>
      <w:r w:rsidRPr="00417D3B">
        <w:rPr>
          <w:rFonts w:ascii="Palatino Linotype" w:eastAsiaTheme="minorHAnsi" w:hAnsi="Palatino Linotype" w:cs="Arial"/>
          <w:lang w:eastAsia="en-US"/>
        </w:rPr>
        <w:t>, e</w:t>
      </w:r>
      <w:r w:rsidR="00874595" w:rsidRPr="00417D3B">
        <w:rPr>
          <w:rFonts w:ascii="Palatino Linotype" w:eastAsiaTheme="minorHAnsi" w:hAnsi="Palatino Linotype" w:cs="Arial"/>
          <w:lang w:eastAsia="en-US"/>
        </w:rPr>
        <w:t xml:space="preserve">l </w:t>
      </w:r>
      <w:r w:rsidRPr="00417D3B">
        <w:rPr>
          <w:rFonts w:ascii="Palatino Linotype" w:eastAsiaTheme="minorHAnsi" w:hAnsi="Palatino Linotype" w:cs="Arial"/>
          <w:b/>
          <w:lang w:eastAsia="en-US"/>
        </w:rPr>
        <w:t>SUJETO OBLIGADO</w:t>
      </w:r>
      <w:r w:rsidRPr="00417D3B">
        <w:rPr>
          <w:rFonts w:ascii="Palatino Linotype" w:eastAsiaTheme="minorHAnsi" w:hAnsi="Palatino Linotype" w:cs="Arial"/>
          <w:lang w:eastAsia="en-US"/>
        </w:rPr>
        <w:t xml:space="preserve"> </w:t>
      </w:r>
      <w:r w:rsidR="00874595" w:rsidRPr="00417D3B">
        <w:rPr>
          <w:rFonts w:ascii="Palatino Linotype" w:eastAsiaTheme="minorHAnsi" w:hAnsi="Palatino Linotype" w:cs="Arial"/>
          <w:lang w:eastAsia="en-US"/>
        </w:rPr>
        <w:t xml:space="preserve">no haya poseído o administrado la información </w:t>
      </w:r>
      <w:r w:rsidR="00874595" w:rsidRPr="00417D3B">
        <w:rPr>
          <w:rFonts w:ascii="Palatino Linotype" w:eastAsiaTheme="minorHAnsi" w:hAnsi="Palatino Linotype" w:cs="Arial"/>
          <w:lang w:eastAsia="en-US"/>
        </w:rPr>
        <w:lastRenderedPageBreak/>
        <w:t xml:space="preserve">relativa a dichos documentos, bastará con que lo haga del conocimiento de la </w:t>
      </w:r>
      <w:r w:rsidRPr="00417D3B">
        <w:rPr>
          <w:rFonts w:ascii="Palatino Linotype" w:eastAsiaTheme="minorHAnsi" w:hAnsi="Palatino Linotype" w:cs="Arial"/>
          <w:b/>
          <w:lang w:eastAsia="en-US"/>
        </w:rPr>
        <w:t>RECURRENTE</w:t>
      </w:r>
      <w:r w:rsidR="00874595" w:rsidRPr="00417D3B">
        <w:rPr>
          <w:rFonts w:ascii="Palatino Linotype" w:eastAsiaTheme="minorHAnsi" w:hAnsi="Palatino Linotype" w:cs="Arial"/>
          <w:lang w:eastAsia="en-US"/>
        </w:rPr>
        <w:t xml:space="preserve"> al momento de dar cumplimiento a la presente resolución.</w:t>
      </w:r>
    </w:p>
    <w:p w14:paraId="7649455D" w14:textId="77777777" w:rsidR="00874595" w:rsidRPr="00417D3B" w:rsidRDefault="00874595" w:rsidP="00874595">
      <w:pPr>
        <w:pStyle w:val="Prrafodelista"/>
        <w:tabs>
          <w:tab w:val="left" w:pos="426"/>
        </w:tabs>
        <w:spacing w:before="240" w:after="240" w:line="360" w:lineRule="auto"/>
        <w:ind w:left="0" w:right="51"/>
        <w:jc w:val="both"/>
        <w:rPr>
          <w:rFonts w:ascii="Palatino Linotype" w:hAnsi="Palatino Linotype"/>
          <w:color w:val="000000" w:themeColor="text1"/>
        </w:rPr>
      </w:pPr>
    </w:p>
    <w:p w14:paraId="1ABF6E91" w14:textId="61187903" w:rsidR="00444364" w:rsidRPr="00417D3B" w:rsidRDefault="00444364" w:rsidP="0044436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Precisado lo anterior, no pasa desapercibido que, el </w:t>
      </w:r>
      <w:r w:rsidRPr="00417D3B">
        <w:rPr>
          <w:rFonts w:ascii="Palatino Linotype" w:hAnsi="Palatino Linotype"/>
          <w:b/>
          <w:color w:val="000000" w:themeColor="text1"/>
        </w:rPr>
        <w:t>SUEJETO OBLIGADO</w:t>
      </w:r>
      <w:r w:rsidRPr="00417D3B">
        <w:rPr>
          <w:rFonts w:ascii="Palatino Linotype" w:hAnsi="Palatino Linotype"/>
          <w:color w:val="000000" w:themeColor="text1"/>
        </w:rPr>
        <w:t xml:space="preserve"> </w:t>
      </w:r>
      <w:r w:rsidRPr="00417D3B">
        <w:rPr>
          <w:rFonts w:ascii="Palatino Linotype" w:eastAsiaTheme="minorHAnsi" w:hAnsi="Palatino Linotype" w:cstheme="minorBidi"/>
          <w:b/>
          <w:bCs/>
          <w:lang w:eastAsia="en-US"/>
        </w:rPr>
        <w:t xml:space="preserve">pretendió clasificar como información reservada el Informe Policial Homologado (IPH), </w:t>
      </w:r>
      <w:r w:rsidRPr="00417D3B">
        <w:rPr>
          <w:rFonts w:ascii="Palatino Linotype" w:eastAsiaTheme="minorHAnsi" w:hAnsi="Palatino Linotype" w:cstheme="minorBidi"/>
          <w:bCs/>
          <w:lang w:eastAsia="en-US"/>
        </w:rPr>
        <w:t xml:space="preserve">para hechos probablemente delictivos. </w:t>
      </w:r>
    </w:p>
    <w:p w14:paraId="02E74FCB" w14:textId="77777777" w:rsidR="00444364" w:rsidRPr="00417D3B" w:rsidRDefault="00444364" w:rsidP="00444364">
      <w:pPr>
        <w:pStyle w:val="Prrafodelista"/>
        <w:tabs>
          <w:tab w:val="left" w:pos="426"/>
        </w:tabs>
        <w:spacing w:before="240" w:after="240" w:line="360" w:lineRule="auto"/>
        <w:ind w:left="0" w:right="51"/>
        <w:jc w:val="both"/>
        <w:rPr>
          <w:rFonts w:ascii="Palatino Linotype" w:hAnsi="Palatino Linotype"/>
          <w:color w:val="000000" w:themeColor="text1"/>
        </w:rPr>
      </w:pPr>
    </w:p>
    <w:p w14:paraId="7280A799" w14:textId="77777777" w:rsidR="00A95EBA" w:rsidRPr="00417D3B" w:rsidRDefault="00444364"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theme="minorBidi"/>
          <w:bCs/>
          <w:lang w:eastAsia="en-US"/>
        </w:rPr>
        <w:t xml:space="preserve">En este sentido, se advierte que, si bien es procedente la clasificación del Informe Policial Homologado como información reservada, también lo es que, el </w:t>
      </w:r>
      <w:r w:rsidRPr="00417D3B">
        <w:rPr>
          <w:rFonts w:ascii="Palatino Linotype" w:eastAsiaTheme="minorHAnsi" w:hAnsi="Palatino Linotype" w:cstheme="minorBidi"/>
          <w:b/>
          <w:bCs/>
          <w:lang w:eastAsia="en-US"/>
        </w:rPr>
        <w:t>SUJETO OBLIGADO</w:t>
      </w:r>
      <w:r w:rsidRPr="00417D3B">
        <w:rPr>
          <w:rFonts w:ascii="Palatino Linotype" w:eastAsiaTheme="minorHAnsi" w:hAnsi="Palatino Linotype" w:cstheme="minorBidi"/>
          <w:bCs/>
          <w:lang w:eastAsia="en-US"/>
        </w:rPr>
        <w:t xml:space="preserve"> debe elaborar informes y los comúnmente conocidos como </w:t>
      </w:r>
      <w:r w:rsidRPr="00417D3B">
        <w:rPr>
          <w:rFonts w:ascii="Palatino Linotype" w:eastAsiaTheme="minorHAnsi" w:hAnsi="Palatino Linotype" w:cstheme="minorBidi"/>
          <w:b/>
          <w:bCs/>
          <w:lang w:eastAsia="en-US"/>
        </w:rPr>
        <w:t>“partes de novedades y partes informativos”</w:t>
      </w:r>
      <w:r w:rsidR="00A95EBA" w:rsidRPr="00417D3B">
        <w:rPr>
          <w:rFonts w:ascii="Palatino Linotype" w:eastAsiaTheme="minorHAnsi" w:hAnsi="Palatino Linotype" w:cstheme="minorBidi"/>
          <w:b/>
          <w:bCs/>
          <w:lang w:eastAsia="en-US"/>
        </w:rPr>
        <w:t>.</w:t>
      </w:r>
    </w:p>
    <w:p w14:paraId="4424F1D6" w14:textId="77777777" w:rsidR="00A95EBA" w:rsidRPr="00417D3B" w:rsidRDefault="00A95EBA" w:rsidP="00A95EBA">
      <w:pPr>
        <w:pStyle w:val="Prrafodelista"/>
        <w:rPr>
          <w:rFonts w:ascii="Palatino Linotype" w:eastAsiaTheme="minorHAnsi" w:hAnsi="Palatino Linotype" w:cstheme="minorBidi"/>
          <w:bCs/>
          <w:lang w:eastAsia="en-US"/>
        </w:rPr>
      </w:pPr>
    </w:p>
    <w:p w14:paraId="1CD371CC" w14:textId="38FBC65A" w:rsidR="00444364" w:rsidRPr="00417D3B" w:rsidRDefault="00A95EBA" w:rsidP="0044436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theme="minorBidi"/>
          <w:bCs/>
          <w:lang w:eastAsia="en-US"/>
        </w:rPr>
        <w:t xml:space="preserve">En relación a lo anterior, </w:t>
      </w:r>
      <w:r w:rsidRPr="00417D3B">
        <w:rPr>
          <w:rFonts w:ascii="Palatino Linotype" w:hAnsi="Palatino Linotype"/>
          <w:lang w:val="es-ES" w:eastAsia="es-ES"/>
        </w:rPr>
        <w:t>e</w:t>
      </w:r>
      <w:r w:rsidR="00444364" w:rsidRPr="00417D3B">
        <w:rPr>
          <w:rFonts w:ascii="Palatino Linotype" w:hAnsi="Palatino Linotype"/>
          <w:lang w:val="es-ES" w:eastAsia="es-ES"/>
        </w:rPr>
        <w:t>l artículo 6 de la Ley de Segu</w:t>
      </w:r>
      <w:r w:rsidRPr="00417D3B">
        <w:rPr>
          <w:rFonts w:ascii="Palatino Linotype" w:hAnsi="Palatino Linotype"/>
          <w:lang w:val="es-ES" w:eastAsia="es-ES"/>
        </w:rPr>
        <w:t xml:space="preserve">ridad del Estado de México, </w:t>
      </w:r>
      <w:r w:rsidR="00444364" w:rsidRPr="00417D3B">
        <w:rPr>
          <w:rFonts w:ascii="Palatino Linotype" w:hAnsi="Palatino Linotype"/>
          <w:lang w:val="es-ES" w:eastAsia="es-ES"/>
        </w:rPr>
        <w:t>establece</w:t>
      </w:r>
      <w:r w:rsidRPr="00417D3B">
        <w:rPr>
          <w:rFonts w:ascii="Palatino Linotype" w:hAnsi="Palatino Linotype"/>
          <w:lang w:val="es-ES" w:eastAsia="es-ES"/>
        </w:rPr>
        <w:t xml:space="preserve"> que</w:t>
      </w:r>
      <w:r w:rsidR="00444364" w:rsidRPr="00417D3B">
        <w:rPr>
          <w:rFonts w:ascii="Palatino Linotype" w:hAnsi="Palatino Linotype"/>
          <w:lang w:val="es-ES" w:eastAsia="es-ES"/>
        </w:rPr>
        <w:t xml:space="preserve"> se entenderá por Instituciones de Seguridad Pública a todas aquellas Instituciones Policiales encargadas de la seguridad pública a nivel estatal y </w:t>
      </w:r>
      <w:r w:rsidR="00444364" w:rsidRPr="00417D3B">
        <w:rPr>
          <w:rFonts w:ascii="Palatino Linotype" w:hAnsi="Palatino Linotype"/>
          <w:b/>
          <w:lang w:val="es-ES" w:eastAsia="es-ES"/>
        </w:rPr>
        <w:t>municipal</w:t>
      </w:r>
      <w:r w:rsidRPr="00417D3B">
        <w:rPr>
          <w:rFonts w:ascii="Palatino Linotype" w:hAnsi="Palatino Linotype"/>
          <w:lang w:val="es-ES" w:eastAsia="es-ES"/>
        </w:rPr>
        <w:t xml:space="preserve">; </w:t>
      </w:r>
      <w:r w:rsidR="00444364" w:rsidRPr="00417D3B">
        <w:rPr>
          <w:rFonts w:ascii="Palatino Linotype" w:hAnsi="Palatino Linotype"/>
          <w:lang w:val="es-ES" w:eastAsia="es-ES"/>
        </w:rPr>
        <w:t>como se transcribe:</w:t>
      </w:r>
    </w:p>
    <w:p w14:paraId="76C15C19" w14:textId="77777777" w:rsidR="00444364" w:rsidRPr="00417D3B" w:rsidRDefault="00444364" w:rsidP="00A95EBA">
      <w:pPr>
        <w:ind w:left="567" w:right="567"/>
        <w:jc w:val="both"/>
        <w:rPr>
          <w:rFonts w:ascii="Palatino Linotype" w:hAnsi="Palatino Linotype"/>
          <w:i/>
          <w:sz w:val="22"/>
          <w:lang w:val="es-ES" w:eastAsia="es-ES"/>
        </w:rPr>
      </w:pPr>
      <w:r w:rsidRPr="00417D3B">
        <w:rPr>
          <w:rFonts w:ascii="Palatino Linotype" w:hAnsi="Palatino Linotype"/>
          <w:i/>
          <w:sz w:val="22"/>
          <w:lang w:val="es-ES" w:eastAsia="es-ES"/>
        </w:rPr>
        <w:t>“</w:t>
      </w:r>
      <w:r w:rsidRPr="00417D3B">
        <w:rPr>
          <w:rFonts w:ascii="Palatino Linotype" w:hAnsi="Palatino Linotype"/>
          <w:b/>
          <w:i/>
          <w:sz w:val="22"/>
          <w:lang w:val="es-ES" w:eastAsia="es-ES"/>
        </w:rPr>
        <w:t>Artículo 6.-</w:t>
      </w:r>
      <w:r w:rsidRPr="00417D3B">
        <w:rPr>
          <w:rFonts w:ascii="Palatino Linotype" w:hAnsi="Palatino Linotype"/>
          <w:i/>
          <w:sz w:val="22"/>
          <w:lang w:val="es-ES" w:eastAsia="es-ES"/>
        </w:rPr>
        <w:t xml:space="preserve"> Para los efectos de esta Ley, se entenderá por:</w:t>
      </w:r>
    </w:p>
    <w:p w14:paraId="72F725BD" w14:textId="77777777" w:rsidR="00444364" w:rsidRPr="00417D3B" w:rsidRDefault="00444364" w:rsidP="00A95EBA">
      <w:pPr>
        <w:ind w:left="567" w:right="567"/>
        <w:jc w:val="both"/>
        <w:rPr>
          <w:rFonts w:ascii="Palatino Linotype" w:hAnsi="Palatino Linotype"/>
          <w:i/>
          <w:sz w:val="22"/>
          <w:lang w:val="es-ES" w:eastAsia="es-ES"/>
        </w:rPr>
      </w:pPr>
      <w:r w:rsidRPr="00417D3B">
        <w:rPr>
          <w:rFonts w:ascii="Palatino Linotype" w:hAnsi="Palatino Linotype"/>
          <w:i/>
          <w:sz w:val="22"/>
          <w:lang w:val="es-ES" w:eastAsia="es-ES"/>
        </w:rPr>
        <w:t>(…)</w:t>
      </w:r>
    </w:p>
    <w:p w14:paraId="0E6FAAD7" w14:textId="77777777" w:rsidR="00444364" w:rsidRPr="00417D3B" w:rsidRDefault="00444364" w:rsidP="00A95EBA">
      <w:pPr>
        <w:ind w:left="567" w:right="567"/>
        <w:jc w:val="both"/>
        <w:rPr>
          <w:rFonts w:ascii="Palatino Linotype" w:hAnsi="Palatino Linotype"/>
          <w:i/>
          <w:sz w:val="22"/>
          <w:lang w:val="es-ES" w:eastAsia="es-ES"/>
        </w:rPr>
      </w:pPr>
      <w:r w:rsidRPr="00417D3B">
        <w:rPr>
          <w:rFonts w:ascii="Palatino Linotype" w:hAnsi="Palatino Linotype"/>
          <w:b/>
          <w:i/>
          <w:sz w:val="22"/>
          <w:lang w:val="es-ES" w:eastAsia="es-ES"/>
        </w:rPr>
        <w:t>XI. Instituciones Policiales</w:t>
      </w:r>
      <w:r w:rsidRPr="00417D3B">
        <w:rPr>
          <w:rFonts w:ascii="Palatino Linotype" w:hAnsi="Palatino Linotype"/>
          <w:i/>
          <w:sz w:val="22"/>
          <w:lang w:val="es-ES" w:eastAsia="es-ES"/>
        </w:rPr>
        <w:t xml:space="preserve">: a los cuerpos de policía, de vigilancia y custodia de los establecimientos penitenciarios, de detención preventiva y de centros de arraigos; y </w:t>
      </w:r>
      <w:r w:rsidRPr="00417D3B">
        <w:rPr>
          <w:rFonts w:ascii="Palatino Linotype" w:hAnsi="Palatino Linotype"/>
          <w:b/>
          <w:i/>
          <w:sz w:val="22"/>
          <w:lang w:val="es-ES" w:eastAsia="es-ES"/>
        </w:rPr>
        <w:t xml:space="preserve">en general todas las dependencias encargadas de la seguridad pública a nivel estatal y </w:t>
      </w:r>
      <w:r w:rsidRPr="00417D3B">
        <w:rPr>
          <w:rFonts w:ascii="Palatino Linotype" w:hAnsi="Palatino Linotype"/>
          <w:b/>
          <w:i/>
          <w:sz w:val="22"/>
          <w:u w:val="single"/>
          <w:lang w:val="es-ES" w:eastAsia="es-ES"/>
        </w:rPr>
        <w:t>municipal</w:t>
      </w:r>
      <w:r w:rsidRPr="00417D3B">
        <w:rPr>
          <w:rFonts w:ascii="Palatino Linotype" w:hAnsi="Palatino Linotype"/>
          <w:i/>
          <w:sz w:val="22"/>
          <w:lang w:val="es-ES" w:eastAsia="es-ES"/>
        </w:rPr>
        <w:t xml:space="preserve">, que realicen funciones similares; </w:t>
      </w:r>
    </w:p>
    <w:p w14:paraId="6CF9B239" w14:textId="77777777" w:rsidR="00444364" w:rsidRPr="00417D3B" w:rsidRDefault="00444364" w:rsidP="00A95EBA">
      <w:pPr>
        <w:ind w:left="567" w:right="567"/>
        <w:jc w:val="both"/>
        <w:rPr>
          <w:rFonts w:ascii="Palatino Linotype" w:hAnsi="Palatino Linotype"/>
          <w:i/>
          <w:sz w:val="22"/>
          <w:lang w:val="es-ES" w:eastAsia="es-ES"/>
        </w:rPr>
      </w:pPr>
    </w:p>
    <w:p w14:paraId="423736C8" w14:textId="77777777" w:rsidR="00444364" w:rsidRPr="00417D3B" w:rsidRDefault="00444364" w:rsidP="00A95EBA">
      <w:pPr>
        <w:ind w:left="567" w:right="567"/>
        <w:jc w:val="both"/>
        <w:rPr>
          <w:rFonts w:ascii="Palatino Linotype" w:hAnsi="Palatino Linotype"/>
          <w:i/>
          <w:sz w:val="22"/>
          <w:lang w:val="es-ES" w:eastAsia="es-ES"/>
        </w:rPr>
      </w:pPr>
      <w:r w:rsidRPr="00417D3B">
        <w:rPr>
          <w:rFonts w:ascii="Palatino Linotype" w:hAnsi="Palatino Linotype"/>
          <w:b/>
          <w:i/>
          <w:sz w:val="22"/>
          <w:lang w:val="es-ES" w:eastAsia="es-ES"/>
        </w:rPr>
        <w:t>XII. Instituciones de Seguridad Pública</w:t>
      </w:r>
      <w:r w:rsidRPr="00417D3B">
        <w:rPr>
          <w:rFonts w:ascii="Palatino Linotype" w:hAnsi="Palatino Linotype"/>
          <w:i/>
          <w:sz w:val="22"/>
          <w:lang w:val="es-ES" w:eastAsia="es-ES"/>
        </w:rPr>
        <w:t xml:space="preserve">: a las Instituciones Policiales, de Procuración de Justicia, del Sistema Penitenciario y </w:t>
      </w:r>
      <w:r w:rsidRPr="00417D3B">
        <w:rPr>
          <w:rFonts w:ascii="Palatino Linotype" w:hAnsi="Palatino Linotype"/>
          <w:b/>
          <w:i/>
          <w:sz w:val="22"/>
          <w:lang w:val="es-ES" w:eastAsia="es-ES"/>
        </w:rPr>
        <w:t xml:space="preserve">dependencias encargadas de la seguridad pública a nivel estatal y </w:t>
      </w:r>
      <w:r w:rsidRPr="00417D3B">
        <w:rPr>
          <w:rFonts w:ascii="Palatino Linotype" w:hAnsi="Palatino Linotype"/>
          <w:i/>
          <w:sz w:val="22"/>
          <w:lang w:val="es-ES" w:eastAsia="es-ES"/>
        </w:rPr>
        <w:t>municipal</w:t>
      </w:r>
      <w:r w:rsidRPr="00417D3B">
        <w:rPr>
          <w:rFonts w:ascii="Palatino Linotype" w:hAnsi="Palatino Linotype"/>
          <w:b/>
          <w:i/>
          <w:sz w:val="22"/>
          <w:lang w:val="es-ES" w:eastAsia="es-ES"/>
        </w:rPr>
        <w:t xml:space="preserve">; </w:t>
      </w:r>
    </w:p>
    <w:p w14:paraId="60DD599F" w14:textId="2FCFF1E5" w:rsidR="00444364"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i/>
          <w:sz w:val="22"/>
          <w:lang w:val="es-ES" w:eastAsia="es-ES"/>
        </w:rPr>
        <w:t xml:space="preserve">(…)” </w:t>
      </w:r>
    </w:p>
    <w:p w14:paraId="577FA84B" w14:textId="77777777" w:rsidR="00A95EBA" w:rsidRPr="00417D3B" w:rsidRDefault="00A95EBA" w:rsidP="00A95EBA">
      <w:pPr>
        <w:ind w:right="567"/>
        <w:jc w:val="both"/>
        <w:rPr>
          <w:rFonts w:ascii="Palatino Linotype" w:hAnsi="Palatino Linotype"/>
          <w:i/>
          <w:sz w:val="22"/>
          <w:lang w:val="es-ES" w:eastAsia="es-ES"/>
        </w:rPr>
      </w:pPr>
    </w:p>
    <w:p w14:paraId="542F161D" w14:textId="14BB213A" w:rsidR="00A95EBA" w:rsidRPr="00417D3B" w:rsidRDefault="00A95EBA"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lang w:val="es-ES" w:eastAsia="es-ES"/>
        </w:rPr>
        <w:lastRenderedPageBreak/>
        <w:t xml:space="preserve">En ese mismo orden de ideas, la Ley en comento, en su artículo 138 fracción IX, X y XI, otorga facultades a dichas Instituciones para dar cabal cumplimiento a sus funciones, dentro de las cuales se encuentra el </w:t>
      </w:r>
      <w:r w:rsidRPr="00417D3B">
        <w:rPr>
          <w:rFonts w:ascii="Palatino Linotype" w:hAnsi="Palatino Linotype"/>
          <w:b/>
          <w:lang w:val="es-ES" w:eastAsia="es-ES"/>
        </w:rPr>
        <w:t>emitir informes, partes policiales y entre otras, las siguientes:</w:t>
      </w:r>
    </w:p>
    <w:p w14:paraId="2D70492D" w14:textId="77777777" w:rsidR="00A95EBA"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i/>
          <w:sz w:val="22"/>
          <w:lang w:val="es-ES" w:eastAsia="es-ES"/>
        </w:rPr>
        <w:t>“</w:t>
      </w:r>
      <w:r w:rsidRPr="00417D3B">
        <w:rPr>
          <w:rFonts w:ascii="Palatino Linotype" w:hAnsi="Palatino Linotype"/>
          <w:b/>
          <w:i/>
          <w:sz w:val="22"/>
          <w:lang w:val="es-ES" w:eastAsia="es-ES"/>
        </w:rPr>
        <w:t>Artículo 138.-</w:t>
      </w:r>
      <w:r w:rsidRPr="00417D3B">
        <w:rPr>
          <w:rFonts w:ascii="Palatino Linotype" w:hAnsi="Palatino Linotype"/>
          <w:i/>
          <w:sz w:val="22"/>
          <w:lang w:val="es-ES" w:eastAsia="es-ES"/>
        </w:rPr>
        <w:t xml:space="preserve"> Las unidades de policía encargadas de la investigación científica de los delitos </w:t>
      </w:r>
      <w:r w:rsidRPr="00417D3B">
        <w:rPr>
          <w:rFonts w:ascii="Palatino Linotype" w:hAnsi="Palatino Linotype"/>
          <w:b/>
          <w:i/>
          <w:sz w:val="22"/>
          <w:lang w:val="es-ES" w:eastAsia="es-ES"/>
        </w:rPr>
        <w:t>se coordinarán en los términos de esta Ley</w:t>
      </w:r>
      <w:r w:rsidRPr="00417D3B">
        <w:rPr>
          <w:rFonts w:ascii="Palatino Linotype" w:hAnsi="Palatino Linotype"/>
          <w:i/>
          <w:sz w:val="22"/>
          <w:lang w:val="es-ES" w:eastAsia="es-ES"/>
        </w:rPr>
        <w:t xml:space="preserve"> y demás disposiciones aplicables, </w:t>
      </w:r>
      <w:r w:rsidRPr="00417D3B">
        <w:rPr>
          <w:rFonts w:ascii="Palatino Linotype" w:hAnsi="Palatino Linotype"/>
          <w:b/>
          <w:i/>
          <w:sz w:val="22"/>
          <w:lang w:val="es-ES" w:eastAsia="es-ES"/>
        </w:rPr>
        <w:t>para el efectivo cumplimiento de sus funciones</w:t>
      </w:r>
      <w:r w:rsidRPr="00417D3B">
        <w:rPr>
          <w:rFonts w:ascii="Palatino Linotype" w:hAnsi="Palatino Linotype"/>
          <w:i/>
          <w:sz w:val="22"/>
          <w:lang w:val="es-ES" w:eastAsia="es-ES"/>
        </w:rPr>
        <w:t xml:space="preserve">, y tendrán, entre otras, las facultades siguientes: </w:t>
      </w:r>
    </w:p>
    <w:p w14:paraId="47B419BD" w14:textId="77777777" w:rsidR="00A95EBA"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i/>
          <w:sz w:val="22"/>
          <w:lang w:val="es-ES" w:eastAsia="es-ES"/>
        </w:rPr>
        <w:t>(…)</w:t>
      </w:r>
    </w:p>
    <w:p w14:paraId="634C520E" w14:textId="77777777" w:rsidR="00A95EBA"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b/>
          <w:i/>
          <w:sz w:val="22"/>
          <w:lang w:val="es-ES" w:eastAsia="es-ES"/>
        </w:rPr>
        <w:t>IX</w:t>
      </w:r>
      <w:r w:rsidRPr="00417D3B">
        <w:rPr>
          <w:rFonts w:ascii="Palatino Linotype" w:hAnsi="Palatino Linotype"/>
          <w:i/>
          <w:sz w:val="22"/>
          <w:lang w:val="es-ES" w:eastAsia="es-ES"/>
        </w:rPr>
        <w:t>. Proponer al ministerio público que requiera a las autoridades competentes, informes y documentos para fines de la investigación, cuando se trate de aquellos que sólo pueda solicitar por conducto de éste;</w:t>
      </w:r>
    </w:p>
    <w:p w14:paraId="01F4E098" w14:textId="77777777" w:rsidR="00A95EBA" w:rsidRPr="00417D3B" w:rsidRDefault="00A95EBA" w:rsidP="00A95EBA">
      <w:pPr>
        <w:ind w:left="567" w:right="567"/>
        <w:jc w:val="both"/>
        <w:rPr>
          <w:rFonts w:ascii="Palatino Linotype" w:hAnsi="Palatino Linotype"/>
          <w:i/>
          <w:sz w:val="22"/>
          <w:lang w:val="es-ES" w:eastAsia="es-ES"/>
        </w:rPr>
      </w:pPr>
    </w:p>
    <w:p w14:paraId="2A58E436" w14:textId="77777777" w:rsidR="00A95EBA"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b/>
          <w:i/>
          <w:sz w:val="22"/>
          <w:lang w:val="es-ES" w:eastAsia="es-ES"/>
        </w:rPr>
        <w:t>X</w:t>
      </w:r>
      <w:r w:rsidRPr="00417D3B">
        <w:rPr>
          <w:rFonts w:ascii="Palatino Linotype" w:hAnsi="Palatino Linotype"/>
          <w:i/>
          <w:sz w:val="22"/>
          <w:lang w:val="es-ES" w:eastAsia="es-ES"/>
        </w:rPr>
        <w:t xml:space="preserve">. Dejar constancia de cada una de sus actuaciones, así como llevar un control y seguimiento de éstas. Durante el curso de la investigación </w:t>
      </w:r>
      <w:r w:rsidRPr="00417D3B">
        <w:rPr>
          <w:rFonts w:ascii="Palatino Linotype" w:hAnsi="Palatino Linotype"/>
          <w:b/>
          <w:i/>
          <w:sz w:val="22"/>
          <w:lang w:val="es-ES" w:eastAsia="es-ES"/>
        </w:rPr>
        <w:t>deberán elaborar informes sobre el desarrollo de la misma, y rendirlos al ministerio público</w:t>
      </w:r>
      <w:r w:rsidRPr="00417D3B">
        <w:rPr>
          <w:rFonts w:ascii="Palatino Linotype" w:hAnsi="Palatino Linotype"/>
          <w:i/>
          <w:sz w:val="22"/>
          <w:lang w:val="es-ES" w:eastAsia="es-ES"/>
        </w:rPr>
        <w:t>, sin perjuicio de los informes que éste le requiera;</w:t>
      </w:r>
    </w:p>
    <w:p w14:paraId="2F37BFEA" w14:textId="77777777" w:rsidR="00A95EBA" w:rsidRPr="00417D3B" w:rsidRDefault="00A95EBA" w:rsidP="00A95EBA">
      <w:pPr>
        <w:ind w:left="567" w:right="567"/>
        <w:jc w:val="both"/>
        <w:rPr>
          <w:rFonts w:ascii="Palatino Linotype" w:hAnsi="Palatino Linotype"/>
          <w:i/>
          <w:sz w:val="22"/>
          <w:lang w:val="es-ES" w:eastAsia="es-ES"/>
        </w:rPr>
      </w:pPr>
    </w:p>
    <w:p w14:paraId="503C49DC" w14:textId="77777777" w:rsidR="00A95EBA"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b/>
          <w:i/>
          <w:sz w:val="22"/>
          <w:lang w:val="es-ES" w:eastAsia="es-ES"/>
        </w:rPr>
        <w:t>XI</w:t>
      </w:r>
      <w:r w:rsidRPr="00417D3B">
        <w:rPr>
          <w:rFonts w:ascii="Palatino Linotype" w:hAnsi="Palatino Linotype"/>
          <w:i/>
          <w:sz w:val="22"/>
          <w:lang w:val="es-ES" w:eastAsia="es-ES"/>
        </w:rPr>
        <w:t xml:space="preserve">. </w:t>
      </w:r>
      <w:r w:rsidRPr="00417D3B">
        <w:rPr>
          <w:rFonts w:ascii="Palatino Linotype" w:hAnsi="Palatino Linotype"/>
          <w:b/>
          <w:i/>
          <w:sz w:val="22"/>
          <w:lang w:val="es-ES" w:eastAsia="es-ES"/>
        </w:rPr>
        <w:t>Emitir los informes, partes policiales y demás documentos que se generen, con los requisitos de fondo y forma</w:t>
      </w:r>
      <w:r w:rsidRPr="00417D3B">
        <w:rPr>
          <w:rFonts w:ascii="Palatino Linotype" w:hAnsi="Palatino Linotype"/>
          <w:i/>
          <w:sz w:val="22"/>
          <w:lang w:val="es-ES" w:eastAsia="es-ES"/>
        </w:rPr>
        <w:t xml:space="preserve"> que establezcan las disposiciones aplicables, para tal efecto se podrán apoyar en los conocimientos que resulten necesarios;</w:t>
      </w:r>
    </w:p>
    <w:p w14:paraId="5580CD7D" w14:textId="38341403" w:rsidR="00A526BF" w:rsidRPr="00417D3B" w:rsidRDefault="00A95EBA" w:rsidP="00A95EBA">
      <w:pPr>
        <w:ind w:left="567" w:right="567"/>
        <w:jc w:val="both"/>
        <w:rPr>
          <w:rFonts w:ascii="Palatino Linotype" w:hAnsi="Palatino Linotype"/>
          <w:i/>
          <w:sz w:val="22"/>
          <w:lang w:val="es-ES" w:eastAsia="es-ES"/>
        </w:rPr>
      </w:pPr>
      <w:r w:rsidRPr="00417D3B">
        <w:rPr>
          <w:rFonts w:ascii="Palatino Linotype" w:hAnsi="Palatino Linotype"/>
          <w:i/>
          <w:sz w:val="22"/>
          <w:lang w:val="es-ES" w:eastAsia="es-ES"/>
        </w:rPr>
        <w:t>…”</w:t>
      </w:r>
    </w:p>
    <w:p w14:paraId="40F099EC" w14:textId="77777777" w:rsidR="00A95EBA" w:rsidRPr="00417D3B" w:rsidRDefault="00A95EBA" w:rsidP="00A95EBA">
      <w:pPr>
        <w:ind w:right="567"/>
        <w:jc w:val="both"/>
        <w:rPr>
          <w:rFonts w:ascii="Palatino Linotype" w:hAnsi="Palatino Linotype"/>
          <w:lang w:val="es-ES" w:eastAsia="es-ES"/>
        </w:rPr>
      </w:pPr>
    </w:p>
    <w:p w14:paraId="472A5E99" w14:textId="77777777" w:rsidR="001E358F" w:rsidRPr="00417D3B" w:rsidRDefault="00A95EBA"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lang w:val="es-ES" w:eastAsia="es-ES"/>
        </w:rPr>
        <w:t>En esa tesitura, cabe señalar la distinción entre los partes de novedades y los partes informativos a que se hace referencia en el párrafo que antecede.</w:t>
      </w:r>
    </w:p>
    <w:p w14:paraId="67E0A869" w14:textId="3F7BEA80" w:rsidR="001E358F" w:rsidRPr="00417D3B" w:rsidRDefault="001E358F" w:rsidP="001E358F">
      <w:pPr>
        <w:pStyle w:val="Prrafodelista"/>
        <w:tabs>
          <w:tab w:val="left" w:pos="426"/>
        </w:tabs>
        <w:spacing w:before="240" w:after="240"/>
        <w:ind w:left="567" w:right="616"/>
        <w:jc w:val="both"/>
        <w:rPr>
          <w:rFonts w:ascii="Palatino Linotype" w:hAnsi="Palatino Linotype"/>
          <w:color w:val="000000" w:themeColor="text1"/>
          <w:sz w:val="22"/>
        </w:rPr>
      </w:pPr>
      <w:r w:rsidRPr="00417D3B">
        <w:rPr>
          <w:rFonts w:ascii="Palatino Linotype" w:hAnsi="Palatino Linotype"/>
          <w:i/>
          <w:sz w:val="22"/>
          <w:lang w:val="es-ES" w:eastAsia="es-ES"/>
        </w:rPr>
        <w:t xml:space="preserve">“El </w:t>
      </w:r>
      <w:r w:rsidRPr="00417D3B">
        <w:rPr>
          <w:rFonts w:ascii="Palatino Linotype" w:hAnsi="Palatino Linotype"/>
          <w:b/>
          <w:i/>
          <w:sz w:val="22"/>
          <w:lang w:val="es-ES" w:eastAsia="es-ES"/>
        </w:rPr>
        <w:t>PARTE DE NOVEDADES</w:t>
      </w:r>
      <w:r w:rsidRPr="00417D3B">
        <w:rPr>
          <w:rFonts w:ascii="Palatino Linotype" w:hAnsi="Palatino Linotype"/>
          <w:i/>
          <w:sz w:val="22"/>
          <w:lang w:val="es-ES" w:eastAsia="es-ES"/>
        </w:rPr>
        <w:t xml:space="preserve"> es la </w:t>
      </w:r>
      <w:r w:rsidRPr="00417D3B">
        <w:rPr>
          <w:rFonts w:ascii="Palatino Linotype" w:hAnsi="Palatino Linotype"/>
          <w:b/>
          <w:i/>
          <w:sz w:val="22"/>
          <w:lang w:val="es-ES" w:eastAsia="es-ES"/>
        </w:rPr>
        <w:t>presentación por escrito de los hechos relevantes del turno</w:t>
      </w:r>
      <w:r w:rsidRPr="00417D3B">
        <w:rPr>
          <w:rFonts w:ascii="Palatino Linotype" w:hAnsi="Palatino Linotype"/>
          <w:i/>
          <w:sz w:val="22"/>
          <w:lang w:val="es-ES" w:eastAsia="es-ES"/>
        </w:rPr>
        <w:t>.</w:t>
      </w:r>
    </w:p>
    <w:p w14:paraId="30A9BBBB" w14:textId="77777777" w:rsidR="001E358F" w:rsidRPr="00417D3B" w:rsidRDefault="001E358F" w:rsidP="001E358F">
      <w:pPr>
        <w:ind w:left="567" w:right="616"/>
        <w:jc w:val="both"/>
        <w:rPr>
          <w:rFonts w:ascii="Palatino Linotype" w:hAnsi="Palatino Linotype"/>
          <w:i/>
          <w:sz w:val="22"/>
          <w:lang w:val="es-ES" w:eastAsia="es-ES"/>
        </w:rPr>
      </w:pPr>
    </w:p>
    <w:p w14:paraId="4540F415" w14:textId="3B29060C" w:rsidR="001E358F" w:rsidRPr="00417D3B" w:rsidRDefault="001E358F" w:rsidP="001E358F">
      <w:pPr>
        <w:ind w:left="567" w:right="616"/>
        <w:jc w:val="both"/>
        <w:rPr>
          <w:rFonts w:ascii="Palatino Linotype" w:hAnsi="Palatino Linotype"/>
          <w:i/>
          <w:sz w:val="22"/>
          <w:lang w:val="es-ES" w:eastAsia="es-ES"/>
        </w:rPr>
      </w:pPr>
      <w:r w:rsidRPr="00417D3B">
        <w:rPr>
          <w:rFonts w:ascii="Palatino Linotype" w:hAnsi="Palatino Linotype"/>
          <w:i/>
          <w:sz w:val="22"/>
          <w:lang w:val="es-ES" w:eastAsia="es-ES"/>
        </w:rPr>
        <w:t xml:space="preserve">El </w:t>
      </w:r>
      <w:r w:rsidRPr="00417D3B">
        <w:rPr>
          <w:rFonts w:ascii="Palatino Linotype" w:hAnsi="Palatino Linotype"/>
          <w:b/>
          <w:i/>
          <w:sz w:val="22"/>
          <w:lang w:val="es-ES" w:eastAsia="es-ES"/>
        </w:rPr>
        <w:t>PARTE INFORMATIVO</w:t>
      </w:r>
      <w:r w:rsidRPr="00417D3B">
        <w:rPr>
          <w:rFonts w:ascii="Palatino Linotype" w:hAnsi="Palatino Linotype"/>
          <w:i/>
          <w:sz w:val="22"/>
          <w:lang w:val="es-ES" w:eastAsia="es-ES"/>
        </w:rPr>
        <w:t xml:space="preserve"> es la presentación por escrito de una relación de los hechos involucrados en un hecho específico, como un accidente, una detención o cualquier otra intervención del policía en el ejercicio de sus funciones. El parte informativo normalmente forma parte del inicio de una acción legal y es leído por personas que no estuvieron en el lugar de los hechos”</w:t>
      </w:r>
    </w:p>
    <w:p w14:paraId="4C2686E0" w14:textId="77777777" w:rsidR="00650749" w:rsidRPr="00417D3B" w:rsidRDefault="00650749" w:rsidP="001E358F">
      <w:pPr>
        <w:ind w:left="567" w:right="616"/>
        <w:jc w:val="both"/>
        <w:rPr>
          <w:rFonts w:ascii="Palatino Linotype" w:hAnsi="Palatino Linotype"/>
          <w:i/>
          <w:lang w:val="es-ES" w:eastAsia="es-ES"/>
        </w:rPr>
      </w:pPr>
    </w:p>
    <w:p w14:paraId="020FDB6C" w14:textId="7D11220D" w:rsidR="001E358F" w:rsidRPr="00417D3B" w:rsidRDefault="00A95EBA"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lang w:eastAsia="es-ES"/>
        </w:rPr>
        <w:lastRenderedPageBreak/>
        <w:t xml:space="preserve">En ese sentido, el parte informativo pudiera contener la información peticionada al describir un hecho especifico, </w:t>
      </w:r>
      <w:r w:rsidRPr="00417D3B">
        <w:rPr>
          <w:rFonts w:ascii="Palatino Linotype" w:hAnsi="Palatino Linotype"/>
          <w:u w:val="single"/>
          <w:lang w:eastAsia="es-ES"/>
        </w:rPr>
        <w:t>por lo que éste Órgano garante advierte que podría ser procedente la clasificación de la información únicamente respecto a el estado de fuerza utilizado en los operativos realizados en el periodo del cual se solicita la información, toda vez que podría producirse un daño con la publicación de la información y puede comprometer la seguridad pública municipal</w:t>
      </w:r>
      <w:r w:rsidRPr="00417D3B">
        <w:rPr>
          <w:rFonts w:ascii="Palatino Linotype" w:hAnsi="Palatino Linotype"/>
          <w:lang w:eastAsia="es-ES"/>
        </w:rPr>
        <w:t xml:space="preserve">, sin embargo, datos estadísticos como por ejemplo los resultados obtenidos, horarios y ubicaciones de hechos que ya fueron consumados no se está violando la secrecía del Estado, y tampoco se está revelando información concerniente a procesos de investigación, y </w:t>
      </w:r>
      <w:r w:rsidRPr="00417D3B">
        <w:rPr>
          <w:rFonts w:ascii="Palatino Linotype" w:hAnsi="Palatino Linotype"/>
          <w:b/>
          <w:lang w:eastAsia="es-ES"/>
        </w:rPr>
        <w:t>de ninguna forma revelan protocolos de operación, o datos personales</w:t>
      </w:r>
      <w:r w:rsidRPr="00417D3B">
        <w:rPr>
          <w:rFonts w:ascii="Palatino Linotype" w:hAnsi="Palatino Linotype"/>
          <w:lang w:eastAsia="es-ES"/>
        </w:rPr>
        <w:t xml:space="preserve"> de los servidores públicos que se encuentran al mando de la seguridad públ</w:t>
      </w:r>
      <w:r w:rsidR="001E358F" w:rsidRPr="00417D3B">
        <w:rPr>
          <w:rFonts w:ascii="Palatino Linotype" w:hAnsi="Palatino Linotype"/>
          <w:lang w:eastAsia="es-ES"/>
        </w:rPr>
        <w:t>ica municipal, como por ejemplo,</w:t>
      </w:r>
      <w:r w:rsidR="00650749" w:rsidRPr="00417D3B">
        <w:rPr>
          <w:rFonts w:ascii="Palatino Linotype" w:hAnsi="Palatino Linotype"/>
          <w:lang w:eastAsia="es-ES"/>
        </w:rPr>
        <w:t xml:space="preserve"> </w:t>
      </w:r>
      <w:r w:rsidRPr="00417D3B">
        <w:rPr>
          <w:rFonts w:ascii="Palatino Linotype" w:hAnsi="Palatino Linotype"/>
          <w:lang w:eastAsia="es-ES"/>
        </w:rPr>
        <w:t>domicilio o número telefónico particular.</w:t>
      </w:r>
    </w:p>
    <w:p w14:paraId="77E692AF" w14:textId="77777777" w:rsidR="001E358F" w:rsidRPr="00417D3B" w:rsidRDefault="001E358F" w:rsidP="001E358F">
      <w:pPr>
        <w:pStyle w:val="Prrafodelista"/>
        <w:tabs>
          <w:tab w:val="left" w:pos="426"/>
        </w:tabs>
        <w:spacing w:before="240" w:after="240" w:line="360" w:lineRule="auto"/>
        <w:ind w:left="0" w:right="51"/>
        <w:jc w:val="both"/>
        <w:rPr>
          <w:rFonts w:ascii="Palatino Linotype" w:hAnsi="Palatino Linotype"/>
          <w:color w:val="000000" w:themeColor="text1"/>
        </w:rPr>
      </w:pPr>
    </w:p>
    <w:p w14:paraId="55ED881C" w14:textId="7EA6172F" w:rsidR="001E358F" w:rsidRPr="00417D3B" w:rsidRDefault="00A95EBA"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lang w:eastAsia="es-ES"/>
        </w:rPr>
        <w:t xml:space="preserve">No obstante, si el documento que se ordenara entregar pudiera contener </w:t>
      </w:r>
      <w:r w:rsidRPr="00417D3B">
        <w:rPr>
          <w:rFonts w:ascii="Palatino Linotype" w:hAnsi="Palatino Linotype"/>
          <w:b/>
          <w:lang w:eastAsia="es-ES"/>
        </w:rPr>
        <w:t>datos personales</w:t>
      </w:r>
      <w:r w:rsidR="001E358F" w:rsidRPr="00417D3B">
        <w:rPr>
          <w:rFonts w:ascii="Palatino Linotype" w:hAnsi="Palatino Linotype"/>
          <w:lang w:eastAsia="es-ES"/>
        </w:rPr>
        <w:t xml:space="preserve">, como lo son, </w:t>
      </w:r>
      <w:r w:rsidRPr="00417D3B">
        <w:rPr>
          <w:rFonts w:ascii="Palatino Linotype" w:hAnsi="Palatino Linotype"/>
          <w:lang w:eastAsia="es-ES"/>
        </w:rPr>
        <w:t xml:space="preserve">el nombre de las personas involucradas (victimas y/o presuntos responsables), corresponde a un dato personal susceptible de clasificarse como confidencial. Por todo lo anterior, y toda vez que la información solicitada se puede contener en los informes policiales, se tiene que es </w:t>
      </w:r>
      <w:r w:rsidRPr="00417D3B">
        <w:rPr>
          <w:rFonts w:ascii="Palatino Linotype" w:hAnsi="Palatino Linotype"/>
          <w:b/>
          <w:lang w:eastAsia="es-ES"/>
        </w:rPr>
        <w:t>procedente ordenar la entrega en versión pública del parte de novedades</w:t>
      </w:r>
      <w:r w:rsidRPr="00417D3B">
        <w:rPr>
          <w:rFonts w:ascii="Palatino Linotype" w:hAnsi="Palatino Linotype"/>
          <w:lang w:eastAsia="es-ES"/>
        </w:rPr>
        <w:t xml:space="preserve"> </w:t>
      </w:r>
      <w:r w:rsidRPr="00417D3B">
        <w:rPr>
          <w:rFonts w:ascii="Palatino Linotype" w:hAnsi="Palatino Linotype"/>
          <w:b/>
          <w:lang w:eastAsia="es-ES"/>
        </w:rPr>
        <w:t>o la bitácora de actividades o documento análogo donde conste al mayor grado de desagregación la información peticionada.</w:t>
      </w:r>
    </w:p>
    <w:p w14:paraId="44D461C8" w14:textId="77777777" w:rsidR="001E358F" w:rsidRPr="00417D3B" w:rsidRDefault="001E358F" w:rsidP="001E358F">
      <w:pPr>
        <w:pStyle w:val="Prrafodelista"/>
        <w:tabs>
          <w:tab w:val="left" w:pos="426"/>
        </w:tabs>
        <w:spacing w:before="240" w:after="240" w:line="360" w:lineRule="auto"/>
        <w:ind w:left="0" w:right="51"/>
        <w:jc w:val="both"/>
        <w:rPr>
          <w:rFonts w:ascii="Palatino Linotype" w:hAnsi="Palatino Linotype"/>
          <w:color w:val="000000" w:themeColor="text1"/>
        </w:rPr>
      </w:pPr>
    </w:p>
    <w:p w14:paraId="72E10C9D" w14:textId="77777777" w:rsidR="001E358F" w:rsidRPr="00417D3B" w:rsidRDefault="001E358F"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bCs/>
        </w:rPr>
        <w:t>Ahora bien</w:t>
      </w:r>
      <w:r w:rsidR="00A95EBA" w:rsidRPr="00417D3B">
        <w:rPr>
          <w:rFonts w:ascii="Palatino Linotype" w:hAnsi="Palatino Linotype"/>
          <w:bCs/>
        </w:rPr>
        <w:t>, resulta nec</w:t>
      </w:r>
      <w:r w:rsidRPr="00417D3B">
        <w:rPr>
          <w:rFonts w:ascii="Palatino Linotype" w:hAnsi="Palatino Linotype"/>
          <w:bCs/>
        </w:rPr>
        <w:t xml:space="preserve">esario para este Órgano Garante, </w:t>
      </w:r>
      <w:r w:rsidR="00A95EBA" w:rsidRPr="00417D3B">
        <w:rPr>
          <w:rFonts w:ascii="Palatino Linotype" w:hAnsi="Palatino Linotype"/>
          <w:bCs/>
        </w:rPr>
        <w:t xml:space="preserve">que particularmente, respecto del requerimiento de las </w:t>
      </w:r>
      <w:r w:rsidRPr="00417D3B">
        <w:rPr>
          <w:rFonts w:ascii="Palatino Linotype" w:hAnsi="Palatino Linotype"/>
          <w:bCs/>
        </w:rPr>
        <w:t>“</w:t>
      </w:r>
      <w:r w:rsidR="00A95EBA" w:rsidRPr="00417D3B">
        <w:rPr>
          <w:rFonts w:ascii="Palatino Linotype" w:hAnsi="Palatino Linotype"/>
          <w:b/>
          <w:bCs/>
        </w:rPr>
        <w:t>coordenadas geográficas</w:t>
      </w:r>
      <w:r w:rsidRPr="00417D3B">
        <w:rPr>
          <w:rFonts w:ascii="Palatino Linotype" w:hAnsi="Palatino Linotype"/>
          <w:b/>
          <w:bCs/>
        </w:rPr>
        <w:t>”,</w:t>
      </w:r>
      <w:r w:rsidR="00A95EBA" w:rsidRPr="00417D3B">
        <w:rPr>
          <w:rFonts w:ascii="Palatino Linotype" w:hAnsi="Palatino Linotype"/>
          <w:bCs/>
        </w:rPr>
        <w:t xml:space="preserve"> es un método para </w:t>
      </w:r>
      <w:r w:rsidR="00A95EBA" w:rsidRPr="00417D3B">
        <w:rPr>
          <w:rFonts w:ascii="Palatino Linotype" w:hAnsi="Palatino Linotype"/>
          <w:bCs/>
        </w:rPr>
        <w:lastRenderedPageBreak/>
        <w:t>descripción de la posición de una ubicación geográfica en la superficie de la tierra utilizando dos parámetros de referencia:</w:t>
      </w:r>
    </w:p>
    <w:p w14:paraId="168293D0" w14:textId="77777777" w:rsidR="001E358F" w:rsidRPr="00417D3B" w:rsidRDefault="001E358F" w:rsidP="00650749">
      <w:pPr>
        <w:pStyle w:val="Prrafodelista"/>
        <w:numPr>
          <w:ilvl w:val="0"/>
          <w:numId w:val="10"/>
        </w:numPr>
        <w:spacing w:line="276" w:lineRule="auto"/>
        <w:ind w:right="616" w:hanging="153"/>
        <w:contextualSpacing w:val="0"/>
        <w:jc w:val="both"/>
        <w:rPr>
          <w:rFonts w:ascii="Palatino Linotype" w:hAnsi="Palatino Linotype"/>
          <w:bCs/>
          <w:sz w:val="22"/>
        </w:rPr>
      </w:pPr>
      <w:r w:rsidRPr="00417D3B">
        <w:rPr>
          <w:rFonts w:ascii="Palatino Linotype" w:hAnsi="Palatino Linotype"/>
          <w:bCs/>
          <w:sz w:val="22"/>
        </w:rPr>
        <w:t xml:space="preserve">Latitud: Distancia desde un punto de la superficie terrestre al ecuador, contada en grados de meridiano. </w:t>
      </w:r>
    </w:p>
    <w:p w14:paraId="7478CCC4" w14:textId="49145CB9" w:rsidR="001E358F" w:rsidRPr="00417D3B" w:rsidRDefault="001E358F" w:rsidP="00650749">
      <w:pPr>
        <w:pStyle w:val="Prrafodelista"/>
        <w:numPr>
          <w:ilvl w:val="0"/>
          <w:numId w:val="10"/>
        </w:numPr>
        <w:spacing w:line="276" w:lineRule="auto"/>
        <w:ind w:right="616" w:hanging="153"/>
        <w:contextualSpacing w:val="0"/>
        <w:jc w:val="both"/>
        <w:rPr>
          <w:rFonts w:ascii="Palatino Linotype" w:hAnsi="Palatino Linotype"/>
          <w:bCs/>
          <w:sz w:val="22"/>
        </w:rPr>
      </w:pPr>
      <w:r w:rsidRPr="00417D3B">
        <w:rPr>
          <w:rFonts w:ascii="Palatino Linotype" w:hAnsi="Palatino Linotype"/>
          <w:bCs/>
          <w:sz w:val="22"/>
        </w:rPr>
        <w:t xml:space="preserve">Longitud: Distancia angular medida en grados sobre el ecuador entre el meridiano de un punto y otro de referencia, actualmente el que pasa por Greenwich. </w:t>
      </w:r>
    </w:p>
    <w:p w14:paraId="59546A65" w14:textId="77777777" w:rsidR="001E358F" w:rsidRPr="00417D3B" w:rsidRDefault="001E358F" w:rsidP="001E358F">
      <w:pPr>
        <w:pStyle w:val="Prrafodelista"/>
        <w:tabs>
          <w:tab w:val="left" w:pos="426"/>
        </w:tabs>
        <w:spacing w:before="240" w:after="240" w:line="360" w:lineRule="auto"/>
        <w:ind w:left="0" w:right="51"/>
        <w:jc w:val="both"/>
        <w:rPr>
          <w:rFonts w:ascii="Palatino Linotype" w:hAnsi="Palatino Linotype"/>
          <w:color w:val="000000" w:themeColor="text1"/>
        </w:rPr>
      </w:pPr>
    </w:p>
    <w:p w14:paraId="6649B09E" w14:textId="4CC72E80" w:rsidR="00A95EBA" w:rsidRPr="00417D3B" w:rsidRDefault="001E358F" w:rsidP="00A95EB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bCs/>
        </w:rPr>
        <w:t>En este sentido</w:t>
      </w:r>
      <w:r w:rsidR="00A95EBA" w:rsidRPr="00417D3B">
        <w:rPr>
          <w:rFonts w:ascii="Palatino Linotype" w:hAnsi="Palatino Linotype"/>
          <w:bCs/>
        </w:rPr>
        <w:t>, se arriba a la conclusión de que</w:t>
      </w:r>
      <w:r w:rsidRPr="00417D3B">
        <w:rPr>
          <w:rFonts w:ascii="Palatino Linotype" w:hAnsi="Palatino Linotype"/>
          <w:bCs/>
        </w:rPr>
        <w:t>,</w:t>
      </w:r>
      <w:r w:rsidR="00A95EBA" w:rsidRPr="00417D3B">
        <w:rPr>
          <w:rFonts w:ascii="Palatino Linotype" w:hAnsi="Palatino Linotype"/>
          <w:bCs/>
        </w:rPr>
        <w:t xml:space="preserve"> las coordenadas se tratan de mediciones de ángulos, es decir, un dato meramente numérico. </w:t>
      </w:r>
      <w:r w:rsidRPr="00417D3B">
        <w:rPr>
          <w:rFonts w:ascii="Palatino Linotype" w:hAnsi="Palatino Linotype"/>
          <w:bCs/>
        </w:rPr>
        <w:t>Sin embargo</w:t>
      </w:r>
      <w:r w:rsidR="00A95EBA" w:rsidRPr="00417D3B">
        <w:rPr>
          <w:rFonts w:ascii="Palatino Linotype" w:hAnsi="Palatino Linotype"/>
          <w:bCs/>
        </w:rPr>
        <w:t xml:space="preserve">, no debe de resultar desapercibido para este Órgano </w:t>
      </w:r>
      <w:r w:rsidRPr="00417D3B">
        <w:rPr>
          <w:rFonts w:ascii="Palatino Linotype" w:hAnsi="Palatino Linotype"/>
          <w:bCs/>
        </w:rPr>
        <w:t>Garante</w:t>
      </w:r>
      <w:r w:rsidR="00A95EBA" w:rsidRPr="00417D3B">
        <w:rPr>
          <w:rFonts w:ascii="Palatino Linotype" w:hAnsi="Palatino Linotype"/>
          <w:bCs/>
        </w:rPr>
        <w:t xml:space="preserve"> </w:t>
      </w:r>
      <w:r w:rsidRPr="00417D3B">
        <w:rPr>
          <w:rFonts w:ascii="Palatino Linotype" w:hAnsi="Palatino Linotype"/>
          <w:bCs/>
        </w:rPr>
        <w:t xml:space="preserve">que, </w:t>
      </w:r>
      <w:r w:rsidR="00A95EBA" w:rsidRPr="00417D3B">
        <w:rPr>
          <w:rFonts w:ascii="Palatino Linotype" w:hAnsi="Palatino Linotype"/>
          <w:bCs/>
        </w:rPr>
        <w:t xml:space="preserve">el </w:t>
      </w:r>
      <w:r w:rsidR="00A95EBA" w:rsidRPr="00417D3B">
        <w:rPr>
          <w:rFonts w:ascii="Palatino Linotype" w:hAnsi="Palatino Linotype"/>
          <w:b/>
          <w:bCs/>
        </w:rPr>
        <w:t>contexto general de la solicitud de información deriva de incidencia delictiva y/o de faltas administrativas</w:t>
      </w:r>
      <w:r w:rsidR="00A95EBA" w:rsidRPr="00417D3B">
        <w:rPr>
          <w:rFonts w:ascii="Palatino Linotype" w:hAnsi="Palatino Linotype"/>
          <w:bCs/>
        </w:rPr>
        <w:t>.</w:t>
      </w:r>
    </w:p>
    <w:p w14:paraId="694DBC9D" w14:textId="77777777" w:rsidR="00A95EBA" w:rsidRPr="00417D3B" w:rsidRDefault="00A95EBA" w:rsidP="00A95EBA">
      <w:pPr>
        <w:pStyle w:val="Prrafodelista"/>
        <w:tabs>
          <w:tab w:val="left" w:pos="426"/>
        </w:tabs>
        <w:spacing w:before="240" w:after="240" w:line="360" w:lineRule="auto"/>
        <w:ind w:left="0" w:right="51"/>
        <w:jc w:val="both"/>
        <w:rPr>
          <w:rFonts w:ascii="Palatino Linotype" w:hAnsi="Palatino Linotype"/>
          <w:color w:val="000000" w:themeColor="text1"/>
        </w:rPr>
      </w:pPr>
    </w:p>
    <w:p w14:paraId="703D1307" w14:textId="77777777" w:rsidR="00DD4805" w:rsidRPr="00417D3B"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Así, </w:t>
      </w:r>
      <w:r w:rsidR="00DD4805" w:rsidRPr="00417D3B">
        <w:rPr>
          <w:rFonts w:ascii="Palatino Linotype" w:hAnsi="Palatino Linotype"/>
          <w:bCs/>
        </w:rPr>
        <w:t>resulta conveniente referir lo establecido en el artículo</w:t>
      </w:r>
      <w:r w:rsidRPr="00417D3B">
        <w:rPr>
          <w:rFonts w:ascii="Palatino Linotype" w:hAnsi="Palatino Linotype"/>
          <w:bCs/>
        </w:rPr>
        <w:t xml:space="preserve"> 43 de la Ley General del Sistema Nacional de Seguridad Pública</w:t>
      </w:r>
      <w:r w:rsidR="00DD4805" w:rsidRPr="00417D3B">
        <w:rPr>
          <w:rFonts w:ascii="Palatino Linotype" w:hAnsi="Palatino Linotype"/>
          <w:bCs/>
        </w:rPr>
        <w:t>, normatividad que dispone lo siguiente:</w:t>
      </w:r>
    </w:p>
    <w:p w14:paraId="32CBD70F"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w:t>
      </w:r>
      <w:r w:rsidRPr="00417D3B">
        <w:rPr>
          <w:rFonts w:ascii="Palatino Linotype" w:hAnsi="Palatino Linotype"/>
          <w:b/>
          <w:bCs/>
          <w:i/>
          <w:sz w:val="22"/>
        </w:rPr>
        <w:t>Artículo 43.-</w:t>
      </w:r>
      <w:r w:rsidRPr="00417D3B">
        <w:rPr>
          <w:rFonts w:ascii="Palatino Linotype" w:hAnsi="Palatino Linotype"/>
          <w:bCs/>
          <w:i/>
          <w:sz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51061771"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I. El área que lo emite;</w:t>
      </w:r>
    </w:p>
    <w:p w14:paraId="71BE1E58"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 II. El usuario capturista;</w:t>
      </w:r>
    </w:p>
    <w:p w14:paraId="259EFD12"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 III. Los Datos Generales de registro; </w:t>
      </w:r>
    </w:p>
    <w:p w14:paraId="5F5F72FB"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IV. Motivo, que se clasifica en; </w:t>
      </w:r>
    </w:p>
    <w:p w14:paraId="6BCAE00C"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a) Tipo de evento, y </w:t>
      </w:r>
    </w:p>
    <w:p w14:paraId="61021688"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b) Subtipo de evento. </w:t>
      </w:r>
    </w:p>
    <w:p w14:paraId="28274815" w14:textId="77777777" w:rsidR="00DD4805" w:rsidRPr="00417D3B" w:rsidRDefault="00DD4805" w:rsidP="00DD4805">
      <w:pPr>
        <w:ind w:left="567" w:right="567"/>
        <w:jc w:val="both"/>
        <w:rPr>
          <w:rFonts w:ascii="Palatino Linotype" w:hAnsi="Palatino Linotype"/>
          <w:bCs/>
          <w:i/>
          <w:sz w:val="22"/>
          <w:u w:val="single"/>
        </w:rPr>
      </w:pPr>
      <w:r w:rsidRPr="00417D3B">
        <w:rPr>
          <w:rFonts w:ascii="Palatino Linotype" w:hAnsi="Palatino Linotype"/>
          <w:bCs/>
          <w:i/>
          <w:sz w:val="22"/>
          <w:u w:val="single"/>
        </w:rPr>
        <w:t xml:space="preserve">V. La ubicación del evento y en su caso, los caminos; </w:t>
      </w:r>
    </w:p>
    <w:p w14:paraId="06051DF5"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VI. La descripción de hechos, que deberá detallar modo, tiempo y lugar, entre otros datos. </w:t>
      </w:r>
    </w:p>
    <w:p w14:paraId="0D5AE8B2"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VII. Entrevistas realizadas, y </w:t>
      </w:r>
    </w:p>
    <w:p w14:paraId="739D99FA"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VIII. En caso de detenciones: </w:t>
      </w:r>
    </w:p>
    <w:p w14:paraId="0028F732"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a) Señalar los motivos de la detención; </w:t>
      </w:r>
    </w:p>
    <w:p w14:paraId="3E9FF7E1"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b) Descripción de la persona; </w:t>
      </w:r>
    </w:p>
    <w:p w14:paraId="19F54DDB"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lastRenderedPageBreak/>
        <w:t xml:space="preserve">c) El nombre del detenido y apodo, en su caso; </w:t>
      </w:r>
    </w:p>
    <w:p w14:paraId="72B8879F"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d) Descripción de estado físico aparente; </w:t>
      </w:r>
    </w:p>
    <w:p w14:paraId="2C37E064"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e) Objetos que le fueron encontrados; </w:t>
      </w:r>
    </w:p>
    <w:p w14:paraId="76A81918"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f) Autoridad a la que fue puesto a disposición, y </w:t>
      </w:r>
    </w:p>
    <w:p w14:paraId="29D79379" w14:textId="77777777"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g) Lugar en el que fue puesto a disposición. </w:t>
      </w:r>
    </w:p>
    <w:p w14:paraId="6E705B0D" w14:textId="3B951382" w:rsidR="00DD4805" w:rsidRPr="00417D3B" w:rsidRDefault="00DD4805" w:rsidP="00DD4805">
      <w:pPr>
        <w:ind w:left="567" w:right="567"/>
        <w:jc w:val="both"/>
        <w:rPr>
          <w:rFonts w:ascii="Palatino Linotype" w:hAnsi="Palatino Linotype"/>
          <w:bCs/>
          <w:i/>
          <w:sz w:val="22"/>
        </w:rPr>
      </w:pPr>
      <w:r w:rsidRPr="00417D3B">
        <w:rPr>
          <w:rFonts w:ascii="Palatino Linotype" w:hAnsi="Palatino Linotype"/>
          <w:bCs/>
          <w:i/>
          <w:sz w:val="22"/>
        </w:rPr>
        <w:t xml:space="preserve">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 </w:t>
      </w:r>
    </w:p>
    <w:p w14:paraId="6761ECF1" w14:textId="77777777" w:rsidR="00DD4805" w:rsidRPr="00417D3B" w:rsidRDefault="00DD4805" w:rsidP="00DD4805">
      <w:pPr>
        <w:pStyle w:val="Prrafodelista"/>
        <w:tabs>
          <w:tab w:val="left" w:pos="426"/>
        </w:tabs>
        <w:spacing w:before="240" w:after="240" w:line="360" w:lineRule="auto"/>
        <w:ind w:left="0" w:right="51"/>
        <w:jc w:val="both"/>
        <w:rPr>
          <w:rFonts w:ascii="Palatino Linotype" w:hAnsi="Palatino Linotype"/>
          <w:color w:val="000000" w:themeColor="text1"/>
        </w:rPr>
      </w:pPr>
    </w:p>
    <w:p w14:paraId="49AA0B7A" w14:textId="77777777" w:rsidR="00DD4805" w:rsidRPr="00417D3B"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bCs/>
        </w:rPr>
        <w:t xml:space="preserve">En virtud de lo anterior, si bien es cierto que los integrantes de instituciones policiales se encuentran constreñidos a generar un informe policial homologado derivado de hechos posiblemente constitutivos de delitos, lo cierto también es que dicho soporte documental no denota el grado de detalle o especificación requerido por el </w:t>
      </w:r>
      <w:r w:rsidR="00DD4805" w:rsidRPr="00417D3B">
        <w:rPr>
          <w:rFonts w:ascii="Palatino Linotype" w:hAnsi="Palatino Linotype"/>
          <w:b/>
          <w:bCs/>
        </w:rPr>
        <w:t>RECURRENTE</w:t>
      </w:r>
      <w:r w:rsidRPr="00417D3B">
        <w:rPr>
          <w:rFonts w:ascii="Palatino Linotype" w:hAnsi="Palatino Linotype"/>
          <w:bCs/>
        </w:rPr>
        <w:t xml:space="preserve">, al enlistar de manera estricta y detallada los apartados o rubros de contenido, excluyendo el relativo a coordenadas. </w:t>
      </w:r>
    </w:p>
    <w:p w14:paraId="2A2132CB" w14:textId="77777777" w:rsidR="00DD4805" w:rsidRPr="00417D3B" w:rsidRDefault="00DD4805" w:rsidP="00DD4805">
      <w:pPr>
        <w:pStyle w:val="Prrafodelista"/>
        <w:tabs>
          <w:tab w:val="left" w:pos="426"/>
        </w:tabs>
        <w:spacing w:before="240" w:after="240" w:line="360" w:lineRule="auto"/>
        <w:ind w:left="0" w:right="51"/>
        <w:jc w:val="both"/>
        <w:rPr>
          <w:rFonts w:ascii="Palatino Linotype" w:hAnsi="Palatino Linotype"/>
          <w:color w:val="000000" w:themeColor="text1"/>
        </w:rPr>
      </w:pPr>
    </w:p>
    <w:p w14:paraId="526F9A25" w14:textId="77777777" w:rsidR="00DD4805" w:rsidRPr="00417D3B"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bCs/>
        </w:rPr>
        <w:t>Por otra parte, la corriente legal y doctrinal que impera en la materia ha sostenido que los Sujetos Obligados se encuentran constreñidos a remitir la información requerida que obre en sus archivos, es decir, no tienen la obligación de generar un nuevo documento para atender las solicitudes de información formuladas por la ciudadanía, como lo robustece el ya citado criterio 03/17 del Instituto Nacional de Transparencia, Acceso a la Información y Protección de Datos Personales, con rubro “NO EXISTE OBLIGACIÓN DE ELABORAR DOCUMENTOS AD HOC PARA ATENDER LAS SOLICITUDES DE ACCESO A LA INFORMACIÓN.”</w:t>
      </w:r>
    </w:p>
    <w:p w14:paraId="32A2B979" w14:textId="77777777" w:rsidR="00DD4805" w:rsidRPr="00417D3B" w:rsidRDefault="00DD4805" w:rsidP="00DD4805">
      <w:pPr>
        <w:pStyle w:val="Prrafodelista"/>
        <w:rPr>
          <w:rFonts w:ascii="Palatino Linotype" w:hAnsi="Palatino Linotype"/>
          <w:bCs/>
        </w:rPr>
      </w:pPr>
    </w:p>
    <w:p w14:paraId="6DB9F03B" w14:textId="77777777" w:rsidR="00DD4805" w:rsidRPr="00417D3B" w:rsidRDefault="001E358F" w:rsidP="001E358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bCs/>
        </w:rPr>
        <w:lastRenderedPageBreak/>
        <w:t xml:space="preserve">De manera complementaria, no debe de resultar desapercibido que </w:t>
      </w:r>
      <w:r w:rsidRPr="00417D3B">
        <w:rPr>
          <w:rFonts w:ascii="Palatino Linotype" w:hAnsi="Palatino Linotype"/>
          <w:b/>
          <w:bCs/>
        </w:rPr>
        <w:t>las coordenadas requeridas</w:t>
      </w:r>
      <w:r w:rsidRPr="00417D3B">
        <w:rPr>
          <w:rFonts w:ascii="Palatino Linotype" w:hAnsi="Palatino Linotype"/>
          <w:bCs/>
        </w:rPr>
        <w:t xml:space="preserve"> se encuentran vinculadas con hechos constitutivos de delitos, algunos de ellos incluso cla</w:t>
      </w:r>
      <w:r w:rsidR="00DD4805" w:rsidRPr="00417D3B">
        <w:rPr>
          <w:rFonts w:ascii="Palatino Linotype" w:hAnsi="Palatino Linotype"/>
          <w:bCs/>
        </w:rPr>
        <w:t xml:space="preserve">sificados como de alto impacto, </w:t>
      </w:r>
      <w:r w:rsidRPr="00417D3B">
        <w:rPr>
          <w:rFonts w:ascii="Palatino Linotype" w:hAnsi="Palatino Linotype"/>
          <w:bCs/>
        </w:rPr>
        <w:t xml:space="preserve">por ello, </w:t>
      </w:r>
      <w:r w:rsidRPr="00417D3B">
        <w:rPr>
          <w:rFonts w:ascii="Palatino Linotype" w:hAnsi="Palatino Linotype"/>
          <w:b/>
          <w:bCs/>
        </w:rPr>
        <w:t>la difusión de dicha información invariablemente conduce a re victimización</w:t>
      </w:r>
      <w:r w:rsidRPr="00417D3B">
        <w:rPr>
          <w:rFonts w:ascii="Palatino Linotype" w:hAnsi="Palatino Linotype"/>
          <w:bCs/>
        </w:rPr>
        <w:t xml:space="preserve"> y discriminación de particulares, resultando conducente la salvaguarda de la información, en estricta observancia a la restricción prevista en el numeral 143 de la Ley de Transparencia local -información confidencial- y demás normatividad aplicable. </w:t>
      </w:r>
    </w:p>
    <w:p w14:paraId="6B585E9C" w14:textId="77777777" w:rsidR="00DD4805" w:rsidRPr="00417D3B" w:rsidRDefault="00DD4805" w:rsidP="00DD4805">
      <w:pPr>
        <w:pStyle w:val="Prrafodelista"/>
        <w:tabs>
          <w:tab w:val="left" w:pos="426"/>
        </w:tabs>
        <w:spacing w:before="240" w:after="240" w:line="360" w:lineRule="auto"/>
        <w:ind w:left="0" w:right="51"/>
        <w:jc w:val="both"/>
        <w:rPr>
          <w:rFonts w:ascii="Palatino Linotype" w:hAnsi="Palatino Linotype"/>
          <w:color w:val="000000" w:themeColor="text1"/>
        </w:rPr>
      </w:pPr>
    </w:p>
    <w:p w14:paraId="4E313EC3" w14:textId="2E7ED60D" w:rsidR="00DD4805" w:rsidRPr="00417D3B" w:rsidRDefault="001E358F" w:rsidP="00DD480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theme="minorBidi"/>
          <w:bCs/>
          <w:lang w:eastAsia="en-US"/>
        </w:rPr>
        <w:t xml:space="preserve">En virtud de lo anterior, resulta viable la entrega, en versión pública de ser procedente, </w:t>
      </w:r>
      <w:r w:rsidR="00565F1C" w:rsidRPr="00417D3B">
        <w:rPr>
          <w:rFonts w:ascii="Palatino Linotype" w:eastAsiaTheme="minorHAnsi" w:hAnsi="Palatino Linotype" w:cstheme="minorBidi"/>
          <w:bCs/>
          <w:lang w:eastAsia="en-US"/>
        </w:rPr>
        <w:t xml:space="preserve">del uno de enero de dos mil diez al veinte de mayo de dos mil veintidós, </w:t>
      </w:r>
      <w:r w:rsidRPr="00417D3B">
        <w:rPr>
          <w:rFonts w:ascii="Palatino Linotype" w:eastAsiaTheme="minorHAnsi" w:hAnsi="Palatino Linotype" w:cstheme="minorBidi"/>
          <w:bCs/>
          <w:lang w:eastAsia="en-US"/>
        </w:rPr>
        <w:t xml:space="preserve">de la siguiente información: </w:t>
      </w:r>
    </w:p>
    <w:p w14:paraId="44884E0E" w14:textId="29AA5979" w:rsidR="00DD4805" w:rsidRPr="00417D3B" w:rsidRDefault="00DD4805" w:rsidP="00DD4805">
      <w:pPr>
        <w:numPr>
          <w:ilvl w:val="0"/>
          <w:numId w:val="12"/>
        </w:numPr>
        <w:ind w:left="567" w:right="616" w:hanging="141"/>
        <w:jc w:val="both"/>
        <w:rPr>
          <w:rFonts w:ascii="Palatino Linotype" w:hAnsi="Palatino Linotype" w:cs="Tahoma"/>
          <w:b/>
          <w:sz w:val="22"/>
          <w:lang w:val="es-ES" w:eastAsia="es-ES"/>
        </w:rPr>
      </w:pPr>
      <w:r w:rsidRPr="00417D3B">
        <w:rPr>
          <w:rFonts w:ascii="Palatino Linotype" w:hAnsi="Palatino Linotype" w:cs="Tahoma"/>
          <w:b/>
          <w:sz w:val="22"/>
          <w:lang w:val="es-ES" w:eastAsia="es-ES"/>
        </w:rPr>
        <w:t xml:space="preserve">El o los documentos donde conste la incidencia delictiva, al mayor </w:t>
      </w:r>
      <w:r w:rsidR="00565F1C" w:rsidRPr="00417D3B">
        <w:rPr>
          <w:rFonts w:ascii="Palatino Linotype" w:hAnsi="Palatino Linotype" w:cs="Tahoma"/>
          <w:b/>
          <w:sz w:val="22"/>
          <w:lang w:val="es-ES" w:eastAsia="es-ES"/>
        </w:rPr>
        <w:t>grado de desagregación posible.</w:t>
      </w:r>
    </w:p>
    <w:p w14:paraId="3C274F25" w14:textId="77777777" w:rsidR="00DD4805" w:rsidRPr="00417D3B" w:rsidRDefault="00DD4805" w:rsidP="00DD4805">
      <w:pPr>
        <w:ind w:left="567" w:right="616" w:hanging="141"/>
        <w:jc w:val="both"/>
        <w:rPr>
          <w:rFonts w:ascii="Palatino Linotype" w:hAnsi="Palatino Linotype" w:cs="Tahoma"/>
          <w:b/>
          <w:sz w:val="22"/>
          <w:lang w:eastAsia="es-ES"/>
        </w:rPr>
      </w:pPr>
    </w:p>
    <w:p w14:paraId="1F4566DF" w14:textId="72A968D0" w:rsidR="00DD4805" w:rsidRPr="00417D3B" w:rsidRDefault="00DD4805" w:rsidP="00DD4805">
      <w:pPr>
        <w:numPr>
          <w:ilvl w:val="0"/>
          <w:numId w:val="12"/>
        </w:numPr>
        <w:ind w:left="567" w:right="616" w:hanging="141"/>
        <w:jc w:val="both"/>
        <w:rPr>
          <w:rFonts w:ascii="Palatino Linotype" w:hAnsi="Palatino Linotype" w:cs="Tahoma"/>
          <w:b/>
          <w:sz w:val="22"/>
          <w:lang w:val="es-ES" w:eastAsia="es-ES"/>
        </w:rPr>
      </w:pPr>
      <w:r w:rsidRPr="00417D3B">
        <w:rPr>
          <w:rFonts w:ascii="Palatino Linotype" w:hAnsi="Palatino Linotype" w:cs="Tahoma"/>
          <w:b/>
          <w:sz w:val="22"/>
          <w:lang w:val="es-ES" w:eastAsia="es-ES"/>
        </w:rPr>
        <w:t xml:space="preserve">El o los documentos donde conste la incidencia por faltas administrativas, al mayor </w:t>
      </w:r>
      <w:r w:rsidR="00565F1C" w:rsidRPr="00417D3B">
        <w:rPr>
          <w:rFonts w:ascii="Palatino Linotype" w:hAnsi="Palatino Linotype" w:cs="Tahoma"/>
          <w:b/>
          <w:sz w:val="22"/>
          <w:lang w:val="es-ES" w:eastAsia="es-ES"/>
        </w:rPr>
        <w:t>grado de desagregación posible.</w:t>
      </w:r>
    </w:p>
    <w:p w14:paraId="1598E412" w14:textId="77777777" w:rsidR="00DD4805" w:rsidRPr="00417D3B" w:rsidRDefault="00DD4805" w:rsidP="00DD4805">
      <w:pPr>
        <w:pStyle w:val="Prrafodelista"/>
        <w:rPr>
          <w:rFonts w:ascii="Palatino Linotype" w:hAnsi="Palatino Linotype" w:cs="Tahoma"/>
          <w:b/>
          <w:lang w:val="es-ES" w:eastAsia="es-ES"/>
        </w:rPr>
      </w:pPr>
    </w:p>
    <w:p w14:paraId="2B9F33F4" w14:textId="77777777" w:rsidR="00DD4805" w:rsidRPr="00417D3B" w:rsidRDefault="00DD4805" w:rsidP="00DD4805">
      <w:pPr>
        <w:ind w:right="616"/>
        <w:jc w:val="both"/>
        <w:rPr>
          <w:rFonts w:ascii="Palatino Linotype" w:hAnsi="Palatino Linotype" w:cs="Tahoma"/>
          <w:b/>
          <w:lang w:val="es-ES" w:eastAsia="es-ES"/>
        </w:rPr>
      </w:pPr>
    </w:p>
    <w:p w14:paraId="74E811C0" w14:textId="77777777" w:rsidR="00DD4805" w:rsidRPr="00417D3B" w:rsidRDefault="001E358F" w:rsidP="00A526B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theme="minorBidi"/>
          <w:bCs/>
          <w:lang w:eastAsia="en-US"/>
        </w:rPr>
        <w:t>Ahora bien, con relación a la modalidad de entrega de la información relativa a medios electrónicos, debemos partir que se entiende por este:</w:t>
      </w:r>
    </w:p>
    <w:p w14:paraId="12F6F5B3" w14:textId="29ACD192" w:rsidR="00DD4805" w:rsidRPr="00417D3B" w:rsidRDefault="00DD4805" w:rsidP="00565F1C">
      <w:pPr>
        <w:pStyle w:val="Prrafodelista"/>
        <w:numPr>
          <w:ilvl w:val="0"/>
          <w:numId w:val="11"/>
        </w:numPr>
        <w:spacing w:line="360" w:lineRule="auto"/>
        <w:ind w:left="567" w:right="616" w:hanging="153"/>
        <w:jc w:val="both"/>
        <w:rPr>
          <w:rFonts w:ascii="Palatino Linotype" w:eastAsiaTheme="minorHAnsi" w:hAnsi="Palatino Linotype" w:cstheme="minorBidi"/>
          <w:b/>
          <w:bCs/>
          <w:lang w:eastAsia="en-US"/>
        </w:rPr>
      </w:pPr>
      <w:r w:rsidRPr="00417D3B">
        <w:rPr>
          <w:rFonts w:ascii="Palatino Linotype" w:eastAsiaTheme="minorHAnsi" w:hAnsi="Palatino Linotype" w:cstheme="minorBidi"/>
          <w:b/>
          <w:bCs/>
          <w:sz w:val="22"/>
          <w:lang w:eastAsia="en-US"/>
        </w:rPr>
        <w:t xml:space="preserve">Medio electrónico: </w:t>
      </w:r>
      <w:r w:rsidRPr="00417D3B">
        <w:rPr>
          <w:rFonts w:ascii="Palatino Linotype" w:eastAsiaTheme="minorHAnsi" w:hAnsi="Palatino Linotype" w:cstheme="minorBidi"/>
          <w:bCs/>
          <w:sz w:val="22"/>
          <w:lang w:eastAsia="en-US"/>
        </w:rPr>
        <w:t xml:space="preserve">Cualquier mecanismo, instalación, equipamiento o sistema que permite producir, almacenar o </w:t>
      </w:r>
      <w:r w:rsidRPr="00417D3B">
        <w:rPr>
          <w:rFonts w:ascii="Palatino Linotype" w:eastAsiaTheme="minorHAnsi" w:hAnsi="Palatino Linotype" w:cstheme="minorBidi"/>
          <w:bCs/>
          <w:sz w:val="22"/>
          <w:u w:val="single"/>
          <w:lang w:eastAsia="en-US"/>
        </w:rPr>
        <w:t>transmitir documentos</w:t>
      </w:r>
      <w:r w:rsidRPr="00417D3B">
        <w:rPr>
          <w:rFonts w:ascii="Palatino Linotype" w:eastAsiaTheme="minorHAnsi" w:hAnsi="Palatino Linotype" w:cstheme="minorBidi"/>
          <w:bCs/>
          <w:sz w:val="22"/>
          <w:lang w:eastAsia="en-US"/>
        </w:rPr>
        <w:t xml:space="preserve">, datos e informaciones, incluyendo </w:t>
      </w:r>
      <w:r w:rsidRPr="00417D3B">
        <w:rPr>
          <w:rFonts w:ascii="Palatino Linotype" w:eastAsiaTheme="minorHAnsi" w:hAnsi="Palatino Linotype" w:cstheme="minorBidi"/>
          <w:bCs/>
          <w:sz w:val="22"/>
          <w:u w:val="single"/>
          <w:lang w:eastAsia="en-US"/>
        </w:rPr>
        <w:t>cualquier red de comunicación abierta o restringida como Internet,</w:t>
      </w:r>
      <w:r w:rsidRPr="00417D3B">
        <w:rPr>
          <w:rFonts w:ascii="Palatino Linotype" w:eastAsiaTheme="minorHAnsi" w:hAnsi="Palatino Linotype" w:cstheme="minorBidi"/>
          <w:bCs/>
          <w:sz w:val="22"/>
          <w:lang w:eastAsia="en-US"/>
        </w:rPr>
        <w:t xml:space="preserve"> telefonía fija y móvil o de otros</w:t>
      </w:r>
      <w:r w:rsidRPr="00417D3B">
        <w:rPr>
          <w:rFonts w:ascii="Palatino Linotype" w:eastAsiaTheme="minorHAnsi" w:hAnsi="Palatino Linotype" w:cstheme="minorBidi"/>
          <w:bCs/>
          <w:lang w:eastAsia="en-US"/>
        </w:rPr>
        <w:t>.</w:t>
      </w:r>
    </w:p>
    <w:p w14:paraId="07373C1F" w14:textId="77777777" w:rsidR="00565F1C" w:rsidRPr="00417D3B" w:rsidRDefault="00565F1C" w:rsidP="00565F1C">
      <w:pPr>
        <w:pStyle w:val="Prrafodelista"/>
        <w:ind w:left="567" w:right="616"/>
        <w:jc w:val="both"/>
        <w:rPr>
          <w:rFonts w:ascii="Palatino Linotype" w:eastAsiaTheme="minorHAnsi" w:hAnsi="Palatino Linotype" w:cstheme="minorBidi"/>
          <w:b/>
          <w:bCs/>
          <w:lang w:eastAsia="en-US"/>
        </w:rPr>
      </w:pPr>
    </w:p>
    <w:p w14:paraId="10B49923" w14:textId="50783D2C" w:rsidR="00A526BF" w:rsidRPr="00417D3B" w:rsidRDefault="001E358F" w:rsidP="00A526B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eastAsiaTheme="minorHAnsi" w:hAnsi="Palatino Linotype" w:cstheme="minorBidi"/>
          <w:bCs/>
          <w:lang w:eastAsia="en-US"/>
        </w:rPr>
        <w:lastRenderedPageBreak/>
        <w:t xml:space="preserve">De conformidad con </w:t>
      </w:r>
      <w:r w:rsidR="00DD4805" w:rsidRPr="00417D3B">
        <w:rPr>
          <w:rFonts w:ascii="Palatino Linotype" w:eastAsiaTheme="minorHAnsi" w:hAnsi="Palatino Linotype" w:cstheme="minorBidi"/>
          <w:bCs/>
          <w:lang w:eastAsia="en-US"/>
        </w:rPr>
        <w:t>lo anterior</w:t>
      </w:r>
      <w:r w:rsidRPr="00417D3B">
        <w:rPr>
          <w:rFonts w:ascii="Palatino Linotype" w:eastAsiaTheme="minorHAnsi" w:hAnsi="Palatino Linotype" w:cstheme="minorBidi"/>
          <w:bCs/>
          <w:lang w:eastAsia="en-US"/>
        </w:rPr>
        <w:t xml:space="preserve">, podemos concluir en el caso particular, </w:t>
      </w:r>
      <w:r w:rsidR="00DD4805" w:rsidRPr="00417D3B">
        <w:rPr>
          <w:rFonts w:ascii="Palatino Linotype" w:eastAsiaTheme="minorHAnsi" w:hAnsi="Palatino Linotype" w:cstheme="minorBidi"/>
          <w:bCs/>
          <w:lang w:eastAsia="en-US"/>
        </w:rPr>
        <w:t>que</w:t>
      </w:r>
      <w:r w:rsidRPr="00417D3B">
        <w:rPr>
          <w:rFonts w:ascii="Palatino Linotype" w:eastAsiaTheme="minorHAnsi" w:hAnsi="Palatino Linotype" w:cstheme="minorBidi"/>
          <w:bCs/>
          <w:lang w:eastAsia="en-US"/>
        </w:rPr>
        <w:t xml:space="preserve"> </w:t>
      </w:r>
      <w:r w:rsidR="00DD4805" w:rsidRPr="00417D3B">
        <w:rPr>
          <w:rFonts w:ascii="Palatino Linotype" w:eastAsiaTheme="minorHAnsi" w:hAnsi="Palatino Linotype" w:cstheme="minorBidi"/>
          <w:b/>
          <w:bCs/>
          <w:lang w:eastAsia="en-US"/>
        </w:rPr>
        <w:t>“</w:t>
      </w:r>
      <w:r w:rsidRPr="00417D3B">
        <w:rPr>
          <w:rFonts w:ascii="Palatino Linotype" w:eastAsiaTheme="minorHAnsi" w:hAnsi="Palatino Linotype" w:cstheme="minorBidi"/>
          <w:b/>
          <w:bCs/>
          <w:lang w:eastAsia="en-US"/>
        </w:rPr>
        <w:t>medio electrónico</w:t>
      </w:r>
      <w:r w:rsidR="00DD4805" w:rsidRPr="00417D3B">
        <w:rPr>
          <w:rFonts w:ascii="Palatino Linotype" w:eastAsiaTheme="minorHAnsi" w:hAnsi="Palatino Linotype" w:cstheme="minorBidi"/>
          <w:b/>
          <w:bCs/>
          <w:lang w:eastAsia="en-US"/>
        </w:rPr>
        <w:t>”</w:t>
      </w:r>
      <w:r w:rsidRPr="00417D3B">
        <w:rPr>
          <w:rFonts w:ascii="Palatino Linotype" w:eastAsiaTheme="minorHAnsi" w:hAnsi="Palatino Linotype" w:cstheme="minorBidi"/>
          <w:bCs/>
          <w:lang w:eastAsia="en-US"/>
        </w:rPr>
        <w:t xml:space="preserve"> se entiende como la entrega o puesta a disposición mediante la transferencia de datos con uso de la red de internet, circunstancia que al haber sido presentada la solicitud de información, a través del Sistema de Acceso a la Información Mexiquense “</w:t>
      </w:r>
      <w:r w:rsidRPr="00417D3B">
        <w:rPr>
          <w:rFonts w:ascii="Palatino Linotype" w:eastAsia="Palatino Linotype" w:hAnsi="Palatino Linotype" w:cs="Palatino Linotype"/>
          <w:b/>
          <w:color w:val="000000"/>
        </w:rPr>
        <w:t>SAIMEX”,</w:t>
      </w:r>
      <w:r w:rsidRPr="00417D3B">
        <w:rPr>
          <w:rFonts w:ascii="Palatino Linotype" w:eastAsia="Palatino Linotype" w:hAnsi="Palatino Linotype" w:cs="Palatino Linotype"/>
          <w:color w:val="000000"/>
        </w:rPr>
        <w:t xml:space="preserve"> la cual consis</w:t>
      </w:r>
      <w:r w:rsidR="00DD4805" w:rsidRPr="00417D3B">
        <w:rPr>
          <w:rFonts w:ascii="Palatino Linotype" w:eastAsia="Palatino Linotype" w:hAnsi="Palatino Linotype" w:cs="Palatino Linotype"/>
          <w:color w:val="000000"/>
        </w:rPr>
        <w:t>te en la plataforma en que los P</w:t>
      </w:r>
      <w:r w:rsidRPr="00417D3B">
        <w:rPr>
          <w:rFonts w:ascii="Palatino Linotype" w:eastAsia="Palatino Linotype" w:hAnsi="Palatino Linotype" w:cs="Palatino Linotype"/>
          <w:color w:val="000000"/>
        </w:rPr>
        <w:t>articulares y los Sujetos Obligados pueden ejercer y atender el derecho de acceso a la información, respectivamente, consecuentemente al corresponder a medio electrónico, se ordena su entrega pro dicho medio, así como por correo electrónico</w:t>
      </w:r>
      <w:r w:rsidRPr="00417D3B">
        <w:rPr>
          <w:rFonts w:ascii="Palatino Linotype" w:hAnsi="Palatino Linotype"/>
          <w:color w:val="000000" w:themeColor="text1"/>
        </w:rPr>
        <w:t>.</w:t>
      </w:r>
    </w:p>
    <w:p w14:paraId="37E97894" w14:textId="12C38D7A"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73172E46" w14:textId="4112D056" w:rsidR="00164E0E" w:rsidRPr="00417D3B" w:rsidRDefault="00452169" w:rsidP="00164E0E">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417D3B">
        <w:rPr>
          <w:rFonts w:ascii="Palatino Linotype" w:hAnsi="Palatino Linotype"/>
          <w:b/>
          <w:bCs/>
          <w:color w:val="000000" w:themeColor="text1"/>
        </w:rPr>
        <w:t>QUINTO</w:t>
      </w:r>
      <w:r w:rsidR="00164E0E" w:rsidRPr="00417D3B">
        <w:rPr>
          <w:rFonts w:ascii="Palatino Linotype" w:hAnsi="Palatino Linotype"/>
          <w:b/>
          <w:bCs/>
          <w:color w:val="000000" w:themeColor="text1"/>
        </w:rPr>
        <w:t>. De la versión pública.</w:t>
      </w:r>
    </w:p>
    <w:p w14:paraId="687586C1"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FBF8ACD"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723CE1DE"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La </w:t>
      </w:r>
      <w:r w:rsidRPr="00417D3B">
        <w:rPr>
          <w:rFonts w:ascii="Palatino Linotype" w:hAnsi="Palatino Linotype" w:cs="Arial"/>
          <w:color w:val="000000" w:themeColor="text1"/>
        </w:rPr>
        <w:t xml:space="preserve">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w:t>
      </w:r>
      <w:r w:rsidRPr="00417D3B">
        <w:rPr>
          <w:rFonts w:ascii="Palatino Linotype" w:hAnsi="Palatino Linotype" w:cs="Arial"/>
          <w:color w:val="000000" w:themeColor="text1"/>
        </w:rPr>
        <w:lastRenderedPageBreak/>
        <w:t>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24B1E42E"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1402EED" w14:textId="578B8D2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El </w:t>
      </w:r>
      <w:r w:rsidRPr="00417D3B">
        <w:rPr>
          <w:rFonts w:ascii="Palatino Linotype" w:eastAsia="MS Mincho" w:hAnsi="Palatino Linotype"/>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40412517" w14:textId="0F25B1C2"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34211C3F" w14:textId="4EB0823F" w:rsidR="00164E0E" w:rsidRPr="00417D3B" w:rsidRDefault="00164E0E" w:rsidP="00164E0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17D3B">
        <w:rPr>
          <w:rFonts w:ascii="Palatino Linotype" w:hAnsi="Palatino Linotype"/>
          <w:b/>
          <w:bCs/>
          <w:color w:val="000000" w:themeColor="text1"/>
        </w:rPr>
        <w:t>I. Requisitos previos.</w:t>
      </w:r>
    </w:p>
    <w:p w14:paraId="6ADD8697"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Los </w:t>
      </w:r>
      <w:r w:rsidRPr="00417D3B">
        <w:rPr>
          <w:rFonts w:ascii="Palatino Linotype" w:eastAsia="MS Mincho" w:hAnsi="Palatino Linotype"/>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4F814B50"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2E330AAA"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lastRenderedPageBreak/>
        <w:t xml:space="preserve">Además, </w:t>
      </w:r>
      <w:r w:rsidRPr="00417D3B">
        <w:rPr>
          <w:rFonts w:ascii="Palatino Linotype" w:eastAsia="MS Mincho" w:hAnsi="Palatino Linotype"/>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772CE3FC"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03B543C0" w14:textId="10333EA6"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El </w:t>
      </w:r>
      <w:r w:rsidRPr="00417D3B">
        <w:rPr>
          <w:rFonts w:ascii="Palatino Linotype" w:eastAsia="MS Mincho" w:hAnsi="Palatino Linotype"/>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01743C34" w14:textId="331A15C9"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0AC294D8" w14:textId="7FDA1C1F" w:rsidR="00164E0E" w:rsidRPr="00417D3B" w:rsidRDefault="00164E0E" w:rsidP="00164E0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17D3B">
        <w:rPr>
          <w:rFonts w:ascii="Palatino Linotype" w:hAnsi="Palatino Linotype"/>
          <w:b/>
          <w:bCs/>
          <w:color w:val="000000" w:themeColor="text1"/>
        </w:rPr>
        <w:t>II. Supuestos de clasificación.</w:t>
      </w:r>
    </w:p>
    <w:p w14:paraId="4702148F"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Las </w:t>
      </w:r>
      <w:r w:rsidRPr="00417D3B">
        <w:rPr>
          <w:rFonts w:ascii="Palatino Linotype" w:eastAsia="MS Mincho" w:hAnsi="Palatino Linotype"/>
        </w:rPr>
        <w:t>disposiciones constitucionales y legales en la materia establecen los dos supuestos generales para clasificar la información: por reserva y por confidencialidad.</w:t>
      </w:r>
    </w:p>
    <w:p w14:paraId="35DB7F80"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6B9E48F" w14:textId="40B72B44"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Los </w:t>
      </w:r>
      <w:r w:rsidRPr="00417D3B">
        <w:rPr>
          <w:rFonts w:ascii="Palatino Linotype" w:eastAsia="MS Mincho" w:hAnsi="Palatino Linotype"/>
        </w:rPr>
        <w:t>artículos 143 y 116 de la Ley Estatal y de la Ley General, respectivamente, señalan los supuestos para que la información pueda ser clasificada como confidencial:</w:t>
      </w:r>
    </w:p>
    <w:p w14:paraId="40AD22EF" w14:textId="77777777" w:rsidR="00164E0E" w:rsidRPr="00417D3B"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417D3B">
        <w:rPr>
          <w:rFonts w:ascii="Palatino Linotype" w:hAnsi="Palatino Linotype" w:cs="Bookman Old Style"/>
          <w:bCs/>
          <w:i/>
          <w:color w:val="000000"/>
          <w:sz w:val="22"/>
        </w:rPr>
        <w:t>“</w:t>
      </w:r>
      <w:r w:rsidRPr="00417D3B">
        <w:rPr>
          <w:rFonts w:ascii="Palatino Linotype" w:hAnsi="Palatino Linotype" w:cs="Bookman Old Style"/>
          <w:b/>
          <w:i/>
          <w:color w:val="000000"/>
          <w:sz w:val="22"/>
        </w:rPr>
        <w:t>I.</w:t>
      </w:r>
      <w:r w:rsidRPr="00417D3B">
        <w:rPr>
          <w:rFonts w:ascii="Palatino Linotype" w:hAnsi="Palatino Linotype" w:cs="Bookman Old Style"/>
          <w:bCs/>
          <w:i/>
          <w:color w:val="000000"/>
          <w:sz w:val="22"/>
        </w:rPr>
        <w:t xml:space="preserve"> </w:t>
      </w:r>
      <w:r w:rsidRPr="00417D3B">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4D21F3A7" w14:textId="77777777" w:rsidR="00164E0E" w:rsidRPr="00417D3B"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417D3B">
        <w:rPr>
          <w:rFonts w:ascii="Palatino Linotype" w:hAnsi="Palatino Linotype" w:cs="Bookman Old Style"/>
          <w:b/>
          <w:i/>
          <w:color w:val="000000"/>
          <w:sz w:val="22"/>
        </w:rPr>
        <w:t>II.</w:t>
      </w:r>
      <w:r w:rsidRPr="00417D3B">
        <w:rPr>
          <w:rFonts w:ascii="Palatino Linotype" w:hAnsi="Palatino Linotype" w:cs="Bookman Old Style"/>
          <w:bCs/>
          <w:i/>
          <w:color w:val="000000"/>
          <w:sz w:val="22"/>
        </w:rPr>
        <w:t xml:space="preserve"> </w:t>
      </w:r>
      <w:r w:rsidRPr="00417D3B">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w:t>
      </w:r>
      <w:r w:rsidRPr="00417D3B">
        <w:rPr>
          <w:rFonts w:ascii="Palatino Linotype" w:hAnsi="Palatino Linotype" w:cs="Bookman Old Style"/>
          <w:i/>
          <w:color w:val="000000"/>
          <w:sz w:val="22"/>
        </w:rPr>
        <w:lastRenderedPageBreak/>
        <w:t xml:space="preserve">obligados cuando no involucren el ejercicio de recursos públicos; y </w:t>
      </w:r>
    </w:p>
    <w:p w14:paraId="2A8D3CCA" w14:textId="77777777" w:rsidR="00164E0E" w:rsidRPr="00417D3B"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417D3B">
        <w:rPr>
          <w:rFonts w:ascii="Palatino Linotype" w:hAnsi="Palatino Linotype" w:cs="Bookman Old Style"/>
          <w:b/>
          <w:i/>
          <w:color w:val="000000"/>
          <w:sz w:val="22"/>
        </w:rPr>
        <w:t>III.</w:t>
      </w:r>
      <w:r w:rsidRPr="00417D3B">
        <w:rPr>
          <w:rFonts w:ascii="Palatino Linotype" w:hAnsi="Palatino Linotype" w:cs="Bookman Old Style"/>
          <w:bCs/>
          <w:i/>
          <w:color w:val="000000"/>
          <w:sz w:val="22"/>
        </w:rPr>
        <w:t xml:space="preserve"> </w:t>
      </w:r>
      <w:r w:rsidRPr="00417D3B">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0761D32C" w14:textId="77777777" w:rsidR="00164E0E" w:rsidRPr="00417D3B"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417D3B">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4EEF04E4" w14:textId="0DA89D76" w:rsidR="00164E0E" w:rsidRPr="00417D3B" w:rsidRDefault="00164E0E" w:rsidP="00164E0E">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417D3B">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w:t>
      </w:r>
    </w:p>
    <w:p w14:paraId="1C547D5A" w14:textId="77777777" w:rsidR="00164E0E" w:rsidRPr="00417D3B" w:rsidRDefault="00164E0E" w:rsidP="00164E0E">
      <w:pPr>
        <w:pStyle w:val="Prrafodelista"/>
        <w:tabs>
          <w:tab w:val="left" w:pos="426"/>
        </w:tabs>
        <w:spacing w:after="240" w:line="360" w:lineRule="auto"/>
        <w:ind w:left="0" w:right="51"/>
        <w:jc w:val="both"/>
        <w:rPr>
          <w:rFonts w:ascii="Palatino Linotype" w:hAnsi="Palatino Linotype"/>
          <w:color w:val="000000" w:themeColor="text1"/>
        </w:rPr>
      </w:pPr>
    </w:p>
    <w:p w14:paraId="3339C6CE" w14:textId="4BED2710"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Mientras </w:t>
      </w:r>
      <w:r w:rsidRPr="00417D3B">
        <w:rPr>
          <w:rFonts w:ascii="Palatino Linotype" w:eastAsia="MS Mincho" w:hAnsi="Palatino Linotype"/>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640071D8" w14:textId="77777777" w:rsidR="00526DC4" w:rsidRPr="00417D3B" w:rsidRDefault="00526DC4" w:rsidP="00526DC4">
      <w:pPr>
        <w:pStyle w:val="Prrafodelista"/>
        <w:tabs>
          <w:tab w:val="left" w:pos="426"/>
        </w:tabs>
        <w:spacing w:before="240" w:after="240" w:line="360" w:lineRule="auto"/>
        <w:ind w:left="0" w:right="51"/>
        <w:jc w:val="both"/>
        <w:rPr>
          <w:rFonts w:ascii="Palatino Linotype" w:hAnsi="Palatino Linotype"/>
          <w:color w:val="000000" w:themeColor="text1"/>
        </w:rPr>
      </w:pPr>
    </w:p>
    <w:p w14:paraId="4A8C98BD"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Como </w:t>
      </w:r>
      <w:r w:rsidRPr="00417D3B">
        <w:rPr>
          <w:rFonts w:ascii="Palatino Linotype" w:eastAsia="MS Mincho" w:hAnsi="Palatino Linotype"/>
        </w:rPr>
        <w:t xml:space="preserve">consecuencia de lo anterior, el </w:t>
      </w:r>
      <w:r w:rsidRPr="00417D3B">
        <w:rPr>
          <w:rFonts w:ascii="Palatino Linotype" w:eastAsia="MS Mincho" w:hAnsi="Palatino Linotype"/>
          <w:b/>
          <w:bCs/>
        </w:rPr>
        <w:t>SUJETO OBLIGADO</w:t>
      </w:r>
      <w:r w:rsidRPr="00417D3B">
        <w:rPr>
          <w:rFonts w:ascii="Palatino Linotype" w:eastAsia="MS Mincho" w:hAnsi="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0ECC6494"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821C41C" w14:textId="523B340B"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Al </w:t>
      </w:r>
      <w:r w:rsidRPr="00417D3B">
        <w:rPr>
          <w:rFonts w:ascii="Palatino Linotype" w:eastAsia="MS Mincho" w:hAnsi="Palatino Linotype"/>
        </w:rPr>
        <w:t>respecto, los Lineamientos Generales en Materia de Clasificación y Desclasificación de la Información, así Como para la Elaboración de Versiones Públicas, por cuanto hace a la clasificación de la información, señalan lo siguiente:</w:t>
      </w:r>
    </w:p>
    <w:p w14:paraId="79CA949B"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w:t>
      </w:r>
      <w:r w:rsidRPr="00417D3B">
        <w:rPr>
          <w:rFonts w:ascii="Palatino Linotype" w:hAnsi="Palatino Linotype" w:cs="Arial"/>
          <w:b/>
          <w:i/>
          <w:sz w:val="22"/>
        </w:rPr>
        <w:t>Quincuagésimo.</w:t>
      </w:r>
      <w:r w:rsidRPr="00417D3B">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BB3F61E"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71F5C7D2"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b/>
          <w:i/>
          <w:sz w:val="22"/>
        </w:rPr>
        <w:lastRenderedPageBreak/>
        <w:t>Quincuagésimo primero.</w:t>
      </w:r>
      <w:r w:rsidRPr="00417D3B">
        <w:rPr>
          <w:rFonts w:ascii="Palatino Linotype" w:hAnsi="Palatino Linotype" w:cs="Arial"/>
          <w:i/>
          <w:sz w:val="22"/>
        </w:rPr>
        <w:t xml:space="preserve"> La leyenda en los documentos clasificados indicará:</w:t>
      </w:r>
    </w:p>
    <w:p w14:paraId="7CFFA4EB"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I. La fecha de sesión del Comité de Transparencia en donde se confirmó la clasificación, en su caso;</w:t>
      </w:r>
    </w:p>
    <w:p w14:paraId="7666BF48"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II. El nombre del área;</w:t>
      </w:r>
    </w:p>
    <w:p w14:paraId="5EC52D5B"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III. La palabra reservado o confidencial;</w:t>
      </w:r>
    </w:p>
    <w:p w14:paraId="4D69F42B"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IV. Las partes o secciones reservadas o confidenciales, en su caso;</w:t>
      </w:r>
    </w:p>
    <w:p w14:paraId="74C8F5FA"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V. El fundamento legal;</w:t>
      </w:r>
    </w:p>
    <w:p w14:paraId="5C916849"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VI. El periodo de reserva, y</w:t>
      </w:r>
    </w:p>
    <w:p w14:paraId="515AAB16"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VII. La rúbrica del titular del área.</w:t>
      </w:r>
    </w:p>
    <w:p w14:paraId="1E623A6B"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3967E307"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b/>
          <w:i/>
          <w:sz w:val="22"/>
        </w:rPr>
        <w:t>Quincuagésimo segundo.</w:t>
      </w:r>
      <w:r w:rsidRPr="00417D3B">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617D5A4F"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i/>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20FE6F94" w14:textId="77777777"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C0B434D" w14:textId="5AD8CB48" w:rsidR="00164E0E" w:rsidRPr="00417D3B" w:rsidRDefault="00164E0E" w:rsidP="00164E0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417D3B">
        <w:rPr>
          <w:rFonts w:ascii="Palatino Linotype" w:hAnsi="Palatino Linotype" w:cs="Arial"/>
          <w:b/>
          <w:i/>
          <w:sz w:val="22"/>
        </w:rPr>
        <w:t>Quincuagésimo tercero.</w:t>
      </w:r>
      <w:r w:rsidRPr="00417D3B">
        <w:rPr>
          <w:rFonts w:ascii="Palatino Linotype" w:hAnsi="Palatino Linotype" w:cs="Arial"/>
          <w:i/>
          <w:sz w:val="22"/>
        </w:rPr>
        <w:t xml:space="preserve"> El formato para señalar la clasificación parcial de un documento, es el siguiente:</w:t>
      </w:r>
    </w:p>
    <w:p w14:paraId="49FB7E6B" w14:textId="4B3EB7B2" w:rsidR="008D6143" w:rsidRPr="00417D3B" w:rsidRDefault="008D6143" w:rsidP="00164E0E">
      <w:pPr>
        <w:pStyle w:val="Prrafodelista"/>
        <w:tabs>
          <w:tab w:val="left" w:pos="142"/>
          <w:tab w:val="left" w:pos="284"/>
          <w:tab w:val="left" w:pos="426"/>
        </w:tabs>
        <w:spacing w:line="276" w:lineRule="auto"/>
        <w:ind w:left="567" w:right="567"/>
        <w:jc w:val="both"/>
        <w:rPr>
          <w:rFonts w:ascii="Palatino Linotype" w:hAnsi="Palatino Linotype" w:cs="Arial"/>
          <w:i/>
        </w:rPr>
      </w:pPr>
    </w:p>
    <w:p w14:paraId="0437EE13" w14:textId="001C4DEE" w:rsidR="008D6143" w:rsidRPr="00417D3B" w:rsidRDefault="00164E0E" w:rsidP="00A85A28">
      <w:pPr>
        <w:pStyle w:val="Prrafodelista"/>
        <w:tabs>
          <w:tab w:val="left" w:pos="426"/>
        </w:tabs>
        <w:spacing w:before="240" w:after="240" w:line="360" w:lineRule="auto"/>
        <w:ind w:left="0" w:right="51"/>
        <w:jc w:val="center"/>
        <w:rPr>
          <w:rFonts w:ascii="Palatino Linotype" w:hAnsi="Palatino Linotype"/>
          <w:color w:val="000000" w:themeColor="text1"/>
        </w:rPr>
      </w:pPr>
      <w:r w:rsidRPr="00417D3B">
        <w:rPr>
          <w:rFonts w:ascii="Palatino Linotype" w:hAnsi="Palatino Linotype" w:cs="Arial"/>
          <w:i/>
          <w:noProof/>
        </w:rPr>
        <w:lastRenderedPageBreak/>
        <w:drawing>
          <wp:inline distT="0" distB="0" distL="0" distR="0" wp14:anchorId="2ECDD623" wp14:editId="12713C76">
            <wp:extent cx="4044226" cy="3319577"/>
            <wp:effectExtent l="38100" t="38100" r="83820" b="84455"/>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2745" cy="340865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E64A7F" w14:textId="77777777" w:rsidR="00526DC4" w:rsidRPr="00417D3B" w:rsidRDefault="00526DC4" w:rsidP="00526DC4">
      <w:pPr>
        <w:pStyle w:val="Prrafodelista"/>
        <w:tabs>
          <w:tab w:val="left" w:pos="426"/>
        </w:tabs>
        <w:spacing w:before="240" w:after="240" w:line="360" w:lineRule="auto"/>
        <w:ind w:left="0" w:right="51"/>
        <w:rPr>
          <w:rFonts w:ascii="Palatino Linotype" w:hAnsi="Palatino Linotype"/>
          <w:color w:val="000000" w:themeColor="text1"/>
        </w:rPr>
      </w:pPr>
    </w:p>
    <w:p w14:paraId="5B07EB76" w14:textId="2C1F7534" w:rsidR="00164E0E" w:rsidRPr="00417D3B" w:rsidRDefault="00164E0E" w:rsidP="003E108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Una </w:t>
      </w:r>
      <w:r w:rsidRPr="00417D3B">
        <w:rPr>
          <w:rFonts w:ascii="Palatino Linotype" w:eastAsia="MS Mincho" w:hAnsi="Palatino Linotype"/>
        </w:rPr>
        <w:t>vez hecho lo anterior, se remite la información al Titular de la Unidad de Transparencia, con el acuerdo de clasificación correspondiente, para que sea sometido al conocimiento del Comité de Transparencia.</w:t>
      </w:r>
    </w:p>
    <w:p w14:paraId="4AFE7F88" w14:textId="7DA93A94"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60393986" w14:textId="3BD9E8B2" w:rsidR="00164E0E" w:rsidRPr="00417D3B" w:rsidRDefault="00164E0E" w:rsidP="00164E0E">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417D3B">
        <w:rPr>
          <w:rFonts w:ascii="Palatino Linotype" w:hAnsi="Palatino Linotype"/>
          <w:b/>
          <w:bCs/>
          <w:color w:val="000000" w:themeColor="text1"/>
        </w:rPr>
        <w:t>III. La intervención del Comité de Transparencia.</w:t>
      </w:r>
    </w:p>
    <w:p w14:paraId="2D652BDE" w14:textId="5790B996"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b/>
          <w:bCs/>
          <w:color w:val="000000" w:themeColor="text1"/>
        </w:rPr>
      </w:pPr>
      <w:r w:rsidRPr="00417D3B">
        <w:rPr>
          <w:rFonts w:ascii="Palatino Linotype" w:hAnsi="Palatino Linotype"/>
          <w:b/>
          <w:bCs/>
          <w:color w:val="000000" w:themeColor="text1"/>
        </w:rPr>
        <w:t>a) Formalidades para emitir el Acuerdo de Clasificación.</w:t>
      </w:r>
    </w:p>
    <w:p w14:paraId="3D99F3F4"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El </w:t>
      </w:r>
      <w:r w:rsidRPr="00417D3B">
        <w:rPr>
          <w:rFonts w:ascii="Palatino Linotype" w:eastAsia="MS Mincho" w:hAnsi="Palatino Linotype"/>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w:t>
      </w:r>
      <w:r w:rsidRPr="00417D3B">
        <w:rPr>
          <w:rFonts w:ascii="Palatino Linotype" w:eastAsia="MS Mincho" w:hAnsi="Palatino Linotype"/>
        </w:rPr>
        <w:lastRenderedPageBreak/>
        <w:t>clasificación, sino que revisa lo que ha hecho el titular del área y confirma, modifica o revoca la decisión a través de un acuerdo.</w:t>
      </w:r>
    </w:p>
    <w:p w14:paraId="5630A9FC"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23F61A4A"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Evidentemente, </w:t>
      </w:r>
      <w:r w:rsidRPr="00417D3B">
        <w:rPr>
          <w:rFonts w:ascii="Palatino Linotype" w:eastAsia="MS Mincho" w:hAnsi="Palatino Linotype"/>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35B5862"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37584021" w14:textId="525A76BA"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La </w:t>
      </w:r>
      <w:r w:rsidRPr="00417D3B">
        <w:rPr>
          <w:rFonts w:ascii="Palatino Linotype" w:eastAsia="MS Mincho" w:hAnsi="Palatino Linotype"/>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9999E6A" w14:textId="4B943DF6"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48740B49" w14:textId="77777777" w:rsidR="00770ADF" w:rsidRPr="00417D3B" w:rsidRDefault="00770ADF"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119E501" w14:textId="29CB948A"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b/>
          <w:bCs/>
          <w:color w:val="000000" w:themeColor="text1"/>
        </w:rPr>
      </w:pPr>
      <w:r w:rsidRPr="00417D3B">
        <w:rPr>
          <w:rFonts w:ascii="Palatino Linotype" w:hAnsi="Palatino Linotype"/>
          <w:b/>
          <w:bCs/>
          <w:color w:val="000000" w:themeColor="text1"/>
        </w:rPr>
        <w:lastRenderedPageBreak/>
        <w:t>b) Requisitos de fondo del Acuerdo de Clasificación.</w:t>
      </w:r>
    </w:p>
    <w:p w14:paraId="2FC7EA48"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Como </w:t>
      </w:r>
      <w:r w:rsidRPr="00417D3B">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37387CD"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222D8D6E"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De </w:t>
      </w:r>
      <w:r w:rsidRPr="00417D3B">
        <w:rPr>
          <w:rFonts w:ascii="Palatino Linotype" w:eastAsia="MS Mincho" w:hAnsi="Palatino Linotype"/>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8977327"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75296FDD" w14:textId="18B115F0"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Han </w:t>
      </w:r>
      <w:r w:rsidRPr="00417D3B">
        <w:rPr>
          <w:rFonts w:ascii="Palatino Linotype" w:eastAsia="MS Mincho" w:hAnsi="Palatino Linotype"/>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417D3B">
        <w:rPr>
          <w:rFonts w:ascii="Palatino Linotype" w:eastAsia="MS Mincho" w:hAnsi="Palatino Linotype"/>
          <w:i/>
          <w:iCs/>
        </w:rPr>
        <w:t xml:space="preserv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w:t>
      </w:r>
      <w:r w:rsidRPr="00417D3B">
        <w:rPr>
          <w:rFonts w:ascii="Palatino Linotype" w:eastAsia="MS Mincho" w:hAnsi="Palatino Linotype"/>
          <w:i/>
          <w:iCs/>
        </w:rPr>
        <w:lastRenderedPageBreak/>
        <w:t>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417D3B">
        <w:rPr>
          <w:rFonts w:ascii="Palatino Linotype" w:eastAsia="MS Mincho" w:hAnsi="Palatino Linotype"/>
        </w:rPr>
        <w:t>.</w:t>
      </w:r>
    </w:p>
    <w:p w14:paraId="51B5632D"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0B57D6E6" w14:textId="36AA92C9"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Por </w:t>
      </w:r>
      <w:r w:rsidRPr="00417D3B">
        <w:rPr>
          <w:rFonts w:ascii="Palatino Linotype" w:eastAsia="MS Mincho" w:hAnsi="Palatino Linotype"/>
        </w:rPr>
        <w:t>su parte, el intérprete judicial del país ha establecido una jurisprudencia</w:t>
      </w:r>
      <w:r w:rsidRPr="00417D3B">
        <w:rPr>
          <w:rStyle w:val="Refdenotaalpie"/>
          <w:rFonts w:ascii="Palatino Linotype" w:eastAsia="MS Mincho" w:hAnsi="Palatino Linotype"/>
        </w:rPr>
        <w:footnoteReference w:id="5"/>
      </w:r>
      <w:r w:rsidRPr="00417D3B">
        <w:rPr>
          <w:rFonts w:ascii="Palatino Linotype" w:eastAsia="MS Mincho" w:hAnsi="Palatino Linotype"/>
        </w:rPr>
        <w:t xml:space="preserve"> respecto a qué debe entenderse por fundamentación y motivación, en los siguientes términos:</w:t>
      </w:r>
    </w:p>
    <w:p w14:paraId="4D4933E1" w14:textId="77777777" w:rsidR="00164E0E" w:rsidRPr="00417D3B" w:rsidRDefault="00164E0E" w:rsidP="00A356A1">
      <w:pPr>
        <w:ind w:left="567" w:right="567"/>
        <w:contextualSpacing/>
        <w:jc w:val="both"/>
        <w:rPr>
          <w:rFonts w:ascii="Palatino Linotype" w:hAnsi="Palatino Linotype" w:cs="Arial"/>
          <w:i/>
          <w:color w:val="000000"/>
          <w:sz w:val="22"/>
        </w:rPr>
      </w:pPr>
      <w:r w:rsidRPr="00417D3B">
        <w:rPr>
          <w:rFonts w:ascii="Palatino Linotype" w:hAnsi="Palatino Linotype" w:cs="Arial"/>
          <w:b/>
          <w:i/>
          <w:color w:val="000000"/>
          <w:sz w:val="22"/>
        </w:rPr>
        <w:t>FUNDAMENTACIÓN Y MOTIVACIÓN.</w:t>
      </w:r>
      <w:r w:rsidRPr="00417D3B">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30E28A7" w14:textId="77777777" w:rsidR="00164E0E" w:rsidRPr="00417D3B" w:rsidRDefault="00164E0E" w:rsidP="00164E0E">
      <w:pPr>
        <w:pStyle w:val="Prrafodelista"/>
        <w:tabs>
          <w:tab w:val="left" w:pos="426"/>
        </w:tabs>
        <w:spacing w:after="240" w:line="360" w:lineRule="auto"/>
        <w:ind w:left="0" w:right="51"/>
        <w:jc w:val="both"/>
        <w:rPr>
          <w:rFonts w:ascii="Palatino Linotype" w:hAnsi="Palatino Linotype"/>
          <w:color w:val="000000" w:themeColor="text1"/>
        </w:rPr>
      </w:pPr>
    </w:p>
    <w:p w14:paraId="4AF3F887"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Así, </w:t>
      </w:r>
      <w:r w:rsidRPr="00417D3B">
        <w:rPr>
          <w:rFonts w:ascii="Palatino Linotype" w:eastAsia="MS Mincho" w:hAnsi="Palatino Linotype"/>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0C921FB3"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CD6C289"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En </w:t>
      </w:r>
      <w:r w:rsidRPr="00417D3B">
        <w:rPr>
          <w:rFonts w:ascii="Palatino Linotype" w:eastAsia="MS Mincho" w:hAnsi="Palatino Linotype"/>
        </w:rPr>
        <w:t>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5F1D790"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19E78854" w14:textId="77777777"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lastRenderedPageBreak/>
        <w:t xml:space="preserve">En </w:t>
      </w:r>
      <w:r w:rsidRPr="00417D3B">
        <w:rPr>
          <w:rFonts w:ascii="Palatino Linotype" w:eastAsia="MS Mincho" w:hAnsi="Palatino Linotype"/>
        </w:rPr>
        <w:t>ese mismo sentido, el numeral trigésimo tercero fracción V de los Lineamientos Generales, precisa que para motivar la clasificación se deben acreditar las circunstancias de tiempo, modo y lugar.</w:t>
      </w:r>
    </w:p>
    <w:p w14:paraId="6265D043" w14:textId="77777777" w:rsidR="00164E0E" w:rsidRPr="00417D3B" w:rsidRDefault="00164E0E" w:rsidP="00164E0E">
      <w:pPr>
        <w:pStyle w:val="Prrafodelista"/>
        <w:tabs>
          <w:tab w:val="left" w:pos="426"/>
        </w:tabs>
        <w:spacing w:before="240" w:after="240" w:line="360" w:lineRule="auto"/>
        <w:ind w:left="0" w:right="51"/>
        <w:jc w:val="both"/>
        <w:rPr>
          <w:rFonts w:ascii="Palatino Linotype" w:hAnsi="Palatino Linotype"/>
          <w:color w:val="000000" w:themeColor="text1"/>
        </w:rPr>
      </w:pPr>
    </w:p>
    <w:p w14:paraId="5BB6E9C9" w14:textId="76F37AB2" w:rsidR="00164E0E" w:rsidRPr="00417D3B" w:rsidRDefault="00164E0E" w:rsidP="00164E0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rPr>
        <w:t xml:space="preserve">Otro </w:t>
      </w:r>
      <w:r w:rsidRPr="00417D3B">
        <w:rPr>
          <w:rFonts w:ascii="Palatino Linotype"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370E910A" w14:textId="77777777" w:rsidR="00F01443" w:rsidRPr="00417D3B"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19A111DC" w14:textId="02F54612" w:rsidR="00266588" w:rsidRPr="00417D3B" w:rsidRDefault="00F01801" w:rsidP="002D129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417D3B">
        <w:rPr>
          <w:rFonts w:ascii="Palatino Linotype" w:hAnsi="Palatino Linotype"/>
          <w:color w:val="000000" w:themeColor="text1"/>
          <w:lang w:val="es-ES"/>
        </w:rPr>
        <w:t xml:space="preserve">Por </w:t>
      </w:r>
      <w:r w:rsidR="00B41516" w:rsidRPr="00417D3B">
        <w:rPr>
          <w:rFonts w:ascii="Palatino Linotype" w:hAnsi="Palatino Linotype"/>
          <w:color w:val="000000" w:themeColor="text1"/>
        </w:rPr>
        <w:t xml:space="preserve">lo anteriormente expuesto y fundado, </w:t>
      </w:r>
      <w:r w:rsidR="003E6079" w:rsidRPr="00417D3B">
        <w:rPr>
          <w:rFonts w:ascii="Palatino Linotype" w:hAnsi="Palatino Linotype"/>
          <w:color w:val="000000" w:themeColor="text1"/>
        </w:rPr>
        <w:t>e</w:t>
      </w:r>
      <w:r w:rsidR="00B41516" w:rsidRPr="00417D3B">
        <w:rPr>
          <w:rFonts w:ascii="Palatino Linotype" w:hAnsi="Palatino Linotype"/>
          <w:color w:val="000000" w:themeColor="text1"/>
        </w:rPr>
        <w:t xml:space="preserve">ste </w:t>
      </w:r>
      <w:r w:rsidR="00B41516" w:rsidRPr="00417D3B">
        <w:rPr>
          <w:rFonts w:ascii="Palatino Linotype" w:hAnsi="Palatino Linotype"/>
          <w:b/>
          <w:color w:val="000000" w:themeColor="text1"/>
        </w:rPr>
        <w:t>ÓRGANO GARANTE</w:t>
      </w:r>
      <w:r w:rsidR="00B41516" w:rsidRPr="00417D3B">
        <w:rPr>
          <w:rFonts w:ascii="Palatino Linotype" w:hAnsi="Palatino Linotype"/>
          <w:color w:val="000000" w:themeColor="text1"/>
        </w:rPr>
        <w:t xml:space="preserve"> emite los siguientes:</w:t>
      </w:r>
      <w:r w:rsidR="003E6079" w:rsidRPr="00417D3B">
        <w:rPr>
          <w:rFonts w:ascii="Palatino Linotype" w:hAnsi="Palatino Linotype"/>
          <w:color w:val="000000" w:themeColor="text1"/>
        </w:rPr>
        <w:t xml:space="preserve"> </w:t>
      </w:r>
    </w:p>
    <w:p w14:paraId="168DCCF9" w14:textId="77777777" w:rsidR="0098370C" w:rsidRPr="00417D3B" w:rsidRDefault="0098370C" w:rsidP="0098370C">
      <w:pPr>
        <w:pStyle w:val="Prrafodelista"/>
        <w:tabs>
          <w:tab w:val="left" w:pos="426"/>
        </w:tabs>
        <w:spacing w:before="240" w:after="240" w:line="360" w:lineRule="auto"/>
        <w:ind w:left="0" w:right="51"/>
        <w:jc w:val="both"/>
        <w:rPr>
          <w:rFonts w:ascii="Palatino Linotype" w:hAnsi="Palatino Linotype"/>
          <w:color w:val="000000" w:themeColor="text1"/>
        </w:rPr>
      </w:pPr>
    </w:p>
    <w:p w14:paraId="18C7D92B" w14:textId="77777777" w:rsidR="009959DB" w:rsidRPr="00417D3B" w:rsidRDefault="009959DB" w:rsidP="009959DB">
      <w:pPr>
        <w:pStyle w:val="Ttulo1"/>
        <w:spacing w:line="360" w:lineRule="auto"/>
        <w:jc w:val="center"/>
        <w:rPr>
          <w:b/>
          <w:color w:val="000000" w:themeColor="text1"/>
          <w:szCs w:val="24"/>
        </w:rPr>
      </w:pPr>
      <w:bookmarkStart w:id="21" w:name="_Toc495427547"/>
      <w:bookmarkStart w:id="22" w:name="_Toc497905366"/>
      <w:bookmarkStart w:id="23" w:name="_Toc96002415"/>
      <w:r w:rsidRPr="00417D3B">
        <w:rPr>
          <w:b/>
          <w:color w:val="000000" w:themeColor="text1"/>
          <w:szCs w:val="24"/>
        </w:rPr>
        <w:t>R E S O L U T I V O S</w:t>
      </w:r>
      <w:bookmarkEnd w:id="18"/>
      <w:bookmarkEnd w:id="19"/>
      <w:bookmarkEnd w:id="21"/>
      <w:bookmarkEnd w:id="22"/>
      <w:bookmarkEnd w:id="23"/>
    </w:p>
    <w:p w14:paraId="57B87B0B" w14:textId="77777777" w:rsidR="00770ADF" w:rsidRPr="00417D3B" w:rsidRDefault="00770ADF" w:rsidP="00770ADF">
      <w:pPr>
        <w:rPr>
          <w:lang w:eastAsia="en-US"/>
        </w:rPr>
      </w:pPr>
    </w:p>
    <w:p w14:paraId="2D1E9BFB" w14:textId="6D1DE2FB" w:rsidR="00F17282" w:rsidRPr="00417D3B" w:rsidRDefault="00F17282" w:rsidP="00F17282">
      <w:pPr>
        <w:spacing w:line="360" w:lineRule="auto"/>
        <w:jc w:val="both"/>
        <w:rPr>
          <w:rFonts w:ascii="Palatino Linotype" w:hAnsi="Palatino Linotype"/>
        </w:rPr>
      </w:pPr>
      <w:bookmarkStart w:id="24" w:name="_Hlk96506827"/>
      <w:r w:rsidRPr="00417D3B">
        <w:rPr>
          <w:rFonts w:ascii="Palatino Linotype" w:hAnsi="Palatino Linotype" w:cs="Arial"/>
          <w:b/>
        </w:rPr>
        <w:t xml:space="preserve">PRIMERO. </w:t>
      </w:r>
      <w:r w:rsidRPr="00417D3B">
        <w:rPr>
          <w:rFonts w:ascii="Palatino Linotype" w:hAnsi="Palatino Linotype" w:cs="Arial"/>
        </w:rPr>
        <w:t>Resultan parcialmente fundadas las</w:t>
      </w:r>
      <w:r w:rsidRPr="00417D3B">
        <w:rPr>
          <w:rFonts w:ascii="Palatino Linotype" w:hAnsi="Palatino Linotype" w:cs="Arial"/>
          <w:b/>
        </w:rPr>
        <w:t xml:space="preserve"> </w:t>
      </w:r>
      <w:r w:rsidRPr="00417D3B">
        <w:rPr>
          <w:rFonts w:ascii="Palatino Linotype" w:hAnsi="Palatino Linotype" w:cs="Arial"/>
          <w:lang w:val="es-ES"/>
        </w:rPr>
        <w:t xml:space="preserve">razones o motivos de inconformidad hechos valer </w:t>
      </w:r>
      <w:r w:rsidRPr="00417D3B">
        <w:rPr>
          <w:rFonts w:ascii="Palatino Linotype" w:eastAsia="Calibri" w:hAnsi="Palatino Linotype" w:cs="Arial"/>
          <w:lang w:val="es-ES"/>
        </w:rPr>
        <w:t xml:space="preserve">en el recurso de revisión </w:t>
      </w:r>
      <w:r w:rsidR="00565F1C" w:rsidRPr="00417D3B">
        <w:rPr>
          <w:rFonts w:ascii="Palatino Linotype" w:hAnsi="Palatino Linotype"/>
          <w:b/>
          <w:lang w:val="es-ES"/>
        </w:rPr>
        <w:t>11448</w:t>
      </w:r>
      <w:r w:rsidRPr="00417D3B">
        <w:rPr>
          <w:rFonts w:ascii="Palatino Linotype" w:hAnsi="Palatino Linotype"/>
          <w:b/>
        </w:rPr>
        <w:t xml:space="preserve">/INFOEM/IP/RR/2022 </w:t>
      </w:r>
      <w:r w:rsidRPr="00417D3B">
        <w:rPr>
          <w:rFonts w:ascii="Palatino Linotype" w:hAnsi="Palatino Linotype"/>
        </w:rPr>
        <w:t>en términos de los</w:t>
      </w:r>
      <w:r w:rsidR="00770ADF" w:rsidRPr="00417D3B">
        <w:rPr>
          <w:rFonts w:ascii="Palatino Linotype" w:hAnsi="Palatino Linotype"/>
          <w:b/>
          <w:bCs/>
        </w:rPr>
        <w:t xml:space="preserve"> c</w:t>
      </w:r>
      <w:r w:rsidRPr="00417D3B">
        <w:rPr>
          <w:rFonts w:ascii="Palatino Linotype" w:hAnsi="Palatino Linotype"/>
          <w:b/>
          <w:bCs/>
        </w:rPr>
        <w:t>onsiderandos</w:t>
      </w:r>
      <w:r w:rsidRPr="00417D3B">
        <w:rPr>
          <w:rFonts w:ascii="Palatino Linotype" w:hAnsi="Palatino Linotype"/>
        </w:rPr>
        <w:t xml:space="preserve"> </w:t>
      </w:r>
      <w:r w:rsidR="00452169" w:rsidRPr="00417D3B">
        <w:rPr>
          <w:rFonts w:ascii="Palatino Linotype" w:hAnsi="Palatino Linotype"/>
          <w:b/>
          <w:bCs/>
        </w:rPr>
        <w:t>CUARTO y</w:t>
      </w:r>
      <w:r w:rsidR="00452169" w:rsidRPr="00417D3B">
        <w:rPr>
          <w:rFonts w:ascii="Palatino Linotype" w:hAnsi="Palatino Linotype"/>
        </w:rPr>
        <w:t xml:space="preserve"> </w:t>
      </w:r>
      <w:r w:rsidRPr="00417D3B">
        <w:rPr>
          <w:rFonts w:ascii="Palatino Linotype" w:hAnsi="Palatino Linotype"/>
          <w:b/>
        </w:rPr>
        <w:t>QUINTO</w:t>
      </w:r>
      <w:r w:rsidR="00AB2CAA" w:rsidRPr="00417D3B">
        <w:rPr>
          <w:rFonts w:ascii="Palatino Linotype" w:hAnsi="Palatino Linotype"/>
          <w:b/>
        </w:rPr>
        <w:t xml:space="preserve"> </w:t>
      </w:r>
      <w:r w:rsidRPr="00417D3B">
        <w:rPr>
          <w:rFonts w:ascii="Palatino Linotype" w:hAnsi="Palatino Linotype"/>
        </w:rPr>
        <w:t>de la presente resolución.</w:t>
      </w:r>
    </w:p>
    <w:p w14:paraId="0A52AFEC" w14:textId="77777777" w:rsidR="00F17282" w:rsidRPr="00417D3B" w:rsidRDefault="00F17282" w:rsidP="00F17282">
      <w:pPr>
        <w:spacing w:line="360" w:lineRule="auto"/>
        <w:contextualSpacing/>
        <w:jc w:val="both"/>
        <w:rPr>
          <w:rFonts w:ascii="Palatino Linotype" w:eastAsia="Calibri" w:hAnsi="Palatino Linotype" w:cs="Arial"/>
          <w:b/>
          <w:bCs/>
          <w:lang w:val="es-ES"/>
        </w:rPr>
      </w:pPr>
    </w:p>
    <w:p w14:paraId="53BA6B39" w14:textId="0348C986" w:rsidR="003800DB" w:rsidRPr="00417D3B" w:rsidRDefault="00F17282" w:rsidP="003800DB">
      <w:pPr>
        <w:spacing w:line="360" w:lineRule="auto"/>
        <w:contextualSpacing/>
        <w:jc w:val="both"/>
        <w:rPr>
          <w:rFonts w:ascii="Palatino Linotype" w:hAnsi="Palatino Linotype" w:cs="Arial"/>
          <w:color w:val="000000"/>
        </w:rPr>
      </w:pPr>
      <w:r w:rsidRPr="00417D3B">
        <w:rPr>
          <w:rFonts w:ascii="Palatino Linotype" w:eastAsia="Calibri" w:hAnsi="Palatino Linotype" w:cs="Arial"/>
          <w:b/>
          <w:bCs/>
          <w:lang w:val="es-ES"/>
        </w:rPr>
        <w:t xml:space="preserve">SEGUNDO. </w:t>
      </w:r>
      <w:r w:rsidRPr="00417D3B">
        <w:rPr>
          <w:rFonts w:ascii="Palatino Linotype" w:eastAsia="Calibri" w:hAnsi="Palatino Linotype" w:cs="Arial"/>
          <w:lang w:val="es-ES"/>
        </w:rPr>
        <w:t xml:space="preserve">Se </w:t>
      </w:r>
      <w:r w:rsidR="00A85A28" w:rsidRPr="00417D3B">
        <w:rPr>
          <w:rFonts w:ascii="Palatino Linotype" w:eastAsia="Calibri" w:hAnsi="Palatino Linotype" w:cs="Arial"/>
          <w:b/>
          <w:lang w:val="es-ES"/>
        </w:rPr>
        <w:t>REVOCA</w:t>
      </w:r>
      <w:r w:rsidRPr="00417D3B">
        <w:rPr>
          <w:rFonts w:ascii="Palatino Linotype" w:eastAsia="Calibri" w:hAnsi="Palatino Linotype" w:cs="Arial"/>
          <w:lang w:val="es-ES"/>
        </w:rPr>
        <w:t xml:space="preserve"> la respuesta emitida por el </w:t>
      </w:r>
      <w:r w:rsidRPr="00417D3B">
        <w:rPr>
          <w:rFonts w:ascii="Palatino Linotype" w:eastAsia="Calibri" w:hAnsi="Palatino Linotype" w:cs="Arial"/>
          <w:b/>
        </w:rPr>
        <w:t xml:space="preserve">Ayuntamiento de </w:t>
      </w:r>
      <w:r w:rsidR="00565F1C" w:rsidRPr="00417D3B">
        <w:rPr>
          <w:rFonts w:ascii="Palatino Linotype" w:eastAsia="Calibri" w:hAnsi="Palatino Linotype" w:cs="Arial"/>
          <w:b/>
        </w:rPr>
        <w:t>Tianguistenco</w:t>
      </w:r>
      <w:r w:rsidR="008D6143" w:rsidRPr="00417D3B">
        <w:rPr>
          <w:rFonts w:ascii="Palatino Linotype" w:eastAsia="Calibri" w:hAnsi="Palatino Linotype" w:cs="Arial"/>
          <w:b/>
        </w:rPr>
        <w:t xml:space="preserve"> </w:t>
      </w:r>
      <w:r w:rsidRPr="00417D3B">
        <w:rPr>
          <w:rFonts w:ascii="Palatino Linotype" w:eastAsia="Calibri" w:hAnsi="Palatino Linotype" w:cs="Arial"/>
          <w:bCs/>
        </w:rPr>
        <w:t xml:space="preserve">a la solicitud </w:t>
      </w:r>
      <w:r w:rsidR="00565F1C" w:rsidRPr="00417D3B">
        <w:rPr>
          <w:rFonts w:ascii="Palatino Linotype" w:eastAsia="Calibri" w:hAnsi="Palatino Linotype" w:cs="Arial"/>
          <w:b/>
          <w:bCs/>
        </w:rPr>
        <w:t>00105/TIANGUIS/IP/2022</w:t>
      </w:r>
      <w:r w:rsidRPr="00417D3B">
        <w:rPr>
          <w:rFonts w:ascii="Palatino Linotype" w:eastAsia="Calibri" w:hAnsi="Palatino Linotype" w:cs="Arial"/>
          <w:b/>
        </w:rPr>
        <w:t xml:space="preserve"> </w:t>
      </w:r>
      <w:r w:rsidRPr="00417D3B">
        <w:rPr>
          <w:rFonts w:ascii="Palatino Linotype" w:eastAsia="Calibri" w:hAnsi="Palatino Linotype" w:cs="Arial"/>
        </w:rPr>
        <w:t xml:space="preserve">y se </w:t>
      </w:r>
      <w:r w:rsidRPr="00417D3B">
        <w:rPr>
          <w:rFonts w:ascii="Palatino Linotype" w:eastAsia="Calibri" w:hAnsi="Palatino Linotype" w:cs="Arial"/>
          <w:b/>
        </w:rPr>
        <w:t>ORDENA</w:t>
      </w:r>
      <w:r w:rsidRPr="00417D3B">
        <w:rPr>
          <w:rFonts w:ascii="Palatino Linotype" w:eastAsia="Calibri" w:hAnsi="Palatino Linotype" w:cs="Arial"/>
          <w:b/>
          <w:lang w:val="es-ES"/>
        </w:rPr>
        <w:t xml:space="preserve"> </w:t>
      </w:r>
      <w:bookmarkStart w:id="25" w:name="_Toc460947013"/>
      <w:r w:rsidR="00565F1C" w:rsidRPr="00417D3B">
        <w:rPr>
          <w:rFonts w:ascii="Palatino Linotype" w:eastAsia="Calibri" w:hAnsi="Palatino Linotype" w:cs="Arial"/>
          <w:lang w:val="es-ES"/>
        </w:rPr>
        <w:t>entregar</w:t>
      </w:r>
      <w:r w:rsidR="00DD4805" w:rsidRPr="00417D3B">
        <w:rPr>
          <w:rFonts w:ascii="Palatino Linotype" w:eastAsia="Calibri" w:hAnsi="Palatino Linotype" w:cs="Arial"/>
          <w:lang w:val="es-ES"/>
        </w:rPr>
        <w:t xml:space="preserve">, </w:t>
      </w:r>
      <w:r w:rsidR="00A413DF" w:rsidRPr="00417D3B">
        <w:rPr>
          <w:rFonts w:ascii="Palatino Linotype" w:hAnsi="Palatino Linotype" w:cs="Arial"/>
          <w:color w:val="000000"/>
        </w:rPr>
        <w:t xml:space="preserve">de ser procedente en versión pública, </w:t>
      </w:r>
      <w:r w:rsidRPr="00417D3B">
        <w:rPr>
          <w:rFonts w:ascii="Palatino Linotype" w:eastAsia="Calibri" w:hAnsi="Palatino Linotype" w:cs="Arial"/>
          <w:lang w:val="es-ES"/>
        </w:rPr>
        <w:t xml:space="preserve">a través del Sistema de Acceso a la Información Pública Mexiquense </w:t>
      </w:r>
      <w:r w:rsidRPr="00417D3B">
        <w:rPr>
          <w:rFonts w:ascii="Palatino Linotype" w:eastAsia="Calibri" w:hAnsi="Palatino Linotype" w:cs="Arial"/>
          <w:b/>
          <w:lang w:val="es-ES"/>
        </w:rPr>
        <w:t>(SAIMEX)</w:t>
      </w:r>
      <w:r w:rsidR="00642CAB" w:rsidRPr="00417D3B">
        <w:rPr>
          <w:rFonts w:ascii="Palatino Linotype" w:eastAsia="Calibri" w:hAnsi="Palatino Linotype" w:cs="Arial"/>
          <w:b/>
          <w:lang w:val="es-ES"/>
        </w:rPr>
        <w:t>,</w:t>
      </w:r>
      <w:r w:rsidRPr="00417D3B">
        <w:rPr>
          <w:rFonts w:ascii="Palatino Linotype" w:hAnsi="Palatino Linotype" w:cs="Arial"/>
          <w:color w:val="000000"/>
        </w:rPr>
        <w:t xml:space="preserve"> </w:t>
      </w:r>
      <w:r w:rsidR="003800DB" w:rsidRPr="00417D3B">
        <w:rPr>
          <w:rFonts w:ascii="Palatino Linotype" w:hAnsi="Palatino Linotype" w:cs="Arial"/>
          <w:color w:val="000000"/>
        </w:rPr>
        <w:t xml:space="preserve">por </w:t>
      </w:r>
      <w:r w:rsidRPr="00417D3B">
        <w:rPr>
          <w:rFonts w:ascii="Palatino Linotype" w:hAnsi="Palatino Linotype" w:cs="Arial"/>
          <w:color w:val="000000"/>
        </w:rPr>
        <w:t xml:space="preserve">correo electrónico o </w:t>
      </w:r>
      <w:r w:rsidR="00A413DF" w:rsidRPr="00417D3B">
        <w:rPr>
          <w:rFonts w:ascii="Palatino Linotype" w:hAnsi="Palatino Linotype" w:cs="Arial"/>
          <w:color w:val="000000"/>
        </w:rPr>
        <w:t>bien por</w:t>
      </w:r>
      <w:r w:rsidR="00642CAB" w:rsidRPr="00417D3B">
        <w:rPr>
          <w:rFonts w:ascii="Palatino Linotype" w:hAnsi="Palatino Linotype" w:cs="Arial"/>
          <w:color w:val="000000"/>
        </w:rPr>
        <w:t xml:space="preserve"> medio</w:t>
      </w:r>
      <w:r w:rsidR="00A413DF" w:rsidRPr="00417D3B">
        <w:rPr>
          <w:rFonts w:ascii="Palatino Linotype" w:hAnsi="Palatino Linotype" w:cs="Arial"/>
          <w:color w:val="000000"/>
        </w:rPr>
        <w:t>s</w:t>
      </w:r>
      <w:r w:rsidR="00642CAB" w:rsidRPr="00417D3B">
        <w:rPr>
          <w:rFonts w:ascii="Palatino Linotype" w:hAnsi="Palatino Linotype" w:cs="Arial"/>
          <w:color w:val="000000"/>
        </w:rPr>
        <w:t xml:space="preserve"> electrónico</w:t>
      </w:r>
      <w:r w:rsidR="00A413DF" w:rsidRPr="00417D3B">
        <w:rPr>
          <w:rFonts w:ascii="Palatino Linotype" w:hAnsi="Palatino Linotype" w:cs="Arial"/>
          <w:color w:val="000000"/>
        </w:rPr>
        <w:t>s (liga)</w:t>
      </w:r>
      <w:r w:rsidR="00642CAB" w:rsidRPr="00417D3B">
        <w:rPr>
          <w:rFonts w:ascii="Palatino Linotype" w:hAnsi="Palatino Linotype" w:cs="Arial"/>
          <w:color w:val="000000"/>
        </w:rPr>
        <w:t>,</w:t>
      </w:r>
      <w:r w:rsidRPr="00417D3B">
        <w:rPr>
          <w:rFonts w:ascii="Palatino Linotype" w:hAnsi="Palatino Linotype" w:cs="Arial"/>
          <w:color w:val="000000"/>
        </w:rPr>
        <w:t xml:space="preserve"> </w:t>
      </w:r>
      <w:r w:rsidR="00A413DF" w:rsidRPr="00417D3B">
        <w:rPr>
          <w:rFonts w:ascii="Palatino Linotype" w:hAnsi="Palatino Linotype" w:cs="Arial"/>
        </w:rPr>
        <w:t>en formato abierto xls, cvs o aquel en el que haya sido generada</w:t>
      </w:r>
      <w:r w:rsidR="00A413DF" w:rsidRPr="00417D3B">
        <w:rPr>
          <w:rFonts w:ascii="Palatino Linotype" w:hAnsi="Palatino Linotype" w:cs="Arial"/>
          <w:color w:val="000000"/>
        </w:rPr>
        <w:t xml:space="preserve">, </w:t>
      </w:r>
      <w:r w:rsidR="00565F1C" w:rsidRPr="00417D3B">
        <w:rPr>
          <w:rFonts w:ascii="Palatino Linotype" w:hAnsi="Palatino Linotype" w:cs="Arial"/>
          <w:color w:val="000000"/>
        </w:rPr>
        <w:lastRenderedPageBreak/>
        <w:t xml:space="preserve">del uno de enero de dos mil diez al veinte de mayo de dos mil veintidós, </w:t>
      </w:r>
      <w:r w:rsidRPr="00417D3B">
        <w:rPr>
          <w:rFonts w:ascii="Palatino Linotype" w:hAnsi="Palatino Linotype" w:cs="Arial"/>
          <w:color w:val="000000"/>
        </w:rPr>
        <w:t>la</w:t>
      </w:r>
      <w:r w:rsidR="00565F1C" w:rsidRPr="00417D3B">
        <w:rPr>
          <w:rFonts w:ascii="Palatino Linotype" w:hAnsi="Palatino Linotype" w:cs="Arial"/>
          <w:color w:val="000000"/>
        </w:rPr>
        <w:t xml:space="preserve"> siguiente información</w:t>
      </w:r>
      <w:r w:rsidRPr="00417D3B">
        <w:rPr>
          <w:rFonts w:ascii="Palatino Linotype" w:hAnsi="Palatino Linotype" w:cs="Arial"/>
          <w:color w:val="000000"/>
        </w:rPr>
        <w:t xml:space="preserve">: </w:t>
      </w:r>
    </w:p>
    <w:p w14:paraId="5BDC8004" w14:textId="77777777" w:rsidR="003800DB" w:rsidRPr="00417D3B" w:rsidRDefault="003800DB" w:rsidP="003800DB">
      <w:pPr>
        <w:spacing w:line="360" w:lineRule="auto"/>
        <w:contextualSpacing/>
        <w:jc w:val="both"/>
        <w:rPr>
          <w:rFonts w:ascii="Palatino Linotype" w:hAnsi="Palatino Linotype" w:cs="Arial"/>
          <w:color w:val="000000"/>
        </w:rPr>
      </w:pPr>
    </w:p>
    <w:p w14:paraId="31B05F15" w14:textId="643CDCFF" w:rsidR="003800DB" w:rsidRPr="00417D3B" w:rsidRDefault="003800DB" w:rsidP="003800DB">
      <w:pPr>
        <w:numPr>
          <w:ilvl w:val="0"/>
          <w:numId w:val="13"/>
        </w:numPr>
        <w:spacing w:line="360" w:lineRule="auto"/>
        <w:ind w:left="567" w:right="616" w:hanging="141"/>
        <w:jc w:val="both"/>
        <w:rPr>
          <w:rFonts w:ascii="Palatino Linotype" w:hAnsi="Palatino Linotype" w:cs="Tahoma"/>
          <w:b/>
          <w:lang w:val="es-ES" w:eastAsia="es-ES"/>
        </w:rPr>
      </w:pPr>
      <w:r w:rsidRPr="00417D3B">
        <w:rPr>
          <w:rFonts w:ascii="Palatino Linotype" w:hAnsi="Palatino Linotype" w:cs="Tahoma"/>
          <w:b/>
          <w:lang w:val="es-ES" w:eastAsia="es-ES"/>
        </w:rPr>
        <w:t>El o los documentos donde conste la incidencia delictiva, al mayor grado de desagregación posib</w:t>
      </w:r>
      <w:r w:rsidR="00565F1C" w:rsidRPr="00417D3B">
        <w:rPr>
          <w:rFonts w:ascii="Palatino Linotype" w:hAnsi="Palatino Linotype" w:cs="Tahoma"/>
          <w:b/>
          <w:lang w:val="es-ES" w:eastAsia="es-ES"/>
        </w:rPr>
        <w:t>le</w:t>
      </w:r>
      <w:r w:rsidRPr="00417D3B">
        <w:rPr>
          <w:rFonts w:ascii="Palatino Linotype" w:hAnsi="Palatino Linotype"/>
          <w:b/>
          <w:bCs/>
          <w:lang w:val="es-ES" w:eastAsia="es-ES"/>
        </w:rPr>
        <w:t>; y</w:t>
      </w:r>
    </w:p>
    <w:p w14:paraId="563C840A" w14:textId="77777777" w:rsidR="003800DB" w:rsidRPr="00417D3B" w:rsidRDefault="003800DB" w:rsidP="003800DB">
      <w:pPr>
        <w:spacing w:line="360" w:lineRule="auto"/>
        <w:ind w:left="567" w:right="616" w:hanging="141"/>
        <w:jc w:val="both"/>
        <w:rPr>
          <w:rFonts w:ascii="Palatino Linotype" w:hAnsi="Palatino Linotype" w:cs="Tahoma"/>
          <w:b/>
          <w:lang w:eastAsia="es-ES"/>
        </w:rPr>
      </w:pPr>
    </w:p>
    <w:p w14:paraId="17111018" w14:textId="20B0F1DD" w:rsidR="003800DB" w:rsidRPr="00417D3B" w:rsidRDefault="003800DB" w:rsidP="003800DB">
      <w:pPr>
        <w:numPr>
          <w:ilvl w:val="0"/>
          <w:numId w:val="13"/>
        </w:numPr>
        <w:spacing w:line="360" w:lineRule="auto"/>
        <w:ind w:left="567" w:right="616" w:hanging="141"/>
        <w:jc w:val="both"/>
        <w:rPr>
          <w:rFonts w:ascii="Palatino Linotype" w:hAnsi="Palatino Linotype" w:cs="Tahoma"/>
          <w:b/>
          <w:lang w:val="es-ES" w:eastAsia="es-ES"/>
        </w:rPr>
      </w:pPr>
      <w:r w:rsidRPr="00417D3B">
        <w:rPr>
          <w:rFonts w:ascii="Palatino Linotype" w:hAnsi="Palatino Linotype" w:cs="Tahoma"/>
          <w:b/>
          <w:lang w:val="es-ES" w:eastAsia="es-ES"/>
        </w:rPr>
        <w:t>El o los documentos donde conste la incidencia por faltas administrativas, al mayor</w:t>
      </w:r>
      <w:r w:rsidR="00565F1C" w:rsidRPr="00417D3B">
        <w:rPr>
          <w:rFonts w:ascii="Palatino Linotype" w:hAnsi="Palatino Linotype" w:cs="Tahoma"/>
          <w:b/>
          <w:lang w:val="es-ES" w:eastAsia="es-ES"/>
        </w:rPr>
        <w:t xml:space="preserve"> grado de desagregación posible</w:t>
      </w:r>
      <w:r w:rsidRPr="00417D3B">
        <w:rPr>
          <w:rFonts w:ascii="Palatino Linotype" w:hAnsi="Palatino Linotype" w:cs="Tahoma"/>
          <w:b/>
          <w:lang w:val="es-ES" w:eastAsia="es-ES"/>
        </w:rPr>
        <w:t xml:space="preserve">. </w:t>
      </w:r>
    </w:p>
    <w:p w14:paraId="55ED763E" w14:textId="77777777" w:rsidR="003800DB" w:rsidRPr="00417D3B" w:rsidRDefault="003800DB" w:rsidP="003800DB">
      <w:pPr>
        <w:ind w:right="616"/>
        <w:jc w:val="both"/>
        <w:rPr>
          <w:rFonts w:ascii="Palatino Linotype" w:hAnsi="Palatino Linotype" w:cs="Tahoma"/>
          <w:b/>
          <w:lang w:val="es-ES" w:eastAsia="es-ES"/>
        </w:rPr>
      </w:pPr>
    </w:p>
    <w:p w14:paraId="37C60195" w14:textId="42DB7733" w:rsidR="00F17282" w:rsidRPr="00417D3B" w:rsidRDefault="00A413DF" w:rsidP="00A85A28">
      <w:pPr>
        <w:pStyle w:val="Prrafodelista"/>
        <w:spacing w:before="240" w:line="360" w:lineRule="auto"/>
        <w:ind w:left="0"/>
        <w:jc w:val="both"/>
        <w:rPr>
          <w:rFonts w:ascii="Palatino Linotype" w:hAnsi="Palatino Linotype" w:cs="Arial"/>
          <w:b/>
          <w:iCs/>
        </w:rPr>
      </w:pPr>
      <w:r w:rsidRPr="00417D3B">
        <w:rPr>
          <w:rFonts w:ascii="Palatino Linotype" w:hAnsi="Palatino Linotype" w:cs="Arial"/>
          <w:iC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w:t>
      </w:r>
      <w:r w:rsidR="003800DB" w:rsidRPr="00417D3B">
        <w:rPr>
          <w:rFonts w:ascii="Palatino Linotype" w:hAnsi="Palatino Linotype" w:cs="Arial"/>
          <w:iCs/>
        </w:rPr>
        <w:t xml:space="preserve">n y se ponga a disposición del </w:t>
      </w:r>
      <w:r w:rsidR="003800DB" w:rsidRPr="00417D3B">
        <w:rPr>
          <w:rFonts w:ascii="Palatino Linotype" w:hAnsi="Palatino Linotype" w:cs="Arial"/>
          <w:b/>
          <w:iCs/>
        </w:rPr>
        <w:t>RECURRENTE.</w:t>
      </w:r>
    </w:p>
    <w:p w14:paraId="7878B47E" w14:textId="77777777" w:rsidR="003800DB" w:rsidRPr="00417D3B" w:rsidRDefault="003800DB" w:rsidP="00A85A28">
      <w:pPr>
        <w:pStyle w:val="Prrafodelista"/>
        <w:spacing w:before="240" w:line="360" w:lineRule="auto"/>
        <w:ind w:left="0"/>
        <w:jc w:val="both"/>
        <w:rPr>
          <w:rFonts w:ascii="Palatino Linotype" w:hAnsi="Palatino Linotype" w:cs="Arial"/>
          <w:iCs/>
        </w:rPr>
      </w:pPr>
    </w:p>
    <w:p w14:paraId="0A79EC51" w14:textId="349F838A" w:rsidR="003800DB" w:rsidRPr="00417D3B" w:rsidRDefault="003800DB" w:rsidP="003800DB">
      <w:pPr>
        <w:spacing w:line="360" w:lineRule="auto"/>
        <w:jc w:val="both"/>
        <w:rPr>
          <w:rFonts w:ascii="Palatino Linotype" w:hAnsi="Palatino Linotype" w:cs="Tahoma"/>
          <w:lang w:eastAsia="es-ES"/>
        </w:rPr>
      </w:pPr>
      <w:r w:rsidRPr="00417D3B">
        <w:rPr>
          <w:rFonts w:ascii="Palatino Linotype" w:hAnsi="Palatino Linotype" w:cs="Tahoma"/>
          <w:lang w:eastAsia="es-ES"/>
        </w:rPr>
        <w:t xml:space="preserve">En el supuesto que una vez agotada la búsqueda exhaustiva y razonable para el caso de no contar con la información total o parcialmente respecto de la información que se ordena en el </w:t>
      </w:r>
      <w:r w:rsidRPr="00417D3B">
        <w:rPr>
          <w:rFonts w:ascii="Palatino Linotype" w:hAnsi="Palatino Linotype" w:cs="Tahoma"/>
          <w:b/>
          <w:lang w:eastAsia="es-ES"/>
        </w:rPr>
        <w:t>inciso a)</w:t>
      </w:r>
      <w:r w:rsidRPr="00417D3B">
        <w:rPr>
          <w:rFonts w:ascii="Palatino Linotype" w:hAnsi="Palatino Linotype" w:cs="Tahoma"/>
          <w:lang w:eastAsia="es-ES"/>
        </w:rPr>
        <w:t xml:space="preserve"> del presente Resolutivo, deberá de hacer entrega de Acuerdo que emita el Comité de Transparencia por el cual se declare formalmente la inexistencia de la información. </w:t>
      </w:r>
    </w:p>
    <w:p w14:paraId="026B8FE9" w14:textId="77777777" w:rsidR="003800DB" w:rsidRPr="00417D3B" w:rsidRDefault="003800DB" w:rsidP="003800DB">
      <w:pPr>
        <w:spacing w:line="360" w:lineRule="auto"/>
        <w:jc w:val="both"/>
        <w:rPr>
          <w:rFonts w:ascii="Palatino Linotype" w:hAnsi="Palatino Linotype" w:cs="Tahoma"/>
          <w:lang w:eastAsia="es-ES"/>
        </w:rPr>
      </w:pPr>
    </w:p>
    <w:p w14:paraId="41B4C358" w14:textId="4032368D" w:rsidR="00B96F35" w:rsidRPr="00417D3B" w:rsidRDefault="003800DB" w:rsidP="003800DB">
      <w:pPr>
        <w:spacing w:line="360" w:lineRule="auto"/>
        <w:jc w:val="both"/>
        <w:rPr>
          <w:rFonts w:ascii="Palatino Linotype" w:hAnsi="Palatino Linotype" w:cs="Tahoma"/>
          <w:lang w:eastAsia="es-ES"/>
        </w:rPr>
      </w:pPr>
      <w:r w:rsidRPr="00417D3B">
        <w:rPr>
          <w:rFonts w:ascii="Palatino Linotype" w:hAnsi="Palatino Linotype" w:cs="Tahoma"/>
          <w:lang w:eastAsia="es-ES"/>
        </w:rPr>
        <w:t xml:space="preserve">En alusión al </w:t>
      </w:r>
      <w:r w:rsidRPr="00417D3B">
        <w:rPr>
          <w:rFonts w:ascii="Palatino Linotype" w:hAnsi="Palatino Linotype" w:cs="Tahoma"/>
          <w:b/>
          <w:lang w:eastAsia="es-ES"/>
        </w:rPr>
        <w:t>inciso b)</w:t>
      </w:r>
      <w:r w:rsidRPr="00417D3B">
        <w:rPr>
          <w:rFonts w:ascii="Palatino Linotype" w:hAnsi="Palatino Linotype" w:cs="Tahoma"/>
          <w:lang w:eastAsia="es-ES"/>
        </w:rPr>
        <w:t xml:space="preserve"> del presente Resolutivo, una vez realizada la búsqueda exhaustiva y razonable, para el caso de no contar con la información previamente referida, bastará con que el </w:t>
      </w:r>
      <w:r w:rsidRPr="00417D3B">
        <w:rPr>
          <w:rFonts w:ascii="Palatino Linotype" w:hAnsi="Palatino Linotype" w:cs="Tahoma"/>
          <w:b/>
          <w:lang w:eastAsia="es-ES"/>
        </w:rPr>
        <w:t>SUJETO OBLIGADO</w:t>
      </w:r>
      <w:r w:rsidRPr="00417D3B">
        <w:rPr>
          <w:rFonts w:ascii="Palatino Linotype" w:hAnsi="Palatino Linotype" w:cs="Tahoma"/>
          <w:lang w:eastAsia="es-ES"/>
        </w:rPr>
        <w:t xml:space="preserve"> lo haga del conocimiento del </w:t>
      </w:r>
      <w:r w:rsidRPr="00417D3B">
        <w:rPr>
          <w:rFonts w:ascii="Palatino Linotype" w:hAnsi="Palatino Linotype" w:cs="Tahoma"/>
          <w:b/>
          <w:lang w:eastAsia="es-ES"/>
        </w:rPr>
        <w:t>RECURRENTE.</w:t>
      </w:r>
    </w:p>
    <w:p w14:paraId="6895F55B" w14:textId="36946AC7" w:rsidR="00F17282" w:rsidRPr="00417D3B" w:rsidRDefault="00F17282" w:rsidP="00F17282">
      <w:pPr>
        <w:spacing w:line="360" w:lineRule="auto"/>
        <w:jc w:val="both"/>
        <w:rPr>
          <w:rFonts w:ascii="Palatino Linotype" w:eastAsia="MS Mincho" w:hAnsi="Palatino Linotype"/>
          <w:color w:val="000000"/>
        </w:rPr>
      </w:pPr>
      <w:r w:rsidRPr="00417D3B">
        <w:rPr>
          <w:rFonts w:ascii="Palatino Linotype" w:eastAsia="MS Mincho" w:hAnsi="Palatino Linotype"/>
          <w:b/>
          <w:color w:val="000000"/>
        </w:rPr>
        <w:lastRenderedPageBreak/>
        <w:t>TERCERO.</w:t>
      </w:r>
      <w:r w:rsidRPr="00417D3B">
        <w:rPr>
          <w:rFonts w:ascii="Palatino Linotype" w:eastAsia="MS Mincho" w:hAnsi="Palatino Linotype"/>
          <w:color w:val="000000"/>
        </w:rPr>
        <w:t xml:space="preserve"> </w:t>
      </w:r>
      <w:r w:rsidR="003800DB" w:rsidRPr="00417D3B">
        <w:rPr>
          <w:rFonts w:ascii="Palatino Linotype" w:hAnsi="Palatino Linotype" w:cs="Arial"/>
          <w:b/>
          <w:color w:val="000000" w:themeColor="text1"/>
        </w:rPr>
        <w:t>Notifíquese</w:t>
      </w:r>
      <w:r w:rsidR="003800DB" w:rsidRPr="00417D3B">
        <w:rPr>
          <w:rFonts w:ascii="Palatino Linotype" w:hAnsi="Palatino Linotype" w:cs="Arial"/>
          <w:b/>
          <w:bCs/>
          <w:color w:val="000000" w:themeColor="text1"/>
        </w:rPr>
        <w:t xml:space="preserve"> </w:t>
      </w:r>
      <w:r w:rsidR="003800DB" w:rsidRPr="00417D3B">
        <w:rPr>
          <w:rFonts w:ascii="Palatino Linotype" w:hAnsi="Palatino Linotype" w:cs="AppleSystemUIFont"/>
        </w:rPr>
        <w:t xml:space="preserve">a presente resolución al Titular de la Unidad de Transparencia del </w:t>
      </w:r>
      <w:r w:rsidR="003800DB" w:rsidRPr="00417D3B">
        <w:rPr>
          <w:rFonts w:ascii="Palatino Linotype" w:hAnsi="Palatino Linotype" w:cs="AppleSystemUIFont"/>
          <w:b/>
          <w:bCs/>
        </w:rPr>
        <w:t>SUJETO OBLIGADO</w:t>
      </w:r>
      <w:r w:rsidR="003800DB" w:rsidRPr="00417D3B">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3800DB" w:rsidRPr="00417D3B">
        <w:rPr>
          <w:rFonts w:ascii="Palatino Linotype" w:hAnsi="Palatino Linotype" w:cs="AppleSystemUIFont"/>
          <w:b/>
        </w:rPr>
        <w:t>dé cumplimiento a lo ordenado dentro del plazo de diez días hábiles,</w:t>
      </w:r>
      <w:r w:rsidR="003800DB" w:rsidRPr="00417D3B">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78FF68" w14:textId="77777777" w:rsidR="0098370C" w:rsidRPr="00417D3B" w:rsidRDefault="0098370C" w:rsidP="00F17282">
      <w:pPr>
        <w:spacing w:line="360" w:lineRule="auto"/>
        <w:jc w:val="both"/>
        <w:rPr>
          <w:rFonts w:ascii="Palatino Linotype" w:eastAsia="MS Mincho" w:hAnsi="Palatino Linotype"/>
          <w:color w:val="000000"/>
        </w:rPr>
      </w:pPr>
    </w:p>
    <w:p w14:paraId="5BF2A47C" w14:textId="6AA41EF0" w:rsidR="00F17282" w:rsidRPr="00417D3B" w:rsidRDefault="00F17282" w:rsidP="00F17282">
      <w:pPr>
        <w:spacing w:line="360" w:lineRule="auto"/>
        <w:jc w:val="both"/>
        <w:rPr>
          <w:rFonts w:ascii="Palatino Linotype" w:eastAsia="MS Mincho" w:hAnsi="Palatino Linotype"/>
          <w:color w:val="000000"/>
        </w:rPr>
      </w:pPr>
      <w:r w:rsidRPr="00417D3B">
        <w:rPr>
          <w:rFonts w:ascii="Palatino Linotype" w:eastAsia="MS Mincho" w:hAnsi="Palatino Linotype"/>
          <w:b/>
          <w:bCs/>
          <w:color w:val="000000"/>
        </w:rPr>
        <w:t>CUARTO.</w:t>
      </w:r>
      <w:r w:rsidRPr="00417D3B">
        <w:rPr>
          <w:rFonts w:ascii="Palatino Linotype" w:eastAsia="MS Mincho" w:hAnsi="Palatino Linotype"/>
          <w:color w:val="000000"/>
        </w:rPr>
        <w:t xml:space="preserve"> </w:t>
      </w:r>
      <w:r w:rsidR="003800DB" w:rsidRPr="00417D3B">
        <w:rPr>
          <w:rFonts w:ascii="Palatino Linotype" w:hAnsi="Palatino Linotype"/>
          <w:b/>
          <w:bCs/>
          <w:lang w:val="es-ES"/>
        </w:rPr>
        <w:t>Notifíquese al RECURRENTE</w:t>
      </w:r>
      <w:r w:rsidR="003800DB" w:rsidRPr="00417D3B">
        <w:rPr>
          <w:rFonts w:ascii="Palatino Linotype" w:hAnsi="Palatino Linotype"/>
        </w:rPr>
        <w:t xml:space="preserve"> la presente resolución vía </w:t>
      </w:r>
      <w:r w:rsidR="003800DB" w:rsidRPr="00417D3B">
        <w:rPr>
          <w:rFonts w:ascii="Palatino Linotype" w:hAnsi="Palatino Linotype"/>
          <w:b/>
        </w:rPr>
        <w:t>SAIMEX</w:t>
      </w:r>
      <w:r w:rsidR="00765B0C" w:rsidRPr="00417D3B">
        <w:rPr>
          <w:rFonts w:ascii="Palatino Linotype" w:hAnsi="Palatino Linotype"/>
          <w:b/>
        </w:rPr>
        <w:t xml:space="preserve"> y correo electrónico</w:t>
      </w:r>
      <w:r w:rsidR="003800DB" w:rsidRPr="00417D3B">
        <w:rPr>
          <w:rFonts w:ascii="Palatino Linotype" w:hAnsi="Palatino Linotype"/>
          <w:b/>
        </w:rPr>
        <w:t>.</w:t>
      </w:r>
    </w:p>
    <w:p w14:paraId="069D0FA1" w14:textId="77777777" w:rsidR="00F17282" w:rsidRPr="00417D3B" w:rsidRDefault="00F17282" w:rsidP="00F17282">
      <w:pPr>
        <w:spacing w:line="360" w:lineRule="auto"/>
        <w:jc w:val="both"/>
        <w:rPr>
          <w:rFonts w:ascii="Palatino Linotype" w:eastAsia="MS Mincho" w:hAnsi="Palatino Linotype"/>
          <w:color w:val="000000"/>
        </w:rPr>
      </w:pPr>
    </w:p>
    <w:p w14:paraId="526D3A27" w14:textId="10E41BF1" w:rsidR="00F17282" w:rsidRPr="00417D3B" w:rsidRDefault="00F17282" w:rsidP="00F17282">
      <w:pPr>
        <w:spacing w:line="360" w:lineRule="auto"/>
        <w:jc w:val="both"/>
        <w:rPr>
          <w:rFonts w:ascii="Palatino Linotype" w:eastAsia="MS Mincho" w:hAnsi="Palatino Linotype"/>
          <w:color w:val="000000"/>
        </w:rPr>
      </w:pPr>
      <w:r w:rsidRPr="00417D3B">
        <w:rPr>
          <w:rFonts w:ascii="Palatino Linotype" w:eastAsia="MS Mincho" w:hAnsi="Palatino Linotype"/>
          <w:b/>
          <w:color w:val="000000"/>
        </w:rPr>
        <w:t xml:space="preserve">QUINTO. </w:t>
      </w:r>
      <w:r w:rsidR="003800DB" w:rsidRPr="00417D3B">
        <w:rPr>
          <w:rFonts w:ascii="Palatino Linotype" w:eastAsia="MS Mincho" w:hAnsi="Palatino Linotype"/>
          <w:lang w:val="es-ES"/>
        </w:rPr>
        <w:t xml:space="preserve">Se hace del conocimiento del </w:t>
      </w:r>
      <w:r w:rsidR="003800DB" w:rsidRPr="00417D3B">
        <w:rPr>
          <w:rFonts w:ascii="Palatino Linotype" w:hAnsi="Palatino Linotype"/>
          <w:b/>
        </w:rPr>
        <w:t>RECURRENTE</w:t>
      </w:r>
      <w:r w:rsidR="003800DB" w:rsidRPr="00417D3B">
        <w:rPr>
          <w:rFonts w:ascii="Palatino Linotype" w:hAnsi="Palatino Linotype"/>
        </w:rPr>
        <w:t xml:space="preserve"> </w:t>
      </w:r>
      <w:r w:rsidR="003800DB" w:rsidRPr="00417D3B">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003800DB" w:rsidRPr="00417D3B">
        <w:rPr>
          <w:rFonts w:ascii="Palatino Linotype" w:eastAsia="MS Mincho" w:hAnsi="Palatino Linotype"/>
          <w:bCs/>
          <w:lang w:val="es-ES"/>
        </w:rPr>
        <w:t>vía juicio de amparo</w:t>
      </w:r>
      <w:r w:rsidR="003800DB" w:rsidRPr="00417D3B">
        <w:rPr>
          <w:rFonts w:ascii="Palatino Linotype" w:eastAsia="MS Mincho" w:hAnsi="Palatino Linotype"/>
          <w:lang w:val="es-ES"/>
        </w:rPr>
        <w:t xml:space="preserve"> en los términos de las leyes aplicables.</w:t>
      </w:r>
    </w:p>
    <w:p w14:paraId="435CB984" w14:textId="77777777" w:rsidR="00F17282" w:rsidRPr="00417D3B" w:rsidRDefault="00F17282" w:rsidP="00F17282">
      <w:pPr>
        <w:spacing w:line="360" w:lineRule="auto"/>
        <w:jc w:val="both"/>
        <w:rPr>
          <w:rFonts w:ascii="Palatino Linotype" w:hAnsi="Palatino Linotype"/>
          <w:b/>
        </w:rPr>
      </w:pPr>
    </w:p>
    <w:p w14:paraId="5745E481" w14:textId="47275093" w:rsidR="00F17282" w:rsidRPr="00417D3B" w:rsidRDefault="00F17282" w:rsidP="00F17282">
      <w:pPr>
        <w:spacing w:line="360" w:lineRule="auto"/>
        <w:jc w:val="both"/>
        <w:rPr>
          <w:rFonts w:ascii="Palatino Linotype" w:eastAsia="MS Mincho" w:hAnsi="Palatino Linotype"/>
          <w:color w:val="000000"/>
          <w:lang w:val="es-ES"/>
        </w:rPr>
      </w:pPr>
      <w:r w:rsidRPr="00417D3B">
        <w:rPr>
          <w:rFonts w:ascii="Palatino Linotype" w:eastAsia="MS Mincho" w:hAnsi="Palatino Linotype"/>
          <w:b/>
        </w:rPr>
        <w:t>SEXTO</w:t>
      </w:r>
      <w:r w:rsidRPr="00417D3B">
        <w:rPr>
          <w:rFonts w:ascii="Palatino Linotype" w:eastAsia="MS Mincho" w:hAnsi="Palatino Linotype"/>
          <w:b/>
          <w:color w:val="000000"/>
        </w:rPr>
        <w:t xml:space="preserve">. </w:t>
      </w:r>
      <w:bookmarkEnd w:id="25"/>
      <w:r w:rsidR="003800DB" w:rsidRPr="00417D3B">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9C126D9" w14:textId="77777777" w:rsidR="00770ADF" w:rsidRPr="00770ADF" w:rsidRDefault="00770ADF" w:rsidP="00770ADF">
      <w:pPr>
        <w:spacing w:before="240" w:after="240" w:line="360" w:lineRule="auto"/>
        <w:ind w:firstLine="1"/>
        <w:jc w:val="both"/>
        <w:rPr>
          <w:rStyle w:val="Referenciasutil"/>
          <w:rFonts w:ascii="Palatino Linotype" w:hAnsi="Palatino Linotype"/>
          <w:color w:val="auto"/>
        </w:rPr>
      </w:pPr>
      <w:bookmarkStart w:id="26" w:name="_Hlk129792997"/>
      <w:bookmarkEnd w:id="24"/>
      <w:r w:rsidRPr="00417D3B">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w:t>
      </w:r>
      <w:r w:rsidRPr="00770ADF">
        <w:rPr>
          <w:rStyle w:val="Referenciasutil"/>
          <w:rFonts w:ascii="Palatino Linotype" w:hAnsi="Palatino Linotype"/>
          <w:color w:val="auto"/>
        </w:rPr>
        <w:t xml:space="preserve"> </w:t>
      </w:r>
      <w:bookmarkEnd w:id="26"/>
    </w:p>
    <w:p w14:paraId="7EFA4F21" w14:textId="7AD04F7C" w:rsidR="00895335" w:rsidRDefault="00895335">
      <w:pPr>
        <w:rPr>
          <w:rFonts w:ascii="Palatino Linotype" w:hAnsi="Palatino Linotype" w:cs="Arial"/>
          <w:color w:val="000000" w:themeColor="text1"/>
        </w:rPr>
      </w:pPr>
    </w:p>
    <w:p w14:paraId="47FB27CC" w14:textId="77777777" w:rsidR="00770ADF" w:rsidRDefault="00770ADF">
      <w:pPr>
        <w:rPr>
          <w:rFonts w:ascii="Palatino Linotype" w:hAnsi="Palatino Linotype" w:cs="Arial"/>
          <w:color w:val="000000" w:themeColor="text1"/>
        </w:rPr>
      </w:pPr>
    </w:p>
    <w:p w14:paraId="09328C63" w14:textId="77777777" w:rsidR="00770ADF" w:rsidRDefault="00770ADF">
      <w:pPr>
        <w:rPr>
          <w:rFonts w:ascii="Palatino Linotype" w:hAnsi="Palatino Linotype" w:cs="Arial"/>
          <w:color w:val="000000" w:themeColor="text1"/>
        </w:rPr>
      </w:pPr>
    </w:p>
    <w:p w14:paraId="73406C2E" w14:textId="77777777" w:rsidR="00770ADF" w:rsidRDefault="00770ADF">
      <w:pPr>
        <w:rPr>
          <w:rFonts w:ascii="Palatino Linotype" w:hAnsi="Palatino Linotype" w:cs="Arial"/>
          <w:color w:val="000000" w:themeColor="text1"/>
        </w:rPr>
      </w:pPr>
    </w:p>
    <w:p w14:paraId="09832616" w14:textId="77777777" w:rsidR="00770ADF" w:rsidRDefault="00770ADF">
      <w:pPr>
        <w:rPr>
          <w:rFonts w:ascii="Palatino Linotype" w:hAnsi="Palatino Linotype" w:cs="Arial"/>
          <w:color w:val="000000" w:themeColor="text1"/>
        </w:rPr>
      </w:pPr>
    </w:p>
    <w:p w14:paraId="0758D9C3" w14:textId="77777777" w:rsidR="00770ADF" w:rsidRDefault="00770ADF">
      <w:pPr>
        <w:rPr>
          <w:rFonts w:ascii="Palatino Linotype" w:hAnsi="Palatino Linotype" w:cs="Arial"/>
          <w:color w:val="000000" w:themeColor="text1"/>
        </w:rPr>
      </w:pPr>
    </w:p>
    <w:p w14:paraId="76A6B10E" w14:textId="77777777" w:rsidR="00770ADF" w:rsidRDefault="00770ADF">
      <w:pPr>
        <w:rPr>
          <w:rFonts w:ascii="Palatino Linotype" w:hAnsi="Palatino Linotype" w:cs="Arial"/>
          <w:color w:val="000000" w:themeColor="text1"/>
        </w:rPr>
      </w:pPr>
    </w:p>
    <w:p w14:paraId="73E34E29" w14:textId="77777777" w:rsidR="00770ADF" w:rsidRDefault="00770ADF">
      <w:pPr>
        <w:rPr>
          <w:rFonts w:ascii="Palatino Linotype" w:hAnsi="Palatino Linotype" w:cs="Arial"/>
          <w:color w:val="000000" w:themeColor="text1"/>
        </w:rPr>
      </w:pPr>
    </w:p>
    <w:p w14:paraId="723A6045" w14:textId="77777777" w:rsidR="00770ADF" w:rsidRDefault="00770ADF">
      <w:pPr>
        <w:rPr>
          <w:rFonts w:ascii="Palatino Linotype" w:hAnsi="Palatino Linotype" w:cs="Arial"/>
          <w:color w:val="000000" w:themeColor="text1"/>
        </w:rPr>
      </w:pPr>
    </w:p>
    <w:p w14:paraId="448C2E21" w14:textId="77777777" w:rsidR="00770ADF" w:rsidRDefault="00770ADF">
      <w:pPr>
        <w:rPr>
          <w:rFonts w:ascii="Palatino Linotype" w:hAnsi="Palatino Linotype" w:cs="Arial"/>
          <w:color w:val="000000" w:themeColor="text1"/>
        </w:rPr>
      </w:pPr>
    </w:p>
    <w:p w14:paraId="50D27397" w14:textId="77777777" w:rsidR="00770ADF" w:rsidRDefault="00770ADF">
      <w:pPr>
        <w:rPr>
          <w:rFonts w:ascii="Palatino Linotype" w:hAnsi="Palatino Linotype" w:cs="Arial"/>
          <w:color w:val="000000" w:themeColor="text1"/>
        </w:rPr>
      </w:pPr>
    </w:p>
    <w:p w14:paraId="34A94C43" w14:textId="77777777" w:rsidR="00770ADF" w:rsidRDefault="00770ADF">
      <w:pPr>
        <w:rPr>
          <w:rFonts w:ascii="Palatino Linotype" w:hAnsi="Palatino Linotype" w:cs="Arial"/>
          <w:color w:val="000000" w:themeColor="text1"/>
        </w:rPr>
      </w:pPr>
    </w:p>
    <w:p w14:paraId="5DDF6919" w14:textId="77777777" w:rsidR="00770ADF" w:rsidRDefault="00770ADF">
      <w:pPr>
        <w:rPr>
          <w:rFonts w:ascii="Palatino Linotype" w:hAnsi="Palatino Linotype" w:cs="Arial"/>
          <w:color w:val="000000" w:themeColor="text1"/>
        </w:rPr>
      </w:pPr>
    </w:p>
    <w:p w14:paraId="5ECFDE37" w14:textId="77777777" w:rsidR="00770ADF" w:rsidRDefault="00770ADF">
      <w:pPr>
        <w:rPr>
          <w:rFonts w:ascii="Palatino Linotype" w:hAnsi="Palatino Linotype" w:cs="Arial"/>
          <w:color w:val="000000" w:themeColor="text1"/>
        </w:rPr>
      </w:pPr>
    </w:p>
    <w:p w14:paraId="678CC0AA" w14:textId="77777777" w:rsidR="00770ADF" w:rsidRDefault="00770ADF">
      <w:pPr>
        <w:rPr>
          <w:rFonts w:ascii="Palatino Linotype" w:hAnsi="Palatino Linotype" w:cs="Arial"/>
          <w:color w:val="000000" w:themeColor="text1"/>
        </w:rPr>
      </w:pPr>
    </w:p>
    <w:p w14:paraId="1DC82E0D" w14:textId="77777777" w:rsidR="00770ADF" w:rsidRDefault="00770ADF">
      <w:pPr>
        <w:rPr>
          <w:rFonts w:ascii="Palatino Linotype" w:hAnsi="Palatino Linotype" w:cs="Arial"/>
          <w:color w:val="000000" w:themeColor="text1"/>
        </w:rPr>
      </w:pPr>
    </w:p>
    <w:p w14:paraId="239B589B" w14:textId="77777777" w:rsidR="00770ADF" w:rsidRDefault="00770ADF">
      <w:pPr>
        <w:rPr>
          <w:rFonts w:ascii="Palatino Linotype" w:hAnsi="Palatino Linotype" w:cs="Arial"/>
          <w:color w:val="000000" w:themeColor="text1"/>
        </w:rPr>
      </w:pPr>
    </w:p>
    <w:p w14:paraId="19A2E869" w14:textId="77777777" w:rsidR="00770ADF" w:rsidRDefault="00770ADF">
      <w:pPr>
        <w:rPr>
          <w:rFonts w:ascii="Palatino Linotype" w:hAnsi="Palatino Linotype" w:cs="Arial"/>
          <w:color w:val="000000" w:themeColor="text1"/>
        </w:rPr>
      </w:pPr>
    </w:p>
    <w:p w14:paraId="19BABD2B" w14:textId="77777777" w:rsidR="00770ADF" w:rsidRDefault="00770ADF">
      <w:pPr>
        <w:rPr>
          <w:rFonts w:ascii="Palatino Linotype" w:hAnsi="Palatino Linotype" w:cs="Arial"/>
          <w:color w:val="000000" w:themeColor="text1"/>
        </w:rPr>
      </w:pPr>
    </w:p>
    <w:p w14:paraId="2BF7D6DD" w14:textId="77777777" w:rsidR="00770ADF" w:rsidRDefault="00770ADF">
      <w:pPr>
        <w:rPr>
          <w:rFonts w:ascii="Palatino Linotype" w:hAnsi="Palatino Linotype" w:cs="Arial"/>
          <w:color w:val="000000" w:themeColor="text1"/>
        </w:rPr>
      </w:pPr>
    </w:p>
    <w:p w14:paraId="5DFAB79F" w14:textId="77777777" w:rsidR="00770ADF" w:rsidRDefault="00770ADF">
      <w:pPr>
        <w:rPr>
          <w:rFonts w:ascii="Palatino Linotype" w:hAnsi="Palatino Linotype" w:cs="Arial"/>
          <w:color w:val="000000" w:themeColor="text1"/>
        </w:rPr>
      </w:pPr>
    </w:p>
    <w:p w14:paraId="766338B5" w14:textId="77777777" w:rsidR="00770ADF" w:rsidRDefault="00770ADF">
      <w:pPr>
        <w:rPr>
          <w:rFonts w:ascii="Palatino Linotype" w:hAnsi="Palatino Linotype" w:cs="Arial"/>
          <w:color w:val="000000" w:themeColor="text1"/>
        </w:rPr>
      </w:pPr>
    </w:p>
    <w:p w14:paraId="578371D0" w14:textId="77777777" w:rsidR="00770ADF" w:rsidRDefault="00770ADF">
      <w:pPr>
        <w:rPr>
          <w:rFonts w:ascii="Palatino Linotype" w:hAnsi="Palatino Linotype" w:cs="Arial"/>
          <w:color w:val="000000" w:themeColor="text1"/>
        </w:rPr>
      </w:pPr>
    </w:p>
    <w:p w14:paraId="68B20E5A" w14:textId="77777777" w:rsidR="00770ADF" w:rsidRDefault="00770ADF">
      <w:pPr>
        <w:rPr>
          <w:rFonts w:ascii="Palatino Linotype" w:hAnsi="Palatino Linotype" w:cs="Arial"/>
          <w:color w:val="000000" w:themeColor="text1"/>
        </w:rPr>
      </w:pPr>
    </w:p>
    <w:p w14:paraId="11DD9214" w14:textId="77777777" w:rsidR="00770ADF" w:rsidRPr="004015F3" w:rsidRDefault="00770ADF">
      <w:pPr>
        <w:rPr>
          <w:rFonts w:ascii="Palatino Linotype" w:hAnsi="Palatino Linotype" w:cs="Arial"/>
          <w:color w:val="000000" w:themeColor="text1"/>
        </w:rPr>
      </w:pPr>
    </w:p>
    <w:sectPr w:rsidR="00770ADF" w:rsidRPr="004015F3" w:rsidSect="00BE7D66">
      <w:headerReference w:type="default" r:id="rId19"/>
      <w:footerReference w:type="default" r:id="rId20"/>
      <w:headerReference w:type="first" r:id="rId21"/>
      <w:footerReference w:type="first" r:id="rId2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08A5" w14:textId="77777777" w:rsidR="00BE7D66" w:rsidRDefault="00BE7D66" w:rsidP="00587366">
      <w:r>
        <w:separator/>
      </w:r>
    </w:p>
  </w:endnote>
  <w:endnote w:type="continuationSeparator" w:id="0">
    <w:p w14:paraId="7004CF5E" w14:textId="77777777" w:rsidR="00BE7D66" w:rsidRDefault="00BE7D66"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10661408" w:rsidR="004015F3" w:rsidRPr="00883450" w:rsidRDefault="004015F3">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3743BF">
              <w:rPr>
                <w:rFonts w:ascii="Palatino Linotype" w:hAnsi="Palatino Linotype"/>
                <w:b/>
                <w:bCs/>
                <w:noProof/>
                <w:sz w:val="22"/>
                <w:szCs w:val="20"/>
              </w:rPr>
              <w:t>45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3743BF">
              <w:rPr>
                <w:rFonts w:ascii="Palatino Linotype" w:hAnsi="Palatino Linotype"/>
                <w:b/>
                <w:bCs/>
                <w:noProof/>
                <w:sz w:val="22"/>
                <w:szCs w:val="20"/>
              </w:rPr>
              <w:t>45</w:t>
            </w:r>
            <w:r w:rsidRPr="00883450">
              <w:rPr>
                <w:rFonts w:ascii="Palatino Linotype" w:hAnsi="Palatino Linotype"/>
                <w:b/>
                <w:bCs/>
                <w:sz w:val="22"/>
                <w:szCs w:val="20"/>
              </w:rPr>
              <w:fldChar w:fldCharType="end"/>
            </w:r>
          </w:p>
        </w:sdtContent>
      </w:sdt>
    </w:sdtContent>
  </w:sdt>
  <w:p w14:paraId="6243EC1B" w14:textId="47B193F0" w:rsidR="004015F3" w:rsidRDefault="004015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4015F3" w:rsidRPr="00883450" w:rsidRDefault="004015F3"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3743BF" w:rsidRPr="003743BF">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3743BF" w:rsidRPr="003743BF">
      <w:rPr>
        <w:rFonts w:ascii="Palatino Linotype" w:hAnsi="Palatino Linotype"/>
        <w:noProof/>
        <w:sz w:val="22"/>
        <w:szCs w:val="22"/>
        <w:lang w:val="es-ES"/>
      </w:rPr>
      <w:t>45</w:t>
    </w:r>
    <w:r w:rsidRPr="00883450">
      <w:rPr>
        <w:rFonts w:ascii="Palatino Linotype" w:hAnsi="Palatino Linotype"/>
        <w:sz w:val="22"/>
        <w:szCs w:val="22"/>
      </w:rPr>
      <w:fldChar w:fldCharType="end"/>
    </w:r>
  </w:p>
  <w:p w14:paraId="5F5C4865" w14:textId="0A9A2B26" w:rsidR="004015F3" w:rsidRPr="00883450" w:rsidRDefault="004015F3">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EAEE" w14:textId="77777777" w:rsidR="00BE7D66" w:rsidRDefault="00BE7D66" w:rsidP="00587366">
      <w:r>
        <w:separator/>
      </w:r>
    </w:p>
  </w:footnote>
  <w:footnote w:type="continuationSeparator" w:id="0">
    <w:p w14:paraId="3B974F44" w14:textId="77777777" w:rsidR="00BE7D66" w:rsidRDefault="00BE7D66" w:rsidP="00587366">
      <w:r>
        <w:continuationSeparator/>
      </w:r>
    </w:p>
  </w:footnote>
  <w:footnote w:id="1">
    <w:p w14:paraId="3EC297E2" w14:textId="77777777" w:rsidR="004015F3" w:rsidRPr="009C43C2" w:rsidRDefault="004015F3"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2">
    <w:p w14:paraId="4A49950A" w14:textId="77777777" w:rsidR="004015F3" w:rsidRPr="009C43C2" w:rsidRDefault="004015F3"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3">
    <w:p w14:paraId="03E7759B" w14:textId="77777777" w:rsidR="004015F3" w:rsidRPr="009C43C2" w:rsidRDefault="004015F3"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61976E09" w14:textId="77777777" w:rsidR="004015F3" w:rsidRDefault="004015F3" w:rsidP="00457FBC">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5">
    <w:p w14:paraId="48CDEFE7" w14:textId="77777777" w:rsidR="004015F3" w:rsidRDefault="004015F3" w:rsidP="00164E0E">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375" w:type="dxa"/>
      <w:tblInd w:w="2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3548"/>
      <w:gridCol w:w="425"/>
    </w:tblGrid>
    <w:tr w:rsidR="004015F3" w:rsidRPr="00025127" w14:paraId="7630868E" w14:textId="77777777" w:rsidTr="004015F3">
      <w:trPr>
        <w:gridAfter w:val="1"/>
        <w:wAfter w:w="425" w:type="dxa"/>
        <w:trHeight w:val="138"/>
      </w:trPr>
      <w:tc>
        <w:tcPr>
          <w:tcW w:w="2977" w:type="dxa"/>
          <w:vAlign w:val="center"/>
        </w:tcPr>
        <w:p w14:paraId="5B5022C4" w14:textId="77777777" w:rsidR="004015F3" w:rsidRPr="006458C0" w:rsidRDefault="004015F3" w:rsidP="004015F3">
          <w:pPr>
            <w:ind w:right="34"/>
            <w:rPr>
              <w:rFonts w:ascii="Palatino Linotype" w:hAnsi="Palatino Linotype"/>
              <w:b/>
              <w:sz w:val="20"/>
              <w:szCs w:val="22"/>
            </w:rPr>
          </w:pPr>
        </w:p>
      </w:tc>
      <w:tc>
        <w:tcPr>
          <w:tcW w:w="3973" w:type="dxa"/>
          <w:gridSpan w:val="2"/>
          <w:vAlign w:val="center"/>
        </w:tcPr>
        <w:p w14:paraId="2C528E79" w14:textId="77777777" w:rsidR="004015F3" w:rsidRDefault="004015F3" w:rsidP="005F1362">
          <w:pPr>
            <w:pStyle w:val="Encabezado"/>
            <w:jc w:val="both"/>
            <w:rPr>
              <w:rFonts w:ascii="Palatino Linotype" w:hAnsi="Palatino Linotype"/>
              <w:b/>
              <w:sz w:val="20"/>
              <w:szCs w:val="22"/>
            </w:rPr>
          </w:pPr>
        </w:p>
      </w:tc>
    </w:tr>
    <w:tr w:rsidR="004015F3" w:rsidRPr="00025127" w14:paraId="07F2896E" w14:textId="77777777" w:rsidTr="004015F3">
      <w:trPr>
        <w:trHeight w:val="138"/>
      </w:trPr>
      <w:tc>
        <w:tcPr>
          <w:tcW w:w="3402" w:type="dxa"/>
          <w:gridSpan w:val="2"/>
          <w:vAlign w:val="center"/>
        </w:tcPr>
        <w:p w14:paraId="4A5B1974" w14:textId="7F56D8C6" w:rsidR="004015F3" w:rsidRPr="004015F3" w:rsidRDefault="004015F3" w:rsidP="006458C0">
          <w:pPr>
            <w:ind w:right="34"/>
            <w:jc w:val="center"/>
            <w:rPr>
              <w:rFonts w:ascii="Palatino Linotype" w:hAnsi="Palatino Linotype"/>
              <w:b/>
              <w:sz w:val="22"/>
              <w:szCs w:val="22"/>
            </w:rPr>
          </w:pPr>
          <w:r w:rsidRPr="004015F3">
            <w:rPr>
              <w:rFonts w:ascii="Palatino Linotype" w:hAnsi="Palatino Linotype"/>
              <w:b/>
              <w:sz w:val="22"/>
              <w:szCs w:val="22"/>
            </w:rPr>
            <w:t>RECURSO DE REVISIÓN:</w:t>
          </w:r>
        </w:p>
      </w:tc>
      <w:tc>
        <w:tcPr>
          <w:tcW w:w="3973" w:type="dxa"/>
          <w:gridSpan w:val="2"/>
          <w:vAlign w:val="center"/>
        </w:tcPr>
        <w:p w14:paraId="3A05B4B6" w14:textId="7C54DFD0" w:rsidR="004015F3" w:rsidRPr="004015F3" w:rsidRDefault="004015F3" w:rsidP="004015F3">
          <w:pPr>
            <w:pStyle w:val="Encabezado"/>
            <w:tabs>
              <w:tab w:val="clear" w:pos="4252"/>
            </w:tabs>
            <w:jc w:val="both"/>
            <w:rPr>
              <w:rFonts w:ascii="Palatino Linotype" w:hAnsi="Palatino Linotype"/>
              <w:sz w:val="22"/>
              <w:szCs w:val="22"/>
            </w:rPr>
          </w:pPr>
          <w:r w:rsidRPr="004015F3">
            <w:rPr>
              <w:rFonts w:ascii="Palatino Linotype" w:hAnsi="Palatino Linotype"/>
              <w:sz w:val="22"/>
              <w:szCs w:val="22"/>
            </w:rPr>
            <w:t>11448/INFOEM/IP/RR/2022</w:t>
          </w:r>
        </w:p>
      </w:tc>
    </w:tr>
    <w:tr w:rsidR="004015F3" w:rsidRPr="00025127" w14:paraId="1B5D8690" w14:textId="77777777" w:rsidTr="004015F3">
      <w:trPr>
        <w:trHeight w:val="233"/>
      </w:trPr>
      <w:tc>
        <w:tcPr>
          <w:tcW w:w="3402" w:type="dxa"/>
          <w:gridSpan w:val="2"/>
          <w:vAlign w:val="center"/>
        </w:tcPr>
        <w:p w14:paraId="3903F2C6" w14:textId="22D569F8" w:rsidR="004015F3" w:rsidRPr="004015F3" w:rsidRDefault="004015F3" w:rsidP="006458C0">
          <w:pPr>
            <w:ind w:right="34"/>
            <w:jc w:val="right"/>
            <w:rPr>
              <w:rFonts w:ascii="Palatino Linotype" w:hAnsi="Palatino Linotype"/>
              <w:b/>
              <w:sz w:val="22"/>
              <w:szCs w:val="22"/>
            </w:rPr>
          </w:pPr>
          <w:r w:rsidRPr="004015F3">
            <w:rPr>
              <w:rFonts w:ascii="Palatino Linotype" w:hAnsi="Palatino Linotype"/>
              <w:b/>
              <w:sz w:val="22"/>
              <w:szCs w:val="22"/>
            </w:rPr>
            <w:t>SUJETO OBLIGADO:</w:t>
          </w:r>
        </w:p>
      </w:tc>
      <w:tc>
        <w:tcPr>
          <w:tcW w:w="3973" w:type="dxa"/>
          <w:gridSpan w:val="2"/>
          <w:vAlign w:val="center"/>
        </w:tcPr>
        <w:p w14:paraId="03C799A2" w14:textId="2D54630D" w:rsidR="004015F3" w:rsidRPr="004015F3" w:rsidRDefault="004015F3" w:rsidP="004015F3">
          <w:pPr>
            <w:pStyle w:val="Encabezado"/>
            <w:tabs>
              <w:tab w:val="clear" w:pos="4252"/>
            </w:tabs>
            <w:rPr>
              <w:rFonts w:ascii="Palatino Linotype" w:hAnsi="Palatino Linotype"/>
              <w:sz w:val="22"/>
              <w:szCs w:val="22"/>
            </w:rPr>
          </w:pPr>
          <w:r w:rsidRPr="004015F3">
            <w:rPr>
              <w:rFonts w:ascii="Palatino Linotype" w:hAnsi="Palatino Linotype"/>
              <w:bCs/>
              <w:color w:val="000000"/>
              <w:sz w:val="22"/>
              <w:szCs w:val="22"/>
            </w:rPr>
            <w:t>Ayuntamiento de Tianguistenco</w:t>
          </w:r>
        </w:p>
      </w:tc>
    </w:tr>
    <w:tr w:rsidR="004015F3" w:rsidRPr="00025127" w14:paraId="095EB01B" w14:textId="77777777" w:rsidTr="004015F3">
      <w:trPr>
        <w:trHeight w:val="321"/>
      </w:trPr>
      <w:tc>
        <w:tcPr>
          <w:tcW w:w="3402" w:type="dxa"/>
          <w:gridSpan w:val="2"/>
          <w:vAlign w:val="center"/>
        </w:tcPr>
        <w:p w14:paraId="6E000A51" w14:textId="11432CC6" w:rsidR="004015F3" w:rsidRPr="004015F3" w:rsidRDefault="004015F3" w:rsidP="006458C0">
          <w:pPr>
            <w:ind w:right="34"/>
            <w:jc w:val="right"/>
            <w:rPr>
              <w:rFonts w:ascii="Palatino Linotype" w:hAnsi="Palatino Linotype"/>
              <w:b/>
              <w:sz w:val="22"/>
              <w:szCs w:val="22"/>
            </w:rPr>
          </w:pPr>
          <w:r w:rsidRPr="004015F3">
            <w:rPr>
              <w:rFonts w:ascii="Palatino Linotype" w:hAnsi="Palatino Linotype"/>
              <w:b/>
              <w:sz w:val="22"/>
              <w:szCs w:val="22"/>
            </w:rPr>
            <w:t>COMISIONADA PONENTE:</w:t>
          </w:r>
        </w:p>
      </w:tc>
      <w:tc>
        <w:tcPr>
          <w:tcW w:w="3973" w:type="dxa"/>
          <w:gridSpan w:val="2"/>
          <w:vAlign w:val="center"/>
        </w:tcPr>
        <w:p w14:paraId="07560085" w14:textId="64DC8836" w:rsidR="004015F3" w:rsidRPr="004015F3" w:rsidRDefault="004015F3" w:rsidP="004015F3">
          <w:pPr>
            <w:pStyle w:val="Encabezado"/>
            <w:tabs>
              <w:tab w:val="clear" w:pos="4252"/>
            </w:tabs>
            <w:rPr>
              <w:rFonts w:ascii="Palatino Linotype" w:hAnsi="Palatino Linotype"/>
              <w:sz w:val="22"/>
              <w:szCs w:val="22"/>
            </w:rPr>
          </w:pPr>
          <w:r w:rsidRPr="004015F3">
            <w:rPr>
              <w:rFonts w:ascii="Palatino Linotype" w:hAnsi="Palatino Linotype"/>
              <w:sz w:val="22"/>
              <w:szCs w:val="22"/>
            </w:rPr>
            <w:t>María del Rosario Mejía Ayala</w:t>
          </w:r>
        </w:p>
      </w:tc>
    </w:tr>
  </w:tbl>
  <w:p w14:paraId="1096C1B8" w14:textId="1B4064AC" w:rsidR="004015F3" w:rsidRDefault="004015F3" w:rsidP="00472C41">
    <w:pPr>
      <w:pStyle w:val="Encabezado"/>
    </w:pPr>
    <w:r>
      <w:rPr>
        <w:noProof/>
      </w:rPr>
      <w:drawing>
        <wp:anchor distT="0" distB="0" distL="114300" distR="114300" simplePos="0" relativeHeight="251657216" behindDoc="1" locked="0" layoutInCell="0" allowOverlap="1" wp14:anchorId="1A29E15A" wp14:editId="444E9F88">
          <wp:simplePos x="0" y="0"/>
          <wp:positionH relativeFrom="page">
            <wp:posOffset>12700</wp:posOffset>
          </wp:positionH>
          <wp:positionV relativeFrom="page">
            <wp:posOffset>19524</wp:posOffset>
          </wp:positionV>
          <wp:extent cx="7695210" cy="10020839"/>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093" w:type="dxa"/>
      <w:tblInd w:w="2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3696"/>
    </w:tblGrid>
    <w:tr w:rsidR="004015F3" w:rsidRPr="006458C0" w14:paraId="0A3256F2" w14:textId="77777777" w:rsidTr="004015F3">
      <w:trPr>
        <w:trHeight w:val="138"/>
      </w:trPr>
      <w:tc>
        <w:tcPr>
          <w:tcW w:w="3397" w:type="dxa"/>
          <w:vAlign w:val="center"/>
        </w:tcPr>
        <w:p w14:paraId="3D80769D" w14:textId="5060398B" w:rsidR="004015F3" w:rsidRPr="004015F3" w:rsidRDefault="004015F3" w:rsidP="006458C0">
          <w:pPr>
            <w:jc w:val="right"/>
            <w:rPr>
              <w:rFonts w:ascii="Palatino Linotype" w:hAnsi="Palatino Linotype"/>
              <w:b/>
              <w:sz w:val="22"/>
              <w:szCs w:val="22"/>
            </w:rPr>
          </w:pPr>
          <w:r w:rsidRPr="004015F3">
            <w:rPr>
              <w:rFonts w:ascii="Palatino Linotype" w:hAnsi="Palatino Linotype"/>
              <w:b/>
              <w:sz w:val="22"/>
              <w:szCs w:val="22"/>
            </w:rPr>
            <w:t>RECURSO DE REVISIÓN:</w:t>
          </w:r>
        </w:p>
      </w:tc>
      <w:tc>
        <w:tcPr>
          <w:tcW w:w="3696" w:type="dxa"/>
          <w:vAlign w:val="center"/>
        </w:tcPr>
        <w:p w14:paraId="0453495E" w14:textId="3DDDF8D0" w:rsidR="004015F3" w:rsidRPr="004015F3" w:rsidRDefault="004015F3" w:rsidP="004015F3">
          <w:pPr>
            <w:pStyle w:val="Encabezado"/>
            <w:jc w:val="both"/>
            <w:rPr>
              <w:rFonts w:ascii="Palatino Linotype" w:hAnsi="Palatino Linotype"/>
              <w:sz w:val="22"/>
              <w:szCs w:val="22"/>
            </w:rPr>
          </w:pPr>
          <w:r w:rsidRPr="004015F3">
            <w:rPr>
              <w:rFonts w:ascii="Palatino Linotype" w:hAnsi="Palatino Linotype"/>
              <w:sz w:val="22"/>
              <w:szCs w:val="22"/>
            </w:rPr>
            <w:t>11448/INFOEM/IP/RR/2022</w:t>
          </w:r>
        </w:p>
      </w:tc>
    </w:tr>
    <w:tr w:rsidR="004015F3" w:rsidRPr="006458C0" w14:paraId="128C8B3C" w14:textId="77777777" w:rsidTr="004015F3">
      <w:trPr>
        <w:trHeight w:val="233"/>
      </w:trPr>
      <w:tc>
        <w:tcPr>
          <w:tcW w:w="3397" w:type="dxa"/>
          <w:vAlign w:val="center"/>
        </w:tcPr>
        <w:p w14:paraId="483E3371" w14:textId="66B1BC74" w:rsidR="004015F3" w:rsidRPr="004015F3" w:rsidRDefault="004015F3" w:rsidP="00472C41">
          <w:pPr>
            <w:jc w:val="right"/>
            <w:rPr>
              <w:rFonts w:ascii="Palatino Linotype" w:hAnsi="Palatino Linotype"/>
              <w:b/>
              <w:sz w:val="22"/>
              <w:szCs w:val="22"/>
            </w:rPr>
          </w:pPr>
          <w:r w:rsidRPr="004015F3">
            <w:rPr>
              <w:rFonts w:ascii="Palatino Linotype" w:hAnsi="Palatino Linotype"/>
              <w:b/>
              <w:sz w:val="22"/>
              <w:szCs w:val="22"/>
            </w:rPr>
            <w:t>RECURRENTE:</w:t>
          </w:r>
        </w:p>
      </w:tc>
      <w:tc>
        <w:tcPr>
          <w:tcW w:w="3696" w:type="dxa"/>
        </w:tcPr>
        <w:p w14:paraId="1548525E" w14:textId="5DDC7C20" w:rsidR="004015F3" w:rsidRPr="004015F3" w:rsidRDefault="006100B0" w:rsidP="004015F3">
          <w:pPr>
            <w:pStyle w:val="Encabezado"/>
            <w:jc w:val="both"/>
            <w:rPr>
              <w:rFonts w:ascii="Palatino Linotype" w:hAnsi="Palatino Linotype"/>
              <w:sz w:val="22"/>
              <w:szCs w:val="22"/>
            </w:rPr>
          </w:pPr>
          <w:r>
            <w:rPr>
              <w:rFonts w:ascii="Palatino Linotype" w:hAnsi="Palatino Linotype"/>
              <w:sz w:val="22"/>
              <w:szCs w:val="22"/>
            </w:rPr>
            <w:t>XXX XXX</w:t>
          </w:r>
        </w:p>
      </w:tc>
    </w:tr>
    <w:tr w:rsidR="004015F3" w:rsidRPr="006458C0" w14:paraId="41BE0704" w14:textId="77777777" w:rsidTr="004015F3">
      <w:trPr>
        <w:trHeight w:val="321"/>
      </w:trPr>
      <w:tc>
        <w:tcPr>
          <w:tcW w:w="3397" w:type="dxa"/>
          <w:vAlign w:val="center"/>
        </w:tcPr>
        <w:p w14:paraId="34C64148" w14:textId="10C6C8A9" w:rsidR="004015F3" w:rsidRPr="004015F3" w:rsidRDefault="004015F3" w:rsidP="005F1362">
          <w:pPr>
            <w:jc w:val="right"/>
            <w:rPr>
              <w:rFonts w:ascii="Palatino Linotype" w:hAnsi="Palatino Linotype"/>
              <w:b/>
              <w:sz w:val="22"/>
              <w:szCs w:val="22"/>
            </w:rPr>
          </w:pPr>
          <w:r w:rsidRPr="004015F3">
            <w:rPr>
              <w:rFonts w:ascii="Palatino Linotype" w:hAnsi="Palatino Linotype"/>
              <w:b/>
              <w:sz w:val="22"/>
              <w:szCs w:val="22"/>
            </w:rPr>
            <w:t>SUJETO OBLIGADO:</w:t>
          </w:r>
        </w:p>
      </w:tc>
      <w:tc>
        <w:tcPr>
          <w:tcW w:w="3696" w:type="dxa"/>
          <w:vAlign w:val="center"/>
        </w:tcPr>
        <w:p w14:paraId="34C341BF" w14:textId="6AA3E423" w:rsidR="004015F3" w:rsidRPr="004015F3" w:rsidRDefault="004015F3" w:rsidP="004015F3">
          <w:pPr>
            <w:pStyle w:val="Encabezado"/>
            <w:jc w:val="both"/>
            <w:rPr>
              <w:rFonts w:ascii="Palatino Linotype" w:hAnsi="Palatino Linotype"/>
              <w:sz w:val="22"/>
              <w:szCs w:val="22"/>
            </w:rPr>
          </w:pPr>
          <w:r w:rsidRPr="004015F3">
            <w:rPr>
              <w:rFonts w:ascii="Palatino Linotype" w:hAnsi="Palatino Linotype"/>
              <w:bCs/>
              <w:color w:val="000000"/>
              <w:sz w:val="22"/>
              <w:szCs w:val="22"/>
            </w:rPr>
            <w:t>Ayuntamiento de Tianguistenco</w:t>
          </w:r>
        </w:p>
      </w:tc>
    </w:tr>
    <w:tr w:rsidR="004015F3" w:rsidRPr="006458C0" w14:paraId="0C8B6193" w14:textId="77777777" w:rsidTr="004015F3">
      <w:trPr>
        <w:trHeight w:val="321"/>
      </w:trPr>
      <w:tc>
        <w:tcPr>
          <w:tcW w:w="3397" w:type="dxa"/>
          <w:vAlign w:val="center"/>
        </w:tcPr>
        <w:p w14:paraId="321FFAFF" w14:textId="0E8C2CE7" w:rsidR="004015F3" w:rsidRPr="004015F3" w:rsidRDefault="004015F3" w:rsidP="00472C41">
          <w:pPr>
            <w:jc w:val="right"/>
            <w:rPr>
              <w:rFonts w:ascii="Palatino Linotype" w:hAnsi="Palatino Linotype"/>
              <w:b/>
              <w:sz w:val="22"/>
              <w:szCs w:val="22"/>
            </w:rPr>
          </w:pPr>
          <w:r w:rsidRPr="004015F3">
            <w:rPr>
              <w:rFonts w:ascii="Palatino Linotype" w:hAnsi="Palatino Linotype"/>
              <w:b/>
              <w:sz w:val="22"/>
              <w:szCs w:val="22"/>
            </w:rPr>
            <w:t>COMISIONADA PONENTE:</w:t>
          </w:r>
        </w:p>
      </w:tc>
      <w:tc>
        <w:tcPr>
          <w:tcW w:w="3696" w:type="dxa"/>
          <w:vAlign w:val="center"/>
        </w:tcPr>
        <w:p w14:paraId="0FECDA9D" w14:textId="6D336FD0" w:rsidR="004015F3" w:rsidRPr="004015F3" w:rsidRDefault="004015F3" w:rsidP="004015F3">
          <w:pPr>
            <w:pStyle w:val="Encabezado"/>
            <w:ind w:left="33"/>
            <w:jc w:val="both"/>
            <w:rPr>
              <w:rFonts w:ascii="Palatino Linotype" w:hAnsi="Palatino Linotype"/>
              <w:sz w:val="22"/>
              <w:szCs w:val="22"/>
            </w:rPr>
          </w:pPr>
          <w:r w:rsidRPr="004015F3">
            <w:rPr>
              <w:rFonts w:ascii="Palatino Linotype" w:hAnsi="Palatino Linotype"/>
              <w:sz w:val="22"/>
              <w:szCs w:val="22"/>
            </w:rPr>
            <w:t>María del Rosario Mejía Ayala</w:t>
          </w:r>
        </w:p>
      </w:tc>
    </w:tr>
  </w:tbl>
  <w:p w14:paraId="156B5574" w14:textId="0743D31D" w:rsidR="004015F3" w:rsidRDefault="00000000" w:rsidP="00472C41">
    <w:pPr>
      <w:pStyle w:val="Encabezado"/>
      <w:tabs>
        <w:tab w:val="clear" w:pos="4252"/>
        <w:tab w:val="clear" w:pos="8504"/>
        <w:tab w:val="left" w:pos="3103"/>
      </w:tabs>
    </w:pPr>
    <w:r>
      <w:rPr>
        <w:noProof/>
      </w:rPr>
      <w:pict w14:anchorId="7BD1C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4pt;margin-top:-123.7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156D4D"/>
    <w:multiLevelType w:val="hybridMultilevel"/>
    <w:tmpl w:val="EEE201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D247FD"/>
    <w:multiLevelType w:val="hybridMultilevel"/>
    <w:tmpl w:val="F74EF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F86730"/>
    <w:multiLevelType w:val="multilevel"/>
    <w:tmpl w:val="F2D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17490"/>
    <w:multiLevelType w:val="hybridMultilevel"/>
    <w:tmpl w:val="BC66450E"/>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C67630"/>
    <w:multiLevelType w:val="multilevel"/>
    <w:tmpl w:val="CAE2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93C0F"/>
    <w:multiLevelType w:val="hybridMultilevel"/>
    <w:tmpl w:val="47B67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E80BB4"/>
    <w:multiLevelType w:val="hybridMultilevel"/>
    <w:tmpl w:val="AA4CB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BA7554"/>
    <w:multiLevelType w:val="hybridMultilevel"/>
    <w:tmpl w:val="B1A8E9F4"/>
    <w:lvl w:ilvl="0" w:tplc="080A0017">
      <w:start w:val="1"/>
      <w:numFmt w:val="lowerLetter"/>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abstractNum w:abstractNumId="11" w15:restartNumberingAfterBreak="0">
    <w:nsid w:val="6BE924F8"/>
    <w:multiLevelType w:val="hybridMultilevel"/>
    <w:tmpl w:val="E430BF0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6DF05C39"/>
    <w:multiLevelType w:val="hybridMultilevel"/>
    <w:tmpl w:val="6E0C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0136A0"/>
    <w:multiLevelType w:val="hybridMultilevel"/>
    <w:tmpl w:val="9066048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2107D"/>
    <w:multiLevelType w:val="hybridMultilevel"/>
    <w:tmpl w:val="89420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3A2044"/>
    <w:multiLevelType w:val="hybridMultilevel"/>
    <w:tmpl w:val="1CBCC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026131563">
    <w:abstractNumId w:val="6"/>
  </w:num>
  <w:num w:numId="2" w16cid:durableId="2016152503">
    <w:abstractNumId w:val="0"/>
  </w:num>
  <w:num w:numId="3" w16cid:durableId="340592233">
    <w:abstractNumId w:val="3"/>
  </w:num>
  <w:num w:numId="4" w16cid:durableId="305865080">
    <w:abstractNumId w:val="16"/>
  </w:num>
  <w:num w:numId="5" w16cid:durableId="1026952536">
    <w:abstractNumId w:val="9"/>
  </w:num>
  <w:num w:numId="6" w16cid:durableId="1779520197">
    <w:abstractNumId w:val="1"/>
  </w:num>
  <w:num w:numId="7" w16cid:durableId="1008094686">
    <w:abstractNumId w:val="10"/>
  </w:num>
  <w:num w:numId="8" w16cid:durableId="7757217">
    <w:abstractNumId w:val="5"/>
  </w:num>
  <w:num w:numId="9" w16cid:durableId="1999265489">
    <w:abstractNumId w:val="2"/>
  </w:num>
  <w:num w:numId="10" w16cid:durableId="186913877">
    <w:abstractNumId w:val="4"/>
  </w:num>
  <w:num w:numId="11" w16cid:durableId="1393695156">
    <w:abstractNumId w:val="8"/>
  </w:num>
  <w:num w:numId="12" w16cid:durableId="711347393">
    <w:abstractNumId w:val="14"/>
  </w:num>
  <w:num w:numId="13" w16cid:durableId="505052117">
    <w:abstractNumId w:val="15"/>
  </w:num>
  <w:num w:numId="14" w16cid:durableId="483400052">
    <w:abstractNumId w:val="7"/>
  </w:num>
  <w:num w:numId="15" w16cid:durableId="858273830">
    <w:abstractNumId w:val="12"/>
  </w:num>
  <w:num w:numId="16" w16cid:durableId="1313605384">
    <w:abstractNumId w:val="13"/>
  </w:num>
  <w:num w:numId="17" w16cid:durableId="49696289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797D"/>
    <w:rsid w:val="00007E8A"/>
    <w:rsid w:val="000100D7"/>
    <w:rsid w:val="000108D8"/>
    <w:rsid w:val="0001106B"/>
    <w:rsid w:val="000117A3"/>
    <w:rsid w:val="00012472"/>
    <w:rsid w:val="000125A8"/>
    <w:rsid w:val="00013025"/>
    <w:rsid w:val="0001398B"/>
    <w:rsid w:val="000203D3"/>
    <w:rsid w:val="000204A6"/>
    <w:rsid w:val="000211F8"/>
    <w:rsid w:val="0002146F"/>
    <w:rsid w:val="00021913"/>
    <w:rsid w:val="00022D89"/>
    <w:rsid w:val="000236A3"/>
    <w:rsid w:val="00024F35"/>
    <w:rsid w:val="00025127"/>
    <w:rsid w:val="00025266"/>
    <w:rsid w:val="0003063D"/>
    <w:rsid w:val="00030D9E"/>
    <w:rsid w:val="00031D37"/>
    <w:rsid w:val="00031F10"/>
    <w:rsid w:val="00031F98"/>
    <w:rsid w:val="00032493"/>
    <w:rsid w:val="00032E4B"/>
    <w:rsid w:val="00033B7D"/>
    <w:rsid w:val="00036385"/>
    <w:rsid w:val="0004072A"/>
    <w:rsid w:val="0004193F"/>
    <w:rsid w:val="00042380"/>
    <w:rsid w:val="000427D6"/>
    <w:rsid w:val="00044DB9"/>
    <w:rsid w:val="0004606D"/>
    <w:rsid w:val="0004686A"/>
    <w:rsid w:val="000468E2"/>
    <w:rsid w:val="00046CEE"/>
    <w:rsid w:val="000478BA"/>
    <w:rsid w:val="00050575"/>
    <w:rsid w:val="0005237C"/>
    <w:rsid w:val="00052A3C"/>
    <w:rsid w:val="0005437D"/>
    <w:rsid w:val="00054A03"/>
    <w:rsid w:val="00056A79"/>
    <w:rsid w:val="0005777B"/>
    <w:rsid w:val="00061344"/>
    <w:rsid w:val="000622ED"/>
    <w:rsid w:val="0006247F"/>
    <w:rsid w:val="00062648"/>
    <w:rsid w:val="000631D9"/>
    <w:rsid w:val="0006381D"/>
    <w:rsid w:val="00063D06"/>
    <w:rsid w:val="0006407E"/>
    <w:rsid w:val="00064577"/>
    <w:rsid w:val="00064A37"/>
    <w:rsid w:val="00064B95"/>
    <w:rsid w:val="00065FD9"/>
    <w:rsid w:val="00067281"/>
    <w:rsid w:val="0007221E"/>
    <w:rsid w:val="000730B2"/>
    <w:rsid w:val="00074573"/>
    <w:rsid w:val="00074FDC"/>
    <w:rsid w:val="000800AC"/>
    <w:rsid w:val="00082044"/>
    <w:rsid w:val="0008230A"/>
    <w:rsid w:val="00082D11"/>
    <w:rsid w:val="00082E28"/>
    <w:rsid w:val="0008314B"/>
    <w:rsid w:val="000834FE"/>
    <w:rsid w:val="0008465D"/>
    <w:rsid w:val="00084E31"/>
    <w:rsid w:val="0008542A"/>
    <w:rsid w:val="00085E22"/>
    <w:rsid w:val="00090D6F"/>
    <w:rsid w:val="00091C2C"/>
    <w:rsid w:val="00092565"/>
    <w:rsid w:val="00093FC7"/>
    <w:rsid w:val="000953E2"/>
    <w:rsid w:val="00095BB9"/>
    <w:rsid w:val="000966BA"/>
    <w:rsid w:val="000A26B8"/>
    <w:rsid w:val="000A3B12"/>
    <w:rsid w:val="000A3F90"/>
    <w:rsid w:val="000A4554"/>
    <w:rsid w:val="000A45FD"/>
    <w:rsid w:val="000A4E44"/>
    <w:rsid w:val="000A556A"/>
    <w:rsid w:val="000A675D"/>
    <w:rsid w:val="000A71B6"/>
    <w:rsid w:val="000A77ED"/>
    <w:rsid w:val="000B0370"/>
    <w:rsid w:val="000B5036"/>
    <w:rsid w:val="000B5AB1"/>
    <w:rsid w:val="000B5D79"/>
    <w:rsid w:val="000B6D31"/>
    <w:rsid w:val="000B7C4F"/>
    <w:rsid w:val="000C0061"/>
    <w:rsid w:val="000C0663"/>
    <w:rsid w:val="000C0BBB"/>
    <w:rsid w:val="000C10B9"/>
    <w:rsid w:val="000C1D19"/>
    <w:rsid w:val="000C2E5F"/>
    <w:rsid w:val="000C3423"/>
    <w:rsid w:val="000C3861"/>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0F9E"/>
    <w:rsid w:val="000E1389"/>
    <w:rsid w:val="000E2665"/>
    <w:rsid w:val="000E2A46"/>
    <w:rsid w:val="000E44C3"/>
    <w:rsid w:val="000E5176"/>
    <w:rsid w:val="000E67FC"/>
    <w:rsid w:val="000E77B8"/>
    <w:rsid w:val="000E7FFD"/>
    <w:rsid w:val="000F1731"/>
    <w:rsid w:val="000F1B9F"/>
    <w:rsid w:val="000F2739"/>
    <w:rsid w:val="000F2817"/>
    <w:rsid w:val="000F2EDD"/>
    <w:rsid w:val="000F3457"/>
    <w:rsid w:val="000F37A8"/>
    <w:rsid w:val="000F6D7E"/>
    <w:rsid w:val="000F7112"/>
    <w:rsid w:val="00100187"/>
    <w:rsid w:val="00100DDD"/>
    <w:rsid w:val="00100F7B"/>
    <w:rsid w:val="001022BF"/>
    <w:rsid w:val="00102D65"/>
    <w:rsid w:val="00103662"/>
    <w:rsid w:val="00103888"/>
    <w:rsid w:val="00107499"/>
    <w:rsid w:val="00107557"/>
    <w:rsid w:val="0011167C"/>
    <w:rsid w:val="00111F02"/>
    <w:rsid w:val="0011279B"/>
    <w:rsid w:val="00112B02"/>
    <w:rsid w:val="0011436C"/>
    <w:rsid w:val="00114A21"/>
    <w:rsid w:val="00117441"/>
    <w:rsid w:val="0012006D"/>
    <w:rsid w:val="00121F4A"/>
    <w:rsid w:val="00122E4B"/>
    <w:rsid w:val="0012380D"/>
    <w:rsid w:val="00124015"/>
    <w:rsid w:val="00124CF1"/>
    <w:rsid w:val="001250B4"/>
    <w:rsid w:val="001253D1"/>
    <w:rsid w:val="00127E68"/>
    <w:rsid w:val="001318D2"/>
    <w:rsid w:val="00131B80"/>
    <w:rsid w:val="00131C54"/>
    <w:rsid w:val="00132C06"/>
    <w:rsid w:val="00133B79"/>
    <w:rsid w:val="00133CE5"/>
    <w:rsid w:val="00134AEC"/>
    <w:rsid w:val="001352E5"/>
    <w:rsid w:val="00135DD5"/>
    <w:rsid w:val="00136007"/>
    <w:rsid w:val="0013673A"/>
    <w:rsid w:val="00136E3F"/>
    <w:rsid w:val="0013752C"/>
    <w:rsid w:val="00140D44"/>
    <w:rsid w:val="00140DC7"/>
    <w:rsid w:val="00142648"/>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5472"/>
    <w:rsid w:val="00156056"/>
    <w:rsid w:val="00156A23"/>
    <w:rsid w:val="001611E5"/>
    <w:rsid w:val="0016161C"/>
    <w:rsid w:val="00161E95"/>
    <w:rsid w:val="00163780"/>
    <w:rsid w:val="00163B1F"/>
    <w:rsid w:val="001648EE"/>
    <w:rsid w:val="00164B65"/>
    <w:rsid w:val="00164E0E"/>
    <w:rsid w:val="001656F2"/>
    <w:rsid w:val="00166794"/>
    <w:rsid w:val="00166C70"/>
    <w:rsid w:val="00167D88"/>
    <w:rsid w:val="0017273C"/>
    <w:rsid w:val="001732E3"/>
    <w:rsid w:val="00174E02"/>
    <w:rsid w:val="0017653A"/>
    <w:rsid w:val="001775DF"/>
    <w:rsid w:val="0018026F"/>
    <w:rsid w:val="001809E8"/>
    <w:rsid w:val="001828A9"/>
    <w:rsid w:val="00185460"/>
    <w:rsid w:val="001862A3"/>
    <w:rsid w:val="00192E4B"/>
    <w:rsid w:val="00194D62"/>
    <w:rsid w:val="00195C67"/>
    <w:rsid w:val="00196407"/>
    <w:rsid w:val="00197091"/>
    <w:rsid w:val="001972CC"/>
    <w:rsid w:val="001A032D"/>
    <w:rsid w:val="001A138D"/>
    <w:rsid w:val="001A1922"/>
    <w:rsid w:val="001A2857"/>
    <w:rsid w:val="001A2A89"/>
    <w:rsid w:val="001A3634"/>
    <w:rsid w:val="001A3DC0"/>
    <w:rsid w:val="001A4D19"/>
    <w:rsid w:val="001A4D5D"/>
    <w:rsid w:val="001A5150"/>
    <w:rsid w:val="001A58B9"/>
    <w:rsid w:val="001A61E1"/>
    <w:rsid w:val="001A6C1E"/>
    <w:rsid w:val="001B30F9"/>
    <w:rsid w:val="001B3659"/>
    <w:rsid w:val="001B40F3"/>
    <w:rsid w:val="001B53A0"/>
    <w:rsid w:val="001B5F70"/>
    <w:rsid w:val="001B6845"/>
    <w:rsid w:val="001B7F53"/>
    <w:rsid w:val="001C0AED"/>
    <w:rsid w:val="001C13B1"/>
    <w:rsid w:val="001C147D"/>
    <w:rsid w:val="001C1C2A"/>
    <w:rsid w:val="001C1CDE"/>
    <w:rsid w:val="001C263B"/>
    <w:rsid w:val="001C2713"/>
    <w:rsid w:val="001C28D5"/>
    <w:rsid w:val="001C2D08"/>
    <w:rsid w:val="001C2EF3"/>
    <w:rsid w:val="001C34D6"/>
    <w:rsid w:val="001C54A9"/>
    <w:rsid w:val="001C6012"/>
    <w:rsid w:val="001C67B0"/>
    <w:rsid w:val="001C6FAC"/>
    <w:rsid w:val="001C79FA"/>
    <w:rsid w:val="001D07C9"/>
    <w:rsid w:val="001D1156"/>
    <w:rsid w:val="001D3AB5"/>
    <w:rsid w:val="001D4AE8"/>
    <w:rsid w:val="001D77FF"/>
    <w:rsid w:val="001D7D8F"/>
    <w:rsid w:val="001D7DF0"/>
    <w:rsid w:val="001D7E08"/>
    <w:rsid w:val="001D7E82"/>
    <w:rsid w:val="001E018C"/>
    <w:rsid w:val="001E0AD2"/>
    <w:rsid w:val="001E358F"/>
    <w:rsid w:val="001E3596"/>
    <w:rsid w:val="001E3F91"/>
    <w:rsid w:val="001E4108"/>
    <w:rsid w:val="001E4152"/>
    <w:rsid w:val="001E489D"/>
    <w:rsid w:val="001E5C94"/>
    <w:rsid w:val="001E6822"/>
    <w:rsid w:val="001E74A5"/>
    <w:rsid w:val="001E75F3"/>
    <w:rsid w:val="001E7B9E"/>
    <w:rsid w:val="001E7EDB"/>
    <w:rsid w:val="001F025B"/>
    <w:rsid w:val="001F2B8C"/>
    <w:rsid w:val="001F783F"/>
    <w:rsid w:val="001F7AFD"/>
    <w:rsid w:val="001F7C7F"/>
    <w:rsid w:val="001F7DE2"/>
    <w:rsid w:val="002001BE"/>
    <w:rsid w:val="002031F3"/>
    <w:rsid w:val="002054AA"/>
    <w:rsid w:val="002058A7"/>
    <w:rsid w:val="00205A1A"/>
    <w:rsid w:val="00207665"/>
    <w:rsid w:val="00211229"/>
    <w:rsid w:val="00211E8C"/>
    <w:rsid w:val="00212C9C"/>
    <w:rsid w:val="00212FCA"/>
    <w:rsid w:val="00213108"/>
    <w:rsid w:val="0021368A"/>
    <w:rsid w:val="0021453E"/>
    <w:rsid w:val="0021475E"/>
    <w:rsid w:val="00214D96"/>
    <w:rsid w:val="002176FD"/>
    <w:rsid w:val="002179AC"/>
    <w:rsid w:val="00220ADB"/>
    <w:rsid w:val="002217BA"/>
    <w:rsid w:val="00221AFF"/>
    <w:rsid w:val="00221E74"/>
    <w:rsid w:val="002226FB"/>
    <w:rsid w:val="00223507"/>
    <w:rsid w:val="00223ACC"/>
    <w:rsid w:val="0022448D"/>
    <w:rsid w:val="002275DE"/>
    <w:rsid w:val="00230170"/>
    <w:rsid w:val="002305CF"/>
    <w:rsid w:val="002326B1"/>
    <w:rsid w:val="00233E08"/>
    <w:rsid w:val="002345FF"/>
    <w:rsid w:val="00236D3E"/>
    <w:rsid w:val="00237611"/>
    <w:rsid w:val="002408D7"/>
    <w:rsid w:val="00241EB8"/>
    <w:rsid w:val="002426EA"/>
    <w:rsid w:val="00244476"/>
    <w:rsid w:val="002457CF"/>
    <w:rsid w:val="002507D8"/>
    <w:rsid w:val="0025293E"/>
    <w:rsid w:val="00252A20"/>
    <w:rsid w:val="00252B41"/>
    <w:rsid w:val="0025524F"/>
    <w:rsid w:val="00255F15"/>
    <w:rsid w:val="00257E5F"/>
    <w:rsid w:val="00260C1D"/>
    <w:rsid w:val="00261001"/>
    <w:rsid w:val="00261A42"/>
    <w:rsid w:val="00261D84"/>
    <w:rsid w:val="002629A6"/>
    <w:rsid w:val="0026319B"/>
    <w:rsid w:val="00263BD2"/>
    <w:rsid w:val="00263F23"/>
    <w:rsid w:val="00264D02"/>
    <w:rsid w:val="0026500D"/>
    <w:rsid w:val="00265376"/>
    <w:rsid w:val="00265CD7"/>
    <w:rsid w:val="00266588"/>
    <w:rsid w:val="002665BD"/>
    <w:rsid w:val="00270A67"/>
    <w:rsid w:val="00270B01"/>
    <w:rsid w:val="00271B06"/>
    <w:rsid w:val="00272FEC"/>
    <w:rsid w:val="00273013"/>
    <w:rsid w:val="00273C37"/>
    <w:rsid w:val="0027430D"/>
    <w:rsid w:val="002746D9"/>
    <w:rsid w:val="00274ED2"/>
    <w:rsid w:val="002765F2"/>
    <w:rsid w:val="00277A35"/>
    <w:rsid w:val="00280994"/>
    <w:rsid w:val="00280E3F"/>
    <w:rsid w:val="00280F05"/>
    <w:rsid w:val="00281AC1"/>
    <w:rsid w:val="0028248C"/>
    <w:rsid w:val="00285F4E"/>
    <w:rsid w:val="00286DDB"/>
    <w:rsid w:val="002871EB"/>
    <w:rsid w:val="002948C4"/>
    <w:rsid w:val="00294CC2"/>
    <w:rsid w:val="00295F8B"/>
    <w:rsid w:val="00297E45"/>
    <w:rsid w:val="002A2099"/>
    <w:rsid w:val="002A229B"/>
    <w:rsid w:val="002A35B6"/>
    <w:rsid w:val="002A4172"/>
    <w:rsid w:val="002A4516"/>
    <w:rsid w:val="002A54DE"/>
    <w:rsid w:val="002A7FAB"/>
    <w:rsid w:val="002B085C"/>
    <w:rsid w:val="002B1AE9"/>
    <w:rsid w:val="002B2278"/>
    <w:rsid w:val="002B284F"/>
    <w:rsid w:val="002B2A2E"/>
    <w:rsid w:val="002B2F59"/>
    <w:rsid w:val="002B309C"/>
    <w:rsid w:val="002B4277"/>
    <w:rsid w:val="002B4283"/>
    <w:rsid w:val="002B46CB"/>
    <w:rsid w:val="002B4D21"/>
    <w:rsid w:val="002C0074"/>
    <w:rsid w:val="002C0159"/>
    <w:rsid w:val="002C057E"/>
    <w:rsid w:val="002C0804"/>
    <w:rsid w:val="002C0DC5"/>
    <w:rsid w:val="002C1007"/>
    <w:rsid w:val="002C2D44"/>
    <w:rsid w:val="002C4715"/>
    <w:rsid w:val="002C4780"/>
    <w:rsid w:val="002C47ED"/>
    <w:rsid w:val="002C484A"/>
    <w:rsid w:val="002C54D1"/>
    <w:rsid w:val="002C5542"/>
    <w:rsid w:val="002C570D"/>
    <w:rsid w:val="002C6561"/>
    <w:rsid w:val="002C6DB3"/>
    <w:rsid w:val="002D0E3D"/>
    <w:rsid w:val="002D10C8"/>
    <w:rsid w:val="002D129A"/>
    <w:rsid w:val="002D1A38"/>
    <w:rsid w:val="002D1AA7"/>
    <w:rsid w:val="002D28CB"/>
    <w:rsid w:val="002D2E16"/>
    <w:rsid w:val="002D35AE"/>
    <w:rsid w:val="002D373C"/>
    <w:rsid w:val="002D4828"/>
    <w:rsid w:val="002E126F"/>
    <w:rsid w:val="002E160F"/>
    <w:rsid w:val="002E191E"/>
    <w:rsid w:val="002E1C05"/>
    <w:rsid w:val="002E1E5D"/>
    <w:rsid w:val="002E2FBC"/>
    <w:rsid w:val="002E3FAE"/>
    <w:rsid w:val="002E482C"/>
    <w:rsid w:val="002E5399"/>
    <w:rsid w:val="002E5A0B"/>
    <w:rsid w:val="002E6295"/>
    <w:rsid w:val="002E6531"/>
    <w:rsid w:val="002E66CA"/>
    <w:rsid w:val="002E689B"/>
    <w:rsid w:val="002E6CFE"/>
    <w:rsid w:val="002E74CE"/>
    <w:rsid w:val="002E76FD"/>
    <w:rsid w:val="002E7AD0"/>
    <w:rsid w:val="002F1871"/>
    <w:rsid w:val="002F3672"/>
    <w:rsid w:val="002F37C1"/>
    <w:rsid w:val="002F72FA"/>
    <w:rsid w:val="002F7907"/>
    <w:rsid w:val="002F7D11"/>
    <w:rsid w:val="003007E0"/>
    <w:rsid w:val="0030150B"/>
    <w:rsid w:val="00301B41"/>
    <w:rsid w:val="00301D47"/>
    <w:rsid w:val="003030B1"/>
    <w:rsid w:val="00303717"/>
    <w:rsid w:val="00304013"/>
    <w:rsid w:val="00304137"/>
    <w:rsid w:val="003046AA"/>
    <w:rsid w:val="003049F3"/>
    <w:rsid w:val="00304CDF"/>
    <w:rsid w:val="00305BB3"/>
    <w:rsid w:val="00305F6D"/>
    <w:rsid w:val="003064B8"/>
    <w:rsid w:val="00306E7D"/>
    <w:rsid w:val="00307227"/>
    <w:rsid w:val="0030794F"/>
    <w:rsid w:val="00307EB6"/>
    <w:rsid w:val="003105D0"/>
    <w:rsid w:val="003105D6"/>
    <w:rsid w:val="00310B1D"/>
    <w:rsid w:val="00310D66"/>
    <w:rsid w:val="003111C5"/>
    <w:rsid w:val="00311481"/>
    <w:rsid w:val="003116A6"/>
    <w:rsid w:val="00311863"/>
    <w:rsid w:val="003120A9"/>
    <w:rsid w:val="00312733"/>
    <w:rsid w:val="00316065"/>
    <w:rsid w:val="003161C0"/>
    <w:rsid w:val="00316CB5"/>
    <w:rsid w:val="00317883"/>
    <w:rsid w:val="00317EFF"/>
    <w:rsid w:val="00321AA3"/>
    <w:rsid w:val="00321AE9"/>
    <w:rsid w:val="00321D1B"/>
    <w:rsid w:val="00321EEE"/>
    <w:rsid w:val="00323895"/>
    <w:rsid w:val="00324642"/>
    <w:rsid w:val="0032586C"/>
    <w:rsid w:val="00326579"/>
    <w:rsid w:val="00327D79"/>
    <w:rsid w:val="00332E6B"/>
    <w:rsid w:val="003337F3"/>
    <w:rsid w:val="003338F8"/>
    <w:rsid w:val="00333BE8"/>
    <w:rsid w:val="003344DB"/>
    <w:rsid w:val="00335898"/>
    <w:rsid w:val="00335BFE"/>
    <w:rsid w:val="00335E9C"/>
    <w:rsid w:val="0033608B"/>
    <w:rsid w:val="0033675D"/>
    <w:rsid w:val="00337941"/>
    <w:rsid w:val="003407D0"/>
    <w:rsid w:val="0034181B"/>
    <w:rsid w:val="00342C51"/>
    <w:rsid w:val="00345856"/>
    <w:rsid w:val="0034595C"/>
    <w:rsid w:val="00345B79"/>
    <w:rsid w:val="00345D0F"/>
    <w:rsid w:val="0034614E"/>
    <w:rsid w:val="00346885"/>
    <w:rsid w:val="003472B3"/>
    <w:rsid w:val="003503DD"/>
    <w:rsid w:val="0035104F"/>
    <w:rsid w:val="003522BF"/>
    <w:rsid w:val="00352901"/>
    <w:rsid w:val="00355AEE"/>
    <w:rsid w:val="00355D3B"/>
    <w:rsid w:val="0035606B"/>
    <w:rsid w:val="00356236"/>
    <w:rsid w:val="0036073F"/>
    <w:rsid w:val="003615A3"/>
    <w:rsid w:val="003629EE"/>
    <w:rsid w:val="003643B3"/>
    <w:rsid w:val="003708DD"/>
    <w:rsid w:val="00370B8E"/>
    <w:rsid w:val="00370BB1"/>
    <w:rsid w:val="003721B2"/>
    <w:rsid w:val="00372328"/>
    <w:rsid w:val="003738EA"/>
    <w:rsid w:val="003743BF"/>
    <w:rsid w:val="00374CE8"/>
    <w:rsid w:val="003762FD"/>
    <w:rsid w:val="003765C6"/>
    <w:rsid w:val="00376FD2"/>
    <w:rsid w:val="00377278"/>
    <w:rsid w:val="003800DB"/>
    <w:rsid w:val="0038132B"/>
    <w:rsid w:val="003818D2"/>
    <w:rsid w:val="00383D51"/>
    <w:rsid w:val="00383E66"/>
    <w:rsid w:val="00384AE2"/>
    <w:rsid w:val="003854B7"/>
    <w:rsid w:val="00385699"/>
    <w:rsid w:val="003862D7"/>
    <w:rsid w:val="00387DC9"/>
    <w:rsid w:val="00390D23"/>
    <w:rsid w:val="0039142B"/>
    <w:rsid w:val="0039193E"/>
    <w:rsid w:val="00391ADA"/>
    <w:rsid w:val="003926CC"/>
    <w:rsid w:val="00392CDB"/>
    <w:rsid w:val="0039380F"/>
    <w:rsid w:val="00393B71"/>
    <w:rsid w:val="00394095"/>
    <w:rsid w:val="003940F6"/>
    <w:rsid w:val="003955D3"/>
    <w:rsid w:val="003958B8"/>
    <w:rsid w:val="00396158"/>
    <w:rsid w:val="00396545"/>
    <w:rsid w:val="0039671B"/>
    <w:rsid w:val="00396F5D"/>
    <w:rsid w:val="00396F71"/>
    <w:rsid w:val="003A03D0"/>
    <w:rsid w:val="003A04FF"/>
    <w:rsid w:val="003A1B01"/>
    <w:rsid w:val="003A2029"/>
    <w:rsid w:val="003A6417"/>
    <w:rsid w:val="003A65FE"/>
    <w:rsid w:val="003A6A5A"/>
    <w:rsid w:val="003A7221"/>
    <w:rsid w:val="003A730E"/>
    <w:rsid w:val="003B1262"/>
    <w:rsid w:val="003B1CEE"/>
    <w:rsid w:val="003B2199"/>
    <w:rsid w:val="003B2856"/>
    <w:rsid w:val="003B2A0D"/>
    <w:rsid w:val="003B31FA"/>
    <w:rsid w:val="003B4B0A"/>
    <w:rsid w:val="003B55AD"/>
    <w:rsid w:val="003B7EC4"/>
    <w:rsid w:val="003C183D"/>
    <w:rsid w:val="003C7282"/>
    <w:rsid w:val="003D00D5"/>
    <w:rsid w:val="003D0A29"/>
    <w:rsid w:val="003D0BC7"/>
    <w:rsid w:val="003D181D"/>
    <w:rsid w:val="003D20C4"/>
    <w:rsid w:val="003D4163"/>
    <w:rsid w:val="003D42F0"/>
    <w:rsid w:val="003D46D0"/>
    <w:rsid w:val="003D5661"/>
    <w:rsid w:val="003D792A"/>
    <w:rsid w:val="003E1087"/>
    <w:rsid w:val="003E2E98"/>
    <w:rsid w:val="003E4701"/>
    <w:rsid w:val="003E6079"/>
    <w:rsid w:val="003E6128"/>
    <w:rsid w:val="003E6679"/>
    <w:rsid w:val="003E6D0F"/>
    <w:rsid w:val="003E6DD6"/>
    <w:rsid w:val="003E712E"/>
    <w:rsid w:val="003E7278"/>
    <w:rsid w:val="003F0DDA"/>
    <w:rsid w:val="003F140F"/>
    <w:rsid w:val="003F15DB"/>
    <w:rsid w:val="003F2702"/>
    <w:rsid w:val="003F2778"/>
    <w:rsid w:val="003F2959"/>
    <w:rsid w:val="003F36A4"/>
    <w:rsid w:val="003F4900"/>
    <w:rsid w:val="003F70CA"/>
    <w:rsid w:val="003F7823"/>
    <w:rsid w:val="00400E76"/>
    <w:rsid w:val="0040137F"/>
    <w:rsid w:val="004015F3"/>
    <w:rsid w:val="00402179"/>
    <w:rsid w:val="0040278D"/>
    <w:rsid w:val="00403249"/>
    <w:rsid w:val="00406DC5"/>
    <w:rsid w:val="004078C8"/>
    <w:rsid w:val="004102DE"/>
    <w:rsid w:val="00411614"/>
    <w:rsid w:val="00412696"/>
    <w:rsid w:val="00412E24"/>
    <w:rsid w:val="0041472A"/>
    <w:rsid w:val="004147B1"/>
    <w:rsid w:val="004156E0"/>
    <w:rsid w:val="00416727"/>
    <w:rsid w:val="00417D3B"/>
    <w:rsid w:val="0042068A"/>
    <w:rsid w:val="0042267F"/>
    <w:rsid w:val="0042437A"/>
    <w:rsid w:val="004248F0"/>
    <w:rsid w:val="00424992"/>
    <w:rsid w:val="00424E72"/>
    <w:rsid w:val="00425F0D"/>
    <w:rsid w:val="00426D7C"/>
    <w:rsid w:val="00427621"/>
    <w:rsid w:val="004300ED"/>
    <w:rsid w:val="00431687"/>
    <w:rsid w:val="00432B72"/>
    <w:rsid w:val="00433016"/>
    <w:rsid w:val="004342F1"/>
    <w:rsid w:val="004349C0"/>
    <w:rsid w:val="00437702"/>
    <w:rsid w:val="00437909"/>
    <w:rsid w:val="004401B5"/>
    <w:rsid w:val="00440800"/>
    <w:rsid w:val="004413DD"/>
    <w:rsid w:val="00442393"/>
    <w:rsid w:val="004424C3"/>
    <w:rsid w:val="004436D7"/>
    <w:rsid w:val="00443DCB"/>
    <w:rsid w:val="00443DEB"/>
    <w:rsid w:val="00444364"/>
    <w:rsid w:val="0044535B"/>
    <w:rsid w:val="00445FDA"/>
    <w:rsid w:val="004466B2"/>
    <w:rsid w:val="004473B2"/>
    <w:rsid w:val="00447F0D"/>
    <w:rsid w:val="00450A5F"/>
    <w:rsid w:val="00451514"/>
    <w:rsid w:val="00452169"/>
    <w:rsid w:val="00453BB4"/>
    <w:rsid w:val="00454B9D"/>
    <w:rsid w:val="00456317"/>
    <w:rsid w:val="00456348"/>
    <w:rsid w:val="004572A1"/>
    <w:rsid w:val="00457F74"/>
    <w:rsid w:val="00457FBC"/>
    <w:rsid w:val="004613B1"/>
    <w:rsid w:val="00461F2A"/>
    <w:rsid w:val="00462061"/>
    <w:rsid w:val="0046231E"/>
    <w:rsid w:val="0046340E"/>
    <w:rsid w:val="004635E2"/>
    <w:rsid w:val="00463B0F"/>
    <w:rsid w:val="00464CB6"/>
    <w:rsid w:val="0046532D"/>
    <w:rsid w:val="0046566E"/>
    <w:rsid w:val="004669D1"/>
    <w:rsid w:val="00470027"/>
    <w:rsid w:val="0047025A"/>
    <w:rsid w:val="00471B65"/>
    <w:rsid w:val="00472C41"/>
    <w:rsid w:val="00473115"/>
    <w:rsid w:val="004738D8"/>
    <w:rsid w:val="00473BD2"/>
    <w:rsid w:val="00474477"/>
    <w:rsid w:val="004745CE"/>
    <w:rsid w:val="004764CB"/>
    <w:rsid w:val="00476730"/>
    <w:rsid w:val="004769A5"/>
    <w:rsid w:val="004773A3"/>
    <w:rsid w:val="004773E6"/>
    <w:rsid w:val="00481A7B"/>
    <w:rsid w:val="00482DC9"/>
    <w:rsid w:val="0048386B"/>
    <w:rsid w:val="00483C14"/>
    <w:rsid w:val="00484F28"/>
    <w:rsid w:val="004858CD"/>
    <w:rsid w:val="00485DB6"/>
    <w:rsid w:val="0048628A"/>
    <w:rsid w:val="0048658E"/>
    <w:rsid w:val="00490571"/>
    <w:rsid w:val="004911B6"/>
    <w:rsid w:val="004911F5"/>
    <w:rsid w:val="00491C96"/>
    <w:rsid w:val="004923B6"/>
    <w:rsid w:val="00494294"/>
    <w:rsid w:val="00495611"/>
    <w:rsid w:val="004961DA"/>
    <w:rsid w:val="00496359"/>
    <w:rsid w:val="00497926"/>
    <w:rsid w:val="004A115C"/>
    <w:rsid w:val="004A14BE"/>
    <w:rsid w:val="004A2BF5"/>
    <w:rsid w:val="004A3085"/>
    <w:rsid w:val="004A3C58"/>
    <w:rsid w:val="004A4178"/>
    <w:rsid w:val="004A4BD5"/>
    <w:rsid w:val="004A4CFD"/>
    <w:rsid w:val="004A677C"/>
    <w:rsid w:val="004A6C04"/>
    <w:rsid w:val="004B05A5"/>
    <w:rsid w:val="004B0EB6"/>
    <w:rsid w:val="004B176B"/>
    <w:rsid w:val="004B293C"/>
    <w:rsid w:val="004B36E8"/>
    <w:rsid w:val="004B391E"/>
    <w:rsid w:val="004B3A2A"/>
    <w:rsid w:val="004B3D59"/>
    <w:rsid w:val="004B50F8"/>
    <w:rsid w:val="004B58EA"/>
    <w:rsid w:val="004B73EF"/>
    <w:rsid w:val="004C09B4"/>
    <w:rsid w:val="004C20F2"/>
    <w:rsid w:val="004C251E"/>
    <w:rsid w:val="004C38EA"/>
    <w:rsid w:val="004C3F25"/>
    <w:rsid w:val="004C45F5"/>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36"/>
    <w:rsid w:val="004D68F8"/>
    <w:rsid w:val="004D6D19"/>
    <w:rsid w:val="004E11D8"/>
    <w:rsid w:val="004E69B3"/>
    <w:rsid w:val="004E6E3A"/>
    <w:rsid w:val="004F0C96"/>
    <w:rsid w:val="004F0F98"/>
    <w:rsid w:val="004F28A0"/>
    <w:rsid w:val="004F39A4"/>
    <w:rsid w:val="004F3A90"/>
    <w:rsid w:val="004F44C7"/>
    <w:rsid w:val="004F489F"/>
    <w:rsid w:val="004F4958"/>
    <w:rsid w:val="004F766F"/>
    <w:rsid w:val="004F785F"/>
    <w:rsid w:val="004F78B7"/>
    <w:rsid w:val="004F7944"/>
    <w:rsid w:val="00500224"/>
    <w:rsid w:val="005003CF"/>
    <w:rsid w:val="00500A07"/>
    <w:rsid w:val="00501B93"/>
    <w:rsid w:val="005041C2"/>
    <w:rsid w:val="00504B73"/>
    <w:rsid w:val="00505CA0"/>
    <w:rsid w:val="00507043"/>
    <w:rsid w:val="00507C08"/>
    <w:rsid w:val="00507D18"/>
    <w:rsid w:val="0051016E"/>
    <w:rsid w:val="00511A30"/>
    <w:rsid w:val="005124A4"/>
    <w:rsid w:val="00512F22"/>
    <w:rsid w:val="005140E4"/>
    <w:rsid w:val="00514343"/>
    <w:rsid w:val="00514426"/>
    <w:rsid w:val="00515DEC"/>
    <w:rsid w:val="00516603"/>
    <w:rsid w:val="005166F9"/>
    <w:rsid w:val="005167B1"/>
    <w:rsid w:val="00517A46"/>
    <w:rsid w:val="00517D20"/>
    <w:rsid w:val="00520763"/>
    <w:rsid w:val="005215EE"/>
    <w:rsid w:val="00521F15"/>
    <w:rsid w:val="00522599"/>
    <w:rsid w:val="00522F5F"/>
    <w:rsid w:val="005248B9"/>
    <w:rsid w:val="00525348"/>
    <w:rsid w:val="005255D3"/>
    <w:rsid w:val="00525C4F"/>
    <w:rsid w:val="00526446"/>
    <w:rsid w:val="00526DC4"/>
    <w:rsid w:val="005272EC"/>
    <w:rsid w:val="00527495"/>
    <w:rsid w:val="00527E7A"/>
    <w:rsid w:val="00531594"/>
    <w:rsid w:val="005346D3"/>
    <w:rsid w:val="00537E2C"/>
    <w:rsid w:val="00540208"/>
    <w:rsid w:val="00542797"/>
    <w:rsid w:val="00542B3A"/>
    <w:rsid w:val="00544ADC"/>
    <w:rsid w:val="00544B9C"/>
    <w:rsid w:val="00544E13"/>
    <w:rsid w:val="00544EC9"/>
    <w:rsid w:val="00545889"/>
    <w:rsid w:val="00546FBD"/>
    <w:rsid w:val="0055070A"/>
    <w:rsid w:val="0055159A"/>
    <w:rsid w:val="005516E0"/>
    <w:rsid w:val="00551A9B"/>
    <w:rsid w:val="005520BF"/>
    <w:rsid w:val="00552213"/>
    <w:rsid w:val="005526F4"/>
    <w:rsid w:val="0055544F"/>
    <w:rsid w:val="00556B04"/>
    <w:rsid w:val="00556F72"/>
    <w:rsid w:val="00556F82"/>
    <w:rsid w:val="00560C00"/>
    <w:rsid w:val="00561ED1"/>
    <w:rsid w:val="00562B0A"/>
    <w:rsid w:val="00562CCE"/>
    <w:rsid w:val="00563FC3"/>
    <w:rsid w:val="00564C9F"/>
    <w:rsid w:val="00565210"/>
    <w:rsid w:val="0056555A"/>
    <w:rsid w:val="00565F1C"/>
    <w:rsid w:val="005669D6"/>
    <w:rsid w:val="0056788F"/>
    <w:rsid w:val="00567998"/>
    <w:rsid w:val="00573BC6"/>
    <w:rsid w:val="005759CD"/>
    <w:rsid w:val="00575D39"/>
    <w:rsid w:val="00575F2C"/>
    <w:rsid w:val="00577884"/>
    <w:rsid w:val="00581C0F"/>
    <w:rsid w:val="00582919"/>
    <w:rsid w:val="00583D94"/>
    <w:rsid w:val="005849B2"/>
    <w:rsid w:val="00584FBE"/>
    <w:rsid w:val="00585172"/>
    <w:rsid w:val="00587366"/>
    <w:rsid w:val="0058757A"/>
    <w:rsid w:val="00590037"/>
    <w:rsid w:val="00590892"/>
    <w:rsid w:val="00592DB9"/>
    <w:rsid w:val="005930F8"/>
    <w:rsid w:val="00593476"/>
    <w:rsid w:val="005937BC"/>
    <w:rsid w:val="00594C52"/>
    <w:rsid w:val="00595511"/>
    <w:rsid w:val="00596514"/>
    <w:rsid w:val="0059679B"/>
    <w:rsid w:val="00597456"/>
    <w:rsid w:val="00597651"/>
    <w:rsid w:val="00597B44"/>
    <w:rsid w:val="00597D18"/>
    <w:rsid w:val="005A1FAB"/>
    <w:rsid w:val="005A228F"/>
    <w:rsid w:val="005A2A65"/>
    <w:rsid w:val="005A2F65"/>
    <w:rsid w:val="005A3513"/>
    <w:rsid w:val="005A3581"/>
    <w:rsid w:val="005A3BD7"/>
    <w:rsid w:val="005A60E1"/>
    <w:rsid w:val="005A6788"/>
    <w:rsid w:val="005A786F"/>
    <w:rsid w:val="005B169C"/>
    <w:rsid w:val="005B2DD1"/>
    <w:rsid w:val="005B3A49"/>
    <w:rsid w:val="005B6ADF"/>
    <w:rsid w:val="005B773D"/>
    <w:rsid w:val="005B7C5D"/>
    <w:rsid w:val="005C02B5"/>
    <w:rsid w:val="005C0821"/>
    <w:rsid w:val="005C0905"/>
    <w:rsid w:val="005C1A74"/>
    <w:rsid w:val="005C3294"/>
    <w:rsid w:val="005C347F"/>
    <w:rsid w:val="005C3B63"/>
    <w:rsid w:val="005C412B"/>
    <w:rsid w:val="005C450C"/>
    <w:rsid w:val="005C6961"/>
    <w:rsid w:val="005C6F55"/>
    <w:rsid w:val="005C7F3D"/>
    <w:rsid w:val="005D0EB4"/>
    <w:rsid w:val="005D18A6"/>
    <w:rsid w:val="005D27DD"/>
    <w:rsid w:val="005D3493"/>
    <w:rsid w:val="005D622E"/>
    <w:rsid w:val="005D6617"/>
    <w:rsid w:val="005D6FF0"/>
    <w:rsid w:val="005E11D5"/>
    <w:rsid w:val="005E34D4"/>
    <w:rsid w:val="005E3716"/>
    <w:rsid w:val="005E3AE2"/>
    <w:rsid w:val="005E3FDE"/>
    <w:rsid w:val="005E55F2"/>
    <w:rsid w:val="005E68FC"/>
    <w:rsid w:val="005E7271"/>
    <w:rsid w:val="005E7CC9"/>
    <w:rsid w:val="005F0007"/>
    <w:rsid w:val="005F0E6C"/>
    <w:rsid w:val="005F1362"/>
    <w:rsid w:val="005F1BAD"/>
    <w:rsid w:val="005F3E8E"/>
    <w:rsid w:val="005F487C"/>
    <w:rsid w:val="005F4A6D"/>
    <w:rsid w:val="005F53A4"/>
    <w:rsid w:val="005F53E3"/>
    <w:rsid w:val="005F5FE1"/>
    <w:rsid w:val="005F62B2"/>
    <w:rsid w:val="005F715E"/>
    <w:rsid w:val="006010DA"/>
    <w:rsid w:val="006017AB"/>
    <w:rsid w:val="006024BB"/>
    <w:rsid w:val="00604AC3"/>
    <w:rsid w:val="00605865"/>
    <w:rsid w:val="006100B0"/>
    <w:rsid w:val="00611DC1"/>
    <w:rsid w:val="00613655"/>
    <w:rsid w:val="006144EE"/>
    <w:rsid w:val="006167AB"/>
    <w:rsid w:val="00617125"/>
    <w:rsid w:val="00617813"/>
    <w:rsid w:val="006206CC"/>
    <w:rsid w:val="00622B06"/>
    <w:rsid w:val="00624425"/>
    <w:rsid w:val="00624A5E"/>
    <w:rsid w:val="00624D4A"/>
    <w:rsid w:val="006257C2"/>
    <w:rsid w:val="00627163"/>
    <w:rsid w:val="0063034E"/>
    <w:rsid w:val="00633663"/>
    <w:rsid w:val="00634476"/>
    <w:rsid w:val="00635062"/>
    <w:rsid w:val="00637475"/>
    <w:rsid w:val="006403BE"/>
    <w:rsid w:val="00642CAB"/>
    <w:rsid w:val="0064393B"/>
    <w:rsid w:val="006439A1"/>
    <w:rsid w:val="00644375"/>
    <w:rsid w:val="00644A5C"/>
    <w:rsid w:val="006458C0"/>
    <w:rsid w:val="00646A08"/>
    <w:rsid w:val="00646D42"/>
    <w:rsid w:val="0064716C"/>
    <w:rsid w:val="00650392"/>
    <w:rsid w:val="0065061D"/>
    <w:rsid w:val="00650749"/>
    <w:rsid w:val="00651701"/>
    <w:rsid w:val="00655146"/>
    <w:rsid w:val="00656C62"/>
    <w:rsid w:val="0065715E"/>
    <w:rsid w:val="00657670"/>
    <w:rsid w:val="00657D5D"/>
    <w:rsid w:val="00657DBF"/>
    <w:rsid w:val="00657DE0"/>
    <w:rsid w:val="00660C40"/>
    <w:rsid w:val="00662C69"/>
    <w:rsid w:val="006633C0"/>
    <w:rsid w:val="00663470"/>
    <w:rsid w:val="00663CC7"/>
    <w:rsid w:val="0066458B"/>
    <w:rsid w:val="00664805"/>
    <w:rsid w:val="00664FB5"/>
    <w:rsid w:val="006674A0"/>
    <w:rsid w:val="00667D78"/>
    <w:rsid w:val="00667F62"/>
    <w:rsid w:val="006718FB"/>
    <w:rsid w:val="006720F3"/>
    <w:rsid w:val="00672744"/>
    <w:rsid w:val="00673695"/>
    <w:rsid w:val="00673DB5"/>
    <w:rsid w:val="00674701"/>
    <w:rsid w:val="00674A46"/>
    <w:rsid w:val="006752B0"/>
    <w:rsid w:val="0067562B"/>
    <w:rsid w:val="00675A65"/>
    <w:rsid w:val="00675F80"/>
    <w:rsid w:val="00676959"/>
    <w:rsid w:val="00676C6B"/>
    <w:rsid w:val="00677358"/>
    <w:rsid w:val="00680F25"/>
    <w:rsid w:val="00682297"/>
    <w:rsid w:val="006842C0"/>
    <w:rsid w:val="00685689"/>
    <w:rsid w:val="0068594B"/>
    <w:rsid w:val="00686B04"/>
    <w:rsid w:val="00687CAD"/>
    <w:rsid w:val="006901FA"/>
    <w:rsid w:val="006904D3"/>
    <w:rsid w:val="006906D8"/>
    <w:rsid w:val="00690BB8"/>
    <w:rsid w:val="00690ED0"/>
    <w:rsid w:val="00691BAD"/>
    <w:rsid w:val="00692D5E"/>
    <w:rsid w:val="00693427"/>
    <w:rsid w:val="00693FA4"/>
    <w:rsid w:val="00694C00"/>
    <w:rsid w:val="006958A7"/>
    <w:rsid w:val="00695F94"/>
    <w:rsid w:val="006964F5"/>
    <w:rsid w:val="00696EF8"/>
    <w:rsid w:val="00697159"/>
    <w:rsid w:val="00697365"/>
    <w:rsid w:val="006A1047"/>
    <w:rsid w:val="006A11C8"/>
    <w:rsid w:val="006A19EF"/>
    <w:rsid w:val="006A1A4B"/>
    <w:rsid w:val="006A2CF3"/>
    <w:rsid w:val="006A2D34"/>
    <w:rsid w:val="006A2EDE"/>
    <w:rsid w:val="006A2EFB"/>
    <w:rsid w:val="006A32B6"/>
    <w:rsid w:val="006A3D7A"/>
    <w:rsid w:val="006A5374"/>
    <w:rsid w:val="006A687E"/>
    <w:rsid w:val="006A79C3"/>
    <w:rsid w:val="006B004E"/>
    <w:rsid w:val="006B0170"/>
    <w:rsid w:val="006B0198"/>
    <w:rsid w:val="006B12E8"/>
    <w:rsid w:val="006B1C19"/>
    <w:rsid w:val="006B31D1"/>
    <w:rsid w:val="006B31E7"/>
    <w:rsid w:val="006B4CA9"/>
    <w:rsid w:val="006B4D86"/>
    <w:rsid w:val="006B65D4"/>
    <w:rsid w:val="006B6ECB"/>
    <w:rsid w:val="006B7A58"/>
    <w:rsid w:val="006C26B3"/>
    <w:rsid w:val="006C2FEE"/>
    <w:rsid w:val="006C3314"/>
    <w:rsid w:val="006C4D3F"/>
    <w:rsid w:val="006C50B1"/>
    <w:rsid w:val="006C50C2"/>
    <w:rsid w:val="006C563A"/>
    <w:rsid w:val="006C6C8C"/>
    <w:rsid w:val="006C6E1A"/>
    <w:rsid w:val="006C7657"/>
    <w:rsid w:val="006D24C4"/>
    <w:rsid w:val="006D27EF"/>
    <w:rsid w:val="006D425C"/>
    <w:rsid w:val="006D52D1"/>
    <w:rsid w:val="006D77A2"/>
    <w:rsid w:val="006E013D"/>
    <w:rsid w:val="006E1056"/>
    <w:rsid w:val="006E3A2A"/>
    <w:rsid w:val="006E3C4C"/>
    <w:rsid w:val="006E4BD4"/>
    <w:rsid w:val="006E4E2A"/>
    <w:rsid w:val="006E5950"/>
    <w:rsid w:val="006E6B65"/>
    <w:rsid w:val="006E6C14"/>
    <w:rsid w:val="006E7CC5"/>
    <w:rsid w:val="006F1507"/>
    <w:rsid w:val="006F1E31"/>
    <w:rsid w:val="006F2C12"/>
    <w:rsid w:val="006F2F92"/>
    <w:rsid w:val="006F3266"/>
    <w:rsid w:val="006F500E"/>
    <w:rsid w:val="006F51AA"/>
    <w:rsid w:val="006F69E5"/>
    <w:rsid w:val="00700B9B"/>
    <w:rsid w:val="007050B1"/>
    <w:rsid w:val="00705527"/>
    <w:rsid w:val="007059CC"/>
    <w:rsid w:val="00707096"/>
    <w:rsid w:val="007127BB"/>
    <w:rsid w:val="007136BC"/>
    <w:rsid w:val="00714576"/>
    <w:rsid w:val="00714B89"/>
    <w:rsid w:val="00714FEC"/>
    <w:rsid w:val="0071522B"/>
    <w:rsid w:val="00715A04"/>
    <w:rsid w:val="00715B7D"/>
    <w:rsid w:val="00716C21"/>
    <w:rsid w:val="00721335"/>
    <w:rsid w:val="00721924"/>
    <w:rsid w:val="00721F66"/>
    <w:rsid w:val="00722B93"/>
    <w:rsid w:val="0072445A"/>
    <w:rsid w:val="00727B1C"/>
    <w:rsid w:val="00730E96"/>
    <w:rsid w:val="00731F1F"/>
    <w:rsid w:val="0073324B"/>
    <w:rsid w:val="00733313"/>
    <w:rsid w:val="007337E6"/>
    <w:rsid w:val="0073430C"/>
    <w:rsid w:val="00735A75"/>
    <w:rsid w:val="007365AD"/>
    <w:rsid w:val="00740BA4"/>
    <w:rsid w:val="00742486"/>
    <w:rsid w:val="0074433B"/>
    <w:rsid w:val="007446C2"/>
    <w:rsid w:val="0074573F"/>
    <w:rsid w:val="0074628D"/>
    <w:rsid w:val="007473D2"/>
    <w:rsid w:val="007479C2"/>
    <w:rsid w:val="00747B49"/>
    <w:rsid w:val="00750A80"/>
    <w:rsid w:val="00751061"/>
    <w:rsid w:val="0075151E"/>
    <w:rsid w:val="007517A8"/>
    <w:rsid w:val="0075265E"/>
    <w:rsid w:val="0075287E"/>
    <w:rsid w:val="007533A6"/>
    <w:rsid w:val="0075440D"/>
    <w:rsid w:val="00754E6B"/>
    <w:rsid w:val="00754EF8"/>
    <w:rsid w:val="00755369"/>
    <w:rsid w:val="0075604A"/>
    <w:rsid w:val="0075650E"/>
    <w:rsid w:val="00757995"/>
    <w:rsid w:val="00760BAE"/>
    <w:rsid w:val="00762511"/>
    <w:rsid w:val="00762697"/>
    <w:rsid w:val="007644E6"/>
    <w:rsid w:val="007652EA"/>
    <w:rsid w:val="00765B0C"/>
    <w:rsid w:val="00766CDD"/>
    <w:rsid w:val="007674F3"/>
    <w:rsid w:val="00767CD2"/>
    <w:rsid w:val="00770859"/>
    <w:rsid w:val="00770ADF"/>
    <w:rsid w:val="007731B5"/>
    <w:rsid w:val="00774663"/>
    <w:rsid w:val="00774A5F"/>
    <w:rsid w:val="00774DFD"/>
    <w:rsid w:val="007753FA"/>
    <w:rsid w:val="0077544D"/>
    <w:rsid w:val="00775D67"/>
    <w:rsid w:val="00776C78"/>
    <w:rsid w:val="0078079A"/>
    <w:rsid w:val="0078249C"/>
    <w:rsid w:val="00783CCF"/>
    <w:rsid w:val="00784AA0"/>
    <w:rsid w:val="00784F3D"/>
    <w:rsid w:val="00785321"/>
    <w:rsid w:val="00785CAB"/>
    <w:rsid w:val="00785E63"/>
    <w:rsid w:val="007860B9"/>
    <w:rsid w:val="00786DD5"/>
    <w:rsid w:val="00787184"/>
    <w:rsid w:val="00790508"/>
    <w:rsid w:val="007909AE"/>
    <w:rsid w:val="007914E4"/>
    <w:rsid w:val="00791E58"/>
    <w:rsid w:val="0079388C"/>
    <w:rsid w:val="0079427C"/>
    <w:rsid w:val="00794C2B"/>
    <w:rsid w:val="007A0692"/>
    <w:rsid w:val="007A082B"/>
    <w:rsid w:val="007A0A0E"/>
    <w:rsid w:val="007A1303"/>
    <w:rsid w:val="007A165D"/>
    <w:rsid w:val="007A2C90"/>
    <w:rsid w:val="007A3A6F"/>
    <w:rsid w:val="007A4419"/>
    <w:rsid w:val="007A65E0"/>
    <w:rsid w:val="007A70B9"/>
    <w:rsid w:val="007A729D"/>
    <w:rsid w:val="007A7602"/>
    <w:rsid w:val="007A7A58"/>
    <w:rsid w:val="007A7E06"/>
    <w:rsid w:val="007B02B9"/>
    <w:rsid w:val="007B1837"/>
    <w:rsid w:val="007B1AED"/>
    <w:rsid w:val="007B233D"/>
    <w:rsid w:val="007B2587"/>
    <w:rsid w:val="007B26B2"/>
    <w:rsid w:val="007B30F3"/>
    <w:rsid w:val="007B3C14"/>
    <w:rsid w:val="007B47A2"/>
    <w:rsid w:val="007B53DB"/>
    <w:rsid w:val="007B5AF0"/>
    <w:rsid w:val="007B6317"/>
    <w:rsid w:val="007B694D"/>
    <w:rsid w:val="007B79A9"/>
    <w:rsid w:val="007C0013"/>
    <w:rsid w:val="007C099C"/>
    <w:rsid w:val="007C0CBC"/>
    <w:rsid w:val="007C255D"/>
    <w:rsid w:val="007C37D2"/>
    <w:rsid w:val="007C3985"/>
    <w:rsid w:val="007C6110"/>
    <w:rsid w:val="007C6AE2"/>
    <w:rsid w:val="007C6DA7"/>
    <w:rsid w:val="007C7154"/>
    <w:rsid w:val="007D0C01"/>
    <w:rsid w:val="007D0F28"/>
    <w:rsid w:val="007D26D2"/>
    <w:rsid w:val="007D274E"/>
    <w:rsid w:val="007D3FBD"/>
    <w:rsid w:val="007D49A0"/>
    <w:rsid w:val="007D7EF3"/>
    <w:rsid w:val="007E04D1"/>
    <w:rsid w:val="007E0553"/>
    <w:rsid w:val="007E0C40"/>
    <w:rsid w:val="007E5125"/>
    <w:rsid w:val="007E5DB4"/>
    <w:rsid w:val="007E6334"/>
    <w:rsid w:val="007E64B6"/>
    <w:rsid w:val="007E6DA4"/>
    <w:rsid w:val="007E72DF"/>
    <w:rsid w:val="007F0617"/>
    <w:rsid w:val="007F0E48"/>
    <w:rsid w:val="007F313E"/>
    <w:rsid w:val="007F372C"/>
    <w:rsid w:val="007F3993"/>
    <w:rsid w:val="007F3A01"/>
    <w:rsid w:val="007F3A5A"/>
    <w:rsid w:val="007F5AD6"/>
    <w:rsid w:val="007F6F57"/>
    <w:rsid w:val="007F729E"/>
    <w:rsid w:val="00800BEA"/>
    <w:rsid w:val="00800E69"/>
    <w:rsid w:val="00800EFF"/>
    <w:rsid w:val="00802BFE"/>
    <w:rsid w:val="00802D9A"/>
    <w:rsid w:val="00803827"/>
    <w:rsid w:val="0080391F"/>
    <w:rsid w:val="008039C2"/>
    <w:rsid w:val="008046E4"/>
    <w:rsid w:val="00804992"/>
    <w:rsid w:val="008055FF"/>
    <w:rsid w:val="00806782"/>
    <w:rsid w:val="00810302"/>
    <w:rsid w:val="00810F94"/>
    <w:rsid w:val="008118AF"/>
    <w:rsid w:val="008126BE"/>
    <w:rsid w:val="00812B45"/>
    <w:rsid w:val="00814A17"/>
    <w:rsid w:val="00815FE6"/>
    <w:rsid w:val="00816234"/>
    <w:rsid w:val="008167F5"/>
    <w:rsid w:val="0081794B"/>
    <w:rsid w:val="00817D8E"/>
    <w:rsid w:val="008200A3"/>
    <w:rsid w:val="00820BF2"/>
    <w:rsid w:val="00823845"/>
    <w:rsid w:val="00824C4E"/>
    <w:rsid w:val="00826125"/>
    <w:rsid w:val="00826774"/>
    <w:rsid w:val="00826F38"/>
    <w:rsid w:val="00830D70"/>
    <w:rsid w:val="00831969"/>
    <w:rsid w:val="00833E4C"/>
    <w:rsid w:val="00834316"/>
    <w:rsid w:val="00836224"/>
    <w:rsid w:val="008374E9"/>
    <w:rsid w:val="008376CD"/>
    <w:rsid w:val="00837BE4"/>
    <w:rsid w:val="00840559"/>
    <w:rsid w:val="00843153"/>
    <w:rsid w:val="008433C1"/>
    <w:rsid w:val="00843908"/>
    <w:rsid w:val="008443E1"/>
    <w:rsid w:val="00845D12"/>
    <w:rsid w:val="00846713"/>
    <w:rsid w:val="00846D48"/>
    <w:rsid w:val="008473FA"/>
    <w:rsid w:val="00847830"/>
    <w:rsid w:val="00851A81"/>
    <w:rsid w:val="00851F4C"/>
    <w:rsid w:val="0085224B"/>
    <w:rsid w:val="008523BA"/>
    <w:rsid w:val="00852B26"/>
    <w:rsid w:val="0085480B"/>
    <w:rsid w:val="00855985"/>
    <w:rsid w:val="008560F4"/>
    <w:rsid w:val="0085670F"/>
    <w:rsid w:val="008568B1"/>
    <w:rsid w:val="008570EB"/>
    <w:rsid w:val="008574BF"/>
    <w:rsid w:val="00860A1E"/>
    <w:rsid w:val="00861622"/>
    <w:rsid w:val="00863125"/>
    <w:rsid w:val="0086416C"/>
    <w:rsid w:val="008662C0"/>
    <w:rsid w:val="008705E1"/>
    <w:rsid w:val="00870A63"/>
    <w:rsid w:val="0087153F"/>
    <w:rsid w:val="00872938"/>
    <w:rsid w:val="00873ABF"/>
    <w:rsid w:val="00874595"/>
    <w:rsid w:val="0087459A"/>
    <w:rsid w:val="00875167"/>
    <w:rsid w:val="00875DF8"/>
    <w:rsid w:val="008764FB"/>
    <w:rsid w:val="008765E3"/>
    <w:rsid w:val="00876DCE"/>
    <w:rsid w:val="00876FBF"/>
    <w:rsid w:val="00880F33"/>
    <w:rsid w:val="00881572"/>
    <w:rsid w:val="00882584"/>
    <w:rsid w:val="00882E82"/>
    <w:rsid w:val="00882FEA"/>
    <w:rsid w:val="0088320F"/>
    <w:rsid w:val="00883450"/>
    <w:rsid w:val="0088398C"/>
    <w:rsid w:val="00885A71"/>
    <w:rsid w:val="00885C6E"/>
    <w:rsid w:val="0088643C"/>
    <w:rsid w:val="00886AF2"/>
    <w:rsid w:val="0088743F"/>
    <w:rsid w:val="0089067B"/>
    <w:rsid w:val="00890700"/>
    <w:rsid w:val="00892AB9"/>
    <w:rsid w:val="00893857"/>
    <w:rsid w:val="0089412A"/>
    <w:rsid w:val="00895335"/>
    <w:rsid w:val="00895536"/>
    <w:rsid w:val="008965EF"/>
    <w:rsid w:val="00896AD4"/>
    <w:rsid w:val="00896D9E"/>
    <w:rsid w:val="00897752"/>
    <w:rsid w:val="008A2811"/>
    <w:rsid w:val="008A3797"/>
    <w:rsid w:val="008A3FC8"/>
    <w:rsid w:val="008A52F3"/>
    <w:rsid w:val="008A5456"/>
    <w:rsid w:val="008A59E3"/>
    <w:rsid w:val="008A7536"/>
    <w:rsid w:val="008A7F7D"/>
    <w:rsid w:val="008B1A5A"/>
    <w:rsid w:val="008B382F"/>
    <w:rsid w:val="008B38BC"/>
    <w:rsid w:val="008B4590"/>
    <w:rsid w:val="008B5AB4"/>
    <w:rsid w:val="008B66A6"/>
    <w:rsid w:val="008B6849"/>
    <w:rsid w:val="008B7FFE"/>
    <w:rsid w:val="008C0446"/>
    <w:rsid w:val="008C2B3C"/>
    <w:rsid w:val="008C41A7"/>
    <w:rsid w:val="008C6F34"/>
    <w:rsid w:val="008C7108"/>
    <w:rsid w:val="008C75C8"/>
    <w:rsid w:val="008D02A3"/>
    <w:rsid w:val="008D22D8"/>
    <w:rsid w:val="008D2542"/>
    <w:rsid w:val="008D259C"/>
    <w:rsid w:val="008D2BCD"/>
    <w:rsid w:val="008D406E"/>
    <w:rsid w:val="008D4E99"/>
    <w:rsid w:val="008D5066"/>
    <w:rsid w:val="008D5A97"/>
    <w:rsid w:val="008D6143"/>
    <w:rsid w:val="008D6697"/>
    <w:rsid w:val="008D728C"/>
    <w:rsid w:val="008E0674"/>
    <w:rsid w:val="008E11CC"/>
    <w:rsid w:val="008E1B8F"/>
    <w:rsid w:val="008E2B17"/>
    <w:rsid w:val="008E3E12"/>
    <w:rsid w:val="008E4DCD"/>
    <w:rsid w:val="008E5767"/>
    <w:rsid w:val="008E580D"/>
    <w:rsid w:val="008F12E6"/>
    <w:rsid w:val="008F1558"/>
    <w:rsid w:val="008F2B44"/>
    <w:rsid w:val="008F57FB"/>
    <w:rsid w:val="008F5927"/>
    <w:rsid w:val="008F5F96"/>
    <w:rsid w:val="008F7273"/>
    <w:rsid w:val="008F7752"/>
    <w:rsid w:val="0090174A"/>
    <w:rsid w:val="00902E52"/>
    <w:rsid w:val="009036B3"/>
    <w:rsid w:val="009044AE"/>
    <w:rsid w:val="0090620F"/>
    <w:rsid w:val="009071FE"/>
    <w:rsid w:val="00907761"/>
    <w:rsid w:val="00907A46"/>
    <w:rsid w:val="00910076"/>
    <w:rsid w:val="0091242A"/>
    <w:rsid w:val="00912E53"/>
    <w:rsid w:val="0091395C"/>
    <w:rsid w:val="00913AA4"/>
    <w:rsid w:val="00915778"/>
    <w:rsid w:val="009164DD"/>
    <w:rsid w:val="009210C9"/>
    <w:rsid w:val="00921371"/>
    <w:rsid w:val="00921DA5"/>
    <w:rsid w:val="00923E6F"/>
    <w:rsid w:val="00925C68"/>
    <w:rsid w:val="009315B0"/>
    <w:rsid w:val="009316E9"/>
    <w:rsid w:val="00931C93"/>
    <w:rsid w:val="00931EE2"/>
    <w:rsid w:val="00931FD8"/>
    <w:rsid w:val="0093282F"/>
    <w:rsid w:val="00932A5D"/>
    <w:rsid w:val="0093416D"/>
    <w:rsid w:val="00935D37"/>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EE"/>
    <w:rsid w:val="0095765F"/>
    <w:rsid w:val="009606E6"/>
    <w:rsid w:val="009609D2"/>
    <w:rsid w:val="00960CFA"/>
    <w:rsid w:val="0096234B"/>
    <w:rsid w:val="00962F40"/>
    <w:rsid w:val="00963968"/>
    <w:rsid w:val="009670E9"/>
    <w:rsid w:val="00970461"/>
    <w:rsid w:val="00970F70"/>
    <w:rsid w:val="00971056"/>
    <w:rsid w:val="0097210F"/>
    <w:rsid w:val="0097252B"/>
    <w:rsid w:val="00972668"/>
    <w:rsid w:val="009727B4"/>
    <w:rsid w:val="00972C36"/>
    <w:rsid w:val="00972DF8"/>
    <w:rsid w:val="009750AA"/>
    <w:rsid w:val="00977D37"/>
    <w:rsid w:val="009813EA"/>
    <w:rsid w:val="009830D3"/>
    <w:rsid w:val="0098370C"/>
    <w:rsid w:val="00983B8F"/>
    <w:rsid w:val="00985479"/>
    <w:rsid w:val="0098595E"/>
    <w:rsid w:val="00986073"/>
    <w:rsid w:val="00986BE7"/>
    <w:rsid w:val="00990EE2"/>
    <w:rsid w:val="00991215"/>
    <w:rsid w:val="009916D2"/>
    <w:rsid w:val="009917E9"/>
    <w:rsid w:val="009918B7"/>
    <w:rsid w:val="009918C6"/>
    <w:rsid w:val="0099229C"/>
    <w:rsid w:val="00994E5F"/>
    <w:rsid w:val="009959DB"/>
    <w:rsid w:val="00995C9F"/>
    <w:rsid w:val="0099752D"/>
    <w:rsid w:val="00997C2A"/>
    <w:rsid w:val="009A0358"/>
    <w:rsid w:val="009A0461"/>
    <w:rsid w:val="009A0E2A"/>
    <w:rsid w:val="009A28A2"/>
    <w:rsid w:val="009A2A08"/>
    <w:rsid w:val="009A5191"/>
    <w:rsid w:val="009A593A"/>
    <w:rsid w:val="009A5FBB"/>
    <w:rsid w:val="009A68B9"/>
    <w:rsid w:val="009B0F5C"/>
    <w:rsid w:val="009B11D6"/>
    <w:rsid w:val="009B2EE9"/>
    <w:rsid w:val="009B3771"/>
    <w:rsid w:val="009B4864"/>
    <w:rsid w:val="009B5504"/>
    <w:rsid w:val="009B5D1A"/>
    <w:rsid w:val="009B649B"/>
    <w:rsid w:val="009B6F16"/>
    <w:rsid w:val="009C0940"/>
    <w:rsid w:val="009C0950"/>
    <w:rsid w:val="009C1D99"/>
    <w:rsid w:val="009C1F8B"/>
    <w:rsid w:val="009C20A8"/>
    <w:rsid w:val="009C5057"/>
    <w:rsid w:val="009D1378"/>
    <w:rsid w:val="009D1525"/>
    <w:rsid w:val="009D1780"/>
    <w:rsid w:val="009D2384"/>
    <w:rsid w:val="009D2F7F"/>
    <w:rsid w:val="009D3240"/>
    <w:rsid w:val="009D3804"/>
    <w:rsid w:val="009D3A6E"/>
    <w:rsid w:val="009D61D9"/>
    <w:rsid w:val="009D624D"/>
    <w:rsid w:val="009D6AD5"/>
    <w:rsid w:val="009E0AB4"/>
    <w:rsid w:val="009E10C7"/>
    <w:rsid w:val="009E360A"/>
    <w:rsid w:val="009E38A4"/>
    <w:rsid w:val="009E3D82"/>
    <w:rsid w:val="009E3E98"/>
    <w:rsid w:val="009E4942"/>
    <w:rsid w:val="009E6E48"/>
    <w:rsid w:val="009F0B67"/>
    <w:rsid w:val="009F1566"/>
    <w:rsid w:val="009F1E4B"/>
    <w:rsid w:val="009F307E"/>
    <w:rsid w:val="009F37D5"/>
    <w:rsid w:val="009F3A10"/>
    <w:rsid w:val="009F3C81"/>
    <w:rsid w:val="009F4494"/>
    <w:rsid w:val="009F50DE"/>
    <w:rsid w:val="009F5F3E"/>
    <w:rsid w:val="009F6D34"/>
    <w:rsid w:val="009F74A2"/>
    <w:rsid w:val="009F7BB0"/>
    <w:rsid w:val="00A0179F"/>
    <w:rsid w:val="00A01B7D"/>
    <w:rsid w:val="00A03086"/>
    <w:rsid w:val="00A036C5"/>
    <w:rsid w:val="00A03AD2"/>
    <w:rsid w:val="00A04A94"/>
    <w:rsid w:val="00A05DA0"/>
    <w:rsid w:val="00A073A0"/>
    <w:rsid w:val="00A07D84"/>
    <w:rsid w:val="00A10336"/>
    <w:rsid w:val="00A10CE2"/>
    <w:rsid w:val="00A13703"/>
    <w:rsid w:val="00A13811"/>
    <w:rsid w:val="00A156D0"/>
    <w:rsid w:val="00A15C42"/>
    <w:rsid w:val="00A16DF1"/>
    <w:rsid w:val="00A16F09"/>
    <w:rsid w:val="00A17302"/>
    <w:rsid w:val="00A17A17"/>
    <w:rsid w:val="00A17E3C"/>
    <w:rsid w:val="00A20B1F"/>
    <w:rsid w:val="00A21050"/>
    <w:rsid w:val="00A235D0"/>
    <w:rsid w:val="00A24131"/>
    <w:rsid w:val="00A25320"/>
    <w:rsid w:val="00A25CB8"/>
    <w:rsid w:val="00A27A7F"/>
    <w:rsid w:val="00A27D6E"/>
    <w:rsid w:val="00A3276A"/>
    <w:rsid w:val="00A32883"/>
    <w:rsid w:val="00A339DE"/>
    <w:rsid w:val="00A346B7"/>
    <w:rsid w:val="00A349D2"/>
    <w:rsid w:val="00A34C05"/>
    <w:rsid w:val="00A35492"/>
    <w:rsid w:val="00A356A1"/>
    <w:rsid w:val="00A36F1A"/>
    <w:rsid w:val="00A4044E"/>
    <w:rsid w:val="00A413DF"/>
    <w:rsid w:val="00A42475"/>
    <w:rsid w:val="00A4262E"/>
    <w:rsid w:val="00A42869"/>
    <w:rsid w:val="00A4379F"/>
    <w:rsid w:val="00A4434D"/>
    <w:rsid w:val="00A45039"/>
    <w:rsid w:val="00A454E0"/>
    <w:rsid w:val="00A45546"/>
    <w:rsid w:val="00A456A9"/>
    <w:rsid w:val="00A4585A"/>
    <w:rsid w:val="00A459B3"/>
    <w:rsid w:val="00A459D6"/>
    <w:rsid w:val="00A45B12"/>
    <w:rsid w:val="00A462D5"/>
    <w:rsid w:val="00A4650A"/>
    <w:rsid w:val="00A46E79"/>
    <w:rsid w:val="00A46F7C"/>
    <w:rsid w:val="00A471A7"/>
    <w:rsid w:val="00A47279"/>
    <w:rsid w:val="00A50720"/>
    <w:rsid w:val="00A50922"/>
    <w:rsid w:val="00A50B8A"/>
    <w:rsid w:val="00A51B14"/>
    <w:rsid w:val="00A51F40"/>
    <w:rsid w:val="00A526BF"/>
    <w:rsid w:val="00A55D2B"/>
    <w:rsid w:val="00A572BC"/>
    <w:rsid w:val="00A57A82"/>
    <w:rsid w:val="00A60516"/>
    <w:rsid w:val="00A62B7B"/>
    <w:rsid w:val="00A654A2"/>
    <w:rsid w:val="00A66149"/>
    <w:rsid w:val="00A66AE9"/>
    <w:rsid w:val="00A67428"/>
    <w:rsid w:val="00A702D2"/>
    <w:rsid w:val="00A70CF3"/>
    <w:rsid w:val="00A7155E"/>
    <w:rsid w:val="00A74EDE"/>
    <w:rsid w:val="00A763AE"/>
    <w:rsid w:val="00A76619"/>
    <w:rsid w:val="00A766D5"/>
    <w:rsid w:val="00A76B0D"/>
    <w:rsid w:val="00A80223"/>
    <w:rsid w:val="00A816EE"/>
    <w:rsid w:val="00A81AB5"/>
    <w:rsid w:val="00A82724"/>
    <w:rsid w:val="00A82A2F"/>
    <w:rsid w:val="00A82C5A"/>
    <w:rsid w:val="00A83FF6"/>
    <w:rsid w:val="00A85A28"/>
    <w:rsid w:val="00A85CB7"/>
    <w:rsid w:val="00A8620F"/>
    <w:rsid w:val="00A8650D"/>
    <w:rsid w:val="00A8652F"/>
    <w:rsid w:val="00A86AAB"/>
    <w:rsid w:val="00A86D49"/>
    <w:rsid w:val="00A8769A"/>
    <w:rsid w:val="00A87B22"/>
    <w:rsid w:val="00A90FF4"/>
    <w:rsid w:val="00A91B67"/>
    <w:rsid w:val="00A92E9F"/>
    <w:rsid w:val="00A92EC0"/>
    <w:rsid w:val="00A92EED"/>
    <w:rsid w:val="00A9563B"/>
    <w:rsid w:val="00A95EBA"/>
    <w:rsid w:val="00A975D5"/>
    <w:rsid w:val="00A9772B"/>
    <w:rsid w:val="00AA0660"/>
    <w:rsid w:val="00AA1409"/>
    <w:rsid w:val="00AA3875"/>
    <w:rsid w:val="00AA404A"/>
    <w:rsid w:val="00AA40DC"/>
    <w:rsid w:val="00AA6228"/>
    <w:rsid w:val="00AA69A4"/>
    <w:rsid w:val="00AB0504"/>
    <w:rsid w:val="00AB09DB"/>
    <w:rsid w:val="00AB0C03"/>
    <w:rsid w:val="00AB1131"/>
    <w:rsid w:val="00AB133D"/>
    <w:rsid w:val="00AB1B91"/>
    <w:rsid w:val="00AB2744"/>
    <w:rsid w:val="00AB274F"/>
    <w:rsid w:val="00AB2CAA"/>
    <w:rsid w:val="00AB5F30"/>
    <w:rsid w:val="00AB61E4"/>
    <w:rsid w:val="00AB6BE3"/>
    <w:rsid w:val="00AB7AAA"/>
    <w:rsid w:val="00AC2197"/>
    <w:rsid w:val="00AC37C3"/>
    <w:rsid w:val="00AC3C7B"/>
    <w:rsid w:val="00AC3E65"/>
    <w:rsid w:val="00AC4A31"/>
    <w:rsid w:val="00AC535B"/>
    <w:rsid w:val="00AC5607"/>
    <w:rsid w:val="00AC5F6A"/>
    <w:rsid w:val="00AD0B3C"/>
    <w:rsid w:val="00AD0C6F"/>
    <w:rsid w:val="00AD0FC3"/>
    <w:rsid w:val="00AD15D9"/>
    <w:rsid w:val="00AD1CC0"/>
    <w:rsid w:val="00AD21E7"/>
    <w:rsid w:val="00AD22B5"/>
    <w:rsid w:val="00AD2718"/>
    <w:rsid w:val="00AD2871"/>
    <w:rsid w:val="00AD2CE9"/>
    <w:rsid w:val="00AD33D3"/>
    <w:rsid w:val="00AD366A"/>
    <w:rsid w:val="00AD3DB4"/>
    <w:rsid w:val="00AD432B"/>
    <w:rsid w:val="00AD4D26"/>
    <w:rsid w:val="00AD5133"/>
    <w:rsid w:val="00AD5712"/>
    <w:rsid w:val="00AD6AC5"/>
    <w:rsid w:val="00AD76A1"/>
    <w:rsid w:val="00AE0699"/>
    <w:rsid w:val="00AE2405"/>
    <w:rsid w:val="00AE415B"/>
    <w:rsid w:val="00AE48E8"/>
    <w:rsid w:val="00AE7F20"/>
    <w:rsid w:val="00AF0E7C"/>
    <w:rsid w:val="00AF1F04"/>
    <w:rsid w:val="00AF31FE"/>
    <w:rsid w:val="00AF3B55"/>
    <w:rsid w:val="00AF3D59"/>
    <w:rsid w:val="00AF648D"/>
    <w:rsid w:val="00AF6794"/>
    <w:rsid w:val="00AF681D"/>
    <w:rsid w:val="00AF6F48"/>
    <w:rsid w:val="00AF717E"/>
    <w:rsid w:val="00B016F7"/>
    <w:rsid w:val="00B02BDD"/>
    <w:rsid w:val="00B03F1F"/>
    <w:rsid w:val="00B04E10"/>
    <w:rsid w:val="00B055B9"/>
    <w:rsid w:val="00B06140"/>
    <w:rsid w:val="00B12C44"/>
    <w:rsid w:val="00B12EEA"/>
    <w:rsid w:val="00B13243"/>
    <w:rsid w:val="00B13511"/>
    <w:rsid w:val="00B13760"/>
    <w:rsid w:val="00B13D85"/>
    <w:rsid w:val="00B16296"/>
    <w:rsid w:val="00B16798"/>
    <w:rsid w:val="00B16CC7"/>
    <w:rsid w:val="00B1786A"/>
    <w:rsid w:val="00B206D8"/>
    <w:rsid w:val="00B20C75"/>
    <w:rsid w:val="00B230E5"/>
    <w:rsid w:val="00B23E88"/>
    <w:rsid w:val="00B23EFA"/>
    <w:rsid w:val="00B267A4"/>
    <w:rsid w:val="00B26D36"/>
    <w:rsid w:val="00B27550"/>
    <w:rsid w:val="00B312C7"/>
    <w:rsid w:val="00B316B9"/>
    <w:rsid w:val="00B31E90"/>
    <w:rsid w:val="00B32E58"/>
    <w:rsid w:val="00B335A2"/>
    <w:rsid w:val="00B342D1"/>
    <w:rsid w:val="00B34371"/>
    <w:rsid w:val="00B357DD"/>
    <w:rsid w:val="00B3697F"/>
    <w:rsid w:val="00B36BEC"/>
    <w:rsid w:val="00B37104"/>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49C"/>
    <w:rsid w:val="00B64099"/>
    <w:rsid w:val="00B643D6"/>
    <w:rsid w:val="00B64919"/>
    <w:rsid w:val="00B66235"/>
    <w:rsid w:val="00B665B2"/>
    <w:rsid w:val="00B667C6"/>
    <w:rsid w:val="00B66BC8"/>
    <w:rsid w:val="00B71F08"/>
    <w:rsid w:val="00B73838"/>
    <w:rsid w:val="00B7421A"/>
    <w:rsid w:val="00B74366"/>
    <w:rsid w:val="00B75F20"/>
    <w:rsid w:val="00B762FD"/>
    <w:rsid w:val="00B773F9"/>
    <w:rsid w:val="00B808A4"/>
    <w:rsid w:val="00B81371"/>
    <w:rsid w:val="00B818B8"/>
    <w:rsid w:val="00B81E78"/>
    <w:rsid w:val="00B836F0"/>
    <w:rsid w:val="00B83D16"/>
    <w:rsid w:val="00B83E2E"/>
    <w:rsid w:val="00B855AA"/>
    <w:rsid w:val="00B85DB5"/>
    <w:rsid w:val="00B8600A"/>
    <w:rsid w:val="00B8780A"/>
    <w:rsid w:val="00B902E7"/>
    <w:rsid w:val="00B90BCE"/>
    <w:rsid w:val="00B922D9"/>
    <w:rsid w:val="00B92605"/>
    <w:rsid w:val="00B926D6"/>
    <w:rsid w:val="00B93351"/>
    <w:rsid w:val="00B93CBA"/>
    <w:rsid w:val="00B945F2"/>
    <w:rsid w:val="00B95670"/>
    <w:rsid w:val="00B959FD"/>
    <w:rsid w:val="00B966BF"/>
    <w:rsid w:val="00B96A5B"/>
    <w:rsid w:val="00B96F35"/>
    <w:rsid w:val="00B974B4"/>
    <w:rsid w:val="00BA0012"/>
    <w:rsid w:val="00BA0458"/>
    <w:rsid w:val="00BA120A"/>
    <w:rsid w:val="00BA1798"/>
    <w:rsid w:val="00BA3BB7"/>
    <w:rsid w:val="00BA4F66"/>
    <w:rsid w:val="00BA54A2"/>
    <w:rsid w:val="00BA65BE"/>
    <w:rsid w:val="00BA6D15"/>
    <w:rsid w:val="00BA7987"/>
    <w:rsid w:val="00BA7CFA"/>
    <w:rsid w:val="00BB1309"/>
    <w:rsid w:val="00BB2592"/>
    <w:rsid w:val="00BB3156"/>
    <w:rsid w:val="00BB5568"/>
    <w:rsid w:val="00BB5ADB"/>
    <w:rsid w:val="00BB5CA9"/>
    <w:rsid w:val="00BB6662"/>
    <w:rsid w:val="00BB7E0C"/>
    <w:rsid w:val="00BC0CE4"/>
    <w:rsid w:val="00BC22CD"/>
    <w:rsid w:val="00BC2443"/>
    <w:rsid w:val="00BC260A"/>
    <w:rsid w:val="00BC30BF"/>
    <w:rsid w:val="00BC3150"/>
    <w:rsid w:val="00BC3972"/>
    <w:rsid w:val="00BC4307"/>
    <w:rsid w:val="00BC4C44"/>
    <w:rsid w:val="00BC61B2"/>
    <w:rsid w:val="00BC7970"/>
    <w:rsid w:val="00BC7E69"/>
    <w:rsid w:val="00BD025A"/>
    <w:rsid w:val="00BD02D5"/>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E00FA"/>
    <w:rsid w:val="00BE0C95"/>
    <w:rsid w:val="00BE2028"/>
    <w:rsid w:val="00BE213E"/>
    <w:rsid w:val="00BE293E"/>
    <w:rsid w:val="00BE31BD"/>
    <w:rsid w:val="00BE462E"/>
    <w:rsid w:val="00BE4E03"/>
    <w:rsid w:val="00BE545A"/>
    <w:rsid w:val="00BE57A2"/>
    <w:rsid w:val="00BE5E11"/>
    <w:rsid w:val="00BE6C95"/>
    <w:rsid w:val="00BE74FA"/>
    <w:rsid w:val="00BE7D66"/>
    <w:rsid w:val="00BF0A54"/>
    <w:rsid w:val="00BF0F1C"/>
    <w:rsid w:val="00BF1278"/>
    <w:rsid w:val="00BF1B7F"/>
    <w:rsid w:val="00BF2346"/>
    <w:rsid w:val="00BF3B85"/>
    <w:rsid w:val="00BF485E"/>
    <w:rsid w:val="00BF4B61"/>
    <w:rsid w:val="00BF5B15"/>
    <w:rsid w:val="00BF6B5B"/>
    <w:rsid w:val="00BF6D83"/>
    <w:rsid w:val="00BF704D"/>
    <w:rsid w:val="00BF7365"/>
    <w:rsid w:val="00BF7824"/>
    <w:rsid w:val="00C020F8"/>
    <w:rsid w:val="00C02535"/>
    <w:rsid w:val="00C04666"/>
    <w:rsid w:val="00C04D22"/>
    <w:rsid w:val="00C04E74"/>
    <w:rsid w:val="00C06C02"/>
    <w:rsid w:val="00C070ED"/>
    <w:rsid w:val="00C101C2"/>
    <w:rsid w:val="00C109C3"/>
    <w:rsid w:val="00C11482"/>
    <w:rsid w:val="00C1254E"/>
    <w:rsid w:val="00C12E38"/>
    <w:rsid w:val="00C14CDF"/>
    <w:rsid w:val="00C150E0"/>
    <w:rsid w:val="00C150F6"/>
    <w:rsid w:val="00C15498"/>
    <w:rsid w:val="00C15F97"/>
    <w:rsid w:val="00C16762"/>
    <w:rsid w:val="00C17637"/>
    <w:rsid w:val="00C179FC"/>
    <w:rsid w:val="00C203F6"/>
    <w:rsid w:val="00C20EB1"/>
    <w:rsid w:val="00C2139F"/>
    <w:rsid w:val="00C24101"/>
    <w:rsid w:val="00C24FF3"/>
    <w:rsid w:val="00C2575E"/>
    <w:rsid w:val="00C26121"/>
    <w:rsid w:val="00C27ABF"/>
    <w:rsid w:val="00C3086E"/>
    <w:rsid w:val="00C30C51"/>
    <w:rsid w:val="00C315FB"/>
    <w:rsid w:val="00C31713"/>
    <w:rsid w:val="00C317BD"/>
    <w:rsid w:val="00C31E8F"/>
    <w:rsid w:val="00C33279"/>
    <w:rsid w:val="00C34B8F"/>
    <w:rsid w:val="00C35332"/>
    <w:rsid w:val="00C36183"/>
    <w:rsid w:val="00C36612"/>
    <w:rsid w:val="00C37421"/>
    <w:rsid w:val="00C41015"/>
    <w:rsid w:val="00C41131"/>
    <w:rsid w:val="00C411C1"/>
    <w:rsid w:val="00C422BD"/>
    <w:rsid w:val="00C42ED3"/>
    <w:rsid w:val="00C43A3B"/>
    <w:rsid w:val="00C44847"/>
    <w:rsid w:val="00C453BC"/>
    <w:rsid w:val="00C45581"/>
    <w:rsid w:val="00C45BF0"/>
    <w:rsid w:val="00C46213"/>
    <w:rsid w:val="00C4712A"/>
    <w:rsid w:val="00C47468"/>
    <w:rsid w:val="00C47CDC"/>
    <w:rsid w:val="00C50A2B"/>
    <w:rsid w:val="00C51671"/>
    <w:rsid w:val="00C5280A"/>
    <w:rsid w:val="00C5401F"/>
    <w:rsid w:val="00C54922"/>
    <w:rsid w:val="00C55FE8"/>
    <w:rsid w:val="00C601EF"/>
    <w:rsid w:val="00C60AF2"/>
    <w:rsid w:val="00C6220B"/>
    <w:rsid w:val="00C62658"/>
    <w:rsid w:val="00C634D6"/>
    <w:rsid w:val="00C63CF2"/>
    <w:rsid w:val="00C6440A"/>
    <w:rsid w:val="00C648FC"/>
    <w:rsid w:val="00C663BE"/>
    <w:rsid w:val="00C70AB7"/>
    <w:rsid w:val="00C71858"/>
    <w:rsid w:val="00C71FE6"/>
    <w:rsid w:val="00C722C5"/>
    <w:rsid w:val="00C74346"/>
    <w:rsid w:val="00C744AE"/>
    <w:rsid w:val="00C74781"/>
    <w:rsid w:val="00C76B87"/>
    <w:rsid w:val="00C80034"/>
    <w:rsid w:val="00C828E8"/>
    <w:rsid w:val="00C83579"/>
    <w:rsid w:val="00C83EA7"/>
    <w:rsid w:val="00C83EF5"/>
    <w:rsid w:val="00C84559"/>
    <w:rsid w:val="00C84E31"/>
    <w:rsid w:val="00C85A48"/>
    <w:rsid w:val="00C862C4"/>
    <w:rsid w:val="00C86977"/>
    <w:rsid w:val="00C86B34"/>
    <w:rsid w:val="00C86FFF"/>
    <w:rsid w:val="00C871C7"/>
    <w:rsid w:val="00C91060"/>
    <w:rsid w:val="00C9187A"/>
    <w:rsid w:val="00C928FD"/>
    <w:rsid w:val="00C95593"/>
    <w:rsid w:val="00C96E6B"/>
    <w:rsid w:val="00CA0640"/>
    <w:rsid w:val="00CA12DB"/>
    <w:rsid w:val="00CA2022"/>
    <w:rsid w:val="00CA2BBF"/>
    <w:rsid w:val="00CA4741"/>
    <w:rsid w:val="00CA7A78"/>
    <w:rsid w:val="00CA7F49"/>
    <w:rsid w:val="00CB2FC0"/>
    <w:rsid w:val="00CB3C69"/>
    <w:rsid w:val="00CB403F"/>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D32FE"/>
    <w:rsid w:val="00CD3E7D"/>
    <w:rsid w:val="00CD3FC0"/>
    <w:rsid w:val="00CD5036"/>
    <w:rsid w:val="00CD6866"/>
    <w:rsid w:val="00CD76D4"/>
    <w:rsid w:val="00CD7893"/>
    <w:rsid w:val="00CE03CC"/>
    <w:rsid w:val="00CE0F94"/>
    <w:rsid w:val="00CE1668"/>
    <w:rsid w:val="00CE6D82"/>
    <w:rsid w:val="00CE7E6A"/>
    <w:rsid w:val="00CF030B"/>
    <w:rsid w:val="00CF23A2"/>
    <w:rsid w:val="00CF5D77"/>
    <w:rsid w:val="00CF6EB2"/>
    <w:rsid w:val="00CF7060"/>
    <w:rsid w:val="00D00269"/>
    <w:rsid w:val="00D01F86"/>
    <w:rsid w:val="00D02F72"/>
    <w:rsid w:val="00D07816"/>
    <w:rsid w:val="00D10AB0"/>
    <w:rsid w:val="00D12EE7"/>
    <w:rsid w:val="00D1373C"/>
    <w:rsid w:val="00D16AE4"/>
    <w:rsid w:val="00D16B19"/>
    <w:rsid w:val="00D16BAD"/>
    <w:rsid w:val="00D172B8"/>
    <w:rsid w:val="00D1735B"/>
    <w:rsid w:val="00D17702"/>
    <w:rsid w:val="00D17C3D"/>
    <w:rsid w:val="00D20E91"/>
    <w:rsid w:val="00D225CB"/>
    <w:rsid w:val="00D23CD2"/>
    <w:rsid w:val="00D24179"/>
    <w:rsid w:val="00D25492"/>
    <w:rsid w:val="00D25A9F"/>
    <w:rsid w:val="00D266ED"/>
    <w:rsid w:val="00D26916"/>
    <w:rsid w:val="00D2734A"/>
    <w:rsid w:val="00D276CF"/>
    <w:rsid w:val="00D27F25"/>
    <w:rsid w:val="00D30003"/>
    <w:rsid w:val="00D306AB"/>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311D"/>
    <w:rsid w:val="00D4329F"/>
    <w:rsid w:val="00D43F2D"/>
    <w:rsid w:val="00D446E7"/>
    <w:rsid w:val="00D47265"/>
    <w:rsid w:val="00D47500"/>
    <w:rsid w:val="00D4793C"/>
    <w:rsid w:val="00D5247A"/>
    <w:rsid w:val="00D524E2"/>
    <w:rsid w:val="00D57FDA"/>
    <w:rsid w:val="00D60582"/>
    <w:rsid w:val="00D60C22"/>
    <w:rsid w:val="00D61222"/>
    <w:rsid w:val="00D63800"/>
    <w:rsid w:val="00D63990"/>
    <w:rsid w:val="00D63C47"/>
    <w:rsid w:val="00D641DC"/>
    <w:rsid w:val="00D65068"/>
    <w:rsid w:val="00D65243"/>
    <w:rsid w:val="00D65794"/>
    <w:rsid w:val="00D658A1"/>
    <w:rsid w:val="00D65BBD"/>
    <w:rsid w:val="00D67E99"/>
    <w:rsid w:val="00D70BE1"/>
    <w:rsid w:val="00D71057"/>
    <w:rsid w:val="00D730F6"/>
    <w:rsid w:val="00D738F0"/>
    <w:rsid w:val="00D75E6C"/>
    <w:rsid w:val="00D80C86"/>
    <w:rsid w:val="00D8175A"/>
    <w:rsid w:val="00D82CB3"/>
    <w:rsid w:val="00D82FC0"/>
    <w:rsid w:val="00D8322A"/>
    <w:rsid w:val="00D83B2A"/>
    <w:rsid w:val="00D83C17"/>
    <w:rsid w:val="00D8541E"/>
    <w:rsid w:val="00D85885"/>
    <w:rsid w:val="00D86E75"/>
    <w:rsid w:val="00D8720F"/>
    <w:rsid w:val="00D87527"/>
    <w:rsid w:val="00D87652"/>
    <w:rsid w:val="00D9009F"/>
    <w:rsid w:val="00D905C2"/>
    <w:rsid w:val="00D9197D"/>
    <w:rsid w:val="00D92D08"/>
    <w:rsid w:val="00D9372E"/>
    <w:rsid w:val="00D938BE"/>
    <w:rsid w:val="00D9392E"/>
    <w:rsid w:val="00D9478C"/>
    <w:rsid w:val="00D947F0"/>
    <w:rsid w:val="00D963CC"/>
    <w:rsid w:val="00DA22D8"/>
    <w:rsid w:val="00DA2D95"/>
    <w:rsid w:val="00DA3A4F"/>
    <w:rsid w:val="00DA42C0"/>
    <w:rsid w:val="00DA4F1C"/>
    <w:rsid w:val="00DA52A2"/>
    <w:rsid w:val="00DA57B0"/>
    <w:rsid w:val="00DA7E2F"/>
    <w:rsid w:val="00DB09E9"/>
    <w:rsid w:val="00DB0C0B"/>
    <w:rsid w:val="00DB2446"/>
    <w:rsid w:val="00DB31E7"/>
    <w:rsid w:val="00DB3A66"/>
    <w:rsid w:val="00DB4BEF"/>
    <w:rsid w:val="00DB546B"/>
    <w:rsid w:val="00DB5AC6"/>
    <w:rsid w:val="00DB74A4"/>
    <w:rsid w:val="00DB78B2"/>
    <w:rsid w:val="00DB7C4B"/>
    <w:rsid w:val="00DC073A"/>
    <w:rsid w:val="00DC0A7B"/>
    <w:rsid w:val="00DC1539"/>
    <w:rsid w:val="00DC2022"/>
    <w:rsid w:val="00DC230C"/>
    <w:rsid w:val="00DC27E7"/>
    <w:rsid w:val="00DC2A1F"/>
    <w:rsid w:val="00DC2CE7"/>
    <w:rsid w:val="00DC301A"/>
    <w:rsid w:val="00DC470B"/>
    <w:rsid w:val="00DC5188"/>
    <w:rsid w:val="00DC6294"/>
    <w:rsid w:val="00DC6AEA"/>
    <w:rsid w:val="00DC7377"/>
    <w:rsid w:val="00DC770E"/>
    <w:rsid w:val="00DD22FA"/>
    <w:rsid w:val="00DD2912"/>
    <w:rsid w:val="00DD2D98"/>
    <w:rsid w:val="00DD353B"/>
    <w:rsid w:val="00DD3902"/>
    <w:rsid w:val="00DD3B02"/>
    <w:rsid w:val="00DD3E6A"/>
    <w:rsid w:val="00DD417A"/>
    <w:rsid w:val="00DD45C1"/>
    <w:rsid w:val="00DD4805"/>
    <w:rsid w:val="00DD4849"/>
    <w:rsid w:val="00DD4A21"/>
    <w:rsid w:val="00DD4A95"/>
    <w:rsid w:val="00DE0FC0"/>
    <w:rsid w:val="00DE190A"/>
    <w:rsid w:val="00DE1A76"/>
    <w:rsid w:val="00DE3050"/>
    <w:rsid w:val="00DE31D8"/>
    <w:rsid w:val="00DE3A31"/>
    <w:rsid w:val="00DE4F75"/>
    <w:rsid w:val="00DE5F76"/>
    <w:rsid w:val="00DF09A4"/>
    <w:rsid w:val="00DF0DF7"/>
    <w:rsid w:val="00DF13A5"/>
    <w:rsid w:val="00DF1AE4"/>
    <w:rsid w:val="00DF1C93"/>
    <w:rsid w:val="00DF1E5D"/>
    <w:rsid w:val="00DF2ABA"/>
    <w:rsid w:val="00DF391A"/>
    <w:rsid w:val="00DF419C"/>
    <w:rsid w:val="00DF51C5"/>
    <w:rsid w:val="00DF5487"/>
    <w:rsid w:val="00DF72C7"/>
    <w:rsid w:val="00E00D6F"/>
    <w:rsid w:val="00E03246"/>
    <w:rsid w:val="00E03508"/>
    <w:rsid w:val="00E03C0E"/>
    <w:rsid w:val="00E066DF"/>
    <w:rsid w:val="00E07128"/>
    <w:rsid w:val="00E073C2"/>
    <w:rsid w:val="00E10AC3"/>
    <w:rsid w:val="00E10C25"/>
    <w:rsid w:val="00E1123F"/>
    <w:rsid w:val="00E12D1C"/>
    <w:rsid w:val="00E14266"/>
    <w:rsid w:val="00E14307"/>
    <w:rsid w:val="00E15911"/>
    <w:rsid w:val="00E16412"/>
    <w:rsid w:val="00E165DD"/>
    <w:rsid w:val="00E16A98"/>
    <w:rsid w:val="00E17ADD"/>
    <w:rsid w:val="00E227C3"/>
    <w:rsid w:val="00E22843"/>
    <w:rsid w:val="00E23111"/>
    <w:rsid w:val="00E24C79"/>
    <w:rsid w:val="00E26881"/>
    <w:rsid w:val="00E26DFE"/>
    <w:rsid w:val="00E2713B"/>
    <w:rsid w:val="00E274D7"/>
    <w:rsid w:val="00E3177E"/>
    <w:rsid w:val="00E32652"/>
    <w:rsid w:val="00E32DDF"/>
    <w:rsid w:val="00E33108"/>
    <w:rsid w:val="00E34622"/>
    <w:rsid w:val="00E34657"/>
    <w:rsid w:val="00E34706"/>
    <w:rsid w:val="00E35537"/>
    <w:rsid w:val="00E36C79"/>
    <w:rsid w:val="00E36F7D"/>
    <w:rsid w:val="00E405E0"/>
    <w:rsid w:val="00E43ABE"/>
    <w:rsid w:val="00E44057"/>
    <w:rsid w:val="00E445BD"/>
    <w:rsid w:val="00E46673"/>
    <w:rsid w:val="00E47802"/>
    <w:rsid w:val="00E47A5F"/>
    <w:rsid w:val="00E506E7"/>
    <w:rsid w:val="00E507A5"/>
    <w:rsid w:val="00E51A57"/>
    <w:rsid w:val="00E528D2"/>
    <w:rsid w:val="00E54E89"/>
    <w:rsid w:val="00E57E0F"/>
    <w:rsid w:val="00E601CE"/>
    <w:rsid w:val="00E602CF"/>
    <w:rsid w:val="00E60B1D"/>
    <w:rsid w:val="00E612B6"/>
    <w:rsid w:val="00E61EE8"/>
    <w:rsid w:val="00E62061"/>
    <w:rsid w:val="00E62441"/>
    <w:rsid w:val="00E63879"/>
    <w:rsid w:val="00E647FF"/>
    <w:rsid w:val="00E650C6"/>
    <w:rsid w:val="00E66A80"/>
    <w:rsid w:val="00E66AB0"/>
    <w:rsid w:val="00E66EE6"/>
    <w:rsid w:val="00E7063D"/>
    <w:rsid w:val="00E71329"/>
    <w:rsid w:val="00E71633"/>
    <w:rsid w:val="00E7218C"/>
    <w:rsid w:val="00E72689"/>
    <w:rsid w:val="00E730AA"/>
    <w:rsid w:val="00E73B1B"/>
    <w:rsid w:val="00E74C7A"/>
    <w:rsid w:val="00E76F52"/>
    <w:rsid w:val="00E77DBA"/>
    <w:rsid w:val="00E80C3D"/>
    <w:rsid w:val="00E82B54"/>
    <w:rsid w:val="00E8380C"/>
    <w:rsid w:val="00E838B2"/>
    <w:rsid w:val="00E84521"/>
    <w:rsid w:val="00E84D6B"/>
    <w:rsid w:val="00E856B0"/>
    <w:rsid w:val="00E85D85"/>
    <w:rsid w:val="00E86868"/>
    <w:rsid w:val="00E86C2A"/>
    <w:rsid w:val="00E86CA1"/>
    <w:rsid w:val="00E87F07"/>
    <w:rsid w:val="00E91E35"/>
    <w:rsid w:val="00E937B5"/>
    <w:rsid w:val="00E9428D"/>
    <w:rsid w:val="00E9442F"/>
    <w:rsid w:val="00E94495"/>
    <w:rsid w:val="00E9486B"/>
    <w:rsid w:val="00E95534"/>
    <w:rsid w:val="00E96326"/>
    <w:rsid w:val="00E969D2"/>
    <w:rsid w:val="00E97537"/>
    <w:rsid w:val="00E97D83"/>
    <w:rsid w:val="00EA0B80"/>
    <w:rsid w:val="00EA0CA1"/>
    <w:rsid w:val="00EA1975"/>
    <w:rsid w:val="00EA1D8B"/>
    <w:rsid w:val="00EA3249"/>
    <w:rsid w:val="00EA3C59"/>
    <w:rsid w:val="00EA4CEB"/>
    <w:rsid w:val="00EA5118"/>
    <w:rsid w:val="00EA6C56"/>
    <w:rsid w:val="00EB02F9"/>
    <w:rsid w:val="00EB06C2"/>
    <w:rsid w:val="00EB0909"/>
    <w:rsid w:val="00EB0C63"/>
    <w:rsid w:val="00EB0DF0"/>
    <w:rsid w:val="00EB1A2C"/>
    <w:rsid w:val="00EB2513"/>
    <w:rsid w:val="00EB3DF7"/>
    <w:rsid w:val="00EB40DC"/>
    <w:rsid w:val="00EB456E"/>
    <w:rsid w:val="00EB4A53"/>
    <w:rsid w:val="00EB5616"/>
    <w:rsid w:val="00EB743F"/>
    <w:rsid w:val="00EC064C"/>
    <w:rsid w:val="00EC0BFA"/>
    <w:rsid w:val="00EC0D38"/>
    <w:rsid w:val="00EC115D"/>
    <w:rsid w:val="00EC152A"/>
    <w:rsid w:val="00EC3328"/>
    <w:rsid w:val="00EC34A9"/>
    <w:rsid w:val="00EC3934"/>
    <w:rsid w:val="00EC6F0E"/>
    <w:rsid w:val="00EC7352"/>
    <w:rsid w:val="00ED2270"/>
    <w:rsid w:val="00ED3818"/>
    <w:rsid w:val="00ED512E"/>
    <w:rsid w:val="00ED5655"/>
    <w:rsid w:val="00EE0293"/>
    <w:rsid w:val="00EE03EC"/>
    <w:rsid w:val="00EE048D"/>
    <w:rsid w:val="00EE0568"/>
    <w:rsid w:val="00EE0ACB"/>
    <w:rsid w:val="00EE107C"/>
    <w:rsid w:val="00EE280E"/>
    <w:rsid w:val="00EE3E9C"/>
    <w:rsid w:val="00EE4975"/>
    <w:rsid w:val="00EE4D4C"/>
    <w:rsid w:val="00EE4FBE"/>
    <w:rsid w:val="00EE6D29"/>
    <w:rsid w:val="00EE7726"/>
    <w:rsid w:val="00EF014A"/>
    <w:rsid w:val="00EF01CE"/>
    <w:rsid w:val="00EF0558"/>
    <w:rsid w:val="00EF10EB"/>
    <w:rsid w:val="00EF1D84"/>
    <w:rsid w:val="00EF1DC8"/>
    <w:rsid w:val="00EF1F30"/>
    <w:rsid w:val="00EF26CB"/>
    <w:rsid w:val="00EF2E2B"/>
    <w:rsid w:val="00EF34D2"/>
    <w:rsid w:val="00EF4C26"/>
    <w:rsid w:val="00EF4DE0"/>
    <w:rsid w:val="00EF5CC0"/>
    <w:rsid w:val="00EF7540"/>
    <w:rsid w:val="00EF75DE"/>
    <w:rsid w:val="00F00649"/>
    <w:rsid w:val="00F00A25"/>
    <w:rsid w:val="00F01443"/>
    <w:rsid w:val="00F01801"/>
    <w:rsid w:val="00F02412"/>
    <w:rsid w:val="00F026B4"/>
    <w:rsid w:val="00F0292D"/>
    <w:rsid w:val="00F02E9D"/>
    <w:rsid w:val="00F04044"/>
    <w:rsid w:val="00F046C8"/>
    <w:rsid w:val="00F047AB"/>
    <w:rsid w:val="00F05CD6"/>
    <w:rsid w:val="00F05DE1"/>
    <w:rsid w:val="00F06D58"/>
    <w:rsid w:val="00F07353"/>
    <w:rsid w:val="00F07798"/>
    <w:rsid w:val="00F104AB"/>
    <w:rsid w:val="00F10806"/>
    <w:rsid w:val="00F10D6B"/>
    <w:rsid w:val="00F12C08"/>
    <w:rsid w:val="00F12CDC"/>
    <w:rsid w:val="00F135F6"/>
    <w:rsid w:val="00F13E45"/>
    <w:rsid w:val="00F147C6"/>
    <w:rsid w:val="00F17282"/>
    <w:rsid w:val="00F20933"/>
    <w:rsid w:val="00F21705"/>
    <w:rsid w:val="00F2227E"/>
    <w:rsid w:val="00F231FC"/>
    <w:rsid w:val="00F24AB7"/>
    <w:rsid w:val="00F2567E"/>
    <w:rsid w:val="00F25E84"/>
    <w:rsid w:val="00F26068"/>
    <w:rsid w:val="00F2706D"/>
    <w:rsid w:val="00F2723F"/>
    <w:rsid w:val="00F27ADB"/>
    <w:rsid w:val="00F30500"/>
    <w:rsid w:val="00F305A8"/>
    <w:rsid w:val="00F31178"/>
    <w:rsid w:val="00F32971"/>
    <w:rsid w:val="00F339E9"/>
    <w:rsid w:val="00F3400B"/>
    <w:rsid w:val="00F35C44"/>
    <w:rsid w:val="00F37B6F"/>
    <w:rsid w:val="00F40C05"/>
    <w:rsid w:val="00F40E86"/>
    <w:rsid w:val="00F42168"/>
    <w:rsid w:val="00F425B3"/>
    <w:rsid w:val="00F44C78"/>
    <w:rsid w:val="00F44F38"/>
    <w:rsid w:val="00F452C0"/>
    <w:rsid w:val="00F459E6"/>
    <w:rsid w:val="00F46B41"/>
    <w:rsid w:val="00F517FF"/>
    <w:rsid w:val="00F529E5"/>
    <w:rsid w:val="00F53C70"/>
    <w:rsid w:val="00F55309"/>
    <w:rsid w:val="00F562A9"/>
    <w:rsid w:val="00F56E0D"/>
    <w:rsid w:val="00F60C62"/>
    <w:rsid w:val="00F62476"/>
    <w:rsid w:val="00F62C00"/>
    <w:rsid w:val="00F6300E"/>
    <w:rsid w:val="00F6301A"/>
    <w:rsid w:val="00F6387F"/>
    <w:rsid w:val="00F645AF"/>
    <w:rsid w:val="00F66BC9"/>
    <w:rsid w:val="00F67946"/>
    <w:rsid w:val="00F71035"/>
    <w:rsid w:val="00F7153A"/>
    <w:rsid w:val="00F72B99"/>
    <w:rsid w:val="00F72CCD"/>
    <w:rsid w:val="00F72E9F"/>
    <w:rsid w:val="00F73166"/>
    <w:rsid w:val="00F736F9"/>
    <w:rsid w:val="00F739E9"/>
    <w:rsid w:val="00F754E9"/>
    <w:rsid w:val="00F81620"/>
    <w:rsid w:val="00F84185"/>
    <w:rsid w:val="00F84240"/>
    <w:rsid w:val="00F842FD"/>
    <w:rsid w:val="00F85237"/>
    <w:rsid w:val="00F8564F"/>
    <w:rsid w:val="00F87DAE"/>
    <w:rsid w:val="00F9000A"/>
    <w:rsid w:val="00F9002A"/>
    <w:rsid w:val="00F906D0"/>
    <w:rsid w:val="00F90CC8"/>
    <w:rsid w:val="00F92EF0"/>
    <w:rsid w:val="00F93903"/>
    <w:rsid w:val="00F93FEB"/>
    <w:rsid w:val="00F94E43"/>
    <w:rsid w:val="00F96156"/>
    <w:rsid w:val="00F96460"/>
    <w:rsid w:val="00F97AFE"/>
    <w:rsid w:val="00F97E65"/>
    <w:rsid w:val="00FA0128"/>
    <w:rsid w:val="00FA0F09"/>
    <w:rsid w:val="00FA1786"/>
    <w:rsid w:val="00FA17C2"/>
    <w:rsid w:val="00FA215F"/>
    <w:rsid w:val="00FA3191"/>
    <w:rsid w:val="00FA5AE3"/>
    <w:rsid w:val="00FA6563"/>
    <w:rsid w:val="00FA73DD"/>
    <w:rsid w:val="00FB0AD7"/>
    <w:rsid w:val="00FB13C2"/>
    <w:rsid w:val="00FB27FA"/>
    <w:rsid w:val="00FB35D3"/>
    <w:rsid w:val="00FB380D"/>
    <w:rsid w:val="00FB3FB7"/>
    <w:rsid w:val="00FB5507"/>
    <w:rsid w:val="00FB70B7"/>
    <w:rsid w:val="00FB76C5"/>
    <w:rsid w:val="00FB7FBE"/>
    <w:rsid w:val="00FC0824"/>
    <w:rsid w:val="00FC0C57"/>
    <w:rsid w:val="00FC1565"/>
    <w:rsid w:val="00FC16B9"/>
    <w:rsid w:val="00FC1DA7"/>
    <w:rsid w:val="00FC2414"/>
    <w:rsid w:val="00FC2C4D"/>
    <w:rsid w:val="00FC2E20"/>
    <w:rsid w:val="00FC44A1"/>
    <w:rsid w:val="00FC4DEB"/>
    <w:rsid w:val="00FC50CE"/>
    <w:rsid w:val="00FC62AC"/>
    <w:rsid w:val="00FC6AC7"/>
    <w:rsid w:val="00FC77FF"/>
    <w:rsid w:val="00FC7E40"/>
    <w:rsid w:val="00FD1351"/>
    <w:rsid w:val="00FD4644"/>
    <w:rsid w:val="00FD4B65"/>
    <w:rsid w:val="00FD6729"/>
    <w:rsid w:val="00FD7996"/>
    <w:rsid w:val="00FD7B40"/>
    <w:rsid w:val="00FD7B5E"/>
    <w:rsid w:val="00FD7EFE"/>
    <w:rsid w:val="00FE19DB"/>
    <w:rsid w:val="00FE2025"/>
    <w:rsid w:val="00FE2D9D"/>
    <w:rsid w:val="00FE3280"/>
    <w:rsid w:val="00FE38A6"/>
    <w:rsid w:val="00FE45B9"/>
    <w:rsid w:val="00FE4790"/>
    <w:rsid w:val="00FE49E3"/>
    <w:rsid w:val="00FE4E1B"/>
    <w:rsid w:val="00FE562B"/>
    <w:rsid w:val="00FE6FB8"/>
    <w:rsid w:val="00FE7171"/>
    <w:rsid w:val="00FE7904"/>
    <w:rsid w:val="00FE79C6"/>
    <w:rsid w:val="00FF0AD1"/>
    <w:rsid w:val="00FF1315"/>
    <w:rsid w:val="00FF1502"/>
    <w:rsid w:val="00FF2F56"/>
    <w:rsid w:val="00FF3373"/>
    <w:rsid w:val="00FF3B7B"/>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00"/>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B7"/>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sz w:val="20"/>
      <w:szCs w:val="20"/>
    </w:rPr>
  </w:style>
  <w:style w:type="character" w:customStyle="1" w:styleId="Mencinsinresolver4">
    <w:name w:val="Mención sin resolver4"/>
    <w:basedOn w:val="Fuentedeprrafopredeter"/>
    <w:uiPriority w:val="99"/>
    <w:semiHidden/>
    <w:unhideWhenUsed/>
    <w:rsid w:val="00281AC1"/>
    <w:rPr>
      <w:color w:val="605E5C"/>
      <w:shd w:val="clear" w:color="auto" w:fill="E1DFDD"/>
    </w:rPr>
  </w:style>
  <w:style w:type="paragraph" w:customStyle="1" w:styleId="Citas">
    <w:name w:val="Citas"/>
    <w:basedOn w:val="Normal"/>
    <w:qFormat/>
    <w:rsid w:val="003E6DD6"/>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angradetextonormal">
    <w:name w:val="Body Text Indent"/>
    <w:basedOn w:val="Normal"/>
    <w:link w:val="SangradetextonormalCar"/>
    <w:uiPriority w:val="99"/>
    <w:unhideWhenUsed/>
    <w:qFormat/>
    <w:rsid w:val="0026319B"/>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qFormat/>
    <w:rsid w:val="0026319B"/>
    <w:rPr>
      <w:rFonts w:ascii="Times New Roman" w:eastAsia="Times New Roman" w:hAnsi="Times New Roman" w:cs="Times New Roman"/>
      <w:sz w:val="20"/>
      <w:szCs w:val="20"/>
      <w:lang w:val="es-MX"/>
    </w:rPr>
  </w:style>
  <w:style w:type="character" w:styleId="Referenciasutil">
    <w:name w:val="Subtle Reference"/>
    <w:basedOn w:val="Fuentedeprrafopredeter"/>
    <w:uiPriority w:val="31"/>
    <w:qFormat/>
    <w:rsid w:val="00770AD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82">
      <w:bodyDiv w:val="1"/>
      <w:marLeft w:val="0"/>
      <w:marRight w:val="0"/>
      <w:marTop w:val="0"/>
      <w:marBottom w:val="0"/>
      <w:divBdr>
        <w:top w:val="none" w:sz="0" w:space="0" w:color="auto"/>
        <w:left w:val="none" w:sz="0" w:space="0" w:color="auto"/>
        <w:bottom w:val="none" w:sz="0" w:space="0" w:color="auto"/>
        <w:right w:val="none" w:sz="0" w:space="0" w:color="auto"/>
      </w:divBdr>
    </w:div>
    <w:div w:id="5243235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89813402">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145193">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1357479">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70675218">
      <w:bodyDiv w:val="1"/>
      <w:marLeft w:val="0"/>
      <w:marRight w:val="0"/>
      <w:marTop w:val="0"/>
      <w:marBottom w:val="0"/>
      <w:divBdr>
        <w:top w:val="none" w:sz="0" w:space="0" w:color="auto"/>
        <w:left w:val="none" w:sz="0" w:space="0" w:color="auto"/>
        <w:bottom w:val="none" w:sz="0" w:space="0" w:color="auto"/>
        <w:right w:val="none" w:sz="0" w:space="0" w:color="auto"/>
      </w:divBdr>
    </w:div>
    <w:div w:id="27606122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58299988">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669449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0578785">
      <w:bodyDiv w:val="1"/>
      <w:marLeft w:val="0"/>
      <w:marRight w:val="0"/>
      <w:marTop w:val="0"/>
      <w:marBottom w:val="0"/>
      <w:divBdr>
        <w:top w:val="none" w:sz="0" w:space="0" w:color="auto"/>
        <w:left w:val="none" w:sz="0" w:space="0" w:color="auto"/>
        <w:bottom w:val="none" w:sz="0" w:space="0" w:color="auto"/>
        <w:right w:val="none" w:sz="0" w:space="0" w:color="auto"/>
      </w:divBdr>
    </w:div>
    <w:div w:id="620764563">
      <w:bodyDiv w:val="1"/>
      <w:marLeft w:val="0"/>
      <w:marRight w:val="0"/>
      <w:marTop w:val="0"/>
      <w:marBottom w:val="0"/>
      <w:divBdr>
        <w:top w:val="none" w:sz="0" w:space="0" w:color="auto"/>
        <w:left w:val="none" w:sz="0" w:space="0" w:color="auto"/>
        <w:bottom w:val="none" w:sz="0" w:space="0" w:color="auto"/>
        <w:right w:val="none" w:sz="0" w:space="0" w:color="auto"/>
      </w:divBdr>
    </w:div>
    <w:div w:id="62353868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78695899">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21639954">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345644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47157">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1008869">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304311">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28066693">
      <w:bodyDiv w:val="1"/>
      <w:marLeft w:val="0"/>
      <w:marRight w:val="0"/>
      <w:marTop w:val="0"/>
      <w:marBottom w:val="0"/>
      <w:divBdr>
        <w:top w:val="none" w:sz="0" w:space="0" w:color="auto"/>
        <w:left w:val="none" w:sz="0" w:space="0" w:color="auto"/>
        <w:bottom w:val="none" w:sz="0" w:space="0" w:color="auto"/>
        <w:right w:val="none" w:sz="0" w:space="0" w:color="auto"/>
      </w:divBdr>
    </w:div>
    <w:div w:id="1031345158">
      <w:bodyDiv w:val="1"/>
      <w:marLeft w:val="0"/>
      <w:marRight w:val="0"/>
      <w:marTop w:val="0"/>
      <w:marBottom w:val="0"/>
      <w:divBdr>
        <w:top w:val="none" w:sz="0" w:space="0" w:color="auto"/>
        <w:left w:val="none" w:sz="0" w:space="0" w:color="auto"/>
        <w:bottom w:val="none" w:sz="0" w:space="0" w:color="auto"/>
        <w:right w:val="none" w:sz="0" w:space="0" w:color="auto"/>
      </w:divBdr>
    </w:div>
    <w:div w:id="107682908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31825204">
      <w:bodyDiv w:val="1"/>
      <w:marLeft w:val="0"/>
      <w:marRight w:val="0"/>
      <w:marTop w:val="0"/>
      <w:marBottom w:val="0"/>
      <w:divBdr>
        <w:top w:val="none" w:sz="0" w:space="0" w:color="auto"/>
        <w:left w:val="none" w:sz="0" w:space="0" w:color="auto"/>
        <w:bottom w:val="none" w:sz="0" w:space="0" w:color="auto"/>
        <w:right w:val="none" w:sz="0" w:space="0" w:color="auto"/>
      </w:divBdr>
    </w:div>
    <w:div w:id="1151142441">
      <w:bodyDiv w:val="1"/>
      <w:marLeft w:val="0"/>
      <w:marRight w:val="0"/>
      <w:marTop w:val="0"/>
      <w:marBottom w:val="0"/>
      <w:divBdr>
        <w:top w:val="none" w:sz="0" w:space="0" w:color="auto"/>
        <w:left w:val="none" w:sz="0" w:space="0" w:color="auto"/>
        <w:bottom w:val="none" w:sz="0" w:space="0" w:color="auto"/>
        <w:right w:val="none" w:sz="0" w:space="0" w:color="auto"/>
      </w:divBdr>
    </w:div>
    <w:div w:id="1174883874">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2589284">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8921840">
      <w:bodyDiv w:val="1"/>
      <w:marLeft w:val="0"/>
      <w:marRight w:val="0"/>
      <w:marTop w:val="0"/>
      <w:marBottom w:val="0"/>
      <w:divBdr>
        <w:top w:val="none" w:sz="0" w:space="0" w:color="auto"/>
        <w:left w:val="none" w:sz="0" w:space="0" w:color="auto"/>
        <w:bottom w:val="none" w:sz="0" w:space="0" w:color="auto"/>
        <w:right w:val="none" w:sz="0" w:space="0" w:color="auto"/>
      </w:divBdr>
    </w:div>
    <w:div w:id="134828908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9743931">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18404224">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5300335">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636394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04162287">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63338745">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9079227">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01093116">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8675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cdmx.gob.mx/dataset/?groups=justicia-y-seguridad" TargetMode="External"/><Relationship Id="rId13" Type="http://schemas.openxmlformats.org/officeDocument/2006/relationships/hyperlink" Target="https://saimex.org.mx/saimex/solicitud/downloadAttach/1465206.pag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aimex.org.mx/saimex/solicitud/downloadAttach/1465205.pag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aimex.org.mx/saimex/solicitud/downloadAttach/1497809.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465204.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mex.org.mx/saimex/solicitud/downloadAttach/1497808.page" TargetMode="External"/><Relationship Id="rId23" Type="http://schemas.openxmlformats.org/officeDocument/2006/relationships/fontTable" Target="fontTable.xml"/><Relationship Id="rId10" Type="http://schemas.openxmlformats.org/officeDocument/2006/relationships/hyperlink" Target="https://saimex.org.mx/saimex/solicitud/downloadAttach/1465203.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465202.page" TargetMode="External"/><Relationship Id="rId14" Type="http://schemas.openxmlformats.org/officeDocument/2006/relationships/hyperlink" Target="https://saimex.org.mx/saimex/solicitud/downloadAttach/1481273.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65A7-539A-475D-8B34-23AA7067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11087</Words>
  <Characters>60980</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8</cp:revision>
  <cp:lastPrinted>2024-03-15T03:32:00Z</cp:lastPrinted>
  <dcterms:created xsi:type="dcterms:W3CDTF">2024-03-12T17:18:00Z</dcterms:created>
  <dcterms:modified xsi:type="dcterms:W3CDTF">2024-04-16T05:06:00Z</dcterms:modified>
</cp:coreProperties>
</file>