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02D6" w14:textId="6D3612E4" w:rsidR="005527B8" w:rsidRPr="004535C6" w:rsidRDefault="005527B8" w:rsidP="00C60BFE">
      <w:pPr>
        <w:tabs>
          <w:tab w:val="left" w:pos="8931"/>
        </w:tabs>
        <w:spacing w:after="0" w:line="360" w:lineRule="auto"/>
        <w:rPr>
          <w:rFonts w:eastAsia="Palatino Linotype" w:cs="Palatino Linotype"/>
          <w:color w:val="auto"/>
          <w:lang w:eastAsia="es-MX"/>
        </w:rPr>
      </w:pPr>
      <w:r w:rsidRPr="004535C6">
        <w:rPr>
          <w:rFonts w:eastAsia="Palatino Linotype" w:cs="Palatino Linotype"/>
          <w:color w:val="auto"/>
          <w:lang w:eastAsia="es-MX"/>
        </w:rPr>
        <w:t xml:space="preserve">Resolución del Pleno del Instituto de Transparencia, Acceso a la Información Pública y Protección de Datos Personales del Estado de México y Municipios, con domicilio en Metepec, Estado de México, de fecha </w:t>
      </w:r>
      <w:r w:rsidR="00FA297B" w:rsidRPr="004535C6">
        <w:rPr>
          <w:rFonts w:eastAsia="Palatino Linotype" w:cs="Palatino Linotype"/>
          <w:color w:val="auto"/>
          <w:lang w:eastAsia="es-MX"/>
        </w:rPr>
        <w:t>seis de noviembre</w:t>
      </w:r>
      <w:r w:rsidR="00CD65AF" w:rsidRPr="004535C6">
        <w:rPr>
          <w:rFonts w:eastAsia="Palatino Linotype" w:cs="Palatino Linotype"/>
          <w:color w:val="auto"/>
          <w:lang w:eastAsia="es-MX"/>
        </w:rPr>
        <w:t xml:space="preserve"> de dos mil veinticuatro.</w:t>
      </w:r>
    </w:p>
    <w:p w14:paraId="4441A07C" w14:textId="77777777" w:rsidR="005527B8" w:rsidRPr="004535C6" w:rsidRDefault="005527B8" w:rsidP="00C60BFE">
      <w:pPr>
        <w:spacing w:after="0" w:line="360" w:lineRule="auto"/>
        <w:rPr>
          <w:rFonts w:eastAsia="Palatino Linotype" w:cs="Palatino Linotype"/>
          <w:b/>
          <w:color w:val="auto"/>
          <w:lang w:eastAsia="es-MX"/>
        </w:rPr>
      </w:pPr>
    </w:p>
    <w:p w14:paraId="24B69F99" w14:textId="378250DE" w:rsidR="005527B8" w:rsidRPr="004535C6" w:rsidRDefault="005527B8" w:rsidP="00C60BFE">
      <w:pPr>
        <w:spacing w:after="0" w:line="360" w:lineRule="auto"/>
        <w:rPr>
          <w:rFonts w:eastAsia="Palatino Linotype" w:cs="Palatino Linotype"/>
          <w:color w:val="auto"/>
          <w:lang w:eastAsia="es-MX"/>
        </w:rPr>
      </w:pPr>
      <w:r w:rsidRPr="004535C6">
        <w:rPr>
          <w:rFonts w:eastAsia="Palatino Linotype" w:cs="Palatino Linotype"/>
          <w:b/>
          <w:color w:val="auto"/>
          <w:lang w:eastAsia="es-MX"/>
        </w:rPr>
        <w:t xml:space="preserve">VISTO </w:t>
      </w:r>
      <w:r w:rsidRPr="004535C6">
        <w:rPr>
          <w:rFonts w:eastAsia="Palatino Linotype" w:cs="Palatino Linotype"/>
          <w:color w:val="auto"/>
          <w:lang w:eastAsia="es-MX"/>
        </w:rPr>
        <w:t xml:space="preserve">el expediente electrónico conformado con motivo del Recurso de Revisión </w:t>
      </w:r>
      <w:r w:rsidR="00CD65AF" w:rsidRPr="004535C6">
        <w:rPr>
          <w:color w:val="auto"/>
        </w:rPr>
        <w:t>05996/INFOEM/IP/RR/2024</w:t>
      </w:r>
      <w:r w:rsidRPr="004535C6">
        <w:rPr>
          <w:rFonts w:eastAsia="Palatino Linotype" w:cs="Palatino Linotype"/>
          <w:color w:val="auto"/>
          <w:lang w:eastAsia="es-MX"/>
        </w:rPr>
        <w:t xml:space="preserve">, interpuesto </w:t>
      </w:r>
      <w:r w:rsidR="00A754C2" w:rsidRPr="004535C6">
        <w:rPr>
          <w:rFonts w:eastAsia="Palatino Linotype" w:cs="Palatino Linotype"/>
          <w:color w:val="auto"/>
          <w:lang w:eastAsia="es-MX"/>
        </w:rPr>
        <w:t>por</w:t>
      </w:r>
      <w:r w:rsidR="00D14543">
        <w:rPr>
          <w:rFonts w:eastAsia="Palatino Linotype" w:cs="Palatino Linotype"/>
          <w:color w:val="auto"/>
          <w:lang w:eastAsia="es-MX"/>
        </w:rPr>
        <w:t xml:space="preserve"> </w:t>
      </w:r>
      <w:r w:rsidR="00D14543" w:rsidRPr="00D14543">
        <w:rPr>
          <w:highlight w:val="black"/>
        </w:rPr>
        <w:t>XXXXXXXXXXXXXXXXXXXXX</w:t>
      </w:r>
      <w:r w:rsidR="00CD65AF" w:rsidRPr="00D14543">
        <w:rPr>
          <w:rFonts w:eastAsia="Palatino Linotype" w:cs="Palatino Linotype"/>
          <w:color w:val="auto"/>
          <w:highlight w:val="black"/>
          <w:lang w:eastAsia="es-MX"/>
        </w:rPr>
        <w:t>,</w:t>
      </w:r>
      <w:r w:rsidR="00D14543">
        <w:rPr>
          <w:rFonts w:eastAsia="Palatino Linotype" w:cs="Palatino Linotype"/>
          <w:color w:val="auto"/>
          <w:lang w:eastAsia="es-MX"/>
        </w:rPr>
        <w:t xml:space="preserve">, </w:t>
      </w:r>
      <w:r w:rsidRPr="004535C6">
        <w:rPr>
          <w:rFonts w:eastAsia="Palatino Linotype" w:cs="Palatino Linotype"/>
          <w:color w:val="auto"/>
          <w:lang w:eastAsia="es-MX"/>
        </w:rPr>
        <w:t xml:space="preserve">en lo sucesivo </w:t>
      </w:r>
      <w:r w:rsidR="00A517F5" w:rsidRPr="004535C6">
        <w:rPr>
          <w:rFonts w:eastAsia="Palatino Linotype" w:cs="Palatino Linotype"/>
          <w:color w:val="auto"/>
          <w:lang w:eastAsia="es-MX"/>
        </w:rPr>
        <w:t>la persona</w:t>
      </w:r>
      <w:r w:rsidRPr="004535C6">
        <w:rPr>
          <w:rFonts w:eastAsia="Palatino Linotype" w:cs="Palatino Linotype"/>
          <w:color w:val="auto"/>
          <w:lang w:eastAsia="es-MX"/>
        </w:rPr>
        <w:t xml:space="preserve"> Recurrente o Particular, en contra de la respuesta del Sujeto Obligado, </w:t>
      </w:r>
      <w:r w:rsidR="00CD65AF" w:rsidRPr="004535C6">
        <w:rPr>
          <w:rFonts w:eastAsia="Palatino Linotype" w:cs="Palatino Linotype"/>
          <w:color w:val="auto"/>
          <w:lang w:eastAsia="es-MX"/>
        </w:rPr>
        <w:t>Ayuntamiento de Texcoco</w:t>
      </w:r>
      <w:r w:rsidRPr="004535C6">
        <w:rPr>
          <w:rFonts w:eastAsia="Palatino Linotype" w:cs="Palatino Linotype"/>
          <w:color w:val="auto"/>
          <w:lang w:eastAsia="es-MX"/>
        </w:rPr>
        <w:t xml:space="preserve">, a la solicitud de acceso a la información pública </w:t>
      </w:r>
      <w:r w:rsidR="00CD65AF" w:rsidRPr="004535C6">
        <w:rPr>
          <w:rFonts w:eastAsia="Palatino Linotype" w:cs="Palatino Linotype"/>
          <w:color w:val="auto"/>
          <w:lang w:eastAsia="es-MX"/>
        </w:rPr>
        <w:t>00216/TEXCOCO/IP/2024</w:t>
      </w:r>
      <w:r w:rsidRPr="004535C6">
        <w:rPr>
          <w:rFonts w:eastAsia="Palatino Linotype" w:cs="Palatino Linotype"/>
          <w:color w:val="auto"/>
          <w:lang w:eastAsia="es-MX"/>
        </w:rPr>
        <w:t>, se emite la presente Resolución, con base en los Antecedentes y Considerandos que se exponen a continuación:</w:t>
      </w:r>
    </w:p>
    <w:p w14:paraId="0D156F4D" w14:textId="77777777" w:rsidR="005527B8" w:rsidRPr="004535C6" w:rsidRDefault="005527B8" w:rsidP="00C60BFE">
      <w:pPr>
        <w:spacing w:after="0" w:line="360" w:lineRule="auto"/>
        <w:rPr>
          <w:rFonts w:eastAsia="Palatino Linotype" w:cs="Palatino Linotype"/>
          <w:b/>
          <w:color w:val="FF0000"/>
          <w:lang w:eastAsia="es-MX"/>
        </w:rPr>
      </w:pPr>
    </w:p>
    <w:p w14:paraId="0A5B91BA" w14:textId="77777777" w:rsidR="005527B8" w:rsidRPr="004535C6" w:rsidRDefault="005527B8" w:rsidP="00C60BFE">
      <w:pPr>
        <w:spacing w:after="0" w:line="360" w:lineRule="auto"/>
        <w:jc w:val="center"/>
        <w:rPr>
          <w:rFonts w:eastAsia="Palatino Linotype" w:cs="Palatino Linotype"/>
          <w:b/>
          <w:color w:val="auto"/>
          <w:lang w:eastAsia="es-MX"/>
        </w:rPr>
      </w:pPr>
      <w:r w:rsidRPr="004535C6">
        <w:rPr>
          <w:rFonts w:eastAsia="Palatino Linotype" w:cs="Palatino Linotype"/>
          <w:b/>
          <w:color w:val="auto"/>
          <w:lang w:eastAsia="es-MX"/>
        </w:rPr>
        <w:t>A N T E C E D E N T E S</w:t>
      </w:r>
    </w:p>
    <w:p w14:paraId="75F23B3F" w14:textId="77777777" w:rsidR="005527B8" w:rsidRPr="004535C6" w:rsidRDefault="005527B8" w:rsidP="00C60BFE">
      <w:pPr>
        <w:spacing w:after="0" w:line="360" w:lineRule="auto"/>
        <w:jc w:val="center"/>
        <w:rPr>
          <w:rFonts w:eastAsia="Palatino Linotype" w:cs="Palatino Linotype"/>
          <w:b/>
          <w:color w:val="auto"/>
          <w:lang w:eastAsia="es-MX"/>
        </w:rPr>
      </w:pPr>
    </w:p>
    <w:p w14:paraId="68D7E64E" w14:textId="77777777" w:rsidR="005527B8" w:rsidRPr="004535C6" w:rsidRDefault="005527B8" w:rsidP="00C60BFE">
      <w:pPr>
        <w:tabs>
          <w:tab w:val="left" w:pos="567"/>
        </w:tabs>
        <w:spacing w:after="0" w:line="360" w:lineRule="auto"/>
        <w:rPr>
          <w:rFonts w:eastAsia="Palatino Linotype" w:cs="Palatino Linotype"/>
          <w:b/>
          <w:color w:val="auto"/>
          <w:lang w:eastAsia="es-MX"/>
        </w:rPr>
      </w:pPr>
      <w:r w:rsidRPr="004535C6">
        <w:rPr>
          <w:rFonts w:eastAsia="Palatino Linotype" w:cs="Palatino Linotype"/>
          <w:b/>
          <w:color w:val="auto"/>
          <w:lang w:eastAsia="es-MX"/>
        </w:rPr>
        <w:t>I. Presentación de la solicitud de información</w:t>
      </w:r>
    </w:p>
    <w:p w14:paraId="3DAB3972" w14:textId="77777777" w:rsidR="005527B8" w:rsidRPr="004535C6" w:rsidRDefault="005527B8" w:rsidP="00C60BFE">
      <w:pPr>
        <w:tabs>
          <w:tab w:val="left" w:pos="567"/>
        </w:tabs>
        <w:spacing w:after="0" w:line="360" w:lineRule="auto"/>
        <w:rPr>
          <w:rFonts w:eastAsia="Palatino Linotype" w:cs="Palatino Linotype"/>
          <w:color w:val="auto"/>
          <w:lang w:eastAsia="es-MX"/>
        </w:rPr>
      </w:pPr>
    </w:p>
    <w:p w14:paraId="6CC78E99" w14:textId="7690926F" w:rsidR="005527B8" w:rsidRPr="004535C6" w:rsidRDefault="005527B8" w:rsidP="00C60BFE">
      <w:pPr>
        <w:spacing w:after="0" w:line="360" w:lineRule="auto"/>
        <w:rPr>
          <w:rFonts w:eastAsia="Palatino Linotype" w:cs="Palatino Linotype"/>
          <w:color w:val="FF0000"/>
          <w:lang w:eastAsia="es-MX"/>
        </w:rPr>
      </w:pPr>
      <w:r w:rsidRPr="004535C6">
        <w:rPr>
          <w:rFonts w:eastAsia="Palatino Linotype" w:cs="Palatino Linotype"/>
          <w:color w:val="auto"/>
          <w:lang w:eastAsia="es-MX"/>
        </w:rPr>
        <w:t xml:space="preserve">Con fecha </w:t>
      </w:r>
      <w:r w:rsidR="00CD65AF" w:rsidRPr="004535C6">
        <w:rPr>
          <w:rFonts w:eastAsia="Palatino Linotype" w:cs="Palatino Linotype"/>
          <w:color w:val="auto"/>
          <w:lang w:eastAsia="es-MX"/>
        </w:rPr>
        <w:t xml:space="preserve">once de septiembre de dos mil veinticuatro, </w:t>
      </w:r>
      <w:r w:rsidR="00A517F5" w:rsidRPr="004535C6">
        <w:rPr>
          <w:rFonts w:eastAsia="Palatino Linotype" w:cs="Palatino Linotype"/>
          <w:color w:val="auto"/>
          <w:lang w:eastAsia="es-MX"/>
        </w:rPr>
        <w:t>la persona</w:t>
      </w:r>
      <w:r w:rsidRPr="004535C6">
        <w:rPr>
          <w:rFonts w:eastAsia="Palatino Linotype" w:cs="Palatino Linotype"/>
          <w:color w:val="auto"/>
          <w:lang w:eastAsia="es-MX"/>
        </w:rPr>
        <w:t xml:space="preserve"> Particular presentó una solicitud de acceso a la información pública, a través del Sistema de Acceso a la Información Mexiquense (SAIMEX), ante el</w:t>
      </w:r>
      <w:r w:rsidRPr="004535C6">
        <w:rPr>
          <w:rFonts w:eastAsia="Palatino Linotype" w:cs="Palatino Linotype"/>
          <w:color w:val="FF0000"/>
          <w:lang w:eastAsia="es-MX"/>
        </w:rPr>
        <w:t xml:space="preserve"> </w:t>
      </w:r>
      <w:r w:rsidR="00CD65AF" w:rsidRPr="004535C6">
        <w:rPr>
          <w:rFonts w:eastAsia="Palatino Linotype" w:cs="Palatino Linotype"/>
          <w:color w:val="auto"/>
          <w:lang w:eastAsia="es-MX"/>
        </w:rPr>
        <w:t>Ayuntamiento de Texcoco</w:t>
      </w:r>
      <w:r w:rsidR="00A754C2" w:rsidRPr="004535C6">
        <w:rPr>
          <w:rFonts w:eastAsia="Palatino Linotype" w:cs="Palatino Linotype"/>
          <w:color w:val="auto"/>
          <w:lang w:eastAsia="es-MX"/>
        </w:rPr>
        <w:t xml:space="preserve">, </w:t>
      </w:r>
      <w:r w:rsidRPr="004535C6">
        <w:rPr>
          <w:rFonts w:eastAsia="Palatino Linotype" w:cs="Palatino Linotype"/>
          <w:color w:val="auto"/>
          <w:lang w:eastAsia="es-MX"/>
        </w:rPr>
        <w:t xml:space="preserve">en los siguientes términos: </w:t>
      </w:r>
    </w:p>
    <w:p w14:paraId="76D9F694" w14:textId="77777777" w:rsidR="005527B8" w:rsidRPr="004535C6" w:rsidRDefault="005527B8" w:rsidP="00C60BFE">
      <w:pPr>
        <w:spacing w:after="0" w:line="360" w:lineRule="auto"/>
        <w:rPr>
          <w:rFonts w:eastAsia="Palatino Linotype" w:cs="Palatino Linotype"/>
          <w:color w:val="auto"/>
          <w:lang w:eastAsia="es-MX"/>
        </w:rPr>
      </w:pPr>
    </w:p>
    <w:p w14:paraId="22D58E25" w14:textId="77777777" w:rsidR="005527B8" w:rsidRPr="004535C6" w:rsidRDefault="005527B8" w:rsidP="00C60BFE">
      <w:pPr>
        <w:tabs>
          <w:tab w:val="left" w:pos="4667"/>
        </w:tabs>
        <w:spacing w:after="0" w:line="360" w:lineRule="auto"/>
        <w:ind w:left="567" w:right="567"/>
        <w:rPr>
          <w:rFonts w:eastAsia="Times New Roman" w:cs="Tahoma"/>
          <w:b/>
          <w:bCs/>
          <w:i/>
          <w:color w:val="auto"/>
          <w:sz w:val="20"/>
          <w:szCs w:val="20"/>
          <w:lang w:eastAsia="es-ES"/>
        </w:rPr>
      </w:pPr>
      <w:r w:rsidRPr="004535C6">
        <w:rPr>
          <w:rFonts w:eastAsia="Times New Roman" w:cs="Tahoma"/>
          <w:b/>
          <w:bCs/>
          <w:i/>
          <w:color w:val="auto"/>
          <w:sz w:val="20"/>
          <w:szCs w:val="20"/>
          <w:lang w:eastAsia="es-ES"/>
        </w:rPr>
        <w:t>“DESCRIPCIÓN CLARA Y PRECISA DE LA INFORMACIÓN SOLICITADA</w:t>
      </w:r>
    </w:p>
    <w:p w14:paraId="75BAD703" w14:textId="0B0D51CB" w:rsidR="005527B8" w:rsidRPr="004535C6" w:rsidRDefault="00CD65AF" w:rsidP="00C60BFE">
      <w:pPr>
        <w:tabs>
          <w:tab w:val="left" w:pos="4667"/>
        </w:tabs>
        <w:spacing w:after="0" w:line="360" w:lineRule="auto"/>
        <w:ind w:left="567" w:right="567"/>
        <w:rPr>
          <w:rFonts w:eastAsia="Times New Roman" w:cs="Tahoma"/>
          <w:i/>
          <w:color w:val="auto"/>
          <w:sz w:val="20"/>
          <w:szCs w:val="20"/>
          <w:lang w:eastAsia="es-ES"/>
        </w:rPr>
      </w:pPr>
      <w:r w:rsidRPr="004535C6">
        <w:rPr>
          <w:rFonts w:eastAsia="Times New Roman" w:cs="Tahoma"/>
          <w:i/>
          <w:color w:val="auto"/>
          <w:sz w:val="20"/>
          <w:szCs w:val="20"/>
          <w:lang w:eastAsia="es-ES"/>
        </w:rPr>
        <w:t>SOLICITO ME PROPORCIONEN LOS ARTICULOS Y EL ACUERDO DE CABILDO POR LO QUE LA DIRECCIÓN DE DESARROLLO URBANO PUEDE COBRAR APORTACIONES A MEJORAS PARA UN ALINEAMIENTO Y NUMERO OFICIAL, DEBIDO A QUE EL SUB DIRECTOR DE CONTROL URBANO EL ING DONOVAN TRUJANO Y LA SUBDIRECTORA DE LICENCIAS LA ARQ DANIELA ESPEJEL ME SOLICITARON $1000 PESOS PARA REALIZAR MI TRAMITE CON AGILIDAD</w:t>
      </w:r>
      <w:r w:rsidR="00A754C2" w:rsidRPr="004535C6">
        <w:rPr>
          <w:rFonts w:eastAsia="Times New Roman" w:cs="Tahoma"/>
          <w:i/>
          <w:color w:val="auto"/>
          <w:sz w:val="20"/>
          <w:szCs w:val="20"/>
          <w:lang w:eastAsia="es-ES"/>
        </w:rPr>
        <w:t>.</w:t>
      </w:r>
      <w:r w:rsidR="005527B8" w:rsidRPr="004535C6">
        <w:rPr>
          <w:rFonts w:eastAsia="Times New Roman" w:cs="Tahoma"/>
          <w:i/>
          <w:color w:val="auto"/>
          <w:sz w:val="20"/>
          <w:szCs w:val="20"/>
          <w:lang w:eastAsia="es-ES"/>
        </w:rPr>
        <w:t>” (Sic)</w:t>
      </w:r>
    </w:p>
    <w:p w14:paraId="2FF882B0" w14:textId="77777777" w:rsidR="00F76B15" w:rsidRPr="004535C6" w:rsidRDefault="00F76B15" w:rsidP="00C60BFE">
      <w:pPr>
        <w:tabs>
          <w:tab w:val="left" w:pos="4667"/>
        </w:tabs>
        <w:spacing w:after="0" w:line="360" w:lineRule="auto"/>
        <w:ind w:left="567" w:right="567"/>
        <w:rPr>
          <w:rFonts w:eastAsia="Times New Roman" w:cs="Tahoma"/>
          <w:bCs/>
          <w:i/>
          <w:color w:val="FF0000"/>
          <w:sz w:val="20"/>
          <w:szCs w:val="20"/>
          <w:lang w:eastAsia="es-ES"/>
        </w:rPr>
      </w:pPr>
    </w:p>
    <w:p w14:paraId="50149074" w14:textId="77777777" w:rsidR="00FA297B" w:rsidRPr="004535C6" w:rsidRDefault="00FA297B" w:rsidP="00C60BFE">
      <w:pPr>
        <w:tabs>
          <w:tab w:val="left" w:pos="4667"/>
        </w:tabs>
        <w:spacing w:after="0" w:line="360" w:lineRule="auto"/>
        <w:ind w:left="567" w:right="567"/>
        <w:rPr>
          <w:rFonts w:eastAsia="Times New Roman" w:cs="Tahoma"/>
          <w:bCs/>
          <w:i/>
          <w:color w:val="FF0000"/>
          <w:sz w:val="20"/>
          <w:szCs w:val="20"/>
          <w:lang w:eastAsia="es-ES"/>
        </w:rPr>
      </w:pPr>
    </w:p>
    <w:p w14:paraId="36BFCD7A" w14:textId="77777777" w:rsidR="005527B8" w:rsidRPr="004535C6" w:rsidRDefault="005527B8" w:rsidP="00C60BFE">
      <w:pPr>
        <w:tabs>
          <w:tab w:val="left" w:pos="4667"/>
        </w:tabs>
        <w:spacing w:after="0" w:line="360" w:lineRule="auto"/>
        <w:ind w:left="567"/>
        <w:rPr>
          <w:rFonts w:eastAsia="Times New Roman" w:cs="Tahoma"/>
          <w:b/>
          <w:bCs/>
          <w:i/>
          <w:color w:val="auto"/>
          <w:sz w:val="20"/>
          <w:szCs w:val="20"/>
          <w:lang w:eastAsia="es-ES"/>
        </w:rPr>
      </w:pPr>
      <w:r w:rsidRPr="004535C6">
        <w:rPr>
          <w:rFonts w:eastAsia="Times New Roman" w:cs="Tahoma"/>
          <w:b/>
          <w:bCs/>
          <w:i/>
          <w:color w:val="auto"/>
          <w:sz w:val="20"/>
          <w:szCs w:val="20"/>
          <w:lang w:eastAsia="es-ES"/>
        </w:rPr>
        <w:lastRenderedPageBreak/>
        <w:t xml:space="preserve">“Modalidad de Entrega: </w:t>
      </w:r>
    </w:p>
    <w:p w14:paraId="1A8B11AB" w14:textId="4A50F978" w:rsidR="005527B8" w:rsidRPr="004535C6" w:rsidRDefault="005527B8" w:rsidP="00C60BFE">
      <w:pPr>
        <w:tabs>
          <w:tab w:val="left" w:pos="4667"/>
        </w:tabs>
        <w:spacing w:after="0" w:line="360" w:lineRule="auto"/>
        <w:ind w:left="567"/>
        <w:rPr>
          <w:rFonts w:eastAsia="Times New Roman" w:cs="Tahoma"/>
          <w:i/>
          <w:color w:val="auto"/>
          <w:sz w:val="20"/>
          <w:szCs w:val="20"/>
          <w:lang w:eastAsia="es-ES"/>
        </w:rPr>
      </w:pPr>
      <w:r w:rsidRPr="004535C6">
        <w:rPr>
          <w:rFonts w:eastAsia="Times New Roman" w:cs="Tahoma"/>
          <w:i/>
          <w:color w:val="auto"/>
          <w:sz w:val="20"/>
          <w:szCs w:val="20"/>
          <w:lang w:eastAsia="es-ES"/>
        </w:rPr>
        <w:t>A través del SAIMEX”</w:t>
      </w:r>
    </w:p>
    <w:p w14:paraId="249C1C94" w14:textId="77777777" w:rsidR="00E24F8E" w:rsidRPr="004535C6" w:rsidRDefault="00E24F8E" w:rsidP="00C60BFE">
      <w:pPr>
        <w:tabs>
          <w:tab w:val="left" w:pos="4667"/>
        </w:tabs>
        <w:spacing w:after="0" w:line="360" w:lineRule="auto"/>
        <w:rPr>
          <w:rFonts w:eastAsia="Times New Roman" w:cs="Tahoma"/>
          <w:color w:val="auto"/>
          <w:lang w:eastAsia="es-ES"/>
        </w:rPr>
      </w:pPr>
    </w:p>
    <w:p w14:paraId="5DB15620" w14:textId="77777777" w:rsidR="005527B8" w:rsidRPr="004535C6" w:rsidRDefault="005527B8" w:rsidP="00C60BFE">
      <w:pPr>
        <w:spacing w:after="0" w:line="360" w:lineRule="auto"/>
        <w:rPr>
          <w:rFonts w:eastAsia="Palatino Linotype" w:cs="Palatino Linotype"/>
          <w:b/>
          <w:color w:val="auto"/>
          <w:lang w:eastAsia="es-MX"/>
        </w:rPr>
      </w:pPr>
      <w:r w:rsidRPr="004535C6">
        <w:rPr>
          <w:rFonts w:eastAsia="Palatino Linotype" w:cs="Palatino Linotype"/>
          <w:b/>
          <w:color w:val="auto"/>
          <w:lang w:eastAsia="es-MX"/>
        </w:rPr>
        <w:t>II. Respuesta del Sujeto Obligado</w:t>
      </w:r>
    </w:p>
    <w:p w14:paraId="7742033B" w14:textId="77777777" w:rsidR="005527B8" w:rsidRPr="004535C6" w:rsidRDefault="005527B8" w:rsidP="00C60BFE">
      <w:pPr>
        <w:spacing w:after="0" w:line="360" w:lineRule="auto"/>
        <w:rPr>
          <w:rFonts w:eastAsia="Palatino Linotype" w:cs="Palatino Linotype"/>
          <w:b/>
          <w:color w:val="FF0000"/>
          <w:lang w:eastAsia="es-MX"/>
        </w:rPr>
      </w:pPr>
    </w:p>
    <w:p w14:paraId="181A06DF" w14:textId="295FAFDB" w:rsidR="002C7D15" w:rsidRPr="004535C6" w:rsidRDefault="005527B8" w:rsidP="00C60BFE">
      <w:pPr>
        <w:spacing w:after="0" w:line="360" w:lineRule="auto"/>
        <w:rPr>
          <w:rFonts w:eastAsia="Palatino Linotype" w:cs="Palatino Linotype"/>
          <w:color w:val="auto"/>
          <w:lang w:eastAsia="es-MX"/>
        </w:rPr>
      </w:pPr>
      <w:r w:rsidRPr="004535C6">
        <w:rPr>
          <w:rFonts w:eastAsia="Palatino Linotype" w:cs="Palatino Linotype"/>
          <w:color w:val="auto"/>
          <w:lang w:eastAsia="es-MX"/>
        </w:rPr>
        <w:t xml:space="preserve">Con fecha </w:t>
      </w:r>
      <w:r w:rsidR="00CD65AF" w:rsidRPr="004535C6">
        <w:rPr>
          <w:rFonts w:eastAsia="Palatino Linotype" w:cs="Palatino Linotype"/>
          <w:color w:val="auto"/>
          <w:lang w:eastAsia="es-MX"/>
        </w:rPr>
        <w:t xml:space="preserve">dos de octubre de dos mil veinticuatro, </w:t>
      </w:r>
      <w:r w:rsidRPr="004535C6">
        <w:rPr>
          <w:rFonts w:eastAsia="Palatino Linotype" w:cs="Palatino Linotype"/>
          <w:color w:val="auto"/>
          <w:lang w:eastAsia="es-MX"/>
        </w:rPr>
        <w:t xml:space="preserve">el Sujeto Obligado notificó, a través del Sistema de Acceso a la Información Mexiquense (SAIMEX), la respuesta a la solicitud de acceso a la información pública, </w:t>
      </w:r>
      <w:r w:rsidR="00CD65AF" w:rsidRPr="004535C6">
        <w:rPr>
          <w:rFonts w:eastAsia="Palatino Linotype" w:cs="Palatino Linotype"/>
          <w:color w:val="auto"/>
          <w:lang w:eastAsia="es-MX"/>
        </w:rPr>
        <w:t>a través de la digitalización de los siguientes documentos:</w:t>
      </w:r>
    </w:p>
    <w:p w14:paraId="6A9DAA54" w14:textId="77777777" w:rsidR="00C525B4" w:rsidRPr="004535C6" w:rsidRDefault="00C525B4" w:rsidP="00C60BFE">
      <w:pPr>
        <w:spacing w:after="0" w:line="360" w:lineRule="auto"/>
        <w:rPr>
          <w:rFonts w:eastAsia="Palatino Linotype" w:cs="Palatino Linotype"/>
          <w:color w:val="auto"/>
          <w:lang w:eastAsia="es-MX"/>
        </w:rPr>
      </w:pPr>
    </w:p>
    <w:p w14:paraId="45F18107" w14:textId="77777777" w:rsidR="0097594C" w:rsidRPr="004535C6" w:rsidRDefault="00FD272B"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w:t>
      </w:r>
      <w:r w:rsidR="0097594C" w:rsidRPr="004535C6">
        <w:rPr>
          <w:rFonts w:eastAsia="Palatino Linotype" w:cs="Palatino Linotype"/>
          <w:i/>
          <w:color w:val="auto"/>
          <w:sz w:val="20"/>
          <w:szCs w:val="20"/>
          <w:lang w:eastAsia="es-MX"/>
        </w:rPr>
        <w:t xml:space="preserve">Se informa a continuación: En respuesta a lo anterior informo: La Dirección de Desarrollo Urbano y Ecología: con fundamento en lo que establece el artículo 108 y 109 del Bando de Gobierno del Municipio de Texcoco 2024. Después de una búsqueda minuciosa en las leyes y reglamentos correspondientes en materia Urbana; No se encuentra un apartado específico por el concepto de APORTACIONES, sin embargo, para efectos de alineamientos y números oficiales el Artículo 144. Del Código Financiero del Estado de México y Municipios, considera lo siguiente “Por los servicios prestados por desarrollo urbano y obras públicas municipales. Por lo Anterior proporciono el siguiente enlace electrónico para su consulta </w:t>
      </w:r>
      <w:r w:rsidR="0097594C" w:rsidRPr="004535C6">
        <w:rPr>
          <w:rFonts w:eastAsia="Palatino Linotype" w:cs="Palatino Linotype"/>
          <w:i/>
          <w:color w:val="0070C0"/>
          <w:sz w:val="20"/>
          <w:szCs w:val="20"/>
          <w:u w:val="single"/>
          <w:lang w:eastAsia="es-MX"/>
        </w:rPr>
        <w:t>https://igecem.edomex.gob.mx/sites/igecem.edomex.gob.mx/files/files/ArchivosPDF/MarcoJuridico/Titulo_Quinto_del_ Codigo_Financiero_del_Estado_de_Mexico_y_Municipios_denominado_Del_Catastro.pdf</w:t>
      </w:r>
      <w:r w:rsidR="0097594C" w:rsidRPr="004535C6">
        <w:rPr>
          <w:rFonts w:eastAsia="Palatino Linotype" w:cs="Palatino Linotype"/>
          <w:i/>
          <w:color w:val="0070C0"/>
          <w:sz w:val="20"/>
          <w:szCs w:val="20"/>
          <w:lang w:eastAsia="es-MX"/>
        </w:rPr>
        <w:t xml:space="preserve"> </w:t>
      </w:r>
    </w:p>
    <w:p w14:paraId="7683289F"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p>
    <w:p w14:paraId="7DB788DC"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Así mismo la ley contempla para la hacienda municipal, con fundamento en el Artículo 1, numeral 3, del Decreto Número 119, de la Ley de Ingresos de los Municipios del Estado de México para el Ejercicio Fiscal 2023, que a la letra dicta: </w:t>
      </w:r>
    </w:p>
    <w:p w14:paraId="78DD2B8A"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p>
    <w:p w14:paraId="71696C1E" w14:textId="050A57F6" w:rsidR="00BB72F5"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“La hacienda pública de los municipios del Estado de México, percibirá durante el Ejercicio Fiscal 2023, los ingresos provenientes de los conceptos que a continuación se enumeran:</w:t>
      </w:r>
    </w:p>
    <w:p w14:paraId="7A7A8C36" w14:textId="77777777" w:rsidR="00BB72F5" w:rsidRPr="004535C6" w:rsidRDefault="00BB72F5" w:rsidP="007E5E43">
      <w:pPr>
        <w:spacing w:after="0" w:line="360" w:lineRule="auto"/>
        <w:ind w:left="567" w:right="567"/>
        <w:rPr>
          <w:rFonts w:eastAsia="Palatino Linotype" w:cs="Palatino Linotype"/>
          <w:i/>
          <w:color w:val="FF0000"/>
          <w:sz w:val="20"/>
          <w:szCs w:val="20"/>
          <w:lang w:eastAsia="es-MX"/>
        </w:rPr>
      </w:pPr>
    </w:p>
    <w:p w14:paraId="4FC59DA5"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3. CONTRIBUCIONES DE MEJORAS: </w:t>
      </w:r>
    </w:p>
    <w:p w14:paraId="3954EC8E"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lastRenderedPageBreak/>
        <w:t xml:space="preserve">3.1. Contribuciones de Mejoras por Obras Públicas. </w:t>
      </w:r>
    </w:p>
    <w:p w14:paraId="53019CDF"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3.1.1. Contribuciones de Mejoras por Obras Públicas. </w:t>
      </w:r>
    </w:p>
    <w:p w14:paraId="18CBB526"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3.1.1.1. Para Obras Públicas y Acciones de Beneficio Social. </w:t>
      </w:r>
    </w:p>
    <w:p w14:paraId="1292F2A0"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3.1.1.2. Para Obras de Impacto Vial. </w:t>
      </w:r>
    </w:p>
    <w:p w14:paraId="0ADDED39"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3.1.1.3. Por Servicios Ambientales.</w:t>
      </w:r>
    </w:p>
    <w:p w14:paraId="1958D5FF" w14:textId="77777777" w:rsidR="00FA297B"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 3.1.2. Accesorios de Contribución o Aportación de Mejoras por Obras Públicas. </w:t>
      </w:r>
    </w:p>
    <w:p w14:paraId="4B7F8006" w14:textId="57DECC84"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3.1.2.1. Multas. </w:t>
      </w:r>
    </w:p>
    <w:p w14:paraId="61645A48"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3.1.2.2. Recargos. </w:t>
      </w:r>
    </w:p>
    <w:p w14:paraId="2AECD5A7"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3.1.2.3. Gastos de Ejecución.</w:t>
      </w:r>
    </w:p>
    <w:p w14:paraId="0D62C068"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 3.1.2.4. Indemnización por Devolución de Cheques.</w:t>
      </w:r>
    </w:p>
    <w:p w14:paraId="29696155" w14:textId="5ACD3478" w:rsidR="00BB72F5"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 3.9. Contribuciones de Mejoras no Comprendidas en la Ley de Ingresos Vigente, Causadas en Ejercicios Fiscales Anteriores Pendientes de Liquidación o Pago.</w:t>
      </w:r>
    </w:p>
    <w:p w14:paraId="31BE146C"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p>
    <w:p w14:paraId="2FCE8082" w14:textId="77777777" w:rsidR="0097594C" w:rsidRPr="004535C6" w:rsidRDefault="0097594C" w:rsidP="007E5E43">
      <w:pPr>
        <w:spacing w:after="0" w:line="360" w:lineRule="auto"/>
        <w:ind w:left="567" w:right="567"/>
        <w:rPr>
          <w:rFonts w:eastAsia="Palatino Linotype" w:cs="Palatino Linotype"/>
          <w:i/>
          <w:color w:val="0070C0"/>
          <w:sz w:val="20"/>
          <w:szCs w:val="20"/>
          <w:u w:val="single"/>
          <w:lang w:eastAsia="es-MX"/>
        </w:rPr>
      </w:pPr>
      <w:r w:rsidRPr="004535C6">
        <w:rPr>
          <w:rFonts w:eastAsia="Palatino Linotype" w:cs="Palatino Linotype"/>
          <w:i/>
          <w:color w:val="0070C0"/>
          <w:sz w:val="20"/>
          <w:szCs w:val="20"/>
          <w:u w:val="single"/>
          <w:lang w:eastAsia="es-MX"/>
        </w:rPr>
        <w:t xml:space="preserve">Fuente:https://legislacion.edomex.gob.mx/sites/legislacion.edomex.gob.mx/files/files/pdf/ley/vig/leyvig280.pdf </w:t>
      </w:r>
    </w:p>
    <w:p w14:paraId="3BDBAF37"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p>
    <w:p w14:paraId="79E7E5F6"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Esperando que sea de su conformidad el informe, no omito mencionar que el Sistema de Acceso a la Información Mexiquense es para proporcionar Información Pública de Oficio contenida en los documentos que los Sujetos Obligados posean, archiven, generen o administren de conformidad con el Artículo 12 Párrafo Segundo de la Ley en la materia: Los sujetos obligados sólo proporcionarán la información pública que se les requiera y que obre en sus archivos y en el estado en que ésta se encuentre. La obligación de proporcionar información no comprende el procesamiento de la misma, ni presentarla conforme al interés del solicitante; no estarán obligados a generarla, resumirla, efectuar cálculos o practicar investigaciones. </w:t>
      </w:r>
    </w:p>
    <w:p w14:paraId="29C74210"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p>
    <w:p w14:paraId="54E08119" w14:textId="506E1277"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Como Sujetos Obligados este H. Ayuntamiento buscará en todo momento que la información generada sea regida por los principios de Máxima Publicidad, Certeza, Legalidad, Transparencia e Imparcialidad, se otorgarán las medidas pertinentes para asegurar el acceso a la información pública todas las personas con la normatividad aplicable para sus excepciones.</w:t>
      </w:r>
    </w:p>
    <w:p w14:paraId="1FC10787" w14:textId="77777777" w:rsidR="0097594C" w:rsidRPr="004535C6" w:rsidRDefault="0097594C" w:rsidP="007E5E43">
      <w:pPr>
        <w:spacing w:after="0" w:line="360" w:lineRule="auto"/>
        <w:ind w:left="567" w:right="567"/>
        <w:rPr>
          <w:rFonts w:eastAsia="Palatino Linotype" w:cs="Palatino Linotype"/>
          <w:i/>
          <w:color w:val="auto"/>
          <w:sz w:val="20"/>
          <w:szCs w:val="20"/>
          <w:lang w:eastAsia="es-MX"/>
        </w:rPr>
      </w:pPr>
    </w:p>
    <w:p w14:paraId="113337C1" w14:textId="2A67D453" w:rsidR="0097594C" w:rsidRPr="004535C6" w:rsidRDefault="0097594C" w:rsidP="007E5E43">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lastRenderedPageBreak/>
        <w:t xml:space="preserve"> En ningún momento el derecho de acceso a la información pública estará sujeto o condicionado a que el solicitante acredite, manifieste algún interés y/o justifique su utilización…” (Sic)</w:t>
      </w:r>
    </w:p>
    <w:p w14:paraId="2F0EDC9F" w14:textId="77777777" w:rsidR="00F34C6B" w:rsidRPr="004535C6" w:rsidRDefault="00F34C6B" w:rsidP="00C60BFE">
      <w:pPr>
        <w:spacing w:after="0" w:line="360" w:lineRule="auto"/>
        <w:contextualSpacing/>
        <w:rPr>
          <w:rFonts w:eastAsia="Palatino Linotype" w:cs="Palatino Linotype"/>
          <w:iCs/>
          <w:color w:val="FF0000"/>
          <w:lang w:eastAsia="es-MX"/>
        </w:rPr>
      </w:pPr>
    </w:p>
    <w:p w14:paraId="2C95DA17" w14:textId="77777777" w:rsidR="005527B8" w:rsidRPr="004535C6" w:rsidRDefault="005527B8" w:rsidP="00C60BFE">
      <w:pPr>
        <w:spacing w:after="0" w:line="360" w:lineRule="auto"/>
        <w:rPr>
          <w:rFonts w:eastAsia="Palatino Linotype" w:cs="Palatino Linotype"/>
          <w:b/>
          <w:color w:val="auto"/>
          <w:lang w:eastAsia="es-MX"/>
        </w:rPr>
      </w:pPr>
      <w:r w:rsidRPr="004535C6">
        <w:rPr>
          <w:rFonts w:eastAsia="Palatino Linotype" w:cs="Palatino Linotype"/>
          <w:b/>
          <w:color w:val="auto"/>
          <w:lang w:eastAsia="es-MX"/>
        </w:rPr>
        <w:t>III. Interposición del Recurso de Revisión</w:t>
      </w:r>
    </w:p>
    <w:p w14:paraId="0BDC6C84" w14:textId="77777777" w:rsidR="005527B8" w:rsidRPr="004535C6" w:rsidRDefault="005527B8" w:rsidP="00C60BFE">
      <w:pPr>
        <w:spacing w:after="0" w:line="360" w:lineRule="auto"/>
        <w:rPr>
          <w:rFonts w:eastAsia="Palatino Linotype" w:cs="Palatino Linotype"/>
          <w:b/>
          <w:color w:val="FF0000"/>
          <w:lang w:eastAsia="es-MX"/>
        </w:rPr>
      </w:pPr>
    </w:p>
    <w:p w14:paraId="223BB45C" w14:textId="51BB0C85" w:rsidR="005527B8" w:rsidRPr="004535C6" w:rsidRDefault="005527B8" w:rsidP="00C60BFE">
      <w:pPr>
        <w:spacing w:after="0" w:line="360" w:lineRule="auto"/>
        <w:rPr>
          <w:rFonts w:eastAsia="Palatino Linotype" w:cs="Palatino Linotype"/>
          <w:color w:val="auto"/>
          <w:lang w:eastAsia="es-MX"/>
        </w:rPr>
      </w:pPr>
      <w:r w:rsidRPr="004535C6">
        <w:rPr>
          <w:rFonts w:eastAsia="Palatino Linotype" w:cs="Palatino Linotype"/>
          <w:color w:val="auto"/>
          <w:lang w:eastAsia="es-MX"/>
        </w:rPr>
        <w:t>Con</w:t>
      </w:r>
      <w:r w:rsidR="00097E55" w:rsidRPr="004535C6">
        <w:rPr>
          <w:rFonts w:eastAsia="Palatino Linotype" w:cs="Palatino Linotype"/>
          <w:color w:val="auto"/>
          <w:lang w:eastAsia="es-MX"/>
        </w:rPr>
        <w:t xml:space="preserve"> fecha </w:t>
      </w:r>
      <w:r w:rsidR="0040367B" w:rsidRPr="004535C6">
        <w:rPr>
          <w:rFonts w:eastAsia="Palatino Linotype" w:cs="Palatino Linotype"/>
          <w:color w:val="auto"/>
          <w:lang w:eastAsia="es-MX"/>
        </w:rPr>
        <w:t xml:space="preserve">tres de octubre de dos </w:t>
      </w:r>
      <w:proofErr w:type="spellStart"/>
      <w:r w:rsidR="00097E55" w:rsidRPr="004535C6">
        <w:rPr>
          <w:rFonts w:eastAsia="Palatino Linotype" w:cs="Palatino Linotype"/>
          <w:color w:val="auto"/>
          <w:lang w:eastAsia="es-MX"/>
        </w:rPr>
        <w:t>dos</w:t>
      </w:r>
      <w:proofErr w:type="spellEnd"/>
      <w:r w:rsidR="00097E55" w:rsidRPr="004535C6">
        <w:rPr>
          <w:rFonts w:eastAsia="Palatino Linotype" w:cs="Palatino Linotype"/>
          <w:color w:val="auto"/>
          <w:lang w:eastAsia="es-MX"/>
        </w:rPr>
        <w:t xml:space="preserve"> mil veinticuatro, </w:t>
      </w:r>
      <w:r w:rsidRPr="004535C6">
        <w:rPr>
          <w:rFonts w:eastAsia="Palatino Linotype" w:cs="Palatino Linotype"/>
          <w:color w:val="auto"/>
          <w:lang w:eastAsia="es-MX"/>
        </w:rPr>
        <w:t>se recibió en este Instituto, a través del Sistema de Acceso a la Información Mexiquense (SAIMEX), Recurso de Revisión interpuesto por la parte Recurrente, en contra de la respuesta por el Sujeto Obligado, a la solicitud de información,</w:t>
      </w:r>
      <w:r w:rsidRPr="004535C6">
        <w:rPr>
          <w:rFonts w:eastAsia="Palatino Linotype" w:cs="Tahoma"/>
          <w:b/>
          <w:bCs/>
          <w:color w:val="auto"/>
          <w:lang w:val="es-ES" w:eastAsia="es-MX"/>
        </w:rPr>
        <w:t xml:space="preserve"> </w:t>
      </w:r>
      <w:r w:rsidRPr="004535C6">
        <w:rPr>
          <w:rFonts w:eastAsia="Palatino Linotype" w:cs="Palatino Linotype"/>
          <w:color w:val="auto"/>
          <w:lang w:eastAsia="es-MX"/>
        </w:rPr>
        <w:t>en los siguientes términos:</w:t>
      </w:r>
    </w:p>
    <w:p w14:paraId="6782EDEF" w14:textId="77777777" w:rsidR="005527B8" w:rsidRPr="004535C6" w:rsidRDefault="005527B8" w:rsidP="00C60BFE">
      <w:pPr>
        <w:spacing w:after="0" w:line="360" w:lineRule="auto"/>
        <w:rPr>
          <w:rFonts w:eastAsia="Palatino Linotype" w:cs="Palatino Linotype"/>
          <w:color w:val="auto"/>
          <w:lang w:eastAsia="es-MX"/>
        </w:rPr>
      </w:pPr>
    </w:p>
    <w:p w14:paraId="24EED2BA" w14:textId="77777777" w:rsidR="005527B8" w:rsidRPr="004535C6" w:rsidRDefault="005527B8" w:rsidP="00C60BFE">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b/>
          <w:i/>
          <w:color w:val="auto"/>
          <w:sz w:val="20"/>
          <w:szCs w:val="20"/>
          <w:lang w:eastAsia="es-MX"/>
        </w:rPr>
        <w:t>“ACTO IMPUGNADO</w:t>
      </w:r>
    </w:p>
    <w:p w14:paraId="7916E86F" w14:textId="37300BF3" w:rsidR="005527B8" w:rsidRPr="004535C6" w:rsidRDefault="0040367B" w:rsidP="00097E55">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Solicito los Nombres Completos de los Subdirectores de Control Urbano el </w:t>
      </w:r>
      <w:proofErr w:type="spellStart"/>
      <w:r w:rsidRPr="004535C6">
        <w:rPr>
          <w:rFonts w:eastAsia="Palatino Linotype" w:cs="Palatino Linotype"/>
          <w:i/>
          <w:color w:val="auto"/>
          <w:sz w:val="20"/>
          <w:szCs w:val="20"/>
          <w:lang w:eastAsia="es-MX"/>
        </w:rPr>
        <w:t>Ing</w:t>
      </w:r>
      <w:proofErr w:type="spellEnd"/>
      <w:r w:rsidRPr="004535C6">
        <w:rPr>
          <w:rFonts w:eastAsia="Palatino Linotype" w:cs="Palatino Linotype"/>
          <w:i/>
          <w:color w:val="auto"/>
          <w:sz w:val="20"/>
          <w:szCs w:val="20"/>
          <w:lang w:eastAsia="es-MX"/>
        </w:rPr>
        <w:t xml:space="preserve"> Donovan Trujano y la Sub Directora de Licencias la </w:t>
      </w:r>
      <w:proofErr w:type="spellStart"/>
      <w:r w:rsidRPr="004535C6">
        <w:rPr>
          <w:rFonts w:eastAsia="Palatino Linotype" w:cs="Palatino Linotype"/>
          <w:i/>
          <w:color w:val="auto"/>
          <w:sz w:val="20"/>
          <w:szCs w:val="20"/>
          <w:lang w:eastAsia="es-MX"/>
        </w:rPr>
        <w:t>Arq</w:t>
      </w:r>
      <w:proofErr w:type="spellEnd"/>
      <w:r w:rsidRPr="004535C6">
        <w:rPr>
          <w:rFonts w:eastAsia="Palatino Linotype" w:cs="Palatino Linotype"/>
          <w:i/>
          <w:color w:val="auto"/>
          <w:sz w:val="20"/>
          <w:szCs w:val="20"/>
          <w:lang w:eastAsia="es-MX"/>
        </w:rPr>
        <w:t xml:space="preserve"> Daniela Espejel, toda vez que no me informan el </w:t>
      </w:r>
      <w:proofErr w:type="spellStart"/>
      <w:r w:rsidRPr="004535C6">
        <w:rPr>
          <w:rFonts w:eastAsia="Palatino Linotype" w:cs="Palatino Linotype"/>
          <w:i/>
          <w:color w:val="auto"/>
          <w:sz w:val="20"/>
          <w:szCs w:val="20"/>
          <w:lang w:eastAsia="es-MX"/>
        </w:rPr>
        <w:t>por que</w:t>
      </w:r>
      <w:proofErr w:type="spellEnd"/>
      <w:r w:rsidRPr="004535C6">
        <w:rPr>
          <w:rFonts w:eastAsia="Palatino Linotype" w:cs="Palatino Linotype"/>
          <w:i/>
          <w:color w:val="auto"/>
          <w:sz w:val="20"/>
          <w:szCs w:val="20"/>
          <w:lang w:eastAsia="es-MX"/>
        </w:rPr>
        <w:t xml:space="preserve"> solicitan las aportaciones a mejoras.</w:t>
      </w:r>
      <w:r w:rsidR="005527B8" w:rsidRPr="004535C6">
        <w:rPr>
          <w:rFonts w:eastAsia="Palatino Linotype" w:cs="Palatino Linotype"/>
          <w:i/>
          <w:color w:val="auto"/>
          <w:sz w:val="20"/>
          <w:szCs w:val="20"/>
          <w:lang w:eastAsia="es-MX"/>
        </w:rPr>
        <w:t>” (Sic.)</w:t>
      </w:r>
    </w:p>
    <w:p w14:paraId="7EDFD35F" w14:textId="77777777" w:rsidR="005527B8" w:rsidRPr="004535C6" w:rsidRDefault="005527B8" w:rsidP="00C60BFE">
      <w:pPr>
        <w:spacing w:after="0" w:line="360" w:lineRule="auto"/>
        <w:ind w:left="567" w:right="567"/>
        <w:rPr>
          <w:rFonts w:eastAsia="Palatino Linotype" w:cs="Palatino Linotype"/>
          <w:i/>
          <w:color w:val="auto"/>
          <w:sz w:val="20"/>
          <w:szCs w:val="20"/>
          <w:lang w:eastAsia="es-MX"/>
        </w:rPr>
      </w:pPr>
    </w:p>
    <w:p w14:paraId="6BBCD6D3" w14:textId="77777777" w:rsidR="005527B8" w:rsidRPr="004535C6" w:rsidRDefault="005527B8" w:rsidP="00C60BFE">
      <w:pPr>
        <w:spacing w:after="0" w:line="360" w:lineRule="auto"/>
        <w:ind w:left="567" w:right="567"/>
        <w:rPr>
          <w:rFonts w:eastAsia="Palatino Linotype" w:cs="Palatino Linotype"/>
          <w:b/>
          <w:i/>
          <w:color w:val="auto"/>
          <w:sz w:val="20"/>
          <w:szCs w:val="20"/>
          <w:lang w:eastAsia="es-MX"/>
        </w:rPr>
      </w:pPr>
      <w:r w:rsidRPr="004535C6">
        <w:rPr>
          <w:rFonts w:eastAsia="Palatino Linotype" w:cs="Palatino Linotype"/>
          <w:b/>
          <w:i/>
          <w:color w:val="auto"/>
          <w:sz w:val="20"/>
          <w:szCs w:val="20"/>
          <w:lang w:eastAsia="es-MX"/>
        </w:rPr>
        <w:t>“RAZONES O MOTIVOS DE LA INCONFORMIDAD</w:t>
      </w:r>
    </w:p>
    <w:p w14:paraId="26868EBD" w14:textId="50DD80B2" w:rsidR="00097E55" w:rsidRPr="004535C6" w:rsidRDefault="0040367B" w:rsidP="00097E55">
      <w:pPr>
        <w:spacing w:after="0" w:line="360" w:lineRule="auto"/>
        <w:ind w:left="567" w:right="567"/>
        <w:rPr>
          <w:rFonts w:eastAsia="Palatino Linotype" w:cs="Palatino Linotype"/>
          <w:i/>
          <w:color w:val="auto"/>
          <w:sz w:val="20"/>
          <w:szCs w:val="20"/>
          <w:lang w:eastAsia="es-MX"/>
        </w:rPr>
      </w:pPr>
      <w:r w:rsidRPr="004535C6">
        <w:rPr>
          <w:rFonts w:eastAsia="Palatino Linotype" w:cs="Palatino Linotype"/>
          <w:i/>
          <w:color w:val="auto"/>
          <w:sz w:val="20"/>
          <w:szCs w:val="20"/>
          <w:lang w:eastAsia="es-MX"/>
        </w:rPr>
        <w:t xml:space="preserve">no informan el por qué, cobran en las Oficinas de Desarrollo Urbano las Aportaciones a mejoras que ellos mismos contestan que "No se encuentra un apartado específico por el concepto de APORTACIONES". sin </w:t>
      </w:r>
      <w:proofErr w:type="gramStart"/>
      <w:r w:rsidRPr="004535C6">
        <w:rPr>
          <w:rFonts w:eastAsia="Palatino Linotype" w:cs="Palatino Linotype"/>
          <w:i/>
          <w:color w:val="auto"/>
          <w:sz w:val="20"/>
          <w:szCs w:val="20"/>
          <w:lang w:eastAsia="es-MX"/>
        </w:rPr>
        <w:t>embargo</w:t>
      </w:r>
      <w:proofErr w:type="gramEnd"/>
      <w:r w:rsidRPr="004535C6">
        <w:rPr>
          <w:rFonts w:eastAsia="Palatino Linotype" w:cs="Palatino Linotype"/>
          <w:i/>
          <w:color w:val="auto"/>
          <w:sz w:val="20"/>
          <w:szCs w:val="20"/>
          <w:lang w:eastAsia="es-MX"/>
        </w:rPr>
        <w:t xml:space="preserve"> </w:t>
      </w:r>
      <w:proofErr w:type="spellStart"/>
      <w:r w:rsidRPr="004535C6">
        <w:rPr>
          <w:rFonts w:eastAsia="Palatino Linotype" w:cs="Palatino Linotype"/>
          <w:i/>
          <w:color w:val="auto"/>
          <w:sz w:val="20"/>
          <w:szCs w:val="20"/>
          <w:lang w:eastAsia="es-MX"/>
        </w:rPr>
        <w:t>mas</w:t>
      </w:r>
      <w:proofErr w:type="spellEnd"/>
      <w:r w:rsidRPr="004535C6">
        <w:rPr>
          <w:rFonts w:eastAsia="Palatino Linotype" w:cs="Palatino Linotype"/>
          <w:i/>
          <w:color w:val="auto"/>
          <w:sz w:val="20"/>
          <w:szCs w:val="20"/>
          <w:lang w:eastAsia="es-MX"/>
        </w:rPr>
        <w:t xml:space="preserve"> adelante mencionan que el </w:t>
      </w:r>
      <w:proofErr w:type="spellStart"/>
      <w:r w:rsidRPr="004535C6">
        <w:rPr>
          <w:rFonts w:eastAsia="Palatino Linotype" w:cs="Palatino Linotype"/>
          <w:i/>
          <w:color w:val="auto"/>
          <w:sz w:val="20"/>
          <w:szCs w:val="20"/>
          <w:lang w:eastAsia="es-MX"/>
        </w:rPr>
        <w:t>codigo</w:t>
      </w:r>
      <w:proofErr w:type="spellEnd"/>
      <w:r w:rsidRPr="004535C6">
        <w:rPr>
          <w:rFonts w:eastAsia="Palatino Linotype" w:cs="Palatino Linotype"/>
          <w:i/>
          <w:color w:val="auto"/>
          <w:sz w:val="20"/>
          <w:szCs w:val="20"/>
          <w:lang w:eastAsia="es-MX"/>
        </w:rPr>
        <w:t xml:space="preserve"> financiero contempla las aportaciones. no es entendible su respuesta. por lo que Quiero saber el por qué el </w:t>
      </w:r>
      <w:proofErr w:type="spellStart"/>
      <w:r w:rsidRPr="004535C6">
        <w:rPr>
          <w:rFonts w:eastAsia="Palatino Linotype" w:cs="Palatino Linotype"/>
          <w:i/>
          <w:color w:val="auto"/>
          <w:sz w:val="20"/>
          <w:szCs w:val="20"/>
          <w:lang w:eastAsia="es-MX"/>
        </w:rPr>
        <w:t>Ing</w:t>
      </w:r>
      <w:proofErr w:type="spellEnd"/>
      <w:r w:rsidRPr="004535C6">
        <w:rPr>
          <w:rFonts w:eastAsia="Palatino Linotype" w:cs="Palatino Linotype"/>
          <w:i/>
          <w:color w:val="auto"/>
          <w:sz w:val="20"/>
          <w:szCs w:val="20"/>
          <w:lang w:eastAsia="es-MX"/>
        </w:rPr>
        <w:t xml:space="preserve"> de Control Urbano solicita dinero por este concepto de Aportaciones a mejoras.</w:t>
      </w:r>
      <w:r w:rsidR="00097E55" w:rsidRPr="004535C6">
        <w:rPr>
          <w:rFonts w:eastAsia="Palatino Linotype" w:cs="Palatino Linotype"/>
          <w:i/>
          <w:color w:val="auto"/>
          <w:sz w:val="20"/>
          <w:szCs w:val="20"/>
          <w:lang w:eastAsia="es-MX"/>
        </w:rPr>
        <w:t>” (Sic.)</w:t>
      </w:r>
    </w:p>
    <w:p w14:paraId="202AC450" w14:textId="77777777" w:rsidR="005F23A1" w:rsidRPr="004535C6" w:rsidRDefault="005F23A1" w:rsidP="00C60BFE">
      <w:pPr>
        <w:spacing w:after="0" w:line="360" w:lineRule="auto"/>
        <w:ind w:right="567"/>
        <w:rPr>
          <w:rFonts w:eastAsia="Palatino Linotype" w:cs="Palatino Linotype"/>
          <w:color w:val="FF0000"/>
          <w:sz w:val="20"/>
          <w:szCs w:val="20"/>
          <w:lang w:eastAsia="es-MX"/>
        </w:rPr>
      </w:pPr>
    </w:p>
    <w:p w14:paraId="0D0ADEBB" w14:textId="77777777" w:rsidR="005527B8" w:rsidRPr="004535C6" w:rsidRDefault="005527B8" w:rsidP="00C60BFE">
      <w:pPr>
        <w:spacing w:after="0" w:line="360" w:lineRule="auto"/>
        <w:rPr>
          <w:rFonts w:eastAsia="Palatino Linotype" w:cs="Palatino Linotype"/>
          <w:b/>
          <w:color w:val="auto"/>
          <w:lang w:eastAsia="es-MX"/>
        </w:rPr>
      </w:pPr>
      <w:r w:rsidRPr="004535C6">
        <w:rPr>
          <w:rFonts w:eastAsia="Palatino Linotype" w:cs="Palatino Linotype"/>
          <w:b/>
          <w:color w:val="auto"/>
          <w:lang w:eastAsia="es-MX"/>
        </w:rPr>
        <w:t>IV. Trámite del Recurso de Revisión ante este Instituto</w:t>
      </w:r>
    </w:p>
    <w:p w14:paraId="750F5D29" w14:textId="77777777" w:rsidR="005527B8" w:rsidRPr="004535C6" w:rsidRDefault="005527B8" w:rsidP="00C60BFE">
      <w:pPr>
        <w:spacing w:after="0" w:line="360" w:lineRule="auto"/>
        <w:rPr>
          <w:rFonts w:eastAsia="Palatino Linotype" w:cs="Palatino Linotype"/>
          <w:b/>
          <w:color w:val="FF0000"/>
          <w:lang w:eastAsia="es-MX"/>
        </w:rPr>
      </w:pPr>
    </w:p>
    <w:p w14:paraId="6975D4B2" w14:textId="65934123" w:rsidR="005527B8" w:rsidRPr="004535C6" w:rsidRDefault="005527B8" w:rsidP="00C60BFE">
      <w:pPr>
        <w:spacing w:after="0" w:line="360" w:lineRule="auto"/>
        <w:rPr>
          <w:rFonts w:eastAsia="Palatino Linotype" w:cs="Palatino Linotype"/>
          <w:color w:val="auto"/>
          <w:lang w:eastAsia="es-MX"/>
        </w:rPr>
      </w:pPr>
      <w:r w:rsidRPr="004535C6">
        <w:rPr>
          <w:rFonts w:eastAsia="Palatino Linotype" w:cs="Palatino Linotype"/>
          <w:b/>
          <w:color w:val="auto"/>
          <w:lang w:eastAsia="es-MX"/>
        </w:rPr>
        <w:t xml:space="preserve">a) Turno del Medio de Impugnación. </w:t>
      </w:r>
      <w:r w:rsidRPr="004535C6">
        <w:rPr>
          <w:rFonts w:eastAsia="Palatino Linotype" w:cs="Palatino Linotype"/>
          <w:color w:val="auto"/>
          <w:lang w:eastAsia="es-MX"/>
        </w:rPr>
        <w:t xml:space="preserve">El </w:t>
      </w:r>
      <w:r w:rsidR="0040367B" w:rsidRPr="004535C6">
        <w:rPr>
          <w:rFonts w:eastAsia="Palatino Linotype" w:cs="Palatino Linotype"/>
          <w:color w:val="auto"/>
          <w:lang w:eastAsia="es-MX"/>
        </w:rPr>
        <w:t xml:space="preserve">tres de octubre de dos mil veinticuatro, </w:t>
      </w:r>
      <w:r w:rsidRPr="004535C6">
        <w:rPr>
          <w:rFonts w:eastAsia="Palatino Linotype" w:cs="Palatino Linotype"/>
          <w:color w:val="auto"/>
          <w:lang w:eastAsia="es-MX"/>
        </w:rPr>
        <w:t xml:space="preserve">el Sistema de Acceso a la Información Mexiquense (SAIMEX), asignó el número de expediente </w:t>
      </w:r>
      <w:r w:rsidR="00D50635" w:rsidRPr="004535C6">
        <w:rPr>
          <w:rFonts w:eastAsia="Palatino Linotype" w:cs="Palatino Linotype"/>
          <w:b/>
          <w:color w:val="auto"/>
          <w:lang w:eastAsia="es-MX"/>
        </w:rPr>
        <w:t>0</w:t>
      </w:r>
      <w:r w:rsidR="004906CD" w:rsidRPr="004535C6">
        <w:rPr>
          <w:rFonts w:eastAsia="Palatino Linotype" w:cs="Palatino Linotype"/>
          <w:b/>
          <w:color w:val="auto"/>
          <w:lang w:eastAsia="es-MX"/>
        </w:rPr>
        <w:t>5</w:t>
      </w:r>
      <w:r w:rsidR="0040367B" w:rsidRPr="004535C6">
        <w:rPr>
          <w:rFonts w:eastAsia="Palatino Linotype" w:cs="Palatino Linotype"/>
          <w:b/>
          <w:color w:val="auto"/>
          <w:lang w:eastAsia="es-MX"/>
        </w:rPr>
        <w:t>996</w:t>
      </w:r>
      <w:r w:rsidR="005F23A1" w:rsidRPr="004535C6">
        <w:rPr>
          <w:rFonts w:eastAsia="Palatino Linotype" w:cs="Palatino Linotype"/>
          <w:b/>
          <w:color w:val="auto"/>
          <w:lang w:eastAsia="es-MX"/>
        </w:rPr>
        <w:t>/INFOEM/IP/RR/2024</w:t>
      </w:r>
      <w:r w:rsidRPr="004535C6">
        <w:rPr>
          <w:rFonts w:eastAsia="Palatino Linotype" w:cs="Palatino Linotype"/>
          <w:color w:val="auto"/>
          <w:lang w:eastAsia="es-MX"/>
        </w:rPr>
        <w:t xml:space="preserve">, al medio de impugnación que nos ocupa, con base en el sistema aprobado por el Pleno de este Órgano Garante y lo turnó al Comisionado Ponente Luis Gustavo </w:t>
      </w:r>
      <w:r w:rsidRPr="004535C6">
        <w:rPr>
          <w:rFonts w:eastAsia="Palatino Linotype" w:cs="Palatino Linotype"/>
          <w:color w:val="auto"/>
          <w:lang w:eastAsia="es-MX"/>
        </w:rPr>
        <w:lastRenderedPageBreak/>
        <w:t>Parra Noriega, para los efectos del artículo 185, fracción I de la Ley de Transparencia y Acceso a la Información Pública del Estado de México y Municipios.</w:t>
      </w:r>
    </w:p>
    <w:p w14:paraId="686D9298" w14:textId="77777777" w:rsidR="005527B8" w:rsidRPr="004535C6" w:rsidRDefault="005527B8" w:rsidP="00C60BFE">
      <w:pPr>
        <w:spacing w:after="0" w:line="360" w:lineRule="auto"/>
        <w:rPr>
          <w:rFonts w:eastAsia="Palatino Linotype" w:cs="Palatino Linotype"/>
          <w:color w:val="FF0000"/>
          <w:lang w:eastAsia="es-MX"/>
        </w:rPr>
      </w:pPr>
    </w:p>
    <w:p w14:paraId="4E9DBA91" w14:textId="4648C08D" w:rsidR="005527B8" w:rsidRPr="004535C6" w:rsidRDefault="005527B8" w:rsidP="00C60BFE">
      <w:pPr>
        <w:spacing w:after="0" w:line="360" w:lineRule="auto"/>
        <w:rPr>
          <w:rFonts w:eastAsia="Palatino Linotype" w:cs="Palatino Linotype"/>
          <w:color w:val="auto"/>
          <w:lang w:eastAsia="es-MX"/>
        </w:rPr>
      </w:pPr>
      <w:r w:rsidRPr="004535C6">
        <w:rPr>
          <w:rFonts w:eastAsia="Palatino Linotype" w:cs="Palatino Linotype"/>
          <w:b/>
          <w:color w:val="auto"/>
          <w:lang w:eastAsia="es-MX"/>
        </w:rPr>
        <w:t xml:space="preserve">b) Admisión del Recurso de Revisión. </w:t>
      </w:r>
      <w:r w:rsidRPr="004535C6">
        <w:rPr>
          <w:rFonts w:eastAsia="Palatino Linotype" w:cs="Palatino Linotype"/>
          <w:color w:val="auto"/>
          <w:lang w:eastAsia="es-MX"/>
        </w:rPr>
        <w:t xml:space="preserve">El </w:t>
      </w:r>
      <w:r w:rsidR="0040367B" w:rsidRPr="004535C6">
        <w:rPr>
          <w:rFonts w:eastAsia="Palatino Linotype" w:cs="Palatino Linotype"/>
          <w:color w:val="auto"/>
          <w:lang w:eastAsia="es-MX"/>
        </w:rPr>
        <w:t>ocho de octubre de dos mil veinticuatro</w:t>
      </w:r>
      <w:r w:rsidR="002710A8" w:rsidRPr="004535C6">
        <w:rPr>
          <w:rFonts w:eastAsia="Palatino Linotype" w:cs="Palatino Linotype"/>
          <w:color w:val="auto"/>
          <w:lang w:eastAsia="es-MX"/>
        </w:rPr>
        <w:t xml:space="preserve">, </w:t>
      </w:r>
      <w:r w:rsidRPr="004535C6">
        <w:rPr>
          <w:rFonts w:eastAsia="Palatino Linotype" w:cs="Palatino Linotype"/>
          <w:color w:val="auto"/>
          <w:lang w:eastAsia="es-MX"/>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40367B" w:rsidRPr="004535C6">
        <w:rPr>
          <w:rFonts w:eastAsia="Palatino Linotype" w:cs="Palatino Linotype"/>
          <w:color w:val="auto"/>
          <w:lang w:eastAsia="es-MX"/>
        </w:rPr>
        <w:t xml:space="preserve"> mismo día</w:t>
      </w:r>
      <w:r w:rsidR="00D50635" w:rsidRPr="004535C6">
        <w:rPr>
          <w:rFonts w:eastAsia="Palatino Linotype" w:cs="Palatino Linotype"/>
          <w:color w:val="auto"/>
          <w:lang w:eastAsia="es-MX"/>
        </w:rPr>
        <w:t xml:space="preserve">, </w:t>
      </w:r>
      <w:r w:rsidRPr="004535C6">
        <w:rPr>
          <w:rFonts w:eastAsia="Palatino Linotype" w:cs="Palatino Linotype"/>
          <w:color w:val="auto"/>
          <w:lang w:eastAsia="es-MX"/>
        </w:rPr>
        <w:t>a través del Sistema de Acceso a la Información Mexiquense (SAIMEX), en el que se les otorgó un plazo de siete días hábiles posteriores a la misma, para que manifestaran lo que a su derecho conviniera y formularan alegatos.</w:t>
      </w:r>
    </w:p>
    <w:p w14:paraId="209C4D53" w14:textId="77777777" w:rsidR="00AF0A43" w:rsidRPr="004535C6" w:rsidRDefault="00AF0A43" w:rsidP="00C60BFE">
      <w:pPr>
        <w:spacing w:after="0" w:line="360" w:lineRule="auto"/>
        <w:rPr>
          <w:rFonts w:eastAsia="Palatino Linotype" w:cs="Palatino Linotype"/>
          <w:color w:val="FF0000"/>
          <w:lang w:eastAsia="es-MX"/>
        </w:rPr>
      </w:pPr>
    </w:p>
    <w:p w14:paraId="1C8A8DDF" w14:textId="77777777" w:rsidR="0040367B" w:rsidRDefault="006943D5" w:rsidP="0040367B">
      <w:pPr>
        <w:spacing w:after="0" w:line="360" w:lineRule="auto"/>
        <w:rPr>
          <w:rFonts w:eastAsia="Palatino Linotype" w:cs="Palatino Linotype"/>
          <w:bCs/>
          <w:color w:val="auto"/>
          <w:lang w:eastAsia="es-MX"/>
        </w:rPr>
      </w:pPr>
      <w:r w:rsidRPr="004535C6">
        <w:rPr>
          <w:rFonts w:eastAsia="Palatino Linotype" w:cs="Palatino Linotype"/>
          <w:b/>
          <w:color w:val="auto"/>
          <w:lang w:eastAsia="es-MX"/>
        </w:rPr>
        <w:t>c</w:t>
      </w:r>
      <w:r w:rsidR="005527B8" w:rsidRPr="004535C6">
        <w:rPr>
          <w:rFonts w:eastAsia="Palatino Linotype" w:cs="Palatino Linotype"/>
          <w:b/>
          <w:color w:val="auto"/>
          <w:lang w:eastAsia="es-MX"/>
        </w:rPr>
        <w:t xml:space="preserve">) </w:t>
      </w:r>
      <w:r w:rsidR="00914827" w:rsidRPr="004535C6">
        <w:rPr>
          <w:rFonts w:eastAsia="Palatino Linotype" w:cs="Palatino Linotype"/>
          <w:b/>
          <w:color w:val="auto"/>
          <w:lang w:eastAsia="es-MX"/>
        </w:rPr>
        <w:t xml:space="preserve">Informe Justificado o manifestaciones. </w:t>
      </w:r>
      <w:r w:rsidR="0040367B" w:rsidRPr="004535C6">
        <w:rPr>
          <w:rFonts w:eastAsia="Palatino Linotype" w:cs="Palatino Linotype"/>
          <w:bCs/>
          <w:color w:val="auto"/>
          <w:lang w:eastAsia="es-MX"/>
        </w:rPr>
        <w:t>Las partes fueron omisas en emitir manifestaciones o alegatos.</w:t>
      </w:r>
    </w:p>
    <w:p w14:paraId="63F909C4" w14:textId="77777777" w:rsidR="004535C6" w:rsidRPr="004535C6" w:rsidRDefault="004535C6" w:rsidP="0040367B">
      <w:pPr>
        <w:spacing w:after="0" w:line="360" w:lineRule="auto"/>
        <w:rPr>
          <w:rFonts w:eastAsia="Palatino Linotype" w:cs="Palatino Linotype"/>
          <w:bCs/>
          <w:color w:val="auto"/>
          <w:lang w:eastAsia="es-MX"/>
        </w:rPr>
      </w:pPr>
    </w:p>
    <w:p w14:paraId="0BB80884" w14:textId="196DE9C8" w:rsidR="007357E5" w:rsidRPr="004535C6" w:rsidRDefault="004535C6" w:rsidP="004535C6">
      <w:pPr>
        <w:spacing w:after="0" w:line="360" w:lineRule="auto"/>
        <w:rPr>
          <w:rFonts w:eastAsia="Palatino Linotype" w:cs="Palatino Linotype"/>
          <w:color w:val="auto"/>
          <w:lang w:eastAsia="es-MX"/>
        </w:rPr>
      </w:pPr>
      <w:r w:rsidRPr="004535C6">
        <w:rPr>
          <w:rFonts w:eastAsia="Palatino Linotype" w:cs="Palatino Linotype"/>
          <w:b/>
          <w:color w:val="auto"/>
          <w:lang w:eastAsia="es-MX"/>
        </w:rPr>
        <w:t>d) Ampliación de plazo para resolver.</w:t>
      </w:r>
      <w:r w:rsidRPr="004535C6">
        <w:rPr>
          <w:rFonts w:eastAsia="Palatino Linotype" w:cs="Palatino Linotype"/>
          <w:color w:val="auto"/>
          <w:lang w:eastAsia="es-MX"/>
        </w:rPr>
        <w:t xml:space="preserve"> El veintitrés de octu</w:t>
      </w:r>
      <w:r>
        <w:rPr>
          <w:rFonts w:eastAsia="Palatino Linotype" w:cs="Palatino Linotype"/>
          <w:color w:val="auto"/>
          <w:lang w:eastAsia="es-MX"/>
        </w:rPr>
        <w:t xml:space="preserve">bre de dos mil veinticuatro, el </w:t>
      </w:r>
      <w:r w:rsidRPr="004535C6">
        <w:rPr>
          <w:rFonts w:eastAsia="Palatino Linotype" w:cs="Palatino Linotype"/>
          <w:color w:val="auto"/>
          <w:lang w:eastAsia="es-MX"/>
        </w:rPr>
        <w:t>Comisionado Ponente, con fundamento en lo dispuesto por el</w:t>
      </w:r>
      <w:r>
        <w:rPr>
          <w:rFonts w:eastAsia="Palatino Linotype" w:cs="Palatino Linotype"/>
          <w:color w:val="auto"/>
          <w:lang w:eastAsia="es-MX"/>
        </w:rPr>
        <w:t xml:space="preserve"> artículo 181, párrafo tercero, </w:t>
      </w:r>
      <w:r w:rsidRPr="004535C6">
        <w:rPr>
          <w:rFonts w:eastAsia="Palatino Linotype" w:cs="Palatino Linotype"/>
          <w:color w:val="auto"/>
          <w:lang w:eastAsia="es-MX"/>
        </w:rPr>
        <w:t>de la Ley de Transparencia y Acceso a la Información Pública del Estado de México y</w:t>
      </w:r>
      <w:r>
        <w:rPr>
          <w:rFonts w:eastAsia="Palatino Linotype" w:cs="Palatino Linotype"/>
          <w:color w:val="auto"/>
          <w:lang w:eastAsia="es-MX"/>
        </w:rPr>
        <w:t xml:space="preserve"> Municipios, </w:t>
      </w:r>
      <w:r w:rsidRPr="004535C6">
        <w:rPr>
          <w:rFonts w:eastAsia="Palatino Linotype" w:cs="Palatino Linotype"/>
          <w:color w:val="auto"/>
          <w:lang w:eastAsia="es-MX"/>
        </w:rPr>
        <w:t xml:space="preserve">acordó ampliar por un </w:t>
      </w:r>
      <w:r w:rsidRPr="002573DD">
        <w:rPr>
          <w:rFonts w:eastAsia="Palatino Linotype" w:cs="Palatino Linotype"/>
          <w:b/>
          <w:color w:val="auto"/>
          <w:lang w:eastAsia="es-MX"/>
        </w:rPr>
        <w:t>periodo de quince días,</w:t>
      </w:r>
      <w:r>
        <w:rPr>
          <w:rFonts w:eastAsia="Palatino Linotype" w:cs="Palatino Linotype"/>
          <w:color w:val="auto"/>
          <w:lang w:eastAsia="es-MX"/>
        </w:rPr>
        <w:t xml:space="preserve"> el plazo para resolver el </w:t>
      </w:r>
      <w:r w:rsidRPr="004535C6">
        <w:rPr>
          <w:rFonts w:eastAsia="Palatino Linotype" w:cs="Palatino Linotype"/>
          <w:color w:val="auto"/>
          <w:lang w:eastAsia="es-MX"/>
        </w:rPr>
        <w:t>Recurso de Revisión que nos ocupa; acto que fue notif</w:t>
      </w:r>
      <w:r>
        <w:rPr>
          <w:rFonts w:eastAsia="Palatino Linotype" w:cs="Palatino Linotype"/>
          <w:color w:val="auto"/>
          <w:lang w:eastAsia="es-MX"/>
        </w:rPr>
        <w:t xml:space="preserve">icado a las partes, mediante el </w:t>
      </w:r>
      <w:r w:rsidRPr="004535C6">
        <w:rPr>
          <w:rFonts w:eastAsia="Palatino Linotype" w:cs="Palatino Linotype"/>
          <w:color w:val="auto"/>
          <w:lang w:eastAsia="es-MX"/>
        </w:rPr>
        <w:t xml:space="preserve">Sistema de Acceso a la </w:t>
      </w:r>
      <w:r>
        <w:rPr>
          <w:rFonts w:eastAsia="Palatino Linotype" w:cs="Palatino Linotype"/>
          <w:color w:val="auto"/>
          <w:lang w:eastAsia="es-MX"/>
        </w:rPr>
        <w:t>Información Mexiquense (SAIMEX), el veinticuatro de dicho mes y año.</w:t>
      </w:r>
    </w:p>
    <w:p w14:paraId="5FFE3453" w14:textId="77777777" w:rsidR="004535C6" w:rsidRPr="004535C6" w:rsidRDefault="004535C6" w:rsidP="004535C6">
      <w:pPr>
        <w:spacing w:after="0" w:line="360" w:lineRule="auto"/>
        <w:rPr>
          <w:rFonts w:eastAsia="Palatino Linotype" w:cs="Palatino Linotype"/>
          <w:b/>
          <w:color w:val="FF0000"/>
          <w:lang w:eastAsia="es-MX"/>
        </w:rPr>
      </w:pPr>
    </w:p>
    <w:p w14:paraId="76106E8D" w14:textId="79EE2B43" w:rsidR="005527B8" w:rsidRPr="004535C6" w:rsidRDefault="004535C6" w:rsidP="00C60BFE">
      <w:pPr>
        <w:spacing w:after="0" w:line="360" w:lineRule="auto"/>
        <w:rPr>
          <w:rFonts w:eastAsia="Palatino Linotype" w:cs="Palatino Linotype"/>
          <w:color w:val="auto"/>
          <w:lang w:eastAsia="es-MX"/>
        </w:rPr>
      </w:pPr>
      <w:r>
        <w:rPr>
          <w:rFonts w:eastAsia="Palatino Linotype" w:cs="Palatino Linotype"/>
          <w:b/>
          <w:color w:val="auto"/>
          <w:lang w:eastAsia="es-MX"/>
        </w:rPr>
        <w:t>e</w:t>
      </w:r>
      <w:r w:rsidR="005527B8" w:rsidRPr="004535C6">
        <w:rPr>
          <w:rFonts w:eastAsia="Palatino Linotype" w:cs="Palatino Linotype"/>
          <w:b/>
          <w:color w:val="auto"/>
          <w:lang w:eastAsia="es-MX"/>
        </w:rPr>
        <w:t>) Cierre de instrucción.</w:t>
      </w:r>
      <w:r w:rsidR="005527B8" w:rsidRPr="004535C6">
        <w:rPr>
          <w:rFonts w:eastAsia="Palatino Linotype" w:cs="Palatino Linotype"/>
          <w:color w:val="auto"/>
          <w:lang w:eastAsia="es-MX"/>
        </w:rPr>
        <w:t xml:space="preserve"> El </w:t>
      </w:r>
      <w:r w:rsidR="002573DD">
        <w:rPr>
          <w:rFonts w:eastAsia="Palatino Linotype" w:cs="Palatino Linotype"/>
          <w:color w:val="auto"/>
          <w:lang w:eastAsia="es-MX"/>
        </w:rPr>
        <w:t>veintitrés</w:t>
      </w:r>
      <w:r w:rsidR="007357E5" w:rsidRPr="004535C6">
        <w:rPr>
          <w:rFonts w:eastAsia="Palatino Linotype" w:cs="Palatino Linotype"/>
          <w:color w:val="auto"/>
          <w:lang w:eastAsia="es-MX"/>
        </w:rPr>
        <w:t xml:space="preserve"> de octubre de dos mil veinticuatro</w:t>
      </w:r>
      <w:r w:rsidR="005527B8" w:rsidRPr="004535C6">
        <w:rPr>
          <w:rFonts w:eastAsia="Palatino Linotype" w:cs="Palatino Linotype"/>
          <w:color w:val="auto"/>
          <w:lang w:eastAsia="es-MX"/>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w:t>
      </w:r>
      <w:r w:rsidR="005527B8" w:rsidRPr="004535C6">
        <w:rPr>
          <w:rFonts w:eastAsia="Palatino Linotype" w:cs="Palatino Linotype"/>
          <w:color w:val="auto"/>
          <w:lang w:eastAsia="es-MX"/>
        </w:rPr>
        <w:lastRenderedPageBreak/>
        <w:t>mediante el Sistema de Acceso a la Inf</w:t>
      </w:r>
      <w:r w:rsidR="002573DD">
        <w:rPr>
          <w:rFonts w:eastAsia="Palatino Linotype" w:cs="Palatino Linotype"/>
          <w:color w:val="auto"/>
          <w:lang w:eastAsia="es-MX"/>
        </w:rPr>
        <w:t>ormación Mexiquense (SAIMEX), el veinticuatro de dicho mes y año.</w:t>
      </w:r>
    </w:p>
    <w:p w14:paraId="1CD1635D" w14:textId="77777777" w:rsidR="00D636E1" w:rsidRPr="004535C6" w:rsidRDefault="00D636E1" w:rsidP="00C60BFE">
      <w:pPr>
        <w:spacing w:after="0" w:line="360" w:lineRule="auto"/>
        <w:rPr>
          <w:rFonts w:cs="Tahoma"/>
          <w:color w:val="auto"/>
        </w:rPr>
      </w:pPr>
    </w:p>
    <w:p w14:paraId="67F4FB91" w14:textId="77777777" w:rsidR="00066B31" w:rsidRPr="004535C6" w:rsidRDefault="00066B31" w:rsidP="00C60BFE">
      <w:pPr>
        <w:spacing w:after="0" w:line="360" w:lineRule="auto"/>
        <w:rPr>
          <w:rFonts w:cs="Tahoma"/>
          <w:b/>
          <w:bCs/>
          <w:color w:val="auto"/>
        </w:rPr>
      </w:pPr>
      <w:r w:rsidRPr="004535C6">
        <w:rPr>
          <w:rFonts w:cs="Tahoma"/>
          <w:color w:val="auto"/>
        </w:rPr>
        <w:t xml:space="preserve">En razón de que fue debidamente sustanciado el expediente electrónico y no existe diligencia pendiente de desahogo, se emite la resolución que conforme a Derecho proceda, de acuerdo a los siguientes: </w:t>
      </w:r>
    </w:p>
    <w:p w14:paraId="3C63CE88" w14:textId="77777777" w:rsidR="00066B31" w:rsidRPr="004535C6" w:rsidRDefault="00066B31" w:rsidP="00C60BFE">
      <w:pPr>
        <w:spacing w:after="0" w:line="360" w:lineRule="auto"/>
        <w:rPr>
          <w:rFonts w:cs="Tahoma"/>
          <w:color w:val="auto"/>
        </w:rPr>
      </w:pPr>
    </w:p>
    <w:p w14:paraId="5BF6FD9D" w14:textId="4B305D65" w:rsidR="00066B31" w:rsidRPr="004535C6" w:rsidRDefault="00376E4B" w:rsidP="00C60BFE">
      <w:pPr>
        <w:spacing w:after="0" w:line="360" w:lineRule="auto"/>
        <w:jc w:val="center"/>
        <w:rPr>
          <w:rFonts w:cs="Tahoma"/>
          <w:b/>
          <w:color w:val="auto"/>
          <w:lang w:val="es-ES"/>
        </w:rPr>
      </w:pPr>
      <w:r w:rsidRPr="004535C6">
        <w:rPr>
          <w:rFonts w:cs="Tahoma"/>
          <w:b/>
          <w:color w:val="auto"/>
          <w:lang w:val="es-ES"/>
        </w:rPr>
        <w:t>CONSIDERANDOS</w:t>
      </w:r>
    </w:p>
    <w:p w14:paraId="2D6C5172" w14:textId="77777777" w:rsidR="00066B31" w:rsidRPr="004535C6" w:rsidRDefault="00066B31" w:rsidP="00C60BFE">
      <w:pPr>
        <w:spacing w:after="0" w:line="360" w:lineRule="auto"/>
        <w:rPr>
          <w:rFonts w:cs="Tahoma"/>
          <w:b/>
          <w:color w:val="FF0000"/>
          <w:lang w:val="es-ES"/>
        </w:rPr>
      </w:pPr>
    </w:p>
    <w:p w14:paraId="64D1798A" w14:textId="5345809A" w:rsidR="007E3D4A" w:rsidRPr="004535C6" w:rsidRDefault="00376E4B" w:rsidP="00C60BFE">
      <w:pPr>
        <w:spacing w:after="0" w:line="360" w:lineRule="auto"/>
        <w:rPr>
          <w:rFonts w:eastAsia="Batang" w:cs="Tahoma"/>
          <w:b/>
          <w:bCs/>
          <w:color w:val="auto"/>
          <w:lang w:eastAsia="es-ES"/>
        </w:rPr>
      </w:pPr>
      <w:r w:rsidRPr="004535C6">
        <w:rPr>
          <w:rFonts w:eastAsia="Batang" w:cs="Tahoma"/>
          <w:b/>
          <w:bCs/>
          <w:color w:val="auto"/>
          <w:lang w:eastAsia="es-ES"/>
        </w:rPr>
        <w:t>PRIMERO. Competencia</w:t>
      </w:r>
    </w:p>
    <w:p w14:paraId="53309FF6" w14:textId="77777777" w:rsidR="007E3D4A" w:rsidRPr="004535C6" w:rsidRDefault="007E3D4A" w:rsidP="00C60BFE">
      <w:pPr>
        <w:spacing w:after="0" w:line="360" w:lineRule="auto"/>
        <w:rPr>
          <w:rFonts w:eastAsia="Batang" w:cs="Tahoma"/>
          <w:b/>
          <w:bCs/>
          <w:color w:val="auto"/>
          <w:lang w:eastAsia="es-ES"/>
        </w:rPr>
      </w:pPr>
    </w:p>
    <w:p w14:paraId="3864AC51" w14:textId="5BA3AB44" w:rsidR="007E3D4A" w:rsidRPr="004535C6" w:rsidRDefault="007E3D4A" w:rsidP="00C60BFE">
      <w:pPr>
        <w:spacing w:after="0" w:line="360" w:lineRule="auto"/>
        <w:rPr>
          <w:rFonts w:eastAsia="Times New Roman" w:cs="Tahoma"/>
          <w:bCs/>
          <w:color w:val="auto"/>
          <w:lang w:eastAsia="es-ES"/>
        </w:rPr>
      </w:pPr>
      <w:bookmarkStart w:id="0" w:name="_Hlk63334754"/>
      <w:r w:rsidRPr="004535C6">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w:t>
      </w:r>
      <w:r w:rsidR="00006191" w:rsidRPr="004535C6">
        <w:rPr>
          <w:rFonts w:eastAsia="Times New Roman" w:cs="Tahoma"/>
          <w:bCs/>
          <w:color w:val="auto"/>
          <w:lang w:eastAsia="es-ES"/>
        </w:rPr>
        <w:t xml:space="preserve"> Unidos Mexicanos; 5°, párrafos trigésimo </w:t>
      </w:r>
      <w:r w:rsidRPr="004535C6">
        <w:rPr>
          <w:rFonts w:eastAsia="Times New Roman" w:cs="Tahoma"/>
          <w:bCs/>
          <w:color w:val="auto"/>
          <w:lang w:eastAsia="es-ES"/>
        </w:rPr>
        <w:t>segundo,</w:t>
      </w:r>
      <w:r w:rsidR="00006191" w:rsidRPr="004535C6">
        <w:rPr>
          <w:color w:val="auto"/>
        </w:rPr>
        <w:t xml:space="preserve"> </w:t>
      </w:r>
      <w:r w:rsidR="00006191" w:rsidRPr="004535C6">
        <w:rPr>
          <w:rFonts w:eastAsia="Times New Roman" w:cs="Tahoma"/>
          <w:bCs/>
          <w:color w:val="auto"/>
          <w:lang w:eastAsia="es-ES"/>
        </w:rPr>
        <w:t>trigésimo tercero y trigésimo cuarto,</w:t>
      </w:r>
      <w:r w:rsidRPr="004535C6">
        <w:rPr>
          <w:rFonts w:eastAsia="Times New Roman" w:cs="Tahoma"/>
          <w:bCs/>
          <w:color w:val="auto"/>
          <w:lang w:eastAsia="es-ES"/>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4535C6">
        <w:rPr>
          <w:rFonts w:eastAsia="Times New Roman" w:cs="Times New Roman"/>
          <w:bCs/>
          <w:color w:val="auto"/>
          <w:lang w:eastAsia="es-ES"/>
        </w:rPr>
        <w:t xml:space="preserve"> 7°, </w:t>
      </w:r>
      <w:r w:rsidR="001357EB" w:rsidRPr="004535C6">
        <w:rPr>
          <w:rFonts w:eastAsia="Times New Roman" w:cs="Tahoma"/>
          <w:bCs/>
          <w:color w:val="auto"/>
          <w:lang w:eastAsia="es-ES"/>
        </w:rPr>
        <w:t>9°, fracciones I y XXIII</w:t>
      </w:r>
      <w:r w:rsidRPr="004535C6">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0"/>
    </w:p>
    <w:p w14:paraId="30EE2C8A" w14:textId="77777777" w:rsidR="008F5DAC" w:rsidRPr="004535C6" w:rsidRDefault="008F5DAC" w:rsidP="00C60BFE">
      <w:pPr>
        <w:spacing w:after="0" w:line="360" w:lineRule="auto"/>
        <w:rPr>
          <w:rFonts w:eastAsia="Times New Roman" w:cs="Tahoma"/>
          <w:bCs/>
          <w:color w:val="auto"/>
          <w:lang w:eastAsia="es-ES"/>
        </w:rPr>
      </w:pPr>
    </w:p>
    <w:p w14:paraId="0354566A" w14:textId="5231A5D5" w:rsidR="00B367A2" w:rsidRPr="004535C6" w:rsidRDefault="00B367A2" w:rsidP="00C60BFE">
      <w:pPr>
        <w:autoSpaceDE w:val="0"/>
        <w:autoSpaceDN w:val="0"/>
        <w:adjustRightInd w:val="0"/>
        <w:spacing w:after="0" w:line="360" w:lineRule="auto"/>
        <w:contextualSpacing/>
        <w:rPr>
          <w:rFonts w:eastAsia="Times New Roman" w:cs="Tahoma"/>
          <w:color w:val="auto"/>
          <w:szCs w:val="24"/>
          <w:lang w:val="es-ES" w:eastAsia="es-ES"/>
        </w:rPr>
      </w:pPr>
      <w:r w:rsidRPr="004535C6">
        <w:rPr>
          <w:rFonts w:eastAsia="Calibri" w:cs="Tahoma"/>
          <w:b/>
          <w:color w:val="auto"/>
          <w:szCs w:val="24"/>
          <w:lang w:val="es-ES" w:eastAsia="es-MX"/>
        </w:rPr>
        <w:t>SEGUNDO</w:t>
      </w:r>
      <w:r w:rsidRPr="004535C6">
        <w:rPr>
          <w:rFonts w:eastAsia="Calibri" w:cs="Tahoma"/>
          <w:color w:val="auto"/>
          <w:szCs w:val="24"/>
          <w:lang w:val="es-ES" w:eastAsia="es-MX"/>
        </w:rPr>
        <w:t xml:space="preserve">. </w:t>
      </w:r>
      <w:r w:rsidRPr="004535C6">
        <w:rPr>
          <w:rFonts w:eastAsia="Times New Roman" w:cs="Tahoma"/>
          <w:b/>
          <w:color w:val="auto"/>
          <w:szCs w:val="24"/>
          <w:lang w:val="es-ES" w:eastAsia="es-ES"/>
        </w:rPr>
        <w:t>Causales de</w:t>
      </w:r>
      <w:r w:rsidR="00376E4B" w:rsidRPr="004535C6">
        <w:rPr>
          <w:rFonts w:eastAsia="Times New Roman" w:cs="Tahoma"/>
          <w:b/>
          <w:color w:val="auto"/>
          <w:szCs w:val="24"/>
          <w:lang w:val="es-ES" w:eastAsia="es-ES"/>
        </w:rPr>
        <w:t xml:space="preserve"> improcedencia y sobreseimiento</w:t>
      </w:r>
    </w:p>
    <w:p w14:paraId="5583D64E" w14:textId="77777777" w:rsidR="00B367A2" w:rsidRPr="004535C6" w:rsidRDefault="00B367A2" w:rsidP="00C60BFE">
      <w:pPr>
        <w:autoSpaceDE w:val="0"/>
        <w:autoSpaceDN w:val="0"/>
        <w:adjustRightInd w:val="0"/>
        <w:spacing w:after="0" w:line="360" w:lineRule="auto"/>
        <w:contextualSpacing/>
        <w:rPr>
          <w:rFonts w:eastAsia="Times New Roman" w:cs="Tahoma"/>
          <w:color w:val="auto"/>
          <w:szCs w:val="24"/>
          <w:lang w:val="es-ES" w:eastAsia="es-ES"/>
        </w:rPr>
      </w:pPr>
    </w:p>
    <w:p w14:paraId="3DC15836" w14:textId="77777777" w:rsidR="00B367A2" w:rsidRPr="004535C6" w:rsidRDefault="00B367A2" w:rsidP="00C60BFE">
      <w:pPr>
        <w:autoSpaceDE w:val="0"/>
        <w:autoSpaceDN w:val="0"/>
        <w:adjustRightInd w:val="0"/>
        <w:spacing w:after="0" w:line="360" w:lineRule="auto"/>
        <w:contextualSpacing/>
        <w:rPr>
          <w:rFonts w:eastAsia="Times New Roman" w:cs="Tahoma"/>
          <w:color w:val="auto"/>
          <w:szCs w:val="24"/>
          <w:lang w:val="es-ES" w:eastAsia="es-ES"/>
        </w:rPr>
      </w:pPr>
      <w:r w:rsidRPr="004535C6">
        <w:rPr>
          <w:rFonts w:eastAsia="Times New Roman" w:cs="Tahoma"/>
          <w:color w:val="auto"/>
          <w:szCs w:val="24"/>
          <w:lang w:val="es-ES" w:eastAsia="es-ES"/>
        </w:rPr>
        <w:lastRenderedPageBreak/>
        <w:t xml:space="preserve">De las constancias que forma parte del Recurso de Revisión que se analiza, se advierte que previo al estudio del fondo de la </w:t>
      </w:r>
      <w:r w:rsidRPr="004535C6">
        <w:rPr>
          <w:rFonts w:eastAsia="Times New Roman" w:cs="Tahoma"/>
          <w:i/>
          <w:color w:val="auto"/>
          <w:szCs w:val="24"/>
          <w:lang w:val="es-ES" w:eastAsia="es-ES"/>
        </w:rPr>
        <w:t>litis</w:t>
      </w:r>
      <w:r w:rsidRPr="004535C6">
        <w:rPr>
          <w:rFonts w:eastAsia="Times New Roman" w:cs="Tahoma"/>
          <w:color w:val="auto"/>
          <w:szCs w:val="24"/>
          <w:lang w:val="es-ES" w:eastAsia="es-ES"/>
        </w:rPr>
        <w:t>, es necesario estudiar las causales de improcedencia y sobreseimiento que se adviertan, para determinar lo que en Derecho proceda.</w:t>
      </w:r>
    </w:p>
    <w:p w14:paraId="3D61F359" w14:textId="77777777" w:rsidR="00B367A2" w:rsidRPr="004535C6" w:rsidRDefault="00B367A2" w:rsidP="00C60BFE">
      <w:pPr>
        <w:spacing w:after="0" w:line="360" w:lineRule="auto"/>
        <w:contextualSpacing/>
        <w:rPr>
          <w:b/>
          <w:color w:val="auto"/>
          <w:lang w:val="es-ES"/>
        </w:rPr>
      </w:pPr>
    </w:p>
    <w:p w14:paraId="71C16E1A" w14:textId="77777777" w:rsidR="00B367A2" w:rsidRPr="004535C6" w:rsidRDefault="00B367A2" w:rsidP="00C60BFE">
      <w:pPr>
        <w:spacing w:after="0" w:line="360" w:lineRule="auto"/>
        <w:contextualSpacing/>
        <w:rPr>
          <w:b/>
          <w:color w:val="auto"/>
          <w:lang w:val="es-ES"/>
        </w:rPr>
      </w:pPr>
      <w:r w:rsidRPr="004535C6">
        <w:rPr>
          <w:b/>
          <w:color w:val="auto"/>
          <w:lang w:val="es-ES"/>
        </w:rPr>
        <w:t>Causales de improcedencia</w:t>
      </w:r>
    </w:p>
    <w:p w14:paraId="24A9D44F" w14:textId="77777777" w:rsidR="00B367A2" w:rsidRPr="004535C6" w:rsidRDefault="00B367A2" w:rsidP="00C60BFE">
      <w:pPr>
        <w:spacing w:after="0" w:line="360" w:lineRule="auto"/>
        <w:contextualSpacing/>
        <w:rPr>
          <w:color w:val="auto"/>
        </w:rPr>
      </w:pPr>
    </w:p>
    <w:p w14:paraId="22428DBA" w14:textId="77777777" w:rsidR="00B367A2" w:rsidRPr="004535C6" w:rsidRDefault="00B367A2" w:rsidP="00C60BFE">
      <w:pPr>
        <w:spacing w:after="0" w:line="360" w:lineRule="auto"/>
        <w:contextualSpacing/>
        <w:rPr>
          <w:rFonts w:eastAsia="Times New Roman" w:cs="Tahoma"/>
          <w:color w:val="auto"/>
          <w:lang w:eastAsia="es-ES"/>
        </w:rPr>
      </w:pPr>
      <w:r w:rsidRPr="004535C6">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43E6CB" w14:textId="77777777" w:rsidR="00B367A2" w:rsidRPr="004535C6" w:rsidRDefault="00B367A2" w:rsidP="00C60BFE">
      <w:pPr>
        <w:spacing w:after="0" w:line="360" w:lineRule="auto"/>
        <w:contextualSpacing/>
        <w:rPr>
          <w:rFonts w:eastAsia="Times New Roman" w:cs="Tahoma"/>
          <w:color w:val="auto"/>
          <w:lang w:eastAsia="es-ES"/>
        </w:rPr>
      </w:pPr>
    </w:p>
    <w:p w14:paraId="3DF9EBDD" w14:textId="77777777" w:rsidR="00B367A2" w:rsidRPr="004535C6" w:rsidRDefault="00B367A2" w:rsidP="00C60BFE">
      <w:pPr>
        <w:spacing w:after="0" w:line="360" w:lineRule="auto"/>
        <w:contextualSpacing/>
        <w:rPr>
          <w:rFonts w:eastAsia="Times New Roman" w:cs="Tahoma"/>
          <w:color w:val="auto"/>
          <w:lang w:eastAsia="es-ES"/>
        </w:rPr>
      </w:pPr>
      <w:r w:rsidRPr="004535C6">
        <w:rPr>
          <w:rFonts w:eastAsia="Times New Roman" w:cs="Tahoma"/>
          <w:color w:val="auto"/>
          <w:lang w:eastAsia="es-ES"/>
        </w:rPr>
        <w:t>En el presente caso, </w:t>
      </w:r>
      <w:r w:rsidRPr="004535C6">
        <w:rPr>
          <w:rFonts w:eastAsia="Times New Roman" w:cs="Tahoma"/>
          <w:b/>
          <w:bCs/>
          <w:color w:val="auto"/>
          <w:lang w:eastAsia="es-ES"/>
        </w:rPr>
        <w:t>no se actualiza ninguna de las causales de improcedencia</w:t>
      </w:r>
      <w:r w:rsidRPr="004535C6">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7DA4957" w14:textId="77777777" w:rsidR="00B367A2" w:rsidRPr="004535C6" w:rsidRDefault="00B367A2" w:rsidP="00C60BFE">
      <w:pPr>
        <w:spacing w:after="0" w:line="360" w:lineRule="auto"/>
        <w:contextualSpacing/>
        <w:rPr>
          <w:rFonts w:eastAsia="Times New Roman" w:cs="Tahoma"/>
          <w:color w:val="auto"/>
          <w:lang w:val="es-ES" w:eastAsia="es-ES"/>
        </w:rPr>
      </w:pPr>
    </w:p>
    <w:p w14:paraId="4C3C5018" w14:textId="1973EF99" w:rsidR="00B367A2" w:rsidRPr="004535C6" w:rsidRDefault="00B367A2" w:rsidP="00C60BFE">
      <w:pPr>
        <w:spacing w:after="0" w:line="360" w:lineRule="auto"/>
        <w:contextualSpacing/>
        <w:rPr>
          <w:rFonts w:eastAsia="Times New Roman" w:cs="Tahoma"/>
          <w:bCs/>
          <w:color w:val="auto"/>
          <w:lang w:val="es-ES" w:eastAsia="es-ES"/>
        </w:rPr>
      </w:pPr>
      <w:r w:rsidRPr="004535C6">
        <w:rPr>
          <w:rFonts w:eastAsia="Times New Roman" w:cs="Tahoma"/>
          <w:color w:val="auto"/>
          <w:lang w:val="es-ES" w:eastAsia="es-ES"/>
        </w:rPr>
        <w:t>Conforme a lo anterior, se actualiza la causal de procedencia señalad</w:t>
      </w:r>
      <w:r w:rsidR="00C358F1" w:rsidRPr="004535C6">
        <w:rPr>
          <w:rFonts w:eastAsia="Times New Roman" w:cs="Tahoma"/>
          <w:color w:val="auto"/>
          <w:lang w:val="es-ES" w:eastAsia="es-ES"/>
        </w:rPr>
        <w:t xml:space="preserve">a en el artículo 179, fracción </w:t>
      </w:r>
      <w:r w:rsidR="00D0228F" w:rsidRPr="004535C6">
        <w:rPr>
          <w:rFonts w:eastAsia="Times New Roman" w:cs="Tahoma"/>
          <w:color w:val="auto"/>
          <w:lang w:val="es-ES" w:eastAsia="es-ES"/>
        </w:rPr>
        <w:t>VI</w:t>
      </w:r>
      <w:r w:rsidRPr="004535C6">
        <w:rPr>
          <w:rFonts w:eastAsia="Times New Roman" w:cs="Tahoma"/>
          <w:color w:val="auto"/>
          <w:lang w:val="es-ES" w:eastAsia="es-ES"/>
        </w:rPr>
        <w:t>, de la Ley de la materia</w:t>
      </w:r>
      <w:r w:rsidRPr="004535C6">
        <w:rPr>
          <w:rFonts w:eastAsia="Times New Roman" w:cs="Tahoma"/>
          <w:bCs/>
          <w:color w:val="auto"/>
          <w:lang w:val="es-ES" w:eastAsia="es-ES"/>
        </w:rPr>
        <w:t>, toda vez que el Solicitante se inconformó con</w:t>
      </w:r>
      <w:r w:rsidR="007357E5" w:rsidRPr="004535C6">
        <w:rPr>
          <w:rFonts w:eastAsia="Times New Roman" w:cs="Tahoma"/>
          <w:bCs/>
          <w:color w:val="auto"/>
          <w:lang w:val="es-ES" w:eastAsia="es-ES"/>
        </w:rPr>
        <w:t xml:space="preserve"> la entrega de información que no corresponde con lo solicitado</w:t>
      </w:r>
      <w:r w:rsidR="00C358F1" w:rsidRPr="004535C6">
        <w:rPr>
          <w:rFonts w:eastAsia="Times New Roman" w:cs="Tahoma"/>
          <w:bCs/>
          <w:color w:val="auto"/>
          <w:lang w:val="es-ES" w:eastAsia="es-ES"/>
        </w:rPr>
        <w:t>.</w:t>
      </w:r>
    </w:p>
    <w:p w14:paraId="40D9791E" w14:textId="77777777" w:rsidR="00B367A2" w:rsidRPr="004535C6" w:rsidRDefault="00B367A2" w:rsidP="00C60BFE">
      <w:pPr>
        <w:spacing w:after="0" w:line="360" w:lineRule="auto"/>
        <w:contextualSpacing/>
        <w:rPr>
          <w:rFonts w:cs="Tahoma"/>
          <w:color w:val="FF0000"/>
          <w:lang w:val="es-ES"/>
        </w:rPr>
      </w:pPr>
    </w:p>
    <w:p w14:paraId="720849EA" w14:textId="2AAC57DE" w:rsidR="00B367A2" w:rsidRPr="004535C6" w:rsidRDefault="006943D5" w:rsidP="00C60BFE">
      <w:pPr>
        <w:spacing w:after="0" w:line="360" w:lineRule="auto"/>
        <w:contextualSpacing/>
        <w:rPr>
          <w:rFonts w:eastAsia="Times New Roman" w:cs="Tahoma"/>
          <w:bCs/>
          <w:color w:val="auto"/>
          <w:lang w:eastAsia="es-ES"/>
        </w:rPr>
      </w:pPr>
      <w:r w:rsidRPr="004535C6">
        <w:rPr>
          <w:rFonts w:eastAsia="Times New Roman" w:cs="Tahoma"/>
          <w:b/>
          <w:bCs/>
          <w:color w:val="auto"/>
          <w:lang w:eastAsia="es-ES"/>
        </w:rPr>
        <w:t>Causales de sobreseimiento</w:t>
      </w:r>
    </w:p>
    <w:p w14:paraId="430883EE" w14:textId="77777777" w:rsidR="00B367A2" w:rsidRPr="004535C6" w:rsidRDefault="00B367A2" w:rsidP="00C60BFE">
      <w:pPr>
        <w:spacing w:after="0" w:line="360" w:lineRule="auto"/>
        <w:contextualSpacing/>
        <w:rPr>
          <w:rFonts w:eastAsia="Times New Roman" w:cs="Tahoma"/>
          <w:bCs/>
          <w:color w:val="auto"/>
          <w:lang w:eastAsia="es-ES"/>
        </w:rPr>
      </w:pPr>
    </w:p>
    <w:p w14:paraId="38BA06EC" w14:textId="77777777" w:rsidR="00B367A2" w:rsidRPr="004535C6" w:rsidRDefault="00B367A2" w:rsidP="00C60BFE">
      <w:pPr>
        <w:spacing w:after="0" w:line="360" w:lineRule="auto"/>
        <w:contextualSpacing/>
        <w:rPr>
          <w:rFonts w:eastAsia="Times New Roman" w:cs="Tahoma"/>
          <w:bCs/>
          <w:color w:val="auto"/>
          <w:lang w:eastAsia="es-ES"/>
        </w:rPr>
      </w:pPr>
      <w:r w:rsidRPr="004535C6">
        <w:rPr>
          <w:rFonts w:eastAsia="Times New Roman" w:cs="Tahoma"/>
          <w:bCs/>
          <w:color w:val="auto"/>
          <w:lang w:eastAsia="es-ES"/>
        </w:rPr>
        <w:t>Por ser de previo y especial pronunciamiento, este Instituto analiza si se actualiza alguna causal de sobreseimiento.</w:t>
      </w:r>
    </w:p>
    <w:p w14:paraId="53A84DD2" w14:textId="77777777" w:rsidR="00B367A2" w:rsidRPr="004535C6" w:rsidRDefault="00B367A2" w:rsidP="00C60BFE">
      <w:pPr>
        <w:spacing w:after="0" w:line="360" w:lineRule="auto"/>
        <w:contextualSpacing/>
        <w:rPr>
          <w:rFonts w:eastAsia="Times New Roman" w:cs="Tahoma"/>
          <w:bCs/>
          <w:color w:val="auto"/>
          <w:lang w:eastAsia="es-ES"/>
        </w:rPr>
      </w:pPr>
    </w:p>
    <w:p w14:paraId="46238A42" w14:textId="77777777" w:rsidR="004316A4" w:rsidRPr="004535C6" w:rsidRDefault="004316A4" w:rsidP="004316A4">
      <w:pPr>
        <w:spacing w:after="0" w:line="360" w:lineRule="auto"/>
        <w:rPr>
          <w:rFonts w:cs="Tahoma"/>
          <w:color w:val="auto"/>
        </w:rPr>
      </w:pPr>
      <w:r w:rsidRPr="004535C6">
        <w:rPr>
          <w:rFonts w:cs="Tahoma"/>
        </w:rPr>
        <w:t>Por ser de previo y especial pronunciamiento, este Instituto analiza si se actualiza alguna causal de sobreseimiento.</w:t>
      </w:r>
    </w:p>
    <w:p w14:paraId="5C7BE715" w14:textId="77777777" w:rsidR="004316A4" w:rsidRPr="004535C6" w:rsidRDefault="004316A4" w:rsidP="004316A4">
      <w:pPr>
        <w:spacing w:after="0" w:line="360" w:lineRule="auto"/>
        <w:rPr>
          <w:rFonts w:cs="Tahoma"/>
        </w:rPr>
      </w:pPr>
    </w:p>
    <w:p w14:paraId="185CFA0E" w14:textId="77777777" w:rsidR="004316A4" w:rsidRPr="004535C6" w:rsidRDefault="004316A4" w:rsidP="004316A4">
      <w:pPr>
        <w:spacing w:after="0" w:line="360" w:lineRule="auto"/>
        <w:rPr>
          <w:rFonts w:eastAsia="Calibri" w:cs="Tahoma"/>
          <w:color w:val="0D0D0D" w:themeColor="text1" w:themeTint="F2"/>
          <w:lang w:eastAsia="es-ES_tradnl"/>
        </w:rPr>
      </w:pPr>
      <w:r w:rsidRPr="004535C6">
        <w:rPr>
          <w:rFonts w:eastAsia="Times New Roman" w:cs="Tahoma"/>
          <w:color w:val="0D0D0D" w:themeColor="text1" w:themeTint="F2"/>
          <w:lang w:eastAsia="es-ES"/>
        </w:rPr>
        <w:t xml:space="preserve">El artículo 192 de la </w:t>
      </w:r>
      <w:r w:rsidRPr="004535C6">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4535C6">
        <w:rPr>
          <w:rFonts w:eastAsia="Calibri" w:cs="Tahoma"/>
          <w:color w:val="0D0D0D" w:themeColor="text1" w:themeTint="F2"/>
          <w:lang w:eastAsia="es-ES_tradnl"/>
        </w:rPr>
        <w:t>del análisis realizado por este Instituto, se advierte que</w:t>
      </w:r>
      <w:r w:rsidRPr="004535C6">
        <w:rPr>
          <w:rFonts w:eastAsia="Calibri" w:cs="Tahoma"/>
          <w:b/>
          <w:color w:val="0D0D0D" w:themeColor="text1" w:themeTint="F2"/>
          <w:lang w:eastAsia="es-ES_tradnl"/>
        </w:rPr>
        <w:t xml:space="preserve"> no se configuran las causales establecidas en las fracciones I, II, III, y V, </w:t>
      </w:r>
      <w:r w:rsidRPr="004535C6">
        <w:rPr>
          <w:rFonts w:eastAsia="Calibri" w:cs="Tahoma"/>
          <w:color w:val="0D0D0D" w:themeColor="text1" w:themeTint="F2"/>
          <w:lang w:eastAsia="es-ES_tradnl"/>
        </w:rPr>
        <w:t xml:space="preserve">toda vez que no hay constancias en el expediente en que se actúa, de que </w:t>
      </w:r>
      <w:r w:rsidRPr="004535C6">
        <w:rPr>
          <w:rFonts w:eastAsia="Calibri" w:cs="Tahoma"/>
          <w:bCs/>
          <w:iCs/>
        </w:rPr>
        <w:t xml:space="preserve">la persona </w:t>
      </w:r>
      <w:r w:rsidRPr="004535C6">
        <w:rPr>
          <w:rFonts w:eastAsia="Calibri" w:cs="Tahoma"/>
          <w:color w:val="0D0D0D" w:themeColor="text1" w:themeTint="F2"/>
          <w:lang w:eastAsia="es-ES_tradnl"/>
        </w:rPr>
        <w:t>Recurrente se haya desistido, fallecido, que el Sujeto Obligado hubiese modificado o revocado el acto impugnado o bien, haya quedado sin materia.</w:t>
      </w:r>
    </w:p>
    <w:p w14:paraId="41F1B45E" w14:textId="77777777" w:rsidR="004316A4" w:rsidRPr="004535C6" w:rsidRDefault="004316A4" w:rsidP="004316A4">
      <w:pPr>
        <w:spacing w:after="0" w:line="360" w:lineRule="auto"/>
        <w:rPr>
          <w:rFonts w:eastAsia="Calibri" w:cs="Tahoma"/>
          <w:color w:val="0D0D0D" w:themeColor="text1" w:themeTint="F2"/>
          <w:lang w:eastAsia="es-ES_tradnl"/>
        </w:rPr>
      </w:pPr>
    </w:p>
    <w:p w14:paraId="70A14659" w14:textId="77777777" w:rsidR="004316A4" w:rsidRPr="004535C6" w:rsidRDefault="004316A4" w:rsidP="004316A4">
      <w:pPr>
        <w:spacing w:after="0" w:line="360" w:lineRule="auto"/>
        <w:rPr>
          <w:rFonts w:eastAsia="Calibri" w:cs="Tahoma"/>
          <w:bCs/>
          <w:color w:val="0D0D0D" w:themeColor="text1" w:themeTint="F2"/>
          <w:lang w:val="es-ES" w:eastAsia="es-ES_tradnl"/>
        </w:rPr>
      </w:pPr>
      <w:r w:rsidRPr="004535C6">
        <w:rPr>
          <w:rFonts w:eastAsia="Calibri" w:cs="Tahoma"/>
          <w:color w:val="0D0D0D" w:themeColor="text1" w:themeTint="F2"/>
          <w:lang w:eastAsia="es-ES_tradnl"/>
        </w:rPr>
        <w:t xml:space="preserve">No obstante, por lo que hace a la hipótesis prevista en la fracción IV, a saber, que, una vez admitido el Recurso de Revisión, aparezca alguna causal de improcedencia en términos de la presente Ley, </w:t>
      </w:r>
      <w:r w:rsidRPr="004535C6">
        <w:rPr>
          <w:rFonts w:eastAsia="Calibri" w:cs="Tahoma"/>
          <w:bCs/>
          <w:color w:val="0D0D0D" w:themeColor="text1" w:themeTint="F2"/>
          <w:lang w:eastAsia="es-ES_tradnl"/>
        </w:rPr>
        <w:t>resulta necesario traer a colación</w:t>
      </w:r>
      <w:r w:rsidRPr="004535C6">
        <w:rPr>
          <w:rFonts w:eastAsia="Calibri" w:cs="Tahoma"/>
          <w:bCs/>
          <w:color w:val="0D0D0D" w:themeColor="text1" w:themeTint="F2"/>
          <w:lang w:val="es-ES" w:eastAsia="es-ES_tradnl"/>
        </w:rPr>
        <w:t xml:space="preserve"> el artículo 191, fracción VII, de dicho ordenamiento jurídico, que establece que el Recurso de Revisión será desechado por improcedente, cuando la persona Recurrente amplíe su solicitud en el Medio de Impugnación.</w:t>
      </w:r>
    </w:p>
    <w:p w14:paraId="64B6AC6B" w14:textId="77777777" w:rsidR="00B367A2" w:rsidRPr="004535C6" w:rsidRDefault="00B367A2" w:rsidP="00C60BFE">
      <w:pPr>
        <w:spacing w:after="0" w:line="360" w:lineRule="auto"/>
        <w:rPr>
          <w:rFonts w:eastAsia="Times New Roman" w:cs="Tahoma"/>
          <w:bCs/>
          <w:color w:val="auto"/>
          <w:lang w:eastAsia="es-ES"/>
        </w:rPr>
      </w:pPr>
    </w:p>
    <w:p w14:paraId="6DA451E5" w14:textId="1AD26096" w:rsidR="00CC1EB7" w:rsidRPr="004535C6" w:rsidRDefault="004316A4" w:rsidP="00FA297B">
      <w:pPr>
        <w:spacing w:after="0" w:line="360" w:lineRule="auto"/>
        <w:rPr>
          <w:b/>
        </w:rPr>
      </w:pPr>
      <w:r w:rsidRPr="004535C6">
        <w:rPr>
          <w:rFonts w:eastAsia="Calibri" w:cs="Tahoma"/>
          <w:bCs/>
          <w:color w:val="0D0D0D" w:themeColor="text1" w:themeTint="F2"/>
          <w:lang w:val="es-ES" w:eastAsia="es-ES_tradnl"/>
        </w:rPr>
        <w:t>En ese orden de ideas, de las constancias que obran en el expediente respectivo, se colige que el Particular requirió</w:t>
      </w:r>
      <w:r w:rsidR="00FA297B" w:rsidRPr="004535C6">
        <w:rPr>
          <w:rFonts w:eastAsia="Calibri" w:cs="Tahoma"/>
          <w:bCs/>
          <w:color w:val="0D0D0D" w:themeColor="text1" w:themeTint="F2"/>
          <w:lang w:val="es-ES" w:eastAsia="es-ES_tradnl"/>
        </w:rPr>
        <w:t xml:space="preserve"> l</w:t>
      </w:r>
      <w:r w:rsidR="00CC1EB7" w:rsidRPr="004535C6">
        <w:rPr>
          <w:rFonts w:eastAsia="Calibri" w:cs="Tahoma"/>
          <w:bCs/>
          <w:color w:val="0D0D0D" w:themeColor="text1" w:themeTint="F2"/>
          <w:lang w:val="es-ES" w:eastAsia="es-ES_tradnl"/>
        </w:rPr>
        <w:t xml:space="preserve">os artículos y el </w:t>
      </w:r>
      <w:r w:rsidR="00FA297B" w:rsidRPr="004535C6">
        <w:rPr>
          <w:rFonts w:eastAsia="Calibri" w:cs="Tahoma"/>
          <w:bCs/>
          <w:color w:val="0D0D0D" w:themeColor="text1" w:themeTint="F2"/>
          <w:lang w:val="es-ES" w:eastAsia="es-ES_tradnl"/>
        </w:rPr>
        <w:t>A</w:t>
      </w:r>
      <w:r w:rsidR="00CC1EB7" w:rsidRPr="004535C6">
        <w:rPr>
          <w:rFonts w:eastAsia="Calibri" w:cs="Tahoma"/>
          <w:bCs/>
          <w:color w:val="0D0D0D" w:themeColor="text1" w:themeTint="F2"/>
          <w:lang w:val="es-ES" w:eastAsia="es-ES_tradnl"/>
        </w:rPr>
        <w:t xml:space="preserve">cuerdo </w:t>
      </w:r>
      <w:r w:rsidR="00FA297B" w:rsidRPr="004535C6">
        <w:rPr>
          <w:rFonts w:eastAsia="Calibri" w:cs="Tahoma"/>
          <w:bCs/>
          <w:color w:val="0D0D0D" w:themeColor="text1" w:themeTint="F2"/>
          <w:lang w:val="es-ES" w:eastAsia="es-ES_tradnl"/>
        </w:rPr>
        <w:t>emitido por el C</w:t>
      </w:r>
      <w:r w:rsidR="00CC1EB7" w:rsidRPr="004535C6">
        <w:rPr>
          <w:rFonts w:eastAsia="Calibri" w:cs="Tahoma"/>
          <w:bCs/>
          <w:color w:val="0D0D0D" w:themeColor="text1" w:themeTint="F2"/>
          <w:lang w:val="es-ES" w:eastAsia="es-ES_tradnl"/>
        </w:rPr>
        <w:t xml:space="preserve">abildo </w:t>
      </w:r>
      <w:r w:rsidR="00FA297B" w:rsidRPr="004535C6">
        <w:rPr>
          <w:rFonts w:eastAsia="Calibri" w:cs="Tahoma"/>
          <w:bCs/>
          <w:color w:val="0D0D0D" w:themeColor="text1" w:themeTint="F2"/>
          <w:lang w:val="es-ES" w:eastAsia="es-ES_tradnl"/>
        </w:rPr>
        <w:t>que autorizan a la</w:t>
      </w:r>
      <w:r w:rsidR="00CC1EB7" w:rsidRPr="004535C6">
        <w:rPr>
          <w:rFonts w:eastAsia="Calibri" w:cs="Tahoma"/>
          <w:bCs/>
          <w:color w:val="0D0D0D" w:themeColor="text1" w:themeTint="F2"/>
          <w:lang w:val="es-ES" w:eastAsia="es-ES_tradnl"/>
        </w:rPr>
        <w:t xml:space="preserve"> Dirección Desarrollo Urbano </w:t>
      </w:r>
      <w:r w:rsidR="00FA297B" w:rsidRPr="004535C6">
        <w:rPr>
          <w:rFonts w:eastAsia="Calibri" w:cs="Tahoma"/>
          <w:bCs/>
          <w:color w:val="0D0D0D" w:themeColor="text1" w:themeTint="F2"/>
          <w:lang w:val="es-ES" w:eastAsia="es-ES_tradnl"/>
        </w:rPr>
        <w:t xml:space="preserve">a </w:t>
      </w:r>
      <w:r w:rsidR="00CC1EB7" w:rsidRPr="004535C6">
        <w:rPr>
          <w:rFonts w:eastAsia="Calibri" w:cs="Tahoma"/>
          <w:bCs/>
          <w:color w:val="0D0D0D" w:themeColor="text1" w:themeTint="F2"/>
          <w:lang w:val="es-ES" w:eastAsia="es-ES_tradnl"/>
        </w:rPr>
        <w:t xml:space="preserve">cobrar aportaciones a mejoras </w:t>
      </w:r>
      <w:r w:rsidR="00FA297B" w:rsidRPr="004535C6">
        <w:rPr>
          <w:rFonts w:eastAsia="Calibri" w:cs="Tahoma"/>
          <w:bCs/>
          <w:color w:val="0D0D0D" w:themeColor="text1" w:themeTint="F2"/>
          <w:lang w:val="es-ES" w:eastAsia="es-ES_tradnl"/>
        </w:rPr>
        <w:t>en trámites de</w:t>
      </w:r>
      <w:r w:rsidR="00CC1EB7" w:rsidRPr="004535C6">
        <w:rPr>
          <w:rFonts w:eastAsia="Calibri" w:cs="Tahoma"/>
          <w:bCs/>
          <w:color w:val="0D0D0D" w:themeColor="text1" w:themeTint="F2"/>
          <w:lang w:val="es-ES" w:eastAsia="es-ES_tradnl"/>
        </w:rPr>
        <w:t xml:space="preserve"> alineamiento y núme</w:t>
      </w:r>
      <w:r w:rsidR="00B5521F" w:rsidRPr="004535C6">
        <w:rPr>
          <w:rFonts w:eastAsia="Calibri" w:cs="Tahoma"/>
          <w:bCs/>
          <w:color w:val="0D0D0D" w:themeColor="text1" w:themeTint="F2"/>
          <w:lang w:val="es-ES" w:eastAsia="es-ES_tradnl"/>
        </w:rPr>
        <w:t>ro oficial.</w:t>
      </w:r>
      <w:r w:rsidR="00FA297B" w:rsidRPr="004535C6">
        <w:rPr>
          <w:rFonts w:eastAsia="Calibri" w:cs="Tahoma"/>
          <w:bCs/>
          <w:color w:val="0D0D0D" w:themeColor="text1" w:themeTint="F2"/>
          <w:lang w:val="es-ES" w:eastAsia="es-ES_tradnl"/>
        </w:rPr>
        <w:t xml:space="preserve"> </w:t>
      </w:r>
    </w:p>
    <w:p w14:paraId="7146AD4E" w14:textId="77777777" w:rsidR="004316A4" w:rsidRPr="004535C6" w:rsidRDefault="004316A4" w:rsidP="00C60BFE">
      <w:pPr>
        <w:spacing w:after="0" w:line="360" w:lineRule="auto"/>
        <w:rPr>
          <w:b/>
          <w:color w:val="auto"/>
        </w:rPr>
      </w:pPr>
    </w:p>
    <w:p w14:paraId="627609A5" w14:textId="471CD1DE" w:rsidR="004316A4" w:rsidRPr="004535C6" w:rsidRDefault="00E05B9F" w:rsidP="00FA297B">
      <w:pPr>
        <w:spacing w:after="0" w:line="360" w:lineRule="auto"/>
        <w:rPr>
          <w:rFonts w:eastAsia="Calibri" w:cs="Tahoma"/>
          <w:bCs/>
          <w:color w:val="0D0D0D" w:themeColor="text1" w:themeTint="F2"/>
          <w:lang w:val="es-ES" w:eastAsia="es-ES_tradnl"/>
        </w:rPr>
      </w:pPr>
      <w:r w:rsidRPr="004535C6">
        <w:rPr>
          <w:rFonts w:eastAsia="Calibri" w:cs="Tahoma"/>
          <w:bCs/>
          <w:color w:val="0D0D0D" w:themeColor="text1" w:themeTint="F2"/>
          <w:lang w:val="es-ES" w:eastAsia="es-ES_tradnl"/>
        </w:rPr>
        <w:lastRenderedPageBreak/>
        <w:t xml:space="preserve">Ante tal requerimiento, el Solicitante interpuso Recurso de Revisión, en donde aparte de inconformarse de la entrega de información que no corresponde con lo solicitado, solicitó </w:t>
      </w:r>
      <w:r w:rsidR="00FA297B" w:rsidRPr="004535C6">
        <w:rPr>
          <w:rFonts w:eastAsia="Calibri" w:cs="Tahoma"/>
          <w:bCs/>
          <w:color w:val="0D0D0D" w:themeColor="text1" w:themeTint="F2"/>
          <w:lang w:val="es-ES" w:eastAsia="es-ES_tradnl"/>
        </w:rPr>
        <w:t>el n</w:t>
      </w:r>
      <w:r w:rsidR="00005B46" w:rsidRPr="004535C6">
        <w:rPr>
          <w:rFonts w:eastAsia="Calibri" w:cs="Tahoma"/>
          <w:bCs/>
          <w:color w:val="0D0D0D" w:themeColor="text1" w:themeTint="F2"/>
          <w:lang w:val="es-ES" w:eastAsia="es-ES_tradnl"/>
        </w:rPr>
        <w:t>ombre completo de los Subdirectores de Control Urbano y la Subdirectora de Licencias.</w:t>
      </w:r>
    </w:p>
    <w:p w14:paraId="398A3913" w14:textId="77777777" w:rsidR="004316A4" w:rsidRPr="004535C6" w:rsidRDefault="004316A4" w:rsidP="00C60BFE">
      <w:pPr>
        <w:spacing w:after="0" w:line="360" w:lineRule="auto"/>
        <w:rPr>
          <w:b/>
          <w:color w:val="auto"/>
          <w:lang w:val="es-ES"/>
        </w:rPr>
      </w:pPr>
    </w:p>
    <w:p w14:paraId="0E6D7E25" w14:textId="28888EF1" w:rsidR="00005B46" w:rsidRPr="004535C6" w:rsidRDefault="00005B46" w:rsidP="00005B46">
      <w:pPr>
        <w:spacing w:line="360" w:lineRule="auto"/>
        <w:rPr>
          <w:rFonts w:eastAsia="Calibri" w:cs="Tahoma"/>
          <w:color w:val="0D0D0D" w:themeColor="text1" w:themeTint="F2"/>
          <w:lang w:eastAsia="es-ES_tradnl"/>
        </w:rPr>
      </w:pPr>
      <w:r w:rsidRPr="004535C6">
        <w:rPr>
          <w:rFonts w:eastAsia="Calibri" w:cs="Tahoma"/>
          <w:color w:val="0D0D0D" w:themeColor="text1" w:themeTint="F2"/>
          <w:lang w:eastAsia="es-ES_tradnl"/>
        </w:rPr>
        <w:t xml:space="preserve">En ese sentido, del contraste entre el planteamiento formulado en la solicitud de información y las manifestaciones vertidas por </w:t>
      </w:r>
      <w:r w:rsidRPr="004535C6">
        <w:rPr>
          <w:rFonts w:eastAsia="Calibri" w:cs="Tahoma"/>
          <w:bCs/>
          <w:iCs/>
        </w:rPr>
        <w:t>la persona</w:t>
      </w:r>
      <w:r w:rsidRPr="004535C6">
        <w:rPr>
          <w:rFonts w:eastAsia="Calibri" w:cs="Tahoma"/>
          <w:color w:val="0D0D0D" w:themeColor="text1" w:themeTint="F2"/>
          <w:lang w:eastAsia="es-ES_tradnl"/>
        </w:rPr>
        <w:t xml:space="preserve"> Recurrente, a través de su escrito recursal, se colige que a través de este pretende obtener información diversa a la inicialmente requerida, pues en primera instancia requirió,</w:t>
      </w:r>
      <w:r w:rsidRPr="004535C6">
        <w:rPr>
          <w:rFonts w:eastAsia="Calibri" w:cs="Tahoma"/>
          <w:bCs/>
          <w:color w:val="0D0D0D" w:themeColor="text1" w:themeTint="F2"/>
          <w:lang w:val="es-ES" w:eastAsia="es-ES_tradnl"/>
        </w:rPr>
        <w:t xml:space="preserve"> los artículos y el acuerdo de cabildo por los que la Dirección Desarrollo Urbano puede cobrar aportaciones a mejoras para un alineamiento y número oficial</w:t>
      </w:r>
      <w:r w:rsidRPr="004535C6">
        <w:rPr>
          <w:rFonts w:eastAsia="Calibri" w:cs="Tahoma"/>
          <w:color w:val="0D0D0D" w:themeColor="text1" w:themeTint="F2"/>
          <w:lang w:eastAsia="es-ES_tradnl"/>
        </w:rPr>
        <w:t>.</w:t>
      </w:r>
    </w:p>
    <w:p w14:paraId="6477AA84" w14:textId="77777777" w:rsidR="00005B46" w:rsidRPr="004535C6" w:rsidRDefault="00005B46" w:rsidP="00005B46">
      <w:pPr>
        <w:spacing w:after="0" w:line="360" w:lineRule="auto"/>
        <w:rPr>
          <w:rFonts w:eastAsia="Times New Roman" w:cs="Tahoma"/>
          <w:color w:val="0D0D0D" w:themeColor="text1" w:themeTint="F2"/>
          <w:lang w:val="es-ES" w:eastAsia="es-ES"/>
        </w:rPr>
      </w:pPr>
    </w:p>
    <w:p w14:paraId="38961D84" w14:textId="537256C5" w:rsidR="00005B46" w:rsidRPr="004535C6" w:rsidRDefault="00005B46" w:rsidP="00005B46">
      <w:pPr>
        <w:spacing w:after="0" w:line="360" w:lineRule="auto"/>
        <w:rPr>
          <w:rFonts w:eastAsia="Times New Roman" w:cs="Tahoma"/>
          <w:b/>
          <w:color w:val="0D0D0D" w:themeColor="text1" w:themeTint="F2"/>
          <w:lang w:val="es-ES" w:eastAsia="es-ES"/>
        </w:rPr>
      </w:pPr>
      <w:r w:rsidRPr="004535C6">
        <w:rPr>
          <w:rFonts w:eastAsia="Times New Roman" w:cs="Tahoma"/>
          <w:color w:val="0D0D0D" w:themeColor="text1" w:themeTint="F2"/>
          <w:lang w:val="es-ES" w:eastAsia="es-ES"/>
        </w:rPr>
        <w:t>En ese orden de ideas, dicha situación no puede constituir materia de estudio del presente Recurso de Revisión, debido a que la solicitud de información debe ser apreciada en los términos en que fue planteada originalmente ante el Sujeto Obligado,</w:t>
      </w:r>
      <w:r w:rsidRPr="004535C6">
        <w:rPr>
          <w:rFonts w:eastAsia="Times New Roman" w:cs="Tahoma"/>
          <w:b/>
          <w:color w:val="0D0D0D" w:themeColor="text1" w:themeTint="F2"/>
          <w:lang w:val="es-ES" w:eastAsia="es-ES"/>
        </w:rPr>
        <w:t xml:space="preserve"> sin variar en el fondo la controversia, ni constituir un nuevo requerimiento informativo.</w:t>
      </w:r>
    </w:p>
    <w:p w14:paraId="0349A831" w14:textId="77777777" w:rsidR="004316A4" w:rsidRPr="004535C6" w:rsidRDefault="004316A4" w:rsidP="00C60BFE">
      <w:pPr>
        <w:spacing w:after="0" w:line="360" w:lineRule="auto"/>
        <w:rPr>
          <w:b/>
          <w:color w:val="auto"/>
        </w:rPr>
      </w:pPr>
    </w:p>
    <w:p w14:paraId="759D4281" w14:textId="77777777" w:rsidR="00005B46" w:rsidRPr="004535C6" w:rsidRDefault="00005B46" w:rsidP="00005B46">
      <w:pPr>
        <w:spacing w:after="0" w:line="360" w:lineRule="auto"/>
        <w:rPr>
          <w:rFonts w:eastAsia="Calibri" w:cs="Tahoma"/>
          <w:bCs/>
          <w:color w:val="0D0D0D" w:themeColor="text1" w:themeTint="F2"/>
          <w:lang w:val="es-ES" w:eastAsia="es-ES_tradnl"/>
        </w:rPr>
      </w:pPr>
      <w:r w:rsidRPr="004535C6">
        <w:rPr>
          <w:rFonts w:eastAsia="Calibri" w:cs="Tahoma"/>
          <w:bCs/>
          <w:color w:val="0D0D0D" w:themeColor="text1" w:themeTint="F2"/>
          <w:lang w:val="es-ES" w:eastAsia="es-ES_tradnl"/>
        </w:rPr>
        <w:t>Al respecto, resulta pertinente citar, el Criterio de Interpretación</w:t>
      </w:r>
      <w:r w:rsidRPr="004535C6">
        <w:rPr>
          <w:rFonts w:eastAsia="Calibri" w:cs="Tahoma"/>
          <w:bCs/>
          <w:color w:val="0D0D0D" w:themeColor="text1" w:themeTint="F2"/>
          <w:lang w:val="x-none" w:eastAsia="es-ES_tradnl"/>
        </w:rPr>
        <w:t>, con clave de control, número SO/</w:t>
      </w:r>
      <w:r w:rsidRPr="004535C6">
        <w:rPr>
          <w:rFonts w:eastAsia="Calibri" w:cs="Tahoma"/>
          <w:bCs/>
          <w:color w:val="0D0D0D" w:themeColor="text1" w:themeTint="F2"/>
          <w:lang w:val="es-ES" w:eastAsia="es-ES_tradnl"/>
        </w:rPr>
        <w:t xml:space="preserve">001/2017, de la Segunda </w:t>
      </w:r>
      <w:r w:rsidRPr="004535C6">
        <w:rPr>
          <w:rFonts w:eastAsia="Calibri" w:cs="Tahoma"/>
          <w:bCs/>
          <w:color w:val="0D0D0D" w:themeColor="text1" w:themeTint="F2"/>
          <w:lang w:val="x-none" w:eastAsia="es-ES_tradnl"/>
        </w:rPr>
        <w:t>Época,</w:t>
      </w:r>
      <w:r w:rsidRPr="004535C6">
        <w:rPr>
          <w:rFonts w:eastAsia="Calibri" w:cs="Tahoma"/>
          <w:bCs/>
          <w:color w:val="0D0D0D" w:themeColor="text1" w:themeTint="F2"/>
          <w:lang w:val="es-ES" w:eastAsia="es-ES_tradnl"/>
        </w:rPr>
        <w:t xml:space="preserve"> emitido por el Instituto Nacional de Transparencia, Acceso a la Información y Protección de Datos Personales, el cual indica que no resulta procedente ampliar vía recurso de revisión, las solicitudes de información:</w:t>
      </w:r>
    </w:p>
    <w:p w14:paraId="2D0D445A" w14:textId="77777777" w:rsidR="00005B46" w:rsidRPr="004535C6" w:rsidRDefault="00005B46" w:rsidP="00005B46">
      <w:pPr>
        <w:spacing w:after="0" w:line="360" w:lineRule="auto"/>
        <w:rPr>
          <w:rFonts w:eastAsia="Calibri" w:cs="Tahoma"/>
          <w:bCs/>
          <w:color w:val="0D0D0D" w:themeColor="text1" w:themeTint="F2"/>
          <w:lang w:val="es-ES" w:eastAsia="es-ES_tradnl"/>
        </w:rPr>
      </w:pPr>
    </w:p>
    <w:p w14:paraId="71040357" w14:textId="77777777" w:rsidR="00005B46" w:rsidRPr="004535C6" w:rsidRDefault="00005B46" w:rsidP="00005B46">
      <w:pPr>
        <w:spacing w:after="0" w:line="360" w:lineRule="auto"/>
        <w:ind w:left="567" w:right="567"/>
        <w:rPr>
          <w:rFonts w:eastAsia="Calibri" w:cs="Tahoma"/>
          <w:bCs/>
          <w:i/>
          <w:color w:val="0D0D0D" w:themeColor="text1" w:themeTint="F2"/>
          <w:sz w:val="20"/>
          <w:szCs w:val="20"/>
          <w:lang w:val="es-ES" w:eastAsia="es-ES_tradnl"/>
        </w:rPr>
      </w:pPr>
      <w:r w:rsidRPr="004535C6">
        <w:rPr>
          <w:rFonts w:eastAsia="Calibri" w:cs="Tahoma"/>
          <w:b/>
          <w:bCs/>
          <w:i/>
          <w:color w:val="0D0D0D" w:themeColor="text1" w:themeTint="F2"/>
          <w:sz w:val="20"/>
          <w:szCs w:val="20"/>
          <w:lang w:val="es-ES" w:eastAsia="es-ES_tradnl"/>
        </w:rPr>
        <w:t xml:space="preserve">“Es improcedente ampliar las solicitudes de acceso a información, a través de la interposición del recurso de revisión. </w:t>
      </w:r>
      <w:r w:rsidRPr="004535C6">
        <w:rPr>
          <w:rFonts w:eastAsia="Calibri" w:cs="Tahoma"/>
          <w:bCs/>
          <w:i/>
          <w:color w:val="0D0D0D" w:themeColor="text1" w:themeTint="F2"/>
          <w:sz w:val="20"/>
          <w:szCs w:val="20"/>
          <w:lang w:val="es-ES" w:eastAsia="es-ES_tradnl"/>
        </w:rPr>
        <w:t xml:space="preserve">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w:t>
      </w:r>
      <w:r w:rsidRPr="004535C6">
        <w:rPr>
          <w:rFonts w:eastAsia="Calibri" w:cs="Tahoma"/>
          <w:bCs/>
          <w:i/>
          <w:color w:val="0D0D0D" w:themeColor="text1" w:themeTint="F2"/>
          <w:sz w:val="20"/>
          <w:szCs w:val="20"/>
          <w:lang w:val="es-ES" w:eastAsia="es-ES_tradnl"/>
        </w:rPr>
        <w:lastRenderedPageBreak/>
        <w:t>de Transparencia, Acceso a la Información y Protección de Datos Personales; actualizándose la hipótesis de improcedencia respectiva.”</w:t>
      </w:r>
    </w:p>
    <w:p w14:paraId="420107DB" w14:textId="77777777" w:rsidR="00005B46" w:rsidRPr="004535C6" w:rsidRDefault="00005B46" w:rsidP="00005B46">
      <w:pPr>
        <w:spacing w:after="0" w:line="360" w:lineRule="auto"/>
        <w:rPr>
          <w:rFonts w:eastAsia="Times New Roman" w:cs="Times New Roman"/>
          <w:color w:val="0D0D0D" w:themeColor="text1" w:themeTint="F2"/>
          <w:sz w:val="20"/>
          <w:szCs w:val="20"/>
          <w:lang w:eastAsia="es-MX"/>
        </w:rPr>
      </w:pPr>
    </w:p>
    <w:p w14:paraId="3C974216" w14:textId="5E2A8D1D" w:rsidR="00005B46" w:rsidRPr="004535C6" w:rsidRDefault="00005B46" w:rsidP="00005B46">
      <w:pPr>
        <w:spacing w:after="0" w:line="360" w:lineRule="auto"/>
        <w:rPr>
          <w:rFonts w:eastAsia="Calibri" w:cs="Tahoma"/>
          <w:bCs/>
          <w:color w:val="0D0D0D" w:themeColor="text1" w:themeTint="F2"/>
          <w:lang w:val="es-ES" w:eastAsia="es-ES_tradnl"/>
        </w:rPr>
      </w:pPr>
      <w:r w:rsidRPr="004535C6">
        <w:rPr>
          <w:rFonts w:eastAsia="Calibri" w:cs="Tahoma"/>
          <w:bCs/>
          <w:color w:val="0D0D0D" w:themeColor="text1" w:themeTint="F2"/>
          <w:lang w:val="es-ES" w:eastAsia="es-ES_tradnl"/>
        </w:rPr>
        <w:t xml:space="preserve">Además, es importante señalar que el Recurso de Revisión no fue diseñado para impugnar cuestiones que no fueron objeto de la solicitud de información presentada inicialmente, pues de lo contrario tendría que analizarse dicho recurso a la luz de argumentos que no fueron del conocimiento del Sujeto Obligado y, en consecuencia, no fueron comprendidos en la respuesta que se impugna. </w:t>
      </w:r>
    </w:p>
    <w:p w14:paraId="0F279B6C" w14:textId="77777777" w:rsidR="00FA297B" w:rsidRPr="004535C6" w:rsidRDefault="00FA297B" w:rsidP="00005B46">
      <w:pPr>
        <w:spacing w:after="0" w:line="360" w:lineRule="auto"/>
        <w:rPr>
          <w:rFonts w:eastAsia="Calibri" w:cs="Tahoma"/>
          <w:bCs/>
          <w:color w:val="0D0D0D" w:themeColor="text1" w:themeTint="F2"/>
          <w:lang w:val="es-ES" w:eastAsia="es-ES_tradnl"/>
        </w:rPr>
      </w:pPr>
    </w:p>
    <w:p w14:paraId="3AE0E552" w14:textId="2A15D7F3" w:rsidR="004316A4" w:rsidRPr="004535C6" w:rsidRDefault="00005B46" w:rsidP="00C60BFE">
      <w:pPr>
        <w:spacing w:after="0" w:line="360" w:lineRule="auto"/>
        <w:rPr>
          <w:rFonts w:eastAsia="Calibri" w:cs="Arial"/>
          <w:color w:val="0D0D0D" w:themeColor="text1" w:themeTint="F2"/>
          <w:lang w:val="es-ES"/>
        </w:rPr>
      </w:pPr>
      <w:r w:rsidRPr="004535C6">
        <w:rPr>
          <w:rFonts w:eastAsia="Times New Roman" w:cs="Tahoma"/>
          <w:color w:val="0D0D0D" w:themeColor="text1" w:themeTint="F2"/>
          <w:lang w:val="es-ES" w:eastAsia="es-ES"/>
        </w:rPr>
        <w:t xml:space="preserve">Por lo tanto, dado que en el Medio de Impugnación, la parte Recurrente al plantear su inconformidad, </w:t>
      </w:r>
      <w:r w:rsidRPr="004535C6">
        <w:rPr>
          <w:rFonts w:eastAsia="Times New Roman" w:cs="Tahoma"/>
          <w:color w:val="0D0D0D" w:themeColor="text1" w:themeTint="F2"/>
          <w:lang w:eastAsia="es-ES"/>
        </w:rPr>
        <w:t xml:space="preserve">amplió parte de su solicitud, al requerir información diversa a la peticionada inicialmente, </w:t>
      </w:r>
      <w:r w:rsidRPr="004535C6">
        <w:rPr>
          <w:rFonts w:eastAsia="Times New Roman" w:cs="Tahoma"/>
          <w:color w:val="0D0D0D" w:themeColor="text1" w:themeTint="F2"/>
          <w:lang w:val="es-ES" w:eastAsia="es-ES"/>
        </w:rPr>
        <w:t xml:space="preserve">el Recurso de Revisión </w:t>
      </w:r>
      <w:r w:rsidRPr="004535C6">
        <w:rPr>
          <w:rFonts w:eastAsia="Times New Roman" w:cs="Tahoma"/>
          <w:b/>
          <w:color w:val="0D0D0D" w:themeColor="text1" w:themeTint="F2"/>
          <w:lang w:val="es-ES" w:eastAsia="es-ES"/>
        </w:rPr>
        <w:t xml:space="preserve">actualiza la causal de desechamiento establecida en el artículo 191, fracción VII, de la Ley de Transparencia y Acceso a la Información Pública del Estado de México y Municipios, únicamente por lo que, hace a los nuevos requerimientos; </w:t>
      </w:r>
      <w:r w:rsidRPr="004535C6">
        <w:rPr>
          <w:rFonts w:eastAsia="Times New Roman" w:cs="Tahoma"/>
          <w:color w:val="0D0D0D" w:themeColor="text1" w:themeTint="F2"/>
          <w:lang w:val="es-ES" w:eastAsia="es-ES"/>
        </w:rPr>
        <w:t xml:space="preserve"> no obstante toda vez que, fue necesario admitir el Recurso, en virtud de que </w:t>
      </w:r>
      <w:r w:rsidRPr="004535C6">
        <w:rPr>
          <w:rFonts w:eastAsia="Calibri" w:cs="Tahoma"/>
          <w:bCs/>
          <w:iCs/>
        </w:rPr>
        <w:t>la persona</w:t>
      </w:r>
      <w:r w:rsidRPr="004535C6">
        <w:rPr>
          <w:rFonts w:eastAsia="Times New Roman" w:cs="Tahoma"/>
          <w:color w:val="0D0D0D" w:themeColor="text1" w:themeTint="F2"/>
          <w:lang w:val="es-ES" w:eastAsia="es-ES"/>
        </w:rPr>
        <w:t xml:space="preserve"> Recurrente se inconformó de la declaración de inexistencia de la información, lo procedente es </w:t>
      </w:r>
      <w:r w:rsidRPr="004535C6">
        <w:rPr>
          <w:rFonts w:eastAsia="Calibri" w:cs="Arial"/>
          <w:b/>
          <w:color w:val="0D0D0D" w:themeColor="text1" w:themeTint="F2"/>
          <w:lang w:val="es-ES"/>
        </w:rPr>
        <w:t xml:space="preserve">SOBRESEER PARCIALMENTE </w:t>
      </w:r>
      <w:r w:rsidRPr="004535C6">
        <w:rPr>
          <w:rFonts w:eastAsia="Calibri" w:cs="Arial"/>
          <w:color w:val="0D0D0D" w:themeColor="text1" w:themeTint="F2"/>
          <w:lang w:val="es-ES"/>
        </w:rPr>
        <w:t>el presente Recurso de Revisión, al actualizarse el supuesto previsto en el artículo 192, fracción IV, en relación con el diverso 186, fracción I, de ese ordenamiento legal.</w:t>
      </w:r>
    </w:p>
    <w:p w14:paraId="1336EFCC" w14:textId="77777777" w:rsidR="00005B46" w:rsidRPr="004535C6" w:rsidRDefault="00005B46" w:rsidP="00C60BFE">
      <w:pPr>
        <w:spacing w:after="0" w:line="360" w:lineRule="auto"/>
        <w:rPr>
          <w:rFonts w:eastAsia="Calibri" w:cs="Arial"/>
          <w:color w:val="0D0D0D" w:themeColor="text1" w:themeTint="F2"/>
          <w:lang w:val="es-ES"/>
        </w:rPr>
      </w:pPr>
    </w:p>
    <w:p w14:paraId="23E3F53A" w14:textId="77777777" w:rsidR="00005B46" w:rsidRPr="004535C6" w:rsidRDefault="00005B46" w:rsidP="00005B46">
      <w:pPr>
        <w:spacing w:after="0" w:line="360" w:lineRule="auto"/>
        <w:rPr>
          <w:rFonts w:eastAsia="Times New Roman" w:cs="Tahoma"/>
          <w:color w:val="0D0D0D" w:themeColor="text1" w:themeTint="F2"/>
          <w:lang w:eastAsia="es-ES"/>
        </w:rPr>
      </w:pPr>
      <w:r w:rsidRPr="004535C6">
        <w:rPr>
          <w:rFonts w:eastAsia="Times New Roman" w:cs="Tahoma"/>
          <w:color w:val="0D0D0D" w:themeColor="text1" w:themeTint="F2"/>
          <w:lang w:eastAsia="es-ES"/>
        </w:rPr>
        <w:t>En ese orden de ideas, toda vez que no ha quedado por completo sin materia el Recurso de Revisión, se considera procedente entrar al fondo del presente asunto, al no quedar sin materia.</w:t>
      </w:r>
    </w:p>
    <w:p w14:paraId="5F0F3D3C" w14:textId="77777777" w:rsidR="00005B46" w:rsidRPr="004535C6" w:rsidRDefault="00005B46" w:rsidP="00C60BFE">
      <w:pPr>
        <w:spacing w:after="0" w:line="360" w:lineRule="auto"/>
        <w:rPr>
          <w:b/>
          <w:color w:val="auto"/>
        </w:rPr>
      </w:pPr>
    </w:p>
    <w:p w14:paraId="3125F8A0" w14:textId="3BC620B0" w:rsidR="00B367A2" w:rsidRPr="004535C6" w:rsidRDefault="00B367A2" w:rsidP="00C60BFE">
      <w:pPr>
        <w:spacing w:after="0" w:line="360" w:lineRule="auto"/>
        <w:rPr>
          <w:b/>
          <w:color w:val="auto"/>
        </w:rPr>
      </w:pPr>
      <w:r w:rsidRPr="004535C6">
        <w:rPr>
          <w:b/>
          <w:color w:val="auto"/>
        </w:rPr>
        <w:t>TERCERO. Determinación de la Controversia</w:t>
      </w:r>
    </w:p>
    <w:p w14:paraId="061C1571" w14:textId="77777777" w:rsidR="00B367A2" w:rsidRPr="004535C6" w:rsidRDefault="00B367A2" w:rsidP="00C60BFE">
      <w:pPr>
        <w:spacing w:after="0" w:line="360" w:lineRule="auto"/>
        <w:rPr>
          <w:rFonts w:eastAsia="Times New Roman" w:cs="Tahoma"/>
          <w:bCs/>
          <w:color w:val="FF0000"/>
          <w:lang w:eastAsia="es-ES"/>
        </w:rPr>
      </w:pPr>
    </w:p>
    <w:p w14:paraId="0F8CF6A8" w14:textId="1702BAB5" w:rsidR="003D3687" w:rsidRPr="004535C6" w:rsidRDefault="004839EE" w:rsidP="00FA297B">
      <w:pPr>
        <w:spacing w:after="0" w:line="360" w:lineRule="auto"/>
        <w:rPr>
          <w:b/>
        </w:rPr>
      </w:pPr>
      <w:r w:rsidRPr="004535C6">
        <w:rPr>
          <w:rFonts w:eastAsia="Calibri" w:cs="Tahoma"/>
          <w:iCs/>
          <w:color w:val="auto"/>
          <w:lang w:val="es-ES" w:eastAsia="es-ES_tradnl"/>
        </w:rPr>
        <w:t>Una vez realizado el estudio de las constancias que integran el expediente en que se actúa</w:t>
      </w:r>
      <w:r w:rsidR="00FA297B" w:rsidRPr="004535C6">
        <w:rPr>
          <w:rFonts w:eastAsia="Calibri" w:cs="Tahoma"/>
          <w:iCs/>
          <w:color w:val="auto"/>
          <w:lang w:val="es-ES" w:eastAsia="es-ES_tradnl"/>
        </w:rPr>
        <w:t xml:space="preserve"> cabe recordar</w:t>
      </w:r>
      <w:r w:rsidRPr="004535C6">
        <w:rPr>
          <w:rFonts w:eastAsia="Calibri" w:cs="Tahoma"/>
          <w:iCs/>
          <w:color w:val="auto"/>
          <w:lang w:val="es-ES" w:eastAsia="es-ES_tradnl"/>
        </w:rPr>
        <w:t xml:space="preserve"> </w:t>
      </w:r>
      <w:r w:rsidRPr="004535C6">
        <w:rPr>
          <w:rFonts w:cs="Tahoma"/>
          <w:color w:val="auto"/>
        </w:rPr>
        <w:t>que el Recurrente requirió</w:t>
      </w:r>
      <w:r w:rsidR="00FA297B" w:rsidRPr="004535C6">
        <w:rPr>
          <w:rFonts w:cs="Tahoma"/>
          <w:color w:val="auto"/>
        </w:rPr>
        <w:t xml:space="preserve"> l</w:t>
      </w:r>
      <w:r w:rsidR="003D3687" w:rsidRPr="004535C6">
        <w:rPr>
          <w:rFonts w:eastAsia="Calibri" w:cs="Tahoma"/>
          <w:bCs/>
          <w:color w:val="0D0D0D" w:themeColor="text1" w:themeTint="F2"/>
          <w:lang w:val="es-ES" w:eastAsia="es-ES_tradnl"/>
        </w:rPr>
        <w:t xml:space="preserve">os artículos y el </w:t>
      </w:r>
      <w:r w:rsidR="00FA297B" w:rsidRPr="004535C6">
        <w:rPr>
          <w:rFonts w:eastAsia="Calibri" w:cs="Tahoma"/>
          <w:bCs/>
          <w:color w:val="0D0D0D" w:themeColor="text1" w:themeTint="F2"/>
          <w:lang w:val="es-ES" w:eastAsia="es-ES_tradnl"/>
        </w:rPr>
        <w:t>A</w:t>
      </w:r>
      <w:r w:rsidR="003D3687" w:rsidRPr="004535C6">
        <w:rPr>
          <w:rFonts w:eastAsia="Calibri" w:cs="Tahoma"/>
          <w:bCs/>
          <w:color w:val="0D0D0D" w:themeColor="text1" w:themeTint="F2"/>
          <w:lang w:val="es-ES" w:eastAsia="es-ES_tradnl"/>
        </w:rPr>
        <w:t xml:space="preserve">cuerdo de </w:t>
      </w:r>
      <w:r w:rsidR="00FA297B" w:rsidRPr="004535C6">
        <w:rPr>
          <w:rFonts w:eastAsia="Calibri" w:cs="Tahoma"/>
          <w:bCs/>
          <w:color w:val="0D0D0D" w:themeColor="text1" w:themeTint="F2"/>
          <w:lang w:val="es-ES" w:eastAsia="es-ES_tradnl"/>
        </w:rPr>
        <w:t>C</w:t>
      </w:r>
      <w:r w:rsidR="003D3687" w:rsidRPr="004535C6">
        <w:rPr>
          <w:rFonts w:eastAsia="Calibri" w:cs="Tahoma"/>
          <w:bCs/>
          <w:color w:val="0D0D0D" w:themeColor="text1" w:themeTint="F2"/>
          <w:lang w:val="es-ES" w:eastAsia="es-ES_tradnl"/>
        </w:rPr>
        <w:t xml:space="preserve">abildo </w:t>
      </w:r>
      <w:r w:rsidR="00FA297B" w:rsidRPr="004535C6">
        <w:rPr>
          <w:rFonts w:eastAsia="Calibri" w:cs="Tahoma"/>
          <w:bCs/>
          <w:color w:val="0D0D0D" w:themeColor="text1" w:themeTint="F2"/>
          <w:lang w:val="es-ES" w:eastAsia="es-ES_tradnl"/>
        </w:rPr>
        <w:t xml:space="preserve">que autorizaban a la </w:t>
      </w:r>
      <w:r w:rsidR="003D3687" w:rsidRPr="004535C6">
        <w:rPr>
          <w:rFonts w:eastAsia="Calibri" w:cs="Tahoma"/>
          <w:bCs/>
          <w:color w:val="0D0D0D" w:themeColor="text1" w:themeTint="F2"/>
          <w:lang w:val="es-ES" w:eastAsia="es-ES_tradnl"/>
        </w:rPr>
        <w:lastRenderedPageBreak/>
        <w:t xml:space="preserve">Dirección Desarrollo Urbano </w:t>
      </w:r>
      <w:r w:rsidR="00FA297B" w:rsidRPr="004535C6">
        <w:rPr>
          <w:rFonts w:eastAsia="Calibri" w:cs="Tahoma"/>
          <w:bCs/>
          <w:color w:val="0D0D0D" w:themeColor="text1" w:themeTint="F2"/>
          <w:lang w:val="es-ES" w:eastAsia="es-ES_tradnl"/>
        </w:rPr>
        <w:t>a</w:t>
      </w:r>
      <w:r w:rsidR="003D3687" w:rsidRPr="004535C6">
        <w:rPr>
          <w:rFonts w:eastAsia="Calibri" w:cs="Tahoma"/>
          <w:bCs/>
          <w:color w:val="0D0D0D" w:themeColor="text1" w:themeTint="F2"/>
          <w:lang w:val="es-ES" w:eastAsia="es-ES_tradnl"/>
        </w:rPr>
        <w:t xml:space="preserve"> cobrar aportaciones a mejoras </w:t>
      </w:r>
      <w:r w:rsidR="00FA297B" w:rsidRPr="004535C6">
        <w:rPr>
          <w:rFonts w:eastAsia="Calibri" w:cs="Tahoma"/>
          <w:bCs/>
          <w:color w:val="0D0D0D" w:themeColor="text1" w:themeTint="F2"/>
          <w:lang w:val="es-ES" w:eastAsia="es-ES_tradnl"/>
        </w:rPr>
        <w:t>en los trámites con los que contaban.</w:t>
      </w:r>
    </w:p>
    <w:p w14:paraId="19DEE81B" w14:textId="77777777" w:rsidR="000E6A27" w:rsidRPr="004535C6" w:rsidRDefault="000E6A27" w:rsidP="00C60BFE">
      <w:pPr>
        <w:spacing w:after="0" w:line="360" w:lineRule="auto"/>
        <w:rPr>
          <w:rFonts w:cs="Tahoma"/>
          <w:color w:val="FF0000"/>
        </w:rPr>
      </w:pPr>
    </w:p>
    <w:p w14:paraId="1885993B" w14:textId="149E4E32" w:rsidR="003D3687" w:rsidRPr="004535C6" w:rsidRDefault="004839EE" w:rsidP="00C60BFE">
      <w:pPr>
        <w:spacing w:after="0" w:line="360" w:lineRule="auto"/>
        <w:ind w:right="-28"/>
        <w:rPr>
          <w:rFonts w:cs="Tahoma"/>
          <w:bCs/>
          <w:iCs/>
          <w:color w:val="auto"/>
          <w:lang w:val="es-ES"/>
        </w:rPr>
      </w:pPr>
      <w:r w:rsidRPr="004535C6">
        <w:rPr>
          <w:rFonts w:cs="Tahoma"/>
          <w:bCs/>
          <w:iCs/>
          <w:color w:val="auto"/>
          <w:lang w:val="es-ES"/>
        </w:rPr>
        <w:t xml:space="preserve">En respuesta, el Sujeto Obligado, por medio </w:t>
      </w:r>
      <w:r w:rsidR="00C25E58" w:rsidRPr="004535C6">
        <w:rPr>
          <w:rFonts w:cs="Tahoma"/>
          <w:bCs/>
          <w:iCs/>
          <w:color w:val="auto"/>
          <w:lang w:val="es-ES"/>
        </w:rPr>
        <w:t xml:space="preserve">la Dirección </w:t>
      </w:r>
      <w:r w:rsidR="003D3687" w:rsidRPr="004535C6">
        <w:rPr>
          <w:rFonts w:cs="Tahoma"/>
          <w:bCs/>
          <w:iCs/>
          <w:color w:val="auto"/>
          <w:lang w:val="es-ES"/>
        </w:rPr>
        <w:t xml:space="preserve">de Desarrollo Urbano y Ecología refirió que después de </w:t>
      </w:r>
      <w:r w:rsidR="003D3687" w:rsidRPr="004535C6">
        <w:rPr>
          <w:color w:val="auto"/>
        </w:rPr>
        <w:t xml:space="preserve">una búsqueda minuciosa en las leyes y reglamentos correspondientes en materia urbana, no </w:t>
      </w:r>
      <w:r w:rsidR="00FA297B" w:rsidRPr="004535C6">
        <w:rPr>
          <w:color w:val="auto"/>
        </w:rPr>
        <w:t>había localizado</w:t>
      </w:r>
      <w:r w:rsidR="003D3687" w:rsidRPr="004535C6">
        <w:rPr>
          <w:color w:val="auto"/>
        </w:rPr>
        <w:t xml:space="preserve"> un apartado específico por el concepto de </w:t>
      </w:r>
      <w:r w:rsidR="00FA297B" w:rsidRPr="004535C6">
        <w:rPr>
          <w:color w:val="auto"/>
        </w:rPr>
        <w:t>aportaciones;</w:t>
      </w:r>
      <w:r w:rsidR="003D3687" w:rsidRPr="004535C6">
        <w:rPr>
          <w:color w:val="auto"/>
        </w:rPr>
        <w:t xml:space="preserve"> sin embargo, para efectos de alineamientos y números oficiales el </w:t>
      </w:r>
      <w:r w:rsidR="00FA297B" w:rsidRPr="004535C6">
        <w:rPr>
          <w:color w:val="auto"/>
        </w:rPr>
        <w:t>a</w:t>
      </w:r>
      <w:r w:rsidR="003D3687" w:rsidRPr="004535C6">
        <w:rPr>
          <w:color w:val="auto"/>
        </w:rPr>
        <w:t>rtículo 144</w:t>
      </w:r>
      <w:r w:rsidR="00FA297B" w:rsidRPr="004535C6">
        <w:rPr>
          <w:color w:val="auto"/>
        </w:rPr>
        <w:t xml:space="preserve"> d</w:t>
      </w:r>
      <w:r w:rsidR="003D3687" w:rsidRPr="004535C6">
        <w:rPr>
          <w:color w:val="auto"/>
        </w:rPr>
        <w:t>el Código Financiero del Estado de México y Municipios, así mismo, proporcionó dos ligas electrónicas una que remite al Periódico Oficial Gaceta de Gobierno y LEGISTEL y al Código Financiero del Estado de México y Municipios</w:t>
      </w:r>
      <w:r w:rsidR="00A6773B" w:rsidRPr="004535C6">
        <w:rPr>
          <w:color w:val="auto"/>
        </w:rPr>
        <w:t>.</w:t>
      </w:r>
      <w:r w:rsidR="003D3687" w:rsidRPr="004535C6">
        <w:rPr>
          <w:color w:val="auto"/>
        </w:rPr>
        <w:t xml:space="preserve"> </w:t>
      </w:r>
    </w:p>
    <w:p w14:paraId="081B1039" w14:textId="77777777" w:rsidR="00A6773B" w:rsidRPr="004535C6" w:rsidRDefault="00A6773B" w:rsidP="00C60BFE">
      <w:pPr>
        <w:spacing w:after="0" w:line="360" w:lineRule="auto"/>
        <w:ind w:right="-28"/>
        <w:rPr>
          <w:rFonts w:cs="Tahoma"/>
          <w:bCs/>
          <w:iCs/>
          <w:color w:val="FF0000"/>
          <w:lang w:val="es-ES"/>
        </w:rPr>
      </w:pPr>
    </w:p>
    <w:p w14:paraId="4EB75861" w14:textId="61680EBC" w:rsidR="008A3D56" w:rsidRPr="004535C6" w:rsidRDefault="00A6773B" w:rsidP="00C60BFE">
      <w:pPr>
        <w:spacing w:after="0" w:line="360" w:lineRule="auto"/>
        <w:ind w:right="-28"/>
        <w:rPr>
          <w:rFonts w:cs="Tahoma"/>
          <w:bCs/>
          <w:iCs/>
          <w:color w:val="auto"/>
          <w:lang w:val="es-ES"/>
        </w:rPr>
      </w:pPr>
      <w:r w:rsidRPr="004535C6">
        <w:rPr>
          <w:rFonts w:cs="Tahoma"/>
          <w:bCs/>
          <w:iCs/>
          <w:color w:val="auto"/>
          <w:lang w:val="es-ES"/>
        </w:rPr>
        <w:t>A</w:t>
      </w:r>
      <w:r w:rsidR="008A3D56" w:rsidRPr="004535C6">
        <w:rPr>
          <w:rFonts w:cs="Tahoma"/>
          <w:bCs/>
          <w:iCs/>
          <w:color w:val="auto"/>
          <w:lang w:val="es-ES"/>
        </w:rPr>
        <w:t xml:space="preserve">nte dicha respuesta por parte del Ente Recurrido, el Particular, se inconformó con la </w:t>
      </w:r>
      <w:r w:rsidR="00702223" w:rsidRPr="004535C6">
        <w:rPr>
          <w:rFonts w:cs="Tahoma"/>
          <w:bCs/>
          <w:iCs/>
          <w:color w:val="auto"/>
          <w:lang w:val="es-ES"/>
        </w:rPr>
        <w:t xml:space="preserve">entrega de información que no corresponde con lo solicitado, </w:t>
      </w:r>
      <w:r w:rsidR="008A3D56" w:rsidRPr="004535C6">
        <w:rPr>
          <w:rFonts w:cs="Tahoma"/>
          <w:bCs/>
          <w:iCs/>
          <w:color w:val="auto"/>
          <w:lang w:val="es-ES"/>
        </w:rPr>
        <w:t xml:space="preserve">lo cual se actualizan el </w:t>
      </w:r>
      <w:r w:rsidR="003D0FF4" w:rsidRPr="004535C6">
        <w:rPr>
          <w:rFonts w:cs="Tahoma"/>
          <w:bCs/>
          <w:iCs/>
          <w:color w:val="auto"/>
          <w:lang w:val="es-ES"/>
        </w:rPr>
        <w:t>supuesto previsto</w:t>
      </w:r>
      <w:r w:rsidR="008A3D56" w:rsidRPr="004535C6">
        <w:rPr>
          <w:rFonts w:cs="Tahoma"/>
          <w:bCs/>
          <w:iCs/>
          <w:color w:val="auto"/>
          <w:lang w:val="es-ES"/>
        </w:rPr>
        <w:t xml:space="preserve"> en el artículo 179, fracción </w:t>
      </w:r>
      <w:r w:rsidR="00702223" w:rsidRPr="004535C6">
        <w:rPr>
          <w:rFonts w:cs="Tahoma"/>
          <w:bCs/>
          <w:iCs/>
          <w:color w:val="auto"/>
          <w:lang w:val="es-ES"/>
        </w:rPr>
        <w:t>V</w:t>
      </w:r>
      <w:r w:rsidR="008A3D56" w:rsidRPr="004535C6">
        <w:rPr>
          <w:rFonts w:cs="Tahoma"/>
          <w:bCs/>
          <w:iCs/>
          <w:color w:val="auto"/>
          <w:lang w:val="es-ES"/>
        </w:rPr>
        <w:t>I, de la Ley de Transparencia y Acceso a la Información Pública del Estado de México y Municipios</w:t>
      </w:r>
      <w:r w:rsidR="003D0FF4" w:rsidRPr="004535C6">
        <w:rPr>
          <w:rFonts w:cs="Tahoma"/>
          <w:bCs/>
          <w:iCs/>
          <w:color w:val="auto"/>
          <w:lang w:val="es-ES"/>
        </w:rPr>
        <w:t xml:space="preserve">. </w:t>
      </w:r>
      <w:r w:rsidR="008A3D56" w:rsidRPr="004535C6">
        <w:rPr>
          <w:rFonts w:cs="Tahoma"/>
          <w:bCs/>
          <w:iCs/>
          <w:color w:val="auto"/>
          <w:lang w:val="es-ES"/>
        </w:rPr>
        <w:t xml:space="preserve">Así las cosas, una vez admitido y notificado el Recurso de Revisión a las partes, </w:t>
      </w:r>
      <w:r w:rsidR="003D0FF4" w:rsidRPr="004535C6">
        <w:rPr>
          <w:rFonts w:cs="Tahoma"/>
          <w:bCs/>
          <w:iCs/>
          <w:color w:val="auto"/>
          <w:lang w:val="es-ES"/>
        </w:rPr>
        <w:t>el Sujeto Obligado remitió su Informe Justificado, a través del cual confirmo su respuesta.</w:t>
      </w:r>
    </w:p>
    <w:p w14:paraId="0C4EBD09" w14:textId="77777777" w:rsidR="008A3D56" w:rsidRPr="004535C6" w:rsidRDefault="008A3D56" w:rsidP="00C60BFE">
      <w:pPr>
        <w:spacing w:after="0" w:line="360" w:lineRule="auto"/>
        <w:ind w:right="-28"/>
        <w:rPr>
          <w:rFonts w:eastAsia="Calibri" w:cs="Tahoma"/>
          <w:color w:val="FF0000"/>
        </w:rPr>
      </w:pPr>
    </w:p>
    <w:p w14:paraId="7DEBB2F9" w14:textId="0F709011" w:rsidR="00A6773B" w:rsidRPr="004535C6" w:rsidRDefault="00A6773B" w:rsidP="00FA297B">
      <w:pPr>
        <w:tabs>
          <w:tab w:val="left" w:pos="4962"/>
        </w:tabs>
        <w:spacing w:after="0" w:line="360" w:lineRule="auto"/>
        <w:contextualSpacing/>
        <w:rPr>
          <w:rFonts w:eastAsia="Calibri" w:cs="Tahoma"/>
          <w:iCs/>
          <w:color w:val="auto"/>
          <w:lang w:val="es-ES" w:eastAsia="es-ES_tradnl"/>
        </w:rPr>
      </w:pPr>
      <w:r w:rsidRPr="004535C6">
        <w:rPr>
          <w:rFonts w:eastAsia="Calibri" w:cs="Tahoma"/>
          <w:iCs/>
          <w:color w:val="auto"/>
          <w:lang w:val="es-ES" w:eastAsia="es-ES_tradnl"/>
        </w:rPr>
        <w:t>Por otra parte, a través del Requerimiento Informativo, el Particular realizó las siguientes</w:t>
      </w:r>
      <w:r w:rsidRPr="004535C6">
        <w:rPr>
          <w:rFonts w:eastAsia="Calibri" w:cs="Tahoma"/>
          <w:iCs/>
          <w:color w:val="auto"/>
          <w:lang w:val="es-ES" w:eastAsia="es-ES_tradnl"/>
        </w:rPr>
        <w:br/>
        <w:t>manifestaciones: “… DEBIDO A QUE EL SUB DIRECTOR DE CONTROL URBANO EL ING DONOVAN TRUJANO Y LA SUBDIRECTORA DE LICENCIAS LA ARQ DANIELA ESPEJEL ME SOLICITARON $1000 PESOS PARA REALIZAR MI TRAMITE CON AGILIDAD..”; las cuales únicamente contienen afirmaciones sobre apreciaciones subjetivas</w:t>
      </w:r>
      <w:r w:rsidRPr="004535C6">
        <w:rPr>
          <w:rFonts w:eastAsia="Calibri" w:cs="Tahoma"/>
          <w:iCs/>
          <w:color w:val="auto"/>
          <w:lang w:val="es-ES" w:eastAsia="es-ES_tradnl"/>
        </w:rPr>
        <w:br/>
        <w:t>carentes de sustento, al no presentar, ni aportar elementos que apoyen la localización de la</w:t>
      </w:r>
      <w:r w:rsidRPr="004535C6">
        <w:rPr>
          <w:rFonts w:eastAsia="Calibri" w:cs="Tahoma"/>
          <w:iCs/>
          <w:color w:val="auto"/>
          <w:lang w:val="es-ES" w:eastAsia="es-ES_tradnl"/>
        </w:rPr>
        <w:br/>
        <w:t>información requerida, ya que refieren a pronunciamientos a la forma de actuar del Sujeto</w:t>
      </w:r>
      <w:r w:rsidRPr="004535C6">
        <w:rPr>
          <w:rFonts w:eastAsia="Calibri" w:cs="Tahoma"/>
          <w:iCs/>
          <w:color w:val="auto"/>
          <w:lang w:val="es-ES" w:eastAsia="es-ES_tradnl"/>
        </w:rPr>
        <w:br/>
        <w:t>Obligado, mismas que no corresponden a una solicitud de acceso</w:t>
      </w:r>
      <w:r w:rsidR="00644076" w:rsidRPr="004535C6">
        <w:rPr>
          <w:rFonts w:eastAsia="Calibri" w:cs="Tahoma"/>
          <w:iCs/>
          <w:color w:val="auto"/>
          <w:lang w:val="es-ES" w:eastAsia="es-ES_tradnl"/>
        </w:rPr>
        <w:t xml:space="preserve"> a la información pública</w:t>
      </w:r>
      <w:r w:rsidRPr="004535C6">
        <w:rPr>
          <w:rFonts w:eastAsia="Calibri" w:cs="Tahoma"/>
          <w:iCs/>
          <w:color w:val="auto"/>
          <w:lang w:val="es-ES" w:eastAsia="es-ES_tradnl"/>
        </w:rPr>
        <w:t xml:space="preserve"> y </w:t>
      </w:r>
      <w:r w:rsidR="00644076" w:rsidRPr="004535C6">
        <w:rPr>
          <w:rFonts w:eastAsia="Calibri" w:cs="Tahoma"/>
          <w:iCs/>
          <w:color w:val="auto"/>
          <w:lang w:val="es-ES" w:eastAsia="es-ES_tradnl"/>
        </w:rPr>
        <w:t xml:space="preserve"> </w:t>
      </w:r>
      <w:r w:rsidR="00644076" w:rsidRPr="004535C6">
        <w:rPr>
          <w:rFonts w:eastAsia="Calibri" w:cs="Tahoma"/>
          <w:iCs/>
          <w:color w:val="auto"/>
          <w:lang w:val="es-ES" w:eastAsia="es-ES_tradnl"/>
        </w:rPr>
        <w:lastRenderedPageBreak/>
        <w:t xml:space="preserve">por lo tanto, las </w:t>
      </w:r>
      <w:r w:rsidRPr="004535C6">
        <w:rPr>
          <w:rFonts w:eastAsia="Calibri" w:cs="Tahoma"/>
          <w:iCs/>
          <w:color w:val="auto"/>
          <w:lang w:val="es-ES" w:eastAsia="es-ES_tradnl"/>
        </w:rPr>
        <w:t xml:space="preserve">mismas devienen de </w:t>
      </w:r>
      <w:r w:rsidRPr="004535C6">
        <w:rPr>
          <w:rFonts w:eastAsia="Calibri" w:cs="Tahoma"/>
          <w:b/>
          <w:bCs/>
          <w:iCs/>
          <w:color w:val="auto"/>
          <w:lang w:val="es-ES" w:eastAsia="es-ES_tradnl"/>
        </w:rPr>
        <w:t>IMPROCEDENTES</w:t>
      </w:r>
      <w:r w:rsidRPr="004535C6">
        <w:rPr>
          <w:rFonts w:eastAsia="Calibri" w:cs="Tahoma"/>
          <w:iCs/>
          <w:color w:val="auto"/>
          <w:lang w:val="es-ES" w:eastAsia="es-ES_tradnl"/>
        </w:rPr>
        <w:t>; por lo que deben desestimarse para todos los</w:t>
      </w:r>
      <w:r w:rsidR="00644076" w:rsidRPr="004535C6">
        <w:rPr>
          <w:rFonts w:eastAsia="Calibri" w:cs="Tahoma"/>
          <w:iCs/>
          <w:color w:val="auto"/>
          <w:lang w:val="es-ES" w:eastAsia="es-ES_tradnl"/>
        </w:rPr>
        <w:t xml:space="preserve"> </w:t>
      </w:r>
      <w:r w:rsidRPr="004535C6">
        <w:rPr>
          <w:rFonts w:eastAsia="Calibri" w:cs="Tahoma"/>
          <w:iCs/>
          <w:color w:val="auto"/>
          <w:lang w:val="es-ES" w:eastAsia="es-ES_tradnl"/>
        </w:rPr>
        <w:t>efectos a que haya lugar.</w:t>
      </w:r>
    </w:p>
    <w:p w14:paraId="7EAE4075" w14:textId="77777777" w:rsidR="00A6773B" w:rsidRPr="004535C6" w:rsidRDefault="00A6773B" w:rsidP="00C60BFE">
      <w:pPr>
        <w:spacing w:after="0" w:line="360" w:lineRule="auto"/>
        <w:ind w:right="-28"/>
        <w:rPr>
          <w:rFonts w:eastAsia="Calibri" w:cs="Tahoma"/>
          <w:color w:val="FF0000"/>
        </w:rPr>
      </w:pPr>
    </w:p>
    <w:p w14:paraId="7BBCF916" w14:textId="2CABD946" w:rsidR="004839EE" w:rsidRPr="004535C6" w:rsidRDefault="004839EE" w:rsidP="00C60BFE">
      <w:pPr>
        <w:tabs>
          <w:tab w:val="left" w:pos="4962"/>
        </w:tabs>
        <w:spacing w:after="0" w:line="360" w:lineRule="auto"/>
        <w:contextualSpacing/>
        <w:rPr>
          <w:rFonts w:eastAsia="Calibri" w:cs="Tahoma"/>
          <w:bCs/>
          <w:color w:val="auto"/>
          <w:szCs w:val="24"/>
        </w:rPr>
      </w:pPr>
      <w:r w:rsidRPr="004535C6">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Pr="004535C6">
        <w:rPr>
          <w:rFonts w:eastAsia="Calibri" w:cs="Tahoma"/>
          <w:iCs/>
          <w:color w:val="auto"/>
          <w:lang w:eastAsia="es-ES_tradnl"/>
        </w:rPr>
        <w:t xml:space="preserve"> </w:t>
      </w:r>
      <w:r w:rsidR="005C4980" w:rsidRPr="004535C6">
        <w:rPr>
          <w:rFonts w:eastAsia="Calibri" w:cs="Tahoma"/>
          <w:iCs/>
          <w:color w:val="auto"/>
          <w:lang w:eastAsia="es-ES_tradnl"/>
        </w:rPr>
        <w:t>la</w:t>
      </w:r>
      <w:r w:rsidR="008A3D56" w:rsidRPr="004535C6">
        <w:rPr>
          <w:rFonts w:eastAsia="Calibri" w:cs="Tahoma"/>
          <w:iCs/>
          <w:color w:val="auto"/>
          <w:lang w:eastAsia="es-ES_tradnl"/>
        </w:rPr>
        <w:t xml:space="preserve"> respuesta del Sujeto Obligado</w:t>
      </w:r>
      <w:r w:rsidR="00A6773B" w:rsidRPr="004535C6">
        <w:rPr>
          <w:rFonts w:eastAsia="Calibri" w:cs="Tahoma"/>
          <w:iCs/>
          <w:color w:val="auto"/>
          <w:lang w:eastAsia="es-ES_tradnl"/>
        </w:rPr>
        <w:t xml:space="preserve"> y</w:t>
      </w:r>
      <w:r w:rsidR="003D0FF4" w:rsidRPr="004535C6">
        <w:rPr>
          <w:rFonts w:eastAsia="Calibri" w:cs="Tahoma"/>
          <w:iCs/>
          <w:color w:val="auto"/>
          <w:lang w:eastAsia="es-ES_tradnl"/>
        </w:rPr>
        <w:t xml:space="preserve"> </w:t>
      </w:r>
      <w:r w:rsidRPr="004535C6">
        <w:rPr>
          <w:rFonts w:eastAsia="Calibri" w:cs="Tahoma"/>
          <w:iCs/>
          <w:color w:val="auto"/>
          <w:lang w:eastAsia="es-ES_tradnl"/>
        </w:rPr>
        <w:t xml:space="preserve">el escrito recursal; </w:t>
      </w:r>
      <w:r w:rsidRPr="004535C6">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1BACB881" w14:textId="77777777" w:rsidR="004839EE" w:rsidRPr="004535C6" w:rsidRDefault="004839EE" w:rsidP="00C60BFE">
      <w:pPr>
        <w:autoSpaceDE w:val="0"/>
        <w:autoSpaceDN w:val="0"/>
        <w:adjustRightInd w:val="0"/>
        <w:spacing w:after="0" w:line="360" w:lineRule="auto"/>
        <w:contextualSpacing/>
        <w:rPr>
          <w:rFonts w:eastAsia="Times New Roman" w:cs="Tahoma"/>
          <w:b/>
          <w:bCs/>
          <w:iCs/>
          <w:color w:val="FF0000"/>
          <w:lang w:val="es-ES" w:eastAsia="es-ES"/>
        </w:rPr>
      </w:pPr>
    </w:p>
    <w:p w14:paraId="4C2EFBEA" w14:textId="77777777" w:rsidR="004839EE" w:rsidRPr="004535C6" w:rsidRDefault="004839EE" w:rsidP="00C60BFE">
      <w:pPr>
        <w:spacing w:after="0" w:line="360" w:lineRule="auto"/>
        <w:contextualSpacing/>
        <w:rPr>
          <w:rFonts w:eastAsia="Times New Roman" w:cs="Tahoma"/>
          <w:b/>
          <w:bCs/>
          <w:iCs/>
          <w:color w:val="auto"/>
          <w:lang w:eastAsia="es-ES"/>
        </w:rPr>
      </w:pPr>
      <w:r w:rsidRPr="004535C6">
        <w:rPr>
          <w:rFonts w:eastAsia="Times New Roman" w:cs="Tahoma"/>
          <w:b/>
          <w:bCs/>
          <w:iCs/>
          <w:color w:val="auto"/>
          <w:lang w:val="es-ES" w:eastAsia="es-ES"/>
        </w:rPr>
        <w:t xml:space="preserve">CUARTO. </w:t>
      </w:r>
      <w:r w:rsidRPr="004535C6">
        <w:rPr>
          <w:rFonts w:eastAsia="Times New Roman" w:cs="Tahoma"/>
          <w:b/>
          <w:bCs/>
          <w:iCs/>
          <w:color w:val="auto"/>
          <w:lang w:eastAsia="es-ES"/>
        </w:rPr>
        <w:t>Marco normativo aplicable en materia de transparencia y acceso a la información pública.</w:t>
      </w:r>
    </w:p>
    <w:p w14:paraId="41830BB0" w14:textId="77777777" w:rsidR="004839EE" w:rsidRPr="004535C6" w:rsidRDefault="004839EE" w:rsidP="00C60BFE">
      <w:pPr>
        <w:autoSpaceDE w:val="0"/>
        <w:autoSpaceDN w:val="0"/>
        <w:adjustRightInd w:val="0"/>
        <w:spacing w:after="0" w:line="360" w:lineRule="auto"/>
        <w:contextualSpacing/>
        <w:rPr>
          <w:rFonts w:eastAsia="Times New Roman" w:cs="Tahoma"/>
          <w:bCs/>
          <w:iCs/>
          <w:color w:val="auto"/>
          <w:lang w:val="es-ES" w:eastAsia="es-ES"/>
        </w:rPr>
      </w:pPr>
    </w:p>
    <w:p w14:paraId="5B6423F2" w14:textId="77777777" w:rsidR="004839EE" w:rsidRPr="004535C6" w:rsidRDefault="004839EE" w:rsidP="00C60BFE">
      <w:pPr>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BC3DFEB" w14:textId="77777777" w:rsidR="004839EE" w:rsidRPr="004535C6" w:rsidRDefault="004839EE" w:rsidP="00C60BFE">
      <w:pPr>
        <w:spacing w:after="0" w:line="360" w:lineRule="auto"/>
        <w:contextualSpacing/>
        <w:rPr>
          <w:rFonts w:eastAsia="Times New Roman" w:cs="Tahoma"/>
          <w:bCs/>
          <w:iCs/>
          <w:color w:val="auto"/>
          <w:lang w:eastAsia="es-ES"/>
        </w:rPr>
      </w:pPr>
    </w:p>
    <w:p w14:paraId="14720E85" w14:textId="77777777" w:rsidR="004839EE" w:rsidRPr="004535C6" w:rsidRDefault="004839EE" w:rsidP="00C60BFE">
      <w:pPr>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6A3B71D" w14:textId="77777777" w:rsidR="004839EE" w:rsidRPr="004535C6" w:rsidRDefault="004839EE" w:rsidP="00C60BFE">
      <w:pPr>
        <w:spacing w:after="0" w:line="360" w:lineRule="auto"/>
        <w:contextualSpacing/>
        <w:rPr>
          <w:rFonts w:eastAsia="Times New Roman" w:cs="Tahoma"/>
          <w:bCs/>
          <w:iCs/>
          <w:color w:val="auto"/>
          <w:lang w:eastAsia="es-ES"/>
        </w:rPr>
      </w:pPr>
    </w:p>
    <w:p w14:paraId="01B4D996" w14:textId="77777777" w:rsidR="004839EE" w:rsidRPr="004535C6" w:rsidRDefault="004839EE" w:rsidP="00C60BFE">
      <w:pPr>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20C0153" w14:textId="77777777" w:rsidR="004839EE" w:rsidRPr="004535C6" w:rsidRDefault="004839EE" w:rsidP="00C60BFE">
      <w:pPr>
        <w:spacing w:after="0" w:line="360" w:lineRule="auto"/>
        <w:contextualSpacing/>
        <w:rPr>
          <w:rFonts w:eastAsia="Times New Roman" w:cs="Tahoma"/>
          <w:bCs/>
          <w:iCs/>
          <w:color w:val="auto"/>
          <w:lang w:eastAsia="es-ES"/>
        </w:rPr>
      </w:pPr>
    </w:p>
    <w:p w14:paraId="719B789C" w14:textId="77777777" w:rsidR="004839EE" w:rsidRPr="004535C6" w:rsidRDefault="004839EE" w:rsidP="00C60BFE">
      <w:pPr>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lastRenderedPageBreak/>
        <w:t>Por su parte, la Ley de Transparencia y Acceso a la Información Pública del Estado de México y Municipios (Reglamentaria del artículo 5° de la Constitución Local), establece lo siguiente:</w:t>
      </w:r>
    </w:p>
    <w:p w14:paraId="746EF700" w14:textId="77777777" w:rsidR="004839EE" w:rsidRPr="004535C6" w:rsidRDefault="004839EE" w:rsidP="00C60BFE">
      <w:pPr>
        <w:spacing w:after="0" w:line="360" w:lineRule="auto"/>
        <w:contextualSpacing/>
        <w:rPr>
          <w:rFonts w:eastAsia="Times New Roman" w:cs="Tahoma"/>
          <w:bCs/>
          <w:iCs/>
          <w:color w:val="auto"/>
          <w:lang w:eastAsia="es-ES"/>
        </w:rPr>
      </w:pPr>
    </w:p>
    <w:p w14:paraId="60069E6E" w14:textId="77777777" w:rsidR="004839EE" w:rsidRPr="004535C6" w:rsidRDefault="004839EE" w:rsidP="00C60BFE">
      <w:pPr>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t>El artículo 12, que, quienes generen, recopilen, administren, manejen, procesen, archiven o conserven información pública serán responsables de la misma.</w:t>
      </w:r>
    </w:p>
    <w:p w14:paraId="78F8BD4C" w14:textId="77777777" w:rsidR="004839EE" w:rsidRPr="004535C6" w:rsidRDefault="004839EE" w:rsidP="00C60BFE">
      <w:pPr>
        <w:spacing w:after="0" w:line="360" w:lineRule="auto"/>
        <w:contextualSpacing/>
        <w:rPr>
          <w:rFonts w:eastAsia="Times New Roman" w:cs="Tahoma"/>
          <w:bCs/>
          <w:iCs/>
          <w:color w:val="auto"/>
          <w:lang w:eastAsia="es-ES"/>
        </w:rPr>
      </w:pPr>
    </w:p>
    <w:p w14:paraId="7982F68E" w14:textId="77777777" w:rsidR="004839EE" w:rsidRPr="004535C6" w:rsidRDefault="004839EE" w:rsidP="00C60BFE">
      <w:pPr>
        <w:widowControl w:val="0"/>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9B26614" w14:textId="77777777" w:rsidR="00FA297B" w:rsidRPr="004535C6" w:rsidRDefault="00FA297B" w:rsidP="00C60BFE">
      <w:pPr>
        <w:widowControl w:val="0"/>
        <w:spacing w:after="0" w:line="360" w:lineRule="auto"/>
        <w:contextualSpacing/>
        <w:rPr>
          <w:rFonts w:eastAsia="Times New Roman" w:cs="Tahoma"/>
          <w:bCs/>
          <w:iCs/>
          <w:color w:val="auto"/>
          <w:lang w:eastAsia="es-ES"/>
        </w:rPr>
      </w:pPr>
    </w:p>
    <w:p w14:paraId="2DB4127A" w14:textId="77777777" w:rsidR="004839EE" w:rsidRPr="004535C6" w:rsidRDefault="004839EE" w:rsidP="00C60BFE">
      <w:pPr>
        <w:spacing w:after="0" w:line="360" w:lineRule="auto"/>
        <w:contextualSpacing/>
        <w:rPr>
          <w:rFonts w:eastAsia="Times New Roman" w:cs="Tahoma"/>
          <w:bCs/>
          <w:iCs/>
          <w:color w:val="auto"/>
          <w:lang w:eastAsia="es-ES"/>
        </w:rPr>
      </w:pPr>
      <w:r w:rsidRPr="004535C6">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035A317" w14:textId="77777777" w:rsidR="004839EE" w:rsidRPr="004535C6" w:rsidRDefault="004839EE" w:rsidP="00C60BFE">
      <w:pPr>
        <w:spacing w:after="0" w:line="360" w:lineRule="auto"/>
        <w:contextualSpacing/>
        <w:rPr>
          <w:rFonts w:cs="Tahoma"/>
          <w:bCs/>
          <w:iCs/>
          <w:color w:val="auto"/>
          <w:lang w:val="es-ES"/>
        </w:rPr>
      </w:pPr>
    </w:p>
    <w:p w14:paraId="54BEA237" w14:textId="78527DDD" w:rsidR="004839EE" w:rsidRPr="004535C6" w:rsidRDefault="00376E4B" w:rsidP="00C60BFE">
      <w:pPr>
        <w:spacing w:after="0" w:line="360" w:lineRule="auto"/>
        <w:contextualSpacing/>
        <w:rPr>
          <w:rFonts w:eastAsia="Times New Roman" w:cs="Tahoma"/>
          <w:b/>
          <w:bCs/>
          <w:iCs/>
          <w:color w:val="auto"/>
          <w:lang w:val="es-ES" w:eastAsia="es-ES"/>
        </w:rPr>
      </w:pPr>
      <w:r w:rsidRPr="004535C6">
        <w:rPr>
          <w:rFonts w:eastAsia="Times New Roman" w:cs="Tahoma"/>
          <w:b/>
          <w:bCs/>
          <w:iCs/>
          <w:color w:val="auto"/>
          <w:lang w:val="es-ES" w:eastAsia="es-ES"/>
        </w:rPr>
        <w:t>QUINTO. Estudio de Fondo</w:t>
      </w:r>
    </w:p>
    <w:p w14:paraId="2F98F963" w14:textId="77777777" w:rsidR="006A09D4" w:rsidRPr="004535C6" w:rsidRDefault="006A09D4" w:rsidP="00C60BFE">
      <w:pPr>
        <w:widowControl w:val="0"/>
        <w:autoSpaceDE w:val="0"/>
        <w:autoSpaceDN w:val="0"/>
        <w:adjustRightInd w:val="0"/>
        <w:spacing w:after="0" w:line="360" w:lineRule="auto"/>
        <w:contextualSpacing/>
        <w:rPr>
          <w:rFonts w:eastAsia="Times New Roman" w:cs="Tahoma"/>
          <w:bCs/>
          <w:iCs/>
          <w:color w:val="auto"/>
          <w:lang w:eastAsia="es-ES"/>
          <w14:ligatures w14:val="standardContextual"/>
        </w:rPr>
      </w:pPr>
    </w:p>
    <w:p w14:paraId="04FEDF27" w14:textId="130F1BCF" w:rsidR="006A09D4" w:rsidRPr="004535C6" w:rsidRDefault="006A09D4" w:rsidP="00C60BFE">
      <w:pPr>
        <w:widowControl w:val="0"/>
        <w:autoSpaceDE w:val="0"/>
        <w:autoSpaceDN w:val="0"/>
        <w:adjustRightInd w:val="0"/>
        <w:spacing w:after="0" w:line="360" w:lineRule="auto"/>
        <w:contextualSpacing/>
        <w:rPr>
          <w:rFonts w:eastAsia="Times New Roman" w:cs="Times New Roman"/>
          <w:color w:val="auto"/>
          <w:lang w:eastAsia="es-ES"/>
          <w14:ligatures w14:val="standardContextual"/>
        </w:rPr>
      </w:pPr>
      <w:r w:rsidRPr="004535C6">
        <w:rPr>
          <w:rFonts w:eastAsia="Times New Roman" w:cs="Tahoma"/>
          <w:bCs/>
          <w:iCs/>
          <w:color w:val="auto"/>
          <w:lang w:eastAsia="es-ES"/>
          <w14:ligatures w14:val="standardContextual"/>
        </w:rPr>
        <w:t xml:space="preserve">Expuestas las posturas de las partes, se procede al análisis del agravio hecho valer por el Recurrente, concerniente </w:t>
      </w:r>
      <w:r w:rsidRPr="004535C6">
        <w:rPr>
          <w:rFonts w:eastAsia="Times New Roman" w:cs="Tahoma"/>
          <w:color w:val="auto"/>
          <w:lang w:eastAsia="es-MX"/>
          <w14:ligatures w14:val="standardContextual"/>
        </w:rPr>
        <w:t xml:space="preserve">a la </w:t>
      </w:r>
      <w:r w:rsidR="00A92A91" w:rsidRPr="004535C6">
        <w:rPr>
          <w:rFonts w:eastAsia="Times New Roman" w:cs="Tahoma"/>
          <w:color w:val="auto"/>
          <w:lang w:eastAsia="es-MX"/>
          <w14:ligatures w14:val="standardContextual"/>
        </w:rPr>
        <w:t xml:space="preserve">entrega de información que no corresponde con lo solicitado, </w:t>
      </w:r>
      <w:r w:rsidRPr="004535C6">
        <w:rPr>
          <w:rFonts w:eastAsia="Times New Roman" w:cs="Times New Roman"/>
          <w:color w:val="auto"/>
          <w:lang w:eastAsia="es-ES"/>
          <w14:ligatures w14:val="standardContextual"/>
        </w:rPr>
        <w:t xml:space="preserve">para lo cual, en principio es necesario contextualizar la solicitud de información. </w:t>
      </w:r>
    </w:p>
    <w:p w14:paraId="6297A627" w14:textId="77777777" w:rsidR="00C60BFE" w:rsidRPr="004535C6" w:rsidRDefault="00C60BFE" w:rsidP="00C60BFE">
      <w:pPr>
        <w:widowControl w:val="0"/>
        <w:autoSpaceDE w:val="0"/>
        <w:autoSpaceDN w:val="0"/>
        <w:adjustRightInd w:val="0"/>
        <w:spacing w:after="0" w:line="360" w:lineRule="auto"/>
        <w:contextualSpacing/>
        <w:rPr>
          <w:rFonts w:eastAsia="Times New Roman" w:cs="Times New Roman"/>
          <w:color w:val="FF0000"/>
          <w:lang w:eastAsia="es-ES"/>
          <w14:ligatures w14:val="standardContextual"/>
        </w:rPr>
      </w:pPr>
    </w:p>
    <w:p w14:paraId="7D1F89CB" w14:textId="257900F5" w:rsidR="00DD50AF" w:rsidRPr="004535C6" w:rsidRDefault="006A09D4" w:rsidP="00C60BFE">
      <w:pPr>
        <w:spacing w:after="0" w:line="360" w:lineRule="auto"/>
        <w:contextualSpacing/>
        <w:rPr>
          <w:rFonts w:eastAsia="Times New Roman" w:cs="Tahoma"/>
          <w:iCs/>
          <w:color w:val="auto"/>
          <w:lang w:val="es-ES" w:eastAsia="es-ES"/>
        </w:rPr>
      </w:pPr>
      <w:r w:rsidRPr="004535C6">
        <w:rPr>
          <w:rFonts w:eastAsia="Times New Roman" w:cs="Tahoma"/>
          <w:iCs/>
          <w:color w:val="auto"/>
          <w:lang w:val="es-ES" w:eastAsia="es-ES"/>
        </w:rPr>
        <w:t>Sobre el tema</w:t>
      </w:r>
      <w:r w:rsidR="00D60AF2" w:rsidRPr="004535C6">
        <w:rPr>
          <w:rFonts w:eastAsia="Times New Roman" w:cs="Tahoma"/>
          <w:iCs/>
          <w:color w:val="auto"/>
          <w:lang w:val="es-ES" w:eastAsia="es-ES"/>
        </w:rPr>
        <w:t xml:space="preserve">, </w:t>
      </w:r>
      <w:r w:rsidR="00DD50AF" w:rsidRPr="004535C6">
        <w:rPr>
          <w:rFonts w:eastAsia="Times New Roman" w:cs="Tahoma"/>
          <w:iCs/>
          <w:color w:val="auto"/>
          <w:lang w:val="es-ES" w:eastAsia="es-ES"/>
        </w:rPr>
        <w:t>el artículo 2º, fracción III del Código Fiscal de la Federación, establece que las contribuciones de mejoras son aquellas a cargo de las personas físicas y morales que se beneficien de manera directa por obras públicas.</w:t>
      </w:r>
    </w:p>
    <w:p w14:paraId="25E3ACEE" w14:textId="77777777" w:rsidR="00DD50AF" w:rsidRPr="004535C6" w:rsidRDefault="00DD50AF" w:rsidP="00C60BFE">
      <w:pPr>
        <w:spacing w:after="0" w:line="360" w:lineRule="auto"/>
        <w:contextualSpacing/>
        <w:rPr>
          <w:rFonts w:eastAsia="Times New Roman" w:cs="Tahoma"/>
          <w:iCs/>
          <w:color w:val="auto"/>
          <w:lang w:val="es-ES" w:eastAsia="es-ES"/>
        </w:rPr>
      </w:pPr>
    </w:p>
    <w:p w14:paraId="17E1578B" w14:textId="3AA094E8" w:rsidR="00FA297B" w:rsidRPr="004535C6" w:rsidRDefault="00DD50AF" w:rsidP="00C60BFE">
      <w:pPr>
        <w:spacing w:after="0" w:line="360" w:lineRule="auto"/>
        <w:contextualSpacing/>
        <w:rPr>
          <w:rFonts w:eastAsia="Times New Roman" w:cs="Tahoma"/>
          <w:iCs/>
          <w:color w:val="auto"/>
          <w:lang w:val="es-ES" w:eastAsia="es-ES"/>
        </w:rPr>
      </w:pPr>
      <w:r w:rsidRPr="004535C6">
        <w:rPr>
          <w:rFonts w:eastAsia="Times New Roman" w:cs="Tahoma"/>
          <w:iCs/>
          <w:color w:val="auto"/>
          <w:lang w:val="es-ES" w:eastAsia="es-ES"/>
        </w:rPr>
        <w:t xml:space="preserve">Además, </w:t>
      </w:r>
      <w:r w:rsidR="008F121E" w:rsidRPr="004535C6">
        <w:rPr>
          <w:rFonts w:eastAsia="Times New Roman" w:cs="Tahoma"/>
          <w:iCs/>
          <w:color w:val="auto"/>
          <w:lang w:val="es-ES" w:eastAsia="es-ES"/>
        </w:rPr>
        <w:t xml:space="preserve">el artículo 9º, fracción III, del Código Financiero del Estado de México y Municipios, establece que las Contribuciones o Aportaciones de Mejoras, son aquellas a cargo de las </w:t>
      </w:r>
      <w:r w:rsidR="008F121E" w:rsidRPr="004535C6">
        <w:rPr>
          <w:rFonts w:eastAsia="Times New Roman" w:cs="Tahoma"/>
          <w:iCs/>
          <w:color w:val="auto"/>
          <w:lang w:val="es-ES" w:eastAsia="es-ES"/>
        </w:rPr>
        <w:lastRenderedPageBreak/>
        <w:t xml:space="preserve">personas físicas y jurídico colectivas, que con independencia de la utilidad </w:t>
      </w:r>
      <w:r w:rsidRPr="004535C6">
        <w:rPr>
          <w:rFonts w:eastAsia="Times New Roman" w:cs="Tahoma"/>
          <w:iCs/>
          <w:color w:val="auto"/>
          <w:lang w:val="es-ES" w:eastAsia="es-ES"/>
        </w:rPr>
        <w:t>general, obtengan un beneficio diferencial particular derivado de la realización de obras públicas o de acciones de beneficio social; así como, las que efectúen las personas a favor del Estado, para la realización de obras de impacto vial regional, que directa o indirecta las beneficien, así como, las derivadas de Servicios Ambientales o de Movilidad Sustentable.</w:t>
      </w:r>
    </w:p>
    <w:p w14:paraId="7619C18F" w14:textId="77777777" w:rsidR="00FA297B" w:rsidRPr="004535C6" w:rsidRDefault="00FA297B" w:rsidP="00C60BFE">
      <w:pPr>
        <w:spacing w:after="0" w:line="360" w:lineRule="auto"/>
        <w:contextualSpacing/>
        <w:rPr>
          <w:rFonts w:eastAsia="Times New Roman" w:cs="Tahoma"/>
          <w:iCs/>
          <w:color w:val="auto"/>
          <w:lang w:val="es-ES" w:eastAsia="es-ES"/>
        </w:rPr>
      </w:pPr>
    </w:p>
    <w:p w14:paraId="4CBE4A06" w14:textId="557ABBBB" w:rsidR="00FA297B" w:rsidRPr="004535C6" w:rsidRDefault="00DD50AF" w:rsidP="00C60BFE">
      <w:pPr>
        <w:spacing w:after="0" w:line="360" w:lineRule="auto"/>
        <w:contextualSpacing/>
      </w:pPr>
      <w:r w:rsidRPr="004535C6">
        <w:rPr>
          <w:rFonts w:eastAsia="Times New Roman" w:cs="Tahoma"/>
          <w:iCs/>
          <w:color w:val="auto"/>
          <w:lang w:val="es-ES" w:eastAsia="es-ES"/>
        </w:rPr>
        <w:t>En ese orden de ideas, el artículo 202 y 203 del Código referido, establece que están obligadas al pago de aportaciones de mejoras, las personas físicas o jurídicas colectivas</w:t>
      </w:r>
      <w:r w:rsidRPr="004535C6">
        <w:t>propietarias o poseedoras de bienes inmuebles ubicados dentro del área de beneficio, que obtengan beneficios diferenciales particulares derivados de la ejecución de la obra pública o acción de beneficio social, realizadas por el Estado, los Municipios o los organismos públicos descentralizados; mediante dichas contribuciones podrán realizarse obras públicas, tales como:</w:t>
      </w:r>
    </w:p>
    <w:p w14:paraId="0576E191" w14:textId="3153DBE2" w:rsidR="00DD50AF" w:rsidRPr="004535C6" w:rsidRDefault="00DD50AF" w:rsidP="00DD50AF">
      <w:pPr>
        <w:pStyle w:val="Prrafodelista"/>
        <w:numPr>
          <w:ilvl w:val="0"/>
          <w:numId w:val="10"/>
        </w:numPr>
        <w:spacing w:line="360" w:lineRule="auto"/>
        <w:rPr>
          <w:rFonts w:ascii="Palatino Linotype" w:hAnsi="Palatino Linotype"/>
        </w:rPr>
      </w:pPr>
      <w:r w:rsidRPr="004535C6">
        <w:rPr>
          <w:rFonts w:ascii="Palatino Linotype" w:hAnsi="Palatino Linotype"/>
        </w:rPr>
        <w:t>Introducción, ampliación y rehabilitación de sistemas de agua potable y drenaje;</w:t>
      </w:r>
    </w:p>
    <w:p w14:paraId="49CB451E" w14:textId="7107B22C" w:rsidR="00DD50AF" w:rsidRPr="004535C6" w:rsidRDefault="00DD50AF" w:rsidP="00DD50AF">
      <w:pPr>
        <w:pStyle w:val="Prrafodelista"/>
        <w:numPr>
          <w:ilvl w:val="0"/>
          <w:numId w:val="10"/>
        </w:numPr>
        <w:spacing w:line="360" w:lineRule="auto"/>
        <w:rPr>
          <w:rFonts w:ascii="Palatino Linotype" w:hAnsi="Palatino Linotype"/>
        </w:rPr>
      </w:pPr>
      <w:r w:rsidRPr="004535C6">
        <w:rPr>
          <w:rFonts w:ascii="Palatino Linotype" w:hAnsi="Palatino Linotype"/>
        </w:rPr>
        <w:t>Construcción, ampliación y rehabilitación de sistemas para el saneamiento del agua;</w:t>
      </w:r>
    </w:p>
    <w:p w14:paraId="1DC30120" w14:textId="7EC30DAE" w:rsidR="00DD50AF" w:rsidRPr="004535C6" w:rsidRDefault="00DD50AF" w:rsidP="00C60BFE">
      <w:pPr>
        <w:pStyle w:val="Prrafodelista"/>
        <w:numPr>
          <w:ilvl w:val="0"/>
          <w:numId w:val="10"/>
        </w:numPr>
        <w:spacing w:line="360" w:lineRule="auto"/>
        <w:rPr>
          <w:rFonts w:ascii="Palatino Linotype" w:hAnsi="Palatino Linotype"/>
        </w:rPr>
      </w:pPr>
      <w:r w:rsidRPr="004535C6">
        <w:rPr>
          <w:rFonts w:ascii="Palatino Linotype" w:hAnsi="Palatino Linotype"/>
        </w:rPr>
        <w:t>Urbanizaciones: Guarniciones y banquetas; así como, construcción, pavimentación, repavimentación o mantenimiento de calles, vialidades o caminos rurales;</w:t>
      </w:r>
    </w:p>
    <w:p w14:paraId="7DDF2745" w14:textId="7781C2F8" w:rsidR="00DD50AF" w:rsidRPr="004535C6" w:rsidRDefault="00DD50AF" w:rsidP="00C60BFE">
      <w:pPr>
        <w:pStyle w:val="Prrafodelista"/>
        <w:numPr>
          <w:ilvl w:val="0"/>
          <w:numId w:val="10"/>
        </w:numPr>
        <w:spacing w:line="360" w:lineRule="auto"/>
        <w:rPr>
          <w:rFonts w:ascii="Palatino Linotype" w:hAnsi="Palatino Linotype"/>
        </w:rPr>
      </w:pPr>
      <w:r w:rsidRPr="004535C6">
        <w:rPr>
          <w:rFonts w:ascii="Palatino Linotype" w:hAnsi="Palatino Linotype"/>
        </w:rPr>
        <w:t>Construcción o reparación de edificios públicos;</w:t>
      </w:r>
    </w:p>
    <w:p w14:paraId="4B3065CF" w14:textId="47DB4EDC" w:rsidR="00DD50AF" w:rsidRPr="004535C6" w:rsidRDefault="00C72C0F" w:rsidP="00C60BFE">
      <w:pPr>
        <w:pStyle w:val="Prrafodelista"/>
        <w:numPr>
          <w:ilvl w:val="0"/>
          <w:numId w:val="10"/>
        </w:numPr>
        <w:spacing w:line="360" w:lineRule="auto"/>
        <w:rPr>
          <w:rFonts w:ascii="Palatino Linotype" w:hAnsi="Palatino Linotype"/>
        </w:rPr>
      </w:pPr>
      <w:r w:rsidRPr="004535C6">
        <w:rPr>
          <w:rFonts w:ascii="Palatino Linotype" w:hAnsi="Palatino Linotype"/>
        </w:rPr>
        <w:t>Adquisición o expropiación de inmuebles para la ejecución de obras públicas o establecimiento de parques ecológicos;</w:t>
      </w:r>
    </w:p>
    <w:p w14:paraId="501C38AC" w14:textId="6B7EEDEF" w:rsidR="00C72C0F" w:rsidRPr="004535C6" w:rsidRDefault="00C72C0F" w:rsidP="00C60BFE">
      <w:pPr>
        <w:pStyle w:val="Prrafodelista"/>
        <w:numPr>
          <w:ilvl w:val="0"/>
          <w:numId w:val="10"/>
        </w:numPr>
        <w:spacing w:line="360" w:lineRule="auto"/>
        <w:rPr>
          <w:rFonts w:ascii="Palatino Linotype" w:hAnsi="Palatino Linotype"/>
        </w:rPr>
      </w:pPr>
      <w:r w:rsidRPr="004535C6">
        <w:rPr>
          <w:rFonts w:ascii="Palatino Linotype" w:hAnsi="Palatino Linotype"/>
        </w:rPr>
        <w:t>Adquisición de equipo para la prestación de servicios públicos, y</w:t>
      </w:r>
    </w:p>
    <w:p w14:paraId="261292A1" w14:textId="1EFF1342" w:rsidR="00C72C0F" w:rsidRPr="004535C6" w:rsidRDefault="00C72C0F" w:rsidP="00C60BFE">
      <w:pPr>
        <w:pStyle w:val="Prrafodelista"/>
        <w:numPr>
          <w:ilvl w:val="0"/>
          <w:numId w:val="10"/>
        </w:numPr>
        <w:spacing w:line="360" w:lineRule="auto"/>
        <w:rPr>
          <w:rFonts w:ascii="Palatino Linotype" w:hAnsi="Palatino Linotype"/>
        </w:rPr>
      </w:pPr>
      <w:r w:rsidRPr="004535C6">
        <w:rPr>
          <w:rFonts w:ascii="Palatino Linotype" w:hAnsi="Palatino Linotype"/>
        </w:rPr>
        <w:t>Cualquier obra pública de beneficio social.</w:t>
      </w:r>
    </w:p>
    <w:p w14:paraId="1F385672" w14:textId="77777777" w:rsidR="00DD50AF" w:rsidRPr="004535C6" w:rsidRDefault="00DD50AF" w:rsidP="00C60BFE">
      <w:pPr>
        <w:spacing w:after="0" w:line="360" w:lineRule="auto"/>
        <w:contextualSpacing/>
        <w:rPr>
          <w:rFonts w:eastAsia="Times New Roman" w:cs="Tahoma"/>
          <w:iCs/>
          <w:color w:val="auto"/>
          <w:lang w:val="es-ES" w:eastAsia="es-ES"/>
        </w:rPr>
      </w:pPr>
    </w:p>
    <w:p w14:paraId="01453DE2" w14:textId="77777777" w:rsidR="00573A5F" w:rsidRPr="004535C6" w:rsidRDefault="00C72C0F" w:rsidP="00C72C0F">
      <w:pPr>
        <w:spacing w:after="0" w:line="360" w:lineRule="auto"/>
        <w:contextualSpacing/>
        <w:rPr>
          <w:rFonts w:eastAsia="Times New Roman" w:cs="Tahoma"/>
          <w:iCs/>
          <w:color w:val="auto"/>
          <w:lang w:val="es-ES" w:eastAsia="es-ES"/>
        </w:rPr>
      </w:pPr>
      <w:r w:rsidRPr="004535C6">
        <w:rPr>
          <w:rFonts w:eastAsia="Times New Roman" w:cs="Tahoma"/>
          <w:iCs/>
          <w:color w:val="auto"/>
          <w:lang w:val="es-ES" w:eastAsia="es-ES"/>
        </w:rPr>
        <w:t>En esa misma consecución de ideas el artículo 1º de la Ley de Ingresos de los Municipios del Estado de México para el Ejercicio Fiscal dos mil veinticuatro</w:t>
      </w:r>
      <w:r w:rsidR="00573A5F" w:rsidRPr="004535C6">
        <w:rPr>
          <w:rFonts w:eastAsia="Times New Roman" w:cs="Tahoma"/>
          <w:iCs/>
          <w:color w:val="auto"/>
          <w:lang w:val="es-ES" w:eastAsia="es-ES"/>
        </w:rPr>
        <w:t xml:space="preserve">, precisan los ingresos que puede recibir los Ayuntamientos, entre los cuales se encuentran los </w:t>
      </w:r>
    </w:p>
    <w:p w14:paraId="02560FD6" w14:textId="77777777" w:rsidR="00573A5F" w:rsidRPr="004535C6" w:rsidRDefault="00573A5F" w:rsidP="00573A5F">
      <w:pPr>
        <w:spacing w:after="0" w:line="360" w:lineRule="auto"/>
        <w:contextualSpacing/>
        <w:rPr>
          <w:rFonts w:eastAsia="Times New Roman" w:cs="Tahoma"/>
          <w:iCs/>
          <w:color w:val="auto"/>
          <w:lang w:val="es-ES" w:eastAsia="es-ES"/>
        </w:rPr>
      </w:pPr>
    </w:p>
    <w:p w14:paraId="5BEFE4FA" w14:textId="77777777"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 xml:space="preserve">Impuestos; </w:t>
      </w:r>
    </w:p>
    <w:p w14:paraId="31959D36" w14:textId="77777777"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lastRenderedPageBreak/>
        <w:t xml:space="preserve">Cuotas y aportaciones de seguridad social; </w:t>
      </w:r>
    </w:p>
    <w:p w14:paraId="70890418" w14:textId="77777777"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contribuciones de mejoras;</w:t>
      </w:r>
    </w:p>
    <w:p w14:paraId="354ADD71" w14:textId="77777777"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Derechos, productos y aprovechamientos;</w:t>
      </w:r>
    </w:p>
    <w:p w14:paraId="08CEF4DE" w14:textId="77777777"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Ingresos por venta de bienes y prestación de servicios y otros ingresos;</w:t>
      </w:r>
    </w:p>
    <w:p w14:paraId="7225FF95" w14:textId="77777777"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 xml:space="preserve">Participaciones, aportaciones, convenios, incentivos, fondos, </w:t>
      </w:r>
    </w:p>
    <w:p w14:paraId="6AC9DDDA" w14:textId="027C6868"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Transferencias, agnaciones, subsidios, subvenciones, pensiones y jubilaciones;</w:t>
      </w:r>
    </w:p>
    <w:p w14:paraId="0AB48DA6" w14:textId="44E4072F" w:rsidR="00573A5F" w:rsidRPr="004535C6" w:rsidRDefault="00573A5F" w:rsidP="00573A5F">
      <w:pPr>
        <w:pStyle w:val="Prrafodelista"/>
        <w:numPr>
          <w:ilvl w:val="0"/>
          <w:numId w:val="11"/>
        </w:numPr>
        <w:spacing w:line="360" w:lineRule="auto"/>
        <w:jc w:val="both"/>
        <w:rPr>
          <w:rFonts w:ascii="Palatino Linotype" w:hAnsi="Palatino Linotype" w:cs="Tahoma"/>
          <w:iCs/>
          <w:lang w:val="es-ES"/>
        </w:rPr>
      </w:pPr>
      <w:r w:rsidRPr="004535C6">
        <w:rPr>
          <w:rFonts w:ascii="Palatino Linotype" w:hAnsi="Palatino Linotype" w:cs="Tahoma"/>
          <w:iCs/>
          <w:lang w:val="es-ES"/>
        </w:rPr>
        <w:t>Ingresos derivados de financiamientos.</w:t>
      </w:r>
    </w:p>
    <w:p w14:paraId="5E00660E" w14:textId="349EE94E" w:rsidR="00232C90" w:rsidRPr="004535C6" w:rsidRDefault="00232C90" w:rsidP="00C60BFE">
      <w:pPr>
        <w:spacing w:after="0" w:line="360" w:lineRule="auto"/>
        <w:contextualSpacing/>
        <w:rPr>
          <w:rFonts w:eastAsia="Times New Roman" w:cs="Tahoma"/>
          <w:iCs/>
          <w:color w:val="auto"/>
          <w:lang w:val="es-ES" w:eastAsia="es-ES"/>
        </w:rPr>
      </w:pPr>
    </w:p>
    <w:p w14:paraId="10692CDA" w14:textId="1CDC51B9" w:rsidR="00573A5F" w:rsidRPr="004535C6" w:rsidRDefault="00573A5F" w:rsidP="00C60BFE">
      <w:pPr>
        <w:spacing w:after="0" w:line="360" w:lineRule="auto"/>
        <w:contextualSpacing/>
        <w:rPr>
          <w:rFonts w:eastAsia="Times New Roman" w:cs="Tahoma"/>
          <w:iCs/>
          <w:color w:val="auto"/>
          <w:lang w:val="es-ES" w:eastAsia="es-ES"/>
        </w:rPr>
      </w:pPr>
      <w:r w:rsidRPr="004535C6">
        <w:rPr>
          <w:rFonts w:eastAsia="Times New Roman" w:cs="Tahoma"/>
          <w:iCs/>
          <w:color w:val="auto"/>
          <w:lang w:val="es-ES" w:eastAsia="es-ES"/>
        </w:rPr>
        <w:t>Conforme a lo anterior, se logra vislumbrar que los Ayuntamientos únicamente pueden recabar y recaudar los ingresos establecidos en el Código Financiero del Estado de México, con relación a la Ley de Ingresos de los Municipios del Estado de México, emitida para cada ejercicio fiscal, entre las cuales se encuentran las aportaciones de mejoras.</w:t>
      </w:r>
    </w:p>
    <w:p w14:paraId="0DF23FBC" w14:textId="77777777" w:rsidR="00573A5F" w:rsidRPr="004535C6" w:rsidRDefault="00573A5F" w:rsidP="00573A5F">
      <w:pPr>
        <w:spacing w:after="0" w:line="360" w:lineRule="auto"/>
        <w:contextualSpacing/>
        <w:rPr>
          <w:rFonts w:eastAsia="Times New Roman" w:cs="Tahoma"/>
          <w:iCs/>
          <w:color w:val="auto"/>
          <w:lang w:val="es-ES" w:eastAsia="es-ES"/>
        </w:rPr>
      </w:pPr>
      <w:r w:rsidRPr="004535C6">
        <w:t xml:space="preserve">Ahora bien, respecto al trámite solicitado, el </w:t>
      </w:r>
      <w:r w:rsidRPr="004535C6">
        <w:rPr>
          <w:rFonts w:eastAsia="Times New Roman" w:cs="Tahoma"/>
          <w:iCs/>
          <w:color w:val="auto"/>
          <w:lang w:val="es-ES" w:eastAsia="es-ES"/>
        </w:rPr>
        <w:t xml:space="preserve">artículo 28 del Reglamento de la Dirección de Desarrollo Urbano y Ecología del Municipio de Texcoco, refiere que dicha Dirección se encarga de expedir entre otras cosas la </w:t>
      </w:r>
      <w:r w:rsidRPr="004535C6">
        <w:t>Constancia de Alineamiento y Número Oficial.</w:t>
      </w:r>
    </w:p>
    <w:p w14:paraId="2183D56F" w14:textId="77777777" w:rsidR="00573A5F" w:rsidRPr="004535C6" w:rsidRDefault="00573A5F" w:rsidP="00573A5F">
      <w:pPr>
        <w:spacing w:after="0" w:line="360" w:lineRule="auto"/>
        <w:contextualSpacing/>
        <w:rPr>
          <w:rFonts w:eastAsia="Times New Roman" w:cs="Tahoma"/>
          <w:iCs/>
          <w:color w:val="auto"/>
          <w:lang w:val="es-ES" w:eastAsia="es-ES"/>
        </w:rPr>
      </w:pPr>
    </w:p>
    <w:p w14:paraId="599FB766" w14:textId="77777777" w:rsidR="00573A5F" w:rsidRPr="004535C6" w:rsidRDefault="00573A5F" w:rsidP="00573A5F">
      <w:pPr>
        <w:spacing w:after="0" w:line="360" w:lineRule="auto"/>
        <w:contextualSpacing/>
      </w:pPr>
      <w:r w:rsidRPr="004535C6">
        <w:rPr>
          <w:rFonts w:eastAsia="Times New Roman" w:cs="Tahoma"/>
          <w:iCs/>
          <w:color w:val="auto"/>
          <w:lang w:val="es-ES" w:eastAsia="es-ES"/>
        </w:rPr>
        <w:t xml:space="preserve">Por parte el artículo 39 del Reglamento previamente referido establece que, la </w:t>
      </w:r>
      <w:r w:rsidRPr="004535C6">
        <w:rPr>
          <w:rFonts w:eastAsia="Times New Roman" w:cs="Tahoma"/>
          <w:b/>
          <w:bCs/>
          <w:iCs/>
          <w:color w:val="auto"/>
          <w:lang w:val="es-ES" w:eastAsia="es-ES"/>
        </w:rPr>
        <w:t xml:space="preserve">constancia de alineamiento </w:t>
      </w:r>
      <w:r w:rsidRPr="004535C6">
        <w:t xml:space="preserve">tiene por objeto delimitar la colindancia de un inmueble determinado con respecto a la vía pública adyacente; así como precisar las restricciones de construcción, mientras la </w:t>
      </w:r>
      <w:r w:rsidRPr="004535C6">
        <w:rPr>
          <w:b/>
          <w:bCs/>
        </w:rPr>
        <w:t xml:space="preserve">constancia de número oficial </w:t>
      </w:r>
      <w:r w:rsidRPr="004535C6">
        <w:t>tiene por objeto la identificación de un predio o inmueble con frente a la vía pública, de forma ordenada y consecutiva numéricamente hablando, el cual es asignado por la Dirección de acuerdo con su posición. Dichas constancias, podrán ser actualizadas para fines administrativos o bien para gestionar o complementar cualquier otro trámite municipal, estatal o federal.</w:t>
      </w:r>
    </w:p>
    <w:p w14:paraId="13858012" w14:textId="5F4BA71C" w:rsidR="00573A5F" w:rsidRPr="004535C6" w:rsidRDefault="00573A5F" w:rsidP="00C60BFE">
      <w:pPr>
        <w:spacing w:after="0" w:line="360" w:lineRule="auto"/>
        <w:contextualSpacing/>
      </w:pPr>
    </w:p>
    <w:p w14:paraId="3D724906" w14:textId="0E00A920" w:rsidR="00573A5F" w:rsidRPr="004535C6" w:rsidRDefault="00573A5F" w:rsidP="00C60BFE">
      <w:pPr>
        <w:spacing w:after="0" w:line="360" w:lineRule="auto"/>
        <w:contextualSpacing/>
      </w:pPr>
      <w:r w:rsidRPr="004535C6">
        <w:t xml:space="preserve">Lo cual, toma relevancia con el Registro Municipal de Trámites y Servicios de Texcoco, relacionada con la Cédula de Información del Trámite denominado “Alineamiento y número </w:t>
      </w:r>
      <w:r w:rsidRPr="004535C6">
        <w:lastRenderedPageBreak/>
        <w:t>oficial”, que es el documento expedido por la Dirección de Desarrollo Urbano y Ecología, que tiene por objeto delimitar la colindancia de un inmueble determinado con respecto a la vía pública adyacente, así como, precisar sus restricciones de construcción y el número oficial que le corresponde.</w:t>
      </w:r>
    </w:p>
    <w:p w14:paraId="2458DC16" w14:textId="77777777" w:rsidR="0020212C" w:rsidRPr="004535C6" w:rsidRDefault="0020212C" w:rsidP="00C60BFE">
      <w:pPr>
        <w:spacing w:after="0" w:line="360" w:lineRule="auto"/>
        <w:contextualSpacing/>
        <w:rPr>
          <w:rFonts w:eastAsia="Times New Roman" w:cs="Tahoma"/>
          <w:iCs/>
          <w:color w:val="auto"/>
          <w:lang w:val="es-ES" w:eastAsia="es-ES"/>
        </w:rPr>
      </w:pPr>
    </w:p>
    <w:p w14:paraId="02F73F74" w14:textId="06EE4799" w:rsidR="00843EC0" w:rsidRPr="004535C6" w:rsidRDefault="00FC2C3C" w:rsidP="00C60BFE">
      <w:pPr>
        <w:spacing w:after="0" w:line="360" w:lineRule="auto"/>
        <w:rPr>
          <w:rFonts w:eastAsia="Palatino Linotype" w:cs="Palatino Linotype"/>
          <w:color w:val="auto"/>
        </w:rPr>
      </w:pPr>
      <w:bookmarkStart w:id="1" w:name="_Hlk175836334"/>
      <w:r w:rsidRPr="004535C6">
        <w:rPr>
          <w:color w:val="auto"/>
        </w:rPr>
        <w:t>Conforme a lo anterior, se logra vislumbrar que la pretensión del ahora Recurrente es obtener</w:t>
      </w:r>
      <w:r w:rsidRPr="004535C6">
        <w:rPr>
          <w:rFonts w:eastAsia="Palatino Linotype" w:cs="Palatino Linotype"/>
          <w:color w:val="auto"/>
        </w:rPr>
        <w:t xml:space="preserve"> </w:t>
      </w:r>
      <w:r w:rsidR="00843EC0" w:rsidRPr="004535C6">
        <w:rPr>
          <w:rFonts w:eastAsia="Palatino Linotype" w:cs="Palatino Linotype"/>
          <w:color w:val="auto"/>
        </w:rPr>
        <w:t xml:space="preserve">el documento </w:t>
      </w:r>
      <w:r w:rsidR="00BD3EFC" w:rsidRPr="004535C6">
        <w:rPr>
          <w:rFonts w:eastAsia="Palatino Linotype" w:cs="Palatino Linotype"/>
          <w:color w:val="auto"/>
        </w:rPr>
        <w:t xml:space="preserve">que establezca que la Dirección de </w:t>
      </w:r>
      <w:r w:rsidR="00BD3EFC" w:rsidRPr="004535C6">
        <w:rPr>
          <w:rFonts w:eastAsia="Times New Roman" w:cs="Tahoma"/>
          <w:iCs/>
          <w:color w:val="auto"/>
          <w:lang w:val="es-ES" w:eastAsia="es-ES"/>
        </w:rPr>
        <w:t>Desarrollo Urbano y Ecología</w:t>
      </w:r>
      <w:r w:rsidR="00CB1854" w:rsidRPr="004535C6">
        <w:rPr>
          <w:rFonts w:eastAsia="Times New Roman" w:cs="Tahoma"/>
          <w:iCs/>
          <w:color w:val="auto"/>
          <w:lang w:val="es-ES" w:eastAsia="es-ES"/>
        </w:rPr>
        <w:t xml:space="preserve"> cuenta con atribución para cobrar aportaciones de mejora</w:t>
      </w:r>
      <w:r w:rsidR="00B749F3" w:rsidRPr="004535C6">
        <w:rPr>
          <w:rFonts w:eastAsia="Times New Roman" w:cs="Tahoma"/>
          <w:iCs/>
          <w:color w:val="auto"/>
          <w:lang w:val="es-ES" w:eastAsia="es-ES"/>
        </w:rPr>
        <w:t>s dentro del trámite</w:t>
      </w:r>
      <w:r w:rsidR="00BA6276" w:rsidRPr="004535C6">
        <w:rPr>
          <w:rFonts w:eastAsia="Times New Roman" w:cs="Tahoma"/>
          <w:iCs/>
          <w:color w:val="auto"/>
          <w:lang w:val="es-ES" w:eastAsia="es-ES"/>
        </w:rPr>
        <w:t xml:space="preserve"> </w:t>
      </w:r>
      <w:r w:rsidR="00B41DEB" w:rsidRPr="004535C6">
        <w:rPr>
          <w:rFonts w:eastAsia="Times New Roman" w:cs="Tahoma"/>
          <w:iCs/>
          <w:color w:val="auto"/>
          <w:lang w:val="es-ES" w:eastAsia="es-ES"/>
        </w:rPr>
        <w:t>de Alineamiento</w:t>
      </w:r>
      <w:r w:rsidR="00BA6276" w:rsidRPr="004535C6">
        <w:rPr>
          <w:rFonts w:eastAsia="Times New Roman" w:cs="Tahoma"/>
          <w:iCs/>
          <w:color w:val="auto"/>
          <w:lang w:val="es-ES" w:eastAsia="es-ES"/>
        </w:rPr>
        <w:t xml:space="preserve"> y Numero Oficial. </w:t>
      </w:r>
    </w:p>
    <w:bookmarkEnd w:id="1"/>
    <w:p w14:paraId="02190401" w14:textId="77777777" w:rsidR="009349D6" w:rsidRPr="004535C6" w:rsidRDefault="009349D6" w:rsidP="00C60BFE">
      <w:pPr>
        <w:spacing w:after="0" w:line="360" w:lineRule="auto"/>
        <w:rPr>
          <w:rFonts w:cs="Tahoma"/>
          <w:color w:val="FF0000"/>
        </w:rPr>
      </w:pPr>
    </w:p>
    <w:p w14:paraId="6125C708" w14:textId="5AB506C0" w:rsidR="009349D6" w:rsidRPr="004535C6" w:rsidRDefault="009349D6" w:rsidP="00C60BFE">
      <w:pPr>
        <w:spacing w:after="0" w:line="360" w:lineRule="auto"/>
        <w:ind w:right="-93"/>
        <w:rPr>
          <w:color w:val="auto"/>
        </w:rPr>
      </w:pPr>
      <w:r w:rsidRPr="004535C6">
        <w:rPr>
          <w:color w:val="auto"/>
        </w:rPr>
        <w:t xml:space="preserve">Ahora bien, se procede analizar la información proporcionada por el Sujeto Obligado, para lo cual, cabe señalar que, turnó la solicitud de información, a </w:t>
      </w:r>
      <w:r w:rsidR="009A6BA6" w:rsidRPr="004535C6">
        <w:rPr>
          <w:color w:val="auto"/>
        </w:rPr>
        <w:t xml:space="preserve">la </w:t>
      </w:r>
      <w:r w:rsidR="000F7757" w:rsidRPr="004535C6">
        <w:rPr>
          <w:rFonts w:eastAsia="Palatino Linotype" w:cs="Palatino Linotype"/>
          <w:b/>
          <w:bCs/>
          <w:color w:val="auto"/>
        </w:rPr>
        <w:t xml:space="preserve">Dirección de </w:t>
      </w:r>
      <w:r w:rsidR="000F7757" w:rsidRPr="004535C6">
        <w:rPr>
          <w:rFonts w:eastAsia="Times New Roman" w:cs="Tahoma"/>
          <w:b/>
          <w:bCs/>
          <w:iCs/>
          <w:color w:val="auto"/>
          <w:lang w:val="es-ES" w:eastAsia="es-ES"/>
        </w:rPr>
        <w:t>Desarrollo Urbano y Ecología</w:t>
      </w:r>
      <w:r w:rsidRPr="004535C6">
        <w:rPr>
          <w:color w:val="auto"/>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D7834D2" w14:textId="77777777" w:rsidR="009349D6" w:rsidRPr="004535C6" w:rsidRDefault="009349D6" w:rsidP="00C60BFE">
      <w:pPr>
        <w:spacing w:after="0" w:line="360" w:lineRule="auto"/>
        <w:ind w:right="-93"/>
        <w:rPr>
          <w:color w:val="FF0000"/>
        </w:rPr>
      </w:pPr>
    </w:p>
    <w:p w14:paraId="08F91077" w14:textId="77777777" w:rsidR="00AC6D1E" w:rsidRPr="004535C6" w:rsidRDefault="00AC6D1E" w:rsidP="00DD66A0">
      <w:pPr>
        <w:numPr>
          <w:ilvl w:val="0"/>
          <w:numId w:val="1"/>
        </w:numPr>
        <w:spacing w:after="0" w:line="360" w:lineRule="auto"/>
        <w:rPr>
          <w:rFonts w:eastAsia="Calibri" w:cs="Times New Roman"/>
          <w:bCs/>
          <w:color w:val="auto"/>
          <w:lang w:val="es-ES"/>
        </w:rPr>
      </w:pPr>
      <w:r w:rsidRPr="004535C6">
        <w:rPr>
          <w:rFonts w:eastAsia="Calibri" w:cs="Times New Roman"/>
          <w:bCs/>
          <w:color w:val="auto"/>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5F951BD" w14:textId="77777777" w:rsidR="00AC6D1E" w:rsidRPr="004535C6" w:rsidRDefault="00AC6D1E" w:rsidP="00C60BFE">
      <w:pPr>
        <w:spacing w:after="0" w:line="360" w:lineRule="auto"/>
        <w:ind w:left="720"/>
        <w:rPr>
          <w:rFonts w:eastAsia="Calibri" w:cs="Times New Roman"/>
          <w:bCs/>
          <w:color w:val="auto"/>
          <w:lang w:val="es-ES"/>
        </w:rPr>
      </w:pPr>
    </w:p>
    <w:p w14:paraId="58C19574" w14:textId="77777777" w:rsidR="00AC6D1E" w:rsidRPr="004535C6" w:rsidRDefault="00AC6D1E" w:rsidP="00DD66A0">
      <w:pPr>
        <w:numPr>
          <w:ilvl w:val="0"/>
          <w:numId w:val="1"/>
        </w:numPr>
        <w:spacing w:after="0" w:line="360" w:lineRule="auto"/>
        <w:rPr>
          <w:rFonts w:eastAsia="Calibri" w:cs="Times New Roman"/>
          <w:bCs/>
          <w:color w:val="auto"/>
          <w:lang w:val="es-ES"/>
        </w:rPr>
      </w:pPr>
      <w:r w:rsidRPr="004535C6">
        <w:rPr>
          <w:rFonts w:eastAsia="Calibri" w:cs="Times New Roman"/>
          <w:bCs/>
          <w:color w:val="auto"/>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DDCB103" w14:textId="77777777" w:rsidR="00357119" w:rsidRPr="004535C6" w:rsidRDefault="00357119" w:rsidP="00C60BFE">
      <w:pPr>
        <w:spacing w:after="0" w:line="360" w:lineRule="auto"/>
        <w:ind w:right="-93"/>
        <w:rPr>
          <w:color w:val="FF0000"/>
        </w:rPr>
      </w:pPr>
    </w:p>
    <w:p w14:paraId="4312F639" w14:textId="71C5BDD5" w:rsidR="001958C1" w:rsidRPr="004535C6" w:rsidRDefault="009A6BA6" w:rsidP="00C60BFE">
      <w:pPr>
        <w:spacing w:after="0" w:line="360" w:lineRule="auto"/>
        <w:ind w:right="-93"/>
        <w:rPr>
          <w:color w:val="auto"/>
        </w:rPr>
      </w:pPr>
      <w:r w:rsidRPr="004535C6">
        <w:rPr>
          <w:color w:val="auto"/>
        </w:rPr>
        <w:t>Conforme a lo establecido en párrafos posteriores</w:t>
      </w:r>
      <w:r w:rsidR="00B27FD3" w:rsidRPr="004535C6">
        <w:rPr>
          <w:color w:val="auto"/>
        </w:rPr>
        <w:t xml:space="preserve">, se advierte que el Sujeto </w:t>
      </w:r>
      <w:r w:rsidR="001958C1" w:rsidRPr="004535C6">
        <w:rPr>
          <w:color w:val="auto"/>
        </w:rPr>
        <w:t xml:space="preserve">Obligado </w:t>
      </w:r>
      <w:r w:rsidR="00B27FD3" w:rsidRPr="004535C6">
        <w:rPr>
          <w:color w:val="auto"/>
        </w:rPr>
        <w:t>cumplió con el procedimiento de búsqueda previsto en el artículo 162 de la Ley de Transparencia y Acceso a la Información Pública del Estado de México y Municipios, toda vez que</w:t>
      </w:r>
      <w:r w:rsidR="001958C1" w:rsidRPr="004535C6">
        <w:rPr>
          <w:color w:val="auto"/>
        </w:rPr>
        <w:t xml:space="preserve"> </w:t>
      </w:r>
      <w:r w:rsidR="00B749F3" w:rsidRPr="004535C6">
        <w:rPr>
          <w:color w:val="auto"/>
        </w:rPr>
        <w:t>t</w:t>
      </w:r>
      <w:r w:rsidR="001958C1" w:rsidRPr="004535C6">
        <w:rPr>
          <w:color w:val="auto"/>
        </w:rPr>
        <w:t>urno</w:t>
      </w:r>
      <w:r w:rsidR="00B27FD3" w:rsidRPr="004535C6">
        <w:rPr>
          <w:color w:val="auto"/>
        </w:rPr>
        <w:t xml:space="preserve"> la solicitud de información al área encargada </w:t>
      </w:r>
      <w:r w:rsidR="00B749F3" w:rsidRPr="004535C6">
        <w:rPr>
          <w:color w:val="auto"/>
        </w:rPr>
        <w:t>de realizar el trámite referido en la solitud.</w:t>
      </w:r>
    </w:p>
    <w:p w14:paraId="3D0FFA83" w14:textId="77777777" w:rsidR="00B27FD3" w:rsidRPr="004535C6" w:rsidRDefault="00B27FD3" w:rsidP="00C60BFE">
      <w:pPr>
        <w:spacing w:after="0" w:line="360" w:lineRule="auto"/>
        <w:ind w:right="-93"/>
        <w:rPr>
          <w:color w:val="FF0000"/>
        </w:rPr>
      </w:pPr>
    </w:p>
    <w:p w14:paraId="057AC537" w14:textId="64304C08" w:rsidR="00B749F3" w:rsidRPr="004535C6" w:rsidRDefault="009D24D5" w:rsidP="00AE374A">
      <w:pPr>
        <w:spacing w:after="0" w:line="360" w:lineRule="auto"/>
        <w:ind w:right="-28"/>
        <w:rPr>
          <w:color w:val="auto"/>
        </w:rPr>
      </w:pPr>
      <w:r w:rsidRPr="004535C6">
        <w:rPr>
          <w:color w:val="auto"/>
        </w:rPr>
        <w:t>Ahora bien, en respuesta</w:t>
      </w:r>
      <w:r w:rsidR="00932698" w:rsidRPr="004535C6">
        <w:rPr>
          <w:color w:val="auto"/>
        </w:rPr>
        <w:t xml:space="preserve"> </w:t>
      </w:r>
      <w:r w:rsidR="00E1629E" w:rsidRPr="004535C6">
        <w:rPr>
          <w:color w:val="auto"/>
        </w:rPr>
        <w:t xml:space="preserve">el Sujeto Obligado refirió que </w:t>
      </w:r>
      <w:r w:rsidR="00E1629E" w:rsidRPr="004535C6">
        <w:rPr>
          <w:rFonts w:cs="Tahoma"/>
          <w:bCs/>
          <w:iCs/>
          <w:color w:val="auto"/>
          <w:lang w:val="es-ES"/>
        </w:rPr>
        <w:t xml:space="preserve">refirió que después de </w:t>
      </w:r>
      <w:r w:rsidR="00E1629E" w:rsidRPr="004535C6">
        <w:rPr>
          <w:color w:val="auto"/>
        </w:rPr>
        <w:t xml:space="preserve">una búsqueda minuciosa en las leyes y reglamentos correspondientes en materia urbana, no </w:t>
      </w:r>
      <w:r w:rsidR="00B749F3" w:rsidRPr="004535C6">
        <w:rPr>
          <w:color w:val="auto"/>
        </w:rPr>
        <w:t>se había localizado</w:t>
      </w:r>
      <w:r w:rsidR="00E1629E" w:rsidRPr="004535C6">
        <w:rPr>
          <w:color w:val="auto"/>
        </w:rPr>
        <w:t xml:space="preserve"> un apartado específico por el concepto de </w:t>
      </w:r>
      <w:r w:rsidR="00B749F3" w:rsidRPr="004535C6">
        <w:rPr>
          <w:color w:val="auto"/>
        </w:rPr>
        <w:t xml:space="preserve">aportaciones de mejoras, pues los ingresos que podría cobrar el área, se localizaban en el artículo 144 del Código Financiero del Estado de México y Municipios, de cuya revisión se logra vislumbrar </w:t>
      </w:r>
      <w:r w:rsidR="00F76DDA" w:rsidRPr="004535C6">
        <w:rPr>
          <w:color w:val="auto"/>
        </w:rPr>
        <w:t>que dicha área únicamente puede cobrar derechos por las siguientes circunstancias:</w:t>
      </w:r>
    </w:p>
    <w:p w14:paraId="0CC58589" w14:textId="77777777" w:rsidR="00F76DDA" w:rsidRPr="004535C6" w:rsidRDefault="00F76DDA" w:rsidP="00AE374A">
      <w:pPr>
        <w:spacing w:after="0" w:line="360" w:lineRule="auto"/>
        <w:ind w:right="-28"/>
        <w:rPr>
          <w:color w:val="auto"/>
        </w:rPr>
      </w:pPr>
    </w:p>
    <w:p w14:paraId="78DB0DF2" w14:textId="2AAA48E6" w:rsidR="00F76DDA" w:rsidRPr="004535C6" w:rsidRDefault="00F76DDA" w:rsidP="00F76DDA">
      <w:pPr>
        <w:pStyle w:val="Prrafodelista"/>
        <w:numPr>
          <w:ilvl w:val="0"/>
          <w:numId w:val="12"/>
        </w:numPr>
        <w:spacing w:line="360" w:lineRule="auto"/>
        <w:ind w:right="-28"/>
        <w:rPr>
          <w:rFonts w:ascii="Palatino Linotype" w:hAnsi="Palatino Linotype"/>
        </w:rPr>
      </w:pPr>
      <w:r w:rsidRPr="004535C6">
        <w:rPr>
          <w:rFonts w:ascii="Palatino Linotype" w:hAnsi="Palatino Linotype"/>
        </w:rPr>
        <w:t>Expedición de licencias municipales de construcción;</w:t>
      </w:r>
    </w:p>
    <w:p w14:paraId="6F3B7439" w14:textId="7F29FA60" w:rsidR="00F76DDA" w:rsidRPr="004535C6" w:rsidRDefault="00F76DDA" w:rsidP="00F76DDA">
      <w:pPr>
        <w:pStyle w:val="Prrafodelista"/>
        <w:numPr>
          <w:ilvl w:val="0"/>
          <w:numId w:val="12"/>
        </w:numPr>
        <w:spacing w:line="360" w:lineRule="auto"/>
        <w:ind w:right="-28"/>
        <w:rPr>
          <w:rFonts w:ascii="Palatino Linotype" w:hAnsi="Palatino Linotype"/>
        </w:rPr>
      </w:pPr>
      <w:r w:rsidRPr="004535C6">
        <w:rPr>
          <w:rFonts w:ascii="Palatino Linotype" w:hAnsi="Palatino Linotype"/>
        </w:rPr>
        <w:t>Autorización de servicios relacionados con demoliciones, excavaciones, construcción de bardas, cambio de edificios al régimen de condominios, constancias de terminación de obras;</w:t>
      </w:r>
    </w:p>
    <w:p w14:paraId="4F58D313" w14:textId="5A19F6FD" w:rsidR="00F76DDA" w:rsidRPr="004535C6" w:rsidRDefault="00F76DDA" w:rsidP="00E21437">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Autorización de la subrogación de los derechos de titularidad de un conjunto urbano, subdivisión o condominio;</w:t>
      </w:r>
    </w:p>
    <w:p w14:paraId="78DFF0AB" w14:textId="02693524" w:rsidR="00F76DDA" w:rsidRPr="004535C6" w:rsidRDefault="00F76DDA" w:rsidP="00E21437">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Autorización de relotificación de conjuntos urbanos, subdivisiones o condominios;</w:t>
      </w:r>
    </w:p>
    <w:p w14:paraId="3AC71C5B" w14:textId="7E42DDCB" w:rsidR="00F76DDA" w:rsidRPr="004535C6" w:rsidRDefault="00F76DDA" w:rsidP="00F76DDA">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Autorización</w:t>
      </w:r>
      <w:r w:rsidRPr="004535C6">
        <w:t xml:space="preserve"> </w:t>
      </w:r>
      <w:r w:rsidRPr="004535C6">
        <w:rPr>
          <w:rFonts w:ascii="Palatino Linotype" w:hAnsi="Palatino Linotype"/>
        </w:rPr>
        <w:t>para realizar obras de modificación, rotura o corte de pavimento o concreto en calles, guarniciones y banquetas para llevar a cabo obras o instalaciones subterráneas;</w:t>
      </w:r>
    </w:p>
    <w:p w14:paraId="4DD80794" w14:textId="0349F7C8"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Instalación, tendido de cables y/o tuberías subterráneas o aéreas en la vía pública;</w:t>
      </w:r>
    </w:p>
    <w:p w14:paraId="4B1A9769" w14:textId="76E32734"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Por los servicios prestados por las dependencias y entidades públicas relativos a la supervisión necesaria para la ejecución de obra pública;</w:t>
      </w:r>
    </w:p>
    <w:p w14:paraId="2907F4F5" w14:textId="08AFD5E9"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Por la expedición de licencias de uso de suelo;</w:t>
      </w:r>
    </w:p>
    <w:p w14:paraId="1CC77B6A" w14:textId="3405BE88"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lastRenderedPageBreak/>
        <w:t>Para el lineamiento y número oficial cuando este no se incluya en la licencia de uso de suelo, así como el uso general del suelo en centros de población; así como, para la asignación de número oficial;</w:t>
      </w:r>
    </w:p>
    <w:p w14:paraId="3D39F97B" w14:textId="1D80BF69"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Autorización de cambios de uso de suelo, de densidad e intensidad;</w:t>
      </w:r>
    </w:p>
    <w:p w14:paraId="67399658" w14:textId="3F7DF382"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Expedición de cédulas informativas de zonificación, y</w:t>
      </w:r>
    </w:p>
    <w:p w14:paraId="661E8531" w14:textId="674D1FA4" w:rsidR="00F76DDA" w:rsidRPr="004535C6" w:rsidRDefault="00F76DDA" w:rsidP="0021529D">
      <w:pPr>
        <w:pStyle w:val="Prrafodelista"/>
        <w:numPr>
          <w:ilvl w:val="0"/>
          <w:numId w:val="12"/>
        </w:numPr>
        <w:spacing w:line="360" w:lineRule="auto"/>
        <w:ind w:right="-28"/>
        <w:jc w:val="both"/>
        <w:rPr>
          <w:rFonts w:ascii="Palatino Linotype" w:hAnsi="Palatino Linotype"/>
        </w:rPr>
      </w:pPr>
      <w:r w:rsidRPr="004535C6">
        <w:rPr>
          <w:rFonts w:ascii="Palatino Linotype" w:hAnsi="Palatino Linotype"/>
        </w:rPr>
        <w:t>Expedición de duplicados de documentos y planos existentes en archivo.</w:t>
      </w:r>
    </w:p>
    <w:p w14:paraId="77F12436" w14:textId="77777777" w:rsidR="00B749F3" w:rsidRPr="004535C6" w:rsidRDefault="00B749F3" w:rsidP="00AE374A">
      <w:pPr>
        <w:spacing w:after="0" w:line="360" w:lineRule="auto"/>
        <w:ind w:right="-28"/>
        <w:rPr>
          <w:color w:val="auto"/>
        </w:rPr>
      </w:pPr>
    </w:p>
    <w:p w14:paraId="1F2F56D2" w14:textId="50F169FF" w:rsidR="00B749F3" w:rsidRPr="004535C6" w:rsidRDefault="00F76DDA" w:rsidP="00AE374A">
      <w:pPr>
        <w:spacing w:after="0" w:line="360" w:lineRule="auto"/>
        <w:ind w:right="-28"/>
        <w:rPr>
          <w:color w:val="auto"/>
        </w:rPr>
      </w:pPr>
      <w:r w:rsidRPr="004535C6">
        <w:rPr>
          <w:color w:val="auto"/>
        </w:rPr>
        <w:t xml:space="preserve">Lo cual se robustece con la </w:t>
      </w:r>
      <w:r w:rsidRPr="004535C6">
        <w:rPr>
          <w:rFonts w:eastAsia="Times New Roman" w:cs="Tahoma"/>
          <w:iCs/>
          <w:color w:val="auto"/>
          <w:lang w:val="es-ES" w:eastAsia="es-ES"/>
        </w:rPr>
        <w:t>Ley de Ingresos de los Municipios del Estado de México para el Ejercicio Fiscal dos mil veinticuatro, que precisa que en materia de Desarrollo Urbano únicamente se recaban derechos.</w:t>
      </w:r>
    </w:p>
    <w:p w14:paraId="740DBD59" w14:textId="77777777" w:rsidR="00AE374A" w:rsidRPr="004535C6" w:rsidRDefault="00AE374A" w:rsidP="00AE374A">
      <w:pPr>
        <w:spacing w:after="0" w:line="360" w:lineRule="auto"/>
        <w:ind w:right="-28"/>
        <w:rPr>
          <w:color w:val="FF0000"/>
        </w:rPr>
      </w:pPr>
    </w:p>
    <w:p w14:paraId="1DCF8A02" w14:textId="7A5144CE" w:rsidR="00C10990" w:rsidRPr="004535C6" w:rsidRDefault="00C10990" w:rsidP="00E1629E">
      <w:pPr>
        <w:spacing w:after="0" w:line="360" w:lineRule="auto"/>
        <w:rPr>
          <w:color w:val="auto"/>
        </w:rPr>
      </w:pPr>
    </w:p>
    <w:p w14:paraId="7404B22A" w14:textId="122690B5" w:rsidR="00C10990" w:rsidRPr="004535C6" w:rsidRDefault="00C10990" w:rsidP="00E1629E">
      <w:pPr>
        <w:spacing w:after="0" w:line="360" w:lineRule="auto"/>
        <w:rPr>
          <w:rFonts w:eastAsia="Times New Roman" w:cs="Tahoma"/>
          <w:iCs/>
          <w:color w:val="auto"/>
          <w:lang w:val="es-ES" w:eastAsia="es-ES"/>
        </w:rPr>
      </w:pPr>
      <w:r w:rsidRPr="004535C6">
        <w:rPr>
          <w:rFonts w:eastAsia="Times New Roman" w:cs="Tahoma"/>
          <w:iCs/>
          <w:color w:val="auto"/>
          <w:lang w:val="es-ES" w:eastAsia="es-ES"/>
        </w:rPr>
        <w:t xml:space="preserve">Conforme a lo anterior, se logra vislumbrar que la Dirección de Desarrollo Urbano, señaló que no estaba facultado a cobrar aportaciones de mejoras, pues únicamente puede recabar derechos por los trámites y servicio que brinda; lo cual toma relevancia, pues las instituciones públicas únicamente pueden recaudar y recabar los ingresos que la normatividad les permita. </w:t>
      </w:r>
    </w:p>
    <w:p w14:paraId="56DB3600" w14:textId="56271153" w:rsidR="00C10990" w:rsidRPr="004535C6" w:rsidRDefault="00C10990" w:rsidP="00E1629E">
      <w:pPr>
        <w:spacing w:after="0" w:line="360" w:lineRule="auto"/>
        <w:rPr>
          <w:rFonts w:eastAsia="Times New Roman" w:cs="Tahoma"/>
          <w:iCs/>
          <w:color w:val="auto"/>
          <w:lang w:val="es-ES" w:eastAsia="es-ES"/>
        </w:rPr>
      </w:pPr>
    </w:p>
    <w:p w14:paraId="370682E1" w14:textId="77777777" w:rsidR="00C10990" w:rsidRPr="004535C6" w:rsidRDefault="00C10990" w:rsidP="00C10990">
      <w:pPr>
        <w:spacing w:after="0" w:line="360" w:lineRule="auto"/>
        <w:contextualSpacing/>
        <w:rPr>
          <w:rFonts w:eastAsia="Calibri" w:cs="Times New Roman"/>
        </w:rPr>
      </w:pPr>
      <w:r w:rsidRPr="004535C6">
        <w:rPr>
          <w:rFonts w:eastAsia="Calibri" w:cs="Times New Roman"/>
        </w:rPr>
        <w:t xml:space="preserve">Sobre el tema, el Criterio SO/014/2017, emitido por el Instituto Nacional de Transparencia, Acceso a la Información Pública y Protección de Datos Personales en el Estado de México y Municipios, se desprende que la inexistencia de la información, es una cuestión de hecho que se le atribuye a la misma, cuando ésta no se encuentra en los archivos del sujeto obligado. </w:t>
      </w:r>
    </w:p>
    <w:p w14:paraId="0FD7C403" w14:textId="77777777" w:rsidR="00C10990" w:rsidRPr="004535C6" w:rsidRDefault="00C10990" w:rsidP="00C10990">
      <w:pPr>
        <w:spacing w:after="0" w:line="360" w:lineRule="auto"/>
        <w:contextualSpacing/>
        <w:rPr>
          <w:rFonts w:eastAsia="Calibri" w:cs="Times New Roman"/>
        </w:rPr>
      </w:pPr>
    </w:p>
    <w:p w14:paraId="63876B7F" w14:textId="77777777" w:rsidR="00C10990" w:rsidRPr="004535C6" w:rsidRDefault="00C10990" w:rsidP="00C10990">
      <w:pPr>
        <w:spacing w:after="0" w:line="360" w:lineRule="auto"/>
        <w:contextualSpacing/>
        <w:rPr>
          <w:rFonts w:eastAsia="Calibri" w:cs="Times New Roman"/>
        </w:rPr>
      </w:pPr>
      <w:r w:rsidRPr="004535C6">
        <w:rPr>
          <w:rFonts w:eastAsia="Calibri" w:cs="Times New Roman"/>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D33E11E" w14:textId="77777777" w:rsidR="00C10990" w:rsidRPr="004535C6" w:rsidRDefault="00C10990" w:rsidP="00C10990">
      <w:pPr>
        <w:spacing w:after="0" w:line="360" w:lineRule="auto"/>
        <w:contextualSpacing/>
        <w:rPr>
          <w:rFonts w:eastAsia="Calibri" w:cs="Times New Roman"/>
        </w:rPr>
      </w:pPr>
    </w:p>
    <w:p w14:paraId="2A503103" w14:textId="77777777" w:rsidR="00C10990" w:rsidRPr="004535C6" w:rsidRDefault="00C10990" w:rsidP="00C10990">
      <w:pPr>
        <w:spacing w:after="0" w:line="360" w:lineRule="auto"/>
        <w:contextualSpacing/>
        <w:rPr>
          <w:rFonts w:eastAsia="Calibri" w:cs="Times New Roman"/>
        </w:rPr>
      </w:pPr>
      <w:r w:rsidRPr="004535C6">
        <w:rPr>
          <w:rFonts w:eastAsia="Calibri" w:cs="Times New Roman"/>
        </w:rPr>
        <w:lastRenderedPageBreak/>
        <w:t>Además,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1751641" w14:textId="77777777" w:rsidR="00C10990" w:rsidRPr="004535C6" w:rsidRDefault="00C10990" w:rsidP="00C10990">
      <w:pPr>
        <w:spacing w:after="0" w:line="360" w:lineRule="auto"/>
        <w:contextualSpacing/>
        <w:rPr>
          <w:rFonts w:eastAsia="Calibri" w:cs="Times New Roman"/>
        </w:rPr>
      </w:pPr>
    </w:p>
    <w:p w14:paraId="63E3B778" w14:textId="0BA5A0B8" w:rsidR="00C10990" w:rsidRPr="004535C6" w:rsidRDefault="00C10990" w:rsidP="00C10990">
      <w:pPr>
        <w:spacing w:after="0" w:line="360" w:lineRule="auto"/>
        <w:contextualSpacing/>
        <w:rPr>
          <w:rFonts w:eastAsia="Calibri" w:cs="Times New Roman"/>
        </w:rPr>
      </w:pPr>
      <w:r w:rsidRPr="004535C6">
        <w:rPr>
          <w:rFonts w:eastAsia="Calibri" w:cs="Times New Roman"/>
        </w:rPr>
        <w:t>Así, es posible concluir que la inexistencia presupone la competencia del sujeto obligado para conocer de la información, pero por alguna circunstancia, la documentación solicitada no obra en sus archivos; para tal situación, no basta con que los sujetos obligados precisen dicha circunstancia, sino que también debe de señalar las razones por las cuales no cuentan con lo peticionado, es decir, las circunstancias que dan lugar a la inexistencia.</w:t>
      </w:r>
    </w:p>
    <w:p w14:paraId="32025A1A" w14:textId="77777777" w:rsidR="00C10990" w:rsidRPr="004535C6" w:rsidRDefault="00C10990" w:rsidP="00C10990">
      <w:pPr>
        <w:spacing w:after="0" w:line="360" w:lineRule="auto"/>
        <w:contextualSpacing/>
        <w:rPr>
          <w:rFonts w:eastAsia="Calibri" w:cs="Times New Roman"/>
        </w:rPr>
      </w:pPr>
    </w:p>
    <w:p w14:paraId="1F475351" w14:textId="38F5F301" w:rsidR="00C10990" w:rsidRPr="004535C6" w:rsidRDefault="00C10990" w:rsidP="00C10990">
      <w:pPr>
        <w:spacing w:after="0" w:line="360" w:lineRule="auto"/>
        <w:contextualSpacing/>
        <w:rPr>
          <w:rFonts w:eastAsia="Calibri" w:cs="Times New Roman"/>
        </w:rPr>
      </w:pPr>
      <w:r w:rsidRPr="004535C6">
        <w:rPr>
          <w:rFonts w:eastAsia="Calibri" w:cs="Times New Roman"/>
        </w:rPr>
        <w:t>En ese contexto, el Sujeto Obligado precisó las razones por las cuales no contaba con lo peticionado, a saber, que no existía un apartado de aportaciones en materia de Desarrollo Urbano, lo cual toma relevancia, pues refirió que, para el alineamiento y número oficial, se recababa lo establecido en el artículo 144 del Código Financiero del Estado de México, tal como se muestra a continuación:</w:t>
      </w:r>
    </w:p>
    <w:p w14:paraId="7EF1DC3F" w14:textId="77777777" w:rsidR="00C10990" w:rsidRPr="004535C6" w:rsidRDefault="00C10990" w:rsidP="00C10990">
      <w:pPr>
        <w:spacing w:after="0" w:line="360" w:lineRule="auto"/>
        <w:contextualSpacing/>
        <w:rPr>
          <w:rFonts w:eastAsia="Calibri" w:cs="Times New Roman"/>
        </w:rPr>
      </w:pPr>
    </w:p>
    <w:p w14:paraId="25F03172" w14:textId="612E3104" w:rsidR="00C10990" w:rsidRPr="004535C6" w:rsidRDefault="00C10990" w:rsidP="00C10990">
      <w:pPr>
        <w:spacing w:after="0" w:line="360" w:lineRule="auto"/>
        <w:contextualSpacing/>
        <w:jc w:val="center"/>
        <w:rPr>
          <w:rFonts w:eastAsia="Calibri" w:cs="Times New Roman"/>
        </w:rPr>
      </w:pPr>
      <w:r w:rsidRPr="004535C6">
        <w:rPr>
          <w:rFonts w:eastAsia="Calibri" w:cs="Times New Roman"/>
          <w:noProof/>
          <w:lang w:eastAsia="es-MX"/>
        </w:rPr>
        <w:drawing>
          <wp:inline distT="0" distB="0" distL="0" distR="0" wp14:anchorId="441B4563" wp14:editId="51F35DE7">
            <wp:extent cx="4416724" cy="2478324"/>
            <wp:effectExtent l="0" t="0" r="3175" b="0"/>
            <wp:docPr id="200295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5434" name=""/>
                    <pic:cNvPicPr/>
                  </pic:nvPicPr>
                  <pic:blipFill>
                    <a:blip r:embed="rId7"/>
                    <a:stretch>
                      <a:fillRect/>
                    </a:stretch>
                  </pic:blipFill>
                  <pic:spPr>
                    <a:xfrm>
                      <a:off x="0" y="0"/>
                      <a:ext cx="4418726" cy="2479447"/>
                    </a:xfrm>
                    <a:prstGeom prst="rect">
                      <a:avLst/>
                    </a:prstGeom>
                  </pic:spPr>
                </pic:pic>
              </a:graphicData>
            </a:graphic>
          </wp:inline>
        </w:drawing>
      </w:r>
    </w:p>
    <w:p w14:paraId="0E5402ED" w14:textId="77777777" w:rsidR="00C10990" w:rsidRPr="004535C6" w:rsidRDefault="00C10990" w:rsidP="00C10990">
      <w:pPr>
        <w:spacing w:after="0" w:line="360" w:lineRule="auto"/>
        <w:contextualSpacing/>
        <w:rPr>
          <w:rFonts w:eastAsia="Calibri" w:cs="Times New Roman"/>
        </w:rPr>
      </w:pPr>
    </w:p>
    <w:p w14:paraId="776D2644" w14:textId="7D60B0CE" w:rsidR="00C10990" w:rsidRPr="004535C6" w:rsidRDefault="00C10990" w:rsidP="00C10990">
      <w:pPr>
        <w:spacing w:after="0" w:line="360" w:lineRule="auto"/>
        <w:contextualSpacing/>
      </w:pPr>
      <w:r w:rsidRPr="004535C6">
        <w:rPr>
          <w:rFonts w:eastAsia="Calibri" w:cs="Times New Roman"/>
        </w:rPr>
        <w:lastRenderedPageBreak/>
        <w:t xml:space="preserve">Situación que se robustece con el </w:t>
      </w:r>
      <w:r w:rsidRPr="004535C6">
        <w:t>Registro Municipal de Trámites y Servicios de Texcoco, relacionada con la Cédula de Información del Trámite denominado “Alineamiento y número oficial”,</w:t>
      </w:r>
      <w:r w:rsidR="00372630" w:rsidRPr="004535C6">
        <w:t xml:space="preserve"> que establece que el cobro del trámite, es el establecido en el artículo previamente referido, tal como se muestra a continuación:</w:t>
      </w:r>
    </w:p>
    <w:p w14:paraId="1ED31151" w14:textId="77777777" w:rsidR="00372630" w:rsidRPr="004535C6" w:rsidRDefault="00372630" w:rsidP="00C10990">
      <w:pPr>
        <w:spacing w:after="0" w:line="360" w:lineRule="auto"/>
        <w:contextualSpacing/>
      </w:pPr>
    </w:p>
    <w:p w14:paraId="58BD37E9" w14:textId="2DE1B456" w:rsidR="00372630" w:rsidRPr="004535C6" w:rsidRDefault="00372630" w:rsidP="00C10990">
      <w:pPr>
        <w:spacing w:after="0" w:line="360" w:lineRule="auto"/>
        <w:contextualSpacing/>
        <w:rPr>
          <w:rFonts w:eastAsia="Calibri" w:cs="Times New Roman"/>
        </w:rPr>
      </w:pPr>
      <w:r w:rsidRPr="004535C6">
        <w:rPr>
          <w:rFonts w:eastAsia="Calibri" w:cs="Times New Roman"/>
          <w:noProof/>
          <w:lang w:eastAsia="es-MX"/>
        </w:rPr>
        <w:drawing>
          <wp:inline distT="0" distB="0" distL="0" distR="0" wp14:anchorId="46D00BBA" wp14:editId="719EFFC0">
            <wp:extent cx="5791835" cy="655320"/>
            <wp:effectExtent l="0" t="0" r="0" b="0"/>
            <wp:docPr id="14925255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25504" name=""/>
                    <pic:cNvPicPr/>
                  </pic:nvPicPr>
                  <pic:blipFill>
                    <a:blip r:embed="rId8"/>
                    <a:stretch>
                      <a:fillRect/>
                    </a:stretch>
                  </pic:blipFill>
                  <pic:spPr>
                    <a:xfrm>
                      <a:off x="0" y="0"/>
                      <a:ext cx="5791835" cy="655320"/>
                    </a:xfrm>
                    <a:prstGeom prst="rect">
                      <a:avLst/>
                    </a:prstGeom>
                  </pic:spPr>
                </pic:pic>
              </a:graphicData>
            </a:graphic>
          </wp:inline>
        </w:drawing>
      </w:r>
    </w:p>
    <w:p w14:paraId="16FE61B9" w14:textId="77777777" w:rsidR="00C10990" w:rsidRPr="004535C6" w:rsidRDefault="00C10990" w:rsidP="00C10990">
      <w:pPr>
        <w:spacing w:after="0" w:line="360" w:lineRule="auto"/>
        <w:contextualSpacing/>
        <w:rPr>
          <w:rFonts w:eastAsia="Calibri" w:cs="Times New Roman"/>
        </w:rPr>
      </w:pPr>
    </w:p>
    <w:p w14:paraId="7069A177" w14:textId="43AA67FC" w:rsidR="00372630" w:rsidRPr="004535C6" w:rsidRDefault="00C10990" w:rsidP="00C10990">
      <w:pPr>
        <w:spacing w:after="0" w:line="360" w:lineRule="auto"/>
        <w:contextualSpacing/>
        <w:rPr>
          <w:rFonts w:eastAsia="Calibri" w:cs="Times New Roman"/>
        </w:rPr>
      </w:pPr>
      <w:r w:rsidRPr="004535C6">
        <w:rPr>
          <w:rFonts w:eastAsia="Calibri" w:cs="Times New Roman"/>
        </w:rPr>
        <w:t xml:space="preserve">Así, se logra colegir que la información solicitada por el ahora Recurrente es </w:t>
      </w:r>
      <w:r w:rsidR="00372630" w:rsidRPr="004535C6">
        <w:rPr>
          <w:rFonts w:eastAsia="Calibri" w:cs="Times New Roman"/>
        </w:rPr>
        <w:t>inexistente pues</w:t>
      </w:r>
      <w:r w:rsidRPr="004535C6">
        <w:rPr>
          <w:rFonts w:eastAsia="Calibri" w:cs="Times New Roman"/>
        </w:rPr>
        <w:t xml:space="preserve"> </w:t>
      </w:r>
      <w:r w:rsidR="00372630" w:rsidRPr="004535C6">
        <w:rPr>
          <w:rFonts w:eastAsia="Calibri" w:cs="Times New Roman"/>
        </w:rPr>
        <w:t>la Dirección de Desarrollo Urbano no puede recabar aportaciones de mejoras, pues únicamente puede recabar derechos por los trámites y servicios brindados; lo cual toma relevancia, pues las aportaciones de mejoras únicamente derivan de obras públicas, es decir, en un tema en específico; además, si bien no hubo pronunciamiento del Acta de Cabildo, lo cierto es que los Ayuntamientos no pueden variar los ingresos establecidos en la normatividad aplicable, pues sirven estas como restricción de que las instituciones públicas realicen cobros indebidos, aunado al hecho que únicamente emite el presupuesto de ingresos, que contiene únicamente los montos de lo que se espera recaudar en un ejercicio fiscal.</w:t>
      </w:r>
    </w:p>
    <w:p w14:paraId="6520307D" w14:textId="77777777" w:rsidR="00372630" w:rsidRPr="004535C6" w:rsidRDefault="00372630" w:rsidP="00C10990">
      <w:pPr>
        <w:spacing w:after="0" w:line="360" w:lineRule="auto"/>
        <w:contextualSpacing/>
        <w:rPr>
          <w:rFonts w:eastAsia="Calibri" w:cs="Times New Roman"/>
        </w:rPr>
      </w:pPr>
    </w:p>
    <w:p w14:paraId="4800EFED" w14:textId="38B02D42" w:rsidR="00C10990" w:rsidRPr="004535C6" w:rsidRDefault="00372630" w:rsidP="00C10990">
      <w:pPr>
        <w:spacing w:after="0" w:line="360" w:lineRule="auto"/>
        <w:contextualSpacing/>
        <w:rPr>
          <w:rFonts w:eastAsia="Calibri" w:cs="Times New Roman"/>
        </w:rPr>
      </w:pPr>
      <w:r w:rsidRPr="004535C6">
        <w:rPr>
          <w:rFonts w:eastAsia="Calibri" w:cs="Times New Roman"/>
        </w:rPr>
        <w:t xml:space="preserve">Así, se advierte que la Dirección de Desarrollo Urbano no puede solicitar aportaciones de mejoras y por lo tanto, no existe artículo alguno que establezca dicha atribución, pues lo único que puede recaudar son los derechos por los trámites y servicios brindados, por lo que se considera que desde respuesta, señaló las razones por las cuales no contaba con lo peticionado; </w:t>
      </w:r>
      <w:r w:rsidR="00C10990" w:rsidRPr="004535C6">
        <w:rPr>
          <w:rFonts w:eastAsia="Calibri" w:cs="Times New Roman"/>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670128EB" w14:textId="77777777" w:rsidR="00C10990" w:rsidRPr="004535C6" w:rsidRDefault="00C10990" w:rsidP="00C10990">
      <w:pPr>
        <w:spacing w:after="0" w:line="360" w:lineRule="auto"/>
        <w:contextualSpacing/>
        <w:rPr>
          <w:rFonts w:eastAsia="Calibri" w:cs="Times New Roman"/>
        </w:rPr>
      </w:pPr>
    </w:p>
    <w:p w14:paraId="328BA6B3" w14:textId="77777777" w:rsidR="00C10990" w:rsidRPr="004535C6" w:rsidRDefault="00C10990" w:rsidP="00C10990">
      <w:pPr>
        <w:spacing w:after="0" w:line="360" w:lineRule="auto"/>
        <w:contextualSpacing/>
        <w:rPr>
          <w:rFonts w:eastAsia="Calibri" w:cs="Times New Roman"/>
        </w:rPr>
      </w:pPr>
      <w:r w:rsidRPr="004535C6">
        <w:rPr>
          <w:rFonts w:eastAsia="Calibri" w:cs="Times New Roman"/>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3286E703" w14:textId="77777777" w:rsidR="00C10990" w:rsidRPr="004535C6" w:rsidRDefault="00C10990" w:rsidP="00C10990">
      <w:pPr>
        <w:spacing w:after="0" w:line="360" w:lineRule="auto"/>
        <w:contextualSpacing/>
        <w:rPr>
          <w:rFonts w:eastAsia="Calibri" w:cs="Times New Roman"/>
        </w:rPr>
      </w:pPr>
    </w:p>
    <w:p w14:paraId="5CF98A02" w14:textId="704CA4FB" w:rsidR="00C10990" w:rsidRPr="004535C6" w:rsidRDefault="00C10990" w:rsidP="00E1629E">
      <w:pPr>
        <w:spacing w:after="0" w:line="360" w:lineRule="auto"/>
        <w:contextualSpacing/>
        <w:rPr>
          <w:rFonts w:eastAsia="Calibri" w:cs="Times New Roman"/>
          <w:b/>
          <w:bCs/>
        </w:rPr>
      </w:pPr>
      <w:r w:rsidRPr="004535C6">
        <w:rPr>
          <w:rFonts w:eastAsia="Calibri" w:cs="Times New Roman"/>
        </w:rPr>
        <w:t>Al respecto, dicho criterio aplica al caso en concreto, ya que</w:t>
      </w:r>
      <w:r w:rsidR="007E066F" w:rsidRPr="004535C6">
        <w:rPr>
          <w:rFonts w:eastAsia="Calibri" w:cs="Times New Roman"/>
        </w:rPr>
        <w:t xml:space="preserve"> como ya se analizo el área referida no puede solicitar, ni recabar aportaciones de mejoras, lo cual se robustece con el </w:t>
      </w:r>
      <w:r w:rsidR="007E066F" w:rsidRPr="004535C6">
        <w:t xml:space="preserve">Trámite denominado “Alineamiento y número oficial”, que únicamente le permite cobrar el derecho correspondiente, por lo que, se considera que el agravio es </w:t>
      </w:r>
      <w:r w:rsidR="007E066F" w:rsidRPr="004535C6">
        <w:rPr>
          <w:b/>
          <w:bCs/>
        </w:rPr>
        <w:t>INFUNDADO.</w:t>
      </w:r>
    </w:p>
    <w:p w14:paraId="65C7EB9F" w14:textId="77777777" w:rsidR="00C10990" w:rsidRPr="004535C6" w:rsidRDefault="00C10990" w:rsidP="00E1629E">
      <w:pPr>
        <w:spacing w:after="0" w:line="360" w:lineRule="auto"/>
        <w:rPr>
          <w:rFonts w:eastAsia="Times New Roman" w:cs="Tahoma"/>
          <w:iCs/>
          <w:color w:val="auto"/>
          <w:lang w:val="es-ES" w:eastAsia="es-ES"/>
        </w:rPr>
      </w:pPr>
    </w:p>
    <w:p w14:paraId="5457B9F1" w14:textId="22D34F15" w:rsidR="005A67CA" w:rsidRPr="004535C6" w:rsidRDefault="007E066F" w:rsidP="005A67CA">
      <w:pPr>
        <w:spacing w:after="0" w:line="360" w:lineRule="auto"/>
        <w:rPr>
          <w:rFonts w:eastAsia="Times New Roman" w:cs="Tahoma"/>
          <w:iCs/>
          <w:color w:val="auto"/>
          <w:lang w:val="es-ES" w:eastAsia="es-ES"/>
        </w:rPr>
      </w:pPr>
      <w:r w:rsidRPr="004535C6">
        <w:rPr>
          <w:rFonts w:eastAsia="Times New Roman" w:cs="Tahoma"/>
          <w:iCs/>
          <w:color w:val="auto"/>
          <w:lang w:val="es-ES" w:eastAsia="es-ES"/>
        </w:rPr>
        <w:t>Además, se dejan a salvo sus derechos, a efecto de q</w:t>
      </w:r>
      <w:bookmarkStart w:id="2" w:name="_Hlk181007668"/>
      <w:r w:rsidRPr="004535C6">
        <w:rPr>
          <w:rFonts w:eastAsia="Times New Roman" w:cs="Tahoma"/>
          <w:iCs/>
          <w:color w:val="auto"/>
          <w:lang w:val="es-ES" w:eastAsia="es-ES"/>
        </w:rPr>
        <w:t>ue presente su denuncia o queja ante la Contraloría Interna Municipal,</w:t>
      </w:r>
      <w:bookmarkEnd w:id="2"/>
      <w:r w:rsidRPr="004535C6">
        <w:rPr>
          <w:rFonts w:eastAsia="Times New Roman" w:cs="Tahoma"/>
          <w:iCs/>
          <w:color w:val="auto"/>
          <w:lang w:val="es-ES" w:eastAsia="es-ES"/>
        </w:rPr>
        <w:t xml:space="preserve"> en caso de que consider</w:t>
      </w:r>
      <w:r w:rsidR="005A67CA" w:rsidRPr="004535C6">
        <w:rPr>
          <w:rFonts w:eastAsia="Times New Roman" w:cs="Tahoma"/>
          <w:iCs/>
          <w:color w:val="auto"/>
          <w:lang w:val="es-ES" w:eastAsia="es-ES"/>
        </w:rPr>
        <w:t xml:space="preserve">e </w:t>
      </w:r>
      <w:r w:rsidRPr="004535C6">
        <w:rPr>
          <w:rFonts w:eastAsia="Times New Roman" w:cs="Tahoma"/>
          <w:iCs/>
          <w:color w:val="auto"/>
          <w:lang w:val="es-ES" w:eastAsia="es-ES"/>
        </w:rPr>
        <w:t xml:space="preserve">que la Dirección </w:t>
      </w:r>
      <w:r w:rsidR="005A67CA" w:rsidRPr="004535C6">
        <w:rPr>
          <w:rFonts w:eastAsia="Times New Roman" w:cs="Tahoma"/>
          <w:iCs/>
          <w:color w:val="auto"/>
          <w:lang w:val="es-ES" w:eastAsia="es-ES"/>
        </w:rPr>
        <w:t xml:space="preserve">o </w:t>
      </w:r>
      <w:r w:rsidRPr="004535C6">
        <w:rPr>
          <w:rFonts w:eastAsia="Times New Roman" w:cs="Tahoma"/>
          <w:iCs/>
          <w:color w:val="auto"/>
          <w:lang w:val="es-ES" w:eastAsia="es-ES"/>
        </w:rPr>
        <w:t>determinados servidores públicos hayan incurrido en alguna responsabilidad administrativa</w:t>
      </w:r>
      <w:r w:rsidR="005A67CA" w:rsidRPr="004535C6">
        <w:rPr>
          <w:rFonts w:eastAsia="Times New Roman" w:cs="Tahoma"/>
          <w:iCs/>
          <w:color w:val="auto"/>
          <w:lang w:val="es-ES" w:eastAsia="es-ES"/>
        </w:rPr>
        <w:t xml:space="preserve">; para lo cual, se le proporciona la liga en la cual encontrará información del procedimiento: </w:t>
      </w:r>
      <w:hyperlink r:id="rId9" w:history="1">
        <w:r w:rsidR="005A67CA" w:rsidRPr="004535C6">
          <w:rPr>
            <w:rStyle w:val="Hipervnculo"/>
            <w:rFonts w:eastAsia="Times New Roman" w:cs="Tahoma"/>
            <w:iCs/>
            <w:lang w:val="es-ES" w:eastAsia="es-ES"/>
          </w:rPr>
          <w:t>https://www.texcocoedomex.gob.mx/Documentos/REMTYS/DENUNCIAS.pdf</w:t>
        </w:r>
      </w:hyperlink>
      <w:r w:rsidR="005A67CA" w:rsidRPr="004535C6">
        <w:rPr>
          <w:rFonts w:eastAsia="Times New Roman" w:cs="Tahoma"/>
          <w:iCs/>
          <w:color w:val="auto"/>
          <w:lang w:val="es-ES" w:eastAsia="es-ES"/>
        </w:rPr>
        <w:t xml:space="preserve">. </w:t>
      </w:r>
    </w:p>
    <w:p w14:paraId="43D6CC12" w14:textId="77777777" w:rsidR="005A67CA" w:rsidRPr="004535C6" w:rsidRDefault="005A67CA" w:rsidP="005A67CA">
      <w:pPr>
        <w:spacing w:after="0" w:line="360" w:lineRule="auto"/>
        <w:rPr>
          <w:rFonts w:eastAsia="Times New Roman" w:cs="Tahoma"/>
          <w:iCs/>
          <w:color w:val="auto"/>
          <w:lang w:val="es-ES" w:eastAsia="es-ES"/>
        </w:rPr>
      </w:pPr>
    </w:p>
    <w:p w14:paraId="5B6B7C52" w14:textId="44852B31" w:rsidR="00322CA2" w:rsidRPr="004535C6" w:rsidRDefault="00322CA2" w:rsidP="005A67CA">
      <w:pPr>
        <w:spacing w:after="0" w:line="360" w:lineRule="auto"/>
        <w:rPr>
          <w:rFonts w:eastAsia="Times New Roman" w:cs="Tahoma"/>
          <w:iCs/>
          <w:color w:val="auto"/>
          <w:lang w:val="es-ES" w:eastAsia="es-ES"/>
        </w:rPr>
      </w:pPr>
      <w:r w:rsidRPr="004535C6">
        <w:rPr>
          <w:rFonts w:eastAsia="Palatino Linotype" w:cs="Palatino Linotype"/>
          <w:b/>
          <w:color w:val="auto"/>
          <w:lang w:eastAsia="es-ES"/>
        </w:rPr>
        <w:t xml:space="preserve">SEXTO. Decisión </w:t>
      </w:r>
    </w:p>
    <w:p w14:paraId="723422F4" w14:textId="77777777" w:rsidR="00322CA2" w:rsidRPr="004535C6" w:rsidRDefault="00322CA2" w:rsidP="00C60BFE">
      <w:pPr>
        <w:spacing w:after="0" w:line="360" w:lineRule="auto"/>
        <w:rPr>
          <w:rFonts w:eastAsia="Times New Roman" w:cs="Tahoma"/>
          <w:color w:val="auto"/>
          <w:lang w:eastAsia="es-ES"/>
        </w:rPr>
      </w:pPr>
    </w:p>
    <w:p w14:paraId="6120DADB" w14:textId="77777777" w:rsidR="005A67CA" w:rsidRPr="004535C6" w:rsidRDefault="005A67CA" w:rsidP="005A67CA">
      <w:pPr>
        <w:spacing w:after="0" w:line="360" w:lineRule="auto"/>
        <w:rPr>
          <w:lang w:eastAsia="es-ES"/>
        </w:rPr>
      </w:pPr>
      <w:r w:rsidRPr="004535C6">
        <w:rPr>
          <w:lang w:eastAsia="es-ES"/>
        </w:rPr>
        <w:t xml:space="preserve">Con fundamento en el artículo 186, fracción II, de la Ley de Transparencia y Acceso a la Información Pública del Estado de México y Municipios, este Instituto considera procedente </w:t>
      </w:r>
      <w:r w:rsidRPr="004535C6">
        <w:rPr>
          <w:b/>
          <w:lang w:eastAsia="es-ES"/>
        </w:rPr>
        <w:t xml:space="preserve">CONFIRMAR </w:t>
      </w:r>
      <w:r w:rsidRPr="004535C6">
        <w:rPr>
          <w:lang w:eastAsia="es-ES"/>
        </w:rPr>
        <w:t xml:space="preserve">la respuesta otorgada por el Sujeto Obligado. </w:t>
      </w:r>
    </w:p>
    <w:p w14:paraId="0796001E" w14:textId="77777777" w:rsidR="00E931BE" w:rsidRPr="004535C6" w:rsidRDefault="00E931BE" w:rsidP="00C60BFE">
      <w:pPr>
        <w:spacing w:after="0" w:line="360" w:lineRule="auto"/>
        <w:rPr>
          <w:rFonts w:eastAsia="Times New Roman" w:cs="Tahoma"/>
          <w:color w:val="auto"/>
          <w:lang w:eastAsia="es-ES"/>
        </w:rPr>
      </w:pPr>
    </w:p>
    <w:p w14:paraId="7C9CDCA5" w14:textId="43C9F206" w:rsidR="0018264D" w:rsidRPr="004535C6" w:rsidRDefault="0018264D" w:rsidP="00C60BFE">
      <w:pPr>
        <w:spacing w:after="0" w:line="360" w:lineRule="auto"/>
        <w:rPr>
          <w:rFonts w:eastAsia="Palatino Linotype" w:cs="Palatino Linotype"/>
          <w:b/>
          <w:color w:val="auto"/>
        </w:rPr>
      </w:pPr>
      <w:r w:rsidRPr="004535C6">
        <w:rPr>
          <w:rFonts w:eastAsia="Palatino Linotype" w:cs="Palatino Linotype"/>
          <w:b/>
          <w:color w:val="auto"/>
        </w:rPr>
        <w:t>Términos de la Resolución para conocimiento del Particular</w:t>
      </w:r>
    </w:p>
    <w:p w14:paraId="28C9AA7E" w14:textId="77777777" w:rsidR="0018264D" w:rsidRPr="004535C6" w:rsidRDefault="0018264D" w:rsidP="00C60BFE">
      <w:pPr>
        <w:spacing w:after="0" w:line="360" w:lineRule="auto"/>
        <w:rPr>
          <w:rFonts w:eastAsia="Palatino Linotype" w:cs="Palatino Linotype"/>
          <w:b/>
          <w:color w:val="FF0000"/>
        </w:rPr>
      </w:pPr>
    </w:p>
    <w:p w14:paraId="71B85FF3" w14:textId="5EE7EDEC" w:rsidR="005A67CA" w:rsidRPr="004535C6" w:rsidRDefault="0018264D" w:rsidP="00C60BFE">
      <w:pPr>
        <w:spacing w:after="0" w:line="360" w:lineRule="auto"/>
        <w:rPr>
          <w:rFonts w:eastAsia="Palatino Linotype" w:cs="Palatino Linotype"/>
          <w:color w:val="auto"/>
        </w:rPr>
      </w:pPr>
      <w:bookmarkStart w:id="3" w:name="_heading=h.1fob9te" w:colFirst="0" w:colLast="0"/>
      <w:bookmarkEnd w:id="3"/>
      <w:r w:rsidRPr="004535C6">
        <w:rPr>
          <w:rFonts w:eastAsia="Palatino Linotype" w:cs="Palatino Linotype"/>
          <w:color w:val="auto"/>
        </w:rPr>
        <w:lastRenderedPageBreak/>
        <w:t>Se le hace del conocimiento al ahora Recurrente que, en el presente asunto,</w:t>
      </w:r>
      <w:r w:rsidR="005A67CA" w:rsidRPr="004535C6">
        <w:rPr>
          <w:rFonts w:eastAsia="Palatino Linotype" w:cs="Palatino Linotype"/>
          <w:color w:val="auto"/>
        </w:rPr>
        <w:t xml:space="preserve"> no</w:t>
      </w:r>
      <w:r w:rsidRPr="004535C6">
        <w:rPr>
          <w:rFonts w:eastAsia="Palatino Linotype" w:cs="Palatino Linotype"/>
          <w:color w:val="auto"/>
        </w:rPr>
        <w:t xml:space="preserve"> se le da</w:t>
      </w:r>
      <w:r w:rsidR="00322CA2" w:rsidRPr="004535C6">
        <w:rPr>
          <w:rFonts w:eastAsia="Palatino Linotype" w:cs="Palatino Linotype"/>
          <w:color w:val="auto"/>
        </w:rPr>
        <w:t xml:space="preserve"> la</w:t>
      </w:r>
      <w:r w:rsidRPr="004535C6">
        <w:rPr>
          <w:rFonts w:eastAsia="Palatino Linotype" w:cs="Palatino Linotype"/>
          <w:color w:val="auto"/>
        </w:rPr>
        <w:t xml:space="preserve"> razón, pues el Sujeto Obligado </w:t>
      </w:r>
      <w:r w:rsidR="005A67CA" w:rsidRPr="004535C6">
        <w:rPr>
          <w:rFonts w:eastAsia="Palatino Linotype" w:cs="Palatino Linotype"/>
          <w:color w:val="auto"/>
        </w:rPr>
        <w:t>desde respuesta refirió que no podía recabar aportaciones de mejoras, ya que por el trámite de “Alineamiento y Número Oficial” únicamente podía solicitar los derechos correspondientes.</w:t>
      </w:r>
    </w:p>
    <w:p w14:paraId="385E00FC" w14:textId="77777777" w:rsidR="005A67CA" w:rsidRPr="004535C6" w:rsidRDefault="005A67CA" w:rsidP="00C60BFE">
      <w:pPr>
        <w:spacing w:after="0" w:line="360" w:lineRule="auto"/>
        <w:rPr>
          <w:rFonts w:eastAsia="Palatino Linotype" w:cs="Palatino Linotype"/>
          <w:color w:val="auto"/>
        </w:rPr>
      </w:pPr>
    </w:p>
    <w:p w14:paraId="61AAF182" w14:textId="511D7257" w:rsidR="0018264D" w:rsidRPr="004535C6" w:rsidRDefault="0018264D" w:rsidP="00C60BFE">
      <w:pPr>
        <w:spacing w:after="0" w:line="360" w:lineRule="auto"/>
        <w:rPr>
          <w:rFonts w:eastAsia="Palatino Linotype" w:cs="Palatino Linotype"/>
          <w:color w:val="auto"/>
        </w:rPr>
      </w:pPr>
      <w:r w:rsidRPr="004535C6">
        <w:rPr>
          <w:rFonts w:eastAsia="Calibri" w:cs="Times New Roman"/>
          <w:color w:val="auto"/>
        </w:rPr>
        <w:t xml:space="preserve">Finalmente, la labor </w:t>
      </w:r>
      <w:r w:rsidR="0047430B" w:rsidRPr="004535C6">
        <w:rPr>
          <w:rFonts w:eastAsia="Calibri" w:cs="Times New Roman"/>
          <w:color w:val="auto"/>
        </w:rPr>
        <w:t>del</w:t>
      </w:r>
      <w:r w:rsidRPr="004535C6">
        <w:rPr>
          <w:rFonts w:eastAsia="Calibri" w:cs="Times New Roman"/>
          <w:color w:val="auto"/>
        </w:rPr>
        <w:t xml:space="preserve"> Instituto, es apoyar a la población a acceder a la información pública y garantizar la protección de los datos personales.</w:t>
      </w:r>
      <w:r w:rsidR="00F34D8B" w:rsidRPr="004535C6">
        <w:rPr>
          <w:rFonts w:eastAsia="Calibri" w:cs="Times New Roman"/>
          <w:color w:val="auto"/>
        </w:rPr>
        <w:t xml:space="preserve"> </w:t>
      </w:r>
    </w:p>
    <w:p w14:paraId="1A858EF8" w14:textId="77777777" w:rsidR="00322CA2" w:rsidRPr="004535C6" w:rsidRDefault="00322CA2" w:rsidP="00C60BFE">
      <w:pPr>
        <w:spacing w:after="0" w:line="360" w:lineRule="auto"/>
        <w:rPr>
          <w:rFonts w:eastAsia="Palatino Linotype" w:cs="Palatino Linotype"/>
          <w:color w:val="auto"/>
        </w:rPr>
      </w:pPr>
    </w:p>
    <w:p w14:paraId="76D51DB9" w14:textId="77777777" w:rsidR="0018264D" w:rsidRPr="004535C6" w:rsidRDefault="0018264D" w:rsidP="00C60BFE">
      <w:pPr>
        <w:spacing w:after="0" w:line="360" w:lineRule="auto"/>
        <w:rPr>
          <w:rFonts w:eastAsia="Palatino Linotype" w:cs="Palatino Linotype"/>
          <w:color w:val="auto"/>
        </w:rPr>
      </w:pPr>
      <w:r w:rsidRPr="004535C6">
        <w:rPr>
          <w:rFonts w:eastAsia="Palatino Linotype" w:cs="Palatino Linotype"/>
          <w:color w:val="auto"/>
        </w:rPr>
        <w:t>Por lo expuesto y fundado, este Pleno:</w:t>
      </w:r>
    </w:p>
    <w:p w14:paraId="68E22722" w14:textId="77777777" w:rsidR="0018264D" w:rsidRPr="004535C6" w:rsidRDefault="0018264D" w:rsidP="00C60BFE">
      <w:pPr>
        <w:spacing w:after="0" w:line="360" w:lineRule="auto"/>
        <w:rPr>
          <w:rFonts w:eastAsia="Palatino Linotype" w:cs="Palatino Linotype"/>
          <w:b/>
          <w:color w:val="FF0000"/>
        </w:rPr>
      </w:pPr>
    </w:p>
    <w:p w14:paraId="4B358286" w14:textId="77777777" w:rsidR="005A67CA" w:rsidRPr="004535C6" w:rsidRDefault="005A67CA" w:rsidP="00C60BFE">
      <w:pPr>
        <w:spacing w:after="0" w:line="360" w:lineRule="auto"/>
        <w:rPr>
          <w:rFonts w:eastAsia="Palatino Linotype" w:cs="Palatino Linotype"/>
          <w:b/>
          <w:color w:val="FF0000"/>
        </w:rPr>
      </w:pPr>
    </w:p>
    <w:p w14:paraId="470436F7" w14:textId="77777777" w:rsidR="0018264D" w:rsidRPr="004535C6" w:rsidRDefault="0018264D" w:rsidP="00C60BFE">
      <w:pPr>
        <w:spacing w:after="0" w:line="360" w:lineRule="auto"/>
        <w:jc w:val="center"/>
        <w:rPr>
          <w:rFonts w:eastAsia="Palatino Linotype" w:cs="Palatino Linotype"/>
          <w:b/>
          <w:color w:val="auto"/>
        </w:rPr>
      </w:pPr>
      <w:r w:rsidRPr="004535C6">
        <w:rPr>
          <w:rFonts w:eastAsia="Palatino Linotype" w:cs="Palatino Linotype"/>
          <w:b/>
          <w:color w:val="auto"/>
        </w:rPr>
        <w:t>R E S U E L V E</w:t>
      </w:r>
    </w:p>
    <w:p w14:paraId="673CD2E8" w14:textId="77777777" w:rsidR="005A67CA" w:rsidRPr="004535C6" w:rsidRDefault="005A67CA" w:rsidP="00C60BFE">
      <w:pPr>
        <w:spacing w:after="0" w:line="360" w:lineRule="auto"/>
        <w:jc w:val="center"/>
        <w:rPr>
          <w:rFonts w:eastAsia="Palatino Linotype" w:cs="Palatino Linotype"/>
          <w:b/>
          <w:color w:val="auto"/>
        </w:rPr>
      </w:pPr>
    </w:p>
    <w:p w14:paraId="746684E1" w14:textId="3C564838" w:rsidR="005A67CA" w:rsidRPr="004535C6" w:rsidRDefault="005A67CA" w:rsidP="005A67CA">
      <w:pPr>
        <w:spacing w:after="0" w:line="360" w:lineRule="auto"/>
        <w:rPr>
          <w:color w:val="000000"/>
          <w:lang w:eastAsia="es-ES"/>
        </w:rPr>
      </w:pPr>
      <w:r w:rsidRPr="004535C6">
        <w:rPr>
          <w:b/>
          <w:color w:val="000000"/>
          <w:lang w:eastAsia="es-ES"/>
        </w:rPr>
        <w:t>PRIMERO.</w:t>
      </w:r>
      <w:r w:rsidRPr="004535C6">
        <w:rPr>
          <w:color w:val="000000"/>
          <w:lang w:eastAsia="es-ES"/>
        </w:rPr>
        <w:t xml:space="preserve"> Se </w:t>
      </w:r>
      <w:r w:rsidRPr="004535C6">
        <w:rPr>
          <w:b/>
          <w:color w:val="000000"/>
          <w:lang w:eastAsia="es-ES"/>
        </w:rPr>
        <w:t xml:space="preserve">CONFIRMA </w:t>
      </w:r>
      <w:r w:rsidRPr="004535C6">
        <w:rPr>
          <w:color w:val="000000"/>
          <w:lang w:eastAsia="es-ES"/>
        </w:rPr>
        <w:t xml:space="preserve">la respuesta entregada por el </w:t>
      </w:r>
      <w:r w:rsidR="006B7994" w:rsidRPr="004535C6">
        <w:rPr>
          <w:color w:val="000000"/>
          <w:lang w:eastAsia="es-ES"/>
        </w:rPr>
        <w:t xml:space="preserve">Ayuntamiento de Texcoco </w:t>
      </w:r>
      <w:r w:rsidRPr="004535C6">
        <w:rPr>
          <w:color w:val="000000"/>
          <w:lang w:eastAsia="es-ES"/>
        </w:rPr>
        <w:t xml:space="preserve">a la solicitud de acceso a la información </w:t>
      </w:r>
      <w:r w:rsidRPr="004535C6">
        <w:rPr>
          <w:rFonts w:eastAsia="Palatino Linotype" w:cs="Palatino Linotype"/>
          <w:color w:val="auto"/>
        </w:rPr>
        <w:t>00216/TEXCOCO/IP/2024</w:t>
      </w:r>
      <w:r w:rsidRPr="004535C6">
        <w:rPr>
          <w:color w:val="0D0D0D"/>
          <w:lang w:eastAsia="es-ES"/>
        </w:rPr>
        <w:t xml:space="preserve">, </w:t>
      </w:r>
      <w:r w:rsidRPr="004535C6">
        <w:rPr>
          <w:color w:val="000000"/>
          <w:lang w:eastAsia="es-ES"/>
        </w:rPr>
        <w:t xml:space="preserve">por resultar </w:t>
      </w:r>
      <w:r w:rsidRPr="004535C6">
        <w:rPr>
          <w:b/>
          <w:color w:val="000000"/>
          <w:lang w:eastAsia="es-ES"/>
        </w:rPr>
        <w:t>INFUNDADAS</w:t>
      </w:r>
      <w:r w:rsidRPr="004535C6">
        <w:rPr>
          <w:color w:val="000000"/>
          <w:lang w:eastAsia="es-ES"/>
        </w:rPr>
        <w:t xml:space="preserve"> las razones o motivos de inconformidad hechas valer por el Recurrente, en términos de los Considerandos QUINTO y SEXTO de esta Resolución.</w:t>
      </w:r>
    </w:p>
    <w:p w14:paraId="1C049A1C" w14:textId="77777777" w:rsidR="005A67CA" w:rsidRPr="004535C6" w:rsidRDefault="005A67CA" w:rsidP="005A67CA">
      <w:pPr>
        <w:spacing w:after="0" w:line="360" w:lineRule="auto"/>
        <w:rPr>
          <w:color w:val="000000"/>
          <w:lang w:eastAsia="es-ES"/>
        </w:rPr>
      </w:pPr>
    </w:p>
    <w:p w14:paraId="7798ED13" w14:textId="77777777" w:rsidR="005A67CA" w:rsidRPr="004535C6" w:rsidRDefault="005A67CA" w:rsidP="005A67CA">
      <w:pPr>
        <w:spacing w:after="0" w:line="360" w:lineRule="auto"/>
        <w:rPr>
          <w:i/>
          <w:color w:val="000000"/>
          <w:lang w:eastAsia="es-ES"/>
        </w:rPr>
      </w:pPr>
      <w:r w:rsidRPr="004535C6">
        <w:rPr>
          <w:b/>
          <w:color w:val="000000"/>
          <w:lang w:eastAsia="es-ES"/>
        </w:rPr>
        <w:t xml:space="preserve">SEGUNDO. NOTIFÍQUESE POR SAIMEX </w:t>
      </w:r>
      <w:r w:rsidRPr="004535C6">
        <w:rPr>
          <w:color w:val="000000"/>
          <w:lang w:eastAsia="es-ES"/>
        </w:rPr>
        <w:t>la presente resolución al Titular de la Unidad de Transparencia del Sujeto Obligado.</w:t>
      </w:r>
    </w:p>
    <w:p w14:paraId="40CBE7FD" w14:textId="77777777" w:rsidR="005A67CA" w:rsidRPr="004535C6" w:rsidRDefault="005A67CA" w:rsidP="005A67CA">
      <w:pPr>
        <w:spacing w:after="0" w:line="360" w:lineRule="auto"/>
        <w:rPr>
          <w:color w:val="000000"/>
          <w:lang w:eastAsia="es-ES"/>
        </w:rPr>
      </w:pPr>
    </w:p>
    <w:p w14:paraId="698FB8F0" w14:textId="77777777" w:rsidR="005A67CA" w:rsidRPr="004535C6" w:rsidRDefault="005A67CA" w:rsidP="005A67CA">
      <w:pPr>
        <w:spacing w:after="0" w:line="360" w:lineRule="auto"/>
        <w:rPr>
          <w:color w:val="000000"/>
          <w:lang w:eastAsia="es-ES"/>
        </w:rPr>
      </w:pPr>
      <w:r w:rsidRPr="004535C6">
        <w:rPr>
          <w:b/>
          <w:color w:val="000000"/>
          <w:lang w:eastAsia="es-ES"/>
        </w:rPr>
        <w:t>TERCERO. NOTIFÍQUESE POR SAIMEX</w:t>
      </w:r>
      <w:r w:rsidRPr="004535C6">
        <w:rPr>
          <w:color w:val="000000"/>
          <w:lang w:eastAsia="es-E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7ACA719" w14:textId="77777777" w:rsidR="005A67CA" w:rsidRPr="004535C6" w:rsidRDefault="005A67CA" w:rsidP="00C60BFE">
      <w:pPr>
        <w:spacing w:after="0" w:line="360" w:lineRule="auto"/>
        <w:rPr>
          <w:rFonts w:eastAsia="Palatino Linotype" w:cs="Palatino Linotype"/>
          <w:color w:val="FF0000"/>
        </w:rPr>
      </w:pPr>
    </w:p>
    <w:p w14:paraId="30B8E5DF" w14:textId="103AEC8E" w:rsidR="00385B12" w:rsidRPr="005079FD" w:rsidRDefault="00385B12" w:rsidP="00C60BFE">
      <w:pPr>
        <w:spacing w:after="0" w:line="360" w:lineRule="auto"/>
        <w:rPr>
          <w:rFonts w:eastAsia="Calibri" w:cs="Tahoma"/>
          <w:color w:val="auto"/>
          <w:lang w:val="es-ES" w:eastAsia="es-ES_tradnl"/>
        </w:rPr>
      </w:pPr>
      <w:r w:rsidRPr="004535C6">
        <w:rPr>
          <w:rFonts w:eastAsia="Calibri" w:cs="Tahoma"/>
          <w:color w:val="auto"/>
          <w:lang w:val="es-ES" w:eastAsia="es-ES_tradnl"/>
        </w:rPr>
        <w:lastRenderedPageBreak/>
        <w:t xml:space="preserve">ASÍ LO RESUELVE, </w:t>
      </w:r>
      <w:r w:rsidRPr="004535C6">
        <w:rPr>
          <w:rFonts w:eastAsia="Calibri" w:cs="Tahoma"/>
          <w:b/>
          <w:bCs/>
          <w:color w:val="auto"/>
          <w:lang w:val="es-ES" w:eastAsia="es-ES_tradnl"/>
        </w:rPr>
        <w:t>POR UNANIMIDAD</w:t>
      </w:r>
      <w:r w:rsidRPr="004535C6">
        <w:rPr>
          <w:rFonts w:eastAsia="Calibri" w:cs="Tahoma"/>
          <w:color w:val="auto"/>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04AB0" w:rsidRPr="004535C6">
        <w:rPr>
          <w:rFonts w:eastAsia="Calibri" w:cs="Tahoma"/>
          <w:color w:val="auto"/>
          <w:lang w:val="es-ES" w:eastAsia="es-ES_tradnl"/>
        </w:rPr>
        <w:t>TRIGÉSIMA</w:t>
      </w:r>
      <w:r w:rsidR="00924F9C" w:rsidRPr="004535C6">
        <w:rPr>
          <w:rFonts w:eastAsia="Calibri" w:cs="Tahoma"/>
          <w:color w:val="auto"/>
          <w:lang w:val="es-ES" w:eastAsia="es-ES_tradnl"/>
        </w:rPr>
        <w:t xml:space="preserve"> </w:t>
      </w:r>
      <w:r w:rsidR="005079FD" w:rsidRPr="004535C6">
        <w:rPr>
          <w:rFonts w:eastAsia="Calibri" w:cs="Tahoma"/>
          <w:color w:val="auto"/>
          <w:lang w:val="es-ES" w:eastAsia="es-ES_tradnl"/>
        </w:rPr>
        <w:t>OCTAVA</w:t>
      </w:r>
      <w:r w:rsidR="00924F9C" w:rsidRPr="004535C6">
        <w:rPr>
          <w:rFonts w:eastAsia="Calibri" w:cs="Tahoma"/>
          <w:color w:val="auto"/>
          <w:lang w:val="es-ES" w:eastAsia="es-ES_tradnl"/>
        </w:rPr>
        <w:t xml:space="preserve"> </w:t>
      </w:r>
      <w:r w:rsidRPr="004535C6">
        <w:rPr>
          <w:rFonts w:eastAsia="Calibri" w:cs="Tahoma"/>
          <w:color w:val="auto"/>
          <w:lang w:val="es-ES" w:eastAsia="es-ES_tradnl"/>
        </w:rPr>
        <w:t>SESIÓN ORDINARIA, CELEBRADA EL</w:t>
      </w:r>
      <w:r w:rsidR="00924F9C" w:rsidRPr="004535C6">
        <w:rPr>
          <w:rFonts w:eastAsia="Calibri" w:cs="Tahoma"/>
          <w:color w:val="auto"/>
          <w:lang w:val="es-ES" w:eastAsia="es-ES_tradnl"/>
        </w:rPr>
        <w:t xml:space="preserve"> </w:t>
      </w:r>
      <w:r w:rsidR="005079FD" w:rsidRPr="004535C6">
        <w:rPr>
          <w:rFonts w:eastAsia="Calibri" w:cs="Tahoma"/>
          <w:color w:val="auto"/>
          <w:lang w:val="es-ES" w:eastAsia="es-ES_tradnl"/>
        </w:rPr>
        <w:t>SEIS</w:t>
      </w:r>
      <w:r w:rsidR="00924F9C" w:rsidRPr="004535C6">
        <w:rPr>
          <w:rFonts w:eastAsia="Calibri" w:cs="Tahoma"/>
          <w:color w:val="auto"/>
          <w:lang w:val="es-ES" w:eastAsia="es-ES_tradnl"/>
        </w:rPr>
        <w:t xml:space="preserve"> DE </w:t>
      </w:r>
      <w:r w:rsidR="005079FD" w:rsidRPr="004535C6">
        <w:rPr>
          <w:rFonts w:eastAsia="Calibri" w:cs="Tahoma"/>
          <w:color w:val="auto"/>
          <w:lang w:val="es-ES" w:eastAsia="es-ES_tradnl"/>
        </w:rPr>
        <w:t>NOVIEMBRE</w:t>
      </w:r>
      <w:r w:rsidR="00924F9C" w:rsidRPr="004535C6">
        <w:rPr>
          <w:rFonts w:eastAsia="Calibri" w:cs="Tahoma"/>
          <w:color w:val="auto"/>
          <w:lang w:val="es-ES" w:eastAsia="es-ES_tradnl"/>
        </w:rPr>
        <w:t xml:space="preserve"> </w:t>
      </w:r>
      <w:r w:rsidRPr="004535C6">
        <w:rPr>
          <w:rFonts w:eastAsia="Calibri" w:cs="Tahoma"/>
          <w:color w:val="auto"/>
          <w:lang w:val="es-ES" w:eastAsia="es-ES_tradnl"/>
        </w:rPr>
        <w:t>DE DOS MIL VEINTI</w:t>
      </w:r>
      <w:r w:rsidR="00804AB0" w:rsidRPr="004535C6">
        <w:rPr>
          <w:rFonts w:eastAsia="Calibri" w:cs="Tahoma"/>
          <w:color w:val="auto"/>
          <w:lang w:val="es-ES" w:eastAsia="es-ES_tradnl"/>
        </w:rPr>
        <w:t>CUATRO</w:t>
      </w:r>
      <w:r w:rsidRPr="004535C6">
        <w:rPr>
          <w:rFonts w:eastAsia="Calibri" w:cs="Tahoma"/>
          <w:color w:val="auto"/>
          <w:lang w:val="es-ES" w:eastAsia="es-ES_tradnl"/>
        </w:rPr>
        <w:t>, ANTE EL SECRETARIO TÉCNICO DEL PLENO, ALEXIS TAPIA RAMÍREZ.</w:t>
      </w:r>
    </w:p>
    <w:p w14:paraId="71A46B6C" w14:textId="536BFB78" w:rsidR="00FB2C7D" w:rsidRPr="005079FD" w:rsidRDefault="00FB2C7D" w:rsidP="00C60BFE">
      <w:pPr>
        <w:spacing w:after="0" w:line="360" w:lineRule="auto"/>
        <w:jc w:val="left"/>
        <w:rPr>
          <w:color w:val="auto"/>
        </w:rPr>
      </w:pPr>
    </w:p>
    <w:p w14:paraId="37846194" w14:textId="6CA0443A" w:rsidR="00FB2C7D" w:rsidRPr="005079FD" w:rsidRDefault="00FB2C7D" w:rsidP="00C60BFE">
      <w:pPr>
        <w:spacing w:after="0" w:line="360" w:lineRule="auto"/>
        <w:rPr>
          <w:color w:val="auto"/>
        </w:rPr>
      </w:pPr>
    </w:p>
    <w:p w14:paraId="5B6660A0" w14:textId="0195C833" w:rsidR="00FB2C7D" w:rsidRPr="005079FD" w:rsidRDefault="00FB2C7D" w:rsidP="00C60BFE">
      <w:pPr>
        <w:spacing w:after="0" w:line="360" w:lineRule="auto"/>
        <w:rPr>
          <w:color w:val="auto"/>
        </w:rPr>
      </w:pPr>
    </w:p>
    <w:p w14:paraId="6A2DF97B" w14:textId="00C8E34B" w:rsidR="00FB2C7D" w:rsidRPr="00324DBC" w:rsidRDefault="00FB2C7D" w:rsidP="00C60BFE">
      <w:pPr>
        <w:spacing w:after="0" w:line="360" w:lineRule="auto"/>
        <w:rPr>
          <w:color w:val="FF0000"/>
        </w:rPr>
      </w:pPr>
    </w:p>
    <w:p w14:paraId="35C459A3" w14:textId="48AF8E31" w:rsidR="00FB2C7D" w:rsidRPr="00324DBC" w:rsidRDefault="00FB2C7D" w:rsidP="00C60BFE">
      <w:pPr>
        <w:spacing w:after="0" w:line="360" w:lineRule="auto"/>
        <w:rPr>
          <w:color w:val="FF0000"/>
        </w:rPr>
      </w:pPr>
    </w:p>
    <w:p w14:paraId="11EEDA26" w14:textId="1333B04F" w:rsidR="00FB2C7D" w:rsidRPr="00324DBC" w:rsidRDefault="00FB2C7D" w:rsidP="00C60BFE">
      <w:pPr>
        <w:spacing w:after="0" w:line="360" w:lineRule="auto"/>
        <w:rPr>
          <w:color w:val="FF0000"/>
        </w:rPr>
      </w:pPr>
    </w:p>
    <w:p w14:paraId="40FF8BA2" w14:textId="269CA3E3" w:rsidR="00FB2C7D" w:rsidRPr="00324DBC" w:rsidRDefault="00FB2C7D" w:rsidP="00C60BFE">
      <w:pPr>
        <w:spacing w:after="0" w:line="360" w:lineRule="auto"/>
        <w:rPr>
          <w:color w:val="FF0000"/>
        </w:rPr>
      </w:pPr>
    </w:p>
    <w:p w14:paraId="624813BB" w14:textId="0229C5BA" w:rsidR="00FB2C7D" w:rsidRPr="00324DBC" w:rsidRDefault="00FB2C7D" w:rsidP="00C60BFE">
      <w:pPr>
        <w:spacing w:after="0" w:line="360" w:lineRule="auto"/>
        <w:rPr>
          <w:color w:val="FF0000"/>
        </w:rPr>
      </w:pPr>
    </w:p>
    <w:p w14:paraId="17932D6A" w14:textId="044201DF" w:rsidR="00FB2C7D" w:rsidRPr="00324DBC" w:rsidRDefault="00FB2C7D" w:rsidP="00C60BFE">
      <w:pPr>
        <w:spacing w:after="0" w:line="360" w:lineRule="auto"/>
        <w:rPr>
          <w:color w:val="FF0000"/>
        </w:rPr>
      </w:pPr>
    </w:p>
    <w:p w14:paraId="734E81A1" w14:textId="25CFF17B" w:rsidR="00FB2C7D" w:rsidRPr="00324DBC" w:rsidRDefault="00FB2C7D" w:rsidP="00C60BFE">
      <w:pPr>
        <w:spacing w:after="0" w:line="360" w:lineRule="auto"/>
        <w:rPr>
          <w:color w:val="FF0000"/>
        </w:rPr>
      </w:pPr>
    </w:p>
    <w:p w14:paraId="356FB60E" w14:textId="19A7FDAC" w:rsidR="00FB2C7D" w:rsidRPr="00324DBC" w:rsidRDefault="00FB2C7D" w:rsidP="00C60BFE">
      <w:pPr>
        <w:spacing w:after="0" w:line="360" w:lineRule="auto"/>
        <w:rPr>
          <w:color w:val="FF0000"/>
        </w:rPr>
      </w:pPr>
    </w:p>
    <w:p w14:paraId="5CBB6701" w14:textId="1C6B820F" w:rsidR="00FB2C7D" w:rsidRPr="00324DBC" w:rsidRDefault="00FB2C7D" w:rsidP="00C60BFE">
      <w:pPr>
        <w:spacing w:after="0" w:line="360" w:lineRule="auto"/>
        <w:rPr>
          <w:color w:val="FF0000"/>
        </w:rPr>
      </w:pPr>
    </w:p>
    <w:p w14:paraId="6369341E" w14:textId="77777777" w:rsidR="00FB2C7D" w:rsidRPr="00324DBC" w:rsidRDefault="00FB2C7D" w:rsidP="00C60BFE">
      <w:pPr>
        <w:spacing w:after="0" w:line="360" w:lineRule="auto"/>
        <w:rPr>
          <w:color w:val="FF0000"/>
        </w:rPr>
      </w:pPr>
    </w:p>
    <w:p w14:paraId="704E8EE7" w14:textId="77777777" w:rsidR="00D1003E" w:rsidRPr="00324DBC" w:rsidRDefault="00D1003E" w:rsidP="00C60BFE">
      <w:pPr>
        <w:spacing w:after="0" w:line="360" w:lineRule="auto"/>
        <w:rPr>
          <w:color w:val="FF0000"/>
        </w:rPr>
      </w:pPr>
    </w:p>
    <w:p w14:paraId="283894E4" w14:textId="77777777" w:rsidR="00D1003E" w:rsidRPr="00324DBC" w:rsidRDefault="00D1003E" w:rsidP="00C60BFE">
      <w:pPr>
        <w:spacing w:after="0" w:line="360" w:lineRule="auto"/>
        <w:rPr>
          <w:color w:val="FF0000"/>
        </w:rPr>
      </w:pPr>
    </w:p>
    <w:p w14:paraId="38C89938" w14:textId="77777777" w:rsidR="00D1003E" w:rsidRPr="00324DBC" w:rsidRDefault="00D1003E" w:rsidP="00C60BFE">
      <w:pPr>
        <w:spacing w:after="0" w:line="360" w:lineRule="auto"/>
        <w:rPr>
          <w:color w:val="FF0000"/>
        </w:rPr>
      </w:pPr>
    </w:p>
    <w:p w14:paraId="6EFB9DAA" w14:textId="77777777" w:rsidR="00D1003E" w:rsidRDefault="00D1003E" w:rsidP="00C60BFE">
      <w:pPr>
        <w:spacing w:after="0" w:line="360" w:lineRule="auto"/>
        <w:rPr>
          <w:color w:val="FF0000"/>
        </w:rPr>
      </w:pPr>
    </w:p>
    <w:p w14:paraId="68FAC413" w14:textId="77777777" w:rsidR="001F1E84" w:rsidRDefault="001F1E84" w:rsidP="00C60BFE">
      <w:pPr>
        <w:spacing w:after="0" w:line="360" w:lineRule="auto"/>
        <w:rPr>
          <w:color w:val="FF0000"/>
        </w:rPr>
      </w:pPr>
    </w:p>
    <w:p w14:paraId="774104EF" w14:textId="77777777" w:rsidR="001F1E84" w:rsidRDefault="001F1E84" w:rsidP="00C60BFE">
      <w:pPr>
        <w:spacing w:after="0" w:line="360" w:lineRule="auto"/>
        <w:rPr>
          <w:color w:val="FF0000"/>
        </w:rPr>
      </w:pPr>
    </w:p>
    <w:p w14:paraId="14674494" w14:textId="77777777" w:rsidR="001F1E84" w:rsidRPr="00324DBC" w:rsidRDefault="001F1E84" w:rsidP="00C60BFE">
      <w:pPr>
        <w:spacing w:after="0" w:line="360" w:lineRule="auto"/>
        <w:rPr>
          <w:color w:val="FF0000"/>
        </w:rPr>
      </w:pPr>
    </w:p>
    <w:p w14:paraId="373FE420" w14:textId="77777777" w:rsidR="00D1003E" w:rsidRPr="00324DBC" w:rsidRDefault="00D1003E" w:rsidP="00C60BFE">
      <w:pPr>
        <w:spacing w:after="0" w:line="360" w:lineRule="auto"/>
        <w:rPr>
          <w:color w:val="FF0000"/>
        </w:rPr>
      </w:pPr>
    </w:p>
    <w:p w14:paraId="3907AA72" w14:textId="77777777" w:rsidR="00D1003E" w:rsidRPr="00324DBC" w:rsidRDefault="00D1003E" w:rsidP="00C60BFE">
      <w:pPr>
        <w:spacing w:after="0" w:line="360" w:lineRule="auto"/>
        <w:rPr>
          <w:color w:val="FF0000"/>
        </w:rPr>
      </w:pPr>
    </w:p>
    <w:sectPr w:rsidR="00D1003E" w:rsidRPr="00324DBC" w:rsidSect="00711973">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AD94" w14:textId="77777777" w:rsidR="00D24111" w:rsidRDefault="00D24111" w:rsidP="00066B31">
      <w:pPr>
        <w:spacing w:after="0" w:line="240" w:lineRule="auto"/>
      </w:pPr>
      <w:r>
        <w:separator/>
      </w:r>
    </w:p>
  </w:endnote>
  <w:endnote w:type="continuationSeparator" w:id="0">
    <w:p w14:paraId="306231D1" w14:textId="77777777" w:rsidR="00D24111" w:rsidRDefault="00D24111" w:rsidP="0006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404013"/>
      <w:docPartObj>
        <w:docPartGallery w:val="Page Numbers (Bottom of Page)"/>
        <w:docPartUnique/>
      </w:docPartObj>
    </w:sdtPr>
    <w:sdtContent>
      <w:sdt>
        <w:sdtPr>
          <w:id w:val="1114872018"/>
          <w:docPartObj>
            <w:docPartGallery w:val="Page Numbers (Top of Page)"/>
            <w:docPartUnique/>
          </w:docPartObj>
        </w:sdtPr>
        <w:sdtContent>
          <w:p w14:paraId="7E37BAE9" w14:textId="77777777" w:rsidR="006943D5" w:rsidRDefault="006943D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14:paraId="3B0A68EB" w14:textId="77777777" w:rsidR="006943D5" w:rsidRDefault="006943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871782"/>
      <w:docPartObj>
        <w:docPartGallery w:val="Page Numbers (Bottom of Page)"/>
        <w:docPartUnique/>
      </w:docPartObj>
    </w:sdtPr>
    <w:sdtContent>
      <w:sdt>
        <w:sdtPr>
          <w:id w:val="1890534867"/>
          <w:docPartObj>
            <w:docPartGallery w:val="Page Numbers (Top of Page)"/>
            <w:docPartUnique/>
          </w:docPartObj>
        </w:sdtPr>
        <w:sdtContent>
          <w:p w14:paraId="3CFCA135" w14:textId="77777777" w:rsidR="006943D5" w:rsidRDefault="006943D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1E84">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1E84">
              <w:rPr>
                <w:b/>
                <w:bCs/>
                <w:noProof/>
              </w:rPr>
              <w:t>24</w:t>
            </w:r>
            <w:r>
              <w:rPr>
                <w:b/>
                <w:bCs/>
                <w:sz w:val="24"/>
                <w:szCs w:val="24"/>
              </w:rPr>
              <w:fldChar w:fldCharType="end"/>
            </w:r>
          </w:p>
        </w:sdtContent>
      </w:sdt>
    </w:sdtContent>
  </w:sdt>
  <w:p w14:paraId="42C147CB" w14:textId="77777777" w:rsidR="006943D5" w:rsidRDefault="006943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006442"/>
      <w:docPartObj>
        <w:docPartGallery w:val="Page Numbers (Bottom of Page)"/>
        <w:docPartUnique/>
      </w:docPartObj>
    </w:sdtPr>
    <w:sdtContent>
      <w:sdt>
        <w:sdtPr>
          <w:id w:val="-1769616900"/>
          <w:docPartObj>
            <w:docPartGallery w:val="Page Numbers (Top of Page)"/>
            <w:docPartUnique/>
          </w:docPartObj>
        </w:sdtPr>
        <w:sdtContent>
          <w:p w14:paraId="1BEE5584" w14:textId="77777777" w:rsidR="006943D5" w:rsidRDefault="006943D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9468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4689">
              <w:rPr>
                <w:b/>
                <w:bCs/>
                <w:noProof/>
              </w:rPr>
              <w:t>23</w:t>
            </w:r>
            <w:r>
              <w:rPr>
                <w:b/>
                <w:bCs/>
                <w:sz w:val="24"/>
                <w:szCs w:val="24"/>
              </w:rPr>
              <w:fldChar w:fldCharType="end"/>
            </w:r>
          </w:p>
        </w:sdtContent>
      </w:sdt>
    </w:sdtContent>
  </w:sdt>
  <w:p w14:paraId="21537CF3" w14:textId="77777777" w:rsidR="006943D5" w:rsidRDefault="006943D5" w:rsidP="00711973">
    <w:pPr>
      <w:pStyle w:val="Piedepgina"/>
      <w:tabs>
        <w:tab w:val="clear" w:pos="4419"/>
        <w:tab w:val="clear" w:pos="8838"/>
        <w:tab w:val="left" w:pos="39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C9D8" w14:textId="77777777" w:rsidR="00D24111" w:rsidRDefault="00D24111" w:rsidP="00066B31">
      <w:pPr>
        <w:spacing w:after="0" w:line="240" w:lineRule="auto"/>
      </w:pPr>
      <w:r>
        <w:separator/>
      </w:r>
    </w:p>
  </w:footnote>
  <w:footnote w:type="continuationSeparator" w:id="0">
    <w:p w14:paraId="700436EE" w14:textId="77777777" w:rsidR="00D24111" w:rsidRDefault="00D24111" w:rsidP="0006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Layout w:type="fixed"/>
      <w:tblLook w:val="04A0" w:firstRow="1" w:lastRow="0" w:firstColumn="1" w:lastColumn="0" w:noHBand="0" w:noVBand="1"/>
    </w:tblPr>
    <w:tblGrid>
      <w:gridCol w:w="3260"/>
      <w:gridCol w:w="6730"/>
    </w:tblGrid>
    <w:tr w:rsidR="006943D5" w:rsidRPr="008C644E" w14:paraId="04C853ED" w14:textId="77777777" w:rsidTr="00711973">
      <w:trPr>
        <w:trHeight w:val="1435"/>
      </w:trPr>
      <w:tc>
        <w:tcPr>
          <w:tcW w:w="3261" w:type="dxa"/>
        </w:tcPr>
        <w:p w14:paraId="0C7EB462" w14:textId="77777777" w:rsidR="006943D5" w:rsidRPr="008C644E" w:rsidRDefault="006943D5" w:rsidP="00711973">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6943D5" w:rsidRPr="008C644E" w14:paraId="3C8FA9F1" w14:textId="77777777" w:rsidTr="00711973">
            <w:trPr>
              <w:trHeight w:val="144"/>
            </w:trPr>
            <w:tc>
              <w:tcPr>
                <w:tcW w:w="2559" w:type="dxa"/>
                <w:hideMark/>
              </w:tcPr>
              <w:p w14:paraId="73DACB1F" w14:textId="77777777" w:rsidR="006943D5" w:rsidRPr="008C644E" w:rsidRDefault="006943D5" w:rsidP="00711973">
                <w:pPr>
                  <w:pStyle w:val="Encabezado"/>
                  <w:rPr>
                    <w:b/>
                  </w:rPr>
                </w:pPr>
                <w:r w:rsidRPr="008C644E">
                  <w:rPr>
                    <w:b/>
                  </w:rPr>
                  <w:t>Recurso de Revisión:</w:t>
                </w:r>
              </w:p>
            </w:tc>
            <w:tc>
              <w:tcPr>
                <w:tcW w:w="3259" w:type="dxa"/>
                <w:hideMark/>
              </w:tcPr>
              <w:p w14:paraId="2BAF54F5" w14:textId="77777777" w:rsidR="006943D5" w:rsidRPr="008C644E" w:rsidRDefault="006943D5" w:rsidP="00711973">
                <w:pPr>
                  <w:pStyle w:val="Encabezado"/>
                </w:pPr>
                <w:r>
                  <w:t>01206/INFOEM/IP/RR/2022</w:t>
                </w:r>
              </w:p>
            </w:tc>
            <w:tc>
              <w:tcPr>
                <w:tcW w:w="3402" w:type="dxa"/>
              </w:tcPr>
              <w:p w14:paraId="005AF5AD" w14:textId="77777777" w:rsidR="006943D5" w:rsidRPr="008C644E" w:rsidRDefault="006943D5" w:rsidP="00711973">
                <w:pPr>
                  <w:pStyle w:val="Encabezado"/>
                  <w:rPr>
                    <w:bCs/>
                  </w:rPr>
                </w:pPr>
              </w:p>
            </w:tc>
          </w:tr>
          <w:tr w:rsidR="006943D5" w:rsidRPr="008C644E" w14:paraId="266F92FA" w14:textId="77777777" w:rsidTr="00711973">
            <w:trPr>
              <w:trHeight w:val="283"/>
            </w:trPr>
            <w:tc>
              <w:tcPr>
                <w:tcW w:w="2559" w:type="dxa"/>
                <w:hideMark/>
              </w:tcPr>
              <w:p w14:paraId="6E774FF3" w14:textId="77777777" w:rsidR="006943D5" w:rsidRPr="008C644E" w:rsidRDefault="006943D5" w:rsidP="00711973">
                <w:pPr>
                  <w:pStyle w:val="Encabezado"/>
                  <w:rPr>
                    <w:b/>
                  </w:rPr>
                </w:pPr>
                <w:r w:rsidRPr="008C644E">
                  <w:rPr>
                    <w:b/>
                  </w:rPr>
                  <w:t>Sujeto Obligado:</w:t>
                </w:r>
              </w:p>
            </w:tc>
            <w:tc>
              <w:tcPr>
                <w:tcW w:w="3259" w:type="dxa"/>
                <w:hideMark/>
              </w:tcPr>
              <w:p w14:paraId="72431DDA" w14:textId="11AF2492" w:rsidR="006943D5" w:rsidRPr="008C644E" w:rsidRDefault="006943D5" w:rsidP="00711973">
                <w:pPr>
                  <w:pStyle w:val="Encabezado"/>
                </w:pPr>
                <w:r w:rsidRPr="008C644E">
                  <w:rPr>
                    <w:lang w:val="es-MX"/>
                  </w:rPr>
                  <w:t>Ayuntamiento</w:t>
                </w:r>
                <w:r>
                  <w:rPr>
                    <w:lang w:val="es-MX"/>
                  </w:rPr>
                  <w:t xml:space="preserve"> de</w:t>
                </w:r>
                <w:r w:rsidRPr="008C644E">
                  <w:rPr>
                    <w:lang w:val="es-MX"/>
                  </w:rPr>
                  <w:t xml:space="preserve"> </w:t>
                </w:r>
                <w:r>
                  <w:rPr>
                    <w:lang w:val="es-MX"/>
                  </w:rPr>
                  <w:t>Tezoyuca</w:t>
                </w:r>
              </w:p>
            </w:tc>
            <w:tc>
              <w:tcPr>
                <w:tcW w:w="3402" w:type="dxa"/>
              </w:tcPr>
              <w:p w14:paraId="13DD28B6" w14:textId="77777777" w:rsidR="006943D5" w:rsidRPr="008C644E" w:rsidRDefault="006943D5" w:rsidP="00711973">
                <w:pPr>
                  <w:pStyle w:val="Encabezado"/>
                </w:pPr>
              </w:p>
            </w:tc>
          </w:tr>
          <w:tr w:rsidR="006943D5" w:rsidRPr="008C644E" w14:paraId="1F447167" w14:textId="77777777" w:rsidTr="00711973">
            <w:trPr>
              <w:trHeight w:val="283"/>
            </w:trPr>
            <w:tc>
              <w:tcPr>
                <w:tcW w:w="2559" w:type="dxa"/>
                <w:hideMark/>
              </w:tcPr>
              <w:p w14:paraId="216657E4" w14:textId="77777777" w:rsidR="006943D5" w:rsidRPr="008C644E" w:rsidRDefault="006943D5" w:rsidP="00711973">
                <w:pPr>
                  <w:pStyle w:val="Encabezado"/>
                  <w:rPr>
                    <w:b/>
                  </w:rPr>
                </w:pPr>
                <w:r w:rsidRPr="008C644E">
                  <w:rPr>
                    <w:b/>
                  </w:rPr>
                  <w:t xml:space="preserve">Comisionado Ponente: </w:t>
                </w:r>
              </w:p>
            </w:tc>
            <w:tc>
              <w:tcPr>
                <w:tcW w:w="3259" w:type="dxa"/>
                <w:hideMark/>
              </w:tcPr>
              <w:p w14:paraId="6E467BD9" w14:textId="77777777" w:rsidR="006943D5" w:rsidRPr="008C644E" w:rsidRDefault="006943D5" w:rsidP="00711973">
                <w:pPr>
                  <w:pStyle w:val="Encabezado"/>
                  <w:rPr>
                    <w:b/>
                  </w:rPr>
                </w:pPr>
                <w:r w:rsidRPr="008C644E">
                  <w:t>Luis Gustavo Parra Noriega</w:t>
                </w:r>
              </w:p>
            </w:tc>
            <w:tc>
              <w:tcPr>
                <w:tcW w:w="3402" w:type="dxa"/>
              </w:tcPr>
              <w:p w14:paraId="210A329D" w14:textId="77777777" w:rsidR="006943D5" w:rsidRPr="008C644E" w:rsidRDefault="006943D5" w:rsidP="00711973">
                <w:pPr>
                  <w:pStyle w:val="Encabezado"/>
                </w:pPr>
              </w:p>
            </w:tc>
          </w:tr>
        </w:tbl>
        <w:p w14:paraId="1FBF3105" w14:textId="77777777" w:rsidR="006943D5" w:rsidRPr="008C644E" w:rsidRDefault="006943D5" w:rsidP="00711973">
          <w:pPr>
            <w:pStyle w:val="Encabezado"/>
            <w:rPr>
              <w:b/>
            </w:rPr>
          </w:pPr>
        </w:p>
      </w:tc>
    </w:tr>
  </w:tbl>
  <w:p w14:paraId="14486D0A" w14:textId="77777777" w:rsidR="006943D5" w:rsidRDefault="00000000">
    <w:pPr>
      <w:pStyle w:val="Encabezado"/>
    </w:pPr>
    <w:r>
      <w:rPr>
        <w:noProof/>
      </w:rPr>
      <w:pict w14:anchorId="762E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1027"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68" w:type="dxa"/>
      <w:tblLayout w:type="fixed"/>
      <w:tblLook w:val="04A0" w:firstRow="1" w:lastRow="0" w:firstColumn="1" w:lastColumn="0" w:noHBand="0" w:noVBand="1"/>
    </w:tblPr>
    <w:tblGrid>
      <w:gridCol w:w="2336"/>
      <w:gridCol w:w="6932"/>
    </w:tblGrid>
    <w:tr w:rsidR="006943D5" w14:paraId="4EA32E14" w14:textId="77777777" w:rsidTr="00A754C2">
      <w:trPr>
        <w:trHeight w:val="1461"/>
      </w:trPr>
      <w:tc>
        <w:tcPr>
          <w:tcW w:w="2336" w:type="dxa"/>
        </w:tcPr>
        <w:p w14:paraId="423C2A31" w14:textId="77777777" w:rsidR="006943D5" w:rsidRDefault="006943D5" w:rsidP="00711973">
          <w:pPr>
            <w:tabs>
              <w:tab w:val="right" w:pos="4273"/>
            </w:tabs>
            <w:spacing w:line="256" w:lineRule="auto"/>
            <w:rPr>
              <w:rFonts w:ascii="Garamond" w:eastAsia="Calibri" w:hAnsi="Garamond"/>
              <w:color w:val="auto"/>
            </w:rPr>
          </w:pPr>
        </w:p>
      </w:tc>
      <w:tc>
        <w:tcPr>
          <w:tcW w:w="6932" w:type="dxa"/>
          <w:hideMark/>
        </w:tcPr>
        <w:p w14:paraId="192B639C" w14:textId="77777777" w:rsidR="006943D5" w:rsidRDefault="006943D5"/>
        <w:tbl>
          <w:tblPr>
            <w:tblStyle w:val="Tablaconcuadrcula"/>
            <w:tblW w:w="9343"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35"/>
            <w:gridCol w:w="3204"/>
            <w:gridCol w:w="3504"/>
          </w:tblGrid>
          <w:tr w:rsidR="006943D5" w14:paraId="4460AAC6" w14:textId="77777777" w:rsidTr="00A754C2">
            <w:trPr>
              <w:trHeight w:val="146"/>
            </w:trPr>
            <w:tc>
              <w:tcPr>
                <w:tcW w:w="2635" w:type="dxa"/>
                <w:hideMark/>
              </w:tcPr>
              <w:p w14:paraId="309907ED" w14:textId="77777777" w:rsidR="006943D5" w:rsidRDefault="006943D5" w:rsidP="00711973">
                <w:pPr>
                  <w:tabs>
                    <w:tab w:val="right" w:pos="8838"/>
                  </w:tabs>
                  <w:ind w:left="-74" w:right="-105"/>
                  <w:rPr>
                    <w:rFonts w:eastAsia="Calibri" w:cs="Tahoma"/>
                    <w:b/>
                  </w:rPr>
                </w:pPr>
                <w:bookmarkStart w:id="4" w:name="_Hlk12526980"/>
                <w:r>
                  <w:rPr>
                    <w:rFonts w:eastAsia="Calibri" w:cs="Tahoma"/>
                    <w:b/>
                  </w:rPr>
                  <w:t>Recurso de Revisión:</w:t>
                </w:r>
              </w:p>
            </w:tc>
            <w:tc>
              <w:tcPr>
                <w:tcW w:w="3204" w:type="dxa"/>
                <w:hideMark/>
              </w:tcPr>
              <w:p w14:paraId="79D1E809" w14:textId="7F9A3871" w:rsidR="006943D5" w:rsidRDefault="006943D5" w:rsidP="00711973">
                <w:pPr>
                  <w:tabs>
                    <w:tab w:val="right" w:pos="8838"/>
                  </w:tabs>
                  <w:ind w:left="-74" w:right="-105"/>
                  <w:rPr>
                    <w:rFonts w:eastAsia="Calibri" w:cs="Tahoma"/>
                    <w:bCs/>
                  </w:rPr>
                </w:pPr>
                <w:r>
                  <w:t>0</w:t>
                </w:r>
                <w:r w:rsidR="00505A75">
                  <w:t>5</w:t>
                </w:r>
                <w:r w:rsidR="00CD65AF">
                  <w:t>996</w:t>
                </w:r>
                <w:r w:rsidRPr="00E94F51">
                  <w:t>/INFOEM/IP/RR/2024</w:t>
                </w:r>
              </w:p>
            </w:tc>
            <w:tc>
              <w:tcPr>
                <w:tcW w:w="3504" w:type="dxa"/>
              </w:tcPr>
              <w:p w14:paraId="04BF926A" w14:textId="77777777" w:rsidR="006943D5" w:rsidRDefault="006943D5" w:rsidP="00711973">
                <w:pPr>
                  <w:tabs>
                    <w:tab w:val="right" w:pos="8838"/>
                  </w:tabs>
                  <w:ind w:left="-74" w:right="-105"/>
                  <w:rPr>
                    <w:rFonts w:eastAsia="Calibri" w:cs="Tahoma"/>
                    <w:bCs/>
                  </w:rPr>
                </w:pPr>
              </w:p>
            </w:tc>
            <w:bookmarkEnd w:id="4"/>
          </w:tr>
          <w:tr w:rsidR="006943D5" w14:paraId="2B8E7492" w14:textId="77777777" w:rsidTr="00A754C2">
            <w:trPr>
              <w:trHeight w:val="288"/>
            </w:trPr>
            <w:tc>
              <w:tcPr>
                <w:tcW w:w="2635" w:type="dxa"/>
                <w:hideMark/>
              </w:tcPr>
              <w:p w14:paraId="4B844598" w14:textId="77777777" w:rsidR="006943D5" w:rsidRDefault="006943D5" w:rsidP="00F83D60">
                <w:pPr>
                  <w:tabs>
                    <w:tab w:val="right" w:pos="8838"/>
                  </w:tabs>
                  <w:ind w:left="-74" w:right="-105"/>
                  <w:rPr>
                    <w:rFonts w:eastAsia="Calibri" w:cs="Tahoma"/>
                    <w:b/>
                  </w:rPr>
                </w:pPr>
                <w:r>
                  <w:rPr>
                    <w:rFonts w:eastAsia="Calibri" w:cs="Tahoma"/>
                    <w:b/>
                  </w:rPr>
                  <w:t>Sujeto Obligado:</w:t>
                </w:r>
              </w:p>
            </w:tc>
            <w:tc>
              <w:tcPr>
                <w:tcW w:w="3204" w:type="dxa"/>
                <w:hideMark/>
              </w:tcPr>
              <w:p w14:paraId="2C6EC5FD" w14:textId="042F9AC7" w:rsidR="006943D5" w:rsidRPr="008C644E" w:rsidRDefault="00CD65AF" w:rsidP="00505A75">
                <w:pPr>
                  <w:tabs>
                    <w:tab w:val="right" w:pos="8838"/>
                  </w:tabs>
                  <w:ind w:left="-74" w:right="-105"/>
                  <w:rPr>
                    <w:rFonts w:eastAsia="Calibri" w:cs="Tahoma"/>
                  </w:rPr>
                </w:pPr>
                <w:r>
                  <w:rPr>
                    <w:rFonts w:eastAsia="Calibri" w:cs="Tahoma"/>
                  </w:rPr>
                  <w:t>Ayuntamiento de Texcoco</w:t>
                </w:r>
              </w:p>
            </w:tc>
            <w:tc>
              <w:tcPr>
                <w:tcW w:w="3504" w:type="dxa"/>
              </w:tcPr>
              <w:p w14:paraId="30AE58B9" w14:textId="302D288A" w:rsidR="006943D5" w:rsidRDefault="006943D5" w:rsidP="00F83D60">
                <w:pPr>
                  <w:tabs>
                    <w:tab w:val="left" w:pos="2834"/>
                    <w:tab w:val="right" w:pos="8838"/>
                  </w:tabs>
                  <w:ind w:left="-74" w:right="-105"/>
                  <w:rPr>
                    <w:rFonts w:eastAsia="Calibri" w:cs="Tahoma"/>
                  </w:rPr>
                </w:pPr>
              </w:p>
            </w:tc>
          </w:tr>
          <w:tr w:rsidR="006943D5" w14:paraId="4CA944CC" w14:textId="77777777" w:rsidTr="00A754C2">
            <w:trPr>
              <w:trHeight w:val="288"/>
            </w:trPr>
            <w:tc>
              <w:tcPr>
                <w:tcW w:w="2635" w:type="dxa"/>
                <w:hideMark/>
              </w:tcPr>
              <w:p w14:paraId="131AC3D5" w14:textId="77777777" w:rsidR="006943D5" w:rsidRDefault="006943D5" w:rsidP="00711973">
                <w:pPr>
                  <w:tabs>
                    <w:tab w:val="right" w:pos="8838"/>
                  </w:tabs>
                  <w:ind w:left="-74" w:right="-105"/>
                  <w:rPr>
                    <w:rFonts w:eastAsia="Calibri" w:cs="Tahoma"/>
                    <w:b/>
                  </w:rPr>
                </w:pPr>
                <w:r>
                  <w:rPr>
                    <w:rFonts w:eastAsia="Calibri" w:cs="Tahoma"/>
                    <w:b/>
                  </w:rPr>
                  <w:t xml:space="preserve">Comisionado Ponente: </w:t>
                </w:r>
              </w:p>
            </w:tc>
            <w:tc>
              <w:tcPr>
                <w:tcW w:w="3204" w:type="dxa"/>
                <w:hideMark/>
              </w:tcPr>
              <w:p w14:paraId="04D77E1A" w14:textId="77777777" w:rsidR="006943D5" w:rsidRDefault="006943D5" w:rsidP="00711973">
                <w:pPr>
                  <w:tabs>
                    <w:tab w:val="right" w:pos="8838"/>
                  </w:tabs>
                  <w:ind w:left="-74" w:right="-105"/>
                  <w:rPr>
                    <w:rFonts w:eastAsia="Calibri" w:cs="Tahoma"/>
                    <w:b/>
                  </w:rPr>
                </w:pPr>
                <w:r>
                  <w:rPr>
                    <w:rFonts w:eastAsia="Calibri" w:cs="Tahoma"/>
                  </w:rPr>
                  <w:t>Luis Gustavo Parra Noriega</w:t>
                </w:r>
              </w:p>
            </w:tc>
            <w:tc>
              <w:tcPr>
                <w:tcW w:w="3504" w:type="dxa"/>
              </w:tcPr>
              <w:p w14:paraId="5A0D5601" w14:textId="77777777" w:rsidR="006943D5" w:rsidRDefault="006943D5" w:rsidP="00711973">
                <w:pPr>
                  <w:tabs>
                    <w:tab w:val="right" w:pos="8838"/>
                  </w:tabs>
                  <w:ind w:left="-74" w:right="-105"/>
                  <w:rPr>
                    <w:rFonts w:eastAsia="Calibri" w:cs="Tahoma"/>
                  </w:rPr>
                </w:pPr>
              </w:p>
            </w:tc>
          </w:tr>
        </w:tbl>
        <w:p w14:paraId="14C1172F" w14:textId="77777777" w:rsidR="006943D5" w:rsidRDefault="006943D5" w:rsidP="00711973">
          <w:pPr>
            <w:tabs>
              <w:tab w:val="right" w:pos="8838"/>
            </w:tabs>
            <w:spacing w:line="256" w:lineRule="auto"/>
            <w:ind w:left="-28"/>
            <w:rPr>
              <w:rFonts w:ascii="Arial" w:eastAsia="Calibri" w:hAnsi="Arial" w:cs="Arial"/>
              <w:b/>
            </w:rPr>
          </w:pPr>
        </w:p>
      </w:tc>
    </w:tr>
  </w:tbl>
  <w:p w14:paraId="652BA475" w14:textId="77777777" w:rsidR="006943D5" w:rsidRDefault="00000000">
    <w:pPr>
      <w:pStyle w:val="Encabezado"/>
    </w:pPr>
    <w:r>
      <w:rPr>
        <w:noProof/>
      </w:rPr>
      <w:pict w14:anchorId="6638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1026" type="#_x0000_t75" alt="MARCA DE AGUA - HOJA RESOLUCIÓN" style="position:absolute;left:0;text-align:left;margin-left:-74.6pt;margin-top:-122.65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Look w:val="04A0" w:firstRow="1" w:lastRow="0" w:firstColumn="1" w:lastColumn="0" w:noHBand="0" w:noVBand="1"/>
    </w:tblPr>
    <w:tblGrid>
      <w:gridCol w:w="2127"/>
      <w:gridCol w:w="7512"/>
    </w:tblGrid>
    <w:tr w:rsidR="006943D5" w:rsidRPr="008C644E" w14:paraId="7C3509A9" w14:textId="77777777" w:rsidTr="00711973">
      <w:trPr>
        <w:trHeight w:val="1435"/>
      </w:trPr>
      <w:tc>
        <w:tcPr>
          <w:tcW w:w="2127" w:type="dxa"/>
        </w:tcPr>
        <w:p w14:paraId="7A9E3827" w14:textId="77777777" w:rsidR="006943D5" w:rsidRPr="008C644E" w:rsidRDefault="006943D5" w:rsidP="00711973">
          <w:pPr>
            <w:pStyle w:val="Encabezado"/>
          </w:pPr>
        </w:p>
      </w:tc>
      <w:tc>
        <w:tcPr>
          <w:tcW w:w="7512" w:type="dxa"/>
          <w:hideMark/>
        </w:tcPr>
        <w:tbl>
          <w:tblPr>
            <w:tblStyle w:val="Tablaconcuadrcula"/>
            <w:tblW w:w="13608" w:type="dxa"/>
            <w:tblInd w:w="1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4245"/>
            <w:gridCol w:w="3402"/>
            <w:gridCol w:w="3402"/>
          </w:tblGrid>
          <w:tr w:rsidR="000C694D" w:rsidRPr="008C644E" w14:paraId="1551C454" w14:textId="77777777" w:rsidTr="00FA297B">
            <w:trPr>
              <w:trHeight w:val="144"/>
            </w:trPr>
            <w:tc>
              <w:tcPr>
                <w:tcW w:w="2559" w:type="dxa"/>
                <w:hideMark/>
              </w:tcPr>
              <w:p w14:paraId="189E74D1" w14:textId="77777777" w:rsidR="006943D5" w:rsidRPr="008C644E" w:rsidRDefault="006943D5" w:rsidP="00711973">
                <w:pPr>
                  <w:pStyle w:val="Encabezado"/>
                  <w:rPr>
                    <w:b/>
                  </w:rPr>
                </w:pPr>
                <w:r w:rsidRPr="008C644E">
                  <w:rPr>
                    <w:b/>
                  </w:rPr>
                  <w:t>Recurso de Revisión:</w:t>
                </w:r>
              </w:p>
            </w:tc>
            <w:tc>
              <w:tcPr>
                <w:tcW w:w="4245" w:type="dxa"/>
                <w:hideMark/>
              </w:tcPr>
              <w:p w14:paraId="11F4479A" w14:textId="4B416D04" w:rsidR="006943D5" w:rsidRPr="00AC018A" w:rsidRDefault="006943D5" w:rsidP="00711973">
                <w:pPr>
                  <w:pStyle w:val="Encabezado"/>
                </w:pPr>
                <w:r>
                  <w:rPr>
                    <w:color w:val="000000"/>
                  </w:rPr>
                  <w:t>0</w:t>
                </w:r>
                <w:r w:rsidR="00CD65AF">
                  <w:rPr>
                    <w:color w:val="000000"/>
                  </w:rPr>
                  <w:t>5996</w:t>
                </w:r>
                <w:r w:rsidRPr="00E94F51">
                  <w:rPr>
                    <w:color w:val="000000"/>
                  </w:rPr>
                  <w:t>/INFOEM/IP/RR/2024</w:t>
                </w:r>
              </w:p>
            </w:tc>
            <w:tc>
              <w:tcPr>
                <w:tcW w:w="3402" w:type="dxa"/>
              </w:tcPr>
              <w:p w14:paraId="636B91F8" w14:textId="77777777" w:rsidR="006943D5" w:rsidRPr="008C644E" w:rsidRDefault="006943D5" w:rsidP="00711973">
                <w:pPr>
                  <w:pStyle w:val="Encabezado"/>
                  <w:rPr>
                    <w:bCs/>
                  </w:rPr>
                </w:pPr>
              </w:p>
            </w:tc>
            <w:tc>
              <w:tcPr>
                <w:tcW w:w="3402" w:type="dxa"/>
              </w:tcPr>
              <w:p w14:paraId="30CBCBAF" w14:textId="77777777" w:rsidR="006943D5" w:rsidRPr="008C644E" w:rsidRDefault="006943D5" w:rsidP="00711973">
                <w:pPr>
                  <w:pStyle w:val="Encabezado"/>
                  <w:rPr>
                    <w:bCs/>
                  </w:rPr>
                </w:pPr>
              </w:p>
            </w:tc>
          </w:tr>
          <w:tr w:rsidR="000C694D" w:rsidRPr="008C644E" w14:paraId="61DAE09E" w14:textId="77777777" w:rsidTr="00FA297B">
            <w:trPr>
              <w:trHeight w:val="144"/>
            </w:trPr>
            <w:tc>
              <w:tcPr>
                <w:tcW w:w="2559" w:type="dxa"/>
                <w:hideMark/>
              </w:tcPr>
              <w:p w14:paraId="7CE5967D" w14:textId="77777777" w:rsidR="006943D5" w:rsidRPr="00E931BE" w:rsidRDefault="006943D5" w:rsidP="00711973">
                <w:pPr>
                  <w:pStyle w:val="Encabezado"/>
                  <w:rPr>
                    <w:b/>
                  </w:rPr>
                </w:pPr>
                <w:r w:rsidRPr="00E931BE">
                  <w:rPr>
                    <w:b/>
                  </w:rPr>
                  <w:t>Recurrente:</w:t>
                </w:r>
              </w:p>
            </w:tc>
            <w:tc>
              <w:tcPr>
                <w:tcW w:w="4245" w:type="dxa"/>
              </w:tcPr>
              <w:p w14:paraId="0ECB40A9" w14:textId="687B2727" w:rsidR="006943D5" w:rsidRPr="00E931BE" w:rsidRDefault="00D14543" w:rsidP="00711973">
                <w:pPr>
                  <w:pStyle w:val="Encabezado"/>
                </w:pPr>
                <w:r w:rsidRPr="00D14543">
                  <w:rPr>
                    <w:highlight w:val="black"/>
                  </w:rPr>
                  <w:t>XXXXXXXXXXXXXXXXXXXXX</w:t>
                </w:r>
              </w:p>
            </w:tc>
            <w:tc>
              <w:tcPr>
                <w:tcW w:w="3402" w:type="dxa"/>
              </w:tcPr>
              <w:p w14:paraId="267C41A1" w14:textId="77777777" w:rsidR="006943D5" w:rsidRPr="008C644E" w:rsidRDefault="006943D5" w:rsidP="00711973">
                <w:pPr>
                  <w:pStyle w:val="Encabezado"/>
                </w:pPr>
              </w:p>
            </w:tc>
            <w:tc>
              <w:tcPr>
                <w:tcW w:w="3402" w:type="dxa"/>
              </w:tcPr>
              <w:p w14:paraId="07EE73BD" w14:textId="77777777" w:rsidR="006943D5" w:rsidRPr="008C644E" w:rsidRDefault="006943D5" w:rsidP="00711973">
                <w:pPr>
                  <w:pStyle w:val="Encabezado"/>
                </w:pPr>
              </w:p>
            </w:tc>
          </w:tr>
          <w:tr w:rsidR="000C694D" w:rsidRPr="008C644E" w14:paraId="7C378614" w14:textId="77777777" w:rsidTr="00FA297B">
            <w:trPr>
              <w:trHeight w:val="283"/>
            </w:trPr>
            <w:tc>
              <w:tcPr>
                <w:tcW w:w="2559" w:type="dxa"/>
                <w:hideMark/>
              </w:tcPr>
              <w:p w14:paraId="24E7E7C4" w14:textId="77777777" w:rsidR="006943D5" w:rsidRPr="008C644E" w:rsidRDefault="006943D5" w:rsidP="00711973">
                <w:pPr>
                  <w:pStyle w:val="Encabezado"/>
                  <w:rPr>
                    <w:b/>
                  </w:rPr>
                </w:pPr>
                <w:r w:rsidRPr="008C644E">
                  <w:rPr>
                    <w:b/>
                  </w:rPr>
                  <w:t>Sujeto Obligado:</w:t>
                </w:r>
              </w:p>
            </w:tc>
            <w:tc>
              <w:tcPr>
                <w:tcW w:w="4245" w:type="dxa"/>
                <w:hideMark/>
              </w:tcPr>
              <w:p w14:paraId="6FB2FFED" w14:textId="310823D1" w:rsidR="006943D5" w:rsidRPr="008C644E" w:rsidRDefault="00CD65AF" w:rsidP="00A754C2">
                <w:pPr>
                  <w:pStyle w:val="Encabezado"/>
                </w:pPr>
                <w:r>
                  <w:t>Ayuntamiento de Texcoco</w:t>
                </w:r>
              </w:p>
            </w:tc>
            <w:tc>
              <w:tcPr>
                <w:tcW w:w="3402" w:type="dxa"/>
              </w:tcPr>
              <w:p w14:paraId="41110A01" w14:textId="77777777" w:rsidR="006943D5" w:rsidRPr="008C644E" w:rsidRDefault="006943D5" w:rsidP="00711973">
                <w:pPr>
                  <w:pStyle w:val="Encabezado"/>
                </w:pPr>
              </w:p>
            </w:tc>
            <w:tc>
              <w:tcPr>
                <w:tcW w:w="3402" w:type="dxa"/>
              </w:tcPr>
              <w:p w14:paraId="45B99936" w14:textId="77777777" w:rsidR="006943D5" w:rsidRPr="008C644E" w:rsidRDefault="006943D5" w:rsidP="00711973">
                <w:pPr>
                  <w:pStyle w:val="Encabezado"/>
                </w:pPr>
              </w:p>
            </w:tc>
          </w:tr>
          <w:tr w:rsidR="000C694D" w:rsidRPr="008C644E" w14:paraId="439AC6E2" w14:textId="77777777" w:rsidTr="00FA297B">
            <w:trPr>
              <w:trHeight w:val="283"/>
            </w:trPr>
            <w:tc>
              <w:tcPr>
                <w:tcW w:w="2559" w:type="dxa"/>
                <w:hideMark/>
              </w:tcPr>
              <w:p w14:paraId="791FA8D2" w14:textId="77777777" w:rsidR="006943D5" w:rsidRPr="008C644E" w:rsidRDefault="006943D5" w:rsidP="00711973">
                <w:pPr>
                  <w:pStyle w:val="Encabezado"/>
                  <w:rPr>
                    <w:b/>
                  </w:rPr>
                </w:pPr>
                <w:r w:rsidRPr="008C644E">
                  <w:rPr>
                    <w:b/>
                  </w:rPr>
                  <w:t xml:space="preserve">Comisionado Ponente: </w:t>
                </w:r>
              </w:p>
            </w:tc>
            <w:tc>
              <w:tcPr>
                <w:tcW w:w="4245" w:type="dxa"/>
                <w:hideMark/>
              </w:tcPr>
              <w:p w14:paraId="4E9C6E5C" w14:textId="77777777" w:rsidR="006943D5" w:rsidRPr="008C644E" w:rsidRDefault="006943D5" w:rsidP="00711973">
                <w:pPr>
                  <w:pStyle w:val="Encabezado"/>
                  <w:rPr>
                    <w:b/>
                  </w:rPr>
                </w:pPr>
                <w:r w:rsidRPr="008C644E">
                  <w:t>Luis Gustavo Parra Noriega</w:t>
                </w:r>
              </w:p>
            </w:tc>
            <w:tc>
              <w:tcPr>
                <w:tcW w:w="3402" w:type="dxa"/>
              </w:tcPr>
              <w:p w14:paraId="624292D1" w14:textId="77777777" w:rsidR="006943D5" w:rsidRPr="008C644E" w:rsidRDefault="006943D5" w:rsidP="00711973">
                <w:pPr>
                  <w:pStyle w:val="Encabezado"/>
                </w:pPr>
              </w:p>
            </w:tc>
            <w:tc>
              <w:tcPr>
                <w:tcW w:w="3402" w:type="dxa"/>
              </w:tcPr>
              <w:p w14:paraId="2F073C23" w14:textId="77777777" w:rsidR="006943D5" w:rsidRPr="008C644E" w:rsidRDefault="006943D5" w:rsidP="00711973">
                <w:pPr>
                  <w:pStyle w:val="Encabezado"/>
                </w:pPr>
              </w:p>
            </w:tc>
          </w:tr>
        </w:tbl>
        <w:p w14:paraId="23CCA079" w14:textId="77777777" w:rsidR="006943D5" w:rsidRPr="008C644E" w:rsidRDefault="006943D5" w:rsidP="00711973">
          <w:pPr>
            <w:pStyle w:val="Encabezado"/>
            <w:rPr>
              <w:b/>
            </w:rPr>
          </w:pPr>
        </w:p>
      </w:tc>
    </w:tr>
  </w:tbl>
  <w:p w14:paraId="19C09215" w14:textId="77777777" w:rsidR="006943D5" w:rsidRDefault="00000000">
    <w:pPr>
      <w:pStyle w:val="Encabezado"/>
    </w:pPr>
    <w:r>
      <w:rPr>
        <w:noProof/>
      </w:rPr>
      <w:pict w14:anchorId="109DB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1025" type="#_x0000_t75" alt="MARCA DE AGUA - HOJA RESOLUCIÓN" style="position:absolute;left:0;text-align:left;margin-left:-82.05pt;margin-top:-135.5pt;width:663.5pt;height:12in;z-index:-251657728;mso-wrap-edited:f;mso-width-percent:0;mso-height-percent:0;mso-position-horizontal-relative:margin;mso-position-vertical-relative:margin;mso-width-percent:0;mso-height-percent:0" o:allowincell="f" strokecolor="blue">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649"/>
    <w:multiLevelType w:val="hybridMultilevel"/>
    <w:tmpl w:val="694AD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56001"/>
    <w:multiLevelType w:val="hybridMultilevel"/>
    <w:tmpl w:val="91829A00"/>
    <w:lvl w:ilvl="0" w:tplc="080A0009">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107D30B9"/>
    <w:multiLevelType w:val="hybridMultilevel"/>
    <w:tmpl w:val="B4F6D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07D9D"/>
    <w:multiLevelType w:val="hybridMultilevel"/>
    <w:tmpl w:val="A6967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A83EB4"/>
    <w:multiLevelType w:val="hybridMultilevel"/>
    <w:tmpl w:val="61849A4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7321660"/>
    <w:multiLevelType w:val="hybridMultilevel"/>
    <w:tmpl w:val="A034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3667B4"/>
    <w:multiLevelType w:val="hybridMultilevel"/>
    <w:tmpl w:val="4E16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4ACF"/>
    <w:multiLevelType w:val="hybridMultilevel"/>
    <w:tmpl w:val="5E320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8C606F"/>
    <w:multiLevelType w:val="hybridMultilevel"/>
    <w:tmpl w:val="BD502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613A0F"/>
    <w:multiLevelType w:val="hybridMultilevel"/>
    <w:tmpl w:val="44B2AB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679F1DBB"/>
    <w:multiLevelType w:val="hybridMultilevel"/>
    <w:tmpl w:val="A7444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D10B82"/>
    <w:multiLevelType w:val="hybridMultilevel"/>
    <w:tmpl w:val="7DF21E72"/>
    <w:lvl w:ilvl="0" w:tplc="080A000F">
      <w:start w:val="1"/>
      <w:numFmt w:val="decimal"/>
      <w:lvlText w:val="%1."/>
      <w:lvlJc w:val="left"/>
      <w:pPr>
        <w:tabs>
          <w:tab w:val="num" w:pos="720"/>
        </w:tabs>
        <w:ind w:left="720" w:hanging="360"/>
      </w:pPr>
      <w:rPr>
        <w:rFonts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16cid:durableId="1494757851">
    <w:abstractNumId w:val="11"/>
  </w:num>
  <w:num w:numId="2" w16cid:durableId="2077118189">
    <w:abstractNumId w:val="4"/>
  </w:num>
  <w:num w:numId="3" w16cid:durableId="849950792">
    <w:abstractNumId w:val="9"/>
  </w:num>
  <w:num w:numId="4" w16cid:durableId="969627338">
    <w:abstractNumId w:val="1"/>
  </w:num>
  <w:num w:numId="5" w16cid:durableId="1833251202">
    <w:abstractNumId w:val="6"/>
  </w:num>
  <w:num w:numId="6" w16cid:durableId="118844562">
    <w:abstractNumId w:val="0"/>
  </w:num>
  <w:num w:numId="7" w16cid:durableId="1686205198">
    <w:abstractNumId w:val="8"/>
  </w:num>
  <w:num w:numId="8" w16cid:durableId="642999670">
    <w:abstractNumId w:val="5"/>
  </w:num>
  <w:num w:numId="9" w16cid:durableId="1389576619">
    <w:abstractNumId w:val="10"/>
  </w:num>
  <w:num w:numId="10" w16cid:durableId="1508980613">
    <w:abstractNumId w:val="2"/>
  </w:num>
  <w:num w:numId="11" w16cid:durableId="80373712">
    <w:abstractNumId w:val="3"/>
  </w:num>
  <w:num w:numId="12" w16cid:durableId="212881036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31"/>
    <w:rsid w:val="00002C83"/>
    <w:rsid w:val="000045E2"/>
    <w:rsid w:val="00005B46"/>
    <w:rsid w:val="00006191"/>
    <w:rsid w:val="000108AF"/>
    <w:rsid w:val="00011957"/>
    <w:rsid w:val="00014996"/>
    <w:rsid w:val="00026BFC"/>
    <w:rsid w:val="0003554E"/>
    <w:rsid w:val="00037C84"/>
    <w:rsid w:val="000426EC"/>
    <w:rsid w:val="00042F4D"/>
    <w:rsid w:val="00043C41"/>
    <w:rsid w:val="000464D2"/>
    <w:rsid w:val="00054DDF"/>
    <w:rsid w:val="00062470"/>
    <w:rsid w:val="0006485E"/>
    <w:rsid w:val="00066B31"/>
    <w:rsid w:val="00067D1B"/>
    <w:rsid w:val="00071FCD"/>
    <w:rsid w:val="000767FF"/>
    <w:rsid w:val="000819FA"/>
    <w:rsid w:val="00085698"/>
    <w:rsid w:val="00091EF3"/>
    <w:rsid w:val="00097E55"/>
    <w:rsid w:val="000A4F04"/>
    <w:rsid w:val="000B35C0"/>
    <w:rsid w:val="000C2219"/>
    <w:rsid w:val="000C694D"/>
    <w:rsid w:val="000E1C0A"/>
    <w:rsid w:val="000E1CA7"/>
    <w:rsid w:val="000E2FF3"/>
    <w:rsid w:val="000E49C4"/>
    <w:rsid w:val="000E5D2C"/>
    <w:rsid w:val="000E6A27"/>
    <w:rsid w:val="000E6A5E"/>
    <w:rsid w:val="000F5459"/>
    <w:rsid w:val="000F7757"/>
    <w:rsid w:val="00102788"/>
    <w:rsid w:val="00102D6A"/>
    <w:rsid w:val="00102F6F"/>
    <w:rsid w:val="00104516"/>
    <w:rsid w:val="0010545B"/>
    <w:rsid w:val="00117E3C"/>
    <w:rsid w:val="001207AD"/>
    <w:rsid w:val="00121A03"/>
    <w:rsid w:val="00122B57"/>
    <w:rsid w:val="00131F0F"/>
    <w:rsid w:val="00134927"/>
    <w:rsid w:val="00134D79"/>
    <w:rsid w:val="001357EB"/>
    <w:rsid w:val="00137916"/>
    <w:rsid w:val="00144231"/>
    <w:rsid w:val="001443E6"/>
    <w:rsid w:val="0014663F"/>
    <w:rsid w:val="00150657"/>
    <w:rsid w:val="00150E9F"/>
    <w:rsid w:val="0015152E"/>
    <w:rsid w:val="0015439D"/>
    <w:rsid w:val="001577CA"/>
    <w:rsid w:val="00164E11"/>
    <w:rsid w:val="00165D43"/>
    <w:rsid w:val="00167BC5"/>
    <w:rsid w:val="0017074B"/>
    <w:rsid w:val="00173DA4"/>
    <w:rsid w:val="00176747"/>
    <w:rsid w:val="001770DA"/>
    <w:rsid w:val="0018264D"/>
    <w:rsid w:val="001833A5"/>
    <w:rsid w:val="001958C1"/>
    <w:rsid w:val="001A19C2"/>
    <w:rsid w:val="001A60FC"/>
    <w:rsid w:val="001A65D8"/>
    <w:rsid w:val="001B2652"/>
    <w:rsid w:val="001B4DC8"/>
    <w:rsid w:val="001B6ECC"/>
    <w:rsid w:val="001C1F78"/>
    <w:rsid w:val="001C2A7A"/>
    <w:rsid w:val="001C4DA2"/>
    <w:rsid w:val="001D1CCE"/>
    <w:rsid w:val="001D2F08"/>
    <w:rsid w:val="001E318B"/>
    <w:rsid w:val="001F1E84"/>
    <w:rsid w:val="001F5EEB"/>
    <w:rsid w:val="001F6C0A"/>
    <w:rsid w:val="001F7D27"/>
    <w:rsid w:val="002011BE"/>
    <w:rsid w:val="0020212C"/>
    <w:rsid w:val="00202DDC"/>
    <w:rsid w:val="00206DD8"/>
    <w:rsid w:val="00210692"/>
    <w:rsid w:val="002128C8"/>
    <w:rsid w:val="002162F5"/>
    <w:rsid w:val="00230E09"/>
    <w:rsid w:val="00232C90"/>
    <w:rsid w:val="0023424B"/>
    <w:rsid w:val="00234F3D"/>
    <w:rsid w:val="00235843"/>
    <w:rsid w:val="002365C1"/>
    <w:rsid w:val="0024210A"/>
    <w:rsid w:val="002472A3"/>
    <w:rsid w:val="00254007"/>
    <w:rsid w:val="00255575"/>
    <w:rsid w:val="002573DD"/>
    <w:rsid w:val="002602C9"/>
    <w:rsid w:val="002609B4"/>
    <w:rsid w:val="00264A41"/>
    <w:rsid w:val="002671A7"/>
    <w:rsid w:val="0027065B"/>
    <w:rsid w:val="002710A8"/>
    <w:rsid w:val="0027112B"/>
    <w:rsid w:val="00271CFF"/>
    <w:rsid w:val="002760AB"/>
    <w:rsid w:val="002850E3"/>
    <w:rsid w:val="00293B5D"/>
    <w:rsid w:val="002A10BA"/>
    <w:rsid w:val="002A57A2"/>
    <w:rsid w:val="002C093C"/>
    <w:rsid w:val="002C1543"/>
    <w:rsid w:val="002C7B31"/>
    <w:rsid w:val="002C7D15"/>
    <w:rsid w:val="002D17FE"/>
    <w:rsid w:val="002D5F76"/>
    <w:rsid w:val="002D6C3A"/>
    <w:rsid w:val="002D7427"/>
    <w:rsid w:val="002E0AEB"/>
    <w:rsid w:val="002E0F40"/>
    <w:rsid w:val="002E22E0"/>
    <w:rsid w:val="002E618C"/>
    <w:rsid w:val="002F321B"/>
    <w:rsid w:val="002F3FAB"/>
    <w:rsid w:val="00300143"/>
    <w:rsid w:val="00300479"/>
    <w:rsid w:val="003066B3"/>
    <w:rsid w:val="00313A19"/>
    <w:rsid w:val="0031525D"/>
    <w:rsid w:val="00322CA2"/>
    <w:rsid w:val="003230EC"/>
    <w:rsid w:val="00323426"/>
    <w:rsid w:val="00323C81"/>
    <w:rsid w:val="00324DBC"/>
    <w:rsid w:val="00341A0D"/>
    <w:rsid w:val="003438D5"/>
    <w:rsid w:val="00351BE4"/>
    <w:rsid w:val="00352DC8"/>
    <w:rsid w:val="00356D27"/>
    <w:rsid w:val="00357119"/>
    <w:rsid w:val="003573C7"/>
    <w:rsid w:val="00363936"/>
    <w:rsid w:val="00365225"/>
    <w:rsid w:val="00367770"/>
    <w:rsid w:val="00372630"/>
    <w:rsid w:val="003767EB"/>
    <w:rsid w:val="00376E4B"/>
    <w:rsid w:val="003858E1"/>
    <w:rsid w:val="00385B12"/>
    <w:rsid w:val="00386C97"/>
    <w:rsid w:val="003A13F5"/>
    <w:rsid w:val="003A7620"/>
    <w:rsid w:val="003B1418"/>
    <w:rsid w:val="003B174E"/>
    <w:rsid w:val="003B2647"/>
    <w:rsid w:val="003B5E4F"/>
    <w:rsid w:val="003B769C"/>
    <w:rsid w:val="003B7AA8"/>
    <w:rsid w:val="003C5970"/>
    <w:rsid w:val="003C74A7"/>
    <w:rsid w:val="003D0FF4"/>
    <w:rsid w:val="003D3687"/>
    <w:rsid w:val="003D36B1"/>
    <w:rsid w:val="003E056D"/>
    <w:rsid w:val="003E3708"/>
    <w:rsid w:val="003E7A1A"/>
    <w:rsid w:val="003F11DE"/>
    <w:rsid w:val="003F3B06"/>
    <w:rsid w:val="0040367B"/>
    <w:rsid w:val="0040368D"/>
    <w:rsid w:val="0040526C"/>
    <w:rsid w:val="00406C7F"/>
    <w:rsid w:val="00407871"/>
    <w:rsid w:val="004078C9"/>
    <w:rsid w:val="00425C42"/>
    <w:rsid w:val="00427CE0"/>
    <w:rsid w:val="0043086A"/>
    <w:rsid w:val="004316A4"/>
    <w:rsid w:val="00442C5C"/>
    <w:rsid w:val="00446BCA"/>
    <w:rsid w:val="004528C2"/>
    <w:rsid w:val="004535C6"/>
    <w:rsid w:val="00453B84"/>
    <w:rsid w:val="00455BAC"/>
    <w:rsid w:val="004568FF"/>
    <w:rsid w:val="004614F0"/>
    <w:rsid w:val="00462B0E"/>
    <w:rsid w:val="004701B2"/>
    <w:rsid w:val="004730F1"/>
    <w:rsid w:val="0047430B"/>
    <w:rsid w:val="00480903"/>
    <w:rsid w:val="004823D7"/>
    <w:rsid w:val="004839EE"/>
    <w:rsid w:val="0048610B"/>
    <w:rsid w:val="00487B52"/>
    <w:rsid w:val="004906CD"/>
    <w:rsid w:val="004920A1"/>
    <w:rsid w:val="00494689"/>
    <w:rsid w:val="004A7D8F"/>
    <w:rsid w:val="004B1439"/>
    <w:rsid w:val="004B24A6"/>
    <w:rsid w:val="004B6079"/>
    <w:rsid w:val="004C2750"/>
    <w:rsid w:val="004D0C08"/>
    <w:rsid w:val="004D4745"/>
    <w:rsid w:val="004E3020"/>
    <w:rsid w:val="004F40D1"/>
    <w:rsid w:val="004F51EF"/>
    <w:rsid w:val="004F555E"/>
    <w:rsid w:val="005027D8"/>
    <w:rsid w:val="00502B83"/>
    <w:rsid w:val="00505477"/>
    <w:rsid w:val="00505A75"/>
    <w:rsid w:val="005079FD"/>
    <w:rsid w:val="00513BD1"/>
    <w:rsid w:val="00514645"/>
    <w:rsid w:val="00522A34"/>
    <w:rsid w:val="005241CB"/>
    <w:rsid w:val="0052563D"/>
    <w:rsid w:val="005261D9"/>
    <w:rsid w:val="00531B8B"/>
    <w:rsid w:val="00532FB8"/>
    <w:rsid w:val="0053720F"/>
    <w:rsid w:val="0053728B"/>
    <w:rsid w:val="00544546"/>
    <w:rsid w:val="005447DD"/>
    <w:rsid w:val="005479E7"/>
    <w:rsid w:val="0055161A"/>
    <w:rsid w:val="005527B8"/>
    <w:rsid w:val="005530A7"/>
    <w:rsid w:val="00553681"/>
    <w:rsid w:val="00554104"/>
    <w:rsid w:val="0056345A"/>
    <w:rsid w:val="00564652"/>
    <w:rsid w:val="00564B1E"/>
    <w:rsid w:val="00566BB9"/>
    <w:rsid w:val="005708D7"/>
    <w:rsid w:val="00570D30"/>
    <w:rsid w:val="00573131"/>
    <w:rsid w:val="00573A5F"/>
    <w:rsid w:val="00574CD0"/>
    <w:rsid w:val="00576074"/>
    <w:rsid w:val="00592594"/>
    <w:rsid w:val="0059314F"/>
    <w:rsid w:val="005A3F30"/>
    <w:rsid w:val="005A67CA"/>
    <w:rsid w:val="005B1AC7"/>
    <w:rsid w:val="005C4980"/>
    <w:rsid w:val="005C63FF"/>
    <w:rsid w:val="005D0242"/>
    <w:rsid w:val="005D54EF"/>
    <w:rsid w:val="005E0252"/>
    <w:rsid w:val="005E1442"/>
    <w:rsid w:val="005E37D2"/>
    <w:rsid w:val="005E4466"/>
    <w:rsid w:val="005E4ABD"/>
    <w:rsid w:val="005F23A1"/>
    <w:rsid w:val="00601B19"/>
    <w:rsid w:val="006077BF"/>
    <w:rsid w:val="006101B0"/>
    <w:rsid w:val="00610C0E"/>
    <w:rsid w:val="00613C98"/>
    <w:rsid w:val="00626F4A"/>
    <w:rsid w:val="00633301"/>
    <w:rsid w:val="00633F07"/>
    <w:rsid w:val="00643079"/>
    <w:rsid w:val="0064394A"/>
    <w:rsid w:val="00644076"/>
    <w:rsid w:val="00645BCC"/>
    <w:rsid w:val="006473B7"/>
    <w:rsid w:val="006501B4"/>
    <w:rsid w:val="00651347"/>
    <w:rsid w:val="00651D95"/>
    <w:rsid w:val="006525F4"/>
    <w:rsid w:val="00652F9F"/>
    <w:rsid w:val="006551AF"/>
    <w:rsid w:val="00655443"/>
    <w:rsid w:val="006632F8"/>
    <w:rsid w:val="006710D3"/>
    <w:rsid w:val="0067323D"/>
    <w:rsid w:val="00673642"/>
    <w:rsid w:val="00676D85"/>
    <w:rsid w:val="00680AB8"/>
    <w:rsid w:val="00681821"/>
    <w:rsid w:val="00681B3A"/>
    <w:rsid w:val="00684F08"/>
    <w:rsid w:val="006943D5"/>
    <w:rsid w:val="006952EE"/>
    <w:rsid w:val="006A09D4"/>
    <w:rsid w:val="006A2E59"/>
    <w:rsid w:val="006A635A"/>
    <w:rsid w:val="006B1988"/>
    <w:rsid w:val="006B7994"/>
    <w:rsid w:val="006C2A6E"/>
    <w:rsid w:val="006C3470"/>
    <w:rsid w:val="006C3CA1"/>
    <w:rsid w:val="006C73A8"/>
    <w:rsid w:val="006D57B1"/>
    <w:rsid w:val="006E0AF7"/>
    <w:rsid w:val="006F057E"/>
    <w:rsid w:val="006F0B0C"/>
    <w:rsid w:val="006F11AD"/>
    <w:rsid w:val="006F26E5"/>
    <w:rsid w:val="006F7B68"/>
    <w:rsid w:val="00702223"/>
    <w:rsid w:val="00711973"/>
    <w:rsid w:val="0071391A"/>
    <w:rsid w:val="00725283"/>
    <w:rsid w:val="00730A1A"/>
    <w:rsid w:val="007357E5"/>
    <w:rsid w:val="00741639"/>
    <w:rsid w:val="0074778D"/>
    <w:rsid w:val="007541A4"/>
    <w:rsid w:val="007601FC"/>
    <w:rsid w:val="007636BA"/>
    <w:rsid w:val="0076574B"/>
    <w:rsid w:val="0077235C"/>
    <w:rsid w:val="00773664"/>
    <w:rsid w:val="00773F0E"/>
    <w:rsid w:val="007758EF"/>
    <w:rsid w:val="0077606E"/>
    <w:rsid w:val="00781A5A"/>
    <w:rsid w:val="00784511"/>
    <w:rsid w:val="00786BB8"/>
    <w:rsid w:val="007A1FE6"/>
    <w:rsid w:val="007A265F"/>
    <w:rsid w:val="007A4207"/>
    <w:rsid w:val="007A6CC7"/>
    <w:rsid w:val="007A71F7"/>
    <w:rsid w:val="007B0671"/>
    <w:rsid w:val="007B221D"/>
    <w:rsid w:val="007B3D03"/>
    <w:rsid w:val="007C05C7"/>
    <w:rsid w:val="007C4180"/>
    <w:rsid w:val="007C614B"/>
    <w:rsid w:val="007D1659"/>
    <w:rsid w:val="007D654F"/>
    <w:rsid w:val="007E066F"/>
    <w:rsid w:val="007E3D4A"/>
    <w:rsid w:val="007E5E43"/>
    <w:rsid w:val="007F3642"/>
    <w:rsid w:val="007F6348"/>
    <w:rsid w:val="00802161"/>
    <w:rsid w:val="00803204"/>
    <w:rsid w:val="00804AB0"/>
    <w:rsid w:val="00806282"/>
    <w:rsid w:val="00811E46"/>
    <w:rsid w:val="00811F23"/>
    <w:rsid w:val="0081647F"/>
    <w:rsid w:val="00820568"/>
    <w:rsid w:val="00826A20"/>
    <w:rsid w:val="00827291"/>
    <w:rsid w:val="0083048D"/>
    <w:rsid w:val="00831FE8"/>
    <w:rsid w:val="0084064F"/>
    <w:rsid w:val="008431A0"/>
    <w:rsid w:val="00843EC0"/>
    <w:rsid w:val="00844830"/>
    <w:rsid w:val="008449DD"/>
    <w:rsid w:val="00853683"/>
    <w:rsid w:val="00854C12"/>
    <w:rsid w:val="00867D75"/>
    <w:rsid w:val="00874C3A"/>
    <w:rsid w:val="00880564"/>
    <w:rsid w:val="00884B1B"/>
    <w:rsid w:val="00887347"/>
    <w:rsid w:val="008A3D56"/>
    <w:rsid w:val="008A4B29"/>
    <w:rsid w:val="008A62F8"/>
    <w:rsid w:val="008A71DA"/>
    <w:rsid w:val="008B0B2B"/>
    <w:rsid w:val="008B1873"/>
    <w:rsid w:val="008B3C4E"/>
    <w:rsid w:val="008B4F38"/>
    <w:rsid w:val="008C23E3"/>
    <w:rsid w:val="008D4EA7"/>
    <w:rsid w:val="008D5408"/>
    <w:rsid w:val="008D6C98"/>
    <w:rsid w:val="008E009B"/>
    <w:rsid w:val="008F121E"/>
    <w:rsid w:val="008F3370"/>
    <w:rsid w:val="008F3E7A"/>
    <w:rsid w:val="008F5DAC"/>
    <w:rsid w:val="009066CB"/>
    <w:rsid w:val="00907677"/>
    <w:rsid w:val="00907C9C"/>
    <w:rsid w:val="00912D29"/>
    <w:rsid w:val="00914827"/>
    <w:rsid w:val="009245B0"/>
    <w:rsid w:val="00924F9C"/>
    <w:rsid w:val="00926FE8"/>
    <w:rsid w:val="009271A6"/>
    <w:rsid w:val="00932698"/>
    <w:rsid w:val="00932A36"/>
    <w:rsid w:val="009335DC"/>
    <w:rsid w:val="009349D6"/>
    <w:rsid w:val="00955EC7"/>
    <w:rsid w:val="00957133"/>
    <w:rsid w:val="00962DE2"/>
    <w:rsid w:val="00966D7C"/>
    <w:rsid w:val="00970BAD"/>
    <w:rsid w:val="00972568"/>
    <w:rsid w:val="0097594C"/>
    <w:rsid w:val="00975F2C"/>
    <w:rsid w:val="00976700"/>
    <w:rsid w:val="0098145B"/>
    <w:rsid w:val="00985E40"/>
    <w:rsid w:val="009950D6"/>
    <w:rsid w:val="00995CF2"/>
    <w:rsid w:val="009A1342"/>
    <w:rsid w:val="009A51C5"/>
    <w:rsid w:val="009A6BA6"/>
    <w:rsid w:val="009C106B"/>
    <w:rsid w:val="009C1ADE"/>
    <w:rsid w:val="009C3EFA"/>
    <w:rsid w:val="009C50F4"/>
    <w:rsid w:val="009C57F9"/>
    <w:rsid w:val="009D24D5"/>
    <w:rsid w:val="009D33B0"/>
    <w:rsid w:val="009E0A35"/>
    <w:rsid w:val="009F0DD3"/>
    <w:rsid w:val="009F1564"/>
    <w:rsid w:val="00A02A13"/>
    <w:rsid w:val="00A0672F"/>
    <w:rsid w:val="00A07CD7"/>
    <w:rsid w:val="00A12256"/>
    <w:rsid w:val="00A14016"/>
    <w:rsid w:val="00A158AB"/>
    <w:rsid w:val="00A207E1"/>
    <w:rsid w:val="00A23B8D"/>
    <w:rsid w:val="00A2644F"/>
    <w:rsid w:val="00A3060A"/>
    <w:rsid w:val="00A36193"/>
    <w:rsid w:val="00A40AA1"/>
    <w:rsid w:val="00A43C2B"/>
    <w:rsid w:val="00A446EB"/>
    <w:rsid w:val="00A463E5"/>
    <w:rsid w:val="00A47EB9"/>
    <w:rsid w:val="00A517F5"/>
    <w:rsid w:val="00A539B7"/>
    <w:rsid w:val="00A5478D"/>
    <w:rsid w:val="00A55232"/>
    <w:rsid w:val="00A55EE2"/>
    <w:rsid w:val="00A56890"/>
    <w:rsid w:val="00A60DF0"/>
    <w:rsid w:val="00A645E6"/>
    <w:rsid w:val="00A65AB1"/>
    <w:rsid w:val="00A65F00"/>
    <w:rsid w:val="00A671CC"/>
    <w:rsid w:val="00A6773B"/>
    <w:rsid w:val="00A70E4E"/>
    <w:rsid w:val="00A7150A"/>
    <w:rsid w:val="00A754C2"/>
    <w:rsid w:val="00A85A60"/>
    <w:rsid w:val="00A92A91"/>
    <w:rsid w:val="00A94C96"/>
    <w:rsid w:val="00A96636"/>
    <w:rsid w:val="00AA21EF"/>
    <w:rsid w:val="00AA3A0F"/>
    <w:rsid w:val="00AA5157"/>
    <w:rsid w:val="00AC1844"/>
    <w:rsid w:val="00AC3726"/>
    <w:rsid w:val="00AC6D1E"/>
    <w:rsid w:val="00AC7866"/>
    <w:rsid w:val="00AE0905"/>
    <w:rsid w:val="00AE374A"/>
    <w:rsid w:val="00AF07C8"/>
    <w:rsid w:val="00AF0A43"/>
    <w:rsid w:val="00AF6E36"/>
    <w:rsid w:val="00AF7EEB"/>
    <w:rsid w:val="00B05267"/>
    <w:rsid w:val="00B10F9E"/>
    <w:rsid w:val="00B111BD"/>
    <w:rsid w:val="00B122F0"/>
    <w:rsid w:val="00B20FFB"/>
    <w:rsid w:val="00B2722D"/>
    <w:rsid w:val="00B27FD3"/>
    <w:rsid w:val="00B30FD2"/>
    <w:rsid w:val="00B3418F"/>
    <w:rsid w:val="00B367A2"/>
    <w:rsid w:val="00B37755"/>
    <w:rsid w:val="00B41DEB"/>
    <w:rsid w:val="00B43A12"/>
    <w:rsid w:val="00B44AA0"/>
    <w:rsid w:val="00B5521F"/>
    <w:rsid w:val="00B571D7"/>
    <w:rsid w:val="00B5786A"/>
    <w:rsid w:val="00B57F81"/>
    <w:rsid w:val="00B63FD2"/>
    <w:rsid w:val="00B749F3"/>
    <w:rsid w:val="00B763ED"/>
    <w:rsid w:val="00B76EE1"/>
    <w:rsid w:val="00B83D8D"/>
    <w:rsid w:val="00B84D5A"/>
    <w:rsid w:val="00B90C97"/>
    <w:rsid w:val="00B91246"/>
    <w:rsid w:val="00B93943"/>
    <w:rsid w:val="00B9406D"/>
    <w:rsid w:val="00BA17EA"/>
    <w:rsid w:val="00BA6276"/>
    <w:rsid w:val="00BB524F"/>
    <w:rsid w:val="00BB72F5"/>
    <w:rsid w:val="00BC3E2A"/>
    <w:rsid w:val="00BD3EFC"/>
    <w:rsid w:val="00BD5A0B"/>
    <w:rsid w:val="00BD6C52"/>
    <w:rsid w:val="00BE1614"/>
    <w:rsid w:val="00C000D7"/>
    <w:rsid w:val="00C06302"/>
    <w:rsid w:val="00C10990"/>
    <w:rsid w:val="00C10DED"/>
    <w:rsid w:val="00C16C31"/>
    <w:rsid w:val="00C24F11"/>
    <w:rsid w:val="00C25E58"/>
    <w:rsid w:val="00C30B5F"/>
    <w:rsid w:val="00C34171"/>
    <w:rsid w:val="00C358F1"/>
    <w:rsid w:val="00C36BE1"/>
    <w:rsid w:val="00C472CC"/>
    <w:rsid w:val="00C525B4"/>
    <w:rsid w:val="00C55EF5"/>
    <w:rsid w:val="00C56A59"/>
    <w:rsid w:val="00C60062"/>
    <w:rsid w:val="00C60BFE"/>
    <w:rsid w:val="00C71325"/>
    <w:rsid w:val="00C72C0F"/>
    <w:rsid w:val="00C7349B"/>
    <w:rsid w:val="00C76478"/>
    <w:rsid w:val="00C8149E"/>
    <w:rsid w:val="00C906A2"/>
    <w:rsid w:val="00C9767D"/>
    <w:rsid w:val="00C97744"/>
    <w:rsid w:val="00C97CEA"/>
    <w:rsid w:val="00CA1F91"/>
    <w:rsid w:val="00CA5F0F"/>
    <w:rsid w:val="00CB0445"/>
    <w:rsid w:val="00CB13D6"/>
    <w:rsid w:val="00CB1854"/>
    <w:rsid w:val="00CB3373"/>
    <w:rsid w:val="00CC1EB7"/>
    <w:rsid w:val="00CC2FC9"/>
    <w:rsid w:val="00CC6570"/>
    <w:rsid w:val="00CC78EA"/>
    <w:rsid w:val="00CD65AF"/>
    <w:rsid w:val="00CD7C9F"/>
    <w:rsid w:val="00CE35EF"/>
    <w:rsid w:val="00CE7A60"/>
    <w:rsid w:val="00CF263E"/>
    <w:rsid w:val="00CF6823"/>
    <w:rsid w:val="00D013EC"/>
    <w:rsid w:val="00D0228F"/>
    <w:rsid w:val="00D03E0C"/>
    <w:rsid w:val="00D1003E"/>
    <w:rsid w:val="00D14543"/>
    <w:rsid w:val="00D15DC2"/>
    <w:rsid w:val="00D2113C"/>
    <w:rsid w:val="00D24111"/>
    <w:rsid w:val="00D50635"/>
    <w:rsid w:val="00D513D2"/>
    <w:rsid w:val="00D56577"/>
    <w:rsid w:val="00D60AF2"/>
    <w:rsid w:val="00D61C4F"/>
    <w:rsid w:val="00D626DC"/>
    <w:rsid w:val="00D636E1"/>
    <w:rsid w:val="00D7036E"/>
    <w:rsid w:val="00D709E7"/>
    <w:rsid w:val="00D73135"/>
    <w:rsid w:val="00D80EDE"/>
    <w:rsid w:val="00D819DF"/>
    <w:rsid w:val="00D81DC9"/>
    <w:rsid w:val="00D917A1"/>
    <w:rsid w:val="00D9335E"/>
    <w:rsid w:val="00D95B30"/>
    <w:rsid w:val="00DA3AFA"/>
    <w:rsid w:val="00DC079D"/>
    <w:rsid w:val="00DC081D"/>
    <w:rsid w:val="00DC0BAB"/>
    <w:rsid w:val="00DC39EC"/>
    <w:rsid w:val="00DC411A"/>
    <w:rsid w:val="00DD2B85"/>
    <w:rsid w:val="00DD3FEA"/>
    <w:rsid w:val="00DD50AF"/>
    <w:rsid w:val="00DD66A0"/>
    <w:rsid w:val="00DE20C4"/>
    <w:rsid w:val="00DE3291"/>
    <w:rsid w:val="00DE59D1"/>
    <w:rsid w:val="00DE7A3C"/>
    <w:rsid w:val="00DF2724"/>
    <w:rsid w:val="00DF2BA2"/>
    <w:rsid w:val="00DF6F08"/>
    <w:rsid w:val="00E01507"/>
    <w:rsid w:val="00E05B9F"/>
    <w:rsid w:val="00E06257"/>
    <w:rsid w:val="00E11DED"/>
    <w:rsid w:val="00E1225C"/>
    <w:rsid w:val="00E161CD"/>
    <w:rsid w:val="00E1629E"/>
    <w:rsid w:val="00E17462"/>
    <w:rsid w:val="00E21ACC"/>
    <w:rsid w:val="00E24F8E"/>
    <w:rsid w:val="00E279C4"/>
    <w:rsid w:val="00E27D8C"/>
    <w:rsid w:val="00E30CE4"/>
    <w:rsid w:val="00E31BC5"/>
    <w:rsid w:val="00E32219"/>
    <w:rsid w:val="00E3410E"/>
    <w:rsid w:val="00E439ED"/>
    <w:rsid w:val="00E442D9"/>
    <w:rsid w:val="00E50154"/>
    <w:rsid w:val="00E54ABB"/>
    <w:rsid w:val="00E560AF"/>
    <w:rsid w:val="00E62740"/>
    <w:rsid w:val="00E7136F"/>
    <w:rsid w:val="00E72E2D"/>
    <w:rsid w:val="00E81DE5"/>
    <w:rsid w:val="00E83EE7"/>
    <w:rsid w:val="00E931BE"/>
    <w:rsid w:val="00E94F51"/>
    <w:rsid w:val="00EA3060"/>
    <w:rsid w:val="00EC1465"/>
    <w:rsid w:val="00EC52DA"/>
    <w:rsid w:val="00EC7151"/>
    <w:rsid w:val="00ED1383"/>
    <w:rsid w:val="00ED4C5D"/>
    <w:rsid w:val="00ED7E78"/>
    <w:rsid w:val="00EE0DDB"/>
    <w:rsid w:val="00EE3BED"/>
    <w:rsid w:val="00EF2ACF"/>
    <w:rsid w:val="00EF6164"/>
    <w:rsid w:val="00F01F9D"/>
    <w:rsid w:val="00F0457D"/>
    <w:rsid w:val="00F0736B"/>
    <w:rsid w:val="00F124E1"/>
    <w:rsid w:val="00F13B8B"/>
    <w:rsid w:val="00F161AB"/>
    <w:rsid w:val="00F17FD7"/>
    <w:rsid w:val="00F21767"/>
    <w:rsid w:val="00F2718F"/>
    <w:rsid w:val="00F27587"/>
    <w:rsid w:val="00F3098A"/>
    <w:rsid w:val="00F3354A"/>
    <w:rsid w:val="00F346D3"/>
    <w:rsid w:val="00F34C6B"/>
    <w:rsid w:val="00F34D8B"/>
    <w:rsid w:val="00F3660E"/>
    <w:rsid w:val="00F40539"/>
    <w:rsid w:val="00F45339"/>
    <w:rsid w:val="00F45AA4"/>
    <w:rsid w:val="00F52779"/>
    <w:rsid w:val="00F53F0A"/>
    <w:rsid w:val="00F54281"/>
    <w:rsid w:val="00F54710"/>
    <w:rsid w:val="00F631F0"/>
    <w:rsid w:val="00F66BE6"/>
    <w:rsid w:val="00F7084C"/>
    <w:rsid w:val="00F73390"/>
    <w:rsid w:val="00F76B15"/>
    <w:rsid w:val="00F76DDA"/>
    <w:rsid w:val="00F81EC3"/>
    <w:rsid w:val="00F83D60"/>
    <w:rsid w:val="00F85B10"/>
    <w:rsid w:val="00F90249"/>
    <w:rsid w:val="00F927D8"/>
    <w:rsid w:val="00FA297B"/>
    <w:rsid w:val="00FA3C2F"/>
    <w:rsid w:val="00FB107B"/>
    <w:rsid w:val="00FB2C7D"/>
    <w:rsid w:val="00FB4AE8"/>
    <w:rsid w:val="00FB5CFA"/>
    <w:rsid w:val="00FC1CC1"/>
    <w:rsid w:val="00FC2C3C"/>
    <w:rsid w:val="00FC6C9A"/>
    <w:rsid w:val="00FC77C9"/>
    <w:rsid w:val="00FC7FBC"/>
    <w:rsid w:val="00FD272B"/>
    <w:rsid w:val="00FD5BBD"/>
    <w:rsid w:val="00FE24DD"/>
    <w:rsid w:val="00FE52CB"/>
    <w:rsid w:val="00FE52CE"/>
    <w:rsid w:val="00FE6FBE"/>
    <w:rsid w:val="00FF2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67B18"/>
  <w15:chartTrackingRefBased/>
  <w15:docId w15:val="{E1EE635E-EA1F-49DB-9891-9F46EFA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E1"/>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B31"/>
    <w:rPr>
      <w:rFonts w:ascii="Palatino Linotype" w:hAnsi="Palatino Linotype"/>
      <w:color w:val="000000" w:themeColor="text1"/>
    </w:rPr>
  </w:style>
  <w:style w:type="paragraph" w:styleId="Piedepgina">
    <w:name w:val="footer"/>
    <w:basedOn w:val="Normal"/>
    <w:link w:val="PiedepginaCar"/>
    <w:uiPriority w:val="99"/>
    <w:unhideWhenUsed/>
    <w:rsid w:val="0006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B31"/>
    <w:rPr>
      <w:rFonts w:ascii="Palatino Linotype" w:hAnsi="Palatino Linotype"/>
      <w:color w:val="000000" w:themeColor="text1"/>
    </w:rPr>
  </w:style>
  <w:style w:type="table" w:styleId="Tablaconcuadrcula">
    <w:name w:val="Table Grid"/>
    <w:basedOn w:val="Tablanormal"/>
    <w:uiPriority w:val="59"/>
    <w:rsid w:val="00066B3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6B3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6B3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basedOn w:val="Fuentedeprrafopredeter"/>
    <w:uiPriority w:val="99"/>
    <w:unhideWhenUsed/>
    <w:rsid w:val="00066B31"/>
    <w:rPr>
      <w:color w:val="0563C1" w:themeColor="hyperlink"/>
      <w:u w:val="single"/>
    </w:rPr>
  </w:style>
  <w:style w:type="paragraph" w:styleId="NormalWeb">
    <w:name w:val="Normal (Web)"/>
    <w:basedOn w:val="Normal"/>
    <w:uiPriority w:val="99"/>
    <w:unhideWhenUsed/>
    <w:rsid w:val="00C8149E"/>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D36B1"/>
    <w:rPr>
      <w:color w:val="605E5C"/>
      <w:shd w:val="clear" w:color="auto" w:fill="E1DFDD"/>
    </w:rPr>
  </w:style>
  <w:style w:type="character" w:customStyle="1" w:styleId="normaltextrun">
    <w:name w:val="normaltextrun"/>
    <w:basedOn w:val="Fuentedeprrafopredeter"/>
    <w:rsid w:val="00C71325"/>
  </w:style>
  <w:style w:type="character" w:customStyle="1" w:styleId="eop">
    <w:name w:val="eop"/>
    <w:basedOn w:val="Fuentedeprrafopredeter"/>
    <w:rsid w:val="00C71325"/>
  </w:style>
  <w:style w:type="character" w:styleId="Hipervnculovisitado">
    <w:name w:val="FollowedHyperlink"/>
    <w:basedOn w:val="Fuentedeprrafopredeter"/>
    <w:uiPriority w:val="99"/>
    <w:semiHidden/>
    <w:unhideWhenUsed/>
    <w:rsid w:val="00427CE0"/>
    <w:rPr>
      <w:color w:val="954F72" w:themeColor="followedHyperlink"/>
      <w:u w:val="single"/>
    </w:rPr>
  </w:style>
  <w:style w:type="character" w:customStyle="1" w:styleId="Mencinsinresolver2">
    <w:name w:val="Mención sin resolver2"/>
    <w:basedOn w:val="Fuentedeprrafopredeter"/>
    <w:uiPriority w:val="99"/>
    <w:semiHidden/>
    <w:unhideWhenUsed/>
    <w:rsid w:val="00D60AF2"/>
    <w:rPr>
      <w:color w:val="605E5C"/>
      <w:shd w:val="clear" w:color="auto" w:fill="E1DFDD"/>
    </w:rPr>
  </w:style>
  <w:style w:type="character" w:customStyle="1" w:styleId="Mencinsinresolver3">
    <w:name w:val="Mención sin resolver3"/>
    <w:basedOn w:val="Fuentedeprrafopredeter"/>
    <w:uiPriority w:val="99"/>
    <w:semiHidden/>
    <w:unhideWhenUsed/>
    <w:rsid w:val="0020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9850">
      <w:bodyDiv w:val="1"/>
      <w:marLeft w:val="0"/>
      <w:marRight w:val="0"/>
      <w:marTop w:val="0"/>
      <w:marBottom w:val="0"/>
      <w:divBdr>
        <w:top w:val="none" w:sz="0" w:space="0" w:color="auto"/>
        <w:left w:val="none" w:sz="0" w:space="0" w:color="auto"/>
        <w:bottom w:val="none" w:sz="0" w:space="0" w:color="auto"/>
        <w:right w:val="none" w:sz="0" w:space="0" w:color="auto"/>
      </w:divBdr>
    </w:div>
    <w:div w:id="52974865">
      <w:bodyDiv w:val="1"/>
      <w:marLeft w:val="0"/>
      <w:marRight w:val="0"/>
      <w:marTop w:val="0"/>
      <w:marBottom w:val="0"/>
      <w:divBdr>
        <w:top w:val="none" w:sz="0" w:space="0" w:color="auto"/>
        <w:left w:val="none" w:sz="0" w:space="0" w:color="auto"/>
        <w:bottom w:val="none" w:sz="0" w:space="0" w:color="auto"/>
        <w:right w:val="none" w:sz="0" w:space="0" w:color="auto"/>
      </w:divBdr>
    </w:div>
    <w:div w:id="65885824">
      <w:bodyDiv w:val="1"/>
      <w:marLeft w:val="0"/>
      <w:marRight w:val="0"/>
      <w:marTop w:val="0"/>
      <w:marBottom w:val="0"/>
      <w:divBdr>
        <w:top w:val="none" w:sz="0" w:space="0" w:color="auto"/>
        <w:left w:val="none" w:sz="0" w:space="0" w:color="auto"/>
        <w:bottom w:val="none" w:sz="0" w:space="0" w:color="auto"/>
        <w:right w:val="none" w:sz="0" w:space="0" w:color="auto"/>
      </w:divBdr>
    </w:div>
    <w:div w:id="93287888">
      <w:bodyDiv w:val="1"/>
      <w:marLeft w:val="0"/>
      <w:marRight w:val="0"/>
      <w:marTop w:val="0"/>
      <w:marBottom w:val="0"/>
      <w:divBdr>
        <w:top w:val="none" w:sz="0" w:space="0" w:color="auto"/>
        <w:left w:val="none" w:sz="0" w:space="0" w:color="auto"/>
        <w:bottom w:val="none" w:sz="0" w:space="0" w:color="auto"/>
        <w:right w:val="none" w:sz="0" w:space="0" w:color="auto"/>
      </w:divBdr>
    </w:div>
    <w:div w:id="104202495">
      <w:bodyDiv w:val="1"/>
      <w:marLeft w:val="0"/>
      <w:marRight w:val="0"/>
      <w:marTop w:val="0"/>
      <w:marBottom w:val="0"/>
      <w:divBdr>
        <w:top w:val="none" w:sz="0" w:space="0" w:color="auto"/>
        <w:left w:val="none" w:sz="0" w:space="0" w:color="auto"/>
        <w:bottom w:val="none" w:sz="0" w:space="0" w:color="auto"/>
        <w:right w:val="none" w:sz="0" w:space="0" w:color="auto"/>
      </w:divBdr>
    </w:div>
    <w:div w:id="114520567">
      <w:bodyDiv w:val="1"/>
      <w:marLeft w:val="0"/>
      <w:marRight w:val="0"/>
      <w:marTop w:val="0"/>
      <w:marBottom w:val="0"/>
      <w:divBdr>
        <w:top w:val="none" w:sz="0" w:space="0" w:color="auto"/>
        <w:left w:val="none" w:sz="0" w:space="0" w:color="auto"/>
        <w:bottom w:val="none" w:sz="0" w:space="0" w:color="auto"/>
        <w:right w:val="none" w:sz="0" w:space="0" w:color="auto"/>
      </w:divBdr>
    </w:div>
    <w:div w:id="123893105">
      <w:bodyDiv w:val="1"/>
      <w:marLeft w:val="0"/>
      <w:marRight w:val="0"/>
      <w:marTop w:val="0"/>
      <w:marBottom w:val="0"/>
      <w:divBdr>
        <w:top w:val="none" w:sz="0" w:space="0" w:color="auto"/>
        <w:left w:val="none" w:sz="0" w:space="0" w:color="auto"/>
        <w:bottom w:val="none" w:sz="0" w:space="0" w:color="auto"/>
        <w:right w:val="none" w:sz="0" w:space="0" w:color="auto"/>
      </w:divBdr>
    </w:div>
    <w:div w:id="170336354">
      <w:bodyDiv w:val="1"/>
      <w:marLeft w:val="0"/>
      <w:marRight w:val="0"/>
      <w:marTop w:val="0"/>
      <w:marBottom w:val="0"/>
      <w:divBdr>
        <w:top w:val="none" w:sz="0" w:space="0" w:color="auto"/>
        <w:left w:val="none" w:sz="0" w:space="0" w:color="auto"/>
        <w:bottom w:val="none" w:sz="0" w:space="0" w:color="auto"/>
        <w:right w:val="none" w:sz="0" w:space="0" w:color="auto"/>
      </w:divBdr>
    </w:div>
    <w:div w:id="209074259">
      <w:bodyDiv w:val="1"/>
      <w:marLeft w:val="0"/>
      <w:marRight w:val="0"/>
      <w:marTop w:val="0"/>
      <w:marBottom w:val="0"/>
      <w:divBdr>
        <w:top w:val="none" w:sz="0" w:space="0" w:color="auto"/>
        <w:left w:val="none" w:sz="0" w:space="0" w:color="auto"/>
        <w:bottom w:val="none" w:sz="0" w:space="0" w:color="auto"/>
        <w:right w:val="none" w:sz="0" w:space="0" w:color="auto"/>
      </w:divBdr>
    </w:div>
    <w:div w:id="323628964">
      <w:bodyDiv w:val="1"/>
      <w:marLeft w:val="0"/>
      <w:marRight w:val="0"/>
      <w:marTop w:val="0"/>
      <w:marBottom w:val="0"/>
      <w:divBdr>
        <w:top w:val="none" w:sz="0" w:space="0" w:color="auto"/>
        <w:left w:val="none" w:sz="0" w:space="0" w:color="auto"/>
        <w:bottom w:val="none" w:sz="0" w:space="0" w:color="auto"/>
        <w:right w:val="none" w:sz="0" w:space="0" w:color="auto"/>
      </w:divBdr>
    </w:div>
    <w:div w:id="330521772">
      <w:bodyDiv w:val="1"/>
      <w:marLeft w:val="0"/>
      <w:marRight w:val="0"/>
      <w:marTop w:val="0"/>
      <w:marBottom w:val="0"/>
      <w:divBdr>
        <w:top w:val="none" w:sz="0" w:space="0" w:color="auto"/>
        <w:left w:val="none" w:sz="0" w:space="0" w:color="auto"/>
        <w:bottom w:val="none" w:sz="0" w:space="0" w:color="auto"/>
        <w:right w:val="none" w:sz="0" w:space="0" w:color="auto"/>
      </w:divBdr>
    </w:div>
    <w:div w:id="402797212">
      <w:bodyDiv w:val="1"/>
      <w:marLeft w:val="0"/>
      <w:marRight w:val="0"/>
      <w:marTop w:val="0"/>
      <w:marBottom w:val="0"/>
      <w:divBdr>
        <w:top w:val="none" w:sz="0" w:space="0" w:color="auto"/>
        <w:left w:val="none" w:sz="0" w:space="0" w:color="auto"/>
        <w:bottom w:val="none" w:sz="0" w:space="0" w:color="auto"/>
        <w:right w:val="none" w:sz="0" w:space="0" w:color="auto"/>
      </w:divBdr>
    </w:div>
    <w:div w:id="492448525">
      <w:bodyDiv w:val="1"/>
      <w:marLeft w:val="0"/>
      <w:marRight w:val="0"/>
      <w:marTop w:val="0"/>
      <w:marBottom w:val="0"/>
      <w:divBdr>
        <w:top w:val="none" w:sz="0" w:space="0" w:color="auto"/>
        <w:left w:val="none" w:sz="0" w:space="0" w:color="auto"/>
        <w:bottom w:val="none" w:sz="0" w:space="0" w:color="auto"/>
        <w:right w:val="none" w:sz="0" w:space="0" w:color="auto"/>
      </w:divBdr>
    </w:div>
    <w:div w:id="538467800">
      <w:bodyDiv w:val="1"/>
      <w:marLeft w:val="0"/>
      <w:marRight w:val="0"/>
      <w:marTop w:val="0"/>
      <w:marBottom w:val="0"/>
      <w:divBdr>
        <w:top w:val="none" w:sz="0" w:space="0" w:color="auto"/>
        <w:left w:val="none" w:sz="0" w:space="0" w:color="auto"/>
        <w:bottom w:val="none" w:sz="0" w:space="0" w:color="auto"/>
        <w:right w:val="none" w:sz="0" w:space="0" w:color="auto"/>
      </w:divBdr>
    </w:div>
    <w:div w:id="578755040">
      <w:bodyDiv w:val="1"/>
      <w:marLeft w:val="0"/>
      <w:marRight w:val="0"/>
      <w:marTop w:val="0"/>
      <w:marBottom w:val="0"/>
      <w:divBdr>
        <w:top w:val="none" w:sz="0" w:space="0" w:color="auto"/>
        <w:left w:val="none" w:sz="0" w:space="0" w:color="auto"/>
        <w:bottom w:val="none" w:sz="0" w:space="0" w:color="auto"/>
        <w:right w:val="none" w:sz="0" w:space="0" w:color="auto"/>
      </w:divBdr>
    </w:div>
    <w:div w:id="683555350">
      <w:bodyDiv w:val="1"/>
      <w:marLeft w:val="0"/>
      <w:marRight w:val="0"/>
      <w:marTop w:val="0"/>
      <w:marBottom w:val="0"/>
      <w:divBdr>
        <w:top w:val="none" w:sz="0" w:space="0" w:color="auto"/>
        <w:left w:val="none" w:sz="0" w:space="0" w:color="auto"/>
        <w:bottom w:val="none" w:sz="0" w:space="0" w:color="auto"/>
        <w:right w:val="none" w:sz="0" w:space="0" w:color="auto"/>
      </w:divBdr>
    </w:div>
    <w:div w:id="689574042">
      <w:bodyDiv w:val="1"/>
      <w:marLeft w:val="0"/>
      <w:marRight w:val="0"/>
      <w:marTop w:val="0"/>
      <w:marBottom w:val="0"/>
      <w:divBdr>
        <w:top w:val="none" w:sz="0" w:space="0" w:color="auto"/>
        <w:left w:val="none" w:sz="0" w:space="0" w:color="auto"/>
        <w:bottom w:val="none" w:sz="0" w:space="0" w:color="auto"/>
        <w:right w:val="none" w:sz="0" w:space="0" w:color="auto"/>
      </w:divBdr>
    </w:div>
    <w:div w:id="796602074">
      <w:bodyDiv w:val="1"/>
      <w:marLeft w:val="0"/>
      <w:marRight w:val="0"/>
      <w:marTop w:val="0"/>
      <w:marBottom w:val="0"/>
      <w:divBdr>
        <w:top w:val="none" w:sz="0" w:space="0" w:color="auto"/>
        <w:left w:val="none" w:sz="0" w:space="0" w:color="auto"/>
        <w:bottom w:val="none" w:sz="0" w:space="0" w:color="auto"/>
        <w:right w:val="none" w:sz="0" w:space="0" w:color="auto"/>
      </w:divBdr>
    </w:div>
    <w:div w:id="809202076">
      <w:bodyDiv w:val="1"/>
      <w:marLeft w:val="0"/>
      <w:marRight w:val="0"/>
      <w:marTop w:val="0"/>
      <w:marBottom w:val="0"/>
      <w:divBdr>
        <w:top w:val="none" w:sz="0" w:space="0" w:color="auto"/>
        <w:left w:val="none" w:sz="0" w:space="0" w:color="auto"/>
        <w:bottom w:val="none" w:sz="0" w:space="0" w:color="auto"/>
        <w:right w:val="none" w:sz="0" w:space="0" w:color="auto"/>
      </w:divBdr>
    </w:div>
    <w:div w:id="841161007">
      <w:bodyDiv w:val="1"/>
      <w:marLeft w:val="0"/>
      <w:marRight w:val="0"/>
      <w:marTop w:val="0"/>
      <w:marBottom w:val="0"/>
      <w:divBdr>
        <w:top w:val="none" w:sz="0" w:space="0" w:color="auto"/>
        <w:left w:val="none" w:sz="0" w:space="0" w:color="auto"/>
        <w:bottom w:val="none" w:sz="0" w:space="0" w:color="auto"/>
        <w:right w:val="none" w:sz="0" w:space="0" w:color="auto"/>
      </w:divBdr>
    </w:div>
    <w:div w:id="947590116">
      <w:bodyDiv w:val="1"/>
      <w:marLeft w:val="0"/>
      <w:marRight w:val="0"/>
      <w:marTop w:val="0"/>
      <w:marBottom w:val="0"/>
      <w:divBdr>
        <w:top w:val="none" w:sz="0" w:space="0" w:color="auto"/>
        <w:left w:val="none" w:sz="0" w:space="0" w:color="auto"/>
        <w:bottom w:val="none" w:sz="0" w:space="0" w:color="auto"/>
        <w:right w:val="none" w:sz="0" w:space="0" w:color="auto"/>
      </w:divBdr>
    </w:div>
    <w:div w:id="1003700330">
      <w:bodyDiv w:val="1"/>
      <w:marLeft w:val="0"/>
      <w:marRight w:val="0"/>
      <w:marTop w:val="0"/>
      <w:marBottom w:val="0"/>
      <w:divBdr>
        <w:top w:val="none" w:sz="0" w:space="0" w:color="auto"/>
        <w:left w:val="none" w:sz="0" w:space="0" w:color="auto"/>
        <w:bottom w:val="none" w:sz="0" w:space="0" w:color="auto"/>
        <w:right w:val="none" w:sz="0" w:space="0" w:color="auto"/>
      </w:divBdr>
    </w:div>
    <w:div w:id="1076628608">
      <w:bodyDiv w:val="1"/>
      <w:marLeft w:val="0"/>
      <w:marRight w:val="0"/>
      <w:marTop w:val="0"/>
      <w:marBottom w:val="0"/>
      <w:divBdr>
        <w:top w:val="none" w:sz="0" w:space="0" w:color="auto"/>
        <w:left w:val="none" w:sz="0" w:space="0" w:color="auto"/>
        <w:bottom w:val="none" w:sz="0" w:space="0" w:color="auto"/>
        <w:right w:val="none" w:sz="0" w:space="0" w:color="auto"/>
      </w:divBdr>
    </w:div>
    <w:div w:id="1138113508">
      <w:bodyDiv w:val="1"/>
      <w:marLeft w:val="0"/>
      <w:marRight w:val="0"/>
      <w:marTop w:val="0"/>
      <w:marBottom w:val="0"/>
      <w:divBdr>
        <w:top w:val="none" w:sz="0" w:space="0" w:color="auto"/>
        <w:left w:val="none" w:sz="0" w:space="0" w:color="auto"/>
        <w:bottom w:val="none" w:sz="0" w:space="0" w:color="auto"/>
        <w:right w:val="none" w:sz="0" w:space="0" w:color="auto"/>
      </w:divBdr>
    </w:div>
    <w:div w:id="1189686220">
      <w:bodyDiv w:val="1"/>
      <w:marLeft w:val="0"/>
      <w:marRight w:val="0"/>
      <w:marTop w:val="0"/>
      <w:marBottom w:val="0"/>
      <w:divBdr>
        <w:top w:val="none" w:sz="0" w:space="0" w:color="auto"/>
        <w:left w:val="none" w:sz="0" w:space="0" w:color="auto"/>
        <w:bottom w:val="none" w:sz="0" w:space="0" w:color="auto"/>
        <w:right w:val="none" w:sz="0" w:space="0" w:color="auto"/>
      </w:divBdr>
    </w:div>
    <w:div w:id="1270821788">
      <w:bodyDiv w:val="1"/>
      <w:marLeft w:val="0"/>
      <w:marRight w:val="0"/>
      <w:marTop w:val="0"/>
      <w:marBottom w:val="0"/>
      <w:divBdr>
        <w:top w:val="none" w:sz="0" w:space="0" w:color="auto"/>
        <w:left w:val="none" w:sz="0" w:space="0" w:color="auto"/>
        <w:bottom w:val="none" w:sz="0" w:space="0" w:color="auto"/>
        <w:right w:val="none" w:sz="0" w:space="0" w:color="auto"/>
      </w:divBdr>
    </w:div>
    <w:div w:id="1293055042">
      <w:bodyDiv w:val="1"/>
      <w:marLeft w:val="0"/>
      <w:marRight w:val="0"/>
      <w:marTop w:val="0"/>
      <w:marBottom w:val="0"/>
      <w:divBdr>
        <w:top w:val="none" w:sz="0" w:space="0" w:color="auto"/>
        <w:left w:val="none" w:sz="0" w:space="0" w:color="auto"/>
        <w:bottom w:val="none" w:sz="0" w:space="0" w:color="auto"/>
        <w:right w:val="none" w:sz="0" w:space="0" w:color="auto"/>
      </w:divBdr>
    </w:div>
    <w:div w:id="1300763391">
      <w:bodyDiv w:val="1"/>
      <w:marLeft w:val="0"/>
      <w:marRight w:val="0"/>
      <w:marTop w:val="0"/>
      <w:marBottom w:val="0"/>
      <w:divBdr>
        <w:top w:val="none" w:sz="0" w:space="0" w:color="auto"/>
        <w:left w:val="none" w:sz="0" w:space="0" w:color="auto"/>
        <w:bottom w:val="none" w:sz="0" w:space="0" w:color="auto"/>
        <w:right w:val="none" w:sz="0" w:space="0" w:color="auto"/>
      </w:divBdr>
    </w:div>
    <w:div w:id="1316181000">
      <w:bodyDiv w:val="1"/>
      <w:marLeft w:val="0"/>
      <w:marRight w:val="0"/>
      <w:marTop w:val="0"/>
      <w:marBottom w:val="0"/>
      <w:divBdr>
        <w:top w:val="none" w:sz="0" w:space="0" w:color="auto"/>
        <w:left w:val="none" w:sz="0" w:space="0" w:color="auto"/>
        <w:bottom w:val="none" w:sz="0" w:space="0" w:color="auto"/>
        <w:right w:val="none" w:sz="0" w:space="0" w:color="auto"/>
      </w:divBdr>
    </w:div>
    <w:div w:id="1335836703">
      <w:bodyDiv w:val="1"/>
      <w:marLeft w:val="0"/>
      <w:marRight w:val="0"/>
      <w:marTop w:val="0"/>
      <w:marBottom w:val="0"/>
      <w:divBdr>
        <w:top w:val="none" w:sz="0" w:space="0" w:color="auto"/>
        <w:left w:val="none" w:sz="0" w:space="0" w:color="auto"/>
        <w:bottom w:val="none" w:sz="0" w:space="0" w:color="auto"/>
        <w:right w:val="none" w:sz="0" w:space="0" w:color="auto"/>
      </w:divBdr>
    </w:div>
    <w:div w:id="1336613071">
      <w:bodyDiv w:val="1"/>
      <w:marLeft w:val="0"/>
      <w:marRight w:val="0"/>
      <w:marTop w:val="0"/>
      <w:marBottom w:val="0"/>
      <w:divBdr>
        <w:top w:val="none" w:sz="0" w:space="0" w:color="auto"/>
        <w:left w:val="none" w:sz="0" w:space="0" w:color="auto"/>
        <w:bottom w:val="none" w:sz="0" w:space="0" w:color="auto"/>
        <w:right w:val="none" w:sz="0" w:space="0" w:color="auto"/>
      </w:divBdr>
    </w:div>
    <w:div w:id="1361199196">
      <w:bodyDiv w:val="1"/>
      <w:marLeft w:val="0"/>
      <w:marRight w:val="0"/>
      <w:marTop w:val="0"/>
      <w:marBottom w:val="0"/>
      <w:divBdr>
        <w:top w:val="none" w:sz="0" w:space="0" w:color="auto"/>
        <w:left w:val="none" w:sz="0" w:space="0" w:color="auto"/>
        <w:bottom w:val="none" w:sz="0" w:space="0" w:color="auto"/>
        <w:right w:val="none" w:sz="0" w:space="0" w:color="auto"/>
      </w:divBdr>
    </w:div>
    <w:div w:id="1365132067">
      <w:bodyDiv w:val="1"/>
      <w:marLeft w:val="0"/>
      <w:marRight w:val="0"/>
      <w:marTop w:val="0"/>
      <w:marBottom w:val="0"/>
      <w:divBdr>
        <w:top w:val="none" w:sz="0" w:space="0" w:color="auto"/>
        <w:left w:val="none" w:sz="0" w:space="0" w:color="auto"/>
        <w:bottom w:val="none" w:sz="0" w:space="0" w:color="auto"/>
        <w:right w:val="none" w:sz="0" w:space="0" w:color="auto"/>
      </w:divBdr>
    </w:div>
    <w:div w:id="1391886216">
      <w:bodyDiv w:val="1"/>
      <w:marLeft w:val="0"/>
      <w:marRight w:val="0"/>
      <w:marTop w:val="0"/>
      <w:marBottom w:val="0"/>
      <w:divBdr>
        <w:top w:val="none" w:sz="0" w:space="0" w:color="auto"/>
        <w:left w:val="none" w:sz="0" w:space="0" w:color="auto"/>
        <w:bottom w:val="none" w:sz="0" w:space="0" w:color="auto"/>
        <w:right w:val="none" w:sz="0" w:space="0" w:color="auto"/>
      </w:divBdr>
    </w:div>
    <w:div w:id="1424032016">
      <w:bodyDiv w:val="1"/>
      <w:marLeft w:val="0"/>
      <w:marRight w:val="0"/>
      <w:marTop w:val="0"/>
      <w:marBottom w:val="0"/>
      <w:divBdr>
        <w:top w:val="none" w:sz="0" w:space="0" w:color="auto"/>
        <w:left w:val="none" w:sz="0" w:space="0" w:color="auto"/>
        <w:bottom w:val="none" w:sz="0" w:space="0" w:color="auto"/>
        <w:right w:val="none" w:sz="0" w:space="0" w:color="auto"/>
      </w:divBdr>
    </w:div>
    <w:div w:id="1482187224">
      <w:bodyDiv w:val="1"/>
      <w:marLeft w:val="0"/>
      <w:marRight w:val="0"/>
      <w:marTop w:val="0"/>
      <w:marBottom w:val="0"/>
      <w:divBdr>
        <w:top w:val="none" w:sz="0" w:space="0" w:color="auto"/>
        <w:left w:val="none" w:sz="0" w:space="0" w:color="auto"/>
        <w:bottom w:val="none" w:sz="0" w:space="0" w:color="auto"/>
        <w:right w:val="none" w:sz="0" w:space="0" w:color="auto"/>
      </w:divBdr>
    </w:div>
    <w:div w:id="1503424558">
      <w:bodyDiv w:val="1"/>
      <w:marLeft w:val="0"/>
      <w:marRight w:val="0"/>
      <w:marTop w:val="0"/>
      <w:marBottom w:val="0"/>
      <w:divBdr>
        <w:top w:val="none" w:sz="0" w:space="0" w:color="auto"/>
        <w:left w:val="none" w:sz="0" w:space="0" w:color="auto"/>
        <w:bottom w:val="none" w:sz="0" w:space="0" w:color="auto"/>
        <w:right w:val="none" w:sz="0" w:space="0" w:color="auto"/>
      </w:divBdr>
    </w:div>
    <w:div w:id="1511871819">
      <w:bodyDiv w:val="1"/>
      <w:marLeft w:val="0"/>
      <w:marRight w:val="0"/>
      <w:marTop w:val="0"/>
      <w:marBottom w:val="0"/>
      <w:divBdr>
        <w:top w:val="none" w:sz="0" w:space="0" w:color="auto"/>
        <w:left w:val="none" w:sz="0" w:space="0" w:color="auto"/>
        <w:bottom w:val="none" w:sz="0" w:space="0" w:color="auto"/>
        <w:right w:val="none" w:sz="0" w:space="0" w:color="auto"/>
      </w:divBdr>
    </w:div>
    <w:div w:id="1623149516">
      <w:bodyDiv w:val="1"/>
      <w:marLeft w:val="0"/>
      <w:marRight w:val="0"/>
      <w:marTop w:val="0"/>
      <w:marBottom w:val="0"/>
      <w:divBdr>
        <w:top w:val="none" w:sz="0" w:space="0" w:color="auto"/>
        <w:left w:val="none" w:sz="0" w:space="0" w:color="auto"/>
        <w:bottom w:val="none" w:sz="0" w:space="0" w:color="auto"/>
        <w:right w:val="none" w:sz="0" w:space="0" w:color="auto"/>
      </w:divBdr>
    </w:div>
    <w:div w:id="1789158907">
      <w:bodyDiv w:val="1"/>
      <w:marLeft w:val="0"/>
      <w:marRight w:val="0"/>
      <w:marTop w:val="0"/>
      <w:marBottom w:val="0"/>
      <w:divBdr>
        <w:top w:val="none" w:sz="0" w:space="0" w:color="auto"/>
        <w:left w:val="none" w:sz="0" w:space="0" w:color="auto"/>
        <w:bottom w:val="none" w:sz="0" w:space="0" w:color="auto"/>
        <w:right w:val="none" w:sz="0" w:space="0" w:color="auto"/>
      </w:divBdr>
    </w:div>
    <w:div w:id="1958558843">
      <w:bodyDiv w:val="1"/>
      <w:marLeft w:val="0"/>
      <w:marRight w:val="0"/>
      <w:marTop w:val="0"/>
      <w:marBottom w:val="0"/>
      <w:divBdr>
        <w:top w:val="none" w:sz="0" w:space="0" w:color="auto"/>
        <w:left w:val="none" w:sz="0" w:space="0" w:color="auto"/>
        <w:bottom w:val="none" w:sz="0" w:space="0" w:color="auto"/>
        <w:right w:val="none" w:sz="0" w:space="0" w:color="auto"/>
      </w:divBdr>
    </w:div>
    <w:div w:id="1975403815">
      <w:bodyDiv w:val="1"/>
      <w:marLeft w:val="0"/>
      <w:marRight w:val="0"/>
      <w:marTop w:val="0"/>
      <w:marBottom w:val="0"/>
      <w:divBdr>
        <w:top w:val="none" w:sz="0" w:space="0" w:color="auto"/>
        <w:left w:val="none" w:sz="0" w:space="0" w:color="auto"/>
        <w:bottom w:val="none" w:sz="0" w:space="0" w:color="auto"/>
        <w:right w:val="none" w:sz="0" w:space="0" w:color="auto"/>
      </w:divBdr>
    </w:div>
    <w:div w:id="2046711869">
      <w:bodyDiv w:val="1"/>
      <w:marLeft w:val="0"/>
      <w:marRight w:val="0"/>
      <w:marTop w:val="0"/>
      <w:marBottom w:val="0"/>
      <w:divBdr>
        <w:top w:val="none" w:sz="0" w:space="0" w:color="auto"/>
        <w:left w:val="none" w:sz="0" w:space="0" w:color="auto"/>
        <w:bottom w:val="none" w:sz="0" w:space="0" w:color="auto"/>
        <w:right w:val="none" w:sz="0" w:space="0" w:color="auto"/>
      </w:divBdr>
    </w:div>
    <w:div w:id="2047177800">
      <w:bodyDiv w:val="1"/>
      <w:marLeft w:val="0"/>
      <w:marRight w:val="0"/>
      <w:marTop w:val="0"/>
      <w:marBottom w:val="0"/>
      <w:divBdr>
        <w:top w:val="none" w:sz="0" w:space="0" w:color="auto"/>
        <w:left w:val="none" w:sz="0" w:space="0" w:color="auto"/>
        <w:bottom w:val="none" w:sz="0" w:space="0" w:color="auto"/>
        <w:right w:val="none" w:sz="0" w:space="0" w:color="auto"/>
      </w:divBdr>
    </w:div>
    <w:div w:id="2050103460">
      <w:bodyDiv w:val="1"/>
      <w:marLeft w:val="0"/>
      <w:marRight w:val="0"/>
      <w:marTop w:val="0"/>
      <w:marBottom w:val="0"/>
      <w:divBdr>
        <w:top w:val="none" w:sz="0" w:space="0" w:color="auto"/>
        <w:left w:val="none" w:sz="0" w:space="0" w:color="auto"/>
        <w:bottom w:val="none" w:sz="0" w:space="0" w:color="auto"/>
        <w:right w:val="none" w:sz="0" w:space="0" w:color="auto"/>
      </w:divBdr>
    </w:div>
    <w:div w:id="2060200184">
      <w:bodyDiv w:val="1"/>
      <w:marLeft w:val="0"/>
      <w:marRight w:val="0"/>
      <w:marTop w:val="0"/>
      <w:marBottom w:val="0"/>
      <w:divBdr>
        <w:top w:val="none" w:sz="0" w:space="0" w:color="auto"/>
        <w:left w:val="none" w:sz="0" w:space="0" w:color="auto"/>
        <w:bottom w:val="none" w:sz="0" w:space="0" w:color="auto"/>
        <w:right w:val="none" w:sz="0" w:space="0" w:color="auto"/>
      </w:divBdr>
    </w:div>
    <w:div w:id="2065643878">
      <w:bodyDiv w:val="1"/>
      <w:marLeft w:val="0"/>
      <w:marRight w:val="0"/>
      <w:marTop w:val="0"/>
      <w:marBottom w:val="0"/>
      <w:divBdr>
        <w:top w:val="none" w:sz="0" w:space="0" w:color="auto"/>
        <w:left w:val="none" w:sz="0" w:space="0" w:color="auto"/>
        <w:bottom w:val="none" w:sz="0" w:space="0" w:color="auto"/>
        <w:right w:val="none" w:sz="0" w:space="0" w:color="auto"/>
      </w:divBdr>
    </w:div>
    <w:div w:id="2087922993">
      <w:bodyDiv w:val="1"/>
      <w:marLeft w:val="0"/>
      <w:marRight w:val="0"/>
      <w:marTop w:val="0"/>
      <w:marBottom w:val="0"/>
      <w:divBdr>
        <w:top w:val="none" w:sz="0" w:space="0" w:color="auto"/>
        <w:left w:val="none" w:sz="0" w:space="0" w:color="auto"/>
        <w:bottom w:val="none" w:sz="0" w:space="0" w:color="auto"/>
        <w:right w:val="none" w:sz="0" w:space="0" w:color="auto"/>
      </w:divBdr>
    </w:div>
    <w:div w:id="2112124075">
      <w:bodyDiv w:val="1"/>
      <w:marLeft w:val="0"/>
      <w:marRight w:val="0"/>
      <w:marTop w:val="0"/>
      <w:marBottom w:val="0"/>
      <w:divBdr>
        <w:top w:val="none" w:sz="0" w:space="0" w:color="auto"/>
        <w:left w:val="none" w:sz="0" w:space="0" w:color="auto"/>
        <w:bottom w:val="none" w:sz="0" w:space="0" w:color="auto"/>
        <w:right w:val="none" w:sz="0" w:space="0" w:color="auto"/>
      </w:divBdr>
    </w:div>
    <w:div w:id="214276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xcocoedomex.gob.mx/Documentos/REMTYS/DENUNCIAS.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5764</Words>
  <Characters>31706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dcterms:created xsi:type="dcterms:W3CDTF">2024-11-04T17:00:00Z</dcterms:created>
  <dcterms:modified xsi:type="dcterms:W3CDTF">2024-11-04T17:00:00Z</dcterms:modified>
</cp:coreProperties>
</file>