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AC" w:rsidRDefault="001B5BAC">
      <w:pPr>
        <w:widowControl w:val="0"/>
        <w:pBdr>
          <w:top w:val="nil"/>
          <w:left w:val="nil"/>
          <w:bottom w:val="nil"/>
          <w:right w:val="nil"/>
          <w:between w:val="nil"/>
        </w:pBdr>
        <w:spacing w:line="276" w:lineRule="auto"/>
      </w:pPr>
    </w:p>
    <w:p w:rsidR="001B5BAC" w:rsidRDefault="00572112">
      <w:pPr>
        <w:spacing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1B5BAC" w:rsidRDefault="001B5BAC">
      <w:pPr>
        <w:spacing w:line="360" w:lineRule="auto"/>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VISTOS</w:t>
      </w:r>
      <w:r>
        <w:rPr>
          <w:rFonts w:ascii="Palatino Linotype" w:eastAsia="Palatino Linotype" w:hAnsi="Palatino Linotype" w:cs="Palatino Linotype"/>
          <w:color w:val="0D0D0D"/>
          <w:sz w:val="22"/>
          <w:szCs w:val="22"/>
        </w:rPr>
        <w:t xml:space="preserve"> los expedientes conformados con motivo de los Recursos de Revisión </w:t>
      </w:r>
      <w:r>
        <w:rPr>
          <w:rFonts w:ascii="Palatino Linotype" w:eastAsia="Palatino Linotype" w:hAnsi="Palatino Linotype" w:cs="Palatino Linotype"/>
          <w:b/>
          <w:color w:val="0D0D0D"/>
          <w:sz w:val="22"/>
          <w:szCs w:val="22"/>
        </w:rPr>
        <w:t>01531</w:t>
      </w:r>
      <w:r>
        <w:rPr>
          <w:rFonts w:ascii="Palatino Linotype" w:eastAsia="Palatino Linotype" w:hAnsi="Palatino Linotype" w:cs="Palatino Linotype"/>
          <w:b/>
          <w:sz w:val="22"/>
          <w:szCs w:val="22"/>
        </w:rPr>
        <w:t xml:space="preserve">/INFOEM/IP/RR/2024 y </w:t>
      </w:r>
      <w:r>
        <w:rPr>
          <w:rFonts w:ascii="Palatino Linotype" w:eastAsia="Palatino Linotype" w:hAnsi="Palatino Linotype" w:cs="Palatino Linotype"/>
          <w:b/>
          <w:color w:val="0D0D0D"/>
          <w:sz w:val="22"/>
          <w:szCs w:val="22"/>
        </w:rPr>
        <w:t xml:space="preserve">01532/INFOEM/IP/RR/2024 </w:t>
      </w:r>
      <w:r>
        <w:rPr>
          <w:rFonts w:ascii="Palatino Linotype" w:eastAsia="Palatino Linotype" w:hAnsi="Palatino Linotype" w:cs="Palatino Linotype"/>
          <w:color w:val="0D0D0D"/>
          <w:sz w:val="22"/>
          <w:szCs w:val="22"/>
        </w:rPr>
        <w:t xml:space="preserve">interpuestos por </w:t>
      </w:r>
      <w:r w:rsidR="00E51CF7" w:rsidRPr="00E51CF7">
        <w:rPr>
          <w:rFonts w:ascii="Palatino Linotype" w:eastAsia="Palatino Linotype" w:hAnsi="Palatino Linotype" w:cs="Palatino Linotype"/>
          <w:sz w:val="22"/>
          <w:szCs w:val="22"/>
          <w:highlight w:val="black"/>
        </w:rPr>
        <w:t>XXXXXXXXXXXXXXX</w:t>
      </w:r>
      <w:r>
        <w:rPr>
          <w:rFonts w:ascii="Palatino Linotype" w:eastAsia="Palatino Linotype" w:hAnsi="Palatino Linotype" w:cs="Palatino Linotype"/>
          <w:color w:val="0D0D0D"/>
          <w:sz w:val="22"/>
          <w:szCs w:val="22"/>
        </w:rPr>
        <w:t xml:space="preserve"> en lo sucesivo Recurrente y/o Particular, en contra de las respuestas del Sujeto Obligado </w:t>
      </w:r>
      <w:r>
        <w:rPr>
          <w:rFonts w:ascii="Palatino Linotype" w:eastAsia="Palatino Linotype" w:hAnsi="Palatino Linotype" w:cs="Palatino Linotype"/>
          <w:b/>
          <w:color w:val="0D0D0D"/>
          <w:sz w:val="22"/>
          <w:szCs w:val="22"/>
        </w:rPr>
        <w:t>Hospital Regional de Alta Especialidad de Zumpango</w:t>
      </w:r>
      <w:r>
        <w:rPr>
          <w:rFonts w:ascii="Palatino Linotype" w:eastAsia="Palatino Linotype" w:hAnsi="Palatino Linotype" w:cs="Palatino Linotype"/>
          <w:color w:val="0D0D0D"/>
          <w:sz w:val="22"/>
          <w:szCs w:val="22"/>
        </w:rPr>
        <w:t>, se emite la presente Resolución, con base en los Antecedentes y C</w:t>
      </w:r>
      <w:r>
        <w:rPr>
          <w:rFonts w:ascii="Palatino Linotype" w:eastAsia="Palatino Linotype" w:hAnsi="Palatino Linotype" w:cs="Palatino Linotype"/>
          <w:sz w:val="22"/>
          <w:szCs w:val="22"/>
        </w:rPr>
        <w:t>onsiderandos que a continuación se exponen:</w:t>
      </w:r>
    </w:p>
    <w:p w:rsidR="001B5BAC" w:rsidRDefault="001B5BAC">
      <w:pPr>
        <w:spacing w:line="360" w:lineRule="auto"/>
        <w:rPr>
          <w:rFonts w:ascii="Palatino Linotype" w:eastAsia="Palatino Linotype" w:hAnsi="Palatino Linotype" w:cs="Palatino Linotype"/>
          <w:sz w:val="22"/>
          <w:szCs w:val="22"/>
        </w:rPr>
      </w:pPr>
    </w:p>
    <w:p w:rsidR="001B5BAC" w:rsidRDefault="00572112">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1B5BAC" w:rsidRDefault="001B5BA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1B5BAC" w:rsidRDefault="00572112">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 Presentación de las solicitudes de información </w:t>
      </w:r>
    </w:p>
    <w:p w:rsidR="001B5BAC" w:rsidRDefault="001B5BA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18"/>
          <w:szCs w:val="18"/>
        </w:rPr>
      </w:pPr>
    </w:p>
    <w:p w:rsidR="001B5BAC" w:rsidRDefault="00572112">
      <w:pPr>
        <w:tabs>
          <w:tab w:val="left" w:pos="567"/>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veinte de febrero de dos mil veinticuatro, el Particular presentó dos solicitudes de acceso a la información pública a través del Sistema de Acceso a la Información Mexiquense en lo sucesivo SAIMEX, ante el Hospital Regional de Alta Especialidad de Zumpango, mediante las cuales requirió lo siguiente:</w:t>
      </w:r>
    </w:p>
    <w:p w:rsidR="001B5BAC" w:rsidRDefault="001B5BAC">
      <w:pPr>
        <w:tabs>
          <w:tab w:val="left" w:pos="567"/>
        </w:tabs>
        <w:spacing w:line="360" w:lineRule="auto"/>
        <w:ind w:right="-28"/>
        <w:jc w:val="both"/>
        <w:rPr>
          <w:rFonts w:ascii="Palatino Linotype" w:eastAsia="Palatino Linotype" w:hAnsi="Palatino Linotype" w:cs="Palatino Linotype"/>
          <w:b/>
        </w:rPr>
      </w:pPr>
    </w:p>
    <w:p w:rsidR="001B5BAC" w:rsidRDefault="00572112">
      <w:pPr>
        <w:tabs>
          <w:tab w:val="left" w:pos="567"/>
        </w:tabs>
        <w:spacing w:line="360" w:lineRule="auto"/>
        <w:ind w:left="567" w:right="-28"/>
        <w:jc w:val="both"/>
        <w:rPr>
          <w:rFonts w:ascii="Palatino Linotype" w:eastAsia="Palatino Linotype" w:hAnsi="Palatino Linotype" w:cs="Palatino Linotype"/>
          <w:b/>
        </w:rPr>
      </w:pPr>
      <w:r>
        <w:rPr>
          <w:rFonts w:ascii="Palatino Linotype" w:eastAsia="Palatino Linotype" w:hAnsi="Palatino Linotype" w:cs="Palatino Linotype"/>
          <w:b/>
        </w:rPr>
        <w:t>FOLIO DE SOLICITUD 00055/HRZUM/IP/2024</w:t>
      </w:r>
    </w:p>
    <w:p w:rsidR="001B5BAC" w:rsidRDefault="00572112">
      <w:pPr>
        <w:tabs>
          <w:tab w:val="left" w:pos="567"/>
        </w:tabs>
        <w:spacing w:line="360" w:lineRule="auto"/>
        <w:ind w:left="567" w:right="-28"/>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1B5BAC" w:rsidRDefault="00572112">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los títulos de crédito o cuentas por cobrar que tenga el hospital del año 2019 en versión pública”</w:t>
      </w:r>
    </w:p>
    <w:p w:rsidR="001B5BAC" w:rsidRDefault="001B5BAC">
      <w:pPr>
        <w:tabs>
          <w:tab w:val="left" w:pos="567"/>
        </w:tabs>
        <w:spacing w:line="360" w:lineRule="auto"/>
        <w:ind w:right="-28"/>
        <w:jc w:val="both"/>
        <w:rPr>
          <w:rFonts w:ascii="Palatino Linotype" w:eastAsia="Palatino Linotype" w:hAnsi="Palatino Linotype" w:cs="Palatino Linotype"/>
          <w:b/>
          <w:sz w:val="18"/>
          <w:szCs w:val="18"/>
        </w:rPr>
      </w:pPr>
    </w:p>
    <w:p w:rsidR="001B5BAC" w:rsidRDefault="00572112">
      <w:pPr>
        <w:tabs>
          <w:tab w:val="left" w:pos="567"/>
        </w:tabs>
        <w:spacing w:line="360" w:lineRule="auto"/>
        <w:ind w:left="567" w:right="-28"/>
        <w:jc w:val="both"/>
        <w:rPr>
          <w:rFonts w:ascii="Palatino Linotype" w:eastAsia="Palatino Linotype" w:hAnsi="Palatino Linotype" w:cs="Palatino Linotype"/>
          <w:b/>
        </w:rPr>
      </w:pPr>
      <w:r>
        <w:rPr>
          <w:rFonts w:ascii="Palatino Linotype" w:eastAsia="Palatino Linotype" w:hAnsi="Palatino Linotype" w:cs="Palatino Linotype"/>
          <w:b/>
        </w:rPr>
        <w:t>FOLIO DE SOLICITUD 00061/HRZUM/IP/2024</w:t>
      </w:r>
    </w:p>
    <w:p w:rsidR="001B5BAC" w:rsidRDefault="00572112">
      <w:pPr>
        <w:tabs>
          <w:tab w:val="left" w:pos="567"/>
        </w:tabs>
        <w:spacing w:line="360" w:lineRule="auto"/>
        <w:ind w:left="567" w:right="-28"/>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1B5BAC" w:rsidRDefault="001B5BAC">
      <w:pPr>
        <w:tabs>
          <w:tab w:val="left" w:pos="567"/>
        </w:tabs>
        <w:spacing w:line="360" w:lineRule="auto"/>
        <w:ind w:right="-28"/>
        <w:jc w:val="both"/>
        <w:rPr>
          <w:rFonts w:ascii="Palatino Linotype" w:eastAsia="Palatino Linotype" w:hAnsi="Palatino Linotype" w:cs="Palatino Linotype"/>
          <w:b/>
        </w:rPr>
      </w:pPr>
    </w:p>
    <w:p w:rsidR="001B5BAC" w:rsidRDefault="00572112">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“Solicito saber si hay servidores públicos con títulos de crédito o adeudos con </w:t>
      </w:r>
      <w:proofErr w:type="spellStart"/>
      <w:r>
        <w:rPr>
          <w:rFonts w:ascii="Palatino Linotype" w:eastAsia="Palatino Linotype" w:hAnsi="Palatino Linotype" w:cs="Palatino Linotype"/>
          <w:i/>
        </w:rPr>
        <w:t>el</w:t>
      </w:r>
      <w:proofErr w:type="spellEnd"/>
      <w:r>
        <w:rPr>
          <w:rFonts w:ascii="Palatino Linotype" w:eastAsia="Palatino Linotype" w:hAnsi="Palatino Linotype" w:cs="Palatino Linotype"/>
          <w:i/>
        </w:rPr>
        <w:t xml:space="preserve">. Hospital pendejee en enero 2024” </w:t>
      </w:r>
      <w:r>
        <w:rPr>
          <w:rFonts w:ascii="Palatino Linotype" w:eastAsia="Palatino Linotype" w:hAnsi="Palatino Linotype" w:cs="Palatino Linotype"/>
        </w:rPr>
        <w:t>(Sic)</w:t>
      </w:r>
    </w:p>
    <w:p w:rsidR="001B5BAC" w:rsidRDefault="001B5BAC">
      <w:pPr>
        <w:tabs>
          <w:tab w:val="left" w:pos="567"/>
        </w:tabs>
        <w:spacing w:line="360" w:lineRule="auto"/>
        <w:ind w:right="-28"/>
        <w:jc w:val="both"/>
        <w:rPr>
          <w:rFonts w:ascii="Palatino Linotype" w:eastAsia="Palatino Linotype" w:hAnsi="Palatino Linotype" w:cs="Palatino Linotype"/>
          <w:b/>
        </w:rPr>
      </w:pPr>
    </w:p>
    <w:p w:rsidR="001B5BAC" w:rsidRDefault="00572112">
      <w:pPr>
        <w:tabs>
          <w:tab w:val="left" w:pos="4667"/>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La modalidad de entrega que escogió la Particular para que se le entregará la información en las solicitudes de acceso a la información fue a través del SAIMEX.</w:t>
      </w:r>
    </w:p>
    <w:p w:rsidR="001B5BAC" w:rsidRDefault="001B5BA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1B5BAC" w:rsidRDefault="00572112">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Respuestas del Sujeto Obligado</w:t>
      </w:r>
    </w:p>
    <w:p w:rsidR="001B5BAC" w:rsidRDefault="001B5BA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1B5BAC" w:rsidRDefault="00572112">
      <w:pPr>
        <w:tabs>
          <w:tab w:val="left" w:pos="4667"/>
          <w:tab w:val="left" w:pos="822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ocho de marzo de dos mil veinticuatro, a través del SAIMEX, la Unidad de Transparencia del Sujeto Obligado notificó al Particular las respuestas a sus solicitudes de acceso a la información, en las que manifestó lo siguiente:</w:t>
      </w:r>
    </w:p>
    <w:p w:rsidR="001B5BAC" w:rsidRDefault="001B5BAC">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1B5BAC" w:rsidRDefault="00572112">
      <w:pPr>
        <w:numPr>
          <w:ilvl w:val="0"/>
          <w:numId w:val="4"/>
        </w:numPr>
        <w:pBdr>
          <w:top w:val="nil"/>
          <w:left w:val="nil"/>
          <w:bottom w:val="nil"/>
          <w:right w:val="nil"/>
          <w:between w:val="nil"/>
        </w:pBdr>
        <w:tabs>
          <w:tab w:val="left" w:pos="4667"/>
          <w:tab w:val="left" w:pos="8222"/>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Solicitud de información 00055/HRZUM/IP/2024, </w:t>
      </w:r>
      <w:r>
        <w:rPr>
          <w:rFonts w:ascii="Palatino Linotype" w:eastAsia="Palatino Linotype" w:hAnsi="Palatino Linotype" w:cs="Palatino Linotype"/>
          <w:color w:val="000000"/>
          <w:sz w:val="22"/>
          <w:szCs w:val="22"/>
        </w:rPr>
        <w:t xml:space="preserve">adjuntó los siguientes archivos: </w:t>
      </w:r>
    </w:p>
    <w:p w:rsidR="001B5BAC" w:rsidRDefault="00572112">
      <w:pPr>
        <w:numPr>
          <w:ilvl w:val="3"/>
          <w:numId w:val="3"/>
        </w:numPr>
        <w:pBdr>
          <w:top w:val="nil"/>
          <w:left w:val="nil"/>
          <w:bottom w:val="nil"/>
          <w:right w:val="nil"/>
          <w:between w:val="nil"/>
        </w:pBdr>
        <w:tabs>
          <w:tab w:val="left" w:pos="4667"/>
          <w:tab w:val="left" w:pos="8222"/>
        </w:tabs>
        <w:spacing w:line="360" w:lineRule="auto"/>
        <w:ind w:left="993"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227.pdf:</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Oficio suscrito por la Titular de la Unidad Jurídica y de Igualdad de Género en el que manifestó lo siguiente:</w:t>
      </w:r>
    </w:p>
    <w:p w:rsidR="001B5BAC" w:rsidRDefault="00572112">
      <w:pPr>
        <w:tabs>
          <w:tab w:val="left" w:pos="4667"/>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1B5BAC" w:rsidRDefault="00572112">
      <w:pPr>
        <w:tabs>
          <w:tab w:val="left" w:pos="4667"/>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Derivado de los acuerdos generados en el Décima Octava Sesión Extraordinaria del Comité de Transparencia, y como es del conocimiento de esta Unidad Administrativa a su cargo por unanimidad de cotos de los integrantes de dicho comité, los Títulos de Crédito (pagarés)que han sido remitidos por la Dirección de Administración y Finanzas a esta Unidad Jurídica y de Igualdad de Género, los cuales se encuentran en resguardo de la misma fueron clasificados como reservados, en </w:t>
      </w:r>
      <w:r>
        <w:rPr>
          <w:rFonts w:ascii="Palatino Linotype" w:eastAsia="Palatino Linotype" w:hAnsi="Palatino Linotype" w:cs="Palatino Linotype"/>
          <w:i/>
        </w:rPr>
        <w:lastRenderedPageBreak/>
        <w:t>términos de os artículos 24 fracción VI y 91 de la Ley de Transparencia y Acceso al a Información Pública del Estado de México y Municipios.</w:t>
      </w:r>
    </w:p>
    <w:p w:rsidR="001B5BAC" w:rsidRDefault="00572112">
      <w:pPr>
        <w:tabs>
          <w:tab w:val="left" w:pos="4667"/>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(Sic).</w:t>
      </w:r>
    </w:p>
    <w:p w:rsidR="001B5BAC" w:rsidRDefault="001B5BAC">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1B5BAC" w:rsidRDefault="00572112">
      <w:pPr>
        <w:numPr>
          <w:ilvl w:val="3"/>
          <w:numId w:val="3"/>
        </w:numPr>
        <w:pBdr>
          <w:top w:val="nil"/>
          <w:left w:val="nil"/>
          <w:bottom w:val="nil"/>
          <w:right w:val="nil"/>
          <w:between w:val="nil"/>
        </w:pBdr>
        <w:tabs>
          <w:tab w:val="left" w:pos="4667"/>
          <w:tab w:val="left" w:pos="8222"/>
        </w:tabs>
        <w:spacing w:line="360" w:lineRule="auto"/>
        <w:ind w:left="993"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ACTA 18VA CON PRBS DÑO FIRMA.pdf: </w:t>
      </w:r>
      <w:r>
        <w:rPr>
          <w:rFonts w:ascii="Palatino Linotype" w:eastAsia="Palatino Linotype" w:hAnsi="Palatino Linotype" w:cs="Palatino Linotype"/>
          <w:color w:val="000000"/>
          <w:sz w:val="22"/>
          <w:szCs w:val="22"/>
        </w:rPr>
        <w:t>Consiste en el acuerdo de Reserva mencionado en la respuesta arriba transcrita.</w:t>
      </w:r>
    </w:p>
    <w:p w:rsidR="001B5BAC" w:rsidRDefault="001B5BAC">
      <w:pPr>
        <w:pBdr>
          <w:top w:val="nil"/>
          <w:left w:val="nil"/>
          <w:bottom w:val="nil"/>
          <w:right w:val="nil"/>
          <w:between w:val="nil"/>
        </w:pBdr>
        <w:tabs>
          <w:tab w:val="left" w:pos="4667"/>
          <w:tab w:val="left" w:pos="8222"/>
        </w:tabs>
        <w:spacing w:line="360" w:lineRule="auto"/>
        <w:ind w:left="993" w:right="-28"/>
        <w:jc w:val="both"/>
        <w:rPr>
          <w:rFonts w:ascii="Palatino Linotype" w:eastAsia="Palatino Linotype" w:hAnsi="Palatino Linotype" w:cs="Palatino Linotype"/>
          <w:color w:val="000000"/>
          <w:sz w:val="22"/>
          <w:szCs w:val="22"/>
        </w:rPr>
      </w:pPr>
    </w:p>
    <w:p w:rsidR="001B5BAC" w:rsidRDefault="00572112">
      <w:pPr>
        <w:numPr>
          <w:ilvl w:val="0"/>
          <w:numId w:val="4"/>
        </w:numPr>
        <w:pBdr>
          <w:top w:val="nil"/>
          <w:left w:val="nil"/>
          <w:bottom w:val="nil"/>
          <w:right w:val="nil"/>
          <w:between w:val="nil"/>
        </w:pBdr>
        <w:tabs>
          <w:tab w:val="left" w:pos="4667"/>
          <w:tab w:val="left" w:pos="8222"/>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Solicitud de información 00061/HRZUM/IP/2024, </w:t>
      </w:r>
      <w:r>
        <w:rPr>
          <w:rFonts w:ascii="Palatino Linotype" w:eastAsia="Palatino Linotype" w:hAnsi="Palatino Linotype" w:cs="Palatino Linotype"/>
          <w:color w:val="000000"/>
          <w:sz w:val="22"/>
          <w:szCs w:val="22"/>
        </w:rPr>
        <w:t>adjuntó el archivo de nombre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b/>
          <w:i/>
          <w:color w:val="000000"/>
          <w:sz w:val="22"/>
          <w:szCs w:val="22"/>
        </w:rPr>
        <w:t>233.pdf,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el cual consiste en un oficio suscrito por la Titular de la Unidad Jurídica y de Igualdad de Género en el que manifestó lo siguiente:</w:t>
      </w:r>
    </w:p>
    <w:p w:rsidR="001B5BAC" w:rsidRDefault="001B5BAC">
      <w:pPr>
        <w:tabs>
          <w:tab w:val="left" w:pos="4667"/>
          <w:tab w:val="left" w:pos="8222"/>
        </w:tabs>
        <w:spacing w:line="360" w:lineRule="auto"/>
        <w:ind w:left="567" w:right="539"/>
        <w:jc w:val="both"/>
        <w:rPr>
          <w:rFonts w:ascii="Palatino Linotype" w:eastAsia="Palatino Linotype" w:hAnsi="Palatino Linotype" w:cs="Palatino Linotype"/>
          <w:i/>
        </w:rPr>
      </w:pPr>
    </w:p>
    <w:p w:rsidR="001B5BAC" w:rsidRDefault="00572112">
      <w:pPr>
        <w:tabs>
          <w:tab w:val="left" w:pos="4667"/>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1B5BAC" w:rsidRDefault="00572112">
      <w:pPr>
        <w:tabs>
          <w:tab w:val="left" w:pos="4667"/>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Atendiendo la solicitud que nos ocupa, esta Unidad Jurídica y de Igualdad de Género conforme a las funciones y atribuciones conferidas por los ordenamientos en mención, no posee, genera y/o administra información relacionada a “servidores públicos con títulos de crédito o adeudos con el hospital”, ya que únicamente esta Unidad Administrativa resguarda los títulos de crédito que son remitidos por la Dirección de Administración y Finanzas, siendo la Unidad Administrativa que genera, recopila, administra, maneja y procesa la información; sin embargo, en vías de colaboración y para confirmar lo que antecede, se realizó una búsqueda exhaustiva y razonable dentro de los archivos físicos y electrónicos de esta Unidad sin que se haya localizado documental alguna respecto a la solicitud de referencia.</w:t>
      </w:r>
    </w:p>
    <w:p w:rsidR="001B5BAC" w:rsidRDefault="00572112">
      <w:pPr>
        <w:tabs>
          <w:tab w:val="left" w:pos="4667"/>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1B5BAC" w:rsidRDefault="001B5BAC">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 los Recursos de Revisión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sz w:val="22"/>
          <w:szCs w:val="22"/>
        </w:rPr>
        <w:lastRenderedPageBreak/>
        <w:t xml:space="preserve">Con fecha veintiuno de marzo de dos mil veinticuatro, se recibieron en este Instituto, a través del SAIMEX, dos Recursos de Revisión interpuestos por la parte recurrente, en contra de las respuestas emitidas por la Hospital Regional de Alta Especialidad de Zumpango, en los siguientes términos: </w:t>
      </w:r>
    </w:p>
    <w:p w:rsidR="001B5BAC" w:rsidRDefault="001B5BAC">
      <w:pPr>
        <w:spacing w:line="360" w:lineRule="auto"/>
        <w:rPr>
          <w:rFonts w:ascii="Palatino Linotype" w:eastAsia="Palatino Linotype" w:hAnsi="Palatino Linotype" w:cs="Palatino Linotype"/>
          <w:b/>
        </w:rPr>
      </w:pP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00055/HRZUM/IP/2024</w:t>
      </w: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01531/INFOEM/IP/RR/2024</w:t>
      </w: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rsidR="001B5BAC" w:rsidRDefault="00572112">
      <w:pPr>
        <w:spacing w:line="36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“Sólito que me entreguen la información que están ocultando es pública y como ciudadanos tenemos derecho pero el área financiera y jurídica de ese hospital no quieren entregar la información a la que todos tenemos derechos y sino que me digan por que no puede ser entregada si es en versión </w:t>
      </w:r>
      <w:proofErr w:type="spellStart"/>
      <w:r>
        <w:rPr>
          <w:rFonts w:ascii="Palatino Linotype" w:eastAsia="Palatino Linotype" w:hAnsi="Palatino Linotype" w:cs="Palatino Linotype"/>
          <w:i/>
        </w:rPr>
        <w:t>pu</w:t>
      </w:r>
      <w:proofErr w:type="spellEnd"/>
      <w:r>
        <w:rPr>
          <w:rFonts w:ascii="Palatino Linotype" w:eastAsia="Palatino Linotype" w:hAnsi="Palatino Linotype" w:cs="Palatino Linotype"/>
          <w:i/>
        </w:rPr>
        <w:t xml:space="preserve"> loca no ay pretextos” (Sic)</w:t>
      </w:r>
    </w:p>
    <w:p w:rsidR="001B5BAC" w:rsidRDefault="001B5BAC">
      <w:pPr>
        <w:spacing w:line="360" w:lineRule="auto"/>
        <w:ind w:left="567"/>
        <w:rPr>
          <w:rFonts w:ascii="Palatino Linotype" w:eastAsia="Palatino Linotype" w:hAnsi="Palatino Linotype" w:cs="Palatino Linotype"/>
          <w:b/>
        </w:rPr>
      </w:pP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LA INCONFORMIDAD</w:t>
      </w:r>
    </w:p>
    <w:p w:rsidR="001B5BAC" w:rsidRDefault="00572112">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“Porque Los directivos del hospital solo esconden la información del dinero que se roban” (Sic).</w:t>
      </w:r>
    </w:p>
    <w:p w:rsidR="001B5BAC" w:rsidRDefault="001B5BAC">
      <w:pPr>
        <w:spacing w:line="360" w:lineRule="auto"/>
        <w:ind w:left="567"/>
        <w:rPr>
          <w:rFonts w:ascii="Palatino Linotype" w:eastAsia="Palatino Linotype" w:hAnsi="Palatino Linotype" w:cs="Palatino Linotype"/>
          <w:b/>
          <w:sz w:val="22"/>
          <w:szCs w:val="22"/>
        </w:rPr>
      </w:pP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00348/TLALNEPA/IP/2024</w:t>
      </w: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02867/INFOEM/IP/RR/2024</w:t>
      </w: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ACTO IMPUGNADO</w:t>
      </w:r>
    </w:p>
    <w:p w:rsidR="001B5BAC" w:rsidRDefault="00572112">
      <w:pPr>
        <w:spacing w:line="36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“Quiero que me entreguen la documentación que solicite porque el jurídico si tiene esa información y como la titular del jurídico tiene una deuda con </w:t>
      </w:r>
      <w:proofErr w:type="spellStart"/>
      <w:r>
        <w:rPr>
          <w:rFonts w:ascii="Palatino Linotype" w:eastAsia="Palatino Linotype" w:hAnsi="Palatino Linotype" w:cs="Palatino Linotype"/>
          <w:i/>
        </w:rPr>
        <w:t>el</w:t>
      </w:r>
      <w:proofErr w:type="spellEnd"/>
      <w:r>
        <w:rPr>
          <w:rFonts w:ascii="Palatino Linotype" w:eastAsia="Palatino Linotype" w:hAnsi="Palatino Linotype" w:cs="Palatino Linotype"/>
          <w:i/>
        </w:rPr>
        <w:t xml:space="preserve">. Hospital </w:t>
      </w:r>
      <w:proofErr w:type="spellStart"/>
      <w:r>
        <w:rPr>
          <w:rFonts w:ascii="Palatino Linotype" w:eastAsia="Palatino Linotype" w:hAnsi="Palatino Linotype" w:cs="Palatino Linotype"/>
          <w:i/>
        </w:rPr>
        <w:t>pro</w:t>
      </w:r>
      <w:proofErr w:type="spellEnd"/>
      <w:r>
        <w:rPr>
          <w:rFonts w:ascii="Palatino Linotype" w:eastAsia="Palatino Linotype" w:hAnsi="Palatino Linotype" w:cs="Palatino Linotype"/>
          <w:i/>
        </w:rPr>
        <w:t xml:space="preserve"> eso se niega a entregarla” (Sic)</w:t>
      </w:r>
    </w:p>
    <w:p w:rsidR="001B5BAC" w:rsidRDefault="001B5BAC">
      <w:pPr>
        <w:spacing w:line="360" w:lineRule="auto"/>
        <w:ind w:left="567"/>
        <w:rPr>
          <w:rFonts w:ascii="Palatino Linotype" w:eastAsia="Palatino Linotype" w:hAnsi="Palatino Linotype" w:cs="Palatino Linotype"/>
          <w:b/>
        </w:rPr>
      </w:pP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RAZONES O MOTIVOS DE LA INCONFORMIDAD</w:t>
      </w:r>
    </w:p>
    <w:p w:rsidR="001B5BAC" w:rsidRDefault="00572112">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i/>
        </w:rPr>
        <w:t xml:space="preserve">“Que se termine el abuso de </w:t>
      </w:r>
      <w:proofErr w:type="spellStart"/>
      <w:r>
        <w:rPr>
          <w:rFonts w:ascii="Palatino Linotype" w:eastAsia="Palatino Linotype" w:hAnsi="Palatino Linotype" w:cs="Palatino Linotype"/>
          <w:i/>
        </w:rPr>
        <w:t>de</w:t>
      </w:r>
      <w:proofErr w:type="spellEnd"/>
      <w:r>
        <w:rPr>
          <w:rFonts w:ascii="Palatino Linotype" w:eastAsia="Palatino Linotype" w:hAnsi="Palatino Linotype" w:cs="Palatino Linotype"/>
          <w:i/>
        </w:rPr>
        <w:t xml:space="preserve"> las autoridades porque los trabajadores pagamos los </w:t>
      </w:r>
      <w:proofErr w:type="spellStart"/>
      <w:r>
        <w:rPr>
          <w:rFonts w:ascii="Palatino Linotype" w:eastAsia="Palatino Linotype" w:hAnsi="Palatino Linotype" w:cs="Palatino Linotype"/>
          <w:i/>
        </w:rPr>
        <w:t>pltos</w:t>
      </w:r>
      <w:proofErr w:type="spellEnd"/>
      <w:r>
        <w:rPr>
          <w:rFonts w:ascii="Palatino Linotype" w:eastAsia="Palatino Linotype" w:hAnsi="Palatino Linotype" w:cs="Palatino Linotype"/>
          <w:i/>
        </w:rPr>
        <w:t xml:space="preserve"> rotos y solo esconden su información a la que tenemos derecho como ciudadanos” (Sic).</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IV. Trámite de los Recursos de Revisión ante el Instituto</w:t>
      </w:r>
    </w:p>
    <w:p w:rsidR="001B5BAC" w:rsidRDefault="001B5BAC">
      <w:pPr>
        <w:spacing w:line="360" w:lineRule="auto"/>
        <w:jc w:val="both"/>
        <w:rPr>
          <w:rFonts w:ascii="Palatino Linotype" w:eastAsia="Palatino Linotype" w:hAnsi="Palatino Linotype" w:cs="Palatino Linotype"/>
          <w:b/>
          <w:sz w:val="16"/>
          <w:szCs w:val="16"/>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 los Recursos de Revisión. </w:t>
      </w:r>
      <w:r>
        <w:rPr>
          <w:rFonts w:ascii="Palatino Linotype" w:eastAsia="Palatino Linotype" w:hAnsi="Palatino Linotype" w:cs="Palatino Linotype"/>
          <w:sz w:val="22"/>
          <w:szCs w:val="22"/>
        </w:rPr>
        <w:t>El veintiuno de marzo de dos mil veinticuatro, el SAIMEX, 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 los Recursos de Revisión. </w:t>
      </w:r>
      <w:r>
        <w:rPr>
          <w:rFonts w:ascii="Palatino Linotype" w:eastAsia="Palatino Linotype" w:hAnsi="Palatino Linotype" w:cs="Palatino Linotype"/>
          <w:sz w:val="22"/>
          <w:szCs w:val="22"/>
        </w:rPr>
        <w:t>El veintidós de marzo y el dos de abril de dos mil veinticuatro, se acordó la admisión de los medios de impugnación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interpuestos por la persona Recurrente en contra de Hospital Regional de Alta Especialidad de Zumpango, en términos del artículo 185, fracciones I y II, de la Ley de Transparencia y Acceso a la Información Pública del Estado de México y Municipios, la cual fue notificada a las partes el mismo día, a través del Sistema de Acceso a la Información Mexiquense (SAIMEX), en el que se les otorgó un plazo de siete días hábiles posteriores a dichas notificaciones para que manifestaran lo que a su derecho conviniera y formularan alegatos.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w:t>
      </w:r>
      <w:r>
        <w:rPr>
          <w:rFonts w:ascii="Palatino Linotype" w:eastAsia="Palatino Linotype" w:hAnsi="Palatino Linotype" w:cs="Palatino Linotype"/>
          <w:sz w:val="22"/>
          <w:szCs w:val="22"/>
        </w:rPr>
        <w:t>El ocho de abril de dos mil veinticuatro, a través del Sistema de Acceso a la Información Mexiquense (SAIMEX), se recibieron en este Instituto los informes justificados por parte del Sujeto Obligado en los que realizaron las siguientes manifestaciones: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00055/HRZUM/IP/2024</w:t>
      </w: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01531/INFOEM/IP/RR/2024</w:t>
      </w:r>
    </w:p>
    <w:p w:rsidR="001B5BAC" w:rsidRDefault="00572112">
      <w:pPr>
        <w:numPr>
          <w:ilvl w:val="3"/>
          <w:numId w:val="3"/>
        </w:numPr>
        <w:pBdr>
          <w:top w:val="nil"/>
          <w:left w:val="nil"/>
          <w:bottom w:val="nil"/>
          <w:right w:val="nil"/>
          <w:between w:val="nil"/>
        </w:pBdr>
        <w:tabs>
          <w:tab w:val="left" w:pos="4667"/>
          <w:tab w:val="left" w:pos="8222"/>
        </w:tabs>
        <w:spacing w:line="360" w:lineRule="auto"/>
        <w:ind w:left="993"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 xml:space="preserve">informe </w:t>
      </w:r>
      <w:proofErr w:type="spellStart"/>
      <w:r>
        <w:rPr>
          <w:rFonts w:ascii="Palatino Linotype" w:eastAsia="Palatino Linotype" w:hAnsi="Palatino Linotype" w:cs="Palatino Linotype"/>
          <w:b/>
          <w:i/>
          <w:color w:val="000000"/>
          <w:sz w:val="22"/>
          <w:szCs w:val="22"/>
        </w:rPr>
        <w:t>just</w:t>
      </w:r>
      <w:proofErr w:type="spellEnd"/>
      <w:r>
        <w:rPr>
          <w:rFonts w:ascii="Palatino Linotype" w:eastAsia="Palatino Linotype" w:hAnsi="Palatino Linotype" w:cs="Palatino Linotype"/>
          <w:b/>
          <w:i/>
          <w:color w:val="000000"/>
          <w:sz w:val="22"/>
          <w:szCs w:val="22"/>
        </w:rPr>
        <w:t xml:space="preserve"> 00055.pdf</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Suscrito por el Director de Administración y Finanzas en el que señaló lo siguiente:</w:t>
      </w:r>
    </w:p>
    <w:p w:rsidR="001B5BAC" w:rsidRDefault="001B5BAC">
      <w:pPr>
        <w:spacing w:line="360" w:lineRule="auto"/>
        <w:ind w:left="567" w:right="539"/>
        <w:jc w:val="both"/>
        <w:rPr>
          <w:rFonts w:ascii="Palatino Linotype" w:eastAsia="Palatino Linotype" w:hAnsi="Palatino Linotype" w:cs="Palatino Linotype"/>
        </w:rPr>
      </w:pPr>
    </w:p>
    <w:p w:rsidR="001B5BAC" w:rsidRDefault="00572112">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 xml:space="preserve">PRIMERO: </w:t>
      </w:r>
      <w:r>
        <w:rPr>
          <w:rFonts w:ascii="Palatino Linotype" w:eastAsia="Palatino Linotype" w:hAnsi="Palatino Linotype" w:cs="Palatino Linotype"/>
          <w:i/>
        </w:rPr>
        <w:t>Este Hospital Regional de Alta Especialidad de Zumpango, a través de esta persona servidora pública habilitada de la Dirección de Administración y Finanzas, quien suscribe, ratifico la respuesta inicial proporcionada a través del oficio 208C0401030000L/0134/2024, mismo que manifiesta que todos los títulos de crédito o cuentas por cobrar vencidos, son referidos a la Unidad Jurídica para dar continuidad al Proceso de pago.</w:t>
      </w:r>
    </w:p>
    <w:p w:rsidR="001B5BAC" w:rsidRDefault="00572112">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i/>
        </w:rPr>
        <w:t>…”</w:t>
      </w:r>
    </w:p>
    <w:p w:rsidR="001B5BAC" w:rsidRDefault="001B5BAC">
      <w:pPr>
        <w:spacing w:line="360" w:lineRule="auto"/>
        <w:ind w:right="539"/>
        <w:rPr>
          <w:rFonts w:ascii="Palatino Linotype" w:eastAsia="Palatino Linotype" w:hAnsi="Palatino Linotype" w:cs="Palatino Linotype"/>
          <w:sz w:val="22"/>
          <w:szCs w:val="22"/>
        </w:rPr>
      </w:pPr>
    </w:p>
    <w:p w:rsidR="001B5BAC" w:rsidRDefault="00572112">
      <w:pPr>
        <w:numPr>
          <w:ilvl w:val="3"/>
          <w:numId w:val="3"/>
        </w:numPr>
        <w:pBdr>
          <w:top w:val="nil"/>
          <w:left w:val="nil"/>
          <w:bottom w:val="nil"/>
          <w:right w:val="nil"/>
          <w:between w:val="nil"/>
        </w:pBdr>
        <w:tabs>
          <w:tab w:val="left" w:pos="4667"/>
          <w:tab w:val="left" w:pos="8222"/>
        </w:tabs>
        <w:spacing w:line="360" w:lineRule="auto"/>
        <w:ind w:left="993" w:right="-2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55.pdf: </w:t>
      </w:r>
      <w:r>
        <w:rPr>
          <w:rFonts w:ascii="Palatino Linotype" w:eastAsia="Palatino Linotype" w:hAnsi="Palatino Linotype" w:cs="Palatino Linotype"/>
          <w:color w:val="000000"/>
          <w:sz w:val="22"/>
          <w:szCs w:val="22"/>
        </w:rPr>
        <w:t>Suscrito por la Titular de la Unidad Jurídica y de Igualdad de Género en el que señaló</w:t>
      </w:r>
    </w:p>
    <w:p w:rsidR="001B5BAC" w:rsidRDefault="001B5BAC">
      <w:pPr>
        <w:spacing w:line="360" w:lineRule="auto"/>
        <w:ind w:left="567" w:right="539"/>
        <w:jc w:val="both"/>
        <w:rPr>
          <w:rFonts w:ascii="Palatino Linotype" w:eastAsia="Palatino Linotype" w:hAnsi="Palatino Linotype" w:cs="Palatino Linotype"/>
        </w:rPr>
      </w:pPr>
    </w:p>
    <w:p w:rsidR="001B5BAC" w:rsidRDefault="00572112">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 xml:space="preserve">QUINTO: </w:t>
      </w:r>
      <w:r>
        <w:rPr>
          <w:rFonts w:ascii="Palatino Linotype" w:eastAsia="Palatino Linotype" w:hAnsi="Palatino Linotype" w:cs="Palatino Linotype"/>
          <w:i/>
        </w:rPr>
        <w:t xml:space="preserve">Además que la información </w:t>
      </w:r>
      <w:proofErr w:type="spellStart"/>
      <w:r>
        <w:rPr>
          <w:rFonts w:ascii="Palatino Linotype" w:eastAsia="Palatino Linotype" w:hAnsi="Palatino Linotype" w:cs="Palatino Linotype"/>
          <w:i/>
        </w:rPr>
        <w:t>requisitada</w:t>
      </w:r>
      <w:proofErr w:type="spellEnd"/>
      <w:r>
        <w:rPr>
          <w:rFonts w:ascii="Palatino Linotype" w:eastAsia="Palatino Linotype" w:hAnsi="Palatino Linotype" w:cs="Palatino Linotype"/>
          <w:i/>
        </w:rPr>
        <w:t xml:space="preserve"> dentro de los títulos de crédito es documentación que contiene datos personales y/o sensibles de los usuarios de este Hospital Regional de Alta Especialidad de Zumpango, como lo son el nombre, dirección, teléfonos particulares entre otros elementos, tanto de los pacientes como de las personas a cargo del mismo, y cuya utilización indebida puede dar origen a discriminación o conlleve un riesgo grave para éste es por lo que se deduce que la divulgación de dicha información, sea parcial o total puede ocasionar un perjuicio real,</w:t>
      </w:r>
    </w:p>
    <w:p w:rsidR="001B5BAC" w:rsidRDefault="00572112">
      <w:pPr>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i/>
        </w:rPr>
        <w:t>…”</w:t>
      </w:r>
    </w:p>
    <w:p w:rsidR="001B5BAC" w:rsidRDefault="001B5BAC">
      <w:pPr>
        <w:spacing w:line="360" w:lineRule="auto"/>
        <w:ind w:right="539"/>
        <w:rPr>
          <w:rFonts w:ascii="Palatino Linotype" w:eastAsia="Palatino Linotype" w:hAnsi="Palatino Linotype" w:cs="Palatino Linotype"/>
          <w:sz w:val="22"/>
          <w:szCs w:val="22"/>
        </w:rPr>
      </w:pP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00061/HRZUM/IP/2024</w:t>
      </w:r>
    </w:p>
    <w:p w:rsidR="001B5BAC" w:rsidRDefault="00572112">
      <w:pPr>
        <w:spacing w:line="360" w:lineRule="auto"/>
        <w:ind w:left="567"/>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 01532/INFOEM/IP/RR/2024</w:t>
      </w:r>
    </w:p>
    <w:p w:rsidR="001B5BAC" w:rsidRDefault="00572112">
      <w:pPr>
        <w:numPr>
          <w:ilvl w:val="3"/>
          <w:numId w:val="3"/>
        </w:numPr>
        <w:pBdr>
          <w:top w:val="nil"/>
          <w:left w:val="nil"/>
          <w:bottom w:val="nil"/>
          <w:right w:val="nil"/>
          <w:between w:val="nil"/>
        </w:pBdr>
        <w:tabs>
          <w:tab w:val="left" w:pos="4667"/>
          <w:tab w:val="left" w:pos="8222"/>
        </w:tabs>
        <w:spacing w:line="360" w:lineRule="auto"/>
        <w:ind w:left="993"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i/>
          <w:color w:val="000000"/>
          <w:sz w:val="22"/>
          <w:szCs w:val="22"/>
        </w:rPr>
        <w:t>SAIMEX RR-061-2024 DAF.pdf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Suscrito por el Director de Administración y Finanzas en el que señaló lo siguiente:</w:t>
      </w:r>
    </w:p>
    <w:p w:rsidR="001B5BAC" w:rsidRDefault="001B5BAC">
      <w:pPr>
        <w:spacing w:line="360" w:lineRule="auto"/>
        <w:ind w:left="567" w:right="539"/>
        <w:jc w:val="both"/>
        <w:rPr>
          <w:rFonts w:ascii="Palatino Linotype" w:eastAsia="Palatino Linotype" w:hAnsi="Palatino Linotype" w:cs="Palatino Linotype"/>
        </w:rPr>
      </w:pPr>
    </w:p>
    <w:p w:rsidR="001B5BAC" w:rsidRDefault="00572112">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PRIMERO: </w:t>
      </w:r>
      <w:r>
        <w:rPr>
          <w:rFonts w:ascii="Palatino Linotype" w:eastAsia="Palatino Linotype" w:hAnsi="Palatino Linotype" w:cs="Palatino Linotype"/>
          <w:i/>
        </w:rPr>
        <w:t>Este Hospital Regional de Alta Especialidad de Zumpango, a través de esta persona servidora pública habilitada de la Dirección de Administración y Finanzas, quien suscribe, ratifico la respuesta inicial proporcionada a través del oficio 208C0401030000L/0140/2024, mismo que manifiesta que la información que solicita el peticionario, tendría que ser referida a la Subdirección de Personal, debido a que es el área que cuenta con los registros de los adeudos de Servidores Públicos.</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(Sic).</w:t>
      </w:r>
    </w:p>
    <w:p w:rsidR="001B5BAC" w:rsidRDefault="001B5BAC">
      <w:pPr>
        <w:spacing w:line="360" w:lineRule="auto"/>
        <w:jc w:val="both"/>
        <w:rPr>
          <w:rFonts w:ascii="Palatino Linotype" w:eastAsia="Palatino Linotype" w:hAnsi="Palatino Linotype" w:cs="Palatino Linotype"/>
          <w:b/>
          <w:sz w:val="22"/>
          <w:szCs w:val="22"/>
        </w:rPr>
      </w:pPr>
    </w:p>
    <w:p w:rsidR="001B5BAC" w:rsidRDefault="00572112">
      <w:pPr>
        <w:numPr>
          <w:ilvl w:val="3"/>
          <w:numId w:val="3"/>
        </w:numPr>
        <w:pBdr>
          <w:top w:val="nil"/>
          <w:left w:val="nil"/>
          <w:bottom w:val="nil"/>
          <w:right w:val="nil"/>
          <w:between w:val="nil"/>
        </w:pBdr>
        <w:tabs>
          <w:tab w:val="left" w:pos="4667"/>
          <w:tab w:val="left" w:pos="8222"/>
        </w:tabs>
        <w:spacing w:line="360" w:lineRule="auto"/>
        <w:ind w:left="993" w:right="-2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65.pdf: </w:t>
      </w:r>
      <w:r>
        <w:rPr>
          <w:rFonts w:ascii="Palatino Linotype" w:eastAsia="Palatino Linotype" w:hAnsi="Palatino Linotype" w:cs="Palatino Linotype"/>
          <w:color w:val="000000"/>
          <w:sz w:val="22"/>
          <w:szCs w:val="22"/>
        </w:rPr>
        <w:t>Suscrito por la Titular de la Unidad Jurídica y de Igualdad de Género en el que señaló:</w:t>
      </w:r>
    </w:p>
    <w:p w:rsidR="001B5BAC" w:rsidRDefault="001B5BAC">
      <w:pPr>
        <w:spacing w:line="360" w:lineRule="auto"/>
        <w:ind w:left="567" w:right="539"/>
        <w:jc w:val="both"/>
        <w:rPr>
          <w:rFonts w:ascii="Palatino Linotype" w:eastAsia="Palatino Linotype" w:hAnsi="Palatino Linotype" w:cs="Palatino Linotype"/>
        </w:rPr>
      </w:pPr>
    </w:p>
    <w:p w:rsidR="001B5BAC" w:rsidRDefault="00572112">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rPr>
        <w:t>“…</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 xml:space="preserve">TERCERO: </w:t>
      </w:r>
      <w:r>
        <w:rPr>
          <w:rFonts w:ascii="Palatino Linotype" w:eastAsia="Palatino Linotype" w:hAnsi="Palatino Linotype" w:cs="Palatino Linotype"/>
          <w:b/>
          <w:i/>
          <w:u w:val="single"/>
        </w:rPr>
        <w:t xml:space="preserve">CONFIRMAR </w:t>
      </w:r>
      <w:r>
        <w:rPr>
          <w:rFonts w:ascii="Palatino Linotype" w:eastAsia="Palatino Linotype" w:hAnsi="Palatino Linotype" w:cs="Palatino Linotype"/>
          <w:i/>
        </w:rPr>
        <w:t xml:space="preserve">la respuesta emitida por esta servidora pública habilitada. </w:t>
      </w:r>
    </w:p>
    <w:p w:rsidR="001B5BAC" w:rsidRDefault="00572112">
      <w:pPr>
        <w:spacing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b/>
          <w:i/>
        </w:rPr>
        <w:t>…”</w:t>
      </w:r>
    </w:p>
    <w:p w:rsidR="001B5BAC" w:rsidRDefault="001B5BAC">
      <w:pPr>
        <w:spacing w:line="360" w:lineRule="auto"/>
        <w:jc w:val="both"/>
        <w:rPr>
          <w:rFonts w:ascii="Palatino Linotype" w:eastAsia="Palatino Linotype" w:hAnsi="Palatino Linotype" w:cs="Palatino Linotype"/>
          <w:b/>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 Vista del Informe Justificado</w:t>
      </w:r>
      <w:r>
        <w:rPr>
          <w:rFonts w:ascii="Palatino Linotype" w:eastAsia="Palatino Linotype" w:hAnsi="Palatino Linotype" w:cs="Palatino Linotype"/>
          <w:sz w:val="22"/>
          <w:szCs w:val="22"/>
        </w:rPr>
        <w:t>. El quince de octubre 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rsidR="001B5BAC" w:rsidRDefault="001B5BAC">
      <w:pPr>
        <w:spacing w:line="360" w:lineRule="auto"/>
        <w:jc w:val="both"/>
        <w:rPr>
          <w:rFonts w:ascii="Palatino Linotype" w:eastAsia="Palatino Linotype" w:hAnsi="Palatino Linotype" w:cs="Palatino Linotype"/>
          <w:b/>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 Acumulación de los asuntos.</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sz w:val="23"/>
          <w:szCs w:val="23"/>
        </w:rPr>
        <w:t>diez de abril de dos mil veinticuatro</w:t>
      </w:r>
      <w:r>
        <w:rPr>
          <w:rFonts w:ascii="Palatino Linotype" w:eastAsia="Palatino Linotype" w:hAnsi="Palatino Linotype" w:cs="Palatino Linotype"/>
          <w:sz w:val="22"/>
          <w:szCs w:val="22"/>
        </w:rPr>
        <w:t xml:space="preserve">, el Pleno del Instituto de Transparencia, Acceso a la Información Pública y Protección de Datos Personales del Estado de México y Municipios, durante la Décima Segunda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w:t>
      </w:r>
      <w:r>
        <w:rPr>
          <w:rFonts w:ascii="Palatino Linotype" w:eastAsia="Palatino Linotype" w:hAnsi="Palatino Linotype" w:cs="Palatino Linotype"/>
          <w:sz w:val="22"/>
          <w:szCs w:val="22"/>
        </w:rPr>
        <w:lastRenderedPageBreak/>
        <w:t xml:space="preserve">del Estado de México y Municipios, según lo previsto en su artículo 195, </w:t>
      </w:r>
      <w:r>
        <w:rPr>
          <w:rFonts w:ascii="Palatino Linotype" w:eastAsia="Palatino Linotype" w:hAnsi="Palatino Linotype" w:cs="Palatino Linotype"/>
          <w:b/>
          <w:sz w:val="22"/>
          <w:szCs w:val="22"/>
        </w:rPr>
        <w:t>acordó</w:t>
      </w:r>
      <w:r>
        <w:rPr>
          <w:rFonts w:ascii="Palatino Linotype" w:eastAsia="Palatino Linotype" w:hAnsi="Palatino Linotype" w:cs="Palatino Linotype"/>
          <w:sz w:val="22"/>
          <w:szCs w:val="22"/>
        </w:rPr>
        <w:t xml:space="preserve"> la acumulación del Recurso de Revisión </w:t>
      </w:r>
      <w:r>
        <w:rPr>
          <w:rFonts w:ascii="Palatino Linotype" w:eastAsia="Palatino Linotype" w:hAnsi="Palatino Linotype" w:cs="Palatino Linotype"/>
          <w:b/>
          <w:sz w:val="23"/>
          <w:szCs w:val="23"/>
        </w:rPr>
        <w:t xml:space="preserve">01532/INFOEM/IP/RR/2024, </w:t>
      </w:r>
      <w:r>
        <w:rPr>
          <w:rFonts w:ascii="Palatino Linotype" w:eastAsia="Palatino Linotype" w:hAnsi="Palatino Linotype" w:cs="Palatino Linotype"/>
          <w:sz w:val="23"/>
          <w:szCs w:val="23"/>
        </w:rPr>
        <w:t>al diverso</w:t>
      </w:r>
      <w:r>
        <w:rPr>
          <w:rFonts w:ascii="Palatino Linotype" w:eastAsia="Palatino Linotype" w:hAnsi="Palatino Linotype" w:cs="Palatino Linotype"/>
          <w:b/>
          <w:sz w:val="23"/>
          <w:szCs w:val="23"/>
        </w:rPr>
        <w:t xml:space="preserve"> 01531/INFOEM/IP/RR/2024</w:t>
      </w:r>
      <w:r>
        <w:rPr>
          <w:rFonts w:ascii="Palatino Linotype" w:eastAsia="Palatino Linotype" w:hAnsi="Palatino Linotype" w:cs="Palatino Linotype"/>
          <w:b/>
          <w:color w:val="0D0D0D"/>
          <w:sz w:val="22"/>
          <w:szCs w:val="22"/>
        </w:rPr>
        <w:t xml:space="preserve">, </w:t>
      </w:r>
      <w:r>
        <w:rPr>
          <w:rFonts w:ascii="Palatino Linotype" w:eastAsia="Palatino Linotype" w:hAnsi="Palatino Linotype" w:cs="Palatino Linotype"/>
          <w:sz w:val="22"/>
          <w:szCs w:val="22"/>
        </w:rPr>
        <w:t>por ser este último el más antiguo, sustanciado bajo el índice de esta Ponencia, al advertir conexidad entre estos, ya que fueron promovidos por la misma persona, en los que se señaló como Sujeto Obligado recurrido Hospital Regional de Alta Especialidad de Zumpango y en los cuales, además, se manifestaron idénticos actos recurridos.</w:t>
      </w:r>
    </w:p>
    <w:p w:rsidR="001B5BAC" w:rsidRDefault="001B5BAC">
      <w:pPr>
        <w:spacing w:line="360" w:lineRule="auto"/>
        <w:jc w:val="both"/>
        <w:rPr>
          <w:rFonts w:ascii="Palatino Linotype" w:eastAsia="Palatino Linotype" w:hAnsi="Palatino Linotype" w:cs="Palatino Linotype"/>
          <w:b/>
          <w:sz w:val="22"/>
          <w:szCs w:val="22"/>
        </w:rPr>
      </w:pPr>
    </w:p>
    <w:p w:rsidR="001B5BAC" w:rsidRDefault="00572112">
      <w:pPr>
        <w:tabs>
          <w:tab w:val="left" w:pos="3261"/>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f) Ampliación de plazo. </w:t>
      </w:r>
      <w:r>
        <w:rPr>
          <w:rFonts w:ascii="Palatino Linotype" w:eastAsia="Palatino Linotype" w:hAnsi="Palatino Linotype" w:cs="Palatino Linotype"/>
          <w:sz w:val="22"/>
          <w:szCs w:val="22"/>
        </w:rPr>
        <w:t>El veintidós de mayo de dos mil veinticuatro, el Comisionado Ponente con fundamento en lo dispuesto por el artículo 181, párrafo tercero, de la Ley de Transparencia y Acceso a la Información Pública del Estado de México y Municipios, acordó ampliar por un periodo de razonable el plazo para resolver el Recurso de Revisión que nos ocupa; proveído que fue notificado a las partes mediante el Sistema de Acceso a la Información Mexiquense (SAIMEX), al día hábil siguiente.</w:t>
      </w:r>
    </w:p>
    <w:p w:rsidR="001B5BAC" w:rsidRDefault="001B5BAC">
      <w:pPr>
        <w:spacing w:line="360" w:lineRule="auto"/>
        <w:jc w:val="both"/>
        <w:rPr>
          <w:rFonts w:ascii="Palatino Linotype" w:eastAsia="Palatino Linotype" w:hAnsi="Palatino Linotype" w:cs="Palatino Linotype"/>
          <w:b/>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g) Cierre de instrucción.</w:t>
      </w:r>
      <w:r>
        <w:rPr>
          <w:rFonts w:ascii="Palatino Linotype" w:eastAsia="Palatino Linotype" w:hAnsi="Palatino Linotype" w:cs="Palatino Linotype"/>
          <w:sz w:val="22"/>
          <w:szCs w:val="22"/>
        </w:rPr>
        <w:t xml:space="preserve"> El veintidós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1B5BAC" w:rsidRDefault="001B5BAC">
      <w:pPr>
        <w:spacing w:line="360" w:lineRule="auto"/>
        <w:rPr>
          <w:rFonts w:ascii="Palatino Linotype" w:eastAsia="Palatino Linotype" w:hAnsi="Palatino Linotype" w:cs="Palatino Linotype"/>
          <w:b/>
          <w:sz w:val="24"/>
          <w:szCs w:val="24"/>
        </w:rPr>
      </w:pPr>
    </w:p>
    <w:p w:rsidR="001B5BAC" w:rsidRDefault="0057211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1B5BAC" w:rsidRDefault="001B5BAC">
      <w:pPr>
        <w:spacing w:line="360" w:lineRule="auto"/>
        <w:jc w:val="both"/>
        <w:rPr>
          <w:rFonts w:ascii="Palatino Linotype" w:eastAsia="Palatino Linotype" w:hAnsi="Palatino Linotype" w:cs="Palatino Linotype"/>
          <w:b/>
          <w:sz w:val="22"/>
          <w:szCs w:val="22"/>
        </w:rPr>
      </w:pPr>
    </w:p>
    <w:p w:rsidR="001B5BAC" w:rsidRDefault="00572112">
      <w:pPr>
        <w:spacing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w:t>
      </w:r>
      <w:r>
        <w:rPr>
          <w:rFonts w:ascii="Palatino Linotype" w:eastAsia="Palatino Linotype" w:hAnsi="Palatino Linotype" w:cs="Palatino Linotype"/>
          <w:sz w:val="22"/>
          <w:szCs w:val="22"/>
          <w:highlight w:val="white"/>
        </w:rPr>
        <w:t xml:space="preserve"> Pública y Protección de Datos Personales del Estado de México y Municipios.</w:t>
      </w:r>
    </w:p>
    <w:p w:rsidR="001B5BAC" w:rsidRDefault="001B5BAC">
      <w:pPr>
        <w:spacing w:line="360" w:lineRule="auto"/>
        <w:jc w:val="both"/>
        <w:rPr>
          <w:rFonts w:ascii="Palatino Linotype" w:eastAsia="Palatino Linotype" w:hAnsi="Palatino Linotype" w:cs="Palatino Linotype"/>
          <w:sz w:val="22"/>
          <w:szCs w:val="22"/>
          <w:highlight w:val="white"/>
        </w:rPr>
      </w:pPr>
    </w:p>
    <w:p w:rsidR="001B5BAC" w:rsidRDefault="0057211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rsidR="001B5BAC" w:rsidRDefault="001B5BAC">
      <w:pPr>
        <w:spacing w:line="360" w:lineRule="auto"/>
        <w:jc w:val="both"/>
        <w:rPr>
          <w:rFonts w:ascii="Palatino Linotype" w:eastAsia="Palatino Linotype" w:hAnsi="Palatino Linotype" w:cs="Palatino Linotype"/>
          <w:color w:val="000000"/>
          <w:sz w:val="22"/>
          <w:szCs w:val="22"/>
        </w:rPr>
      </w:pPr>
    </w:p>
    <w:p w:rsidR="001B5BAC" w:rsidRDefault="0057211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Pr>
          <w:rFonts w:ascii="Palatino Linotype" w:eastAsia="Palatino Linotype" w:hAnsi="Palatino Linotype" w:cs="Palatino Linotype"/>
          <w:color w:val="000000"/>
          <w:sz w:val="22"/>
          <w:szCs w:val="22"/>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rsidR="001B5BAC" w:rsidRDefault="001B5BAC">
      <w:pPr>
        <w:spacing w:line="360" w:lineRule="auto"/>
        <w:jc w:val="both"/>
        <w:rPr>
          <w:rFonts w:ascii="Palatino Linotype" w:eastAsia="Palatino Linotype" w:hAnsi="Palatino Linotype" w:cs="Palatino Linotype"/>
          <w:color w:val="000000"/>
          <w:sz w:val="22"/>
          <w:szCs w:val="22"/>
        </w:rPr>
      </w:pPr>
    </w:p>
    <w:p w:rsidR="001B5BAC" w:rsidRDefault="0057211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1B5BAC" w:rsidRDefault="001B5BAC">
      <w:pPr>
        <w:spacing w:line="360" w:lineRule="auto"/>
        <w:jc w:val="both"/>
        <w:rPr>
          <w:rFonts w:ascii="Palatino Linotype" w:eastAsia="Palatino Linotype" w:hAnsi="Palatino Linotype" w:cs="Palatino Linotype"/>
          <w:b/>
          <w:sz w:val="22"/>
          <w:szCs w:val="22"/>
        </w:rPr>
      </w:pPr>
    </w:p>
    <w:p w:rsidR="001B5BAC" w:rsidRDefault="0057211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sobreseimiento.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causales de sobreseimiento, del análisis realizado por este Instituto, se advierte que</w:t>
      </w:r>
      <w:r>
        <w:rPr>
          <w:rFonts w:ascii="Palatino Linotype" w:eastAsia="Palatino Linotype" w:hAnsi="Palatino Linotype" w:cs="Palatino Linotype"/>
          <w:b/>
          <w:sz w:val="22"/>
          <w:szCs w:val="22"/>
        </w:rPr>
        <w:t xml:space="preserve"> no se actualiza ninguna de las previstas por el artículo 192 de la Ley de Transparencia y Acceso a la Información Pública del Estado de México y Municipios; </w:t>
      </w:r>
      <w:r>
        <w:rPr>
          <w:rFonts w:ascii="Palatino Linotype" w:eastAsia="Palatino Linotype" w:hAnsi="Palatino Linotype" w:cs="Palatino Linotype"/>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Determinación de la Controversia </w:t>
      </w:r>
    </w:p>
    <w:p w:rsidR="001B5BAC" w:rsidRDefault="001B5BAC">
      <w:pPr>
        <w:tabs>
          <w:tab w:val="left" w:pos="4962"/>
        </w:tabs>
        <w:spacing w:line="360" w:lineRule="auto"/>
        <w:jc w:val="both"/>
        <w:rPr>
          <w:rFonts w:ascii="Palatino Linotype" w:eastAsia="Palatino Linotype" w:hAnsi="Palatino Linotype" w:cs="Palatino Linotype"/>
          <w:b/>
          <w:sz w:val="22"/>
          <w:szCs w:val="22"/>
        </w:rPr>
      </w:pPr>
    </w:p>
    <w:p w:rsidR="001B5BAC" w:rsidRDefault="00572112">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Una vez realizado el estudio de las constancias que integran el expediente en que se actúa, se desprende que el Particular solicitó al Hospital Regional de Alta Especialidad de Zumpango, lo siguiente:</w:t>
      </w:r>
    </w:p>
    <w:p w:rsidR="001B5BAC" w:rsidRDefault="001B5BAC">
      <w:pPr>
        <w:tabs>
          <w:tab w:val="left" w:pos="4962"/>
        </w:tabs>
        <w:spacing w:line="360" w:lineRule="auto"/>
        <w:jc w:val="both"/>
        <w:rPr>
          <w:rFonts w:ascii="Palatino Linotype" w:eastAsia="Palatino Linotype" w:hAnsi="Palatino Linotype" w:cs="Palatino Linotype"/>
          <w:sz w:val="22"/>
          <w:szCs w:val="22"/>
        </w:rPr>
      </w:pPr>
    </w:p>
    <w:p w:rsidR="001B5BAC" w:rsidRDefault="00572112">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Títulos de crédito o cuentas por cobrar que tenga el hospital del año dos mil diecinueve en versión pública.</w:t>
      </w:r>
    </w:p>
    <w:p w:rsidR="001B5BAC" w:rsidRDefault="00572112">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Saber si hay servidores públicos con títulos de crédito o adeudos con el Hospital en enero de dos mil veinticuatro. </w:t>
      </w:r>
    </w:p>
    <w:p w:rsidR="001B5BAC" w:rsidRDefault="001B5BAC">
      <w:pPr>
        <w:tabs>
          <w:tab w:val="left" w:pos="4962"/>
        </w:tabs>
        <w:spacing w:line="360" w:lineRule="auto"/>
        <w:jc w:val="both"/>
        <w:rPr>
          <w:rFonts w:ascii="Palatino Linotype" w:eastAsia="Palatino Linotype" w:hAnsi="Palatino Linotype" w:cs="Palatino Linotype"/>
          <w:sz w:val="22"/>
          <w:szCs w:val="22"/>
        </w:rPr>
      </w:pPr>
    </w:p>
    <w:p w:rsidR="001B5BAC" w:rsidRDefault="00572112">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Sujeto Obligado por lo que hace al primer punto señaló que la información se encontraba clasificada como reservada, y sobre el segundo manifestó que no contaba con lo solicitado derivado de ello el Particular se inconformó por la negativa de la información, así </w:t>
      </w:r>
      <w:r>
        <w:rPr>
          <w:rFonts w:ascii="Palatino Linotype" w:eastAsia="Palatino Linotype" w:hAnsi="Palatino Linotype" w:cs="Palatino Linotype"/>
          <w:color w:val="000000"/>
          <w:sz w:val="22"/>
          <w:szCs w:val="22"/>
        </w:rPr>
        <w:t xml:space="preserve">en el asunto que nos ocupa se actualiza la causal de procedencia señalada en el </w:t>
      </w:r>
      <w:r>
        <w:rPr>
          <w:rFonts w:ascii="Palatino Linotype" w:eastAsia="Palatino Linotype" w:hAnsi="Palatino Linotype" w:cs="Palatino Linotype"/>
          <w:sz w:val="22"/>
          <w:szCs w:val="22"/>
        </w:rPr>
        <w:t>artículo 179, fracciones I y II, de la Ley de la materia.</w:t>
      </w:r>
    </w:p>
    <w:p w:rsidR="001B5BAC" w:rsidRDefault="001B5BAC">
      <w:pPr>
        <w:tabs>
          <w:tab w:val="left" w:pos="4962"/>
        </w:tabs>
        <w:spacing w:line="360" w:lineRule="auto"/>
        <w:jc w:val="both"/>
        <w:rPr>
          <w:rFonts w:ascii="Palatino Linotype" w:eastAsia="Palatino Linotype" w:hAnsi="Palatino Linotype" w:cs="Palatino Linotype"/>
          <w:b/>
          <w:sz w:val="22"/>
          <w:szCs w:val="22"/>
        </w:rPr>
      </w:pPr>
    </w:p>
    <w:p w:rsidR="001B5BAC" w:rsidRDefault="00572112">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1B5BAC" w:rsidRDefault="001B5BAC">
      <w:pPr>
        <w:tabs>
          <w:tab w:val="left" w:pos="4962"/>
        </w:tabs>
        <w:spacing w:line="360" w:lineRule="auto"/>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6°, Apartado A), fracción I de la Constitución Política de los Estados Unidos Mexicanos, establece que toda la información en posesión de cualquier autoridad es pública y </w:t>
      </w:r>
      <w:r>
        <w:rPr>
          <w:rFonts w:ascii="Palatino Linotype" w:eastAsia="Palatino Linotype" w:hAnsi="Palatino Linotype" w:cs="Palatino Linotype"/>
          <w:sz w:val="22"/>
          <w:szCs w:val="22"/>
        </w:rPr>
        <w:lastRenderedPageBreak/>
        <w:t>sólo podrá ser reservada temporalmente por razones de interés público.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12, que, quienes generen, recopilen, administren, manejen, procesen, archiven o conserven información pública serán responsables de la misma. El artículo 18, que, los Sujetos </w:t>
      </w:r>
      <w:r>
        <w:rPr>
          <w:rFonts w:ascii="Palatino Linotype" w:eastAsia="Palatino Linotype" w:hAnsi="Palatino Linotype" w:cs="Palatino Linotype"/>
          <w:sz w:val="22"/>
          <w:szCs w:val="22"/>
        </w:rPr>
        <w:lastRenderedPageBreak/>
        <w:t>Obligados deberán documentar todo acto que derive del ejercicio de sus facultades, competencias o funciones, considerando desde su origen la eventual publicidad y reutilización de la información que generen.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B5BAC" w:rsidRDefault="001B5BAC">
      <w:pPr>
        <w:spacing w:line="360" w:lineRule="auto"/>
        <w:ind w:right="-93"/>
        <w:jc w:val="both"/>
        <w:rPr>
          <w:rFonts w:ascii="Palatino Linotype" w:eastAsia="Palatino Linotype" w:hAnsi="Palatino Linotype" w:cs="Palatino Linotype"/>
          <w:b/>
          <w:sz w:val="22"/>
          <w:szCs w:val="22"/>
        </w:rPr>
      </w:pPr>
    </w:p>
    <w:p w:rsidR="001B5BAC" w:rsidRDefault="00572112">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1B5BAC" w:rsidRDefault="001B5BAC">
      <w:pPr>
        <w:spacing w:line="360" w:lineRule="auto"/>
        <w:ind w:right="-93"/>
        <w:jc w:val="both"/>
        <w:rPr>
          <w:rFonts w:ascii="Palatino Linotype" w:eastAsia="Palatino Linotype" w:hAnsi="Palatino Linotype" w:cs="Palatino Linotype"/>
          <w:b/>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Establecido lo anterior, sobre la información solicitada, es preciso señalar que, todos los actos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sz w:val="22"/>
          <w:szCs w:val="22"/>
        </w:rPr>
        <w:lastRenderedPageBreak/>
        <w:t xml:space="preserve">los Sujetos Obligados deberán documentar todo acto que se derive del ejercicio de sus facultades, competencias o funciones, considerando desde su origen la eventual publicidad y reutilización de la información que generen, posean o administren. Por lo que se procede a analizar los puntos requeridos por el Particular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primer término, por lo </w:t>
      </w:r>
      <w:r>
        <w:rPr>
          <w:rFonts w:ascii="Palatino Linotype" w:eastAsia="Palatino Linotype" w:hAnsi="Palatino Linotype" w:cs="Palatino Linotype"/>
          <w:b/>
          <w:sz w:val="22"/>
          <w:szCs w:val="22"/>
          <w:u w:val="single"/>
        </w:rPr>
        <w:t>que hace al primer punto</w:t>
      </w:r>
      <w:r>
        <w:rPr>
          <w:rFonts w:ascii="Palatino Linotype" w:eastAsia="Palatino Linotype" w:hAnsi="Palatino Linotype" w:cs="Palatino Linotype"/>
          <w:sz w:val="22"/>
          <w:szCs w:val="22"/>
        </w:rPr>
        <w:t xml:space="preserve"> señalado en el Considerando </w:t>
      </w: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relacionado con los títulos de crédito o cuentas por cobrar del año dos mil diecinueve, al respecto, en un principio, resulta conveniente señalar que mediante Decreto número 59, publicado en la Gaceta del Gobierno del Estado de México, el ocho de agosto de dos mil siete, a través del cual la Legislatura de dicho Estado expidió la Ley que crea el Organismo Público Descentralizado de carácter Estatal Denominado Hospital Regional de Alta Especialidad de Zumpango, donde en sus artículos 1, 3 fracción 1, 10 fracción VIII y 15 fracción I, párrafo segundo, literalmente se estableció:</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Se crea el Hospital Regional de Alta Especialidad de Zumpango como un Organismo Público Descentralizado de carácter estatal. Con personalidad jurídica y patrimonio propio." </w:t>
      </w:r>
    </w:p>
    <w:p w:rsidR="001B5BAC" w:rsidRDefault="001B5BAC">
      <w:pPr>
        <w:spacing w:line="360" w:lineRule="auto"/>
        <w:ind w:left="567" w:right="539"/>
        <w:jc w:val="both"/>
        <w:rPr>
          <w:rFonts w:ascii="Palatino Linotype" w:eastAsia="Palatino Linotype" w:hAnsi="Palatino Linotype" w:cs="Palatino Linotype"/>
          <w:i/>
        </w:rPr>
      </w:pP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Artículo 3</w:t>
      </w:r>
      <w:r>
        <w:rPr>
          <w:rFonts w:ascii="Palatino Linotype" w:eastAsia="Palatino Linotype" w:hAnsi="Palatino Linotype" w:cs="Palatino Linotype"/>
          <w:i/>
        </w:rPr>
        <w:t>.- Para el cumplimiento de su objeto, el Hospital Regional de Alta Especialidad de Zumpango tendrá las siguientes funciones:</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l. Proporcionar los servicios médicos, quirúrgicos, hospitalarios y ambulatorios de lata especialidad que determinen las disposiciones aplicables, así como aquellos que autorice su Consejo interno relacionados con la salud, fundados en las condiciones socioeconómicas de los usuarios y hasta el límite de su capacidad instalada;</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1B5BAC" w:rsidRDefault="001B5BAC">
      <w:pPr>
        <w:spacing w:line="360" w:lineRule="auto"/>
        <w:ind w:left="567" w:right="539"/>
        <w:jc w:val="both"/>
        <w:rPr>
          <w:rFonts w:ascii="Palatino Linotype" w:eastAsia="Palatino Linotype" w:hAnsi="Palatino Linotype" w:cs="Palatino Linotype"/>
          <w:i/>
        </w:rPr>
      </w:pP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10.- El Consejo interno tendrá las siguientes facultades: </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 </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Fijar las bases de los mínimos y máximos de las cuotas de recuperación y su actualización, por los servicios que preste el Hospital Regional de Alta Especialidad de Zumpango. </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w:t>
      </w:r>
    </w:p>
    <w:p w:rsidR="001B5BAC" w:rsidRDefault="001B5BAC">
      <w:pPr>
        <w:spacing w:line="360" w:lineRule="auto"/>
        <w:ind w:left="567" w:right="539"/>
        <w:jc w:val="both"/>
        <w:rPr>
          <w:rFonts w:ascii="Palatino Linotype" w:eastAsia="Palatino Linotype" w:hAnsi="Palatino Linotype" w:cs="Palatino Linotype"/>
          <w:i/>
        </w:rPr>
      </w:pP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"Artículo15.- El patrimonio del Hospital de Alta Especialidad estará constituido por:</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 l. Los ingresos que obtenga por los servicios que preste en el ejercicio de sus atribuciones; </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 xml:space="preserve">Los ingresos del Hospital Regional de Alta Especialidad de Zumpango... </w:t>
      </w: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Los ingresos propios que obtenga el Hospital Regional de Alta Especialidad de Zumpango por concepto de cuotas, donaciones, derechos y servicios que preste, serán integrados a su patrimonio y no podrán ser contabilizados como aportaciones del Gobierno del Estatal."</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Transcripción de la que se desprende, en lo que interesa, que el legislador local a través del Decreto 59 de mérito, determinó que el Hospital Regional de Alta Especialidad de Zumpango, tendría personalidad jurídica y patrimonio propio y, que éste último estaría constituido por los ingresos que obtenga por los servicios que preste en el ejercicio de sus atribuciones. </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para el cumplimiento de su objeto, el Hospital Regional de Alta Especialidad de Zumpango tendrá, entre otras funciones, la de proporcionar los servicios médicos, quirúrgicos, hospitalarios y ambulatorios de alta especialidad que determinen las disposiciones aplicables, así como aquéllos que autorice su Consejo interno relacionados con la salud, fundados en las condiciones socioeconómicas de los usuarios.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Que el Consejo interno tendrá, entre otras funciones, la de fijar las bases de los mínimos y máximos de las cuotas de recuperación y su actualización, por los servicios que preste el Hospital Regional de Alta Especialidad de Zumpango.</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Luego entonces, se observa que por los servicios médicos, quirúrgicos, hospitalarios y ambulatorios de alta especialidad que brinde el Hospital Regional de Alta Especialidad de Zumpango, tendrá derecho a recibir cuotas de recuperación, mismas que deberán estar fundadas en las condiciones socioeconómicas de los usuarios, siendo su Consejo interno quien fije las bases de los mínimos y máximos de aquéllas, por lo que se presume que se pueden generar ciertos cobros.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de que el Sujeto Obligado debe reflejar la información que es de interés del Particular en la cuenta pública, tan es así que se localizó la del año dos mil veinte en la que se observa lo siguiente: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extent cx="4452211" cy="2748911"/>
            <wp:effectExtent l="0" t="0" r="0" b="0"/>
            <wp:docPr id="4785433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52211" cy="2748911"/>
                    </a:xfrm>
                    <a:prstGeom prst="rect">
                      <a:avLst/>
                    </a:prstGeom>
                    <a:ln/>
                  </pic:spPr>
                </pic:pic>
              </a:graphicData>
            </a:graphic>
          </wp:inline>
        </w:drawing>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Atento a lo anterior, resulta claro que existe fuente obligacional que constriñe al Sujeto Obligado, a contar con la información solicitada, por lo que deberá proporcionar los documentos de los que se desprenda lo que el Particular solicitó, ello en virtud de que conforme al artículo 12 de la Ley de Transparencia y Acceso a la Información Pública del Estado de México y Municipios, quienes genere, </w:t>
      </w:r>
      <w:r>
        <w:rPr>
          <w:rFonts w:ascii="Palatino Linotype" w:eastAsia="Palatino Linotype" w:hAnsi="Palatino Linotype" w:cs="Palatino Linotype"/>
          <w:b/>
          <w:sz w:val="22"/>
          <w:szCs w:val="22"/>
          <w:u w:val="single"/>
        </w:rPr>
        <w:t>recopilen, administren, manejen, procesen archiven o conserven</w:t>
      </w:r>
      <w:r>
        <w:rPr>
          <w:rFonts w:ascii="Palatino Linotype" w:eastAsia="Palatino Linotype" w:hAnsi="Palatino Linotype" w:cs="Palatino Linotype"/>
          <w:sz w:val="22"/>
          <w:szCs w:val="22"/>
        </w:rPr>
        <w:t xml:space="preserve"> información pública serán responsables de la misma, por lo que la justificante del Sujeto Obligado de que no puede proporcionar la información por no haber sido el quien la generó en un principio, resulta incorrecta ya que al poseerla en sus archivos, tiene la obligación de proporcionarla al ser del interés de los particulares.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se consultó el Manual General de Organización del Hospital Regional de Alta Especialidad de Zumpango, el cual identifica con la clave 208C0401000500S a la Unidad Jurídica y de Igualdad de Género, que tiene dentro de sus funciones la de tramitar ante las autoridades competentes, la recuperación de documentos por cobrar, cuentas por cobrar y otros créditos de naturaleza análoga en los que se hayan agotado los procedimientos prácticos o extrajudiciales, conforme a lo estipulado en la legislación vigente en la materia, en ese sentido se observa que se pronunció la unidad que pudiera contar con lo solicitado, tan es así que manifestó que la información se encontraba clasificada como reservada; por tal razón, es necesario señalar que  el artículo 20 de la Ley de Transparencia y Acceso a la Información Pública del Estado de México y Municipios, establece que, </w:t>
      </w:r>
      <w:r>
        <w:rPr>
          <w:rFonts w:ascii="Palatino Linotype" w:eastAsia="Palatino Linotype" w:hAnsi="Palatino Linotype" w:cs="Palatino Linotype"/>
          <w:b/>
          <w:sz w:val="22"/>
          <w:szCs w:val="22"/>
        </w:rPr>
        <w:t>ante la negativa de acceso a la información o su inexistencia, el sujeto obligado deberá demostrar que encuentra en alguna de las excepciones establecidas en la normatividad aplicable.</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ese sentido, según Trujillo, Humberto (2019), en el “Diccionario de Transparencia y Acceso a la Información Pública” (p. 201), </w:t>
      </w:r>
      <w:r>
        <w:rPr>
          <w:rFonts w:ascii="Palatino Linotype" w:eastAsia="Palatino Linotype" w:hAnsi="Palatino Linotype" w:cs="Palatino Linotype"/>
          <w:b/>
          <w:sz w:val="22"/>
          <w:szCs w:val="22"/>
        </w:rPr>
        <w:t xml:space="preserve">la negativa de acceso a la información </w:t>
      </w:r>
      <w:r>
        <w:rPr>
          <w:rFonts w:ascii="Palatino Linotype" w:eastAsia="Palatino Linotype" w:hAnsi="Palatino Linotype" w:cs="Palatino Linotype"/>
          <w:sz w:val="22"/>
          <w:szCs w:val="22"/>
        </w:rPr>
        <w:t xml:space="preserve">ocurre cuanto de manera fundada y motivada, una autoridad la niega o la limita, por alguna de las siguientes razones: </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numPr>
          <w:ilvl w:val="0"/>
          <w:numId w:val="7"/>
        </w:num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La inexistencia de la información (p. 171): </w:t>
      </w:r>
      <w:r>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rsidR="001B5BAC" w:rsidRDefault="00572112">
      <w:pPr>
        <w:numPr>
          <w:ilvl w:val="0"/>
          <w:numId w:val="7"/>
        </w:num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La incompetencia del Sujeto Obligado (p. 171): </w:t>
      </w:r>
      <w:r>
        <w:rPr>
          <w:rFonts w:ascii="Palatino Linotype" w:eastAsia="Palatino Linotype" w:hAnsi="Palatino Linotype" w:cs="Palatino Linotype"/>
          <w:sz w:val="22"/>
          <w:szCs w:val="22"/>
        </w:rPr>
        <w:t>Ocurre cuando el Sujeto Obligado carece de atribuciones para poseer la información peticionada.</w:t>
      </w:r>
    </w:p>
    <w:p w:rsidR="001B5BAC" w:rsidRDefault="00572112">
      <w:pPr>
        <w:numPr>
          <w:ilvl w:val="0"/>
          <w:numId w:val="7"/>
        </w:num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La clasificación de la información (p. 70): </w:t>
      </w:r>
      <w:r>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es de señalar que las excepciones al derecho de acceso a la información, consisten en que </w:t>
      </w:r>
      <w:r>
        <w:rPr>
          <w:rFonts w:ascii="Palatino Linotype" w:eastAsia="Palatino Linotype" w:hAnsi="Palatino Linotype" w:cs="Palatino Linotype"/>
          <w:b/>
          <w:sz w:val="22"/>
          <w:szCs w:val="22"/>
        </w:rPr>
        <w:t>la documentación sea inexistente, obre en los archivos, pero se encuentre clasificada, o bien, el Sujeto Obligado sea incompetente</w:t>
      </w:r>
      <w:r>
        <w:rPr>
          <w:rFonts w:ascii="Palatino Linotype" w:eastAsia="Palatino Linotype" w:hAnsi="Palatino Linotype" w:cs="Palatino Linotype"/>
          <w:sz w:val="22"/>
          <w:szCs w:val="22"/>
        </w:rPr>
        <w:t xml:space="preserve"> para contar con esta; esto es, la negativa de acceso a la información, recae cuando la documentación no se encuentre en los archivos del sujeto obligado, o bien exista, pero no pueda proporcionarse por contener datos </w:t>
      </w:r>
      <w:r>
        <w:rPr>
          <w:rFonts w:ascii="Palatino Linotype" w:eastAsia="Palatino Linotype" w:hAnsi="Palatino Linotype" w:cs="Palatino Linotype"/>
          <w:b/>
          <w:sz w:val="22"/>
          <w:szCs w:val="22"/>
        </w:rPr>
        <w:t>confidenciales o reservados.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en los artículos 100, 103 y 105 de la Ley General de Transparencia y Acceso a la Información Pública y los diversos 122, 128 y 130 de la Ley Transparencia y Acceso a la Información Pública del Estado de México y Municipios, se prevé que </w:t>
      </w:r>
      <w:r>
        <w:rPr>
          <w:rFonts w:ascii="Palatino Linotype" w:eastAsia="Palatino Linotype" w:hAnsi="Palatino Linotype" w:cs="Palatino Linotype"/>
          <w:b/>
          <w:sz w:val="22"/>
          <w:szCs w:val="22"/>
        </w:rPr>
        <w:t xml:space="preserve">la clasificación </w:t>
      </w:r>
      <w:r>
        <w:rPr>
          <w:rFonts w:ascii="Palatino Linotype" w:eastAsia="Palatino Linotype" w:hAnsi="Palatino Linotype" w:cs="Palatino Linotype"/>
          <w:sz w:val="22"/>
          <w:szCs w:val="22"/>
        </w:rPr>
        <w:t xml:space="preserve">es el </w:t>
      </w:r>
      <w:r>
        <w:rPr>
          <w:rFonts w:ascii="Palatino Linotype" w:eastAsia="Palatino Linotype" w:hAnsi="Palatino Linotype" w:cs="Palatino Linotype"/>
          <w:sz w:val="22"/>
          <w:szCs w:val="22"/>
        </w:rPr>
        <w:lastRenderedPageBreak/>
        <w:t>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una de las formalidades a la cuales está sujeto el procedimiento de acceso a la información pública, es que </w:t>
      </w:r>
      <w:r>
        <w:rPr>
          <w:rFonts w:ascii="Palatino Linotype" w:eastAsia="Palatino Linotype" w:hAnsi="Palatino Linotype" w:cs="Palatino Linotype"/>
          <w:b/>
          <w:sz w:val="22"/>
          <w:szCs w:val="22"/>
        </w:rPr>
        <w:t xml:space="preserve">el Comité de Transparencia deberá confirmar, modificar o revocar la decisión; </w:t>
      </w:r>
      <w:r>
        <w:rPr>
          <w:rFonts w:ascii="Palatino Linotype" w:eastAsia="Palatino Linotype" w:hAnsi="Palatino Linotype" w:cs="Palatino Linotype"/>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rsidR="001B5BAC" w:rsidRDefault="00572112">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Aunado a lo anterior, según </w:t>
      </w:r>
      <w:proofErr w:type="spellStart"/>
      <w:r>
        <w:rPr>
          <w:rFonts w:ascii="Palatino Linotype" w:eastAsia="Palatino Linotype" w:hAnsi="Palatino Linotype" w:cs="Palatino Linotype"/>
          <w:sz w:val="22"/>
          <w:szCs w:val="22"/>
        </w:rPr>
        <w:t>Bonifaz</w:t>
      </w:r>
      <w:proofErr w:type="spellEnd"/>
      <w:r>
        <w:rPr>
          <w:rFonts w:ascii="Palatino Linotype" w:eastAsia="Palatino Linotype" w:hAnsi="Palatino Linotype" w:cs="Palatino Linotype"/>
          <w:sz w:val="22"/>
          <w:szCs w:val="22"/>
        </w:rPr>
        <w:t xml:space="preserve">, Leticia (2016), en la “Ley General de Transparencia y Acceso a la Información Pública Comentada” (p. 342), la </w:t>
      </w:r>
      <w:r>
        <w:rPr>
          <w:rFonts w:ascii="Palatino Linotype" w:eastAsia="Palatino Linotype" w:hAnsi="Palatino Linotype" w:cs="Palatino Linotype"/>
          <w:b/>
          <w:sz w:val="22"/>
          <w:szCs w:val="22"/>
        </w:rPr>
        <w:t>clasificación de la información</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lastRenderedPageBreak/>
        <w:t xml:space="preserve">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Pr>
          <w:rFonts w:ascii="Palatino Linotype" w:eastAsia="Palatino Linotype" w:hAnsi="Palatino Linotype" w:cs="Palatino Linotype"/>
          <w:b/>
          <w:sz w:val="22"/>
          <w:szCs w:val="22"/>
        </w:rPr>
        <w:t>de manera adecuada la negativa de información.</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Pr>
          <w:rFonts w:ascii="Palatino Linotype" w:eastAsia="Palatino Linotype" w:hAnsi="Palatino Linotype" w:cs="Palatino Linotype"/>
          <w:b/>
          <w:sz w:val="22"/>
          <w:szCs w:val="22"/>
        </w:rPr>
        <w:t>análisis caso por caso.</w:t>
      </w:r>
    </w:p>
    <w:p w:rsidR="001B5BAC" w:rsidRDefault="001B5BAC">
      <w:pPr>
        <w:spacing w:line="360" w:lineRule="auto"/>
        <w:ind w:right="-93"/>
        <w:jc w:val="both"/>
        <w:rPr>
          <w:rFonts w:ascii="Palatino Linotype" w:eastAsia="Palatino Linotype" w:hAnsi="Palatino Linotype" w:cs="Palatino Linotype"/>
          <w:b/>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lo anterior, el artículo 131 de la Ley referida, así como el Quinto de los Lineamientos Generales, establecen que los sujetos obligados </w:t>
      </w:r>
      <w:r>
        <w:rPr>
          <w:rFonts w:ascii="Palatino Linotype" w:eastAsia="Palatino Linotype" w:hAnsi="Palatino Linotype" w:cs="Palatino Linotype"/>
          <w:b/>
          <w:sz w:val="22"/>
          <w:szCs w:val="22"/>
        </w:rPr>
        <w:t>deberán fundar y motivar</w:t>
      </w:r>
      <w:r>
        <w:rPr>
          <w:rFonts w:ascii="Palatino Linotype" w:eastAsia="Palatino Linotype" w:hAnsi="Palatino Linotype" w:cs="Palatino Linotype"/>
          <w:sz w:val="22"/>
          <w:szCs w:val="22"/>
        </w:rPr>
        <w:t xml:space="preserve"> debidamente la clasificación de la información.</w:t>
      </w:r>
    </w:p>
    <w:p w:rsidR="001B5BAC" w:rsidRDefault="001B5BAC">
      <w:pPr>
        <w:spacing w:line="360" w:lineRule="auto"/>
        <w:ind w:right="-93"/>
        <w:jc w:val="both"/>
        <w:rPr>
          <w:rFonts w:ascii="Palatino Linotype" w:eastAsia="Palatino Linotype" w:hAnsi="Palatino Linotype" w:cs="Palatino Linotype"/>
          <w:b/>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el Octavo de los Lineamientos Generales, precisa lo siguiente:</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numPr>
          <w:ilvl w:val="0"/>
          <w:numId w:val="1"/>
        </w:numPr>
        <w:spacing w:line="360" w:lineRule="auto"/>
        <w:ind w:right="-93"/>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b/>
          <w:sz w:val="22"/>
          <w:szCs w:val="22"/>
        </w:rPr>
        <w:t>Para fundar la clasificación</w:t>
      </w:r>
      <w:r>
        <w:rPr>
          <w:rFonts w:ascii="Palatino Linotype" w:eastAsia="Palatino Linotype" w:hAnsi="Palatino Linotype" w:cs="Palatino Linotype"/>
          <w:sz w:val="22"/>
          <w:szCs w:val="22"/>
        </w:rPr>
        <w:t xml:space="preserve"> de la información se deberán </w:t>
      </w:r>
      <w:r>
        <w:rPr>
          <w:rFonts w:ascii="Palatino Linotype" w:eastAsia="Palatino Linotype" w:hAnsi="Palatino Linotype" w:cs="Palatino Linotype"/>
          <w:sz w:val="22"/>
          <w:szCs w:val="22"/>
          <w:u w:val="single"/>
        </w:rPr>
        <w:t>señalar el artículo, fracción, inciso, párrafo o numeral de la Ley aplicable;</w:t>
      </w:r>
    </w:p>
    <w:p w:rsidR="001B5BAC" w:rsidRDefault="00572112">
      <w:pPr>
        <w:numPr>
          <w:ilvl w:val="0"/>
          <w:numId w:val="1"/>
        </w:num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Para motivar la clasificación</w:t>
      </w:r>
      <w:r>
        <w:rPr>
          <w:rFonts w:ascii="Palatino Linotype" w:eastAsia="Palatino Linotype" w:hAnsi="Palatino Linotype" w:cs="Palatino Linotype"/>
          <w:sz w:val="22"/>
          <w:szCs w:val="22"/>
        </w:rPr>
        <w:t xml:space="preserve"> se deberán </w:t>
      </w:r>
      <w:r>
        <w:rPr>
          <w:rFonts w:ascii="Palatino Linotype" w:eastAsia="Palatino Linotype" w:hAnsi="Palatino Linotype" w:cs="Palatino Linotype"/>
          <w:sz w:val="22"/>
          <w:szCs w:val="22"/>
          <w:u w:val="single"/>
        </w:rPr>
        <w:t>indicar las razones y circunstancias</w:t>
      </w:r>
      <w:r>
        <w:rPr>
          <w:rFonts w:ascii="Palatino Linotype" w:eastAsia="Palatino Linotype" w:hAnsi="Palatino Linotype" w:cs="Palatino Linotype"/>
          <w:sz w:val="22"/>
          <w:szCs w:val="22"/>
        </w:rPr>
        <w:t xml:space="preserve"> especiales que lo llevaron a concluir que el caso particular se ajusta al supuesto previsto por la norma legal invocada; la cual, en el caso de que se trate de información reservada, la </w:t>
      </w:r>
      <w:r>
        <w:rPr>
          <w:rFonts w:ascii="Palatino Linotype" w:eastAsia="Palatino Linotype" w:hAnsi="Palatino Linotype" w:cs="Palatino Linotype"/>
          <w:sz w:val="22"/>
          <w:szCs w:val="22"/>
        </w:rPr>
        <w:lastRenderedPageBreak/>
        <w:t>motivación, deberá comprender las circunstancias que justifican el establecimiento de un determinado plazo de reserva.</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 xml:space="preserve">“FUNDAMENTACION Y MOTIVACION, CONCEPTO DE. </w:t>
      </w:r>
      <w:r>
        <w:rPr>
          <w:rFonts w:ascii="Palatino Linotype" w:eastAsia="Palatino Linotype" w:hAnsi="Palatino Linotype" w:cs="Palatino Linotype"/>
          <w:i/>
        </w:rPr>
        <w:t xml:space="preserve">La </w:t>
      </w:r>
      <w:r>
        <w:rPr>
          <w:rFonts w:ascii="Palatino Linotype" w:eastAsia="Palatino Linotype" w:hAnsi="Palatino Linotype" w:cs="Palatino Linotype"/>
          <w:i/>
          <w:u w:val="single"/>
        </w:rPr>
        <w:t>garantía de legalidad consagrada en el artículo 16 de nuestra Carta Magna</w:t>
      </w:r>
      <w:r>
        <w:rPr>
          <w:rFonts w:ascii="Palatino Linotype" w:eastAsia="Palatino Linotype" w:hAnsi="Palatino Linotype" w:cs="Palatino Linotype"/>
          <w:i/>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rsidR="001B5BAC" w:rsidRDefault="001B5BAC">
      <w:pPr>
        <w:spacing w:line="360" w:lineRule="auto"/>
        <w:ind w:left="567" w:right="539"/>
        <w:jc w:val="both"/>
        <w:rPr>
          <w:rFonts w:ascii="Palatino Linotype" w:eastAsia="Palatino Linotype" w:hAnsi="Palatino Linotype" w:cs="Palatino Linotype"/>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advierte lo siguiente:</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numPr>
          <w:ilvl w:val="0"/>
          <w:numId w:val="9"/>
        </w:num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Fundamentación: </w:t>
      </w:r>
      <w:r>
        <w:rPr>
          <w:rFonts w:ascii="Palatino Linotype" w:eastAsia="Palatino Linotype" w:hAnsi="Palatino Linotype" w:cs="Palatino Linotype"/>
          <w:sz w:val="22"/>
          <w:szCs w:val="22"/>
        </w:rPr>
        <w:t>Obligación de la autoridad que emite un acto, para citar los preceptos legales, sustantivos y adjetivos, en que se apoye para la determinación tomada.</w:t>
      </w:r>
    </w:p>
    <w:p w:rsidR="001B5BAC" w:rsidRDefault="00572112">
      <w:pPr>
        <w:numPr>
          <w:ilvl w:val="0"/>
          <w:numId w:val="9"/>
        </w:num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Motivación: </w:t>
      </w:r>
      <w:r>
        <w:rPr>
          <w:rFonts w:ascii="Palatino Linotype" w:eastAsia="Palatino Linotype" w:hAnsi="Palatino Linotype" w:cs="Palatino Linotype"/>
          <w:sz w:val="22"/>
          <w:szCs w:val="22"/>
        </w:rPr>
        <w:t>Razonamientos lógico-jurídicos sobre porque se consideró en el caso en concreto, que se ajusta a la hipótesis normativa.</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Situación que toma relevancia, pues conforme al artículo 49 de la Ley de Transparencia y Acceso a la Información Pública del Estado de México y Municipios, dentro de las atribuciones del comité de Transparencia está la de confirmar, modificar o revocar determinaciones que en materia de clasificación de la información.</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establecido lo anterior, ya que el Sujeto Obligado manifestó que la información solicitada se encontraba reservada, se procede a realizar el siguiente análisis; el artículo 132 de la Ley de la materia, y el Séptimo de los Lineamientos previamente referido, prevé que la clasificación de la información se llevará a cabo, entre otros, en el momento en que se reciba la solicitud de acceso a la información pública.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otra parte, dentro del acuerdo de clasificación el Sujeto Obligado aunque como ya se refirió no se emitió para atender la solicitud que dio origen al presente Recurso, señaló que la información sería clasificada como reservada con fundamento en el artículo 140, fracciones IV, VI y X, de la Ley de Transparencia y Acceso a la Información Pública del Estado de México y Municipios, (homólogo al artículo 113, fracción V VII y XI de la Ley General de Transparencia y Acceso a la Información Pública), precisa lo siguiente:</w:t>
      </w:r>
    </w:p>
    <w:p w:rsidR="001B5BAC" w:rsidRDefault="001B5BAC">
      <w:pPr>
        <w:spacing w:line="360" w:lineRule="auto"/>
        <w:ind w:right="-93"/>
        <w:jc w:val="both"/>
        <w:rPr>
          <w:rFonts w:ascii="Palatino Linotype" w:eastAsia="Palatino Linotype" w:hAnsi="Palatino Linotype" w:cs="Palatino Linotype"/>
        </w:rPr>
      </w:pP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a III…</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IV. Ponga en riesgo la vida, la seguridad o la salud de una persona física;</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VII a IX…</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1B5BAC" w:rsidRDefault="00572112">
      <w:pPr>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rPr>
        <w:t xml:space="preserve">XI…”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los Lineamientos Generales en materia de clasificación y desclasificación de la información, así como para la elaboración de versiones públicas, se prevé lo siguiente: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“Vigésimo tercero. </w:t>
      </w:r>
      <w:r>
        <w:rPr>
          <w:rFonts w:ascii="Palatino Linotype" w:eastAsia="Palatino Linotype" w:hAnsi="Palatino Linotype" w:cs="Palatino Linotype"/>
          <w:i/>
        </w:rPr>
        <w:t>Para clasificar la información como reservada, de conformidad con el artículo 113, fracción V de la Ley General, será necesario acreditar un vínculo, entre la persona física y la información que pueda poner en riesgo su vida, seguridad o salud.”</w:t>
      </w:r>
    </w:p>
    <w:p w:rsidR="001B5BAC" w:rsidRDefault="00572112">
      <w:pPr>
        <w:tabs>
          <w:tab w:val="left" w:pos="8222"/>
        </w:tabs>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1B5BAC" w:rsidRDefault="00572112">
      <w:pPr>
        <w:tabs>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b/>
          <w:i/>
        </w:rPr>
        <w:t>Vigésimo sexto</w:t>
      </w:r>
      <w:r>
        <w:rPr>
          <w:rFonts w:ascii="Palatino Linotype" w:eastAsia="Palatino Linotype" w:hAnsi="Palatino Linotype" w:cs="Palatino Linotype"/>
          <w:i/>
        </w:rPr>
        <w:t>.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rsidR="001B5BAC" w:rsidRDefault="00572112">
      <w:pPr>
        <w:tabs>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Para que se verifique el supuesto de reserva, cuando se cause un perjuicio a las actividades de persecución de los delitos, deben de actualizarse los siguientes elementos:</w:t>
      </w:r>
    </w:p>
    <w:p w:rsidR="001B5BAC" w:rsidRDefault="00572112">
      <w:pPr>
        <w:tabs>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 La existencia de un proceso penal en sustanciación o una carpeta de investigación en trámite;</w:t>
      </w:r>
    </w:p>
    <w:p w:rsidR="001B5BAC" w:rsidRDefault="00572112">
      <w:pPr>
        <w:tabs>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II.  Que se acredite el vínculo que existe entre la información solicitada y la carpeta de investigación, o el proceso penal, según sea el caso, y</w:t>
      </w:r>
    </w:p>
    <w:p w:rsidR="001B5BAC" w:rsidRDefault="00572112">
      <w:pPr>
        <w:tabs>
          <w:tab w:val="left" w:pos="8222"/>
        </w:tabs>
        <w:spacing w:line="360" w:lineRule="auto"/>
        <w:ind w:left="567" w:right="539"/>
        <w:jc w:val="both"/>
        <w:rPr>
          <w:rFonts w:ascii="Palatino Linotype" w:eastAsia="Palatino Linotype" w:hAnsi="Palatino Linotype" w:cs="Palatino Linotype"/>
          <w:i/>
        </w:rPr>
      </w:pPr>
      <w:r>
        <w:rPr>
          <w:rFonts w:ascii="Palatino Linotype" w:eastAsia="Palatino Linotype" w:hAnsi="Palatino Linotype" w:cs="Palatino Linotype"/>
          <w:i/>
        </w:rPr>
        <w:t>III. Que la difusión de la información pueda impedir u obstruir las funciones que ejerce el Ministerio Público o su equivalente durante la etapa de investigación o ante los tribunales judiciales con motivo del ejercicio de la acción penal.</w:t>
      </w:r>
    </w:p>
    <w:p w:rsidR="001B5BAC" w:rsidRDefault="00572112">
      <w:pPr>
        <w:tabs>
          <w:tab w:val="left" w:pos="8222"/>
        </w:tabs>
        <w:spacing w:line="360" w:lineRule="auto"/>
        <w:ind w:left="567" w:right="539"/>
        <w:jc w:val="both"/>
        <w:rPr>
          <w:rFonts w:ascii="Palatino Linotype" w:eastAsia="Palatino Linotype" w:hAnsi="Palatino Linotype" w:cs="Palatino Linotype"/>
          <w:b/>
          <w:i/>
        </w:rPr>
      </w:pPr>
      <w:r>
        <w:rPr>
          <w:rFonts w:ascii="Palatino Linotype" w:eastAsia="Palatino Linotype" w:hAnsi="Palatino Linotype" w:cs="Palatino Linotype"/>
          <w:sz w:val="22"/>
          <w:szCs w:val="22"/>
        </w:rPr>
        <w:t>…</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Trigésimo. </w:t>
      </w:r>
      <w:r>
        <w:rPr>
          <w:rFonts w:ascii="Palatino Linotype" w:eastAsia="Palatino Linotype" w:hAnsi="Palatino Linotype" w:cs="Palatino Linotype"/>
          <w:i/>
        </w:rPr>
        <w:t>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La existencia de un juicio o procedimiento administrativo materialmente jurisdiccional, que se encuentre en trámite, y</w:t>
      </w:r>
    </w:p>
    <w:p w:rsidR="001B5BAC" w:rsidRDefault="00572112">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II. Que la información solicitada se refiera a actuaciones, diligencias o constancias propias del procedimiento.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highlight w:val="yellow"/>
        </w:rPr>
      </w:pPr>
      <w:r>
        <w:rPr>
          <w:rFonts w:ascii="Palatino Linotype" w:eastAsia="Palatino Linotype" w:hAnsi="Palatino Linotype" w:cs="Palatino Linotype"/>
          <w:sz w:val="22"/>
          <w:szCs w:val="22"/>
        </w:rPr>
        <w:t xml:space="preserve">De la normatividad citada, se desprende que el supuesto de clasificación invocado por lo que hace a la fracción IV, se desprende que para clasificar la información como reservada, será necesario </w:t>
      </w:r>
      <w:r>
        <w:rPr>
          <w:rFonts w:ascii="Palatino Linotype" w:eastAsia="Palatino Linotype" w:hAnsi="Palatino Linotype" w:cs="Palatino Linotype"/>
          <w:b/>
          <w:sz w:val="22"/>
          <w:szCs w:val="22"/>
        </w:rPr>
        <w:t>acreditar un vínculo, entre la persona física y la información que pueda poner en riesgo su vida, seguridad o salud</w:t>
      </w:r>
      <w:r>
        <w:rPr>
          <w:rFonts w:ascii="Palatino Linotype" w:eastAsia="Palatino Linotype" w:hAnsi="Palatino Linotype" w:cs="Palatino Linotype"/>
          <w:sz w:val="22"/>
          <w:szCs w:val="22"/>
        </w:rPr>
        <w:t xml:space="preserve">, situación que no se encuentra acreditada en el Acuerdo remitido en respuesta </w:t>
      </w:r>
    </w:p>
    <w:p w:rsidR="001B5BAC" w:rsidRDefault="001B5BAC">
      <w:pPr>
        <w:spacing w:line="360" w:lineRule="auto"/>
        <w:ind w:right="-91"/>
        <w:jc w:val="both"/>
        <w:rPr>
          <w:rFonts w:ascii="Palatino Linotype" w:eastAsia="Palatino Linotype" w:hAnsi="Palatino Linotype" w:cs="Palatino Linotype"/>
          <w:sz w:val="22"/>
          <w:szCs w:val="22"/>
        </w:rPr>
      </w:pPr>
    </w:p>
    <w:p w:rsidR="001B5BAC" w:rsidRDefault="00572112">
      <w:pPr>
        <w:spacing w:line="360" w:lineRule="auto"/>
        <w:ind w:right="-9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 fracción VI y X del artículo 140, de la Ley de la materia en estudio no se advierte que dichos datos se encuentren en un</w:t>
      </w:r>
      <w:r>
        <w:t xml:space="preserve"> </w:t>
      </w:r>
      <w:r>
        <w:rPr>
          <w:rFonts w:ascii="Palatino Linotype" w:eastAsia="Palatino Linotype" w:hAnsi="Palatino Linotype" w:cs="Palatino Linotype"/>
          <w:sz w:val="22"/>
          <w:szCs w:val="22"/>
        </w:rPr>
        <w:t xml:space="preserve">proceso penal en sustanciación o una carpeta de investigación en trámite o en un juicio o procedimiento administrativo materialmente jurisdiccional o bien, que den cuenta de este, ni mucho menos sobre si la publicación de la información cause algún daño ya que el Sujeto Obligado en ningún momento proporciono </w:t>
      </w:r>
      <w:r>
        <w:rPr>
          <w:rFonts w:ascii="Palatino Linotype" w:eastAsia="Palatino Linotype" w:hAnsi="Palatino Linotype" w:cs="Palatino Linotype"/>
          <w:sz w:val="22"/>
          <w:szCs w:val="22"/>
        </w:rPr>
        <w:lastRenderedPageBreak/>
        <w:t>algún número de expediente que dé cuenta de algún proceso que se encuentre en trámite, por lo que no se advierte algún razonamiento que dé cuenta que la clasificación de la información encuadre en alguno de estos supuestos.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rPr>
        <w:t xml:space="preserve">Por tal razón se trae a colación el artículo 134 de la Ley de Transparencia y Acceso a la Información Pública del Estado de México y Municipios, como el Sexto de los Lineamientos Generales en Materia de Clasificación y Desclasificación de la Información, así como para la Elaboración de Versiones Públicas, los sujetos obligados no podrán emitir acuerdos de carácter general que clasifiquen documentos o expedientes; por lo que, la clasificación de información </w:t>
      </w:r>
      <w:r>
        <w:rPr>
          <w:rFonts w:ascii="Palatino Linotype" w:eastAsia="Palatino Linotype" w:hAnsi="Palatino Linotype" w:cs="Palatino Linotype"/>
          <w:sz w:val="22"/>
          <w:szCs w:val="22"/>
          <w:u w:val="single"/>
        </w:rPr>
        <w:t>se llevará a cabo mediante un análisis caso por caso.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el artículo 132 de la Ley de la materia ya </w:t>
      </w:r>
      <w:r w:rsidR="0095032E">
        <w:rPr>
          <w:rFonts w:ascii="Palatino Linotype" w:eastAsia="Palatino Linotype" w:hAnsi="Palatino Linotype" w:cs="Palatino Linotype"/>
          <w:sz w:val="22"/>
          <w:szCs w:val="22"/>
        </w:rPr>
        <w:t>señalada</w:t>
      </w:r>
      <w:r>
        <w:rPr>
          <w:rFonts w:ascii="Palatino Linotype" w:eastAsia="Palatino Linotype" w:hAnsi="Palatino Linotype" w:cs="Palatino Linotype"/>
          <w:sz w:val="22"/>
          <w:szCs w:val="22"/>
        </w:rPr>
        <w:t>, y el Séptimo de los Lineamientos previamente referido, prevé que la clasificación de la información se llevará a cabo, entre otros, en el momento en que se reciba la solicitud de acceso a la información pública.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por lo señalado, que dentro del acuerdo de clasificación el Sujeto Obligado se observa que no corresponde a la solicitud que dio origen al presente Recurso de Revisión 01531/INFOEM/IP/RR/2024, ya que atiende otra solicitud y el Acuerdo remitido no se encuentra debidamente acreditada la reserva de la información, por lo que no aporta mayores elementos para especificar un riesgo real demostrable e identificable, así no se encuentra acreditada la prueba de daño por el Sujeto Obligado, situación que se robustece con lo señalado en la Tesis Aislada número I.10o.A.79 A (10a.), (Gaceta del Semanario Judicial de la </w:t>
      </w:r>
      <w:r>
        <w:rPr>
          <w:rFonts w:ascii="Palatino Linotype" w:eastAsia="Palatino Linotype" w:hAnsi="Palatino Linotype" w:cs="Palatino Linotype"/>
          <w:sz w:val="22"/>
          <w:szCs w:val="22"/>
        </w:rPr>
        <w:lastRenderedPageBreak/>
        <w:t xml:space="preserve">Federación, Libro 60, Noviembre de 2018, Tomo III, </w:t>
      </w:r>
      <w:proofErr w:type="spellStart"/>
      <w:r>
        <w:rPr>
          <w:rFonts w:ascii="Palatino Linotype" w:eastAsia="Palatino Linotype" w:hAnsi="Palatino Linotype" w:cs="Palatino Linotype"/>
          <w:sz w:val="22"/>
          <w:szCs w:val="22"/>
        </w:rPr>
        <w:t>pag</w:t>
      </w:r>
      <w:proofErr w:type="spellEnd"/>
      <w:r>
        <w:rPr>
          <w:rFonts w:ascii="Palatino Linotype" w:eastAsia="Palatino Linotype" w:hAnsi="Palatino Linotype" w:cs="Palatino Linotype"/>
          <w:sz w:val="22"/>
          <w:szCs w:val="22"/>
        </w:rPr>
        <w:t>. 2318) como se muestra a continuación: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b/>
          <w:i/>
        </w:rPr>
        <w:t>PRUEBA DE DAÑO EN LA CLASIFICACIÓN DE LA INFORMACIÓN PÚBLICA. SU VALIDEZ NO DEPENDE DE LOS MEDIOS DE PRUEBA QUE EL SUJETO OBLIGADO APORTE.</w:t>
      </w:r>
    </w:p>
    <w:p w:rsidR="001B5BAC" w:rsidRDefault="001B5BAC">
      <w:pPr>
        <w:spacing w:line="360" w:lineRule="auto"/>
        <w:ind w:left="567" w:right="616"/>
        <w:jc w:val="both"/>
        <w:rPr>
          <w:rFonts w:ascii="Palatino Linotype" w:eastAsia="Palatino Linotype" w:hAnsi="Palatino Linotype" w:cs="Palatino Linotype"/>
          <w:i/>
        </w:rPr>
      </w:pPr>
    </w:p>
    <w:p w:rsidR="001B5BAC" w:rsidRDefault="00572112">
      <w:pPr>
        <w:spacing w:line="360" w:lineRule="auto"/>
        <w:ind w:left="567"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Pr>
          <w:rFonts w:ascii="Palatino Linotype" w:eastAsia="Palatino Linotype" w:hAnsi="Palatino Linotype" w:cs="Palatino Linotype"/>
          <w:b/>
          <w:i/>
          <w:u w:val="single"/>
        </w:rPr>
        <w:t>, la validez de la prueba de daño no depende de los medios de prueba que el sujeto obligado aporte, sino de la solidez del juicio de ponderación que se efectúe en los términos señalados</w:t>
      </w:r>
      <w:r>
        <w:rPr>
          <w:rFonts w:ascii="Palatino Linotype" w:eastAsia="Palatino Linotype" w:hAnsi="Palatino Linotype" w:cs="Palatino Linotype"/>
          <w:b/>
          <w:i/>
          <w:sz w:val="22"/>
          <w:szCs w:val="22"/>
          <w:u w:val="single"/>
        </w:rPr>
        <w:t>.</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Pr>
          <w:rFonts w:ascii="Palatino Linotype" w:eastAsia="Palatino Linotype" w:hAnsi="Palatino Linotype" w:cs="Palatino Linotype"/>
          <w:b/>
          <w:sz w:val="22"/>
          <w:szCs w:val="22"/>
          <w:u w:val="single"/>
        </w:rPr>
        <w:t xml:space="preserve">desarrollar la prueba de daño, misma que </w:t>
      </w:r>
      <w:r w:rsidR="0095032E">
        <w:rPr>
          <w:rFonts w:ascii="Palatino Linotype" w:eastAsia="Palatino Linotype" w:hAnsi="Palatino Linotype" w:cs="Palatino Linotype"/>
          <w:b/>
          <w:sz w:val="22"/>
          <w:szCs w:val="22"/>
          <w:u w:val="single"/>
        </w:rPr>
        <w:t>será</w:t>
      </w:r>
      <w:bookmarkStart w:id="1" w:name="_GoBack"/>
      <w:bookmarkEnd w:id="1"/>
      <w:r>
        <w:rPr>
          <w:rFonts w:ascii="Palatino Linotype" w:eastAsia="Palatino Linotype" w:hAnsi="Palatino Linotype" w:cs="Palatino Linotype"/>
          <w:b/>
          <w:sz w:val="22"/>
          <w:szCs w:val="22"/>
          <w:u w:val="single"/>
        </w:rPr>
        <w:t xml:space="preserve"> caso por caso</w:t>
      </w:r>
      <w:r>
        <w:rPr>
          <w:rFonts w:ascii="Palatino Linotype" w:eastAsia="Palatino Linotype" w:hAnsi="Palatino Linotype" w:cs="Palatino Linotype"/>
          <w:sz w:val="22"/>
          <w:szCs w:val="22"/>
        </w:rPr>
        <w:t xml:space="preserve">, ya que no se podrá clasificar la información </w:t>
      </w:r>
      <w:r w:rsidR="0095032E">
        <w:rPr>
          <w:rFonts w:ascii="Palatino Linotype" w:eastAsia="Palatino Linotype" w:hAnsi="Palatino Linotype" w:cs="Palatino Linotype"/>
          <w:sz w:val="22"/>
          <w:szCs w:val="22"/>
        </w:rPr>
        <w:t>únicamente</w:t>
      </w:r>
      <w:r>
        <w:rPr>
          <w:rFonts w:ascii="Palatino Linotype" w:eastAsia="Palatino Linotype" w:hAnsi="Palatino Linotype" w:cs="Palatino Linotype"/>
          <w:sz w:val="22"/>
          <w:szCs w:val="22"/>
        </w:rPr>
        <w:t xml:space="preserve"> por estar vinculada con los supuestos establecidos en la Ley sino que además se demostrara que efectivamente dar a conocer la información que se clasifica podría afectar las funciones y el actuar de los diversos sujetos obligados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señalado, es que el Sujeto Obligado no realizó de manera adecuada la clasificación de la información ya que, si bien en el Acuerdo que adjuntó se clasificó como información reservada la relacionada con pagarés de cuentas por cobrar que tenga la unidad jurídica, no especifica si incluye la temporalidad requerida en la presente solicitud 00055/HRZUM/IP/2024, además de que en dicho acuerdo señaló que la información se encontraba clasificada por las fracciones IV, VI y X del artículo 140 de la Ley de la materia, sin embargo, no analiza cada fracción de manera específica, para acreditar cada uno de los elementos establecidos en los Lineamientos Generales en Materia de Clasificación y Desclasificación de la Información, así como para la Elaboración de Versiones Públicas y como ya se estableció debe desarrollar la prueba de daño caso por caso y no motivo de manera </w:t>
      </w:r>
      <w:r>
        <w:rPr>
          <w:rFonts w:ascii="Palatino Linotype" w:eastAsia="Palatino Linotype" w:hAnsi="Palatino Linotype" w:cs="Palatino Linotype"/>
          <w:sz w:val="22"/>
          <w:szCs w:val="22"/>
        </w:rPr>
        <w:lastRenderedPageBreak/>
        <w:t xml:space="preserve">adecuada cual es el riesgo real demostrable e identificable que generaría entregar la información.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es de señalar que adicional a  que no se acreditó ni la reserva ni la prueba de daño de los títulos de crédito, es de precisar que, la propia naturaleza de los títulos de crédito es la libre circulación, pues justamente estos pueden pasarse de persona a persona, con el objetivo de que se cubra en monto establecido en el título de crédito, en cuyo caso el acreedor cambia de persona y el deudor, mantiene en adeudo establecido ante el nuevo acreedor; lo anterior de conformidad con lo establecido en los artículos 1°, 3°, 5°, 7°, 18, 21 y 170 la Ley General de Títulos y Operaciones de Crédito, misma que establece los requisitos de los títulos de crédito, los casos en que opera la libre circulación y los requisitos que debe cubrir cada tipo de documento, como es el caso de los pagarés, de tal suerte que de la interpretación sistemática de los artículos antes referidos en relación con el artículo 140 de la Ley de Transparencia del Estado, no es posible desprender que dichos documentos actualicen algún supuesto de reserva.</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tal motivo, se advierte que los mismos, pueden ser entregados en su caso en versión pública, pues como título de crédito, en los casos de la libre circulación, cualquier persona podría adquirirlo por endoso y para ello, es necesario que el Sujeto Obligado haga del conocimiento público los títulos de crédito que tiene a su favor, pues al tratarse de recursos que deben ingresar a las arcas públicas e, el objetivo primordial debe ser recuperar el dinero a través del cobro del título de crédito del deudor o a través de su transmisión.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dentro de las manifestaciones realizadas, señaló que la información contenía datos personales de los usuarios del Hospital como nombre, dirección teléfonos </w:t>
      </w:r>
      <w:r>
        <w:rPr>
          <w:rFonts w:ascii="Palatino Linotype" w:eastAsia="Palatino Linotype" w:hAnsi="Palatino Linotype" w:cs="Palatino Linotype"/>
          <w:sz w:val="22"/>
          <w:szCs w:val="22"/>
        </w:rPr>
        <w:lastRenderedPageBreak/>
        <w:t>particulares; sin embargo, eso no es impedimento a entregar ya que se puede generar una versión pública. En efecto, cuando el mero objetivo de la entrega de la información sea conocer los títulos de crédito que tiene a su favor el Hospital y no así su transmisión como título de crédito, atentos al principio de finalidad, procede analizar aquellos datos que no son necesario para la transparencia y rendición de cuentas y, por el contrario, su entrega podría suponer una invasión a la privacidad del deudor como los datos de contacto y ubicación, por lo que procede analizarlos. Al respecto sobre esta se precisa que la Ley General de Transparencia y Acceso a la Información Pública, en su artículo 116, dispone que se considera información confidencial la que contenga datos personales concernientes a una persona física identificada o identificable.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numPr>
          <w:ilvl w:val="0"/>
          <w:numId w:val="6"/>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ésta sea identificada o identificable. </w:t>
      </w:r>
    </w:p>
    <w:p w:rsidR="001B5BAC" w:rsidRDefault="00572112">
      <w:pPr>
        <w:numPr>
          <w:ilvl w:val="0"/>
          <w:numId w:val="6"/>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la difusión de los datos, se requiera el consentimiento del titular.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Además, en el artículo 5° de dicho ordenamiento jurídico, establece que es la Ley aplicable para todo tratamiento de datos personales.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la entrega de recursos públicos bajo cualquier esquema, el cumplimiento de requisitos legales.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aquellos datos que únicamente versan sobre la vida privada de las personas deberán ser eliminadas de las versiones pública, previa aprobación del Comité de Transparencia, tales como domicilio, teléfono y cualquier dato que los haga ubicables, sin la posibilidad de poder clasificar el nombre, dato que debe considerarse público, en virtud de </w:t>
      </w:r>
      <w:r>
        <w:rPr>
          <w:rFonts w:ascii="Palatino Linotype" w:eastAsia="Palatino Linotype" w:hAnsi="Palatino Linotype" w:cs="Palatino Linotype"/>
          <w:sz w:val="22"/>
          <w:szCs w:val="22"/>
        </w:rPr>
        <w:lastRenderedPageBreak/>
        <w:t>que, al tener una deuda frente a la institución pública, el dato adquiere interés público y por ende no procede su clasificación, pues se encuentra directamente vinculado con el ejercicio de recursos públicos.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efecto, para el caso del Hospital, los pagarés se generan con motivo de la atención médica que se ofrece, sin que se cubra el costo del servicio al momento, pues se entiende que ante la relevancia de un accidente o emergencia médica, el Hospital brinde servicios a quien no es derechohabiente y se genere un monto que no pueda ser cubierto al momento del alta del paciente.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sobre el </w:t>
      </w:r>
      <w:r>
        <w:rPr>
          <w:rFonts w:ascii="Palatino Linotype" w:eastAsia="Palatino Linotype" w:hAnsi="Palatino Linotype" w:cs="Palatino Linotype"/>
          <w:b/>
          <w:sz w:val="22"/>
          <w:szCs w:val="22"/>
        </w:rPr>
        <w:t>punto 2</w:t>
      </w:r>
      <w:r>
        <w:rPr>
          <w:rFonts w:ascii="Palatino Linotype" w:eastAsia="Palatino Linotype" w:hAnsi="Palatino Linotype" w:cs="Palatino Linotype"/>
          <w:sz w:val="22"/>
          <w:szCs w:val="22"/>
        </w:rPr>
        <w:t xml:space="preserve"> mencionado en el Considerando TERCERO relacionado en saber si hay servidores públicos con títulos de crédito o adeudos con el Hospital en enero de dos mil veinticuatro, por lo que en respuesta la Titular de la Unidad Jurídica y de Igualdad de Género, señaló que no contaba con la información solicitada por no encontrarse dentro de sus funciones, posteriormente en informe justificado el Director de Administración y Finanzas manifestó que la solicitud, tendría que ser referida a la Subdirección de Personal.</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en el Manual General de Organización del Sujeto Obligado se observa que la Subdirección de Personal depende jerárquicamente de la Dirección de administración y Finanzas, sin embargo, esta última aceptó no haber turnado a dicha unidad. No se omite mencionar que, la propia naturaleza de los títulos de crédito, principalmente aquellos que constituyen adeudos en favor de las instituciones públicas en su calidad de acreedor, no es parte de la cotidianidad del trabajo de los servidores públicos; esto es, no existe normatividad que disponga o que obligue a los servidores públicos a expedir pagarés o cualquier otro tipo de título de crédito en favor de una institución pública. Ahora bien, la persona Recurrente </w:t>
      </w:r>
      <w:r>
        <w:rPr>
          <w:rFonts w:ascii="Palatino Linotype" w:eastAsia="Palatino Linotype" w:hAnsi="Palatino Linotype" w:cs="Palatino Linotype"/>
          <w:sz w:val="22"/>
          <w:szCs w:val="22"/>
        </w:rPr>
        <w:lastRenderedPageBreak/>
        <w:t>solicita saber todos los adeudos que tengan servidores públicos con el Hospital, por lo que se entiende que se refiere a cualquier adeudo adicional a la prestación de servicios médicos, incluidos aquellos determinados ante una eventual responsabilidad administrativa, en donde los montos adeudados se cubren a través de procedimientos resarcitorios, los que una vez que han quedado firmes constituyen un adeudo para el servidor público, por lo que estos también deberán ser entregados.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embargo, como se advierte, no hay una respuesta del servidor Público Habilitado competente, por lo que no hay certeza si cuenta o no con lo solicitado ya que no siguió de manera cabal el procedimiento de búsqueda </w:t>
      </w:r>
      <w:r>
        <w:rPr>
          <w:rFonts w:ascii="Palatino Linotype" w:eastAsia="Palatino Linotype" w:hAnsi="Palatino Linotype" w:cs="Palatino Linotype"/>
          <w:b/>
          <w:sz w:val="22"/>
          <w:szCs w:val="22"/>
        </w:rPr>
        <w:t>para localizar la información</w:t>
      </w:r>
      <w:r>
        <w:rPr>
          <w:rFonts w:ascii="Palatino Linotype" w:eastAsia="Palatino Linotype" w:hAnsi="Palatino Linotype" w:cs="Palatino Linotype"/>
          <w:sz w:val="22"/>
          <w:szCs w:val="22"/>
        </w:rPr>
        <w:t>, el cual se encuentra previsto en los artículos 160 y 162 de la Ley de Transparencia y Acceso a la Información Pública del Estado de México y Municipios, mismo que es el siguiente: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ind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Conforme a la anterior, el Ente Recurrido deberá realizar una búsqueda correcta de la información en las unidades que conforman la Dirección de Administración y Finanzas y en todo caso de proporcionar los documentos de los que se desprenda lo que el  Particular solicitó, ello en virtud de que 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ya que los sujetos obligados únicamente están constreñidos a proporcionar la documentación que obre en sus archivos; por lo que, no están obligados a generar o elaborar documentos </w:t>
      </w:r>
      <w:r>
        <w:rPr>
          <w:rFonts w:ascii="Palatino Linotype" w:eastAsia="Palatino Linotype" w:hAnsi="Palatino Linotype" w:cs="Palatino Linotype"/>
          <w:i/>
          <w:sz w:val="22"/>
          <w:szCs w:val="22"/>
        </w:rPr>
        <w:t>Ad hoc.</w:t>
      </w:r>
    </w:p>
    <w:p w:rsidR="001B5BAC" w:rsidRDefault="001B5BAC">
      <w:pPr>
        <w:spacing w:line="360" w:lineRule="auto"/>
        <w:ind w:firstLine="1"/>
        <w:jc w:val="both"/>
        <w:rPr>
          <w:rFonts w:ascii="Palatino Linotype" w:eastAsia="Palatino Linotype" w:hAnsi="Palatino Linotype" w:cs="Palatino Linotype"/>
          <w:sz w:val="22"/>
          <w:szCs w:val="22"/>
        </w:rPr>
      </w:pPr>
    </w:p>
    <w:p w:rsidR="001B5BAC" w:rsidRDefault="00572112">
      <w:pPr>
        <w:spacing w:line="360" w:lineRule="auto"/>
        <w:ind w:firstLine="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en el caso de que existan documentos que permitan identificar la existencia de adeudos a través de títulos de crédito, se deberá entregar la versión pública en los términos expuestos en el punto anterior. </w:t>
      </w:r>
    </w:p>
    <w:p w:rsidR="001B5BAC" w:rsidRDefault="001B5BAC">
      <w:pPr>
        <w:tabs>
          <w:tab w:val="left" w:pos="4962"/>
        </w:tabs>
        <w:spacing w:line="360" w:lineRule="auto"/>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1B5BAC" w:rsidRDefault="001B5BAC">
      <w:pPr>
        <w:spacing w:line="360" w:lineRule="auto"/>
        <w:ind w:right="-93"/>
        <w:jc w:val="both"/>
        <w:rPr>
          <w:rFonts w:ascii="Palatino Linotype" w:eastAsia="Palatino Linotype" w:hAnsi="Palatino Linotype" w:cs="Palatino Linotype"/>
          <w:b/>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xml:space="preserve"> y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respectivamente las respuestas otorgadas por el Sujeto Obligado a las solicitudes de información </w:t>
      </w:r>
      <w:r>
        <w:rPr>
          <w:rFonts w:ascii="Palatino Linotype" w:eastAsia="Palatino Linotype" w:hAnsi="Palatino Linotype" w:cs="Palatino Linotype"/>
          <w:b/>
          <w:sz w:val="22"/>
          <w:szCs w:val="22"/>
        </w:rPr>
        <w:t>00055/HRZUM/IP/2024 y 00061/HRZUM/IP/2024</w:t>
      </w:r>
      <w:r>
        <w:rPr>
          <w:rFonts w:ascii="Palatino Linotype" w:eastAsia="Palatino Linotype" w:hAnsi="Palatino Linotype" w:cs="Palatino Linotype"/>
          <w:sz w:val="22"/>
          <w:szCs w:val="22"/>
        </w:rPr>
        <w:t xml:space="preserve">, por resultar parcialmente fundadas las razones o motivos de inconformidad hechos valer por el Recurrente, en los Recursos de Revisión </w:t>
      </w:r>
      <w:r>
        <w:rPr>
          <w:rFonts w:ascii="Palatino Linotype" w:eastAsia="Palatino Linotype" w:hAnsi="Palatino Linotype" w:cs="Palatino Linotype"/>
          <w:b/>
          <w:sz w:val="22"/>
          <w:szCs w:val="22"/>
        </w:rPr>
        <w:t>01531/INFOEM/IP/RR/2024 y 01532/INFOEM/IP/RR/2024</w:t>
      </w:r>
      <w:r>
        <w:rPr>
          <w:rFonts w:ascii="Palatino Linotype" w:eastAsia="Palatino Linotype" w:hAnsi="Palatino Linotype" w:cs="Palatino Linotype"/>
          <w:sz w:val="22"/>
          <w:szCs w:val="22"/>
        </w:rPr>
        <w:t xml:space="preserve">, en </w:t>
      </w:r>
      <w:r>
        <w:rPr>
          <w:rFonts w:ascii="Palatino Linotype" w:eastAsia="Palatino Linotype" w:hAnsi="Palatino Linotype" w:cs="Palatino Linotype"/>
          <w:sz w:val="22"/>
          <w:szCs w:val="22"/>
        </w:rPr>
        <w:lastRenderedPageBreak/>
        <w:t xml:space="preserve">consecuencia procede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conceda en su caso en versión pública a través del Sistema de Acceso a la Información Mexiquense (SAIMEX), los documentos solicitados.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el Recurrente</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determinó ordenar al Hospital la entrega de la información  de los títulos de crédito en donde se eliminen los datos confidenciales de los deudores y en su caso, le entregue el documento que permita identificar si las personas que firmaron pagarés lo hicieron en calidad de servidores públicos.</w:t>
      </w:r>
    </w:p>
    <w:p w:rsidR="001B5BAC" w:rsidRDefault="001B5BAC">
      <w:pPr>
        <w:spacing w:line="360" w:lineRule="auto"/>
        <w:jc w:val="both"/>
        <w:rPr>
          <w:rFonts w:ascii="Palatino Linotype" w:eastAsia="Palatino Linotype" w:hAnsi="Palatino Linotype" w:cs="Palatino Linotype"/>
          <w:sz w:val="22"/>
          <w:szCs w:val="22"/>
          <w:u w:val="single"/>
        </w:rPr>
      </w:pPr>
    </w:p>
    <w:p w:rsidR="001B5BAC" w:rsidRDefault="00572112">
      <w:pPr>
        <w:spacing w:line="360" w:lineRule="auto"/>
        <w:ind w:right="-93"/>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La labor del INFOEM, es apoyar a la población para acceder a la información pública y garantizar la protección de sus datos personales.</w:t>
      </w:r>
    </w:p>
    <w:p w:rsidR="001B5BAC" w:rsidRDefault="001B5BAC">
      <w:pPr>
        <w:spacing w:line="360" w:lineRule="auto"/>
        <w:ind w:right="-93"/>
        <w:jc w:val="both"/>
        <w:rPr>
          <w:rFonts w:ascii="Palatino Linotype" w:eastAsia="Palatino Linotype" w:hAnsi="Palatino Linotype" w:cs="Palatino Linotype"/>
          <w:sz w:val="22"/>
          <w:szCs w:val="22"/>
          <w:u w:val="single"/>
        </w:rPr>
      </w:pPr>
    </w:p>
    <w:p w:rsidR="001B5BAC" w:rsidRDefault="001B5BAC">
      <w:pPr>
        <w:spacing w:line="360" w:lineRule="auto"/>
        <w:ind w:right="-93"/>
        <w:jc w:val="both"/>
        <w:rPr>
          <w:rFonts w:ascii="Palatino Linotype" w:eastAsia="Palatino Linotype" w:hAnsi="Palatino Linotype" w:cs="Palatino Linotype"/>
          <w:sz w:val="22"/>
          <w:szCs w:val="22"/>
          <w:u w:val="single"/>
        </w:rPr>
      </w:pPr>
    </w:p>
    <w:p w:rsidR="001B5BAC" w:rsidRDefault="00572112">
      <w:pPr>
        <w:spacing w:line="360" w:lineRule="auto"/>
        <w:ind w:right="-91"/>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1B5BAC" w:rsidRDefault="001B5BAC">
      <w:pPr>
        <w:spacing w:line="360" w:lineRule="auto"/>
        <w:ind w:right="-91"/>
        <w:jc w:val="center"/>
        <w:rPr>
          <w:rFonts w:ascii="Palatino Linotype" w:eastAsia="Palatino Linotype" w:hAnsi="Palatino Linotype" w:cs="Palatino Linotype"/>
          <w:b/>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REVOCA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 xml:space="preserve">Hospital Regional de Alta Especialidad de Zumpango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 xml:space="preserve">00055/HRZUM/IP/2024 y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entregada a la solicitud de información </w:t>
      </w:r>
      <w:r>
        <w:rPr>
          <w:rFonts w:ascii="Palatino Linotype" w:eastAsia="Palatino Linotype" w:hAnsi="Palatino Linotype" w:cs="Palatino Linotype"/>
          <w:b/>
          <w:sz w:val="22"/>
          <w:szCs w:val="22"/>
        </w:rPr>
        <w:t>00061/HRZUM/IP/2024</w:t>
      </w:r>
      <w:r>
        <w:rPr>
          <w:rFonts w:ascii="Palatino Linotype" w:eastAsia="Palatino Linotype" w:hAnsi="Palatino Linotype" w:cs="Palatino Linotype"/>
          <w:sz w:val="22"/>
          <w:szCs w:val="22"/>
        </w:rPr>
        <w:t xml:space="preserve">, por resultar fundadas las razones o motivos de inconformidad hechos valer por el Recurrente, en los Recursos de Revisión </w:t>
      </w:r>
      <w:r>
        <w:rPr>
          <w:rFonts w:ascii="Palatino Linotype" w:eastAsia="Palatino Linotype" w:hAnsi="Palatino Linotype" w:cs="Palatino Linotype"/>
          <w:b/>
          <w:sz w:val="22"/>
          <w:szCs w:val="22"/>
        </w:rPr>
        <w:t>01531/INFOEM/IP/RR/2024 y 01532/INFOEM/IP/RR/2024</w:t>
      </w:r>
      <w:r>
        <w:rPr>
          <w:rFonts w:ascii="Palatino Linotype" w:eastAsia="Palatino Linotype" w:hAnsi="Palatino Linotype" w:cs="Palatino Linotype"/>
          <w:sz w:val="22"/>
          <w:szCs w:val="22"/>
        </w:rPr>
        <w:t>, en términos de los considerandos QUINTO y SEXTO de la presente Resolución.</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tabs>
          <w:tab w:val="left" w:pos="7938"/>
        </w:tabs>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b/>
          <w:sz w:val="22"/>
          <w:szCs w:val="22"/>
        </w:rPr>
        <w:t>Hospital Regional de Alta Especialidad de Zumpango</w:t>
      </w:r>
      <w:r>
        <w:rPr>
          <w:rFonts w:ascii="Palatino Linotype" w:eastAsia="Palatino Linotype" w:hAnsi="Palatino Linotype" w:cs="Palatino Linotype"/>
          <w:sz w:val="22"/>
          <w:szCs w:val="22"/>
        </w:rPr>
        <w:t xml:space="preserve">, a efecto de que, previa búsqueda exhaustiva y razonable en los archivos de sus áreas competentes, </w:t>
      </w:r>
      <w:r>
        <w:rPr>
          <w:rFonts w:ascii="Palatino Linotype" w:eastAsia="Palatino Linotype" w:hAnsi="Palatino Linotype" w:cs="Palatino Linotype"/>
          <w:sz w:val="22"/>
          <w:szCs w:val="22"/>
        </w:rPr>
        <w:lastRenderedPageBreak/>
        <w:t>remita, a través del SAIMEX, de ser procedente en versión pública, los documentos en donde conste lo siguiente:</w:t>
      </w:r>
    </w:p>
    <w:p w:rsidR="001B5BAC" w:rsidRDefault="001B5BAC">
      <w:pPr>
        <w:tabs>
          <w:tab w:val="left" w:pos="7938"/>
        </w:tabs>
        <w:spacing w:line="360" w:lineRule="auto"/>
        <w:ind w:right="-93"/>
        <w:jc w:val="both"/>
        <w:rPr>
          <w:rFonts w:ascii="Palatino Linotype" w:eastAsia="Palatino Linotype" w:hAnsi="Palatino Linotype" w:cs="Palatino Linotype"/>
          <w:sz w:val="22"/>
          <w:szCs w:val="22"/>
        </w:rPr>
      </w:pPr>
    </w:p>
    <w:p w:rsidR="001B5BAC" w:rsidRDefault="00572112">
      <w:pPr>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Títulos de crédito y/o cuentas por cobrar que tenga del año dos mil diecinueve.</w:t>
      </w:r>
    </w:p>
    <w:p w:rsidR="001B5BAC" w:rsidRDefault="00572112">
      <w:pPr>
        <w:numPr>
          <w:ilvl w:val="0"/>
          <w:numId w:val="8"/>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Los títulos de crédito y/o adeudos que tengan servidores públicos, en enero de dos mil veinticuatro. </w:t>
      </w:r>
    </w:p>
    <w:p w:rsidR="001B5BAC" w:rsidRDefault="001B5BAC">
      <w:pPr>
        <w:tabs>
          <w:tab w:val="left" w:pos="7938"/>
        </w:tabs>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ser necesarias las versiones públicas,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el caso de que no cuente con la información que se ordena entregar en el punto 2 por no haberse generado, deberá de hacerlo de conocimiento del Particular de manera clara y precisa.</w:t>
      </w:r>
    </w:p>
    <w:p w:rsidR="001B5BAC" w:rsidRDefault="001B5BAC">
      <w:pPr>
        <w:spacing w:line="360" w:lineRule="auto"/>
        <w:ind w:right="-93"/>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w:t>
      </w:r>
      <w:r>
        <w:rPr>
          <w:rFonts w:ascii="Palatino Linotype" w:eastAsia="Palatino Linotype" w:hAnsi="Palatino Linotype" w:cs="Palatino Linotype"/>
          <w:b/>
          <w:color w:val="000000"/>
          <w:sz w:val="22"/>
          <w:szCs w:val="22"/>
        </w:rPr>
        <w:t>POR SAIMEX</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conformidad con el artículo 198 de la Ley de la materia, de considerarlo procedente, el Sujeto Obligado de manera fundada y motivada, podrá solicitar una ampliación de plazo para el cumplimiento de la presente resolución.</w:t>
      </w:r>
    </w:p>
    <w:p w:rsidR="001B5BAC" w:rsidRDefault="001B5BAC">
      <w:pPr>
        <w:spacing w:line="360" w:lineRule="auto"/>
        <w:jc w:val="both"/>
        <w:rPr>
          <w:rFonts w:ascii="Palatino Linotype" w:eastAsia="Palatino Linotype" w:hAnsi="Palatino Linotype" w:cs="Palatino Linotype"/>
          <w:color w:val="000000"/>
          <w:sz w:val="22"/>
          <w:szCs w:val="22"/>
        </w:rPr>
      </w:pPr>
    </w:p>
    <w:p w:rsidR="001B5BAC" w:rsidRDefault="0057211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CUARTO. NOTIFÍQUESE POR SAIMEX</w:t>
      </w:r>
      <w:r>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B5BAC" w:rsidRDefault="001B5BAC">
      <w:pPr>
        <w:spacing w:line="360" w:lineRule="auto"/>
        <w:jc w:val="both"/>
        <w:rPr>
          <w:rFonts w:ascii="Palatino Linotype" w:eastAsia="Palatino Linotype" w:hAnsi="Palatino Linotype" w:cs="Palatino Linotype"/>
          <w:sz w:val="22"/>
          <w:szCs w:val="22"/>
        </w:rPr>
      </w:pPr>
    </w:p>
    <w:p w:rsidR="001B5BAC" w:rsidRDefault="0057211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 xml:space="preserve">MAYORÍA </w:t>
      </w:r>
      <w:r>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w:t>
      </w:r>
      <w:r w:rsidR="00066CCB">
        <w:rPr>
          <w:rFonts w:ascii="Palatino Linotype" w:eastAsia="Palatino Linotype" w:hAnsi="Palatino Linotype" w:cs="Palatino Linotype"/>
          <w:sz w:val="22"/>
          <w:szCs w:val="22"/>
        </w:rPr>
        <w:t>AMÍREZ PEÑA CON VOTO DISIDENTE</w:t>
      </w:r>
      <w:r>
        <w:rPr>
          <w:rFonts w:ascii="Palatino Linotype" w:eastAsia="Palatino Linotype" w:hAnsi="Palatino Linotype" w:cs="Palatino Linotype"/>
          <w:sz w:val="22"/>
          <w:szCs w:val="22"/>
        </w:rPr>
        <w:t>, EN LA TRIGÉSIMA OCTAVA SESIÓN ORDINARIA, CELEBRADA EL SEIS DE NOVIEMBRE DE DOS MIL VEINTICUATRO, ANTE EL SECRETARIO TÉCNICO DEL PLENO, ALEXIS TAPIA RAMÍREZ.</w:t>
      </w: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p w:rsidR="001B5BAC" w:rsidRDefault="001B5BAC">
      <w:pPr>
        <w:spacing w:line="360" w:lineRule="auto"/>
        <w:jc w:val="both"/>
        <w:rPr>
          <w:rFonts w:ascii="Palatino Linotype" w:eastAsia="Palatino Linotype" w:hAnsi="Palatino Linotype" w:cs="Palatino Linotype"/>
          <w:sz w:val="22"/>
          <w:szCs w:val="22"/>
        </w:rPr>
      </w:pPr>
    </w:p>
    <w:sectPr w:rsidR="001B5BAC">
      <w:headerReference w:type="even" r:id="rId9"/>
      <w:headerReference w:type="default" r:id="rId10"/>
      <w:footerReference w:type="default" r:id="rId11"/>
      <w:headerReference w:type="first" r:id="rId12"/>
      <w:footerReference w:type="first" r:id="rId13"/>
      <w:pgSz w:w="12240" w:h="15840"/>
      <w:pgMar w:top="284"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AC" w:rsidRDefault="00C505AC">
      <w:r>
        <w:separator/>
      </w:r>
    </w:p>
  </w:endnote>
  <w:endnote w:type="continuationSeparator" w:id="0">
    <w:p w:rsidR="00C505AC" w:rsidRDefault="00C5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AC" w:rsidRDefault="0057211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5032E">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5032E">
      <w:rPr>
        <w:b/>
        <w:noProof/>
        <w:color w:val="000000"/>
        <w:sz w:val="24"/>
        <w:szCs w:val="24"/>
      </w:rPr>
      <w:t>39</w:t>
    </w:r>
    <w:r>
      <w:rPr>
        <w:b/>
        <w:color w:val="000000"/>
        <w:sz w:val="24"/>
        <w:szCs w:val="24"/>
      </w:rPr>
      <w:fldChar w:fldCharType="end"/>
    </w:r>
  </w:p>
  <w:p w:rsidR="001B5BAC" w:rsidRDefault="001B5BA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AC" w:rsidRDefault="0057211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5032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5032E">
      <w:rPr>
        <w:b/>
        <w:noProof/>
        <w:color w:val="000000"/>
        <w:sz w:val="24"/>
        <w:szCs w:val="24"/>
      </w:rPr>
      <w:t>39</w:t>
    </w:r>
    <w:r>
      <w:rPr>
        <w:b/>
        <w:color w:val="000000"/>
        <w:sz w:val="24"/>
        <w:szCs w:val="24"/>
      </w:rPr>
      <w:fldChar w:fldCharType="end"/>
    </w:r>
  </w:p>
  <w:p w:rsidR="001B5BAC" w:rsidRDefault="001B5BA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AC" w:rsidRDefault="00C505AC">
      <w:r>
        <w:separator/>
      </w:r>
    </w:p>
  </w:footnote>
  <w:footnote w:type="continuationSeparator" w:id="0">
    <w:p w:rsidR="00C505AC" w:rsidRDefault="00C50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AC" w:rsidRDefault="00C505A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AC" w:rsidRDefault="00066CCB">
    <w:pPr>
      <w:widowControl w:val="0"/>
      <w:pBdr>
        <w:top w:val="nil"/>
        <w:left w:val="nil"/>
        <w:bottom w:val="nil"/>
        <w:right w:val="nil"/>
        <w:between w:val="nil"/>
      </w:pBdr>
      <w:spacing w:line="276" w:lineRule="auto"/>
      <w:rPr>
        <w:color w:val="000000"/>
      </w:rPr>
    </w:pPr>
    <w:r>
      <w:rPr>
        <w:noProof/>
        <w:lang w:eastAsia="es-MX"/>
      </w:rPr>
      <w:drawing>
        <wp:anchor distT="0" distB="0" distL="0" distR="0" simplePos="0" relativeHeight="251656704" behindDoc="1" locked="0" layoutInCell="1" hidden="0" allowOverlap="1">
          <wp:simplePos x="0" y="0"/>
          <wp:positionH relativeFrom="margin">
            <wp:align>center</wp:align>
          </wp:positionH>
          <wp:positionV relativeFrom="paragraph">
            <wp:posOffset>-270510</wp:posOffset>
          </wp:positionV>
          <wp:extent cx="8426450" cy="10972800"/>
          <wp:effectExtent l="0" t="0" r="0" b="0"/>
          <wp:wrapNone/>
          <wp:docPr id="478543303" name="image2.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2.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9568" w:type="dxa"/>
      <w:tblInd w:w="0" w:type="dxa"/>
      <w:tblLayout w:type="fixed"/>
      <w:tblLook w:val="0400" w:firstRow="0" w:lastRow="0" w:firstColumn="0" w:lastColumn="0" w:noHBand="0" w:noVBand="1"/>
    </w:tblPr>
    <w:tblGrid>
      <w:gridCol w:w="2835"/>
      <w:gridCol w:w="6733"/>
    </w:tblGrid>
    <w:tr w:rsidR="001B5BAC">
      <w:trPr>
        <w:trHeight w:val="1435"/>
      </w:trPr>
      <w:tc>
        <w:tcPr>
          <w:tcW w:w="2835" w:type="dxa"/>
          <w:shd w:val="clear" w:color="auto" w:fill="auto"/>
        </w:tcPr>
        <w:p w:rsidR="001B5BAC" w:rsidRDefault="001B5BAC">
          <w:pPr>
            <w:tabs>
              <w:tab w:val="right" w:pos="4273"/>
            </w:tabs>
            <w:rPr>
              <w:rFonts w:ascii="Garamond" w:eastAsia="Garamond" w:hAnsi="Garamond" w:cs="Garamond"/>
              <w:sz w:val="16"/>
              <w:szCs w:val="16"/>
            </w:rPr>
          </w:pPr>
        </w:p>
      </w:tc>
      <w:tc>
        <w:tcPr>
          <w:tcW w:w="6733" w:type="dxa"/>
          <w:shd w:val="clear" w:color="auto" w:fill="auto"/>
        </w:tcPr>
        <w:p w:rsidR="001B5BAC" w:rsidRDefault="001B5BAC"/>
        <w:tbl>
          <w:tblPr>
            <w:tblStyle w:val="a0"/>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1B5BAC">
            <w:trPr>
              <w:trHeight w:val="144"/>
            </w:trPr>
            <w:tc>
              <w:tcPr>
                <w:tcW w:w="2589" w:type="dxa"/>
              </w:tcPr>
              <w:p w:rsidR="001B5BAC" w:rsidRDefault="005721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1B5BAC" w:rsidRDefault="00572112">
                <w:pPr>
                  <w:tabs>
                    <w:tab w:val="right" w:pos="8838"/>
                  </w:tabs>
                  <w:ind w:left="-106"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01531/INFOEM/IP/RR/2024 y acumulado</w:t>
                </w:r>
              </w:p>
            </w:tc>
          </w:tr>
          <w:tr w:rsidR="001B5BAC">
            <w:trPr>
              <w:trHeight w:val="283"/>
            </w:trPr>
            <w:tc>
              <w:tcPr>
                <w:tcW w:w="2589" w:type="dxa"/>
              </w:tcPr>
              <w:p w:rsidR="001B5BAC" w:rsidRDefault="005721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1B5BAC" w:rsidRDefault="00572112">
                <w:pPr>
                  <w:tabs>
                    <w:tab w:val="left" w:pos="2834"/>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Hospital Regional de Alta Especialidad de Zumpango</w:t>
                </w:r>
              </w:p>
            </w:tc>
          </w:tr>
          <w:tr w:rsidR="001B5BAC">
            <w:trPr>
              <w:trHeight w:val="283"/>
            </w:trPr>
            <w:tc>
              <w:tcPr>
                <w:tcW w:w="2589" w:type="dxa"/>
              </w:tcPr>
              <w:p w:rsidR="001B5BAC" w:rsidRDefault="0057211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1B5BAC" w:rsidRDefault="00572112">
                <w:pPr>
                  <w:tabs>
                    <w:tab w:val="right" w:pos="8838"/>
                  </w:tabs>
                  <w:ind w:left="-106"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1B5BAC" w:rsidRDefault="001B5BAC">
                <w:pPr>
                  <w:tabs>
                    <w:tab w:val="right" w:pos="8838"/>
                  </w:tabs>
                  <w:ind w:left="-106" w:right="171"/>
                  <w:jc w:val="both"/>
                  <w:rPr>
                    <w:rFonts w:ascii="Palatino Linotype" w:eastAsia="Palatino Linotype" w:hAnsi="Palatino Linotype" w:cs="Palatino Linotype"/>
                    <w:b/>
                    <w:sz w:val="22"/>
                    <w:szCs w:val="22"/>
                  </w:rPr>
                </w:pPr>
              </w:p>
            </w:tc>
          </w:tr>
        </w:tbl>
        <w:p w:rsidR="001B5BAC" w:rsidRDefault="001B5BAC">
          <w:pPr>
            <w:tabs>
              <w:tab w:val="right" w:pos="8838"/>
            </w:tabs>
            <w:ind w:left="-28"/>
            <w:jc w:val="both"/>
            <w:rPr>
              <w:rFonts w:ascii="Arial" w:eastAsia="Arial" w:hAnsi="Arial" w:cs="Arial"/>
              <w:b/>
              <w:sz w:val="22"/>
              <w:szCs w:val="22"/>
            </w:rPr>
          </w:pPr>
        </w:p>
      </w:tc>
    </w:tr>
  </w:tbl>
  <w:p w:rsidR="001B5BAC" w:rsidRDefault="001B5BAC">
    <w:pPr>
      <w:pBdr>
        <w:top w:val="nil"/>
        <w:left w:val="nil"/>
        <w:bottom w:val="nil"/>
        <w:right w:val="nil"/>
        <w:between w:val="nil"/>
      </w:pBdr>
      <w:tabs>
        <w:tab w:val="center" w:pos="4419"/>
        <w:tab w:val="right" w:pos="8838"/>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AC" w:rsidRDefault="001B5BAC">
    <w:pPr>
      <w:widowControl w:val="0"/>
      <w:pBdr>
        <w:top w:val="nil"/>
        <w:left w:val="nil"/>
        <w:bottom w:val="nil"/>
        <w:right w:val="nil"/>
        <w:between w:val="nil"/>
      </w:pBdr>
      <w:spacing w:line="276" w:lineRule="auto"/>
      <w:rPr>
        <w:color w:val="000000"/>
        <w:sz w:val="22"/>
        <w:szCs w:val="22"/>
      </w:rPr>
    </w:pPr>
  </w:p>
  <w:tbl>
    <w:tblPr>
      <w:tblStyle w:val="a1"/>
      <w:tblW w:w="9568" w:type="dxa"/>
      <w:tblInd w:w="0" w:type="dxa"/>
      <w:tblLayout w:type="fixed"/>
      <w:tblLook w:val="0400" w:firstRow="0" w:lastRow="0" w:firstColumn="0" w:lastColumn="0" w:noHBand="0" w:noVBand="1"/>
    </w:tblPr>
    <w:tblGrid>
      <w:gridCol w:w="2835"/>
      <w:gridCol w:w="6733"/>
    </w:tblGrid>
    <w:tr w:rsidR="001B5BAC">
      <w:trPr>
        <w:trHeight w:val="1435"/>
      </w:trPr>
      <w:tc>
        <w:tcPr>
          <w:tcW w:w="2835" w:type="dxa"/>
          <w:shd w:val="clear" w:color="auto" w:fill="auto"/>
        </w:tcPr>
        <w:p w:rsidR="001B5BAC" w:rsidRDefault="00572112">
          <w:pPr>
            <w:tabs>
              <w:tab w:val="right" w:pos="4273"/>
            </w:tabs>
            <w:rPr>
              <w:rFonts w:ascii="Garamond" w:eastAsia="Garamond" w:hAnsi="Garamond" w:cs="Garamond"/>
              <w:sz w:val="22"/>
              <w:szCs w:val="22"/>
            </w:rPr>
          </w:pPr>
          <w:r>
            <w:rPr>
              <w:noProof/>
              <w:lang w:eastAsia="es-MX"/>
            </w:rPr>
            <w:drawing>
              <wp:anchor distT="0" distB="0" distL="0" distR="0" simplePos="0" relativeHeight="251657728" behindDoc="1" locked="0" layoutInCell="1" hidden="0" allowOverlap="1">
                <wp:simplePos x="0" y="0"/>
                <wp:positionH relativeFrom="column">
                  <wp:posOffset>-1079500</wp:posOffset>
                </wp:positionH>
                <wp:positionV relativeFrom="paragraph">
                  <wp:posOffset>-600075</wp:posOffset>
                </wp:positionV>
                <wp:extent cx="8426450" cy="10972800"/>
                <wp:effectExtent l="0" t="0" r="0" b="0"/>
                <wp:wrapNone/>
                <wp:docPr id="478543302" name="image2.jpg" descr="WhatsApp Image 2020-08-13 at 10"/>
                <wp:cNvGraphicFramePr/>
                <a:graphic xmlns:a="http://schemas.openxmlformats.org/drawingml/2006/main">
                  <a:graphicData uri="http://schemas.openxmlformats.org/drawingml/2006/picture">
                    <pic:pic xmlns:pic="http://schemas.openxmlformats.org/drawingml/2006/picture">
                      <pic:nvPicPr>
                        <pic:cNvPr id="0" name="image2.jpg" descr="WhatsApp Image 2020-08-13 at 10"/>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6733" w:type="dxa"/>
          <w:shd w:val="clear" w:color="auto" w:fill="auto"/>
        </w:tcPr>
        <w:p w:rsidR="001B5BAC" w:rsidRDefault="001B5BA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1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9"/>
            <w:gridCol w:w="3543"/>
          </w:tblGrid>
          <w:tr w:rsidR="001B5BAC">
            <w:trPr>
              <w:trHeight w:val="144"/>
            </w:trPr>
            <w:tc>
              <w:tcPr>
                <w:tcW w:w="2589" w:type="dxa"/>
              </w:tcPr>
              <w:p w:rsidR="001B5BAC" w:rsidRDefault="0057211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tcPr>
              <w:p w:rsidR="001B5BAC" w:rsidRDefault="00572112">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01531/INFOEM/IP/RR/2024 y acumulado</w:t>
                </w:r>
              </w:p>
            </w:tc>
          </w:tr>
          <w:tr w:rsidR="001B5BAC">
            <w:trPr>
              <w:trHeight w:val="144"/>
            </w:trPr>
            <w:tc>
              <w:tcPr>
                <w:tcW w:w="2589" w:type="dxa"/>
              </w:tcPr>
              <w:p w:rsidR="001B5BAC" w:rsidRDefault="0057211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tcPr>
              <w:p w:rsidR="001B5BAC" w:rsidRDefault="00E51CF7">
                <w:pPr>
                  <w:tabs>
                    <w:tab w:val="left" w:pos="3122"/>
                    <w:tab w:val="right" w:pos="8838"/>
                  </w:tabs>
                  <w:ind w:left="-106" w:right="-105"/>
                  <w:jc w:val="both"/>
                  <w:rPr>
                    <w:rFonts w:ascii="Palatino Linotype" w:eastAsia="Palatino Linotype" w:hAnsi="Palatino Linotype" w:cs="Palatino Linotype"/>
                    <w:sz w:val="22"/>
                    <w:szCs w:val="22"/>
                  </w:rPr>
                </w:pPr>
                <w:r w:rsidRPr="00E51CF7">
                  <w:rPr>
                    <w:rFonts w:ascii="Palatino Linotype" w:eastAsia="Palatino Linotype" w:hAnsi="Palatino Linotype" w:cs="Palatino Linotype"/>
                    <w:sz w:val="22"/>
                    <w:szCs w:val="22"/>
                    <w:highlight w:val="black"/>
                  </w:rPr>
                  <w:t>XXXXXXXXXXXXXXX</w:t>
                </w:r>
              </w:p>
            </w:tc>
          </w:tr>
          <w:tr w:rsidR="001B5BAC">
            <w:trPr>
              <w:trHeight w:val="283"/>
            </w:trPr>
            <w:tc>
              <w:tcPr>
                <w:tcW w:w="2589" w:type="dxa"/>
              </w:tcPr>
              <w:p w:rsidR="001B5BAC" w:rsidRDefault="0057211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tcPr>
              <w:p w:rsidR="001B5BAC" w:rsidRDefault="00572112">
                <w:pPr>
                  <w:tabs>
                    <w:tab w:val="left" w:pos="2834"/>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Hospital Regional de Alta Especialidad de Zumpango</w:t>
                </w:r>
              </w:p>
            </w:tc>
          </w:tr>
          <w:tr w:rsidR="001B5BAC">
            <w:trPr>
              <w:trHeight w:val="283"/>
            </w:trPr>
            <w:tc>
              <w:tcPr>
                <w:tcW w:w="2589" w:type="dxa"/>
              </w:tcPr>
              <w:p w:rsidR="001B5BAC" w:rsidRDefault="0057211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43" w:type="dxa"/>
              </w:tcPr>
              <w:p w:rsidR="001B5BAC" w:rsidRDefault="00572112">
                <w:pPr>
                  <w:tabs>
                    <w:tab w:val="right" w:pos="8838"/>
                  </w:tabs>
                  <w:ind w:left="-106"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1B5BAC" w:rsidRDefault="001B5BAC">
                <w:pPr>
                  <w:tabs>
                    <w:tab w:val="right" w:pos="8838"/>
                  </w:tabs>
                  <w:ind w:left="-106" w:right="-105"/>
                  <w:jc w:val="both"/>
                  <w:rPr>
                    <w:rFonts w:ascii="Palatino Linotype" w:eastAsia="Palatino Linotype" w:hAnsi="Palatino Linotype" w:cs="Palatino Linotype"/>
                    <w:b/>
                    <w:sz w:val="22"/>
                    <w:szCs w:val="22"/>
                  </w:rPr>
                </w:pPr>
              </w:p>
            </w:tc>
          </w:tr>
        </w:tbl>
        <w:p w:rsidR="001B5BAC" w:rsidRDefault="001B5BAC">
          <w:pPr>
            <w:tabs>
              <w:tab w:val="right" w:pos="8838"/>
            </w:tabs>
            <w:ind w:left="-28"/>
            <w:jc w:val="both"/>
            <w:rPr>
              <w:rFonts w:ascii="Arial" w:eastAsia="Arial" w:hAnsi="Arial" w:cs="Arial"/>
              <w:b/>
              <w:sz w:val="22"/>
              <w:szCs w:val="22"/>
            </w:rPr>
          </w:pPr>
        </w:p>
      </w:tc>
    </w:tr>
  </w:tbl>
  <w:p w:rsidR="001B5BAC" w:rsidRDefault="001B5BAC">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028E"/>
    <w:multiLevelType w:val="multilevel"/>
    <w:tmpl w:val="6C8ED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37090"/>
    <w:multiLevelType w:val="multilevel"/>
    <w:tmpl w:val="3654C5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5413B"/>
    <w:multiLevelType w:val="multilevel"/>
    <w:tmpl w:val="601692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542AFC"/>
    <w:multiLevelType w:val="multilevel"/>
    <w:tmpl w:val="7D4A1E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7C4CBD"/>
    <w:multiLevelType w:val="multilevel"/>
    <w:tmpl w:val="52C4B15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D05949"/>
    <w:multiLevelType w:val="multilevel"/>
    <w:tmpl w:val="0D106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E87815"/>
    <w:multiLevelType w:val="multilevel"/>
    <w:tmpl w:val="458807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BB1093"/>
    <w:multiLevelType w:val="multilevel"/>
    <w:tmpl w:val="1A64CEC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A422A5B"/>
    <w:multiLevelType w:val="multilevel"/>
    <w:tmpl w:val="1EDE921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4"/>
  </w:num>
  <w:num w:numId="2">
    <w:abstractNumId w:val="7"/>
  </w:num>
  <w:num w:numId="3">
    <w:abstractNumId w:val="8"/>
  </w:num>
  <w:num w:numId="4">
    <w:abstractNumId w:val="2"/>
  </w:num>
  <w:num w:numId="5">
    <w:abstractNumId w:val="1"/>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AC"/>
    <w:rsid w:val="00066CCB"/>
    <w:rsid w:val="000B76F2"/>
    <w:rsid w:val="001B5BAC"/>
    <w:rsid w:val="00572112"/>
    <w:rsid w:val="0095032E"/>
    <w:rsid w:val="00C505AC"/>
    <w:rsid w:val="00E10B1E"/>
    <w:rsid w:val="00E51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66A7779-2DD8-4378-AF54-A81EAC32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F"/>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rPr>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 w:type="character" w:customStyle="1" w:styleId="Mencinsinresolver7">
    <w:name w:val="Mención sin resolver7"/>
    <w:basedOn w:val="Fuentedeprrafopredeter"/>
    <w:uiPriority w:val="99"/>
    <w:semiHidden/>
    <w:unhideWhenUsed/>
    <w:rsid w:val="007F4151"/>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5sL3GcoKDUoskFqf1n2Y9cbo2w==">CgMxLjAyCGguZ2pkZ3hzOAByITF5T0pqR2JVZ1VEZnNOTVVhXzZrSVZTUmpOM0JSTXRQMA==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9556</Words>
  <Characters>52562</Characters>
  <Application>Microsoft Office Word</Application>
  <DocSecurity>0</DocSecurity>
  <Lines>438</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INFOEM</cp:lastModifiedBy>
  <cp:revision>3</cp:revision>
  <dcterms:created xsi:type="dcterms:W3CDTF">2024-10-25T20:47:00Z</dcterms:created>
  <dcterms:modified xsi:type="dcterms:W3CDTF">2025-02-06T18:08:00Z</dcterms:modified>
</cp:coreProperties>
</file>