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095F4DD0" w:rsidR="00662C69" w:rsidRPr="001672EA" w:rsidRDefault="009B11D6" w:rsidP="00B31E90">
      <w:pPr>
        <w:tabs>
          <w:tab w:val="left" w:pos="3465"/>
        </w:tabs>
        <w:spacing w:line="360" w:lineRule="auto"/>
        <w:jc w:val="both"/>
        <w:rPr>
          <w:rFonts w:ascii="Palatino Linotype" w:hAnsi="Palatino Linotype"/>
          <w:color w:val="000000" w:themeColor="text1"/>
        </w:rPr>
      </w:pPr>
      <w:r w:rsidRPr="001672EA">
        <w:rPr>
          <w:rFonts w:ascii="Palatino Linotype" w:hAnsi="Palatino Linotype"/>
          <w:color w:val="000000" w:themeColor="text1"/>
        </w:rPr>
        <w:t>R</w:t>
      </w:r>
      <w:r w:rsidR="00662C69" w:rsidRPr="001672EA">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1672EA">
        <w:rPr>
          <w:rFonts w:ascii="Palatino Linotype" w:hAnsi="Palatino Linotype"/>
          <w:color w:val="000000" w:themeColor="text1"/>
        </w:rPr>
        <w:t>icipios, con</w:t>
      </w:r>
      <w:r w:rsidR="00662C69" w:rsidRPr="001672EA">
        <w:rPr>
          <w:rFonts w:ascii="Palatino Linotype" w:hAnsi="Palatino Linotype"/>
          <w:color w:val="000000" w:themeColor="text1"/>
        </w:rPr>
        <w:t xml:space="preserve"> </w:t>
      </w:r>
      <w:r w:rsidR="00485DB6" w:rsidRPr="001672EA">
        <w:rPr>
          <w:rFonts w:ascii="Palatino Linotype" w:hAnsi="Palatino Linotype"/>
          <w:color w:val="000000" w:themeColor="text1"/>
        </w:rPr>
        <w:t xml:space="preserve">domicilio </w:t>
      </w:r>
      <w:r w:rsidR="00662C69" w:rsidRPr="001672EA">
        <w:rPr>
          <w:rFonts w:ascii="Palatino Linotype" w:hAnsi="Palatino Linotype"/>
          <w:color w:val="000000" w:themeColor="text1"/>
        </w:rPr>
        <w:t xml:space="preserve">en Metepec, Estado de México; de </w:t>
      </w:r>
      <w:r w:rsidR="001A0B3A" w:rsidRPr="001672EA">
        <w:rPr>
          <w:rFonts w:ascii="Palatino Linotype" w:hAnsi="Palatino Linotype"/>
          <w:color w:val="000000" w:themeColor="text1"/>
        </w:rPr>
        <w:t xml:space="preserve">ocho (08) de febrero </w:t>
      </w:r>
      <w:r w:rsidR="003032CB" w:rsidRPr="001672EA">
        <w:rPr>
          <w:rFonts w:ascii="Palatino Linotype" w:hAnsi="Palatino Linotype"/>
          <w:color w:val="000000" w:themeColor="text1"/>
        </w:rPr>
        <w:t>de dos mil veinticuatro</w:t>
      </w:r>
      <w:r w:rsidR="00662C69" w:rsidRPr="001672EA">
        <w:rPr>
          <w:rFonts w:ascii="Palatino Linotype" w:hAnsi="Palatino Linotype"/>
          <w:color w:val="000000" w:themeColor="text1"/>
        </w:rPr>
        <w:t>.</w:t>
      </w:r>
    </w:p>
    <w:p w14:paraId="1181C59D" w14:textId="77777777" w:rsidR="00B31E90" w:rsidRPr="001672EA" w:rsidRDefault="00B31E90" w:rsidP="00B31E90">
      <w:pPr>
        <w:tabs>
          <w:tab w:val="left" w:pos="3465"/>
        </w:tabs>
        <w:spacing w:line="360" w:lineRule="auto"/>
        <w:jc w:val="both"/>
        <w:rPr>
          <w:rFonts w:ascii="Palatino Linotype" w:hAnsi="Palatino Linotype"/>
          <w:color w:val="000000" w:themeColor="text1"/>
        </w:rPr>
      </w:pPr>
    </w:p>
    <w:p w14:paraId="04F87235" w14:textId="6F3A00D1" w:rsidR="005F0007" w:rsidRPr="001672EA" w:rsidRDefault="00662C69" w:rsidP="00B31E90">
      <w:pPr>
        <w:spacing w:line="360" w:lineRule="auto"/>
        <w:jc w:val="both"/>
        <w:rPr>
          <w:rFonts w:ascii="Palatino Linotype" w:eastAsia="Times New Roman" w:hAnsi="Palatino Linotype" w:cs="Times New Roman"/>
          <w:color w:val="000000" w:themeColor="text1"/>
        </w:rPr>
      </w:pPr>
      <w:r w:rsidRPr="001672EA">
        <w:rPr>
          <w:rFonts w:ascii="Palatino Linotype" w:hAnsi="Palatino Linotype"/>
          <w:b/>
          <w:color w:val="000000" w:themeColor="text1"/>
        </w:rPr>
        <w:t>VISTO</w:t>
      </w:r>
      <w:r w:rsidRPr="001672EA">
        <w:rPr>
          <w:rFonts w:ascii="Palatino Linotype" w:hAnsi="Palatino Linotype"/>
          <w:color w:val="000000" w:themeColor="text1"/>
        </w:rPr>
        <w:t xml:space="preserve"> </w:t>
      </w:r>
      <w:r w:rsidR="00F25B61" w:rsidRPr="001672EA">
        <w:rPr>
          <w:rFonts w:ascii="Palatino Linotype" w:hAnsi="Palatino Linotype"/>
          <w:color w:val="000000" w:themeColor="text1"/>
        </w:rPr>
        <w:t>el</w:t>
      </w:r>
      <w:r w:rsidRPr="001672EA">
        <w:rPr>
          <w:rFonts w:ascii="Palatino Linotype" w:hAnsi="Palatino Linotype"/>
          <w:color w:val="000000" w:themeColor="text1"/>
        </w:rPr>
        <w:t xml:space="preserve"> expediente electrónico for</w:t>
      </w:r>
      <w:r w:rsidR="00D37494" w:rsidRPr="001672EA">
        <w:rPr>
          <w:rFonts w:ascii="Palatino Linotype" w:hAnsi="Palatino Linotype"/>
          <w:color w:val="000000" w:themeColor="text1"/>
        </w:rPr>
        <w:t>mado con motivo del</w:t>
      </w:r>
      <w:r w:rsidRPr="001672EA">
        <w:rPr>
          <w:rFonts w:ascii="Palatino Linotype" w:hAnsi="Palatino Linotype"/>
          <w:color w:val="000000" w:themeColor="text1"/>
        </w:rPr>
        <w:t xml:space="preserve"> recurso de revisión </w:t>
      </w:r>
      <w:r w:rsidR="001A0B3A" w:rsidRPr="001672EA">
        <w:rPr>
          <w:rFonts w:ascii="Palatino Linotype" w:hAnsi="Palatino Linotype"/>
          <w:b/>
          <w:bCs/>
          <w:color w:val="000000" w:themeColor="text1"/>
        </w:rPr>
        <w:t>08723/INFOEM/IP/RR/2022</w:t>
      </w:r>
      <w:r w:rsidR="005F1362" w:rsidRPr="001672EA">
        <w:rPr>
          <w:rFonts w:ascii="Palatino Linotype" w:eastAsia="Times New Roman" w:hAnsi="Palatino Linotype" w:cs="Arial"/>
          <w:bCs/>
          <w:color w:val="000000" w:themeColor="text1"/>
        </w:rPr>
        <w:t xml:space="preserve">, </w:t>
      </w:r>
      <w:r w:rsidR="006B31E7" w:rsidRPr="001672EA">
        <w:rPr>
          <w:rFonts w:ascii="Palatino Linotype" w:eastAsia="Times New Roman" w:hAnsi="Palatino Linotype" w:cs="Times New Roman"/>
          <w:color w:val="000000" w:themeColor="text1"/>
        </w:rPr>
        <w:t xml:space="preserve">interpuesto </w:t>
      </w:r>
      <w:r w:rsidR="003D03B5" w:rsidRPr="001672EA">
        <w:rPr>
          <w:rFonts w:ascii="Palatino Linotype" w:eastAsia="Times New Roman" w:hAnsi="Palatino Linotype" w:cs="Times New Roman"/>
          <w:color w:val="000000" w:themeColor="text1"/>
        </w:rPr>
        <w:t xml:space="preserve">por </w:t>
      </w:r>
      <w:r w:rsidR="000904F4">
        <w:rPr>
          <w:rFonts w:ascii="Palatino Linotype" w:eastAsia="Times New Roman" w:hAnsi="Palatino Linotype" w:cs="Times New Roman"/>
          <w:b/>
          <w:bCs/>
          <w:color w:val="000000" w:themeColor="text1"/>
        </w:rPr>
        <w:t xml:space="preserve">XXX </w:t>
      </w:r>
      <w:proofErr w:type="spellStart"/>
      <w:r w:rsidR="000904F4">
        <w:rPr>
          <w:rFonts w:ascii="Palatino Linotype" w:eastAsia="Times New Roman" w:hAnsi="Palatino Linotype" w:cs="Times New Roman"/>
          <w:b/>
          <w:bCs/>
          <w:color w:val="000000" w:themeColor="text1"/>
        </w:rPr>
        <w:t>XXX</w:t>
      </w:r>
      <w:proofErr w:type="spellEnd"/>
      <w:r w:rsidR="000904F4">
        <w:rPr>
          <w:rFonts w:ascii="Palatino Linotype" w:eastAsia="Times New Roman" w:hAnsi="Palatino Linotype" w:cs="Times New Roman"/>
          <w:b/>
          <w:bCs/>
          <w:color w:val="000000" w:themeColor="text1"/>
        </w:rPr>
        <w:t xml:space="preserve"> </w:t>
      </w:r>
      <w:proofErr w:type="spellStart"/>
      <w:r w:rsidR="000904F4">
        <w:rPr>
          <w:rFonts w:ascii="Palatino Linotype" w:eastAsia="Times New Roman" w:hAnsi="Palatino Linotype" w:cs="Times New Roman"/>
          <w:b/>
          <w:bCs/>
          <w:color w:val="000000" w:themeColor="text1"/>
        </w:rPr>
        <w:t>XXX</w:t>
      </w:r>
      <w:proofErr w:type="spellEnd"/>
      <w:r w:rsidR="003D03B5" w:rsidRPr="001672EA">
        <w:rPr>
          <w:rFonts w:ascii="Palatino Linotype" w:eastAsia="Times New Roman" w:hAnsi="Palatino Linotype" w:cs="Times New Roman"/>
          <w:color w:val="000000" w:themeColor="text1"/>
        </w:rPr>
        <w:t>, en lo sucesivo, el</w:t>
      </w:r>
      <w:r w:rsidR="00360789" w:rsidRPr="001672EA">
        <w:rPr>
          <w:rFonts w:ascii="Palatino Linotype" w:eastAsia="Times New Roman" w:hAnsi="Palatino Linotype" w:cs="Times New Roman"/>
          <w:color w:val="000000" w:themeColor="text1"/>
        </w:rPr>
        <w:t xml:space="preserve"> </w:t>
      </w:r>
      <w:r w:rsidR="006B31E7" w:rsidRPr="001672EA">
        <w:rPr>
          <w:rFonts w:ascii="Palatino Linotype" w:eastAsia="Times New Roman" w:hAnsi="Palatino Linotype" w:cs="Times New Roman"/>
          <w:b/>
          <w:bCs/>
          <w:color w:val="000000" w:themeColor="text1"/>
        </w:rPr>
        <w:t>RECURRENTE</w:t>
      </w:r>
      <w:r w:rsidR="00E647FF" w:rsidRPr="001672EA">
        <w:rPr>
          <w:rFonts w:ascii="Palatino Linotype" w:eastAsia="Times New Roman" w:hAnsi="Palatino Linotype" w:cs="Arial"/>
          <w:color w:val="000000" w:themeColor="text1"/>
        </w:rPr>
        <w:t>;</w:t>
      </w:r>
      <w:r w:rsidR="005F1362" w:rsidRPr="001672EA">
        <w:rPr>
          <w:rFonts w:ascii="Palatino Linotype" w:eastAsia="Times New Roman" w:hAnsi="Palatino Linotype" w:cs="Arial"/>
          <w:color w:val="000000" w:themeColor="text1"/>
        </w:rPr>
        <w:t xml:space="preserve"> en contra de la respuesta del</w:t>
      </w:r>
      <w:r w:rsidR="002C1007" w:rsidRPr="001672EA">
        <w:rPr>
          <w:rFonts w:ascii="Palatino Linotype" w:eastAsia="Times New Roman" w:hAnsi="Palatino Linotype" w:cs="Arial"/>
          <w:color w:val="000000" w:themeColor="text1"/>
        </w:rPr>
        <w:t xml:space="preserve"> </w:t>
      </w:r>
      <w:r w:rsidR="001A0B3A" w:rsidRPr="001672EA">
        <w:rPr>
          <w:rFonts w:ascii="Palatino Linotype" w:eastAsia="Times New Roman" w:hAnsi="Palatino Linotype" w:cs="Arial"/>
          <w:b/>
          <w:color w:val="000000" w:themeColor="text1"/>
        </w:rPr>
        <w:t>Ayuntamiento de Texcoco</w:t>
      </w:r>
      <w:r w:rsidR="009572EE" w:rsidRPr="001672EA">
        <w:rPr>
          <w:rFonts w:ascii="Palatino Linotype" w:eastAsia="Calibri" w:hAnsi="Palatino Linotype" w:cs="Arial"/>
          <w:color w:val="000000" w:themeColor="text1"/>
        </w:rPr>
        <w:t>,</w:t>
      </w:r>
      <w:r w:rsidR="005F1362" w:rsidRPr="001672EA">
        <w:rPr>
          <w:rFonts w:ascii="Palatino Linotype" w:eastAsia="Calibri" w:hAnsi="Palatino Linotype" w:cs="Arial"/>
          <w:color w:val="000000" w:themeColor="text1"/>
        </w:rPr>
        <w:t xml:space="preserve"> </w:t>
      </w:r>
      <w:r w:rsidR="00F17EFA" w:rsidRPr="001672EA">
        <w:rPr>
          <w:rFonts w:ascii="Palatino Linotype" w:eastAsia="Calibri" w:hAnsi="Palatino Linotype" w:cs="Arial"/>
          <w:color w:val="000000" w:themeColor="text1"/>
        </w:rPr>
        <w:t>en adelante,</w:t>
      </w:r>
      <w:r w:rsidR="00F17EFA" w:rsidRPr="001672EA">
        <w:rPr>
          <w:rFonts w:ascii="Palatino Linotype" w:eastAsia="Times New Roman" w:hAnsi="Palatino Linotype" w:cs="Times New Roman"/>
          <w:color w:val="000000" w:themeColor="text1"/>
        </w:rPr>
        <w:t xml:space="preserve"> </w:t>
      </w:r>
      <w:r w:rsidR="005F1362" w:rsidRPr="001672EA">
        <w:rPr>
          <w:rFonts w:ascii="Palatino Linotype" w:eastAsia="Times New Roman" w:hAnsi="Palatino Linotype" w:cs="Times New Roman"/>
          <w:color w:val="000000" w:themeColor="text1"/>
        </w:rPr>
        <w:t>el</w:t>
      </w:r>
      <w:r w:rsidR="005F1362" w:rsidRPr="001672EA">
        <w:rPr>
          <w:rFonts w:ascii="Palatino Linotype" w:eastAsia="Times New Roman" w:hAnsi="Palatino Linotype" w:cs="Times New Roman"/>
          <w:b/>
          <w:color w:val="000000" w:themeColor="text1"/>
        </w:rPr>
        <w:t xml:space="preserve"> SUJETO OBLIGADO</w:t>
      </w:r>
      <w:r w:rsidR="005F1362" w:rsidRPr="001672EA">
        <w:rPr>
          <w:rFonts w:ascii="Palatino Linotype" w:eastAsia="Times New Roman" w:hAnsi="Palatino Linotype" w:cs="Times New Roman"/>
          <w:color w:val="000000" w:themeColor="text1"/>
        </w:rPr>
        <w:t>,</w:t>
      </w:r>
      <w:r w:rsidR="005F1362" w:rsidRPr="001672EA">
        <w:rPr>
          <w:rFonts w:ascii="Palatino Linotype" w:eastAsia="Times New Roman" w:hAnsi="Palatino Linotype" w:cs="Times New Roman"/>
          <w:b/>
          <w:color w:val="000000" w:themeColor="text1"/>
        </w:rPr>
        <w:t xml:space="preserve"> </w:t>
      </w:r>
      <w:r w:rsidR="005F1362" w:rsidRPr="001672EA">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1672EA" w:rsidRDefault="009A593A" w:rsidP="00B31E90">
      <w:pPr>
        <w:spacing w:line="360" w:lineRule="auto"/>
        <w:jc w:val="both"/>
        <w:rPr>
          <w:rFonts w:ascii="Palatino Linotype" w:hAnsi="Palatino Linotype"/>
          <w:b/>
          <w:color w:val="000000" w:themeColor="text1"/>
        </w:rPr>
      </w:pPr>
    </w:p>
    <w:p w14:paraId="769E1410" w14:textId="22BD4846" w:rsidR="00587366" w:rsidRPr="001672EA"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1672EA">
        <w:rPr>
          <w:b/>
          <w:color w:val="000000" w:themeColor="text1"/>
        </w:rPr>
        <w:t>A</w:t>
      </w:r>
      <w:r w:rsidR="003D03B5" w:rsidRPr="001672EA">
        <w:rPr>
          <w:b/>
          <w:color w:val="000000" w:themeColor="text1"/>
        </w:rPr>
        <w:t xml:space="preserve"> </w:t>
      </w:r>
      <w:r w:rsidRPr="001672EA">
        <w:rPr>
          <w:b/>
          <w:color w:val="000000" w:themeColor="text1"/>
        </w:rPr>
        <w:t>N</w:t>
      </w:r>
      <w:r w:rsidR="003D03B5" w:rsidRPr="001672EA">
        <w:rPr>
          <w:b/>
          <w:color w:val="000000" w:themeColor="text1"/>
        </w:rPr>
        <w:t xml:space="preserve"> </w:t>
      </w:r>
      <w:r w:rsidRPr="001672EA">
        <w:rPr>
          <w:b/>
          <w:color w:val="000000" w:themeColor="text1"/>
        </w:rPr>
        <w:t>T</w:t>
      </w:r>
      <w:r w:rsidR="003D03B5" w:rsidRPr="001672EA">
        <w:rPr>
          <w:b/>
          <w:color w:val="000000" w:themeColor="text1"/>
        </w:rPr>
        <w:t xml:space="preserve"> </w:t>
      </w:r>
      <w:r w:rsidRPr="001672EA">
        <w:rPr>
          <w:b/>
          <w:color w:val="000000" w:themeColor="text1"/>
        </w:rPr>
        <w:t>E</w:t>
      </w:r>
      <w:r w:rsidR="003D03B5" w:rsidRPr="001672EA">
        <w:rPr>
          <w:b/>
          <w:color w:val="000000" w:themeColor="text1"/>
        </w:rPr>
        <w:t xml:space="preserve"> </w:t>
      </w:r>
      <w:r w:rsidRPr="001672EA">
        <w:rPr>
          <w:b/>
          <w:color w:val="000000" w:themeColor="text1"/>
        </w:rPr>
        <w:t>C</w:t>
      </w:r>
      <w:r w:rsidR="003D03B5" w:rsidRPr="001672EA">
        <w:rPr>
          <w:b/>
          <w:color w:val="000000" w:themeColor="text1"/>
        </w:rPr>
        <w:t xml:space="preserve"> </w:t>
      </w:r>
      <w:r w:rsidRPr="001672EA">
        <w:rPr>
          <w:b/>
          <w:color w:val="000000" w:themeColor="text1"/>
        </w:rPr>
        <w:t>E</w:t>
      </w:r>
      <w:r w:rsidR="003D03B5" w:rsidRPr="001672EA">
        <w:rPr>
          <w:b/>
          <w:color w:val="000000" w:themeColor="text1"/>
        </w:rPr>
        <w:t xml:space="preserve"> </w:t>
      </w:r>
      <w:r w:rsidRPr="001672EA">
        <w:rPr>
          <w:b/>
          <w:color w:val="000000" w:themeColor="text1"/>
        </w:rPr>
        <w:t>D</w:t>
      </w:r>
      <w:r w:rsidR="003D03B5" w:rsidRPr="001672EA">
        <w:rPr>
          <w:b/>
          <w:color w:val="000000" w:themeColor="text1"/>
        </w:rPr>
        <w:t xml:space="preserve"> </w:t>
      </w:r>
      <w:r w:rsidRPr="001672EA">
        <w:rPr>
          <w:b/>
          <w:color w:val="000000" w:themeColor="text1"/>
        </w:rPr>
        <w:t>E</w:t>
      </w:r>
      <w:r w:rsidR="003D03B5" w:rsidRPr="001672EA">
        <w:rPr>
          <w:b/>
          <w:color w:val="000000" w:themeColor="text1"/>
        </w:rPr>
        <w:t xml:space="preserve"> </w:t>
      </w:r>
      <w:r w:rsidRPr="001672EA">
        <w:rPr>
          <w:b/>
          <w:color w:val="000000" w:themeColor="text1"/>
        </w:rPr>
        <w:t>N</w:t>
      </w:r>
      <w:r w:rsidR="003D03B5" w:rsidRPr="001672EA">
        <w:rPr>
          <w:b/>
          <w:color w:val="000000" w:themeColor="text1"/>
        </w:rPr>
        <w:t xml:space="preserve"> </w:t>
      </w:r>
      <w:r w:rsidRPr="001672EA">
        <w:rPr>
          <w:b/>
          <w:color w:val="000000" w:themeColor="text1"/>
        </w:rPr>
        <w:t>T</w:t>
      </w:r>
      <w:r w:rsidR="003D03B5" w:rsidRPr="001672EA">
        <w:rPr>
          <w:b/>
          <w:color w:val="000000" w:themeColor="text1"/>
        </w:rPr>
        <w:t xml:space="preserve"> </w:t>
      </w:r>
      <w:r w:rsidRPr="001672EA">
        <w:rPr>
          <w:b/>
          <w:color w:val="000000" w:themeColor="text1"/>
        </w:rPr>
        <w:t>E</w:t>
      </w:r>
      <w:r w:rsidR="003D03B5" w:rsidRPr="001672EA">
        <w:rPr>
          <w:b/>
          <w:color w:val="000000" w:themeColor="text1"/>
        </w:rPr>
        <w:t xml:space="preserve"> </w:t>
      </w:r>
      <w:r w:rsidRPr="001672EA">
        <w:rPr>
          <w:b/>
          <w:color w:val="000000" w:themeColor="text1"/>
        </w:rPr>
        <w:t>S</w:t>
      </w:r>
      <w:bookmarkEnd w:id="0"/>
      <w:bookmarkEnd w:id="1"/>
      <w:bookmarkEnd w:id="2"/>
    </w:p>
    <w:p w14:paraId="5672105D" w14:textId="77777777" w:rsidR="00B31E90" w:rsidRPr="001672EA"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rPr>
      </w:pPr>
    </w:p>
    <w:p w14:paraId="402A4C0A" w14:textId="370F6842" w:rsidR="00D9392E" w:rsidRPr="001672EA"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1672EA">
        <w:rPr>
          <w:rFonts w:ascii="Palatino Linotype" w:eastAsia="Calibri" w:hAnsi="Palatino Linotype" w:cs="Arial"/>
          <w:color w:val="000000" w:themeColor="text1"/>
        </w:rPr>
        <w:t>El</w:t>
      </w:r>
      <w:r w:rsidR="00D9392E" w:rsidRPr="001672EA">
        <w:rPr>
          <w:rFonts w:ascii="Palatino Linotype" w:eastAsia="Calibri" w:hAnsi="Palatino Linotype" w:cs="Arial"/>
          <w:color w:val="000000" w:themeColor="text1"/>
        </w:rPr>
        <w:t xml:space="preserve"> </w:t>
      </w:r>
      <w:r w:rsidR="001A0B3A" w:rsidRPr="001672EA">
        <w:rPr>
          <w:rFonts w:ascii="Palatino Linotype" w:eastAsia="Calibri" w:hAnsi="Palatino Linotype" w:cs="Arial"/>
          <w:color w:val="000000" w:themeColor="text1"/>
        </w:rPr>
        <w:t>veintinueve (29</w:t>
      </w:r>
      <w:r w:rsidR="003032CB" w:rsidRPr="001672EA">
        <w:rPr>
          <w:rFonts w:ascii="Palatino Linotype" w:eastAsia="Calibri" w:hAnsi="Palatino Linotype" w:cs="Arial"/>
          <w:color w:val="000000" w:themeColor="text1"/>
        </w:rPr>
        <w:t xml:space="preserve">) de abril </w:t>
      </w:r>
      <w:r w:rsidR="00FE159E" w:rsidRPr="001672EA">
        <w:rPr>
          <w:rFonts w:ascii="Palatino Linotype" w:eastAsia="Calibri" w:hAnsi="Palatino Linotype" w:cs="Arial"/>
          <w:color w:val="000000" w:themeColor="text1"/>
        </w:rPr>
        <w:t>de dos mil veintidós</w:t>
      </w:r>
      <w:r w:rsidR="005F1362" w:rsidRPr="001672EA">
        <w:rPr>
          <w:rFonts w:ascii="Palatino Linotype" w:eastAsia="Calibri" w:hAnsi="Palatino Linotype" w:cs="Arial"/>
          <w:color w:val="000000" w:themeColor="text1"/>
        </w:rPr>
        <w:t xml:space="preserve">, </w:t>
      </w:r>
      <w:r w:rsidR="008C28BF" w:rsidRPr="001672EA">
        <w:rPr>
          <w:rFonts w:ascii="Palatino Linotype" w:eastAsia="Calibri" w:hAnsi="Palatino Linotype" w:cs="Arial"/>
          <w:color w:val="000000" w:themeColor="text1"/>
        </w:rPr>
        <w:t>el particular</w:t>
      </w:r>
      <w:r w:rsidR="005F1362" w:rsidRPr="001672EA">
        <w:rPr>
          <w:rFonts w:ascii="Palatino Linotype" w:hAnsi="Palatino Linotype"/>
          <w:color w:val="000000" w:themeColor="text1"/>
        </w:rPr>
        <w:t xml:space="preserve"> presentó</w:t>
      </w:r>
      <w:r w:rsidR="005F1362" w:rsidRPr="001672EA">
        <w:rPr>
          <w:rFonts w:ascii="Palatino Linotype" w:hAnsi="Palatino Linotype"/>
          <w:b/>
          <w:color w:val="000000" w:themeColor="text1"/>
        </w:rPr>
        <w:t xml:space="preserve"> </w:t>
      </w:r>
      <w:r w:rsidR="00127E68" w:rsidRPr="001672EA">
        <w:rPr>
          <w:rFonts w:ascii="Palatino Linotype" w:hAnsi="Palatino Linotype"/>
          <w:bCs/>
          <w:color w:val="000000" w:themeColor="text1"/>
        </w:rPr>
        <w:t>a través</w:t>
      </w:r>
      <w:r w:rsidR="00360789" w:rsidRPr="001672EA">
        <w:rPr>
          <w:rFonts w:ascii="Palatino Linotype" w:hAnsi="Palatino Linotype"/>
          <w:bCs/>
          <w:color w:val="000000" w:themeColor="text1"/>
        </w:rPr>
        <w:t xml:space="preserve"> </w:t>
      </w:r>
      <w:r w:rsidR="003032CB" w:rsidRPr="001672EA">
        <w:rPr>
          <w:rFonts w:ascii="Palatino Linotype" w:hAnsi="Palatino Linotype"/>
          <w:bCs/>
          <w:color w:val="000000" w:themeColor="text1"/>
        </w:rPr>
        <w:t>del</w:t>
      </w:r>
      <w:r w:rsidR="003D03B5" w:rsidRPr="001672EA">
        <w:rPr>
          <w:rFonts w:ascii="Palatino Linotype" w:hAnsi="Palatino Linotype"/>
          <w:bCs/>
          <w:color w:val="000000" w:themeColor="text1"/>
        </w:rPr>
        <w:t xml:space="preserve"> Sistema de Acceso a la Información Mexiquense</w:t>
      </w:r>
      <w:r w:rsidR="00360789" w:rsidRPr="001672EA">
        <w:rPr>
          <w:rFonts w:ascii="Palatino Linotype" w:hAnsi="Palatino Linotype"/>
          <w:bCs/>
          <w:color w:val="000000" w:themeColor="text1"/>
        </w:rPr>
        <w:t xml:space="preserve"> </w:t>
      </w:r>
      <w:r w:rsidR="003D03B5" w:rsidRPr="001672EA">
        <w:rPr>
          <w:rFonts w:ascii="Palatino Linotype" w:hAnsi="Palatino Linotype"/>
          <w:bCs/>
          <w:color w:val="000000" w:themeColor="text1"/>
        </w:rPr>
        <w:t>(</w:t>
      </w:r>
      <w:r w:rsidR="00360789" w:rsidRPr="001672EA">
        <w:rPr>
          <w:rFonts w:ascii="Palatino Linotype" w:hAnsi="Palatino Linotype"/>
          <w:bCs/>
          <w:color w:val="000000" w:themeColor="text1"/>
        </w:rPr>
        <w:t>SAIMEX</w:t>
      </w:r>
      <w:r w:rsidR="003D03B5" w:rsidRPr="001672EA">
        <w:rPr>
          <w:rFonts w:ascii="Palatino Linotype" w:hAnsi="Palatino Linotype"/>
          <w:bCs/>
          <w:color w:val="000000" w:themeColor="text1"/>
        </w:rPr>
        <w:t>)</w:t>
      </w:r>
      <w:r w:rsidR="005F1362" w:rsidRPr="001672EA">
        <w:rPr>
          <w:rFonts w:ascii="Palatino Linotype" w:eastAsia="Calibri" w:hAnsi="Palatino Linotype" w:cs="Arial"/>
          <w:color w:val="000000" w:themeColor="text1"/>
        </w:rPr>
        <w:t>, la solicitud de información pública registrada</w:t>
      </w:r>
      <w:r w:rsidR="00772245" w:rsidRPr="001672EA">
        <w:rPr>
          <w:rFonts w:ascii="Palatino Linotype" w:eastAsia="Calibri" w:hAnsi="Palatino Linotype" w:cs="Arial"/>
          <w:color w:val="000000" w:themeColor="text1"/>
        </w:rPr>
        <w:t xml:space="preserve"> con </w:t>
      </w:r>
      <w:r w:rsidR="00F25B61" w:rsidRPr="001672EA">
        <w:rPr>
          <w:rFonts w:ascii="Palatino Linotype" w:eastAsia="Calibri" w:hAnsi="Palatino Linotype" w:cs="Arial"/>
          <w:color w:val="000000" w:themeColor="text1"/>
        </w:rPr>
        <w:t>el</w:t>
      </w:r>
      <w:r w:rsidR="005F1362" w:rsidRPr="001672EA">
        <w:rPr>
          <w:rFonts w:ascii="Palatino Linotype" w:eastAsia="Calibri" w:hAnsi="Palatino Linotype" w:cs="Arial"/>
          <w:color w:val="000000" w:themeColor="text1"/>
        </w:rPr>
        <w:t xml:space="preserve"> número</w:t>
      </w:r>
      <w:r w:rsidR="00772245" w:rsidRPr="001672EA">
        <w:rPr>
          <w:rFonts w:ascii="Palatino Linotype" w:eastAsia="Calibri" w:hAnsi="Palatino Linotype" w:cs="Arial"/>
          <w:color w:val="000000" w:themeColor="text1"/>
        </w:rPr>
        <w:t xml:space="preserve"> </w:t>
      </w:r>
      <w:r w:rsidR="001A0B3A" w:rsidRPr="001672EA">
        <w:rPr>
          <w:rFonts w:ascii="Palatino Linotype" w:eastAsia="Calibri" w:hAnsi="Palatino Linotype" w:cs="Arial"/>
          <w:b/>
          <w:color w:val="000000" w:themeColor="text1"/>
        </w:rPr>
        <w:t>00224/TEXCOCO/IP/2022</w:t>
      </w:r>
      <w:r w:rsidR="005F1362" w:rsidRPr="001672EA">
        <w:rPr>
          <w:rFonts w:ascii="Palatino Linotype" w:hAnsi="Palatino Linotype"/>
          <w:b/>
          <w:bCs/>
          <w:color w:val="000000" w:themeColor="text1"/>
        </w:rPr>
        <w:t>,</w:t>
      </w:r>
      <w:r w:rsidR="00F25B61" w:rsidRPr="001672EA">
        <w:rPr>
          <w:rFonts w:ascii="Palatino Linotype" w:eastAsia="Calibri" w:hAnsi="Palatino Linotype" w:cs="Arial"/>
          <w:color w:val="000000" w:themeColor="text1"/>
        </w:rPr>
        <w:t xml:space="preserve"> mediante la</w:t>
      </w:r>
      <w:r w:rsidR="00772245" w:rsidRPr="001672EA">
        <w:rPr>
          <w:rFonts w:ascii="Palatino Linotype" w:eastAsia="Calibri" w:hAnsi="Palatino Linotype" w:cs="Arial"/>
          <w:color w:val="000000" w:themeColor="text1"/>
        </w:rPr>
        <w:t xml:space="preserve"> que </w:t>
      </w:r>
      <w:r w:rsidR="005F1362" w:rsidRPr="001672EA">
        <w:rPr>
          <w:rFonts w:ascii="Palatino Linotype" w:eastAsia="Calibri" w:hAnsi="Palatino Linotype" w:cs="Arial"/>
          <w:color w:val="000000" w:themeColor="text1"/>
        </w:rPr>
        <w:t>requirió</w:t>
      </w:r>
      <w:r w:rsidR="00022D89" w:rsidRPr="001672EA">
        <w:rPr>
          <w:rFonts w:ascii="Palatino Linotype" w:eastAsia="Calibri" w:hAnsi="Palatino Linotype" w:cs="Arial"/>
          <w:color w:val="000000" w:themeColor="text1"/>
        </w:rPr>
        <w:t xml:space="preserve"> lo siguiente</w:t>
      </w:r>
      <w:r w:rsidR="005F1362" w:rsidRPr="001672EA">
        <w:rPr>
          <w:rFonts w:ascii="Palatino Linotype" w:eastAsia="Calibri" w:hAnsi="Palatino Linotype" w:cs="Arial"/>
          <w:color w:val="000000" w:themeColor="text1"/>
        </w:rPr>
        <w:t>:</w:t>
      </w:r>
    </w:p>
    <w:p w14:paraId="76EB7490" w14:textId="77777777" w:rsidR="00B31E90" w:rsidRPr="001672EA"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0F96049C" w:rsidR="0097210F" w:rsidRPr="001672EA" w:rsidRDefault="003032CB" w:rsidP="003032CB">
      <w:pPr>
        <w:pStyle w:val="Prrafodelista"/>
        <w:spacing w:line="276" w:lineRule="auto"/>
        <w:ind w:left="567" w:right="567"/>
        <w:jc w:val="both"/>
        <w:rPr>
          <w:rFonts w:ascii="Palatino Linotype" w:hAnsi="Palatino Linotype"/>
          <w:color w:val="000000" w:themeColor="text1"/>
          <w:sz w:val="22"/>
          <w:szCs w:val="22"/>
        </w:rPr>
      </w:pPr>
      <w:r w:rsidRPr="001672EA">
        <w:rPr>
          <w:rFonts w:ascii="Palatino Linotype" w:hAnsi="Palatino Linotype"/>
          <w:i/>
          <w:color w:val="000000" w:themeColor="text1"/>
          <w:sz w:val="22"/>
          <w:szCs w:val="22"/>
        </w:rPr>
        <w:t xml:space="preserve"> </w:t>
      </w:r>
      <w:r w:rsidR="005F1362" w:rsidRPr="001672EA">
        <w:rPr>
          <w:rFonts w:ascii="Palatino Linotype" w:hAnsi="Palatino Linotype"/>
          <w:i/>
          <w:color w:val="000000" w:themeColor="text1"/>
          <w:sz w:val="22"/>
          <w:szCs w:val="22"/>
        </w:rPr>
        <w:t>“</w:t>
      </w:r>
      <w:r w:rsidR="001A0B3A" w:rsidRPr="001672EA">
        <w:rPr>
          <w:rFonts w:ascii="Palatino Linotype" w:hAnsi="Palatino Linotype"/>
          <w:i/>
          <w:color w:val="000000" w:themeColor="text1"/>
          <w:sz w:val="22"/>
          <w:szCs w:val="22"/>
        </w:rPr>
        <w:t xml:space="preserve">Solicito que me hagan entrega de un listado de los CONTRATOS DE OBRAS, BIENES Y SERVICIOS licitados en su municipio, tanto en adjudicación directa, licitación pública e invitación a cuando meses tres personas, de 2012 a la fecha más reciente, con los siguientes datos: A.-Institución B.-Nombre de la UC C.-Responsable de la UC D.-Código del expediente E.-Referencia del expediente F.-Título del expediente G.-Fundamento legal H.-Número del procedimiento I.-Fecha de fallo J.-Fecha de publicación K.-Tipo de contratación L.-Tipo de procedimiento M.-Título del contrato N.-Descripción del contrato O.-Importe del contrato P.-Convenio modificatorio Q.-RFC </w:t>
      </w:r>
      <w:proofErr w:type="spellStart"/>
      <w:r w:rsidR="001A0B3A" w:rsidRPr="001672EA">
        <w:rPr>
          <w:rFonts w:ascii="Palatino Linotype" w:hAnsi="Palatino Linotype"/>
          <w:i/>
          <w:color w:val="000000" w:themeColor="text1"/>
          <w:sz w:val="22"/>
          <w:szCs w:val="22"/>
        </w:rPr>
        <w:t>R.Proveedor</w:t>
      </w:r>
      <w:proofErr w:type="spellEnd"/>
      <w:r w:rsidR="001A0B3A" w:rsidRPr="001672EA">
        <w:rPr>
          <w:rFonts w:ascii="Palatino Linotype" w:hAnsi="Palatino Linotype"/>
          <w:i/>
          <w:color w:val="000000" w:themeColor="text1"/>
          <w:sz w:val="22"/>
          <w:szCs w:val="22"/>
        </w:rPr>
        <w:t xml:space="preserve"> o contratista S.-Dirección del anuncio . } También la lista de proveedores de 2012 a la fecha más reciente.</w:t>
      </w:r>
      <w:r w:rsidR="005F1362" w:rsidRPr="001672EA">
        <w:rPr>
          <w:rFonts w:ascii="Palatino Linotype" w:hAnsi="Palatino Linotype"/>
          <w:i/>
          <w:color w:val="000000" w:themeColor="text1"/>
          <w:sz w:val="22"/>
          <w:szCs w:val="22"/>
        </w:rPr>
        <w:t xml:space="preserve">” </w:t>
      </w:r>
      <w:r w:rsidR="005F1362" w:rsidRPr="001672EA">
        <w:rPr>
          <w:rFonts w:ascii="Palatino Linotype" w:hAnsi="Palatino Linotype"/>
          <w:color w:val="000000" w:themeColor="text1"/>
          <w:sz w:val="22"/>
          <w:szCs w:val="22"/>
        </w:rPr>
        <w:t>(Sic).</w:t>
      </w:r>
    </w:p>
    <w:p w14:paraId="65A03C8D" w14:textId="77777777" w:rsidR="005F1362" w:rsidRPr="001672EA" w:rsidRDefault="005F1362" w:rsidP="00B31E90">
      <w:pPr>
        <w:spacing w:line="360" w:lineRule="auto"/>
        <w:ind w:right="333"/>
        <w:jc w:val="both"/>
        <w:rPr>
          <w:rFonts w:ascii="Palatino Linotype" w:hAnsi="Palatino Linotype"/>
          <w:color w:val="000000" w:themeColor="text1"/>
        </w:rPr>
      </w:pPr>
    </w:p>
    <w:p w14:paraId="35BA18A9" w14:textId="4959D28C" w:rsidR="0039142B" w:rsidRPr="001672EA"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672EA">
        <w:rPr>
          <w:rFonts w:ascii="Palatino Linotype" w:eastAsia="Times New Roman" w:hAnsi="Palatino Linotype" w:cs="Arial"/>
          <w:color w:val="000000" w:themeColor="text1"/>
        </w:rPr>
        <w:lastRenderedPageBreak/>
        <w:t>Se hace constar</w:t>
      </w:r>
      <w:r w:rsidR="00E9022C" w:rsidRPr="001672EA">
        <w:rPr>
          <w:rFonts w:ascii="Palatino Linotype" w:eastAsia="Times New Roman" w:hAnsi="Palatino Linotype" w:cs="Arial"/>
          <w:color w:val="000000" w:themeColor="text1"/>
        </w:rPr>
        <w:t xml:space="preserve"> que </w:t>
      </w:r>
      <w:r w:rsidR="008C28BF" w:rsidRPr="001672EA">
        <w:rPr>
          <w:rFonts w:ascii="Palatino Linotype" w:eastAsia="Times New Roman" w:hAnsi="Palatino Linotype" w:cs="Arial"/>
          <w:color w:val="000000" w:themeColor="text1"/>
        </w:rPr>
        <w:t>el particular</w:t>
      </w:r>
      <w:r w:rsidR="00E9022C" w:rsidRPr="001672EA">
        <w:rPr>
          <w:rFonts w:ascii="Palatino Linotype" w:eastAsia="Times New Roman" w:hAnsi="Palatino Linotype" w:cs="Arial"/>
          <w:color w:val="000000" w:themeColor="text1"/>
        </w:rPr>
        <w:t xml:space="preserve"> </w:t>
      </w:r>
      <w:r w:rsidR="005F1362" w:rsidRPr="001672EA">
        <w:rPr>
          <w:rFonts w:ascii="Palatino Linotype" w:eastAsia="Times New Roman" w:hAnsi="Palatino Linotype" w:cs="Arial"/>
          <w:color w:val="000000" w:themeColor="text1"/>
        </w:rPr>
        <w:t>señaló como modalidad de entrega de la información</w:t>
      </w:r>
      <w:r w:rsidR="005F1362" w:rsidRPr="001672EA">
        <w:rPr>
          <w:rFonts w:ascii="Palatino Linotype" w:eastAsia="Times New Roman" w:hAnsi="Palatino Linotype" w:cs="Arial"/>
          <w:bCs/>
          <w:color w:val="000000" w:themeColor="text1"/>
        </w:rPr>
        <w:t>:</w:t>
      </w:r>
      <w:r w:rsidR="001E4152" w:rsidRPr="001672EA">
        <w:rPr>
          <w:rFonts w:ascii="Palatino Linotype" w:eastAsia="Times New Roman" w:hAnsi="Palatino Linotype" w:cs="Arial"/>
          <w:b/>
          <w:color w:val="000000" w:themeColor="text1"/>
        </w:rPr>
        <w:t xml:space="preserve"> </w:t>
      </w:r>
      <w:r w:rsidR="004F0BF4" w:rsidRPr="001672EA">
        <w:rPr>
          <w:rFonts w:ascii="Palatino Linotype" w:eastAsia="Times New Roman" w:hAnsi="Palatino Linotype" w:cs="Arial"/>
          <w:b/>
          <w:i/>
          <w:iCs/>
          <w:color w:val="000000" w:themeColor="text1"/>
        </w:rPr>
        <w:t>A través del SAIMEX</w:t>
      </w:r>
      <w:r w:rsidR="005B4B08" w:rsidRPr="001672EA">
        <w:rPr>
          <w:rFonts w:ascii="Palatino Linotype" w:eastAsia="Calibri" w:hAnsi="Palatino Linotype" w:cs="Arial"/>
          <w:color w:val="000000" w:themeColor="text1"/>
        </w:rPr>
        <w:t>.</w:t>
      </w:r>
    </w:p>
    <w:p w14:paraId="7C0BE992" w14:textId="77777777" w:rsidR="0027463A" w:rsidRPr="001672EA"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4D1F80FC" w:rsidR="0022448D" w:rsidRPr="001672EA" w:rsidRDefault="00C94D6B"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672EA">
        <w:rPr>
          <w:rFonts w:ascii="Palatino Linotype" w:eastAsia="MS Mincho" w:hAnsi="Palatino Linotype" w:cs="Times New Roman"/>
          <w:color w:val="000000" w:themeColor="text1"/>
        </w:rPr>
        <w:t>E</w:t>
      </w:r>
      <w:r w:rsidR="00B31E90" w:rsidRPr="001672EA">
        <w:rPr>
          <w:rFonts w:ascii="Palatino Linotype" w:eastAsia="MS Mincho" w:hAnsi="Palatino Linotype" w:cs="Times New Roman"/>
          <w:color w:val="000000" w:themeColor="text1"/>
        </w:rPr>
        <w:t xml:space="preserve">l </w:t>
      </w:r>
      <w:r w:rsidR="001A0B3A" w:rsidRPr="001672EA">
        <w:rPr>
          <w:rFonts w:ascii="Palatino Linotype" w:eastAsia="MS Mincho" w:hAnsi="Palatino Linotype" w:cs="Times New Roman"/>
          <w:color w:val="000000" w:themeColor="text1"/>
        </w:rPr>
        <w:t>diecinueve (19</w:t>
      </w:r>
      <w:r w:rsidR="003032CB" w:rsidRPr="001672EA">
        <w:rPr>
          <w:rFonts w:ascii="Palatino Linotype" w:eastAsia="MS Mincho" w:hAnsi="Palatino Linotype" w:cs="Times New Roman"/>
          <w:color w:val="000000" w:themeColor="text1"/>
        </w:rPr>
        <w:t xml:space="preserve">) de mayo </w:t>
      </w:r>
      <w:r w:rsidR="008C28BF" w:rsidRPr="001672EA">
        <w:rPr>
          <w:rFonts w:ascii="Palatino Linotype" w:eastAsia="MS Mincho" w:hAnsi="Palatino Linotype" w:cs="Times New Roman"/>
          <w:color w:val="000000" w:themeColor="text1"/>
        </w:rPr>
        <w:t>de dos mil veintidós</w:t>
      </w:r>
      <w:r w:rsidR="000411E2" w:rsidRPr="001672EA">
        <w:rPr>
          <w:rFonts w:ascii="Palatino Linotype" w:eastAsia="MS Mincho" w:hAnsi="Palatino Linotype" w:cs="Times New Roman"/>
          <w:color w:val="000000" w:themeColor="text1"/>
        </w:rPr>
        <w:t xml:space="preserve">, </w:t>
      </w:r>
      <w:r w:rsidR="000411E2" w:rsidRPr="001672EA">
        <w:rPr>
          <w:rFonts w:ascii="Palatino Linotype" w:hAnsi="Palatino Linotype"/>
          <w:color w:val="000000" w:themeColor="text1"/>
          <w:szCs w:val="14"/>
        </w:rPr>
        <w:t xml:space="preserve">el </w:t>
      </w:r>
      <w:r w:rsidR="000411E2" w:rsidRPr="001672EA">
        <w:rPr>
          <w:rFonts w:ascii="Palatino Linotype" w:hAnsi="Palatino Linotype"/>
          <w:b/>
          <w:color w:val="000000" w:themeColor="text1"/>
          <w:szCs w:val="14"/>
        </w:rPr>
        <w:t>SUJETO OBLIGADO</w:t>
      </w:r>
      <w:r w:rsidR="000411E2" w:rsidRPr="001672EA">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1672EA" w:rsidRDefault="009A593A" w:rsidP="00B31E90">
      <w:pPr>
        <w:pStyle w:val="Sinespaciado"/>
        <w:ind w:left="567" w:right="567"/>
        <w:jc w:val="right"/>
        <w:rPr>
          <w:rFonts w:ascii="Palatino Linotype" w:hAnsi="Palatino Linotype"/>
          <w:i/>
          <w:color w:val="000000" w:themeColor="text1"/>
          <w:lang w:val="es-MX" w:eastAsia="es-MX"/>
        </w:rPr>
      </w:pPr>
    </w:p>
    <w:p w14:paraId="730E5EC6" w14:textId="77777777" w:rsidR="001A0B3A" w:rsidRPr="001672EA" w:rsidRDefault="00F25B61" w:rsidP="001A0B3A">
      <w:pPr>
        <w:pStyle w:val="Sinespaciado"/>
        <w:spacing w:line="276" w:lineRule="auto"/>
        <w:ind w:left="567" w:right="567"/>
        <w:jc w:val="both"/>
        <w:rPr>
          <w:rFonts w:ascii="Palatino Linotype" w:hAnsi="Palatino Linotype"/>
          <w:i/>
          <w:color w:val="000000" w:themeColor="text1"/>
          <w:sz w:val="22"/>
          <w:szCs w:val="22"/>
          <w:lang w:val="es-MX" w:eastAsia="es-MX"/>
        </w:rPr>
      </w:pPr>
      <w:r w:rsidRPr="001672EA">
        <w:rPr>
          <w:rFonts w:ascii="Palatino Linotype" w:hAnsi="Palatino Linotype"/>
          <w:i/>
          <w:color w:val="000000" w:themeColor="text1"/>
          <w:sz w:val="22"/>
          <w:szCs w:val="22"/>
          <w:lang w:val="es-MX" w:eastAsia="es-MX"/>
        </w:rPr>
        <w:t xml:space="preserve"> </w:t>
      </w:r>
      <w:r w:rsidR="005F1362" w:rsidRPr="001672EA">
        <w:rPr>
          <w:rFonts w:ascii="Palatino Linotype" w:hAnsi="Palatino Linotype"/>
          <w:i/>
          <w:color w:val="000000" w:themeColor="text1"/>
          <w:sz w:val="22"/>
          <w:szCs w:val="22"/>
          <w:lang w:val="es-MX" w:eastAsia="es-MX"/>
        </w:rPr>
        <w:t>“</w:t>
      </w:r>
      <w:r w:rsidR="001A0B3A" w:rsidRPr="001672EA">
        <w:rPr>
          <w:rFonts w:ascii="Palatino Linotype" w:hAnsi="Palatino Linotype"/>
          <w:i/>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EDC662" w14:textId="77777777" w:rsidR="001A0B3A" w:rsidRPr="001672EA" w:rsidRDefault="001A0B3A" w:rsidP="001A0B3A">
      <w:pPr>
        <w:pStyle w:val="Sinespaciado"/>
        <w:spacing w:line="276" w:lineRule="auto"/>
        <w:ind w:left="567" w:right="567"/>
        <w:jc w:val="both"/>
        <w:rPr>
          <w:rFonts w:ascii="Palatino Linotype" w:hAnsi="Palatino Linotype"/>
          <w:i/>
          <w:color w:val="000000" w:themeColor="text1"/>
          <w:sz w:val="22"/>
          <w:szCs w:val="22"/>
          <w:lang w:val="es-MX" w:eastAsia="es-MX"/>
        </w:rPr>
      </w:pPr>
    </w:p>
    <w:p w14:paraId="0956C2B3" w14:textId="77777777" w:rsidR="001A0B3A" w:rsidRPr="001672EA" w:rsidRDefault="001A0B3A" w:rsidP="001A0B3A">
      <w:pPr>
        <w:pStyle w:val="Sinespaciado"/>
        <w:spacing w:line="276" w:lineRule="auto"/>
        <w:ind w:left="567" w:right="567"/>
        <w:jc w:val="both"/>
        <w:rPr>
          <w:rFonts w:ascii="Palatino Linotype" w:hAnsi="Palatino Linotype"/>
          <w:i/>
          <w:color w:val="000000" w:themeColor="text1"/>
          <w:sz w:val="22"/>
          <w:szCs w:val="22"/>
          <w:lang w:val="es-MX" w:eastAsia="es-MX"/>
        </w:rPr>
      </w:pPr>
      <w:r w:rsidRPr="001672EA">
        <w:rPr>
          <w:rFonts w:ascii="Palatino Linotype" w:hAnsi="Palatino Linotype"/>
          <w:i/>
          <w:color w:val="000000" w:themeColor="text1"/>
          <w:sz w:val="22"/>
          <w:szCs w:val="22"/>
          <w:lang w:val="es-MX" w:eastAsia="es-MX"/>
        </w:rPr>
        <w:t>Texcoco, México a 19 de Mayo de 2022 Folio de la solicitud: 000224/TEXCOCO/IP/2022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RENE JONATHAN SANDOVAL TINOCO Unidad de Transparencia Ayuntamiento de Texcoco</w:t>
      </w:r>
    </w:p>
    <w:p w14:paraId="61E08CB8" w14:textId="77777777" w:rsidR="001A0B3A" w:rsidRPr="001672EA" w:rsidRDefault="001A0B3A" w:rsidP="001A0B3A">
      <w:pPr>
        <w:pStyle w:val="Sinespaciado"/>
        <w:spacing w:line="276" w:lineRule="auto"/>
        <w:ind w:left="567" w:right="567"/>
        <w:jc w:val="both"/>
        <w:rPr>
          <w:rFonts w:ascii="Palatino Linotype" w:hAnsi="Palatino Linotype"/>
          <w:i/>
          <w:color w:val="000000" w:themeColor="text1"/>
          <w:sz w:val="22"/>
          <w:szCs w:val="22"/>
          <w:lang w:val="es-MX" w:eastAsia="es-MX"/>
        </w:rPr>
      </w:pPr>
    </w:p>
    <w:p w14:paraId="60780EBD" w14:textId="77777777" w:rsidR="001A0B3A" w:rsidRPr="001672EA" w:rsidRDefault="001A0B3A" w:rsidP="001A0B3A">
      <w:pPr>
        <w:pStyle w:val="Sinespaciado"/>
        <w:spacing w:line="276" w:lineRule="auto"/>
        <w:ind w:left="567" w:right="567"/>
        <w:jc w:val="both"/>
        <w:rPr>
          <w:rFonts w:ascii="Palatino Linotype" w:hAnsi="Palatino Linotype"/>
          <w:i/>
          <w:color w:val="000000" w:themeColor="text1"/>
          <w:sz w:val="22"/>
          <w:szCs w:val="22"/>
          <w:lang w:val="es-MX" w:eastAsia="es-MX"/>
        </w:rPr>
      </w:pPr>
      <w:r w:rsidRPr="001672EA">
        <w:rPr>
          <w:rFonts w:ascii="Palatino Linotype" w:hAnsi="Palatino Linotype"/>
          <w:i/>
          <w:color w:val="000000" w:themeColor="text1"/>
          <w:sz w:val="22"/>
          <w:szCs w:val="22"/>
          <w:lang w:val="es-MX" w:eastAsia="es-MX"/>
        </w:rPr>
        <w:t>ATENTAMENTE</w:t>
      </w:r>
    </w:p>
    <w:p w14:paraId="35A36DE0" w14:textId="78DA4DF6" w:rsidR="0039142B" w:rsidRPr="001672EA" w:rsidRDefault="001A0B3A" w:rsidP="001A0B3A">
      <w:pPr>
        <w:pStyle w:val="Sinespaciado"/>
        <w:spacing w:line="276" w:lineRule="auto"/>
        <w:ind w:left="567" w:right="567"/>
        <w:jc w:val="both"/>
        <w:rPr>
          <w:rFonts w:ascii="Palatino Linotype" w:hAnsi="Palatino Linotype"/>
          <w:color w:val="000000" w:themeColor="text1"/>
          <w:sz w:val="22"/>
          <w:szCs w:val="22"/>
          <w:lang w:val="es-MX" w:eastAsia="es-MX"/>
        </w:rPr>
      </w:pPr>
      <w:r w:rsidRPr="001672EA">
        <w:rPr>
          <w:rFonts w:ascii="Palatino Linotype" w:hAnsi="Palatino Linotype"/>
          <w:i/>
          <w:color w:val="000000" w:themeColor="text1"/>
          <w:sz w:val="22"/>
          <w:szCs w:val="22"/>
          <w:lang w:val="es-MX" w:eastAsia="es-MX"/>
        </w:rPr>
        <w:t>Lic. René Jonathan Sandoval Tinoco</w:t>
      </w:r>
      <w:r w:rsidR="005F1362" w:rsidRPr="001672EA">
        <w:rPr>
          <w:rFonts w:ascii="Palatino Linotype" w:hAnsi="Palatino Linotype"/>
          <w:i/>
          <w:color w:val="000000" w:themeColor="text1"/>
          <w:sz w:val="22"/>
          <w:szCs w:val="22"/>
          <w:lang w:val="es-MX" w:eastAsia="es-MX"/>
        </w:rPr>
        <w:t>”</w:t>
      </w:r>
      <w:r w:rsidR="00EB3DF7" w:rsidRPr="001672EA">
        <w:rPr>
          <w:rFonts w:ascii="Palatino Linotype" w:hAnsi="Palatino Linotype"/>
          <w:color w:val="000000" w:themeColor="text1"/>
          <w:sz w:val="22"/>
          <w:szCs w:val="22"/>
          <w:lang w:val="es-MX" w:eastAsia="es-MX"/>
        </w:rPr>
        <w:t xml:space="preserve"> (Sic.)</w:t>
      </w:r>
    </w:p>
    <w:p w14:paraId="2D68519B" w14:textId="77777777" w:rsidR="0097210F" w:rsidRPr="001672EA" w:rsidRDefault="0097210F" w:rsidP="009A593A">
      <w:pPr>
        <w:pStyle w:val="Sinespaciado"/>
        <w:ind w:right="567"/>
        <w:jc w:val="both"/>
        <w:rPr>
          <w:rFonts w:ascii="Palatino Linotype" w:hAnsi="Palatino Linotype"/>
          <w:color w:val="000000" w:themeColor="text1"/>
          <w:lang w:val="es-MX" w:eastAsia="es-MX"/>
        </w:rPr>
      </w:pPr>
    </w:p>
    <w:p w14:paraId="170BD45E" w14:textId="03ABD279" w:rsidR="00022D89" w:rsidRPr="001672EA"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672EA">
        <w:rPr>
          <w:rFonts w:ascii="Palatino Linotype" w:hAnsi="Palatino Linotype"/>
          <w:color w:val="000000" w:themeColor="text1"/>
          <w:szCs w:val="22"/>
        </w:rPr>
        <w:t xml:space="preserve">Adjunto </w:t>
      </w:r>
      <w:r w:rsidR="00E85FF3" w:rsidRPr="001672EA">
        <w:rPr>
          <w:rFonts w:ascii="Palatino Linotype" w:hAnsi="Palatino Linotype"/>
          <w:color w:val="000000" w:themeColor="text1"/>
          <w:szCs w:val="22"/>
        </w:rPr>
        <w:t>al acuse de respuesta</w:t>
      </w:r>
      <w:r w:rsidRPr="001672EA">
        <w:rPr>
          <w:rFonts w:ascii="Palatino Linotype" w:hAnsi="Palatino Linotype"/>
          <w:color w:val="000000" w:themeColor="text1"/>
          <w:szCs w:val="22"/>
        </w:rPr>
        <w:t xml:space="preserve">, el </w:t>
      </w:r>
      <w:r w:rsidRPr="001672EA">
        <w:rPr>
          <w:rFonts w:ascii="Palatino Linotype" w:hAnsi="Palatino Linotype"/>
          <w:b/>
          <w:bCs/>
          <w:color w:val="000000" w:themeColor="text1"/>
          <w:szCs w:val="22"/>
        </w:rPr>
        <w:t>SUJETO OBLIGADO</w:t>
      </w:r>
      <w:r w:rsidRPr="001672EA">
        <w:rPr>
          <w:rFonts w:ascii="Palatino Linotype" w:hAnsi="Palatino Linotype"/>
          <w:color w:val="000000" w:themeColor="text1"/>
          <w:szCs w:val="22"/>
        </w:rPr>
        <w:t xml:space="preserve"> entregó a</w:t>
      </w:r>
      <w:r w:rsidR="004F0BF4" w:rsidRPr="001672EA">
        <w:rPr>
          <w:rFonts w:ascii="Palatino Linotype" w:hAnsi="Palatino Linotype"/>
          <w:color w:val="000000" w:themeColor="text1"/>
          <w:szCs w:val="22"/>
        </w:rPr>
        <w:t xml:space="preserve"> </w:t>
      </w:r>
      <w:r w:rsidR="008C28BF" w:rsidRPr="001672EA">
        <w:rPr>
          <w:rFonts w:ascii="Palatino Linotype" w:hAnsi="Palatino Linotype"/>
          <w:color w:val="000000" w:themeColor="text1"/>
          <w:szCs w:val="22"/>
        </w:rPr>
        <w:t>el particular</w:t>
      </w:r>
      <w:r w:rsidRPr="001672EA">
        <w:rPr>
          <w:rFonts w:ascii="Palatino Linotype" w:hAnsi="Palatino Linotype"/>
          <w:color w:val="000000" w:themeColor="text1"/>
          <w:szCs w:val="22"/>
        </w:rPr>
        <w:t xml:space="preserve"> </w:t>
      </w:r>
      <w:r w:rsidR="001A0B3A" w:rsidRPr="001672EA">
        <w:rPr>
          <w:rFonts w:ascii="Palatino Linotype" w:hAnsi="Palatino Linotype"/>
          <w:color w:val="000000" w:themeColor="text1"/>
          <w:szCs w:val="22"/>
        </w:rPr>
        <w:t>siete archivos electrónicos</w:t>
      </w:r>
      <w:r w:rsidR="004F0BF4" w:rsidRPr="001672EA">
        <w:rPr>
          <w:rFonts w:ascii="Palatino Linotype" w:hAnsi="Palatino Linotype"/>
          <w:color w:val="000000" w:themeColor="text1"/>
          <w:szCs w:val="22"/>
        </w:rPr>
        <w:t>, cu</w:t>
      </w:r>
      <w:r w:rsidR="003032CB" w:rsidRPr="001672EA">
        <w:rPr>
          <w:rFonts w:ascii="Palatino Linotype" w:hAnsi="Palatino Linotype"/>
          <w:color w:val="000000" w:themeColor="text1"/>
          <w:szCs w:val="22"/>
        </w:rPr>
        <w:t>yo nombre y contenido se resume</w:t>
      </w:r>
      <w:r w:rsidR="004F0BF4" w:rsidRPr="001672EA">
        <w:rPr>
          <w:rFonts w:ascii="Palatino Linotype" w:hAnsi="Palatino Linotype"/>
          <w:color w:val="000000" w:themeColor="text1"/>
          <w:szCs w:val="22"/>
        </w:rPr>
        <w:t xml:space="preserve"> a continuación:</w:t>
      </w:r>
    </w:p>
    <w:p w14:paraId="49FFFD70" w14:textId="5D14F2B5" w:rsidR="004F0BF4" w:rsidRPr="001672EA" w:rsidRDefault="004F0BF4" w:rsidP="004F0BF4">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672EA">
        <w:rPr>
          <w:rFonts w:ascii="Palatino Linotype" w:hAnsi="Palatino Linotype"/>
          <w:b/>
          <w:bCs/>
          <w:i/>
          <w:iCs/>
          <w:color w:val="000000" w:themeColor="text1"/>
          <w:szCs w:val="22"/>
        </w:rPr>
        <w:t>“</w:t>
      </w:r>
      <w:r w:rsidR="001A0B3A" w:rsidRPr="001672EA">
        <w:rPr>
          <w:rFonts w:ascii="Palatino Linotype" w:hAnsi="Palatino Linotype"/>
          <w:b/>
          <w:bCs/>
          <w:i/>
          <w:iCs/>
          <w:color w:val="000000" w:themeColor="text1"/>
          <w:szCs w:val="22"/>
        </w:rPr>
        <w:t>RESPUESTA SOLICITUD 224-2022</w:t>
      </w:r>
      <w:r w:rsidR="003D03B5" w:rsidRPr="001672EA">
        <w:rPr>
          <w:rFonts w:ascii="Palatino Linotype" w:hAnsi="Palatino Linotype"/>
          <w:b/>
          <w:bCs/>
          <w:i/>
          <w:iCs/>
          <w:color w:val="000000" w:themeColor="text1"/>
          <w:szCs w:val="22"/>
        </w:rPr>
        <w:t>.pdf</w:t>
      </w:r>
      <w:r w:rsidRPr="001672EA">
        <w:rPr>
          <w:rFonts w:ascii="Palatino Linotype" w:hAnsi="Palatino Linotype"/>
          <w:b/>
          <w:bCs/>
          <w:i/>
          <w:iCs/>
          <w:color w:val="000000" w:themeColor="text1"/>
          <w:szCs w:val="22"/>
        </w:rPr>
        <w:t>”</w:t>
      </w:r>
      <w:r w:rsidRPr="001672EA">
        <w:rPr>
          <w:rFonts w:ascii="Palatino Linotype" w:hAnsi="Palatino Linotype"/>
          <w:color w:val="000000" w:themeColor="text1"/>
          <w:szCs w:val="22"/>
        </w:rPr>
        <w:t xml:space="preserve">: Documento </w:t>
      </w:r>
      <w:r w:rsidR="00FD03CC" w:rsidRPr="001672EA">
        <w:rPr>
          <w:rFonts w:ascii="Palatino Linotype" w:hAnsi="Palatino Linotype"/>
          <w:color w:val="000000" w:themeColor="text1"/>
          <w:szCs w:val="22"/>
        </w:rPr>
        <w:t xml:space="preserve">de tres hojas consistente en el oficio de diecinueve (19) de mayo de dos mil veintidós, sin folio único de identificación, emitido por el Titular de la Unidad de Transparencia, dirigido al entonces </w:t>
      </w:r>
      <w:r w:rsidR="00FD03CC" w:rsidRPr="001672EA">
        <w:rPr>
          <w:rFonts w:ascii="Palatino Linotype" w:hAnsi="Palatino Linotype"/>
          <w:b/>
          <w:color w:val="000000" w:themeColor="text1"/>
          <w:szCs w:val="22"/>
        </w:rPr>
        <w:t>SOLICITANTE</w:t>
      </w:r>
      <w:r w:rsidR="00FD03CC" w:rsidRPr="001672EA">
        <w:rPr>
          <w:rFonts w:ascii="Palatino Linotype" w:hAnsi="Palatino Linotype"/>
          <w:color w:val="000000" w:themeColor="text1"/>
          <w:szCs w:val="22"/>
        </w:rPr>
        <w:t xml:space="preserve">, por el que informó que no se localizó información en el Archivo Histórico de Obra Pública </w:t>
      </w:r>
      <w:r w:rsidR="00FD03CC" w:rsidRPr="001672EA">
        <w:rPr>
          <w:rFonts w:ascii="Palatino Linotype" w:hAnsi="Palatino Linotype"/>
          <w:color w:val="000000" w:themeColor="text1"/>
          <w:szCs w:val="22"/>
        </w:rPr>
        <w:lastRenderedPageBreak/>
        <w:t>desde el dos mil doce, pues su origen no tiene un periodo mayor a cinco años.</w:t>
      </w:r>
    </w:p>
    <w:p w14:paraId="53BD101D" w14:textId="2B438340" w:rsidR="001A0B3A" w:rsidRPr="001672EA" w:rsidRDefault="001A0B3A" w:rsidP="001A0B3A">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672EA">
        <w:rPr>
          <w:rFonts w:ascii="Palatino Linotype" w:hAnsi="Palatino Linotype"/>
          <w:b/>
          <w:bCs/>
          <w:i/>
          <w:iCs/>
          <w:color w:val="000000" w:themeColor="text1"/>
          <w:szCs w:val="22"/>
        </w:rPr>
        <w:t>“LISTA DE PROVEEDORES 2021.pdf”</w:t>
      </w:r>
      <w:r w:rsidRPr="001672EA">
        <w:rPr>
          <w:rFonts w:ascii="Palatino Linotype" w:hAnsi="Palatino Linotype"/>
          <w:color w:val="000000" w:themeColor="text1"/>
          <w:szCs w:val="22"/>
        </w:rPr>
        <w:t xml:space="preserve">: Documento </w:t>
      </w:r>
      <w:r w:rsidR="00FD03CC" w:rsidRPr="001672EA">
        <w:rPr>
          <w:rFonts w:ascii="Palatino Linotype" w:hAnsi="Palatino Linotype"/>
          <w:color w:val="000000" w:themeColor="text1"/>
          <w:szCs w:val="22"/>
        </w:rPr>
        <w:t>de dos fojas consistente en el Padrón de Proveedores vigente en el ejercicio dos mil veintiuno, consistente de 46 registros.</w:t>
      </w:r>
    </w:p>
    <w:p w14:paraId="17201D6D" w14:textId="4A74E1E0" w:rsidR="001A0B3A" w:rsidRPr="001672EA" w:rsidRDefault="001A0B3A" w:rsidP="001A0B3A">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672EA">
        <w:rPr>
          <w:rFonts w:ascii="Palatino Linotype" w:hAnsi="Palatino Linotype"/>
          <w:b/>
          <w:bCs/>
          <w:i/>
          <w:iCs/>
          <w:color w:val="000000" w:themeColor="text1"/>
          <w:szCs w:val="22"/>
        </w:rPr>
        <w:t>“OBRAS 2021 TRS.pdf”</w:t>
      </w:r>
      <w:r w:rsidRPr="001672EA">
        <w:rPr>
          <w:rFonts w:ascii="Palatino Linotype" w:hAnsi="Palatino Linotype"/>
          <w:color w:val="000000" w:themeColor="text1"/>
          <w:szCs w:val="22"/>
        </w:rPr>
        <w:t xml:space="preserve">: Documento </w:t>
      </w:r>
      <w:r w:rsidR="00FD03CC" w:rsidRPr="001672EA">
        <w:rPr>
          <w:rFonts w:ascii="Palatino Linotype" w:hAnsi="Palatino Linotype"/>
          <w:color w:val="000000" w:themeColor="text1"/>
          <w:szCs w:val="22"/>
        </w:rPr>
        <w:t>de ocho fojas, consistente en la Relación de Obras Públicas reportadas durante el dos mil veintiuno, donde se advierte el nombre de la obra, número de contrato, ubicación, tipo de adjudicación, empresa, RFC y monto contratado.</w:t>
      </w:r>
    </w:p>
    <w:p w14:paraId="46159FDC" w14:textId="72BEF174" w:rsidR="001A0B3A" w:rsidRPr="001672EA" w:rsidRDefault="001A0B3A" w:rsidP="001A0B3A">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672EA">
        <w:rPr>
          <w:rFonts w:ascii="Palatino Linotype" w:hAnsi="Palatino Linotype"/>
          <w:b/>
          <w:bCs/>
          <w:i/>
          <w:iCs/>
          <w:color w:val="000000" w:themeColor="text1"/>
          <w:szCs w:val="22"/>
        </w:rPr>
        <w:t>“OBRAS 2020 TRS.pdf”</w:t>
      </w:r>
      <w:r w:rsidRPr="001672EA">
        <w:rPr>
          <w:rFonts w:ascii="Palatino Linotype" w:hAnsi="Palatino Linotype"/>
          <w:color w:val="000000" w:themeColor="text1"/>
          <w:szCs w:val="22"/>
        </w:rPr>
        <w:t xml:space="preserve">: Documento </w:t>
      </w:r>
      <w:r w:rsidR="00FD03CC" w:rsidRPr="001672EA">
        <w:rPr>
          <w:rFonts w:ascii="Palatino Linotype" w:hAnsi="Palatino Linotype"/>
          <w:color w:val="000000" w:themeColor="text1"/>
          <w:szCs w:val="22"/>
        </w:rPr>
        <w:t>de ocho fojas, consistente en la Relación de Obras Públicas reportadas durante el dos mil veinte, donde se advierte el nombre de la obra, número de contrato, ubicación, tipo de adjudicación, empresa, RFC y monto contratado.</w:t>
      </w:r>
    </w:p>
    <w:p w14:paraId="46A29CC7" w14:textId="5233454B" w:rsidR="001A0B3A" w:rsidRPr="001672EA" w:rsidRDefault="001A0B3A" w:rsidP="001A0B3A">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672EA">
        <w:rPr>
          <w:rFonts w:ascii="Palatino Linotype" w:hAnsi="Palatino Linotype"/>
          <w:b/>
          <w:bCs/>
          <w:i/>
          <w:iCs/>
          <w:color w:val="000000" w:themeColor="text1"/>
          <w:szCs w:val="22"/>
        </w:rPr>
        <w:t>“OBRAS 2019 TRS.pdf”</w:t>
      </w:r>
      <w:r w:rsidRPr="001672EA">
        <w:rPr>
          <w:rFonts w:ascii="Palatino Linotype" w:hAnsi="Palatino Linotype"/>
          <w:color w:val="000000" w:themeColor="text1"/>
          <w:szCs w:val="22"/>
        </w:rPr>
        <w:t xml:space="preserve">: Documento </w:t>
      </w:r>
      <w:r w:rsidR="00FD03CC" w:rsidRPr="001672EA">
        <w:rPr>
          <w:rFonts w:ascii="Palatino Linotype" w:hAnsi="Palatino Linotype"/>
          <w:color w:val="000000" w:themeColor="text1"/>
          <w:szCs w:val="22"/>
        </w:rPr>
        <w:t>de ocho fojas, consistente en la Relación de Obras Públicas reportadas durante el dos mil diecinueve, donde se advierte el nombre de la obra, número de contrato, ubicación, tipo de adjudicación, empresa, RFC y monto contratado.</w:t>
      </w:r>
    </w:p>
    <w:p w14:paraId="676560AC" w14:textId="68CF4D75" w:rsidR="001A0B3A" w:rsidRPr="001672EA" w:rsidRDefault="001A0B3A" w:rsidP="001A0B3A">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672EA">
        <w:rPr>
          <w:rFonts w:ascii="Palatino Linotype" w:hAnsi="Palatino Linotype"/>
          <w:b/>
          <w:bCs/>
          <w:i/>
          <w:iCs/>
          <w:color w:val="000000" w:themeColor="text1"/>
          <w:szCs w:val="22"/>
        </w:rPr>
        <w:t>“OBRAS 2018 TRS.pdf”</w:t>
      </w:r>
      <w:r w:rsidRPr="001672EA">
        <w:rPr>
          <w:rFonts w:ascii="Palatino Linotype" w:hAnsi="Palatino Linotype"/>
          <w:color w:val="000000" w:themeColor="text1"/>
          <w:szCs w:val="22"/>
        </w:rPr>
        <w:t xml:space="preserve">: Documento </w:t>
      </w:r>
      <w:r w:rsidR="00FD03CC" w:rsidRPr="001672EA">
        <w:rPr>
          <w:rFonts w:ascii="Palatino Linotype" w:hAnsi="Palatino Linotype"/>
          <w:color w:val="000000" w:themeColor="text1"/>
          <w:szCs w:val="22"/>
        </w:rPr>
        <w:t>de ocho fojas, consistente en la Relación de Obras Públicas reportadas durante el dos mil dieciocho, donde se advierte el nombre de la obra, número de contrato, ubicación, tipo de adjudicación, empresa, RFC y monto contratado.</w:t>
      </w:r>
    </w:p>
    <w:p w14:paraId="373A9348" w14:textId="6A4E14C3" w:rsidR="001A0B3A" w:rsidRPr="001672EA" w:rsidRDefault="001A0B3A" w:rsidP="001A0B3A">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1672EA">
        <w:rPr>
          <w:rFonts w:ascii="Palatino Linotype" w:hAnsi="Palatino Linotype"/>
          <w:b/>
          <w:bCs/>
          <w:i/>
          <w:iCs/>
          <w:color w:val="000000" w:themeColor="text1"/>
          <w:szCs w:val="22"/>
        </w:rPr>
        <w:t>“OBRAS 2017 TRS.pdf”</w:t>
      </w:r>
      <w:r w:rsidRPr="001672EA">
        <w:rPr>
          <w:rFonts w:ascii="Palatino Linotype" w:hAnsi="Palatino Linotype"/>
          <w:color w:val="000000" w:themeColor="text1"/>
          <w:szCs w:val="22"/>
        </w:rPr>
        <w:t xml:space="preserve">: Documento </w:t>
      </w:r>
      <w:r w:rsidR="00FD03CC" w:rsidRPr="001672EA">
        <w:rPr>
          <w:rFonts w:ascii="Palatino Linotype" w:hAnsi="Palatino Linotype"/>
          <w:color w:val="000000" w:themeColor="text1"/>
          <w:szCs w:val="22"/>
        </w:rPr>
        <w:t>de 11 fojas, consistente en la Relación de Obras Públicas reportadas durante el dos mil dos mil diecisiete, donde se advierte el nombre de la obra, número de contrato, ubicación, proceso de adjudicación, empresa y monto contratado.</w:t>
      </w:r>
    </w:p>
    <w:p w14:paraId="18538835" w14:textId="77777777" w:rsidR="00FE159E" w:rsidRPr="001672EA" w:rsidRDefault="00FE159E" w:rsidP="00B67B60">
      <w:pPr>
        <w:spacing w:line="360" w:lineRule="auto"/>
        <w:jc w:val="both"/>
        <w:rPr>
          <w:rFonts w:ascii="Palatino Linotype" w:hAnsi="Palatino Linotype" w:cs="Arial"/>
        </w:rPr>
      </w:pPr>
    </w:p>
    <w:p w14:paraId="272B63B3" w14:textId="6981BFEE" w:rsidR="000D5A1D" w:rsidRPr="001672EA" w:rsidRDefault="008C28BF"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672EA">
        <w:rPr>
          <w:rFonts w:ascii="Palatino Linotype" w:eastAsia="Times New Roman" w:hAnsi="Palatino Linotype" w:cs="Arial"/>
          <w:color w:val="000000" w:themeColor="text1"/>
        </w:rPr>
        <w:t>E</w:t>
      </w:r>
      <w:r w:rsidR="00DB4BEF" w:rsidRPr="001672EA">
        <w:rPr>
          <w:rFonts w:ascii="Palatino Linotype" w:eastAsia="Times New Roman" w:hAnsi="Palatino Linotype" w:cs="Arial"/>
          <w:color w:val="000000" w:themeColor="text1"/>
        </w:rPr>
        <w:t xml:space="preserve">l </w:t>
      </w:r>
      <w:r w:rsidR="00FD03CC" w:rsidRPr="001672EA">
        <w:rPr>
          <w:rFonts w:ascii="Palatino Linotype" w:eastAsia="Times New Roman" w:hAnsi="Palatino Linotype" w:cs="Arial"/>
          <w:color w:val="000000" w:themeColor="text1"/>
        </w:rPr>
        <w:t>veinte (20)</w:t>
      </w:r>
      <w:r w:rsidR="00176B16" w:rsidRPr="001672EA">
        <w:rPr>
          <w:rFonts w:ascii="Palatino Linotype" w:eastAsia="Times New Roman" w:hAnsi="Palatino Linotype" w:cs="Arial"/>
          <w:color w:val="000000" w:themeColor="text1"/>
        </w:rPr>
        <w:t xml:space="preserve"> de mayo </w:t>
      </w:r>
      <w:r w:rsidRPr="001672EA">
        <w:rPr>
          <w:rFonts w:ascii="Palatino Linotype" w:eastAsia="Times New Roman" w:hAnsi="Palatino Linotype" w:cs="Arial"/>
          <w:color w:val="000000" w:themeColor="text1"/>
        </w:rPr>
        <w:t>de dos mil veintidós</w:t>
      </w:r>
      <w:r w:rsidR="00FE49E3" w:rsidRPr="001672EA">
        <w:rPr>
          <w:rFonts w:ascii="Palatino Linotype" w:eastAsia="Times New Roman" w:hAnsi="Palatino Linotype" w:cs="Arial"/>
          <w:color w:val="000000" w:themeColor="text1"/>
        </w:rPr>
        <w:t xml:space="preserve">, </w:t>
      </w:r>
      <w:r w:rsidRPr="001672EA">
        <w:rPr>
          <w:rFonts w:ascii="Palatino Linotype" w:eastAsia="Times New Roman" w:hAnsi="Palatino Linotype" w:cs="Arial"/>
          <w:color w:val="000000" w:themeColor="text1"/>
        </w:rPr>
        <w:t>el particular</w:t>
      </w:r>
      <w:r w:rsidR="00DB4BEF" w:rsidRPr="001672EA">
        <w:rPr>
          <w:rFonts w:ascii="Palatino Linotype" w:eastAsia="Times New Roman" w:hAnsi="Palatino Linotype" w:cs="Arial"/>
          <w:color w:val="000000" w:themeColor="text1"/>
        </w:rPr>
        <w:t xml:space="preserve"> interpuso</w:t>
      </w:r>
      <w:r w:rsidR="009316E9" w:rsidRPr="001672EA">
        <w:rPr>
          <w:rFonts w:ascii="Palatino Linotype" w:eastAsia="Times New Roman" w:hAnsi="Palatino Linotype" w:cs="Arial"/>
          <w:color w:val="000000" w:themeColor="text1"/>
        </w:rPr>
        <w:t xml:space="preserve"> </w:t>
      </w:r>
      <w:r w:rsidR="00F25B61" w:rsidRPr="001672EA">
        <w:rPr>
          <w:rFonts w:ascii="Palatino Linotype" w:eastAsia="Times New Roman" w:hAnsi="Palatino Linotype" w:cs="Arial"/>
          <w:color w:val="000000" w:themeColor="text1"/>
        </w:rPr>
        <w:t>el</w:t>
      </w:r>
      <w:r w:rsidR="004D68F8" w:rsidRPr="001672EA">
        <w:rPr>
          <w:rFonts w:ascii="Palatino Linotype" w:eastAsia="Times New Roman" w:hAnsi="Palatino Linotype" w:cs="Arial"/>
          <w:color w:val="000000" w:themeColor="text1"/>
        </w:rPr>
        <w:t xml:space="preserve"> recurso de revisión </w:t>
      </w:r>
      <w:r w:rsidR="001A0B3A" w:rsidRPr="001672EA">
        <w:rPr>
          <w:rFonts w:ascii="Palatino Linotype" w:eastAsia="Calibri" w:hAnsi="Palatino Linotype" w:cs="Arial"/>
          <w:b/>
          <w:color w:val="000000" w:themeColor="text1"/>
        </w:rPr>
        <w:t>08723/INFOEM/IP/RR/2022</w:t>
      </w:r>
      <w:r w:rsidR="009A0461" w:rsidRPr="001672EA">
        <w:rPr>
          <w:rFonts w:ascii="Palatino Linotype" w:eastAsia="Calibri" w:hAnsi="Palatino Linotype" w:cs="Arial"/>
          <w:color w:val="000000" w:themeColor="text1"/>
        </w:rPr>
        <w:t>;</w:t>
      </w:r>
      <w:r w:rsidR="00102D65" w:rsidRPr="001672EA">
        <w:rPr>
          <w:rFonts w:ascii="Palatino Linotype" w:eastAsia="Times New Roman" w:hAnsi="Palatino Linotype" w:cs="Arial"/>
          <w:color w:val="000000" w:themeColor="text1"/>
        </w:rPr>
        <w:t xml:space="preserve"> </w:t>
      </w:r>
      <w:r w:rsidR="00F25B61" w:rsidRPr="001672EA">
        <w:rPr>
          <w:rFonts w:ascii="Palatino Linotype" w:eastAsia="Times New Roman" w:hAnsi="Palatino Linotype" w:cs="Arial"/>
          <w:color w:val="000000" w:themeColor="text1"/>
        </w:rPr>
        <w:t>impugnación</w:t>
      </w:r>
      <w:r w:rsidR="004D68F8" w:rsidRPr="001672EA">
        <w:rPr>
          <w:rFonts w:ascii="Palatino Linotype" w:eastAsia="Times New Roman" w:hAnsi="Palatino Linotype" w:cs="Arial"/>
          <w:color w:val="000000" w:themeColor="text1"/>
        </w:rPr>
        <w:t xml:space="preserve"> </w:t>
      </w:r>
      <w:r w:rsidR="00A45546" w:rsidRPr="001672EA">
        <w:rPr>
          <w:rFonts w:ascii="Palatino Linotype" w:eastAsia="Times New Roman" w:hAnsi="Palatino Linotype" w:cs="Arial"/>
          <w:color w:val="000000" w:themeColor="text1"/>
        </w:rPr>
        <w:t xml:space="preserve">en </w:t>
      </w:r>
      <w:r w:rsidR="00977D37" w:rsidRPr="001672EA">
        <w:rPr>
          <w:rFonts w:ascii="Palatino Linotype" w:eastAsia="Times New Roman" w:hAnsi="Palatino Linotype" w:cs="Arial"/>
          <w:color w:val="000000" w:themeColor="text1"/>
        </w:rPr>
        <w:t>la</w:t>
      </w:r>
      <w:r w:rsidR="00A45546" w:rsidRPr="001672EA">
        <w:rPr>
          <w:rFonts w:ascii="Palatino Linotype" w:eastAsia="Times New Roman" w:hAnsi="Palatino Linotype" w:cs="Arial"/>
          <w:color w:val="000000" w:themeColor="text1"/>
        </w:rPr>
        <w:t xml:space="preserve"> que refirió </w:t>
      </w:r>
      <w:r w:rsidR="004D68F8" w:rsidRPr="001672EA">
        <w:rPr>
          <w:rFonts w:ascii="Palatino Linotype" w:eastAsia="Times New Roman" w:hAnsi="Palatino Linotype" w:cs="Arial"/>
          <w:color w:val="000000" w:themeColor="text1"/>
        </w:rPr>
        <w:t>lo siguiente:</w:t>
      </w:r>
    </w:p>
    <w:p w14:paraId="054906C6" w14:textId="77777777" w:rsidR="00E34622" w:rsidRPr="001672EA"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04CB056F" w:rsidR="00E34622" w:rsidRPr="001672EA"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rPr>
      </w:pPr>
      <w:r w:rsidRPr="001672EA">
        <w:rPr>
          <w:rFonts w:ascii="Palatino Linotype" w:eastAsia="Times New Roman" w:hAnsi="Palatino Linotype" w:cs="Arial"/>
          <w:b/>
          <w:color w:val="000000" w:themeColor="text1"/>
          <w:sz w:val="22"/>
        </w:rPr>
        <w:t>Acto impugnado:</w:t>
      </w:r>
      <w:r w:rsidRPr="001672EA">
        <w:rPr>
          <w:rFonts w:ascii="Palatino Linotype" w:eastAsia="Times New Roman" w:hAnsi="Palatino Linotype" w:cs="Arial"/>
          <w:color w:val="000000" w:themeColor="text1"/>
          <w:sz w:val="22"/>
        </w:rPr>
        <w:t xml:space="preserve"> “</w:t>
      </w:r>
      <w:r w:rsidR="00FD03CC" w:rsidRPr="001672EA">
        <w:rPr>
          <w:rFonts w:ascii="Palatino Linotype" w:eastAsia="Times New Roman" w:hAnsi="Palatino Linotype" w:cs="Arial"/>
          <w:i/>
          <w:iCs/>
          <w:color w:val="000000" w:themeColor="text1"/>
          <w:sz w:val="22"/>
        </w:rPr>
        <w:t>Entrega de información incompleta.</w:t>
      </w:r>
      <w:r w:rsidRPr="001672EA">
        <w:rPr>
          <w:rFonts w:ascii="Palatino Linotype" w:eastAsia="Times New Roman" w:hAnsi="Palatino Linotype" w:cs="Arial"/>
          <w:i/>
          <w:iCs/>
          <w:color w:val="000000" w:themeColor="text1"/>
          <w:sz w:val="22"/>
        </w:rPr>
        <w:t>”</w:t>
      </w:r>
      <w:r w:rsidRPr="001672EA">
        <w:rPr>
          <w:rFonts w:ascii="Palatino Linotype" w:eastAsia="Times New Roman" w:hAnsi="Palatino Linotype" w:cs="Arial"/>
          <w:color w:val="000000" w:themeColor="text1"/>
          <w:sz w:val="22"/>
        </w:rPr>
        <w:t xml:space="preserve"> (Sic).</w:t>
      </w:r>
    </w:p>
    <w:p w14:paraId="25E44FB6" w14:textId="77777777" w:rsidR="00F25B61" w:rsidRPr="001672EA"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rPr>
      </w:pPr>
    </w:p>
    <w:p w14:paraId="7DB0260F" w14:textId="7CD997D7" w:rsidR="000E096F" w:rsidRPr="001672EA"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rPr>
      </w:pPr>
      <w:r w:rsidRPr="001672EA">
        <w:rPr>
          <w:rFonts w:ascii="Palatino Linotype" w:eastAsia="Times New Roman" w:hAnsi="Palatino Linotype" w:cs="Arial"/>
          <w:b/>
          <w:color w:val="000000" w:themeColor="text1"/>
          <w:sz w:val="22"/>
        </w:rPr>
        <w:t>Razones o motivos de inconformidad:</w:t>
      </w:r>
      <w:r w:rsidRPr="001672EA">
        <w:rPr>
          <w:rFonts w:ascii="Palatino Linotype" w:eastAsia="Times New Roman" w:hAnsi="Palatino Linotype" w:cs="Arial"/>
          <w:color w:val="000000" w:themeColor="text1"/>
          <w:sz w:val="22"/>
        </w:rPr>
        <w:t xml:space="preserve"> </w:t>
      </w:r>
      <w:r w:rsidR="00176B16" w:rsidRPr="001672EA">
        <w:rPr>
          <w:rFonts w:ascii="Palatino Linotype" w:eastAsia="Times New Roman" w:hAnsi="Palatino Linotype" w:cs="Arial"/>
          <w:i/>
          <w:color w:val="000000" w:themeColor="text1"/>
          <w:sz w:val="22"/>
        </w:rPr>
        <w:t>“</w:t>
      </w:r>
      <w:r w:rsidR="00FD03CC" w:rsidRPr="001672EA">
        <w:rPr>
          <w:rFonts w:ascii="Palatino Linotype" w:eastAsia="Times New Roman" w:hAnsi="Palatino Linotype" w:cs="Arial"/>
          <w:i/>
          <w:color w:val="000000" w:themeColor="text1"/>
          <w:sz w:val="22"/>
        </w:rPr>
        <w:t>Se solicitó desde 2012, pero solo han entregado desde 2017.</w:t>
      </w:r>
      <w:r w:rsidR="00176B16" w:rsidRPr="001672EA">
        <w:rPr>
          <w:rFonts w:ascii="Palatino Linotype" w:eastAsia="Times New Roman" w:hAnsi="Palatino Linotype" w:cs="Arial"/>
          <w:i/>
          <w:color w:val="000000" w:themeColor="text1"/>
          <w:sz w:val="22"/>
        </w:rPr>
        <w:t>”</w:t>
      </w:r>
      <w:r w:rsidR="00176B16" w:rsidRPr="001672EA">
        <w:rPr>
          <w:rFonts w:ascii="Palatino Linotype" w:eastAsia="Times New Roman" w:hAnsi="Palatino Linotype" w:cs="Arial"/>
          <w:color w:val="000000" w:themeColor="text1"/>
          <w:sz w:val="22"/>
        </w:rPr>
        <w:t xml:space="preserve"> (Sic)</w:t>
      </w:r>
    </w:p>
    <w:p w14:paraId="3C8DEE6E" w14:textId="77777777" w:rsidR="00394F10" w:rsidRPr="001672EA"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rPr>
      </w:pPr>
    </w:p>
    <w:p w14:paraId="3F0AFD31" w14:textId="4E0E1C51" w:rsidR="005C7898" w:rsidRPr="001672EA" w:rsidRDefault="004F0BF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1672EA">
        <w:rPr>
          <w:rFonts w:ascii="Palatino Linotype" w:eastAsia="Calibri" w:hAnsi="Palatino Linotype" w:cs="Arial"/>
          <w:color w:val="000000" w:themeColor="text1"/>
        </w:rPr>
        <w:t>S</w:t>
      </w:r>
      <w:r w:rsidR="005C7898" w:rsidRPr="001672EA">
        <w:rPr>
          <w:rFonts w:ascii="Palatino Linotype" w:eastAsia="Calibri" w:hAnsi="Palatino Linotype" w:cs="Arial"/>
          <w:color w:val="000000" w:themeColor="text1"/>
        </w:rPr>
        <w:t xml:space="preserve">e </w:t>
      </w:r>
      <w:r w:rsidR="00F25B61" w:rsidRPr="001672EA">
        <w:rPr>
          <w:rFonts w:ascii="Palatino Linotype" w:eastAsia="Times New Roman" w:hAnsi="Palatino Linotype" w:cs="Arial"/>
          <w:color w:val="000000" w:themeColor="text1"/>
        </w:rPr>
        <w:t>registró</w:t>
      </w:r>
      <w:r w:rsidR="005C7898" w:rsidRPr="001672EA">
        <w:rPr>
          <w:rFonts w:ascii="Palatino Linotype" w:eastAsia="Times New Roman" w:hAnsi="Palatino Linotype" w:cs="Arial"/>
          <w:color w:val="000000" w:themeColor="text1"/>
        </w:rPr>
        <w:t xml:space="preserve"> </w:t>
      </w:r>
      <w:r w:rsidR="00F25B61" w:rsidRPr="001672EA">
        <w:rPr>
          <w:rFonts w:ascii="Palatino Linotype" w:eastAsia="Times New Roman" w:hAnsi="Palatino Linotype" w:cs="Arial"/>
          <w:color w:val="000000" w:themeColor="text1"/>
        </w:rPr>
        <w:t>el</w:t>
      </w:r>
      <w:r w:rsidR="005C7898" w:rsidRPr="001672EA">
        <w:rPr>
          <w:rFonts w:ascii="Palatino Linotype" w:eastAsia="Times New Roman" w:hAnsi="Palatino Linotype" w:cs="Arial"/>
          <w:color w:val="000000" w:themeColor="text1"/>
        </w:rPr>
        <w:t xml:space="preserve"> recurso de revisión bajo </w:t>
      </w:r>
      <w:r w:rsidR="00F25B61" w:rsidRPr="001672EA">
        <w:rPr>
          <w:rFonts w:ascii="Palatino Linotype" w:eastAsia="Times New Roman" w:hAnsi="Palatino Linotype" w:cs="Arial"/>
          <w:color w:val="000000" w:themeColor="text1"/>
        </w:rPr>
        <w:t>el</w:t>
      </w:r>
      <w:r w:rsidR="005C7898" w:rsidRPr="001672EA">
        <w:rPr>
          <w:rFonts w:ascii="Palatino Linotype" w:eastAsia="Times New Roman" w:hAnsi="Palatino Linotype" w:cs="Arial"/>
          <w:color w:val="000000" w:themeColor="text1"/>
        </w:rPr>
        <w:t xml:space="preserve"> número de expediente </w:t>
      </w:r>
      <w:r w:rsidR="001A0B3A" w:rsidRPr="001672EA">
        <w:rPr>
          <w:rFonts w:ascii="Palatino Linotype" w:eastAsia="Times New Roman" w:hAnsi="Palatino Linotype" w:cs="Arial"/>
          <w:b/>
          <w:color w:val="000000" w:themeColor="text1"/>
        </w:rPr>
        <w:t>08723/INFOEM/IP/RR/2022</w:t>
      </w:r>
      <w:r w:rsidR="005C7898" w:rsidRPr="001672EA">
        <w:rPr>
          <w:rFonts w:ascii="Palatino Linotype" w:hAnsi="Palatino Linotype" w:cs="Arial"/>
          <w:bCs/>
          <w:color w:val="000000" w:themeColor="text1"/>
        </w:rPr>
        <w:t xml:space="preserve">; asimismo, con fundamento en lo dispuesto por el </w:t>
      </w:r>
      <w:r w:rsidR="005C7898" w:rsidRPr="001672EA">
        <w:rPr>
          <w:rFonts w:ascii="Palatino Linotype" w:eastAsia="Calibri" w:hAnsi="Palatino Linotype" w:cs="Arial"/>
          <w:bCs/>
          <w:color w:val="000000" w:themeColor="text1"/>
        </w:rPr>
        <w:t>artículo 185</w:t>
      </w:r>
      <w:r w:rsidR="00AE1CCB" w:rsidRPr="001672EA">
        <w:rPr>
          <w:rFonts w:ascii="Palatino Linotype" w:eastAsia="Calibri" w:hAnsi="Palatino Linotype" w:cs="Arial"/>
          <w:bCs/>
          <w:color w:val="000000" w:themeColor="text1"/>
        </w:rPr>
        <w:t>,</w:t>
      </w:r>
      <w:r w:rsidR="005C7898" w:rsidRPr="001672EA">
        <w:rPr>
          <w:rFonts w:ascii="Palatino Linotype" w:eastAsia="Calibri" w:hAnsi="Palatino Linotype" w:cs="Arial"/>
          <w:bCs/>
          <w:color w:val="000000" w:themeColor="text1"/>
        </w:rPr>
        <w:t xml:space="preserve"> fracción I</w:t>
      </w:r>
      <w:r w:rsidR="00AE1CCB" w:rsidRPr="001672EA">
        <w:rPr>
          <w:rFonts w:ascii="Palatino Linotype" w:eastAsia="Calibri" w:hAnsi="Palatino Linotype" w:cs="Arial"/>
          <w:bCs/>
          <w:color w:val="000000" w:themeColor="text1"/>
        </w:rPr>
        <w:t>,</w:t>
      </w:r>
      <w:r w:rsidR="005C7898" w:rsidRPr="001672EA">
        <w:rPr>
          <w:rFonts w:ascii="Palatino Linotype" w:eastAsia="Calibri" w:hAnsi="Palatino Linotype" w:cs="Arial"/>
          <w:bCs/>
          <w:color w:val="000000" w:themeColor="text1"/>
        </w:rPr>
        <w:t xml:space="preserve"> de la Ley de Transparencia y Acceso a la Información Pública del Estado de México y Municipios </w:t>
      </w:r>
      <w:r w:rsidR="005C7898" w:rsidRPr="001672EA">
        <w:rPr>
          <w:rFonts w:ascii="Palatino Linotype" w:eastAsia="Times New Roman" w:hAnsi="Palatino Linotype" w:cs="Arial"/>
          <w:bCs/>
          <w:color w:val="000000" w:themeColor="text1"/>
        </w:rPr>
        <w:t xml:space="preserve">se </w:t>
      </w:r>
      <w:r w:rsidR="00F25B61" w:rsidRPr="001672EA">
        <w:rPr>
          <w:rFonts w:ascii="Palatino Linotype" w:eastAsia="Times New Roman" w:hAnsi="Palatino Linotype" w:cs="Arial"/>
          <w:bCs/>
          <w:color w:val="000000" w:themeColor="text1"/>
        </w:rPr>
        <w:t>turnó</w:t>
      </w:r>
      <w:r w:rsidR="005C7898" w:rsidRPr="001672EA">
        <w:rPr>
          <w:rFonts w:ascii="Palatino Linotype" w:eastAsia="Times New Roman" w:hAnsi="Palatino Linotype" w:cs="Arial"/>
          <w:bCs/>
          <w:color w:val="000000" w:themeColor="text1"/>
        </w:rPr>
        <w:t xml:space="preserve"> a l</w:t>
      </w:r>
      <w:r w:rsidR="00F25B61" w:rsidRPr="001672EA">
        <w:rPr>
          <w:rFonts w:ascii="Palatino Linotype" w:eastAsia="Times New Roman" w:hAnsi="Palatino Linotype" w:cs="Arial"/>
          <w:bCs/>
          <w:color w:val="000000" w:themeColor="text1"/>
        </w:rPr>
        <w:t>a</w:t>
      </w:r>
      <w:r w:rsidR="005C7898" w:rsidRPr="001672EA">
        <w:rPr>
          <w:rFonts w:ascii="Palatino Linotype" w:eastAsia="Times New Roman" w:hAnsi="Palatino Linotype" w:cs="Arial"/>
          <w:bCs/>
          <w:color w:val="000000" w:themeColor="text1"/>
        </w:rPr>
        <w:t xml:space="preserve"> </w:t>
      </w:r>
      <w:r w:rsidR="005C7898" w:rsidRPr="001672EA">
        <w:rPr>
          <w:rFonts w:ascii="Palatino Linotype" w:eastAsia="Times New Roman" w:hAnsi="Palatino Linotype" w:cs="Arial"/>
          <w:b/>
          <w:bCs/>
          <w:color w:val="000000" w:themeColor="text1"/>
        </w:rPr>
        <w:t>Comisionad</w:t>
      </w:r>
      <w:r w:rsidR="00F25B61" w:rsidRPr="001672EA">
        <w:rPr>
          <w:rFonts w:ascii="Palatino Linotype" w:eastAsia="Times New Roman" w:hAnsi="Palatino Linotype" w:cs="Arial"/>
          <w:b/>
          <w:bCs/>
          <w:color w:val="000000" w:themeColor="text1"/>
        </w:rPr>
        <w:t>a</w:t>
      </w:r>
      <w:r w:rsidR="005C7898" w:rsidRPr="001672EA">
        <w:rPr>
          <w:rFonts w:ascii="Palatino Linotype" w:eastAsia="Times New Roman" w:hAnsi="Palatino Linotype" w:cs="Arial"/>
          <w:b/>
          <w:bCs/>
          <w:color w:val="000000" w:themeColor="text1"/>
        </w:rPr>
        <w:t xml:space="preserve"> María del Rosario Mejía Ayala</w:t>
      </w:r>
      <w:r w:rsidR="00F25B61" w:rsidRPr="001672EA">
        <w:rPr>
          <w:rFonts w:ascii="Palatino Linotype" w:eastAsia="Times New Roman" w:hAnsi="Palatino Linotype" w:cs="Arial"/>
          <w:bCs/>
          <w:color w:val="000000" w:themeColor="text1"/>
        </w:rPr>
        <w:t>,</w:t>
      </w:r>
      <w:r w:rsidR="005C7898" w:rsidRPr="001672EA">
        <w:rPr>
          <w:rFonts w:ascii="Palatino Linotype" w:eastAsia="Times New Roman" w:hAnsi="Palatino Linotype" w:cs="Arial"/>
          <w:bCs/>
          <w:color w:val="000000" w:themeColor="text1"/>
        </w:rPr>
        <w:t xml:space="preserve"> con el objeto de su análisis.</w:t>
      </w:r>
    </w:p>
    <w:p w14:paraId="23A01433" w14:textId="77777777" w:rsidR="005C7898" w:rsidRPr="001672EA"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rPr>
      </w:pPr>
    </w:p>
    <w:p w14:paraId="0C365867" w14:textId="7FC81205" w:rsidR="00473F11" w:rsidRPr="001672EA"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bookmarkStart w:id="3" w:name="_Hlk74251533"/>
      <w:r w:rsidRPr="001672EA">
        <w:rPr>
          <w:rFonts w:ascii="Palatino Linotype" w:eastAsia="Times New Roman" w:hAnsi="Palatino Linotype" w:cs="Arial"/>
          <w:color w:val="000000" w:themeColor="text1"/>
        </w:rPr>
        <w:t>La Comisionada Ponente</w:t>
      </w:r>
      <w:r w:rsidR="00473F11" w:rsidRPr="001672EA">
        <w:rPr>
          <w:rFonts w:ascii="Palatino Linotype" w:eastAsia="Calibri" w:hAnsi="Palatino Linotype" w:cs="Arial"/>
          <w:color w:val="000000" w:themeColor="text1"/>
        </w:rPr>
        <w:t>, con fundamento en lo dispuesto por el artículo 185</w:t>
      </w:r>
      <w:r w:rsidR="00F638B9" w:rsidRPr="001672EA">
        <w:rPr>
          <w:rFonts w:ascii="Palatino Linotype" w:eastAsia="Calibri" w:hAnsi="Palatino Linotype" w:cs="Arial"/>
          <w:color w:val="000000" w:themeColor="text1"/>
        </w:rPr>
        <w:t>,</w:t>
      </w:r>
      <w:r w:rsidR="00473F11" w:rsidRPr="001672EA">
        <w:rPr>
          <w:rFonts w:ascii="Palatino Linotype" w:eastAsia="Calibri" w:hAnsi="Palatino Linotype" w:cs="Arial"/>
          <w:color w:val="000000" w:themeColor="text1"/>
        </w:rPr>
        <w:t xml:space="preserve"> fracción II</w:t>
      </w:r>
      <w:r w:rsidR="00F638B9" w:rsidRPr="001672EA">
        <w:rPr>
          <w:rFonts w:ascii="Palatino Linotype" w:eastAsia="Calibri" w:hAnsi="Palatino Linotype" w:cs="Arial"/>
          <w:color w:val="000000" w:themeColor="text1"/>
        </w:rPr>
        <w:t>,</w:t>
      </w:r>
      <w:r w:rsidR="00473F11" w:rsidRPr="001672EA">
        <w:rPr>
          <w:rFonts w:ascii="Palatino Linotype" w:eastAsia="Calibri" w:hAnsi="Palatino Linotype" w:cs="Arial"/>
          <w:color w:val="000000" w:themeColor="text1"/>
        </w:rPr>
        <w:t xml:space="preserve"> de la </w:t>
      </w:r>
      <w:r w:rsidRPr="001672EA">
        <w:rPr>
          <w:rFonts w:ascii="Palatino Linotype" w:eastAsia="Calibri" w:hAnsi="Palatino Linotype" w:cs="Arial"/>
          <w:color w:val="000000" w:themeColor="text1"/>
        </w:rPr>
        <w:t xml:space="preserve">Ley </w:t>
      </w:r>
      <w:r w:rsidR="00473F11" w:rsidRPr="001672EA">
        <w:rPr>
          <w:rFonts w:ascii="Palatino Linotype" w:eastAsia="Calibri" w:hAnsi="Palatino Linotype" w:cs="Arial"/>
          <w:color w:val="000000" w:themeColor="text1"/>
        </w:rPr>
        <w:t>de la materia, a través del acuerdo de admisión de</w:t>
      </w:r>
      <w:r w:rsidR="007E5A30" w:rsidRPr="001672EA">
        <w:rPr>
          <w:rFonts w:ascii="Palatino Linotype" w:eastAsia="Calibri" w:hAnsi="Palatino Linotype" w:cs="Arial"/>
          <w:color w:val="000000" w:themeColor="text1"/>
        </w:rPr>
        <w:t xml:space="preserve"> </w:t>
      </w:r>
      <w:r w:rsidR="00FD03CC" w:rsidRPr="001672EA">
        <w:rPr>
          <w:rFonts w:ascii="Palatino Linotype" w:eastAsia="Calibri" w:hAnsi="Palatino Linotype" w:cs="Arial"/>
          <w:b/>
          <w:color w:val="000000" w:themeColor="text1"/>
        </w:rPr>
        <w:t>treinta y uno (31)</w:t>
      </w:r>
      <w:r w:rsidR="00176B16" w:rsidRPr="001672EA">
        <w:rPr>
          <w:rFonts w:ascii="Palatino Linotype" w:eastAsia="Calibri" w:hAnsi="Palatino Linotype" w:cs="Arial"/>
          <w:b/>
          <w:color w:val="000000" w:themeColor="text1"/>
        </w:rPr>
        <w:t xml:space="preserve"> de mayo de dos mil veintidós</w:t>
      </w:r>
      <w:r w:rsidR="00473F11" w:rsidRPr="001672EA">
        <w:rPr>
          <w:rFonts w:ascii="Palatino Linotype" w:eastAsia="Calibri" w:hAnsi="Palatino Linotype" w:cs="Arial"/>
          <w:color w:val="000000" w:themeColor="text1"/>
        </w:rPr>
        <w:t xml:space="preserve">, </w:t>
      </w:r>
      <w:r w:rsidRPr="001672EA">
        <w:rPr>
          <w:rFonts w:ascii="Palatino Linotype" w:eastAsia="Calibri" w:hAnsi="Palatino Linotype" w:cs="Arial"/>
          <w:color w:val="000000" w:themeColor="text1"/>
        </w:rPr>
        <w:t>puso</w:t>
      </w:r>
      <w:r w:rsidR="00473F11" w:rsidRPr="001672EA">
        <w:rPr>
          <w:rFonts w:ascii="Palatino Linotype" w:eastAsia="Calibri" w:hAnsi="Palatino Linotype" w:cs="Arial"/>
          <w:color w:val="000000" w:themeColor="text1"/>
        </w:rPr>
        <w:t xml:space="preserve"> a disposición de las partes </w:t>
      </w:r>
      <w:r w:rsidRPr="001672EA">
        <w:rPr>
          <w:rFonts w:ascii="Palatino Linotype" w:eastAsia="Calibri" w:hAnsi="Palatino Linotype" w:cs="Arial"/>
          <w:color w:val="000000" w:themeColor="text1"/>
        </w:rPr>
        <w:t>el expediente electrónico</w:t>
      </w:r>
      <w:r w:rsidR="00473F11" w:rsidRPr="001672EA">
        <w:rPr>
          <w:rFonts w:ascii="Palatino Linotype" w:eastAsia="Calibri" w:hAnsi="Palatino Linotype" w:cs="Arial"/>
          <w:color w:val="000000" w:themeColor="text1"/>
        </w:rPr>
        <w:t xml:space="preserve"> vía </w:t>
      </w:r>
      <w:r w:rsidR="00E85FF3" w:rsidRPr="001672EA">
        <w:rPr>
          <w:rFonts w:ascii="Palatino Linotype" w:eastAsia="Calibri" w:hAnsi="Palatino Linotype" w:cs="Arial"/>
          <w:color w:val="000000" w:themeColor="text1"/>
        </w:rPr>
        <w:t xml:space="preserve">SAIMEX, </w:t>
      </w:r>
      <w:r w:rsidR="00473F11" w:rsidRPr="001672EA">
        <w:rPr>
          <w:rFonts w:ascii="Palatino Linotype" w:eastAsia="Calibri" w:hAnsi="Palatino Linotype" w:cs="Arial"/>
          <w:color w:val="000000" w:themeColor="text1"/>
        </w:rPr>
        <w:t xml:space="preserve">a efecto de que en un plazo máximo de siete días manifestaran lo que a derecho convinieran, ofrecieran pruebas y alegatos según corresponda a los casos concretos, de esta forma para que el </w:t>
      </w:r>
      <w:r w:rsidR="00473F11" w:rsidRPr="001672EA">
        <w:rPr>
          <w:rFonts w:ascii="Palatino Linotype" w:eastAsia="Calibri" w:hAnsi="Palatino Linotype" w:cs="Arial"/>
          <w:b/>
          <w:color w:val="000000" w:themeColor="text1"/>
        </w:rPr>
        <w:t>SUJETO OBLIGADO</w:t>
      </w:r>
      <w:r w:rsidR="00473F11" w:rsidRPr="001672EA">
        <w:rPr>
          <w:rFonts w:ascii="Palatino Linotype" w:eastAsia="Calibri" w:hAnsi="Palatino Linotype" w:cs="Arial"/>
          <w:color w:val="000000" w:themeColor="text1"/>
        </w:rPr>
        <w:t xml:space="preserve"> presentara </w:t>
      </w:r>
      <w:r w:rsidR="001D3CC5" w:rsidRPr="001672EA">
        <w:rPr>
          <w:rFonts w:ascii="Palatino Linotype" w:eastAsia="Calibri" w:hAnsi="Palatino Linotype" w:cs="Arial"/>
          <w:color w:val="000000" w:themeColor="text1"/>
        </w:rPr>
        <w:t>su</w:t>
      </w:r>
      <w:r w:rsidR="00473F11" w:rsidRPr="001672EA">
        <w:rPr>
          <w:rFonts w:ascii="Palatino Linotype" w:eastAsia="Calibri" w:hAnsi="Palatino Linotype" w:cs="Arial"/>
          <w:color w:val="000000" w:themeColor="text1"/>
        </w:rPr>
        <w:t xml:space="preserve"> Informe Justificado procedente</w:t>
      </w:r>
      <w:bookmarkEnd w:id="3"/>
      <w:r w:rsidR="00AE1CCB" w:rsidRPr="001672EA">
        <w:rPr>
          <w:rFonts w:ascii="Palatino Linotype" w:eastAsia="Calibri" w:hAnsi="Palatino Linotype" w:cs="Arial"/>
          <w:color w:val="000000" w:themeColor="text1"/>
        </w:rPr>
        <w:t>.</w:t>
      </w:r>
    </w:p>
    <w:p w14:paraId="4333A778" w14:textId="77777777" w:rsidR="008C28BF" w:rsidRPr="001672EA" w:rsidRDefault="008C28BF" w:rsidP="008C28BF">
      <w:pPr>
        <w:pStyle w:val="Prrafodelista"/>
        <w:tabs>
          <w:tab w:val="left" w:pos="426"/>
        </w:tabs>
        <w:spacing w:line="360" w:lineRule="auto"/>
        <w:ind w:left="0"/>
        <w:jc w:val="both"/>
        <w:rPr>
          <w:rFonts w:ascii="Palatino Linotype" w:eastAsia="Calibri" w:hAnsi="Palatino Linotype" w:cs="Arial"/>
          <w:color w:val="000000" w:themeColor="text1"/>
        </w:rPr>
      </w:pPr>
    </w:p>
    <w:p w14:paraId="12EBC051" w14:textId="1EEBFE6E" w:rsidR="00CF15AD" w:rsidRPr="001672EA" w:rsidRDefault="00FD03CC" w:rsidP="0029212A">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1672EA">
        <w:rPr>
          <w:rFonts w:ascii="Palatino Linotype" w:eastAsia="Calibri" w:hAnsi="Palatino Linotype" w:cs="Arial"/>
          <w:color w:val="000000" w:themeColor="text1"/>
        </w:rPr>
        <w:t xml:space="preserve">El seis (06) de junio de dos mil veintidós, el </w:t>
      </w:r>
      <w:r w:rsidRPr="001672EA">
        <w:rPr>
          <w:rFonts w:ascii="Palatino Linotype" w:eastAsia="Calibri" w:hAnsi="Palatino Linotype" w:cs="Arial"/>
          <w:b/>
          <w:color w:val="000000" w:themeColor="text1"/>
        </w:rPr>
        <w:t>SUJETO OBLIGADO</w:t>
      </w:r>
      <w:r w:rsidRPr="001672EA">
        <w:rPr>
          <w:rFonts w:ascii="Palatino Linotype" w:eastAsia="Calibri" w:hAnsi="Palatino Linotype" w:cs="Arial"/>
          <w:color w:val="000000" w:themeColor="text1"/>
        </w:rPr>
        <w:t xml:space="preserve"> presentó, en vía de informe justificado, los siguientes archivos electrónicos:</w:t>
      </w:r>
    </w:p>
    <w:p w14:paraId="5E8C8C5D" w14:textId="68BC187D" w:rsidR="00FD03CC" w:rsidRPr="001672EA" w:rsidRDefault="00686459" w:rsidP="00FD03CC">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rPr>
      </w:pPr>
      <w:r w:rsidRPr="001672EA">
        <w:rPr>
          <w:rFonts w:ascii="Palatino Linotype" w:eastAsia="Calibri" w:hAnsi="Palatino Linotype" w:cs="Arial"/>
          <w:b/>
          <w:i/>
          <w:color w:val="000000" w:themeColor="text1"/>
        </w:rPr>
        <w:t>“RECURSO DE REVISIÓN 8723 2022.pdf”</w:t>
      </w:r>
      <w:r w:rsidRPr="001672EA">
        <w:rPr>
          <w:rFonts w:ascii="Palatino Linotype" w:eastAsia="Calibri" w:hAnsi="Palatino Linotype" w:cs="Arial"/>
          <w:color w:val="000000" w:themeColor="text1"/>
        </w:rPr>
        <w:t xml:space="preserve">: Documento de una foja consistente en el oficio de seis (06) de junio de dos mil veintidós, sin folio </w:t>
      </w:r>
      <w:r w:rsidRPr="001672EA">
        <w:rPr>
          <w:rFonts w:ascii="Palatino Linotype" w:eastAsia="Calibri" w:hAnsi="Palatino Linotype" w:cs="Arial"/>
          <w:color w:val="000000" w:themeColor="text1"/>
        </w:rPr>
        <w:lastRenderedPageBreak/>
        <w:t xml:space="preserve">único de identificación, emitido por el Titular de la Unidad de Transparencia, dirigido al ahora </w:t>
      </w:r>
      <w:r w:rsidRPr="001672EA">
        <w:rPr>
          <w:rFonts w:ascii="Palatino Linotype" w:eastAsia="Calibri" w:hAnsi="Palatino Linotype" w:cs="Arial"/>
          <w:b/>
          <w:color w:val="000000" w:themeColor="text1"/>
        </w:rPr>
        <w:t>RECURRENTE</w:t>
      </w:r>
      <w:r w:rsidRPr="001672EA">
        <w:rPr>
          <w:rFonts w:ascii="Palatino Linotype" w:eastAsia="Calibri" w:hAnsi="Palatino Linotype" w:cs="Arial"/>
          <w:color w:val="000000" w:themeColor="text1"/>
        </w:rPr>
        <w:t>, por el que ofrece el informe justificado presentado por la Dirección de Obras Públicas.</w:t>
      </w:r>
    </w:p>
    <w:p w14:paraId="75D3B069" w14:textId="29EE8113" w:rsidR="00686459" w:rsidRPr="001672EA" w:rsidRDefault="00686459" w:rsidP="00686459">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rPr>
      </w:pPr>
      <w:r w:rsidRPr="001672EA">
        <w:rPr>
          <w:rFonts w:ascii="Palatino Linotype" w:eastAsia="Calibri" w:hAnsi="Palatino Linotype" w:cs="Arial"/>
          <w:b/>
          <w:i/>
          <w:color w:val="000000" w:themeColor="text1"/>
        </w:rPr>
        <w:t>“8723.pdf”</w:t>
      </w:r>
      <w:r w:rsidRPr="001672EA">
        <w:rPr>
          <w:rFonts w:ascii="Palatino Linotype" w:eastAsia="Calibri" w:hAnsi="Palatino Linotype" w:cs="Arial"/>
          <w:color w:val="000000" w:themeColor="text1"/>
        </w:rPr>
        <w:t>: Documento de nueve fojas consistente en los siguientes instrumentos:</w:t>
      </w:r>
    </w:p>
    <w:p w14:paraId="3DDA845A" w14:textId="233859AF" w:rsidR="00686459" w:rsidRPr="001672EA" w:rsidRDefault="00686459" w:rsidP="00686459">
      <w:pPr>
        <w:pStyle w:val="Prrafodelista"/>
        <w:numPr>
          <w:ilvl w:val="2"/>
          <w:numId w:val="26"/>
        </w:numPr>
        <w:tabs>
          <w:tab w:val="left" w:pos="426"/>
        </w:tabs>
        <w:spacing w:line="360" w:lineRule="auto"/>
        <w:ind w:left="1701"/>
        <w:jc w:val="both"/>
        <w:rPr>
          <w:rFonts w:ascii="Palatino Linotype" w:eastAsia="Calibri" w:hAnsi="Palatino Linotype" w:cs="Arial"/>
          <w:color w:val="000000" w:themeColor="text1"/>
        </w:rPr>
      </w:pPr>
      <w:r w:rsidRPr="001672EA">
        <w:rPr>
          <w:rFonts w:ascii="Palatino Linotype" w:eastAsia="Calibri" w:hAnsi="Palatino Linotype" w:cs="Arial"/>
          <w:color w:val="000000" w:themeColor="text1"/>
        </w:rPr>
        <w:t xml:space="preserve">Copia digitalizada del oficio número DGOP/181/2022, de dos (02) de junio de dos mil veintidós, emitido por el Director de Obras Públicas, dirigido al Titular de la Unidad de Transparencia, </w:t>
      </w:r>
      <w:r w:rsidR="00BC7300" w:rsidRPr="001672EA">
        <w:rPr>
          <w:rFonts w:ascii="Palatino Linotype" w:eastAsia="Calibri" w:hAnsi="Palatino Linotype" w:cs="Arial"/>
          <w:color w:val="000000" w:themeColor="text1"/>
        </w:rPr>
        <w:t>por el que reitera su respuesta inicial.</w:t>
      </w:r>
    </w:p>
    <w:p w14:paraId="2914EF98" w14:textId="26E094F7" w:rsidR="00BC7300" w:rsidRPr="001672EA" w:rsidRDefault="00BC7300" w:rsidP="00686459">
      <w:pPr>
        <w:pStyle w:val="Prrafodelista"/>
        <w:numPr>
          <w:ilvl w:val="2"/>
          <w:numId w:val="26"/>
        </w:numPr>
        <w:tabs>
          <w:tab w:val="left" w:pos="426"/>
        </w:tabs>
        <w:spacing w:line="360" w:lineRule="auto"/>
        <w:ind w:left="1701"/>
        <w:jc w:val="both"/>
        <w:rPr>
          <w:rFonts w:ascii="Palatino Linotype" w:eastAsia="Calibri" w:hAnsi="Palatino Linotype" w:cs="Arial"/>
          <w:color w:val="000000" w:themeColor="text1"/>
        </w:rPr>
      </w:pPr>
      <w:r w:rsidRPr="001672EA">
        <w:rPr>
          <w:rFonts w:ascii="Palatino Linotype" w:eastAsia="Calibri" w:hAnsi="Palatino Linotype" w:cs="Arial"/>
          <w:color w:val="000000" w:themeColor="text1"/>
        </w:rPr>
        <w:t>Fragmento de la Ley de Obras Pública y Servicios Relacionados con las Mismas donde se advierte lo establecido por su artículo 74.</w:t>
      </w:r>
    </w:p>
    <w:p w14:paraId="0262E464" w14:textId="04693D01" w:rsidR="00BC7300" w:rsidRPr="001672EA" w:rsidRDefault="00BC7300" w:rsidP="00686459">
      <w:pPr>
        <w:pStyle w:val="Prrafodelista"/>
        <w:numPr>
          <w:ilvl w:val="2"/>
          <w:numId w:val="26"/>
        </w:numPr>
        <w:tabs>
          <w:tab w:val="left" w:pos="426"/>
        </w:tabs>
        <w:spacing w:line="360" w:lineRule="auto"/>
        <w:ind w:left="1701"/>
        <w:jc w:val="both"/>
        <w:rPr>
          <w:rFonts w:ascii="Palatino Linotype" w:eastAsia="Calibri" w:hAnsi="Palatino Linotype" w:cs="Arial"/>
          <w:color w:val="000000" w:themeColor="text1"/>
        </w:rPr>
      </w:pPr>
      <w:r w:rsidRPr="001672EA">
        <w:rPr>
          <w:rFonts w:ascii="Palatino Linotype" w:eastAsia="Calibri" w:hAnsi="Palatino Linotype" w:cs="Arial"/>
          <w:color w:val="000000" w:themeColor="text1"/>
        </w:rPr>
        <w:t>Fragmento del Código Administrativo del Estado de México donde se advierten los artículos 12.60 al 12.67-</w:t>
      </w:r>
    </w:p>
    <w:p w14:paraId="53A1E208" w14:textId="3E838F80" w:rsidR="00BC7300" w:rsidRPr="001672EA" w:rsidRDefault="00BC7300" w:rsidP="00686459">
      <w:pPr>
        <w:pStyle w:val="Prrafodelista"/>
        <w:numPr>
          <w:ilvl w:val="2"/>
          <w:numId w:val="26"/>
        </w:numPr>
        <w:tabs>
          <w:tab w:val="left" w:pos="426"/>
        </w:tabs>
        <w:spacing w:line="360" w:lineRule="auto"/>
        <w:ind w:left="1701"/>
        <w:jc w:val="both"/>
        <w:rPr>
          <w:rFonts w:ascii="Palatino Linotype" w:eastAsia="Calibri" w:hAnsi="Palatino Linotype" w:cs="Arial"/>
          <w:color w:val="000000" w:themeColor="text1"/>
        </w:rPr>
      </w:pPr>
      <w:r w:rsidRPr="001672EA">
        <w:rPr>
          <w:rFonts w:ascii="Palatino Linotype" w:eastAsia="Calibri" w:hAnsi="Palatino Linotype" w:cs="Arial"/>
          <w:color w:val="000000" w:themeColor="text1"/>
        </w:rPr>
        <w:t>Fragmento del Reglamento del Libro Décimo Segundo del Código Administrativo del Estado de México, en el que se advierte lo establecido por los artículos 274 al 278.</w:t>
      </w:r>
    </w:p>
    <w:p w14:paraId="085E86AD" w14:textId="2E5ED0DA" w:rsidR="00BC7300" w:rsidRPr="001672EA" w:rsidRDefault="00BC7300" w:rsidP="00BC7300">
      <w:pPr>
        <w:pStyle w:val="Prrafodelista"/>
        <w:numPr>
          <w:ilvl w:val="2"/>
          <w:numId w:val="26"/>
        </w:numPr>
        <w:tabs>
          <w:tab w:val="left" w:pos="426"/>
        </w:tabs>
        <w:spacing w:line="360" w:lineRule="auto"/>
        <w:ind w:left="1701"/>
        <w:jc w:val="both"/>
        <w:rPr>
          <w:rFonts w:ascii="Palatino Linotype" w:eastAsia="Calibri" w:hAnsi="Palatino Linotype" w:cs="Arial"/>
          <w:color w:val="000000" w:themeColor="text1"/>
        </w:rPr>
      </w:pPr>
      <w:r w:rsidRPr="001672EA">
        <w:rPr>
          <w:rFonts w:ascii="Palatino Linotype" w:eastAsia="Calibri" w:hAnsi="Palatino Linotype" w:cs="Arial"/>
          <w:color w:val="000000" w:themeColor="text1"/>
        </w:rPr>
        <w:t>Fragmento de la Ley de Transparencia y Acceso a la Información Pública del Estado de México y Municipios, donde se advierte lo establecido por los artículos 10 al 20 y del 156 al 160.</w:t>
      </w:r>
    </w:p>
    <w:p w14:paraId="05B4F1FD" w14:textId="77777777" w:rsidR="0029212A" w:rsidRPr="001672EA" w:rsidRDefault="0029212A" w:rsidP="0029212A">
      <w:pPr>
        <w:pStyle w:val="Prrafodelista"/>
        <w:tabs>
          <w:tab w:val="left" w:pos="426"/>
        </w:tabs>
        <w:spacing w:line="360" w:lineRule="auto"/>
        <w:ind w:left="0"/>
        <w:jc w:val="both"/>
        <w:rPr>
          <w:rFonts w:ascii="Palatino Linotype" w:eastAsia="Calibri" w:hAnsi="Palatino Linotype" w:cs="Arial"/>
          <w:color w:val="000000" w:themeColor="text1"/>
        </w:rPr>
      </w:pPr>
    </w:p>
    <w:p w14:paraId="329BA56A" w14:textId="5B85CB7C" w:rsidR="00360789" w:rsidRPr="001672EA" w:rsidRDefault="003D03B5" w:rsidP="00360789">
      <w:pPr>
        <w:pStyle w:val="Prrafodelista"/>
        <w:numPr>
          <w:ilvl w:val="0"/>
          <w:numId w:val="1"/>
        </w:numPr>
        <w:tabs>
          <w:tab w:val="left" w:pos="426"/>
        </w:tabs>
        <w:spacing w:line="360" w:lineRule="auto"/>
        <w:jc w:val="both"/>
        <w:rPr>
          <w:rFonts w:ascii="Palatino Linotype" w:hAnsi="Palatino Linotype"/>
          <w:color w:val="000000" w:themeColor="text1"/>
        </w:rPr>
      </w:pPr>
      <w:r w:rsidRPr="001672EA">
        <w:rPr>
          <w:rFonts w:ascii="Palatino Linotype" w:eastAsia="Times New Roman" w:hAnsi="Palatino Linotype" w:cs="Arial"/>
          <w:color w:val="000000" w:themeColor="text1"/>
        </w:rPr>
        <w:t>E</w:t>
      </w:r>
      <w:r w:rsidR="00360789" w:rsidRPr="001672EA">
        <w:rPr>
          <w:rFonts w:ascii="Palatino Linotype" w:eastAsia="Times New Roman" w:hAnsi="Palatino Linotype" w:cs="Arial"/>
          <w:color w:val="000000" w:themeColor="text1"/>
        </w:rPr>
        <w:t xml:space="preserve">l </w:t>
      </w:r>
      <w:r w:rsidR="00BC7300" w:rsidRPr="001672EA">
        <w:rPr>
          <w:rFonts w:ascii="Palatino Linotype" w:eastAsia="Times New Roman" w:hAnsi="Palatino Linotype" w:cs="Arial"/>
          <w:b/>
          <w:color w:val="000000" w:themeColor="text1"/>
        </w:rPr>
        <w:t>diecinueve (19</w:t>
      </w:r>
      <w:r w:rsidR="00176B16" w:rsidRPr="001672EA">
        <w:rPr>
          <w:rFonts w:ascii="Palatino Linotype" w:eastAsia="Times New Roman" w:hAnsi="Palatino Linotype" w:cs="Arial"/>
          <w:b/>
          <w:color w:val="000000" w:themeColor="text1"/>
        </w:rPr>
        <w:t>) de diciembre de dos mil veintidós</w:t>
      </w:r>
      <w:r w:rsidR="00360789" w:rsidRPr="001672EA">
        <w:rPr>
          <w:rFonts w:ascii="Palatino Linotype" w:eastAsia="Times New Roman" w:hAnsi="Palatino Linotype" w:cs="Arial"/>
          <w:color w:val="000000" w:themeColor="text1"/>
        </w:rPr>
        <w:t xml:space="preserve">, </w:t>
      </w:r>
      <w:r w:rsidR="00360789" w:rsidRPr="001672EA">
        <w:rPr>
          <w:rFonts w:ascii="Palatino Linotype" w:hAnsi="Palatino Linotype" w:cs="Arial"/>
          <w:color w:val="000000" w:themeColor="text1"/>
        </w:rPr>
        <w:t>con fundamento en el artículo 181, tercer párrafo, de la Ley de Transparencia y Acceso a la Información Pública del Estado de México y Municipios</w:t>
      </w:r>
      <w:r w:rsidR="00360789" w:rsidRPr="001672EA">
        <w:rPr>
          <w:rFonts w:ascii="Palatino Linotype" w:hAnsi="Palatino Linotype" w:cs="Arial"/>
          <w:bCs/>
          <w:color w:val="000000" w:themeColor="text1"/>
        </w:rPr>
        <w:t xml:space="preserve"> </w:t>
      </w:r>
      <w:r w:rsidR="00360789" w:rsidRPr="001672EA">
        <w:rPr>
          <w:rFonts w:ascii="Palatino Linotype" w:hAnsi="Palatino Linotype" w:cs="Arial"/>
          <w:color w:val="000000" w:themeColor="text1"/>
        </w:rPr>
        <w:t>se notificó que el plazo de treinta (30) días para resolver el recurso de revisión sería ampliado por un periodo de 15 días hábiles adicionales.</w:t>
      </w:r>
    </w:p>
    <w:p w14:paraId="2E6A6037" w14:textId="77777777" w:rsidR="008C28BF" w:rsidRPr="001672EA" w:rsidRDefault="008C28BF" w:rsidP="008C28BF">
      <w:pPr>
        <w:pStyle w:val="Prrafodelista"/>
        <w:tabs>
          <w:tab w:val="left" w:pos="426"/>
        </w:tabs>
        <w:spacing w:line="360" w:lineRule="auto"/>
        <w:ind w:left="0"/>
        <w:jc w:val="both"/>
        <w:rPr>
          <w:rFonts w:ascii="Palatino Linotype" w:hAnsi="Palatino Linotype"/>
          <w:color w:val="000000" w:themeColor="text1"/>
        </w:rPr>
      </w:pPr>
    </w:p>
    <w:p w14:paraId="58198DD1" w14:textId="570BBD22" w:rsidR="008F4D8E" w:rsidRPr="001672EA" w:rsidRDefault="008C28BF" w:rsidP="008F4D8E">
      <w:pPr>
        <w:pStyle w:val="Prrafodelista"/>
        <w:numPr>
          <w:ilvl w:val="0"/>
          <w:numId w:val="1"/>
        </w:numPr>
        <w:tabs>
          <w:tab w:val="left" w:pos="426"/>
        </w:tabs>
        <w:spacing w:before="240" w:after="240" w:line="360" w:lineRule="auto"/>
        <w:jc w:val="both"/>
        <w:rPr>
          <w:rFonts w:ascii="Palatino Linotype" w:hAnsi="Palatino Linotype"/>
        </w:rPr>
      </w:pPr>
      <w:r w:rsidRPr="001672EA">
        <w:rPr>
          <w:rFonts w:ascii="Palatino Linotype" w:hAnsi="Palatino Linotype" w:cs="Arial"/>
          <w:color w:val="000000" w:themeColor="text1"/>
        </w:rPr>
        <w:t xml:space="preserve">Este Organismo </w:t>
      </w:r>
      <w:r w:rsidR="008F4D8E" w:rsidRPr="001672EA">
        <w:rPr>
          <w:rFonts w:ascii="Palatino Linotype" w:eastAsia="Calibri" w:hAnsi="Palatino Linotype" w:cs="Arial"/>
        </w:rPr>
        <w:t xml:space="preserve">Garante no pasa por alto explicar, que la dilación en la resolución del presente asunto encuentra justificación en el alto número de recursos de revisión </w:t>
      </w:r>
      <w:r w:rsidR="00F6715F" w:rsidRPr="001672EA">
        <w:rPr>
          <w:rFonts w:ascii="Palatino Linotype" w:eastAsia="Calibri" w:hAnsi="Palatino Linotype" w:cs="Arial"/>
        </w:rPr>
        <w:t>|</w:t>
      </w:r>
      <w:r w:rsidR="008F4D8E" w:rsidRPr="001672EA">
        <w:rPr>
          <w:rFonts w:ascii="Palatino Linotype" w:eastAsia="Calibri" w:hAnsi="Palatino Linotype" w:cs="Arial"/>
        </w:rPr>
        <w:t>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7627EEA" w14:textId="77777777" w:rsidR="008F4D8E" w:rsidRPr="001672EA" w:rsidRDefault="008F4D8E" w:rsidP="008F4D8E">
      <w:pPr>
        <w:pStyle w:val="Prrafodelista"/>
        <w:tabs>
          <w:tab w:val="left" w:pos="426"/>
        </w:tabs>
        <w:spacing w:before="240" w:after="240" w:line="360" w:lineRule="auto"/>
        <w:ind w:left="0"/>
        <w:jc w:val="both"/>
        <w:rPr>
          <w:rFonts w:ascii="Palatino Linotype" w:hAnsi="Palatino Linotype"/>
        </w:rPr>
      </w:pPr>
    </w:p>
    <w:p w14:paraId="48ABB7BD" w14:textId="77777777" w:rsidR="008F4D8E" w:rsidRPr="001672EA"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1672E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EB4BA9A" w14:textId="77777777" w:rsidR="008F4D8E" w:rsidRPr="001672EA"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7667AA31" w14:textId="77777777" w:rsidR="008F4D8E" w:rsidRPr="001672EA"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1672EA">
        <w:rPr>
          <w:rFonts w:ascii="Palatino Linotype" w:hAnsi="Palatino Linotype"/>
          <w:color w:val="000000" w:themeColor="text1"/>
        </w:rPr>
        <w:t xml:space="preserve">Así, </w:t>
      </w:r>
      <w:r w:rsidRPr="001672EA">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F90A92" w14:textId="77777777" w:rsidR="008F4D8E" w:rsidRPr="001672EA" w:rsidRDefault="008F4D8E" w:rsidP="008F4D8E">
      <w:pPr>
        <w:pStyle w:val="Prrafodelista"/>
        <w:tabs>
          <w:tab w:val="left" w:pos="426"/>
        </w:tabs>
        <w:spacing w:before="240" w:after="240" w:line="360" w:lineRule="auto"/>
        <w:ind w:left="0"/>
        <w:jc w:val="both"/>
        <w:rPr>
          <w:rFonts w:ascii="Palatino Linotype" w:hAnsi="Palatino Linotype"/>
        </w:rPr>
      </w:pPr>
    </w:p>
    <w:p w14:paraId="4A1744C0" w14:textId="77777777" w:rsidR="008F4D8E" w:rsidRPr="001672EA"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1672EA">
        <w:rPr>
          <w:rFonts w:ascii="Palatino Linotype" w:eastAsia="Calibri" w:hAnsi="Palatino Linotype" w:cs="Arial"/>
        </w:rPr>
        <w:t xml:space="preserve">En </w:t>
      </w:r>
      <w:r w:rsidRPr="001672EA">
        <w:rPr>
          <w:rFonts w:ascii="Palatino Linotype" w:hAnsi="Palatino Linotype"/>
        </w:rPr>
        <w:t xml:space="preserve">ese sentido, el Legislador fijó los términos procesales en las leyes, de manera general, sin que pudiera prever la variada gama de casos que son resueltos por los </w:t>
      </w:r>
      <w:r w:rsidRPr="001672EA">
        <w:rPr>
          <w:rFonts w:ascii="Palatino Linotype" w:hAnsi="Palatino Linotype"/>
        </w:rPr>
        <w:lastRenderedPageBreak/>
        <w:t>órganos jurisdiccionales o cuasi jurisdiccionales, tanto por la complejidad de los hechos, como por el número de casos que conocen.</w:t>
      </w:r>
    </w:p>
    <w:p w14:paraId="79B55F0D" w14:textId="77777777" w:rsidR="008F4D8E" w:rsidRPr="001672EA" w:rsidRDefault="008F4D8E" w:rsidP="008F4D8E">
      <w:pPr>
        <w:pStyle w:val="Prrafodelista"/>
        <w:tabs>
          <w:tab w:val="left" w:pos="426"/>
        </w:tabs>
        <w:spacing w:before="240" w:after="240" w:line="360" w:lineRule="auto"/>
        <w:ind w:left="0"/>
        <w:jc w:val="both"/>
        <w:rPr>
          <w:rFonts w:ascii="Palatino Linotype" w:hAnsi="Palatino Linotype"/>
        </w:rPr>
      </w:pPr>
    </w:p>
    <w:p w14:paraId="3E0C7CBE" w14:textId="77777777" w:rsidR="008F4D8E" w:rsidRPr="001672EA"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1672EA">
        <w:rPr>
          <w:rFonts w:ascii="Palatino Linotype" w:eastAsia="Calibri" w:hAnsi="Palatino Linotype" w:cs="Arial"/>
        </w:rPr>
        <w:t xml:space="preserve">Por </w:t>
      </w:r>
      <w:r w:rsidRPr="001672EA">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01A6B28" w14:textId="77777777" w:rsidR="008F4D8E" w:rsidRPr="001672EA" w:rsidRDefault="008F4D8E" w:rsidP="008F4D8E">
      <w:pPr>
        <w:pStyle w:val="Prrafodelista"/>
        <w:numPr>
          <w:ilvl w:val="1"/>
          <w:numId w:val="5"/>
        </w:numPr>
        <w:tabs>
          <w:tab w:val="left" w:pos="426"/>
        </w:tabs>
        <w:spacing w:line="360" w:lineRule="auto"/>
        <w:ind w:left="1134"/>
        <w:jc w:val="both"/>
        <w:rPr>
          <w:rFonts w:ascii="Palatino Linotype" w:eastAsia="Calibri" w:hAnsi="Palatino Linotype" w:cs="Arial"/>
        </w:rPr>
      </w:pPr>
      <w:r w:rsidRPr="001672EA">
        <w:rPr>
          <w:rFonts w:ascii="Palatino Linotype" w:eastAsia="Calibri" w:hAnsi="Palatino Linotype" w:cs="Arial"/>
          <w:b/>
          <w:bCs/>
        </w:rPr>
        <w:t>Complejidad del Asunto:</w:t>
      </w:r>
      <w:r w:rsidRPr="001672EA">
        <w:rPr>
          <w:rFonts w:ascii="Palatino Linotype" w:eastAsia="Calibri" w:hAnsi="Palatino Linotype" w:cs="Arial"/>
        </w:rPr>
        <w:t xml:space="preserve"> La complejidad de la prueba, la pluralidad de sujetos procesales, el tiempo transcurrido, las características y contexto del recurso.</w:t>
      </w:r>
    </w:p>
    <w:p w14:paraId="108D80C0" w14:textId="77777777" w:rsidR="008F4D8E" w:rsidRPr="001672EA" w:rsidRDefault="008F4D8E" w:rsidP="008F4D8E">
      <w:pPr>
        <w:pStyle w:val="Prrafodelista"/>
        <w:numPr>
          <w:ilvl w:val="1"/>
          <w:numId w:val="5"/>
        </w:numPr>
        <w:tabs>
          <w:tab w:val="left" w:pos="426"/>
        </w:tabs>
        <w:spacing w:line="360" w:lineRule="auto"/>
        <w:ind w:left="1134"/>
        <w:jc w:val="both"/>
        <w:rPr>
          <w:rFonts w:ascii="Palatino Linotype" w:eastAsia="Calibri" w:hAnsi="Palatino Linotype" w:cs="Arial"/>
        </w:rPr>
      </w:pPr>
      <w:r w:rsidRPr="001672EA">
        <w:rPr>
          <w:rFonts w:ascii="Palatino Linotype" w:eastAsia="Calibri" w:hAnsi="Palatino Linotype" w:cs="Arial"/>
          <w:b/>
          <w:bCs/>
        </w:rPr>
        <w:t>Actividad Procesal del interesado:</w:t>
      </w:r>
      <w:r w:rsidRPr="001672EA">
        <w:rPr>
          <w:rFonts w:ascii="Palatino Linotype" w:eastAsia="Calibri" w:hAnsi="Palatino Linotype" w:cs="Arial"/>
        </w:rPr>
        <w:t xml:space="preserve"> Acciones u omisiones del interesado.</w:t>
      </w:r>
    </w:p>
    <w:p w14:paraId="1F910777" w14:textId="77777777" w:rsidR="008F4D8E" w:rsidRPr="001672EA" w:rsidRDefault="008F4D8E" w:rsidP="008F4D8E">
      <w:pPr>
        <w:pStyle w:val="Prrafodelista"/>
        <w:numPr>
          <w:ilvl w:val="1"/>
          <w:numId w:val="5"/>
        </w:numPr>
        <w:tabs>
          <w:tab w:val="left" w:pos="426"/>
        </w:tabs>
        <w:spacing w:line="360" w:lineRule="auto"/>
        <w:ind w:left="1134"/>
        <w:jc w:val="both"/>
        <w:rPr>
          <w:rFonts w:ascii="Palatino Linotype" w:eastAsia="Calibri" w:hAnsi="Palatino Linotype" w:cs="Arial"/>
        </w:rPr>
      </w:pPr>
      <w:r w:rsidRPr="001672EA">
        <w:rPr>
          <w:rFonts w:ascii="Palatino Linotype" w:eastAsia="Calibri" w:hAnsi="Palatino Linotype" w:cs="Arial"/>
          <w:b/>
          <w:bCs/>
        </w:rPr>
        <w:t>Conducta de la Autoridad:</w:t>
      </w:r>
      <w:r w:rsidRPr="001672EA">
        <w:rPr>
          <w:rFonts w:ascii="Palatino Linotype" w:eastAsia="Calibri" w:hAnsi="Palatino Linotype" w:cs="Arial"/>
        </w:rPr>
        <w:t xml:space="preserve"> Las Acciones u omisiones realizadas en el procedimiento. Así como si la autoridad actuó con la debida diligencia.</w:t>
      </w:r>
    </w:p>
    <w:p w14:paraId="19D82D8A" w14:textId="77777777" w:rsidR="008F4D8E" w:rsidRPr="001672EA" w:rsidRDefault="008F4D8E" w:rsidP="008F4D8E">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1672EA">
        <w:rPr>
          <w:rFonts w:ascii="Palatino Linotype" w:eastAsia="Calibri" w:hAnsi="Palatino Linotype" w:cs="Arial"/>
          <w:b/>
          <w:bCs/>
        </w:rPr>
        <w:t xml:space="preserve">La afectación generada en la situación jurídica de la persona involucrada en el proceso: </w:t>
      </w:r>
      <w:r w:rsidRPr="001672EA">
        <w:rPr>
          <w:rFonts w:ascii="Palatino Linotype" w:eastAsia="Calibri" w:hAnsi="Palatino Linotype" w:cs="Arial"/>
        </w:rPr>
        <w:t>Violación a sus derechos humanos.</w:t>
      </w:r>
    </w:p>
    <w:p w14:paraId="1557D3DD" w14:textId="77777777" w:rsidR="008F4D8E" w:rsidRPr="001672EA"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656778C2" w14:textId="77777777" w:rsidR="008F4D8E" w:rsidRPr="001672EA"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1672EA">
        <w:rPr>
          <w:rFonts w:ascii="Palatino Linotype" w:eastAsia="Calibri" w:hAnsi="Palatino Linotype" w:cs="Arial"/>
          <w:color w:val="000000" w:themeColor="text1"/>
        </w:rPr>
        <w:t xml:space="preserve">De </w:t>
      </w:r>
      <w:r w:rsidRPr="001672EA">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90A283" w14:textId="77777777" w:rsidR="008F4D8E" w:rsidRPr="001672EA" w:rsidRDefault="008F4D8E" w:rsidP="008F4D8E">
      <w:pPr>
        <w:pStyle w:val="Prrafodelista"/>
        <w:tabs>
          <w:tab w:val="left" w:pos="426"/>
        </w:tabs>
        <w:spacing w:before="240" w:after="240" w:line="360" w:lineRule="auto"/>
        <w:ind w:left="0"/>
        <w:jc w:val="both"/>
        <w:rPr>
          <w:rFonts w:ascii="Palatino Linotype" w:hAnsi="Palatino Linotype"/>
        </w:rPr>
      </w:pPr>
    </w:p>
    <w:p w14:paraId="40B754FB" w14:textId="77777777" w:rsidR="008F4D8E" w:rsidRPr="001672EA"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1672EA">
        <w:rPr>
          <w:rFonts w:ascii="Palatino Linotype" w:eastAsia="Calibri" w:hAnsi="Palatino Linotype" w:cs="Arial"/>
        </w:rPr>
        <w:t xml:space="preserve">Argumento </w:t>
      </w:r>
      <w:r w:rsidRPr="001672EA">
        <w:rPr>
          <w:rFonts w:ascii="Palatino Linotype" w:hAnsi="Palatino Linotype"/>
        </w:rPr>
        <w:t xml:space="preserve">que encuentra sustento en la jurisprudencia P./J. 32/92 emitida por el Pleno de la Suprema Corte de Justicia de la Nación de rubro </w:t>
      </w:r>
      <w:r w:rsidRPr="001672EA">
        <w:rPr>
          <w:rFonts w:ascii="Palatino Linotype" w:hAnsi="Palatino Linotype"/>
          <w:i/>
        </w:rPr>
        <w:t xml:space="preserve">“TÉRMINOS PROCESALES. PARA DETERMINAR SI UN FUNCIONARIO JUDICIAL ACTUÓ </w:t>
      </w:r>
      <w:r w:rsidRPr="001672EA">
        <w:rPr>
          <w:rFonts w:ascii="Palatino Linotype" w:hAnsi="Palatino Linotype"/>
          <w:i/>
        </w:rPr>
        <w:lastRenderedPageBreak/>
        <w:t>INDEBIDAMENTE POR NO RESPETARLOS SE DEBE ATENDER AL PRESUPUESTO QUE CONSIDERÓ EL LEGISLADOR AL FIJARLOS Y LAS CARACTERÍSTICAS DEL CASO.”</w:t>
      </w:r>
      <w:r w:rsidRPr="001672EA">
        <w:rPr>
          <w:rStyle w:val="Refdenotaalpie"/>
          <w:rFonts w:ascii="Palatino Linotype" w:hAnsi="Palatino Linotype"/>
          <w:i/>
        </w:rPr>
        <w:footnoteReference w:id="2"/>
      </w:r>
      <w:r w:rsidRPr="001672EA">
        <w:rPr>
          <w:rFonts w:ascii="Palatino Linotype" w:hAnsi="Palatino Linotype"/>
        </w:rPr>
        <w:t>, visible en la Gaceta del Seminario Judicial de la Federación con el registro digital 205635.</w:t>
      </w:r>
    </w:p>
    <w:p w14:paraId="5443EF68" w14:textId="77777777" w:rsidR="008F4D8E" w:rsidRPr="001672EA" w:rsidRDefault="008F4D8E" w:rsidP="008F4D8E">
      <w:pPr>
        <w:pStyle w:val="Prrafodelista"/>
        <w:tabs>
          <w:tab w:val="left" w:pos="426"/>
        </w:tabs>
        <w:spacing w:before="240" w:after="240" w:line="360" w:lineRule="auto"/>
        <w:ind w:left="0"/>
        <w:jc w:val="both"/>
        <w:rPr>
          <w:rFonts w:ascii="Palatino Linotype" w:hAnsi="Palatino Linotype"/>
        </w:rPr>
      </w:pPr>
    </w:p>
    <w:p w14:paraId="4D445AE6" w14:textId="77777777" w:rsidR="008F4D8E" w:rsidRPr="001672EA" w:rsidRDefault="008F4D8E" w:rsidP="008F4D8E">
      <w:pPr>
        <w:pStyle w:val="Prrafodelista"/>
        <w:numPr>
          <w:ilvl w:val="0"/>
          <w:numId w:val="1"/>
        </w:numPr>
        <w:tabs>
          <w:tab w:val="left" w:pos="426"/>
        </w:tabs>
        <w:spacing w:before="240" w:after="240" w:line="360" w:lineRule="auto"/>
        <w:jc w:val="both"/>
        <w:rPr>
          <w:rFonts w:ascii="Palatino Linotype" w:hAnsi="Palatino Linotype"/>
        </w:rPr>
      </w:pPr>
      <w:r w:rsidRPr="001672EA">
        <w:rPr>
          <w:rFonts w:ascii="Palatino Linotype" w:eastAsia="Calibri" w:hAnsi="Palatino Linotype" w:cs="Arial"/>
        </w:rPr>
        <w:t xml:space="preserve">Razones </w:t>
      </w:r>
      <w:r w:rsidRPr="001672EA">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672EA">
        <w:rPr>
          <w:rFonts w:ascii="Palatino Linotype" w:hAnsi="Palatino Linotype"/>
        </w:rPr>
        <w:lastRenderedPageBreak/>
        <w:t>los términos legales previamente establecidos por la Ley, por tratarse de causas de fuerza mayor.</w:t>
      </w:r>
    </w:p>
    <w:p w14:paraId="525FF588" w14:textId="77777777" w:rsidR="008F4D8E" w:rsidRPr="001672EA" w:rsidRDefault="008F4D8E" w:rsidP="008F4D8E">
      <w:pPr>
        <w:pStyle w:val="Prrafodelista"/>
        <w:tabs>
          <w:tab w:val="left" w:pos="426"/>
        </w:tabs>
        <w:spacing w:before="240" w:after="240" w:line="360" w:lineRule="auto"/>
        <w:ind w:left="0"/>
        <w:jc w:val="both"/>
        <w:rPr>
          <w:rFonts w:ascii="Palatino Linotype" w:hAnsi="Palatino Linotype"/>
        </w:rPr>
      </w:pPr>
    </w:p>
    <w:p w14:paraId="465B434A" w14:textId="77777777" w:rsidR="008F4D8E" w:rsidRPr="001672EA"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1672EA">
        <w:rPr>
          <w:rFonts w:ascii="Palatino Linotype" w:eastAsia="Calibri" w:hAnsi="Palatino Linotype" w:cs="Arial"/>
        </w:rPr>
        <w:t xml:space="preserve">Al </w:t>
      </w:r>
      <w:r w:rsidRPr="001672EA">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36314267" w14:textId="77777777" w:rsidR="008F4D8E" w:rsidRPr="001672EA"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1ACD3F10" w14:textId="77777777" w:rsidR="008F4D8E" w:rsidRPr="001672EA" w:rsidRDefault="008F4D8E" w:rsidP="008F4D8E">
      <w:pPr>
        <w:pStyle w:val="Prrafodelista"/>
        <w:spacing w:line="276" w:lineRule="auto"/>
        <w:ind w:left="567" w:right="567"/>
        <w:jc w:val="both"/>
        <w:rPr>
          <w:rFonts w:ascii="Palatino Linotype" w:hAnsi="Palatino Linotype"/>
          <w:i/>
          <w:sz w:val="22"/>
        </w:rPr>
      </w:pPr>
      <w:r w:rsidRPr="001672EA">
        <w:rPr>
          <w:rFonts w:ascii="Palatino Linotype" w:hAnsi="Palatino Linotype"/>
          <w:b/>
          <w:i/>
          <w:sz w:val="22"/>
        </w:rPr>
        <w:t>PLAZO RAZONABLE PARA RESOLVER. DIMENSIÓN Y EFECTOS DE ESTE CONCEPTO CUANDO SE ADUCE EXCESIVA CARGA DE TRABAJO.</w:t>
      </w:r>
      <w:r w:rsidRPr="001672EA">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w:t>
      </w:r>
      <w:r w:rsidRPr="001672EA">
        <w:rPr>
          <w:rFonts w:ascii="Palatino Linotype" w:hAnsi="Palatino Linotype"/>
          <w:i/>
          <w:sz w:val="22"/>
        </w:rPr>
        <w:lastRenderedPageBreak/>
        <w:t>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1672EA">
        <w:rPr>
          <w:rStyle w:val="Refdenotaalpie"/>
          <w:rFonts w:ascii="Palatino Linotype" w:hAnsi="Palatino Linotype"/>
          <w:i/>
          <w:sz w:val="22"/>
        </w:rPr>
        <w:footnoteReference w:id="3"/>
      </w:r>
    </w:p>
    <w:p w14:paraId="4EF913E4" w14:textId="77777777" w:rsidR="008F4D8E" w:rsidRPr="001672EA" w:rsidRDefault="008F4D8E" w:rsidP="008F4D8E">
      <w:pPr>
        <w:pStyle w:val="Prrafodelista"/>
        <w:spacing w:line="276" w:lineRule="auto"/>
        <w:ind w:left="567" w:right="567"/>
        <w:jc w:val="both"/>
        <w:rPr>
          <w:rFonts w:ascii="Palatino Linotype" w:hAnsi="Palatino Linotype"/>
          <w:i/>
          <w:sz w:val="22"/>
        </w:rPr>
      </w:pPr>
    </w:p>
    <w:p w14:paraId="447CEBD1" w14:textId="77777777" w:rsidR="008F4D8E" w:rsidRPr="001672EA" w:rsidRDefault="008F4D8E" w:rsidP="008F4D8E">
      <w:pPr>
        <w:pStyle w:val="Prrafodelista"/>
        <w:spacing w:line="276" w:lineRule="auto"/>
        <w:ind w:left="567" w:right="567"/>
        <w:jc w:val="both"/>
        <w:rPr>
          <w:rFonts w:ascii="Palatino Linotype" w:hAnsi="Palatino Linotype"/>
          <w:i/>
          <w:sz w:val="22"/>
        </w:rPr>
      </w:pPr>
      <w:r w:rsidRPr="001672EA">
        <w:rPr>
          <w:rFonts w:ascii="Palatino Linotype" w:hAnsi="Palatino Linotype"/>
          <w:b/>
          <w:i/>
          <w:sz w:val="22"/>
        </w:rPr>
        <w:t>PLAZO RAZONABLE PARA RESOLVER. CONCEPTO Y ELEMENTOS QUE LO INTEGRAN A LA LUZ DEL DERECHO INTERNACIONAL DE LOS DERECHOS HUMANOS.</w:t>
      </w:r>
      <w:r w:rsidRPr="001672EA">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w:t>
      </w:r>
      <w:r w:rsidRPr="001672EA">
        <w:rPr>
          <w:rFonts w:ascii="Palatino Linotype" w:hAnsi="Palatino Linotype"/>
          <w:i/>
          <w:sz w:val="22"/>
        </w:rPr>
        <w:lastRenderedPageBreak/>
        <w:t>para determinar el cumplimiento o no por parte del Estado del deber de resolver el conflicto en su jurisdicción en un tiempo razonable, se traduce en un examen de sentido común y sensata apreciación en cada caso concreto.”</w:t>
      </w:r>
      <w:r w:rsidRPr="001672EA">
        <w:rPr>
          <w:rStyle w:val="Refdenotaalpie"/>
          <w:rFonts w:ascii="Palatino Linotype" w:hAnsi="Palatino Linotype"/>
          <w:i/>
          <w:sz w:val="22"/>
        </w:rPr>
        <w:footnoteReference w:id="4"/>
      </w:r>
    </w:p>
    <w:p w14:paraId="076F908A" w14:textId="77777777" w:rsidR="008F4D8E" w:rsidRPr="001672EA" w:rsidRDefault="008F4D8E" w:rsidP="008F4D8E">
      <w:pPr>
        <w:pStyle w:val="Prrafodelista"/>
        <w:tabs>
          <w:tab w:val="left" w:pos="426"/>
        </w:tabs>
        <w:spacing w:line="360" w:lineRule="auto"/>
        <w:ind w:left="0"/>
        <w:jc w:val="both"/>
        <w:rPr>
          <w:rFonts w:ascii="Palatino Linotype" w:hAnsi="Palatino Linotype"/>
          <w:color w:val="000000" w:themeColor="text1"/>
        </w:rPr>
      </w:pPr>
    </w:p>
    <w:p w14:paraId="077B9922" w14:textId="5E08A8EA" w:rsidR="008C28BF" w:rsidRPr="001672EA" w:rsidRDefault="008F4D8E"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1672EA">
        <w:rPr>
          <w:rFonts w:ascii="Palatino Linotype" w:eastAsia="Calibri" w:hAnsi="Palatino Linotype" w:cs="Arial"/>
          <w:color w:val="000000" w:themeColor="text1"/>
        </w:rPr>
        <w:t xml:space="preserve">Por </w:t>
      </w:r>
      <w:r w:rsidRPr="001672EA">
        <w:rPr>
          <w:rFonts w:ascii="Palatino Linotype" w:hAnsi="Palatino Linotype"/>
        </w:rPr>
        <w:t>ello, este Organismo Garante, comprometido con la tutela de los derechos humanos confiados, señala que este exceso del plazo legal para resolver el presente asunto, resulta de carácter excepcional.</w:t>
      </w:r>
      <w:r w:rsidR="008C28BF" w:rsidRPr="001672EA">
        <w:rPr>
          <w:rFonts w:ascii="Palatino Linotype" w:hAnsi="Palatino Linotype" w:cs="Arial"/>
          <w:color w:val="000000" w:themeColor="text1"/>
        </w:rPr>
        <w:t xml:space="preserve"> </w:t>
      </w:r>
    </w:p>
    <w:p w14:paraId="3573882C" w14:textId="77777777" w:rsidR="00BC7300" w:rsidRPr="001672EA" w:rsidRDefault="00BC7300" w:rsidP="00BC7300">
      <w:pPr>
        <w:pStyle w:val="Prrafodelista"/>
        <w:tabs>
          <w:tab w:val="left" w:pos="426"/>
        </w:tabs>
        <w:spacing w:line="360" w:lineRule="auto"/>
        <w:ind w:left="0"/>
        <w:jc w:val="both"/>
        <w:rPr>
          <w:rFonts w:ascii="Palatino Linotype" w:hAnsi="Palatino Linotype"/>
          <w:color w:val="000000" w:themeColor="text1"/>
        </w:rPr>
      </w:pPr>
    </w:p>
    <w:p w14:paraId="36DC3561" w14:textId="04A250AD" w:rsidR="00BC7300" w:rsidRPr="001672EA" w:rsidRDefault="00BC7300" w:rsidP="008F4D8E">
      <w:pPr>
        <w:pStyle w:val="Prrafodelista"/>
        <w:numPr>
          <w:ilvl w:val="0"/>
          <w:numId w:val="1"/>
        </w:numPr>
        <w:tabs>
          <w:tab w:val="left" w:pos="426"/>
        </w:tabs>
        <w:spacing w:line="360" w:lineRule="auto"/>
        <w:jc w:val="both"/>
        <w:rPr>
          <w:rFonts w:ascii="Palatino Linotype" w:hAnsi="Palatino Linotype"/>
          <w:color w:val="000000" w:themeColor="text1"/>
        </w:rPr>
      </w:pPr>
      <w:r w:rsidRPr="001672EA">
        <w:rPr>
          <w:rFonts w:ascii="Palatino Linotype" w:hAnsi="Palatino Linotype" w:cs="Arial"/>
          <w:color w:val="000000" w:themeColor="text1"/>
        </w:rPr>
        <w:t xml:space="preserve">El </w:t>
      </w:r>
      <w:r w:rsidRPr="001672EA">
        <w:rPr>
          <w:rFonts w:ascii="Palatino Linotype" w:hAnsi="Palatino Linotype" w:cs="Arial"/>
          <w:b/>
          <w:color w:val="000000" w:themeColor="text1"/>
        </w:rPr>
        <w:t>siete (07) de agosto de dos mil veintitrés</w:t>
      </w:r>
      <w:r w:rsidRPr="001672EA">
        <w:rPr>
          <w:rFonts w:ascii="Palatino Linotype" w:hAnsi="Palatino Linotype" w:cs="Arial"/>
          <w:color w:val="000000" w:themeColor="text1"/>
        </w:rPr>
        <w:t xml:space="preserve">, los archivos electrónicos presentados como informe justificado por el </w:t>
      </w:r>
      <w:r w:rsidRPr="001672EA">
        <w:rPr>
          <w:rFonts w:ascii="Palatino Linotype" w:hAnsi="Palatino Linotype" w:cs="Arial"/>
          <w:b/>
          <w:color w:val="000000" w:themeColor="text1"/>
        </w:rPr>
        <w:t>SUJETO OBLIGADO</w:t>
      </w:r>
      <w:r w:rsidRPr="001672EA">
        <w:rPr>
          <w:rFonts w:ascii="Palatino Linotype" w:hAnsi="Palatino Linotype" w:cs="Arial"/>
          <w:color w:val="000000" w:themeColor="text1"/>
        </w:rPr>
        <w:t xml:space="preserve"> fueron puestos a la vista del </w:t>
      </w:r>
      <w:r w:rsidRPr="001672EA">
        <w:rPr>
          <w:rFonts w:ascii="Palatino Linotype" w:hAnsi="Palatino Linotype" w:cs="Arial"/>
          <w:b/>
          <w:color w:val="000000" w:themeColor="text1"/>
        </w:rPr>
        <w:t>RECURRENTE</w:t>
      </w:r>
      <w:r w:rsidRPr="001672EA">
        <w:rPr>
          <w:rFonts w:ascii="Palatino Linotype" w:hAnsi="Palatino Linotype" w:cs="Arial"/>
          <w:color w:val="000000" w:themeColor="text1"/>
        </w:rPr>
        <w:t>, concediéndole un término de tres días hábiles para que manifestara lo que a su derecho conviniera. No obstante, se hace constar que el particular no ejerció su derecho de réplica sobre los nuevos contenidos.</w:t>
      </w:r>
    </w:p>
    <w:p w14:paraId="13E02A85" w14:textId="77777777" w:rsidR="00360789" w:rsidRPr="001672EA" w:rsidRDefault="00360789" w:rsidP="00360789">
      <w:pPr>
        <w:pStyle w:val="Prrafodelista"/>
        <w:tabs>
          <w:tab w:val="left" w:pos="426"/>
        </w:tabs>
        <w:spacing w:line="360" w:lineRule="auto"/>
        <w:ind w:left="0"/>
        <w:jc w:val="both"/>
        <w:rPr>
          <w:rFonts w:ascii="Palatino Linotype" w:hAnsi="Palatino Linotype"/>
          <w:color w:val="000000" w:themeColor="text1"/>
        </w:rPr>
      </w:pPr>
    </w:p>
    <w:p w14:paraId="713C69FA" w14:textId="1A1F3ACB" w:rsidR="00AE1CCB" w:rsidRPr="001672EA" w:rsidRDefault="00213D85"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1672EA">
        <w:rPr>
          <w:rFonts w:ascii="Palatino Linotype" w:eastAsia="Times New Roman" w:hAnsi="Palatino Linotype" w:cs="Arial"/>
          <w:color w:val="000000" w:themeColor="text1"/>
        </w:rPr>
        <w:t>F</w:t>
      </w:r>
      <w:r w:rsidR="00795FC5" w:rsidRPr="001672EA">
        <w:rPr>
          <w:rFonts w:ascii="Palatino Linotype" w:eastAsia="Times New Roman" w:hAnsi="Palatino Linotype" w:cs="Arial"/>
          <w:color w:val="000000" w:themeColor="text1"/>
        </w:rPr>
        <w:t xml:space="preserve">inalmente, el </w:t>
      </w:r>
      <w:r w:rsidR="00176B16" w:rsidRPr="001672EA">
        <w:rPr>
          <w:rFonts w:ascii="Palatino Linotype" w:eastAsia="Times New Roman" w:hAnsi="Palatino Linotype" w:cs="Arial"/>
          <w:b/>
          <w:color w:val="000000" w:themeColor="text1"/>
        </w:rPr>
        <w:t>veintitrés (23) de enero de dos mil veinticuatro</w:t>
      </w:r>
      <w:r w:rsidR="001E0672" w:rsidRPr="001672EA">
        <w:rPr>
          <w:rFonts w:ascii="Palatino Linotype" w:eastAsia="Times New Roman" w:hAnsi="Palatino Linotype" w:cs="Arial"/>
          <w:color w:val="000000" w:themeColor="text1"/>
        </w:rPr>
        <w:t xml:space="preserve">, </w:t>
      </w:r>
      <w:r w:rsidR="00AE1CCB" w:rsidRPr="001672EA">
        <w:rPr>
          <w:rFonts w:ascii="Palatino Linotype" w:hAnsi="Palatino Linotype" w:cs="Arial"/>
          <w:color w:val="000000" w:themeColor="text1"/>
        </w:rPr>
        <w:t xml:space="preserve">la Comisionada Ponente decretó el cierre del periodo de instrucción, por lo que ordenó turnar </w:t>
      </w:r>
      <w:r w:rsidR="008A7F1F" w:rsidRPr="001672EA">
        <w:rPr>
          <w:rFonts w:ascii="Palatino Linotype" w:hAnsi="Palatino Linotype" w:cs="Arial"/>
          <w:color w:val="000000" w:themeColor="text1"/>
        </w:rPr>
        <w:t>el expediente</w:t>
      </w:r>
      <w:r w:rsidR="004D5BA4" w:rsidRPr="001672EA">
        <w:rPr>
          <w:rFonts w:ascii="Palatino Linotype" w:hAnsi="Palatino Linotype" w:cs="Arial"/>
          <w:color w:val="000000" w:themeColor="text1"/>
        </w:rPr>
        <w:t xml:space="preserve"> </w:t>
      </w:r>
      <w:r w:rsidR="00AE1CCB" w:rsidRPr="001672EA">
        <w:rPr>
          <w:rFonts w:ascii="Palatino Linotype" w:hAnsi="Palatino Linotype" w:cs="Arial"/>
          <w:color w:val="000000" w:themeColor="text1"/>
        </w:rPr>
        <w:t>para su resolució</w:t>
      </w:r>
      <w:r w:rsidR="009A7F61" w:rsidRPr="001672EA">
        <w:rPr>
          <w:rFonts w:ascii="Palatino Linotype" w:hAnsi="Palatino Linotype" w:cs="Arial"/>
          <w:color w:val="000000" w:themeColor="text1"/>
        </w:rPr>
        <w:t>n, misma que ahora se pronuncia; y ------------------------</w:t>
      </w:r>
    </w:p>
    <w:p w14:paraId="2D281E58" w14:textId="61FDA575" w:rsidR="00176B16" w:rsidRPr="001672EA" w:rsidRDefault="00176B16">
      <w:pPr>
        <w:rPr>
          <w:rFonts w:ascii="Palatino Linotype" w:hAnsi="Palatino Linotype"/>
          <w:color w:val="000000" w:themeColor="text1"/>
        </w:rPr>
      </w:pPr>
    </w:p>
    <w:p w14:paraId="5AC16493" w14:textId="77777777" w:rsidR="00BC7300" w:rsidRPr="001672EA" w:rsidRDefault="00BC7300">
      <w:pPr>
        <w:rPr>
          <w:rFonts w:ascii="Palatino Linotype" w:hAnsi="Palatino Linotype"/>
          <w:color w:val="000000" w:themeColor="text1"/>
        </w:rPr>
      </w:pPr>
    </w:p>
    <w:p w14:paraId="5CB47E4D" w14:textId="331D5FBB" w:rsidR="00C33279" w:rsidRPr="001672EA" w:rsidRDefault="007C0013" w:rsidP="00B31E90">
      <w:pPr>
        <w:pStyle w:val="Ttulo1"/>
        <w:spacing w:before="0"/>
        <w:jc w:val="center"/>
        <w:rPr>
          <w:b/>
          <w:color w:val="000000" w:themeColor="text1"/>
        </w:rPr>
      </w:pPr>
      <w:bookmarkStart w:id="6" w:name="_Toc88071777"/>
      <w:r w:rsidRPr="001672EA">
        <w:rPr>
          <w:b/>
          <w:color w:val="000000" w:themeColor="text1"/>
        </w:rPr>
        <w:t>C</w:t>
      </w:r>
      <w:r w:rsidR="00EE696E" w:rsidRPr="001672EA">
        <w:rPr>
          <w:b/>
          <w:color w:val="000000" w:themeColor="text1"/>
        </w:rPr>
        <w:t xml:space="preserve"> </w:t>
      </w:r>
      <w:r w:rsidRPr="001672EA">
        <w:rPr>
          <w:b/>
          <w:color w:val="000000" w:themeColor="text1"/>
        </w:rPr>
        <w:t>O</w:t>
      </w:r>
      <w:r w:rsidR="00EE696E" w:rsidRPr="001672EA">
        <w:rPr>
          <w:b/>
          <w:color w:val="000000" w:themeColor="text1"/>
        </w:rPr>
        <w:t xml:space="preserve"> </w:t>
      </w:r>
      <w:r w:rsidRPr="001672EA">
        <w:rPr>
          <w:b/>
          <w:color w:val="000000" w:themeColor="text1"/>
        </w:rPr>
        <w:t>N</w:t>
      </w:r>
      <w:r w:rsidR="00EE696E" w:rsidRPr="001672EA">
        <w:rPr>
          <w:b/>
          <w:color w:val="000000" w:themeColor="text1"/>
        </w:rPr>
        <w:t xml:space="preserve"> </w:t>
      </w:r>
      <w:r w:rsidRPr="001672EA">
        <w:rPr>
          <w:b/>
          <w:color w:val="000000" w:themeColor="text1"/>
        </w:rPr>
        <w:t>S</w:t>
      </w:r>
      <w:r w:rsidR="00EE696E" w:rsidRPr="001672EA">
        <w:rPr>
          <w:b/>
          <w:color w:val="000000" w:themeColor="text1"/>
        </w:rPr>
        <w:t xml:space="preserve"> </w:t>
      </w:r>
      <w:r w:rsidRPr="001672EA">
        <w:rPr>
          <w:b/>
          <w:color w:val="000000" w:themeColor="text1"/>
        </w:rPr>
        <w:t>I</w:t>
      </w:r>
      <w:r w:rsidR="00EE696E" w:rsidRPr="001672EA">
        <w:rPr>
          <w:b/>
          <w:color w:val="000000" w:themeColor="text1"/>
        </w:rPr>
        <w:t xml:space="preserve"> </w:t>
      </w:r>
      <w:r w:rsidRPr="001672EA">
        <w:rPr>
          <w:b/>
          <w:color w:val="000000" w:themeColor="text1"/>
        </w:rPr>
        <w:t>D</w:t>
      </w:r>
      <w:r w:rsidR="00EE696E" w:rsidRPr="001672EA">
        <w:rPr>
          <w:b/>
          <w:color w:val="000000" w:themeColor="text1"/>
        </w:rPr>
        <w:t xml:space="preserve"> </w:t>
      </w:r>
      <w:r w:rsidRPr="001672EA">
        <w:rPr>
          <w:b/>
          <w:color w:val="000000" w:themeColor="text1"/>
        </w:rPr>
        <w:t>E</w:t>
      </w:r>
      <w:r w:rsidR="00EE696E" w:rsidRPr="001672EA">
        <w:rPr>
          <w:b/>
          <w:color w:val="000000" w:themeColor="text1"/>
        </w:rPr>
        <w:t xml:space="preserve"> </w:t>
      </w:r>
      <w:r w:rsidRPr="001672EA">
        <w:rPr>
          <w:b/>
          <w:color w:val="000000" w:themeColor="text1"/>
        </w:rPr>
        <w:t>R</w:t>
      </w:r>
      <w:r w:rsidR="00EE696E" w:rsidRPr="001672EA">
        <w:rPr>
          <w:b/>
          <w:color w:val="000000" w:themeColor="text1"/>
        </w:rPr>
        <w:t xml:space="preserve"> </w:t>
      </w:r>
      <w:r w:rsidRPr="001672EA">
        <w:rPr>
          <w:b/>
          <w:color w:val="000000" w:themeColor="text1"/>
        </w:rPr>
        <w:t>A</w:t>
      </w:r>
      <w:r w:rsidR="00EE696E" w:rsidRPr="001672EA">
        <w:rPr>
          <w:b/>
          <w:color w:val="000000" w:themeColor="text1"/>
        </w:rPr>
        <w:t xml:space="preserve"> </w:t>
      </w:r>
      <w:r w:rsidRPr="001672EA">
        <w:rPr>
          <w:b/>
          <w:color w:val="000000" w:themeColor="text1"/>
        </w:rPr>
        <w:t>N</w:t>
      </w:r>
      <w:r w:rsidR="00EE696E" w:rsidRPr="001672EA">
        <w:rPr>
          <w:b/>
          <w:color w:val="000000" w:themeColor="text1"/>
        </w:rPr>
        <w:t xml:space="preserve"> </w:t>
      </w:r>
      <w:r w:rsidRPr="001672EA">
        <w:rPr>
          <w:b/>
          <w:color w:val="000000" w:themeColor="text1"/>
        </w:rPr>
        <w:t>D</w:t>
      </w:r>
      <w:r w:rsidR="00EE696E" w:rsidRPr="001672EA">
        <w:rPr>
          <w:b/>
          <w:color w:val="000000" w:themeColor="text1"/>
        </w:rPr>
        <w:t xml:space="preserve"> </w:t>
      </w:r>
      <w:r w:rsidRPr="001672EA">
        <w:rPr>
          <w:b/>
          <w:color w:val="000000" w:themeColor="text1"/>
        </w:rPr>
        <w:t>O</w:t>
      </w:r>
      <w:bookmarkEnd w:id="4"/>
      <w:bookmarkEnd w:id="5"/>
      <w:bookmarkEnd w:id="6"/>
    </w:p>
    <w:p w14:paraId="435CF9A4" w14:textId="77777777" w:rsidR="00FC1DA7" w:rsidRPr="001672EA" w:rsidRDefault="00FC1DA7" w:rsidP="00B31E90">
      <w:pPr>
        <w:rPr>
          <w:color w:val="000000" w:themeColor="text1"/>
          <w:lang w:eastAsia="en-US"/>
        </w:rPr>
      </w:pPr>
    </w:p>
    <w:p w14:paraId="0F6D663F" w14:textId="77777777" w:rsidR="00176B16" w:rsidRPr="001672EA" w:rsidRDefault="00176B16" w:rsidP="00B31E90">
      <w:pPr>
        <w:rPr>
          <w:color w:val="000000" w:themeColor="text1"/>
          <w:lang w:eastAsia="en-US"/>
        </w:rPr>
      </w:pPr>
    </w:p>
    <w:p w14:paraId="629A5BE2" w14:textId="1FC05436" w:rsidR="007C0013" w:rsidRPr="001672EA"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1672EA">
        <w:rPr>
          <w:rFonts w:ascii="Palatino Linotype" w:hAnsi="Palatino Linotype"/>
          <w:b/>
          <w:color w:val="000000" w:themeColor="text1"/>
          <w:sz w:val="24"/>
        </w:rPr>
        <w:t>PRIMERO. De la competencia</w:t>
      </w:r>
      <w:bookmarkEnd w:id="7"/>
      <w:bookmarkEnd w:id="8"/>
      <w:bookmarkEnd w:id="9"/>
    </w:p>
    <w:p w14:paraId="60FBD8C7" w14:textId="77777777" w:rsidR="00FC1DA7" w:rsidRPr="001672EA" w:rsidRDefault="00FC1DA7" w:rsidP="00B31E90">
      <w:pPr>
        <w:rPr>
          <w:rFonts w:ascii="Palatino Linotype" w:hAnsi="Palatino Linotype"/>
          <w:color w:val="000000" w:themeColor="text1"/>
          <w:lang w:eastAsia="en-US"/>
        </w:rPr>
      </w:pPr>
    </w:p>
    <w:p w14:paraId="0BF52B18" w14:textId="5BDF5241" w:rsidR="005A228F" w:rsidRPr="001672EA" w:rsidRDefault="00A45546" w:rsidP="00827AE9">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rPr>
      </w:pPr>
      <w:r w:rsidRPr="001672EA">
        <w:rPr>
          <w:rFonts w:ascii="Palatino Linotype" w:eastAsia="Calibri" w:hAnsi="Palatino Linotype" w:cs="Times New Roman"/>
          <w:color w:val="000000" w:themeColor="text1"/>
        </w:rPr>
        <w:t xml:space="preserve">Este </w:t>
      </w:r>
      <w:r w:rsidR="00176B16" w:rsidRPr="001672EA">
        <w:rPr>
          <w:rFonts w:ascii="Palatino Linotype" w:eastAsia="Calibri" w:hAnsi="Palatino Linotype" w:cs="Times New Roman"/>
          <w:color w:val="000000" w:themeColor="text1"/>
        </w:rPr>
        <w:t xml:space="preserve">Instituto de Transparencia, Acceso a la Información Pública y Protección de Datos Personales del Estado de México y Municipios, es competente para conocer y resolver del presente recurso de conformidad con el artículo: 6, apartado A, fracción </w:t>
      </w:r>
      <w:r w:rsidR="00176B16" w:rsidRPr="001672EA">
        <w:rPr>
          <w:rFonts w:ascii="Palatino Linotype" w:eastAsia="Calibri" w:hAnsi="Palatino Linotype" w:cs="Times New Roman"/>
          <w:color w:val="000000" w:themeColor="text1"/>
        </w:rPr>
        <w:lastRenderedPageBreak/>
        <w:t>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956B329" w14:textId="77777777" w:rsidR="00B76C73" w:rsidRPr="001672EA"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rPr>
      </w:pPr>
    </w:p>
    <w:p w14:paraId="753DC7A1" w14:textId="5E205177" w:rsidR="00C6440A" w:rsidRPr="001672EA"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1672EA">
        <w:rPr>
          <w:rFonts w:ascii="Palatino Linotype" w:hAnsi="Palatino Linotype"/>
          <w:b/>
          <w:color w:val="000000" w:themeColor="text1"/>
          <w:sz w:val="24"/>
        </w:rPr>
        <w:t>SEGUNDO. De la oportunidad y proced</w:t>
      </w:r>
      <w:r w:rsidR="00F35C44" w:rsidRPr="001672EA">
        <w:rPr>
          <w:rFonts w:ascii="Palatino Linotype" w:hAnsi="Palatino Linotype"/>
          <w:b/>
          <w:color w:val="000000" w:themeColor="text1"/>
          <w:sz w:val="24"/>
        </w:rPr>
        <w:t>encia</w:t>
      </w:r>
      <w:r w:rsidRPr="001672EA">
        <w:rPr>
          <w:rFonts w:ascii="Palatino Linotype" w:hAnsi="Palatino Linotype"/>
          <w:b/>
          <w:color w:val="000000" w:themeColor="text1"/>
          <w:sz w:val="24"/>
        </w:rPr>
        <w:t>.</w:t>
      </w:r>
      <w:bookmarkEnd w:id="10"/>
      <w:bookmarkEnd w:id="11"/>
      <w:bookmarkEnd w:id="12"/>
    </w:p>
    <w:p w14:paraId="18E22450" w14:textId="77777777" w:rsidR="00C6440A" w:rsidRPr="001672EA" w:rsidRDefault="00C6440A" w:rsidP="00B31E90">
      <w:pPr>
        <w:rPr>
          <w:color w:val="000000" w:themeColor="text1"/>
          <w:lang w:eastAsia="en-US"/>
        </w:rPr>
      </w:pPr>
    </w:p>
    <w:p w14:paraId="1DAE4B2B" w14:textId="20314934" w:rsidR="008A7F1F" w:rsidRPr="001672EA"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1672EA">
        <w:rPr>
          <w:rFonts w:ascii="Palatino Linotype" w:eastAsia="Calibri" w:hAnsi="Palatino Linotype" w:cs="Arial"/>
          <w:color w:val="000000" w:themeColor="text1"/>
        </w:rPr>
        <w:t>El</w:t>
      </w:r>
      <w:r w:rsidR="003E6D0F" w:rsidRPr="001672EA">
        <w:rPr>
          <w:rFonts w:ascii="Palatino Linotype" w:eastAsia="Calibri" w:hAnsi="Palatino Linotype" w:cs="Arial"/>
          <w:color w:val="000000" w:themeColor="text1"/>
        </w:rPr>
        <w:t xml:space="preserve"> </w:t>
      </w:r>
      <w:r w:rsidRPr="001672EA">
        <w:rPr>
          <w:rFonts w:ascii="Palatino Linotype" w:eastAsia="Calibri" w:hAnsi="Palatino Linotype" w:cs="Arial"/>
        </w:rPr>
        <w:t>medio de impugnación fue presentado a través del SAIMEX</w:t>
      </w:r>
      <w:r w:rsidRPr="001672EA">
        <w:rPr>
          <w:rFonts w:ascii="Palatino Linotype" w:eastAsia="Calibri" w:hAnsi="Palatino Linotype" w:cs="Arial"/>
          <w:b/>
        </w:rPr>
        <w:t>,</w:t>
      </w:r>
      <w:r w:rsidRPr="001672EA">
        <w:rPr>
          <w:rFonts w:ascii="Palatino Linotype" w:eastAsia="Calibri" w:hAnsi="Palatino Linotype" w:cs="Arial"/>
        </w:rPr>
        <w:t xml:space="preserve"> en el formato previamente aprobado para tal efecto y dentro del plazo legal de quince días hábiles otorgados; para el caso en particular</w:t>
      </w:r>
      <w:r w:rsidR="00246318" w:rsidRPr="001672EA">
        <w:rPr>
          <w:rFonts w:ascii="Palatino Linotype" w:eastAsia="Calibri" w:hAnsi="Palatino Linotype" w:cs="Arial"/>
        </w:rPr>
        <w:t>,</w:t>
      </w:r>
      <w:r w:rsidRPr="001672EA">
        <w:rPr>
          <w:rFonts w:ascii="Palatino Linotype" w:eastAsia="Calibri" w:hAnsi="Palatino Linotype" w:cs="Arial"/>
        </w:rPr>
        <w:t xml:space="preserve"> es de señalar que si el </w:t>
      </w:r>
      <w:r w:rsidRPr="001672EA">
        <w:rPr>
          <w:rFonts w:ascii="Palatino Linotype" w:eastAsia="Calibri" w:hAnsi="Palatino Linotype" w:cs="Arial"/>
          <w:b/>
        </w:rPr>
        <w:t>SUJETO OBLIGADO</w:t>
      </w:r>
      <w:r w:rsidRPr="001672EA">
        <w:rPr>
          <w:rFonts w:ascii="Palatino Linotype" w:eastAsia="Calibri" w:hAnsi="Palatino Linotype" w:cs="Arial"/>
        </w:rPr>
        <w:t xml:space="preserve"> entregó respuesta el </w:t>
      </w:r>
      <w:r w:rsidR="00BC7300" w:rsidRPr="001672EA">
        <w:rPr>
          <w:rFonts w:ascii="Palatino Linotype" w:eastAsia="Calibri" w:hAnsi="Palatino Linotype" w:cs="Arial"/>
        </w:rPr>
        <w:t>diecinueve (19) de mayo</w:t>
      </w:r>
      <w:r w:rsidR="00964B51" w:rsidRPr="001672EA">
        <w:rPr>
          <w:rFonts w:ascii="Palatino Linotype" w:eastAsia="Calibri" w:hAnsi="Palatino Linotype" w:cs="Arial"/>
        </w:rPr>
        <w:t xml:space="preserve"> </w:t>
      </w:r>
      <w:r w:rsidR="0088416D" w:rsidRPr="001672EA">
        <w:rPr>
          <w:rFonts w:ascii="Palatino Linotype" w:eastAsia="Calibri" w:hAnsi="Palatino Linotype" w:cs="Arial"/>
        </w:rPr>
        <w:t>de dos mil veintidós</w:t>
      </w:r>
      <w:r w:rsidRPr="001672EA">
        <w:rPr>
          <w:rFonts w:ascii="Palatino Linotype" w:eastAsia="Calibri" w:hAnsi="Palatino Linotype" w:cs="Arial"/>
        </w:rPr>
        <w:t xml:space="preserve">, el plazo para interponer el recurso de revisión trascurrió del </w:t>
      </w:r>
      <w:r w:rsidR="00BC7300" w:rsidRPr="001672EA">
        <w:rPr>
          <w:rFonts w:ascii="Palatino Linotype" w:eastAsia="Calibri" w:hAnsi="Palatino Linotype" w:cs="Arial"/>
        </w:rPr>
        <w:t>veinte (20) de mayo al nueve (09) de junio</w:t>
      </w:r>
      <w:r w:rsidR="00B50723" w:rsidRPr="001672EA">
        <w:rPr>
          <w:rFonts w:ascii="Palatino Linotype" w:eastAsia="Calibri" w:hAnsi="Palatino Linotype" w:cs="Arial"/>
        </w:rPr>
        <w:t xml:space="preserve"> de dos mil veintidós</w:t>
      </w:r>
      <w:r w:rsidRPr="001672EA">
        <w:rPr>
          <w:rFonts w:ascii="Palatino Linotype" w:eastAsia="Calibri" w:hAnsi="Palatino Linotype" w:cs="Arial"/>
        </w:rPr>
        <w:t xml:space="preserve">; sin contemplar en el cómputo los </w:t>
      </w:r>
      <w:r w:rsidR="007E72D5" w:rsidRPr="001672EA">
        <w:rPr>
          <w:rFonts w:ascii="Palatino Linotype" w:eastAsia="Calibri" w:hAnsi="Palatino Linotype" w:cs="Arial"/>
        </w:rPr>
        <w:t>sábado</w:t>
      </w:r>
      <w:r w:rsidR="00093A7F" w:rsidRPr="001672EA">
        <w:rPr>
          <w:rFonts w:ascii="Palatino Linotype" w:eastAsia="Calibri" w:hAnsi="Palatino Linotype" w:cs="Arial"/>
        </w:rPr>
        <w:t>s</w:t>
      </w:r>
      <w:r w:rsidR="00B50723" w:rsidRPr="001672EA">
        <w:rPr>
          <w:rFonts w:ascii="Palatino Linotype" w:eastAsia="Calibri" w:hAnsi="Palatino Linotype" w:cs="Arial"/>
        </w:rPr>
        <w:t xml:space="preserve"> y</w:t>
      </w:r>
      <w:r w:rsidR="00BF22B8" w:rsidRPr="001672EA">
        <w:rPr>
          <w:rFonts w:ascii="Palatino Linotype" w:eastAsia="Calibri" w:hAnsi="Palatino Linotype" w:cs="Arial"/>
        </w:rPr>
        <w:t xml:space="preserve"> </w:t>
      </w:r>
      <w:r w:rsidR="007E72D5" w:rsidRPr="001672EA">
        <w:rPr>
          <w:rFonts w:ascii="Palatino Linotype" w:eastAsia="Calibri" w:hAnsi="Palatino Linotype" w:cs="Arial"/>
        </w:rPr>
        <w:t>domingos</w:t>
      </w:r>
      <w:r w:rsidR="003A2CF7" w:rsidRPr="001672EA">
        <w:rPr>
          <w:rFonts w:ascii="Palatino Linotype" w:eastAsia="Calibri" w:hAnsi="Palatino Linotype" w:cs="Arial"/>
        </w:rPr>
        <w:t>,</w:t>
      </w:r>
      <w:r w:rsidRPr="001672EA">
        <w:rPr>
          <w:rFonts w:ascii="Palatino Linotype" w:eastAsia="Calibri" w:hAnsi="Palatino Linotype" w:cs="Arial"/>
        </w:rPr>
        <w:t xml:space="preserve"> en términos del artículo 3, fracción X, de la Ley de Transparencia y Acceso a la Información Pública del Estado de México y Municipios.</w:t>
      </w:r>
    </w:p>
    <w:p w14:paraId="674ADAA1" w14:textId="77777777" w:rsidR="00B50723" w:rsidRPr="001672EA" w:rsidRDefault="00B50723" w:rsidP="00B50723">
      <w:pPr>
        <w:tabs>
          <w:tab w:val="left" w:pos="426"/>
        </w:tabs>
        <w:spacing w:line="360" w:lineRule="auto"/>
        <w:ind w:right="49"/>
        <w:contextualSpacing/>
        <w:jc w:val="both"/>
        <w:rPr>
          <w:rFonts w:ascii="Palatino Linotype" w:eastAsia="Times New Roman" w:hAnsi="Palatino Linotype" w:cs="Times New Roman"/>
        </w:rPr>
      </w:pPr>
    </w:p>
    <w:p w14:paraId="169163DA" w14:textId="6945BF53" w:rsidR="00B50723" w:rsidRPr="001672EA" w:rsidRDefault="00B50723" w:rsidP="00827AE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1672EA">
        <w:rPr>
          <w:rFonts w:ascii="Palatino Linotype" w:eastAsia="Times New Roman" w:hAnsi="Palatino Linotype" w:cs="Times New Roman"/>
        </w:rPr>
        <w:t xml:space="preserve">Luego entonces, si el hoy </w:t>
      </w:r>
      <w:r w:rsidRPr="001672EA">
        <w:rPr>
          <w:rFonts w:ascii="Palatino Linotype" w:eastAsia="Times New Roman" w:hAnsi="Palatino Linotype" w:cs="Times New Roman"/>
          <w:b/>
        </w:rPr>
        <w:t>RECURRENTE</w:t>
      </w:r>
      <w:r w:rsidRPr="001672EA">
        <w:rPr>
          <w:rFonts w:ascii="Palatino Linotype" w:eastAsia="Times New Roman" w:hAnsi="Palatino Linotype" w:cs="Times New Roman"/>
        </w:rPr>
        <w:t xml:space="preserve"> presentó el recurso de revisión con número </w:t>
      </w:r>
      <w:r w:rsidR="001A0B3A" w:rsidRPr="001672EA">
        <w:rPr>
          <w:rFonts w:ascii="Palatino Linotype" w:eastAsia="Times New Roman" w:hAnsi="Palatino Linotype" w:cs="Times New Roman"/>
          <w:b/>
        </w:rPr>
        <w:t>08723/INFOEM/IP/RR/2022</w:t>
      </w:r>
      <w:r w:rsidRPr="001672EA">
        <w:rPr>
          <w:rFonts w:ascii="Palatino Linotype" w:eastAsia="Times New Roman" w:hAnsi="Palatino Linotype" w:cs="Times New Roman"/>
        </w:rPr>
        <w:t xml:space="preserve"> el </w:t>
      </w:r>
      <w:r w:rsidR="00BC7300" w:rsidRPr="001672EA">
        <w:rPr>
          <w:rFonts w:ascii="Palatino Linotype" w:eastAsia="Times New Roman" w:hAnsi="Palatino Linotype" w:cs="Times New Roman"/>
        </w:rPr>
        <w:t>veinte (20)</w:t>
      </w:r>
      <w:r w:rsidRPr="001672EA">
        <w:rPr>
          <w:rFonts w:ascii="Palatino Linotype" w:eastAsia="Times New Roman" w:hAnsi="Palatino Linotype" w:cs="Times New Roman"/>
        </w:rPr>
        <w:t xml:space="preserve"> de mayo de dos mil veintidós, éste se encuentra dentro de los márgenes temporales previstos en la Ley de la materia.</w:t>
      </w:r>
    </w:p>
    <w:p w14:paraId="56C551C5" w14:textId="77777777" w:rsidR="00740D91" w:rsidRPr="001672EA" w:rsidRDefault="00740D91" w:rsidP="00740D91">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8E4DEE1" w14:textId="33C9B22A" w:rsidR="00246318" w:rsidRPr="001672EA"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672EA">
        <w:rPr>
          <w:rFonts w:ascii="Palatino Linotype" w:hAnsi="Palatino Linotype" w:cs="Arial"/>
          <w:color w:val="000000" w:themeColor="text1"/>
        </w:rPr>
        <w:lastRenderedPageBreak/>
        <w:t>Por otro lado, de la revisión al expediente electrónico contenido en el SAIMEX</w:t>
      </w:r>
      <w:r w:rsidRPr="001672EA">
        <w:rPr>
          <w:rFonts w:ascii="Palatino Linotype" w:hAnsi="Palatino Linotype" w:cs="Arial"/>
          <w:b/>
          <w:color w:val="000000" w:themeColor="text1"/>
        </w:rPr>
        <w:t>,</w:t>
      </w:r>
      <w:r w:rsidRPr="001672EA">
        <w:rPr>
          <w:rFonts w:ascii="Palatino Linotype" w:hAnsi="Palatino Linotype" w:cs="Arial"/>
          <w:color w:val="000000" w:themeColor="text1"/>
        </w:rPr>
        <w:t xml:space="preserve"> se desprende que la parte solicitante, en ejercicio de su derecho de acceso a la información pública en los expedientes que se revisan, tanto en las solicitudes de información como en los recursos de revisión, </w:t>
      </w:r>
      <w:r w:rsidRPr="001672EA">
        <w:rPr>
          <w:rFonts w:ascii="Palatino Linotype" w:hAnsi="Palatino Linotype" w:cs="Arial"/>
          <w:b/>
          <w:color w:val="000000" w:themeColor="text1"/>
        </w:rPr>
        <w:t xml:space="preserve">no </w:t>
      </w:r>
      <w:r w:rsidR="00A468FE" w:rsidRPr="001672EA">
        <w:rPr>
          <w:rFonts w:ascii="Palatino Linotype" w:hAnsi="Palatino Linotype" w:cs="Arial"/>
          <w:b/>
          <w:color w:val="000000" w:themeColor="text1"/>
        </w:rPr>
        <w:t>señaló su nombre</w:t>
      </w:r>
      <w:r w:rsidR="00BC7300" w:rsidRPr="001672EA">
        <w:rPr>
          <w:rFonts w:ascii="Palatino Linotype" w:hAnsi="Palatino Linotype" w:cs="Arial"/>
          <w:b/>
          <w:color w:val="000000" w:themeColor="text1"/>
        </w:rPr>
        <w:t xml:space="preserve"> completo</w:t>
      </w:r>
      <w:r w:rsidRPr="001672EA">
        <w:rPr>
          <w:rFonts w:ascii="Palatino Linotype" w:hAnsi="Palatino Linotype" w:cs="Arial"/>
          <w:b/>
          <w:color w:val="000000" w:themeColor="text1"/>
        </w:rPr>
        <w:t>, ni se tiene certeza de su identidad</w:t>
      </w:r>
      <w:r w:rsidRPr="001672EA">
        <w:rPr>
          <w:rFonts w:ascii="Palatino Linotype" w:hAnsi="Palatino Linotype" w:cs="Arial"/>
          <w:color w:val="000000" w:themeColor="text1"/>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F474836" w14:textId="77777777" w:rsidR="00246318" w:rsidRPr="001672EA"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CAA1DBA" w14:textId="77777777" w:rsidR="00246318" w:rsidRPr="001672EA"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672EA">
        <w:rPr>
          <w:rFonts w:ascii="Palatino Linotype" w:hAnsi="Palatino Linotype" w:cs="Arial"/>
          <w:color w:val="000000" w:themeColor="text1"/>
        </w:rPr>
        <w:t xml:space="preserve">Esto es así, ya que de conformidad con los artículos 6, apartado A, fracciones III y IV de la </w:t>
      </w:r>
      <w:r w:rsidRPr="001672EA">
        <w:rPr>
          <w:rFonts w:ascii="Palatino Linotype" w:hAnsi="Palatino Linotype" w:cs="Arial"/>
          <w:b/>
          <w:color w:val="000000" w:themeColor="text1"/>
        </w:rPr>
        <w:t>Constitución Política de los Estados Unidos Mexicanos</w:t>
      </w:r>
      <w:r w:rsidRPr="001672EA">
        <w:rPr>
          <w:rFonts w:ascii="Palatino Linotype" w:hAnsi="Palatino Linotype" w:cs="Arial"/>
          <w:color w:val="000000" w:themeColor="text1"/>
        </w:rPr>
        <w:t xml:space="preserve">; 5, párrafos vigésimo segundo, vigésimo tercero y vigésimo cuarto, fracciones III, IV y V, de la </w:t>
      </w:r>
      <w:r w:rsidRPr="001672EA">
        <w:rPr>
          <w:rFonts w:ascii="Palatino Linotype" w:hAnsi="Palatino Linotype" w:cs="Arial"/>
          <w:b/>
          <w:color w:val="000000" w:themeColor="text1"/>
        </w:rPr>
        <w:t>Constitución Política del Estado Libre y Soberano de México</w:t>
      </w:r>
      <w:r w:rsidRPr="001672EA">
        <w:rPr>
          <w:rFonts w:ascii="Palatino Linotype" w:hAnsi="Palatino Linotype" w:cs="Arial"/>
          <w:color w:val="000000" w:themeColor="text1"/>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54347CF" w14:textId="77777777" w:rsidR="00246318" w:rsidRPr="001672EA"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1267E82" w14:textId="77777777" w:rsidR="00246318" w:rsidRPr="001672EA"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672EA">
        <w:rPr>
          <w:rFonts w:ascii="Palatino Linotype" w:hAnsi="Palatino Linotype" w:cs="Arial"/>
          <w:color w:val="000000" w:themeColor="text1"/>
        </w:rPr>
        <w:t xml:space="preserve">Por </w:t>
      </w:r>
      <w:r w:rsidRPr="001672EA">
        <w:rPr>
          <w:rFonts w:ascii="Palatino Linotype" w:eastAsia="Times New Roman" w:hAnsi="Palatino Linotype" w:cs="Arial"/>
          <w:color w:val="000000" w:themeColor="text1"/>
          <w:lang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1672EA">
        <w:rPr>
          <w:rFonts w:ascii="Palatino Linotype" w:eastAsia="Times New Roman" w:hAnsi="Palatino Linotype" w:cs="Arial"/>
          <w:color w:val="000000" w:themeColor="text1"/>
          <w:lang w:eastAsia="es-MX"/>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CFFE72" w14:textId="77777777" w:rsidR="00246318" w:rsidRPr="001672EA"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2611E41" w14:textId="77777777" w:rsidR="00246318" w:rsidRPr="001672EA"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672EA">
        <w:rPr>
          <w:rFonts w:ascii="Palatino Linotype" w:hAnsi="Palatino Linotype" w:cs="Arial"/>
          <w:color w:val="000000" w:themeColor="text1"/>
        </w:rPr>
        <w:t xml:space="preserve">Asimismo, </w:t>
      </w:r>
      <w:r w:rsidRPr="001672EA">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2D26374" w14:textId="77777777" w:rsidR="00246318" w:rsidRPr="001672EA"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C3E29B0" w14:textId="77777777" w:rsidR="00246318" w:rsidRPr="001672EA"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672EA">
        <w:rPr>
          <w:rFonts w:ascii="Palatino Linotype" w:hAnsi="Palatino Linotype" w:cs="Arial"/>
          <w:color w:val="000000" w:themeColor="text1"/>
        </w:rPr>
        <w:t xml:space="preserve">De </w:t>
      </w:r>
      <w:r w:rsidRPr="001672EA">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7D228E5" w14:textId="77777777" w:rsidR="00246318" w:rsidRPr="001672EA"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62255EE2" w:rsidR="00740BA4" w:rsidRPr="001672EA" w:rsidRDefault="00246318" w:rsidP="0024631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672EA">
        <w:rPr>
          <w:rFonts w:ascii="Palatino Linotype" w:hAnsi="Palatino Linotype" w:cs="Arial"/>
          <w:color w:val="000000" w:themeColor="text1"/>
        </w:rPr>
        <w:t>Luego entonces</w:t>
      </w:r>
      <w:r w:rsidRPr="001672EA">
        <w:rPr>
          <w:rFonts w:ascii="Palatino Linotype" w:eastAsia="Calibri" w:hAnsi="Palatino Linotype" w:cs="Arial"/>
        </w:rPr>
        <w:t xml:space="preserve">, </w:t>
      </w:r>
      <w:r w:rsidRPr="001672EA">
        <w:rPr>
          <w:rFonts w:ascii="Palatino Linotype" w:eastAsia="Times New Roman" w:hAnsi="Palatino Linotype" w:cs="Arial"/>
          <w:color w:val="000000" w:themeColor="text1"/>
          <w:lang w:eastAsia="es-MX"/>
        </w:rPr>
        <w:t xml:space="preserve">el nombre del </w:t>
      </w:r>
      <w:r w:rsidRPr="001672EA">
        <w:rPr>
          <w:rFonts w:ascii="Palatino Linotype" w:eastAsia="Times New Roman" w:hAnsi="Palatino Linotype" w:cs="Arial"/>
          <w:b/>
          <w:color w:val="000000" w:themeColor="text1"/>
          <w:lang w:eastAsia="es-MX"/>
        </w:rPr>
        <w:t>SOLICITANTE</w:t>
      </w:r>
      <w:r w:rsidRPr="001672EA">
        <w:rPr>
          <w:rFonts w:ascii="Palatino Linotype" w:eastAsia="Times New Roman" w:hAnsi="Palatino Linotype" w:cs="Arial"/>
          <w:color w:val="000000" w:themeColor="text1"/>
          <w:lang w:eastAsia="es-MX"/>
        </w:rPr>
        <w:t xml:space="preserve"> y subsecuente </w:t>
      </w:r>
      <w:r w:rsidRPr="001672EA">
        <w:rPr>
          <w:rFonts w:ascii="Palatino Linotype" w:eastAsia="Times New Roman" w:hAnsi="Palatino Linotype" w:cs="Arial"/>
          <w:b/>
          <w:color w:val="000000" w:themeColor="text1"/>
          <w:lang w:eastAsia="es-MX"/>
        </w:rPr>
        <w:t>RECURRENTE</w:t>
      </w:r>
      <w:r w:rsidRPr="001672EA">
        <w:rPr>
          <w:rFonts w:ascii="Palatino Linotype" w:eastAsia="Times New Roman" w:hAnsi="Palatino Linotype" w:cs="Arial"/>
          <w:color w:val="000000" w:themeColor="text1"/>
          <w:lang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CCEA40" w14:textId="77777777" w:rsidR="00774AB3" w:rsidRPr="001672EA"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1672EA"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1672EA">
        <w:rPr>
          <w:rFonts w:ascii="Palatino Linotype" w:eastAsia="Calibri" w:hAnsi="Palatino Linotype" w:cs="Arial"/>
          <w:color w:val="000000" w:themeColor="text1"/>
        </w:rPr>
        <w:t xml:space="preserve">Consecuencia de lo anterior, </w:t>
      </w:r>
      <w:r w:rsidR="00566BC5" w:rsidRPr="001672EA">
        <w:rPr>
          <w:rFonts w:ascii="Palatino Linotype" w:eastAsia="Calibri" w:hAnsi="Palatino Linotype" w:cs="Arial"/>
          <w:color w:val="000000" w:themeColor="text1"/>
        </w:rPr>
        <w:t>este Órgano Garante</w:t>
      </w:r>
      <w:r w:rsidRPr="001672EA">
        <w:rPr>
          <w:rFonts w:ascii="Palatino Linotype" w:eastAsia="Calibri" w:hAnsi="Palatino Linotype" w:cs="Arial"/>
          <w:color w:val="000000" w:themeColor="text1"/>
        </w:rPr>
        <w:t xml:space="preserve"> advierte que </w:t>
      </w:r>
      <w:r w:rsidR="00FB2EE1" w:rsidRPr="001672EA">
        <w:rPr>
          <w:rFonts w:ascii="Palatino Linotype" w:eastAsia="Calibri" w:hAnsi="Palatino Linotype" w:cs="Arial"/>
          <w:color w:val="000000" w:themeColor="text1"/>
        </w:rPr>
        <w:t>el</w:t>
      </w:r>
      <w:r w:rsidR="00540208" w:rsidRPr="001672EA">
        <w:rPr>
          <w:rFonts w:ascii="Palatino Linotype" w:eastAsia="Calibri" w:hAnsi="Palatino Linotype" w:cs="Arial"/>
          <w:color w:val="000000" w:themeColor="text1"/>
        </w:rPr>
        <w:t xml:space="preserve"> </w:t>
      </w:r>
      <w:r w:rsidR="00FB2EE1" w:rsidRPr="001672EA">
        <w:rPr>
          <w:rFonts w:ascii="Palatino Linotype" w:eastAsia="Calibri" w:hAnsi="Palatino Linotype" w:cs="Arial"/>
          <w:color w:val="000000" w:themeColor="text1"/>
        </w:rPr>
        <w:t xml:space="preserve">escrito </w:t>
      </w:r>
      <w:r w:rsidR="00540208" w:rsidRPr="001672EA">
        <w:rPr>
          <w:rFonts w:ascii="Palatino Linotype" w:eastAsia="Calibri" w:hAnsi="Palatino Linotype" w:cs="Arial"/>
          <w:color w:val="000000" w:themeColor="text1"/>
        </w:rPr>
        <w:t>contiene las formalidades previstas por el artículo 180</w:t>
      </w:r>
      <w:r w:rsidR="00FB2EE1" w:rsidRPr="001672EA">
        <w:rPr>
          <w:rFonts w:ascii="Palatino Linotype" w:eastAsia="Calibri" w:hAnsi="Palatino Linotype" w:cs="Arial"/>
          <w:color w:val="000000" w:themeColor="text1"/>
        </w:rPr>
        <w:t>,</w:t>
      </w:r>
      <w:r w:rsidR="00540208" w:rsidRPr="001672EA">
        <w:rPr>
          <w:rFonts w:ascii="Palatino Linotype" w:eastAsia="Calibri" w:hAnsi="Palatino Linotype" w:cs="Arial"/>
          <w:color w:val="000000" w:themeColor="text1"/>
        </w:rPr>
        <w:t xml:space="preserve"> último párrafo</w:t>
      </w:r>
      <w:r w:rsidR="00FB2EE1" w:rsidRPr="001672EA">
        <w:rPr>
          <w:rFonts w:ascii="Palatino Linotype" w:eastAsia="Calibri" w:hAnsi="Palatino Linotype" w:cs="Arial"/>
          <w:color w:val="000000" w:themeColor="text1"/>
        </w:rPr>
        <w:t>,</w:t>
      </w:r>
      <w:r w:rsidR="00540208" w:rsidRPr="001672EA">
        <w:rPr>
          <w:rFonts w:ascii="Palatino Linotype" w:eastAsia="Calibri" w:hAnsi="Palatino Linotype" w:cs="Arial"/>
          <w:color w:val="000000" w:themeColor="text1"/>
        </w:rPr>
        <w:t xml:space="preserve"> de la Ley </w:t>
      </w:r>
      <w:r w:rsidR="004911B6" w:rsidRPr="001672EA">
        <w:rPr>
          <w:rFonts w:ascii="Palatino Linotype" w:eastAsia="Calibri" w:hAnsi="Palatino Linotype" w:cs="Arial"/>
          <w:color w:val="000000" w:themeColor="text1"/>
        </w:rPr>
        <w:t>de Transparencia y Acceso a la Información Pública del Estado de México y Municipios</w:t>
      </w:r>
      <w:r w:rsidR="00540208" w:rsidRPr="001672EA">
        <w:rPr>
          <w:rFonts w:ascii="Palatino Linotype" w:eastAsia="Calibri" w:hAnsi="Palatino Linotype" w:cs="Arial"/>
          <w:color w:val="000000" w:themeColor="text1"/>
        </w:rPr>
        <w:t xml:space="preserve">, por lo que es procedente que </w:t>
      </w:r>
      <w:r w:rsidR="004911B6" w:rsidRPr="001672EA">
        <w:rPr>
          <w:rFonts w:ascii="Palatino Linotype" w:eastAsia="Calibri" w:hAnsi="Palatino Linotype" w:cs="Arial"/>
          <w:color w:val="000000" w:themeColor="text1"/>
        </w:rPr>
        <w:t>e</w:t>
      </w:r>
      <w:r w:rsidR="00540208" w:rsidRPr="001672EA">
        <w:rPr>
          <w:rFonts w:ascii="Palatino Linotype" w:eastAsia="Calibri" w:hAnsi="Palatino Linotype" w:cs="Arial"/>
          <w:color w:val="000000" w:themeColor="text1"/>
        </w:rPr>
        <w:t xml:space="preserve">ste Instituto de Transparencia, Acceso a la </w:t>
      </w:r>
      <w:r w:rsidR="00540208" w:rsidRPr="001672EA">
        <w:rPr>
          <w:rFonts w:ascii="Palatino Linotype" w:eastAsia="Calibri" w:hAnsi="Palatino Linotype" w:cs="Arial"/>
          <w:color w:val="000000" w:themeColor="text1"/>
        </w:rPr>
        <w:lastRenderedPageBreak/>
        <w:t xml:space="preserve">Información Pública y Protección de Datos Personales del Estado de México y </w:t>
      </w:r>
      <w:r w:rsidR="000B2BA0" w:rsidRPr="001672EA">
        <w:rPr>
          <w:rFonts w:ascii="Palatino Linotype" w:eastAsia="Calibri" w:hAnsi="Palatino Linotype" w:cs="Arial"/>
          <w:color w:val="000000" w:themeColor="text1"/>
        </w:rPr>
        <w:t xml:space="preserve">Municipios, conozca y resuelva </w:t>
      </w:r>
      <w:r w:rsidR="00FB2EE1" w:rsidRPr="001672EA">
        <w:rPr>
          <w:rFonts w:ascii="Palatino Linotype" w:eastAsia="Calibri" w:hAnsi="Palatino Linotype" w:cs="Arial"/>
          <w:color w:val="000000" w:themeColor="text1"/>
        </w:rPr>
        <w:t>el</w:t>
      </w:r>
      <w:r w:rsidR="00540208" w:rsidRPr="001672EA">
        <w:rPr>
          <w:rFonts w:ascii="Palatino Linotype" w:eastAsia="Calibri" w:hAnsi="Palatino Linotype" w:cs="Arial"/>
          <w:color w:val="000000" w:themeColor="text1"/>
        </w:rPr>
        <w:t xml:space="preserve"> presente recurso.</w:t>
      </w:r>
    </w:p>
    <w:p w14:paraId="316CB621" w14:textId="77777777" w:rsidR="00710B50" w:rsidRPr="001672EA"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1672EA"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1672EA">
        <w:rPr>
          <w:rFonts w:ascii="Palatino Linotype" w:hAnsi="Palatino Linotype"/>
          <w:b/>
          <w:color w:val="000000" w:themeColor="text1"/>
        </w:rPr>
        <w:t xml:space="preserve">TERCERO. </w:t>
      </w:r>
      <w:r w:rsidR="00D5750C" w:rsidRPr="001672EA">
        <w:rPr>
          <w:rFonts w:ascii="Palatino Linotype" w:hAnsi="Palatino Linotype"/>
          <w:b/>
          <w:color w:val="000000" w:themeColor="text1"/>
        </w:rPr>
        <w:t xml:space="preserve">Del planteamiento de la </w:t>
      </w:r>
      <w:r w:rsidR="00D5750C" w:rsidRPr="001672EA">
        <w:rPr>
          <w:rFonts w:ascii="Palatino Linotype" w:hAnsi="Palatino Linotype"/>
          <w:b/>
          <w:i/>
          <w:color w:val="000000" w:themeColor="text1"/>
        </w:rPr>
        <w:t>Litis</w:t>
      </w:r>
      <w:r w:rsidRPr="001672EA">
        <w:rPr>
          <w:rFonts w:ascii="Palatino Linotype" w:hAnsi="Palatino Linotype"/>
          <w:b/>
          <w:color w:val="000000" w:themeColor="text1"/>
        </w:rPr>
        <w:t>.</w:t>
      </w:r>
      <w:bookmarkEnd w:id="13"/>
    </w:p>
    <w:p w14:paraId="4FB84CAD" w14:textId="77777777" w:rsidR="00CA62D4" w:rsidRPr="001672EA"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43B3B5A1" w14:textId="35341955" w:rsidR="00635424" w:rsidRPr="001672EA" w:rsidRDefault="002F0EB7" w:rsidP="00E66C3D">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1672EA">
        <w:rPr>
          <w:rFonts w:ascii="Palatino Linotype" w:hAnsi="Palatino Linotype" w:cs="Arial"/>
          <w:color w:val="000000" w:themeColor="text1"/>
        </w:rPr>
        <w:t>Se</w:t>
      </w:r>
      <w:r w:rsidR="00552B8E" w:rsidRPr="001672EA">
        <w:rPr>
          <w:rFonts w:ascii="Palatino Linotype" w:hAnsi="Palatino Linotype" w:cs="Arial"/>
          <w:color w:val="000000" w:themeColor="text1"/>
        </w:rPr>
        <w:t xml:space="preserve"> </w:t>
      </w:r>
      <w:r w:rsidR="00426CE7" w:rsidRPr="001672EA">
        <w:rPr>
          <w:rFonts w:ascii="Palatino Linotype" w:hAnsi="Palatino Linotype" w:cs="Arial"/>
          <w:color w:val="000000" w:themeColor="text1"/>
        </w:rPr>
        <w:t>requirió</w:t>
      </w:r>
      <w:r w:rsidR="00E66C3D" w:rsidRPr="001672EA">
        <w:rPr>
          <w:rFonts w:ascii="Palatino Linotype" w:hAnsi="Palatino Linotype" w:cs="Arial"/>
          <w:color w:val="000000" w:themeColor="text1"/>
        </w:rPr>
        <w:t xml:space="preserve"> la lista de proveedores de 2012 a la fecha más reciente; así como un listado de los contratos de obras, bienes y servicios adquiridos, desde el dos mil doce al dos mil veintidós, tanto en licitación pública, adjudicación directa o invitación restringida con los siguientes datos: </w:t>
      </w:r>
      <w:r w:rsidR="00E66C3D" w:rsidRPr="001672EA">
        <w:rPr>
          <w:rFonts w:ascii="Palatino Linotype" w:hAnsi="Palatino Linotype" w:cs="Arial"/>
          <w:b/>
          <w:color w:val="000000" w:themeColor="text1"/>
        </w:rPr>
        <w:t>A)</w:t>
      </w:r>
      <w:r w:rsidR="00E66C3D" w:rsidRPr="001672EA">
        <w:rPr>
          <w:rFonts w:ascii="Palatino Linotype" w:hAnsi="Palatino Linotype" w:cs="Arial"/>
          <w:color w:val="000000" w:themeColor="text1"/>
        </w:rPr>
        <w:t xml:space="preserve"> Institución; </w:t>
      </w:r>
      <w:r w:rsidR="00E66C3D" w:rsidRPr="001672EA">
        <w:rPr>
          <w:rFonts w:ascii="Palatino Linotype" w:hAnsi="Palatino Linotype" w:cs="Arial"/>
          <w:b/>
          <w:color w:val="000000" w:themeColor="text1"/>
        </w:rPr>
        <w:t>B)</w:t>
      </w:r>
      <w:r w:rsidR="00E66C3D" w:rsidRPr="001672EA">
        <w:rPr>
          <w:rFonts w:ascii="Palatino Linotype" w:hAnsi="Palatino Linotype" w:cs="Arial"/>
          <w:color w:val="000000" w:themeColor="text1"/>
        </w:rPr>
        <w:t xml:space="preserve"> Nombre de la UC; </w:t>
      </w:r>
      <w:r w:rsidR="00E66C3D" w:rsidRPr="001672EA">
        <w:rPr>
          <w:rFonts w:ascii="Palatino Linotype" w:hAnsi="Palatino Linotype" w:cs="Arial"/>
          <w:b/>
          <w:color w:val="000000" w:themeColor="text1"/>
        </w:rPr>
        <w:t>C)</w:t>
      </w:r>
      <w:r w:rsidR="00E66C3D" w:rsidRPr="001672EA">
        <w:rPr>
          <w:rFonts w:ascii="Palatino Linotype" w:hAnsi="Palatino Linotype" w:cs="Arial"/>
          <w:color w:val="000000" w:themeColor="text1"/>
        </w:rPr>
        <w:t xml:space="preserve"> Responsable de la UC; </w:t>
      </w:r>
      <w:r w:rsidR="00E66C3D" w:rsidRPr="001672EA">
        <w:rPr>
          <w:rFonts w:ascii="Palatino Linotype" w:hAnsi="Palatino Linotype" w:cs="Arial"/>
          <w:b/>
          <w:color w:val="000000" w:themeColor="text1"/>
        </w:rPr>
        <w:t>D)</w:t>
      </w:r>
      <w:r w:rsidR="00E66C3D" w:rsidRPr="001672EA">
        <w:rPr>
          <w:rFonts w:ascii="Palatino Linotype" w:hAnsi="Palatino Linotype" w:cs="Arial"/>
          <w:color w:val="000000" w:themeColor="text1"/>
        </w:rPr>
        <w:t xml:space="preserve"> Código del expediente; </w:t>
      </w:r>
      <w:r w:rsidR="00E66C3D" w:rsidRPr="001672EA">
        <w:rPr>
          <w:rFonts w:ascii="Palatino Linotype" w:hAnsi="Palatino Linotype" w:cs="Arial"/>
          <w:b/>
          <w:color w:val="000000" w:themeColor="text1"/>
        </w:rPr>
        <w:t>E)</w:t>
      </w:r>
      <w:r w:rsidR="00E66C3D" w:rsidRPr="001672EA">
        <w:rPr>
          <w:rFonts w:ascii="Palatino Linotype" w:hAnsi="Palatino Linotype" w:cs="Arial"/>
          <w:color w:val="000000" w:themeColor="text1"/>
        </w:rPr>
        <w:t xml:space="preserve"> Referencia del expediente; </w:t>
      </w:r>
      <w:r w:rsidR="00E66C3D" w:rsidRPr="001672EA">
        <w:rPr>
          <w:rFonts w:ascii="Palatino Linotype" w:hAnsi="Palatino Linotype" w:cs="Arial"/>
          <w:b/>
          <w:color w:val="000000" w:themeColor="text1"/>
        </w:rPr>
        <w:t>F)</w:t>
      </w:r>
      <w:r w:rsidR="00E66C3D" w:rsidRPr="001672EA">
        <w:rPr>
          <w:rFonts w:ascii="Palatino Linotype" w:hAnsi="Palatino Linotype" w:cs="Arial"/>
          <w:color w:val="000000" w:themeColor="text1"/>
        </w:rPr>
        <w:t xml:space="preserve"> Título del expediente; </w:t>
      </w:r>
      <w:r w:rsidR="00E66C3D" w:rsidRPr="001672EA">
        <w:rPr>
          <w:rFonts w:ascii="Palatino Linotype" w:hAnsi="Palatino Linotype" w:cs="Arial"/>
          <w:b/>
          <w:color w:val="000000" w:themeColor="text1"/>
        </w:rPr>
        <w:t>G)</w:t>
      </w:r>
      <w:r w:rsidR="00E66C3D" w:rsidRPr="001672EA">
        <w:rPr>
          <w:rFonts w:ascii="Palatino Linotype" w:hAnsi="Palatino Linotype" w:cs="Arial"/>
          <w:color w:val="000000" w:themeColor="text1"/>
        </w:rPr>
        <w:t xml:space="preserve"> Fundamento legal; </w:t>
      </w:r>
      <w:r w:rsidR="00E66C3D" w:rsidRPr="001672EA">
        <w:rPr>
          <w:rFonts w:ascii="Palatino Linotype" w:hAnsi="Palatino Linotype" w:cs="Arial"/>
          <w:b/>
          <w:color w:val="000000" w:themeColor="text1"/>
        </w:rPr>
        <w:t>H)</w:t>
      </w:r>
      <w:r w:rsidR="00E66C3D" w:rsidRPr="001672EA">
        <w:rPr>
          <w:rFonts w:ascii="Palatino Linotype" w:hAnsi="Palatino Linotype" w:cs="Arial"/>
          <w:color w:val="000000" w:themeColor="text1"/>
        </w:rPr>
        <w:t xml:space="preserve"> Número del procedimiento; </w:t>
      </w:r>
      <w:r w:rsidR="00E66C3D" w:rsidRPr="001672EA">
        <w:rPr>
          <w:rFonts w:ascii="Palatino Linotype" w:hAnsi="Palatino Linotype" w:cs="Arial"/>
          <w:b/>
          <w:color w:val="000000" w:themeColor="text1"/>
        </w:rPr>
        <w:t>I)</w:t>
      </w:r>
      <w:r w:rsidR="00E66C3D" w:rsidRPr="001672EA">
        <w:rPr>
          <w:rFonts w:ascii="Palatino Linotype" w:hAnsi="Palatino Linotype" w:cs="Arial"/>
          <w:color w:val="000000" w:themeColor="text1"/>
        </w:rPr>
        <w:t xml:space="preserve"> Fecha de fallo; </w:t>
      </w:r>
      <w:r w:rsidR="00E66C3D" w:rsidRPr="001672EA">
        <w:rPr>
          <w:rFonts w:ascii="Palatino Linotype" w:hAnsi="Palatino Linotype" w:cs="Arial"/>
          <w:b/>
          <w:color w:val="000000" w:themeColor="text1"/>
        </w:rPr>
        <w:t>J)</w:t>
      </w:r>
      <w:r w:rsidR="00E66C3D" w:rsidRPr="001672EA">
        <w:rPr>
          <w:rFonts w:ascii="Palatino Linotype" w:hAnsi="Palatino Linotype" w:cs="Arial"/>
          <w:color w:val="000000" w:themeColor="text1"/>
        </w:rPr>
        <w:t xml:space="preserve"> Fecha de publicación; </w:t>
      </w:r>
      <w:r w:rsidR="00E66C3D" w:rsidRPr="001672EA">
        <w:rPr>
          <w:rFonts w:ascii="Palatino Linotype" w:hAnsi="Palatino Linotype" w:cs="Arial"/>
          <w:b/>
          <w:color w:val="000000" w:themeColor="text1"/>
        </w:rPr>
        <w:t>K)</w:t>
      </w:r>
      <w:r w:rsidR="00E66C3D" w:rsidRPr="001672EA">
        <w:rPr>
          <w:rFonts w:ascii="Palatino Linotype" w:hAnsi="Palatino Linotype" w:cs="Arial"/>
          <w:color w:val="000000" w:themeColor="text1"/>
        </w:rPr>
        <w:t xml:space="preserve"> Tipo de contratación; </w:t>
      </w:r>
      <w:r w:rsidR="00E66C3D" w:rsidRPr="001672EA">
        <w:rPr>
          <w:rFonts w:ascii="Palatino Linotype" w:hAnsi="Palatino Linotype" w:cs="Arial"/>
          <w:b/>
          <w:color w:val="000000" w:themeColor="text1"/>
        </w:rPr>
        <w:t>L)</w:t>
      </w:r>
      <w:r w:rsidR="00E66C3D" w:rsidRPr="001672EA">
        <w:rPr>
          <w:rFonts w:ascii="Palatino Linotype" w:hAnsi="Palatino Linotype" w:cs="Arial"/>
          <w:color w:val="000000" w:themeColor="text1"/>
        </w:rPr>
        <w:t xml:space="preserve"> Tipo de procedimiento; </w:t>
      </w:r>
      <w:r w:rsidR="00E66C3D" w:rsidRPr="001672EA">
        <w:rPr>
          <w:rFonts w:ascii="Palatino Linotype" w:hAnsi="Palatino Linotype" w:cs="Arial"/>
          <w:b/>
          <w:color w:val="000000" w:themeColor="text1"/>
        </w:rPr>
        <w:t xml:space="preserve">M) </w:t>
      </w:r>
      <w:r w:rsidR="00E66C3D" w:rsidRPr="001672EA">
        <w:rPr>
          <w:rFonts w:ascii="Palatino Linotype" w:hAnsi="Palatino Linotype" w:cs="Arial"/>
          <w:color w:val="000000" w:themeColor="text1"/>
        </w:rPr>
        <w:t xml:space="preserve">Título del contrato; </w:t>
      </w:r>
      <w:r w:rsidR="00E66C3D" w:rsidRPr="001672EA">
        <w:rPr>
          <w:rFonts w:ascii="Palatino Linotype" w:hAnsi="Palatino Linotype" w:cs="Arial"/>
          <w:b/>
          <w:color w:val="000000" w:themeColor="text1"/>
        </w:rPr>
        <w:t>N)</w:t>
      </w:r>
      <w:r w:rsidR="00E66C3D" w:rsidRPr="001672EA">
        <w:rPr>
          <w:rFonts w:ascii="Palatino Linotype" w:hAnsi="Palatino Linotype" w:cs="Arial"/>
          <w:color w:val="000000" w:themeColor="text1"/>
        </w:rPr>
        <w:t xml:space="preserve"> Descripción del contrato; </w:t>
      </w:r>
      <w:r w:rsidR="00E66C3D" w:rsidRPr="001672EA">
        <w:rPr>
          <w:rFonts w:ascii="Palatino Linotype" w:hAnsi="Palatino Linotype" w:cs="Arial"/>
          <w:b/>
          <w:color w:val="000000" w:themeColor="text1"/>
        </w:rPr>
        <w:t>O)</w:t>
      </w:r>
      <w:r w:rsidR="00E66C3D" w:rsidRPr="001672EA">
        <w:rPr>
          <w:rFonts w:ascii="Palatino Linotype" w:hAnsi="Palatino Linotype" w:cs="Arial"/>
          <w:color w:val="000000" w:themeColor="text1"/>
        </w:rPr>
        <w:t xml:space="preserve"> Importe del contrato; </w:t>
      </w:r>
      <w:r w:rsidR="00E66C3D" w:rsidRPr="001672EA">
        <w:rPr>
          <w:rFonts w:ascii="Palatino Linotype" w:hAnsi="Palatino Linotype" w:cs="Arial"/>
          <w:b/>
          <w:color w:val="000000" w:themeColor="text1"/>
        </w:rPr>
        <w:t>P)</w:t>
      </w:r>
      <w:r w:rsidR="00E66C3D" w:rsidRPr="001672EA">
        <w:rPr>
          <w:rFonts w:ascii="Palatino Linotype" w:hAnsi="Palatino Linotype" w:cs="Arial"/>
          <w:color w:val="000000" w:themeColor="text1"/>
        </w:rPr>
        <w:t xml:space="preserve"> Convenio modificatorio; </w:t>
      </w:r>
      <w:r w:rsidR="00E66C3D" w:rsidRPr="001672EA">
        <w:rPr>
          <w:rFonts w:ascii="Palatino Linotype" w:hAnsi="Palatino Linotype" w:cs="Arial"/>
          <w:b/>
          <w:color w:val="000000" w:themeColor="text1"/>
        </w:rPr>
        <w:t>Q)</w:t>
      </w:r>
      <w:r w:rsidR="00E66C3D" w:rsidRPr="001672EA">
        <w:rPr>
          <w:rFonts w:ascii="Palatino Linotype" w:hAnsi="Palatino Linotype" w:cs="Arial"/>
          <w:color w:val="000000" w:themeColor="text1"/>
        </w:rPr>
        <w:t xml:space="preserve"> RFC; </w:t>
      </w:r>
      <w:r w:rsidR="00E66C3D" w:rsidRPr="001672EA">
        <w:rPr>
          <w:rFonts w:ascii="Palatino Linotype" w:hAnsi="Palatino Linotype" w:cs="Arial"/>
          <w:b/>
          <w:color w:val="000000" w:themeColor="text1"/>
        </w:rPr>
        <w:t>R)</w:t>
      </w:r>
      <w:r w:rsidR="00E66C3D" w:rsidRPr="001672EA">
        <w:rPr>
          <w:rFonts w:ascii="Palatino Linotype" w:hAnsi="Palatino Linotype" w:cs="Arial"/>
          <w:color w:val="000000" w:themeColor="text1"/>
        </w:rPr>
        <w:t xml:space="preserve"> Proveedor o contratista; y, </w:t>
      </w:r>
      <w:r w:rsidR="00E66C3D" w:rsidRPr="001672EA">
        <w:rPr>
          <w:rFonts w:ascii="Palatino Linotype" w:hAnsi="Palatino Linotype" w:cs="Arial"/>
          <w:b/>
          <w:color w:val="000000" w:themeColor="text1"/>
        </w:rPr>
        <w:t>S)</w:t>
      </w:r>
      <w:r w:rsidR="00E66C3D" w:rsidRPr="001672EA">
        <w:rPr>
          <w:rFonts w:ascii="Palatino Linotype" w:hAnsi="Palatino Linotype" w:cs="Arial"/>
          <w:color w:val="000000" w:themeColor="text1"/>
        </w:rPr>
        <w:t xml:space="preserve"> Dirección del anuncio. </w:t>
      </w:r>
    </w:p>
    <w:p w14:paraId="6BE1E98B" w14:textId="77777777" w:rsidR="00A468FE" w:rsidRPr="001672EA" w:rsidRDefault="00A468FE" w:rsidP="00A468FE">
      <w:pPr>
        <w:pStyle w:val="Prrafodelista"/>
        <w:tabs>
          <w:tab w:val="left" w:pos="426"/>
        </w:tabs>
        <w:spacing w:line="360" w:lineRule="auto"/>
        <w:ind w:left="0" w:right="49"/>
        <w:jc w:val="both"/>
        <w:rPr>
          <w:rFonts w:ascii="Palatino Linotype" w:hAnsi="Palatino Linotype" w:cs="Arial"/>
          <w:color w:val="000000" w:themeColor="text1"/>
        </w:rPr>
      </w:pPr>
    </w:p>
    <w:p w14:paraId="324F0CC3" w14:textId="7D5B9A2C" w:rsidR="00A468FE" w:rsidRPr="001672EA" w:rsidRDefault="00A468FE"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672EA">
        <w:rPr>
          <w:rFonts w:ascii="Palatino Linotype" w:hAnsi="Palatino Linotype" w:cs="Arial"/>
          <w:color w:val="000000" w:themeColor="text1"/>
        </w:rPr>
        <w:t xml:space="preserve">El </w:t>
      </w:r>
      <w:r w:rsidRPr="001672EA">
        <w:rPr>
          <w:rFonts w:ascii="Palatino Linotype" w:hAnsi="Palatino Linotype" w:cs="Arial"/>
          <w:b/>
          <w:bCs/>
          <w:color w:val="000000" w:themeColor="text1"/>
        </w:rPr>
        <w:t>SUJETO OBLIGADO</w:t>
      </w:r>
      <w:r w:rsidRPr="001672EA">
        <w:rPr>
          <w:rFonts w:ascii="Palatino Linotype" w:hAnsi="Palatino Linotype" w:cs="Arial"/>
          <w:color w:val="000000" w:themeColor="text1"/>
        </w:rPr>
        <w:t xml:space="preserve"> entregó </w:t>
      </w:r>
      <w:r w:rsidR="00E66C3D" w:rsidRPr="001672EA">
        <w:rPr>
          <w:rFonts w:ascii="Palatino Linotype" w:hAnsi="Palatino Linotype" w:cs="Arial"/>
          <w:color w:val="000000" w:themeColor="text1"/>
        </w:rPr>
        <w:t>su Listado de Proveedores vigente al ejercicio fiscal dos mil veintiuno; y, cinco listados consistentes en la Relación de Obras efectuadas durante los ejercicios dos mil diecisiete, dos mil dieciocho, dos mil diecinueve, dos mil veinte y dos mil veintiuno.</w:t>
      </w:r>
    </w:p>
    <w:p w14:paraId="54C012CA" w14:textId="77777777" w:rsidR="00635424" w:rsidRPr="001672EA" w:rsidRDefault="00635424" w:rsidP="00635424">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3E36968D" w:rsidR="00117D31" w:rsidRPr="001672EA" w:rsidRDefault="00A11EAC"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672EA">
        <w:rPr>
          <w:rFonts w:ascii="Palatino Linotype" w:hAnsi="Palatino Linotype" w:cs="Arial"/>
          <w:color w:val="000000" w:themeColor="text1"/>
        </w:rPr>
        <w:t>El</w:t>
      </w:r>
      <w:r w:rsidR="008C28BF" w:rsidRPr="001672EA">
        <w:rPr>
          <w:rFonts w:ascii="Palatino Linotype" w:hAnsi="Palatino Linotype" w:cs="Arial"/>
          <w:color w:val="000000" w:themeColor="text1"/>
        </w:rPr>
        <w:t xml:space="preserve"> particular</w:t>
      </w:r>
      <w:r w:rsidR="00117D31" w:rsidRPr="001672EA">
        <w:rPr>
          <w:rFonts w:ascii="Palatino Linotype" w:hAnsi="Palatino Linotype" w:cs="Arial"/>
          <w:color w:val="000000" w:themeColor="text1"/>
        </w:rPr>
        <w:t xml:space="preserve"> impugnó la respuesta del </w:t>
      </w:r>
      <w:r w:rsidR="00117D31" w:rsidRPr="001672EA">
        <w:rPr>
          <w:rFonts w:ascii="Palatino Linotype" w:hAnsi="Palatino Linotype" w:cs="Arial"/>
          <w:b/>
          <w:bCs/>
          <w:color w:val="000000" w:themeColor="text1"/>
        </w:rPr>
        <w:t>SUJETO OBLIGADO</w:t>
      </w:r>
      <w:r w:rsidR="00117D31" w:rsidRPr="001672EA">
        <w:rPr>
          <w:rFonts w:ascii="Palatino Linotype" w:hAnsi="Palatino Linotype" w:cs="Arial"/>
          <w:color w:val="000000" w:themeColor="text1"/>
        </w:rPr>
        <w:t>, mediante el recurso de revisión con número indicado al rubro, y en el que señaló</w:t>
      </w:r>
      <w:r w:rsidR="008472A9" w:rsidRPr="001672EA">
        <w:rPr>
          <w:rFonts w:ascii="Palatino Linotype" w:hAnsi="Palatino Linotype" w:cs="Arial"/>
          <w:color w:val="000000" w:themeColor="text1"/>
        </w:rPr>
        <w:t xml:space="preserve"> por agravios, </w:t>
      </w:r>
      <w:r w:rsidR="00B50723" w:rsidRPr="001672EA">
        <w:rPr>
          <w:rFonts w:ascii="Palatino Linotype" w:hAnsi="Palatino Linotype" w:cs="Arial"/>
          <w:color w:val="000000" w:themeColor="text1"/>
        </w:rPr>
        <w:t xml:space="preserve">que </w:t>
      </w:r>
      <w:r w:rsidR="00E66C3D" w:rsidRPr="001672EA">
        <w:rPr>
          <w:rFonts w:ascii="Palatino Linotype" w:hAnsi="Palatino Linotype" w:cs="Arial"/>
          <w:color w:val="000000" w:themeColor="text1"/>
        </w:rPr>
        <w:t xml:space="preserve">requirió información desde el dos mil doce, pero que sólo se le entregó desde el dos mil diecisiete. </w:t>
      </w:r>
    </w:p>
    <w:p w14:paraId="52493E42" w14:textId="77777777" w:rsidR="0056788F" w:rsidRPr="001672EA"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760C2DF" w:rsidR="001A032D" w:rsidRPr="001672EA"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672EA">
        <w:rPr>
          <w:rFonts w:ascii="Palatino Linotype" w:hAnsi="Palatino Linotype" w:cs="Arial"/>
          <w:color w:val="000000" w:themeColor="text1"/>
        </w:rPr>
        <w:t xml:space="preserve">En ese sentido, </w:t>
      </w:r>
      <w:r w:rsidR="00566BC5" w:rsidRPr="001672EA">
        <w:rPr>
          <w:rFonts w:ascii="Palatino Linotype" w:hAnsi="Palatino Linotype" w:cs="Arial"/>
          <w:color w:val="000000" w:themeColor="text1"/>
        </w:rPr>
        <w:t>este Órgano Garante</w:t>
      </w:r>
      <w:r w:rsidR="002E160F" w:rsidRPr="001672EA">
        <w:rPr>
          <w:rFonts w:ascii="Palatino Linotype" w:hAnsi="Palatino Linotype" w:cs="Arial"/>
          <w:color w:val="000000" w:themeColor="text1"/>
        </w:rPr>
        <w:t xml:space="preserve"> advierte que las razones o motivos de inconformidad manifestados por </w:t>
      </w:r>
      <w:r w:rsidR="00650C79" w:rsidRPr="001672EA">
        <w:rPr>
          <w:rFonts w:ascii="Palatino Linotype" w:hAnsi="Palatino Linotype" w:cs="Arial"/>
          <w:color w:val="000000" w:themeColor="text1"/>
        </w:rPr>
        <w:t>el</w:t>
      </w:r>
      <w:r w:rsidR="002E160F" w:rsidRPr="001672EA">
        <w:rPr>
          <w:rFonts w:ascii="Palatino Linotype" w:hAnsi="Palatino Linotype" w:cs="Arial"/>
          <w:color w:val="000000" w:themeColor="text1"/>
        </w:rPr>
        <w:t xml:space="preserve"> </w:t>
      </w:r>
      <w:r w:rsidRPr="001672EA">
        <w:rPr>
          <w:rFonts w:ascii="Palatino Linotype" w:hAnsi="Palatino Linotype" w:cs="Arial"/>
          <w:b/>
          <w:bCs/>
          <w:color w:val="000000" w:themeColor="text1"/>
        </w:rPr>
        <w:t>RECURRENTE</w:t>
      </w:r>
      <w:r w:rsidRPr="001672EA">
        <w:rPr>
          <w:rFonts w:ascii="Palatino Linotype" w:hAnsi="Palatino Linotype" w:cs="Arial"/>
          <w:color w:val="000000" w:themeColor="text1"/>
        </w:rPr>
        <w:t xml:space="preserve"> </w:t>
      </w:r>
      <w:r w:rsidR="002E160F" w:rsidRPr="001672EA">
        <w:rPr>
          <w:rFonts w:ascii="Palatino Linotype" w:hAnsi="Palatino Linotype" w:cs="Arial"/>
          <w:color w:val="000000" w:themeColor="text1"/>
        </w:rPr>
        <w:t>sugieren que la respuesta proporcionada</w:t>
      </w:r>
      <w:r w:rsidR="00B855AA" w:rsidRPr="001672EA">
        <w:rPr>
          <w:rFonts w:ascii="Palatino Linotype" w:hAnsi="Palatino Linotype" w:cs="Arial"/>
          <w:color w:val="000000" w:themeColor="text1"/>
        </w:rPr>
        <w:t xml:space="preserve"> por el </w:t>
      </w:r>
      <w:r w:rsidR="00B855AA" w:rsidRPr="001672EA">
        <w:rPr>
          <w:rFonts w:ascii="Palatino Linotype" w:hAnsi="Palatino Linotype" w:cs="Arial"/>
          <w:b/>
          <w:bCs/>
          <w:color w:val="000000" w:themeColor="text1"/>
        </w:rPr>
        <w:t>SUJETO OBLIGADO</w:t>
      </w:r>
      <w:r w:rsidR="007409D8" w:rsidRPr="001672EA">
        <w:rPr>
          <w:rFonts w:ascii="Palatino Linotype" w:hAnsi="Palatino Linotype" w:cs="Arial"/>
          <w:color w:val="000000" w:themeColor="text1"/>
        </w:rPr>
        <w:t xml:space="preserve"> no </w:t>
      </w:r>
      <w:r w:rsidR="006D57BE" w:rsidRPr="001672EA">
        <w:rPr>
          <w:rFonts w:ascii="Palatino Linotype" w:hAnsi="Palatino Linotype" w:cs="Arial"/>
          <w:color w:val="000000" w:themeColor="text1"/>
        </w:rPr>
        <w:t>cumplió</w:t>
      </w:r>
      <w:r w:rsidR="00B855AA" w:rsidRPr="001672EA">
        <w:rPr>
          <w:rFonts w:ascii="Palatino Linotype" w:hAnsi="Palatino Linotype" w:cs="Arial"/>
          <w:color w:val="000000" w:themeColor="text1"/>
        </w:rPr>
        <w:t xml:space="preserve"> con </w:t>
      </w:r>
      <w:r w:rsidR="008F7752" w:rsidRPr="001672EA">
        <w:rPr>
          <w:rFonts w:ascii="Palatino Linotype" w:hAnsi="Palatino Linotype" w:cs="Arial"/>
          <w:color w:val="000000" w:themeColor="text1"/>
        </w:rPr>
        <w:t>los</w:t>
      </w:r>
      <w:r w:rsidR="00B855AA" w:rsidRPr="001672EA">
        <w:rPr>
          <w:rFonts w:ascii="Palatino Linotype" w:hAnsi="Palatino Linotype" w:cs="Arial"/>
          <w:color w:val="000000" w:themeColor="text1"/>
        </w:rPr>
        <w:t xml:space="preserve"> principio</w:t>
      </w:r>
      <w:r w:rsidR="008F7752" w:rsidRPr="001672EA">
        <w:rPr>
          <w:rFonts w:ascii="Palatino Linotype" w:hAnsi="Palatino Linotype" w:cs="Arial"/>
          <w:color w:val="000000" w:themeColor="text1"/>
        </w:rPr>
        <w:t>s</w:t>
      </w:r>
      <w:r w:rsidR="00B855AA" w:rsidRPr="001672EA">
        <w:rPr>
          <w:rFonts w:ascii="Palatino Linotype" w:hAnsi="Palatino Linotype" w:cs="Arial"/>
          <w:color w:val="000000" w:themeColor="text1"/>
        </w:rPr>
        <w:t xml:space="preserve"> contendido</w:t>
      </w:r>
      <w:r w:rsidR="008F7752" w:rsidRPr="001672EA">
        <w:rPr>
          <w:rFonts w:ascii="Palatino Linotype" w:hAnsi="Palatino Linotype" w:cs="Arial"/>
          <w:color w:val="000000" w:themeColor="text1"/>
        </w:rPr>
        <w:t>s</w:t>
      </w:r>
      <w:r w:rsidR="00B855AA" w:rsidRPr="001672EA">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1672EA">
        <w:rPr>
          <w:rFonts w:ascii="Palatino Linotype" w:hAnsi="Palatino Linotype" w:cs="Arial"/>
          <w:color w:val="000000" w:themeColor="text1"/>
        </w:rPr>
        <w:t>os</w:t>
      </w:r>
      <w:r w:rsidR="00B855AA" w:rsidRPr="001672EA">
        <w:rPr>
          <w:rFonts w:ascii="Palatino Linotype" w:hAnsi="Palatino Linotype" w:cs="Arial"/>
          <w:color w:val="000000" w:themeColor="text1"/>
        </w:rPr>
        <w:t xml:space="preserve"> cual</w:t>
      </w:r>
      <w:r w:rsidR="008F7752" w:rsidRPr="001672EA">
        <w:rPr>
          <w:rFonts w:ascii="Palatino Linotype" w:hAnsi="Palatino Linotype" w:cs="Arial"/>
          <w:color w:val="000000" w:themeColor="text1"/>
        </w:rPr>
        <w:t>es</w:t>
      </w:r>
      <w:r w:rsidR="00B855AA" w:rsidRPr="001672EA">
        <w:rPr>
          <w:rFonts w:ascii="Palatino Linotype" w:hAnsi="Palatino Linotype" w:cs="Arial"/>
          <w:color w:val="000000" w:themeColor="text1"/>
        </w:rPr>
        <w:t xml:space="preserve"> señala</w:t>
      </w:r>
      <w:r w:rsidR="008F7752" w:rsidRPr="001672EA">
        <w:rPr>
          <w:rFonts w:ascii="Palatino Linotype" w:hAnsi="Palatino Linotype" w:cs="Arial"/>
          <w:color w:val="000000" w:themeColor="text1"/>
        </w:rPr>
        <w:t>n</w:t>
      </w:r>
      <w:r w:rsidR="00B855AA" w:rsidRPr="001672EA">
        <w:rPr>
          <w:rFonts w:ascii="Palatino Linotype" w:hAnsi="Palatino Linotype" w:cs="Arial"/>
          <w:color w:val="000000" w:themeColor="text1"/>
        </w:rPr>
        <w:t xml:space="preserve"> que en la generación, publicación y entrega de información se deberá garantizar que ésta </w:t>
      </w:r>
      <w:r w:rsidR="00C51671" w:rsidRPr="001672EA">
        <w:rPr>
          <w:rFonts w:ascii="Palatino Linotype" w:hAnsi="Palatino Linotype" w:cs="Arial"/>
          <w:color w:val="000000" w:themeColor="text1"/>
        </w:rPr>
        <w:t>sea</w:t>
      </w:r>
      <w:r w:rsidR="007409D8" w:rsidRPr="001672EA">
        <w:rPr>
          <w:rFonts w:ascii="Palatino Linotype" w:hAnsi="Palatino Linotype" w:cs="Arial"/>
          <w:color w:val="000000" w:themeColor="text1"/>
        </w:rPr>
        <w:t xml:space="preserve"> </w:t>
      </w:r>
      <w:r w:rsidR="00987589" w:rsidRPr="001672EA">
        <w:rPr>
          <w:rFonts w:ascii="Palatino Linotype" w:hAnsi="Palatino Linotype" w:cs="Arial"/>
          <w:b/>
          <w:color w:val="000000" w:themeColor="text1"/>
        </w:rPr>
        <w:t xml:space="preserve">accesible </w:t>
      </w:r>
      <w:r w:rsidR="00987589" w:rsidRPr="001672EA">
        <w:rPr>
          <w:rFonts w:ascii="Palatino Linotype" w:hAnsi="Palatino Linotype" w:cs="Arial"/>
          <w:bCs/>
          <w:color w:val="000000" w:themeColor="text1"/>
        </w:rPr>
        <w:t>y</w:t>
      </w:r>
      <w:r w:rsidR="00987589" w:rsidRPr="001672EA">
        <w:rPr>
          <w:rFonts w:ascii="Palatino Linotype" w:hAnsi="Palatino Linotype" w:cs="Arial"/>
          <w:b/>
          <w:color w:val="000000" w:themeColor="text1"/>
        </w:rPr>
        <w:t xml:space="preserve"> congruente</w:t>
      </w:r>
      <w:r w:rsidR="00B855AA" w:rsidRPr="001672EA">
        <w:rPr>
          <w:rFonts w:ascii="Palatino Linotype" w:hAnsi="Palatino Linotype" w:cs="Arial"/>
          <w:color w:val="000000" w:themeColor="text1"/>
        </w:rPr>
        <w:t>.</w:t>
      </w:r>
    </w:p>
    <w:p w14:paraId="026A3A70" w14:textId="77777777" w:rsidR="00197091" w:rsidRPr="001672EA"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AADC35E" w:rsidR="00AD76A1" w:rsidRPr="001672EA"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672EA">
        <w:rPr>
          <w:rFonts w:ascii="Palatino Linotype" w:hAnsi="Palatino Linotype" w:cs="Arial"/>
          <w:color w:val="000000" w:themeColor="text1"/>
          <w:szCs w:val="23"/>
        </w:rPr>
        <w:t xml:space="preserve">Por lo anterior, la </w:t>
      </w:r>
      <w:r w:rsidRPr="001672EA">
        <w:rPr>
          <w:rFonts w:ascii="Palatino Linotype" w:hAnsi="Palatino Linotype" w:cs="Arial"/>
          <w:i/>
          <w:color w:val="000000" w:themeColor="text1"/>
          <w:szCs w:val="23"/>
        </w:rPr>
        <w:t>Litis</w:t>
      </w:r>
      <w:r w:rsidRPr="001672EA">
        <w:rPr>
          <w:rFonts w:ascii="Palatino Linotype" w:hAnsi="Palatino Linotype" w:cs="Arial"/>
          <w:color w:val="000000" w:themeColor="text1"/>
          <w:szCs w:val="23"/>
        </w:rPr>
        <w:t xml:space="preserve"> a resolver en el presente recurso se circunscribe en determinar si</w:t>
      </w:r>
      <w:r w:rsidR="002C6561" w:rsidRPr="001672EA">
        <w:rPr>
          <w:rFonts w:ascii="Palatino Linotype" w:hAnsi="Palatino Linotype" w:cs="Arial"/>
          <w:color w:val="000000" w:themeColor="text1"/>
          <w:szCs w:val="23"/>
        </w:rPr>
        <w:t xml:space="preserve"> </w:t>
      </w:r>
      <w:r w:rsidR="004B0EB6" w:rsidRPr="001672EA">
        <w:rPr>
          <w:rFonts w:ascii="Palatino Linotype" w:hAnsi="Palatino Linotype" w:cs="Arial"/>
          <w:color w:val="000000" w:themeColor="text1"/>
          <w:szCs w:val="23"/>
        </w:rPr>
        <w:t>la respuesta del</w:t>
      </w:r>
      <w:r w:rsidR="002C6561" w:rsidRPr="001672EA">
        <w:rPr>
          <w:rFonts w:ascii="Palatino Linotype" w:hAnsi="Palatino Linotype" w:cs="Arial"/>
          <w:color w:val="000000" w:themeColor="text1"/>
          <w:szCs w:val="23"/>
        </w:rPr>
        <w:t xml:space="preserve"> </w:t>
      </w:r>
      <w:r w:rsidR="002C6561" w:rsidRPr="001672EA">
        <w:rPr>
          <w:rFonts w:ascii="Palatino Linotype" w:hAnsi="Palatino Linotype" w:cs="Arial"/>
          <w:b/>
          <w:bCs/>
          <w:color w:val="000000" w:themeColor="text1"/>
          <w:szCs w:val="23"/>
        </w:rPr>
        <w:t>SUJETO OBLIGADO</w:t>
      </w:r>
      <w:r w:rsidR="002C6561" w:rsidRPr="001672EA">
        <w:rPr>
          <w:rFonts w:ascii="Palatino Linotype" w:hAnsi="Palatino Linotype" w:cs="Arial"/>
          <w:color w:val="000000" w:themeColor="text1"/>
          <w:szCs w:val="23"/>
        </w:rPr>
        <w:t xml:space="preserve"> </w:t>
      </w:r>
      <w:r w:rsidR="004B0EB6" w:rsidRPr="001672EA">
        <w:rPr>
          <w:rFonts w:ascii="Palatino Linotype" w:hAnsi="Palatino Linotype" w:cs="Arial"/>
          <w:color w:val="000000" w:themeColor="text1"/>
          <w:szCs w:val="23"/>
        </w:rPr>
        <w:t xml:space="preserve">colma el derecho de acceso a la información ejercido por </w:t>
      </w:r>
      <w:r w:rsidR="001025C6" w:rsidRPr="001672EA">
        <w:rPr>
          <w:rFonts w:ascii="Palatino Linotype" w:hAnsi="Palatino Linotype" w:cs="Arial"/>
          <w:color w:val="000000" w:themeColor="text1"/>
          <w:szCs w:val="23"/>
        </w:rPr>
        <w:t>el</w:t>
      </w:r>
      <w:r w:rsidR="004B0EB6" w:rsidRPr="001672EA">
        <w:rPr>
          <w:rFonts w:ascii="Palatino Linotype" w:hAnsi="Palatino Linotype" w:cs="Arial"/>
          <w:color w:val="000000" w:themeColor="text1"/>
          <w:szCs w:val="23"/>
        </w:rPr>
        <w:t xml:space="preserve"> </w:t>
      </w:r>
      <w:r w:rsidR="004B0EB6" w:rsidRPr="001672EA">
        <w:rPr>
          <w:rFonts w:ascii="Palatino Linotype" w:hAnsi="Palatino Linotype" w:cs="Arial"/>
          <w:b/>
          <w:bCs/>
          <w:color w:val="000000" w:themeColor="text1"/>
          <w:szCs w:val="23"/>
        </w:rPr>
        <w:t>RECURRENTE</w:t>
      </w:r>
      <w:r w:rsidR="002C6561" w:rsidRPr="001672EA">
        <w:rPr>
          <w:rFonts w:ascii="Palatino Linotype" w:hAnsi="Palatino Linotype" w:cs="Arial"/>
          <w:color w:val="000000" w:themeColor="text1"/>
          <w:szCs w:val="23"/>
        </w:rPr>
        <w:t xml:space="preserve"> o</w:t>
      </w:r>
      <w:r w:rsidR="001025C6" w:rsidRPr="001672EA">
        <w:rPr>
          <w:rFonts w:ascii="Palatino Linotype" w:hAnsi="Palatino Linotype" w:cs="Arial"/>
          <w:color w:val="000000" w:themeColor="text1"/>
          <w:szCs w:val="23"/>
        </w:rPr>
        <w:t>,</w:t>
      </w:r>
      <w:r w:rsidR="002C6561" w:rsidRPr="001672EA">
        <w:rPr>
          <w:rFonts w:ascii="Palatino Linotype" w:hAnsi="Palatino Linotype" w:cs="Arial"/>
          <w:color w:val="000000" w:themeColor="text1"/>
          <w:szCs w:val="23"/>
        </w:rPr>
        <w:t xml:space="preserve"> si por el contrario, se</w:t>
      </w:r>
      <w:r w:rsidR="00E32652" w:rsidRPr="001672EA">
        <w:rPr>
          <w:rFonts w:ascii="Palatino Linotype" w:hAnsi="Palatino Linotype" w:cs="Arial"/>
          <w:color w:val="000000" w:themeColor="text1"/>
          <w:szCs w:val="23"/>
        </w:rPr>
        <w:t xml:space="preserve"> </w:t>
      </w:r>
      <w:r w:rsidR="0028248C" w:rsidRPr="001672EA">
        <w:rPr>
          <w:rFonts w:ascii="Palatino Linotype" w:hAnsi="Palatino Linotype"/>
          <w:color w:val="000000" w:themeColor="text1"/>
        </w:rPr>
        <w:t>actualiza</w:t>
      </w:r>
      <w:r w:rsidR="00C51671" w:rsidRPr="001672EA">
        <w:rPr>
          <w:rFonts w:ascii="Palatino Linotype" w:hAnsi="Palatino Linotype"/>
          <w:color w:val="000000" w:themeColor="text1"/>
        </w:rPr>
        <w:t>n</w:t>
      </w:r>
      <w:r w:rsidR="0028248C" w:rsidRPr="001672EA">
        <w:rPr>
          <w:rFonts w:ascii="Palatino Linotype" w:hAnsi="Palatino Linotype"/>
          <w:color w:val="000000" w:themeColor="text1"/>
        </w:rPr>
        <w:t xml:space="preserve"> la</w:t>
      </w:r>
      <w:r w:rsidR="00C51671" w:rsidRPr="001672EA">
        <w:rPr>
          <w:rFonts w:ascii="Palatino Linotype" w:hAnsi="Palatino Linotype"/>
          <w:color w:val="000000" w:themeColor="text1"/>
        </w:rPr>
        <w:t>s</w:t>
      </w:r>
      <w:r w:rsidR="0028248C" w:rsidRPr="001672EA">
        <w:rPr>
          <w:rFonts w:ascii="Palatino Linotype" w:hAnsi="Palatino Linotype"/>
          <w:color w:val="000000" w:themeColor="text1"/>
        </w:rPr>
        <w:t xml:space="preserve"> causal</w:t>
      </w:r>
      <w:r w:rsidR="00C51671" w:rsidRPr="001672EA">
        <w:rPr>
          <w:rFonts w:ascii="Palatino Linotype" w:hAnsi="Palatino Linotype"/>
          <w:color w:val="000000" w:themeColor="text1"/>
        </w:rPr>
        <w:t>es</w:t>
      </w:r>
      <w:r w:rsidR="0028248C" w:rsidRPr="001672EA">
        <w:rPr>
          <w:rFonts w:ascii="Palatino Linotype" w:hAnsi="Palatino Linotype"/>
          <w:color w:val="000000" w:themeColor="text1"/>
        </w:rPr>
        <w:t xml:space="preserve"> de procedencia</w:t>
      </w:r>
      <w:r w:rsidR="00E66A80" w:rsidRPr="001672EA">
        <w:rPr>
          <w:rFonts w:ascii="Palatino Linotype" w:hAnsi="Palatino Linotype" w:cs="Arial"/>
          <w:color w:val="000000" w:themeColor="text1"/>
          <w:szCs w:val="23"/>
        </w:rPr>
        <w:t xml:space="preserve"> del recurso de revisión establecida</w:t>
      </w:r>
      <w:r w:rsidR="00C51671" w:rsidRPr="001672EA">
        <w:rPr>
          <w:rFonts w:ascii="Palatino Linotype" w:hAnsi="Palatino Linotype" w:cs="Arial"/>
          <w:color w:val="000000" w:themeColor="text1"/>
          <w:szCs w:val="23"/>
        </w:rPr>
        <w:t>s</w:t>
      </w:r>
      <w:r w:rsidR="00E66A80" w:rsidRPr="001672EA">
        <w:rPr>
          <w:rFonts w:ascii="Palatino Linotype" w:hAnsi="Palatino Linotype" w:cs="Arial"/>
          <w:color w:val="000000" w:themeColor="text1"/>
          <w:szCs w:val="23"/>
        </w:rPr>
        <w:t xml:space="preserve"> en el artículo 179 </w:t>
      </w:r>
      <w:r w:rsidR="00C51671" w:rsidRPr="001672EA">
        <w:rPr>
          <w:rFonts w:ascii="Palatino Linotype" w:hAnsi="Palatino Linotype" w:cs="Arial"/>
          <w:color w:val="000000" w:themeColor="text1"/>
          <w:szCs w:val="23"/>
        </w:rPr>
        <w:t>fracciones</w:t>
      </w:r>
      <w:r w:rsidR="00E66A80" w:rsidRPr="001672EA">
        <w:rPr>
          <w:rFonts w:ascii="Palatino Linotype" w:hAnsi="Palatino Linotype" w:cs="Arial"/>
          <w:color w:val="000000" w:themeColor="text1"/>
          <w:szCs w:val="23"/>
        </w:rPr>
        <w:t xml:space="preserve"> </w:t>
      </w:r>
      <w:r w:rsidR="006015F0" w:rsidRPr="001672EA">
        <w:rPr>
          <w:rFonts w:ascii="Palatino Linotype" w:hAnsi="Palatino Linotype" w:cs="Arial"/>
          <w:color w:val="000000" w:themeColor="text1"/>
          <w:szCs w:val="23"/>
        </w:rPr>
        <w:t>I</w:t>
      </w:r>
      <w:r w:rsidR="00640B8E" w:rsidRPr="001672EA">
        <w:rPr>
          <w:rFonts w:ascii="Palatino Linotype" w:hAnsi="Palatino Linotype" w:cs="Arial"/>
          <w:color w:val="000000" w:themeColor="text1"/>
          <w:szCs w:val="23"/>
        </w:rPr>
        <w:t>,</w:t>
      </w:r>
      <w:r w:rsidR="0021056F" w:rsidRPr="001672EA">
        <w:rPr>
          <w:rFonts w:ascii="Palatino Linotype" w:hAnsi="Palatino Linotype" w:cs="Arial"/>
          <w:color w:val="000000" w:themeColor="text1"/>
          <w:szCs w:val="23"/>
        </w:rPr>
        <w:t xml:space="preserve"> </w:t>
      </w:r>
      <w:r w:rsidR="00D8537E" w:rsidRPr="001672EA">
        <w:rPr>
          <w:rFonts w:ascii="Palatino Linotype" w:hAnsi="Palatino Linotype" w:cs="Arial"/>
          <w:color w:val="000000" w:themeColor="text1"/>
          <w:szCs w:val="23"/>
        </w:rPr>
        <w:t>V</w:t>
      </w:r>
      <w:r w:rsidR="007D7B65" w:rsidRPr="001672EA">
        <w:rPr>
          <w:rFonts w:ascii="Palatino Linotype" w:hAnsi="Palatino Linotype" w:cs="Arial"/>
          <w:color w:val="000000" w:themeColor="text1"/>
          <w:szCs w:val="23"/>
        </w:rPr>
        <w:t>, y/o X</w:t>
      </w:r>
      <w:r w:rsidR="00987589" w:rsidRPr="001672EA">
        <w:rPr>
          <w:rFonts w:ascii="Palatino Linotype" w:hAnsi="Palatino Linotype" w:cs="Arial"/>
          <w:color w:val="000000" w:themeColor="text1"/>
          <w:szCs w:val="23"/>
        </w:rPr>
        <w:t>III</w:t>
      </w:r>
      <w:r w:rsidR="00390D23" w:rsidRPr="001672EA">
        <w:rPr>
          <w:rFonts w:ascii="Palatino Linotype" w:hAnsi="Palatino Linotype" w:cs="Arial"/>
          <w:color w:val="000000" w:themeColor="text1"/>
          <w:szCs w:val="23"/>
        </w:rPr>
        <w:t xml:space="preserve"> </w:t>
      </w:r>
      <w:r w:rsidR="00E66A80" w:rsidRPr="001672EA">
        <w:rPr>
          <w:rFonts w:ascii="Palatino Linotype" w:hAnsi="Palatino Linotype" w:cs="Arial"/>
          <w:color w:val="000000" w:themeColor="text1"/>
          <w:szCs w:val="23"/>
        </w:rPr>
        <w:t xml:space="preserve">de la Ley de Transparencia y Acceso a la Información Pública del Estado de México y Municipios, </w:t>
      </w:r>
      <w:r w:rsidR="00C51671" w:rsidRPr="001672EA">
        <w:rPr>
          <w:rFonts w:ascii="Palatino Linotype" w:hAnsi="Palatino Linotype" w:cs="Arial"/>
          <w:color w:val="000000" w:themeColor="text1"/>
          <w:szCs w:val="23"/>
        </w:rPr>
        <w:t xml:space="preserve">y </w:t>
      </w:r>
      <w:r w:rsidR="00E66A80" w:rsidRPr="001672EA">
        <w:rPr>
          <w:rFonts w:ascii="Palatino Linotype" w:hAnsi="Palatino Linotype" w:cs="Arial"/>
          <w:color w:val="000000" w:themeColor="text1"/>
          <w:szCs w:val="23"/>
        </w:rPr>
        <w:t>que se transcribe</w:t>
      </w:r>
      <w:r w:rsidR="00C51671" w:rsidRPr="001672EA">
        <w:rPr>
          <w:rFonts w:ascii="Palatino Linotype" w:hAnsi="Palatino Linotype" w:cs="Arial"/>
          <w:color w:val="000000" w:themeColor="text1"/>
          <w:szCs w:val="23"/>
        </w:rPr>
        <w:t>n</w:t>
      </w:r>
      <w:r w:rsidR="00E66A80" w:rsidRPr="001672EA">
        <w:rPr>
          <w:rFonts w:ascii="Palatino Linotype" w:hAnsi="Palatino Linotype" w:cs="Arial"/>
          <w:color w:val="000000" w:themeColor="text1"/>
          <w:szCs w:val="23"/>
        </w:rPr>
        <w:t xml:space="preserve"> a continuación:</w:t>
      </w:r>
    </w:p>
    <w:p w14:paraId="5D251E5B" w14:textId="77777777" w:rsidR="002630E4" w:rsidRPr="001672EA" w:rsidRDefault="002630E4" w:rsidP="00B31E90">
      <w:pPr>
        <w:pStyle w:val="Sinespaciado"/>
        <w:tabs>
          <w:tab w:val="left" w:pos="426"/>
        </w:tabs>
        <w:ind w:left="851" w:right="567"/>
        <w:jc w:val="both"/>
        <w:rPr>
          <w:rFonts w:ascii="Palatino Linotype" w:hAnsi="Palatino Linotype"/>
          <w:i/>
          <w:color w:val="000000" w:themeColor="text1"/>
          <w:sz w:val="22"/>
          <w:lang w:val="es-MX"/>
        </w:rPr>
      </w:pPr>
    </w:p>
    <w:p w14:paraId="694942AF" w14:textId="1E270F2A" w:rsidR="00AD76A1" w:rsidRPr="001672EA" w:rsidRDefault="00E66A80" w:rsidP="00B31E90">
      <w:pPr>
        <w:pStyle w:val="Sinespaciado"/>
        <w:tabs>
          <w:tab w:val="left" w:pos="426"/>
        </w:tabs>
        <w:ind w:left="851" w:right="567"/>
        <w:jc w:val="both"/>
        <w:rPr>
          <w:rFonts w:ascii="Palatino Linotype" w:hAnsi="Palatino Linotype"/>
          <w:i/>
          <w:color w:val="000000" w:themeColor="text1"/>
          <w:sz w:val="22"/>
          <w:lang w:val="es-MX"/>
        </w:rPr>
      </w:pPr>
      <w:r w:rsidRPr="001672EA">
        <w:rPr>
          <w:rFonts w:ascii="Palatino Linotype" w:hAnsi="Palatino Linotype"/>
          <w:i/>
          <w:color w:val="000000" w:themeColor="text1"/>
          <w:sz w:val="22"/>
          <w:lang w:val="es-MX"/>
        </w:rPr>
        <w:t>“</w:t>
      </w:r>
      <w:r w:rsidRPr="001672EA">
        <w:rPr>
          <w:rFonts w:ascii="Palatino Linotype" w:hAnsi="Palatino Linotype"/>
          <w:b/>
          <w:i/>
          <w:color w:val="000000" w:themeColor="text1"/>
          <w:sz w:val="22"/>
          <w:lang w:val="es-MX"/>
        </w:rPr>
        <w:t>Artículo 179.</w:t>
      </w:r>
      <w:r w:rsidRPr="001672EA">
        <w:rPr>
          <w:rFonts w:ascii="Palatino Linotype" w:hAnsi="Palatino Linotype"/>
          <w:i/>
          <w:color w:val="000000" w:themeColor="text1"/>
          <w:sz w:val="22"/>
          <w:lang w:val="es-MX"/>
        </w:rPr>
        <w:t xml:space="preserve"> El recurso de revisión es un medio de protección que la Ley otorga a los particulares, para hacer valer su derecho de acceso a la información pública, y procederá en contra de las siguientes causas:</w:t>
      </w:r>
    </w:p>
    <w:p w14:paraId="0261560E" w14:textId="340ED186" w:rsidR="00E02DA3" w:rsidRPr="001672EA" w:rsidRDefault="007409D8" w:rsidP="00B31E90">
      <w:pPr>
        <w:pStyle w:val="Sinespaciado"/>
        <w:tabs>
          <w:tab w:val="left" w:pos="426"/>
        </w:tabs>
        <w:ind w:left="851" w:right="567"/>
        <w:jc w:val="both"/>
        <w:rPr>
          <w:rFonts w:ascii="Palatino Linotype" w:hAnsi="Palatino Linotype"/>
          <w:bCs/>
          <w:i/>
          <w:color w:val="000000" w:themeColor="text1"/>
          <w:sz w:val="22"/>
          <w:lang w:val="es-MX"/>
        </w:rPr>
      </w:pPr>
      <w:r w:rsidRPr="001672EA">
        <w:rPr>
          <w:rFonts w:ascii="Palatino Linotype" w:hAnsi="Palatino Linotype"/>
          <w:b/>
          <w:bCs/>
          <w:i/>
          <w:color w:val="000000" w:themeColor="text1"/>
          <w:sz w:val="22"/>
          <w:lang w:val="es-MX"/>
        </w:rPr>
        <w:t>I.</w:t>
      </w:r>
      <w:r w:rsidRPr="001672EA">
        <w:rPr>
          <w:rFonts w:ascii="Palatino Linotype" w:hAnsi="Palatino Linotype"/>
          <w:bCs/>
          <w:i/>
          <w:color w:val="000000" w:themeColor="text1"/>
          <w:sz w:val="22"/>
          <w:lang w:val="es-MX"/>
        </w:rPr>
        <w:t xml:space="preserve"> La negativa a la información solicitada;</w:t>
      </w:r>
    </w:p>
    <w:p w14:paraId="0FA844DD" w14:textId="3FF76E4A" w:rsidR="004107D7" w:rsidRPr="001672EA" w:rsidRDefault="0021056F" w:rsidP="004107D7">
      <w:pPr>
        <w:pStyle w:val="Sinespaciado"/>
        <w:tabs>
          <w:tab w:val="left" w:pos="426"/>
        </w:tabs>
        <w:ind w:left="851" w:right="567"/>
        <w:jc w:val="both"/>
        <w:rPr>
          <w:rFonts w:ascii="Palatino Linotype" w:hAnsi="Palatino Linotype"/>
          <w:i/>
          <w:color w:val="000000" w:themeColor="text1"/>
          <w:sz w:val="22"/>
          <w:lang w:val="es-MX"/>
        </w:rPr>
      </w:pPr>
      <w:r w:rsidRPr="001672EA">
        <w:rPr>
          <w:rFonts w:ascii="Palatino Linotype" w:hAnsi="Palatino Linotype"/>
          <w:i/>
          <w:color w:val="000000" w:themeColor="text1"/>
          <w:sz w:val="22"/>
          <w:lang w:val="es-MX"/>
        </w:rPr>
        <w:t xml:space="preserve"> </w:t>
      </w:r>
      <w:r w:rsidR="004107D7" w:rsidRPr="001672EA">
        <w:rPr>
          <w:rFonts w:ascii="Palatino Linotype" w:hAnsi="Palatino Linotype"/>
          <w:i/>
          <w:color w:val="000000" w:themeColor="text1"/>
          <w:sz w:val="22"/>
          <w:lang w:val="es-MX"/>
        </w:rPr>
        <w:t>(…)</w:t>
      </w:r>
    </w:p>
    <w:p w14:paraId="05C54D61" w14:textId="0710BF48" w:rsidR="002D7AE2" w:rsidRPr="001672EA" w:rsidRDefault="00390FDE" w:rsidP="004170BE">
      <w:pPr>
        <w:pStyle w:val="Sinespaciado"/>
        <w:tabs>
          <w:tab w:val="left" w:pos="426"/>
        </w:tabs>
        <w:ind w:left="851" w:right="567"/>
        <w:jc w:val="both"/>
        <w:rPr>
          <w:rFonts w:ascii="Palatino Linotype" w:hAnsi="Palatino Linotype"/>
          <w:bCs/>
          <w:i/>
          <w:color w:val="000000" w:themeColor="text1"/>
          <w:sz w:val="22"/>
          <w:lang w:val="es-MX"/>
        </w:rPr>
      </w:pPr>
      <w:r w:rsidRPr="001672EA">
        <w:rPr>
          <w:rFonts w:ascii="Palatino Linotype" w:hAnsi="Palatino Linotype"/>
          <w:b/>
          <w:i/>
          <w:color w:val="000000" w:themeColor="text1"/>
          <w:sz w:val="22"/>
          <w:lang w:val="es-MX"/>
        </w:rPr>
        <w:t xml:space="preserve">V. </w:t>
      </w:r>
      <w:r w:rsidRPr="001672EA">
        <w:rPr>
          <w:rFonts w:ascii="Palatino Linotype" w:hAnsi="Palatino Linotype"/>
          <w:i/>
          <w:color w:val="000000" w:themeColor="text1"/>
          <w:sz w:val="22"/>
          <w:lang w:val="es-MX"/>
        </w:rPr>
        <w:t>La entrega de información incompleta;</w:t>
      </w:r>
      <w:r w:rsidRPr="001672EA">
        <w:rPr>
          <w:rFonts w:ascii="Palatino Linotype" w:hAnsi="Palatino Linotype"/>
          <w:i/>
          <w:color w:val="000000" w:themeColor="text1"/>
          <w:sz w:val="22"/>
          <w:lang w:val="es-MX"/>
        </w:rPr>
        <w:cr/>
      </w:r>
      <w:r w:rsidR="004170BE" w:rsidRPr="001672EA">
        <w:rPr>
          <w:rFonts w:ascii="Palatino Linotype" w:hAnsi="Palatino Linotype"/>
          <w:bCs/>
          <w:i/>
          <w:color w:val="000000" w:themeColor="text1"/>
          <w:sz w:val="22"/>
          <w:lang w:val="es-MX"/>
        </w:rPr>
        <w:t>(...)</w:t>
      </w:r>
    </w:p>
    <w:p w14:paraId="563B7D67" w14:textId="5887558C" w:rsidR="002D7AE2" w:rsidRPr="001672EA" w:rsidRDefault="00987589" w:rsidP="00FD62D7">
      <w:pPr>
        <w:pStyle w:val="Sinespaciado"/>
        <w:tabs>
          <w:tab w:val="left" w:pos="426"/>
        </w:tabs>
        <w:ind w:left="851" w:right="567"/>
        <w:jc w:val="both"/>
        <w:rPr>
          <w:rFonts w:ascii="Palatino Linotype" w:hAnsi="Palatino Linotype"/>
          <w:bCs/>
          <w:i/>
          <w:color w:val="000000" w:themeColor="text1"/>
          <w:sz w:val="22"/>
          <w:lang w:val="es-MX"/>
        </w:rPr>
      </w:pPr>
      <w:r w:rsidRPr="001672EA">
        <w:rPr>
          <w:rFonts w:ascii="Palatino Linotype" w:hAnsi="Palatino Linotype"/>
          <w:b/>
          <w:i/>
          <w:color w:val="000000" w:themeColor="text1"/>
          <w:sz w:val="22"/>
          <w:lang w:val="es-MX"/>
        </w:rPr>
        <w:t>XIII</w:t>
      </w:r>
      <w:r w:rsidR="00EA37A0" w:rsidRPr="001672EA">
        <w:rPr>
          <w:rFonts w:ascii="Palatino Linotype" w:hAnsi="Palatino Linotype"/>
          <w:b/>
          <w:i/>
          <w:color w:val="000000" w:themeColor="text1"/>
          <w:sz w:val="22"/>
          <w:lang w:val="es-MX"/>
        </w:rPr>
        <w:t xml:space="preserve">. </w:t>
      </w:r>
      <w:r w:rsidR="00FD62D7" w:rsidRPr="001672EA">
        <w:rPr>
          <w:rFonts w:ascii="Palatino Linotype" w:hAnsi="Palatino Linotype"/>
          <w:bCs/>
          <w:i/>
          <w:color w:val="000000" w:themeColor="text1"/>
          <w:sz w:val="22"/>
          <w:lang w:val="es-MX"/>
        </w:rPr>
        <w:t>La</w:t>
      </w:r>
      <w:r w:rsidRPr="001672EA">
        <w:rPr>
          <w:rFonts w:ascii="Palatino Linotype" w:hAnsi="Palatino Linotype"/>
          <w:bCs/>
          <w:i/>
          <w:color w:val="000000" w:themeColor="text1"/>
          <w:sz w:val="22"/>
          <w:lang w:val="es-MX"/>
        </w:rPr>
        <w:t xml:space="preserve"> falta, deficiencia o insuficiencia de la fundamentación y/o motivación en la respuesta; y</w:t>
      </w:r>
      <w:r w:rsidR="00FD62D7" w:rsidRPr="001672EA">
        <w:rPr>
          <w:rFonts w:ascii="Palatino Linotype" w:hAnsi="Palatino Linotype"/>
          <w:bCs/>
          <w:i/>
          <w:color w:val="000000" w:themeColor="text1"/>
          <w:sz w:val="22"/>
          <w:lang w:val="es-MX"/>
        </w:rPr>
        <w:t>;</w:t>
      </w:r>
    </w:p>
    <w:p w14:paraId="4FCA9B3F" w14:textId="5AE9D2B2" w:rsidR="00515DEC" w:rsidRPr="001672EA" w:rsidRDefault="00390FDE" w:rsidP="004170BE">
      <w:pPr>
        <w:pStyle w:val="Sinespaciado"/>
        <w:tabs>
          <w:tab w:val="left" w:pos="426"/>
        </w:tabs>
        <w:ind w:left="851" w:right="567"/>
        <w:jc w:val="both"/>
        <w:rPr>
          <w:rFonts w:ascii="Palatino Linotype" w:hAnsi="Palatino Linotype"/>
          <w:bCs/>
          <w:i/>
          <w:color w:val="000000" w:themeColor="text1"/>
          <w:sz w:val="22"/>
          <w:lang w:val="es-MX"/>
        </w:rPr>
      </w:pPr>
      <w:r w:rsidRPr="001672EA">
        <w:rPr>
          <w:rFonts w:ascii="Palatino Linotype" w:hAnsi="Palatino Linotype"/>
          <w:i/>
          <w:noProof/>
          <w:color w:val="000000" w:themeColor="text1"/>
          <w:sz w:val="22"/>
          <w:lang w:val="es-MX" w:eastAsia="es-MX"/>
        </w:rPr>
        <mc:AlternateContent>
          <mc:Choice Requires="wps">
            <w:drawing>
              <wp:anchor distT="0" distB="0" distL="114300" distR="114300" simplePos="0" relativeHeight="251659264" behindDoc="0" locked="0" layoutInCell="1" allowOverlap="1" wp14:anchorId="7E9B0CAD" wp14:editId="2F128089">
                <wp:simplePos x="0" y="0"/>
                <wp:positionH relativeFrom="margin">
                  <wp:align>right</wp:align>
                </wp:positionH>
                <wp:positionV relativeFrom="paragraph">
                  <wp:posOffset>45996</wp:posOffset>
                </wp:positionV>
                <wp:extent cx="5518205" cy="1207466"/>
                <wp:effectExtent l="38100" t="38100" r="63500" b="88265"/>
                <wp:wrapNone/>
                <wp:docPr id="8" name="Conector recto 8"/>
                <wp:cNvGraphicFramePr/>
                <a:graphic xmlns:a="http://schemas.openxmlformats.org/drawingml/2006/main">
                  <a:graphicData uri="http://schemas.microsoft.com/office/word/2010/wordprocessingShape">
                    <wps:wsp>
                      <wps:cNvCnPr/>
                      <wps:spPr>
                        <a:xfrm flipV="1">
                          <a:off x="0" y="0"/>
                          <a:ext cx="5518205" cy="1207466"/>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EEDD0" id="Conector recto 8"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3pt,3.6pt" to="817.8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bEywEAANQDAAAOAAAAZHJzL2Uyb0RvYy54bWysU8tu2zAQvBfIPxC813qgdgzBcg4OmkvQ&#10;Gm3TO0ORFlG+sGQt+e+7pBQ1aNocgl4oPnZnZ2ZXu5vRaHIWEJSzLa1WJSXCctcpe2rpw7eP77eU&#10;hMhsx7SzoqUXEejN/urdbvCNqF3vdCeAIIgNzeBb2sfom6IIvBeGhZXzwuKjdGBYxCOcig7YgOhG&#10;F3VZborBQefBcREC3t5Oj3Sf8aUUPH6WMohIdEuRW8wr5PUxrcV+x5oTMN8rPtNgb2BhmLJYdIG6&#10;ZZGRn6BeQBnFwQUn44o7UzgpFRdZA6qpyj/UfO2ZF1kLmhP8YlP4f7D80/kIRHUtxUZZZrBFB2wU&#10;jw4IpA/ZJo8GHxoMPdgjzKfgj5AEjxIMkVr579j+bAGKImN2+LI4LMZIOF6u19W2LteUcHyr6vL6&#10;w2aT8IsJKAF6CPFOOEPSpqVa2WQBa9j5PsQp9CkkXWtLhgR1XeZmFonpxC3v4kWLKeyLkKgTOdQZ&#10;Lk+YOGggZ4az0f2oZh7aYmRKkUrrJal8PWmOTWkiT92SOHnyz2pLdK7obFwSjbIO/lY1jk9U5RSP&#10;9j3TmraPrrvkTuUHHJ3s8DzmaTafn3P6759x/wsAAP//AwBQSwMEFAAGAAgAAAAhACFLASnaAAAA&#10;BgEAAA8AAABkcnMvZG93bnJldi54bWxMj8FOwzAQRO9I/IO1SNyoTYWaNMSpKgRHhGhLz068JGnj&#10;dRQ7Tfr3LCc4jmZ29k2+mV0nLjiE1pOGx4UCgVR521Kt4bB/e0hBhGjIms4TarhigE1xe5ObzPqJ&#10;PvGyi7XgEgqZ0dDE2GdShqpBZ8LC90jsffvBmchyqKUdzMTlrpNLpVbSmZb4Q2N6fGmwOu9Gxxjq&#10;lL77Y7nfXg/H8UMl9Dp9kdb3d/P2GUTEOf6F4Refb6BgptKPZIPoNPCQqCFZgmAzXa1Zl5xaJ08g&#10;i1z+xy9+AAAA//8DAFBLAQItABQABgAIAAAAIQC2gziS/gAAAOEBAAATAAAAAAAAAAAAAAAAAAAA&#10;AABbQ29udGVudF9UeXBlc10ueG1sUEsBAi0AFAAGAAgAAAAhADj9If/WAAAAlAEAAAsAAAAAAAAA&#10;AAAAAAAALwEAAF9yZWxzLy5yZWxzUEsBAi0AFAAGAAgAAAAhAIfTBsTLAQAA1AMAAA4AAAAAAAAA&#10;AAAAAAAALgIAAGRycy9lMm9Eb2MueG1sUEsBAi0AFAAGAAgAAAAhACFLASnaAAAABgEAAA8AAAAA&#10;AAAAAAAAAAAAJQQAAGRycy9kb3ducmV2LnhtbFBLBQYAAAAABAAEAPMAAAAsBQAAAAA=&#10;" strokecolor="black [3200]" strokeweight="1pt">
                <v:shadow on="t" color="black" opacity="24903f" origin=",.5" offset="0,.55556mm"/>
                <w10:wrap anchorx="margin"/>
              </v:line>
            </w:pict>
          </mc:Fallback>
        </mc:AlternateContent>
      </w:r>
      <w:r w:rsidR="002D7AE2" w:rsidRPr="001672EA">
        <w:rPr>
          <w:rFonts w:ascii="Palatino Linotype" w:hAnsi="Palatino Linotype"/>
          <w:bCs/>
          <w:i/>
          <w:color w:val="000000" w:themeColor="text1"/>
          <w:sz w:val="22"/>
          <w:lang w:val="es-MX"/>
        </w:rPr>
        <w:t>(...)</w:t>
      </w:r>
      <w:r w:rsidR="007D7B65" w:rsidRPr="001672EA">
        <w:rPr>
          <w:rFonts w:ascii="Palatino Linotype" w:hAnsi="Palatino Linotype"/>
          <w:bCs/>
          <w:i/>
          <w:color w:val="000000" w:themeColor="text1"/>
          <w:sz w:val="22"/>
          <w:lang w:val="es-MX"/>
        </w:rPr>
        <w:t>”</w:t>
      </w:r>
    </w:p>
    <w:p w14:paraId="3000BF2B" w14:textId="13920CEC" w:rsidR="00B50723" w:rsidRPr="001672EA" w:rsidRDefault="00B50723">
      <w:pPr>
        <w:rPr>
          <w:rFonts w:ascii="Palatino Linotype" w:hAnsi="Palatino Linotype"/>
          <w:i/>
          <w:color w:val="000000" w:themeColor="text1"/>
          <w:sz w:val="22"/>
        </w:rPr>
      </w:pPr>
      <w:r w:rsidRPr="001672EA">
        <w:rPr>
          <w:rFonts w:ascii="Palatino Linotype" w:hAnsi="Palatino Linotype"/>
          <w:i/>
          <w:color w:val="000000" w:themeColor="text1"/>
          <w:sz w:val="22"/>
        </w:rPr>
        <w:br w:type="page"/>
      </w:r>
    </w:p>
    <w:p w14:paraId="33E21FAB" w14:textId="77777777" w:rsidR="0021056F" w:rsidRPr="001672EA" w:rsidRDefault="0021056F" w:rsidP="0021056F">
      <w:pPr>
        <w:pStyle w:val="Sinespaciado"/>
        <w:tabs>
          <w:tab w:val="left" w:pos="426"/>
        </w:tabs>
        <w:ind w:right="567"/>
        <w:jc w:val="both"/>
        <w:rPr>
          <w:rFonts w:ascii="Palatino Linotype" w:hAnsi="Palatino Linotype"/>
          <w:i/>
          <w:color w:val="000000" w:themeColor="text1"/>
          <w:sz w:val="22"/>
          <w:lang w:val="es-MX"/>
        </w:rPr>
      </w:pPr>
    </w:p>
    <w:p w14:paraId="5CEC2F48" w14:textId="072A0162" w:rsidR="00EF014A" w:rsidRPr="001672EA" w:rsidRDefault="00094B41" w:rsidP="00F96156">
      <w:pPr>
        <w:pStyle w:val="Ttulo2"/>
        <w:tabs>
          <w:tab w:val="left" w:pos="426"/>
        </w:tabs>
        <w:rPr>
          <w:rFonts w:ascii="Palatino Linotype" w:hAnsi="Palatino Linotype" w:cs="Arial"/>
          <w:b/>
          <w:color w:val="000000" w:themeColor="text1"/>
          <w:sz w:val="24"/>
        </w:rPr>
      </w:pPr>
      <w:bookmarkStart w:id="19" w:name="_Toc88071781"/>
      <w:r w:rsidRPr="001672EA">
        <w:rPr>
          <w:rFonts w:ascii="Palatino Linotype" w:hAnsi="Palatino Linotype" w:cs="Arial"/>
          <w:b/>
          <w:color w:val="000000" w:themeColor="text1"/>
          <w:sz w:val="24"/>
        </w:rPr>
        <w:t>CUARTO</w:t>
      </w:r>
      <w:r w:rsidR="00EF014A" w:rsidRPr="001672EA">
        <w:rPr>
          <w:rFonts w:ascii="Palatino Linotype" w:hAnsi="Palatino Linotype" w:cs="Arial"/>
          <w:b/>
          <w:color w:val="000000" w:themeColor="text1"/>
          <w:sz w:val="24"/>
        </w:rPr>
        <w:t>. Estudio y Resolución del asunto.</w:t>
      </w:r>
      <w:bookmarkEnd w:id="19"/>
    </w:p>
    <w:p w14:paraId="6E979250" w14:textId="2A34D6B5" w:rsidR="00A55D2B" w:rsidRPr="001672EA"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3FBFF126" w14:textId="73D9E5F4" w:rsidR="000A44DE" w:rsidRPr="001672EA"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672EA">
        <w:rPr>
          <w:rFonts w:ascii="Palatino Linotype" w:hAnsi="Palatino Linotype"/>
          <w:b/>
          <w:color w:val="000000" w:themeColor="text1"/>
        </w:rPr>
        <w:t xml:space="preserve">I. De </w:t>
      </w:r>
      <w:r w:rsidR="001019F7" w:rsidRPr="001672EA">
        <w:rPr>
          <w:rFonts w:ascii="Palatino Linotype" w:hAnsi="Palatino Linotype"/>
          <w:b/>
          <w:color w:val="000000" w:themeColor="text1"/>
        </w:rPr>
        <w:t>la atención a la solicitud de información</w:t>
      </w:r>
      <w:r w:rsidRPr="001672EA">
        <w:rPr>
          <w:rFonts w:ascii="Palatino Linotype" w:hAnsi="Palatino Linotype"/>
          <w:b/>
          <w:color w:val="000000" w:themeColor="text1"/>
        </w:rPr>
        <w:t>.</w:t>
      </w:r>
    </w:p>
    <w:p w14:paraId="419307A3" w14:textId="77777777" w:rsidR="000A44DE" w:rsidRPr="001672EA"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4AEE5013" w14:textId="56751EDF" w:rsidR="004B20FF" w:rsidRPr="001672EA" w:rsidRDefault="0010205D"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rPr>
        <w:t>La</w:t>
      </w:r>
      <w:r w:rsidR="004B20FF" w:rsidRPr="001672EA">
        <w:rPr>
          <w:rFonts w:ascii="Palatino Linotype" w:hAnsi="Palatino Linotype"/>
        </w:rPr>
        <w:t xml:space="preserve"> Ley de Transparencia y Acceso a la Información Pública del Estado de México y Municipios, en su artículo 150, establece que </w:t>
      </w:r>
      <w:r w:rsidR="004B20FF" w:rsidRPr="001672EA">
        <w:rPr>
          <w:rFonts w:ascii="Palatino Linotype" w:hAnsi="Palatino Linotype"/>
          <w:b/>
        </w:rPr>
        <w:t>el procedimiento de acceso a la información es la garantía primaria del derecho en cuestión y se rige por los principios de</w:t>
      </w:r>
      <w:r w:rsidR="004B20FF" w:rsidRPr="001672EA">
        <w:rPr>
          <w:rFonts w:ascii="Palatino Linotype" w:hAnsi="Palatino Linotype"/>
        </w:rPr>
        <w:t xml:space="preserve"> simplicidad, rapidez gratuidad del procedimiento, </w:t>
      </w:r>
      <w:r w:rsidR="004B20FF" w:rsidRPr="001672EA">
        <w:rPr>
          <w:rFonts w:ascii="Palatino Linotype" w:hAnsi="Palatino Linotype"/>
          <w:b/>
        </w:rPr>
        <w:t>auxilio y orientación a los particulares</w:t>
      </w:r>
      <w:r w:rsidR="004B20FF" w:rsidRPr="001672EA">
        <w:rPr>
          <w:rFonts w:ascii="Palatino Linotype" w:hAnsi="Palatino Linotype"/>
        </w:rPr>
        <w:t>, así como atención adecuada a las personas con discapacidad y a los hablantes de lengua indígena con el objeto de otorgar la protección más amplia del derecho de las personas.</w:t>
      </w:r>
    </w:p>
    <w:p w14:paraId="3382CEA8" w14:textId="77777777" w:rsidR="004B20FF" w:rsidRPr="001672EA"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C3ED022" w14:textId="77777777" w:rsidR="004B20FF" w:rsidRPr="001672EA"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Para atender las solicitudes de información, los Sujetos Obligados contarán con un área denominada </w:t>
      </w:r>
      <w:r w:rsidRPr="001672EA">
        <w:rPr>
          <w:rFonts w:ascii="Palatino Linotype" w:hAnsi="Palatino Linotype"/>
          <w:b/>
          <w:bCs/>
          <w:color w:val="000000" w:themeColor="text1"/>
        </w:rPr>
        <w:t>Unidad de Transparencia</w:t>
      </w:r>
      <w:r w:rsidRPr="001672EA">
        <w:rPr>
          <w:rFonts w:ascii="Palatino Linotype" w:hAnsi="Palatino Linotype"/>
          <w:color w:val="000000" w:themeColor="text1"/>
          <w:vertAlign w:val="superscript"/>
        </w:rPr>
        <w:footnoteReference w:id="5"/>
      </w:r>
      <w:r w:rsidRPr="001672EA">
        <w:rPr>
          <w:rFonts w:ascii="Palatino Linotype" w:hAnsi="Palatino Linotype"/>
          <w:color w:val="000000" w:themeColor="text1"/>
        </w:rPr>
        <w:t xml:space="preserve">, la cual será presidida por un Titular, quien fungirá como enlace entre éstos y los solicitantes. Dicha Unidad </w:t>
      </w:r>
      <w:r w:rsidRPr="001672EA">
        <w:rPr>
          <w:rFonts w:ascii="Palatino Linotype" w:hAnsi="Palatino Linotype"/>
          <w:b/>
          <w:bCs/>
          <w:color w:val="000000" w:themeColor="text1"/>
        </w:rPr>
        <w:t>será la encargada de tramitar internamente la solicitud de información</w:t>
      </w:r>
      <w:r w:rsidRPr="001672EA">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1672EA">
        <w:rPr>
          <w:rFonts w:ascii="Palatino Linotype" w:hAnsi="Palatino Linotype"/>
          <w:b/>
          <w:bCs/>
          <w:color w:val="000000" w:themeColor="text1"/>
        </w:rPr>
        <w:t xml:space="preserve">gestionar la atención a las solicitudes de información </w:t>
      </w:r>
      <w:r w:rsidRPr="001672EA">
        <w:rPr>
          <w:rFonts w:ascii="Palatino Linotype" w:hAnsi="Palatino Linotype"/>
          <w:color w:val="000000" w:themeColor="text1"/>
        </w:rPr>
        <w:t>en los términos de la Ley General y la Ley de Transparencia y Acceso a la Información Pública del Estado de México y Municipios</w:t>
      </w:r>
      <w:r w:rsidRPr="001672EA">
        <w:rPr>
          <w:rFonts w:ascii="Palatino Linotype" w:hAnsi="Palatino Linotype"/>
          <w:color w:val="000000" w:themeColor="text1"/>
          <w:vertAlign w:val="superscript"/>
        </w:rPr>
        <w:footnoteReference w:id="6"/>
      </w:r>
      <w:r w:rsidRPr="001672EA">
        <w:rPr>
          <w:rFonts w:ascii="Palatino Linotype" w:hAnsi="Palatino Linotype"/>
          <w:color w:val="000000" w:themeColor="text1"/>
        </w:rPr>
        <w:t>.</w:t>
      </w:r>
    </w:p>
    <w:p w14:paraId="50C37EAB" w14:textId="77777777" w:rsidR="004B20FF" w:rsidRPr="001672EA"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76DF498C" w14:textId="77777777" w:rsidR="004B20FF" w:rsidRPr="001672EA"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rPr>
        <w:lastRenderedPageBreak/>
        <w:t xml:space="preserve">De </w:t>
      </w:r>
      <w:r w:rsidRPr="001672EA">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F15817C" w14:textId="77777777" w:rsidR="004B20FF" w:rsidRPr="001672EA"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1672EA">
        <w:rPr>
          <w:rFonts w:ascii="Palatino Linotype" w:eastAsia="MS Mincho" w:hAnsi="Palatino Linotype" w:cs="Times New Roman"/>
          <w:color w:val="000000"/>
        </w:rPr>
        <w:t>Recibir, tramitar y dar respuesta a las solicitudes de acceso a la información;</w:t>
      </w:r>
    </w:p>
    <w:p w14:paraId="2715552E" w14:textId="77777777" w:rsidR="004B20FF" w:rsidRPr="001672EA"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1672EA">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871852C" w14:textId="77777777" w:rsidR="004B20FF" w:rsidRPr="001672EA"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1672EA">
        <w:rPr>
          <w:rFonts w:ascii="Palatino Linotype" w:eastAsia="MS Mincho" w:hAnsi="Palatino Linotype" w:cs="Times New Roman"/>
          <w:color w:val="000000"/>
        </w:rPr>
        <w:t xml:space="preserve">Entregar, en su caso, a los particulares la información solicitada; y </w:t>
      </w:r>
    </w:p>
    <w:p w14:paraId="360EE36B" w14:textId="77777777" w:rsidR="004B20FF" w:rsidRPr="001672EA" w:rsidRDefault="004B20FF" w:rsidP="004B20F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eastAsia="MS Mincho" w:hAnsi="Palatino Linotype" w:cs="Times New Roman"/>
          <w:color w:val="000000"/>
        </w:rPr>
        <w:t>Efectuar las notificaciones a los solicitantes.</w:t>
      </w:r>
    </w:p>
    <w:p w14:paraId="74375237" w14:textId="77777777" w:rsidR="004B20FF" w:rsidRPr="001672EA"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0959F9BA" w14:textId="0A79D0A3" w:rsidR="004B20FF" w:rsidRPr="001672EA"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rPr>
        <w:t xml:space="preserve">Otros sujetos del proceso de atención a las solicitudes de información son los </w:t>
      </w:r>
      <w:r w:rsidRPr="001672EA">
        <w:rPr>
          <w:rFonts w:ascii="Palatino Linotype" w:hAnsi="Palatino Linotype"/>
          <w:b/>
          <w:bCs/>
        </w:rPr>
        <w:t>servidores públicos habilitados</w:t>
      </w:r>
      <w:r w:rsidRPr="001672EA">
        <w:rPr>
          <w:rFonts w:ascii="Palatino Linotype" w:hAnsi="Palatino Linotype"/>
        </w:rPr>
        <w:t xml:space="preserve">, quienes serán designados por el titular del </w:t>
      </w:r>
      <w:r w:rsidR="0010205D" w:rsidRPr="001672EA">
        <w:rPr>
          <w:rFonts w:ascii="Palatino Linotype" w:hAnsi="Palatino Linotype"/>
          <w:b/>
          <w:bCs/>
        </w:rPr>
        <w:t>SUJETO OBLIGADO</w:t>
      </w:r>
      <w:r w:rsidR="0010205D" w:rsidRPr="001672EA">
        <w:rPr>
          <w:rFonts w:ascii="Palatino Linotype" w:hAnsi="Palatino Linotype"/>
        </w:rPr>
        <w:t>,</w:t>
      </w:r>
      <w:r w:rsidRPr="001672EA">
        <w:rPr>
          <w:rFonts w:ascii="Palatino Linotype" w:hAnsi="Palatino Linotype"/>
        </w:rPr>
        <w:t xml:space="preserve"> a propuesta del responsable de la Unidad de Transparencia</w:t>
      </w:r>
      <w:r w:rsidRPr="001672EA">
        <w:rPr>
          <w:rFonts w:ascii="Palatino Linotype" w:hAnsi="Palatino Linotype"/>
          <w:vertAlign w:val="superscript"/>
        </w:rPr>
        <w:footnoteReference w:id="7"/>
      </w:r>
      <w:r w:rsidRPr="001672EA">
        <w:rPr>
          <w:rFonts w:ascii="Palatino Linotype" w:hAnsi="Palatino Linotype"/>
        </w:rPr>
        <w:t xml:space="preserve"> y tendrán, entre sus atribuciones, las siguientes</w:t>
      </w:r>
      <w:r w:rsidRPr="001672EA">
        <w:rPr>
          <w:rFonts w:ascii="Palatino Linotype" w:hAnsi="Palatino Linotype"/>
          <w:vertAlign w:val="superscript"/>
        </w:rPr>
        <w:footnoteReference w:id="8"/>
      </w:r>
      <w:r w:rsidRPr="001672EA">
        <w:rPr>
          <w:rFonts w:ascii="Palatino Linotype" w:hAnsi="Palatino Linotype"/>
        </w:rPr>
        <w:t>:</w:t>
      </w:r>
    </w:p>
    <w:p w14:paraId="5BCDFDDB" w14:textId="77777777" w:rsidR="004B20FF" w:rsidRPr="001672EA"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rPr>
      </w:pPr>
      <w:r w:rsidRPr="001672EA">
        <w:rPr>
          <w:rFonts w:ascii="Palatino Linotype" w:hAnsi="Palatino Linotype"/>
        </w:rPr>
        <w:t>Localizar la información que le solicite la Unidad de Transparencia; y</w:t>
      </w:r>
    </w:p>
    <w:p w14:paraId="089097A0" w14:textId="77777777" w:rsidR="004B20FF" w:rsidRPr="001672EA"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rPr>
        <w:t>Proporcionar la información que obre en los archivos y que le sea solicitada por la Unidad de Transparencia.</w:t>
      </w:r>
    </w:p>
    <w:p w14:paraId="2E15792B" w14:textId="77777777" w:rsidR="004B20FF" w:rsidRPr="001672EA"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6065ED2" w14:textId="08D62843" w:rsidR="006F2724" w:rsidRPr="001672EA"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rPr>
        <w:t xml:space="preserve">De tal </w:t>
      </w:r>
      <w:r w:rsidRPr="001672EA">
        <w:rPr>
          <w:rFonts w:ascii="Palatino Linotype" w:eastAsia="MS Mincho" w:hAnsi="Palatino Linotype" w:cs="Times New Roman"/>
          <w:color w:val="000000"/>
        </w:rPr>
        <w:t xml:space="preserve">manera que cada una de las áreas administrativas del </w:t>
      </w:r>
      <w:r w:rsidRPr="001672EA">
        <w:rPr>
          <w:rFonts w:ascii="Palatino Linotype" w:eastAsia="MS Mincho" w:hAnsi="Palatino Linotype" w:cs="Times New Roman"/>
          <w:b/>
          <w:bCs/>
          <w:color w:val="000000"/>
        </w:rPr>
        <w:t>SUJETO OBLIGADO</w:t>
      </w:r>
      <w:r w:rsidRPr="001672EA">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166C65A" w14:textId="77777777" w:rsidR="006F2724" w:rsidRPr="001672EA" w:rsidRDefault="006F2724" w:rsidP="006F2724">
      <w:pPr>
        <w:pStyle w:val="Prrafodelista"/>
        <w:tabs>
          <w:tab w:val="left" w:pos="426"/>
        </w:tabs>
        <w:spacing w:before="240" w:after="240" w:line="360" w:lineRule="auto"/>
        <w:ind w:left="0" w:right="51"/>
        <w:jc w:val="both"/>
        <w:rPr>
          <w:rFonts w:ascii="Palatino Linotype" w:hAnsi="Palatino Linotype"/>
          <w:color w:val="000000" w:themeColor="text1"/>
        </w:rPr>
      </w:pPr>
    </w:p>
    <w:p w14:paraId="43DC86A5" w14:textId="4A001E6F" w:rsidR="00F92741" w:rsidRPr="001672EA" w:rsidRDefault="006F2724" w:rsidP="00F927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rPr>
        <w:t>U</w:t>
      </w:r>
      <w:r w:rsidR="00F92741" w:rsidRPr="001672EA">
        <w:rPr>
          <w:rFonts w:ascii="Palatino Linotype" w:hAnsi="Palatino Linotype"/>
        </w:rPr>
        <w:t xml:space="preserve">na expuesto lo anterior, de la lectura a la solicitud de información </w:t>
      </w:r>
      <w:r w:rsidR="001A0B3A" w:rsidRPr="001672EA">
        <w:rPr>
          <w:rFonts w:ascii="Palatino Linotype" w:hAnsi="Palatino Linotype"/>
          <w:b/>
        </w:rPr>
        <w:t>00224/TEXCOCO/IP/2022</w:t>
      </w:r>
      <w:r w:rsidR="00F92741" w:rsidRPr="001672EA">
        <w:rPr>
          <w:rFonts w:ascii="Palatino Linotype" w:hAnsi="Palatino Linotype"/>
        </w:rPr>
        <w:t xml:space="preserve">, y como fuera señalado en el </w:t>
      </w:r>
      <w:r w:rsidR="00F92741" w:rsidRPr="001672EA">
        <w:rPr>
          <w:rFonts w:ascii="Palatino Linotype" w:hAnsi="Palatino Linotype"/>
          <w:i/>
          <w:iCs/>
        </w:rPr>
        <w:t>Planteamiento de la Litis</w:t>
      </w:r>
      <w:r w:rsidR="00F92741" w:rsidRPr="001672EA">
        <w:rPr>
          <w:rFonts w:ascii="Palatino Linotype" w:hAnsi="Palatino Linotype"/>
        </w:rPr>
        <w:t xml:space="preserve"> de esta resolución, se advierte que el entonces </w:t>
      </w:r>
      <w:r w:rsidR="00F92741" w:rsidRPr="001672EA">
        <w:rPr>
          <w:rFonts w:ascii="Palatino Linotype" w:hAnsi="Palatino Linotype"/>
          <w:b/>
        </w:rPr>
        <w:t>SOLICITANTE</w:t>
      </w:r>
      <w:r w:rsidR="00F92741" w:rsidRPr="001672EA">
        <w:rPr>
          <w:rFonts w:ascii="Palatino Linotype" w:hAnsi="Palatino Linotype"/>
        </w:rPr>
        <w:t xml:space="preserve"> requirió acceder a la siguiente información</w:t>
      </w:r>
      <w:r w:rsidR="00390FDE" w:rsidRPr="001672EA">
        <w:rPr>
          <w:rFonts w:ascii="Palatino Linotype" w:hAnsi="Palatino Linotype"/>
        </w:rPr>
        <w:t>, generada desde el uno (01) de enero de dos mil doce al veintinueve (29) de abril de dos mil veintidós</w:t>
      </w:r>
      <w:r w:rsidR="00F92741" w:rsidRPr="001672EA">
        <w:rPr>
          <w:rFonts w:ascii="Palatino Linotype" w:hAnsi="Palatino Linotype"/>
        </w:rPr>
        <w:t>:</w:t>
      </w:r>
    </w:p>
    <w:p w14:paraId="37CCBB2C" w14:textId="116A840E" w:rsidR="00390FDE" w:rsidRPr="001672EA" w:rsidRDefault="00390FDE" w:rsidP="00390FDE">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Arial"/>
          <w:b/>
          <w:color w:val="000000" w:themeColor="text1"/>
        </w:rPr>
        <w:t>Lista de proveedores</w:t>
      </w:r>
      <w:r w:rsidRPr="001672EA">
        <w:rPr>
          <w:rFonts w:ascii="Palatino Linotype" w:hAnsi="Palatino Linotype" w:cs="Arial"/>
          <w:color w:val="000000" w:themeColor="text1"/>
        </w:rPr>
        <w:t xml:space="preserve">; </w:t>
      </w:r>
    </w:p>
    <w:p w14:paraId="12D1D81C" w14:textId="77777777" w:rsidR="00390FDE" w:rsidRPr="001672EA" w:rsidRDefault="00390FDE" w:rsidP="00390FDE">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Arial"/>
          <w:b/>
          <w:color w:val="000000" w:themeColor="text1"/>
        </w:rPr>
        <w:t>Listado de los contratos de obras, bienes y servicios adquiridos,</w:t>
      </w:r>
      <w:r w:rsidRPr="001672EA">
        <w:rPr>
          <w:rFonts w:ascii="Palatino Linotype" w:hAnsi="Palatino Linotype" w:cs="Arial"/>
          <w:color w:val="000000" w:themeColor="text1"/>
        </w:rPr>
        <w:t xml:space="preserve"> desde el dos mil doce al dos mil veintidós, tanto en licitación pública, adjudicación directa o invitación restringida con los siguientes datos: </w:t>
      </w:r>
    </w:p>
    <w:p w14:paraId="6A82FFFA"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 xml:space="preserve">Institución; </w:t>
      </w:r>
    </w:p>
    <w:p w14:paraId="0F3CC1C5"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 xml:space="preserve">Nombre de la UC; </w:t>
      </w:r>
    </w:p>
    <w:p w14:paraId="709C90A8"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 xml:space="preserve">Responsable de la UC; </w:t>
      </w:r>
    </w:p>
    <w:p w14:paraId="14A59977"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 xml:space="preserve">Código del expediente; </w:t>
      </w:r>
    </w:p>
    <w:p w14:paraId="234C831F"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 xml:space="preserve">Referencia del expediente; </w:t>
      </w:r>
    </w:p>
    <w:p w14:paraId="70A7BB83"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 xml:space="preserve">Título del expediente; </w:t>
      </w:r>
    </w:p>
    <w:p w14:paraId="5D193091"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 xml:space="preserve">Fundamento legal; </w:t>
      </w:r>
    </w:p>
    <w:p w14:paraId="46BFBCA2"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Número del procedimiento;</w:t>
      </w:r>
    </w:p>
    <w:p w14:paraId="24A33F19"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Fecha de fallo;</w:t>
      </w:r>
    </w:p>
    <w:p w14:paraId="4F135F0B"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Fecha de publicación;</w:t>
      </w:r>
    </w:p>
    <w:p w14:paraId="7DCCDD26"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Tipo de contratación;</w:t>
      </w:r>
    </w:p>
    <w:p w14:paraId="12490E67"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Tipo de procedimiento;</w:t>
      </w:r>
    </w:p>
    <w:p w14:paraId="28BEC13A"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Título del contrato;</w:t>
      </w:r>
    </w:p>
    <w:p w14:paraId="5D150A1F"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 xml:space="preserve">Descripción del contrato; </w:t>
      </w:r>
    </w:p>
    <w:p w14:paraId="0115D89F"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 xml:space="preserve">Importe del contrato; </w:t>
      </w:r>
    </w:p>
    <w:p w14:paraId="24A5EE34"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lastRenderedPageBreak/>
        <w:t xml:space="preserve">Convenio modificatorio; </w:t>
      </w:r>
    </w:p>
    <w:p w14:paraId="227850AC" w14:textId="77777777"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RFC;</w:t>
      </w:r>
    </w:p>
    <w:p w14:paraId="7C8C9060" w14:textId="5290A082" w:rsidR="00390FDE"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Proveedor o contratista; y</w:t>
      </w:r>
    </w:p>
    <w:p w14:paraId="0B510E2B" w14:textId="157FCA88" w:rsidR="00FD62D7" w:rsidRPr="001672EA" w:rsidRDefault="00390FDE" w:rsidP="00390FDE">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1672EA">
        <w:rPr>
          <w:rFonts w:ascii="Palatino Linotype" w:hAnsi="Palatino Linotype" w:cs="Arial"/>
          <w:color w:val="000000" w:themeColor="text1"/>
        </w:rPr>
        <w:t>Dirección del anuncio.</w:t>
      </w:r>
    </w:p>
    <w:p w14:paraId="67C4F30C" w14:textId="77777777" w:rsidR="00390FDE" w:rsidRPr="001672EA" w:rsidRDefault="00390FDE" w:rsidP="00390FDE">
      <w:pPr>
        <w:pStyle w:val="Prrafodelista"/>
        <w:tabs>
          <w:tab w:val="left" w:pos="426"/>
        </w:tabs>
        <w:spacing w:before="240" w:after="240" w:line="360" w:lineRule="auto"/>
        <w:ind w:left="0" w:right="51"/>
        <w:jc w:val="both"/>
        <w:rPr>
          <w:rFonts w:ascii="Palatino Linotype" w:hAnsi="Palatino Linotype"/>
          <w:color w:val="000000" w:themeColor="text1"/>
        </w:rPr>
      </w:pPr>
    </w:p>
    <w:p w14:paraId="01FB9EBD" w14:textId="7A4E4939" w:rsidR="00EA2E5E" w:rsidRPr="001672EA" w:rsidRDefault="001E372E"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rPr>
        <w:t>Dicho</w:t>
      </w:r>
      <w:r w:rsidR="00F92741" w:rsidRPr="001672EA">
        <w:rPr>
          <w:rFonts w:ascii="Palatino Linotype" w:hAnsi="Palatino Linotype"/>
        </w:rPr>
        <w:t xml:space="preserve"> lo anterior, y</w:t>
      </w:r>
      <w:r w:rsidR="00EB41EF" w:rsidRPr="001672EA">
        <w:rPr>
          <w:rFonts w:ascii="Palatino Linotype" w:hAnsi="Palatino Linotype"/>
        </w:rPr>
        <w:t xml:space="preserve"> como fuera señalado en el apartado de </w:t>
      </w:r>
      <w:r w:rsidR="00EB41EF" w:rsidRPr="001672EA">
        <w:rPr>
          <w:rFonts w:ascii="Palatino Linotype" w:hAnsi="Palatino Linotype"/>
          <w:i/>
          <w:iCs/>
        </w:rPr>
        <w:t>Antecedentes</w:t>
      </w:r>
      <w:r w:rsidR="00EB41EF" w:rsidRPr="001672EA">
        <w:rPr>
          <w:rFonts w:ascii="Palatino Linotype" w:hAnsi="Palatino Linotype"/>
        </w:rPr>
        <w:t xml:space="preserve"> de la presente resolución, </w:t>
      </w:r>
      <w:r w:rsidR="00F92741" w:rsidRPr="001672EA">
        <w:rPr>
          <w:rFonts w:ascii="Palatino Linotype" w:hAnsi="Palatino Linotype"/>
        </w:rPr>
        <w:t xml:space="preserve">en respuesta a la solicitud de información </w:t>
      </w:r>
      <w:r w:rsidR="001A0B3A" w:rsidRPr="001672EA">
        <w:rPr>
          <w:rFonts w:ascii="Palatino Linotype" w:hAnsi="Palatino Linotype"/>
          <w:b/>
          <w:bCs/>
        </w:rPr>
        <w:t>00224/TEXCOCO/IP/2022</w:t>
      </w:r>
      <w:r w:rsidR="00F92741" w:rsidRPr="001672EA">
        <w:rPr>
          <w:rFonts w:ascii="Palatino Linotype" w:hAnsi="Palatino Linotype"/>
        </w:rPr>
        <w:t xml:space="preserve">, el </w:t>
      </w:r>
      <w:r w:rsidR="00F92741" w:rsidRPr="001672EA">
        <w:rPr>
          <w:rFonts w:ascii="Palatino Linotype" w:hAnsi="Palatino Linotype"/>
          <w:b/>
        </w:rPr>
        <w:t>SUJETO OBLIGADO</w:t>
      </w:r>
      <w:r w:rsidR="00F92741" w:rsidRPr="001672EA">
        <w:rPr>
          <w:rFonts w:ascii="Palatino Linotype" w:hAnsi="Palatino Linotype"/>
        </w:rPr>
        <w:t xml:space="preserve"> entregó </w:t>
      </w:r>
      <w:r w:rsidR="00390FDE" w:rsidRPr="001672EA">
        <w:rPr>
          <w:rFonts w:ascii="Palatino Linotype" w:hAnsi="Palatino Linotype"/>
        </w:rPr>
        <w:t xml:space="preserve">el oficio de diecinueve (19) de mayo de dos mil veintidós, sin folio único de identificación, emitido por el Titular de la Unidad de Transparencia, dirigido al entonces </w:t>
      </w:r>
      <w:r w:rsidR="00390FDE" w:rsidRPr="001672EA">
        <w:rPr>
          <w:rFonts w:ascii="Palatino Linotype" w:hAnsi="Palatino Linotype"/>
          <w:b/>
        </w:rPr>
        <w:t>SOLICITANTE</w:t>
      </w:r>
      <w:r w:rsidR="00390FDE" w:rsidRPr="001672EA">
        <w:rPr>
          <w:rFonts w:ascii="Palatino Linotype" w:hAnsi="Palatino Linotype"/>
        </w:rPr>
        <w:t>, por el que informó lo siguiente:</w:t>
      </w:r>
    </w:p>
    <w:p w14:paraId="1D1EE7B1" w14:textId="4EC8FA0E" w:rsidR="00EB41EF" w:rsidRPr="001672EA" w:rsidRDefault="00EB41EF" w:rsidP="001E372E">
      <w:pPr>
        <w:pStyle w:val="Prrafodelista"/>
        <w:tabs>
          <w:tab w:val="left" w:pos="426"/>
        </w:tabs>
        <w:spacing w:before="240" w:after="240" w:line="360" w:lineRule="auto"/>
        <w:ind w:left="0" w:right="51"/>
        <w:rPr>
          <w:rFonts w:ascii="Palatino Linotype" w:hAnsi="Palatino Linotype"/>
          <w:color w:val="000000" w:themeColor="text1"/>
          <w:lang w:eastAsia="es-MX"/>
        </w:rPr>
      </w:pPr>
    </w:p>
    <w:p w14:paraId="7BC37597" w14:textId="6BA6CF04" w:rsidR="001E372E" w:rsidRPr="001672EA" w:rsidRDefault="001E372E" w:rsidP="00CE778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eastAsia="es-MX"/>
        </w:rPr>
      </w:pPr>
      <w:r w:rsidRPr="001672EA">
        <w:rPr>
          <w:rFonts w:ascii="Palatino Linotype" w:hAnsi="Palatino Linotype"/>
          <w:i/>
          <w:iCs/>
          <w:color w:val="000000" w:themeColor="text1"/>
          <w:sz w:val="22"/>
          <w:szCs w:val="22"/>
          <w:lang w:eastAsia="es-MX"/>
        </w:rPr>
        <w:t>“</w:t>
      </w:r>
      <w:r w:rsidR="00CE7784" w:rsidRPr="001672EA">
        <w:rPr>
          <w:rFonts w:ascii="Palatino Linotype" w:hAnsi="Palatino Linotype"/>
          <w:i/>
          <w:iCs/>
          <w:color w:val="000000" w:themeColor="text1"/>
          <w:sz w:val="22"/>
          <w:szCs w:val="22"/>
          <w:lang w:eastAsia="es-MX"/>
        </w:rPr>
        <w:t xml:space="preserve">(…) </w:t>
      </w:r>
      <w:r w:rsidR="00390FDE" w:rsidRPr="001672EA">
        <w:rPr>
          <w:rFonts w:ascii="Palatino Linotype" w:hAnsi="Palatino Linotype"/>
          <w:i/>
          <w:iCs/>
          <w:color w:val="000000" w:themeColor="text1"/>
          <w:sz w:val="22"/>
          <w:szCs w:val="22"/>
          <w:lang w:eastAsia="es-MX"/>
        </w:rPr>
        <w:t>una vez analizada su solicitud, fue turnada (…) a la Dirección General de Obras Pública del Ayuntamiento de Texcoco, y mediante oficio nos remiten la siguiente información:</w:t>
      </w:r>
    </w:p>
    <w:p w14:paraId="7960C948" w14:textId="77777777" w:rsidR="00390FDE" w:rsidRPr="001672EA" w:rsidRDefault="00390FDE" w:rsidP="00CE778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lang w:eastAsia="es-MX"/>
        </w:rPr>
      </w:pPr>
    </w:p>
    <w:p w14:paraId="61399EF0" w14:textId="77777777" w:rsidR="00390FDE" w:rsidRPr="001672EA" w:rsidRDefault="00390FDE" w:rsidP="00CE7784">
      <w:pPr>
        <w:pStyle w:val="Prrafodelista"/>
        <w:tabs>
          <w:tab w:val="left" w:pos="426"/>
        </w:tabs>
        <w:spacing w:before="240" w:after="240" w:line="276" w:lineRule="auto"/>
        <w:ind w:left="567" w:right="567"/>
        <w:jc w:val="both"/>
        <w:rPr>
          <w:rFonts w:ascii="Palatino Linotype" w:hAnsi="Palatino Linotype"/>
          <w:b/>
          <w:i/>
          <w:iCs/>
          <w:color w:val="000000" w:themeColor="text1"/>
          <w:sz w:val="22"/>
          <w:szCs w:val="22"/>
          <w:lang w:eastAsia="es-MX"/>
        </w:rPr>
      </w:pPr>
      <w:r w:rsidRPr="001672EA">
        <w:rPr>
          <w:rFonts w:ascii="Palatino Linotype" w:hAnsi="Palatino Linotype"/>
          <w:b/>
          <w:i/>
          <w:iCs/>
          <w:color w:val="000000" w:themeColor="text1"/>
          <w:sz w:val="22"/>
          <w:szCs w:val="22"/>
          <w:lang w:eastAsia="es-MX"/>
        </w:rPr>
        <w:t xml:space="preserve">Respecto a lo solicitado es menester informar lo siguiente: </w:t>
      </w:r>
    </w:p>
    <w:p w14:paraId="6B0908AF" w14:textId="5477AE52" w:rsidR="00390FDE" w:rsidRPr="001672EA" w:rsidRDefault="00390FDE" w:rsidP="00390FDE">
      <w:pPr>
        <w:pStyle w:val="Prrafodelista"/>
        <w:tabs>
          <w:tab w:val="left" w:pos="426"/>
        </w:tabs>
        <w:spacing w:before="240" w:after="240" w:line="276" w:lineRule="auto"/>
        <w:ind w:left="567" w:right="567" w:firstLine="567"/>
        <w:jc w:val="both"/>
        <w:rPr>
          <w:rFonts w:ascii="Palatino Linotype" w:hAnsi="Palatino Linotype"/>
          <w:b/>
          <w:i/>
          <w:iCs/>
          <w:color w:val="000000" w:themeColor="text1"/>
          <w:sz w:val="22"/>
          <w:szCs w:val="22"/>
          <w:lang w:eastAsia="es-MX"/>
        </w:rPr>
      </w:pPr>
      <w:r w:rsidRPr="001672EA">
        <w:rPr>
          <w:rFonts w:ascii="Palatino Linotype" w:hAnsi="Palatino Linotype"/>
          <w:b/>
          <w:i/>
          <w:iCs/>
          <w:color w:val="000000" w:themeColor="text1"/>
          <w:sz w:val="22"/>
          <w:szCs w:val="22"/>
          <w:lang w:eastAsia="es-MX"/>
        </w:rPr>
        <w:t xml:space="preserve">Que buscando en el Archivo histórico de Obra Pública de esta dependencia no se encontró toda la información mencionada en la petición, siendo esta desde el 2012, toda vez que el origen de la misma tiene un periodo mayor al que obliga la ley en el manejo de documentos de Archivo, que es de 5 años anteriores a la fecha de recepción de los trabajos, es decir de aquellas obras ejecutadas y entregadas en el ejercicio fiscal anterior al 2017. </w:t>
      </w:r>
    </w:p>
    <w:p w14:paraId="0E675C07" w14:textId="77777777" w:rsidR="00390FDE" w:rsidRPr="001672EA" w:rsidRDefault="00390FDE" w:rsidP="00390FDE">
      <w:pPr>
        <w:pStyle w:val="Prrafodelista"/>
        <w:tabs>
          <w:tab w:val="left" w:pos="426"/>
        </w:tabs>
        <w:spacing w:before="240" w:after="240" w:line="276" w:lineRule="auto"/>
        <w:ind w:left="567" w:right="567"/>
        <w:jc w:val="both"/>
        <w:rPr>
          <w:rFonts w:ascii="Palatino Linotype" w:hAnsi="Palatino Linotype"/>
          <w:b/>
          <w:i/>
          <w:iCs/>
          <w:color w:val="000000" w:themeColor="text1"/>
          <w:sz w:val="22"/>
          <w:szCs w:val="22"/>
          <w:lang w:eastAsia="es-MX"/>
        </w:rPr>
      </w:pPr>
    </w:p>
    <w:p w14:paraId="6937A964" w14:textId="221517A9" w:rsidR="00390FDE" w:rsidRPr="001672EA" w:rsidRDefault="00390FDE" w:rsidP="00390FDE">
      <w:pPr>
        <w:pStyle w:val="Prrafodelista"/>
        <w:tabs>
          <w:tab w:val="left" w:pos="426"/>
        </w:tabs>
        <w:spacing w:before="240" w:after="240" w:line="276" w:lineRule="auto"/>
        <w:ind w:left="567" w:right="567"/>
        <w:jc w:val="both"/>
        <w:rPr>
          <w:rFonts w:ascii="Palatino Linotype" w:hAnsi="Palatino Linotype"/>
          <w:b/>
          <w:i/>
          <w:iCs/>
          <w:color w:val="000000" w:themeColor="text1"/>
          <w:sz w:val="22"/>
          <w:szCs w:val="22"/>
          <w:lang w:eastAsia="es-MX"/>
        </w:rPr>
      </w:pPr>
      <w:r w:rsidRPr="001672EA">
        <w:rPr>
          <w:rFonts w:ascii="Palatino Linotype" w:hAnsi="Palatino Linotype"/>
          <w:b/>
          <w:i/>
          <w:iCs/>
          <w:color w:val="000000" w:themeColor="text1"/>
          <w:sz w:val="22"/>
          <w:szCs w:val="22"/>
          <w:lang w:eastAsia="es-MX"/>
        </w:rPr>
        <w:t>(…)</w:t>
      </w:r>
    </w:p>
    <w:p w14:paraId="1E396937" w14:textId="77777777" w:rsidR="00390FDE" w:rsidRPr="001672EA" w:rsidRDefault="00390FDE" w:rsidP="00390FDE">
      <w:pPr>
        <w:pStyle w:val="Prrafodelista"/>
        <w:tabs>
          <w:tab w:val="left" w:pos="426"/>
        </w:tabs>
        <w:spacing w:before="240" w:after="240" w:line="276" w:lineRule="auto"/>
        <w:ind w:left="567" w:right="567"/>
        <w:jc w:val="both"/>
        <w:rPr>
          <w:rFonts w:ascii="Palatino Linotype" w:hAnsi="Palatino Linotype"/>
          <w:b/>
          <w:i/>
          <w:iCs/>
          <w:color w:val="000000" w:themeColor="text1"/>
          <w:sz w:val="22"/>
          <w:szCs w:val="22"/>
          <w:lang w:eastAsia="es-MX"/>
        </w:rPr>
      </w:pPr>
    </w:p>
    <w:p w14:paraId="6FD32335" w14:textId="77777777" w:rsidR="00390FDE" w:rsidRPr="001672EA" w:rsidRDefault="00390FDE" w:rsidP="00390FDE">
      <w:pPr>
        <w:pStyle w:val="Prrafodelista"/>
        <w:tabs>
          <w:tab w:val="left" w:pos="426"/>
        </w:tabs>
        <w:spacing w:before="240" w:after="240" w:line="276" w:lineRule="auto"/>
        <w:ind w:left="567" w:right="567"/>
        <w:jc w:val="both"/>
        <w:rPr>
          <w:rFonts w:ascii="Palatino Linotype" w:hAnsi="Palatino Linotype"/>
          <w:b/>
          <w:i/>
          <w:iCs/>
          <w:color w:val="000000" w:themeColor="text1"/>
          <w:sz w:val="22"/>
          <w:szCs w:val="22"/>
          <w:lang w:eastAsia="es-MX"/>
        </w:rPr>
      </w:pPr>
      <w:r w:rsidRPr="001672EA">
        <w:rPr>
          <w:rFonts w:ascii="Palatino Linotype" w:hAnsi="Palatino Linotype"/>
          <w:b/>
          <w:i/>
          <w:iCs/>
          <w:color w:val="000000" w:themeColor="text1"/>
          <w:sz w:val="22"/>
          <w:szCs w:val="22"/>
          <w:lang w:eastAsia="es-MX"/>
        </w:rPr>
        <w:t xml:space="preserve">Con lo anteriormente mencionado, manifiesto clara y contundentemente la obligatoriedad con la que se cuenta para disponer de la información que se requiera, siendo extensivo para cualquier peticionario sin distinción, al menos en materia de obra pública. </w:t>
      </w:r>
    </w:p>
    <w:p w14:paraId="54F88676" w14:textId="77777777" w:rsidR="00390FDE" w:rsidRPr="001672EA" w:rsidRDefault="00390FDE" w:rsidP="00390FDE">
      <w:pPr>
        <w:pStyle w:val="Prrafodelista"/>
        <w:tabs>
          <w:tab w:val="left" w:pos="426"/>
        </w:tabs>
        <w:spacing w:before="240" w:after="240" w:line="276" w:lineRule="auto"/>
        <w:ind w:left="567" w:right="567"/>
        <w:jc w:val="both"/>
        <w:rPr>
          <w:rFonts w:ascii="Palatino Linotype" w:hAnsi="Palatino Linotype"/>
          <w:b/>
          <w:i/>
          <w:iCs/>
          <w:color w:val="000000" w:themeColor="text1"/>
          <w:sz w:val="22"/>
          <w:szCs w:val="22"/>
          <w:lang w:eastAsia="es-MX"/>
        </w:rPr>
      </w:pPr>
    </w:p>
    <w:p w14:paraId="1116C0AD" w14:textId="00B37143" w:rsidR="00390FDE" w:rsidRPr="001672EA" w:rsidRDefault="00390FDE" w:rsidP="006F1345">
      <w:pPr>
        <w:pStyle w:val="Prrafodelista"/>
        <w:tabs>
          <w:tab w:val="left" w:pos="426"/>
        </w:tabs>
        <w:spacing w:before="240" w:after="240" w:line="276" w:lineRule="auto"/>
        <w:ind w:left="567" w:right="567"/>
        <w:jc w:val="both"/>
        <w:rPr>
          <w:rFonts w:ascii="Palatino Linotype" w:hAnsi="Palatino Linotype"/>
          <w:b/>
          <w:i/>
          <w:iCs/>
          <w:color w:val="000000" w:themeColor="text1"/>
          <w:sz w:val="22"/>
          <w:szCs w:val="22"/>
          <w:lang w:eastAsia="es-MX"/>
        </w:rPr>
      </w:pPr>
      <w:r w:rsidRPr="001672EA">
        <w:rPr>
          <w:rFonts w:ascii="Palatino Linotype" w:hAnsi="Palatino Linotype"/>
          <w:b/>
          <w:i/>
          <w:iCs/>
          <w:color w:val="000000" w:themeColor="text1"/>
          <w:sz w:val="22"/>
          <w:szCs w:val="22"/>
          <w:lang w:eastAsia="es-MX"/>
        </w:rPr>
        <w:lastRenderedPageBreak/>
        <w:t>Razón por la cual se adjunta al presente las “Relaciones de Obras Públicas de los ejercicios fiscales 2017, 2018, 2019, 2020, 2021 y lo que va del presente ejercicio 2022”. Así como el “Listado de proveedores del Ejercicio Fiscal 2021” con la información que se tuvo disponible en el archivo histórico de esta dependencia Administrativa a mi cargo, la cual contiene en su mayoría la información solicitada por el peticionario, haciendo hincapié en que dada la amplitud de lo requerido, implicaría hacer una revisión exhaustiva y puntual de cada Expediente Unitario de Obra, siendo universo de más 750 obras realizadas por parte de esta Dirección, lo que implica un esfuerzo que sobrepasa las capacidades técnicas y humanas con las que se cuenta por el momento el área, ya que además de ser una sola persona encargada del Archivo, también se está bajo Auditoria Fiscal por parte del Órgano Suprior de Fiscalización del Estado de México (OSFEM), lo que conlleva a cumplir de manera puntual lo solicitado por dicho ente gubernamental en materia de información de obra, enfocando nuestra actividad a dicha fiscalización técnica y administrativa.</w:t>
      </w:r>
      <w:r w:rsidR="006F1345" w:rsidRPr="001672EA">
        <w:rPr>
          <w:rFonts w:ascii="Palatino Linotype" w:hAnsi="Palatino Linotype"/>
          <w:b/>
          <w:i/>
          <w:iCs/>
          <w:color w:val="000000" w:themeColor="text1"/>
          <w:sz w:val="22"/>
          <w:szCs w:val="22"/>
          <w:lang w:eastAsia="es-MX"/>
        </w:rPr>
        <w:t xml:space="preserve">” </w:t>
      </w:r>
      <w:r w:rsidR="006F1345" w:rsidRPr="001672EA">
        <w:rPr>
          <w:rFonts w:ascii="Palatino Linotype" w:hAnsi="Palatino Linotype"/>
          <w:iCs/>
          <w:color w:val="000000" w:themeColor="text1"/>
          <w:sz w:val="22"/>
          <w:szCs w:val="22"/>
          <w:lang w:eastAsia="es-MX"/>
        </w:rPr>
        <w:t>(Sic)</w:t>
      </w:r>
    </w:p>
    <w:p w14:paraId="335F64A5" w14:textId="77777777" w:rsidR="00FB720D" w:rsidRPr="001672EA" w:rsidRDefault="00FB720D" w:rsidP="00D425C6">
      <w:pPr>
        <w:pStyle w:val="Prrafodelista"/>
        <w:tabs>
          <w:tab w:val="left" w:pos="426"/>
        </w:tabs>
        <w:spacing w:before="240" w:after="240" w:line="360" w:lineRule="auto"/>
        <w:ind w:left="0" w:right="51"/>
        <w:jc w:val="both"/>
        <w:rPr>
          <w:rFonts w:ascii="Palatino Linotype" w:hAnsi="Palatino Linotype"/>
          <w:color w:val="000000" w:themeColor="text1"/>
        </w:rPr>
      </w:pPr>
    </w:p>
    <w:p w14:paraId="7F0CC1AC" w14:textId="60BF7BE0" w:rsidR="006F1345" w:rsidRPr="001672EA" w:rsidRDefault="006F134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Adjunto al documento antes transcrito, el </w:t>
      </w:r>
      <w:r w:rsidRPr="001672EA">
        <w:rPr>
          <w:rFonts w:ascii="Palatino Linotype" w:hAnsi="Palatino Linotype"/>
          <w:b/>
          <w:color w:val="000000" w:themeColor="text1"/>
        </w:rPr>
        <w:t>SUJETO OBLIGADO</w:t>
      </w:r>
      <w:r w:rsidRPr="001672EA">
        <w:rPr>
          <w:rFonts w:ascii="Palatino Linotype" w:hAnsi="Palatino Linotype"/>
          <w:color w:val="000000" w:themeColor="text1"/>
        </w:rPr>
        <w:t xml:space="preserve"> hizo entrega de su </w:t>
      </w:r>
      <w:r w:rsidRPr="001672EA">
        <w:rPr>
          <w:rFonts w:ascii="Palatino Linotype" w:hAnsi="Palatino Linotype"/>
          <w:b/>
          <w:color w:val="000000" w:themeColor="text1"/>
        </w:rPr>
        <w:t>Listado de Proveedores</w:t>
      </w:r>
      <w:r w:rsidRPr="001672EA">
        <w:rPr>
          <w:rFonts w:ascii="Palatino Linotype" w:hAnsi="Palatino Linotype"/>
          <w:color w:val="000000" w:themeColor="text1"/>
        </w:rPr>
        <w:t xml:space="preserve"> vigente al ejercicio fiscal dos mil veintiuno, consistente en 46 registros, mismos que muestran el Nombre o Razón Social del Proveedor, su RFC, el nombre del Representante Legal, Giro o Especialidad y, Dirección. A continuación se adjunta un fragmento del listado como mera referencia:</w:t>
      </w:r>
    </w:p>
    <w:p w14:paraId="5637A648" w14:textId="2D00321E" w:rsidR="006F1345" w:rsidRPr="001672EA" w:rsidRDefault="006F1345" w:rsidP="006F1345">
      <w:pPr>
        <w:pStyle w:val="Prrafodelista"/>
        <w:tabs>
          <w:tab w:val="left" w:pos="426"/>
        </w:tabs>
        <w:spacing w:before="240" w:after="240" w:line="360" w:lineRule="auto"/>
        <w:ind w:left="0" w:right="51"/>
        <w:jc w:val="both"/>
        <w:rPr>
          <w:rFonts w:ascii="Palatino Linotype" w:hAnsi="Palatino Linotype"/>
          <w:color w:val="000000" w:themeColor="text1"/>
        </w:rPr>
      </w:pPr>
      <w:r w:rsidRPr="001672EA">
        <w:rPr>
          <w:rFonts w:ascii="Palatino Linotype" w:hAnsi="Palatino Linotype"/>
          <w:noProof/>
          <w:color w:val="000000" w:themeColor="text1"/>
          <w:lang w:eastAsia="es-MX"/>
        </w:rPr>
        <mc:AlternateContent>
          <mc:Choice Requires="wps">
            <w:drawing>
              <wp:anchor distT="0" distB="0" distL="114300" distR="114300" simplePos="0" relativeHeight="251661312" behindDoc="0" locked="0" layoutInCell="1" allowOverlap="1" wp14:anchorId="65F54311" wp14:editId="1DAD648B">
                <wp:simplePos x="0" y="0"/>
                <wp:positionH relativeFrom="margin">
                  <wp:align>right</wp:align>
                </wp:positionH>
                <wp:positionV relativeFrom="paragraph">
                  <wp:posOffset>47321</wp:posOffset>
                </wp:positionV>
                <wp:extent cx="5510254" cy="2091000"/>
                <wp:effectExtent l="38100" t="38100" r="71755" b="81280"/>
                <wp:wrapNone/>
                <wp:docPr id="3" name="Conector recto 3"/>
                <wp:cNvGraphicFramePr/>
                <a:graphic xmlns:a="http://schemas.openxmlformats.org/drawingml/2006/main">
                  <a:graphicData uri="http://schemas.microsoft.com/office/word/2010/wordprocessingShape">
                    <wps:wsp>
                      <wps:cNvCnPr/>
                      <wps:spPr>
                        <a:xfrm flipV="1">
                          <a:off x="0" y="0"/>
                          <a:ext cx="5510254" cy="209100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25A82" id="Conector recto 3"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7pt,3.75pt" to="816.6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j4zAEAANQDAAAOAAAAZHJzL2Uyb0RvYy54bWysU8uO1DAQvCPxD5bvTJwsA2w0mT3MCi4I&#10;Rizs3evYEwu/1DaTzN/TdrJhxeuAuDh+VFdXdXd2N5M15Cwhau86Wm8YJdIJ32t36uiXz29fvKEk&#10;Ju56bryTHb3ISG/2z5/txtDKxg/e9BIIkrjYjqGjQ0qhraooBml53PggHT4qD5YnPMKp6oGPyG5N&#10;1TD2qho99AG8kDHi7e38SPeFXykp0kelokzEdBS1pbJCWR/yWu13vD0BD4MWiwz+Dyos1w6TrlS3&#10;PHHyDfQvVFYL8NGrtBHeVl4pLWTxgG5q9pObu4EHWbxgcWJYyxT/H634cD4C0X1Hryhx3GKLDtgo&#10;kTwQyB9ylWs0htgi9OCOsJxiOEI2PCmwRBkd7rH9pQRoikylwpe1wnJKRODldluzZvuSEoFvDbuu&#10;GSs9qGaiTBggpnfSW5I3HTXa5RLwlp/fx4TJEfoIydfGkREzN68Xoqx01lZ26WLkDPskFfpEDU2h&#10;KxMmDwbImeNs9F/r7BPJjUNkDlHamDWI/T1oweYwWaZuDZxr8sdsK7pk9C6tgVY7D7/LmqZHqWrG&#10;o+wnXvP2wfeX0qnygKNTnC1jnmfz6bmE//gZ998BAAD//wMAUEsDBBQABgAIAAAAIQCHNelF2wAA&#10;AAYBAAAPAAAAZHJzL2Rvd25yZXYueG1sTI/BTsMwEETvSPyDtUjcqA0VSRTiVBWCI0K0pWcnXpJA&#10;vI5ip0n/nuVEj6OZnX1TbBbXixOOofOk4X6lQCDV3nbUaDjsX+8yECEasqb3hBrOGGBTXl8VJrd+&#10;pg887WIjuIRCbjS0MQ65lKFu0Zmw8gMSe19+dCayHBtpRzNzuevlg1KJdKYj/tCaAZ9brH92k2MM&#10;9Z29+WO1354Px+ldpfQyf5LWtzfL9glExCX+h+EPn2+gZKbKT2SD6DXwkKghfQTBZpakvKPSsF4n&#10;GciykJf45S8AAAD//wMAUEsBAi0AFAAGAAgAAAAhALaDOJL+AAAA4QEAABMAAAAAAAAAAAAAAAAA&#10;AAAAAFtDb250ZW50X1R5cGVzXS54bWxQSwECLQAUAAYACAAAACEAOP0h/9YAAACUAQAACwAAAAAA&#10;AAAAAAAAAAAvAQAAX3JlbHMvLnJlbHNQSwECLQAUAAYACAAAACEAieNI+MwBAADUAwAADgAAAAAA&#10;AAAAAAAAAAAuAgAAZHJzL2Uyb0RvYy54bWxQSwECLQAUAAYACAAAACEAhzXpRdsAAAAGAQAADwAA&#10;AAAAAAAAAAAAAAAmBAAAZHJzL2Rvd25yZXYueG1sUEsFBgAAAAAEAAQA8wAAAC4FAAAAAA==&#10;" strokecolor="black [3200]" strokeweight="1pt">
                <v:shadow on="t" color="black" opacity="24903f" origin=",.5" offset="0,.55556mm"/>
                <w10:wrap anchorx="margin"/>
              </v:line>
            </w:pict>
          </mc:Fallback>
        </mc:AlternateContent>
      </w:r>
    </w:p>
    <w:p w14:paraId="3F70A24C" w14:textId="1E1BBCEA" w:rsidR="006F1345" w:rsidRPr="001672EA" w:rsidRDefault="006F1345" w:rsidP="006F1345">
      <w:pPr>
        <w:pStyle w:val="Prrafodelista"/>
        <w:tabs>
          <w:tab w:val="left" w:pos="426"/>
        </w:tabs>
        <w:spacing w:before="240" w:after="240" w:line="360" w:lineRule="auto"/>
        <w:ind w:left="0" w:right="51"/>
        <w:jc w:val="center"/>
        <w:rPr>
          <w:rFonts w:ascii="Palatino Linotype" w:hAnsi="Palatino Linotype"/>
          <w:color w:val="000000" w:themeColor="text1"/>
        </w:rPr>
      </w:pPr>
      <w:r w:rsidRPr="001672EA">
        <w:rPr>
          <w:rFonts w:ascii="Palatino Linotype" w:hAnsi="Palatino Linotype"/>
          <w:noProof/>
          <w:color w:val="000000" w:themeColor="text1"/>
          <w:lang w:eastAsia="es-MX"/>
        </w:rPr>
        <w:lastRenderedPageBreak/>
        <w:drawing>
          <wp:inline distT="0" distB="0" distL="0" distR="0" wp14:anchorId="292B325A" wp14:editId="6EB662DE">
            <wp:extent cx="4418277" cy="2646067"/>
            <wp:effectExtent l="57150" t="57150" r="116205" b="1162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2540" cy="269054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0F041E" w14:textId="77777777" w:rsidR="006F1345" w:rsidRPr="001672EA" w:rsidRDefault="006F1345" w:rsidP="006F1345">
      <w:pPr>
        <w:pStyle w:val="Prrafodelista"/>
        <w:tabs>
          <w:tab w:val="left" w:pos="426"/>
        </w:tabs>
        <w:spacing w:before="240" w:after="240" w:line="360" w:lineRule="auto"/>
        <w:ind w:left="0" w:right="51"/>
        <w:jc w:val="both"/>
        <w:rPr>
          <w:rFonts w:ascii="Palatino Linotype" w:hAnsi="Palatino Linotype"/>
          <w:color w:val="000000" w:themeColor="text1"/>
        </w:rPr>
      </w:pPr>
    </w:p>
    <w:p w14:paraId="357FED08" w14:textId="37B508B9" w:rsidR="006F1345" w:rsidRPr="001672EA" w:rsidRDefault="006F134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Así mismo, el </w:t>
      </w:r>
      <w:r w:rsidRPr="001672EA">
        <w:rPr>
          <w:rFonts w:ascii="Palatino Linotype" w:hAnsi="Palatino Linotype"/>
          <w:b/>
          <w:color w:val="000000" w:themeColor="text1"/>
        </w:rPr>
        <w:t>SUJETO OBLIGADO</w:t>
      </w:r>
      <w:r w:rsidRPr="001672EA">
        <w:rPr>
          <w:rFonts w:ascii="Palatino Linotype" w:hAnsi="Palatino Linotype"/>
          <w:color w:val="000000" w:themeColor="text1"/>
        </w:rPr>
        <w:t xml:space="preserve"> entregó al entonces </w:t>
      </w:r>
      <w:r w:rsidRPr="001672EA">
        <w:rPr>
          <w:rFonts w:ascii="Palatino Linotype" w:hAnsi="Palatino Linotype"/>
          <w:b/>
          <w:color w:val="000000" w:themeColor="text1"/>
        </w:rPr>
        <w:t>SOLICITANTE</w:t>
      </w:r>
      <w:r w:rsidRPr="001672EA">
        <w:rPr>
          <w:rFonts w:ascii="Palatino Linotype" w:hAnsi="Palatino Linotype"/>
          <w:color w:val="000000" w:themeColor="text1"/>
        </w:rPr>
        <w:t xml:space="preserve"> los documentos denominados </w:t>
      </w:r>
      <w:r w:rsidRPr="001672EA">
        <w:rPr>
          <w:rFonts w:ascii="Palatino Linotype" w:hAnsi="Palatino Linotype"/>
          <w:i/>
          <w:color w:val="000000" w:themeColor="text1"/>
        </w:rPr>
        <w:t>Relación de Obras</w:t>
      </w:r>
      <w:r w:rsidRPr="001672EA">
        <w:rPr>
          <w:rFonts w:ascii="Palatino Linotype" w:hAnsi="Palatino Linotype"/>
          <w:color w:val="000000" w:themeColor="text1"/>
        </w:rPr>
        <w:t xml:space="preserve"> correspondientes a los ejercicios dos mil diecisiete, dos mil dieciocho, dos mil diecinueve, dos mil veinte y dos mil veintiuno; mismos que </w:t>
      </w:r>
      <w:r w:rsidRPr="001672EA">
        <w:rPr>
          <w:rFonts w:ascii="Palatino Linotype" w:hAnsi="Palatino Linotype"/>
          <w:b/>
          <w:color w:val="000000" w:themeColor="text1"/>
        </w:rPr>
        <w:t>consisten en un listado ordenado con las obras públicas realizadas por el ayuntamiento</w:t>
      </w:r>
      <w:r w:rsidRPr="001672EA">
        <w:rPr>
          <w:rFonts w:ascii="Palatino Linotype" w:hAnsi="Palatino Linotype"/>
          <w:color w:val="000000" w:themeColor="text1"/>
        </w:rPr>
        <w:t xml:space="preserve">, por ejercicio fiscal, separadas por obras realizadas con recursos propios o, con ayuda del Fondo Estatal de Fortalecimiento Municipal (FEFOM), Fondo de Aportaciones para la Infraestructura Social Municipal y de las Demarcaciones Territoriales del Distrito Federal (FISMDF), Programa de Devolución de Derechos (PRODDER), </w:t>
      </w:r>
      <w:r w:rsidR="00BD717E" w:rsidRPr="001672EA">
        <w:rPr>
          <w:rFonts w:ascii="Palatino Linotype" w:hAnsi="Palatino Linotype"/>
          <w:color w:val="000000" w:themeColor="text1"/>
        </w:rPr>
        <w:t xml:space="preserve">Fondo de Aportaciones para el Fortalecimiento Municipal y de las Demarcaciones Territoriales de la Ciudad de México (FORTAMUN), Fondo de Infraestructura Social para las Entidades (FISE), entre otras. Se adjunta a continuación la captura de la primera foja de cada uno de los documentos para efectos </w:t>
      </w:r>
      <w:proofErr w:type="spellStart"/>
      <w:r w:rsidR="00BD717E" w:rsidRPr="001672EA">
        <w:rPr>
          <w:rFonts w:ascii="Palatino Linotype" w:hAnsi="Palatino Linotype"/>
          <w:color w:val="000000" w:themeColor="text1"/>
        </w:rPr>
        <w:t>referenciativos</w:t>
      </w:r>
      <w:proofErr w:type="spellEnd"/>
      <w:r w:rsidR="00BD717E" w:rsidRPr="001672EA">
        <w:rPr>
          <w:rFonts w:ascii="Palatino Linotype" w:hAnsi="Palatino Linotype"/>
          <w:color w:val="000000" w:themeColor="text1"/>
        </w:rPr>
        <w:t>:</w:t>
      </w:r>
    </w:p>
    <w:p w14:paraId="69E8AFAC" w14:textId="77777777" w:rsidR="006F1345" w:rsidRPr="001672EA" w:rsidRDefault="006F1345" w:rsidP="006F1345">
      <w:pPr>
        <w:pStyle w:val="Prrafodelista"/>
        <w:tabs>
          <w:tab w:val="left" w:pos="426"/>
        </w:tabs>
        <w:spacing w:before="240" w:after="240" w:line="360" w:lineRule="auto"/>
        <w:ind w:left="0" w:right="51"/>
        <w:jc w:val="both"/>
        <w:rPr>
          <w:rFonts w:ascii="Palatino Linotype" w:hAnsi="Palatino Linotype"/>
          <w:color w:val="000000" w:themeColor="text1"/>
        </w:rPr>
      </w:pPr>
    </w:p>
    <w:p w14:paraId="371C7D4B" w14:textId="3E8EE525" w:rsidR="00BD717E" w:rsidRPr="001672EA" w:rsidRDefault="00BD717E" w:rsidP="00BD717E">
      <w:pPr>
        <w:pStyle w:val="Prrafodelista"/>
        <w:tabs>
          <w:tab w:val="left" w:pos="426"/>
        </w:tabs>
        <w:spacing w:before="240" w:after="240" w:line="360" w:lineRule="auto"/>
        <w:ind w:left="0" w:right="51"/>
        <w:jc w:val="center"/>
        <w:rPr>
          <w:rFonts w:ascii="Palatino Linotype" w:hAnsi="Palatino Linotype"/>
          <w:color w:val="000000" w:themeColor="text1"/>
        </w:rPr>
      </w:pPr>
      <w:r w:rsidRPr="001672EA">
        <w:rPr>
          <w:rFonts w:ascii="Palatino Linotype" w:hAnsi="Palatino Linotype"/>
          <w:noProof/>
          <w:color w:val="000000" w:themeColor="text1"/>
          <w:lang w:eastAsia="es-MX"/>
        </w:rPr>
        <w:lastRenderedPageBreak/>
        <w:drawing>
          <wp:inline distT="0" distB="0" distL="0" distR="0" wp14:anchorId="0AF99EFA" wp14:editId="55BB86BC">
            <wp:extent cx="4395424" cy="3532553"/>
            <wp:effectExtent l="57150" t="57150" r="120015" b="1060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1391" cy="35453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BC61F" w14:textId="77777777" w:rsidR="00BD717E" w:rsidRPr="001672EA" w:rsidRDefault="00BD717E" w:rsidP="00BD717E">
      <w:pPr>
        <w:pStyle w:val="Prrafodelista"/>
        <w:tabs>
          <w:tab w:val="left" w:pos="426"/>
        </w:tabs>
        <w:spacing w:before="240" w:after="240" w:line="360" w:lineRule="auto"/>
        <w:ind w:left="0" w:right="51"/>
        <w:jc w:val="center"/>
        <w:rPr>
          <w:rFonts w:ascii="Palatino Linotype" w:hAnsi="Palatino Linotype"/>
          <w:color w:val="000000" w:themeColor="text1"/>
        </w:rPr>
      </w:pPr>
    </w:p>
    <w:p w14:paraId="76E66298" w14:textId="1D2E1D7E" w:rsidR="00BD717E" w:rsidRPr="001672EA" w:rsidRDefault="00BD717E" w:rsidP="00BD717E">
      <w:pPr>
        <w:pStyle w:val="Prrafodelista"/>
        <w:tabs>
          <w:tab w:val="left" w:pos="426"/>
        </w:tabs>
        <w:spacing w:before="240" w:after="240" w:line="360" w:lineRule="auto"/>
        <w:ind w:left="0" w:right="51"/>
        <w:jc w:val="center"/>
        <w:rPr>
          <w:rFonts w:ascii="Palatino Linotype" w:hAnsi="Palatino Linotype"/>
          <w:color w:val="000000" w:themeColor="text1"/>
        </w:rPr>
      </w:pPr>
      <w:r w:rsidRPr="001672EA">
        <w:rPr>
          <w:rFonts w:ascii="Palatino Linotype" w:hAnsi="Palatino Linotype"/>
          <w:noProof/>
          <w:color w:val="000000" w:themeColor="text1"/>
          <w:lang w:eastAsia="es-MX"/>
        </w:rPr>
        <w:drawing>
          <wp:inline distT="0" distB="0" distL="0" distR="0" wp14:anchorId="0D2E33D5" wp14:editId="2745A90E">
            <wp:extent cx="4418280" cy="3522427"/>
            <wp:effectExtent l="57150" t="57150" r="116205" b="1162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2450" cy="35337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D03B50" w14:textId="6EFAF492" w:rsidR="00BD717E" w:rsidRPr="001672EA" w:rsidRDefault="00BD717E" w:rsidP="00BD717E">
      <w:pPr>
        <w:pStyle w:val="Prrafodelista"/>
        <w:tabs>
          <w:tab w:val="left" w:pos="426"/>
        </w:tabs>
        <w:spacing w:before="240" w:after="240" w:line="360" w:lineRule="auto"/>
        <w:ind w:left="0" w:right="51"/>
        <w:jc w:val="center"/>
        <w:rPr>
          <w:rFonts w:ascii="Palatino Linotype" w:hAnsi="Palatino Linotype"/>
          <w:color w:val="000000" w:themeColor="text1"/>
        </w:rPr>
      </w:pPr>
      <w:r w:rsidRPr="001672EA">
        <w:rPr>
          <w:rFonts w:ascii="Palatino Linotype" w:hAnsi="Palatino Linotype"/>
          <w:noProof/>
          <w:color w:val="000000" w:themeColor="text1"/>
          <w:lang w:eastAsia="es-MX"/>
        </w:rPr>
        <w:lastRenderedPageBreak/>
        <w:drawing>
          <wp:inline distT="0" distB="0" distL="0" distR="0" wp14:anchorId="2C856F10" wp14:editId="2DAF0BBD">
            <wp:extent cx="4419435" cy="3249820"/>
            <wp:effectExtent l="57150" t="57150" r="114935" b="1225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6891" cy="32626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6227C1" w14:textId="77777777" w:rsidR="00BD717E" w:rsidRPr="001672EA" w:rsidRDefault="00BD717E" w:rsidP="00BD717E">
      <w:pPr>
        <w:pStyle w:val="Prrafodelista"/>
        <w:tabs>
          <w:tab w:val="left" w:pos="426"/>
        </w:tabs>
        <w:spacing w:before="240" w:after="240" w:line="360" w:lineRule="auto"/>
        <w:ind w:left="0" w:right="51"/>
        <w:jc w:val="center"/>
        <w:rPr>
          <w:rFonts w:ascii="Palatino Linotype" w:hAnsi="Palatino Linotype"/>
          <w:color w:val="000000" w:themeColor="text1"/>
        </w:rPr>
      </w:pPr>
    </w:p>
    <w:p w14:paraId="415C3256" w14:textId="71CC584A" w:rsidR="00BD717E" w:rsidRPr="001672EA" w:rsidRDefault="00BD717E" w:rsidP="00BD717E">
      <w:pPr>
        <w:pStyle w:val="Prrafodelista"/>
        <w:tabs>
          <w:tab w:val="left" w:pos="426"/>
        </w:tabs>
        <w:spacing w:before="240" w:after="240" w:line="360" w:lineRule="auto"/>
        <w:ind w:left="0" w:right="51"/>
        <w:jc w:val="center"/>
        <w:rPr>
          <w:rFonts w:ascii="Palatino Linotype" w:hAnsi="Palatino Linotype"/>
          <w:color w:val="000000" w:themeColor="text1"/>
        </w:rPr>
      </w:pPr>
      <w:r w:rsidRPr="001672EA">
        <w:rPr>
          <w:rFonts w:ascii="Palatino Linotype" w:hAnsi="Palatino Linotype"/>
          <w:noProof/>
          <w:color w:val="000000" w:themeColor="text1"/>
          <w:lang w:eastAsia="es-MX"/>
        </w:rPr>
        <w:drawing>
          <wp:inline distT="0" distB="0" distL="0" distR="0" wp14:anchorId="4764129C" wp14:editId="22059A01">
            <wp:extent cx="4411484" cy="3361772"/>
            <wp:effectExtent l="57150" t="57150" r="122555" b="1054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3725" cy="33711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F1D8BA" w14:textId="77777777" w:rsidR="00BD717E" w:rsidRPr="001672EA" w:rsidRDefault="00BD717E" w:rsidP="00BD717E">
      <w:pPr>
        <w:pStyle w:val="Prrafodelista"/>
        <w:tabs>
          <w:tab w:val="left" w:pos="426"/>
        </w:tabs>
        <w:spacing w:before="240" w:after="240" w:line="360" w:lineRule="auto"/>
        <w:ind w:left="0" w:right="51"/>
        <w:jc w:val="center"/>
        <w:rPr>
          <w:rFonts w:ascii="Palatino Linotype" w:hAnsi="Palatino Linotype"/>
          <w:color w:val="000000" w:themeColor="text1"/>
        </w:rPr>
      </w:pPr>
    </w:p>
    <w:p w14:paraId="0B4F7AA1" w14:textId="31B9D2A0" w:rsidR="00BD717E" w:rsidRPr="001672EA" w:rsidRDefault="00BD717E" w:rsidP="00BD717E">
      <w:pPr>
        <w:pStyle w:val="Prrafodelista"/>
        <w:tabs>
          <w:tab w:val="left" w:pos="426"/>
        </w:tabs>
        <w:spacing w:before="240" w:after="240" w:line="360" w:lineRule="auto"/>
        <w:ind w:left="0" w:right="51"/>
        <w:jc w:val="center"/>
        <w:rPr>
          <w:rFonts w:ascii="Palatino Linotype" w:hAnsi="Palatino Linotype"/>
          <w:color w:val="000000" w:themeColor="text1"/>
        </w:rPr>
      </w:pPr>
      <w:r w:rsidRPr="001672EA">
        <w:rPr>
          <w:rFonts w:ascii="Palatino Linotype" w:hAnsi="Palatino Linotype"/>
          <w:noProof/>
          <w:color w:val="000000" w:themeColor="text1"/>
          <w:lang w:eastAsia="es-MX"/>
        </w:rPr>
        <w:lastRenderedPageBreak/>
        <w:drawing>
          <wp:inline distT="0" distB="0" distL="0" distR="0" wp14:anchorId="40D21340" wp14:editId="01083514">
            <wp:extent cx="4435337" cy="3481323"/>
            <wp:effectExtent l="57150" t="57150" r="118110" b="1193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8483" cy="349164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FF8926" w14:textId="77777777" w:rsidR="00BD717E" w:rsidRPr="001672EA" w:rsidRDefault="00BD717E" w:rsidP="006F1345">
      <w:pPr>
        <w:pStyle w:val="Prrafodelista"/>
        <w:tabs>
          <w:tab w:val="left" w:pos="426"/>
        </w:tabs>
        <w:spacing w:before="240" w:after="240" w:line="360" w:lineRule="auto"/>
        <w:ind w:left="0" w:right="51"/>
        <w:jc w:val="both"/>
        <w:rPr>
          <w:rFonts w:ascii="Palatino Linotype" w:hAnsi="Palatino Linotype"/>
          <w:color w:val="000000" w:themeColor="text1"/>
        </w:rPr>
      </w:pPr>
    </w:p>
    <w:p w14:paraId="6162505E" w14:textId="32EC363E" w:rsidR="00BD717E" w:rsidRPr="001672EA" w:rsidRDefault="00BD717E" w:rsidP="00BD717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Así las cosas, podemos resumir la respuesta del </w:t>
      </w:r>
      <w:r w:rsidRPr="001672EA">
        <w:rPr>
          <w:rFonts w:ascii="Palatino Linotype" w:hAnsi="Palatino Linotype"/>
          <w:b/>
          <w:color w:val="000000" w:themeColor="text1"/>
        </w:rPr>
        <w:t>SUJETO OBLIGADO</w:t>
      </w:r>
      <w:r w:rsidRPr="001672EA">
        <w:rPr>
          <w:rFonts w:ascii="Palatino Linotype" w:hAnsi="Palatino Linotype"/>
          <w:color w:val="000000" w:themeColor="text1"/>
        </w:rPr>
        <w:t xml:space="preserve"> mediante las siguientes consideraciones:</w:t>
      </w:r>
    </w:p>
    <w:p w14:paraId="2AE9B793" w14:textId="33B46D3C" w:rsidR="00BD717E" w:rsidRPr="001672EA" w:rsidRDefault="00BD717E" w:rsidP="00BD717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olor w:val="000000" w:themeColor="text1"/>
        </w:rPr>
        <w:t>Entregó su Listado de Proveedores vigente al ejercicio dos mil veintiuno;</w:t>
      </w:r>
    </w:p>
    <w:p w14:paraId="2BCF66D2" w14:textId="7252414F" w:rsidR="00BD717E" w:rsidRPr="001672EA" w:rsidRDefault="00BD717E" w:rsidP="00BD717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olor w:val="000000" w:themeColor="text1"/>
        </w:rPr>
        <w:t>Entregó la Relación de Obras Públicas llevadas a cabo desde el ejercicio dos mil diecisiete al dos mil veintiuno;</w:t>
      </w:r>
    </w:p>
    <w:p w14:paraId="58A074F8" w14:textId="38156F9E" w:rsidR="00BD717E" w:rsidRPr="001672EA" w:rsidRDefault="00BD717E" w:rsidP="00BD717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olor w:val="000000" w:themeColor="text1"/>
        </w:rPr>
        <w:t>A través del Director de Obra</w:t>
      </w:r>
    </w:p>
    <w:p w14:paraId="449F604A" w14:textId="77777777" w:rsidR="00BD717E" w:rsidRPr="001672EA" w:rsidRDefault="00BD717E" w:rsidP="00BD717E">
      <w:pPr>
        <w:pStyle w:val="Prrafodelista"/>
        <w:tabs>
          <w:tab w:val="left" w:pos="426"/>
        </w:tabs>
        <w:spacing w:before="240" w:after="240" w:line="360" w:lineRule="auto"/>
        <w:ind w:left="0" w:right="51"/>
        <w:jc w:val="both"/>
        <w:rPr>
          <w:rFonts w:ascii="Palatino Linotype" w:hAnsi="Palatino Linotype"/>
          <w:color w:val="000000" w:themeColor="text1"/>
        </w:rPr>
      </w:pPr>
    </w:p>
    <w:p w14:paraId="3849AFA4" w14:textId="30122EEF" w:rsidR="00BD717E" w:rsidRPr="001672EA" w:rsidRDefault="00BD717E" w:rsidP="00BD717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No </w:t>
      </w:r>
      <w:r w:rsidRPr="001672EA">
        <w:rPr>
          <w:rFonts w:ascii="Palatino Linotype" w:eastAsia="Calibri" w:hAnsi="Palatino Linotype" w:cs="Arial"/>
          <w:lang w:val="es-ES"/>
        </w:rPr>
        <w:t>es ocioso</w:t>
      </w:r>
      <w:r w:rsidRPr="001672EA">
        <w:rPr>
          <w:rFonts w:ascii="Palatino Linotype" w:hAnsi="Palatino Linotype"/>
          <w:color w:val="000000" w:themeColor="text1"/>
        </w:rPr>
        <w:t xml:space="preserve"> precisar en este punto que</w:t>
      </w:r>
      <w:r w:rsidRPr="001672EA">
        <w:rPr>
          <w:rFonts w:ascii="Palatino Linotype" w:hAnsi="Palatino Linotype"/>
          <w:b/>
          <w:color w:val="000000" w:themeColor="text1"/>
        </w:rPr>
        <w:t xml:space="preserve"> </w:t>
      </w:r>
      <w:r w:rsidRPr="001672EA">
        <w:rPr>
          <w:rFonts w:ascii="Palatino Linotype" w:hAnsi="Palatino Linotype"/>
          <w:color w:val="000000" w:themeColor="text1"/>
          <w:lang w:val="es-ES"/>
        </w:rPr>
        <w:t>este Órgano Garante no se encuentra facultado para dudar de la veracidad,</w:t>
      </w:r>
      <w:r w:rsidRPr="001672EA">
        <w:rPr>
          <w:rFonts w:ascii="Palatino Linotype" w:hAnsi="Palatino Linotype"/>
          <w:color w:val="000000" w:themeColor="text1"/>
        </w:rPr>
        <w:t xml:space="preserve"> ni de la información, que ponen los Sujetos Obligados a disposición de los solicitantes; situación que se aleja de las atribuciones de este Instituto, máxime que al momento que ponen a disposición ésta, la misma </w:t>
      </w:r>
      <w:r w:rsidRPr="001672EA">
        <w:rPr>
          <w:rFonts w:ascii="Palatino Linotype" w:hAnsi="Palatino Linotype"/>
          <w:color w:val="000000" w:themeColor="text1"/>
        </w:rPr>
        <w:lastRenderedPageBreak/>
        <w:t>tiene el carácter oficial y se presume veraz, tan es así que queda registrada en el Sistema de Acceso a la Información Mexiquense (SAIMEX).</w:t>
      </w:r>
    </w:p>
    <w:p w14:paraId="7DE3FC71" w14:textId="77777777" w:rsidR="00BD717E" w:rsidRPr="001672EA" w:rsidRDefault="00BD717E" w:rsidP="00BD717E">
      <w:pPr>
        <w:pStyle w:val="Prrafodelista"/>
        <w:tabs>
          <w:tab w:val="left" w:pos="426"/>
        </w:tabs>
        <w:spacing w:before="240" w:after="240" w:line="360" w:lineRule="auto"/>
        <w:ind w:left="0" w:right="51"/>
        <w:jc w:val="both"/>
        <w:rPr>
          <w:rFonts w:ascii="Palatino Linotype" w:hAnsi="Palatino Linotype"/>
          <w:color w:val="000000" w:themeColor="text1"/>
        </w:rPr>
      </w:pPr>
    </w:p>
    <w:p w14:paraId="2E588166" w14:textId="77777777" w:rsidR="00BD717E" w:rsidRPr="001672EA" w:rsidRDefault="00BD717E" w:rsidP="00BD717E">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1672EA">
        <w:rPr>
          <w:rFonts w:ascii="Palatino Linotype" w:hAnsi="Palatino Linotype"/>
          <w:color w:val="000000" w:themeColor="text1"/>
        </w:rPr>
        <w:t xml:space="preserve">Sustenta lo anterior el Criterio de Interpretación </w:t>
      </w:r>
      <w:r w:rsidRPr="001672EA">
        <w:rPr>
          <w:rFonts w:ascii="Palatino Linotype" w:hAnsi="Palatino Linotype"/>
        </w:rPr>
        <w:t>31-10 emitido por el ahora Instituto Nacional de Transparencia, Acceso a la Información y Protección de Datos Personales, que a la letra dice:</w:t>
      </w:r>
    </w:p>
    <w:p w14:paraId="1468F3C2" w14:textId="77777777" w:rsidR="00BD717E" w:rsidRPr="001672EA" w:rsidRDefault="00BD717E" w:rsidP="00BD717E">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95C1AD1" w14:textId="77777777" w:rsidR="00BD717E" w:rsidRPr="001672EA" w:rsidRDefault="00BD717E" w:rsidP="00BD717E">
      <w:pPr>
        <w:pStyle w:val="Sinespaciado"/>
        <w:spacing w:line="276" w:lineRule="auto"/>
        <w:ind w:left="567" w:right="567"/>
        <w:jc w:val="both"/>
        <w:rPr>
          <w:rFonts w:ascii="Palatino Linotype" w:hAnsi="Palatino Linotype"/>
          <w:i/>
          <w:sz w:val="22"/>
          <w:szCs w:val="22"/>
        </w:rPr>
      </w:pPr>
      <w:r w:rsidRPr="001672EA">
        <w:rPr>
          <w:rFonts w:ascii="Palatino Linotype" w:hAnsi="Palatino Linotype"/>
          <w:i/>
          <w:sz w:val="22"/>
          <w:szCs w:val="22"/>
        </w:rPr>
        <w:t>“</w:t>
      </w:r>
      <w:r w:rsidRPr="001672EA">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1672EA">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D7D8662" w14:textId="77777777" w:rsidR="00BD717E" w:rsidRPr="001672EA" w:rsidRDefault="00BD717E" w:rsidP="00BD717E">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4910CC2B" w14:textId="42C3DC2E" w:rsidR="007774E7" w:rsidRPr="001672EA" w:rsidRDefault="00DC4DAD"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Por su parte</w:t>
      </w:r>
      <w:r w:rsidR="007774E7" w:rsidRPr="001672EA">
        <w:rPr>
          <w:rFonts w:ascii="Palatino Linotype" w:eastAsia="Times New Roman" w:hAnsi="Palatino Linotype" w:cs="Arial"/>
        </w:rPr>
        <w:t xml:space="preserve">, </w:t>
      </w:r>
      <w:r w:rsidR="00EB41EF" w:rsidRPr="001672EA">
        <w:rPr>
          <w:rFonts w:ascii="Palatino Linotype" w:eastAsia="Times New Roman" w:hAnsi="Palatino Linotype" w:cs="Arial"/>
        </w:rPr>
        <w:t>el</w:t>
      </w:r>
      <w:r w:rsidR="008D45C3" w:rsidRPr="001672EA">
        <w:rPr>
          <w:rFonts w:ascii="Palatino Linotype" w:eastAsia="Times New Roman" w:hAnsi="Palatino Linotype" w:cs="Arial"/>
        </w:rPr>
        <w:t xml:space="preserve"> ahora</w:t>
      </w:r>
      <w:r w:rsidR="007774E7" w:rsidRPr="001672EA">
        <w:rPr>
          <w:rFonts w:ascii="Palatino Linotype" w:eastAsia="Times New Roman" w:hAnsi="Palatino Linotype" w:cs="Arial"/>
        </w:rPr>
        <w:t xml:space="preserve"> </w:t>
      </w:r>
      <w:r w:rsidR="007774E7" w:rsidRPr="001672EA">
        <w:rPr>
          <w:rFonts w:ascii="Palatino Linotype" w:eastAsia="Times New Roman" w:hAnsi="Palatino Linotype" w:cs="Arial"/>
          <w:b/>
          <w:bCs/>
        </w:rPr>
        <w:t>RECURRENTE</w:t>
      </w:r>
      <w:r w:rsidR="007774E7" w:rsidRPr="001672EA">
        <w:rPr>
          <w:rFonts w:ascii="Palatino Linotype" w:eastAsia="Times New Roman" w:hAnsi="Palatino Linotype" w:cs="Arial"/>
        </w:rPr>
        <w:t xml:space="preserve"> presentó el recurso de revisión con número al rubro citado, en contra de la respuesta del </w:t>
      </w:r>
      <w:r w:rsidR="007774E7" w:rsidRPr="001672EA">
        <w:rPr>
          <w:rFonts w:ascii="Palatino Linotype" w:eastAsia="Times New Roman" w:hAnsi="Palatino Linotype" w:cs="Arial"/>
          <w:b/>
          <w:bCs/>
        </w:rPr>
        <w:t>SUJETO OBLIGADO</w:t>
      </w:r>
      <w:r w:rsidR="007774E7" w:rsidRPr="001672EA">
        <w:rPr>
          <w:rFonts w:ascii="Palatino Linotype" w:eastAsia="Times New Roman" w:hAnsi="Palatino Linotype" w:cs="Arial"/>
        </w:rPr>
        <w:t>, y en el que señaló por agravios lo siguiente:</w:t>
      </w:r>
    </w:p>
    <w:p w14:paraId="03464BE4" w14:textId="54FA6618" w:rsidR="002840C2" w:rsidRPr="001672EA" w:rsidRDefault="00546038" w:rsidP="005E208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eastAsia="Times New Roman" w:hAnsi="Palatino Linotype" w:cs="Arial"/>
        </w:rPr>
        <w:t>Q</w:t>
      </w:r>
      <w:r w:rsidR="002840C2" w:rsidRPr="001672EA">
        <w:rPr>
          <w:rFonts w:ascii="Palatino Linotype" w:eastAsia="Times New Roman" w:hAnsi="Palatino Linotype" w:cs="Arial"/>
        </w:rPr>
        <w:t xml:space="preserve">ue </w:t>
      </w:r>
      <w:r w:rsidR="00D84495" w:rsidRPr="001672EA">
        <w:rPr>
          <w:rFonts w:ascii="Palatino Linotype" w:eastAsia="Times New Roman" w:hAnsi="Palatino Linotype" w:cs="Arial"/>
        </w:rPr>
        <w:t xml:space="preserve">solicitó la información desde el </w:t>
      </w:r>
      <w:r w:rsidR="00D84495" w:rsidRPr="001672EA">
        <w:rPr>
          <w:rFonts w:ascii="Palatino Linotype" w:eastAsia="Times New Roman" w:hAnsi="Palatino Linotype" w:cs="Arial"/>
          <w:b/>
        </w:rPr>
        <w:t>dos mil doce</w:t>
      </w:r>
      <w:r w:rsidR="00D84495" w:rsidRPr="001672EA">
        <w:rPr>
          <w:rFonts w:ascii="Palatino Linotype" w:eastAsia="Times New Roman" w:hAnsi="Palatino Linotype" w:cs="Arial"/>
        </w:rPr>
        <w:t xml:space="preserve">; no obstante, sólo se le entregó desde el </w:t>
      </w:r>
      <w:r w:rsidR="00D84495" w:rsidRPr="001672EA">
        <w:rPr>
          <w:rFonts w:ascii="Palatino Linotype" w:eastAsia="Times New Roman" w:hAnsi="Palatino Linotype" w:cs="Arial"/>
          <w:b/>
        </w:rPr>
        <w:t>dos mil diecisiete</w:t>
      </w:r>
      <w:r w:rsidR="00D84495" w:rsidRPr="001672EA">
        <w:rPr>
          <w:rFonts w:ascii="Palatino Linotype" w:eastAsia="Times New Roman" w:hAnsi="Palatino Linotype" w:cs="Arial"/>
        </w:rPr>
        <w:t>.</w:t>
      </w:r>
    </w:p>
    <w:p w14:paraId="6B38C1A6" w14:textId="77777777" w:rsidR="007774E7" w:rsidRPr="001672EA"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52A1C7AA" w14:textId="6D72BA4D" w:rsidR="00D84495" w:rsidRPr="001672EA" w:rsidRDefault="00D84495" w:rsidP="00D8449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lastRenderedPageBreak/>
        <w:t xml:space="preserve">En ese sentido, </w:t>
      </w:r>
      <w:r w:rsidRPr="001672EA">
        <w:rPr>
          <w:rFonts w:ascii="Palatino Linotype" w:eastAsia="MS Mincho" w:hAnsi="Palatino Linotype" w:cs="Times New Roman"/>
          <w:color w:val="000000"/>
        </w:rPr>
        <w:t xml:space="preserve">por cuanto hace a la información generada durante los ejercicios dos mil diecisiete, dos mil dieciocho, dos mil diecinueve, dos mil veinte, dos mil veintiuno y dos mil veintidós, debe entenderse como </w:t>
      </w:r>
      <w:r w:rsidRPr="001672EA">
        <w:rPr>
          <w:rFonts w:ascii="Palatino Linotype" w:eastAsia="MS Mincho" w:hAnsi="Palatino Linotype" w:cs="Times New Roman"/>
          <w:b/>
          <w:color w:val="000000"/>
        </w:rPr>
        <w:t>consentida</w:t>
      </w:r>
      <w:r w:rsidRPr="001672EA">
        <w:rPr>
          <w:rFonts w:ascii="Palatino Linotype" w:eastAsia="MS Mincho" w:hAnsi="Palatino Linotype" w:cs="Times New Roman"/>
          <w:color w:val="000000"/>
        </w:rPr>
        <w:t xml:space="preserve"> por el </w:t>
      </w:r>
      <w:r w:rsidRPr="001672EA">
        <w:rPr>
          <w:rFonts w:ascii="Palatino Linotype" w:eastAsia="MS Mincho" w:hAnsi="Palatino Linotype" w:cs="Times New Roman"/>
          <w:b/>
          <w:bCs/>
          <w:color w:val="000000"/>
        </w:rPr>
        <w:t>RECURRENTE</w:t>
      </w:r>
      <w:r w:rsidRPr="001672EA">
        <w:rPr>
          <w:rFonts w:ascii="Palatino Linotype" w:eastAsia="MS Mincho" w:hAnsi="Palatino Linotype" w:cs="Times New Roman"/>
          <w:color w:val="000000"/>
        </w:rPr>
        <w:t xml:space="preserve">. Ello es así, debido a que cuando los Solicitantes no expresan razón o motivo de inconformidad en contra de los rubros de las respuestas que pudieran ser un agravio a su derecho, </w:t>
      </w:r>
      <w:r w:rsidRPr="001672EA">
        <w:rPr>
          <w:rFonts w:ascii="Palatino Linotype" w:eastAsia="MS Mincho" w:hAnsi="Palatino Linotype" w:cs="Times New Roman"/>
          <w:b/>
          <w:color w:val="000000"/>
        </w:rPr>
        <w:t>los mismos deben estimarse atendidos</w:t>
      </w:r>
      <w:r w:rsidRPr="001672EA">
        <w:rPr>
          <w:rFonts w:ascii="Palatino Linotype" w:eastAsia="MS Mincho" w:hAnsi="Palatino Linotype" w:cs="Times New Roman"/>
          <w:color w:val="000000"/>
        </w:rPr>
        <w:t>.</w:t>
      </w:r>
    </w:p>
    <w:p w14:paraId="237594DC" w14:textId="77777777" w:rsidR="00D84495" w:rsidRPr="001672EA" w:rsidRDefault="00D84495" w:rsidP="00D84495">
      <w:pPr>
        <w:pStyle w:val="Prrafodelista"/>
        <w:tabs>
          <w:tab w:val="left" w:pos="426"/>
        </w:tabs>
        <w:spacing w:before="240" w:after="240" w:line="360" w:lineRule="auto"/>
        <w:ind w:left="0" w:right="51"/>
        <w:jc w:val="both"/>
        <w:rPr>
          <w:rFonts w:ascii="Palatino Linotype" w:hAnsi="Palatino Linotype"/>
          <w:color w:val="000000" w:themeColor="text1"/>
        </w:rPr>
      </w:pPr>
    </w:p>
    <w:p w14:paraId="70DC7610" w14:textId="77777777" w:rsidR="00D84495" w:rsidRPr="001672EA" w:rsidRDefault="00D84495" w:rsidP="00D8449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eastAsia="MS Mincho" w:hAnsi="Palatino Linotype" w:cs="Times New Roman"/>
          <w:color w:val="000000"/>
        </w:rPr>
        <w:t>Sirve de apoyo a lo anterior, por analogía, la Tesis Jurisprudencial Número 3ª./J.7/91, publicada en el Semanario Judicial de la Federación y su Gaceta bajo el número de registro 174,177, que establece lo siguiente:</w:t>
      </w:r>
    </w:p>
    <w:p w14:paraId="54AA4237" w14:textId="77777777" w:rsidR="00D84495" w:rsidRPr="001672EA" w:rsidRDefault="00D84495" w:rsidP="00D84495">
      <w:pPr>
        <w:pStyle w:val="Prrafodelista"/>
        <w:tabs>
          <w:tab w:val="left" w:pos="426"/>
        </w:tabs>
        <w:spacing w:before="240" w:line="360" w:lineRule="auto"/>
        <w:ind w:left="0" w:right="51"/>
        <w:jc w:val="both"/>
        <w:rPr>
          <w:rFonts w:ascii="Palatino Linotype" w:hAnsi="Palatino Linotype"/>
          <w:color w:val="000000" w:themeColor="text1"/>
        </w:rPr>
      </w:pPr>
    </w:p>
    <w:p w14:paraId="22BB224E" w14:textId="77777777" w:rsidR="00D84495" w:rsidRPr="001672EA" w:rsidRDefault="00D84495" w:rsidP="00D84495">
      <w:pPr>
        <w:tabs>
          <w:tab w:val="left" w:pos="426"/>
        </w:tabs>
        <w:spacing w:line="276" w:lineRule="auto"/>
        <w:ind w:left="567" w:right="567"/>
        <w:contextualSpacing/>
        <w:jc w:val="both"/>
        <w:rPr>
          <w:rFonts w:ascii="Palatino Linotype" w:eastAsia="Times New Roman" w:hAnsi="Palatino Linotype" w:cs="Times New Roman"/>
          <w:i/>
          <w:sz w:val="22"/>
          <w:szCs w:val="22"/>
          <w:lang w:eastAsia="es-MX"/>
        </w:rPr>
      </w:pPr>
      <w:r w:rsidRPr="001672EA">
        <w:rPr>
          <w:rFonts w:ascii="Palatino Linotype" w:eastAsia="Times New Roman" w:hAnsi="Palatino Linotype" w:cs="Times New Roman"/>
          <w:b/>
          <w:i/>
          <w:sz w:val="22"/>
          <w:szCs w:val="22"/>
          <w:lang w:eastAsia="es-MX"/>
        </w:rPr>
        <w:t xml:space="preserve">REVISIÓN EN AMPARO. LOS RESOLUTIVOS NO COMBATIDOS DEBEN DECLARARSE FIRMES. </w:t>
      </w:r>
      <w:r w:rsidRPr="001672EA">
        <w:rPr>
          <w:rFonts w:ascii="Palatino Linotype" w:eastAsia="Times New Roman" w:hAnsi="Palatino Linotype" w:cs="Times New Roman"/>
          <w:i/>
          <w:sz w:val="22"/>
          <w:szCs w:val="22"/>
          <w:lang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01FDA83" w14:textId="77777777" w:rsidR="00D84495" w:rsidRPr="001672EA" w:rsidRDefault="00D84495" w:rsidP="00D84495">
      <w:pPr>
        <w:pStyle w:val="Prrafodelista"/>
        <w:tabs>
          <w:tab w:val="left" w:pos="426"/>
        </w:tabs>
        <w:spacing w:before="240" w:after="240" w:line="360" w:lineRule="auto"/>
        <w:ind w:left="0" w:right="51"/>
        <w:jc w:val="both"/>
        <w:rPr>
          <w:rFonts w:ascii="Palatino Linotype" w:hAnsi="Palatino Linotype"/>
          <w:color w:val="000000" w:themeColor="text1"/>
        </w:rPr>
      </w:pPr>
    </w:p>
    <w:p w14:paraId="610E94B3" w14:textId="77777777" w:rsidR="00D84495" w:rsidRPr="001672EA" w:rsidRDefault="00D84495" w:rsidP="00D8449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eastAsia="MS Mincho" w:hAnsi="Palatino Linotype" w:cs="Times New Roman"/>
          <w:color w:val="000000"/>
        </w:rPr>
        <w:t xml:space="preserve">Luego entonces, la parte de la solicitud sobre la que no se expresó inconformidad, debe declararse consentida por el hoy </w:t>
      </w:r>
      <w:r w:rsidRPr="001672EA">
        <w:rPr>
          <w:rFonts w:ascii="Palatino Linotype" w:eastAsia="MS Mincho" w:hAnsi="Palatino Linotype" w:cs="Times New Roman"/>
          <w:b/>
          <w:color w:val="000000"/>
        </w:rPr>
        <w:t>RECURRENTE</w:t>
      </w:r>
      <w:r w:rsidRPr="001672EA">
        <w:rPr>
          <w:rFonts w:ascii="Palatino Linotype" w:eastAsia="MS Mincho" w:hAnsi="Palatino Linotype" w:cs="Times New Roman"/>
          <w:color w:val="000000"/>
        </w:rPr>
        <w:t xml:space="preserve">,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w:t>
      </w:r>
      <w:r w:rsidRPr="001672EA">
        <w:rPr>
          <w:rFonts w:ascii="Palatino Linotype" w:eastAsia="MS Mincho" w:hAnsi="Palatino Linotype" w:cs="Times New Roman"/>
          <w:color w:val="000000"/>
        </w:rPr>
        <w:lastRenderedPageBreak/>
        <w:t>Jurisprudencial número VI.3o.C. J/60, publicada en el Semanario Judicial de la Federación y su Gaceta bajo el número de registro 176,608 que a la letra dice:</w:t>
      </w:r>
    </w:p>
    <w:p w14:paraId="076B9151" w14:textId="77777777" w:rsidR="00D84495" w:rsidRPr="001672EA" w:rsidRDefault="00D84495" w:rsidP="00D84495">
      <w:pPr>
        <w:pStyle w:val="Prrafodelista"/>
        <w:tabs>
          <w:tab w:val="left" w:pos="426"/>
        </w:tabs>
        <w:spacing w:before="240" w:line="360" w:lineRule="auto"/>
        <w:ind w:left="0" w:right="51"/>
        <w:jc w:val="both"/>
        <w:rPr>
          <w:rFonts w:ascii="Palatino Linotype" w:hAnsi="Palatino Linotype"/>
          <w:color w:val="000000" w:themeColor="text1"/>
        </w:rPr>
      </w:pPr>
    </w:p>
    <w:p w14:paraId="44B27CB5" w14:textId="77777777" w:rsidR="00D84495" w:rsidRPr="001672EA" w:rsidRDefault="00D84495" w:rsidP="00D84495">
      <w:pPr>
        <w:tabs>
          <w:tab w:val="left" w:pos="426"/>
        </w:tabs>
        <w:spacing w:line="276" w:lineRule="auto"/>
        <w:ind w:left="567" w:right="567"/>
        <w:contextualSpacing/>
        <w:jc w:val="both"/>
        <w:rPr>
          <w:rFonts w:ascii="Palatino Linotype" w:eastAsia="Times New Roman" w:hAnsi="Palatino Linotype" w:cs="Times New Roman"/>
          <w:i/>
          <w:sz w:val="22"/>
          <w:szCs w:val="22"/>
          <w:lang w:eastAsia="es-MX"/>
        </w:rPr>
      </w:pPr>
      <w:r w:rsidRPr="001672EA">
        <w:rPr>
          <w:rFonts w:ascii="Palatino Linotype" w:eastAsia="Times New Roman" w:hAnsi="Palatino Linotype" w:cs="Times New Roman"/>
          <w:b/>
          <w:i/>
          <w:sz w:val="22"/>
          <w:szCs w:val="22"/>
          <w:lang w:eastAsia="es-MX"/>
        </w:rPr>
        <w:t xml:space="preserve">ACTOS CONSENTIDOS. SON LOS QUE NO SE IMPUGNAN MEDIANTE EL RECURSO IDÓNEO. </w:t>
      </w:r>
      <w:r w:rsidRPr="001672EA">
        <w:rPr>
          <w:rFonts w:ascii="Palatino Linotype" w:eastAsia="Times New Roman" w:hAnsi="Palatino Linotype" w:cs="Times New Roman"/>
          <w:i/>
          <w:sz w:val="22"/>
          <w:szCs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E671302" w14:textId="77777777" w:rsidR="00D84495" w:rsidRPr="001672EA" w:rsidRDefault="00D84495" w:rsidP="00D84495">
      <w:pPr>
        <w:pStyle w:val="Prrafodelista"/>
        <w:tabs>
          <w:tab w:val="left" w:pos="426"/>
        </w:tabs>
        <w:spacing w:before="240" w:after="240" w:line="360" w:lineRule="auto"/>
        <w:ind w:left="0" w:right="51"/>
        <w:jc w:val="both"/>
        <w:rPr>
          <w:rFonts w:ascii="Palatino Linotype" w:hAnsi="Palatino Linotype"/>
          <w:color w:val="000000" w:themeColor="text1"/>
        </w:rPr>
      </w:pPr>
    </w:p>
    <w:p w14:paraId="7B69E4DA" w14:textId="31B8A91B" w:rsidR="007774E7" w:rsidRPr="001672EA" w:rsidRDefault="00D8449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R</w:t>
      </w:r>
      <w:r w:rsidR="00EB41EF" w:rsidRPr="001672EA">
        <w:rPr>
          <w:rFonts w:ascii="Palatino Linotype" w:hAnsi="Palatino Linotype"/>
          <w:color w:val="000000" w:themeColor="text1"/>
        </w:rPr>
        <w:t xml:space="preserve">azón de lo anterior, se procederá a analizar la naturaleza de lo solicitado, así como el marco legal de competencia del </w:t>
      </w:r>
      <w:r w:rsidR="00EB41EF" w:rsidRPr="001672EA">
        <w:rPr>
          <w:rFonts w:ascii="Palatino Linotype" w:hAnsi="Palatino Linotype"/>
          <w:b/>
          <w:bCs/>
          <w:color w:val="000000" w:themeColor="text1"/>
        </w:rPr>
        <w:t>SUJETO OBLIGADO</w:t>
      </w:r>
      <w:r w:rsidR="00EB41EF" w:rsidRPr="001672EA">
        <w:rPr>
          <w:rFonts w:ascii="Palatino Linotype" w:hAnsi="Palatino Linotype"/>
          <w:color w:val="000000" w:themeColor="text1"/>
        </w:rPr>
        <w:t xml:space="preserve"> para poseer, generar</w:t>
      </w:r>
      <w:r w:rsidRPr="001672EA">
        <w:rPr>
          <w:rFonts w:ascii="Palatino Linotype" w:hAnsi="Palatino Linotype"/>
          <w:color w:val="000000" w:themeColor="text1"/>
        </w:rPr>
        <w:t xml:space="preserve"> y/o administrar la información para así determinar si, con su respuesta, el Ayuntamiento de Texcoco colmó el derecho de acceso a la información del </w:t>
      </w:r>
      <w:r w:rsidRPr="001672EA">
        <w:rPr>
          <w:rFonts w:ascii="Palatino Linotype" w:hAnsi="Palatino Linotype"/>
          <w:b/>
          <w:color w:val="000000" w:themeColor="text1"/>
        </w:rPr>
        <w:t>RECURRENTE</w:t>
      </w:r>
      <w:r w:rsidRPr="001672EA">
        <w:rPr>
          <w:rFonts w:ascii="Palatino Linotype" w:hAnsi="Palatino Linotype"/>
          <w:color w:val="000000" w:themeColor="text1"/>
        </w:rPr>
        <w:t xml:space="preserve"> o, si por el contrario, procede la entrega de información.</w:t>
      </w:r>
    </w:p>
    <w:p w14:paraId="0554E35A" w14:textId="77777777" w:rsidR="001E372E" w:rsidRPr="001672EA" w:rsidRDefault="001E372E" w:rsidP="001E372E">
      <w:pPr>
        <w:pStyle w:val="Prrafodelista"/>
        <w:tabs>
          <w:tab w:val="left" w:pos="426"/>
        </w:tabs>
        <w:spacing w:before="240" w:after="240" w:line="360" w:lineRule="auto"/>
        <w:ind w:left="0" w:right="51"/>
        <w:jc w:val="both"/>
        <w:rPr>
          <w:rFonts w:ascii="Palatino Linotype" w:hAnsi="Palatino Linotype"/>
          <w:color w:val="000000" w:themeColor="text1"/>
        </w:rPr>
      </w:pPr>
    </w:p>
    <w:p w14:paraId="79BEE78E" w14:textId="168DD882" w:rsidR="001E372E" w:rsidRPr="001672EA" w:rsidRDefault="001E372E" w:rsidP="001E372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1672EA">
        <w:rPr>
          <w:rFonts w:ascii="Palatino Linotype" w:hAnsi="Palatino Linotype"/>
          <w:b/>
          <w:bCs/>
          <w:color w:val="000000" w:themeColor="text1"/>
        </w:rPr>
        <w:t>II. Del derecho de acceso a la información.</w:t>
      </w:r>
    </w:p>
    <w:p w14:paraId="6A4FE6E4" w14:textId="77777777" w:rsidR="001E372E" w:rsidRPr="001672EA" w:rsidRDefault="001E372E" w:rsidP="001E372E">
      <w:pPr>
        <w:pStyle w:val="Prrafodelista"/>
        <w:tabs>
          <w:tab w:val="left" w:pos="426"/>
        </w:tabs>
        <w:spacing w:before="240" w:after="240" w:line="360" w:lineRule="auto"/>
        <w:ind w:left="0" w:right="51"/>
        <w:jc w:val="both"/>
        <w:rPr>
          <w:rFonts w:ascii="Palatino Linotype" w:hAnsi="Palatino Linotype"/>
          <w:color w:val="000000" w:themeColor="text1"/>
        </w:rPr>
      </w:pPr>
    </w:p>
    <w:p w14:paraId="08ECDDFD" w14:textId="26CD8487" w:rsidR="00B136E2" w:rsidRPr="001672EA" w:rsidRDefault="001E372E" w:rsidP="00B136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Previo </w:t>
      </w:r>
      <w:r w:rsidR="00B136E2" w:rsidRPr="001672EA">
        <w:rPr>
          <w:rFonts w:ascii="Palatino Linotype" w:hAnsi="Palatino Linotype"/>
        </w:rPr>
        <w:t xml:space="preserve">a iniciar el análisis del marco legal y de competencia relacionado con la información solicitada, se considera </w:t>
      </w:r>
      <w:r w:rsidR="00B136E2" w:rsidRPr="001672EA">
        <w:rPr>
          <w:rFonts w:ascii="Palatino Linotype" w:hAnsi="Palatino Linotype"/>
          <w:color w:val="000000" w:themeColor="text1"/>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0CE8DD" w14:textId="77777777" w:rsidR="00B136E2" w:rsidRPr="001672EA" w:rsidRDefault="00B136E2" w:rsidP="00B136E2">
      <w:pPr>
        <w:pStyle w:val="Prrafodelista"/>
        <w:tabs>
          <w:tab w:val="left" w:pos="426"/>
        </w:tabs>
        <w:spacing w:before="240" w:line="360" w:lineRule="auto"/>
        <w:ind w:left="0" w:right="51"/>
        <w:jc w:val="both"/>
        <w:rPr>
          <w:rFonts w:ascii="Palatino Linotype" w:hAnsi="Palatino Linotype"/>
          <w:color w:val="000000" w:themeColor="text1"/>
        </w:rPr>
      </w:pPr>
    </w:p>
    <w:p w14:paraId="444E115E" w14:textId="77777777" w:rsidR="00B136E2" w:rsidRPr="001672EA" w:rsidRDefault="00B136E2" w:rsidP="00B136E2">
      <w:pPr>
        <w:spacing w:line="276" w:lineRule="auto"/>
        <w:ind w:left="567" w:right="567"/>
        <w:jc w:val="both"/>
        <w:rPr>
          <w:rFonts w:ascii="Palatino Linotype" w:eastAsia="Palatino Linotype" w:hAnsi="Palatino Linotype" w:cs="Palatino Linotype"/>
          <w:i/>
          <w:sz w:val="22"/>
          <w:szCs w:val="22"/>
        </w:rPr>
      </w:pPr>
      <w:r w:rsidRPr="001672EA">
        <w:rPr>
          <w:rFonts w:ascii="Palatino Linotype" w:eastAsia="Palatino Linotype" w:hAnsi="Palatino Linotype" w:cs="Palatino Linotype"/>
          <w:b/>
          <w:i/>
          <w:sz w:val="22"/>
          <w:szCs w:val="22"/>
        </w:rPr>
        <w:lastRenderedPageBreak/>
        <w:t>INFORMACIÓN PÚBLICA, CONCEPTO DE, EN MATERIA DE TRANSPARENCIA. INTERPRETACIÓN TEMÁTICA DE LOS ARTÍCULOS 2, FRACCIÓN V, XV, Y XVI, 3, 4,11 Y 41.</w:t>
      </w:r>
      <w:r w:rsidRPr="001672E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FD2E01" w14:textId="77777777" w:rsidR="00B136E2" w:rsidRPr="001672EA" w:rsidRDefault="00B136E2" w:rsidP="00B136E2">
      <w:pPr>
        <w:spacing w:line="276" w:lineRule="auto"/>
        <w:ind w:left="567" w:right="567"/>
        <w:jc w:val="both"/>
        <w:rPr>
          <w:rFonts w:ascii="Palatino Linotype" w:eastAsia="Palatino Linotype" w:hAnsi="Palatino Linotype" w:cs="Palatino Linotype"/>
          <w:i/>
          <w:sz w:val="22"/>
          <w:szCs w:val="22"/>
        </w:rPr>
      </w:pPr>
      <w:r w:rsidRPr="001672E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8DA813A" w14:textId="77777777" w:rsidR="00B136E2" w:rsidRPr="001672EA" w:rsidRDefault="00B136E2" w:rsidP="00B136E2">
      <w:pPr>
        <w:spacing w:line="276" w:lineRule="auto"/>
        <w:ind w:left="567" w:right="567"/>
        <w:jc w:val="both"/>
        <w:rPr>
          <w:rFonts w:ascii="Palatino Linotype" w:eastAsia="Palatino Linotype" w:hAnsi="Palatino Linotype" w:cs="Palatino Linotype"/>
          <w:i/>
          <w:sz w:val="22"/>
          <w:szCs w:val="22"/>
        </w:rPr>
      </w:pPr>
      <w:r w:rsidRPr="001672EA">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219C7600" w14:textId="77777777" w:rsidR="00B136E2" w:rsidRPr="001672EA" w:rsidRDefault="00B136E2" w:rsidP="00B136E2">
      <w:pPr>
        <w:spacing w:line="276" w:lineRule="auto"/>
        <w:ind w:left="567" w:right="567"/>
        <w:jc w:val="both"/>
        <w:rPr>
          <w:rFonts w:ascii="Palatino Linotype" w:eastAsia="Palatino Linotype" w:hAnsi="Palatino Linotype" w:cs="Palatino Linotype"/>
          <w:i/>
          <w:sz w:val="22"/>
          <w:szCs w:val="22"/>
        </w:rPr>
      </w:pPr>
      <w:r w:rsidRPr="001672EA">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A67A602" w14:textId="77777777" w:rsidR="00B136E2" w:rsidRPr="001672EA" w:rsidRDefault="00B136E2" w:rsidP="00B136E2">
      <w:pPr>
        <w:spacing w:line="276" w:lineRule="auto"/>
        <w:ind w:left="567" w:right="567"/>
        <w:jc w:val="both"/>
        <w:rPr>
          <w:rFonts w:ascii="Palatino Linotype" w:eastAsia="Palatino Linotype" w:hAnsi="Palatino Linotype" w:cs="Palatino Linotype"/>
        </w:rPr>
      </w:pPr>
      <w:r w:rsidRPr="001672EA">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4558638F" w14:textId="77777777" w:rsidR="00B136E2" w:rsidRPr="001672EA" w:rsidRDefault="00B136E2" w:rsidP="00B136E2">
      <w:pPr>
        <w:pStyle w:val="Prrafodelista"/>
        <w:tabs>
          <w:tab w:val="left" w:pos="426"/>
        </w:tabs>
        <w:spacing w:before="240" w:after="240" w:line="360" w:lineRule="auto"/>
        <w:ind w:left="0" w:right="51"/>
        <w:jc w:val="both"/>
        <w:rPr>
          <w:rFonts w:ascii="Palatino Linotype" w:hAnsi="Palatino Linotype"/>
          <w:color w:val="000000" w:themeColor="text1"/>
        </w:rPr>
      </w:pPr>
    </w:p>
    <w:p w14:paraId="6AF02DB4" w14:textId="77777777" w:rsidR="00B136E2" w:rsidRPr="001672EA" w:rsidRDefault="00B136E2" w:rsidP="00B136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El </w:t>
      </w:r>
      <w:r w:rsidRPr="001672EA">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1672EA">
        <w:rPr>
          <w:rFonts w:ascii="Palatino Linotype" w:eastAsia="Palatino Linotype" w:hAnsi="Palatino Linotype" w:cs="Palatino Linotype"/>
          <w:color w:val="000000"/>
          <w:vertAlign w:val="superscript"/>
        </w:rPr>
        <w:footnoteReference w:id="9"/>
      </w:r>
      <w:r w:rsidRPr="001672EA">
        <w:rPr>
          <w:rFonts w:ascii="Palatino Linotype" w:eastAsia="Palatino Linotype" w:hAnsi="Palatino Linotype" w:cs="Palatino Linotype"/>
          <w:color w:val="000000"/>
        </w:rPr>
        <w:t>, para darnos un mejor panorama:</w:t>
      </w:r>
    </w:p>
    <w:p w14:paraId="1B163A8B" w14:textId="77777777" w:rsidR="00B136E2" w:rsidRPr="001672EA" w:rsidRDefault="00B136E2" w:rsidP="00B136E2">
      <w:pPr>
        <w:pStyle w:val="Prrafodelista"/>
        <w:tabs>
          <w:tab w:val="left" w:pos="426"/>
        </w:tabs>
        <w:spacing w:before="240" w:line="360" w:lineRule="auto"/>
        <w:ind w:left="0" w:right="51"/>
        <w:jc w:val="both"/>
        <w:rPr>
          <w:rFonts w:ascii="Palatino Linotype" w:hAnsi="Palatino Linotype"/>
          <w:color w:val="000000" w:themeColor="text1"/>
        </w:rPr>
      </w:pPr>
    </w:p>
    <w:p w14:paraId="3ED0AC68" w14:textId="77777777" w:rsidR="00B136E2" w:rsidRPr="001672EA" w:rsidRDefault="00B136E2" w:rsidP="00B136E2">
      <w:pPr>
        <w:spacing w:line="276" w:lineRule="auto"/>
        <w:ind w:left="567" w:right="567"/>
        <w:jc w:val="both"/>
        <w:rPr>
          <w:rFonts w:ascii="Palatino Linotype" w:eastAsia="Palatino Linotype" w:hAnsi="Palatino Linotype" w:cs="Palatino Linotype"/>
          <w:i/>
          <w:sz w:val="22"/>
          <w:szCs w:val="22"/>
        </w:rPr>
      </w:pPr>
      <w:r w:rsidRPr="001672EA">
        <w:rPr>
          <w:rFonts w:ascii="Palatino Linotype" w:eastAsia="Palatino Linotype" w:hAnsi="Palatino Linotype" w:cs="Palatino Linotype"/>
          <w:b/>
          <w:i/>
          <w:sz w:val="22"/>
          <w:szCs w:val="22"/>
        </w:rPr>
        <w:t xml:space="preserve">“XI. Documento: </w:t>
      </w:r>
      <w:r w:rsidRPr="001672EA">
        <w:rPr>
          <w:rFonts w:ascii="Palatino Linotype" w:eastAsia="Palatino Linotype" w:hAnsi="Palatino Linotype" w:cs="Palatino Linotype"/>
          <w:b/>
          <w:bCs/>
          <w:i/>
          <w:sz w:val="22"/>
          <w:szCs w:val="22"/>
        </w:rPr>
        <w:t>Los expedientes, reportes, estudios,</w:t>
      </w:r>
      <w:r w:rsidRPr="001672EA">
        <w:rPr>
          <w:rFonts w:ascii="Palatino Linotype" w:eastAsia="Palatino Linotype" w:hAnsi="Palatino Linotype" w:cs="Palatino Linotype"/>
          <w:b/>
          <w:i/>
          <w:sz w:val="22"/>
          <w:szCs w:val="22"/>
        </w:rPr>
        <w:t xml:space="preserve"> actas, resoluciones, oficios, correspondencia, acuerdos, directivas, directrices, circulares, contratos, convenios, instructivos, notas, memorandos, estadísticas o</w:t>
      </w:r>
      <w:r w:rsidRPr="001672EA">
        <w:rPr>
          <w:rFonts w:ascii="Palatino Linotype" w:eastAsia="Palatino Linotype" w:hAnsi="Palatino Linotype" w:cs="Palatino Linotype"/>
          <w:i/>
          <w:sz w:val="22"/>
          <w:szCs w:val="22"/>
        </w:rPr>
        <w:t xml:space="preserve"> bien, </w:t>
      </w:r>
      <w:r w:rsidRPr="001672EA">
        <w:rPr>
          <w:rFonts w:ascii="Palatino Linotype" w:eastAsia="Palatino Linotype" w:hAnsi="Palatino Linotype" w:cs="Palatino Linotype"/>
          <w:b/>
          <w:bCs/>
          <w:i/>
          <w:sz w:val="22"/>
          <w:szCs w:val="22"/>
        </w:rPr>
        <w:t>cualquier</w:t>
      </w:r>
      <w:r w:rsidRPr="001672EA">
        <w:rPr>
          <w:rFonts w:ascii="Palatino Linotype" w:eastAsia="Palatino Linotype" w:hAnsi="Palatino Linotype" w:cs="Palatino Linotype"/>
          <w:i/>
          <w:sz w:val="22"/>
          <w:szCs w:val="22"/>
        </w:rPr>
        <w:t xml:space="preserve"> otro </w:t>
      </w:r>
      <w:r w:rsidRPr="001672EA">
        <w:rPr>
          <w:rFonts w:ascii="Palatino Linotype" w:eastAsia="Palatino Linotype" w:hAnsi="Palatino Linotype" w:cs="Palatino Linotype"/>
          <w:b/>
          <w:bCs/>
          <w:i/>
          <w:sz w:val="22"/>
          <w:szCs w:val="22"/>
        </w:rPr>
        <w:t>registro que documente el ejercicio de las facultades, funciones y competencias de los</w:t>
      </w:r>
      <w:r w:rsidRPr="001672EA">
        <w:rPr>
          <w:rFonts w:ascii="Palatino Linotype" w:eastAsia="Palatino Linotype" w:hAnsi="Palatino Linotype" w:cs="Palatino Linotype"/>
          <w:i/>
          <w:sz w:val="22"/>
          <w:szCs w:val="22"/>
        </w:rPr>
        <w:t xml:space="preserve"> </w:t>
      </w:r>
      <w:r w:rsidRPr="001672EA">
        <w:rPr>
          <w:rFonts w:ascii="Palatino Linotype" w:eastAsia="Palatino Linotype" w:hAnsi="Palatino Linotype" w:cs="Palatino Linotype"/>
          <w:b/>
          <w:i/>
          <w:sz w:val="22"/>
          <w:szCs w:val="22"/>
        </w:rPr>
        <w:t>sujetos obligados</w:t>
      </w:r>
      <w:r w:rsidRPr="001672EA">
        <w:rPr>
          <w:rFonts w:ascii="Palatino Linotype" w:eastAsia="Palatino Linotype" w:hAnsi="Palatino Linotype" w:cs="Palatino Linotype"/>
          <w:i/>
          <w:sz w:val="22"/>
          <w:szCs w:val="22"/>
        </w:rPr>
        <w:t xml:space="preserve">, sus </w:t>
      </w:r>
      <w:r w:rsidRPr="001672EA">
        <w:rPr>
          <w:rFonts w:ascii="Palatino Linotype" w:eastAsia="Palatino Linotype" w:hAnsi="Palatino Linotype" w:cs="Palatino Linotype"/>
          <w:bCs/>
          <w:i/>
          <w:sz w:val="22"/>
          <w:szCs w:val="22"/>
        </w:rPr>
        <w:t>servidores públicos</w:t>
      </w:r>
      <w:r w:rsidRPr="001672EA">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6672D750" w14:textId="77777777" w:rsidR="00B136E2" w:rsidRPr="001672EA" w:rsidRDefault="00B136E2" w:rsidP="00B136E2">
      <w:pPr>
        <w:spacing w:line="276" w:lineRule="auto"/>
        <w:ind w:left="567" w:right="567"/>
        <w:jc w:val="both"/>
        <w:rPr>
          <w:rFonts w:ascii="Palatino Linotype" w:eastAsia="Palatino Linotype" w:hAnsi="Palatino Linotype" w:cs="Palatino Linotype"/>
          <w:iCs/>
          <w:sz w:val="22"/>
          <w:szCs w:val="22"/>
        </w:rPr>
      </w:pPr>
      <w:r w:rsidRPr="001672EA">
        <w:rPr>
          <w:rFonts w:ascii="Palatino Linotype" w:eastAsia="Palatino Linotype" w:hAnsi="Palatino Linotype" w:cs="Palatino Linotype"/>
          <w:sz w:val="22"/>
          <w:szCs w:val="22"/>
        </w:rPr>
        <w:t>(Énfasis añadido)</w:t>
      </w:r>
    </w:p>
    <w:p w14:paraId="5EBB077B" w14:textId="77777777" w:rsidR="00B136E2" w:rsidRPr="001672EA" w:rsidRDefault="00B136E2" w:rsidP="00B136E2">
      <w:pPr>
        <w:pStyle w:val="Prrafodelista"/>
        <w:tabs>
          <w:tab w:val="left" w:pos="426"/>
        </w:tabs>
        <w:spacing w:before="240" w:after="240" w:line="360" w:lineRule="auto"/>
        <w:ind w:left="0" w:right="51"/>
        <w:jc w:val="both"/>
        <w:rPr>
          <w:rFonts w:ascii="Palatino Linotype" w:hAnsi="Palatino Linotype"/>
          <w:color w:val="000000" w:themeColor="text1"/>
        </w:rPr>
      </w:pPr>
    </w:p>
    <w:p w14:paraId="481AD758" w14:textId="77777777" w:rsidR="00B136E2" w:rsidRPr="001672EA" w:rsidRDefault="00B136E2" w:rsidP="00B136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lastRenderedPageBreak/>
        <w:t xml:space="preserve">Correlativo </w:t>
      </w:r>
      <w:r w:rsidRPr="001672EA">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48C426C1" w14:textId="77777777" w:rsidR="00B136E2" w:rsidRPr="001672EA" w:rsidRDefault="00B136E2" w:rsidP="00B136E2">
      <w:pPr>
        <w:pStyle w:val="Prrafodelista"/>
        <w:tabs>
          <w:tab w:val="left" w:pos="426"/>
        </w:tabs>
        <w:spacing w:before="240" w:line="360" w:lineRule="auto"/>
        <w:ind w:left="0" w:right="51"/>
        <w:jc w:val="both"/>
        <w:rPr>
          <w:rFonts w:ascii="Palatino Linotype" w:hAnsi="Palatino Linotype"/>
          <w:color w:val="000000" w:themeColor="text1"/>
        </w:rPr>
      </w:pPr>
    </w:p>
    <w:p w14:paraId="280FA783" w14:textId="77777777" w:rsidR="00B136E2" w:rsidRPr="001672EA" w:rsidRDefault="00B136E2" w:rsidP="00B136E2">
      <w:pPr>
        <w:spacing w:line="276" w:lineRule="auto"/>
        <w:ind w:left="567" w:right="567"/>
        <w:jc w:val="both"/>
        <w:rPr>
          <w:rFonts w:ascii="Palatino Linotype" w:eastAsia="Palatino Linotype" w:hAnsi="Palatino Linotype" w:cs="Palatino Linotype"/>
          <w:i/>
          <w:sz w:val="22"/>
          <w:szCs w:val="22"/>
        </w:rPr>
      </w:pPr>
      <w:r w:rsidRPr="001672EA">
        <w:rPr>
          <w:rFonts w:ascii="Palatino Linotype" w:eastAsia="Palatino Linotype" w:hAnsi="Palatino Linotype" w:cs="Palatino Linotype"/>
          <w:b/>
          <w:i/>
          <w:sz w:val="22"/>
          <w:szCs w:val="22"/>
        </w:rPr>
        <w:t xml:space="preserve">“Artículo 4. </w:t>
      </w:r>
      <w:r w:rsidRPr="001672EA">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B9A078E" w14:textId="77777777" w:rsidR="00B136E2" w:rsidRPr="001672EA" w:rsidRDefault="00B136E2" w:rsidP="00B136E2">
      <w:pPr>
        <w:spacing w:line="276" w:lineRule="auto"/>
        <w:ind w:left="567" w:right="567"/>
        <w:jc w:val="both"/>
        <w:rPr>
          <w:rFonts w:ascii="Palatino Linotype" w:eastAsia="Palatino Linotype" w:hAnsi="Palatino Linotype" w:cs="Palatino Linotype"/>
          <w:i/>
          <w:sz w:val="22"/>
          <w:szCs w:val="22"/>
        </w:rPr>
      </w:pPr>
      <w:r w:rsidRPr="001672E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672E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F20D0EA" w14:textId="77777777" w:rsidR="00B136E2" w:rsidRPr="001672EA" w:rsidRDefault="00B136E2" w:rsidP="00B136E2">
      <w:pPr>
        <w:spacing w:line="276" w:lineRule="auto"/>
        <w:ind w:left="567" w:right="567"/>
        <w:jc w:val="both"/>
        <w:rPr>
          <w:rFonts w:ascii="Palatino Linotype" w:eastAsia="Palatino Linotype" w:hAnsi="Palatino Linotype" w:cs="Palatino Linotype"/>
          <w:b/>
          <w:i/>
          <w:sz w:val="22"/>
          <w:szCs w:val="22"/>
        </w:rPr>
      </w:pPr>
      <w:r w:rsidRPr="001672E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08FB844B" w14:textId="77777777" w:rsidR="00B136E2" w:rsidRPr="001672EA" w:rsidRDefault="00B136E2" w:rsidP="00B136E2">
      <w:pPr>
        <w:spacing w:line="276" w:lineRule="auto"/>
        <w:ind w:right="567"/>
        <w:jc w:val="both"/>
        <w:rPr>
          <w:rFonts w:ascii="Palatino Linotype" w:eastAsia="Palatino Linotype" w:hAnsi="Palatino Linotype" w:cs="Palatino Linotype"/>
          <w:i/>
          <w:color w:val="000000"/>
          <w:sz w:val="28"/>
          <w:szCs w:val="28"/>
        </w:rPr>
      </w:pPr>
    </w:p>
    <w:p w14:paraId="340ED836" w14:textId="77777777" w:rsidR="00B136E2" w:rsidRPr="001672EA" w:rsidRDefault="00B136E2" w:rsidP="00B136E2">
      <w:pPr>
        <w:spacing w:line="276" w:lineRule="auto"/>
        <w:ind w:left="567" w:right="567"/>
        <w:jc w:val="both"/>
        <w:rPr>
          <w:rFonts w:ascii="Palatino Linotype" w:eastAsia="Palatino Linotype" w:hAnsi="Palatino Linotype" w:cs="Palatino Linotype"/>
          <w:i/>
          <w:sz w:val="22"/>
          <w:szCs w:val="22"/>
        </w:rPr>
      </w:pPr>
      <w:r w:rsidRPr="001672EA">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1672EA">
        <w:rPr>
          <w:rFonts w:ascii="Palatino Linotype" w:eastAsia="Palatino Linotype" w:hAnsi="Palatino Linotype" w:cs="Palatino Linotype"/>
          <w:i/>
          <w:sz w:val="22"/>
          <w:szCs w:val="22"/>
        </w:rPr>
        <w:t xml:space="preserve">. </w:t>
      </w:r>
    </w:p>
    <w:p w14:paraId="3889547A" w14:textId="77777777" w:rsidR="00B136E2" w:rsidRPr="001672EA" w:rsidRDefault="00B136E2" w:rsidP="00B136E2">
      <w:pPr>
        <w:spacing w:line="276" w:lineRule="auto"/>
        <w:ind w:left="567" w:right="567"/>
        <w:jc w:val="both"/>
        <w:rPr>
          <w:rFonts w:ascii="Palatino Linotype" w:eastAsia="Palatino Linotype" w:hAnsi="Palatino Linotype" w:cs="Palatino Linotype"/>
          <w:i/>
          <w:sz w:val="22"/>
          <w:szCs w:val="22"/>
        </w:rPr>
      </w:pPr>
      <w:r w:rsidRPr="001672EA">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7AA364" w14:textId="77777777" w:rsidR="00B136E2" w:rsidRPr="001672EA" w:rsidRDefault="00B136E2" w:rsidP="00B136E2">
      <w:pPr>
        <w:spacing w:line="276" w:lineRule="auto"/>
        <w:ind w:left="567" w:right="567"/>
        <w:jc w:val="both"/>
        <w:rPr>
          <w:rFonts w:ascii="Palatino Linotype" w:eastAsia="Palatino Linotype" w:hAnsi="Palatino Linotype" w:cs="Palatino Linotype"/>
          <w:sz w:val="22"/>
          <w:szCs w:val="22"/>
        </w:rPr>
      </w:pPr>
      <w:r w:rsidRPr="001672EA">
        <w:rPr>
          <w:rFonts w:ascii="Palatino Linotype" w:eastAsia="Palatino Linotype" w:hAnsi="Palatino Linotype" w:cs="Palatino Linotype"/>
          <w:sz w:val="22"/>
          <w:szCs w:val="22"/>
        </w:rPr>
        <w:t>(Énfasis añadido)</w:t>
      </w:r>
    </w:p>
    <w:p w14:paraId="06DAE95B" w14:textId="77777777" w:rsidR="00B136E2" w:rsidRPr="001672EA" w:rsidRDefault="00B136E2" w:rsidP="00B136E2">
      <w:pPr>
        <w:pStyle w:val="Prrafodelista"/>
        <w:tabs>
          <w:tab w:val="left" w:pos="426"/>
        </w:tabs>
        <w:spacing w:before="240" w:after="240" w:line="360" w:lineRule="auto"/>
        <w:ind w:left="0" w:right="51"/>
        <w:jc w:val="both"/>
        <w:rPr>
          <w:rFonts w:ascii="Palatino Linotype" w:hAnsi="Palatino Linotype"/>
          <w:color w:val="000000" w:themeColor="text1"/>
        </w:rPr>
      </w:pPr>
    </w:p>
    <w:p w14:paraId="1736FA1D" w14:textId="77777777" w:rsidR="00B136E2" w:rsidRPr="001672EA" w:rsidRDefault="00B136E2" w:rsidP="00B136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Es </w:t>
      </w:r>
      <w:r w:rsidRPr="001672EA">
        <w:rPr>
          <w:rFonts w:ascii="Palatino Linotype" w:eastAsia="Palatino Linotype" w:hAnsi="Palatino Linotype" w:cs="Palatino Linotype"/>
          <w:color w:val="000000"/>
        </w:rPr>
        <w:t xml:space="preserve">así como todos los actos de autoridad que realicen los Sujetos Obligados deben estar documentados y, bajo el más alto estándar de transparencia, deberán </w:t>
      </w:r>
      <w:r w:rsidRPr="001672EA">
        <w:rPr>
          <w:rFonts w:ascii="Palatino Linotype" w:eastAsia="Palatino Linotype" w:hAnsi="Palatino Linotype" w:cs="Palatino Linotype"/>
          <w:color w:val="000000"/>
        </w:rPr>
        <w:lastRenderedPageBreak/>
        <w:t>poner toda la información que se encuentre en su posesión, de manera permanente y actualizada, a disposición de los particulares que la soliciten.</w:t>
      </w:r>
    </w:p>
    <w:p w14:paraId="3325EAE6" w14:textId="77777777" w:rsidR="00B136E2" w:rsidRPr="001672EA" w:rsidRDefault="00B136E2" w:rsidP="00B136E2">
      <w:pPr>
        <w:pStyle w:val="Prrafodelista"/>
        <w:tabs>
          <w:tab w:val="left" w:pos="426"/>
        </w:tabs>
        <w:spacing w:before="240" w:after="240" w:line="360" w:lineRule="auto"/>
        <w:ind w:left="0" w:right="51"/>
        <w:jc w:val="both"/>
        <w:rPr>
          <w:rFonts w:ascii="Palatino Linotype" w:hAnsi="Palatino Linotype"/>
          <w:color w:val="000000" w:themeColor="text1"/>
        </w:rPr>
      </w:pPr>
    </w:p>
    <w:p w14:paraId="50B15484" w14:textId="77777777" w:rsidR="00B136E2" w:rsidRPr="001672EA" w:rsidRDefault="00B136E2" w:rsidP="00B136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Por </w:t>
      </w:r>
      <w:r w:rsidRPr="001672EA">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1672EA">
        <w:rPr>
          <w:rFonts w:ascii="Palatino Linotype" w:eastAsia="Palatino Linotype" w:hAnsi="Palatino Linotype" w:cs="Palatino Linotype"/>
          <w:color w:val="000000"/>
          <w:vertAlign w:val="superscript"/>
        </w:rPr>
        <w:footnoteReference w:id="10"/>
      </w:r>
      <w:r w:rsidRPr="001672EA">
        <w:rPr>
          <w:rFonts w:ascii="Palatino Linotype" w:eastAsia="Palatino Linotype" w:hAnsi="Palatino Linotype" w:cs="Palatino Linotype"/>
          <w:color w:val="000000"/>
        </w:rPr>
        <w:t>.</w:t>
      </w:r>
    </w:p>
    <w:p w14:paraId="3E04396C" w14:textId="77777777" w:rsidR="00B136E2" w:rsidRPr="001672EA" w:rsidRDefault="00B136E2" w:rsidP="00B136E2">
      <w:pPr>
        <w:pStyle w:val="Prrafodelista"/>
        <w:tabs>
          <w:tab w:val="left" w:pos="426"/>
        </w:tabs>
        <w:spacing w:before="240" w:after="240" w:line="360" w:lineRule="auto"/>
        <w:ind w:left="0" w:right="51"/>
        <w:jc w:val="both"/>
        <w:rPr>
          <w:rFonts w:ascii="Palatino Linotype" w:hAnsi="Palatino Linotype"/>
          <w:color w:val="000000" w:themeColor="text1"/>
        </w:rPr>
      </w:pPr>
    </w:p>
    <w:p w14:paraId="431BCC89" w14:textId="77777777" w:rsidR="00B136E2" w:rsidRPr="001672EA" w:rsidRDefault="00B136E2" w:rsidP="00B136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En </w:t>
      </w:r>
      <w:r w:rsidRPr="001672EA">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672EA">
        <w:rPr>
          <w:rFonts w:ascii="Palatino Linotype" w:eastAsia="Palatino Linotype" w:hAnsi="Palatino Linotype" w:cs="Palatino Linotype"/>
          <w:color w:val="000000"/>
          <w:vertAlign w:val="superscript"/>
        </w:rPr>
        <w:footnoteReference w:id="11"/>
      </w:r>
      <w:r w:rsidRPr="001672EA">
        <w:rPr>
          <w:rFonts w:ascii="Palatino Linotype" w:eastAsia="Palatino Linotype" w:hAnsi="Palatino Linotype" w:cs="Palatino Linotype"/>
          <w:color w:val="000000"/>
        </w:rPr>
        <w:t xml:space="preserve"> y máxima publicidad; sobre éste último se debe poner mayor énfasis, puesto que establece que </w:t>
      </w:r>
      <w:r w:rsidRPr="001672EA">
        <w:rPr>
          <w:rFonts w:ascii="Palatino Linotype" w:eastAsia="Palatino Linotype" w:hAnsi="Palatino Linotype" w:cs="Palatino Linotype"/>
          <w:b/>
          <w:color w:val="000000"/>
          <w:u w:val="single"/>
        </w:rPr>
        <w:t>toda la información en posesión de los Sujetos Obligados será</w:t>
      </w:r>
      <w:r w:rsidRPr="001672EA">
        <w:rPr>
          <w:rFonts w:ascii="Palatino Linotype" w:eastAsia="Palatino Linotype" w:hAnsi="Palatino Linotype" w:cs="Palatino Linotype"/>
          <w:color w:val="000000"/>
        </w:rPr>
        <w:t xml:space="preserve"> pública, completa, </w:t>
      </w:r>
      <w:r w:rsidRPr="001672EA">
        <w:rPr>
          <w:rFonts w:ascii="Palatino Linotype" w:eastAsia="Palatino Linotype" w:hAnsi="Palatino Linotype" w:cs="Palatino Linotype"/>
          <w:b/>
          <w:color w:val="000000"/>
          <w:u w:val="single"/>
        </w:rPr>
        <w:t>oportuna</w:t>
      </w:r>
      <w:r w:rsidRPr="001672EA">
        <w:rPr>
          <w:rFonts w:ascii="Palatino Linotype" w:eastAsia="Palatino Linotype" w:hAnsi="Palatino Linotype" w:cs="Palatino Linotype"/>
          <w:color w:val="000000"/>
        </w:rPr>
        <w:t xml:space="preserve"> y </w:t>
      </w:r>
      <w:r w:rsidRPr="001672EA">
        <w:rPr>
          <w:rFonts w:ascii="Palatino Linotype" w:eastAsia="Palatino Linotype" w:hAnsi="Palatino Linotype" w:cs="Palatino Linotype"/>
          <w:b/>
          <w:color w:val="000000"/>
          <w:u w:val="single"/>
        </w:rPr>
        <w:t>accesible</w:t>
      </w:r>
      <w:r w:rsidRPr="001672EA">
        <w:rPr>
          <w:rFonts w:ascii="Palatino Linotype" w:eastAsia="Palatino Linotype" w:hAnsi="Palatino Linotype" w:cs="Palatino Linotype"/>
          <w:color w:val="000000"/>
        </w:rPr>
        <w:t xml:space="preserve">, </w:t>
      </w:r>
      <w:r w:rsidRPr="001672EA">
        <w:rPr>
          <w:rFonts w:ascii="Palatino Linotype" w:eastAsia="Palatino Linotype" w:hAnsi="Palatino Linotype" w:cs="Palatino Linotype"/>
          <w:b/>
          <w:color w:val="000000"/>
        </w:rPr>
        <w:t>lo que permite que la ciudadanía tenga un amplio acceso sobre lo que es el actuar de las autoridades</w:t>
      </w:r>
      <w:r w:rsidRPr="001672EA">
        <w:rPr>
          <w:rFonts w:ascii="Palatino Linotype" w:eastAsia="Palatino Linotype" w:hAnsi="Palatino Linotype" w:cs="Palatino Linotype"/>
          <w:color w:val="000000"/>
        </w:rPr>
        <w:t>.</w:t>
      </w:r>
    </w:p>
    <w:p w14:paraId="1C82779E" w14:textId="77777777" w:rsidR="00B136E2" w:rsidRPr="001672EA" w:rsidRDefault="00B136E2" w:rsidP="00B136E2">
      <w:pPr>
        <w:pStyle w:val="Prrafodelista"/>
        <w:tabs>
          <w:tab w:val="left" w:pos="426"/>
        </w:tabs>
        <w:spacing w:before="240" w:after="240" w:line="360" w:lineRule="auto"/>
        <w:ind w:left="0" w:right="51"/>
        <w:jc w:val="both"/>
        <w:rPr>
          <w:rFonts w:ascii="Palatino Linotype" w:hAnsi="Palatino Linotype"/>
          <w:color w:val="000000" w:themeColor="text1"/>
        </w:rPr>
      </w:pPr>
    </w:p>
    <w:p w14:paraId="5433A5B0" w14:textId="77777777" w:rsidR="00B136E2" w:rsidRPr="001672EA" w:rsidRDefault="00B136E2" w:rsidP="00B136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lastRenderedPageBreak/>
        <w:t xml:space="preserve">Robustece </w:t>
      </w:r>
      <w:r w:rsidRPr="001672EA">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5C68411B" w14:textId="77777777" w:rsidR="00B136E2" w:rsidRPr="001672EA" w:rsidRDefault="00B136E2" w:rsidP="00B136E2">
      <w:pPr>
        <w:pStyle w:val="Prrafodelista"/>
        <w:tabs>
          <w:tab w:val="left" w:pos="426"/>
        </w:tabs>
        <w:spacing w:before="240" w:line="360" w:lineRule="auto"/>
        <w:ind w:left="0" w:right="51"/>
        <w:jc w:val="both"/>
        <w:rPr>
          <w:rFonts w:ascii="Palatino Linotype" w:hAnsi="Palatino Linotype"/>
          <w:color w:val="000000" w:themeColor="text1"/>
        </w:rPr>
      </w:pPr>
    </w:p>
    <w:p w14:paraId="26967F6D" w14:textId="77777777" w:rsidR="00B136E2" w:rsidRPr="001672EA" w:rsidRDefault="00B136E2" w:rsidP="00B136E2">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1672EA">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1672EA">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6A35189" w14:textId="77777777" w:rsidR="00B136E2" w:rsidRPr="001672EA" w:rsidRDefault="00B136E2" w:rsidP="00B136E2">
      <w:pPr>
        <w:pStyle w:val="Prrafodelista"/>
        <w:tabs>
          <w:tab w:val="left" w:pos="426"/>
        </w:tabs>
        <w:spacing w:before="240" w:after="240" w:line="360" w:lineRule="auto"/>
        <w:ind w:left="0" w:right="51"/>
        <w:jc w:val="both"/>
        <w:rPr>
          <w:rFonts w:ascii="Palatino Linotype" w:hAnsi="Palatino Linotype"/>
          <w:color w:val="000000" w:themeColor="text1"/>
        </w:rPr>
      </w:pPr>
    </w:p>
    <w:p w14:paraId="132A2830" w14:textId="2038403D" w:rsidR="001E372E" w:rsidRPr="001672EA" w:rsidRDefault="00B136E2" w:rsidP="00B136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Tal y como se ha señalado, </w:t>
      </w:r>
      <w:r w:rsidRPr="001672EA">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1672EA">
        <w:rPr>
          <w:rFonts w:ascii="Palatino Linotype" w:hAnsi="Palatino Linotype"/>
          <w:color w:val="000000" w:themeColor="text1"/>
        </w:rPr>
        <w:t xml:space="preserve">, ya sea porque la genera, </w:t>
      </w:r>
      <w:r w:rsidRPr="001672EA">
        <w:rPr>
          <w:rFonts w:ascii="Palatino Linotype" w:hAnsi="Palatino Linotype"/>
          <w:color w:val="000000" w:themeColor="text1"/>
        </w:rPr>
        <w:lastRenderedPageBreak/>
        <w:t xml:space="preserve">posee o administra; </w:t>
      </w:r>
      <w:r w:rsidRPr="001672EA">
        <w:rPr>
          <w:rFonts w:ascii="Palatino Linotype" w:hAnsi="Palatino Linotype"/>
          <w:b/>
          <w:bCs/>
          <w:color w:val="000000" w:themeColor="text1"/>
        </w:rPr>
        <w:t>toda vez que</w:t>
      </w:r>
      <w:r w:rsidRPr="001672EA">
        <w:rPr>
          <w:rFonts w:ascii="Palatino Linotype" w:hAnsi="Palatino Linotype"/>
          <w:color w:val="000000" w:themeColor="text1"/>
        </w:rPr>
        <w:t xml:space="preserve">, a través de dicha acción, </w:t>
      </w:r>
      <w:r w:rsidRPr="001672EA">
        <w:rPr>
          <w:rFonts w:ascii="Palatino Linotype" w:hAnsi="Palatino Linotype"/>
          <w:b/>
          <w:color w:val="000000" w:themeColor="text1"/>
        </w:rPr>
        <w:t>permite que las personas ejerzan un medio de control sobre las acciones que se están ejerciendo y evaluar su desempeño</w:t>
      </w:r>
      <w:r w:rsidRPr="001672EA">
        <w:rPr>
          <w:rFonts w:ascii="Palatino Linotype" w:hAnsi="Palatino Linotype"/>
          <w:color w:val="000000" w:themeColor="text1"/>
        </w:rPr>
        <w:t>.</w:t>
      </w:r>
    </w:p>
    <w:p w14:paraId="2572F4A7" w14:textId="77777777" w:rsidR="00C5125B" w:rsidRPr="001672EA" w:rsidRDefault="00C5125B" w:rsidP="00C5125B">
      <w:pPr>
        <w:pStyle w:val="Prrafodelista"/>
        <w:tabs>
          <w:tab w:val="left" w:pos="426"/>
        </w:tabs>
        <w:spacing w:before="240" w:after="240" w:line="360" w:lineRule="auto"/>
        <w:ind w:left="0" w:right="51"/>
        <w:jc w:val="both"/>
        <w:rPr>
          <w:rFonts w:ascii="Palatino Linotype" w:hAnsi="Palatino Linotype"/>
          <w:color w:val="000000" w:themeColor="text1"/>
        </w:rPr>
      </w:pPr>
    </w:p>
    <w:p w14:paraId="2057F57B" w14:textId="544384E3" w:rsidR="00C5125B" w:rsidRPr="001672EA" w:rsidRDefault="00C5125B" w:rsidP="00C5125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1672EA">
        <w:rPr>
          <w:rFonts w:ascii="Palatino Linotype" w:hAnsi="Palatino Linotype"/>
          <w:b/>
          <w:bCs/>
          <w:color w:val="000000" w:themeColor="text1"/>
        </w:rPr>
        <w:t>I</w:t>
      </w:r>
      <w:r w:rsidR="00F341F5" w:rsidRPr="001672EA">
        <w:rPr>
          <w:rFonts w:ascii="Palatino Linotype" w:hAnsi="Palatino Linotype"/>
          <w:b/>
          <w:bCs/>
          <w:color w:val="000000" w:themeColor="text1"/>
        </w:rPr>
        <w:t>II</w:t>
      </w:r>
      <w:r w:rsidRPr="001672EA">
        <w:rPr>
          <w:rFonts w:ascii="Palatino Linotype" w:hAnsi="Palatino Linotype"/>
          <w:b/>
          <w:bCs/>
          <w:color w:val="000000" w:themeColor="text1"/>
        </w:rPr>
        <w:t xml:space="preserve">. </w:t>
      </w:r>
      <w:r w:rsidR="00EB41EF" w:rsidRPr="001672EA">
        <w:rPr>
          <w:rFonts w:ascii="Palatino Linotype" w:hAnsi="Palatino Linotype"/>
          <w:b/>
          <w:bCs/>
          <w:color w:val="000000" w:themeColor="text1"/>
        </w:rPr>
        <w:t xml:space="preserve">De la </w:t>
      </w:r>
      <w:r w:rsidR="001E372E" w:rsidRPr="001672EA">
        <w:rPr>
          <w:rFonts w:ascii="Palatino Linotype" w:hAnsi="Palatino Linotype"/>
          <w:b/>
          <w:bCs/>
          <w:color w:val="000000" w:themeColor="text1"/>
        </w:rPr>
        <w:t>competencia del SUJETO OBLIGADO para poseer, generar y/o administrar la información solicitada</w:t>
      </w:r>
      <w:r w:rsidRPr="001672EA">
        <w:rPr>
          <w:rFonts w:ascii="Palatino Linotype" w:hAnsi="Palatino Linotype"/>
          <w:b/>
          <w:bCs/>
          <w:color w:val="000000" w:themeColor="text1"/>
        </w:rPr>
        <w:t>.</w:t>
      </w:r>
    </w:p>
    <w:p w14:paraId="2CF9318B" w14:textId="77777777" w:rsidR="00FF783D" w:rsidRPr="001672EA" w:rsidRDefault="00FF783D" w:rsidP="006766B3">
      <w:pPr>
        <w:pStyle w:val="Prrafodelista"/>
        <w:tabs>
          <w:tab w:val="left" w:pos="426"/>
        </w:tabs>
        <w:spacing w:before="240" w:after="240" w:line="360" w:lineRule="auto"/>
        <w:ind w:left="0" w:right="51"/>
        <w:jc w:val="both"/>
        <w:rPr>
          <w:rFonts w:ascii="Palatino Linotype" w:hAnsi="Palatino Linotype"/>
          <w:color w:val="000000" w:themeColor="text1"/>
        </w:rPr>
      </w:pPr>
    </w:p>
    <w:p w14:paraId="72578354" w14:textId="77777777" w:rsidR="00F341F5" w:rsidRPr="001672EA" w:rsidRDefault="00B136E2" w:rsidP="00F341F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El</w:t>
      </w:r>
      <w:r w:rsidR="00F70DDB" w:rsidRPr="001672EA">
        <w:rPr>
          <w:rFonts w:ascii="Palatino Linotype" w:hAnsi="Palatino Linotype"/>
          <w:color w:val="000000" w:themeColor="text1"/>
        </w:rPr>
        <w:t xml:space="preserve"> </w:t>
      </w:r>
      <w:r w:rsidR="00F341F5" w:rsidRPr="001672EA">
        <w:rPr>
          <w:rFonts w:ascii="Palatino Linotype" w:hAnsi="Palatino Linotype" w:cs="Arial"/>
          <w:color w:val="000000"/>
        </w:rPr>
        <w:t xml:space="preserve">dispositivo 129 de la Constitución Política del Estado Libre y Soberano de México señala que </w:t>
      </w:r>
      <w:r w:rsidR="00F341F5" w:rsidRPr="001672EA">
        <w:rPr>
          <w:rFonts w:ascii="Palatino Linotype" w:hAnsi="Palatino Linotype" w:cs="Arial"/>
          <w:b/>
          <w:color w:val="000000"/>
        </w:rPr>
        <w:t>los recursos económicos</w:t>
      </w:r>
      <w:r w:rsidR="00F341F5" w:rsidRPr="001672EA">
        <w:rPr>
          <w:rFonts w:ascii="Palatino Linotype" w:hAnsi="Palatino Linotype" w:cs="Arial"/>
          <w:color w:val="000000"/>
        </w:rPr>
        <w:t xml:space="preserve"> del Estado, </w:t>
      </w:r>
      <w:r w:rsidR="00F341F5" w:rsidRPr="001672EA">
        <w:rPr>
          <w:rFonts w:ascii="Palatino Linotype" w:hAnsi="Palatino Linotype" w:cs="Arial"/>
          <w:b/>
          <w:color w:val="000000"/>
        </w:rPr>
        <w:t>de los municipios</w:t>
      </w:r>
      <w:r w:rsidR="00F341F5" w:rsidRPr="001672EA">
        <w:rPr>
          <w:rFonts w:ascii="Palatino Linotype" w:hAnsi="Palatino Linotype" w:cs="Arial"/>
          <w:color w:val="000000"/>
        </w:rPr>
        <w:t xml:space="preserve">, así como de los organismos autónomos, </w:t>
      </w:r>
      <w:r w:rsidR="00F341F5" w:rsidRPr="001672EA">
        <w:rPr>
          <w:rFonts w:ascii="Palatino Linotype" w:hAnsi="Palatino Linotype" w:cs="Arial"/>
          <w:b/>
          <w:color w:val="000000"/>
        </w:rPr>
        <w:t>se administrarán con eficiencia, eficacia, economía, transparencia y honradez</w:t>
      </w:r>
      <w:r w:rsidR="00F341F5" w:rsidRPr="001672EA">
        <w:rPr>
          <w:rFonts w:ascii="Palatino Linotype" w:hAnsi="Palatino Linotype" w:cs="Arial"/>
          <w:color w:val="000000"/>
        </w:rPr>
        <w:t>, para cumplir con los objetivos y programas a los que estén destinados.</w:t>
      </w:r>
    </w:p>
    <w:p w14:paraId="225627E0" w14:textId="77777777" w:rsidR="00F341F5" w:rsidRPr="001672EA" w:rsidRDefault="00F341F5" w:rsidP="00F341F5">
      <w:pPr>
        <w:pStyle w:val="Prrafodelista"/>
        <w:tabs>
          <w:tab w:val="left" w:pos="426"/>
        </w:tabs>
        <w:spacing w:line="360" w:lineRule="auto"/>
        <w:ind w:left="0" w:right="51"/>
        <w:jc w:val="both"/>
        <w:rPr>
          <w:rFonts w:ascii="Palatino Linotype" w:hAnsi="Palatino Linotype"/>
          <w:color w:val="000000" w:themeColor="text1"/>
        </w:rPr>
      </w:pPr>
    </w:p>
    <w:p w14:paraId="4EDA120D" w14:textId="77777777" w:rsidR="00FF783D" w:rsidRPr="001672EA" w:rsidRDefault="00FF783D" w:rsidP="00FF783D">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672EA">
        <w:rPr>
          <w:rFonts w:ascii="Palatino Linotype" w:hAnsi="Palatino Linotype"/>
          <w:b/>
          <w:color w:val="000000" w:themeColor="text1"/>
        </w:rPr>
        <w:t>III.I De la adquisición de bienes y/o servicios.</w:t>
      </w:r>
    </w:p>
    <w:p w14:paraId="7ECB0DB7" w14:textId="77777777" w:rsidR="00FF783D" w:rsidRPr="001672EA" w:rsidRDefault="00FF783D" w:rsidP="00F341F5">
      <w:pPr>
        <w:pStyle w:val="Prrafodelista"/>
        <w:tabs>
          <w:tab w:val="left" w:pos="426"/>
        </w:tabs>
        <w:spacing w:line="360" w:lineRule="auto"/>
        <w:ind w:left="0" w:right="51"/>
        <w:jc w:val="both"/>
        <w:rPr>
          <w:rFonts w:ascii="Palatino Linotype" w:hAnsi="Palatino Linotype"/>
          <w:color w:val="000000" w:themeColor="text1"/>
        </w:rPr>
      </w:pPr>
    </w:p>
    <w:p w14:paraId="5E4487AD" w14:textId="77777777" w:rsidR="00F341F5" w:rsidRPr="001672EA" w:rsidRDefault="00F341F5" w:rsidP="00F341F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Para </w:t>
      </w:r>
      <w:r w:rsidRPr="001672EA">
        <w:rPr>
          <w:rFonts w:ascii="Palatino Linotype" w:hAnsi="Palatino Linotype" w:cs="Arial"/>
          <w:color w:val="000000"/>
        </w:rPr>
        <w:t xml:space="preserve">llevar a cabo adquisiciones, arrendamientos y enajenaciones de todo tipo de bienes, la prestación de servicios de cualquier naturaleza y la contratación de obra se llevarán a cabo y se adjudicarán </w:t>
      </w:r>
      <w:r w:rsidRPr="001672EA">
        <w:rPr>
          <w:rFonts w:ascii="Palatino Linotype" w:hAnsi="Palatino Linotype" w:cs="Arial"/>
          <w:b/>
          <w:color w:val="000000"/>
        </w:rPr>
        <w:t>por medio de licitaciones públicas mediante convocatoria pública</w:t>
      </w:r>
      <w:r w:rsidRPr="001672EA">
        <w:rPr>
          <w:rFonts w:ascii="Palatino Linotype" w:hAnsi="Palatino Linotype" w:cs="Arial"/>
          <w:color w:val="000000"/>
        </w:rPr>
        <w:t>, para que se presenten propuestas en sobre cerrado que serán abiertos públicamente, procesos en los que se privilegiará el uso de las tecnologías de la información y comunicación, a fin de asegurar al Gobierno del Estado y a los municipios, las mejores condiciones disponibles en cuanto a precio, calidad, financiamiento, oportunidad y demás circunstancias pertinentes</w:t>
      </w:r>
      <w:r w:rsidRPr="001672EA">
        <w:rPr>
          <w:rStyle w:val="Refdenotaalpie"/>
          <w:rFonts w:cs="Arial"/>
          <w:color w:val="000000"/>
        </w:rPr>
        <w:footnoteReference w:id="12"/>
      </w:r>
      <w:r w:rsidRPr="001672EA">
        <w:rPr>
          <w:rFonts w:ascii="Palatino Linotype" w:hAnsi="Palatino Linotype" w:cs="Arial"/>
          <w:color w:val="000000"/>
        </w:rPr>
        <w:t>.</w:t>
      </w:r>
    </w:p>
    <w:p w14:paraId="0615E6BF" w14:textId="77777777" w:rsidR="00F341F5" w:rsidRPr="001672EA" w:rsidRDefault="00F341F5" w:rsidP="00F341F5">
      <w:pPr>
        <w:pStyle w:val="Prrafodelista"/>
        <w:tabs>
          <w:tab w:val="left" w:pos="426"/>
        </w:tabs>
        <w:spacing w:line="360" w:lineRule="auto"/>
        <w:ind w:left="0" w:right="51"/>
        <w:jc w:val="both"/>
        <w:rPr>
          <w:rFonts w:ascii="Palatino Linotype" w:hAnsi="Palatino Linotype"/>
          <w:color w:val="000000" w:themeColor="text1"/>
        </w:rPr>
      </w:pPr>
    </w:p>
    <w:p w14:paraId="1141DA46" w14:textId="77777777" w:rsidR="00F341F5" w:rsidRPr="001672EA" w:rsidRDefault="00F341F5" w:rsidP="00F341F5">
      <w:pPr>
        <w:numPr>
          <w:ilvl w:val="0"/>
          <w:numId w:val="1"/>
        </w:numPr>
        <w:tabs>
          <w:tab w:val="left" w:pos="426"/>
        </w:tabs>
        <w:spacing w:line="360" w:lineRule="auto"/>
        <w:ind w:right="49"/>
        <w:contextualSpacing/>
        <w:jc w:val="both"/>
        <w:rPr>
          <w:rFonts w:ascii="Palatino Linotype" w:hAnsi="Palatino Linotype"/>
          <w:color w:val="000000" w:themeColor="text1"/>
        </w:rPr>
      </w:pPr>
      <w:r w:rsidRPr="001672EA">
        <w:rPr>
          <w:rFonts w:ascii="Palatino Linotype" w:hAnsi="Palatino Linotype"/>
          <w:color w:val="000000" w:themeColor="text1"/>
        </w:rPr>
        <w:lastRenderedPageBreak/>
        <w:t xml:space="preserve">Al </w:t>
      </w:r>
      <w:r w:rsidRPr="001672EA">
        <w:rPr>
          <w:rFonts w:ascii="Palatino Linotype" w:hAnsi="Palatino Linotype" w:cs="Arial"/>
          <w:color w:val="000000"/>
        </w:rPr>
        <w:t xml:space="preserve">respecto, la Ley de Contratación Pública del Estado de México y Municipios tiene por objeto regular los actos relativos a la planeación, programación, presupuestación, ejecución y control de la adquisición, enajenación y </w:t>
      </w:r>
      <w:r w:rsidRPr="001672EA">
        <w:rPr>
          <w:rFonts w:ascii="Palatino Linotype" w:hAnsi="Palatino Linotype" w:cs="Arial"/>
          <w:b/>
          <w:color w:val="000000"/>
        </w:rPr>
        <w:t>arrendamiento de bienes</w:t>
      </w:r>
      <w:r w:rsidRPr="001672EA">
        <w:rPr>
          <w:rFonts w:ascii="Palatino Linotype" w:hAnsi="Palatino Linotype" w:cs="Arial"/>
          <w:color w:val="000000"/>
        </w:rPr>
        <w:t>, y la contratación de servicios de cualquier naturaleza, que realicen</w:t>
      </w:r>
      <w:r w:rsidRPr="001672EA">
        <w:rPr>
          <w:rStyle w:val="Refdenotaalpie"/>
          <w:rFonts w:cs="Arial"/>
          <w:color w:val="000000"/>
        </w:rPr>
        <w:footnoteReference w:id="13"/>
      </w:r>
      <w:r w:rsidRPr="001672EA">
        <w:rPr>
          <w:rFonts w:ascii="Palatino Linotype" w:hAnsi="Palatino Linotype" w:cs="Arial"/>
          <w:color w:val="000000"/>
        </w:rPr>
        <w:t>:</w:t>
      </w:r>
    </w:p>
    <w:p w14:paraId="265F5B57"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s="Arial"/>
          <w:color w:val="000000"/>
        </w:rPr>
        <w:t>Las Secretarías y las unidades administrativas del Poder Ejecutivo del Estado;</w:t>
      </w:r>
    </w:p>
    <w:p w14:paraId="333FDD04"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s="Arial"/>
          <w:color w:val="000000"/>
        </w:rPr>
        <w:t>La Fiscalía General de Justicia del Estado;</w:t>
      </w:r>
    </w:p>
    <w:p w14:paraId="340EB613"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s="Arial"/>
          <w:b/>
          <w:color w:val="000000"/>
        </w:rPr>
        <w:t>Los ayuntamientos de los municipios del Estado</w:t>
      </w:r>
      <w:r w:rsidRPr="001672EA">
        <w:rPr>
          <w:rFonts w:ascii="Palatino Linotype" w:hAnsi="Palatino Linotype" w:cs="Arial"/>
          <w:color w:val="000000"/>
        </w:rPr>
        <w:t>;</w:t>
      </w:r>
    </w:p>
    <w:p w14:paraId="336BC5A7"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s="Arial"/>
          <w:color w:val="000000"/>
        </w:rPr>
        <w:t>Los organismos auxiliares y fideicomisos públicos, de carácter estatal o municipal; y</w:t>
      </w:r>
    </w:p>
    <w:p w14:paraId="488A6DD6"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s="Arial"/>
          <w:color w:val="000000"/>
        </w:rPr>
        <w:t>Los Tribunales Administrativos.</w:t>
      </w:r>
    </w:p>
    <w:p w14:paraId="01A4803D" w14:textId="77777777" w:rsidR="00F341F5" w:rsidRPr="001672EA" w:rsidRDefault="00F341F5" w:rsidP="00F341F5">
      <w:pPr>
        <w:tabs>
          <w:tab w:val="left" w:pos="426"/>
        </w:tabs>
        <w:spacing w:line="360" w:lineRule="auto"/>
        <w:ind w:right="49"/>
        <w:contextualSpacing/>
        <w:jc w:val="both"/>
        <w:rPr>
          <w:rFonts w:ascii="Palatino Linotype" w:hAnsi="Palatino Linotype"/>
          <w:color w:val="000000" w:themeColor="text1"/>
        </w:rPr>
      </w:pPr>
    </w:p>
    <w:p w14:paraId="1ED8614E" w14:textId="77777777" w:rsidR="00F341F5" w:rsidRPr="001672EA" w:rsidRDefault="00F341F5" w:rsidP="00F341F5">
      <w:pPr>
        <w:numPr>
          <w:ilvl w:val="0"/>
          <w:numId w:val="1"/>
        </w:numPr>
        <w:tabs>
          <w:tab w:val="left" w:pos="426"/>
        </w:tabs>
        <w:spacing w:line="360" w:lineRule="auto"/>
        <w:ind w:right="49"/>
        <w:contextualSpacing/>
        <w:jc w:val="both"/>
        <w:rPr>
          <w:rFonts w:ascii="Palatino Linotype" w:hAnsi="Palatino Linotype"/>
          <w:color w:val="000000" w:themeColor="text1"/>
        </w:rPr>
      </w:pPr>
      <w:r w:rsidRPr="001672EA">
        <w:rPr>
          <w:rFonts w:ascii="Palatino Linotype" w:hAnsi="Palatino Linotype"/>
          <w:color w:val="000000" w:themeColor="text1"/>
        </w:rPr>
        <w:t>Para realizar cualquier procedimiento regulado por la Ley de Contratación Pública del Estado de México y Municipios</w:t>
      </w:r>
      <w:r w:rsidRPr="001672EA">
        <w:rPr>
          <w:rFonts w:ascii="Palatino Linotype" w:hAnsi="Palatino Linotype" w:cs="Arial"/>
          <w:color w:val="000000"/>
        </w:rPr>
        <w:t>, los entes públicos deberán contar con Comités, los cuales serán órganos colegiados con facultades de opinión, que tendrán por objeto auxiliar a la Secretaría de Finanzas, entidades, tribunales administrativos y ayuntamientos, en la substanciación de los procedimientos de adquisiciones y de servicios</w:t>
      </w:r>
      <w:r w:rsidRPr="001672EA">
        <w:rPr>
          <w:rStyle w:val="Refdenotaalpie"/>
          <w:rFonts w:cs="Arial"/>
          <w:color w:val="000000"/>
        </w:rPr>
        <w:footnoteReference w:id="14"/>
      </w:r>
      <w:r w:rsidRPr="001672EA">
        <w:rPr>
          <w:rFonts w:ascii="Palatino Linotype" w:hAnsi="Palatino Linotype" w:cs="Arial"/>
          <w:color w:val="000000"/>
        </w:rPr>
        <w:t xml:space="preserve">. Cada uno de los entes públicos deberá contar con: </w:t>
      </w:r>
      <w:r w:rsidRPr="001672EA">
        <w:rPr>
          <w:rFonts w:ascii="Palatino Linotype" w:hAnsi="Palatino Linotype" w:cs="Arial"/>
          <w:b/>
          <w:color w:val="000000"/>
        </w:rPr>
        <w:t>a) Un Comité de Adquisiciones y Servicios</w:t>
      </w:r>
      <w:r w:rsidRPr="001672EA">
        <w:rPr>
          <w:rFonts w:ascii="Palatino Linotype" w:hAnsi="Palatino Linotype" w:cs="Arial"/>
          <w:color w:val="000000"/>
        </w:rPr>
        <w:t xml:space="preserve">; y, </w:t>
      </w:r>
      <w:r w:rsidRPr="001672EA">
        <w:rPr>
          <w:rFonts w:ascii="Palatino Linotype" w:hAnsi="Palatino Linotype" w:cs="Arial"/>
          <w:b/>
          <w:color w:val="000000"/>
        </w:rPr>
        <w:t>b)</w:t>
      </w:r>
      <w:r w:rsidRPr="001672EA">
        <w:rPr>
          <w:rFonts w:ascii="Palatino Linotype" w:hAnsi="Palatino Linotype" w:cs="Arial"/>
          <w:color w:val="000000"/>
        </w:rPr>
        <w:t xml:space="preserve"> Un Comité de Arrendamientos, Adquisiciones de Inmuebles y Enajenaciones.</w:t>
      </w:r>
    </w:p>
    <w:p w14:paraId="6E19A934" w14:textId="77777777" w:rsidR="00F341F5" w:rsidRPr="001672EA" w:rsidRDefault="00F341F5" w:rsidP="00F341F5">
      <w:pPr>
        <w:tabs>
          <w:tab w:val="left" w:pos="426"/>
        </w:tabs>
        <w:spacing w:line="360" w:lineRule="auto"/>
        <w:ind w:right="49"/>
        <w:contextualSpacing/>
        <w:jc w:val="both"/>
        <w:rPr>
          <w:rFonts w:ascii="Palatino Linotype" w:hAnsi="Palatino Linotype"/>
          <w:color w:val="000000" w:themeColor="text1"/>
        </w:rPr>
      </w:pPr>
    </w:p>
    <w:p w14:paraId="697D1A40" w14:textId="77777777" w:rsidR="00F341F5" w:rsidRPr="001672EA" w:rsidRDefault="00F341F5" w:rsidP="00F341F5">
      <w:pPr>
        <w:numPr>
          <w:ilvl w:val="0"/>
          <w:numId w:val="1"/>
        </w:numPr>
        <w:tabs>
          <w:tab w:val="left" w:pos="426"/>
        </w:tabs>
        <w:spacing w:line="360" w:lineRule="auto"/>
        <w:ind w:right="49"/>
        <w:contextualSpacing/>
        <w:jc w:val="both"/>
        <w:rPr>
          <w:rFonts w:ascii="Palatino Linotype" w:hAnsi="Palatino Linotype"/>
          <w:color w:val="000000" w:themeColor="text1"/>
        </w:rPr>
      </w:pPr>
      <w:r w:rsidRPr="001672EA">
        <w:rPr>
          <w:rFonts w:ascii="Palatino Linotype" w:hAnsi="Palatino Linotype" w:cs="Arial"/>
          <w:color w:val="000000"/>
        </w:rPr>
        <w:lastRenderedPageBreak/>
        <w:t xml:space="preserve">De conformidad con lo establecido por el artículo 23 de la Ley de Contratación Pública del Estado de México y Municipios, el </w:t>
      </w:r>
      <w:r w:rsidRPr="001672EA">
        <w:rPr>
          <w:rFonts w:ascii="Palatino Linotype" w:hAnsi="Palatino Linotype" w:cs="Arial"/>
          <w:b/>
          <w:color w:val="000000"/>
        </w:rPr>
        <w:t>Comité de Adquisiciones y de servicios</w:t>
      </w:r>
      <w:r w:rsidRPr="001672EA">
        <w:rPr>
          <w:rFonts w:ascii="Palatino Linotype" w:hAnsi="Palatino Linotype" w:cs="Arial"/>
          <w:color w:val="000000"/>
        </w:rPr>
        <w:t xml:space="preserve"> contará con las siguientes funciones:</w:t>
      </w:r>
    </w:p>
    <w:p w14:paraId="7F64F01F" w14:textId="77777777" w:rsidR="00F341F5" w:rsidRPr="001672EA" w:rsidRDefault="00F341F5" w:rsidP="00F341F5">
      <w:pPr>
        <w:numPr>
          <w:ilvl w:val="1"/>
          <w:numId w:val="1"/>
        </w:numPr>
        <w:tabs>
          <w:tab w:val="left" w:pos="426"/>
        </w:tabs>
        <w:spacing w:line="360" w:lineRule="auto"/>
        <w:ind w:left="1134" w:right="49"/>
        <w:contextualSpacing/>
        <w:jc w:val="both"/>
        <w:rPr>
          <w:rFonts w:ascii="Palatino Linotype" w:hAnsi="Palatino Linotype"/>
          <w:color w:val="000000" w:themeColor="text1"/>
        </w:rPr>
      </w:pPr>
      <w:r w:rsidRPr="001672EA">
        <w:rPr>
          <w:rFonts w:ascii="Palatino Linotype" w:hAnsi="Palatino Linotype" w:cs="Arial"/>
          <w:color w:val="000000"/>
        </w:rPr>
        <w:t xml:space="preserve">Dictaminar sobre la procedencia de los casos de excepción al procedimiento de licitación pública. </w:t>
      </w:r>
    </w:p>
    <w:p w14:paraId="5E5CE486" w14:textId="77777777" w:rsidR="00F341F5" w:rsidRPr="001672EA" w:rsidRDefault="00F341F5" w:rsidP="00F341F5">
      <w:pPr>
        <w:numPr>
          <w:ilvl w:val="1"/>
          <w:numId w:val="1"/>
        </w:numPr>
        <w:tabs>
          <w:tab w:val="left" w:pos="426"/>
        </w:tabs>
        <w:spacing w:line="360" w:lineRule="auto"/>
        <w:ind w:left="1134" w:right="49"/>
        <w:contextualSpacing/>
        <w:jc w:val="both"/>
        <w:rPr>
          <w:rFonts w:ascii="Palatino Linotype" w:hAnsi="Palatino Linotype"/>
          <w:color w:val="000000" w:themeColor="text1"/>
        </w:rPr>
      </w:pPr>
      <w:r w:rsidRPr="001672EA">
        <w:rPr>
          <w:rFonts w:ascii="Palatino Linotype" w:hAnsi="Palatino Linotype" w:cs="Arial"/>
          <w:color w:val="000000"/>
        </w:rPr>
        <w:t xml:space="preserve">Participar en los </w:t>
      </w:r>
      <w:r w:rsidRPr="001672EA">
        <w:rPr>
          <w:rFonts w:ascii="Palatino Linotype" w:hAnsi="Palatino Linotype" w:cs="Arial"/>
          <w:b/>
          <w:color w:val="000000"/>
        </w:rPr>
        <w:t>procedimientos de licitación</w:t>
      </w:r>
      <w:r w:rsidRPr="001672EA">
        <w:rPr>
          <w:rFonts w:ascii="Palatino Linotype" w:hAnsi="Palatino Linotype" w:cs="Arial"/>
          <w:color w:val="000000"/>
        </w:rPr>
        <w:t xml:space="preserve">, </w:t>
      </w:r>
      <w:r w:rsidRPr="001672EA">
        <w:rPr>
          <w:rFonts w:ascii="Palatino Linotype" w:hAnsi="Palatino Linotype" w:cs="Arial"/>
          <w:b/>
          <w:color w:val="000000"/>
        </w:rPr>
        <w:t>invitación restringida</w:t>
      </w:r>
      <w:r w:rsidRPr="001672EA">
        <w:rPr>
          <w:rFonts w:ascii="Palatino Linotype" w:hAnsi="Palatino Linotype" w:cs="Arial"/>
          <w:color w:val="000000"/>
        </w:rPr>
        <w:t xml:space="preserve"> y </w:t>
      </w:r>
      <w:r w:rsidRPr="001672EA">
        <w:rPr>
          <w:rFonts w:ascii="Palatino Linotype" w:hAnsi="Palatino Linotype" w:cs="Arial"/>
          <w:b/>
          <w:color w:val="000000"/>
        </w:rPr>
        <w:t>adjudicación directa</w:t>
      </w:r>
      <w:r w:rsidRPr="001672EA">
        <w:rPr>
          <w:rFonts w:ascii="Palatino Linotype" w:hAnsi="Palatino Linotype" w:cs="Arial"/>
          <w:color w:val="000000"/>
        </w:rPr>
        <w:t xml:space="preserve">, hasta dejarlos en estado de dictar el fallo correspondiente, incluidos los que tengan que desahogarse bajo la modalidad de subasta inversa. </w:t>
      </w:r>
    </w:p>
    <w:p w14:paraId="2CB7CDE9" w14:textId="77777777" w:rsidR="00F341F5" w:rsidRPr="001672EA" w:rsidRDefault="00F341F5" w:rsidP="00F341F5">
      <w:pPr>
        <w:numPr>
          <w:ilvl w:val="1"/>
          <w:numId w:val="1"/>
        </w:numPr>
        <w:tabs>
          <w:tab w:val="left" w:pos="426"/>
        </w:tabs>
        <w:spacing w:line="360" w:lineRule="auto"/>
        <w:ind w:left="1134" w:right="49"/>
        <w:contextualSpacing/>
        <w:jc w:val="both"/>
        <w:rPr>
          <w:rFonts w:ascii="Palatino Linotype" w:hAnsi="Palatino Linotype"/>
          <w:color w:val="000000" w:themeColor="text1"/>
        </w:rPr>
      </w:pPr>
      <w:r w:rsidRPr="001672EA">
        <w:rPr>
          <w:rFonts w:ascii="Palatino Linotype" w:hAnsi="Palatino Linotype" w:cs="Arial"/>
          <w:color w:val="000000"/>
        </w:rPr>
        <w:t xml:space="preserve">Emitir los dictámenes de adjudicación. </w:t>
      </w:r>
    </w:p>
    <w:p w14:paraId="22632655" w14:textId="77777777" w:rsidR="00F341F5" w:rsidRPr="001672EA" w:rsidRDefault="00F341F5" w:rsidP="00F341F5">
      <w:pPr>
        <w:numPr>
          <w:ilvl w:val="1"/>
          <w:numId w:val="1"/>
        </w:numPr>
        <w:tabs>
          <w:tab w:val="left" w:pos="426"/>
        </w:tabs>
        <w:spacing w:line="360" w:lineRule="auto"/>
        <w:ind w:left="1134" w:right="49"/>
        <w:contextualSpacing/>
        <w:jc w:val="both"/>
        <w:rPr>
          <w:rFonts w:ascii="Palatino Linotype" w:hAnsi="Palatino Linotype"/>
          <w:color w:val="000000" w:themeColor="text1"/>
        </w:rPr>
      </w:pPr>
      <w:r w:rsidRPr="001672EA">
        <w:rPr>
          <w:rFonts w:ascii="Palatino Linotype" w:hAnsi="Palatino Linotype" w:cs="Arial"/>
          <w:color w:val="000000"/>
        </w:rPr>
        <w:t>Las demás que establezca el Reglamento de la Ley de contratación Pública del Estado de México.</w:t>
      </w:r>
    </w:p>
    <w:p w14:paraId="50C257AE" w14:textId="77777777" w:rsidR="00F341F5" w:rsidRPr="001672EA" w:rsidRDefault="00F341F5" w:rsidP="00F341F5">
      <w:pPr>
        <w:tabs>
          <w:tab w:val="left" w:pos="426"/>
        </w:tabs>
        <w:spacing w:line="360" w:lineRule="auto"/>
        <w:ind w:right="49"/>
        <w:contextualSpacing/>
        <w:jc w:val="both"/>
        <w:rPr>
          <w:rFonts w:ascii="Palatino Linotype" w:hAnsi="Palatino Linotype"/>
          <w:color w:val="000000" w:themeColor="text1"/>
        </w:rPr>
      </w:pPr>
    </w:p>
    <w:p w14:paraId="4AAA8F05" w14:textId="77777777" w:rsidR="00F341F5" w:rsidRPr="001672EA" w:rsidRDefault="00F341F5" w:rsidP="00F341F5">
      <w:pPr>
        <w:numPr>
          <w:ilvl w:val="0"/>
          <w:numId w:val="1"/>
        </w:numPr>
        <w:tabs>
          <w:tab w:val="left" w:pos="426"/>
        </w:tabs>
        <w:spacing w:line="360" w:lineRule="auto"/>
        <w:ind w:right="49"/>
        <w:contextualSpacing/>
        <w:jc w:val="both"/>
        <w:rPr>
          <w:rFonts w:ascii="Palatino Linotype" w:hAnsi="Palatino Linotype"/>
          <w:color w:val="000000" w:themeColor="text1"/>
        </w:rPr>
      </w:pPr>
      <w:r w:rsidRPr="001672EA">
        <w:rPr>
          <w:rFonts w:ascii="Palatino Linotype" w:hAnsi="Palatino Linotype" w:cs="Arial"/>
          <w:color w:val="000000"/>
        </w:rPr>
        <w:t xml:space="preserve">Por su parte, el </w:t>
      </w:r>
      <w:r w:rsidRPr="001672EA">
        <w:rPr>
          <w:rFonts w:ascii="Palatino Linotype" w:hAnsi="Palatino Linotype" w:cs="Arial"/>
          <w:b/>
          <w:color w:val="000000"/>
        </w:rPr>
        <w:t>Comité de Arrendamientos, Adquisiciones de Inmuebles y Enajenaciones</w:t>
      </w:r>
      <w:r w:rsidRPr="001672EA">
        <w:rPr>
          <w:rFonts w:ascii="Palatino Linotype" w:hAnsi="Palatino Linotype" w:cs="Arial"/>
          <w:color w:val="000000"/>
        </w:rPr>
        <w:t xml:space="preserve"> tendrá las siguientes funciones</w:t>
      </w:r>
      <w:r w:rsidRPr="001672EA">
        <w:rPr>
          <w:rStyle w:val="Refdenotaalpie"/>
          <w:rFonts w:ascii="Palatino Linotype" w:hAnsi="Palatino Linotype" w:cs="Arial"/>
          <w:color w:val="000000"/>
        </w:rPr>
        <w:footnoteReference w:id="15"/>
      </w:r>
      <w:r w:rsidRPr="001672EA">
        <w:rPr>
          <w:rFonts w:ascii="Palatino Linotype" w:hAnsi="Palatino Linotype" w:cs="Arial"/>
          <w:color w:val="000000"/>
        </w:rPr>
        <w:t>:</w:t>
      </w:r>
    </w:p>
    <w:p w14:paraId="0C3D805F"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s="Arial"/>
          <w:color w:val="000000"/>
        </w:rPr>
        <w:t>Dictaminar sobre la procedencia de los casos de excepción al procedimiento de licitación pública, tratándose de adquisición de inmuebles y arrendamientos.</w:t>
      </w:r>
    </w:p>
    <w:p w14:paraId="2E726FEA"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olor w:val="000000" w:themeColor="text1"/>
        </w:rPr>
        <w:t xml:space="preserve">Participar en los </w:t>
      </w:r>
      <w:r w:rsidRPr="001672EA">
        <w:rPr>
          <w:rFonts w:ascii="Palatino Linotype" w:hAnsi="Palatino Linotype"/>
          <w:b/>
          <w:color w:val="000000" w:themeColor="text1"/>
        </w:rPr>
        <w:t>procedimientos de licitación</w:t>
      </w:r>
      <w:r w:rsidRPr="001672EA">
        <w:rPr>
          <w:rFonts w:ascii="Palatino Linotype" w:hAnsi="Palatino Linotype"/>
          <w:color w:val="000000" w:themeColor="text1"/>
        </w:rPr>
        <w:t xml:space="preserve">, </w:t>
      </w:r>
      <w:r w:rsidRPr="001672EA">
        <w:rPr>
          <w:rFonts w:ascii="Palatino Linotype" w:hAnsi="Palatino Linotype"/>
          <w:b/>
          <w:color w:val="000000" w:themeColor="text1"/>
        </w:rPr>
        <w:t>invitación restringida</w:t>
      </w:r>
      <w:r w:rsidRPr="001672EA">
        <w:rPr>
          <w:rFonts w:ascii="Palatino Linotype" w:hAnsi="Palatino Linotype"/>
          <w:color w:val="000000" w:themeColor="text1"/>
        </w:rPr>
        <w:t xml:space="preserve"> y </w:t>
      </w:r>
      <w:r w:rsidRPr="001672EA">
        <w:rPr>
          <w:rFonts w:ascii="Palatino Linotype" w:hAnsi="Palatino Linotype"/>
          <w:b/>
          <w:color w:val="000000" w:themeColor="text1"/>
        </w:rPr>
        <w:t>adjudicación directa</w:t>
      </w:r>
      <w:r w:rsidRPr="001672EA">
        <w:rPr>
          <w:rFonts w:ascii="Palatino Linotype" w:hAnsi="Palatino Linotype"/>
          <w:color w:val="000000" w:themeColor="text1"/>
        </w:rPr>
        <w:t xml:space="preserve">, hasta dejarlos en estado de dictar el fallo correspondiente, tratándose de adquisición de inmuebles y arrendamientos. </w:t>
      </w:r>
    </w:p>
    <w:p w14:paraId="773C2EB5"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olor w:val="000000" w:themeColor="text1"/>
        </w:rPr>
        <w:t xml:space="preserve">Emitir los dictámenes de adjudicación, tratándose de adquisiciones de inmuebles y arrendamientos. </w:t>
      </w:r>
    </w:p>
    <w:p w14:paraId="5AD8D9A0"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olor w:val="000000" w:themeColor="text1"/>
        </w:rPr>
        <w:lastRenderedPageBreak/>
        <w:t xml:space="preserve">Participar en los procedimientos de subasta pública, hasta dejarlos en estado de dictar el fallo de adjudicación. </w:t>
      </w:r>
    </w:p>
    <w:p w14:paraId="4C21C357" w14:textId="77777777" w:rsidR="00F341F5" w:rsidRPr="001672EA" w:rsidRDefault="00F341F5" w:rsidP="00F341F5">
      <w:pPr>
        <w:numPr>
          <w:ilvl w:val="1"/>
          <w:numId w:val="1"/>
        </w:numPr>
        <w:tabs>
          <w:tab w:val="left" w:pos="426"/>
        </w:tabs>
        <w:spacing w:line="360" w:lineRule="auto"/>
        <w:ind w:left="1134" w:right="49" w:hanging="425"/>
        <w:contextualSpacing/>
        <w:jc w:val="both"/>
        <w:rPr>
          <w:rFonts w:ascii="Palatino Linotype" w:hAnsi="Palatino Linotype"/>
          <w:color w:val="000000" w:themeColor="text1"/>
        </w:rPr>
      </w:pPr>
      <w:r w:rsidRPr="001672EA">
        <w:rPr>
          <w:rFonts w:ascii="Palatino Linotype" w:hAnsi="Palatino Linotype"/>
          <w:color w:val="000000" w:themeColor="text1"/>
        </w:rPr>
        <w:t>Las demás que establezca el reglamento de esta Ley.</w:t>
      </w:r>
    </w:p>
    <w:p w14:paraId="464FAFE1" w14:textId="77777777" w:rsidR="00F341F5" w:rsidRPr="001672EA" w:rsidRDefault="00F341F5" w:rsidP="00F341F5">
      <w:pPr>
        <w:tabs>
          <w:tab w:val="left" w:pos="426"/>
        </w:tabs>
        <w:spacing w:line="360" w:lineRule="auto"/>
        <w:ind w:right="49"/>
        <w:contextualSpacing/>
        <w:jc w:val="both"/>
        <w:rPr>
          <w:rFonts w:ascii="Palatino Linotype" w:hAnsi="Palatino Linotype"/>
          <w:color w:val="000000" w:themeColor="text1"/>
        </w:rPr>
      </w:pPr>
    </w:p>
    <w:p w14:paraId="7A1B2B51" w14:textId="77777777" w:rsidR="00F341F5" w:rsidRPr="001672EA" w:rsidRDefault="00F341F5" w:rsidP="00F341F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672EA">
        <w:rPr>
          <w:rFonts w:ascii="Palatino Linotype" w:hAnsi="Palatino Linotype" w:cs="Arial"/>
          <w:color w:val="000000"/>
        </w:rPr>
        <w:t xml:space="preserve">Ahora bien, </w:t>
      </w:r>
      <w:r w:rsidRPr="001672EA">
        <w:rPr>
          <w:rFonts w:ascii="Palatino Linotype" w:hAnsi="Palatino Linotype" w:cs="Arial"/>
          <w:b/>
          <w:color w:val="000000"/>
        </w:rPr>
        <w:t>las adquisiciones, arrendamientos y servicios se adjudicarán a través de licitaciones públicas</w:t>
      </w:r>
      <w:r w:rsidRPr="001672EA">
        <w:rPr>
          <w:rFonts w:ascii="Palatino Linotype" w:hAnsi="Palatino Linotype" w:cs="Arial"/>
          <w:color w:val="000000"/>
        </w:rPr>
        <w:t>, mediante convocatoria pública</w:t>
      </w:r>
      <w:r w:rsidRPr="001672EA">
        <w:rPr>
          <w:rStyle w:val="Refdenotaalpie"/>
          <w:rFonts w:ascii="Palatino Linotype" w:hAnsi="Palatino Linotype" w:cs="Arial"/>
          <w:color w:val="000000"/>
        </w:rPr>
        <w:footnoteReference w:id="16"/>
      </w:r>
      <w:r w:rsidRPr="001672EA">
        <w:rPr>
          <w:rFonts w:ascii="Palatino Linotype" w:hAnsi="Palatino Linotype" w:cs="Arial"/>
          <w:color w:val="000000"/>
        </w:rPr>
        <w:t xml:space="preserve"> Excepcionalmente, la Secretaría de Finanzas, las entidades, los tribunales administrativos y los ayuntamientos podrán adjudicar adquisiciones, arrendamientos y servicios, mediante los siguientes procedimientos</w:t>
      </w:r>
      <w:r w:rsidRPr="001672EA">
        <w:rPr>
          <w:rStyle w:val="Refdenotaalpie"/>
          <w:rFonts w:ascii="Palatino Linotype" w:hAnsi="Palatino Linotype" w:cs="Arial"/>
          <w:color w:val="000000"/>
        </w:rPr>
        <w:footnoteReference w:id="17"/>
      </w:r>
      <w:r w:rsidRPr="001672EA">
        <w:rPr>
          <w:rFonts w:ascii="Palatino Linotype" w:hAnsi="Palatino Linotype" w:cs="Arial"/>
          <w:color w:val="000000"/>
        </w:rPr>
        <w:t>:</w:t>
      </w:r>
    </w:p>
    <w:p w14:paraId="7F59C7CB" w14:textId="77777777" w:rsidR="00F341F5" w:rsidRPr="001672EA" w:rsidRDefault="00F341F5" w:rsidP="00F341F5">
      <w:pPr>
        <w:pStyle w:val="Prrafodelista"/>
        <w:numPr>
          <w:ilvl w:val="1"/>
          <w:numId w:val="1"/>
        </w:numPr>
        <w:tabs>
          <w:tab w:val="left" w:pos="426"/>
        </w:tabs>
        <w:spacing w:line="360" w:lineRule="auto"/>
        <w:ind w:left="1134" w:right="51"/>
        <w:jc w:val="both"/>
        <w:rPr>
          <w:rFonts w:ascii="Palatino Linotype" w:hAnsi="Palatino Linotype"/>
          <w:b/>
          <w:color w:val="000000" w:themeColor="text1"/>
        </w:rPr>
      </w:pPr>
      <w:r w:rsidRPr="001672EA">
        <w:rPr>
          <w:rFonts w:ascii="Palatino Linotype" w:hAnsi="Palatino Linotype" w:cs="Arial"/>
          <w:b/>
          <w:color w:val="000000"/>
        </w:rPr>
        <w:t xml:space="preserve">Invitación restringida. </w:t>
      </w:r>
    </w:p>
    <w:p w14:paraId="3252C33D" w14:textId="77777777" w:rsidR="00F341F5" w:rsidRPr="001672EA" w:rsidRDefault="00F341F5" w:rsidP="00F341F5">
      <w:pPr>
        <w:pStyle w:val="Prrafodelista"/>
        <w:numPr>
          <w:ilvl w:val="1"/>
          <w:numId w:val="1"/>
        </w:numPr>
        <w:tabs>
          <w:tab w:val="left" w:pos="426"/>
        </w:tabs>
        <w:spacing w:line="360" w:lineRule="auto"/>
        <w:ind w:left="1134" w:right="51"/>
        <w:jc w:val="both"/>
        <w:rPr>
          <w:rFonts w:ascii="Palatino Linotype" w:hAnsi="Palatino Linotype"/>
          <w:b/>
          <w:color w:val="000000" w:themeColor="text1"/>
        </w:rPr>
      </w:pPr>
      <w:r w:rsidRPr="001672EA">
        <w:rPr>
          <w:rFonts w:ascii="Palatino Linotype" w:hAnsi="Palatino Linotype" w:cs="Arial"/>
          <w:b/>
          <w:color w:val="000000"/>
        </w:rPr>
        <w:t>Adjudicación directa.</w:t>
      </w:r>
    </w:p>
    <w:p w14:paraId="2C18C4D1" w14:textId="77777777" w:rsidR="00F341F5" w:rsidRPr="001672EA" w:rsidRDefault="00F341F5" w:rsidP="00F341F5">
      <w:pPr>
        <w:pStyle w:val="Prrafodelista"/>
        <w:tabs>
          <w:tab w:val="left" w:pos="426"/>
        </w:tabs>
        <w:spacing w:line="360" w:lineRule="auto"/>
        <w:ind w:left="0" w:right="51"/>
        <w:jc w:val="both"/>
        <w:rPr>
          <w:rFonts w:ascii="Palatino Linotype" w:hAnsi="Palatino Linotype"/>
          <w:color w:val="000000" w:themeColor="text1"/>
        </w:rPr>
      </w:pPr>
    </w:p>
    <w:p w14:paraId="4D434E9B" w14:textId="5FDEE098" w:rsidR="00F341F5" w:rsidRPr="001672EA" w:rsidRDefault="00F341F5" w:rsidP="00F341F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Por cuanto hace al </w:t>
      </w:r>
      <w:r w:rsidRPr="001672EA">
        <w:rPr>
          <w:rFonts w:ascii="Palatino Linotype" w:hAnsi="Palatino Linotype"/>
          <w:b/>
          <w:color w:val="000000" w:themeColor="text1"/>
        </w:rPr>
        <w:t xml:space="preserve">procedimiento de </w:t>
      </w:r>
      <w:r w:rsidR="00002AB0" w:rsidRPr="001672EA">
        <w:rPr>
          <w:rFonts w:ascii="Palatino Linotype" w:hAnsi="Palatino Linotype"/>
          <w:b/>
          <w:color w:val="000000" w:themeColor="text1"/>
        </w:rPr>
        <w:t>licitación pública</w:t>
      </w:r>
      <w:r w:rsidRPr="001672EA">
        <w:rPr>
          <w:rFonts w:ascii="Palatino Linotype" w:hAnsi="Palatino Linotype"/>
          <w:color w:val="000000" w:themeColor="text1"/>
        </w:rPr>
        <w:t>, los artículos 29, 33, 34, 35, 36, 37 y 38  de la Ley de Contratación Pública establecen lo siguiente:</w:t>
      </w:r>
    </w:p>
    <w:p w14:paraId="2A2B717E" w14:textId="77777777" w:rsidR="00F341F5" w:rsidRPr="001672EA" w:rsidRDefault="00F341F5" w:rsidP="00F341F5">
      <w:pPr>
        <w:pStyle w:val="Prrafodelista"/>
        <w:tabs>
          <w:tab w:val="left" w:pos="426"/>
        </w:tabs>
        <w:spacing w:line="360" w:lineRule="auto"/>
        <w:ind w:left="0" w:right="51"/>
        <w:jc w:val="both"/>
        <w:rPr>
          <w:rFonts w:ascii="Palatino Linotype" w:hAnsi="Palatino Linotype"/>
          <w:color w:val="000000" w:themeColor="text1"/>
        </w:rPr>
      </w:pPr>
    </w:p>
    <w:p w14:paraId="5FADB8CD"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r w:rsidRPr="001672EA">
        <w:rPr>
          <w:rFonts w:ascii="Palatino Linotype" w:hAnsi="Palatino Linotype"/>
          <w:b/>
          <w:i/>
          <w:color w:val="000000" w:themeColor="text1"/>
          <w:sz w:val="22"/>
        </w:rPr>
        <w:t>Artículo 29.-</w:t>
      </w:r>
      <w:r w:rsidRPr="001672EA">
        <w:rPr>
          <w:rFonts w:ascii="Palatino Linotype" w:hAnsi="Palatino Linotype"/>
          <w:i/>
          <w:color w:val="000000" w:themeColor="text1"/>
          <w:sz w:val="22"/>
        </w:rPr>
        <w:t xml:space="preserve"> En el procedimiento de licitación pública deberán establecerse los mismos requisitos y condiciones para todos los licitantes. </w:t>
      </w:r>
    </w:p>
    <w:p w14:paraId="26977BFF"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w:t>
      </w:r>
    </w:p>
    <w:p w14:paraId="1C7CB237"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p>
    <w:p w14:paraId="76CDB3E1"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Artículo 33.-</w:t>
      </w:r>
      <w:r w:rsidRPr="001672EA">
        <w:rPr>
          <w:rFonts w:ascii="Palatino Linotype" w:hAnsi="Palatino Linotype"/>
          <w:i/>
          <w:color w:val="000000" w:themeColor="text1"/>
          <w:sz w:val="22"/>
        </w:rPr>
        <w:t xml:space="preserve"> Las convocatorias podrán referirse a la celebración de una o más licitaciones públicas; se publicarán por una sola vez, cuando menos en uno de los diarios de mayor circulación en la capital del Estado y en uno de los diarios de mayor circulación nacional, así como a través del COMPRAMEX, y contendrán: </w:t>
      </w:r>
    </w:p>
    <w:p w14:paraId="4C7ABF04"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w:t>
      </w:r>
      <w:r w:rsidRPr="001672EA">
        <w:rPr>
          <w:rFonts w:ascii="Palatino Linotype" w:hAnsi="Palatino Linotype"/>
          <w:i/>
          <w:color w:val="000000" w:themeColor="text1"/>
          <w:sz w:val="22"/>
        </w:rPr>
        <w:t xml:space="preserve"> El nombre de la convocante. </w:t>
      </w:r>
    </w:p>
    <w:p w14:paraId="1BFED519"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lastRenderedPageBreak/>
        <w:t>II.</w:t>
      </w:r>
      <w:r w:rsidRPr="001672EA">
        <w:rPr>
          <w:rFonts w:ascii="Palatino Linotype" w:hAnsi="Palatino Linotype"/>
          <w:i/>
          <w:color w:val="000000" w:themeColor="text1"/>
          <w:sz w:val="22"/>
        </w:rPr>
        <w:t xml:space="preserve"> La descripción genérica de los bienes o servicios objeto de la licitación, así como la descripción especifica de por los menos cinco partidas o conceptos de mayor monto, de ser el caso. </w:t>
      </w:r>
    </w:p>
    <w:p w14:paraId="1A41CEFD"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III.</w:t>
      </w:r>
      <w:r w:rsidRPr="001672EA">
        <w:rPr>
          <w:rFonts w:ascii="Palatino Linotype" w:hAnsi="Palatino Linotype"/>
          <w:i/>
          <w:color w:val="000000" w:themeColor="text1"/>
          <w:sz w:val="22"/>
        </w:rPr>
        <w:t xml:space="preserve"> La indicación de si la licitación es nacional o internacional, así como que las propuestas deberá presentarse en idioma español. </w:t>
      </w:r>
    </w:p>
    <w:p w14:paraId="69AE8E82"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IV.</w:t>
      </w:r>
      <w:r w:rsidRPr="001672EA">
        <w:rPr>
          <w:rFonts w:ascii="Palatino Linotype" w:hAnsi="Palatino Linotype"/>
          <w:i/>
          <w:color w:val="000000" w:themeColor="text1"/>
          <w:sz w:val="22"/>
        </w:rPr>
        <w:t xml:space="preserve"> El origen de los recursos. </w:t>
      </w:r>
    </w:p>
    <w:p w14:paraId="689DFFD2"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w:t>
      </w:r>
      <w:r w:rsidRPr="001672EA">
        <w:rPr>
          <w:rFonts w:ascii="Palatino Linotype" w:hAnsi="Palatino Linotype"/>
          <w:i/>
          <w:color w:val="000000" w:themeColor="text1"/>
          <w:sz w:val="22"/>
        </w:rPr>
        <w:t xml:space="preserve"> El lugar y plazo de entrega, así como las condiciones de pago.</w:t>
      </w:r>
    </w:p>
    <w:p w14:paraId="106BF907"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w:t>
      </w:r>
      <w:r w:rsidRPr="001672EA">
        <w:rPr>
          <w:rFonts w:ascii="Palatino Linotype" w:hAnsi="Palatino Linotype"/>
          <w:i/>
          <w:color w:val="000000" w:themeColor="text1"/>
          <w:sz w:val="22"/>
        </w:rPr>
        <w:t xml:space="preserve"> La indicación de los lugares, fechas, horarios y medios electrónicos en que los interesados podrán obtener las bases de licitación y, en su caso, el costo, forma de pago y si la licitación será presencial, electrónica o mixta. </w:t>
      </w:r>
    </w:p>
    <w:p w14:paraId="193D3DF0"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VII.</w:t>
      </w:r>
      <w:r w:rsidRPr="001672EA">
        <w:rPr>
          <w:rFonts w:ascii="Palatino Linotype" w:hAnsi="Palatino Linotype"/>
          <w:i/>
          <w:color w:val="000000" w:themeColor="text1"/>
          <w:sz w:val="22"/>
        </w:rPr>
        <w:t xml:space="preserve"> La fecha, hora y lugar de la o las juntas aclaratorias, en su caso. </w:t>
      </w:r>
    </w:p>
    <w:p w14:paraId="5D7DE319"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VIII.</w:t>
      </w:r>
      <w:r w:rsidRPr="001672EA">
        <w:rPr>
          <w:rFonts w:ascii="Palatino Linotype" w:hAnsi="Palatino Linotype"/>
          <w:i/>
          <w:color w:val="000000" w:themeColor="text1"/>
          <w:sz w:val="22"/>
        </w:rPr>
        <w:t xml:space="preserve"> La fecha, hora y lugar de celebración del acto de presentación, apertura y evaluación de propuestas, dictamen y fallo. </w:t>
      </w:r>
    </w:p>
    <w:p w14:paraId="417E17CA"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IX.</w:t>
      </w:r>
      <w:r w:rsidRPr="001672EA">
        <w:rPr>
          <w:rFonts w:ascii="Palatino Linotype" w:hAnsi="Palatino Linotype"/>
          <w:i/>
          <w:color w:val="000000" w:themeColor="text1"/>
          <w:sz w:val="22"/>
        </w:rPr>
        <w:t xml:space="preserve"> En el caso de contratos abiertos, las cantidades y plazos mínimos y máximos. </w:t>
      </w:r>
    </w:p>
    <w:p w14:paraId="1D6374D4"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X.</w:t>
      </w:r>
      <w:r w:rsidRPr="001672EA">
        <w:rPr>
          <w:rFonts w:ascii="Palatino Linotype" w:hAnsi="Palatino Linotype"/>
          <w:i/>
          <w:color w:val="000000" w:themeColor="text1"/>
          <w:sz w:val="22"/>
        </w:rPr>
        <w:t xml:space="preserve"> La indicación de las personas que estén impedidas a participar, conforme a las disposiciones de esta Ley. </w:t>
      </w:r>
    </w:p>
    <w:p w14:paraId="0B85B7B2"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XI.</w:t>
      </w:r>
      <w:r w:rsidRPr="001672EA">
        <w:rPr>
          <w:rFonts w:ascii="Palatino Linotype" w:hAnsi="Palatino Linotype"/>
          <w:i/>
          <w:color w:val="000000" w:themeColor="text1"/>
          <w:sz w:val="22"/>
        </w:rPr>
        <w:t xml:space="preserve"> La garantía que deberá otorgarse para asegurar la seriedad de la postura, tratándose de subasta. </w:t>
      </w:r>
    </w:p>
    <w:p w14:paraId="23E4D081"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XII.</w:t>
      </w:r>
      <w:r w:rsidRPr="001672EA">
        <w:rPr>
          <w:rFonts w:ascii="Palatino Linotype" w:hAnsi="Palatino Linotype"/>
          <w:i/>
          <w:color w:val="000000" w:themeColor="text1"/>
          <w:sz w:val="22"/>
        </w:rPr>
        <w:t xml:space="preserve"> En su caso, la garantía de defectos o vicios ocultos de los bienes según lo determine la convocante, debiendo justificar dicho requisito. </w:t>
      </w:r>
    </w:p>
    <w:p w14:paraId="1C1F981E"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XIII.</w:t>
      </w:r>
      <w:r w:rsidRPr="001672EA">
        <w:rPr>
          <w:rFonts w:ascii="Palatino Linotype" w:hAnsi="Palatino Linotype"/>
          <w:i/>
          <w:color w:val="000000" w:themeColor="text1"/>
          <w:sz w:val="22"/>
        </w:rPr>
        <w:t xml:space="preserve"> Los criterios específicos que se utilizarán para la evaluación de las propuestas y adjudicación de los contratos. </w:t>
      </w:r>
    </w:p>
    <w:p w14:paraId="031B73AB"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XIV.</w:t>
      </w:r>
      <w:r w:rsidRPr="001672EA">
        <w:rPr>
          <w:rFonts w:ascii="Palatino Linotype" w:hAnsi="Palatino Linotype"/>
          <w:i/>
          <w:color w:val="000000" w:themeColor="text1"/>
          <w:sz w:val="22"/>
        </w:rPr>
        <w:t xml:space="preserve"> La justificación para no aceptar proposiciones conjuntas. </w:t>
      </w:r>
    </w:p>
    <w:p w14:paraId="4F312683"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XV.</w:t>
      </w:r>
      <w:r w:rsidRPr="001672EA">
        <w:rPr>
          <w:rFonts w:ascii="Palatino Linotype" w:hAnsi="Palatino Linotype"/>
          <w:i/>
          <w:color w:val="000000" w:themeColor="text1"/>
          <w:sz w:val="22"/>
        </w:rPr>
        <w:t xml:space="preserve"> Los demás requisitos generales que deberán cumplir los interesados, según las características y magnitud de los bienes y servicios. </w:t>
      </w:r>
    </w:p>
    <w:p w14:paraId="2B9F3CB2"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 xml:space="preserve">En la convocatoria deberá especificarse si en la licitación aplicará la modalidad de subasta inversa. </w:t>
      </w:r>
    </w:p>
    <w:p w14:paraId="16E83FA0"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La Secretaría de la Contraloría hará pública la información referente a los procedimientos de adquisición, a través de su portal de internet.</w:t>
      </w:r>
    </w:p>
    <w:p w14:paraId="66DD9120"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p>
    <w:p w14:paraId="5D1554B6"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Artículo 34.-</w:t>
      </w:r>
      <w:r w:rsidRPr="001672EA">
        <w:rPr>
          <w:rFonts w:ascii="Palatino Linotype" w:hAnsi="Palatino Linotype"/>
          <w:i/>
          <w:color w:val="000000" w:themeColor="text1"/>
          <w:sz w:val="22"/>
        </w:rPr>
        <w:t xml:space="preserve"> Las bases de la licitación pública tendrán un costo de recuperación y contendrán los requisitos que se establezcan en el reglamento de esta Ley. </w:t>
      </w:r>
    </w:p>
    <w:p w14:paraId="165FAD07"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p>
    <w:p w14:paraId="6F7D9006"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Artículo 35.-</w:t>
      </w:r>
      <w:r w:rsidRPr="001672EA">
        <w:rPr>
          <w:rFonts w:ascii="Palatino Linotype" w:hAnsi="Palatino Linotype"/>
          <w:i/>
          <w:color w:val="000000" w:themeColor="text1"/>
          <w:sz w:val="22"/>
        </w:rPr>
        <w:t xml:space="preserve"> En los procedimientos de licitación pública se observará lo siguiente: </w:t>
      </w:r>
    </w:p>
    <w:p w14:paraId="3F0B3602"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lastRenderedPageBreak/>
        <w:t>I.</w:t>
      </w:r>
      <w:r w:rsidRPr="001672EA">
        <w:rPr>
          <w:rFonts w:ascii="Palatino Linotype" w:hAnsi="Palatino Linotype"/>
          <w:i/>
          <w:color w:val="000000" w:themeColor="text1"/>
          <w:sz w:val="22"/>
        </w:rPr>
        <w:t xml:space="preserve"> El acto de presentación y apertura de propuestas se llevará a cabo por el servidor público que designe la convocante, conforme al procedimiento que se establezca en el reglamento de esta Ley. </w:t>
      </w:r>
    </w:p>
    <w:p w14:paraId="2C23C012"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II.</w:t>
      </w:r>
      <w:r w:rsidRPr="001672EA">
        <w:rPr>
          <w:rFonts w:ascii="Palatino Linotype" w:hAnsi="Palatino Linotype"/>
          <w:i/>
          <w:color w:val="000000" w:themeColor="text1"/>
          <w:sz w:val="22"/>
        </w:rPr>
        <w:t xml:space="preserve"> El comité de adquisiciones y servicios evaluará y analizará las propuestas técnicas y económicas presentadas por los licitantes en el ámbito de las respectivas competencias de sus integrantes, y emitirá el dictamen de adjudicación. </w:t>
      </w:r>
    </w:p>
    <w:p w14:paraId="728C481B"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III.</w:t>
      </w:r>
      <w:r w:rsidRPr="001672EA">
        <w:rPr>
          <w:rFonts w:ascii="Palatino Linotype" w:hAnsi="Palatino Linotype"/>
          <w:i/>
          <w:color w:val="000000" w:themeColor="text1"/>
          <w:sz w:val="22"/>
        </w:rPr>
        <w:t xml:space="preserve">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0AB71E49"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IV.</w:t>
      </w:r>
      <w:r w:rsidRPr="001672EA">
        <w:rPr>
          <w:rFonts w:ascii="Palatino Linotype" w:hAnsi="Palatino Linotype"/>
          <w:i/>
          <w:color w:val="000000" w:themeColor="text1"/>
          <w:sz w:val="22"/>
        </w:rPr>
        <w:t xml:space="preserve"> Las convocantes podrán modificar los plazos y términos establecidos en la convocatoria o en las bases de licitación, hasta cinco días hábiles anteriores a la fecha de la celebración del acto de presentación y apertura de propuestas.</w:t>
      </w:r>
    </w:p>
    <w:p w14:paraId="2E118E58"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w:t>
      </w:r>
      <w:r w:rsidRPr="001672EA">
        <w:rPr>
          <w:rFonts w:ascii="Palatino Linotype" w:hAnsi="Palatino Linotype"/>
          <w:i/>
          <w:color w:val="000000" w:themeColor="text1"/>
          <w:sz w:val="22"/>
        </w:rPr>
        <w:t xml:space="preserve"> Las modificaciones no podrán limitar el número de licitantes, sustituir o variar sustancialmente los bienes o servicios convocados originalmente, ni adicionar otros distintos. </w:t>
      </w:r>
    </w:p>
    <w:p w14:paraId="728E85CE"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w:t>
      </w:r>
      <w:r w:rsidRPr="001672EA">
        <w:rPr>
          <w:rFonts w:ascii="Palatino Linotype" w:hAnsi="Palatino Linotype"/>
          <w:i/>
          <w:color w:val="000000" w:themeColor="text1"/>
          <w:sz w:val="22"/>
        </w:rPr>
        <w:t xml:space="preserve"> Las modificaciones a la convocatoria o a las bases se harán del conocimiento de los interesados hasta tres días hábiles antes de la fecha señalada para el acto de presentación y apertura de propuestas. </w:t>
      </w:r>
    </w:p>
    <w:p w14:paraId="60B026BF"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VII.</w:t>
      </w:r>
      <w:r w:rsidRPr="001672EA">
        <w:rPr>
          <w:rFonts w:ascii="Palatino Linotype" w:hAnsi="Palatino Linotype"/>
          <w:i/>
          <w:color w:val="000000" w:themeColor="text1"/>
          <w:sz w:val="22"/>
        </w:rPr>
        <w:t xml:space="preserve"> Se emitirá el fallo dentro de los 15 días hábiles siguientes a la publicación de la convocatoria. </w:t>
      </w:r>
    </w:p>
    <w:p w14:paraId="60CB516A"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VIII.</w:t>
      </w:r>
      <w:r w:rsidRPr="001672EA">
        <w:rPr>
          <w:rFonts w:ascii="Palatino Linotype" w:hAnsi="Palatino Linotype"/>
          <w:i/>
          <w:color w:val="000000" w:themeColor="text1"/>
          <w:sz w:val="22"/>
        </w:rPr>
        <w:t xml:space="preserve"> Los licitantes se podrán registrar hasta el día y la hora fijados para el acto de presentación y apertura de propuestas. </w:t>
      </w:r>
    </w:p>
    <w:p w14:paraId="72FF3C27"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p>
    <w:p w14:paraId="44B38C8B"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Artículo 36.-</w:t>
      </w:r>
      <w:r w:rsidRPr="001672EA">
        <w:rPr>
          <w:rFonts w:ascii="Palatino Linotype" w:hAnsi="Palatino Linotype"/>
          <w:i/>
          <w:color w:val="000000" w:themeColor="text1"/>
          <w:sz w:val="22"/>
        </w:rPr>
        <w:t xml:space="preserve"> El acto de presentación y apertura de propuestas se celebrará de manera pública y en presencia de todos los oferentes, en la forma siguiente: </w:t>
      </w:r>
    </w:p>
    <w:p w14:paraId="37238B63"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w:t>
      </w:r>
      <w:r w:rsidRPr="001672EA">
        <w:rPr>
          <w:rFonts w:ascii="Palatino Linotype" w:hAnsi="Palatino Linotype"/>
          <w:i/>
          <w:color w:val="000000" w:themeColor="text1"/>
          <w:sz w:val="22"/>
        </w:rPr>
        <w:t xml:space="preserve"> Los licitantes presentarán, por escrito y en sobre cerrado por separado, sus propuestas técnica y económica, así como los demás documentos requeridos en las bases de la licitación. </w:t>
      </w:r>
    </w:p>
    <w:p w14:paraId="69A7151A"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II.</w:t>
      </w:r>
      <w:r w:rsidRPr="001672EA">
        <w:rPr>
          <w:rFonts w:ascii="Palatino Linotype" w:hAnsi="Palatino Linotype"/>
          <w:i/>
          <w:color w:val="000000" w:themeColor="text1"/>
          <w:sz w:val="22"/>
        </w:rPr>
        <w:t xml:space="preserve"> La apertura de propuestas podrá efectuarse cuando se haya presentado una propuesta cuando menos. </w:t>
      </w:r>
    </w:p>
    <w:p w14:paraId="49E172DE"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III.</w:t>
      </w:r>
      <w:r w:rsidRPr="001672EA">
        <w:rPr>
          <w:rFonts w:ascii="Palatino Linotype" w:hAnsi="Palatino Linotype"/>
          <w:i/>
          <w:color w:val="000000" w:themeColor="text1"/>
          <w:sz w:val="22"/>
        </w:rPr>
        <w:t xml:space="preserve">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14:paraId="6900821E"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IV.</w:t>
      </w:r>
      <w:r w:rsidRPr="001672EA">
        <w:rPr>
          <w:rFonts w:ascii="Palatino Linotype" w:hAnsi="Palatino Linotype"/>
          <w:i/>
          <w:color w:val="000000" w:themeColor="text1"/>
          <w:sz w:val="22"/>
        </w:rPr>
        <w:t xml:space="preserve"> Se procederá a la apertura de las propuestas económicas de los licitantes cuyas propuestas técnicas fueron aceptadas cuantitativamente. </w:t>
      </w:r>
    </w:p>
    <w:p w14:paraId="538CA013"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lastRenderedPageBreak/>
        <w:t>V.</w:t>
      </w:r>
      <w:r w:rsidRPr="001672EA">
        <w:rPr>
          <w:rFonts w:ascii="Palatino Linotype" w:hAnsi="Palatino Linotype"/>
          <w:i/>
          <w:color w:val="000000" w:themeColor="text1"/>
          <w:sz w:val="22"/>
        </w:rPr>
        <w:t xml:space="preserve"> Se desecharán las propuestas económicas que cuantitativamente no cumplan con cualquiera de los requisitos establecidos en las bases de la licitación, poniéndolas a disposición del interesado. </w:t>
      </w:r>
    </w:p>
    <w:p w14:paraId="54E5D750"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w:t>
      </w:r>
      <w:r w:rsidRPr="001672EA">
        <w:rPr>
          <w:rFonts w:ascii="Palatino Linotype" w:hAnsi="Palatino Linotype"/>
          <w:i/>
          <w:color w:val="000000" w:themeColor="text1"/>
          <w:sz w:val="22"/>
        </w:rPr>
        <w:t xml:space="preserve">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14:paraId="1081ECCF"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VII.</w:t>
      </w:r>
      <w:r w:rsidRPr="001672EA">
        <w:rPr>
          <w:rFonts w:ascii="Palatino Linotype" w:hAnsi="Palatino Linotype"/>
          <w:i/>
          <w:color w:val="000000" w:themeColor="text1"/>
          <w:sz w:val="22"/>
        </w:rPr>
        <w:t xml:space="preserve">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14:paraId="63668562"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 xml:space="preserve">VIII. </w:t>
      </w:r>
      <w:r w:rsidRPr="001672EA">
        <w:rPr>
          <w:rFonts w:ascii="Palatino Linotype" w:hAnsi="Palatino Linotype"/>
          <w:i/>
          <w:color w:val="000000" w:themeColor="text1"/>
          <w:sz w:val="22"/>
        </w:rPr>
        <w:t xml:space="preserve">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14:paraId="6F17E5AD"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 xml:space="preserve">El reglamento de esta Ley establecerá los criterios para la evaluación de las propuestas, así como el procedimiento para los actos de presentación y apertura de propuestas y de fallo. </w:t>
      </w:r>
    </w:p>
    <w:p w14:paraId="02D31F54"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 xml:space="preserve">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En este supuesto, la propuesta deberá ser firmada por el representante común que, para ese acto, haya sido designado por el grupo de personas, ya sea autógrafamente o por los medios de identificación electrónica autorizados por la Ley de Medios Electrónicos. </w:t>
      </w:r>
    </w:p>
    <w:p w14:paraId="78658831"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w:t>
      </w:r>
    </w:p>
    <w:p w14:paraId="6A26C639"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 xml:space="preserve">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 </w:t>
      </w:r>
    </w:p>
    <w:p w14:paraId="6C8F6460"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p>
    <w:p w14:paraId="540AB7C0"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lastRenderedPageBreak/>
        <w:t>Artículo 37.-</w:t>
      </w:r>
      <w:r w:rsidRPr="001672EA">
        <w:rPr>
          <w:rFonts w:ascii="Palatino Linotype" w:hAnsi="Palatino Linotype"/>
          <w:i/>
          <w:color w:val="000000" w:themeColor="text1"/>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14:paraId="3A382AC6"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p>
    <w:p w14:paraId="17CDC898"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Artículo 38.-</w:t>
      </w:r>
      <w:r w:rsidRPr="001672EA">
        <w:rPr>
          <w:rFonts w:ascii="Palatino Linotype" w:hAnsi="Palatino Linotype"/>
          <w:i/>
          <w:color w:val="000000" w:themeColor="text1"/>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14:paraId="4C9540D1"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p>
    <w:p w14:paraId="14E4645A" w14:textId="77777777" w:rsidR="00F341F5" w:rsidRPr="001672EA" w:rsidRDefault="00F341F5" w:rsidP="00F341F5">
      <w:pPr>
        <w:pStyle w:val="Prrafodelista"/>
        <w:tabs>
          <w:tab w:val="left" w:pos="426"/>
        </w:tabs>
        <w:spacing w:line="360" w:lineRule="auto"/>
        <w:ind w:left="0" w:right="51"/>
        <w:jc w:val="both"/>
        <w:rPr>
          <w:rFonts w:ascii="Palatino Linotype" w:hAnsi="Palatino Linotype"/>
          <w:color w:val="000000" w:themeColor="text1"/>
        </w:rPr>
      </w:pPr>
    </w:p>
    <w:p w14:paraId="18EA7CAE" w14:textId="77777777" w:rsidR="00F341F5" w:rsidRPr="001672EA" w:rsidRDefault="00F341F5" w:rsidP="00F341F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De este modo podemos advertir que el procedimiento de adquisición o contratación de bienes y servicios se compone de diversas etapas, debidamente proyectadas, planeadas, organizadas y ejecutadas por los entes públicos, el cual empieza con la emisión de una </w:t>
      </w:r>
      <w:r w:rsidRPr="001672EA">
        <w:rPr>
          <w:rFonts w:ascii="Palatino Linotype" w:hAnsi="Palatino Linotype"/>
          <w:b/>
          <w:color w:val="000000" w:themeColor="text1"/>
        </w:rPr>
        <w:t>convocatoria</w:t>
      </w:r>
      <w:r w:rsidRPr="001672EA">
        <w:rPr>
          <w:rFonts w:ascii="Palatino Linotype" w:hAnsi="Palatino Linotype"/>
          <w:color w:val="000000" w:themeColor="text1"/>
        </w:rPr>
        <w:t xml:space="preserve"> en la que se da a conocer a la ciudadanía sobre el bien o servicio específico que se pretende adquirir; de ahí, </w:t>
      </w:r>
      <w:r w:rsidRPr="001672EA">
        <w:rPr>
          <w:rFonts w:ascii="Palatino Linotype" w:hAnsi="Palatino Linotype"/>
          <w:b/>
          <w:color w:val="000000" w:themeColor="text1"/>
        </w:rPr>
        <w:t>se venderán bases para participar en el proceso</w:t>
      </w:r>
      <w:r w:rsidRPr="001672EA">
        <w:rPr>
          <w:rFonts w:ascii="Palatino Linotype" w:hAnsi="Palatino Linotype"/>
          <w:color w:val="000000" w:themeColor="text1"/>
        </w:rPr>
        <w:t xml:space="preserve">, lo cual permitirá que las personas físicas y jurídico-colectivas presenten sus </w:t>
      </w:r>
      <w:r w:rsidRPr="001672EA">
        <w:rPr>
          <w:rFonts w:ascii="Palatino Linotype" w:hAnsi="Palatino Linotype"/>
          <w:b/>
          <w:color w:val="000000" w:themeColor="text1"/>
        </w:rPr>
        <w:t>propuestas</w:t>
      </w:r>
      <w:r w:rsidRPr="001672EA">
        <w:rPr>
          <w:rFonts w:ascii="Palatino Linotype" w:hAnsi="Palatino Linotype"/>
          <w:color w:val="000000" w:themeColor="text1"/>
        </w:rPr>
        <w:t xml:space="preserve"> ante el Comité de Adquisiciones, quien analizará a detalle cada una a fin de </w:t>
      </w:r>
      <w:r w:rsidRPr="001672EA">
        <w:rPr>
          <w:rFonts w:ascii="Palatino Linotype" w:hAnsi="Palatino Linotype"/>
          <w:b/>
          <w:color w:val="000000" w:themeColor="text1"/>
        </w:rPr>
        <w:t>seleccionar</w:t>
      </w:r>
      <w:r w:rsidRPr="001672EA">
        <w:rPr>
          <w:rFonts w:ascii="Palatino Linotype" w:hAnsi="Palatino Linotype"/>
          <w:color w:val="000000" w:themeColor="text1"/>
        </w:rPr>
        <w:t xml:space="preserve"> la propuesta que mejor se adhiera al presupuesto y calidad del bien o servicio que se busca adquirir o contratar.</w:t>
      </w:r>
    </w:p>
    <w:p w14:paraId="76BDEA96" w14:textId="77777777" w:rsidR="00F341F5" w:rsidRPr="001672EA" w:rsidRDefault="00F341F5" w:rsidP="00F341F5">
      <w:pPr>
        <w:pStyle w:val="Prrafodelista"/>
        <w:tabs>
          <w:tab w:val="left" w:pos="426"/>
        </w:tabs>
        <w:spacing w:line="360" w:lineRule="auto"/>
        <w:ind w:left="0" w:right="51"/>
        <w:jc w:val="both"/>
        <w:rPr>
          <w:rFonts w:ascii="Palatino Linotype" w:hAnsi="Palatino Linotype"/>
          <w:color w:val="000000" w:themeColor="text1"/>
        </w:rPr>
      </w:pPr>
    </w:p>
    <w:p w14:paraId="6EDD725A" w14:textId="77777777" w:rsidR="00F341F5" w:rsidRPr="001672EA" w:rsidRDefault="00F341F5" w:rsidP="00F341F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672EA">
        <w:rPr>
          <w:rFonts w:ascii="Palatino Linotype" w:hAnsi="Palatino Linotype"/>
          <w:color w:val="000000" w:themeColor="text1"/>
        </w:rPr>
        <w:lastRenderedPageBreak/>
        <w:t xml:space="preserve">Al respecto, resulta imperativo señalar que el artículo 92 de la Ley de Transparencia y Acceso a la Información Pública del Estado de México y Municipios enlista y reconoce a toda la información reconocida como </w:t>
      </w:r>
      <w:r w:rsidRPr="001672EA">
        <w:rPr>
          <w:rFonts w:ascii="Palatino Linotype" w:hAnsi="Palatino Linotype"/>
          <w:b/>
          <w:color w:val="000000" w:themeColor="text1"/>
        </w:rPr>
        <w:t>obligaciones de transparencia común</w:t>
      </w:r>
      <w:r w:rsidRPr="001672EA">
        <w:rPr>
          <w:rFonts w:ascii="Palatino Linotype" w:hAnsi="Palatino Linotype"/>
          <w:color w:val="000000" w:themeColor="text1"/>
        </w:rPr>
        <w:t xml:space="preserve"> y que, por Ley, el </w:t>
      </w:r>
      <w:r w:rsidRPr="001672EA">
        <w:rPr>
          <w:rFonts w:ascii="Palatino Linotype" w:hAnsi="Palatino Linotype"/>
          <w:b/>
          <w:color w:val="000000" w:themeColor="text1"/>
        </w:rPr>
        <w:t>SUJETO OBLIGADO</w:t>
      </w:r>
      <w:r w:rsidRPr="001672EA">
        <w:rPr>
          <w:rFonts w:ascii="Palatino Linotype" w:hAnsi="Palatino Linotype"/>
          <w:color w:val="000000" w:themeColor="text1"/>
        </w:rPr>
        <w:t xml:space="preserve"> estará constreñido a publicar y difundir de manera permanente a la ciudadanía.</w:t>
      </w:r>
    </w:p>
    <w:p w14:paraId="4078DC42" w14:textId="77777777" w:rsidR="00F341F5" w:rsidRPr="001672EA" w:rsidRDefault="00F341F5" w:rsidP="00F341F5">
      <w:pPr>
        <w:pStyle w:val="Prrafodelista"/>
        <w:tabs>
          <w:tab w:val="left" w:pos="426"/>
        </w:tabs>
        <w:spacing w:line="360" w:lineRule="auto"/>
        <w:ind w:left="0" w:right="51"/>
        <w:jc w:val="both"/>
        <w:rPr>
          <w:rFonts w:ascii="Palatino Linotype" w:hAnsi="Palatino Linotype"/>
          <w:color w:val="000000" w:themeColor="text1"/>
        </w:rPr>
      </w:pPr>
    </w:p>
    <w:p w14:paraId="77A6A9AA" w14:textId="1F4A04C9" w:rsidR="00F341F5" w:rsidRPr="001672EA" w:rsidRDefault="00FF783D" w:rsidP="00F341F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P</w:t>
      </w:r>
      <w:r w:rsidR="00F341F5" w:rsidRPr="001672EA">
        <w:rPr>
          <w:rFonts w:ascii="Palatino Linotype" w:hAnsi="Palatino Linotype"/>
          <w:color w:val="000000" w:themeColor="text1"/>
        </w:rPr>
        <w:t xml:space="preserve">or cuanto hace a los procesos  sobre </w:t>
      </w:r>
      <w:r w:rsidR="00F341F5" w:rsidRPr="001672EA">
        <w:rPr>
          <w:rFonts w:ascii="Palatino Linotype" w:hAnsi="Palatino Linotype"/>
          <w:b/>
          <w:color w:val="000000" w:themeColor="text1"/>
        </w:rPr>
        <w:t>procedimientos de adjudicación directa</w:t>
      </w:r>
      <w:r w:rsidR="00F341F5" w:rsidRPr="001672EA">
        <w:rPr>
          <w:rFonts w:ascii="Palatino Linotype" w:hAnsi="Palatino Linotype"/>
          <w:color w:val="000000" w:themeColor="text1"/>
        </w:rPr>
        <w:t xml:space="preserve">, </w:t>
      </w:r>
      <w:r w:rsidR="00F341F5" w:rsidRPr="001672EA">
        <w:rPr>
          <w:rFonts w:ascii="Palatino Linotype" w:hAnsi="Palatino Linotype"/>
          <w:b/>
          <w:color w:val="000000" w:themeColor="text1"/>
        </w:rPr>
        <w:t>invitación restringida</w:t>
      </w:r>
      <w:r w:rsidR="00F341F5" w:rsidRPr="001672EA">
        <w:rPr>
          <w:rFonts w:ascii="Palatino Linotype" w:hAnsi="Palatino Linotype"/>
          <w:color w:val="000000" w:themeColor="text1"/>
        </w:rPr>
        <w:t xml:space="preserve"> y </w:t>
      </w:r>
      <w:r w:rsidR="00F341F5" w:rsidRPr="001672EA">
        <w:rPr>
          <w:rFonts w:ascii="Palatino Linotype" w:hAnsi="Palatino Linotype"/>
          <w:b/>
          <w:color w:val="000000" w:themeColor="text1"/>
        </w:rPr>
        <w:t>licitación</w:t>
      </w:r>
      <w:r w:rsidR="00F341F5" w:rsidRPr="001672EA">
        <w:rPr>
          <w:rFonts w:ascii="Palatino Linotype" w:hAnsi="Palatino Linotype"/>
          <w:color w:val="000000" w:themeColor="text1"/>
        </w:rPr>
        <w:t xml:space="preserve"> de cualquier naturaleza, </w:t>
      </w:r>
      <w:r w:rsidR="00A10BE1" w:rsidRPr="001672EA">
        <w:rPr>
          <w:rFonts w:ascii="Palatino Linotype" w:hAnsi="Palatino Linotype"/>
          <w:color w:val="000000" w:themeColor="text1"/>
        </w:rPr>
        <w:t xml:space="preserve">y la </w:t>
      </w:r>
      <w:r w:rsidR="00A10BE1" w:rsidRPr="001672EA">
        <w:rPr>
          <w:rFonts w:ascii="Palatino Linotype" w:hAnsi="Palatino Linotype"/>
          <w:b/>
          <w:color w:val="000000" w:themeColor="text1"/>
        </w:rPr>
        <w:t>lista de proveedores</w:t>
      </w:r>
      <w:r w:rsidR="00A10BE1" w:rsidRPr="001672EA">
        <w:rPr>
          <w:rFonts w:ascii="Palatino Linotype" w:hAnsi="Palatino Linotype"/>
          <w:color w:val="000000" w:themeColor="text1"/>
        </w:rPr>
        <w:t xml:space="preserve">, </w:t>
      </w:r>
      <w:r w:rsidR="00F341F5" w:rsidRPr="001672EA">
        <w:rPr>
          <w:rFonts w:ascii="Palatino Linotype" w:hAnsi="Palatino Linotype"/>
          <w:color w:val="000000" w:themeColor="text1"/>
        </w:rPr>
        <w:t>la</w:t>
      </w:r>
      <w:r w:rsidR="00A10BE1" w:rsidRPr="001672EA">
        <w:rPr>
          <w:rFonts w:ascii="Palatino Linotype" w:hAnsi="Palatino Linotype"/>
          <w:color w:val="000000" w:themeColor="text1"/>
        </w:rPr>
        <w:t>s fraccio</w:t>
      </w:r>
      <w:r w:rsidR="00F341F5" w:rsidRPr="001672EA">
        <w:rPr>
          <w:rFonts w:ascii="Palatino Linotype" w:hAnsi="Palatino Linotype"/>
          <w:color w:val="000000" w:themeColor="text1"/>
        </w:rPr>
        <w:t>n</w:t>
      </w:r>
      <w:r w:rsidR="00A10BE1" w:rsidRPr="001672EA">
        <w:rPr>
          <w:rFonts w:ascii="Palatino Linotype" w:hAnsi="Palatino Linotype"/>
          <w:color w:val="000000" w:themeColor="text1"/>
        </w:rPr>
        <w:t>es</w:t>
      </w:r>
      <w:r w:rsidR="00F341F5" w:rsidRPr="001672EA">
        <w:rPr>
          <w:rFonts w:ascii="Palatino Linotype" w:hAnsi="Palatino Linotype"/>
          <w:color w:val="000000" w:themeColor="text1"/>
        </w:rPr>
        <w:t xml:space="preserve"> XXIX</w:t>
      </w:r>
      <w:r w:rsidR="00A10BE1" w:rsidRPr="001672EA">
        <w:rPr>
          <w:rFonts w:ascii="Palatino Linotype" w:hAnsi="Palatino Linotype"/>
          <w:color w:val="000000" w:themeColor="text1"/>
        </w:rPr>
        <w:t xml:space="preserve"> y XXXVI</w:t>
      </w:r>
      <w:r w:rsidR="00F341F5" w:rsidRPr="001672EA">
        <w:rPr>
          <w:rFonts w:ascii="Palatino Linotype" w:hAnsi="Palatino Linotype"/>
          <w:color w:val="000000" w:themeColor="text1"/>
        </w:rPr>
        <w:t xml:space="preserve"> del numeral 92 de la Ley de la materia establece</w:t>
      </w:r>
      <w:r w:rsidR="00A10BE1" w:rsidRPr="001672EA">
        <w:rPr>
          <w:rFonts w:ascii="Palatino Linotype" w:hAnsi="Palatino Linotype"/>
          <w:color w:val="000000" w:themeColor="text1"/>
        </w:rPr>
        <w:t>n</w:t>
      </w:r>
      <w:r w:rsidR="00F341F5" w:rsidRPr="001672EA">
        <w:rPr>
          <w:rFonts w:ascii="Palatino Linotype" w:hAnsi="Palatino Linotype"/>
          <w:color w:val="000000" w:themeColor="text1"/>
        </w:rPr>
        <w:t xml:space="preserve"> lo siguiente:</w:t>
      </w:r>
    </w:p>
    <w:p w14:paraId="4FC7C8DB" w14:textId="77777777" w:rsidR="00F341F5" w:rsidRPr="001672EA" w:rsidRDefault="00F341F5" w:rsidP="00F341F5">
      <w:pPr>
        <w:pStyle w:val="Prrafodelista"/>
        <w:tabs>
          <w:tab w:val="left" w:pos="426"/>
        </w:tabs>
        <w:spacing w:line="360" w:lineRule="auto"/>
        <w:ind w:left="0" w:right="51"/>
        <w:jc w:val="both"/>
        <w:rPr>
          <w:rFonts w:ascii="Palatino Linotype" w:hAnsi="Palatino Linotype"/>
          <w:color w:val="000000" w:themeColor="text1"/>
        </w:rPr>
      </w:pPr>
    </w:p>
    <w:p w14:paraId="3E715B31"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r w:rsidRPr="001672EA">
        <w:rPr>
          <w:rFonts w:ascii="Palatino Linotype" w:hAnsi="Palatino Linotype"/>
          <w:b/>
          <w:i/>
          <w:color w:val="000000" w:themeColor="text1"/>
          <w:sz w:val="22"/>
        </w:rPr>
        <w:t>Artículo 92.</w:t>
      </w:r>
      <w:r w:rsidRPr="001672EA">
        <w:rPr>
          <w:rFonts w:ascii="Palatino Linotype" w:hAnsi="Palatino Linotype"/>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C43447"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0B165A98"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XXIX.</w:t>
      </w:r>
      <w:r w:rsidRPr="001672EA">
        <w:rPr>
          <w:rFonts w:ascii="Palatino Linotype" w:hAnsi="Palatino Linotype"/>
          <w:i/>
          <w:color w:val="000000" w:themeColor="text1"/>
          <w:sz w:val="22"/>
        </w:rPr>
        <w:t xml:space="preserve"> La información sobre los procesos y resultados sobre </w:t>
      </w:r>
      <w:r w:rsidRPr="001672EA">
        <w:rPr>
          <w:rFonts w:ascii="Palatino Linotype" w:hAnsi="Palatino Linotype"/>
          <w:b/>
          <w:i/>
          <w:color w:val="000000" w:themeColor="text1"/>
          <w:sz w:val="22"/>
        </w:rPr>
        <w:t>procedimientos de adjudicación directa</w:t>
      </w:r>
      <w:r w:rsidRPr="001672EA">
        <w:rPr>
          <w:rFonts w:ascii="Palatino Linotype" w:hAnsi="Palatino Linotype"/>
          <w:i/>
          <w:color w:val="000000" w:themeColor="text1"/>
          <w:sz w:val="22"/>
        </w:rPr>
        <w:t xml:space="preserve">, </w:t>
      </w:r>
      <w:r w:rsidRPr="001672EA">
        <w:rPr>
          <w:rFonts w:ascii="Palatino Linotype" w:hAnsi="Palatino Linotype"/>
          <w:b/>
          <w:i/>
          <w:color w:val="000000" w:themeColor="text1"/>
          <w:sz w:val="22"/>
        </w:rPr>
        <w:t>invitación restringida</w:t>
      </w:r>
      <w:r w:rsidRPr="001672EA">
        <w:rPr>
          <w:rFonts w:ascii="Palatino Linotype" w:hAnsi="Palatino Linotype"/>
          <w:i/>
          <w:color w:val="000000" w:themeColor="text1"/>
          <w:sz w:val="22"/>
        </w:rPr>
        <w:t xml:space="preserve"> y </w:t>
      </w:r>
      <w:r w:rsidRPr="001672EA">
        <w:rPr>
          <w:rFonts w:ascii="Palatino Linotype" w:hAnsi="Palatino Linotype"/>
          <w:b/>
          <w:i/>
          <w:color w:val="000000" w:themeColor="text1"/>
          <w:sz w:val="22"/>
        </w:rPr>
        <w:t>licitación</w:t>
      </w:r>
      <w:r w:rsidRPr="001672EA">
        <w:rPr>
          <w:rFonts w:ascii="Palatino Linotype" w:hAnsi="Palatino Linotype"/>
          <w:i/>
          <w:color w:val="000000" w:themeColor="text1"/>
          <w:sz w:val="22"/>
        </w:rPr>
        <w:t xml:space="preserve"> de cualquier naturaleza, incluyendo la versión pública del expediente respectivo y de los contratos celebrados, que deberán contener, por los menos, lo siguiente: </w:t>
      </w:r>
    </w:p>
    <w:p w14:paraId="739E21AD" w14:textId="77777777" w:rsidR="00F341F5" w:rsidRPr="001672EA" w:rsidRDefault="00F341F5" w:rsidP="00F341F5">
      <w:pPr>
        <w:pStyle w:val="Prrafodelista"/>
        <w:tabs>
          <w:tab w:val="left" w:pos="426"/>
        </w:tabs>
        <w:spacing w:line="276" w:lineRule="auto"/>
        <w:ind w:left="851" w:right="567"/>
        <w:jc w:val="both"/>
        <w:rPr>
          <w:rFonts w:ascii="Palatino Linotype" w:hAnsi="Palatino Linotype"/>
          <w:b/>
          <w:i/>
          <w:color w:val="000000" w:themeColor="text1"/>
          <w:sz w:val="22"/>
        </w:rPr>
      </w:pPr>
      <w:r w:rsidRPr="001672EA">
        <w:rPr>
          <w:rFonts w:ascii="Palatino Linotype" w:hAnsi="Palatino Linotype"/>
          <w:b/>
          <w:i/>
          <w:color w:val="000000" w:themeColor="text1"/>
          <w:sz w:val="22"/>
        </w:rPr>
        <w:t xml:space="preserve">a) De licitaciones públicas o procedimientos de invitación restringida: </w:t>
      </w:r>
    </w:p>
    <w:p w14:paraId="5FAF1CF4" w14:textId="644AFD20" w:rsidR="00002AB0" w:rsidRPr="001672EA" w:rsidRDefault="00002AB0" w:rsidP="00002AB0">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5BF6A90F" w14:textId="77777777" w:rsidR="00002AB0" w:rsidRPr="001672EA" w:rsidRDefault="00002AB0" w:rsidP="00002AB0">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3)</w:t>
      </w:r>
      <w:r w:rsidRPr="001672EA">
        <w:rPr>
          <w:rFonts w:ascii="Palatino Linotype" w:hAnsi="Palatino Linotype"/>
          <w:i/>
          <w:color w:val="000000" w:themeColor="text1"/>
          <w:sz w:val="22"/>
        </w:rPr>
        <w:t xml:space="preserve"> El nombre del ganador y las razones que lo justifican;</w:t>
      </w:r>
    </w:p>
    <w:p w14:paraId="20C09E49" w14:textId="77777777" w:rsidR="00002AB0" w:rsidRPr="001672EA" w:rsidRDefault="00002AB0" w:rsidP="00002AB0">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4)</w:t>
      </w:r>
      <w:r w:rsidRPr="001672EA">
        <w:rPr>
          <w:rFonts w:ascii="Palatino Linotype" w:hAnsi="Palatino Linotype"/>
          <w:i/>
          <w:color w:val="000000" w:themeColor="text1"/>
          <w:sz w:val="22"/>
        </w:rPr>
        <w:t xml:space="preserve"> El área solicitante y la responsable de su ejecución;</w:t>
      </w:r>
    </w:p>
    <w:p w14:paraId="18851756" w14:textId="62EBDFD8" w:rsidR="00002AB0" w:rsidRPr="001672EA" w:rsidRDefault="00002AB0" w:rsidP="00002AB0">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147EED5A" w14:textId="44DCF64A" w:rsidR="00F341F5" w:rsidRPr="001672EA" w:rsidRDefault="00002AB0" w:rsidP="00002AB0">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6)</w:t>
      </w:r>
      <w:r w:rsidRPr="001672EA">
        <w:rPr>
          <w:rFonts w:ascii="Palatino Linotype" w:hAnsi="Palatino Linotype"/>
          <w:i/>
          <w:color w:val="000000" w:themeColor="text1"/>
          <w:sz w:val="22"/>
        </w:rPr>
        <w:t xml:space="preserve"> Los dictámenes y fallo de adjudicación;</w:t>
      </w:r>
    </w:p>
    <w:p w14:paraId="646440C7" w14:textId="77777777" w:rsidR="00F341F5" w:rsidRPr="001672EA" w:rsidRDefault="00F341F5"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 xml:space="preserve">7) </w:t>
      </w:r>
      <w:r w:rsidRPr="001672EA">
        <w:rPr>
          <w:rFonts w:ascii="Palatino Linotype" w:hAnsi="Palatino Linotype"/>
          <w:i/>
          <w:color w:val="000000" w:themeColor="text1"/>
          <w:sz w:val="22"/>
        </w:rPr>
        <w:t xml:space="preserve">El contrato y, en su caso, sus anexos; </w:t>
      </w:r>
    </w:p>
    <w:p w14:paraId="075CE4F1" w14:textId="2810DD21"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33B3C7F9" w14:textId="77777777"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11)</w:t>
      </w:r>
      <w:r w:rsidRPr="001672EA">
        <w:rPr>
          <w:rFonts w:ascii="Palatino Linotype" w:hAnsi="Palatino Linotype"/>
          <w:i/>
          <w:color w:val="000000" w:themeColor="text1"/>
          <w:sz w:val="22"/>
        </w:rPr>
        <w:t xml:space="preserve"> Los convenios modificatorios que, en su caso, sean firmados, precisando el objeto y la fecha de celebración; </w:t>
      </w:r>
    </w:p>
    <w:p w14:paraId="39777818" w14:textId="5F1AEBB6"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lastRenderedPageBreak/>
        <w:t>(…)</w:t>
      </w:r>
    </w:p>
    <w:p w14:paraId="3881833F" w14:textId="77777777"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13)</w:t>
      </w:r>
      <w:r w:rsidRPr="001672EA">
        <w:rPr>
          <w:rFonts w:ascii="Palatino Linotype" w:hAnsi="Palatino Linotype"/>
          <w:i/>
          <w:color w:val="000000" w:themeColor="text1"/>
          <w:sz w:val="22"/>
        </w:rPr>
        <w:t xml:space="preserve"> El convenio de terminación; y </w:t>
      </w:r>
    </w:p>
    <w:p w14:paraId="7515FD23" w14:textId="5B94DE94" w:rsidR="00F341F5"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14)</w:t>
      </w:r>
      <w:r w:rsidRPr="001672EA">
        <w:rPr>
          <w:rFonts w:ascii="Palatino Linotype" w:hAnsi="Palatino Linotype"/>
          <w:i/>
          <w:color w:val="000000" w:themeColor="text1"/>
          <w:sz w:val="22"/>
        </w:rPr>
        <w:t xml:space="preserve"> El finiquito.</w:t>
      </w:r>
    </w:p>
    <w:p w14:paraId="679D28AA" w14:textId="77777777" w:rsidR="00F341F5" w:rsidRPr="001672EA" w:rsidRDefault="00F341F5" w:rsidP="00F341F5">
      <w:pPr>
        <w:pStyle w:val="Prrafodelista"/>
        <w:tabs>
          <w:tab w:val="left" w:pos="426"/>
        </w:tabs>
        <w:spacing w:line="276" w:lineRule="auto"/>
        <w:ind w:left="851" w:right="567"/>
        <w:jc w:val="both"/>
        <w:rPr>
          <w:rFonts w:ascii="Palatino Linotype" w:hAnsi="Palatino Linotype"/>
          <w:b/>
          <w:i/>
          <w:color w:val="000000" w:themeColor="text1"/>
          <w:sz w:val="22"/>
        </w:rPr>
      </w:pPr>
      <w:r w:rsidRPr="001672EA">
        <w:rPr>
          <w:rFonts w:ascii="Palatino Linotype" w:hAnsi="Palatino Linotype"/>
          <w:b/>
          <w:i/>
          <w:color w:val="000000" w:themeColor="text1"/>
          <w:sz w:val="22"/>
        </w:rPr>
        <w:t xml:space="preserve">b) De las adjudicaciones directas: </w:t>
      </w:r>
    </w:p>
    <w:p w14:paraId="657CFE19" w14:textId="25C05883"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65057521" w14:textId="77777777"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2)</w:t>
      </w:r>
      <w:r w:rsidRPr="001672EA">
        <w:rPr>
          <w:rFonts w:ascii="Palatino Linotype" w:hAnsi="Palatino Linotype"/>
          <w:i/>
          <w:color w:val="000000" w:themeColor="text1"/>
          <w:sz w:val="22"/>
        </w:rPr>
        <w:t xml:space="preserve"> Los motivos y fundamentos legales aplicados para llevarla a cabo; </w:t>
      </w:r>
    </w:p>
    <w:p w14:paraId="748B89FD" w14:textId="0E29D24A"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44D801B3" w14:textId="77777777"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5)</w:t>
      </w:r>
      <w:r w:rsidRPr="001672EA">
        <w:rPr>
          <w:rFonts w:ascii="Palatino Linotype" w:hAnsi="Palatino Linotype"/>
          <w:i/>
          <w:color w:val="000000" w:themeColor="text1"/>
          <w:sz w:val="22"/>
        </w:rPr>
        <w:t xml:space="preserve"> El nombre de la persona física o jurídica colectiva adjudicada; </w:t>
      </w:r>
    </w:p>
    <w:p w14:paraId="1ECC19F9" w14:textId="77777777"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6)</w:t>
      </w:r>
      <w:r w:rsidRPr="001672EA">
        <w:rPr>
          <w:rFonts w:ascii="Palatino Linotype" w:hAnsi="Palatino Linotype"/>
          <w:i/>
          <w:color w:val="000000" w:themeColor="text1"/>
          <w:sz w:val="22"/>
        </w:rPr>
        <w:t xml:space="preserve"> La unidad administrativa solicitante y la responsable de su ejecución; </w:t>
      </w:r>
    </w:p>
    <w:p w14:paraId="6F149CE1" w14:textId="77777777"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7)</w:t>
      </w:r>
      <w:r w:rsidRPr="001672EA">
        <w:rPr>
          <w:rFonts w:ascii="Palatino Linotype" w:hAnsi="Palatino Linotype"/>
          <w:i/>
          <w:color w:val="000000" w:themeColor="text1"/>
          <w:sz w:val="22"/>
        </w:rPr>
        <w:t xml:space="preserve"> El número, fecha, el monto del contrato y el plazo de entrega o de ejecución de los servicios u obra;</w:t>
      </w:r>
    </w:p>
    <w:p w14:paraId="22543A10" w14:textId="5493A4E7"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18B02B5D" w14:textId="77777777"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9)</w:t>
      </w:r>
      <w:r w:rsidRPr="001672EA">
        <w:rPr>
          <w:rFonts w:ascii="Palatino Linotype" w:hAnsi="Palatino Linotype"/>
          <w:i/>
          <w:color w:val="000000" w:themeColor="text1"/>
          <w:sz w:val="22"/>
        </w:rPr>
        <w:t xml:space="preserve"> Los informes de avance sobre las obras o servicios contratados; </w:t>
      </w:r>
    </w:p>
    <w:p w14:paraId="724E303F" w14:textId="77777777" w:rsidR="00002AB0"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10)</w:t>
      </w:r>
      <w:r w:rsidRPr="001672EA">
        <w:rPr>
          <w:rFonts w:ascii="Palatino Linotype" w:hAnsi="Palatino Linotype"/>
          <w:i/>
          <w:color w:val="000000" w:themeColor="text1"/>
          <w:sz w:val="22"/>
        </w:rPr>
        <w:t xml:space="preserve"> El convenio de terminación; y </w:t>
      </w:r>
    </w:p>
    <w:p w14:paraId="5A83F1FF" w14:textId="3C9DD28E" w:rsidR="00F341F5" w:rsidRPr="001672EA" w:rsidRDefault="00002AB0" w:rsidP="00F341F5">
      <w:pPr>
        <w:pStyle w:val="Prrafodelista"/>
        <w:tabs>
          <w:tab w:val="left" w:pos="426"/>
        </w:tabs>
        <w:spacing w:line="276" w:lineRule="auto"/>
        <w:ind w:left="1134"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11)</w:t>
      </w:r>
      <w:r w:rsidRPr="001672EA">
        <w:rPr>
          <w:rFonts w:ascii="Palatino Linotype" w:hAnsi="Palatino Linotype"/>
          <w:i/>
          <w:color w:val="000000" w:themeColor="text1"/>
          <w:sz w:val="22"/>
        </w:rPr>
        <w:t xml:space="preserve"> El finiquito.</w:t>
      </w:r>
    </w:p>
    <w:p w14:paraId="4980E72A" w14:textId="77777777" w:rsidR="00A10BE1" w:rsidRPr="001672EA" w:rsidRDefault="00F341F5"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1BAD8CFB" w14:textId="5EB4D938" w:rsidR="00A10BE1" w:rsidRPr="001672EA" w:rsidRDefault="00A10BE1"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XXXVI.</w:t>
      </w:r>
      <w:r w:rsidRPr="001672EA">
        <w:rPr>
          <w:rFonts w:ascii="Palatino Linotype" w:hAnsi="Palatino Linotype"/>
          <w:i/>
          <w:color w:val="000000" w:themeColor="text1"/>
          <w:sz w:val="22"/>
        </w:rPr>
        <w:t xml:space="preserve"> Padrón de proveedores y contratistas;</w:t>
      </w:r>
    </w:p>
    <w:p w14:paraId="12E7A2A6" w14:textId="42463D61" w:rsidR="00F341F5" w:rsidRPr="001672EA" w:rsidRDefault="00A10BE1" w:rsidP="00F341F5">
      <w:pPr>
        <w:pStyle w:val="Prrafodelista"/>
        <w:tabs>
          <w:tab w:val="left" w:pos="426"/>
        </w:tabs>
        <w:spacing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r w:rsidR="00F341F5" w:rsidRPr="001672EA">
        <w:rPr>
          <w:rFonts w:ascii="Palatino Linotype" w:hAnsi="Palatino Linotype"/>
          <w:i/>
          <w:color w:val="000000" w:themeColor="text1"/>
          <w:sz w:val="22"/>
        </w:rPr>
        <w:t>”</w:t>
      </w:r>
    </w:p>
    <w:p w14:paraId="5B577A11" w14:textId="77777777" w:rsidR="00F341F5" w:rsidRPr="001672EA" w:rsidRDefault="00F341F5" w:rsidP="00F341F5">
      <w:pPr>
        <w:pStyle w:val="Prrafodelista"/>
        <w:tabs>
          <w:tab w:val="left" w:pos="426"/>
        </w:tabs>
        <w:spacing w:line="276" w:lineRule="auto"/>
        <w:ind w:left="567" w:right="567"/>
        <w:jc w:val="both"/>
        <w:rPr>
          <w:rFonts w:ascii="Palatino Linotype" w:hAnsi="Palatino Linotype"/>
          <w:color w:val="000000" w:themeColor="text1"/>
          <w:sz w:val="22"/>
        </w:rPr>
      </w:pPr>
      <w:r w:rsidRPr="001672EA">
        <w:rPr>
          <w:rFonts w:ascii="Palatino Linotype" w:hAnsi="Palatino Linotype"/>
          <w:color w:val="000000" w:themeColor="text1"/>
          <w:sz w:val="22"/>
        </w:rPr>
        <w:t>(Énfasis añadido)</w:t>
      </w:r>
    </w:p>
    <w:p w14:paraId="45F2CE1E" w14:textId="77777777" w:rsidR="00F341F5" w:rsidRPr="001672EA" w:rsidRDefault="00F341F5" w:rsidP="00F341F5">
      <w:pPr>
        <w:pStyle w:val="Prrafodelista"/>
        <w:tabs>
          <w:tab w:val="left" w:pos="426"/>
        </w:tabs>
        <w:spacing w:line="360" w:lineRule="auto"/>
        <w:ind w:left="0" w:right="51"/>
        <w:jc w:val="both"/>
        <w:rPr>
          <w:rFonts w:ascii="Palatino Linotype" w:hAnsi="Palatino Linotype"/>
          <w:color w:val="000000" w:themeColor="text1"/>
        </w:rPr>
      </w:pPr>
    </w:p>
    <w:p w14:paraId="61206AE7" w14:textId="2E055740" w:rsidR="00F341F5" w:rsidRPr="001672EA" w:rsidRDefault="00DA701E"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 xml:space="preserve">En consideración de lo anterior, queda demostrado que el </w:t>
      </w:r>
      <w:r w:rsidRPr="001672EA">
        <w:rPr>
          <w:rFonts w:ascii="Palatino Linotype" w:hAnsi="Palatino Linotype"/>
          <w:b/>
        </w:rPr>
        <w:t>SUJETO OBLIGADO</w:t>
      </w:r>
      <w:r w:rsidRPr="001672EA">
        <w:rPr>
          <w:rFonts w:ascii="Palatino Linotype" w:hAnsi="Palatino Linotype"/>
        </w:rPr>
        <w:t xml:space="preserve"> tiene competencia para poseer, generar y administrar toda la información que se derive de los procesos de </w:t>
      </w:r>
      <w:r w:rsidR="00A10BE1" w:rsidRPr="001672EA">
        <w:rPr>
          <w:rFonts w:ascii="Palatino Linotype" w:hAnsi="Palatino Linotype"/>
        </w:rPr>
        <w:t>ejecución de obra pública o adquisición de bienes y/o servicios; así como contar con un padrón de proveedores.</w:t>
      </w:r>
    </w:p>
    <w:p w14:paraId="5F11CDDA" w14:textId="77777777" w:rsidR="00DA701E" w:rsidRPr="001672EA" w:rsidRDefault="00DA701E" w:rsidP="00DA701E">
      <w:pPr>
        <w:pStyle w:val="Prrafodelista"/>
        <w:tabs>
          <w:tab w:val="left" w:pos="426"/>
        </w:tabs>
        <w:spacing w:before="240" w:after="240" w:line="360" w:lineRule="auto"/>
        <w:ind w:left="0" w:right="51"/>
        <w:jc w:val="both"/>
        <w:rPr>
          <w:rFonts w:ascii="Palatino Linotype" w:hAnsi="Palatino Linotype" w:cs="Tahoma"/>
          <w:bCs/>
          <w:iCs/>
        </w:rPr>
      </w:pPr>
    </w:p>
    <w:p w14:paraId="75A6612B" w14:textId="7BA6DBC7" w:rsidR="00FF783D" w:rsidRPr="001672EA" w:rsidRDefault="00FF783D" w:rsidP="00FF783D">
      <w:pPr>
        <w:pStyle w:val="Prrafodelista"/>
        <w:tabs>
          <w:tab w:val="left" w:pos="426"/>
        </w:tabs>
        <w:spacing w:before="240" w:after="240" w:line="360" w:lineRule="auto"/>
        <w:ind w:left="0" w:right="51"/>
        <w:jc w:val="both"/>
        <w:outlineLvl w:val="2"/>
        <w:rPr>
          <w:rFonts w:ascii="Palatino Linotype" w:hAnsi="Palatino Linotype" w:cs="Tahoma"/>
          <w:b/>
          <w:bCs/>
          <w:iCs/>
        </w:rPr>
      </w:pPr>
      <w:r w:rsidRPr="001672EA">
        <w:rPr>
          <w:rFonts w:ascii="Palatino Linotype" w:hAnsi="Palatino Linotype" w:cs="Tahoma"/>
          <w:b/>
          <w:bCs/>
          <w:iCs/>
        </w:rPr>
        <w:t>III.II De la administración y conservación de los documentos.</w:t>
      </w:r>
    </w:p>
    <w:p w14:paraId="0AEA99C6" w14:textId="77777777" w:rsidR="00FF783D" w:rsidRPr="001672EA" w:rsidRDefault="00FF783D" w:rsidP="00DA701E">
      <w:pPr>
        <w:pStyle w:val="Prrafodelista"/>
        <w:tabs>
          <w:tab w:val="left" w:pos="426"/>
        </w:tabs>
        <w:spacing w:before="240" w:after="240" w:line="360" w:lineRule="auto"/>
        <w:ind w:left="0" w:right="51"/>
        <w:jc w:val="both"/>
        <w:rPr>
          <w:rFonts w:ascii="Palatino Linotype" w:hAnsi="Palatino Linotype" w:cs="Tahoma"/>
          <w:bCs/>
          <w:iCs/>
        </w:rPr>
      </w:pPr>
    </w:p>
    <w:p w14:paraId="4F66C5A8" w14:textId="1F540A6B" w:rsidR="00DA701E" w:rsidRPr="001672EA" w:rsidRDefault="00A10BE1"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 xml:space="preserve">Ahora bien, debemos recapitular que en su respuesta, el Director de Obras Pública refirió no contar con información desde el dos mil doce en razón a que la ley aplicable únicamente establece que aquélla </w:t>
      </w:r>
      <w:r w:rsidR="00BA48DA" w:rsidRPr="001672EA">
        <w:rPr>
          <w:rFonts w:ascii="Palatino Linotype" w:hAnsi="Palatino Linotype"/>
        </w:rPr>
        <w:t xml:space="preserve">tiene un periodo de conservación de cinco años. Al respecto, el </w:t>
      </w:r>
      <w:r w:rsidR="00BA48DA" w:rsidRPr="001672EA">
        <w:rPr>
          <w:rFonts w:ascii="Palatino Linotype" w:hAnsi="Palatino Linotype"/>
          <w:b/>
        </w:rPr>
        <w:t>SUJETO OBLIGADO</w:t>
      </w:r>
      <w:r w:rsidR="00BA48DA" w:rsidRPr="001672EA">
        <w:rPr>
          <w:rFonts w:ascii="Palatino Linotype" w:hAnsi="Palatino Linotype"/>
        </w:rPr>
        <w:t xml:space="preserve"> señaló los artículos 74 de la Ley de </w:t>
      </w:r>
      <w:r w:rsidR="00BA48DA" w:rsidRPr="001672EA">
        <w:rPr>
          <w:rFonts w:ascii="Palatino Linotype" w:hAnsi="Palatino Linotype"/>
        </w:rPr>
        <w:lastRenderedPageBreak/>
        <w:t>Obras Públicas y Servicios Relacionados con las Mismas, 12.64 del Código Administrativo del Estado de México y 275 del Reglamento del Libro Décimo Segundo del Código Administrativo del Estado de México, mismos que establecen lo siguiente:</w:t>
      </w:r>
    </w:p>
    <w:p w14:paraId="49130753" w14:textId="77777777" w:rsidR="00DA701E" w:rsidRPr="001672EA" w:rsidRDefault="00DA701E" w:rsidP="00DA701E">
      <w:pPr>
        <w:pStyle w:val="Prrafodelista"/>
        <w:tabs>
          <w:tab w:val="left" w:pos="426"/>
        </w:tabs>
        <w:spacing w:before="240" w:after="240" w:line="360" w:lineRule="auto"/>
        <w:ind w:left="0" w:right="51"/>
        <w:jc w:val="both"/>
        <w:rPr>
          <w:rFonts w:ascii="Palatino Linotype" w:hAnsi="Palatino Linotype" w:cs="Tahoma"/>
          <w:bCs/>
          <w:iCs/>
        </w:rPr>
      </w:pPr>
    </w:p>
    <w:p w14:paraId="6FBEB96E" w14:textId="1925996B" w:rsidR="00BA48DA" w:rsidRPr="001672EA" w:rsidRDefault="00BA48DA" w:rsidP="00BA48DA">
      <w:pPr>
        <w:pStyle w:val="Prrafodelista"/>
        <w:tabs>
          <w:tab w:val="left" w:pos="426"/>
        </w:tabs>
        <w:spacing w:before="240" w:after="240" w:line="276" w:lineRule="auto"/>
        <w:ind w:left="567" w:right="567"/>
        <w:jc w:val="center"/>
        <w:rPr>
          <w:rFonts w:ascii="Palatino Linotype" w:hAnsi="Palatino Linotype" w:cs="Tahoma"/>
          <w:b/>
          <w:bCs/>
          <w:i/>
          <w:iCs/>
          <w:sz w:val="22"/>
        </w:rPr>
      </w:pPr>
      <w:r w:rsidRPr="001672EA">
        <w:rPr>
          <w:rFonts w:ascii="Palatino Linotype" w:hAnsi="Palatino Linotype" w:cs="Tahoma"/>
          <w:b/>
          <w:bCs/>
          <w:i/>
          <w:iCs/>
          <w:sz w:val="22"/>
        </w:rPr>
        <w:t>LEY DE OBRAS PÚBLICAS Y SERVICIOS RELACIONADOS CON LAS MISMAS</w:t>
      </w:r>
    </w:p>
    <w:p w14:paraId="76206D7B" w14:textId="64339B8E" w:rsidR="00BA48DA" w:rsidRPr="001672EA" w:rsidRDefault="00BA48DA" w:rsidP="00BA48DA">
      <w:pPr>
        <w:pStyle w:val="Prrafodelista"/>
        <w:tabs>
          <w:tab w:val="left" w:pos="426"/>
        </w:tabs>
        <w:spacing w:before="240" w:after="240" w:line="276" w:lineRule="auto"/>
        <w:ind w:left="567" w:right="567"/>
        <w:jc w:val="both"/>
        <w:rPr>
          <w:rFonts w:ascii="Palatino Linotype" w:hAnsi="Palatino Linotype" w:cs="Tahoma"/>
          <w:bCs/>
          <w:i/>
          <w:iCs/>
          <w:sz w:val="22"/>
        </w:rPr>
      </w:pPr>
      <w:r w:rsidRPr="001672EA">
        <w:rPr>
          <w:rFonts w:ascii="Palatino Linotype" w:hAnsi="Palatino Linotype" w:cs="Tahoma"/>
          <w:bCs/>
          <w:i/>
          <w:iCs/>
          <w:sz w:val="22"/>
        </w:rPr>
        <w:t>“</w:t>
      </w:r>
      <w:r w:rsidRPr="001672EA">
        <w:rPr>
          <w:rFonts w:ascii="Palatino Linotype" w:hAnsi="Palatino Linotype" w:cs="Tahoma"/>
          <w:b/>
          <w:bCs/>
          <w:i/>
          <w:iCs/>
          <w:sz w:val="22"/>
        </w:rPr>
        <w:t>Artículo 74.-</w:t>
      </w:r>
      <w:r w:rsidRPr="001672EA">
        <w:rPr>
          <w:rFonts w:ascii="Palatino Linotype" w:hAnsi="Palatino Linotype" w:cs="Tahoma"/>
          <w:bCs/>
          <w:i/>
          <w:iCs/>
          <w:sz w:val="22"/>
        </w:rPr>
        <w:t xml:space="preserve"> (…)</w:t>
      </w:r>
    </w:p>
    <w:p w14:paraId="2AE3729A" w14:textId="52C24BC8" w:rsidR="00BA48DA" w:rsidRPr="001672EA" w:rsidRDefault="00BA48DA" w:rsidP="00BA48DA">
      <w:pPr>
        <w:pStyle w:val="Prrafodelista"/>
        <w:tabs>
          <w:tab w:val="left" w:pos="426"/>
        </w:tabs>
        <w:spacing w:before="240" w:after="240" w:line="276" w:lineRule="auto"/>
        <w:ind w:left="567" w:right="567"/>
        <w:jc w:val="both"/>
        <w:rPr>
          <w:rFonts w:ascii="Palatino Linotype" w:hAnsi="Palatino Linotype" w:cs="Tahoma"/>
          <w:bCs/>
          <w:i/>
          <w:iCs/>
          <w:sz w:val="22"/>
        </w:rPr>
      </w:pPr>
      <w:r w:rsidRPr="001672EA">
        <w:rPr>
          <w:rFonts w:ascii="Palatino Linotype" w:hAnsi="Palatino Linotype" w:cs="Tahoma"/>
          <w:bCs/>
          <w:i/>
          <w:iCs/>
          <w:sz w:val="22"/>
        </w:rPr>
        <w:t>Las dependencias y entidades conservarán en forma ordenada y sistemática toda la documentación e información electrónica comprobatoria de los actos y contratos materia de este ordenamiento, cuando menos por un lapso de tres años, contados a partir de la fecha de su recepción; excepto la documentación contable, en cuyo caso se estará a lo previsto en las disposiciones aplicables.</w:t>
      </w:r>
    </w:p>
    <w:p w14:paraId="02CEEBFA" w14:textId="5CDE339F" w:rsidR="00BA48DA" w:rsidRPr="001672EA" w:rsidRDefault="00BA48DA" w:rsidP="00BA48DA">
      <w:pPr>
        <w:pStyle w:val="Prrafodelista"/>
        <w:tabs>
          <w:tab w:val="left" w:pos="426"/>
        </w:tabs>
        <w:spacing w:before="240" w:after="240" w:line="276" w:lineRule="auto"/>
        <w:ind w:left="567" w:right="567"/>
        <w:jc w:val="both"/>
        <w:rPr>
          <w:rFonts w:ascii="Palatino Linotype" w:hAnsi="Palatino Linotype" w:cs="Tahoma"/>
          <w:bCs/>
          <w:i/>
          <w:iCs/>
          <w:sz w:val="22"/>
        </w:rPr>
      </w:pPr>
      <w:r w:rsidRPr="001672EA">
        <w:rPr>
          <w:rFonts w:ascii="Palatino Linotype" w:hAnsi="Palatino Linotype" w:cs="Tahoma"/>
          <w:bCs/>
          <w:i/>
          <w:iCs/>
          <w:sz w:val="22"/>
        </w:rPr>
        <w:t>(…)”</w:t>
      </w:r>
    </w:p>
    <w:p w14:paraId="536F4ADB" w14:textId="77777777" w:rsidR="00BA48DA" w:rsidRPr="001672EA" w:rsidRDefault="00BA48DA" w:rsidP="00BA48DA">
      <w:pPr>
        <w:pStyle w:val="Prrafodelista"/>
        <w:tabs>
          <w:tab w:val="left" w:pos="426"/>
        </w:tabs>
        <w:spacing w:before="240" w:after="240" w:line="276" w:lineRule="auto"/>
        <w:ind w:left="567" w:right="567"/>
        <w:jc w:val="both"/>
        <w:rPr>
          <w:rFonts w:ascii="Palatino Linotype" w:hAnsi="Palatino Linotype" w:cs="Tahoma"/>
          <w:bCs/>
          <w:i/>
          <w:iCs/>
          <w:sz w:val="22"/>
        </w:rPr>
      </w:pPr>
    </w:p>
    <w:p w14:paraId="6F978334" w14:textId="42DA08E7" w:rsidR="00BA48DA" w:rsidRPr="001672EA" w:rsidRDefault="00BA48DA" w:rsidP="00BA48DA">
      <w:pPr>
        <w:pStyle w:val="Prrafodelista"/>
        <w:tabs>
          <w:tab w:val="left" w:pos="426"/>
        </w:tabs>
        <w:spacing w:before="240" w:after="240" w:line="276" w:lineRule="auto"/>
        <w:ind w:left="567" w:right="567"/>
        <w:jc w:val="center"/>
        <w:rPr>
          <w:rFonts w:ascii="Palatino Linotype" w:hAnsi="Palatino Linotype" w:cs="Tahoma"/>
          <w:b/>
          <w:bCs/>
          <w:i/>
          <w:iCs/>
          <w:sz w:val="22"/>
        </w:rPr>
      </w:pPr>
      <w:r w:rsidRPr="001672EA">
        <w:rPr>
          <w:rFonts w:ascii="Palatino Linotype" w:hAnsi="Palatino Linotype" w:cs="Tahoma"/>
          <w:b/>
          <w:bCs/>
          <w:i/>
          <w:iCs/>
          <w:sz w:val="22"/>
        </w:rPr>
        <w:t>CÓDIGO ADMINISTRATIVO DEL ESTADO DE MÉXICO</w:t>
      </w:r>
    </w:p>
    <w:p w14:paraId="7D27D2C1" w14:textId="1E3D4C7E" w:rsidR="00BA48DA" w:rsidRPr="001672EA" w:rsidRDefault="00BA48DA" w:rsidP="00BA48DA">
      <w:pPr>
        <w:pStyle w:val="Prrafodelista"/>
        <w:tabs>
          <w:tab w:val="left" w:pos="426"/>
        </w:tabs>
        <w:spacing w:before="240" w:after="240" w:line="276" w:lineRule="auto"/>
        <w:ind w:left="567" w:right="567"/>
        <w:jc w:val="both"/>
        <w:rPr>
          <w:rFonts w:ascii="Palatino Linotype" w:hAnsi="Palatino Linotype" w:cs="Tahoma"/>
          <w:bCs/>
          <w:i/>
          <w:iCs/>
          <w:sz w:val="22"/>
        </w:rPr>
      </w:pPr>
      <w:r w:rsidRPr="001672EA">
        <w:rPr>
          <w:rFonts w:ascii="Palatino Linotype" w:hAnsi="Palatino Linotype" w:cs="Tahoma"/>
          <w:bCs/>
          <w:i/>
          <w:iCs/>
          <w:sz w:val="22"/>
        </w:rPr>
        <w:t>“</w:t>
      </w:r>
      <w:r w:rsidRPr="001672EA">
        <w:rPr>
          <w:rFonts w:ascii="Palatino Linotype" w:hAnsi="Palatino Linotype" w:cs="Tahoma"/>
          <w:b/>
          <w:bCs/>
          <w:i/>
          <w:iCs/>
          <w:sz w:val="22"/>
        </w:rPr>
        <w:t>Artículo 12.64.-</w:t>
      </w:r>
      <w:r w:rsidRPr="001672EA">
        <w:rPr>
          <w:rFonts w:ascii="Palatino Linotype" w:hAnsi="Palatino Linotype" w:cs="Tahoma"/>
          <w:bCs/>
          <w:i/>
          <w:iCs/>
          <w:sz w:val="22"/>
        </w:rPr>
        <w:t xml:space="preserve"> Las dependencias, entidades y ayuntamientos conservarán, archivando en forma ordenada la documentación comprobatoria de los actos y contratos materia de este Libro, cuando menos por el lapso de cinco años, contados a partir de la fecha de la recepción de los trabajos.”</w:t>
      </w:r>
    </w:p>
    <w:p w14:paraId="30AC518B" w14:textId="77777777" w:rsidR="00BA48DA" w:rsidRPr="001672EA" w:rsidRDefault="00BA48DA" w:rsidP="00BA48DA">
      <w:pPr>
        <w:pStyle w:val="Prrafodelista"/>
        <w:tabs>
          <w:tab w:val="left" w:pos="426"/>
        </w:tabs>
        <w:spacing w:before="240" w:after="240" w:line="276" w:lineRule="auto"/>
        <w:ind w:left="567" w:right="567"/>
        <w:jc w:val="both"/>
        <w:rPr>
          <w:rFonts w:ascii="Palatino Linotype" w:hAnsi="Palatino Linotype" w:cs="Tahoma"/>
          <w:bCs/>
          <w:i/>
          <w:iCs/>
          <w:sz w:val="22"/>
        </w:rPr>
      </w:pPr>
    </w:p>
    <w:p w14:paraId="5DC11E2E" w14:textId="7CD39BA9" w:rsidR="00BA48DA" w:rsidRPr="001672EA" w:rsidRDefault="00BA48DA" w:rsidP="00BA48DA">
      <w:pPr>
        <w:pStyle w:val="Prrafodelista"/>
        <w:tabs>
          <w:tab w:val="left" w:pos="426"/>
        </w:tabs>
        <w:spacing w:before="240" w:after="240" w:line="276" w:lineRule="auto"/>
        <w:ind w:left="567" w:right="567"/>
        <w:jc w:val="center"/>
        <w:rPr>
          <w:rFonts w:ascii="Palatino Linotype" w:hAnsi="Palatino Linotype" w:cs="Tahoma"/>
          <w:b/>
          <w:bCs/>
          <w:i/>
          <w:iCs/>
          <w:sz w:val="22"/>
        </w:rPr>
      </w:pPr>
      <w:r w:rsidRPr="001672EA">
        <w:rPr>
          <w:rFonts w:ascii="Palatino Linotype" w:hAnsi="Palatino Linotype" w:cs="Tahoma"/>
          <w:b/>
          <w:bCs/>
          <w:i/>
          <w:iCs/>
          <w:sz w:val="22"/>
        </w:rPr>
        <w:t>REGLAMENTO DEL LIBRO DÉCIMO SEGUNDO DEL CÓDIGO ADMINISTRATIVO DEL ESTADO DE MÉXICO</w:t>
      </w:r>
    </w:p>
    <w:p w14:paraId="54AFBF00" w14:textId="314E05BD" w:rsidR="00BA48DA" w:rsidRPr="001672EA" w:rsidRDefault="00BA48DA" w:rsidP="00BA48DA">
      <w:pPr>
        <w:pStyle w:val="Prrafodelista"/>
        <w:tabs>
          <w:tab w:val="left" w:pos="426"/>
        </w:tabs>
        <w:spacing w:before="240" w:after="240" w:line="276" w:lineRule="auto"/>
        <w:ind w:left="567" w:right="567"/>
        <w:jc w:val="both"/>
        <w:rPr>
          <w:rFonts w:ascii="Palatino Linotype" w:hAnsi="Palatino Linotype" w:cs="Tahoma"/>
          <w:bCs/>
          <w:i/>
          <w:iCs/>
          <w:sz w:val="22"/>
        </w:rPr>
      </w:pPr>
      <w:r w:rsidRPr="001672EA">
        <w:rPr>
          <w:rFonts w:ascii="Palatino Linotype" w:hAnsi="Palatino Linotype" w:cs="Tahoma"/>
          <w:bCs/>
          <w:i/>
          <w:iCs/>
          <w:sz w:val="22"/>
        </w:rPr>
        <w:t>“</w:t>
      </w:r>
      <w:r w:rsidRPr="001672EA">
        <w:rPr>
          <w:rFonts w:ascii="Palatino Linotype" w:hAnsi="Palatino Linotype" w:cs="Tahoma"/>
          <w:b/>
          <w:bCs/>
          <w:i/>
          <w:iCs/>
          <w:sz w:val="22"/>
        </w:rPr>
        <w:t>Artículo 275.-</w:t>
      </w:r>
      <w:r w:rsidRPr="001672EA">
        <w:rPr>
          <w:rFonts w:ascii="Palatino Linotype" w:hAnsi="Palatino Linotype" w:cs="Tahoma"/>
          <w:bCs/>
          <w:i/>
          <w:iCs/>
          <w:sz w:val="22"/>
        </w:rPr>
        <w:t xml:space="preserve"> Las dependencias, entidades y ayuntamientos deberán proveer lo necesario para conservar en forma ordenada y segura, por cinco años cuando menos, contados a partir de la fecha de la recepción de los trabajos, la documentación comprobatoria de los actos y contratos materia del Libro y este reglamento.”</w:t>
      </w:r>
    </w:p>
    <w:p w14:paraId="5514F3E1" w14:textId="77777777" w:rsidR="00BA48DA" w:rsidRPr="001672EA" w:rsidRDefault="00BA48DA" w:rsidP="00DA701E">
      <w:pPr>
        <w:pStyle w:val="Prrafodelista"/>
        <w:tabs>
          <w:tab w:val="left" w:pos="426"/>
        </w:tabs>
        <w:spacing w:before="240" w:after="240" w:line="360" w:lineRule="auto"/>
        <w:ind w:left="0" w:right="51"/>
        <w:jc w:val="both"/>
        <w:rPr>
          <w:rFonts w:ascii="Palatino Linotype" w:hAnsi="Palatino Linotype" w:cs="Tahoma"/>
          <w:bCs/>
          <w:iCs/>
        </w:rPr>
      </w:pPr>
    </w:p>
    <w:p w14:paraId="7A0CE0E7" w14:textId="0AAC7C52" w:rsidR="00DA701E" w:rsidRPr="001672EA" w:rsidRDefault="009C7D30" w:rsidP="00E171A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 xml:space="preserve">Contrario al corolario anterior, cabe recordar que la </w:t>
      </w:r>
      <w:r w:rsidRPr="001672EA">
        <w:rPr>
          <w:rFonts w:ascii="Palatino Linotype" w:hAnsi="Palatino Linotype"/>
          <w:b/>
        </w:rPr>
        <w:t>Ley de Archivos y Administración de Documentos del Estado de México y Municipios</w:t>
      </w:r>
      <w:r w:rsidRPr="001672EA">
        <w:rPr>
          <w:rFonts w:ascii="Palatino Linotype" w:hAnsi="Palatino Linotype"/>
        </w:rPr>
        <w:t xml:space="preserve">, publicada en el Periódico Oficial </w:t>
      </w:r>
      <w:r w:rsidRPr="001672EA">
        <w:rPr>
          <w:rFonts w:ascii="Palatino Linotype" w:hAnsi="Palatino Linotype"/>
          <w:i/>
        </w:rPr>
        <w:t>Gaceta del Gobierno</w:t>
      </w:r>
      <w:r w:rsidRPr="001672EA">
        <w:rPr>
          <w:rFonts w:ascii="Palatino Linotype" w:hAnsi="Palatino Linotype"/>
        </w:rPr>
        <w:t xml:space="preserve">, el veintiséis (26) de noviembre de dos mil veinte, tiene por objeto establecer la organización, conservación, administración y </w:t>
      </w:r>
      <w:r w:rsidRPr="001672EA">
        <w:rPr>
          <w:rFonts w:ascii="Palatino Linotype" w:hAnsi="Palatino Linotype"/>
        </w:rPr>
        <w:lastRenderedPageBreak/>
        <w:t xml:space="preserve">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 </w:t>
      </w:r>
    </w:p>
    <w:p w14:paraId="661B334A" w14:textId="77777777" w:rsidR="009C7D30" w:rsidRPr="001672EA" w:rsidRDefault="009C7D30" w:rsidP="009C7D30">
      <w:pPr>
        <w:pStyle w:val="Prrafodelista"/>
        <w:tabs>
          <w:tab w:val="left" w:pos="426"/>
        </w:tabs>
        <w:spacing w:before="240" w:after="240" w:line="360" w:lineRule="auto"/>
        <w:ind w:left="0" w:right="51"/>
        <w:jc w:val="both"/>
        <w:rPr>
          <w:rFonts w:ascii="Palatino Linotype" w:hAnsi="Palatino Linotype" w:cs="Tahoma"/>
          <w:bCs/>
          <w:iCs/>
        </w:rPr>
      </w:pPr>
    </w:p>
    <w:p w14:paraId="27D05764" w14:textId="1C605548" w:rsidR="00DA701E" w:rsidRPr="001672EA" w:rsidRDefault="009C7D30"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 xml:space="preserve">Anterior a la publicación de la norma antes mencionada, la </w:t>
      </w:r>
      <w:r w:rsidRPr="001672EA">
        <w:rPr>
          <w:rFonts w:ascii="Palatino Linotype" w:hAnsi="Palatino Linotype"/>
          <w:b/>
        </w:rPr>
        <w:t>Ley de Documentos Administrativos e Históricos del Estado de México</w:t>
      </w:r>
      <w:r w:rsidRPr="001672EA">
        <w:rPr>
          <w:rFonts w:ascii="Palatino Linotype" w:hAnsi="Palatino Linotype"/>
        </w:rPr>
        <w:t>, se encargaba de normar y regular la administración de documentos administrativos e históricos de las autoridades del Estado y los municipios en el ámbito de su competencia</w:t>
      </w:r>
      <w:r w:rsidRPr="001672EA">
        <w:rPr>
          <w:rStyle w:val="Refdenotaalpie"/>
          <w:rFonts w:ascii="Palatino Linotype" w:hAnsi="Palatino Linotype"/>
        </w:rPr>
        <w:footnoteReference w:id="18"/>
      </w:r>
      <w:r w:rsidRPr="001672EA">
        <w:rPr>
          <w:rFonts w:ascii="Palatino Linotype" w:hAnsi="Palatino Linotype"/>
        </w:rPr>
        <w:t xml:space="preserve">. </w:t>
      </w:r>
    </w:p>
    <w:p w14:paraId="5B1CF162" w14:textId="77777777" w:rsidR="00DA701E" w:rsidRPr="001672EA" w:rsidRDefault="00DA701E" w:rsidP="00DA701E">
      <w:pPr>
        <w:pStyle w:val="Prrafodelista"/>
        <w:tabs>
          <w:tab w:val="left" w:pos="426"/>
        </w:tabs>
        <w:spacing w:before="240" w:after="240" w:line="360" w:lineRule="auto"/>
        <w:ind w:left="0" w:right="51"/>
        <w:jc w:val="both"/>
        <w:rPr>
          <w:rFonts w:ascii="Palatino Linotype" w:hAnsi="Palatino Linotype" w:cs="Tahoma"/>
          <w:bCs/>
          <w:iCs/>
        </w:rPr>
      </w:pPr>
    </w:p>
    <w:p w14:paraId="0915DD9C" w14:textId="3CECDBB3" w:rsidR="00DA701E" w:rsidRPr="001672EA" w:rsidRDefault="008A6806"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En lo que respecta a los Archivos Municipales, los artículos 18 y 19 de la Ley de mérito establecían lo siguiente:</w:t>
      </w:r>
    </w:p>
    <w:p w14:paraId="00651300" w14:textId="77777777" w:rsidR="00DA701E" w:rsidRPr="001672EA" w:rsidRDefault="00DA701E" w:rsidP="00DA701E">
      <w:pPr>
        <w:pStyle w:val="Prrafodelista"/>
        <w:tabs>
          <w:tab w:val="left" w:pos="426"/>
        </w:tabs>
        <w:spacing w:before="240" w:after="240" w:line="360" w:lineRule="auto"/>
        <w:ind w:left="0" w:right="51"/>
        <w:jc w:val="both"/>
        <w:rPr>
          <w:rFonts w:ascii="Palatino Linotype" w:hAnsi="Palatino Linotype" w:cs="Tahoma"/>
          <w:bCs/>
          <w:iCs/>
        </w:rPr>
      </w:pPr>
    </w:p>
    <w:p w14:paraId="214B3D34" w14:textId="77777777" w:rsidR="008A6806" w:rsidRPr="001672EA" w:rsidRDefault="008A6806" w:rsidP="008A6806">
      <w:pPr>
        <w:pStyle w:val="Prrafodelista"/>
        <w:tabs>
          <w:tab w:val="left" w:pos="426"/>
        </w:tabs>
        <w:spacing w:before="240" w:after="240" w:line="276" w:lineRule="auto"/>
        <w:ind w:left="567" w:right="567"/>
        <w:jc w:val="both"/>
        <w:rPr>
          <w:rFonts w:ascii="Palatino Linotype" w:hAnsi="Palatino Linotype" w:cs="Tahoma"/>
          <w:bCs/>
          <w:i/>
          <w:iCs/>
          <w:sz w:val="22"/>
        </w:rPr>
      </w:pPr>
      <w:r w:rsidRPr="001672EA">
        <w:rPr>
          <w:rFonts w:ascii="Palatino Linotype" w:hAnsi="Palatino Linotype" w:cs="Tahoma"/>
          <w:bCs/>
          <w:i/>
          <w:iCs/>
          <w:sz w:val="22"/>
        </w:rPr>
        <w:t>“</w:t>
      </w:r>
      <w:r w:rsidRPr="001672EA">
        <w:rPr>
          <w:rFonts w:ascii="Palatino Linotype" w:hAnsi="Palatino Linotype" w:cs="Tahoma"/>
          <w:b/>
          <w:bCs/>
          <w:i/>
          <w:iCs/>
          <w:sz w:val="22"/>
        </w:rPr>
        <w:t>Artículo 18.</w:t>
      </w:r>
      <w:r w:rsidRPr="001672EA">
        <w:rPr>
          <w:rFonts w:ascii="Palatino Linotype" w:hAnsi="Palatino Linotype" w:cs="Tahoma"/>
          <w:bCs/>
          <w:i/>
          <w:iCs/>
          <w:sz w:val="22"/>
        </w:rPr>
        <w:t xml:space="preserve"> </w:t>
      </w:r>
      <w:r w:rsidRPr="001672EA">
        <w:rPr>
          <w:rFonts w:ascii="Palatino Linotype" w:hAnsi="Palatino Linotype" w:cs="Tahoma"/>
          <w:b/>
          <w:bCs/>
          <w:i/>
          <w:iCs/>
          <w:sz w:val="22"/>
        </w:rPr>
        <w:t>El Archivo Municipal se integrará por todos aquellos documentos</w:t>
      </w:r>
      <w:r w:rsidRPr="001672EA">
        <w:rPr>
          <w:rFonts w:ascii="Palatino Linotype" w:hAnsi="Palatino Linotype" w:cs="Tahoma"/>
          <w:bCs/>
          <w:i/>
          <w:iCs/>
          <w:sz w:val="22"/>
        </w:rPr>
        <w:t xml:space="preserve"> físicos y electrónicos </w:t>
      </w:r>
      <w:r w:rsidRPr="001672EA">
        <w:rPr>
          <w:rFonts w:ascii="Palatino Linotype" w:hAnsi="Palatino Linotype" w:cs="Tahoma"/>
          <w:b/>
          <w:bCs/>
          <w:i/>
          <w:iCs/>
          <w:sz w:val="22"/>
        </w:rPr>
        <w:t>que en cada trienio se hubieren administrado</w:t>
      </w:r>
      <w:r w:rsidRPr="001672EA">
        <w:rPr>
          <w:rFonts w:ascii="Palatino Linotype" w:hAnsi="Palatino Linotype" w:cs="Tahoma"/>
          <w:bCs/>
          <w:i/>
          <w:iCs/>
          <w:sz w:val="22"/>
        </w:rPr>
        <w:t xml:space="preserve">, así como de aquellos emitidos o que emitan el Poder Ejecutivo o cualquier otra autoridad y los particulares. </w:t>
      </w:r>
    </w:p>
    <w:p w14:paraId="2FD82D43" w14:textId="77777777" w:rsidR="008A6806" w:rsidRPr="001672EA" w:rsidRDefault="008A6806" w:rsidP="008A6806">
      <w:pPr>
        <w:pStyle w:val="Prrafodelista"/>
        <w:tabs>
          <w:tab w:val="left" w:pos="426"/>
        </w:tabs>
        <w:spacing w:before="240" w:after="240" w:line="276" w:lineRule="auto"/>
        <w:ind w:left="567" w:right="567"/>
        <w:jc w:val="both"/>
        <w:rPr>
          <w:rFonts w:ascii="Palatino Linotype" w:hAnsi="Palatino Linotype" w:cs="Tahoma"/>
          <w:bCs/>
          <w:i/>
          <w:iCs/>
          <w:sz w:val="22"/>
        </w:rPr>
      </w:pPr>
    </w:p>
    <w:p w14:paraId="134D24FB" w14:textId="77777777" w:rsidR="008A6806" w:rsidRPr="001672EA" w:rsidRDefault="008A6806" w:rsidP="008A6806">
      <w:pPr>
        <w:pStyle w:val="Prrafodelista"/>
        <w:tabs>
          <w:tab w:val="left" w:pos="426"/>
        </w:tabs>
        <w:spacing w:before="240" w:after="240" w:line="276" w:lineRule="auto"/>
        <w:ind w:left="567" w:right="567"/>
        <w:jc w:val="both"/>
        <w:rPr>
          <w:rFonts w:ascii="Palatino Linotype" w:hAnsi="Palatino Linotype" w:cs="Tahoma"/>
          <w:bCs/>
          <w:i/>
          <w:iCs/>
          <w:sz w:val="22"/>
        </w:rPr>
      </w:pPr>
      <w:r w:rsidRPr="001672EA">
        <w:rPr>
          <w:rFonts w:ascii="Palatino Linotype" w:hAnsi="Palatino Linotype" w:cs="Tahoma"/>
          <w:b/>
          <w:bCs/>
          <w:i/>
          <w:iCs/>
          <w:sz w:val="22"/>
        </w:rPr>
        <w:t>Artículo 19.-</w:t>
      </w:r>
      <w:r w:rsidRPr="001672EA">
        <w:rPr>
          <w:rFonts w:ascii="Palatino Linotype" w:hAnsi="Palatino Linotype" w:cs="Tahoma"/>
          <w:bCs/>
          <w:i/>
          <w:iCs/>
          <w:sz w:val="22"/>
        </w:rPr>
        <w:t xml:space="preserve"> </w:t>
      </w:r>
      <w:r w:rsidRPr="001672EA">
        <w:rPr>
          <w:rFonts w:ascii="Palatino Linotype" w:hAnsi="Palatino Linotype" w:cs="Tahoma"/>
          <w:b/>
          <w:bCs/>
          <w:i/>
          <w:iCs/>
          <w:sz w:val="22"/>
        </w:rPr>
        <w:t>El Archivo Municipal estará bajo la responsabilidad del Secretario</w:t>
      </w:r>
      <w:r w:rsidRPr="001672EA">
        <w:rPr>
          <w:rFonts w:ascii="Palatino Linotype" w:hAnsi="Palatino Linotype" w:cs="Tahoma"/>
          <w:bCs/>
          <w:i/>
          <w:iCs/>
          <w:sz w:val="22"/>
        </w:rPr>
        <w:t xml:space="preserve"> del Ayuntamiento y tendrá las siguientes funciones: </w:t>
      </w:r>
    </w:p>
    <w:p w14:paraId="76F2F01B" w14:textId="77777777" w:rsidR="008A6806" w:rsidRPr="001672EA" w:rsidRDefault="008A6806" w:rsidP="008A6806">
      <w:pPr>
        <w:pStyle w:val="Prrafodelista"/>
        <w:tabs>
          <w:tab w:val="left" w:pos="426"/>
        </w:tabs>
        <w:spacing w:before="240" w:after="240" w:line="276" w:lineRule="auto"/>
        <w:ind w:left="851" w:right="567"/>
        <w:jc w:val="both"/>
        <w:rPr>
          <w:rFonts w:ascii="Palatino Linotype" w:hAnsi="Palatino Linotype" w:cs="Tahoma"/>
          <w:bCs/>
          <w:i/>
          <w:iCs/>
          <w:sz w:val="22"/>
        </w:rPr>
      </w:pPr>
      <w:r w:rsidRPr="001672EA">
        <w:rPr>
          <w:rFonts w:ascii="Palatino Linotype" w:hAnsi="Palatino Linotype" w:cs="Tahoma"/>
          <w:b/>
          <w:bCs/>
          <w:i/>
          <w:iCs/>
          <w:sz w:val="22"/>
        </w:rPr>
        <w:t>a)</w:t>
      </w:r>
      <w:r w:rsidRPr="001672EA">
        <w:rPr>
          <w:rFonts w:ascii="Palatino Linotype" w:hAnsi="Palatino Linotype" w:cs="Tahoma"/>
          <w:bCs/>
          <w:i/>
          <w:iCs/>
          <w:sz w:val="22"/>
        </w:rPr>
        <w:t xml:space="preserve"> </w:t>
      </w:r>
      <w:r w:rsidRPr="001672EA">
        <w:rPr>
          <w:rFonts w:ascii="Palatino Linotype" w:hAnsi="Palatino Linotype" w:cs="Tahoma"/>
          <w:b/>
          <w:bCs/>
          <w:i/>
          <w:iCs/>
          <w:sz w:val="22"/>
        </w:rPr>
        <w:t>Recibir la documentación</w:t>
      </w:r>
      <w:r w:rsidRPr="001672EA">
        <w:rPr>
          <w:rFonts w:ascii="Palatino Linotype" w:hAnsi="Palatino Linotype" w:cs="Tahoma"/>
          <w:bCs/>
          <w:i/>
          <w:iCs/>
          <w:sz w:val="22"/>
        </w:rPr>
        <w:t xml:space="preserve"> física y electrónica, </w:t>
      </w:r>
      <w:r w:rsidRPr="001672EA">
        <w:rPr>
          <w:rFonts w:ascii="Palatino Linotype" w:hAnsi="Palatino Linotype" w:cs="Tahoma"/>
          <w:b/>
          <w:bCs/>
          <w:i/>
          <w:iCs/>
          <w:sz w:val="22"/>
        </w:rPr>
        <w:t xml:space="preserve">procediendo a su organización y resguardo </w:t>
      </w:r>
      <w:r w:rsidRPr="001672EA">
        <w:rPr>
          <w:rFonts w:ascii="Palatino Linotype" w:hAnsi="Palatino Linotype" w:cs="Tahoma"/>
          <w:bCs/>
          <w:i/>
          <w:iCs/>
          <w:sz w:val="22"/>
        </w:rPr>
        <w:t xml:space="preserve">en los espacios e instrumentos tecnológicos que se destinen para tal efecto. </w:t>
      </w:r>
    </w:p>
    <w:p w14:paraId="067B1C62" w14:textId="77777777" w:rsidR="008A6806" w:rsidRPr="001672EA" w:rsidRDefault="008A6806" w:rsidP="008A6806">
      <w:pPr>
        <w:pStyle w:val="Prrafodelista"/>
        <w:tabs>
          <w:tab w:val="left" w:pos="426"/>
        </w:tabs>
        <w:spacing w:before="240" w:after="240" w:line="276" w:lineRule="auto"/>
        <w:ind w:left="851" w:right="567"/>
        <w:jc w:val="both"/>
        <w:rPr>
          <w:rFonts w:ascii="Palatino Linotype" w:hAnsi="Palatino Linotype" w:cs="Tahoma"/>
          <w:bCs/>
          <w:i/>
          <w:iCs/>
          <w:sz w:val="22"/>
        </w:rPr>
      </w:pPr>
      <w:r w:rsidRPr="001672EA">
        <w:rPr>
          <w:rFonts w:ascii="Palatino Linotype" w:hAnsi="Palatino Linotype" w:cs="Tahoma"/>
          <w:b/>
          <w:bCs/>
          <w:i/>
          <w:iCs/>
          <w:sz w:val="22"/>
        </w:rPr>
        <w:t>b)</w:t>
      </w:r>
      <w:r w:rsidRPr="001672EA">
        <w:rPr>
          <w:rFonts w:ascii="Palatino Linotype" w:hAnsi="Palatino Linotype" w:cs="Tahoma"/>
          <w:bCs/>
          <w:i/>
          <w:iCs/>
          <w:sz w:val="22"/>
        </w:rPr>
        <w:t xml:space="preserve"> </w:t>
      </w:r>
      <w:r w:rsidRPr="001672EA">
        <w:rPr>
          <w:rFonts w:ascii="Palatino Linotype" w:hAnsi="Palatino Linotype" w:cs="Tahoma"/>
          <w:b/>
          <w:bCs/>
          <w:i/>
          <w:iCs/>
          <w:sz w:val="22"/>
        </w:rPr>
        <w:t xml:space="preserve">Establecer una identificación, clasificación y catalogación </w:t>
      </w:r>
      <w:r w:rsidRPr="001672EA">
        <w:rPr>
          <w:rFonts w:ascii="Palatino Linotype" w:hAnsi="Palatino Linotype" w:cs="Tahoma"/>
          <w:bCs/>
          <w:i/>
          <w:iCs/>
          <w:sz w:val="22"/>
        </w:rPr>
        <w:t xml:space="preserve">de documentos a fin de que se proporcione el servicio de consulta con la debida oportunidad y eficacia. </w:t>
      </w:r>
    </w:p>
    <w:p w14:paraId="4956A101" w14:textId="3BFC9CF1" w:rsidR="008A6806" w:rsidRPr="001672EA" w:rsidRDefault="008A6806" w:rsidP="008A6806">
      <w:pPr>
        <w:pStyle w:val="Prrafodelista"/>
        <w:tabs>
          <w:tab w:val="left" w:pos="426"/>
        </w:tabs>
        <w:spacing w:before="240" w:after="240" w:line="276" w:lineRule="auto"/>
        <w:ind w:left="851" w:right="567"/>
        <w:jc w:val="both"/>
        <w:rPr>
          <w:rFonts w:ascii="Palatino Linotype" w:hAnsi="Palatino Linotype" w:cs="Tahoma"/>
          <w:bCs/>
          <w:i/>
          <w:iCs/>
          <w:sz w:val="22"/>
        </w:rPr>
      </w:pPr>
      <w:r w:rsidRPr="001672EA">
        <w:rPr>
          <w:rFonts w:ascii="Palatino Linotype" w:hAnsi="Palatino Linotype" w:cs="Tahoma"/>
          <w:b/>
          <w:bCs/>
          <w:i/>
          <w:iCs/>
          <w:sz w:val="22"/>
        </w:rPr>
        <w:lastRenderedPageBreak/>
        <w:t>c)</w:t>
      </w:r>
      <w:r w:rsidRPr="001672EA">
        <w:rPr>
          <w:rFonts w:ascii="Palatino Linotype" w:hAnsi="Palatino Linotype" w:cs="Tahoma"/>
          <w:bCs/>
          <w:i/>
          <w:iCs/>
          <w:sz w:val="22"/>
        </w:rPr>
        <w:t xml:space="preserve"> Establecerá nexos operativos con el Archivo General del Poder Ejecutivo y el Archivo Histórico del Estado, para efectos de clasificación, catalogación y depuración de documentos. </w:t>
      </w:r>
    </w:p>
    <w:p w14:paraId="651D8C03" w14:textId="77777777" w:rsidR="008A6806" w:rsidRPr="001672EA" w:rsidRDefault="008A6806" w:rsidP="008A6806">
      <w:pPr>
        <w:pStyle w:val="Prrafodelista"/>
        <w:tabs>
          <w:tab w:val="left" w:pos="426"/>
        </w:tabs>
        <w:spacing w:before="240" w:after="240" w:line="276" w:lineRule="auto"/>
        <w:ind w:left="851" w:right="567"/>
        <w:jc w:val="both"/>
        <w:rPr>
          <w:rFonts w:ascii="Palatino Linotype" w:hAnsi="Palatino Linotype" w:cs="Tahoma"/>
          <w:bCs/>
          <w:i/>
          <w:iCs/>
          <w:sz w:val="22"/>
        </w:rPr>
      </w:pPr>
      <w:r w:rsidRPr="001672EA">
        <w:rPr>
          <w:rFonts w:ascii="Palatino Linotype" w:hAnsi="Palatino Linotype" w:cs="Tahoma"/>
          <w:b/>
          <w:bCs/>
          <w:i/>
          <w:iCs/>
          <w:sz w:val="22"/>
        </w:rPr>
        <w:t>d)</w:t>
      </w:r>
      <w:r w:rsidRPr="001672EA">
        <w:rPr>
          <w:rFonts w:ascii="Palatino Linotype" w:hAnsi="Palatino Linotype" w:cs="Tahoma"/>
          <w:bCs/>
          <w:i/>
          <w:iCs/>
          <w:sz w:val="22"/>
        </w:rPr>
        <w:t xml:space="preserve"> </w:t>
      </w:r>
      <w:r w:rsidRPr="001672EA">
        <w:rPr>
          <w:rFonts w:ascii="Palatino Linotype" w:hAnsi="Palatino Linotype" w:cs="Tahoma"/>
          <w:b/>
          <w:bCs/>
          <w:i/>
          <w:iCs/>
          <w:sz w:val="22"/>
        </w:rPr>
        <w:t>Se procurará utilizar técnicas especializadas en archivonomía</w:t>
      </w:r>
      <w:r w:rsidRPr="001672EA">
        <w:rPr>
          <w:rFonts w:ascii="Palatino Linotype" w:hAnsi="Palatino Linotype" w:cs="Tahoma"/>
          <w:bCs/>
          <w:i/>
          <w:iCs/>
          <w:sz w:val="22"/>
        </w:rPr>
        <w:t xml:space="preserve">, en tecnologías de la información, en reproducción y en conservación de documentos, </w:t>
      </w:r>
      <w:r w:rsidRPr="001672EA">
        <w:rPr>
          <w:rFonts w:ascii="Palatino Linotype" w:hAnsi="Palatino Linotype" w:cs="Tahoma"/>
          <w:b/>
          <w:bCs/>
          <w:i/>
          <w:iCs/>
          <w:sz w:val="22"/>
        </w:rPr>
        <w:t>cuando éstos contengan materias de interés administrativo general</w:t>
      </w:r>
      <w:r w:rsidRPr="001672EA">
        <w:rPr>
          <w:rFonts w:ascii="Palatino Linotype" w:hAnsi="Palatino Linotype" w:cs="Tahoma"/>
          <w:bCs/>
          <w:i/>
          <w:iCs/>
          <w:sz w:val="22"/>
        </w:rPr>
        <w:t xml:space="preserve">, histórico, institucional, o bien, para efectos de seguridad, sustitución de documentos o facilidad de consulta. </w:t>
      </w:r>
    </w:p>
    <w:p w14:paraId="65B543CF" w14:textId="39912D5A" w:rsidR="008A6806" w:rsidRPr="001672EA" w:rsidRDefault="008A6806" w:rsidP="008A6806">
      <w:pPr>
        <w:pStyle w:val="Prrafodelista"/>
        <w:tabs>
          <w:tab w:val="left" w:pos="426"/>
        </w:tabs>
        <w:spacing w:before="240" w:after="240" w:line="276" w:lineRule="auto"/>
        <w:ind w:left="851" w:right="567"/>
        <w:jc w:val="both"/>
        <w:rPr>
          <w:rFonts w:ascii="Palatino Linotype" w:hAnsi="Palatino Linotype" w:cs="Tahoma"/>
          <w:bCs/>
          <w:i/>
          <w:iCs/>
          <w:sz w:val="22"/>
        </w:rPr>
      </w:pPr>
      <w:r w:rsidRPr="001672EA">
        <w:rPr>
          <w:rFonts w:ascii="Palatino Linotype" w:hAnsi="Palatino Linotype" w:cs="Tahoma"/>
          <w:b/>
          <w:bCs/>
          <w:i/>
          <w:iCs/>
          <w:sz w:val="22"/>
        </w:rPr>
        <w:t>e)</w:t>
      </w:r>
      <w:r w:rsidRPr="001672EA">
        <w:rPr>
          <w:rFonts w:ascii="Palatino Linotype" w:hAnsi="Palatino Linotype" w:cs="Tahoma"/>
          <w:bCs/>
          <w:i/>
          <w:iCs/>
          <w:sz w:val="22"/>
        </w:rPr>
        <w:t xml:space="preserve"> Establecerá nexos de coordinación con el Archivo General del Poder Ejecutivo, para efecto de producir y publicar información de interés general.”</w:t>
      </w:r>
    </w:p>
    <w:p w14:paraId="11859C81" w14:textId="33FB1124" w:rsidR="008A6806" w:rsidRPr="001672EA" w:rsidRDefault="008A6806" w:rsidP="008A6806">
      <w:pPr>
        <w:pStyle w:val="Prrafodelista"/>
        <w:tabs>
          <w:tab w:val="left" w:pos="426"/>
        </w:tabs>
        <w:spacing w:before="240" w:after="240" w:line="276" w:lineRule="auto"/>
        <w:ind w:left="567" w:right="567"/>
        <w:jc w:val="both"/>
        <w:rPr>
          <w:rFonts w:ascii="Palatino Linotype" w:hAnsi="Palatino Linotype" w:cs="Tahoma"/>
          <w:bCs/>
          <w:iCs/>
          <w:sz w:val="22"/>
        </w:rPr>
      </w:pPr>
      <w:r w:rsidRPr="001672EA">
        <w:rPr>
          <w:rFonts w:ascii="Palatino Linotype" w:hAnsi="Palatino Linotype" w:cs="Tahoma"/>
          <w:bCs/>
          <w:iCs/>
          <w:sz w:val="22"/>
        </w:rPr>
        <w:t>(Énfasis añadido)</w:t>
      </w:r>
    </w:p>
    <w:p w14:paraId="75F7379C" w14:textId="77777777" w:rsidR="008A6806" w:rsidRPr="001672EA" w:rsidRDefault="008A6806" w:rsidP="00DA701E">
      <w:pPr>
        <w:pStyle w:val="Prrafodelista"/>
        <w:tabs>
          <w:tab w:val="left" w:pos="426"/>
        </w:tabs>
        <w:spacing w:before="240" w:after="240" w:line="360" w:lineRule="auto"/>
        <w:ind w:left="0" w:right="51"/>
        <w:jc w:val="both"/>
        <w:rPr>
          <w:rFonts w:ascii="Palatino Linotype" w:hAnsi="Palatino Linotype" w:cs="Tahoma"/>
          <w:bCs/>
          <w:iCs/>
        </w:rPr>
      </w:pPr>
    </w:p>
    <w:p w14:paraId="12F0BA2D" w14:textId="41F0955D" w:rsidR="00DA701E" w:rsidRPr="001672EA" w:rsidRDefault="009F24C9"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 xml:space="preserve">De lo anterior se advierte que en cada municipio deberá existir un </w:t>
      </w:r>
      <w:r w:rsidRPr="001672EA">
        <w:rPr>
          <w:rFonts w:ascii="Palatino Linotype" w:hAnsi="Palatino Linotype"/>
          <w:b/>
        </w:rPr>
        <w:t>Archivo Histórico</w:t>
      </w:r>
      <w:r w:rsidRPr="001672EA">
        <w:rPr>
          <w:rFonts w:ascii="Palatino Linotype" w:hAnsi="Palatino Linotype"/>
        </w:rPr>
        <w:t xml:space="preserve">, el cual estará bajo la responsabilidad del Secretario del Ayuntamiento, quien tendrá entre sus atribuciones, </w:t>
      </w:r>
      <w:r w:rsidRPr="001672EA">
        <w:rPr>
          <w:rFonts w:ascii="Palatino Linotype" w:hAnsi="Palatino Linotype"/>
          <w:b/>
        </w:rPr>
        <w:t>recibir la documentación que envíen las áreas administrativas para su organización y resguardo</w:t>
      </w:r>
      <w:r w:rsidRPr="001672EA">
        <w:rPr>
          <w:rFonts w:ascii="Palatino Linotype" w:hAnsi="Palatino Linotype"/>
        </w:rPr>
        <w:t xml:space="preserve">; del mismo modo, deberá establecer una línea de identificación, catalogación y catalogación; así mismo, deberá procurar implementar </w:t>
      </w:r>
      <w:r w:rsidRPr="001672EA">
        <w:rPr>
          <w:rFonts w:ascii="Palatino Linotype" w:hAnsi="Palatino Linotype"/>
          <w:b/>
        </w:rPr>
        <w:t>técnicas en archivonomía cuando los documentos supongan un interés administrativo</w:t>
      </w:r>
      <w:r w:rsidRPr="001672EA">
        <w:rPr>
          <w:rFonts w:ascii="Palatino Linotype" w:hAnsi="Palatino Linotype"/>
        </w:rPr>
        <w:t xml:space="preserve"> general, histórico institucional, o bien, de seguridad.</w:t>
      </w:r>
    </w:p>
    <w:p w14:paraId="409684AC" w14:textId="77777777" w:rsidR="00DA701E" w:rsidRPr="001672EA" w:rsidRDefault="00DA701E" w:rsidP="00DA701E">
      <w:pPr>
        <w:pStyle w:val="Prrafodelista"/>
        <w:tabs>
          <w:tab w:val="left" w:pos="426"/>
        </w:tabs>
        <w:spacing w:before="240" w:after="240" w:line="360" w:lineRule="auto"/>
        <w:ind w:left="0" w:right="51"/>
        <w:jc w:val="both"/>
        <w:rPr>
          <w:rFonts w:ascii="Palatino Linotype" w:hAnsi="Palatino Linotype" w:cs="Tahoma"/>
          <w:bCs/>
          <w:iCs/>
        </w:rPr>
      </w:pPr>
    </w:p>
    <w:p w14:paraId="32FB9420" w14:textId="49189E77" w:rsidR="00DA701E" w:rsidRPr="001672EA" w:rsidRDefault="00536E7B"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C</w:t>
      </w:r>
      <w:r w:rsidR="00DB1382" w:rsidRPr="001672EA">
        <w:rPr>
          <w:rFonts w:ascii="Palatino Linotype" w:hAnsi="Palatino Linotype"/>
        </w:rPr>
        <w:t xml:space="preserve">orrelativo a esto, </w:t>
      </w:r>
      <w:r w:rsidR="00D7334E" w:rsidRPr="001672EA">
        <w:rPr>
          <w:rFonts w:ascii="Palatino Linotype" w:hAnsi="Palatino Linotype"/>
        </w:rPr>
        <w:t xml:space="preserve">se creó la a </w:t>
      </w:r>
      <w:r w:rsidR="00D7334E" w:rsidRPr="001672EA">
        <w:rPr>
          <w:rFonts w:ascii="Palatino Linotype" w:hAnsi="Palatino Linotype"/>
          <w:b/>
        </w:rPr>
        <w:t>Comisión Dictaminadora de Depuración de Documentos</w:t>
      </w:r>
      <w:r w:rsidR="00D7334E" w:rsidRPr="001672EA">
        <w:rPr>
          <w:rFonts w:ascii="Palatino Linotype" w:hAnsi="Palatino Linotype"/>
        </w:rPr>
        <w:t>, integrada por personas expertas o especialistas en la materia, misma que se tendría las siguientes facultades y atribuciones</w:t>
      </w:r>
      <w:r w:rsidR="00D7334E" w:rsidRPr="001672EA">
        <w:rPr>
          <w:rStyle w:val="Refdenotaalpie"/>
          <w:rFonts w:ascii="Palatino Linotype" w:hAnsi="Palatino Linotype"/>
        </w:rPr>
        <w:footnoteReference w:id="19"/>
      </w:r>
      <w:r w:rsidR="00D7334E" w:rsidRPr="001672EA">
        <w:rPr>
          <w:rFonts w:ascii="Palatino Linotype" w:hAnsi="Palatino Linotype"/>
        </w:rPr>
        <w:t>:</w:t>
      </w:r>
    </w:p>
    <w:p w14:paraId="7ACF8ADF" w14:textId="77777777" w:rsidR="00D7334E" w:rsidRPr="001672EA" w:rsidRDefault="00D7334E" w:rsidP="00D7334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rPr>
        <w:t xml:space="preserve">Llevar un registro que contenga la evaluación de los documentos que reporten valor histórico, administrativo, jurídico o económico. </w:t>
      </w:r>
    </w:p>
    <w:p w14:paraId="6ABF11CE" w14:textId="77777777" w:rsidR="00D7334E" w:rsidRPr="001672EA" w:rsidRDefault="00D7334E" w:rsidP="00D7334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rPr>
        <w:lastRenderedPageBreak/>
        <w:t xml:space="preserve">Realizar estudios y emitir opiniones a los responsables de la conservación y restauración de documentos de los archivos de la entidad. </w:t>
      </w:r>
    </w:p>
    <w:p w14:paraId="7E6462D5" w14:textId="77777777" w:rsidR="00D7334E" w:rsidRPr="001672EA" w:rsidRDefault="00D7334E" w:rsidP="00D7334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b/>
        </w:rPr>
        <w:t>Coadyuvar con los responsables de cada archivo, en la depuración de documentos</w:t>
      </w:r>
      <w:r w:rsidRPr="001672EA">
        <w:rPr>
          <w:rFonts w:ascii="Palatino Linotype" w:hAnsi="Palatino Linotype"/>
        </w:rPr>
        <w:t xml:space="preserve">, determinando cuáles deben conservarse por el término de Ley, trasladarse al Archivo Histórico o destruirse. </w:t>
      </w:r>
    </w:p>
    <w:p w14:paraId="1C993417" w14:textId="6C306E93" w:rsidR="00D7334E" w:rsidRPr="001672EA" w:rsidRDefault="00D7334E" w:rsidP="00D7334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b/>
        </w:rPr>
        <w:t xml:space="preserve">Cuando se trate de documentos de contenido meramente administrativo, para considerar su </w:t>
      </w:r>
      <w:r w:rsidRPr="001672EA">
        <w:rPr>
          <w:rFonts w:ascii="Palatino Linotype" w:hAnsi="Palatino Linotype"/>
          <w:b/>
          <w:u w:val="single"/>
        </w:rPr>
        <w:t>baja</w:t>
      </w:r>
      <w:r w:rsidRPr="001672EA">
        <w:rPr>
          <w:rFonts w:ascii="Palatino Linotype" w:hAnsi="Palatino Linotype"/>
        </w:rPr>
        <w:t>, se tomará parecer de la Dependencia o ayuntamiento de procedencia.</w:t>
      </w:r>
    </w:p>
    <w:p w14:paraId="696C91A0" w14:textId="77777777" w:rsidR="00DA701E" w:rsidRPr="001672EA" w:rsidRDefault="00DA701E" w:rsidP="00DA701E">
      <w:pPr>
        <w:pStyle w:val="Prrafodelista"/>
        <w:tabs>
          <w:tab w:val="left" w:pos="426"/>
        </w:tabs>
        <w:spacing w:before="240" w:after="240" w:line="360" w:lineRule="auto"/>
        <w:ind w:left="0" w:right="51"/>
        <w:jc w:val="both"/>
        <w:rPr>
          <w:rFonts w:ascii="Palatino Linotype" w:hAnsi="Palatino Linotype" w:cs="Tahoma"/>
          <w:bCs/>
          <w:iCs/>
        </w:rPr>
      </w:pPr>
    </w:p>
    <w:p w14:paraId="7B616C6F" w14:textId="555C6926" w:rsidR="00DA701E" w:rsidRPr="001672EA" w:rsidRDefault="00D7334E"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 xml:space="preserve">Así las cosas, la abrogada Ley de Documentos Administrativos e Históricos del Estado de México, publicada el veinticuatro (24) de marzo de mil novecientos ochenta y seis, ya consideraba un sistema de conservación de archivos, mismo que debía ser implementado a nivel estatal y </w:t>
      </w:r>
      <w:r w:rsidRPr="001672EA">
        <w:rPr>
          <w:rFonts w:ascii="Palatino Linotype" w:hAnsi="Palatino Linotype"/>
          <w:b/>
        </w:rPr>
        <w:t>municipal</w:t>
      </w:r>
      <w:r w:rsidRPr="001672EA">
        <w:rPr>
          <w:rFonts w:ascii="Palatino Linotype" w:hAnsi="Palatino Linotype"/>
        </w:rPr>
        <w:t xml:space="preserve"> por todas las dependencias públicas. Aunado a lo anterior, existía una dependencia especial denominada </w:t>
      </w:r>
      <w:r w:rsidRPr="001672EA">
        <w:rPr>
          <w:rFonts w:ascii="Palatino Linotype" w:hAnsi="Palatino Linotype"/>
          <w:b/>
        </w:rPr>
        <w:t>Comisión Dictaminadora de Depuración de Documentos</w:t>
      </w:r>
      <w:r w:rsidRPr="001672EA">
        <w:rPr>
          <w:rFonts w:ascii="Palatino Linotype" w:hAnsi="Palatino Linotype"/>
        </w:rPr>
        <w:t>, la cual se encargar</w:t>
      </w:r>
      <w:r w:rsidR="0072026C" w:rsidRPr="001672EA">
        <w:rPr>
          <w:rFonts w:ascii="Palatino Linotype" w:hAnsi="Palatino Linotype"/>
        </w:rPr>
        <w:t>ía de auxiliar a las dependencias para tramitar la depuración y/o baja de sus documentos administrativos.</w:t>
      </w:r>
    </w:p>
    <w:p w14:paraId="051B98DF" w14:textId="77777777" w:rsidR="00DA701E" w:rsidRPr="001672EA" w:rsidRDefault="00DA701E" w:rsidP="00DA701E">
      <w:pPr>
        <w:pStyle w:val="Prrafodelista"/>
        <w:tabs>
          <w:tab w:val="left" w:pos="426"/>
        </w:tabs>
        <w:spacing w:before="240" w:after="240" w:line="360" w:lineRule="auto"/>
        <w:ind w:left="0" w:right="51"/>
        <w:jc w:val="both"/>
        <w:rPr>
          <w:rFonts w:ascii="Palatino Linotype" w:hAnsi="Palatino Linotype" w:cs="Tahoma"/>
          <w:bCs/>
          <w:iCs/>
        </w:rPr>
      </w:pPr>
    </w:p>
    <w:p w14:paraId="1710760E" w14:textId="6F6A7AE7" w:rsidR="00DA701E" w:rsidRPr="001672EA" w:rsidRDefault="0072026C"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s="Tahoma"/>
          <w:bCs/>
          <w:iCs/>
        </w:rPr>
        <w:t xml:space="preserve">No es ocioso mencionar que los </w:t>
      </w:r>
      <w:r w:rsidRPr="001672EA">
        <w:rPr>
          <w:rFonts w:ascii="Palatino Linotype" w:hAnsi="Palatino Linotype" w:cs="Tahoma"/>
          <w:bCs/>
          <w:i/>
          <w:iCs/>
        </w:rPr>
        <w:t>Lineamientos para la Organización y Conservación de los Archivos</w:t>
      </w:r>
      <w:r w:rsidRPr="001672EA">
        <w:rPr>
          <w:rFonts w:ascii="Palatino Linotype" w:hAnsi="Palatino Linotype" w:cs="Tahoma"/>
          <w:bCs/>
          <w:iCs/>
        </w:rPr>
        <w:t xml:space="preserve">,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w:t>
      </w:r>
      <w:r w:rsidRPr="001672EA">
        <w:rPr>
          <w:rFonts w:ascii="Palatino Linotype" w:hAnsi="Palatino Linotype" w:cs="Tahoma"/>
          <w:bCs/>
          <w:iCs/>
        </w:rPr>
        <w:lastRenderedPageBreak/>
        <w:t>de la información generada, obtenida, adquirida, transformada y contar con sistemas de información, ágiles y eficientes</w:t>
      </w:r>
      <w:r w:rsidRPr="001672EA">
        <w:rPr>
          <w:rStyle w:val="Refdenotaalpie"/>
          <w:rFonts w:ascii="Palatino Linotype" w:hAnsi="Palatino Linotype" w:cs="Tahoma"/>
          <w:bCs/>
          <w:iCs/>
        </w:rPr>
        <w:footnoteReference w:id="20"/>
      </w:r>
      <w:r w:rsidRPr="001672EA">
        <w:rPr>
          <w:rFonts w:ascii="Palatino Linotype" w:hAnsi="Palatino Linotype" w:cs="Tahoma"/>
          <w:bCs/>
          <w:iCs/>
        </w:rPr>
        <w:t>.</w:t>
      </w:r>
    </w:p>
    <w:p w14:paraId="0EC44C27" w14:textId="77777777" w:rsidR="00DA701E" w:rsidRPr="001672EA" w:rsidRDefault="00DA701E" w:rsidP="00DA701E">
      <w:pPr>
        <w:pStyle w:val="Prrafodelista"/>
        <w:tabs>
          <w:tab w:val="left" w:pos="426"/>
        </w:tabs>
        <w:spacing w:before="240" w:after="240" w:line="360" w:lineRule="auto"/>
        <w:ind w:left="0" w:right="51"/>
        <w:jc w:val="both"/>
        <w:rPr>
          <w:rFonts w:ascii="Palatino Linotype" w:hAnsi="Palatino Linotype" w:cs="Tahoma"/>
          <w:bCs/>
          <w:iCs/>
        </w:rPr>
      </w:pPr>
    </w:p>
    <w:p w14:paraId="1BAA1CEE" w14:textId="6D4DFB45" w:rsidR="00DA701E" w:rsidRPr="001672EA" w:rsidRDefault="0072026C" w:rsidP="00DA701E">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Dentro del Lineamiento Cuarto, se establecen diversas definiciones, entre las que destacan las siguientes:</w:t>
      </w:r>
    </w:p>
    <w:p w14:paraId="63AD709D" w14:textId="77777777" w:rsidR="0072026C" w:rsidRPr="001672EA" w:rsidRDefault="0072026C" w:rsidP="0072026C">
      <w:pPr>
        <w:pStyle w:val="Prrafodelista"/>
        <w:tabs>
          <w:tab w:val="left" w:pos="426"/>
        </w:tabs>
        <w:spacing w:before="240" w:after="240" w:line="360" w:lineRule="auto"/>
        <w:ind w:left="0" w:right="51"/>
        <w:jc w:val="both"/>
        <w:rPr>
          <w:rFonts w:ascii="Palatino Linotype" w:hAnsi="Palatino Linotype"/>
        </w:rPr>
      </w:pPr>
    </w:p>
    <w:p w14:paraId="0FC61C44" w14:textId="2079564D"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i/>
          <w:sz w:val="22"/>
        </w:rPr>
        <w:t>“</w:t>
      </w:r>
      <w:r w:rsidRPr="001672EA">
        <w:rPr>
          <w:rFonts w:ascii="Palatino Linotype" w:hAnsi="Palatino Linotype"/>
          <w:b/>
          <w:i/>
          <w:sz w:val="22"/>
        </w:rPr>
        <w:t>Cuarto.</w:t>
      </w:r>
      <w:r w:rsidRPr="001672EA">
        <w:rPr>
          <w:rFonts w:ascii="Palatino Linotype" w:hAnsi="Palatino Linotype"/>
          <w:i/>
          <w:sz w:val="22"/>
        </w:rPr>
        <w:t xml:space="preserve"> Además de las definiciones contenidas en el artículo 3 de la Ley General de Transparencia y Acceso a la Información Pública, para efectos de los presentes lineamientos se entenderá por:</w:t>
      </w:r>
    </w:p>
    <w:p w14:paraId="4C3DBF9C" w14:textId="54B552CF"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i/>
          <w:sz w:val="22"/>
        </w:rPr>
        <w:t>(…)</w:t>
      </w:r>
    </w:p>
    <w:p w14:paraId="4B36BCE5" w14:textId="5795363F"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b/>
          <w:i/>
          <w:sz w:val="22"/>
        </w:rPr>
        <w:t>VIII. Baja documental:</w:t>
      </w:r>
      <w:r w:rsidRPr="001672EA">
        <w:rPr>
          <w:rFonts w:ascii="Palatino Linotype" w:hAnsi="Palatino Linotype"/>
          <w:i/>
          <w:sz w:val="22"/>
        </w:rPr>
        <w:t xml:space="preserve"> La eliminación de aquella documentación que haya prescrito en sus valores administrativos, legales, fiscales o contables, y que no contenga valores históricos;</w:t>
      </w:r>
    </w:p>
    <w:p w14:paraId="779C40BD" w14:textId="604E547E"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i/>
          <w:sz w:val="22"/>
        </w:rPr>
        <w:t>(…)</w:t>
      </w:r>
    </w:p>
    <w:p w14:paraId="380C4409" w14:textId="08825E74"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b/>
          <w:i/>
          <w:sz w:val="22"/>
        </w:rPr>
        <w:t>X. Ciclo vital del documento:</w:t>
      </w:r>
      <w:r w:rsidRPr="001672EA">
        <w:rPr>
          <w:rFonts w:ascii="Palatino Linotype" w:hAnsi="Palatino Linotype"/>
          <w:i/>
          <w:sz w:val="22"/>
        </w:rPr>
        <w:t xml:space="preserve"> Las etapas de los documentos desde su producción o recepción hasta su baja o transferencia a un archivo histórico;</w:t>
      </w:r>
    </w:p>
    <w:p w14:paraId="7C9E664F" w14:textId="6B5941EE"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i/>
          <w:sz w:val="22"/>
        </w:rPr>
        <w:t>(…)</w:t>
      </w:r>
    </w:p>
    <w:p w14:paraId="5A434005" w14:textId="20AE4F66"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b/>
          <w:i/>
          <w:sz w:val="22"/>
        </w:rPr>
        <w:t xml:space="preserve">XVIII. Disposición documental: </w:t>
      </w:r>
      <w:r w:rsidRPr="001672EA">
        <w:rPr>
          <w:rFonts w:ascii="Palatino Linotype" w:hAnsi="Palatino Linotype"/>
          <w:i/>
          <w:sz w:val="22"/>
        </w:rPr>
        <w:t>La selección sistemática de los expedientes de los archivos de trámite o concentración cuya vigencia documental o uso ha prescrito, con el fin de realizar la baja documental o transferirlos;</w:t>
      </w:r>
    </w:p>
    <w:p w14:paraId="66B1BCC4" w14:textId="37E8B7CC"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i/>
          <w:sz w:val="22"/>
        </w:rPr>
        <w:t>(…)</w:t>
      </w:r>
    </w:p>
    <w:p w14:paraId="75DFEDC4" w14:textId="250AE22C"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b/>
          <w:i/>
          <w:sz w:val="22"/>
        </w:rPr>
        <w:t>XXIX. Inventarios documentales:</w:t>
      </w:r>
      <w:r w:rsidRPr="001672EA">
        <w:rPr>
          <w:rFonts w:ascii="Palatino Linotype" w:hAnsi="Palatino Linotype"/>
          <w:i/>
          <w:sz w:val="22"/>
        </w:rPr>
        <w:t xml:space="preserve"> Los instrumentos de consulta que describen las series y expedientes de un archivo y que permiten su localización (inventario general), transferencia (inventario de transferencia) o baja documental (inventario de baja documental);</w:t>
      </w:r>
    </w:p>
    <w:p w14:paraId="0E42E807" w14:textId="0021C9B6" w:rsidR="0072026C" w:rsidRPr="001672EA" w:rsidRDefault="0072026C" w:rsidP="0072026C">
      <w:pPr>
        <w:pStyle w:val="Prrafodelista"/>
        <w:tabs>
          <w:tab w:val="left" w:pos="426"/>
        </w:tabs>
        <w:spacing w:before="240" w:after="240" w:line="276" w:lineRule="auto"/>
        <w:ind w:left="567" w:right="567"/>
        <w:jc w:val="both"/>
        <w:rPr>
          <w:rFonts w:ascii="Palatino Linotype" w:hAnsi="Palatino Linotype"/>
          <w:i/>
          <w:sz w:val="22"/>
        </w:rPr>
      </w:pPr>
      <w:r w:rsidRPr="001672EA">
        <w:rPr>
          <w:rFonts w:ascii="Palatino Linotype" w:hAnsi="Palatino Linotype"/>
          <w:i/>
          <w:sz w:val="22"/>
        </w:rPr>
        <w:t>(…)”</w:t>
      </w:r>
    </w:p>
    <w:p w14:paraId="3E371F64" w14:textId="77777777" w:rsidR="0072026C" w:rsidRPr="001672EA" w:rsidRDefault="0072026C" w:rsidP="0072026C">
      <w:pPr>
        <w:pStyle w:val="Prrafodelista"/>
        <w:tabs>
          <w:tab w:val="left" w:pos="426"/>
        </w:tabs>
        <w:spacing w:before="240" w:after="240" w:line="360" w:lineRule="auto"/>
        <w:ind w:left="0" w:right="51"/>
        <w:jc w:val="both"/>
        <w:rPr>
          <w:rFonts w:ascii="Palatino Linotype" w:hAnsi="Palatino Linotype" w:cs="Tahoma"/>
          <w:bCs/>
          <w:iCs/>
        </w:rPr>
      </w:pPr>
    </w:p>
    <w:p w14:paraId="5BE8F52A" w14:textId="13076D52" w:rsidR="00DA701E" w:rsidRPr="001672EA" w:rsidRDefault="0072026C" w:rsidP="00E171A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rPr>
        <w:t xml:space="preserve">De las líneas transcritas </w:t>
      </w:r>
      <w:r w:rsidRPr="001672EA">
        <w:rPr>
          <w:rFonts w:ascii="Palatino Linotype" w:hAnsi="Palatino Linotype"/>
          <w:i/>
        </w:rPr>
        <w:t>supra</w:t>
      </w:r>
      <w:r w:rsidRPr="001672EA">
        <w:rPr>
          <w:rFonts w:ascii="Palatino Linotype" w:hAnsi="Palatino Linotype"/>
        </w:rPr>
        <w:t xml:space="preserve">, podemos entender al </w:t>
      </w:r>
      <w:r w:rsidRPr="001672EA">
        <w:rPr>
          <w:rFonts w:ascii="Palatino Linotype" w:hAnsi="Palatino Linotype"/>
          <w:b/>
        </w:rPr>
        <w:t>ciclo vital de un documento</w:t>
      </w:r>
      <w:r w:rsidRPr="001672EA">
        <w:rPr>
          <w:rFonts w:ascii="Palatino Linotype" w:hAnsi="Palatino Linotype"/>
        </w:rPr>
        <w:t xml:space="preserve"> como todas las etapas consideradas desde su producción o recepción, hasta su </w:t>
      </w:r>
      <w:r w:rsidRPr="001672EA">
        <w:rPr>
          <w:rFonts w:ascii="Palatino Linotype" w:hAnsi="Palatino Linotype"/>
          <w:b/>
        </w:rPr>
        <w:t>baja</w:t>
      </w:r>
      <w:r w:rsidRPr="001672EA">
        <w:rPr>
          <w:rFonts w:ascii="Palatino Linotype" w:hAnsi="Palatino Linotype"/>
        </w:rPr>
        <w:t xml:space="preserve"> o transferencia a un Archivo Histórico; por su parte,</w:t>
      </w:r>
      <w:r w:rsidR="00ED5B4E" w:rsidRPr="001672EA">
        <w:rPr>
          <w:rFonts w:ascii="Palatino Linotype" w:hAnsi="Palatino Linotype"/>
        </w:rPr>
        <w:t xml:space="preserve"> la </w:t>
      </w:r>
      <w:r w:rsidR="00ED5B4E" w:rsidRPr="001672EA">
        <w:rPr>
          <w:rFonts w:ascii="Palatino Linotype" w:hAnsi="Palatino Linotype"/>
          <w:b/>
        </w:rPr>
        <w:t xml:space="preserve">disposición </w:t>
      </w:r>
      <w:r w:rsidR="00ED5B4E" w:rsidRPr="001672EA">
        <w:rPr>
          <w:rFonts w:ascii="Palatino Linotype" w:hAnsi="Palatino Linotype"/>
          <w:b/>
        </w:rPr>
        <w:lastRenderedPageBreak/>
        <w:t>documental</w:t>
      </w:r>
      <w:r w:rsidR="00ED5B4E" w:rsidRPr="001672EA">
        <w:rPr>
          <w:rFonts w:ascii="Palatino Linotype" w:hAnsi="Palatino Linotype"/>
        </w:rPr>
        <w:t xml:space="preserve"> es la determinación que se otorga a un documento, una vez concluido su ciclo de vigencia, a fin de establecer su baja o transferencia a un archivo histórico; mientras que</w:t>
      </w:r>
      <w:r w:rsidRPr="001672EA">
        <w:rPr>
          <w:rFonts w:ascii="Palatino Linotype" w:hAnsi="Palatino Linotype"/>
        </w:rPr>
        <w:t xml:space="preserve"> la </w:t>
      </w:r>
      <w:r w:rsidRPr="001672EA">
        <w:rPr>
          <w:rFonts w:ascii="Palatino Linotype" w:hAnsi="Palatino Linotype"/>
          <w:b/>
        </w:rPr>
        <w:t>baja documental</w:t>
      </w:r>
      <w:r w:rsidRPr="001672EA">
        <w:rPr>
          <w:rFonts w:ascii="Palatino Linotype" w:hAnsi="Palatino Linotype"/>
        </w:rPr>
        <w:t xml:space="preserve"> consiste en la eliminación del documento cuyos valores administrativos, legales, fiscales o contables hayan prescrito y, que no contenga valores históricos.</w:t>
      </w:r>
    </w:p>
    <w:p w14:paraId="68D05851" w14:textId="77777777" w:rsidR="00F341F5" w:rsidRPr="001672EA" w:rsidRDefault="00F341F5" w:rsidP="00F341F5">
      <w:pPr>
        <w:pStyle w:val="Prrafodelista"/>
        <w:tabs>
          <w:tab w:val="left" w:pos="426"/>
        </w:tabs>
        <w:spacing w:before="240" w:after="240" w:line="360" w:lineRule="auto"/>
        <w:ind w:left="0" w:right="51"/>
        <w:jc w:val="both"/>
        <w:rPr>
          <w:rFonts w:ascii="Palatino Linotype" w:hAnsi="Palatino Linotype" w:cs="Tahoma"/>
          <w:bCs/>
          <w:iCs/>
        </w:rPr>
      </w:pPr>
    </w:p>
    <w:p w14:paraId="4D34A71A" w14:textId="23876213" w:rsidR="00F341F5" w:rsidRPr="001672EA" w:rsidRDefault="00975B6D"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s="Tahoma"/>
          <w:bCs/>
          <w:iCs/>
        </w:rPr>
        <w:t xml:space="preserve">En el mismo sentido, a fin de contar con un control </w:t>
      </w:r>
      <w:r w:rsidRPr="001672EA">
        <w:rPr>
          <w:rFonts w:ascii="Palatino Linotype" w:hAnsi="Palatino Linotype" w:cs="Tahoma"/>
          <w:b/>
          <w:bCs/>
          <w:iCs/>
        </w:rPr>
        <w:t>preciso</w:t>
      </w:r>
      <w:r w:rsidRPr="001672EA">
        <w:rPr>
          <w:rFonts w:ascii="Palatino Linotype" w:hAnsi="Palatino Linotype" w:cs="Tahoma"/>
          <w:bCs/>
          <w:iCs/>
        </w:rPr>
        <w:t xml:space="preserve"> sobre las transferencias y bajas documentales, las dependencias públicas deberán contar con </w:t>
      </w:r>
      <w:r w:rsidRPr="001672EA">
        <w:rPr>
          <w:rFonts w:ascii="Palatino Linotype" w:hAnsi="Palatino Linotype" w:cs="Tahoma"/>
          <w:b/>
          <w:bCs/>
          <w:iCs/>
        </w:rPr>
        <w:t>inventarios de baja</w:t>
      </w:r>
      <w:r w:rsidRPr="001672EA">
        <w:rPr>
          <w:rFonts w:ascii="Palatino Linotype" w:hAnsi="Palatino Linotype" w:cs="Tahoma"/>
          <w:bCs/>
          <w:iCs/>
        </w:rPr>
        <w:t xml:space="preserve"> y de </w:t>
      </w:r>
      <w:r w:rsidRPr="001672EA">
        <w:rPr>
          <w:rFonts w:ascii="Palatino Linotype" w:hAnsi="Palatino Linotype" w:cs="Tahoma"/>
          <w:b/>
          <w:bCs/>
          <w:iCs/>
        </w:rPr>
        <w:t>transferencia</w:t>
      </w:r>
      <w:r w:rsidRPr="001672EA">
        <w:rPr>
          <w:rFonts w:ascii="Palatino Linotype" w:hAnsi="Palatino Linotype" w:cs="Tahoma"/>
          <w:bCs/>
          <w:iCs/>
        </w:rPr>
        <w:t xml:space="preserve">, dentro de los cuales, se registrarán todos los archivos cuyo valor administrativo haya concluido y se hubieren </w:t>
      </w:r>
      <w:r w:rsidRPr="001672EA">
        <w:rPr>
          <w:rFonts w:ascii="Palatino Linotype" w:hAnsi="Palatino Linotype" w:cs="Tahoma"/>
          <w:b/>
          <w:bCs/>
          <w:iCs/>
        </w:rPr>
        <w:t>eliminado</w:t>
      </w:r>
      <w:r w:rsidR="00750543" w:rsidRPr="001672EA">
        <w:rPr>
          <w:rFonts w:ascii="Palatino Linotype" w:hAnsi="Palatino Linotype" w:cs="Tahoma"/>
          <w:b/>
          <w:bCs/>
          <w:iCs/>
        </w:rPr>
        <w:t>,</w:t>
      </w:r>
      <w:r w:rsidRPr="001672EA">
        <w:rPr>
          <w:rFonts w:ascii="Palatino Linotype" w:hAnsi="Palatino Linotype" w:cs="Tahoma"/>
          <w:bCs/>
          <w:iCs/>
        </w:rPr>
        <w:t xml:space="preserve"> o </w:t>
      </w:r>
      <w:r w:rsidR="00750543" w:rsidRPr="001672EA">
        <w:rPr>
          <w:rFonts w:ascii="Palatino Linotype" w:hAnsi="Palatino Linotype" w:cs="Tahoma"/>
          <w:bCs/>
          <w:iCs/>
        </w:rPr>
        <w:t xml:space="preserve">bien, </w:t>
      </w:r>
      <w:r w:rsidRPr="001672EA">
        <w:rPr>
          <w:rFonts w:ascii="Palatino Linotype" w:hAnsi="Palatino Linotype" w:cs="Tahoma"/>
          <w:b/>
          <w:bCs/>
          <w:iCs/>
        </w:rPr>
        <w:t>transferido a un Archivo Histórico</w:t>
      </w:r>
      <w:r w:rsidRPr="001672EA">
        <w:rPr>
          <w:rFonts w:ascii="Palatino Linotype" w:hAnsi="Palatino Linotype" w:cs="Tahoma"/>
          <w:bCs/>
          <w:iCs/>
        </w:rPr>
        <w:t>.</w:t>
      </w:r>
    </w:p>
    <w:p w14:paraId="1BD8FB30" w14:textId="77777777" w:rsidR="00F341F5" w:rsidRPr="001672EA" w:rsidRDefault="00F341F5" w:rsidP="00F341F5">
      <w:pPr>
        <w:pStyle w:val="Prrafodelista"/>
        <w:tabs>
          <w:tab w:val="left" w:pos="426"/>
        </w:tabs>
        <w:spacing w:before="240" w:after="240" w:line="360" w:lineRule="auto"/>
        <w:ind w:left="0" w:right="51"/>
        <w:jc w:val="both"/>
        <w:rPr>
          <w:rFonts w:ascii="Palatino Linotype" w:hAnsi="Palatino Linotype" w:cs="Tahoma"/>
          <w:bCs/>
          <w:iCs/>
        </w:rPr>
      </w:pPr>
    </w:p>
    <w:p w14:paraId="038AFFCC" w14:textId="0EE246C7" w:rsidR="00F341F5" w:rsidRPr="001672EA" w:rsidRDefault="00750543"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s="Tahoma"/>
          <w:bCs/>
          <w:iCs/>
        </w:rPr>
        <w:t xml:space="preserve">Por lo antes expuesto, no es posible tener por colmado el derecho de acceso a la información ejercido por el </w:t>
      </w:r>
      <w:r w:rsidRPr="001672EA">
        <w:rPr>
          <w:rFonts w:ascii="Palatino Linotype" w:hAnsi="Palatino Linotype" w:cs="Tahoma"/>
          <w:b/>
          <w:bCs/>
          <w:iCs/>
        </w:rPr>
        <w:t>RECURRENTE</w:t>
      </w:r>
      <w:r w:rsidRPr="001672EA">
        <w:rPr>
          <w:rFonts w:ascii="Palatino Linotype" w:hAnsi="Palatino Linotype" w:cs="Tahoma"/>
          <w:bCs/>
          <w:iCs/>
        </w:rPr>
        <w:t xml:space="preserve"> a través de la solicitud de información </w:t>
      </w:r>
      <w:r w:rsidRPr="001672EA">
        <w:rPr>
          <w:rFonts w:ascii="Palatino Linotype" w:hAnsi="Palatino Linotype" w:cs="Tahoma"/>
          <w:b/>
          <w:bCs/>
          <w:iCs/>
        </w:rPr>
        <w:t>00224/TEXCOCO/IP/2022</w:t>
      </w:r>
      <w:r w:rsidRPr="001672EA">
        <w:rPr>
          <w:rFonts w:ascii="Palatino Linotype" w:hAnsi="Palatino Linotype" w:cs="Tahoma"/>
          <w:bCs/>
          <w:iCs/>
        </w:rPr>
        <w:t xml:space="preserve">, pues si bien es cierto que la legislación en materia de obra pública establece que las áreas poseedoras de la información deberán conservar los documentos en sus archivos por un periodo máximo de cinco años, también lo es que, una vez concluido el ciclo de uso y vigencia de éstos, se deberá valorar si se dan de </w:t>
      </w:r>
      <w:r w:rsidRPr="001672EA">
        <w:rPr>
          <w:rFonts w:ascii="Palatino Linotype" w:hAnsi="Palatino Linotype" w:cs="Tahoma"/>
          <w:b/>
          <w:bCs/>
          <w:iCs/>
        </w:rPr>
        <w:t>baja</w:t>
      </w:r>
      <w:r w:rsidRPr="001672EA">
        <w:rPr>
          <w:rFonts w:ascii="Palatino Linotype" w:hAnsi="Palatino Linotype" w:cs="Tahoma"/>
          <w:bCs/>
          <w:iCs/>
        </w:rPr>
        <w:t xml:space="preserve"> o, se transfieren al </w:t>
      </w:r>
      <w:r w:rsidRPr="001672EA">
        <w:rPr>
          <w:rFonts w:ascii="Palatino Linotype" w:hAnsi="Palatino Linotype" w:cs="Tahoma"/>
          <w:b/>
          <w:bCs/>
          <w:iCs/>
        </w:rPr>
        <w:t>archivo histórico</w:t>
      </w:r>
      <w:r w:rsidRPr="001672EA">
        <w:rPr>
          <w:rFonts w:ascii="Palatino Linotype" w:hAnsi="Palatino Linotype" w:cs="Tahoma"/>
          <w:bCs/>
          <w:iCs/>
        </w:rPr>
        <w:t>.</w:t>
      </w:r>
    </w:p>
    <w:p w14:paraId="6E291928" w14:textId="77777777" w:rsidR="00F341F5" w:rsidRPr="001672EA" w:rsidRDefault="00F341F5" w:rsidP="00F341F5">
      <w:pPr>
        <w:pStyle w:val="Prrafodelista"/>
        <w:tabs>
          <w:tab w:val="left" w:pos="426"/>
        </w:tabs>
        <w:spacing w:before="240" w:after="240" w:line="360" w:lineRule="auto"/>
        <w:ind w:left="0" w:right="51"/>
        <w:jc w:val="both"/>
        <w:rPr>
          <w:rFonts w:ascii="Palatino Linotype" w:hAnsi="Palatino Linotype" w:cs="Tahoma"/>
          <w:bCs/>
          <w:iCs/>
        </w:rPr>
      </w:pPr>
    </w:p>
    <w:p w14:paraId="63560DD7" w14:textId="616F49D1" w:rsidR="00F341F5" w:rsidRPr="001672EA" w:rsidRDefault="00FF783D" w:rsidP="00F341F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s="Tahoma"/>
          <w:bCs/>
          <w:iCs/>
        </w:rPr>
        <w:t xml:space="preserve">Por otro lado, urge recordar que el particular no solo requirió información relacionada con los procedimientos de adquisición ejecutados para realizar obras públicas, sino también con </w:t>
      </w:r>
      <w:r w:rsidRPr="001672EA">
        <w:rPr>
          <w:rFonts w:ascii="Palatino Linotype" w:hAnsi="Palatino Linotype" w:cs="Tahoma"/>
          <w:b/>
          <w:bCs/>
          <w:iCs/>
        </w:rPr>
        <w:t>todo lo relacionado con</w:t>
      </w:r>
      <w:r w:rsidRPr="001672EA">
        <w:rPr>
          <w:rFonts w:ascii="Palatino Linotype" w:hAnsi="Palatino Linotype" w:cs="Tahoma"/>
          <w:bCs/>
          <w:iCs/>
        </w:rPr>
        <w:t xml:space="preserve"> </w:t>
      </w:r>
      <w:r w:rsidRPr="001672EA">
        <w:rPr>
          <w:rFonts w:ascii="Palatino Linotype" w:hAnsi="Palatino Linotype" w:cs="Tahoma"/>
          <w:b/>
          <w:bCs/>
          <w:iCs/>
        </w:rPr>
        <w:t>adquisición de bienes y servicios</w:t>
      </w:r>
      <w:r w:rsidRPr="001672EA">
        <w:rPr>
          <w:rFonts w:ascii="Palatino Linotype" w:hAnsi="Palatino Linotype" w:cs="Tahoma"/>
          <w:bCs/>
          <w:iCs/>
        </w:rPr>
        <w:t xml:space="preserve"> en general. Luego entonces, el </w:t>
      </w:r>
      <w:r w:rsidRPr="001672EA">
        <w:rPr>
          <w:rFonts w:ascii="Palatino Linotype" w:hAnsi="Palatino Linotype" w:cs="Tahoma"/>
          <w:b/>
          <w:bCs/>
          <w:iCs/>
        </w:rPr>
        <w:t>SUJETO OBLIGADO</w:t>
      </w:r>
      <w:r w:rsidRPr="001672EA">
        <w:rPr>
          <w:rFonts w:ascii="Palatino Linotype" w:hAnsi="Palatino Linotype" w:cs="Tahoma"/>
          <w:bCs/>
          <w:iCs/>
        </w:rPr>
        <w:t xml:space="preserve"> deberá turnar la </w:t>
      </w:r>
      <w:r w:rsidRPr="001672EA">
        <w:rPr>
          <w:rFonts w:ascii="Palatino Linotype" w:hAnsi="Palatino Linotype" w:cs="Tahoma"/>
          <w:bCs/>
          <w:iCs/>
        </w:rPr>
        <w:lastRenderedPageBreak/>
        <w:t xml:space="preserve">solicitud a todas las áreas administrativas que, por su naturaleza, tengan competencia para poseer, generar o administrar lo solicitado. </w:t>
      </w:r>
    </w:p>
    <w:p w14:paraId="4C665F8A" w14:textId="77777777" w:rsidR="00FF783D" w:rsidRPr="001672EA" w:rsidRDefault="00FF783D" w:rsidP="00F341F5">
      <w:pPr>
        <w:pStyle w:val="Prrafodelista"/>
        <w:tabs>
          <w:tab w:val="left" w:pos="426"/>
        </w:tabs>
        <w:spacing w:before="240" w:after="240" w:line="360" w:lineRule="auto"/>
        <w:ind w:left="0" w:right="51"/>
        <w:jc w:val="both"/>
        <w:rPr>
          <w:rFonts w:ascii="Palatino Linotype" w:hAnsi="Palatino Linotype" w:cs="Tahoma"/>
          <w:bCs/>
          <w:iCs/>
        </w:rPr>
      </w:pPr>
    </w:p>
    <w:p w14:paraId="4B4A53B5" w14:textId="07CD81C7" w:rsidR="00FF783D" w:rsidRPr="001672EA" w:rsidRDefault="00FF783D" w:rsidP="00FF783D">
      <w:pPr>
        <w:pStyle w:val="Prrafodelista"/>
        <w:tabs>
          <w:tab w:val="left" w:pos="426"/>
        </w:tabs>
        <w:spacing w:before="240" w:after="240" w:line="360" w:lineRule="auto"/>
        <w:ind w:left="0" w:right="51"/>
        <w:jc w:val="both"/>
        <w:outlineLvl w:val="2"/>
        <w:rPr>
          <w:rFonts w:ascii="Palatino Linotype" w:hAnsi="Palatino Linotype" w:cs="Tahoma"/>
          <w:b/>
          <w:bCs/>
          <w:iCs/>
        </w:rPr>
      </w:pPr>
      <w:r w:rsidRPr="001672EA">
        <w:rPr>
          <w:rFonts w:ascii="Palatino Linotype" w:hAnsi="Palatino Linotype" w:cs="Tahoma"/>
          <w:b/>
          <w:bCs/>
          <w:iCs/>
        </w:rPr>
        <w:t>III.III Del Ayuntamiento de Texcoco.</w:t>
      </w:r>
    </w:p>
    <w:p w14:paraId="7D7A2EAD" w14:textId="77777777" w:rsidR="00FF783D" w:rsidRPr="001672EA" w:rsidRDefault="00FF783D" w:rsidP="00F341F5">
      <w:pPr>
        <w:pStyle w:val="Prrafodelista"/>
        <w:tabs>
          <w:tab w:val="left" w:pos="426"/>
        </w:tabs>
        <w:spacing w:before="240" w:after="240" w:line="360" w:lineRule="auto"/>
        <w:ind w:left="0" w:right="51"/>
        <w:jc w:val="both"/>
        <w:rPr>
          <w:rFonts w:ascii="Palatino Linotype" w:hAnsi="Palatino Linotype" w:cs="Tahoma"/>
          <w:bCs/>
          <w:iCs/>
        </w:rPr>
      </w:pPr>
    </w:p>
    <w:p w14:paraId="2153F618" w14:textId="77777777" w:rsidR="009713B5" w:rsidRPr="001672EA" w:rsidRDefault="009713B5" w:rsidP="009713B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El </w:t>
      </w:r>
      <w:r w:rsidRPr="001672EA">
        <w:rPr>
          <w:rFonts w:ascii="Palatino Linotype" w:hAnsi="Palatino Linotype" w:cs="Arial"/>
          <w:color w:val="000000"/>
        </w:rPr>
        <w:t xml:space="preserve">artículo </w:t>
      </w:r>
      <w:r w:rsidRPr="001672EA">
        <w:rPr>
          <w:rFonts w:ascii="Palatino Linotype" w:hAnsi="Palatino Linotype"/>
          <w:color w:val="000000" w:themeColor="text1"/>
        </w:rPr>
        <w:t xml:space="preserve">115 de la Constitución Política de los Estados Unidos Mexicanos establece que cada municipio será gobernado por un </w:t>
      </w:r>
      <w:r w:rsidRPr="001672EA">
        <w:rPr>
          <w:rFonts w:ascii="Palatino Linotype" w:hAnsi="Palatino Linotype"/>
          <w:b/>
          <w:color w:val="000000" w:themeColor="text1"/>
        </w:rPr>
        <w:t>ayuntamiento</w:t>
      </w:r>
      <w:r w:rsidRPr="001672EA">
        <w:rPr>
          <w:rFonts w:ascii="Palatino Linotype" w:hAnsi="Palatino Linotype"/>
          <w:color w:val="000000" w:themeColor="text1"/>
        </w:rPr>
        <w:t xml:space="preserve"> de elección popular directa, integrado por la o el Presidente Municipal y el número de Regidurías y Sindicaturas que la Ley determine, de conformidad con el principio de paridad. Estos órganos colegiados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w:t>
      </w:r>
      <w:r w:rsidRPr="001672EA">
        <w:rPr>
          <w:rFonts w:ascii="Palatino Linotype" w:hAnsi="Palatino Linotype"/>
          <w:b/>
          <w:color w:val="000000" w:themeColor="text1"/>
        </w:rPr>
        <w:t>que organicen la administración pública municipal</w:t>
      </w:r>
      <w:r w:rsidRPr="001672EA">
        <w:rPr>
          <w:rFonts w:ascii="Palatino Linotype" w:hAnsi="Palatino Linotype"/>
          <w:color w:val="000000" w:themeColor="text1"/>
        </w:rPr>
        <w:t xml:space="preserve">, </w:t>
      </w:r>
      <w:r w:rsidRPr="001672EA">
        <w:rPr>
          <w:rFonts w:ascii="Palatino Linotype" w:hAnsi="Palatino Linotype"/>
          <w:b/>
          <w:color w:val="000000" w:themeColor="text1"/>
        </w:rPr>
        <w:t>regulen las materias, procedimientos, funciones y servicios públicos de su competencia</w:t>
      </w:r>
      <w:r w:rsidRPr="001672EA">
        <w:rPr>
          <w:rFonts w:ascii="Palatino Linotype" w:hAnsi="Palatino Linotype"/>
          <w:color w:val="000000" w:themeColor="text1"/>
        </w:rPr>
        <w:t xml:space="preserve"> y aseguren la participación ciudadana y vecinal.</w:t>
      </w:r>
    </w:p>
    <w:p w14:paraId="2D14BB48" w14:textId="77777777" w:rsidR="009713B5" w:rsidRPr="001672EA" w:rsidRDefault="009713B5" w:rsidP="009713B5">
      <w:pPr>
        <w:pStyle w:val="Prrafodelista"/>
        <w:tabs>
          <w:tab w:val="left" w:pos="426"/>
        </w:tabs>
        <w:spacing w:before="240" w:after="240" w:line="360" w:lineRule="auto"/>
        <w:ind w:left="0" w:right="51"/>
        <w:jc w:val="both"/>
        <w:rPr>
          <w:rFonts w:ascii="Palatino Linotype" w:hAnsi="Palatino Linotype"/>
          <w:color w:val="000000" w:themeColor="text1"/>
        </w:rPr>
      </w:pPr>
    </w:p>
    <w:p w14:paraId="0F61745A" w14:textId="77777777" w:rsidR="009713B5" w:rsidRPr="001672EA" w:rsidRDefault="009713B5" w:rsidP="009713B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olor w:val="000000" w:themeColor="text1"/>
        </w:rPr>
        <w:t xml:space="preserve">En seguimiento al mandato constitucional referido </w:t>
      </w:r>
      <w:r w:rsidRPr="001672EA">
        <w:rPr>
          <w:rFonts w:ascii="Palatino Linotype" w:hAnsi="Palatino Linotype"/>
          <w:i/>
          <w:color w:val="000000" w:themeColor="text1"/>
        </w:rPr>
        <w:t>supra</w:t>
      </w:r>
      <w:r w:rsidRPr="001672EA">
        <w:rPr>
          <w:rFonts w:ascii="Palatino Linotype" w:hAnsi="Palatino Linotype"/>
          <w:color w:val="000000" w:themeColor="text1"/>
        </w:rPr>
        <w:t xml:space="preserve">, la Ley Orgánica Municipal del Estado de México establece que, para el ejercicio de sus atribuciones y responsabilidades ejecutivas, el </w:t>
      </w:r>
      <w:r w:rsidRPr="001672EA">
        <w:rPr>
          <w:rFonts w:ascii="Palatino Linotype" w:hAnsi="Palatino Linotype"/>
          <w:b/>
          <w:color w:val="000000" w:themeColor="text1"/>
        </w:rPr>
        <w:t>ayuntamiento</w:t>
      </w:r>
      <w:r w:rsidRPr="001672EA">
        <w:rPr>
          <w:rFonts w:ascii="Palatino Linotype" w:hAnsi="Palatino Linotype"/>
          <w:color w:val="000000" w:themeColor="text1"/>
        </w:rPr>
        <w:t xml:space="preserve"> se auxiliará con las dependencias y entidades de la administración pública municipal, que en cada caso acuerde el cabildo a propuesta de la persona titular de la presidencia municipal, las que estarán subordinadas a ésta. Las personas servidoras públicas titulares de las referidas dependencias y entidades de la administración municipal, ejercerán las funciones propias de su competencia y serán responsables por el ejercicio de dichas funciones </w:t>
      </w:r>
      <w:r w:rsidRPr="001672EA">
        <w:rPr>
          <w:rFonts w:ascii="Palatino Linotype" w:hAnsi="Palatino Linotype"/>
          <w:color w:val="000000" w:themeColor="text1"/>
        </w:rPr>
        <w:lastRenderedPageBreak/>
        <w:t>y atribuciones contenidas en la Ley, sus reglamentos interiores, manuales, acuerdos, circulares y otras disposiciones legales que tiendan a regular el funcionamiento del municipio</w:t>
      </w:r>
      <w:r w:rsidRPr="001672EA">
        <w:rPr>
          <w:rStyle w:val="Refdenotaalpie"/>
          <w:rFonts w:ascii="Palatino Linotype" w:hAnsi="Palatino Linotype"/>
          <w:color w:val="000000" w:themeColor="text1"/>
        </w:rPr>
        <w:footnoteReference w:id="21"/>
      </w:r>
      <w:r w:rsidRPr="001672EA">
        <w:rPr>
          <w:rFonts w:ascii="Palatino Linotype" w:hAnsi="Palatino Linotype"/>
          <w:color w:val="000000" w:themeColor="text1"/>
        </w:rPr>
        <w:t>.</w:t>
      </w:r>
    </w:p>
    <w:p w14:paraId="28B96734" w14:textId="77777777" w:rsidR="009713B5" w:rsidRPr="001672EA" w:rsidRDefault="009713B5" w:rsidP="009713B5">
      <w:pPr>
        <w:pStyle w:val="Prrafodelista"/>
        <w:tabs>
          <w:tab w:val="left" w:pos="426"/>
        </w:tabs>
        <w:spacing w:before="240" w:after="240" w:line="360" w:lineRule="auto"/>
        <w:ind w:left="0" w:right="51"/>
        <w:jc w:val="both"/>
        <w:rPr>
          <w:rFonts w:ascii="Palatino Linotype" w:hAnsi="Palatino Linotype" w:cs="Tahoma"/>
          <w:bCs/>
          <w:iCs/>
        </w:rPr>
      </w:pPr>
    </w:p>
    <w:p w14:paraId="6BB90CCE" w14:textId="77777777" w:rsidR="009713B5" w:rsidRPr="001672EA" w:rsidRDefault="009713B5" w:rsidP="009713B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olor w:val="000000" w:themeColor="text1"/>
        </w:rPr>
        <w:t>Para el despacho, estudio y planeación de los diversos asuntos de la administración municipal, el ayuntamiento contará por lo menos con las siguientes Dependencias</w:t>
      </w:r>
      <w:r w:rsidRPr="001672EA">
        <w:rPr>
          <w:rStyle w:val="Refdenotaalpie"/>
          <w:rFonts w:ascii="Palatino Linotype" w:hAnsi="Palatino Linotype"/>
          <w:color w:val="000000" w:themeColor="text1"/>
        </w:rPr>
        <w:footnoteReference w:id="22"/>
      </w:r>
      <w:r w:rsidRPr="001672EA">
        <w:rPr>
          <w:rFonts w:ascii="Palatino Linotype" w:hAnsi="Palatino Linotype"/>
          <w:color w:val="000000" w:themeColor="text1"/>
        </w:rPr>
        <w:t>:</w:t>
      </w:r>
    </w:p>
    <w:p w14:paraId="352D2FA6"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olor w:val="000000" w:themeColor="text1"/>
        </w:rPr>
        <w:t>La Secretaría del Ayuntamiento;</w:t>
      </w:r>
    </w:p>
    <w:p w14:paraId="2189D40A"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iCs/>
        </w:rPr>
      </w:pPr>
      <w:r w:rsidRPr="001672EA">
        <w:rPr>
          <w:rFonts w:ascii="Palatino Linotype" w:hAnsi="Palatino Linotype"/>
          <w:color w:val="000000" w:themeColor="text1"/>
        </w:rPr>
        <w:t xml:space="preserve">La Tesorería Municipal; </w:t>
      </w:r>
    </w:p>
    <w:p w14:paraId="3F984A37"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olor w:val="000000" w:themeColor="text1"/>
        </w:rPr>
        <w:t>La Dirección de Obras Públicas o equivalente;</w:t>
      </w:r>
    </w:p>
    <w:p w14:paraId="5063FDDD"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olor w:val="000000" w:themeColor="text1"/>
        </w:rPr>
        <w:t>La Dirección de Desarrollo Económico o equivalente;</w:t>
      </w:r>
    </w:p>
    <w:p w14:paraId="270EF7FB"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olor w:val="000000" w:themeColor="text1"/>
        </w:rPr>
        <w:t xml:space="preserve">La Dirección de Desarrollo Urbano o equivalente; </w:t>
      </w:r>
    </w:p>
    <w:p w14:paraId="044C12DB"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olor w:val="000000" w:themeColor="text1"/>
        </w:rPr>
        <w:t>La Dirección de Ecología o equivalente;</w:t>
      </w:r>
    </w:p>
    <w:p w14:paraId="757C17A6"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olor w:val="000000" w:themeColor="text1"/>
        </w:rPr>
        <w:t>La Dirección de Desarrollo Social o equivalente;</w:t>
      </w:r>
    </w:p>
    <w:p w14:paraId="34A42F12"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olor w:val="000000" w:themeColor="text1"/>
        </w:rPr>
        <w:t>La Coordinación Municipal de Protección Civil o equivalente; y</w:t>
      </w:r>
    </w:p>
    <w:p w14:paraId="19AE9172"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olor w:val="000000" w:themeColor="text1"/>
        </w:rPr>
        <w:t>La Dirección de las Mujeres o equivalente.</w:t>
      </w:r>
    </w:p>
    <w:p w14:paraId="590E75F7" w14:textId="77777777" w:rsidR="009713B5" w:rsidRPr="001672EA" w:rsidRDefault="009713B5" w:rsidP="009713B5">
      <w:pPr>
        <w:pStyle w:val="Prrafodelista"/>
        <w:tabs>
          <w:tab w:val="left" w:pos="426"/>
        </w:tabs>
        <w:spacing w:before="240" w:after="240" w:line="360" w:lineRule="auto"/>
        <w:ind w:left="0" w:right="51"/>
        <w:jc w:val="both"/>
        <w:rPr>
          <w:rFonts w:ascii="Palatino Linotype" w:hAnsi="Palatino Linotype" w:cs="Tahoma"/>
          <w:bCs/>
          <w:iCs/>
        </w:rPr>
      </w:pPr>
    </w:p>
    <w:p w14:paraId="56C87F8E" w14:textId="70E66805" w:rsidR="00F70DDB" w:rsidRPr="001672EA" w:rsidRDefault="009713B5" w:rsidP="009713B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s="Tahoma"/>
          <w:bCs/>
          <w:iCs/>
        </w:rPr>
        <w:t>Lo anterior es reiterado por el Bando Municipal 2022 de Texcoco, pues éste establece que para el ejercicio de sus atribuciones, el ayuntamiento contará con las dependencias que integran la Administración Pública Municipal</w:t>
      </w:r>
      <w:r w:rsidRPr="001672EA">
        <w:rPr>
          <w:rStyle w:val="Refdenotaalpie"/>
          <w:rFonts w:ascii="Palatino Linotype" w:hAnsi="Palatino Linotype" w:cs="Tahoma"/>
          <w:bCs/>
          <w:iCs/>
        </w:rPr>
        <w:footnoteReference w:id="23"/>
      </w:r>
      <w:r w:rsidRPr="001672EA">
        <w:rPr>
          <w:rFonts w:ascii="Palatino Linotype" w:hAnsi="Palatino Linotype" w:cs="Tahoma"/>
          <w:bCs/>
          <w:iCs/>
        </w:rPr>
        <w:t>, consistentes en</w:t>
      </w:r>
      <w:r w:rsidRPr="001672EA">
        <w:rPr>
          <w:rStyle w:val="Refdenotaalpie"/>
          <w:rFonts w:ascii="Palatino Linotype" w:hAnsi="Palatino Linotype" w:cs="Tahoma"/>
          <w:bCs/>
          <w:iCs/>
        </w:rPr>
        <w:footnoteReference w:id="24"/>
      </w:r>
      <w:r w:rsidRPr="001672EA">
        <w:rPr>
          <w:rFonts w:ascii="Palatino Linotype" w:hAnsi="Palatino Linotype" w:cs="Tahoma"/>
          <w:bCs/>
          <w:iCs/>
        </w:rPr>
        <w:t>:</w:t>
      </w:r>
    </w:p>
    <w:p w14:paraId="11BAEBFF" w14:textId="76A615E6"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
          <w:bCs/>
          <w:iCs/>
        </w:rPr>
      </w:pPr>
      <w:r w:rsidRPr="001672EA">
        <w:rPr>
          <w:rFonts w:ascii="Palatino Linotype" w:hAnsi="Palatino Linotype" w:cs="Tahoma"/>
          <w:b/>
          <w:bCs/>
          <w:iCs/>
        </w:rPr>
        <w:t xml:space="preserve">Secretaría del Ayuntamiento; </w:t>
      </w:r>
    </w:p>
    <w:p w14:paraId="071F1B3D"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Tesorería Municipal; </w:t>
      </w:r>
    </w:p>
    <w:p w14:paraId="45217000" w14:textId="4F64A4B0"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Contraloría Interna Municipal;</w:t>
      </w:r>
    </w:p>
    <w:p w14:paraId="23E4A267"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lastRenderedPageBreak/>
        <w:t xml:space="preserve">Dirección General de Seguridad Pública y Movilidad; </w:t>
      </w:r>
    </w:p>
    <w:p w14:paraId="387F2A2A"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General de Obras Públicas; </w:t>
      </w:r>
    </w:p>
    <w:p w14:paraId="0662FDE0"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
          <w:bCs/>
          <w:iCs/>
        </w:rPr>
      </w:pPr>
      <w:r w:rsidRPr="001672EA">
        <w:rPr>
          <w:rFonts w:ascii="Palatino Linotype" w:hAnsi="Palatino Linotype" w:cs="Tahoma"/>
          <w:b/>
          <w:bCs/>
          <w:iCs/>
        </w:rPr>
        <w:t xml:space="preserve">Dirección General de Administración; </w:t>
      </w:r>
    </w:p>
    <w:p w14:paraId="01456A21"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Servicios Públicos; </w:t>
      </w:r>
    </w:p>
    <w:p w14:paraId="1F087A34"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Planeación; </w:t>
      </w:r>
    </w:p>
    <w:p w14:paraId="401B9973"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Agua Potable, Drenaje y Alcantarillado; </w:t>
      </w:r>
    </w:p>
    <w:p w14:paraId="434F83B5"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Desarrollo Social, Educativo y del Deporte; </w:t>
      </w:r>
    </w:p>
    <w:p w14:paraId="02B7BD15"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Desarrollo Urbano y Ecología; </w:t>
      </w:r>
    </w:p>
    <w:p w14:paraId="20F3D155"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Catastro Municipal; </w:t>
      </w:r>
    </w:p>
    <w:p w14:paraId="4CCC52C4"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Cultura; </w:t>
      </w:r>
    </w:p>
    <w:p w14:paraId="136D9EA7"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Desarrollo Económico; </w:t>
      </w:r>
    </w:p>
    <w:p w14:paraId="2AF2C5D9"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Protección Civil, Bomberos y Atención Médica Prehospitalaria; </w:t>
      </w:r>
    </w:p>
    <w:p w14:paraId="679E9195" w14:textId="3E9CCEB4"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Desarrollo Rural; </w:t>
      </w:r>
    </w:p>
    <w:p w14:paraId="004CB708"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Dirección de Imagen y Comunicación Social; </w:t>
      </w:r>
    </w:p>
    <w:p w14:paraId="37CD36C6"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Consejería Jurídica; </w:t>
      </w:r>
    </w:p>
    <w:p w14:paraId="741255E7" w14:textId="77777777"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 xml:space="preserve">Oficialía Mediadora, Conciliadora y Calificadora, y </w:t>
      </w:r>
    </w:p>
    <w:p w14:paraId="630ED03F" w14:textId="7E766F88" w:rsidR="009713B5" w:rsidRPr="001672EA" w:rsidRDefault="009713B5" w:rsidP="009713B5">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s="Tahoma"/>
          <w:bCs/>
          <w:iCs/>
        </w:rPr>
        <w:t>Gerencia de la Ciudad.</w:t>
      </w:r>
    </w:p>
    <w:p w14:paraId="4C293914" w14:textId="77777777" w:rsidR="007565B7" w:rsidRPr="001672EA" w:rsidRDefault="007565B7" w:rsidP="004F4BEF">
      <w:pPr>
        <w:pStyle w:val="Prrafodelista"/>
        <w:tabs>
          <w:tab w:val="left" w:pos="426"/>
        </w:tabs>
        <w:spacing w:before="240" w:after="240" w:line="360" w:lineRule="auto"/>
        <w:ind w:left="0" w:right="51"/>
        <w:jc w:val="both"/>
        <w:rPr>
          <w:rFonts w:ascii="Palatino Linotype" w:hAnsi="Palatino Linotype"/>
          <w:color w:val="000000" w:themeColor="text1"/>
        </w:rPr>
      </w:pPr>
    </w:p>
    <w:p w14:paraId="1C61ACF8" w14:textId="07C8DE59" w:rsidR="004F4BEF" w:rsidRPr="001672EA" w:rsidRDefault="009713B5"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 xml:space="preserve">Siendo de especial interés, para el presente asunto, la </w:t>
      </w:r>
      <w:r w:rsidRPr="001672EA">
        <w:rPr>
          <w:rFonts w:ascii="Palatino Linotype" w:hAnsi="Palatino Linotype" w:cs="Tahoma"/>
          <w:b/>
          <w:bCs/>
          <w:iCs/>
        </w:rPr>
        <w:t>Secretaría del Ayuntamiento</w:t>
      </w:r>
      <w:r w:rsidRPr="001672EA">
        <w:rPr>
          <w:rFonts w:ascii="Palatino Linotype" w:hAnsi="Palatino Linotype" w:cs="Tahoma"/>
          <w:bCs/>
          <w:iCs/>
        </w:rPr>
        <w:t xml:space="preserve">, la cual, como hemos visto en párrafos previos, y de acuerdo con lo establecido por el artículo 91 de la Ley Orgánica Municipal del Estado de México, tendrá entre sus atribuciones, </w:t>
      </w:r>
      <w:r w:rsidRPr="001672EA">
        <w:rPr>
          <w:rFonts w:ascii="Palatino Linotype" w:hAnsi="Palatino Linotype" w:cs="Tahoma"/>
          <w:b/>
          <w:bCs/>
          <w:iCs/>
        </w:rPr>
        <w:t>tener a su cargo el Archivo General –o Histórico- del Ayuntamiento.</w:t>
      </w:r>
    </w:p>
    <w:p w14:paraId="3D3DD3C2" w14:textId="77777777" w:rsidR="004F4BEF" w:rsidRPr="001672EA" w:rsidRDefault="004F4BEF" w:rsidP="004F4BEF">
      <w:pPr>
        <w:pStyle w:val="Prrafodelista"/>
        <w:tabs>
          <w:tab w:val="left" w:pos="426"/>
        </w:tabs>
        <w:spacing w:before="240" w:after="240" w:line="360" w:lineRule="auto"/>
        <w:ind w:left="0" w:right="51"/>
        <w:jc w:val="both"/>
        <w:rPr>
          <w:rFonts w:ascii="Palatino Linotype" w:hAnsi="Palatino Linotype"/>
          <w:color w:val="000000" w:themeColor="text1"/>
        </w:rPr>
      </w:pPr>
    </w:p>
    <w:p w14:paraId="02473676" w14:textId="628B0BC2" w:rsidR="004F4BEF" w:rsidRPr="001672EA" w:rsidRDefault="009713B5"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lastRenderedPageBreak/>
        <w:t xml:space="preserve">Por su parte, la </w:t>
      </w:r>
      <w:r w:rsidRPr="001672EA">
        <w:rPr>
          <w:rFonts w:ascii="Palatino Linotype" w:hAnsi="Palatino Linotype" w:cs="Tahoma"/>
          <w:b/>
          <w:bCs/>
          <w:iCs/>
        </w:rPr>
        <w:t>Dirección General de Administración</w:t>
      </w:r>
      <w:r w:rsidR="00A470D4" w:rsidRPr="001672EA">
        <w:rPr>
          <w:rFonts w:ascii="Palatino Linotype" w:hAnsi="Palatino Linotype" w:cs="Tahoma"/>
          <w:bCs/>
          <w:iCs/>
        </w:rPr>
        <w:t xml:space="preserve"> será la dependencia encargada de planificar, coordinar, establecer y difundir entre las dependencias de la Administración Pública Municipal, las políticas y procedimientos en apego a los ordenamientos legales en la materia, para el control eficiente de los recursos humanos, materiales, tecnológicos y de servicios, para el cumplimiento de los programas y proyectos del Gobierno Municipal</w:t>
      </w:r>
      <w:r w:rsidR="00A470D4" w:rsidRPr="001672EA">
        <w:rPr>
          <w:rStyle w:val="Refdenotaalpie"/>
          <w:rFonts w:ascii="Palatino Linotype" w:hAnsi="Palatino Linotype" w:cs="Tahoma"/>
          <w:bCs/>
          <w:iCs/>
        </w:rPr>
        <w:footnoteReference w:id="25"/>
      </w:r>
      <w:r w:rsidR="00A470D4" w:rsidRPr="001672EA">
        <w:rPr>
          <w:rFonts w:ascii="Palatino Linotype" w:hAnsi="Palatino Linotype" w:cs="Tahoma"/>
          <w:bCs/>
          <w:iCs/>
        </w:rPr>
        <w:t>.</w:t>
      </w:r>
    </w:p>
    <w:p w14:paraId="07F1986A" w14:textId="77777777" w:rsidR="004F4BEF" w:rsidRPr="001672EA" w:rsidRDefault="004F4BEF" w:rsidP="004F4BEF">
      <w:pPr>
        <w:pStyle w:val="Prrafodelista"/>
        <w:tabs>
          <w:tab w:val="left" w:pos="426"/>
        </w:tabs>
        <w:spacing w:before="240" w:after="240" w:line="360" w:lineRule="auto"/>
        <w:ind w:left="0" w:right="51"/>
        <w:jc w:val="both"/>
        <w:rPr>
          <w:rFonts w:ascii="Palatino Linotype" w:hAnsi="Palatino Linotype"/>
          <w:color w:val="000000" w:themeColor="text1"/>
        </w:rPr>
      </w:pPr>
    </w:p>
    <w:p w14:paraId="083863CC" w14:textId="332771AE" w:rsidR="004F4BEF" w:rsidRPr="001672EA" w:rsidRDefault="00A470D4"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 xml:space="preserve">De acuerdo con lo establecido por el artículo 83 del Bando Municipal 2022 de Texcoco, la </w:t>
      </w:r>
      <w:r w:rsidRPr="001672EA">
        <w:rPr>
          <w:rFonts w:ascii="Palatino Linotype" w:hAnsi="Palatino Linotype" w:cs="Tahoma"/>
          <w:b/>
          <w:bCs/>
          <w:iCs/>
        </w:rPr>
        <w:t>Dirección General de Administración</w:t>
      </w:r>
      <w:r w:rsidRPr="001672EA">
        <w:rPr>
          <w:rFonts w:ascii="Palatino Linotype" w:hAnsi="Palatino Linotype" w:cs="Tahoma"/>
          <w:bCs/>
          <w:iCs/>
        </w:rPr>
        <w:t xml:space="preserve"> tendrá la siguiente estructura:</w:t>
      </w:r>
    </w:p>
    <w:p w14:paraId="5A70D34D" w14:textId="77777777" w:rsidR="004F4BEF" w:rsidRPr="001672EA" w:rsidRDefault="004F4BEF" w:rsidP="004F4BEF">
      <w:pPr>
        <w:pStyle w:val="Prrafodelista"/>
        <w:tabs>
          <w:tab w:val="left" w:pos="426"/>
        </w:tabs>
        <w:spacing w:before="240" w:after="240" w:line="360" w:lineRule="auto"/>
        <w:ind w:left="0" w:right="51"/>
        <w:jc w:val="both"/>
        <w:rPr>
          <w:rFonts w:ascii="Palatino Linotype" w:hAnsi="Palatino Linotype"/>
          <w:color w:val="000000" w:themeColor="text1"/>
        </w:rPr>
      </w:pPr>
    </w:p>
    <w:p w14:paraId="7B9291B1" w14:textId="77777777" w:rsidR="00A470D4" w:rsidRPr="001672EA" w:rsidRDefault="00A470D4" w:rsidP="00A470D4">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r w:rsidRPr="001672EA">
        <w:rPr>
          <w:rFonts w:ascii="Palatino Linotype" w:hAnsi="Palatino Linotype"/>
          <w:b/>
          <w:i/>
          <w:color w:val="000000" w:themeColor="text1"/>
          <w:sz w:val="22"/>
        </w:rPr>
        <w:t xml:space="preserve">Artículo 83. </w:t>
      </w:r>
      <w:r w:rsidRPr="001672EA">
        <w:rPr>
          <w:rFonts w:ascii="Palatino Linotype" w:hAnsi="Palatino Linotype"/>
          <w:i/>
          <w:color w:val="000000" w:themeColor="text1"/>
          <w:sz w:val="22"/>
        </w:rPr>
        <w:t xml:space="preserve">Para el eficiente y eficaz ejercicio de sus atribuciones la Dirección General de Administración contará con las siguientes unidades administrativas: </w:t>
      </w:r>
    </w:p>
    <w:p w14:paraId="595EF6DB" w14:textId="77777777" w:rsidR="00A470D4" w:rsidRPr="001672EA" w:rsidRDefault="00A470D4" w:rsidP="00A470D4">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w:t>
      </w:r>
      <w:r w:rsidRPr="001672EA">
        <w:rPr>
          <w:rFonts w:ascii="Palatino Linotype" w:hAnsi="Palatino Linotype"/>
          <w:i/>
          <w:color w:val="000000" w:themeColor="text1"/>
          <w:sz w:val="22"/>
        </w:rPr>
        <w:t xml:space="preserve"> Subdirección de Recursos Humanos y Nómina; </w:t>
      </w:r>
    </w:p>
    <w:p w14:paraId="3F80D932" w14:textId="2B310295" w:rsidR="00A470D4" w:rsidRPr="001672EA" w:rsidRDefault="00A470D4" w:rsidP="00A470D4">
      <w:pPr>
        <w:pStyle w:val="Prrafodelista"/>
        <w:tabs>
          <w:tab w:val="left" w:pos="426"/>
        </w:tabs>
        <w:spacing w:before="240" w:after="240" w:line="276" w:lineRule="auto"/>
        <w:ind w:left="567" w:right="567"/>
        <w:jc w:val="both"/>
        <w:rPr>
          <w:rFonts w:ascii="Palatino Linotype" w:hAnsi="Palatino Linotype"/>
          <w:b/>
          <w:i/>
          <w:color w:val="000000" w:themeColor="text1"/>
          <w:sz w:val="22"/>
        </w:rPr>
      </w:pPr>
      <w:r w:rsidRPr="001672EA">
        <w:rPr>
          <w:rFonts w:ascii="Palatino Linotype" w:hAnsi="Palatino Linotype"/>
          <w:b/>
          <w:i/>
          <w:color w:val="000000" w:themeColor="text1"/>
          <w:sz w:val="22"/>
        </w:rPr>
        <w:t xml:space="preserve">II. Subdirección de Licitaciones y Adquisiciones; </w:t>
      </w:r>
    </w:p>
    <w:p w14:paraId="123CCB80" w14:textId="77777777" w:rsidR="00A470D4" w:rsidRPr="001672EA" w:rsidRDefault="00A470D4" w:rsidP="00A470D4">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III.</w:t>
      </w:r>
      <w:r w:rsidRPr="001672EA">
        <w:rPr>
          <w:rFonts w:ascii="Palatino Linotype" w:hAnsi="Palatino Linotype"/>
          <w:i/>
          <w:color w:val="000000" w:themeColor="text1"/>
          <w:sz w:val="22"/>
        </w:rPr>
        <w:t xml:space="preserve"> Coordinación de Sistemas y Soporte Técnico, y </w:t>
      </w:r>
    </w:p>
    <w:p w14:paraId="0B4100DF" w14:textId="415797E9" w:rsidR="00A470D4" w:rsidRPr="001672EA" w:rsidRDefault="00A470D4" w:rsidP="00A470D4">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IV.</w:t>
      </w:r>
      <w:r w:rsidRPr="001672EA">
        <w:rPr>
          <w:rFonts w:ascii="Palatino Linotype" w:hAnsi="Palatino Linotype"/>
          <w:i/>
          <w:color w:val="000000" w:themeColor="text1"/>
          <w:sz w:val="22"/>
        </w:rPr>
        <w:t xml:space="preserve"> Jefatura de Unidad Departamental de Servicios Generales.”</w:t>
      </w:r>
    </w:p>
    <w:p w14:paraId="586B9824" w14:textId="6149F4C5" w:rsidR="00A470D4" w:rsidRPr="001672EA" w:rsidRDefault="00A470D4" w:rsidP="00A470D4">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1672EA">
        <w:rPr>
          <w:rFonts w:ascii="Palatino Linotype" w:hAnsi="Palatino Linotype"/>
          <w:color w:val="000000" w:themeColor="text1"/>
          <w:sz w:val="22"/>
        </w:rPr>
        <w:t>(Énfasis añadido)</w:t>
      </w:r>
    </w:p>
    <w:p w14:paraId="51768431" w14:textId="77777777" w:rsidR="00223716" w:rsidRPr="001672EA" w:rsidRDefault="00223716" w:rsidP="00223716">
      <w:pPr>
        <w:pStyle w:val="Prrafodelista"/>
        <w:tabs>
          <w:tab w:val="left" w:pos="426"/>
        </w:tabs>
        <w:spacing w:before="240" w:after="240" w:line="360" w:lineRule="auto"/>
        <w:ind w:left="0" w:right="51"/>
        <w:jc w:val="both"/>
        <w:rPr>
          <w:rFonts w:ascii="Palatino Linotype" w:hAnsi="Palatino Linotype"/>
          <w:color w:val="000000" w:themeColor="text1"/>
        </w:rPr>
      </w:pPr>
    </w:p>
    <w:p w14:paraId="4EAF956A" w14:textId="00DC788E" w:rsidR="00E171AB" w:rsidRPr="001672EA" w:rsidRDefault="00223716"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D</w:t>
      </w:r>
      <w:r w:rsidR="00A470D4" w:rsidRPr="001672EA">
        <w:rPr>
          <w:rFonts w:ascii="Palatino Linotype" w:hAnsi="Palatino Linotype" w:cs="Tahoma"/>
          <w:bCs/>
          <w:iCs/>
        </w:rPr>
        <w:t xml:space="preserve">e lo anterior podemos advertir que la </w:t>
      </w:r>
      <w:r w:rsidR="00A470D4" w:rsidRPr="001672EA">
        <w:rPr>
          <w:rFonts w:ascii="Palatino Linotype" w:hAnsi="Palatino Linotype" w:cs="Tahoma"/>
          <w:b/>
          <w:bCs/>
          <w:iCs/>
        </w:rPr>
        <w:t>Dirección General de Administración</w:t>
      </w:r>
      <w:r w:rsidR="00A470D4" w:rsidRPr="001672EA">
        <w:rPr>
          <w:rFonts w:ascii="Palatino Linotype" w:hAnsi="Palatino Linotype" w:cs="Tahoma"/>
          <w:bCs/>
          <w:iCs/>
        </w:rPr>
        <w:t xml:space="preserve"> contará con un área específicamente creada para hacerse cargo de las </w:t>
      </w:r>
      <w:r w:rsidR="00A470D4" w:rsidRPr="001672EA">
        <w:rPr>
          <w:rFonts w:ascii="Palatino Linotype" w:hAnsi="Palatino Linotype" w:cs="Tahoma"/>
          <w:b/>
          <w:bCs/>
          <w:iCs/>
        </w:rPr>
        <w:t>licitaciones y adquisiciones</w:t>
      </w:r>
      <w:r w:rsidR="00A470D4" w:rsidRPr="001672EA">
        <w:rPr>
          <w:rFonts w:ascii="Palatino Linotype" w:hAnsi="Palatino Linotype" w:cs="Tahoma"/>
          <w:bCs/>
          <w:iCs/>
        </w:rPr>
        <w:t xml:space="preserve"> que realice el </w:t>
      </w:r>
      <w:r w:rsidR="00A470D4" w:rsidRPr="001672EA">
        <w:rPr>
          <w:rFonts w:ascii="Palatino Linotype" w:hAnsi="Palatino Linotype" w:cs="Tahoma"/>
          <w:b/>
          <w:bCs/>
          <w:iCs/>
        </w:rPr>
        <w:t>SUJETO OBLIGADO</w:t>
      </w:r>
      <w:r w:rsidR="00A470D4" w:rsidRPr="001672EA">
        <w:rPr>
          <w:rFonts w:ascii="Palatino Linotype" w:hAnsi="Palatino Linotype" w:cs="Tahoma"/>
          <w:bCs/>
          <w:iCs/>
        </w:rPr>
        <w:t xml:space="preserve"> razón de lo anterior, el </w:t>
      </w:r>
      <w:r w:rsidR="00A470D4" w:rsidRPr="001672EA">
        <w:rPr>
          <w:rFonts w:ascii="Palatino Linotype" w:hAnsi="Palatino Linotype" w:cs="Tahoma"/>
          <w:b/>
          <w:bCs/>
          <w:iCs/>
        </w:rPr>
        <w:t>SUJETO OBLIGADO</w:t>
      </w:r>
      <w:r w:rsidR="00A470D4" w:rsidRPr="001672EA">
        <w:rPr>
          <w:rFonts w:ascii="Palatino Linotype" w:hAnsi="Palatino Linotype" w:cs="Tahoma"/>
          <w:bCs/>
          <w:iCs/>
        </w:rPr>
        <w:t xml:space="preserve"> deberá turnar la solicitud de información a </w:t>
      </w:r>
      <w:r w:rsidR="00A470D4" w:rsidRPr="001672EA">
        <w:rPr>
          <w:rFonts w:ascii="Palatino Linotype" w:hAnsi="Palatino Linotype" w:cs="Tahoma"/>
          <w:b/>
          <w:bCs/>
          <w:iCs/>
        </w:rPr>
        <w:t>todas</w:t>
      </w:r>
      <w:r w:rsidR="00A470D4" w:rsidRPr="001672EA">
        <w:rPr>
          <w:rFonts w:ascii="Palatino Linotype" w:hAnsi="Palatino Linotype" w:cs="Tahoma"/>
          <w:bCs/>
          <w:iCs/>
        </w:rPr>
        <w:t xml:space="preserve"> las áreas administrativas</w:t>
      </w:r>
      <w:r w:rsidR="00E171AB" w:rsidRPr="001672EA">
        <w:rPr>
          <w:rFonts w:ascii="Palatino Linotype" w:hAnsi="Palatino Linotype" w:cs="Tahoma"/>
          <w:bCs/>
          <w:iCs/>
        </w:rPr>
        <w:t xml:space="preserve"> (de las cuales, no se podrán omitir a la </w:t>
      </w:r>
      <w:r w:rsidR="00E171AB" w:rsidRPr="001672EA">
        <w:rPr>
          <w:rFonts w:ascii="Palatino Linotype" w:hAnsi="Palatino Linotype" w:cs="Tahoma"/>
          <w:b/>
          <w:bCs/>
          <w:iCs/>
        </w:rPr>
        <w:t>Secretaría del Ayuntamiento</w:t>
      </w:r>
      <w:r w:rsidR="00E171AB" w:rsidRPr="001672EA">
        <w:rPr>
          <w:rFonts w:ascii="Palatino Linotype" w:hAnsi="Palatino Linotype" w:cs="Tahoma"/>
          <w:bCs/>
          <w:iCs/>
        </w:rPr>
        <w:t xml:space="preserve">, la </w:t>
      </w:r>
      <w:r w:rsidR="00E171AB" w:rsidRPr="001672EA">
        <w:rPr>
          <w:rFonts w:ascii="Palatino Linotype" w:hAnsi="Palatino Linotype" w:cs="Tahoma"/>
          <w:b/>
          <w:bCs/>
          <w:iCs/>
        </w:rPr>
        <w:t>Dirección de Obras Públicas</w:t>
      </w:r>
      <w:r w:rsidR="00E171AB" w:rsidRPr="001672EA">
        <w:rPr>
          <w:rFonts w:ascii="Palatino Linotype" w:hAnsi="Palatino Linotype" w:cs="Tahoma"/>
          <w:bCs/>
          <w:iCs/>
        </w:rPr>
        <w:t xml:space="preserve"> y la </w:t>
      </w:r>
      <w:r w:rsidR="00E171AB" w:rsidRPr="001672EA">
        <w:rPr>
          <w:rFonts w:ascii="Palatino Linotype" w:hAnsi="Palatino Linotype" w:cs="Tahoma"/>
          <w:b/>
          <w:bCs/>
          <w:iCs/>
        </w:rPr>
        <w:t>Dirección General de Administración</w:t>
      </w:r>
      <w:r w:rsidR="00E171AB" w:rsidRPr="001672EA">
        <w:rPr>
          <w:rFonts w:ascii="Palatino Linotype" w:hAnsi="Palatino Linotype" w:cs="Tahoma"/>
          <w:bCs/>
          <w:iCs/>
        </w:rPr>
        <w:t>)</w:t>
      </w:r>
      <w:r w:rsidR="00A470D4" w:rsidRPr="001672EA">
        <w:rPr>
          <w:rFonts w:ascii="Palatino Linotype" w:hAnsi="Palatino Linotype" w:cs="Tahoma"/>
          <w:bCs/>
          <w:iCs/>
        </w:rPr>
        <w:t xml:space="preserve"> que, por la naturaleza de sus funciones, sean competentes para poseer, generar y/</w:t>
      </w:r>
      <w:r w:rsidR="00E171AB" w:rsidRPr="001672EA">
        <w:rPr>
          <w:rFonts w:ascii="Palatino Linotype" w:hAnsi="Palatino Linotype" w:cs="Tahoma"/>
          <w:bCs/>
          <w:iCs/>
        </w:rPr>
        <w:t>o administrar la siguiente información:</w:t>
      </w:r>
    </w:p>
    <w:p w14:paraId="4C49B143" w14:textId="7F5AB6EA" w:rsidR="00E171AB" w:rsidRPr="001672EA" w:rsidRDefault="00E171AB" w:rsidP="00E171AB">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lastRenderedPageBreak/>
        <w:t>Padrón de proveedores de los ejercicios dos mil doce al dos mil dieciséis; y</w:t>
      </w:r>
    </w:p>
    <w:p w14:paraId="700E8727" w14:textId="038FE11F" w:rsidR="004F4BEF" w:rsidRPr="001672EA" w:rsidRDefault="00E171AB" w:rsidP="00E171AB">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De los contratos de obras, bienes y servicios, derivados de un procedimiento de licitación pública, invitación restringida o adjudicación directa, del uno (01) de enero de dos mil doce al treinta y uno (31) de diciembre de dos mil dieciséis, los registros y/o documentos donde se aprecien los siguiente</w:t>
      </w:r>
      <w:r w:rsidR="00AA4F6D" w:rsidRPr="001672EA">
        <w:rPr>
          <w:rFonts w:ascii="Palatino Linotype" w:hAnsi="Palatino Linotype" w:cs="Tahoma"/>
          <w:bCs/>
          <w:iCs/>
        </w:rPr>
        <w:t>s</w:t>
      </w:r>
      <w:r w:rsidRPr="001672EA">
        <w:rPr>
          <w:rFonts w:ascii="Palatino Linotype" w:hAnsi="Palatino Linotype" w:cs="Tahoma"/>
          <w:bCs/>
          <w:iCs/>
        </w:rPr>
        <w:t xml:space="preserve"> elementos:</w:t>
      </w:r>
    </w:p>
    <w:p w14:paraId="023ECF9A" w14:textId="00E9ABE2"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Institución;</w:t>
      </w:r>
    </w:p>
    <w:p w14:paraId="46157885"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Nombre de la UC;</w:t>
      </w:r>
    </w:p>
    <w:p w14:paraId="4586FD55"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Responsable de la UC;</w:t>
      </w:r>
    </w:p>
    <w:p w14:paraId="1778D016"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Código del expediente;</w:t>
      </w:r>
    </w:p>
    <w:p w14:paraId="634080FF"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Referencia del expediente;</w:t>
      </w:r>
    </w:p>
    <w:p w14:paraId="18A4160F"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Título del expediente;</w:t>
      </w:r>
    </w:p>
    <w:p w14:paraId="7793D514"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Fundamento legal;</w:t>
      </w:r>
    </w:p>
    <w:p w14:paraId="10996C53"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Número del procedimiento;</w:t>
      </w:r>
    </w:p>
    <w:p w14:paraId="7750DA5F"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Fecha de fallo;</w:t>
      </w:r>
    </w:p>
    <w:p w14:paraId="20CD5490"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Fecha de publicación;</w:t>
      </w:r>
    </w:p>
    <w:p w14:paraId="084E91BF"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Tipo de contratación;</w:t>
      </w:r>
    </w:p>
    <w:p w14:paraId="638DC2E5"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Tipo de procedimiento;</w:t>
      </w:r>
    </w:p>
    <w:p w14:paraId="469526E0"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Título del contrato;</w:t>
      </w:r>
    </w:p>
    <w:p w14:paraId="3B0237C2"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Descripción del contrato;</w:t>
      </w:r>
    </w:p>
    <w:p w14:paraId="5B1A91B6"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Importe del contrato;</w:t>
      </w:r>
    </w:p>
    <w:p w14:paraId="603CB4D5" w14:textId="77777777"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Convenio modificatorio;</w:t>
      </w:r>
    </w:p>
    <w:p w14:paraId="58ABD69F" w14:textId="3011879B" w:rsidR="00E171AB" w:rsidRPr="001672EA" w:rsidRDefault="00E171AB"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RFC;</w:t>
      </w:r>
      <w:r w:rsidR="001D31E7" w:rsidRPr="001672EA">
        <w:rPr>
          <w:rFonts w:ascii="Palatino Linotype" w:hAnsi="Palatino Linotype"/>
          <w:color w:val="000000" w:themeColor="text1"/>
        </w:rPr>
        <w:t xml:space="preserve"> y</w:t>
      </w:r>
    </w:p>
    <w:p w14:paraId="7787ACBD" w14:textId="387CF306" w:rsidR="00E171AB" w:rsidRPr="001672EA" w:rsidRDefault="001D31E7" w:rsidP="00E171AB">
      <w:pPr>
        <w:pStyle w:val="Prrafodelista"/>
        <w:numPr>
          <w:ilvl w:val="2"/>
          <w:numId w:val="27"/>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Proveedor o contratista.</w:t>
      </w:r>
    </w:p>
    <w:p w14:paraId="3567250A" w14:textId="77777777" w:rsidR="004F4BEF" w:rsidRPr="001672EA" w:rsidRDefault="004F4BEF" w:rsidP="004F4BEF">
      <w:pPr>
        <w:pStyle w:val="Prrafodelista"/>
        <w:tabs>
          <w:tab w:val="left" w:pos="426"/>
        </w:tabs>
        <w:spacing w:before="240" w:after="240" w:line="360" w:lineRule="auto"/>
        <w:ind w:left="0" w:right="51"/>
        <w:jc w:val="both"/>
        <w:rPr>
          <w:rFonts w:ascii="Palatino Linotype" w:hAnsi="Palatino Linotype"/>
          <w:color w:val="000000" w:themeColor="text1"/>
        </w:rPr>
      </w:pPr>
    </w:p>
    <w:p w14:paraId="2C83F051" w14:textId="48E1BDDA" w:rsidR="001D31E7" w:rsidRPr="001672EA" w:rsidRDefault="001D31E7"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No se ignora que, dentro de los incisos señalados por el particular dentro de su solicitud de información </w:t>
      </w:r>
      <w:r w:rsidRPr="001672EA">
        <w:rPr>
          <w:rFonts w:ascii="Palatino Linotype" w:hAnsi="Palatino Linotype"/>
          <w:b/>
          <w:color w:val="000000" w:themeColor="text1"/>
        </w:rPr>
        <w:t>00224/TEXCOCO/IP/2022</w:t>
      </w:r>
      <w:r w:rsidRPr="001672EA">
        <w:rPr>
          <w:rFonts w:ascii="Palatino Linotype" w:hAnsi="Palatino Linotype"/>
          <w:color w:val="000000" w:themeColor="text1"/>
        </w:rPr>
        <w:t xml:space="preserve">, requirió conocer, de los contratos de obras, bienes y servicios, la </w:t>
      </w:r>
      <w:r w:rsidRPr="001672EA">
        <w:rPr>
          <w:rFonts w:ascii="Palatino Linotype" w:hAnsi="Palatino Linotype"/>
          <w:b/>
          <w:color w:val="000000" w:themeColor="text1"/>
        </w:rPr>
        <w:t>dirección del anuncio</w:t>
      </w:r>
      <w:r w:rsidRPr="001672EA">
        <w:rPr>
          <w:rFonts w:ascii="Palatino Linotype" w:hAnsi="Palatino Linotype"/>
          <w:color w:val="000000" w:themeColor="text1"/>
        </w:rPr>
        <w:t>.</w:t>
      </w:r>
    </w:p>
    <w:p w14:paraId="649AB4B7" w14:textId="77777777" w:rsidR="001D31E7" w:rsidRPr="001672EA" w:rsidRDefault="001D31E7" w:rsidP="001D31E7">
      <w:pPr>
        <w:pStyle w:val="Prrafodelista"/>
        <w:tabs>
          <w:tab w:val="left" w:pos="426"/>
        </w:tabs>
        <w:spacing w:before="240" w:after="240" w:line="360" w:lineRule="auto"/>
        <w:ind w:left="0" w:right="51"/>
        <w:jc w:val="both"/>
        <w:rPr>
          <w:rFonts w:ascii="Palatino Linotype" w:hAnsi="Palatino Linotype"/>
          <w:color w:val="000000" w:themeColor="text1"/>
        </w:rPr>
      </w:pPr>
    </w:p>
    <w:p w14:paraId="13106BEF" w14:textId="729AA14F" w:rsidR="001D31E7" w:rsidRPr="001672EA" w:rsidRDefault="001D31E7"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 xml:space="preserve">Al respecto el Libro Décimo Séptimo del Código Administrativo del Estado de México tiene por objeto regular las </w:t>
      </w:r>
      <w:r w:rsidRPr="001672EA">
        <w:rPr>
          <w:rFonts w:ascii="Palatino Linotype" w:hAnsi="Palatino Linotype" w:cs="Tahoma"/>
          <w:b/>
          <w:bCs/>
          <w:iCs/>
        </w:rPr>
        <w:t>comunicaciones de jurisdicción local</w:t>
      </w:r>
      <w:r w:rsidRPr="001672EA">
        <w:rPr>
          <w:rStyle w:val="Refdenotaalpie"/>
          <w:rFonts w:ascii="Palatino Linotype" w:hAnsi="Palatino Linotype" w:cs="Tahoma"/>
          <w:bCs/>
          <w:iCs/>
        </w:rPr>
        <w:footnoteReference w:id="26"/>
      </w:r>
      <w:r w:rsidRPr="001672EA">
        <w:rPr>
          <w:rFonts w:ascii="Palatino Linotype" w:hAnsi="Palatino Linotype" w:cs="Tahoma"/>
          <w:bCs/>
          <w:iCs/>
        </w:rPr>
        <w:t xml:space="preserve">; mismas que se entenderán como toda la </w:t>
      </w:r>
      <w:r w:rsidRPr="001672EA">
        <w:rPr>
          <w:rFonts w:ascii="Palatino Linotype" w:hAnsi="Palatino Linotype" w:cs="Tahoma"/>
          <w:b/>
          <w:bCs/>
          <w:iCs/>
        </w:rPr>
        <w:t>infraestructura vial primaria</w:t>
      </w:r>
      <w:r w:rsidRPr="001672EA">
        <w:rPr>
          <w:rFonts w:ascii="Palatino Linotype" w:hAnsi="Palatino Linotype" w:cs="Tahoma"/>
          <w:bCs/>
          <w:iCs/>
        </w:rPr>
        <w:t xml:space="preserve"> y los sistemas de transporte masivo o de alta capacidad y de teleférico, incluyendo las estaciones de transferencia modal, junto con su correspondiente derecho de vía, zona de seguridad y zona de influencia, así como el sistema de elementos estructurales, mecánicos y eléctricos que integran el sistema del teleférico, como son, entre otros, cables, sistema de apoyos, anclajes, sistema motriz y eléctrico</w:t>
      </w:r>
      <w:r w:rsidRPr="001672EA">
        <w:rPr>
          <w:rStyle w:val="Refdenotaalpie"/>
          <w:rFonts w:ascii="Palatino Linotype" w:hAnsi="Palatino Linotype" w:cs="Tahoma"/>
          <w:bCs/>
          <w:iCs/>
        </w:rPr>
        <w:footnoteReference w:id="27"/>
      </w:r>
      <w:r w:rsidRPr="001672EA">
        <w:rPr>
          <w:rFonts w:ascii="Palatino Linotype" w:hAnsi="Palatino Linotype" w:cs="Tahoma"/>
          <w:bCs/>
          <w:iCs/>
        </w:rPr>
        <w:t>.</w:t>
      </w:r>
    </w:p>
    <w:p w14:paraId="1E13CA3E" w14:textId="77777777" w:rsidR="001D31E7" w:rsidRPr="001672EA" w:rsidRDefault="001D31E7" w:rsidP="001D31E7">
      <w:pPr>
        <w:pStyle w:val="Prrafodelista"/>
        <w:tabs>
          <w:tab w:val="left" w:pos="426"/>
        </w:tabs>
        <w:spacing w:before="240" w:after="240" w:line="360" w:lineRule="auto"/>
        <w:ind w:left="0" w:right="51"/>
        <w:jc w:val="both"/>
        <w:rPr>
          <w:rFonts w:ascii="Palatino Linotype" w:hAnsi="Palatino Linotype"/>
          <w:color w:val="000000" w:themeColor="text1"/>
        </w:rPr>
      </w:pPr>
    </w:p>
    <w:p w14:paraId="3E7558EF" w14:textId="3B09C2DC" w:rsidR="001D31E7" w:rsidRPr="001672EA" w:rsidRDefault="001D31E7"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Dicho lo anterior, conviene traer a estudio los siguientes conceptos reconocidos en el artículo 17.4 del Código Administrativo del Estado de México:</w:t>
      </w:r>
    </w:p>
    <w:p w14:paraId="7842665D" w14:textId="77777777" w:rsidR="001D31E7" w:rsidRPr="001672EA" w:rsidRDefault="001D31E7" w:rsidP="001D31E7">
      <w:pPr>
        <w:pStyle w:val="Prrafodelista"/>
        <w:tabs>
          <w:tab w:val="left" w:pos="426"/>
        </w:tabs>
        <w:spacing w:before="240" w:after="240" w:line="360" w:lineRule="auto"/>
        <w:ind w:left="0" w:right="51"/>
        <w:jc w:val="both"/>
        <w:rPr>
          <w:rFonts w:ascii="Palatino Linotype" w:hAnsi="Palatino Linotype"/>
          <w:color w:val="000000" w:themeColor="text1"/>
        </w:rPr>
      </w:pPr>
    </w:p>
    <w:p w14:paraId="00853570" w14:textId="1D631BC1" w:rsidR="001D31E7" w:rsidRPr="001672EA" w:rsidRDefault="001D31E7" w:rsidP="001D31E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“Artículo 17.4. Para efectos del presente Libro se entenderá por:</w:t>
      </w:r>
    </w:p>
    <w:p w14:paraId="0E0DB551" w14:textId="51D270E5" w:rsidR="001D31E7" w:rsidRPr="001672EA" w:rsidRDefault="001D31E7" w:rsidP="001D31E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5DEFEE51" w14:textId="3859D77F" w:rsidR="001D31E7" w:rsidRPr="001672EA" w:rsidRDefault="001D31E7" w:rsidP="001D31E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 Infraestructura de Jurisdicción Local.-</w:t>
      </w:r>
      <w:r w:rsidRPr="001672EA">
        <w:rPr>
          <w:rFonts w:ascii="Palatino Linotype" w:hAnsi="Palatino Linotype"/>
          <w:i/>
          <w:color w:val="000000" w:themeColor="text1"/>
          <w:sz w:val="22"/>
        </w:rPr>
        <w:t xml:space="preserve"> Conjunto de vías jerarquizadas que facilitan la comunicación entre las diferentes áreas de la actividad económica y se clasifican en:</w:t>
      </w:r>
    </w:p>
    <w:p w14:paraId="50209231" w14:textId="77777777" w:rsidR="001D31E7" w:rsidRPr="001672EA" w:rsidRDefault="001D31E7" w:rsidP="001D31E7">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a) Infraestructura Vial Primaria.-</w:t>
      </w:r>
      <w:r w:rsidRPr="001672EA">
        <w:rPr>
          <w:rFonts w:ascii="Palatino Linotype" w:hAnsi="Palatino Linotype"/>
          <w:i/>
          <w:color w:val="000000" w:themeColor="text1"/>
          <w:sz w:val="22"/>
        </w:rPr>
        <w:t xml:space="preserve"> La integrada por carreteras, pasos vehiculares, avenidas, calzadas y calles que comunican a dos o más municipios de la entidad, permitiendo los viajes de largo recorrido y aquellas que por sus características de </w:t>
      </w:r>
      <w:r w:rsidRPr="001672EA">
        <w:rPr>
          <w:rFonts w:ascii="Palatino Linotype" w:hAnsi="Palatino Linotype"/>
          <w:i/>
          <w:color w:val="000000" w:themeColor="text1"/>
          <w:sz w:val="22"/>
        </w:rPr>
        <w:lastRenderedPageBreak/>
        <w:t xml:space="preserve">ubicación, operación y vocación de servicio permitan la integración de la red vial primaria, así como las que comuniquen a instalaciones estratégicas estatales; </w:t>
      </w:r>
    </w:p>
    <w:p w14:paraId="2C2FB778" w14:textId="0C953C05" w:rsidR="001D31E7" w:rsidRPr="001672EA" w:rsidRDefault="001D31E7" w:rsidP="001D31E7">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b) Infraestructura Vial Local.-</w:t>
      </w:r>
      <w:r w:rsidRPr="001672EA">
        <w:rPr>
          <w:rFonts w:ascii="Palatino Linotype" w:hAnsi="Palatino Linotype"/>
          <w:i/>
          <w:color w:val="000000" w:themeColor="text1"/>
          <w:sz w:val="22"/>
        </w:rPr>
        <w:t xml:space="preserve"> La integrada por pasos vehiculares, avenidas, calzadas, calles y cerradas que permiten la comunicación al interior del municipio y la integración con la red vial primaria. </w:t>
      </w:r>
    </w:p>
    <w:p w14:paraId="1141DC28" w14:textId="145916D2" w:rsidR="001D31E7" w:rsidRPr="001672EA" w:rsidRDefault="001D31E7" w:rsidP="001D31E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 Publicidad Exterior.-</w:t>
      </w:r>
      <w:r w:rsidRPr="001672EA">
        <w:rPr>
          <w:rFonts w:ascii="Palatino Linotype" w:hAnsi="Palatino Linotype"/>
          <w:i/>
          <w:color w:val="000000" w:themeColor="text1"/>
          <w:sz w:val="22"/>
        </w:rPr>
        <w:t xml:space="preserve"> Toda forma de difusión de mensajes mediante el uso de </w:t>
      </w:r>
      <w:r w:rsidRPr="001672EA">
        <w:rPr>
          <w:rFonts w:ascii="Palatino Linotype" w:hAnsi="Palatino Linotype"/>
          <w:b/>
          <w:i/>
          <w:color w:val="000000" w:themeColor="text1"/>
          <w:sz w:val="22"/>
        </w:rPr>
        <w:t>anuncios, carteles o cualquier otro medio de comunicación visual</w:t>
      </w:r>
      <w:r w:rsidRPr="001672EA">
        <w:rPr>
          <w:rFonts w:ascii="Palatino Linotype" w:hAnsi="Palatino Linotype"/>
          <w:i/>
          <w:color w:val="000000" w:themeColor="text1"/>
          <w:sz w:val="22"/>
        </w:rPr>
        <w:t xml:space="preserve"> o auditiva </w:t>
      </w:r>
      <w:r w:rsidRPr="001672EA">
        <w:rPr>
          <w:rFonts w:ascii="Palatino Linotype" w:hAnsi="Palatino Linotype"/>
          <w:b/>
          <w:i/>
          <w:color w:val="000000" w:themeColor="text1"/>
          <w:sz w:val="22"/>
        </w:rPr>
        <w:t>que para su instalación requieran</w:t>
      </w:r>
      <w:r w:rsidRPr="001672EA">
        <w:rPr>
          <w:rFonts w:ascii="Palatino Linotype" w:hAnsi="Palatino Linotype"/>
          <w:i/>
          <w:color w:val="000000" w:themeColor="text1"/>
          <w:sz w:val="22"/>
        </w:rPr>
        <w:t xml:space="preserve"> el concurso de diversos elementos, tales como </w:t>
      </w:r>
      <w:r w:rsidRPr="001672EA">
        <w:rPr>
          <w:rFonts w:ascii="Palatino Linotype" w:hAnsi="Palatino Linotype"/>
          <w:b/>
          <w:i/>
          <w:color w:val="000000" w:themeColor="text1"/>
          <w:sz w:val="22"/>
        </w:rPr>
        <w:t>estructuras, soportes, cartelera, pantalla, equipamientos u otros</w:t>
      </w:r>
      <w:r w:rsidRPr="001672EA">
        <w:rPr>
          <w:rFonts w:ascii="Palatino Linotype" w:hAnsi="Palatino Linotype"/>
          <w:i/>
          <w:color w:val="000000" w:themeColor="text1"/>
          <w:sz w:val="22"/>
        </w:rPr>
        <w:t>, que siempre serán considerados como una unidad integral y estén colocados o instalados dentro del derecho de vía y puedan ser observados o escuchados desde la infraestructura vial primaria sea de cuota, libre de peaje o de uso restringido y local incluyendo sus elementos complementarios;</w:t>
      </w:r>
    </w:p>
    <w:p w14:paraId="38CD306F" w14:textId="7BC50C6F" w:rsidR="001D31E7" w:rsidRPr="001672EA" w:rsidRDefault="001D31E7" w:rsidP="001D31E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p>
    <w:p w14:paraId="517B0379" w14:textId="35320C8F" w:rsidR="001D31E7" w:rsidRPr="001672EA" w:rsidRDefault="001D31E7" w:rsidP="001D31E7">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1672EA">
        <w:rPr>
          <w:rFonts w:ascii="Palatino Linotype" w:hAnsi="Palatino Linotype"/>
          <w:color w:val="000000" w:themeColor="text1"/>
          <w:sz w:val="22"/>
        </w:rPr>
        <w:t>(Énfasis añadido)</w:t>
      </w:r>
    </w:p>
    <w:p w14:paraId="115FB00E" w14:textId="77777777" w:rsidR="001D31E7" w:rsidRPr="001672EA" w:rsidRDefault="001D31E7" w:rsidP="001D31E7">
      <w:pPr>
        <w:pStyle w:val="Prrafodelista"/>
        <w:tabs>
          <w:tab w:val="left" w:pos="426"/>
        </w:tabs>
        <w:spacing w:before="240" w:after="240" w:line="360" w:lineRule="auto"/>
        <w:ind w:left="0" w:right="51"/>
        <w:jc w:val="both"/>
        <w:rPr>
          <w:rFonts w:ascii="Palatino Linotype" w:hAnsi="Palatino Linotype"/>
          <w:color w:val="000000" w:themeColor="text1"/>
        </w:rPr>
      </w:pPr>
    </w:p>
    <w:p w14:paraId="49A59207" w14:textId="07D2D67E" w:rsidR="001D31E7" w:rsidRPr="001672EA" w:rsidRDefault="001D31E7"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De lo anterior podemos entender que la publicidad exterior comprende todo tipo de anuncios, carteles, pantallas, o cualquier tipo de comunicación visual que, para su instalación, se requiera de estructuras, soportes, carteleras, e</w:t>
      </w:r>
      <w:r w:rsidR="00C0049D" w:rsidRPr="001672EA">
        <w:rPr>
          <w:rFonts w:ascii="Palatino Linotype" w:hAnsi="Palatino Linotype" w:cs="Tahoma"/>
          <w:bCs/>
          <w:iCs/>
        </w:rPr>
        <w:t>quipo u otros, mismo que estarán colocados o instalados dentro del derecho de vía y podrán observarse desde el la infraestructura vial primaria.</w:t>
      </w:r>
    </w:p>
    <w:p w14:paraId="265E06AE" w14:textId="77777777" w:rsidR="001D31E7" w:rsidRPr="001672EA" w:rsidRDefault="001D31E7" w:rsidP="001D31E7">
      <w:pPr>
        <w:pStyle w:val="Prrafodelista"/>
        <w:tabs>
          <w:tab w:val="left" w:pos="426"/>
        </w:tabs>
        <w:spacing w:before="240" w:after="240" w:line="360" w:lineRule="auto"/>
        <w:ind w:left="0" w:right="51"/>
        <w:jc w:val="both"/>
        <w:rPr>
          <w:rFonts w:ascii="Palatino Linotype" w:hAnsi="Palatino Linotype"/>
          <w:color w:val="000000" w:themeColor="text1"/>
        </w:rPr>
      </w:pPr>
    </w:p>
    <w:p w14:paraId="633D5A35" w14:textId="093C5C95" w:rsidR="00C0049D" w:rsidRPr="001672EA" w:rsidRDefault="00C0049D" w:rsidP="00ED3E6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Al respecto, la Secretaría de Movilidad será la autoridad competente en materia de Publicidad Exterior en la Infraestructura Vial Primaria y tendrá las siguientes atribuciones</w:t>
      </w:r>
      <w:r w:rsidRPr="001672EA">
        <w:rPr>
          <w:rStyle w:val="Refdenotaalpie"/>
          <w:rFonts w:ascii="Palatino Linotype" w:hAnsi="Palatino Linotype" w:cs="Tahoma"/>
          <w:bCs/>
          <w:iCs/>
        </w:rPr>
        <w:footnoteReference w:id="28"/>
      </w:r>
      <w:r w:rsidRPr="001672EA">
        <w:rPr>
          <w:rFonts w:ascii="Palatino Linotype" w:hAnsi="Palatino Linotype" w:cs="Tahoma"/>
          <w:bCs/>
          <w:iCs/>
        </w:rPr>
        <w:t>:</w:t>
      </w:r>
    </w:p>
    <w:p w14:paraId="33C8748C" w14:textId="77777777" w:rsidR="00C0049D" w:rsidRPr="001672EA" w:rsidRDefault="00C0049D" w:rsidP="00C0049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Tahoma"/>
          <w:bCs/>
          <w:iCs/>
        </w:rPr>
        <w:t xml:space="preserve">Establecer y ejecutar políticas en materia de publicidad exterior; </w:t>
      </w:r>
    </w:p>
    <w:p w14:paraId="691C9FA6" w14:textId="77777777" w:rsidR="00C0049D" w:rsidRPr="001672EA" w:rsidRDefault="00C0049D" w:rsidP="00C0049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Tahoma"/>
          <w:bCs/>
          <w:iCs/>
        </w:rPr>
        <w:t xml:space="preserve">Elaborar y emitir normas técnicas en materia de publicidad exterior; </w:t>
      </w:r>
    </w:p>
    <w:p w14:paraId="0E371D96" w14:textId="569DDB05" w:rsidR="00C0049D" w:rsidRPr="001672EA" w:rsidRDefault="00C0049D" w:rsidP="00C0049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Tahoma"/>
          <w:bCs/>
          <w:iCs/>
        </w:rPr>
        <w:lastRenderedPageBreak/>
        <w:t xml:space="preserve">Ordenar y realizar visitas de verificación administrativa del cumplimiento del Libro Décimo Séptimo del Código Administrativo del Estado de México, su Reglamento, así como de las obligaciones contenidas en los permisos y autorizaciones correspondientes; </w:t>
      </w:r>
    </w:p>
    <w:p w14:paraId="68214789" w14:textId="77777777" w:rsidR="00C0049D" w:rsidRPr="001672EA" w:rsidRDefault="00C0049D" w:rsidP="00C0049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Tahoma"/>
          <w:bCs/>
          <w:iCs/>
        </w:rPr>
        <w:t xml:space="preserve">Ordenar a los titulares de permisos y autorizaciones la ejecución de trabajos de conservación, mantenimiento, reparación y retiro que sean necesarios; </w:t>
      </w:r>
    </w:p>
    <w:p w14:paraId="2E5BA3FF" w14:textId="77777777" w:rsidR="00C0049D" w:rsidRPr="001672EA" w:rsidRDefault="00C0049D" w:rsidP="00C0049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Tahoma"/>
          <w:bCs/>
          <w:iCs/>
        </w:rPr>
        <w:t xml:space="preserve">Ordenar los trabajos de retiro de instalaciones publicitarias que hayan sido colocadas sin autorización o permiso; </w:t>
      </w:r>
    </w:p>
    <w:p w14:paraId="6D69DD1C" w14:textId="77777777" w:rsidR="00C0049D" w:rsidRPr="001672EA" w:rsidRDefault="00C0049D" w:rsidP="00C0049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Tahoma"/>
          <w:bCs/>
          <w:iCs/>
        </w:rPr>
        <w:t xml:space="preserve">Integrar el Registro Estatal de Publicidad Exterior; </w:t>
      </w:r>
    </w:p>
    <w:p w14:paraId="19EB7355" w14:textId="64AE1149" w:rsidR="00C0049D" w:rsidRPr="001672EA" w:rsidRDefault="00C0049D" w:rsidP="00C0049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Tahoma"/>
          <w:bCs/>
          <w:iCs/>
        </w:rPr>
        <w:t>Formular y divulgar el Programa Estatal de Publicidad Exterior; y</w:t>
      </w:r>
    </w:p>
    <w:p w14:paraId="7B27B15C" w14:textId="78B43A0D" w:rsidR="00C0049D" w:rsidRPr="001672EA" w:rsidRDefault="00C0049D" w:rsidP="00C0049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672EA">
        <w:rPr>
          <w:rFonts w:ascii="Palatino Linotype" w:hAnsi="Palatino Linotype" w:cs="Tahoma"/>
          <w:bCs/>
          <w:iCs/>
        </w:rPr>
        <w:t>Las demás que les atribuyan otras disposiciones del Código Administrativo del Estado de México, Leyes, reglamentos y demás disposiciones administrativas aplicables.</w:t>
      </w:r>
    </w:p>
    <w:p w14:paraId="003315A9" w14:textId="77777777" w:rsidR="001D31E7" w:rsidRPr="001672EA" w:rsidRDefault="001D31E7" w:rsidP="001D31E7">
      <w:pPr>
        <w:pStyle w:val="Prrafodelista"/>
        <w:tabs>
          <w:tab w:val="left" w:pos="426"/>
        </w:tabs>
        <w:spacing w:before="240" w:after="240" w:line="360" w:lineRule="auto"/>
        <w:ind w:left="0" w:right="51"/>
        <w:jc w:val="both"/>
        <w:rPr>
          <w:rFonts w:ascii="Palatino Linotype" w:hAnsi="Palatino Linotype"/>
          <w:color w:val="000000" w:themeColor="text1"/>
        </w:rPr>
      </w:pPr>
    </w:p>
    <w:p w14:paraId="1DB32EC8" w14:textId="1E7257E9" w:rsidR="001D31E7" w:rsidRPr="001672EA" w:rsidRDefault="00C0049D"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Ahora bien, existirán dos tipos de permisos para colocar Publicidad Exterior, que se diferenciarán por su período de vigencia, menor o mayor de 90 días; al respecto, los artículos 17.24 y 17.25 del Código Administrativo del Estado de México, establecen lo siguiente:</w:t>
      </w:r>
    </w:p>
    <w:p w14:paraId="42D29CB5" w14:textId="77777777" w:rsidR="001D31E7" w:rsidRPr="001672EA" w:rsidRDefault="001D31E7" w:rsidP="001D31E7">
      <w:pPr>
        <w:pStyle w:val="Prrafodelista"/>
        <w:tabs>
          <w:tab w:val="left" w:pos="426"/>
        </w:tabs>
        <w:spacing w:before="240" w:after="240" w:line="360" w:lineRule="auto"/>
        <w:ind w:left="0" w:right="51"/>
        <w:jc w:val="both"/>
        <w:rPr>
          <w:rFonts w:ascii="Palatino Linotype" w:hAnsi="Palatino Linotype"/>
          <w:color w:val="000000" w:themeColor="text1"/>
        </w:rPr>
      </w:pPr>
    </w:p>
    <w:p w14:paraId="60F892BC" w14:textId="77777777" w:rsidR="00C0049D" w:rsidRPr="001672EA" w:rsidRDefault="00C0049D" w:rsidP="00C004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r w:rsidRPr="001672EA">
        <w:rPr>
          <w:rFonts w:ascii="Palatino Linotype" w:hAnsi="Palatino Linotype"/>
          <w:b/>
          <w:i/>
          <w:color w:val="000000" w:themeColor="text1"/>
          <w:sz w:val="22"/>
        </w:rPr>
        <w:t>Artículo 17.24.</w:t>
      </w:r>
      <w:r w:rsidRPr="001672EA">
        <w:rPr>
          <w:rFonts w:ascii="Palatino Linotype" w:hAnsi="Palatino Linotype"/>
          <w:i/>
          <w:color w:val="000000" w:themeColor="text1"/>
          <w:sz w:val="22"/>
        </w:rPr>
        <w:t xml:space="preserve"> </w:t>
      </w:r>
      <w:r w:rsidRPr="001672EA">
        <w:rPr>
          <w:rFonts w:ascii="Palatino Linotype" w:hAnsi="Palatino Linotype"/>
          <w:b/>
          <w:i/>
          <w:color w:val="000000" w:themeColor="text1"/>
          <w:sz w:val="22"/>
        </w:rPr>
        <w:t>Se requiere permiso para la colocación de Publicidad Exterior que se instale por un periodo mayor a noventa días.</w:t>
      </w:r>
      <w:r w:rsidRPr="001672EA">
        <w:rPr>
          <w:rFonts w:ascii="Palatino Linotype" w:hAnsi="Palatino Linotype"/>
          <w:i/>
          <w:color w:val="000000" w:themeColor="text1"/>
          <w:sz w:val="22"/>
        </w:rPr>
        <w:t xml:space="preserve"> El permiso se otorgará siempre y cuando se cumplan todos y cada uno de los requisitos previstos en el presente capitulo y demás disposiciones aplicables a la materia y tendrá vigencia hasta por un año. Lo anterior sin perjuicio de lo establecido en los artículos 5.6 de este Código y 26 Bis y 26 Ter de la Ley de Bienes del Estado de México y de sus municipios. Será obligación del particular preservar las condiciones que en su momento permitieron la expedición del permiso. Podrá ser renovable por una sola ocasión por el mismo plazo por el que fue </w:t>
      </w:r>
      <w:r w:rsidRPr="001672EA">
        <w:rPr>
          <w:rFonts w:ascii="Palatino Linotype" w:hAnsi="Palatino Linotype"/>
          <w:i/>
          <w:color w:val="000000" w:themeColor="text1"/>
          <w:sz w:val="22"/>
        </w:rPr>
        <w:lastRenderedPageBreak/>
        <w:t xml:space="preserve">otorgado de acuerdo a lo dispuesto por el penúltimo párrafo del artículo 17.29 de este Código, siempre que se esté al corriente en el cumplimiento de las obligaciones a cargo del titular. </w:t>
      </w:r>
    </w:p>
    <w:p w14:paraId="727392C3" w14:textId="1A773B24" w:rsidR="00C0049D" w:rsidRPr="001672EA" w:rsidRDefault="00C0049D" w:rsidP="00C004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Los permisos que correspondan a la publicidad exterior que se pretenda instalar en la</w:t>
      </w:r>
      <w:r w:rsidRPr="001672EA">
        <w:rPr>
          <w:rFonts w:ascii="Palatino Linotype" w:hAnsi="Palatino Linotype"/>
          <w:i/>
          <w:color w:val="000000" w:themeColor="text1"/>
          <w:sz w:val="22"/>
        </w:rPr>
        <w:t xml:space="preserve"> infraestructura vial primaria, serán expedidos por las autoridades contempladas en las fracciones de la I a la V del artículo 17.5 del presente Código, en el ámbito de sus atribuciones, las que correspondan a la</w:t>
      </w:r>
      <w:r w:rsidRPr="001672EA">
        <w:rPr>
          <w:rFonts w:ascii="Palatino Linotype" w:hAnsi="Palatino Linotype"/>
          <w:b/>
          <w:i/>
          <w:color w:val="000000" w:themeColor="text1"/>
          <w:sz w:val="22"/>
        </w:rPr>
        <w:t xml:space="preserve"> infraestructura vial local, serán emitidas por los municipios</w:t>
      </w:r>
      <w:r w:rsidRPr="001672EA">
        <w:rPr>
          <w:rFonts w:ascii="Palatino Linotype" w:hAnsi="Palatino Linotype"/>
          <w:i/>
          <w:color w:val="000000" w:themeColor="text1"/>
          <w:sz w:val="22"/>
        </w:rPr>
        <w:t>.”</w:t>
      </w:r>
    </w:p>
    <w:p w14:paraId="6B249530" w14:textId="0ACD18A9" w:rsidR="00C0049D" w:rsidRPr="001672EA" w:rsidRDefault="00C0049D" w:rsidP="00C0049D">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1672EA">
        <w:rPr>
          <w:rFonts w:ascii="Palatino Linotype" w:hAnsi="Palatino Linotype"/>
          <w:color w:val="000000" w:themeColor="text1"/>
          <w:sz w:val="22"/>
        </w:rPr>
        <w:t>(Énfasis añadido)</w:t>
      </w:r>
    </w:p>
    <w:p w14:paraId="5BA4EBD8" w14:textId="77777777" w:rsidR="00C0049D" w:rsidRPr="001672EA" w:rsidRDefault="00C0049D" w:rsidP="00C004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8E27193" w14:textId="0A2E5892" w:rsidR="00C0049D" w:rsidRPr="001672EA" w:rsidRDefault="00C0049D" w:rsidP="00C004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r w:rsidRPr="001672EA">
        <w:rPr>
          <w:rFonts w:ascii="Palatino Linotype" w:hAnsi="Palatino Linotype"/>
          <w:b/>
          <w:i/>
          <w:color w:val="000000" w:themeColor="text1"/>
          <w:sz w:val="22"/>
        </w:rPr>
        <w:t>Artículo 17.25.-</w:t>
      </w:r>
      <w:r w:rsidRPr="001672EA">
        <w:rPr>
          <w:rFonts w:ascii="Palatino Linotype" w:hAnsi="Palatino Linotype"/>
          <w:i/>
          <w:color w:val="000000" w:themeColor="text1"/>
          <w:sz w:val="22"/>
        </w:rPr>
        <w:t xml:space="preserve"> </w:t>
      </w:r>
      <w:r w:rsidRPr="001672EA">
        <w:rPr>
          <w:rFonts w:ascii="Palatino Linotype" w:hAnsi="Palatino Linotype"/>
          <w:b/>
          <w:i/>
          <w:color w:val="000000" w:themeColor="text1"/>
          <w:sz w:val="22"/>
        </w:rPr>
        <w:t>Se requiere autorización para la colocación de publicidad exterior cuando se instale por un periodo menor a noventa días.</w:t>
      </w:r>
      <w:r w:rsidRPr="001672EA">
        <w:rPr>
          <w:rFonts w:ascii="Palatino Linotype" w:hAnsi="Palatino Linotype"/>
          <w:i/>
          <w:color w:val="000000" w:themeColor="text1"/>
          <w:sz w:val="22"/>
        </w:rPr>
        <w:t xml:space="preserve"> La autorización se otorgará siempre y cuando se cumplan todos y cada uno de los requisitos previstos en el presente capítulo y demás disposiciones aplicables a la materia y tendrá la vigencia que corresponda al período de exhibición de la publicidad. Será obligación del particular preservar las condiciones que en su momento permitieron la expedición de la autorización y podrá ser renovada por una sola ocasión por el mismo plazo por el que fue otorgada de acuerdo a lo dispuesto por el penúltimo párrafo del artículo 17.29 de este Código, siempre que se esté al corriente en el cumplimiento de las obligaciones a cargo del titular. </w:t>
      </w:r>
    </w:p>
    <w:p w14:paraId="23A33A2C" w14:textId="4CA4FB76" w:rsidR="00C0049D" w:rsidRPr="001672EA" w:rsidRDefault="00C0049D" w:rsidP="00C004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Las autorizaciones que correspondan a la publicidad exterior</w:t>
      </w:r>
      <w:r w:rsidRPr="001672EA">
        <w:rPr>
          <w:rFonts w:ascii="Palatino Linotype" w:hAnsi="Palatino Linotype"/>
          <w:i/>
          <w:color w:val="000000" w:themeColor="text1"/>
          <w:sz w:val="22"/>
        </w:rPr>
        <w:t xml:space="preserve"> que se pretenda instalar en la infraestructura vial primaria, serán expedidas por las autoridades contempladas en las fracciones de la I a la V del artículo 17.5 del presente Código, en el ámbito de sus atribuciones, las </w:t>
      </w:r>
      <w:r w:rsidRPr="001672EA">
        <w:rPr>
          <w:rFonts w:ascii="Palatino Linotype" w:hAnsi="Palatino Linotype"/>
          <w:b/>
          <w:i/>
          <w:color w:val="000000" w:themeColor="text1"/>
          <w:sz w:val="22"/>
        </w:rPr>
        <w:t>que correspondan a la infraestructura vial local, serán emitidas por los municipios</w:t>
      </w:r>
      <w:r w:rsidRPr="001672EA">
        <w:rPr>
          <w:rFonts w:ascii="Palatino Linotype" w:hAnsi="Palatino Linotype"/>
          <w:i/>
          <w:color w:val="000000" w:themeColor="text1"/>
          <w:sz w:val="22"/>
        </w:rPr>
        <w:t>.”</w:t>
      </w:r>
    </w:p>
    <w:p w14:paraId="0F3376D8" w14:textId="77777777" w:rsidR="00C0049D" w:rsidRPr="001672EA" w:rsidRDefault="00C0049D" w:rsidP="00C0049D">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1672EA">
        <w:rPr>
          <w:rFonts w:ascii="Palatino Linotype" w:hAnsi="Palatino Linotype"/>
          <w:color w:val="000000" w:themeColor="text1"/>
          <w:sz w:val="22"/>
        </w:rPr>
        <w:t>(Énfasis añadido)</w:t>
      </w:r>
    </w:p>
    <w:p w14:paraId="47FB6A1F" w14:textId="77777777" w:rsidR="00C0049D" w:rsidRPr="001672EA" w:rsidRDefault="00C0049D" w:rsidP="001D31E7">
      <w:pPr>
        <w:pStyle w:val="Prrafodelista"/>
        <w:tabs>
          <w:tab w:val="left" w:pos="426"/>
        </w:tabs>
        <w:spacing w:before="240" w:after="240" w:line="360" w:lineRule="auto"/>
        <w:ind w:left="0" w:right="51"/>
        <w:jc w:val="both"/>
        <w:rPr>
          <w:rFonts w:ascii="Palatino Linotype" w:hAnsi="Palatino Linotype"/>
          <w:color w:val="000000" w:themeColor="text1"/>
        </w:rPr>
      </w:pPr>
    </w:p>
    <w:p w14:paraId="2FD07B80" w14:textId="702BF956" w:rsidR="001D31E7" w:rsidRPr="001672EA" w:rsidRDefault="00C0049D"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 xml:space="preserve">Así las cosas, por cuanto hace a las autorizaciones de publicidad exterior (o anuncios), cuando se trate de infraestructura vial local, corresponderá su emisión a los </w:t>
      </w:r>
      <w:r w:rsidRPr="001672EA">
        <w:rPr>
          <w:rFonts w:ascii="Palatino Linotype" w:hAnsi="Palatino Linotype" w:cs="Tahoma"/>
          <w:b/>
          <w:bCs/>
          <w:iCs/>
        </w:rPr>
        <w:t>municipios</w:t>
      </w:r>
      <w:r w:rsidRPr="001672EA">
        <w:rPr>
          <w:rFonts w:ascii="Palatino Linotype" w:hAnsi="Palatino Linotype" w:cs="Tahoma"/>
          <w:bCs/>
          <w:iCs/>
        </w:rPr>
        <w:t>.</w:t>
      </w:r>
    </w:p>
    <w:p w14:paraId="58C716AC" w14:textId="77777777" w:rsidR="00C0049D" w:rsidRPr="001672EA" w:rsidRDefault="00C0049D" w:rsidP="00C0049D">
      <w:pPr>
        <w:pStyle w:val="Prrafodelista"/>
        <w:tabs>
          <w:tab w:val="left" w:pos="426"/>
        </w:tabs>
        <w:spacing w:before="240" w:after="240" w:line="360" w:lineRule="auto"/>
        <w:ind w:left="0" w:right="51"/>
        <w:jc w:val="both"/>
        <w:rPr>
          <w:rFonts w:ascii="Palatino Linotype" w:hAnsi="Palatino Linotype"/>
          <w:color w:val="000000" w:themeColor="text1"/>
        </w:rPr>
      </w:pPr>
    </w:p>
    <w:p w14:paraId="4462F3B1" w14:textId="43C6296D" w:rsidR="00C0049D" w:rsidRPr="001672EA" w:rsidRDefault="0060789B"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 xml:space="preserve">Razón de lo anterior, de ser el caso que alguno de los contratos de bienes o servicios adquiridos por el </w:t>
      </w:r>
      <w:r w:rsidRPr="001672EA">
        <w:rPr>
          <w:rFonts w:ascii="Palatino Linotype" w:hAnsi="Palatino Linotype" w:cs="Tahoma"/>
          <w:b/>
          <w:bCs/>
          <w:iCs/>
        </w:rPr>
        <w:t>SUJETO OBLIGADO</w:t>
      </w:r>
      <w:r w:rsidRPr="001672EA">
        <w:rPr>
          <w:rFonts w:ascii="Palatino Linotype" w:hAnsi="Palatino Linotype" w:cs="Tahoma"/>
          <w:bCs/>
          <w:iCs/>
        </w:rPr>
        <w:t xml:space="preserve"> se relacione con publicidad </w:t>
      </w:r>
      <w:r w:rsidRPr="001672EA">
        <w:rPr>
          <w:rFonts w:ascii="Palatino Linotype" w:hAnsi="Palatino Linotype" w:cs="Tahoma"/>
          <w:bCs/>
          <w:iCs/>
        </w:rPr>
        <w:lastRenderedPageBreak/>
        <w:t xml:space="preserve">exterior, deberá entregar al </w:t>
      </w:r>
      <w:r w:rsidRPr="001672EA">
        <w:rPr>
          <w:rFonts w:ascii="Palatino Linotype" w:hAnsi="Palatino Linotype" w:cs="Tahoma"/>
          <w:b/>
          <w:bCs/>
          <w:iCs/>
        </w:rPr>
        <w:t>RECURRENTE</w:t>
      </w:r>
      <w:r w:rsidRPr="001672EA">
        <w:rPr>
          <w:rFonts w:ascii="Palatino Linotype" w:hAnsi="Palatino Linotype" w:cs="Tahoma"/>
          <w:bCs/>
          <w:iCs/>
        </w:rPr>
        <w:t xml:space="preserve"> el o los documentos donde conste la dirección del anuncio respectivo.</w:t>
      </w:r>
    </w:p>
    <w:p w14:paraId="24D29AF5" w14:textId="77777777" w:rsidR="001D31E7" w:rsidRPr="001672EA" w:rsidRDefault="001D31E7" w:rsidP="001D31E7">
      <w:pPr>
        <w:pStyle w:val="Prrafodelista"/>
        <w:tabs>
          <w:tab w:val="left" w:pos="426"/>
        </w:tabs>
        <w:spacing w:before="240" w:after="240" w:line="360" w:lineRule="auto"/>
        <w:ind w:left="0" w:right="51"/>
        <w:jc w:val="both"/>
        <w:rPr>
          <w:rFonts w:ascii="Palatino Linotype" w:hAnsi="Palatino Linotype"/>
          <w:color w:val="000000" w:themeColor="text1"/>
        </w:rPr>
      </w:pPr>
    </w:p>
    <w:p w14:paraId="0021C056" w14:textId="6DE7CBD6" w:rsidR="0060789B" w:rsidRPr="001672EA" w:rsidRDefault="0060789B"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 xml:space="preserve">No obstante, </w:t>
      </w:r>
      <w:r w:rsidRPr="001672EA">
        <w:rPr>
          <w:rFonts w:ascii="Palatino Linotype" w:hAnsi="Palatino Linotype" w:cs="Tahoma"/>
          <w:bCs/>
          <w:iCs/>
          <w:lang w:val="es-ES"/>
        </w:rPr>
        <w:t xml:space="preserve">si derivado de la búsqueda de la información, ésta no se localizara en los archivos del </w:t>
      </w:r>
      <w:r w:rsidRPr="001672EA">
        <w:rPr>
          <w:rFonts w:ascii="Palatino Linotype" w:hAnsi="Palatino Linotype" w:cs="Tahoma"/>
          <w:b/>
          <w:bCs/>
          <w:iCs/>
          <w:lang w:val="es-ES"/>
        </w:rPr>
        <w:t>SUJETO OBLIGADO</w:t>
      </w:r>
      <w:r w:rsidRPr="001672EA">
        <w:rPr>
          <w:rFonts w:ascii="Palatino Linotype" w:hAnsi="Palatino Linotype" w:cs="Tahoma"/>
          <w:bCs/>
          <w:iCs/>
          <w:lang w:val="es-ES"/>
        </w:rPr>
        <w:t>, deberá atender las formalidades que establece el fundamento jurídico plasmado en el artículo 19 de la Ley de Transparencia y Acceso a la Información Pública del Estado de México y Municipios, y que es del tenor literal siguiente:</w:t>
      </w:r>
    </w:p>
    <w:p w14:paraId="393CFB01" w14:textId="77777777" w:rsidR="0060789B" w:rsidRPr="001672EA" w:rsidRDefault="0060789B" w:rsidP="0060789B">
      <w:pPr>
        <w:pStyle w:val="Prrafodelista"/>
        <w:tabs>
          <w:tab w:val="left" w:pos="426"/>
        </w:tabs>
        <w:spacing w:before="240" w:after="240" w:line="360" w:lineRule="auto"/>
        <w:ind w:left="0" w:right="51"/>
        <w:jc w:val="both"/>
        <w:rPr>
          <w:rFonts w:ascii="Palatino Linotype" w:hAnsi="Palatino Linotype" w:cs="Tahoma"/>
          <w:bCs/>
          <w:iCs/>
          <w:lang w:val="es-ES"/>
        </w:rPr>
      </w:pPr>
    </w:p>
    <w:p w14:paraId="70FCB394" w14:textId="77777777" w:rsidR="0060789B" w:rsidRPr="001672EA" w:rsidRDefault="0060789B" w:rsidP="0060789B">
      <w:pPr>
        <w:pStyle w:val="Prrafodelista"/>
        <w:tabs>
          <w:tab w:val="left" w:pos="426"/>
        </w:tabs>
        <w:spacing w:before="240" w:after="240" w:line="276" w:lineRule="auto"/>
        <w:ind w:left="567" w:right="567"/>
        <w:jc w:val="both"/>
        <w:rPr>
          <w:rFonts w:ascii="Palatino Linotype" w:hAnsi="Palatino Linotype" w:cs="Tahoma"/>
          <w:bCs/>
          <w:i/>
          <w:iCs/>
          <w:sz w:val="22"/>
        </w:rPr>
      </w:pPr>
      <w:r w:rsidRPr="001672EA">
        <w:rPr>
          <w:rFonts w:ascii="Palatino Linotype" w:hAnsi="Palatino Linotype" w:cs="Tahoma"/>
          <w:bCs/>
          <w:i/>
          <w:iCs/>
          <w:sz w:val="22"/>
        </w:rPr>
        <w:t>“</w:t>
      </w:r>
      <w:r w:rsidRPr="001672EA">
        <w:rPr>
          <w:rFonts w:ascii="Palatino Linotype" w:hAnsi="Palatino Linotype" w:cs="Tahoma"/>
          <w:b/>
          <w:bCs/>
          <w:i/>
          <w:iCs/>
          <w:sz w:val="22"/>
        </w:rPr>
        <w:t>Artículo 19.</w:t>
      </w:r>
      <w:r w:rsidRPr="001672EA">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29821666" w14:textId="77777777" w:rsidR="0060789B" w:rsidRPr="001672EA" w:rsidRDefault="0060789B" w:rsidP="0060789B">
      <w:pPr>
        <w:pStyle w:val="Prrafodelista"/>
        <w:tabs>
          <w:tab w:val="left" w:pos="426"/>
        </w:tabs>
        <w:spacing w:before="240" w:after="240" w:line="276" w:lineRule="auto"/>
        <w:ind w:left="567" w:right="567"/>
        <w:jc w:val="both"/>
        <w:rPr>
          <w:rFonts w:ascii="Palatino Linotype" w:hAnsi="Palatino Linotype" w:cs="Tahoma"/>
          <w:b/>
          <w:bCs/>
          <w:i/>
          <w:iCs/>
          <w:sz w:val="22"/>
        </w:rPr>
      </w:pPr>
      <w:r w:rsidRPr="001672EA">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7EA2149A" w14:textId="77777777" w:rsidR="0060789B" w:rsidRPr="001672EA" w:rsidRDefault="0060789B" w:rsidP="0060789B">
      <w:pPr>
        <w:pStyle w:val="Prrafodelista"/>
        <w:tabs>
          <w:tab w:val="left" w:pos="426"/>
        </w:tabs>
        <w:spacing w:before="240" w:after="240" w:line="276" w:lineRule="auto"/>
        <w:ind w:left="567" w:right="567"/>
        <w:jc w:val="both"/>
        <w:rPr>
          <w:rFonts w:ascii="Palatino Linotype" w:hAnsi="Palatino Linotype" w:cs="Tahoma"/>
          <w:bCs/>
          <w:i/>
          <w:iCs/>
          <w:sz w:val="22"/>
        </w:rPr>
      </w:pPr>
      <w:r w:rsidRPr="001672EA">
        <w:rPr>
          <w:rFonts w:ascii="Palatino Linotype" w:hAnsi="Palatino Linotype" w:cs="Tahoma"/>
          <w:bCs/>
          <w:i/>
          <w:iCs/>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AFD5813" w14:textId="77777777" w:rsidR="0060789B" w:rsidRPr="001672EA" w:rsidRDefault="0060789B" w:rsidP="0060789B">
      <w:pPr>
        <w:pStyle w:val="Prrafodelista"/>
        <w:tabs>
          <w:tab w:val="left" w:pos="426"/>
        </w:tabs>
        <w:spacing w:before="240" w:after="240" w:line="276" w:lineRule="auto"/>
        <w:ind w:left="567" w:right="567"/>
        <w:jc w:val="both"/>
        <w:rPr>
          <w:rFonts w:ascii="Palatino Linotype" w:hAnsi="Palatino Linotype" w:cs="Tahoma"/>
          <w:bCs/>
          <w:iCs/>
          <w:sz w:val="22"/>
        </w:rPr>
      </w:pPr>
      <w:r w:rsidRPr="001672EA">
        <w:rPr>
          <w:rFonts w:ascii="Palatino Linotype" w:hAnsi="Palatino Linotype" w:cs="Tahoma"/>
          <w:bCs/>
          <w:iCs/>
          <w:sz w:val="22"/>
        </w:rPr>
        <w:t>(Énfasis añadido)</w:t>
      </w:r>
    </w:p>
    <w:p w14:paraId="186DCA86" w14:textId="77777777" w:rsidR="0060789B" w:rsidRPr="001672EA" w:rsidRDefault="0060789B" w:rsidP="0060789B">
      <w:pPr>
        <w:pStyle w:val="Prrafodelista"/>
        <w:tabs>
          <w:tab w:val="left" w:pos="426"/>
        </w:tabs>
        <w:spacing w:before="240" w:after="240" w:line="360" w:lineRule="auto"/>
        <w:ind w:left="0" w:right="51"/>
        <w:jc w:val="both"/>
        <w:rPr>
          <w:rFonts w:ascii="Palatino Linotype" w:hAnsi="Palatino Linotype"/>
          <w:color w:val="000000" w:themeColor="text1"/>
        </w:rPr>
      </w:pPr>
    </w:p>
    <w:p w14:paraId="7083BC43" w14:textId="70A4A8BF" w:rsidR="0060789B" w:rsidRPr="001672EA" w:rsidRDefault="0060789B"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lang w:val="es-ES"/>
        </w:rPr>
        <w:t xml:space="preserve">Por </w:t>
      </w:r>
      <w:r w:rsidRPr="001672EA">
        <w:rPr>
          <w:rFonts w:ascii="Palatino Linotype" w:hAnsi="Palatino Linotype" w:cs="Tahoma"/>
          <w:bCs/>
          <w:iCs/>
          <w:lang w:val="es-ES_tradnl"/>
        </w:rPr>
        <w:t xml:space="preserve">lo tanto, de ser el caso que no se hayan ejercido las facultades, competencias o funciones que propiciaran la generación de la información que se ordena entregar relacionada con la </w:t>
      </w:r>
      <w:r w:rsidRPr="001672EA">
        <w:rPr>
          <w:rFonts w:ascii="Palatino Linotype" w:hAnsi="Palatino Linotype" w:cs="Tahoma"/>
          <w:b/>
          <w:bCs/>
          <w:iCs/>
          <w:lang w:val="es-ES_tradnl"/>
        </w:rPr>
        <w:t>dirección de los anuncios</w:t>
      </w:r>
      <w:r w:rsidRPr="001672EA">
        <w:rPr>
          <w:rFonts w:ascii="Palatino Linotype" w:hAnsi="Palatino Linotype" w:cs="Tahoma"/>
          <w:bCs/>
          <w:iCs/>
          <w:lang w:val="es-ES_tradnl"/>
        </w:rPr>
        <w:t xml:space="preserve">, el </w:t>
      </w:r>
      <w:r w:rsidRPr="001672EA">
        <w:rPr>
          <w:rFonts w:ascii="Palatino Linotype" w:hAnsi="Palatino Linotype" w:cs="Tahoma"/>
          <w:b/>
          <w:bCs/>
          <w:iCs/>
          <w:lang w:val="es-ES_tradnl"/>
        </w:rPr>
        <w:t>SUJETO OBLIGADO</w:t>
      </w:r>
      <w:r w:rsidRPr="001672EA">
        <w:rPr>
          <w:rFonts w:ascii="Palatino Linotype" w:hAnsi="Palatino Linotype" w:cs="Tahoma"/>
          <w:bCs/>
          <w:iCs/>
          <w:lang w:val="es-ES_tradnl"/>
        </w:rPr>
        <w:t xml:space="preserve"> deberá motivar su respuesta en función de las causas que motiven tal circunstancia.</w:t>
      </w:r>
    </w:p>
    <w:p w14:paraId="7021FE1A" w14:textId="77777777" w:rsidR="0060789B" w:rsidRPr="001672EA" w:rsidRDefault="0060789B" w:rsidP="0060789B">
      <w:pPr>
        <w:pStyle w:val="Prrafodelista"/>
        <w:tabs>
          <w:tab w:val="left" w:pos="426"/>
        </w:tabs>
        <w:spacing w:before="240" w:after="240" w:line="360" w:lineRule="auto"/>
        <w:ind w:left="0" w:right="51"/>
        <w:jc w:val="both"/>
        <w:rPr>
          <w:rFonts w:ascii="Palatino Linotype" w:hAnsi="Palatino Linotype"/>
          <w:color w:val="000000" w:themeColor="text1"/>
        </w:rPr>
      </w:pPr>
    </w:p>
    <w:p w14:paraId="6CE334B4" w14:textId="7988C169" w:rsidR="004F4BEF" w:rsidRPr="001672EA" w:rsidRDefault="0060789B" w:rsidP="004F4B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Tahoma"/>
          <w:bCs/>
          <w:iCs/>
        </w:rPr>
        <w:t>P</w:t>
      </w:r>
      <w:r w:rsidR="00E171AB" w:rsidRPr="001672EA">
        <w:rPr>
          <w:rFonts w:ascii="Palatino Linotype" w:hAnsi="Palatino Linotype" w:cs="Tahoma"/>
          <w:bCs/>
          <w:iCs/>
        </w:rPr>
        <w:t xml:space="preserve">or otro lado, si derivado de la búsqueda de la información, el </w:t>
      </w:r>
      <w:r w:rsidR="00E171AB" w:rsidRPr="001672EA">
        <w:rPr>
          <w:rFonts w:ascii="Palatino Linotype" w:hAnsi="Palatino Linotype" w:cs="Tahoma"/>
          <w:b/>
          <w:bCs/>
          <w:iCs/>
        </w:rPr>
        <w:t>SUJETO OBLIGADO</w:t>
      </w:r>
      <w:r w:rsidR="00E171AB" w:rsidRPr="001672EA">
        <w:rPr>
          <w:rFonts w:ascii="Palatino Linotype" w:hAnsi="Palatino Linotype" w:cs="Tahoma"/>
          <w:bCs/>
          <w:iCs/>
        </w:rPr>
        <w:t xml:space="preserve"> concluyera que la información no obra más en sus archivos al haberse </w:t>
      </w:r>
      <w:r w:rsidR="00E171AB" w:rsidRPr="001672EA">
        <w:rPr>
          <w:rFonts w:ascii="Palatino Linotype" w:hAnsi="Palatino Linotype" w:cs="Tahoma"/>
          <w:bCs/>
          <w:iCs/>
        </w:rPr>
        <w:lastRenderedPageBreak/>
        <w:t xml:space="preserve">concluido su ciclo de vida, deberá entregar los documentos que su </w:t>
      </w:r>
      <w:r w:rsidR="00E171AB" w:rsidRPr="001672EA">
        <w:rPr>
          <w:rFonts w:ascii="Palatino Linotype" w:hAnsi="Palatino Linotype" w:cs="Tahoma"/>
          <w:b/>
          <w:bCs/>
          <w:iCs/>
        </w:rPr>
        <w:t>transferencia al Archivo Histórico</w:t>
      </w:r>
      <w:r w:rsidR="00E171AB" w:rsidRPr="001672EA">
        <w:rPr>
          <w:rFonts w:ascii="Palatino Linotype" w:hAnsi="Palatino Linotype" w:cs="Tahoma"/>
          <w:bCs/>
          <w:iCs/>
        </w:rPr>
        <w:t xml:space="preserve"> del municipio.</w:t>
      </w:r>
    </w:p>
    <w:p w14:paraId="5104B1F8" w14:textId="77777777" w:rsidR="004F4BEF" w:rsidRPr="001672EA" w:rsidRDefault="004F4BEF" w:rsidP="004F4BEF">
      <w:pPr>
        <w:pStyle w:val="Prrafodelista"/>
        <w:tabs>
          <w:tab w:val="left" w:pos="426"/>
        </w:tabs>
        <w:spacing w:before="240" w:after="240" w:line="360" w:lineRule="auto"/>
        <w:ind w:left="0" w:right="51"/>
        <w:jc w:val="both"/>
        <w:rPr>
          <w:rFonts w:ascii="Palatino Linotype" w:hAnsi="Palatino Linotype"/>
          <w:color w:val="000000" w:themeColor="text1"/>
        </w:rPr>
      </w:pPr>
    </w:p>
    <w:p w14:paraId="70B8B9A8" w14:textId="587891EC" w:rsidR="00372C08" w:rsidRPr="001672EA" w:rsidRDefault="00E171AB" w:rsidP="00223716">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s="Tahoma"/>
          <w:bCs/>
          <w:iCs/>
        </w:rPr>
        <w:t xml:space="preserve">Empero, </w:t>
      </w:r>
      <w:r w:rsidR="00372C08" w:rsidRPr="001672EA">
        <w:rPr>
          <w:rFonts w:ascii="Palatino Linotype" w:hAnsi="Palatino Linotype" w:cs="Tahoma"/>
          <w:bCs/>
          <w:iCs/>
        </w:rPr>
        <w:t>de ser el caso que el</w:t>
      </w:r>
      <w:r w:rsidRPr="001672EA">
        <w:rPr>
          <w:rFonts w:ascii="Palatino Linotype" w:hAnsi="Palatino Linotype" w:cs="Tahoma"/>
          <w:bCs/>
          <w:iCs/>
        </w:rPr>
        <w:t xml:space="preserve"> </w:t>
      </w:r>
      <w:r w:rsidRPr="001672EA">
        <w:rPr>
          <w:rFonts w:ascii="Palatino Linotype" w:hAnsi="Palatino Linotype" w:cs="Tahoma"/>
          <w:b/>
          <w:bCs/>
          <w:iCs/>
        </w:rPr>
        <w:t>SUJETO OBLIGADO</w:t>
      </w:r>
      <w:r w:rsidRPr="001672EA">
        <w:rPr>
          <w:rFonts w:ascii="Palatino Linotype" w:hAnsi="Palatino Linotype" w:cs="Tahoma"/>
          <w:bCs/>
          <w:iCs/>
        </w:rPr>
        <w:t xml:space="preserve"> </w:t>
      </w:r>
      <w:r w:rsidR="00372C08" w:rsidRPr="001672EA">
        <w:rPr>
          <w:rFonts w:ascii="Palatino Linotype" w:eastAsia="MS Mincho" w:hAnsi="Palatino Linotype" w:cs="Times New Roman"/>
          <w:color w:val="000000"/>
        </w:rPr>
        <w:t xml:space="preserve">persista en su pronunciamiento posterior a realizar la búsqueda exhaustiva y razonable de la información no sólo en su acervo documental, sino también en sus medios de control archivístico, </w:t>
      </w:r>
      <w:r w:rsidR="00372C08" w:rsidRPr="001672EA">
        <w:rPr>
          <w:rFonts w:ascii="Palatino Linotype" w:eastAsia="MS Mincho" w:hAnsi="Palatino Linotype" w:cs="Times New Roman"/>
          <w:b/>
          <w:color w:val="000000"/>
        </w:rPr>
        <w:t>deberá entregar al particular el Acuerdo de Inexistencia respectivo</w:t>
      </w:r>
      <w:r w:rsidR="00372C08" w:rsidRPr="001672EA">
        <w:rPr>
          <w:rFonts w:ascii="Palatino Linotype" w:eastAsia="MS Mincho" w:hAnsi="Palatino Linotype" w:cs="Times New Roman"/>
          <w:color w:val="000000"/>
        </w:rPr>
        <w:t>, emitido por su Comité de Transparencia.</w:t>
      </w:r>
    </w:p>
    <w:p w14:paraId="79B767B3"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s="Tahoma"/>
          <w:bCs/>
          <w:iCs/>
        </w:rPr>
      </w:pPr>
    </w:p>
    <w:p w14:paraId="0C124008" w14:textId="77777777" w:rsidR="00372C08" w:rsidRPr="001672EA" w:rsidRDefault="00372C08" w:rsidP="00372C0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olor w:val="000000" w:themeColor="text1"/>
        </w:rPr>
        <w:t xml:space="preserve">En </w:t>
      </w:r>
      <w:r w:rsidRPr="001672EA">
        <w:rPr>
          <w:rFonts w:ascii="Palatino Linotype" w:eastAsia="MS Mincho" w:hAnsi="Palatino Linotype" w:cs="Times New Roman"/>
          <w:color w:val="000000"/>
        </w:rPr>
        <w:t xml:space="preserve">ese sentido, es imperativo recordar al </w:t>
      </w:r>
      <w:r w:rsidRPr="001672EA">
        <w:rPr>
          <w:rFonts w:ascii="Palatino Linotype" w:eastAsia="MS Mincho" w:hAnsi="Palatino Linotype" w:cs="Times New Roman"/>
          <w:b/>
          <w:color w:val="000000"/>
        </w:rPr>
        <w:t>SUJETO OBLIGADO</w:t>
      </w:r>
      <w:r w:rsidRPr="001672EA">
        <w:rPr>
          <w:rFonts w:ascii="Palatino Linotype" w:eastAsia="MS Mincho" w:hAnsi="Palatino Linotype" w:cs="Times New Roman"/>
          <w:color w:val="000000"/>
        </w:rPr>
        <w:t xml:space="preserve"> que los artículos 19 y 20 de la Ley de Transparencia y Acceso a la Información Pública del Estado de México y Municipios, refieren que </w:t>
      </w:r>
      <w:r w:rsidRPr="001672EA">
        <w:rPr>
          <w:rFonts w:ascii="Palatino Linotype" w:eastAsia="MS Mincho" w:hAnsi="Palatino Linotype" w:cs="Times New Roman"/>
          <w:b/>
          <w:color w:val="000000"/>
        </w:rPr>
        <w:t>de no existir la documentación que debió, por mandato de Ley, generarse, es obligación de la autoridad emitir una declaratoria formal que reúna los requisitos señalados en la propia norma jurídica</w:t>
      </w:r>
      <w:r w:rsidRPr="001672EA">
        <w:rPr>
          <w:rFonts w:ascii="Palatino Linotype" w:eastAsia="MS Mincho" w:hAnsi="Palatino Linotype" w:cs="Times New Roman"/>
          <w:color w:val="000000"/>
        </w:rPr>
        <w:t>,</w:t>
      </w:r>
      <w:r w:rsidRPr="001672EA">
        <w:rPr>
          <w:rFonts w:ascii="Palatino Linotype" w:eastAsia="MS Mincho" w:hAnsi="Palatino Linotype" w:cs="Times New Roman"/>
          <w:color w:val="000000"/>
          <w:vertAlign w:val="superscript"/>
        </w:rPr>
        <w:t xml:space="preserve"> </w:t>
      </w:r>
      <w:r w:rsidRPr="001672EA">
        <w:rPr>
          <w:rFonts w:ascii="Palatino Linotype" w:eastAsia="MS Mincho" w:hAnsi="Palatino Linotype" w:cs="Times New Roman"/>
          <w:color w:val="000000"/>
          <w:vertAlign w:val="superscript"/>
        </w:rPr>
        <w:footnoteReference w:id="29"/>
      </w:r>
      <w:r w:rsidRPr="001672EA">
        <w:rPr>
          <w:rFonts w:ascii="Palatino Linotype" w:eastAsia="MS Mincho" w:hAnsi="Palatino Linotype" w:cs="Times New Roman"/>
          <w:color w:val="000000"/>
        </w:rPr>
        <w:t xml:space="preserve"> según puede apreciarse a continuación:</w:t>
      </w:r>
    </w:p>
    <w:p w14:paraId="332F2C14" w14:textId="77777777" w:rsidR="00372C08" w:rsidRPr="001672EA" w:rsidRDefault="00372C08" w:rsidP="00372C08">
      <w:pPr>
        <w:pStyle w:val="Prrafodelista"/>
        <w:tabs>
          <w:tab w:val="left" w:pos="426"/>
        </w:tabs>
        <w:spacing w:before="240" w:line="360" w:lineRule="auto"/>
        <w:ind w:left="0" w:right="51"/>
        <w:jc w:val="both"/>
        <w:rPr>
          <w:rFonts w:ascii="Palatino Linotype" w:hAnsi="Palatino Linotype" w:cs="Tahoma"/>
          <w:bCs/>
          <w:iCs/>
        </w:rPr>
      </w:pPr>
    </w:p>
    <w:p w14:paraId="33BAC572" w14:textId="77777777" w:rsidR="00372C08" w:rsidRPr="001672EA" w:rsidRDefault="00372C08" w:rsidP="00372C08">
      <w:pPr>
        <w:pBdr>
          <w:top w:val="nil"/>
          <w:left w:val="nil"/>
          <w:bottom w:val="nil"/>
          <w:right w:val="nil"/>
          <w:between w:val="nil"/>
        </w:pBdr>
        <w:shd w:val="clear" w:color="auto" w:fill="FFFFFF"/>
        <w:spacing w:line="276" w:lineRule="auto"/>
        <w:ind w:left="567" w:right="567"/>
        <w:jc w:val="both"/>
        <w:rPr>
          <w:rFonts w:ascii="Palatino Linotype" w:eastAsia="Palatino Linotype" w:hAnsi="Palatino Linotype" w:cs="Palatino Linotype"/>
          <w:i/>
          <w:color w:val="000000"/>
          <w:sz w:val="22"/>
        </w:rPr>
      </w:pPr>
      <w:r w:rsidRPr="001672EA">
        <w:rPr>
          <w:rFonts w:ascii="Palatino Linotype" w:eastAsia="Palatino Linotype" w:hAnsi="Palatino Linotype" w:cs="Palatino Linotype"/>
          <w:b/>
          <w:i/>
          <w:color w:val="000000"/>
          <w:sz w:val="22"/>
        </w:rPr>
        <w:t>“Artículo 19.</w:t>
      </w:r>
      <w:r w:rsidRPr="001672EA">
        <w:rPr>
          <w:rFonts w:ascii="Palatino Linotype" w:eastAsia="Palatino Linotype" w:hAnsi="Palatino Linotype" w:cs="Palatino Linotype"/>
          <w:i/>
          <w:color w:val="000000"/>
          <w:sz w:val="22"/>
        </w:rPr>
        <w:t xml:space="preserve"> Se presume que la información debe existir si se refiere a las facultades, competencias y funciones que los ordenamientos jurídicos aplicables otorgan a los sujetos obligados.</w:t>
      </w:r>
    </w:p>
    <w:p w14:paraId="1F357983" w14:textId="77777777" w:rsidR="00372C08" w:rsidRPr="001672EA" w:rsidRDefault="00372C08" w:rsidP="00372C08">
      <w:pPr>
        <w:spacing w:line="276" w:lineRule="auto"/>
        <w:ind w:left="567" w:right="567"/>
        <w:jc w:val="both"/>
        <w:rPr>
          <w:rFonts w:ascii="Palatino Linotype" w:eastAsia="Palatino Linotype" w:hAnsi="Palatino Linotype" w:cs="Palatino Linotype"/>
          <w:i/>
          <w:sz w:val="22"/>
        </w:rPr>
      </w:pPr>
      <w:r w:rsidRPr="001672EA">
        <w:rPr>
          <w:rFonts w:ascii="Palatino Linotype" w:eastAsia="Palatino Linotype" w:hAnsi="Palatino Linotype" w:cs="Palatino Linotype"/>
          <w:i/>
          <w:sz w:val="22"/>
        </w:rPr>
        <w:t>(…)</w:t>
      </w:r>
    </w:p>
    <w:p w14:paraId="61835AEC" w14:textId="77777777" w:rsidR="00372C08" w:rsidRPr="001672EA" w:rsidRDefault="00372C08" w:rsidP="00372C08">
      <w:pPr>
        <w:spacing w:line="276" w:lineRule="auto"/>
        <w:ind w:left="567" w:right="567"/>
        <w:jc w:val="both"/>
        <w:rPr>
          <w:rFonts w:ascii="Palatino Linotype" w:eastAsia="Palatino Linotype" w:hAnsi="Palatino Linotype" w:cs="Palatino Linotype"/>
          <w:b/>
          <w:i/>
          <w:sz w:val="22"/>
        </w:rPr>
      </w:pPr>
      <w:r w:rsidRPr="001672EA">
        <w:rPr>
          <w:rFonts w:ascii="Palatino Linotype" w:eastAsia="Palatino Linotype" w:hAnsi="Palatino Linotype" w:cs="Palatino Linotype"/>
          <w:b/>
          <w:i/>
          <w:sz w:val="22"/>
        </w:rPr>
        <w:t xml:space="preserve">Si el sujeto obligado, en el ejercicio de sus atribuciones, debía generar, poseer o administrar la información, pero ésta no se encuentra, el Comité de transparencia deberá emitir un </w:t>
      </w:r>
      <w:r w:rsidRPr="001672EA">
        <w:rPr>
          <w:rFonts w:ascii="Palatino Linotype" w:eastAsia="Palatino Linotype" w:hAnsi="Palatino Linotype" w:cs="Palatino Linotype"/>
          <w:b/>
          <w:i/>
          <w:sz w:val="22"/>
          <w:u w:val="single"/>
        </w:rPr>
        <w:t>acuerdo de inexistencia,</w:t>
      </w:r>
      <w:r w:rsidRPr="001672EA">
        <w:rPr>
          <w:rFonts w:ascii="Palatino Linotype" w:eastAsia="Palatino Linotype" w:hAnsi="Palatino Linotype" w:cs="Palatino Linotype"/>
          <w:b/>
          <w:i/>
          <w:sz w:val="22"/>
        </w:rPr>
        <w:t xml:space="preserve"> debidamente fundado y motivado, en el que detalle las razones del por qué no obra en sus archivos.</w:t>
      </w:r>
    </w:p>
    <w:p w14:paraId="074402C1"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rPr>
      </w:pPr>
    </w:p>
    <w:p w14:paraId="572A529F"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rPr>
      </w:pPr>
      <w:r w:rsidRPr="001672EA">
        <w:rPr>
          <w:rFonts w:ascii="Palatino Linotype" w:eastAsia="Palatino Linotype" w:hAnsi="Palatino Linotype" w:cs="Palatino Linotype"/>
          <w:b/>
          <w:i/>
          <w:color w:val="000000"/>
          <w:sz w:val="22"/>
        </w:rPr>
        <w:t>Artículo 20.</w:t>
      </w:r>
      <w:r w:rsidRPr="001672EA">
        <w:rPr>
          <w:rFonts w:ascii="Palatino Linotype" w:eastAsia="Palatino Linotype" w:hAnsi="Palatino Linotype" w:cs="Palatino Linotype"/>
          <w:i/>
          <w:color w:val="000000"/>
          <w:sz w:val="22"/>
        </w:rPr>
        <w:t xml:space="preserve"> Ante la negativa del acceso a la información o su inexistencia, el sujeto obligado deberá demostrar que la información solicitada está prevista en alguna de las </w:t>
      </w:r>
      <w:r w:rsidRPr="001672EA">
        <w:rPr>
          <w:rFonts w:ascii="Palatino Linotype" w:eastAsia="Palatino Linotype" w:hAnsi="Palatino Linotype" w:cs="Palatino Linotype"/>
          <w:i/>
          <w:color w:val="000000"/>
          <w:sz w:val="22"/>
        </w:rPr>
        <w:lastRenderedPageBreak/>
        <w:t>excepciones contenidas en esta Ley o, en su caso, demostrar que la información no se refiere a alguna de sus facultades, competencias o funciones.”</w:t>
      </w:r>
    </w:p>
    <w:p w14:paraId="0DB0738F"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rPr>
      </w:pPr>
      <w:r w:rsidRPr="001672EA">
        <w:rPr>
          <w:rFonts w:ascii="Palatino Linotype" w:eastAsia="Palatino Linotype" w:hAnsi="Palatino Linotype" w:cs="Palatino Linotype"/>
          <w:color w:val="000000"/>
          <w:sz w:val="22"/>
        </w:rPr>
        <w:t>(Énfasis añadido)</w:t>
      </w:r>
    </w:p>
    <w:p w14:paraId="454DE79A"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s="Tahoma"/>
          <w:bCs/>
          <w:iCs/>
        </w:rPr>
      </w:pPr>
    </w:p>
    <w:p w14:paraId="58BAD0B1" w14:textId="77777777" w:rsidR="00372C08" w:rsidRPr="001672EA" w:rsidRDefault="00372C08" w:rsidP="00372C0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olor w:val="000000" w:themeColor="text1"/>
        </w:rPr>
        <w:t xml:space="preserve">Luego </w:t>
      </w:r>
      <w:r w:rsidRPr="001672EA">
        <w:rPr>
          <w:rFonts w:ascii="Palatino Linotype" w:eastAsia="MS Mincho" w:hAnsi="Palatino Linotype" w:cs="Times New Roman"/>
          <w:color w:val="000000"/>
        </w:rPr>
        <w:t xml:space="preserve">entonces, de ser el caso que el </w:t>
      </w:r>
      <w:r w:rsidRPr="001672EA">
        <w:rPr>
          <w:rFonts w:ascii="Palatino Linotype" w:eastAsia="MS Mincho" w:hAnsi="Palatino Linotype" w:cs="Times New Roman"/>
          <w:b/>
          <w:color w:val="000000"/>
        </w:rPr>
        <w:t>SUJETO OBLIGADO</w:t>
      </w:r>
      <w:r w:rsidRPr="001672EA">
        <w:rPr>
          <w:rFonts w:ascii="Palatino Linotype" w:eastAsia="MS Mincho" w:hAnsi="Palatino Linotype" w:cs="Times New Roman"/>
          <w:color w:val="000000"/>
        </w:rPr>
        <w:t xml:space="preserve"> deba emitir un Acuerdo de Inexistencia, deberá apegarse a lo dispuesto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Lineamiento Cuarenta y Cuatro y Cuarenta y Cinco; y, los Criterios 0003-11 y 0004-11 aprobados por el Pleno de este Órgano Garante, en la sesión ordinaria de veinticinco (25) de agosto de dos mil once, que señalan el concepto de inexistencia y, en qué circunstancias debe emitirse la declaratoria respectiva:</w:t>
      </w:r>
    </w:p>
    <w:p w14:paraId="11E4F6A9" w14:textId="77777777" w:rsidR="00372C08" w:rsidRPr="001672EA" w:rsidRDefault="00372C08" w:rsidP="00372C08">
      <w:pPr>
        <w:spacing w:line="276" w:lineRule="auto"/>
        <w:ind w:left="567" w:right="567"/>
        <w:jc w:val="both"/>
        <w:rPr>
          <w:rFonts w:ascii="Palatino Linotype" w:eastAsia="Palatino Linotype" w:hAnsi="Palatino Linotype" w:cs="Palatino Linotype"/>
          <w:i/>
          <w:sz w:val="22"/>
        </w:rPr>
      </w:pPr>
      <w:r w:rsidRPr="001672EA">
        <w:rPr>
          <w:rFonts w:ascii="Palatino Linotype" w:eastAsia="Palatino Linotype" w:hAnsi="Palatino Linotype" w:cs="Palatino Linotype"/>
          <w:b/>
          <w:i/>
          <w:sz w:val="22"/>
        </w:rPr>
        <w:t>INEXISTENCIA, CONCEPTO DE, EN MATERIA DE TRANSPARENCIA</w:t>
      </w:r>
      <w:r w:rsidRPr="001672EA">
        <w:rPr>
          <w:rFonts w:ascii="Palatino Linotype" w:eastAsia="Palatino Linotype" w:hAnsi="Palatino Linotype" w:cs="Palatino Linotype"/>
          <w:i/>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7D77B80" w14:textId="77777777" w:rsidR="00372C08" w:rsidRPr="001672EA" w:rsidRDefault="00372C08" w:rsidP="00372C08">
      <w:pPr>
        <w:spacing w:line="276" w:lineRule="auto"/>
        <w:ind w:left="567" w:right="567"/>
        <w:jc w:val="both"/>
        <w:rPr>
          <w:rFonts w:ascii="Palatino Linotype" w:eastAsia="Palatino Linotype" w:hAnsi="Palatino Linotype" w:cs="Palatino Linotype"/>
          <w:i/>
          <w:sz w:val="22"/>
        </w:rPr>
      </w:pPr>
      <w:r w:rsidRPr="001672EA">
        <w:rPr>
          <w:rFonts w:ascii="Palatino Linotype" w:eastAsia="Palatino Linotype" w:hAnsi="Palatino Linotype" w:cs="Palatino Linotype"/>
          <w:b/>
          <w:i/>
          <w:sz w:val="22"/>
        </w:rPr>
        <w:t>a)</w:t>
      </w:r>
      <w:r w:rsidRPr="001672EA">
        <w:rPr>
          <w:rFonts w:ascii="Palatino Linotype" w:eastAsia="Palatino Linotype" w:hAnsi="Palatino Linotype" w:cs="Palatino Linotype"/>
          <w:i/>
          <w:sz w:val="22"/>
        </w:rPr>
        <w:t xml:space="preserve">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0A9A9A1" w14:textId="77777777" w:rsidR="00372C08" w:rsidRPr="001672EA" w:rsidRDefault="00372C08" w:rsidP="00372C08">
      <w:pPr>
        <w:spacing w:line="276" w:lineRule="auto"/>
        <w:ind w:left="567" w:right="567"/>
        <w:jc w:val="both"/>
        <w:rPr>
          <w:rFonts w:ascii="Palatino Linotype" w:eastAsia="Palatino Linotype" w:hAnsi="Palatino Linotype" w:cs="Palatino Linotype"/>
          <w:i/>
          <w:sz w:val="22"/>
        </w:rPr>
      </w:pPr>
      <w:r w:rsidRPr="001672EA">
        <w:rPr>
          <w:rFonts w:ascii="Palatino Linotype" w:eastAsia="Palatino Linotype" w:hAnsi="Palatino Linotype" w:cs="Palatino Linotype"/>
          <w:b/>
          <w:i/>
          <w:sz w:val="22"/>
        </w:rPr>
        <w:t>b)</w:t>
      </w:r>
      <w:r w:rsidRPr="001672EA">
        <w:rPr>
          <w:rFonts w:ascii="Palatino Linotype" w:eastAsia="Palatino Linotype" w:hAnsi="Palatino Linotype" w:cs="Palatino Linotype"/>
          <w:i/>
          <w:sz w:val="22"/>
        </w:rPr>
        <w:t xml:space="preserve"> En los casos en que por las atribuciones conferidas al Sujeto Obligado éste debió generar, administrar o poseer la información, pero en incumplimiento a la normatividad respectiva no llevó a cabo ninguna de esas acciones.</w:t>
      </w:r>
    </w:p>
    <w:p w14:paraId="47DD4DF2" w14:textId="77777777" w:rsidR="00372C08" w:rsidRPr="001672EA" w:rsidRDefault="00372C08" w:rsidP="00372C08">
      <w:pPr>
        <w:spacing w:line="276" w:lineRule="auto"/>
        <w:ind w:left="567" w:right="567"/>
        <w:jc w:val="both"/>
        <w:rPr>
          <w:rFonts w:ascii="Palatino Linotype" w:eastAsia="Palatino Linotype" w:hAnsi="Palatino Linotype" w:cs="Palatino Linotype"/>
          <w:b/>
          <w:i/>
          <w:sz w:val="22"/>
        </w:rPr>
      </w:pPr>
      <w:r w:rsidRPr="001672EA">
        <w:rPr>
          <w:rFonts w:ascii="Palatino Linotype" w:eastAsia="Palatino Linotype" w:hAnsi="Palatino Linotype" w:cs="Palatino Linotype"/>
          <w:i/>
          <w:sz w:val="22"/>
        </w:rPr>
        <w:lastRenderedPageBreak/>
        <w:t xml:space="preserve">En ambos casos, </w:t>
      </w:r>
      <w:r w:rsidRPr="001672EA">
        <w:rPr>
          <w:rFonts w:ascii="Palatino Linotype" w:eastAsia="Palatino Linotype" w:hAnsi="Palatino Linotype" w:cs="Palatino Linotype"/>
          <w:b/>
          <w:i/>
          <w:sz w:val="22"/>
        </w:rPr>
        <w:t>el Sujeto Obligado deberá hacer del conocimiento del solicitante las razones que explican la inexistencia, mediante el dictamen debidamente fundado y motivado emitido por el Comité de Información y con las formalidades legales exigidas por la Ley de Transparencia</w:t>
      </w:r>
      <w:r w:rsidRPr="001672EA">
        <w:rPr>
          <w:rFonts w:ascii="Palatino Linotype" w:eastAsia="Palatino Linotype" w:hAnsi="Palatino Linotype" w:cs="Palatino Linotype"/>
          <w:i/>
          <w:sz w:val="22"/>
        </w:rPr>
        <w:t>.”</w:t>
      </w:r>
    </w:p>
    <w:p w14:paraId="10040932" w14:textId="77777777" w:rsidR="00372C08" w:rsidRPr="001672EA" w:rsidRDefault="00372C08" w:rsidP="00372C08">
      <w:pPr>
        <w:spacing w:line="276" w:lineRule="auto"/>
        <w:ind w:left="567" w:right="567"/>
        <w:jc w:val="both"/>
        <w:rPr>
          <w:rFonts w:ascii="Palatino Linotype" w:eastAsia="Palatino Linotype" w:hAnsi="Palatino Linotype" w:cs="Palatino Linotype"/>
          <w:sz w:val="22"/>
        </w:rPr>
      </w:pPr>
      <w:r w:rsidRPr="001672EA">
        <w:rPr>
          <w:rFonts w:ascii="Palatino Linotype" w:eastAsia="Palatino Linotype" w:hAnsi="Palatino Linotype" w:cs="Palatino Linotype"/>
          <w:sz w:val="22"/>
        </w:rPr>
        <w:t>“Énfasis añadido”</w:t>
      </w:r>
    </w:p>
    <w:p w14:paraId="05E17332" w14:textId="77777777" w:rsidR="00372C08" w:rsidRPr="001672EA" w:rsidRDefault="00372C08" w:rsidP="00372C08">
      <w:pPr>
        <w:spacing w:line="276" w:lineRule="auto"/>
        <w:ind w:left="567" w:right="567"/>
        <w:jc w:val="both"/>
        <w:rPr>
          <w:rFonts w:ascii="Palatino Linotype" w:eastAsia="Palatino Linotype" w:hAnsi="Palatino Linotype" w:cs="Palatino Linotype"/>
          <w:b/>
          <w:i/>
          <w:sz w:val="22"/>
        </w:rPr>
      </w:pPr>
    </w:p>
    <w:p w14:paraId="350D0933" w14:textId="77777777" w:rsidR="00372C08" w:rsidRPr="001672EA" w:rsidRDefault="00372C08" w:rsidP="00372C08">
      <w:pPr>
        <w:spacing w:line="276" w:lineRule="auto"/>
        <w:ind w:left="567" w:right="567"/>
        <w:jc w:val="both"/>
        <w:rPr>
          <w:rFonts w:ascii="Palatino Linotype" w:eastAsia="Palatino Linotype" w:hAnsi="Palatino Linotype" w:cs="Palatino Linotype"/>
          <w:b/>
          <w:i/>
          <w:sz w:val="22"/>
        </w:rPr>
      </w:pPr>
      <w:r w:rsidRPr="001672EA">
        <w:rPr>
          <w:rFonts w:ascii="Palatino Linotype" w:eastAsia="Palatino Linotype" w:hAnsi="Palatino Linotype" w:cs="Palatino Linotype"/>
          <w:b/>
          <w:i/>
          <w:sz w:val="22"/>
        </w:rPr>
        <w:t>CRITERIO 0004-11</w:t>
      </w:r>
    </w:p>
    <w:p w14:paraId="5026C0AB" w14:textId="77777777" w:rsidR="00372C08" w:rsidRPr="001672EA" w:rsidRDefault="00372C08" w:rsidP="00372C08">
      <w:pPr>
        <w:spacing w:line="276" w:lineRule="auto"/>
        <w:ind w:left="567" w:right="567"/>
        <w:jc w:val="both"/>
        <w:rPr>
          <w:rFonts w:ascii="Palatino Linotype" w:eastAsia="Palatino Linotype" w:hAnsi="Palatino Linotype" w:cs="Palatino Linotype"/>
          <w:i/>
          <w:sz w:val="22"/>
        </w:rPr>
      </w:pPr>
      <w:r w:rsidRPr="001672EA">
        <w:rPr>
          <w:rFonts w:ascii="Palatino Linotype" w:eastAsia="Palatino Linotype" w:hAnsi="Palatino Linotype" w:cs="Palatino Linotype"/>
          <w:b/>
          <w:i/>
          <w:sz w:val="22"/>
        </w:rPr>
        <w:t>INEXISTENCIA. DECLARATORIA DE LA. ALCANCES Y PROCEDIMIENTOS</w:t>
      </w:r>
      <w:r w:rsidRPr="001672EA">
        <w:rPr>
          <w:rFonts w:ascii="Palatino Linotype" w:eastAsia="Palatino Linotype" w:hAnsi="Palatino Linotype" w:cs="Palatino Linotype"/>
          <w:i/>
          <w:sz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w:t>
      </w:r>
      <w:r w:rsidRPr="001672EA">
        <w:rPr>
          <w:rFonts w:ascii="Palatino Linotype" w:eastAsia="Palatino Linotype" w:hAnsi="Palatino Linotype" w:cs="Palatino Linotype"/>
          <w:b/>
          <w:i/>
          <w:sz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1672EA">
        <w:rPr>
          <w:rFonts w:ascii="Palatino Linotype" w:eastAsia="Palatino Linotype" w:hAnsi="Palatino Linotype" w:cs="Palatino Linotype"/>
          <w:b/>
          <w:i/>
          <w:sz w:val="22"/>
        </w:rPr>
        <w:t>,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r w:rsidRPr="001672EA">
        <w:rPr>
          <w:rFonts w:ascii="Palatino Linotype" w:eastAsia="Palatino Linotype" w:hAnsi="Palatino Linotype" w:cs="Palatino Linotype"/>
          <w:i/>
          <w:sz w:val="22"/>
        </w:rPr>
        <w:t>.</w:t>
      </w:r>
    </w:p>
    <w:p w14:paraId="79BA4379" w14:textId="77777777" w:rsidR="00372C08" w:rsidRPr="001672EA" w:rsidRDefault="00372C08" w:rsidP="00372C08">
      <w:pPr>
        <w:spacing w:line="276" w:lineRule="auto"/>
        <w:ind w:left="567" w:right="567"/>
        <w:jc w:val="both"/>
        <w:rPr>
          <w:rFonts w:ascii="Palatino Linotype" w:eastAsia="Palatino Linotype" w:hAnsi="Palatino Linotype" w:cs="Palatino Linotype"/>
          <w:i/>
          <w:sz w:val="22"/>
        </w:rPr>
      </w:pPr>
      <w:r w:rsidRPr="001672EA">
        <w:rPr>
          <w:rFonts w:ascii="Palatino Linotype" w:eastAsia="Palatino Linotype" w:hAnsi="Palatino Linotype" w:cs="Palatino Linotype"/>
          <w:i/>
          <w:sz w:val="22"/>
        </w:rPr>
        <w:t>Bajo el entendido de que dicha búsqueda exhaustiva permitirá dos determinaciones:</w:t>
      </w:r>
    </w:p>
    <w:p w14:paraId="79BB739D" w14:textId="77777777" w:rsidR="00372C08" w:rsidRPr="001672EA" w:rsidRDefault="00372C08" w:rsidP="00372C08">
      <w:pPr>
        <w:spacing w:line="276" w:lineRule="auto"/>
        <w:ind w:left="567" w:right="567"/>
        <w:jc w:val="both"/>
        <w:rPr>
          <w:rFonts w:ascii="Palatino Linotype" w:eastAsia="Palatino Linotype" w:hAnsi="Palatino Linotype" w:cs="Palatino Linotype"/>
          <w:i/>
          <w:sz w:val="22"/>
        </w:rPr>
      </w:pPr>
      <w:r w:rsidRPr="001672EA">
        <w:rPr>
          <w:rFonts w:ascii="Palatino Linotype" w:eastAsia="Palatino Linotype" w:hAnsi="Palatino Linotype" w:cs="Palatino Linotype"/>
          <w:i/>
          <w:sz w:val="22"/>
        </w:rPr>
        <w:t>1ª) Que se localice la documentación que contenga la información solicitada y de ser así la información pueda entregarse al solicitante en la forma en que se encuentra disponible, o</w:t>
      </w:r>
    </w:p>
    <w:p w14:paraId="274F3537" w14:textId="77777777" w:rsidR="00372C08" w:rsidRPr="001672EA" w:rsidRDefault="00372C08" w:rsidP="00372C08">
      <w:pPr>
        <w:spacing w:line="276" w:lineRule="auto"/>
        <w:ind w:left="567" w:right="567"/>
        <w:jc w:val="both"/>
        <w:rPr>
          <w:rFonts w:ascii="Palatino Linotype" w:eastAsia="Palatino Linotype" w:hAnsi="Palatino Linotype" w:cs="Palatino Linotype"/>
          <w:i/>
          <w:sz w:val="22"/>
        </w:rPr>
      </w:pPr>
      <w:r w:rsidRPr="001672EA">
        <w:rPr>
          <w:rFonts w:ascii="Palatino Linotype" w:eastAsia="Palatino Linotype" w:hAnsi="Palatino Linotype" w:cs="Palatino Linotype"/>
          <w:i/>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4B9371B" w14:textId="77777777" w:rsidR="00372C08" w:rsidRPr="001672EA" w:rsidRDefault="00372C08" w:rsidP="00372C08">
      <w:pPr>
        <w:spacing w:line="276" w:lineRule="auto"/>
        <w:ind w:left="567" w:right="567"/>
        <w:jc w:val="both"/>
        <w:rPr>
          <w:rFonts w:ascii="Palatino Linotype" w:eastAsia="Palatino Linotype" w:hAnsi="Palatino Linotype" w:cs="Palatino Linotype"/>
          <w:sz w:val="22"/>
        </w:rPr>
      </w:pPr>
      <w:r w:rsidRPr="001672EA">
        <w:rPr>
          <w:rFonts w:ascii="Palatino Linotype" w:eastAsia="Palatino Linotype" w:hAnsi="Palatino Linotype" w:cs="Palatino Linotype"/>
          <w:i/>
          <w:sz w:val="22"/>
        </w:rPr>
        <w:t xml:space="preserve">Aunado a lo anterior, </w:t>
      </w:r>
      <w:r w:rsidRPr="001672EA">
        <w:rPr>
          <w:rFonts w:ascii="Palatino Linotype" w:eastAsia="Palatino Linotype" w:hAnsi="Palatino Linotype" w:cs="Palatino Linotype"/>
          <w:b/>
          <w:i/>
          <w:sz w:val="22"/>
        </w:rPr>
        <w:t xml:space="preserve">en el dictamen de declaratoria de inexistencia el Comité de Información deberá motivar o precisar las razones por las que se buscó la </w:t>
      </w:r>
      <w:r w:rsidRPr="001672EA">
        <w:rPr>
          <w:rFonts w:ascii="Palatino Linotype" w:eastAsia="Palatino Linotype" w:hAnsi="Palatino Linotype" w:cs="Palatino Linotype"/>
          <w:b/>
          <w:i/>
          <w:sz w:val="22"/>
        </w:rPr>
        <w:lastRenderedPageBreak/>
        <w:t>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1672EA">
        <w:rPr>
          <w:rFonts w:ascii="Palatino Linotype" w:eastAsia="Palatino Linotype" w:hAnsi="Palatino Linotype" w:cs="Palatino Linotype"/>
          <w:i/>
          <w:sz w:val="22"/>
        </w:rPr>
        <w:t>.”</w:t>
      </w:r>
    </w:p>
    <w:p w14:paraId="7083BC28" w14:textId="77777777" w:rsidR="00372C08" w:rsidRPr="001672EA" w:rsidRDefault="00372C08" w:rsidP="00372C08">
      <w:pPr>
        <w:spacing w:line="276" w:lineRule="auto"/>
        <w:ind w:left="567" w:right="567"/>
        <w:jc w:val="both"/>
        <w:rPr>
          <w:rFonts w:ascii="Palatino Linotype" w:eastAsia="Palatino Linotype" w:hAnsi="Palatino Linotype" w:cs="Palatino Linotype"/>
          <w:sz w:val="22"/>
        </w:rPr>
      </w:pPr>
      <w:r w:rsidRPr="001672EA">
        <w:rPr>
          <w:rFonts w:ascii="Palatino Linotype" w:eastAsia="Palatino Linotype" w:hAnsi="Palatino Linotype" w:cs="Palatino Linotype"/>
          <w:sz w:val="22"/>
        </w:rPr>
        <w:t>(Énfasis y subrayado añadido)</w:t>
      </w:r>
    </w:p>
    <w:p w14:paraId="08D630F6"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s="Tahoma"/>
          <w:bCs/>
          <w:iCs/>
        </w:rPr>
      </w:pPr>
    </w:p>
    <w:p w14:paraId="1C210C89" w14:textId="77777777" w:rsidR="00372C08" w:rsidRPr="001672EA" w:rsidRDefault="00372C08" w:rsidP="00372C0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olor w:val="000000" w:themeColor="text1"/>
        </w:rPr>
        <w:t xml:space="preserve">Bajo </w:t>
      </w:r>
      <w:r w:rsidRPr="001672EA">
        <w:rPr>
          <w:rFonts w:ascii="Palatino Linotype" w:eastAsia="MS Mincho" w:hAnsi="Palatino Linotype" w:cs="Times New Roman"/>
          <w:color w:val="000000"/>
        </w:rPr>
        <w:t xml:space="preserve">este tenor se debe destacar que para que se declare la inexistencia de la información, </w:t>
      </w:r>
      <w:r w:rsidRPr="001672EA">
        <w:rPr>
          <w:rFonts w:ascii="Palatino Linotype" w:eastAsia="MS Mincho" w:hAnsi="Palatino Linotype" w:cs="Times New Roman"/>
          <w:b/>
          <w:color w:val="000000"/>
        </w:rPr>
        <w:t>debió haber existencia previa de la documentación y la falta posterior de la misma en los archivos del</w:t>
      </w:r>
      <w:r w:rsidRPr="001672EA">
        <w:rPr>
          <w:rFonts w:ascii="Palatino Linotype" w:eastAsia="MS Mincho" w:hAnsi="Palatino Linotype" w:cs="Times New Roman"/>
          <w:color w:val="000000"/>
        </w:rPr>
        <w:t xml:space="preserve"> </w:t>
      </w:r>
      <w:r w:rsidRPr="001672EA">
        <w:rPr>
          <w:rFonts w:ascii="Palatino Linotype" w:eastAsia="MS Mincho" w:hAnsi="Palatino Linotype" w:cs="Times New Roman"/>
          <w:b/>
          <w:color w:val="000000"/>
        </w:rPr>
        <w:t>SUJETO OBLIGADO</w:t>
      </w:r>
      <w:r w:rsidRPr="001672EA">
        <w:rPr>
          <w:rFonts w:ascii="Palatino Linotype" w:eastAsia="MS Mincho" w:hAnsi="Palatino Linotype" w:cs="Times New Roman"/>
          <w:color w:val="000000"/>
        </w:rPr>
        <w:t xml:space="preserve">, esto es que la información se generó, poseyó o administró en el marco de las atribuciones conferidas al </w:t>
      </w:r>
      <w:r w:rsidRPr="001672EA">
        <w:rPr>
          <w:rFonts w:ascii="Palatino Linotype" w:eastAsia="MS Mincho" w:hAnsi="Palatino Linotype" w:cs="Times New Roman"/>
          <w:b/>
          <w:color w:val="000000"/>
        </w:rPr>
        <w:t xml:space="preserve"> SUJETO OBLIGADO </w:t>
      </w:r>
      <w:r w:rsidRPr="001672EA">
        <w:rPr>
          <w:rFonts w:ascii="Palatino Linotype" w:eastAsia="MS Mincho" w:hAnsi="Palatino Linotype" w:cs="Times New Roman"/>
          <w:color w:val="000000"/>
        </w:rPr>
        <w:t>pero no la conserva por diversas razones (destrucción física, desaparición física, sustracción ilícita, baja documental, etcétera).</w:t>
      </w:r>
    </w:p>
    <w:p w14:paraId="3AEA9BF7"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s="Tahoma"/>
          <w:bCs/>
          <w:iCs/>
        </w:rPr>
      </w:pPr>
    </w:p>
    <w:p w14:paraId="556E3569" w14:textId="77777777" w:rsidR="00372C08" w:rsidRPr="001672EA" w:rsidRDefault="00372C08" w:rsidP="00372C0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olor w:val="000000" w:themeColor="text1"/>
        </w:rPr>
        <w:t xml:space="preserve">En </w:t>
      </w:r>
      <w:r w:rsidRPr="001672EA">
        <w:rPr>
          <w:rFonts w:ascii="Palatino Linotype" w:eastAsia="MS Mincho" w:hAnsi="Palatino Linotype" w:cs="Times New Roman"/>
          <w:color w:val="000000"/>
        </w:rPr>
        <w:t>consecuencia, el</w:t>
      </w:r>
      <w:r w:rsidRPr="001672EA">
        <w:rPr>
          <w:rFonts w:ascii="Palatino Linotype" w:eastAsia="MS Mincho" w:hAnsi="Palatino Linotype" w:cs="Times New Roman"/>
          <w:b/>
          <w:color w:val="000000"/>
        </w:rPr>
        <w:t xml:space="preserve"> SUJETO OBLIGADO </w:t>
      </w:r>
      <w:r w:rsidRPr="001672EA">
        <w:rPr>
          <w:rFonts w:ascii="Palatino Linotype" w:eastAsia="MS Mincho" w:hAnsi="Palatino Linotype" w:cs="Times New Roman"/>
          <w:color w:val="000000"/>
        </w:rPr>
        <w:t xml:space="preserve">en todo tiempo deberá cumplir con las formalidades exigidas por el marco jurídico y, al dar cumplimiento a la  resolución, deberá acreditar la búsqueda exhaustiva y de ser el caso que no se localice la información, tendrá que emitir el Acuerdo del Comité de Transparencia, que se hará del conocimiento del </w:t>
      </w:r>
      <w:r w:rsidRPr="001672EA">
        <w:rPr>
          <w:rFonts w:ascii="Palatino Linotype" w:eastAsia="MS Mincho" w:hAnsi="Palatino Linotype" w:cs="Times New Roman"/>
          <w:b/>
          <w:color w:val="000000"/>
        </w:rPr>
        <w:t>RECURRENTE</w:t>
      </w:r>
      <w:r w:rsidRPr="001672EA">
        <w:rPr>
          <w:rFonts w:ascii="Palatino Linotype" w:eastAsia="MS Mincho" w:hAnsi="Palatino Linotype" w:cs="Times New Roman"/>
          <w:color w:val="000000"/>
        </w:rPr>
        <w:t>, en los siguientes términos:</w:t>
      </w:r>
    </w:p>
    <w:p w14:paraId="0003DF74" w14:textId="77777777" w:rsidR="00372C08" w:rsidRPr="001672EA" w:rsidRDefault="00372C08" w:rsidP="00372C08">
      <w:pPr>
        <w:pStyle w:val="Prrafodelista"/>
        <w:numPr>
          <w:ilvl w:val="1"/>
          <w:numId w:val="1"/>
        </w:numPr>
        <w:spacing w:line="360" w:lineRule="auto"/>
        <w:ind w:left="1134"/>
        <w:rPr>
          <w:rFonts w:ascii="Palatino Linotype" w:hAnsi="Palatino Linotype"/>
          <w:color w:val="000000" w:themeColor="text1"/>
        </w:rPr>
      </w:pPr>
      <w:r w:rsidRPr="001672EA">
        <w:rPr>
          <w:rFonts w:ascii="Palatino Linotype" w:hAnsi="Palatino Linotype"/>
          <w:color w:val="000000" w:themeColor="text1"/>
        </w:rPr>
        <w:t>Deberá emitir el Acuerdo de Inexistencia respectivo, en el entendido que el acto de autoridad debe estar debidamente fundado y razonado.</w:t>
      </w:r>
    </w:p>
    <w:p w14:paraId="2FA0249B" w14:textId="77777777" w:rsidR="00372C08" w:rsidRPr="001672EA" w:rsidRDefault="00372C08" w:rsidP="00372C08">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1672EA">
        <w:rPr>
          <w:rFonts w:ascii="Palatino Linotype" w:hAnsi="Palatino Linotype"/>
          <w:color w:val="000000" w:themeColor="text1"/>
        </w:rPr>
        <w:t xml:space="preserve">Asimismo, se señalará el lugar y fecha de la resolución, el nombre del </w:t>
      </w:r>
      <w:r w:rsidRPr="001672EA">
        <w:rPr>
          <w:rFonts w:ascii="Palatino Linotype" w:hAnsi="Palatino Linotype"/>
          <w:b/>
          <w:color w:val="000000" w:themeColor="text1"/>
        </w:rPr>
        <w:t>RECURRENTE</w:t>
      </w:r>
      <w:r w:rsidRPr="001672EA">
        <w:rPr>
          <w:rFonts w:ascii="Palatino Linotype" w:hAnsi="Palatino Linotype"/>
          <w:color w:val="000000" w:themeColor="text1"/>
        </w:rPr>
        <w:t>, la información solicitada, el fundamento y motivo por el cual se determina que la información solicitada no obra en sus archivos, los nombres y firmas autógrafas de los integrantes del Comité de Información.</w:t>
      </w:r>
    </w:p>
    <w:p w14:paraId="2DA92262"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s="Tahoma"/>
          <w:bCs/>
          <w:iCs/>
        </w:rPr>
      </w:pPr>
    </w:p>
    <w:p w14:paraId="4C98C342" w14:textId="77777777" w:rsidR="00372C08" w:rsidRPr="001672EA" w:rsidRDefault="00372C08" w:rsidP="00372C0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olor w:val="000000" w:themeColor="text1"/>
        </w:rPr>
        <w:t xml:space="preserve">Lo </w:t>
      </w:r>
      <w:r w:rsidRPr="001672EA">
        <w:rPr>
          <w:rFonts w:ascii="Palatino Linotype" w:eastAsia="MS Mincho" w:hAnsi="Palatino Linotype" w:cs="Times New Roman"/>
          <w:color w:val="000000"/>
        </w:rPr>
        <w:t xml:space="preserve">anterior es así, toda vez que </w:t>
      </w:r>
      <w:r w:rsidRPr="001672EA">
        <w:rPr>
          <w:rFonts w:ascii="Palatino Linotype" w:eastAsia="MS Mincho" w:hAnsi="Palatino Linotype" w:cs="Times New Roman"/>
          <w:b/>
          <w:color w:val="000000"/>
          <w:u w:val="single"/>
        </w:rPr>
        <w:t>es necesaria</w:t>
      </w:r>
      <w:r w:rsidRPr="001672EA">
        <w:rPr>
          <w:rFonts w:ascii="Palatino Linotype" w:eastAsia="MS Mincho" w:hAnsi="Palatino Linotype" w:cs="Times New Roman"/>
          <w:color w:val="000000"/>
        </w:rPr>
        <w:t xml:space="preserve"> la emisión del Acuerdo de Inexistencia en aquellos casos en que el </w:t>
      </w:r>
      <w:r w:rsidRPr="001672EA">
        <w:rPr>
          <w:rFonts w:ascii="Palatino Linotype" w:eastAsia="MS Mincho" w:hAnsi="Palatino Linotype" w:cs="Times New Roman"/>
          <w:b/>
          <w:color w:val="000000"/>
        </w:rPr>
        <w:t xml:space="preserve">SUJETO OBLIGADO </w:t>
      </w:r>
      <w:r w:rsidRPr="001672EA">
        <w:rPr>
          <w:rFonts w:ascii="Palatino Linotype" w:eastAsia="MS Mincho" w:hAnsi="Palatino Linotype" w:cs="Times New Roman"/>
          <w:b/>
          <w:color w:val="000000"/>
          <w:u w:val="single"/>
        </w:rPr>
        <w:t>generó</w:t>
      </w:r>
      <w:r w:rsidRPr="001672EA">
        <w:rPr>
          <w:rFonts w:ascii="Palatino Linotype" w:eastAsia="MS Mincho" w:hAnsi="Palatino Linotype" w:cs="Times New Roman"/>
          <w:b/>
          <w:color w:val="000000"/>
        </w:rPr>
        <w:t xml:space="preserve"> </w:t>
      </w:r>
      <w:r w:rsidRPr="001672EA">
        <w:rPr>
          <w:rFonts w:ascii="Palatino Linotype" w:eastAsia="MS Mincho" w:hAnsi="Palatino Linotype" w:cs="Times New Roman"/>
          <w:color w:val="000000"/>
        </w:rPr>
        <w:t>la información solicitada empero previa búsqueda exhaustiva y minuciosa de la misma, no localiza la información requerida.</w:t>
      </w:r>
    </w:p>
    <w:p w14:paraId="1B879F45"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s="Tahoma"/>
          <w:bCs/>
          <w:iCs/>
        </w:rPr>
      </w:pPr>
    </w:p>
    <w:p w14:paraId="3CF5E598" w14:textId="77777777" w:rsidR="00372C08" w:rsidRPr="001672EA" w:rsidRDefault="00372C08" w:rsidP="00372C0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olor w:val="000000" w:themeColor="text1"/>
        </w:rPr>
        <w:t xml:space="preserve">En </w:t>
      </w:r>
      <w:r w:rsidRPr="001672EA">
        <w:rPr>
          <w:rFonts w:ascii="Palatino Linotype" w:eastAsia="MS Mincho" w:hAnsi="Palatino Linotype" w:cs="Times New Roman"/>
          <w:color w:val="000000"/>
        </w:rPr>
        <w:t xml:space="preserve">ese caso su Comité de Transparencia tiene el deber de emitir un Acuerdo de Inexistencia, el cual -se insiste-, se dicta en aquellos supuestos en los que si bien la información solicitada la genera, posee o administra el </w:t>
      </w:r>
      <w:r w:rsidRPr="001672EA">
        <w:rPr>
          <w:rFonts w:ascii="Palatino Linotype" w:eastAsia="MS Mincho" w:hAnsi="Palatino Linotype" w:cs="Times New Roman"/>
          <w:b/>
          <w:color w:val="000000"/>
        </w:rPr>
        <w:t>SUJETO OBLIGADO</w:t>
      </w:r>
      <w:r w:rsidRPr="001672EA">
        <w:rPr>
          <w:rFonts w:ascii="Palatino Linotype" w:eastAsia="MS Mincho" w:hAnsi="Palatino Linotype" w:cs="Times New Roman"/>
          <w:color w:val="000000"/>
        </w:rPr>
        <w:t xml:space="preserve"> en el marco de las funciones de derecho público; sin embargo, éste no lo posee por la razones que se deben expresar a través de un acuerdo debidamente fundado y motivado esto en estricto apego a lo establecido en los artículos 169 y 170 de la Ley de Transparencia y Acceso a la Información Pública del Estado de México y Municipios, los cuales establecen lo siguiente:</w:t>
      </w:r>
    </w:p>
    <w:p w14:paraId="4075D5A8" w14:textId="77777777" w:rsidR="00372C08" w:rsidRPr="001672EA" w:rsidRDefault="00372C08" w:rsidP="00372C08">
      <w:pPr>
        <w:pStyle w:val="Prrafodelista"/>
        <w:tabs>
          <w:tab w:val="left" w:pos="426"/>
        </w:tabs>
        <w:spacing w:before="240" w:line="360" w:lineRule="auto"/>
        <w:ind w:left="0" w:right="51"/>
        <w:jc w:val="both"/>
        <w:rPr>
          <w:rFonts w:ascii="Palatino Linotype" w:hAnsi="Palatino Linotype" w:cs="Tahoma"/>
          <w:bCs/>
          <w:iCs/>
        </w:rPr>
      </w:pPr>
    </w:p>
    <w:p w14:paraId="039254EB"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rPr>
      </w:pPr>
      <w:r w:rsidRPr="001672EA">
        <w:rPr>
          <w:rFonts w:ascii="Palatino Linotype" w:eastAsia="Palatino Linotype" w:hAnsi="Palatino Linotype" w:cs="Palatino Linotype"/>
          <w:i/>
          <w:color w:val="000000"/>
          <w:sz w:val="22"/>
        </w:rPr>
        <w:t>“</w:t>
      </w:r>
      <w:r w:rsidRPr="001672EA">
        <w:rPr>
          <w:rFonts w:ascii="Palatino Linotype" w:eastAsia="Palatino Linotype" w:hAnsi="Palatino Linotype" w:cs="Palatino Linotype"/>
          <w:b/>
          <w:i/>
          <w:color w:val="000000"/>
          <w:sz w:val="22"/>
        </w:rPr>
        <w:t>Artículo 169.</w:t>
      </w:r>
      <w:r w:rsidRPr="001672EA">
        <w:rPr>
          <w:rFonts w:ascii="Palatino Linotype" w:eastAsia="Palatino Linotype" w:hAnsi="Palatino Linotype" w:cs="Palatino Linotype"/>
          <w:i/>
          <w:color w:val="000000"/>
          <w:sz w:val="22"/>
        </w:rPr>
        <w:t xml:space="preserve"> </w:t>
      </w:r>
      <w:r w:rsidRPr="001672EA">
        <w:rPr>
          <w:rFonts w:ascii="Palatino Linotype" w:eastAsia="Palatino Linotype" w:hAnsi="Palatino Linotype" w:cs="Palatino Linotype"/>
          <w:b/>
          <w:i/>
          <w:color w:val="000000"/>
          <w:sz w:val="22"/>
        </w:rPr>
        <w:t>Cuando la información no se encuentre en los archivos</w:t>
      </w:r>
      <w:r w:rsidRPr="001672EA">
        <w:rPr>
          <w:rFonts w:ascii="Palatino Linotype" w:eastAsia="Palatino Linotype" w:hAnsi="Palatino Linotype" w:cs="Palatino Linotype"/>
          <w:i/>
          <w:color w:val="000000"/>
          <w:sz w:val="22"/>
        </w:rPr>
        <w:t xml:space="preserve"> del sujeto obligado, el Comité de Transparencia: </w:t>
      </w:r>
    </w:p>
    <w:p w14:paraId="1FD06868"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rPr>
      </w:pPr>
      <w:r w:rsidRPr="001672EA">
        <w:rPr>
          <w:rFonts w:ascii="Palatino Linotype" w:eastAsia="Palatino Linotype" w:hAnsi="Palatino Linotype" w:cs="Palatino Linotype"/>
          <w:b/>
          <w:i/>
          <w:color w:val="000000"/>
          <w:sz w:val="22"/>
        </w:rPr>
        <w:t>I.</w:t>
      </w:r>
      <w:r w:rsidRPr="001672EA">
        <w:rPr>
          <w:rFonts w:ascii="Palatino Linotype" w:eastAsia="Palatino Linotype" w:hAnsi="Palatino Linotype" w:cs="Palatino Linotype"/>
          <w:i/>
          <w:color w:val="000000"/>
          <w:sz w:val="22"/>
        </w:rPr>
        <w:t xml:space="preserve"> Analizará el caso y </w:t>
      </w:r>
      <w:r w:rsidRPr="001672EA">
        <w:rPr>
          <w:rFonts w:ascii="Palatino Linotype" w:eastAsia="Palatino Linotype" w:hAnsi="Palatino Linotype" w:cs="Palatino Linotype"/>
          <w:b/>
          <w:i/>
          <w:color w:val="000000"/>
          <w:sz w:val="22"/>
        </w:rPr>
        <w:t>tomará las medidas necesarias para localizar la información</w:t>
      </w:r>
      <w:r w:rsidRPr="001672EA">
        <w:rPr>
          <w:rFonts w:ascii="Palatino Linotype" w:eastAsia="Palatino Linotype" w:hAnsi="Palatino Linotype" w:cs="Palatino Linotype"/>
          <w:i/>
          <w:color w:val="000000"/>
          <w:sz w:val="22"/>
        </w:rPr>
        <w:t xml:space="preserve">; </w:t>
      </w:r>
    </w:p>
    <w:p w14:paraId="194217A1"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rPr>
      </w:pPr>
      <w:r w:rsidRPr="001672EA">
        <w:rPr>
          <w:rFonts w:ascii="Palatino Linotype" w:eastAsia="Palatino Linotype" w:hAnsi="Palatino Linotype" w:cs="Palatino Linotype"/>
          <w:b/>
          <w:i/>
          <w:color w:val="000000"/>
          <w:sz w:val="22"/>
        </w:rPr>
        <w:t>II.</w:t>
      </w:r>
      <w:r w:rsidRPr="001672EA">
        <w:rPr>
          <w:rFonts w:ascii="Palatino Linotype" w:eastAsia="Palatino Linotype" w:hAnsi="Palatino Linotype" w:cs="Palatino Linotype"/>
          <w:i/>
          <w:color w:val="000000"/>
          <w:sz w:val="22"/>
        </w:rPr>
        <w:t xml:space="preserve"> Expedirá una </w:t>
      </w:r>
      <w:r w:rsidRPr="001672EA">
        <w:rPr>
          <w:rFonts w:ascii="Palatino Linotype" w:eastAsia="Palatino Linotype" w:hAnsi="Palatino Linotype" w:cs="Palatino Linotype"/>
          <w:b/>
          <w:i/>
          <w:color w:val="000000"/>
          <w:sz w:val="22"/>
        </w:rPr>
        <w:t>resolución que confirme la inexistencia</w:t>
      </w:r>
      <w:r w:rsidRPr="001672EA">
        <w:rPr>
          <w:rFonts w:ascii="Palatino Linotype" w:eastAsia="Palatino Linotype" w:hAnsi="Palatino Linotype" w:cs="Palatino Linotype"/>
          <w:i/>
          <w:color w:val="000000"/>
          <w:sz w:val="22"/>
        </w:rPr>
        <w:t xml:space="preserve"> del documento; </w:t>
      </w:r>
    </w:p>
    <w:p w14:paraId="179137A9"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rPr>
      </w:pPr>
      <w:r w:rsidRPr="001672EA">
        <w:rPr>
          <w:rFonts w:ascii="Palatino Linotype" w:eastAsia="Palatino Linotype" w:hAnsi="Palatino Linotype" w:cs="Palatino Linotype"/>
          <w:b/>
          <w:i/>
          <w:color w:val="000000"/>
          <w:sz w:val="22"/>
        </w:rPr>
        <w:t>III.</w:t>
      </w:r>
      <w:r w:rsidRPr="001672EA">
        <w:rPr>
          <w:rFonts w:ascii="Palatino Linotype" w:eastAsia="Palatino Linotype" w:hAnsi="Palatino Linotype" w:cs="Palatino Linotype"/>
          <w:i/>
          <w:color w:val="000000"/>
          <w:sz w:val="22"/>
        </w:rPr>
        <w:t xml:space="preserve"> </w:t>
      </w:r>
      <w:r w:rsidRPr="001672EA">
        <w:rPr>
          <w:rFonts w:ascii="Palatino Linotype" w:eastAsia="Palatino Linotype" w:hAnsi="Palatino Linotype" w:cs="Palatino Linotype"/>
          <w:b/>
          <w:i/>
          <w:color w:val="000000"/>
          <w:sz w:val="22"/>
        </w:rPr>
        <w:t>Ordenará</w:t>
      </w:r>
      <w:r w:rsidRPr="001672EA">
        <w:rPr>
          <w:rFonts w:ascii="Palatino Linotype" w:eastAsia="Palatino Linotype" w:hAnsi="Palatino Linotype" w:cs="Palatino Linotype"/>
          <w:i/>
          <w:color w:val="000000"/>
          <w:sz w:val="22"/>
        </w:rPr>
        <w:t xml:space="preserve">, siempre que sea materialmente posible, </w:t>
      </w:r>
      <w:r w:rsidRPr="001672EA">
        <w:rPr>
          <w:rFonts w:ascii="Palatino Linotype" w:eastAsia="Palatino Linotype" w:hAnsi="Palatino Linotype" w:cs="Palatino Linotype"/>
          <w:b/>
          <w:i/>
          <w:color w:val="000000"/>
          <w:sz w:val="22"/>
        </w:rPr>
        <w:t>que se genere o se reponga la información</w:t>
      </w:r>
      <w:r w:rsidRPr="001672EA">
        <w:rPr>
          <w:rFonts w:ascii="Palatino Linotype" w:eastAsia="Palatino Linotype" w:hAnsi="Palatino Linotype" w:cs="Palatino Linotype"/>
          <w:i/>
          <w:color w:val="000000"/>
          <w:sz w:val="22"/>
        </w:rPr>
        <w:t xml:space="preserve">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910FC67"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rPr>
      </w:pPr>
      <w:r w:rsidRPr="001672EA">
        <w:rPr>
          <w:rFonts w:ascii="Palatino Linotype" w:eastAsia="Palatino Linotype" w:hAnsi="Palatino Linotype" w:cs="Palatino Linotype"/>
          <w:b/>
          <w:i/>
          <w:color w:val="000000"/>
          <w:sz w:val="22"/>
        </w:rPr>
        <w:t>IV.</w:t>
      </w:r>
      <w:r w:rsidRPr="001672EA">
        <w:rPr>
          <w:rFonts w:ascii="Palatino Linotype" w:eastAsia="Palatino Linotype" w:hAnsi="Palatino Linotype" w:cs="Palatino Linotype"/>
          <w:i/>
          <w:color w:val="000000"/>
          <w:sz w:val="22"/>
        </w:rPr>
        <w:t xml:space="preserve"> </w:t>
      </w:r>
      <w:r w:rsidRPr="001672EA">
        <w:rPr>
          <w:rFonts w:ascii="Palatino Linotype" w:eastAsia="Palatino Linotype" w:hAnsi="Palatino Linotype" w:cs="Palatino Linotype"/>
          <w:b/>
          <w:i/>
          <w:color w:val="000000"/>
          <w:sz w:val="22"/>
          <w:u w:val="single"/>
        </w:rPr>
        <w:t>Notificará al órgano interno de control o equivalente del sujeto obligado quien, en su caso, deberá iniciar el procedimiento de responsabilidad administrativa que corresponda</w:t>
      </w:r>
      <w:r w:rsidRPr="001672EA">
        <w:rPr>
          <w:rFonts w:ascii="Palatino Linotype" w:eastAsia="Palatino Linotype" w:hAnsi="Palatino Linotype" w:cs="Palatino Linotype"/>
          <w:i/>
          <w:color w:val="000000"/>
          <w:sz w:val="22"/>
        </w:rPr>
        <w:t xml:space="preserve">. </w:t>
      </w:r>
    </w:p>
    <w:p w14:paraId="5BAFC31F"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rPr>
      </w:pPr>
      <w:r w:rsidRPr="001672EA">
        <w:rPr>
          <w:rFonts w:ascii="Palatino Linotype" w:eastAsia="Palatino Linotype" w:hAnsi="Palatino Linotype" w:cs="Palatino Linotype"/>
          <w:i/>
          <w:color w:val="000000"/>
          <w:sz w:val="22"/>
        </w:rPr>
        <w:lastRenderedPageBreak/>
        <w:t xml:space="preserve">La Unidad de Transparencia deberá notificarlo al solicitante por escrito, en un plazo que no exceda de quince días hábiles contados a partir del día siguiente a la presentación de la solicitud. </w:t>
      </w:r>
    </w:p>
    <w:p w14:paraId="00DD75F3"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rPr>
      </w:pPr>
      <w:r w:rsidRPr="001672EA">
        <w:rPr>
          <w:rFonts w:ascii="Palatino Linotype" w:eastAsia="Palatino Linotype" w:hAnsi="Palatino Linotype" w:cs="Palatino Linotype"/>
          <w:i/>
          <w:color w:val="000000"/>
          <w:sz w:val="22"/>
        </w:rPr>
        <w:t>Este plazo podrá ampliarse hasta por otros siete días hábiles, siempre que existan razones para ello, debiendo notificarse por escrito al solicitante.”</w:t>
      </w:r>
    </w:p>
    <w:p w14:paraId="4B029E27"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rPr>
      </w:pPr>
      <w:r w:rsidRPr="001672EA">
        <w:rPr>
          <w:rFonts w:ascii="Palatino Linotype" w:eastAsia="Palatino Linotype" w:hAnsi="Palatino Linotype" w:cs="Palatino Linotype"/>
          <w:color w:val="000000"/>
          <w:sz w:val="22"/>
        </w:rPr>
        <w:t>(Énfasis añadido)</w:t>
      </w:r>
    </w:p>
    <w:p w14:paraId="3E7A24D2"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rPr>
      </w:pPr>
    </w:p>
    <w:p w14:paraId="6EE36BBF" w14:textId="77777777" w:rsidR="00372C08" w:rsidRPr="001672EA" w:rsidRDefault="00372C08" w:rsidP="00372C08">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rPr>
      </w:pPr>
      <w:r w:rsidRPr="001672EA">
        <w:rPr>
          <w:rFonts w:ascii="Palatino Linotype" w:eastAsia="Palatino Linotype" w:hAnsi="Palatino Linotype" w:cs="Palatino Linotype"/>
          <w:i/>
          <w:color w:val="000000"/>
          <w:sz w:val="22"/>
        </w:rPr>
        <w:t>“</w:t>
      </w:r>
      <w:r w:rsidRPr="001672EA">
        <w:rPr>
          <w:rFonts w:ascii="Palatino Linotype" w:eastAsia="Palatino Linotype" w:hAnsi="Palatino Linotype" w:cs="Palatino Linotype"/>
          <w:b/>
          <w:i/>
          <w:color w:val="000000"/>
          <w:sz w:val="22"/>
        </w:rPr>
        <w:t>Artículo 170.</w:t>
      </w:r>
      <w:r w:rsidRPr="001672EA">
        <w:rPr>
          <w:rFonts w:ascii="Palatino Linotype" w:eastAsia="Palatino Linotype" w:hAnsi="Palatino Linotype" w:cs="Palatino Linotype"/>
          <w:i/>
          <w:color w:val="000000"/>
          <w:sz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5A967F6"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s="Tahoma"/>
          <w:bCs/>
          <w:iCs/>
        </w:rPr>
      </w:pPr>
    </w:p>
    <w:p w14:paraId="7DFB0FE7" w14:textId="2354BC56" w:rsidR="00ED3E6C" w:rsidRPr="001672EA" w:rsidRDefault="00372C08" w:rsidP="00ED3E6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1672EA">
        <w:rPr>
          <w:rFonts w:ascii="Palatino Linotype" w:hAnsi="Palatino Linotype"/>
          <w:color w:val="000000" w:themeColor="text1"/>
        </w:rPr>
        <w:t xml:space="preserve">Luego </w:t>
      </w:r>
      <w:r w:rsidRPr="001672EA">
        <w:rPr>
          <w:rFonts w:ascii="Palatino Linotype" w:eastAsia="MS Mincho" w:hAnsi="Palatino Linotype" w:cs="Times New Roman"/>
          <w:color w:val="000000"/>
        </w:rPr>
        <w:t xml:space="preserve">entonces, resulta notorio que </w:t>
      </w:r>
      <w:r w:rsidRPr="001672EA">
        <w:rPr>
          <w:rFonts w:ascii="Palatino Linotype" w:eastAsia="MS Mincho" w:hAnsi="Palatino Linotype" w:cs="Times New Roman"/>
          <w:b/>
          <w:color w:val="000000"/>
        </w:rPr>
        <w:t>la manifestación de inexistencia</w:t>
      </w:r>
      <w:r w:rsidRPr="001672EA">
        <w:rPr>
          <w:rFonts w:ascii="Palatino Linotype" w:eastAsia="MS Mincho" w:hAnsi="Palatino Linotype" w:cs="Times New Roman"/>
          <w:color w:val="000000"/>
        </w:rPr>
        <w:t xml:space="preserve"> de información no consiste meramente en ratificar que ciertos documentos no se encuentran en un área administrativa determinada, sino que </w:t>
      </w:r>
      <w:r w:rsidRPr="001672EA">
        <w:rPr>
          <w:rFonts w:ascii="Palatino Linotype" w:eastAsia="MS Mincho" w:hAnsi="Palatino Linotype" w:cs="Times New Roman"/>
          <w:b/>
          <w:color w:val="000000"/>
        </w:rPr>
        <w:t>implica la alta responsabilidad del Comité de Transparencia de realizar todas las diligencias internas necesarias a efecto de asegurar de que se busque la información en todas las áreas y unidades administrativas del SUJETO OBLIGADO a fin de constatar que realmente la información no obra más en los archivos del ayuntamiento; y, en dado caso</w:t>
      </w:r>
      <w:r w:rsidRPr="001672EA">
        <w:rPr>
          <w:rFonts w:ascii="Palatino Linotype" w:eastAsia="MS Mincho" w:hAnsi="Palatino Linotype" w:cs="Times New Roman"/>
          <w:color w:val="000000"/>
        </w:rPr>
        <w:t xml:space="preserve">, cuando exista la posibilidad, </w:t>
      </w:r>
      <w:r w:rsidRPr="001672EA">
        <w:rPr>
          <w:rFonts w:ascii="Palatino Linotype" w:eastAsia="MS Mincho" w:hAnsi="Palatino Linotype" w:cs="Times New Roman"/>
          <w:b/>
          <w:color w:val="000000"/>
        </w:rPr>
        <w:t>ordenará su regeneración o reposición</w:t>
      </w:r>
      <w:r w:rsidRPr="001672EA">
        <w:rPr>
          <w:rFonts w:ascii="Palatino Linotype" w:eastAsia="MS Mincho" w:hAnsi="Palatino Linotype" w:cs="Times New Roman"/>
          <w:color w:val="000000"/>
        </w:rPr>
        <w:t xml:space="preserve"> inmediata; y, más importante aún, </w:t>
      </w:r>
      <w:r w:rsidRPr="001672EA">
        <w:rPr>
          <w:rFonts w:ascii="Palatino Linotype" w:eastAsia="MS Mincho" w:hAnsi="Palatino Linotype" w:cs="Times New Roman"/>
          <w:b/>
          <w:color w:val="000000"/>
        </w:rPr>
        <w:t>notificará al órgano de control interno para que se inicie el procedimiento de responsabilidad administrativa respectivo</w:t>
      </w:r>
      <w:r w:rsidRPr="001672EA">
        <w:rPr>
          <w:rFonts w:ascii="Palatino Linotype" w:eastAsia="MS Mincho" w:hAnsi="Palatino Linotype" w:cs="Times New Roman"/>
          <w:color w:val="000000"/>
        </w:rPr>
        <w:t>.</w:t>
      </w:r>
    </w:p>
    <w:p w14:paraId="58F96152"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s="Tahoma"/>
          <w:bCs/>
          <w:iCs/>
        </w:rPr>
      </w:pPr>
    </w:p>
    <w:p w14:paraId="6578DCDE" w14:textId="72177934" w:rsidR="004F4BEF" w:rsidRPr="001672EA" w:rsidRDefault="00372C08" w:rsidP="00372C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En </w:t>
      </w:r>
      <w:r w:rsidRPr="001672EA">
        <w:rPr>
          <w:rFonts w:ascii="Palatino Linotype" w:eastAsia="MS Mincho" w:hAnsi="Palatino Linotype" w:cs="Times New Roman"/>
          <w:color w:val="000000"/>
        </w:rPr>
        <w:t xml:space="preserve">otras palabras, </w:t>
      </w:r>
      <w:r w:rsidRPr="001672EA">
        <w:rPr>
          <w:rFonts w:ascii="Palatino Linotype" w:eastAsia="MS Mincho" w:hAnsi="Palatino Linotype" w:cs="Times New Roman"/>
          <w:b/>
          <w:color w:val="000000"/>
        </w:rPr>
        <w:t>hablar de información inexistente implica la alta responsabilidad de explicar a la ciudadanía por qué un ente público que tiene la facultad y el deber de generar, poseer o administrar su información pública no la tiene</w:t>
      </w:r>
      <w:r w:rsidRPr="001672EA">
        <w:rPr>
          <w:rFonts w:ascii="Palatino Linotype" w:eastAsia="MS Mincho" w:hAnsi="Palatino Linotype" w:cs="Times New Roman"/>
          <w:color w:val="000000"/>
        </w:rPr>
        <w:t>.</w:t>
      </w:r>
    </w:p>
    <w:p w14:paraId="79A7E2AF" w14:textId="77777777" w:rsidR="00ED3E6C" w:rsidRPr="001672EA" w:rsidRDefault="00ED3E6C" w:rsidP="00ED3E6C">
      <w:pPr>
        <w:pStyle w:val="Prrafodelista"/>
        <w:tabs>
          <w:tab w:val="left" w:pos="426"/>
        </w:tabs>
        <w:spacing w:before="240" w:after="240" w:line="360" w:lineRule="auto"/>
        <w:ind w:left="0" w:right="51"/>
        <w:jc w:val="both"/>
        <w:rPr>
          <w:rFonts w:ascii="Palatino Linotype" w:hAnsi="Palatino Linotype"/>
          <w:color w:val="000000" w:themeColor="text1"/>
        </w:rPr>
      </w:pPr>
    </w:p>
    <w:p w14:paraId="04C9E32C" w14:textId="54AD7C07" w:rsidR="00ED3E6C" w:rsidRPr="001672EA" w:rsidRDefault="00ED3E6C" w:rsidP="00372C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En el mismo sentido, el </w:t>
      </w:r>
      <w:r w:rsidRPr="001672EA">
        <w:rPr>
          <w:rFonts w:ascii="Palatino Linotype" w:hAnsi="Palatino Linotype"/>
          <w:b/>
          <w:color w:val="000000" w:themeColor="text1"/>
        </w:rPr>
        <w:t>SUJETO OBLIGADO</w:t>
      </w:r>
      <w:r w:rsidRPr="001672EA">
        <w:rPr>
          <w:rFonts w:ascii="Palatino Linotype" w:hAnsi="Palatino Linotype"/>
          <w:color w:val="000000" w:themeColor="text1"/>
        </w:rPr>
        <w:t xml:space="preserve"> deberá hacer entrega del Acuerdo o Acta con la que se acredite la baja documental; ello con base en lo establecido por el Criterio de Interpretación 014/2009, emitido por el entonces Instituto Federal de Acceso a la Información y Protección de Datos, cuyo rubro y texto establece:</w:t>
      </w:r>
    </w:p>
    <w:p w14:paraId="7473B5F5" w14:textId="77777777" w:rsidR="00ED3E6C" w:rsidRPr="001672EA" w:rsidRDefault="00ED3E6C" w:rsidP="00ED3E6C">
      <w:pPr>
        <w:pStyle w:val="Prrafodelista"/>
        <w:tabs>
          <w:tab w:val="left" w:pos="426"/>
        </w:tabs>
        <w:spacing w:before="240" w:after="240" w:line="360" w:lineRule="auto"/>
        <w:ind w:left="0" w:right="51"/>
        <w:jc w:val="both"/>
        <w:rPr>
          <w:rFonts w:ascii="Palatino Linotype" w:hAnsi="Palatino Linotype"/>
          <w:color w:val="000000" w:themeColor="text1"/>
        </w:rPr>
      </w:pPr>
    </w:p>
    <w:p w14:paraId="1E7C0BB6" w14:textId="50D719C8" w:rsidR="00ED3E6C" w:rsidRPr="001672EA" w:rsidRDefault="00ED3E6C" w:rsidP="00ED3E6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BAJA DOCUMENTAL.</w:t>
      </w:r>
      <w:r w:rsidRPr="001672EA">
        <w:rPr>
          <w:rFonts w:ascii="Palatino Linotype" w:hAnsi="Palatino Linotype"/>
          <w:i/>
          <w:color w:val="000000" w:themeColor="text1"/>
          <w:sz w:val="22"/>
        </w:rPr>
        <w:t xml:space="preserve"> “Las dependencias y entidades deben proporcionar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17D9FF90" w14:textId="77777777" w:rsidR="00ED3E6C" w:rsidRPr="001672EA" w:rsidRDefault="00ED3E6C" w:rsidP="00ED3E6C">
      <w:pPr>
        <w:pStyle w:val="Prrafodelista"/>
        <w:tabs>
          <w:tab w:val="left" w:pos="426"/>
        </w:tabs>
        <w:spacing w:before="240" w:after="240" w:line="360" w:lineRule="auto"/>
        <w:ind w:left="0" w:right="51"/>
        <w:jc w:val="both"/>
        <w:rPr>
          <w:rFonts w:ascii="Palatino Linotype" w:hAnsi="Palatino Linotype"/>
          <w:color w:val="000000" w:themeColor="text1"/>
        </w:rPr>
      </w:pPr>
    </w:p>
    <w:p w14:paraId="38B04A69" w14:textId="111F1A6C" w:rsidR="00ED3E6C" w:rsidRPr="001672EA" w:rsidRDefault="00ED3E6C" w:rsidP="00372C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Razón de lo anterior, si bien un Acuerdo de Inexistencia comunica a los particulares sobre la pérdida, sustracción o destrucción de información, el Acta de Baja Documental  es el instrumento que acredita formalmente su eliminación dentro del acervo documental del </w:t>
      </w:r>
      <w:r w:rsidRPr="001672EA">
        <w:rPr>
          <w:rFonts w:ascii="Palatino Linotype" w:hAnsi="Palatino Linotype"/>
          <w:b/>
          <w:color w:val="000000" w:themeColor="text1"/>
        </w:rPr>
        <w:t>SUJETO OBLIGADO</w:t>
      </w:r>
      <w:r w:rsidRPr="001672EA">
        <w:rPr>
          <w:rFonts w:ascii="Palatino Linotype" w:hAnsi="Palatino Linotype"/>
          <w:color w:val="000000" w:themeColor="text1"/>
        </w:rPr>
        <w:t>, por lo que siempre deben acompañarse uno del otro cuan</w:t>
      </w:r>
      <w:r w:rsidR="005028AA" w:rsidRPr="001672EA">
        <w:rPr>
          <w:rFonts w:ascii="Palatino Linotype" w:hAnsi="Palatino Linotype"/>
          <w:color w:val="000000" w:themeColor="text1"/>
        </w:rPr>
        <w:t xml:space="preserve">do se trate de información que </w:t>
      </w:r>
      <w:r w:rsidR="005028AA" w:rsidRPr="001672EA">
        <w:rPr>
          <w:rFonts w:ascii="Palatino Linotype" w:hAnsi="Palatino Linotype"/>
          <w:i/>
          <w:color w:val="000000" w:themeColor="text1"/>
        </w:rPr>
        <w:t>a fortiori</w:t>
      </w:r>
      <w:r w:rsidR="005028AA" w:rsidRPr="001672EA">
        <w:rPr>
          <w:rFonts w:ascii="Palatino Linotype" w:hAnsi="Palatino Linotype"/>
          <w:color w:val="000000" w:themeColor="text1"/>
        </w:rPr>
        <w:t xml:space="preserve"> debiera existir.</w:t>
      </w:r>
    </w:p>
    <w:p w14:paraId="33DCF493"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olor w:val="000000" w:themeColor="text1"/>
        </w:rPr>
      </w:pPr>
    </w:p>
    <w:p w14:paraId="3F06A31F" w14:textId="77777777" w:rsidR="00613B74" w:rsidRPr="001672EA" w:rsidRDefault="00613B74" w:rsidP="00613B74">
      <w:pPr>
        <w:pStyle w:val="Ttulo2"/>
        <w:rPr>
          <w:rFonts w:ascii="Palatino Linotype" w:hAnsi="Palatino Linotype" w:cs="Tahoma"/>
          <w:b/>
          <w:iCs/>
          <w:color w:val="auto"/>
        </w:rPr>
      </w:pPr>
      <w:r w:rsidRPr="001672EA">
        <w:rPr>
          <w:rFonts w:ascii="Palatino Linotype" w:hAnsi="Palatino Linotype" w:cs="Tahoma"/>
          <w:b/>
          <w:iCs/>
          <w:color w:val="auto"/>
        </w:rPr>
        <w:lastRenderedPageBreak/>
        <w:t>QUINTO. De la versión pública.</w:t>
      </w:r>
    </w:p>
    <w:p w14:paraId="0D5D8DC2"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0E7CDD70"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La </w:t>
      </w:r>
      <w:r w:rsidRPr="001672EA">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747D2A6"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37E349EB" w14:textId="77777777" w:rsidR="00613B74" w:rsidRPr="001672EA" w:rsidRDefault="00613B74" w:rsidP="00613B7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672EA">
        <w:rPr>
          <w:rFonts w:ascii="Palatino Linotype" w:hAnsi="Palatino Linotype"/>
          <w:b/>
          <w:color w:val="000000" w:themeColor="text1"/>
        </w:rPr>
        <w:t>I. Requisitos previos.</w:t>
      </w:r>
    </w:p>
    <w:p w14:paraId="25979A68"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440B600C"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Los </w:t>
      </w:r>
      <w:r w:rsidRPr="001672EA">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w:t>
      </w:r>
      <w:r w:rsidRPr="001672EA">
        <w:rPr>
          <w:rFonts w:ascii="Palatino Linotype" w:eastAsia="MS Mincho" w:hAnsi="Palatino Linotype" w:cs="Times New Roman"/>
        </w:rPr>
        <w:lastRenderedPageBreak/>
        <w:t>algún documento o el documento que se pretende reservar (contrato, licencia, póliza, entre otros), señalando el supuesto de clasificación (confidencialidad o reserva).</w:t>
      </w:r>
    </w:p>
    <w:p w14:paraId="03708527"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0EB0E603"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Además, </w:t>
      </w:r>
      <w:r w:rsidRPr="001672EA">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374C773"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22144FC2"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El </w:t>
      </w:r>
      <w:r w:rsidRPr="001672EA">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0449C2C"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6327FD87" w14:textId="77777777" w:rsidR="00613B74" w:rsidRPr="001672EA" w:rsidRDefault="00613B74" w:rsidP="00613B7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672EA">
        <w:rPr>
          <w:rFonts w:ascii="Palatino Linotype" w:hAnsi="Palatino Linotype"/>
          <w:b/>
          <w:color w:val="000000" w:themeColor="text1"/>
        </w:rPr>
        <w:t>II. Supuestos de clasificación.</w:t>
      </w:r>
    </w:p>
    <w:p w14:paraId="10361111"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0539860E"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Las </w:t>
      </w:r>
      <w:r w:rsidRPr="001672EA">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0F23D8A0" w14:textId="77777777" w:rsidR="00372C08" w:rsidRPr="001672EA" w:rsidRDefault="00372C08" w:rsidP="00372C08">
      <w:pPr>
        <w:pStyle w:val="Prrafodelista"/>
        <w:tabs>
          <w:tab w:val="left" w:pos="426"/>
        </w:tabs>
        <w:spacing w:before="240" w:after="240" w:line="360" w:lineRule="auto"/>
        <w:ind w:left="0" w:right="51"/>
        <w:jc w:val="both"/>
        <w:rPr>
          <w:rFonts w:ascii="Palatino Linotype" w:hAnsi="Palatino Linotype"/>
          <w:color w:val="000000" w:themeColor="text1"/>
        </w:rPr>
      </w:pPr>
    </w:p>
    <w:p w14:paraId="275E3A58" w14:textId="102498A6" w:rsidR="00372C08" w:rsidRPr="001672EA" w:rsidRDefault="00372C08"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eastAsia="MS Mincho" w:hAnsi="Palatino Linotype" w:cs="Times New Roman"/>
        </w:rPr>
        <w:lastRenderedPageBreak/>
        <w:t>Por cuanto hace a la información que, por su naturaleza y/o características, pueda ser susceptible de ser reservada, el artículo 140 de la Ley de Transparencia y Acceso a la Información Pública del Estado de México y Municipios establece lo siguiente:</w:t>
      </w:r>
    </w:p>
    <w:p w14:paraId="0AD88880"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7B1D5B3F"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i/>
          <w:color w:val="000000" w:themeColor="text1"/>
          <w:sz w:val="22"/>
        </w:rPr>
        <w:t>“</w:t>
      </w:r>
      <w:r w:rsidRPr="001672EA">
        <w:rPr>
          <w:rFonts w:ascii="Palatino Linotype" w:hAnsi="Palatino Linotype"/>
          <w:b/>
          <w:i/>
          <w:color w:val="000000" w:themeColor="text1"/>
          <w:sz w:val="22"/>
        </w:rPr>
        <w:t>Artículo 140.</w:t>
      </w:r>
      <w:r w:rsidRPr="001672EA">
        <w:rPr>
          <w:rFonts w:ascii="Palatino Linotype" w:hAnsi="Palatino Linotype"/>
          <w:i/>
          <w:color w:val="000000" w:themeColor="text1"/>
          <w:sz w:val="22"/>
        </w:rPr>
        <w:t xml:space="preserve"> El acceso a la información pública será restringido excepcionalmente, cuando por razones de interés público, ésta sea clasificada como reservada, conforme a los criterios siguientes: </w:t>
      </w:r>
    </w:p>
    <w:p w14:paraId="02DF7C9B"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w:t>
      </w:r>
      <w:r w:rsidRPr="001672EA">
        <w:rPr>
          <w:rFonts w:ascii="Palatino Linotype" w:hAnsi="Palatino Linotype"/>
          <w:i/>
          <w:color w:val="000000" w:themeColor="text1"/>
          <w:sz w:val="22"/>
        </w:rPr>
        <w:t xml:space="preserve"> Comprometa la seguridad pública y cuente con un propósito genuino y un efecto demostrable; </w:t>
      </w:r>
    </w:p>
    <w:p w14:paraId="101149B5"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II.</w:t>
      </w:r>
      <w:r w:rsidRPr="001672EA">
        <w:rPr>
          <w:rFonts w:ascii="Palatino Linotype" w:hAnsi="Palatino Linotype"/>
          <w:i/>
          <w:color w:val="000000" w:themeColor="text1"/>
          <w:sz w:val="22"/>
        </w:rPr>
        <w:t xml:space="preserve"> Pueda menoscabar la conducción de las negociaciones y relaciones internacionales; </w:t>
      </w:r>
    </w:p>
    <w:p w14:paraId="38DDE68A"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III.</w:t>
      </w:r>
      <w:r w:rsidRPr="001672EA">
        <w:rPr>
          <w:rFonts w:ascii="Palatino Linotype" w:hAnsi="Palatino Linotype"/>
          <w:i/>
          <w:color w:val="000000" w:themeColor="text1"/>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091FB3E"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IV.</w:t>
      </w:r>
      <w:r w:rsidRPr="001672EA">
        <w:rPr>
          <w:rFonts w:ascii="Palatino Linotype" w:hAnsi="Palatino Linotype"/>
          <w:i/>
          <w:color w:val="000000" w:themeColor="text1"/>
          <w:sz w:val="22"/>
        </w:rPr>
        <w:t xml:space="preserve"> Ponga en riesgo la vida, la seguridad o la salud de una persona física; </w:t>
      </w:r>
    </w:p>
    <w:p w14:paraId="246812B7"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w:t>
      </w:r>
      <w:r w:rsidRPr="001672EA">
        <w:rPr>
          <w:rFonts w:ascii="Palatino Linotype" w:hAnsi="Palatino Linotype"/>
          <w:i/>
          <w:color w:val="000000" w:themeColor="text1"/>
          <w:sz w:val="22"/>
        </w:rPr>
        <w:t xml:space="preserve"> Aquella cuya divulgación obstruya o pueda causar un serio perjuicio a: </w:t>
      </w:r>
    </w:p>
    <w:p w14:paraId="6A9BE540" w14:textId="77777777" w:rsidR="00372C08" w:rsidRPr="001672EA" w:rsidRDefault="00372C08" w:rsidP="00372C08">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1.</w:t>
      </w:r>
      <w:r w:rsidRPr="001672EA">
        <w:rPr>
          <w:rFonts w:ascii="Palatino Linotype" w:hAnsi="Palatino Linotype"/>
          <w:i/>
          <w:color w:val="000000" w:themeColor="text1"/>
          <w:sz w:val="22"/>
        </w:rPr>
        <w:t xml:space="preserve"> Las actividades de fiscalización, verificación, inspección, comprobación y auditoría sobre el cumplimiento de las Leyes; o </w:t>
      </w:r>
    </w:p>
    <w:p w14:paraId="351DF9FE" w14:textId="79B6C947" w:rsidR="00372C08" w:rsidRPr="001672EA" w:rsidRDefault="00372C08" w:rsidP="00372C08">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2.</w:t>
      </w:r>
      <w:r w:rsidRPr="001672EA">
        <w:rPr>
          <w:rFonts w:ascii="Palatino Linotype" w:hAnsi="Palatino Linotype"/>
          <w:i/>
          <w:color w:val="000000" w:themeColor="text1"/>
          <w:sz w:val="22"/>
        </w:rPr>
        <w:t xml:space="preserve"> La recaudación de las contribuciones. </w:t>
      </w:r>
    </w:p>
    <w:p w14:paraId="7AEBBC4A"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w:t>
      </w:r>
      <w:r w:rsidRPr="001672EA">
        <w:rPr>
          <w:rFonts w:ascii="Palatino Linotype" w:hAnsi="Palatino Linotype"/>
          <w:i/>
          <w:color w:val="000000" w:themeColor="text1"/>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60C00F3"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VII.</w:t>
      </w:r>
      <w:r w:rsidRPr="001672EA">
        <w:rPr>
          <w:rFonts w:ascii="Palatino Linotype" w:hAnsi="Palatino Linotype"/>
          <w:i/>
          <w:color w:val="000000" w:themeColor="text1"/>
          <w:sz w:val="22"/>
        </w:rPr>
        <w:t xml:space="preserve"> La que contengan las opiniones, recomendaciones o puntos de vista que formen parte del proceso deliberativo de los servidores públicos, hasta en tanto sea adoptada la decisión definitiva, la cual deberá estar documentada; </w:t>
      </w:r>
    </w:p>
    <w:p w14:paraId="389797C5"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VIII.</w:t>
      </w:r>
      <w:r w:rsidRPr="001672EA">
        <w:rPr>
          <w:rFonts w:ascii="Palatino Linotype" w:hAnsi="Palatino Linotype"/>
          <w:i/>
          <w:color w:val="000000" w:themeColor="text1"/>
          <w:sz w:val="22"/>
        </w:rPr>
        <w:t xml:space="preserve"> Vulnere la conducción de los expedientes judiciales o de los procedimientos administrativos seguidos en forma de juicio, en tanto no hayan quedado firmes; </w:t>
      </w:r>
    </w:p>
    <w:p w14:paraId="42640443"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IX.</w:t>
      </w:r>
      <w:r w:rsidRPr="001672EA">
        <w:rPr>
          <w:rFonts w:ascii="Palatino Linotype" w:hAnsi="Palatino Linotype"/>
          <w:i/>
          <w:color w:val="000000" w:themeColor="text1"/>
          <w:sz w:val="22"/>
        </w:rPr>
        <w:t xml:space="preserve"> Se encuentre contenida dentro de las investigaciones de hechos que la Ley señale como delitos y se tramiten ante el Ministerio Público; </w:t>
      </w:r>
    </w:p>
    <w:p w14:paraId="4919EC84" w14:textId="77777777"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lastRenderedPageBreak/>
        <w:t>X.</w:t>
      </w:r>
      <w:r w:rsidRPr="001672EA">
        <w:rPr>
          <w:rFonts w:ascii="Palatino Linotype" w:hAnsi="Palatino Linotype"/>
          <w:i/>
          <w:color w:val="000000" w:themeColor="text1"/>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6700E1A8" w14:textId="02935E78" w:rsidR="00372C08" w:rsidRPr="001672EA" w:rsidRDefault="00372C08" w:rsidP="00372C0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672EA">
        <w:rPr>
          <w:rFonts w:ascii="Palatino Linotype" w:hAnsi="Palatino Linotype"/>
          <w:b/>
          <w:i/>
          <w:color w:val="000000" w:themeColor="text1"/>
          <w:sz w:val="22"/>
        </w:rPr>
        <w:t>XI.</w:t>
      </w:r>
      <w:r w:rsidRPr="001672EA">
        <w:rPr>
          <w:rFonts w:ascii="Palatino Linotype" w:hAnsi="Palatino Linotype"/>
          <w:i/>
          <w:color w:val="000000" w:themeColor="text1"/>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27DDE391" w14:textId="77777777" w:rsidR="00372C08" w:rsidRPr="001672EA" w:rsidRDefault="00372C08"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2FF95FEE" w14:textId="3CABD6DA" w:rsidR="00613B74" w:rsidRPr="001672EA" w:rsidRDefault="00372C08"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Por su parte, los</w:t>
      </w:r>
      <w:r w:rsidR="00613B74" w:rsidRPr="001672EA">
        <w:rPr>
          <w:rFonts w:ascii="Palatino Linotype" w:hAnsi="Palatino Linotype"/>
          <w:color w:val="000000" w:themeColor="text1"/>
        </w:rPr>
        <w:t xml:space="preserve"> </w:t>
      </w:r>
      <w:r w:rsidR="00613B74" w:rsidRPr="001672EA">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0CE2079A" w14:textId="77777777" w:rsidR="00613B74" w:rsidRPr="001672EA" w:rsidRDefault="00613B74" w:rsidP="00613B74">
      <w:pPr>
        <w:pStyle w:val="Prrafodelista"/>
        <w:tabs>
          <w:tab w:val="left" w:pos="426"/>
        </w:tabs>
        <w:spacing w:before="240" w:line="360" w:lineRule="auto"/>
        <w:ind w:left="0" w:right="51"/>
        <w:jc w:val="both"/>
        <w:rPr>
          <w:rFonts w:ascii="Palatino Linotype" w:hAnsi="Palatino Linotype"/>
          <w:color w:val="000000" w:themeColor="text1"/>
        </w:rPr>
      </w:pPr>
    </w:p>
    <w:p w14:paraId="564A6620" w14:textId="77777777" w:rsidR="00613B74" w:rsidRPr="001672EA" w:rsidRDefault="00613B74" w:rsidP="00613B7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1672EA">
        <w:rPr>
          <w:rFonts w:ascii="Palatino Linotype" w:hAnsi="Palatino Linotype" w:cs="Bookman Old Style"/>
          <w:bCs/>
          <w:i/>
          <w:color w:val="000000"/>
          <w:sz w:val="22"/>
          <w:szCs w:val="22"/>
        </w:rPr>
        <w:t>“</w:t>
      </w:r>
      <w:r w:rsidRPr="001672EA">
        <w:rPr>
          <w:rFonts w:ascii="Palatino Linotype" w:hAnsi="Palatino Linotype" w:cs="Bookman Old Style"/>
          <w:b/>
          <w:i/>
          <w:color w:val="000000"/>
          <w:sz w:val="22"/>
          <w:szCs w:val="22"/>
        </w:rPr>
        <w:t>I.</w:t>
      </w:r>
      <w:r w:rsidRPr="001672EA">
        <w:rPr>
          <w:rFonts w:ascii="Palatino Linotype" w:hAnsi="Palatino Linotype" w:cs="Bookman Old Style"/>
          <w:bCs/>
          <w:i/>
          <w:color w:val="000000"/>
          <w:sz w:val="22"/>
          <w:szCs w:val="22"/>
        </w:rPr>
        <w:t xml:space="preserve"> </w:t>
      </w:r>
      <w:r w:rsidRPr="001672EA">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7F3CC8E4" w14:textId="77777777" w:rsidR="00613B74" w:rsidRPr="001672EA" w:rsidRDefault="00613B74" w:rsidP="00613B7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1672EA">
        <w:rPr>
          <w:rFonts w:ascii="Palatino Linotype" w:hAnsi="Palatino Linotype" w:cs="Bookman Old Style"/>
          <w:b/>
          <w:i/>
          <w:color w:val="000000"/>
          <w:sz w:val="22"/>
          <w:szCs w:val="22"/>
        </w:rPr>
        <w:t>II.</w:t>
      </w:r>
      <w:r w:rsidRPr="001672EA">
        <w:rPr>
          <w:rFonts w:ascii="Palatino Linotype" w:hAnsi="Palatino Linotype" w:cs="Bookman Old Style"/>
          <w:bCs/>
          <w:i/>
          <w:color w:val="000000"/>
          <w:sz w:val="22"/>
          <w:szCs w:val="22"/>
        </w:rPr>
        <w:t xml:space="preserve"> </w:t>
      </w:r>
      <w:r w:rsidRPr="001672EA">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9F3C8EA" w14:textId="77777777" w:rsidR="00613B74" w:rsidRPr="001672EA" w:rsidRDefault="00613B74" w:rsidP="00613B7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1672EA">
        <w:rPr>
          <w:rFonts w:ascii="Palatino Linotype" w:hAnsi="Palatino Linotype" w:cs="Bookman Old Style"/>
          <w:b/>
          <w:i/>
          <w:color w:val="000000"/>
          <w:sz w:val="22"/>
          <w:szCs w:val="22"/>
        </w:rPr>
        <w:t>III.</w:t>
      </w:r>
      <w:r w:rsidRPr="001672EA">
        <w:rPr>
          <w:rFonts w:ascii="Palatino Linotype" w:hAnsi="Palatino Linotype" w:cs="Bookman Old Style"/>
          <w:bCs/>
          <w:i/>
          <w:color w:val="000000"/>
          <w:sz w:val="22"/>
          <w:szCs w:val="22"/>
        </w:rPr>
        <w:t xml:space="preserve"> </w:t>
      </w:r>
      <w:r w:rsidRPr="001672EA">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786F9D09" w14:textId="77777777" w:rsidR="00613B74" w:rsidRPr="001672EA" w:rsidRDefault="00613B74" w:rsidP="00613B7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1672EA">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6CE84EEA" w14:textId="77777777" w:rsidR="00613B74" w:rsidRPr="001672EA" w:rsidRDefault="00613B74" w:rsidP="00613B74">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1672EA">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27284F89"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507FFD3B"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eastAsia="Palatino Linotype" w:hAnsi="Palatino Linotype" w:cs="Palatino Linotype"/>
          <w:color w:val="000000"/>
        </w:rPr>
        <w:t xml:space="preserve">Mientras </w:t>
      </w:r>
      <w:r w:rsidRPr="001672EA">
        <w:rPr>
          <w:rFonts w:ascii="Palatino Linotype" w:eastAsia="MS Mincho" w:hAnsi="Palatino Linotype" w:cs="Times New Roman"/>
        </w:rPr>
        <w:t xml:space="preserve">que los artículos 130 y 105 de la Ley Estatal y de la Ley General, respectivamente, señalan que la aplicación de estos supuestos debe de realizarse de manera restrictiva y limitada, por lo que debe acreditarse que se cumple con esta </w:t>
      </w:r>
      <w:r w:rsidRPr="001672EA">
        <w:rPr>
          <w:rFonts w:ascii="Palatino Linotype" w:eastAsia="MS Mincho" w:hAnsi="Palatino Linotype" w:cs="Times New Roman"/>
        </w:rPr>
        <w:lastRenderedPageBreak/>
        <w:t>condición y no se pueden ampliar las excepciones o supuestos de clasificación aduciendo analogía o mayoría de razón.</w:t>
      </w:r>
    </w:p>
    <w:p w14:paraId="59229EB1"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202ED979"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Como </w:t>
      </w:r>
      <w:r w:rsidRPr="001672EA">
        <w:rPr>
          <w:rFonts w:ascii="Palatino Linotype" w:eastAsia="MS Mincho" w:hAnsi="Palatino Linotype" w:cs="Times New Roman"/>
        </w:rPr>
        <w:t xml:space="preserve">consecuencia de lo anterior, el </w:t>
      </w:r>
      <w:r w:rsidRPr="001672EA">
        <w:rPr>
          <w:rFonts w:ascii="Palatino Linotype" w:eastAsia="MS Mincho" w:hAnsi="Palatino Linotype" w:cs="Times New Roman"/>
          <w:b/>
          <w:bCs/>
        </w:rPr>
        <w:t>SUJETO OBLIGADO</w:t>
      </w:r>
      <w:r w:rsidRPr="001672EA">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4059C362"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4EA96AEE"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Al </w:t>
      </w:r>
      <w:r w:rsidRPr="001672EA">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54780E9E" w14:textId="77777777" w:rsidR="00613B74" w:rsidRPr="001672EA" w:rsidRDefault="00613B74" w:rsidP="00613B74">
      <w:pPr>
        <w:pStyle w:val="Prrafodelista"/>
        <w:tabs>
          <w:tab w:val="left" w:pos="426"/>
        </w:tabs>
        <w:spacing w:before="240" w:line="360" w:lineRule="auto"/>
        <w:ind w:left="0" w:right="51"/>
        <w:jc w:val="both"/>
        <w:rPr>
          <w:rFonts w:ascii="Palatino Linotype" w:hAnsi="Palatino Linotype"/>
          <w:color w:val="000000" w:themeColor="text1"/>
        </w:rPr>
      </w:pPr>
    </w:p>
    <w:p w14:paraId="1CD59B4B"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i/>
          <w:sz w:val="22"/>
          <w:szCs w:val="22"/>
        </w:rPr>
        <w:t>“</w:t>
      </w:r>
      <w:r w:rsidRPr="001672EA">
        <w:rPr>
          <w:rFonts w:ascii="Palatino Linotype" w:hAnsi="Palatino Linotype" w:cs="Arial"/>
          <w:b/>
          <w:i/>
          <w:sz w:val="22"/>
          <w:szCs w:val="22"/>
        </w:rPr>
        <w:t>Quincuagésimo.</w:t>
      </w:r>
      <w:r w:rsidRPr="001672EA">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9B34232"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CFF499C"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i/>
          <w:sz w:val="22"/>
          <w:szCs w:val="22"/>
        </w:rPr>
        <w:t>Quincuagésimo primero.</w:t>
      </w:r>
      <w:r w:rsidRPr="001672EA">
        <w:rPr>
          <w:rFonts w:ascii="Palatino Linotype" w:hAnsi="Palatino Linotype" w:cs="Arial"/>
          <w:i/>
          <w:sz w:val="22"/>
          <w:szCs w:val="22"/>
        </w:rPr>
        <w:t xml:space="preserve"> La leyenda en los documentos clasificados indicará:</w:t>
      </w:r>
    </w:p>
    <w:p w14:paraId="68B7D084"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bCs/>
          <w:i/>
          <w:sz w:val="22"/>
          <w:szCs w:val="22"/>
        </w:rPr>
        <w:t>I.</w:t>
      </w:r>
      <w:r w:rsidRPr="001672EA">
        <w:rPr>
          <w:rFonts w:ascii="Palatino Linotype" w:hAnsi="Palatino Linotype" w:cs="Arial"/>
          <w:i/>
          <w:sz w:val="22"/>
          <w:szCs w:val="22"/>
        </w:rPr>
        <w:t xml:space="preserve"> La fecha de sesión del Comité de Transparencia en donde se confirmó la clasificación, en su caso;</w:t>
      </w:r>
    </w:p>
    <w:p w14:paraId="6EC7590D"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bCs/>
          <w:i/>
          <w:sz w:val="22"/>
          <w:szCs w:val="22"/>
        </w:rPr>
        <w:t>II.</w:t>
      </w:r>
      <w:r w:rsidRPr="001672EA">
        <w:rPr>
          <w:rFonts w:ascii="Palatino Linotype" w:hAnsi="Palatino Linotype" w:cs="Arial"/>
          <w:i/>
          <w:sz w:val="22"/>
          <w:szCs w:val="22"/>
        </w:rPr>
        <w:t xml:space="preserve"> El nombre del área;</w:t>
      </w:r>
    </w:p>
    <w:p w14:paraId="70B046A6"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bCs/>
          <w:i/>
          <w:sz w:val="22"/>
          <w:szCs w:val="22"/>
        </w:rPr>
        <w:t>III.</w:t>
      </w:r>
      <w:r w:rsidRPr="001672EA">
        <w:rPr>
          <w:rFonts w:ascii="Palatino Linotype" w:hAnsi="Palatino Linotype" w:cs="Arial"/>
          <w:i/>
          <w:sz w:val="22"/>
          <w:szCs w:val="22"/>
        </w:rPr>
        <w:t xml:space="preserve"> La palabra reservado o confidencial;</w:t>
      </w:r>
    </w:p>
    <w:p w14:paraId="3593431E"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bCs/>
          <w:i/>
          <w:sz w:val="22"/>
          <w:szCs w:val="22"/>
        </w:rPr>
        <w:t>IV.</w:t>
      </w:r>
      <w:r w:rsidRPr="001672EA">
        <w:rPr>
          <w:rFonts w:ascii="Palatino Linotype" w:hAnsi="Palatino Linotype" w:cs="Arial"/>
          <w:i/>
          <w:sz w:val="22"/>
          <w:szCs w:val="22"/>
        </w:rPr>
        <w:t xml:space="preserve"> Las partes o secciones reservadas o confidenciales, en su caso;</w:t>
      </w:r>
    </w:p>
    <w:p w14:paraId="6D82B6A1"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bCs/>
          <w:i/>
          <w:sz w:val="22"/>
          <w:szCs w:val="22"/>
        </w:rPr>
        <w:t>V.</w:t>
      </w:r>
      <w:r w:rsidRPr="001672EA">
        <w:rPr>
          <w:rFonts w:ascii="Palatino Linotype" w:hAnsi="Palatino Linotype" w:cs="Arial"/>
          <w:i/>
          <w:sz w:val="22"/>
          <w:szCs w:val="22"/>
        </w:rPr>
        <w:t xml:space="preserve"> El fundamento legal;</w:t>
      </w:r>
    </w:p>
    <w:p w14:paraId="4AA52B6F"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bCs/>
          <w:i/>
          <w:sz w:val="22"/>
          <w:szCs w:val="22"/>
        </w:rPr>
        <w:t>VI.</w:t>
      </w:r>
      <w:r w:rsidRPr="001672EA">
        <w:rPr>
          <w:rFonts w:ascii="Palatino Linotype" w:hAnsi="Palatino Linotype" w:cs="Arial"/>
          <w:i/>
          <w:sz w:val="22"/>
          <w:szCs w:val="22"/>
        </w:rPr>
        <w:t xml:space="preserve"> El periodo de reserva, y</w:t>
      </w:r>
    </w:p>
    <w:p w14:paraId="3D801F5C"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bCs/>
          <w:i/>
          <w:sz w:val="22"/>
          <w:szCs w:val="22"/>
        </w:rPr>
        <w:t>VII.</w:t>
      </w:r>
      <w:r w:rsidRPr="001672EA">
        <w:rPr>
          <w:rFonts w:ascii="Palatino Linotype" w:hAnsi="Palatino Linotype" w:cs="Arial"/>
          <w:i/>
          <w:sz w:val="22"/>
          <w:szCs w:val="22"/>
        </w:rPr>
        <w:t xml:space="preserve"> La rúbrica del titular del área.</w:t>
      </w:r>
    </w:p>
    <w:p w14:paraId="773FE4AF"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9350CBA"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i/>
          <w:sz w:val="22"/>
          <w:szCs w:val="22"/>
        </w:rPr>
        <w:t>Quincuagésimo segundo.</w:t>
      </w:r>
      <w:r w:rsidRPr="001672EA">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33361EDA"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i/>
          <w:sz w:val="22"/>
          <w:szCs w:val="22"/>
        </w:rPr>
        <w:lastRenderedPageBreak/>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E4A5E86"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618FF8A" w14:textId="77777777" w:rsidR="00613B74" w:rsidRPr="001672EA" w:rsidRDefault="00613B74" w:rsidP="00613B7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672EA">
        <w:rPr>
          <w:rFonts w:ascii="Palatino Linotype" w:hAnsi="Palatino Linotype" w:cs="Arial"/>
          <w:b/>
          <w:i/>
          <w:sz w:val="22"/>
          <w:szCs w:val="22"/>
        </w:rPr>
        <w:t>Quincuagésimo tercero.</w:t>
      </w:r>
      <w:r w:rsidRPr="001672EA">
        <w:rPr>
          <w:rFonts w:ascii="Palatino Linotype" w:hAnsi="Palatino Linotype" w:cs="Arial"/>
          <w:i/>
          <w:sz w:val="22"/>
          <w:szCs w:val="22"/>
        </w:rPr>
        <w:t xml:space="preserve"> El formato para señalar la clasificación parcial de un documento, es el siguiente:</w:t>
      </w:r>
    </w:p>
    <w:p w14:paraId="48102833" w14:textId="77777777" w:rsidR="00613B74" w:rsidRPr="001672EA" w:rsidRDefault="00613B74" w:rsidP="00613B74">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1672EA">
        <w:rPr>
          <w:rFonts w:ascii="Palatino Linotype" w:hAnsi="Palatino Linotype" w:cs="Arial"/>
          <w:i/>
          <w:noProof/>
          <w:lang w:eastAsia="es-MX"/>
        </w:rPr>
        <w:drawing>
          <wp:inline distT="0" distB="0" distL="0" distR="0" wp14:anchorId="0539FF02" wp14:editId="1CF8B497">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E308EA"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56D9D16C"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eastAsia="Palatino Linotype" w:hAnsi="Palatino Linotype" w:cs="Palatino Linotype"/>
          <w:color w:val="000000"/>
        </w:rPr>
        <w:t xml:space="preserve">Una </w:t>
      </w:r>
      <w:r w:rsidRPr="001672EA">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7D4402F5"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35327255" w14:textId="77777777" w:rsidR="00613B74" w:rsidRPr="001672EA" w:rsidRDefault="00613B74" w:rsidP="00613B7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672EA">
        <w:rPr>
          <w:rFonts w:ascii="Palatino Linotype" w:hAnsi="Palatino Linotype"/>
          <w:b/>
          <w:color w:val="000000" w:themeColor="text1"/>
        </w:rPr>
        <w:t>III. La intervención del Comité de Transparencia.</w:t>
      </w:r>
    </w:p>
    <w:p w14:paraId="6B58EE22"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b/>
          <w:color w:val="000000" w:themeColor="text1"/>
        </w:rPr>
      </w:pPr>
      <w:r w:rsidRPr="001672EA">
        <w:rPr>
          <w:rFonts w:ascii="Palatino Linotype" w:hAnsi="Palatino Linotype"/>
          <w:b/>
          <w:color w:val="000000" w:themeColor="text1"/>
        </w:rPr>
        <w:t>a) Formalidades para emitir el Acuerdo de Clasificación.</w:t>
      </w:r>
    </w:p>
    <w:p w14:paraId="4DB48497"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214F609C"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El </w:t>
      </w:r>
      <w:r w:rsidRPr="001672EA">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D3A0CA5"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37041D30"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Evidentemente, </w:t>
      </w:r>
      <w:r w:rsidRPr="001672EA">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E08F08"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48DC0284"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lastRenderedPageBreak/>
        <w:t xml:space="preserve">La </w:t>
      </w:r>
      <w:r w:rsidRPr="001672EA">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B596F46"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710EAACA"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b/>
          <w:color w:val="000000" w:themeColor="text1"/>
        </w:rPr>
      </w:pPr>
      <w:r w:rsidRPr="001672EA">
        <w:rPr>
          <w:rFonts w:ascii="Palatino Linotype" w:hAnsi="Palatino Linotype"/>
          <w:b/>
          <w:color w:val="000000" w:themeColor="text1"/>
        </w:rPr>
        <w:t>b) Requisitos de fondo del Acuerdo de Clasificación.</w:t>
      </w:r>
    </w:p>
    <w:p w14:paraId="5ABB09D5"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5475135C"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Como </w:t>
      </w:r>
      <w:r w:rsidRPr="001672EA">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A74883D"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539B6181"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De </w:t>
      </w:r>
      <w:r w:rsidRPr="001672EA">
        <w:rPr>
          <w:rFonts w:ascii="Palatino Linotype" w:eastAsia="MS Mincho" w:hAnsi="Palatino Linotype" w:cs="Times New Roman"/>
        </w:rPr>
        <w:t xml:space="preserve">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1672EA">
        <w:rPr>
          <w:rFonts w:ascii="Palatino Linotype" w:eastAsia="MS Mincho" w:hAnsi="Palatino Linotype" w:cs="Times New Roman"/>
        </w:rPr>
        <w:lastRenderedPageBreak/>
        <w:t>fundamentos legales que le dieron origen y las razones por las que se deben aplicar al caso concreto.</w:t>
      </w:r>
    </w:p>
    <w:p w14:paraId="0AF8676F"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76A4D16E"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Han </w:t>
      </w:r>
      <w:r w:rsidRPr="001672EA">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1672EA">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1672EA">
        <w:rPr>
          <w:rFonts w:ascii="Palatino Linotype" w:eastAsia="MS Mincho" w:hAnsi="Palatino Linotype" w:cs="Times New Roman"/>
        </w:rPr>
        <w:t>.</w:t>
      </w:r>
    </w:p>
    <w:p w14:paraId="2C036D70"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1A8A1A90"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Por </w:t>
      </w:r>
      <w:r w:rsidRPr="001672EA">
        <w:rPr>
          <w:rFonts w:ascii="Palatino Linotype" w:eastAsia="MS Mincho" w:hAnsi="Palatino Linotype" w:cs="Times New Roman"/>
        </w:rPr>
        <w:t>su parte, el intérprete judicial del país ha establecido una jurisprudencia</w:t>
      </w:r>
      <w:r w:rsidRPr="001672EA">
        <w:rPr>
          <w:rStyle w:val="Refdenotaalpie"/>
          <w:rFonts w:ascii="Palatino Linotype" w:eastAsia="MS Mincho" w:hAnsi="Palatino Linotype" w:cs="Times New Roman"/>
        </w:rPr>
        <w:footnoteReference w:id="30"/>
      </w:r>
      <w:r w:rsidRPr="001672EA">
        <w:rPr>
          <w:rFonts w:ascii="Palatino Linotype" w:eastAsia="MS Mincho" w:hAnsi="Palatino Linotype" w:cs="Times New Roman"/>
        </w:rPr>
        <w:t xml:space="preserve"> respecto a qué debe entenderse por fundamentación y motivación, en los siguientes términos:</w:t>
      </w:r>
    </w:p>
    <w:p w14:paraId="3F29B49E" w14:textId="77777777" w:rsidR="00613B74" w:rsidRPr="001672EA" w:rsidRDefault="00613B74" w:rsidP="00613B74">
      <w:pPr>
        <w:pStyle w:val="Prrafodelista"/>
        <w:tabs>
          <w:tab w:val="left" w:pos="426"/>
        </w:tabs>
        <w:spacing w:before="240" w:line="360" w:lineRule="auto"/>
        <w:ind w:left="0" w:right="51"/>
        <w:jc w:val="both"/>
        <w:rPr>
          <w:rFonts w:ascii="Palatino Linotype" w:hAnsi="Palatino Linotype"/>
          <w:color w:val="000000" w:themeColor="text1"/>
        </w:rPr>
      </w:pPr>
    </w:p>
    <w:p w14:paraId="3E02F4FB" w14:textId="77777777" w:rsidR="00613B74" w:rsidRPr="001672EA" w:rsidRDefault="00613B74" w:rsidP="00613B74">
      <w:pPr>
        <w:spacing w:line="276" w:lineRule="auto"/>
        <w:ind w:left="567" w:right="567"/>
        <w:contextualSpacing/>
        <w:jc w:val="both"/>
        <w:rPr>
          <w:rFonts w:ascii="Palatino Linotype" w:hAnsi="Palatino Linotype" w:cs="Arial"/>
          <w:i/>
          <w:color w:val="000000"/>
          <w:sz w:val="22"/>
          <w:szCs w:val="22"/>
        </w:rPr>
      </w:pPr>
      <w:r w:rsidRPr="001672EA">
        <w:rPr>
          <w:rFonts w:ascii="Palatino Linotype" w:hAnsi="Palatino Linotype" w:cs="Arial"/>
          <w:b/>
          <w:i/>
          <w:color w:val="000000"/>
          <w:sz w:val="22"/>
          <w:szCs w:val="22"/>
        </w:rPr>
        <w:t>FUNDAMENTACIÓN Y MOTIVACIÓN.</w:t>
      </w:r>
      <w:r w:rsidRPr="001672EA">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27D0406"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61100E8E"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eastAsia="Palatino Linotype" w:hAnsi="Palatino Linotype" w:cs="Palatino Linotype"/>
          <w:color w:val="000000"/>
        </w:rPr>
        <w:lastRenderedPageBreak/>
        <w:t xml:space="preserve">Así, </w:t>
      </w:r>
      <w:r w:rsidRPr="001672EA">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00B3627"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09294479"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En </w:t>
      </w:r>
      <w:r w:rsidRPr="001672EA">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F348251"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6C782548" w14:textId="77777777" w:rsidR="00613B74" w:rsidRPr="001672EA" w:rsidRDefault="00613B74" w:rsidP="00613B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En </w:t>
      </w:r>
      <w:r w:rsidRPr="001672EA">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583B1C69" w14:textId="77777777" w:rsidR="00613B74" w:rsidRPr="001672EA" w:rsidRDefault="00613B74" w:rsidP="00613B74">
      <w:pPr>
        <w:pStyle w:val="Prrafodelista"/>
        <w:tabs>
          <w:tab w:val="left" w:pos="426"/>
        </w:tabs>
        <w:spacing w:before="240" w:after="240" w:line="360" w:lineRule="auto"/>
        <w:ind w:left="0" w:right="51"/>
        <w:jc w:val="both"/>
        <w:rPr>
          <w:rFonts w:ascii="Palatino Linotype" w:hAnsi="Palatino Linotype"/>
          <w:color w:val="000000" w:themeColor="text1"/>
        </w:rPr>
      </w:pPr>
    </w:p>
    <w:p w14:paraId="6EABC19C" w14:textId="16E3BD55" w:rsidR="00E37D0C" w:rsidRPr="001672EA" w:rsidRDefault="00613B74" w:rsidP="001B5A5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Otro </w:t>
      </w:r>
      <w:r w:rsidRPr="001672EA">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F2BCDD2" w14:textId="77777777" w:rsidR="00E37D0C" w:rsidRPr="001672EA" w:rsidRDefault="00E37D0C" w:rsidP="00E37D0C">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775D1A82" w:rsidR="00C65875" w:rsidRPr="001672EA" w:rsidRDefault="001F0379"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1672EA">
        <w:rPr>
          <w:rFonts w:ascii="Palatino Linotype" w:hAnsi="Palatino Linotype" w:cs="Arial"/>
          <w:b/>
          <w:bCs/>
          <w:lang w:eastAsia="es-MX"/>
        </w:rPr>
        <w:t>SEXTO</w:t>
      </w:r>
      <w:r w:rsidR="00C65875" w:rsidRPr="001672EA">
        <w:rPr>
          <w:rFonts w:ascii="Palatino Linotype" w:hAnsi="Palatino Linotype" w:cs="Arial"/>
          <w:b/>
          <w:bCs/>
          <w:lang w:eastAsia="es-MX"/>
        </w:rPr>
        <w:t>. Decisión.</w:t>
      </w:r>
    </w:p>
    <w:p w14:paraId="462AEDDB" w14:textId="77777777" w:rsidR="00C65875" w:rsidRPr="001672EA"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3FED9F60" w:rsidR="00C65875" w:rsidRPr="001672EA" w:rsidRDefault="00372C08"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s="Arial"/>
          <w:lang w:eastAsia="es-MX"/>
        </w:rPr>
        <w:t xml:space="preserve">Dentro del estudio del asunto, se confirmó la justificación de la Dirección de Obra Pública para no contar con información anterior al dos mil diecisiete; sin </w:t>
      </w:r>
      <w:r w:rsidRPr="001672EA">
        <w:rPr>
          <w:rFonts w:ascii="Palatino Linotype" w:hAnsi="Palatino Linotype" w:cs="Arial"/>
          <w:lang w:eastAsia="es-MX"/>
        </w:rPr>
        <w:lastRenderedPageBreak/>
        <w:t xml:space="preserve">embargo, también se estableció la obligación del ayuntamiento de contar con un registro y control preciso sobre la disposición final de sus documentos, sea porque éstos hayan sido dados de baja por concluir su ciclo de vida administrativa, o bien, se hayan transferido al Archivo Histórico Municipal. Por lo tanto, se ordenó una nueva búsqueda de la información en todas las áreas que, por la naturaleza de sus funciones, pudieran contar con lo solicitado, a fin de entregar la información faltante al </w:t>
      </w:r>
      <w:r w:rsidRPr="001672EA">
        <w:rPr>
          <w:rFonts w:ascii="Palatino Linotype" w:hAnsi="Palatino Linotype" w:cs="Arial"/>
          <w:b/>
          <w:lang w:eastAsia="es-MX"/>
        </w:rPr>
        <w:t>RECURRENTE</w:t>
      </w:r>
      <w:r w:rsidRPr="001672EA">
        <w:rPr>
          <w:rFonts w:ascii="Palatino Linotype" w:hAnsi="Palatino Linotype" w:cs="Arial"/>
          <w:lang w:eastAsia="es-MX"/>
        </w:rPr>
        <w:t xml:space="preserve"> y, de ser el caso que la información haya sido dado de baja por motivos de disposición documental, se entregue el documento que certifique su </w:t>
      </w:r>
      <w:r w:rsidR="00AA4F6D" w:rsidRPr="001672EA">
        <w:rPr>
          <w:rFonts w:ascii="Palatino Linotype" w:hAnsi="Palatino Linotype" w:cs="Arial"/>
          <w:lang w:eastAsia="es-MX"/>
        </w:rPr>
        <w:t>eliminación o transferencia al archivo histórico.</w:t>
      </w:r>
    </w:p>
    <w:p w14:paraId="53A0C7F3" w14:textId="77777777" w:rsidR="00E62DCB" w:rsidRPr="001672EA"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423166E6" w:rsidR="00F01443" w:rsidRPr="001672EA"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eastAsia="MS Mincho" w:hAnsi="Palatino Linotype" w:cstheme="majorBidi"/>
        </w:rPr>
        <w:t>Por lo tanto, e</w:t>
      </w:r>
      <w:r w:rsidR="003E6079" w:rsidRPr="001672EA">
        <w:rPr>
          <w:rFonts w:ascii="Palatino Linotype" w:eastAsia="MS Mincho" w:hAnsi="Palatino Linotype" w:cstheme="majorBidi"/>
        </w:rPr>
        <w:t>n consecuencia y en mérito de lo expuesto en líneas anteriores, resultan</w:t>
      </w:r>
      <w:r w:rsidR="00FB5B03" w:rsidRPr="001672EA">
        <w:rPr>
          <w:rFonts w:ascii="Palatino Linotype" w:eastAsia="MS Mincho" w:hAnsi="Palatino Linotype" w:cstheme="majorBidi"/>
        </w:rPr>
        <w:t xml:space="preserve"> </w:t>
      </w:r>
      <w:r w:rsidR="003E6079" w:rsidRPr="001672EA">
        <w:rPr>
          <w:rFonts w:ascii="Palatino Linotype" w:eastAsia="MS Mincho" w:hAnsi="Palatino Linotype" w:cstheme="majorBidi"/>
        </w:rPr>
        <w:t xml:space="preserve">fundadas las razones o motivos de inconformidad hechos valer por </w:t>
      </w:r>
      <w:r w:rsidR="00650C79" w:rsidRPr="001672EA">
        <w:rPr>
          <w:rFonts w:ascii="Palatino Linotype" w:eastAsia="MS Mincho" w:hAnsi="Palatino Linotype" w:cstheme="majorBidi"/>
        </w:rPr>
        <w:t>el</w:t>
      </w:r>
      <w:r w:rsidR="003E6079" w:rsidRPr="001672EA">
        <w:rPr>
          <w:rFonts w:ascii="Palatino Linotype" w:eastAsia="MS Mincho" w:hAnsi="Palatino Linotype" w:cstheme="majorBidi"/>
        </w:rPr>
        <w:t xml:space="preserve"> </w:t>
      </w:r>
      <w:r w:rsidR="003E6079" w:rsidRPr="001672EA">
        <w:rPr>
          <w:rFonts w:ascii="Palatino Linotype" w:eastAsia="MS Mincho" w:hAnsi="Palatino Linotype" w:cstheme="majorBidi"/>
          <w:b/>
        </w:rPr>
        <w:t>RECURRENTE</w:t>
      </w:r>
      <w:r w:rsidR="003E6079" w:rsidRPr="001672EA">
        <w:rPr>
          <w:rFonts w:ascii="Palatino Linotype" w:eastAsia="MS Mincho" w:hAnsi="Palatino Linotype" w:cstheme="majorBidi"/>
        </w:rPr>
        <w:t xml:space="preserve"> dentro del recurso de revisión </w:t>
      </w:r>
      <w:r w:rsidR="001A0B3A" w:rsidRPr="001672EA">
        <w:rPr>
          <w:rFonts w:ascii="Palatino Linotype" w:eastAsia="MS Mincho" w:hAnsi="Palatino Linotype" w:cstheme="majorBidi"/>
          <w:b/>
          <w:bCs/>
        </w:rPr>
        <w:t>08723/INFOEM/IP/RR/2022</w:t>
      </w:r>
      <w:r w:rsidR="003E6079" w:rsidRPr="001672EA">
        <w:rPr>
          <w:rFonts w:ascii="Palatino Linotype" w:eastAsia="MS Mincho" w:hAnsi="Palatino Linotype" w:cstheme="majorBidi"/>
        </w:rPr>
        <w:t xml:space="preserve">; por ello, y con fundamento en la fracción </w:t>
      </w:r>
      <w:r w:rsidR="00743CAC" w:rsidRPr="001672EA">
        <w:rPr>
          <w:rFonts w:ascii="Palatino Linotype" w:eastAsia="MS Mincho" w:hAnsi="Palatino Linotype" w:cstheme="majorBidi"/>
        </w:rPr>
        <w:t>I</w:t>
      </w:r>
      <w:r w:rsidR="003E6079" w:rsidRPr="001672EA">
        <w:rPr>
          <w:rFonts w:ascii="Palatino Linotype" w:eastAsia="MS Mincho" w:hAnsi="Palatino Linotype" w:cstheme="majorBidi"/>
        </w:rPr>
        <w:t xml:space="preserve">II del numeral 186 de la Ley de Transparencia y Acceso a la Información Pública del Estado de México y Municipios, se </w:t>
      </w:r>
      <w:r w:rsidR="00AA4F6D" w:rsidRPr="001672EA">
        <w:rPr>
          <w:rFonts w:ascii="Palatino Linotype" w:eastAsia="MS Mincho" w:hAnsi="Palatino Linotype" w:cstheme="majorBidi"/>
          <w:b/>
        </w:rPr>
        <w:t>MODIFICA</w:t>
      </w:r>
      <w:r w:rsidR="003E6079" w:rsidRPr="001672EA">
        <w:rPr>
          <w:rFonts w:ascii="Palatino Linotype" w:eastAsia="MS Mincho" w:hAnsi="Palatino Linotype" w:cstheme="majorBidi"/>
        </w:rPr>
        <w:t xml:space="preserve"> la respuesta a l</w:t>
      </w:r>
      <w:r w:rsidRPr="001672EA">
        <w:rPr>
          <w:rFonts w:ascii="Palatino Linotype" w:eastAsia="MS Mincho" w:hAnsi="Palatino Linotype" w:cstheme="majorBidi"/>
        </w:rPr>
        <w:t>a</w:t>
      </w:r>
      <w:r w:rsidR="003E6079" w:rsidRPr="001672EA">
        <w:rPr>
          <w:rFonts w:ascii="Palatino Linotype" w:eastAsia="MS Mincho" w:hAnsi="Palatino Linotype" w:cstheme="majorBidi"/>
        </w:rPr>
        <w:t xml:space="preserve"> solicitud de información número </w:t>
      </w:r>
      <w:r w:rsidR="001A0B3A" w:rsidRPr="001672EA">
        <w:rPr>
          <w:rFonts w:ascii="Palatino Linotype" w:eastAsia="MS Mincho" w:hAnsi="Palatino Linotype" w:cstheme="majorBidi"/>
          <w:b/>
        </w:rPr>
        <w:t>00224/TEXCOCO/IP/2022</w:t>
      </w:r>
      <w:r w:rsidR="003E6079" w:rsidRPr="001672EA">
        <w:rPr>
          <w:rFonts w:ascii="Palatino Linotype" w:eastAsia="MS Mincho" w:hAnsi="Palatino Linotype" w:cstheme="majorBidi"/>
        </w:rPr>
        <w:t>.</w:t>
      </w:r>
    </w:p>
    <w:p w14:paraId="370E910A" w14:textId="77777777" w:rsidR="00F01443" w:rsidRPr="001672EA"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19E73914" w:rsidR="0060789B" w:rsidRPr="001672EA"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672EA">
        <w:rPr>
          <w:rFonts w:ascii="Palatino Linotype" w:hAnsi="Palatino Linotype"/>
          <w:color w:val="000000" w:themeColor="text1"/>
        </w:rPr>
        <w:t xml:space="preserve">Por </w:t>
      </w:r>
      <w:r w:rsidR="00B41516" w:rsidRPr="001672EA">
        <w:rPr>
          <w:rFonts w:ascii="Palatino Linotype" w:hAnsi="Palatino Linotype"/>
          <w:color w:val="000000" w:themeColor="text1"/>
        </w:rPr>
        <w:t xml:space="preserve">lo anteriormente expuesto y fundado, </w:t>
      </w:r>
      <w:r w:rsidR="003E6079" w:rsidRPr="001672EA">
        <w:rPr>
          <w:rFonts w:ascii="Palatino Linotype" w:hAnsi="Palatino Linotype"/>
          <w:color w:val="000000" w:themeColor="text1"/>
        </w:rPr>
        <w:t>e</w:t>
      </w:r>
      <w:r w:rsidR="00B41516" w:rsidRPr="001672EA">
        <w:rPr>
          <w:rFonts w:ascii="Palatino Linotype" w:hAnsi="Palatino Linotype"/>
          <w:color w:val="000000" w:themeColor="text1"/>
        </w:rPr>
        <w:t xml:space="preserve">ste </w:t>
      </w:r>
      <w:r w:rsidR="00B41516" w:rsidRPr="001672EA">
        <w:rPr>
          <w:rFonts w:ascii="Palatino Linotype" w:hAnsi="Palatino Linotype"/>
          <w:b/>
          <w:color w:val="000000" w:themeColor="text1"/>
        </w:rPr>
        <w:t>ÓRGANO GARANTE</w:t>
      </w:r>
      <w:r w:rsidR="00B41516" w:rsidRPr="001672EA">
        <w:rPr>
          <w:rFonts w:ascii="Palatino Linotype" w:hAnsi="Palatino Linotype"/>
          <w:color w:val="000000" w:themeColor="text1"/>
        </w:rPr>
        <w:t xml:space="preserve"> emite los siguientes:</w:t>
      </w:r>
      <w:r w:rsidR="003E6079" w:rsidRPr="001672EA">
        <w:rPr>
          <w:rFonts w:ascii="Palatino Linotype" w:hAnsi="Palatino Linotype"/>
          <w:color w:val="000000" w:themeColor="text1"/>
        </w:rPr>
        <w:t xml:space="preserve"> </w:t>
      </w:r>
      <w:r w:rsidR="00D71057" w:rsidRPr="001672EA">
        <w:rPr>
          <w:rFonts w:ascii="Palatino Linotype" w:hAnsi="Palatino Linotype"/>
          <w:color w:val="000000" w:themeColor="text1"/>
        </w:rPr>
        <w:t>--------------------------------------------------------------------------</w:t>
      </w:r>
      <w:r w:rsidR="00E10AC3" w:rsidRPr="001672EA">
        <w:rPr>
          <w:rFonts w:ascii="Palatino Linotype" w:hAnsi="Palatino Linotype"/>
          <w:color w:val="000000" w:themeColor="text1"/>
        </w:rPr>
        <w:t>-----------------</w:t>
      </w:r>
      <w:r w:rsidR="00895335" w:rsidRPr="001672EA">
        <w:rPr>
          <w:rFonts w:ascii="Palatino Linotype" w:hAnsi="Palatino Linotype"/>
          <w:color w:val="000000" w:themeColor="text1"/>
        </w:rPr>
        <w:t>--</w:t>
      </w:r>
      <w:r w:rsidR="003E6079" w:rsidRPr="001672EA">
        <w:rPr>
          <w:rFonts w:ascii="Palatino Linotype" w:hAnsi="Palatino Linotype"/>
          <w:color w:val="000000" w:themeColor="text1"/>
        </w:rPr>
        <w:t>--</w:t>
      </w:r>
      <w:r w:rsidR="00FC6C3D" w:rsidRPr="001672EA">
        <w:rPr>
          <w:rFonts w:ascii="Palatino Linotype" w:hAnsi="Palatino Linotype"/>
          <w:color w:val="000000" w:themeColor="text1"/>
        </w:rPr>
        <w:t>----------------------------------------</w:t>
      </w:r>
      <w:r w:rsidR="00472A17" w:rsidRPr="001672EA">
        <w:rPr>
          <w:rFonts w:ascii="Palatino Linotype" w:hAnsi="Palatino Linotype"/>
          <w:color w:val="000000" w:themeColor="text1"/>
        </w:rPr>
        <w:t>------------------------------------------------------------------------------------------------------------------------------------------------------------------------</w:t>
      </w:r>
      <w:r w:rsidR="00FC6C3D" w:rsidRPr="001672EA">
        <w:rPr>
          <w:rFonts w:ascii="Palatino Linotype" w:hAnsi="Palatino Linotype"/>
          <w:color w:val="000000" w:themeColor="text1"/>
        </w:rPr>
        <w:t>----------</w:t>
      </w:r>
    </w:p>
    <w:p w14:paraId="568578E6" w14:textId="77777777" w:rsidR="0060789B" w:rsidRPr="001672EA" w:rsidRDefault="0060789B">
      <w:pPr>
        <w:rPr>
          <w:rFonts w:ascii="Palatino Linotype" w:hAnsi="Palatino Linotype"/>
          <w:color w:val="000000" w:themeColor="text1"/>
        </w:rPr>
      </w:pPr>
      <w:r w:rsidRPr="001672EA">
        <w:rPr>
          <w:rFonts w:ascii="Palatino Linotype" w:hAnsi="Palatino Linotype"/>
          <w:color w:val="000000" w:themeColor="text1"/>
        </w:rPr>
        <w:br w:type="page"/>
      </w:r>
    </w:p>
    <w:p w14:paraId="18C7D92B" w14:textId="2E6B88EF" w:rsidR="009959DB" w:rsidRPr="001672EA" w:rsidRDefault="009959DB" w:rsidP="009959DB">
      <w:pPr>
        <w:pStyle w:val="Ttulo1"/>
        <w:spacing w:line="360" w:lineRule="auto"/>
        <w:jc w:val="center"/>
        <w:rPr>
          <w:b/>
          <w:color w:val="000000" w:themeColor="text1"/>
          <w:sz w:val="28"/>
          <w:szCs w:val="24"/>
        </w:rPr>
      </w:pPr>
      <w:bookmarkStart w:id="22" w:name="_Toc495427547"/>
      <w:bookmarkStart w:id="23" w:name="_Toc497905366"/>
      <w:bookmarkStart w:id="24" w:name="_Toc88071791"/>
      <w:r w:rsidRPr="001672EA">
        <w:rPr>
          <w:b/>
          <w:color w:val="000000" w:themeColor="text1"/>
          <w:sz w:val="28"/>
          <w:szCs w:val="24"/>
        </w:rPr>
        <w:lastRenderedPageBreak/>
        <w:t>R E S O L U T I V O S</w:t>
      </w:r>
      <w:bookmarkEnd w:id="20"/>
      <w:bookmarkEnd w:id="21"/>
      <w:bookmarkEnd w:id="22"/>
      <w:bookmarkEnd w:id="23"/>
      <w:bookmarkEnd w:id="24"/>
    </w:p>
    <w:p w14:paraId="2EF2AC2D" w14:textId="77777777" w:rsidR="00A73C04" w:rsidRPr="001672EA" w:rsidRDefault="00A73C04" w:rsidP="002578EE">
      <w:pPr>
        <w:spacing w:line="360" w:lineRule="auto"/>
        <w:jc w:val="both"/>
        <w:rPr>
          <w:rFonts w:ascii="Palatino Linotype" w:eastAsia="Times New Roman" w:hAnsi="Palatino Linotype" w:cs="Arial"/>
          <w:b/>
          <w:sz w:val="28"/>
          <w:szCs w:val="28"/>
        </w:rPr>
      </w:pPr>
    </w:p>
    <w:p w14:paraId="0C435278" w14:textId="4564CB87" w:rsidR="00A73C04" w:rsidRPr="001672EA" w:rsidRDefault="00A73C04" w:rsidP="00A73C04">
      <w:pPr>
        <w:spacing w:line="360" w:lineRule="auto"/>
        <w:jc w:val="both"/>
        <w:rPr>
          <w:rFonts w:ascii="Palatino Linotype" w:eastAsia="Times New Roman" w:hAnsi="Palatino Linotype" w:cs="Times New Roman"/>
        </w:rPr>
      </w:pPr>
      <w:r w:rsidRPr="001672EA">
        <w:rPr>
          <w:rFonts w:ascii="Palatino Linotype" w:eastAsia="Times New Roman" w:hAnsi="Palatino Linotype" w:cs="Arial"/>
          <w:b/>
          <w:sz w:val="28"/>
          <w:szCs w:val="28"/>
        </w:rPr>
        <w:t>PRIMERO</w:t>
      </w:r>
      <w:r w:rsidRPr="001672EA">
        <w:rPr>
          <w:rFonts w:ascii="Palatino Linotype" w:eastAsia="Times New Roman" w:hAnsi="Palatino Linotype" w:cs="Arial"/>
          <w:b/>
        </w:rPr>
        <w:t xml:space="preserve">. </w:t>
      </w:r>
      <w:r w:rsidR="00743CAC" w:rsidRPr="001672EA">
        <w:rPr>
          <w:rFonts w:ascii="Palatino Linotype" w:eastAsia="Times New Roman" w:hAnsi="Palatino Linotype" w:cs="Arial"/>
        </w:rPr>
        <w:t xml:space="preserve">Resultan </w:t>
      </w:r>
      <w:r w:rsidRPr="001672EA">
        <w:rPr>
          <w:rFonts w:ascii="Palatino Linotype" w:eastAsia="Times New Roman" w:hAnsi="Palatino Linotype" w:cs="Arial"/>
        </w:rPr>
        <w:t>fundadas las</w:t>
      </w:r>
      <w:r w:rsidRPr="001672EA">
        <w:rPr>
          <w:rFonts w:ascii="Palatino Linotype" w:eastAsia="Times New Roman" w:hAnsi="Palatino Linotype" w:cs="Arial"/>
          <w:b/>
        </w:rPr>
        <w:t xml:space="preserve"> </w:t>
      </w:r>
      <w:r w:rsidRPr="001672EA">
        <w:rPr>
          <w:rFonts w:ascii="Palatino Linotype" w:eastAsia="Times New Roman" w:hAnsi="Palatino Linotype" w:cs="Arial"/>
        </w:rPr>
        <w:t xml:space="preserve">razones o motivos de inconformidad hechos valer </w:t>
      </w:r>
      <w:r w:rsidRPr="001672EA">
        <w:rPr>
          <w:rFonts w:ascii="Palatino Linotype" w:eastAsia="Calibri" w:hAnsi="Palatino Linotype" w:cs="Arial"/>
        </w:rPr>
        <w:t xml:space="preserve">en </w:t>
      </w:r>
      <w:r w:rsidR="00291D91" w:rsidRPr="001672EA">
        <w:rPr>
          <w:rFonts w:ascii="Palatino Linotype" w:eastAsia="Calibri" w:hAnsi="Palatino Linotype" w:cs="Arial"/>
        </w:rPr>
        <w:t>el</w:t>
      </w:r>
      <w:r w:rsidRPr="001672EA">
        <w:rPr>
          <w:rFonts w:ascii="Palatino Linotype" w:eastAsia="Calibri" w:hAnsi="Palatino Linotype" w:cs="Arial"/>
        </w:rPr>
        <w:t xml:space="preserve"> recurso de revisión </w:t>
      </w:r>
      <w:r w:rsidR="001A0B3A" w:rsidRPr="001672EA">
        <w:rPr>
          <w:rFonts w:ascii="Palatino Linotype" w:eastAsia="Times New Roman" w:hAnsi="Palatino Linotype" w:cs="Times New Roman"/>
          <w:b/>
        </w:rPr>
        <w:t>08723/INFOEM/IP/RR/2022</w:t>
      </w:r>
      <w:r w:rsidRPr="001672EA">
        <w:rPr>
          <w:rFonts w:ascii="Palatino Linotype" w:eastAsia="Times New Roman" w:hAnsi="Palatino Linotype" w:cs="Times New Roman"/>
          <w:b/>
        </w:rPr>
        <w:t xml:space="preserve"> </w:t>
      </w:r>
      <w:r w:rsidRPr="001672EA">
        <w:rPr>
          <w:rFonts w:ascii="Palatino Linotype" w:eastAsia="Times New Roman" w:hAnsi="Palatino Linotype" w:cs="Times New Roman"/>
        </w:rPr>
        <w:t>en términos de</w:t>
      </w:r>
      <w:r w:rsidR="00743CAC" w:rsidRPr="001672EA">
        <w:rPr>
          <w:rFonts w:ascii="Palatino Linotype" w:eastAsia="Times New Roman" w:hAnsi="Palatino Linotype" w:cs="Times New Roman"/>
        </w:rPr>
        <w:t xml:space="preserve"> </w:t>
      </w:r>
      <w:r w:rsidRPr="001672EA">
        <w:rPr>
          <w:rFonts w:ascii="Palatino Linotype" w:eastAsia="Times New Roman" w:hAnsi="Palatino Linotype" w:cs="Times New Roman"/>
        </w:rPr>
        <w:t>l</w:t>
      </w:r>
      <w:r w:rsidR="00743CAC" w:rsidRPr="001672EA">
        <w:rPr>
          <w:rFonts w:ascii="Palatino Linotype" w:eastAsia="Times New Roman" w:hAnsi="Palatino Linotype" w:cs="Times New Roman"/>
        </w:rPr>
        <w:t>os</w:t>
      </w:r>
      <w:r w:rsidRPr="001672EA">
        <w:rPr>
          <w:rFonts w:ascii="Palatino Linotype" w:eastAsia="Times New Roman" w:hAnsi="Palatino Linotype" w:cs="Times New Roman"/>
          <w:b/>
          <w:bCs/>
        </w:rPr>
        <w:t xml:space="preserve"> Considerando</w:t>
      </w:r>
      <w:r w:rsidR="00743CAC" w:rsidRPr="001672EA">
        <w:rPr>
          <w:rFonts w:ascii="Palatino Linotype" w:eastAsia="Times New Roman" w:hAnsi="Palatino Linotype" w:cs="Times New Roman"/>
          <w:b/>
          <w:bCs/>
        </w:rPr>
        <w:t>s</w:t>
      </w:r>
      <w:r w:rsidRPr="001672EA">
        <w:rPr>
          <w:rFonts w:ascii="Palatino Linotype" w:eastAsia="Times New Roman" w:hAnsi="Palatino Linotype" w:cs="Times New Roman"/>
        </w:rPr>
        <w:t xml:space="preserve"> </w:t>
      </w:r>
      <w:r w:rsidRPr="001672EA">
        <w:rPr>
          <w:rFonts w:ascii="Palatino Linotype" w:eastAsia="Times New Roman" w:hAnsi="Palatino Linotype" w:cs="Times New Roman"/>
          <w:b/>
        </w:rPr>
        <w:t>CUARTO</w:t>
      </w:r>
      <w:r w:rsidRPr="001672EA">
        <w:rPr>
          <w:rFonts w:ascii="Palatino Linotype" w:eastAsia="Times New Roman" w:hAnsi="Palatino Linotype" w:cs="Times New Roman"/>
        </w:rPr>
        <w:t xml:space="preserve"> </w:t>
      </w:r>
      <w:r w:rsidR="00743CAC" w:rsidRPr="001672EA">
        <w:rPr>
          <w:rFonts w:ascii="Palatino Linotype" w:eastAsia="Times New Roman" w:hAnsi="Palatino Linotype" w:cs="Times New Roman"/>
        </w:rPr>
        <w:t xml:space="preserve">y </w:t>
      </w:r>
      <w:r w:rsidR="00743CAC" w:rsidRPr="001672EA">
        <w:rPr>
          <w:rFonts w:ascii="Palatino Linotype" w:eastAsia="Times New Roman" w:hAnsi="Palatino Linotype" w:cs="Times New Roman"/>
          <w:b/>
        </w:rPr>
        <w:t>QUINTO</w:t>
      </w:r>
      <w:r w:rsidR="00743CAC" w:rsidRPr="001672EA">
        <w:rPr>
          <w:rFonts w:ascii="Palatino Linotype" w:eastAsia="Times New Roman" w:hAnsi="Palatino Linotype" w:cs="Times New Roman"/>
        </w:rPr>
        <w:t xml:space="preserve"> </w:t>
      </w:r>
      <w:r w:rsidRPr="001672EA">
        <w:rPr>
          <w:rFonts w:ascii="Palatino Linotype" w:eastAsia="Times New Roman" w:hAnsi="Palatino Linotype" w:cs="Times New Roman"/>
        </w:rPr>
        <w:t>de la presente resolución.</w:t>
      </w:r>
    </w:p>
    <w:p w14:paraId="0DBF8BF4" w14:textId="77777777" w:rsidR="00A73C04" w:rsidRPr="001672EA" w:rsidRDefault="00A73C04" w:rsidP="00A73C04">
      <w:pPr>
        <w:spacing w:line="360" w:lineRule="auto"/>
        <w:contextualSpacing/>
        <w:jc w:val="both"/>
        <w:rPr>
          <w:rFonts w:ascii="Palatino Linotype" w:eastAsia="Calibri" w:hAnsi="Palatino Linotype" w:cs="Arial"/>
          <w:b/>
          <w:bCs/>
        </w:rPr>
      </w:pPr>
    </w:p>
    <w:p w14:paraId="2A288E5F" w14:textId="246A84FF" w:rsidR="00743CAC" w:rsidRPr="001672EA" w:rsidRDefault="00743CAC" w:rsidP="00743CAC">
      <w:pPr>
        <w:spacing w:line="360" w:lineRule="auto"/>
        <w:contextualSpacing/>
        <w:jc w:val="both"/>
        <w:rPr>
          <w:rFonts w:ascii="Palatino Linotype" w:eastAsia="Times New Roman" w:hAnsi="Palatino Linotype" w:cs="Arial"/>
          <w:color w:val="000000"/>
        </w:rPr>
      </w:pPr>
      <w:r w:rsidRPr="001672EA">
        <w:rPr>
          <w:rFonts w:ascii="Palatino Linotype" w:eastAsia="Calibri" w:hAnsi="Palatino Linotype" w:cs="Arial"/>
          <w:b/>
          <w:bCs/>
          <w:sz w:val="28"/>
          <w:szCs w:val="28"/>
        </w:rPr>
        <w:t>SEGUNDO</w:t>
      </w:r>
      <w:r w:rsidRPr="001672EA">
        <w:rPr>
          <w:rFonts w:ascii="Palatino Linotype" w:eastAsia="Calibri" w:hAnsi="Palatino Linotype" w:cs="Arial"/>
          <w:b/>
          <w:bCs/>
        </w:rPr>
        <w:t xml:space="preserve">. </w:t>
      </w:r>
      <w:r w:rsidRPr="001672EA">
        <w:rPr>
          <w:rFonts w:ascii="Palatino Linotype" w:eastAsia="Calibri" w:hAnsi="Palatino Linotype" w:cs="Arial"/>
        </w:rPr>
        <w:t xml:space="preserve">Se </w:t>
      </w:r>
      <w:r w:rsidR="00215EC9" w:rsidRPr="001672EA">
        <w:rPr>
          <w:rFonts w:ascii="Palatino Linotype" w:eastAsia="Calibri" w:hAnsi="Palatino Linotype" w:cs="Arial"/>
          <w:b/>
        </w:rPr>
        <w:t>MODIFICA</w:t>
      </w:r>
      <w:r w:rsidRPr="001672EA">
        <w:rPr>
          <w:rFonts w:ascii="Palatino Linotype" w:eastAsia="Calibri" w:hAnsi="Palatino Linotype" w:cs="Arial"/>
        </w:rPr>
        <w:t xml:space="preserve"> la respuesta emitida por el </w:t>
      </w:r>
      <w:r w:rsidR="001A0B3A" w:rsidRPr="001672EA">
        <w:rPr>
          <w:rFonts w:ascii="Palatino Linotype" w:eastAsia="Calibri" w:hAnsi="Palatino Linotype" w:cs="Arial"/>
          <w:b/>
        </w:rPr>
        <w:t>Ayuntamiento de Texcoco</w:t>
      </w:r>
      <w:r w:rsidRPr="001672EA">
        <w:rPr>
          <w:rFonts w:ascii="Palatino Linotype" w:eastAsia="Calibri" w:hAnsi="Palatino Linotype" w:cs="Arial"/>
          <w:bCs/>
        </w:rPr>
        <w:t xml:space="preserve"> a la solicitud </w:t>
      </w:r>
      <w:r w:rsidR="001A0B3A" w:rsidRPr="001672EA">
        <w:rPr>
          <w:rFonts w:ascii="Palatino Linotype" w:eastAsia="MS Mincho" w:hAnsi="Palatino Linotype" w:cstheme="majorBidi"/>
          <w:b/>
        </w:rPr>
        <w:t>00224/TEXCOCO/IP/2022</w:t>
      </w:r>
      <w:r w:rsidRPr="001672EA">
        <w:rPr>
          <w:rFonts w:ascii="Palatino Linotype" w:eastAsia="MS Mincho" w:hAnsi="Palatino Linotype" w:cstheme="majorBidi"/>
          <w:b/>
        </w:rPr>
        <w:t xml:space="preserve"> </w:t>
      </w:r>
      <w:r w:rsidRPr="001672EA">
        <w:rPr>
          <w:rFonts w:ascii="Palatino Linotype" w:eastAsia="Calibri" w:hAnsi="Palatino Linotype" w:cs="Arial"/>
        </w:rPr>
        <w:t xml:space="preserve">y se </w:t>
      </w:r>
      <w:r w:rsidRPr="001672EA">
        <w:rPr>
          <w:rFonts w:ascii="Palatino Linotype" w:eastAsia="Calibri" w:hAnsi="Palatino Linotype" w:cs="Arial"/>
          <w:b/>
        </w:rPr>
        <w:t xml:space="preserve">ORDENA </w:t>
      </w:r>
      <w:r w:rsidRPr="001672EA">
        <w:rPr>
          <w:rFonts w:ascii="Palatino Linotype" w:eastAsia="Calibri" w:hAnsi="Palatino Linotype" w:cs="Arial"/>
        </w:rPr>
        <w:t xml:space="preserve">entregar, </w:t>
      </w:r>
      <w:bookmarkStart w:id="25" w:name="_Toc460947013"/>
      <w:r w:rsidRPr="001672EA">
        <w:rPr>
          <w:rFonts w:ascii="Palatino Linotype" w:eastAsia="Calibri" w:hAnsi="Palatino Linotype" w:cs="Arial"/>
        </w:rPr>
        <w:t>vía Sistema de Acceso a la Información Pública Mexiquense (SAIMEX)</w:t>
      </w:r>
      <w:r w:rsidRPr="001672EA">
        <w:rPr>
          <w:rFonts w:ascii="Palatino Linotype" w:eastAsia="Times New Roman" w:hAnsi="Palatino Linotype" w:cs="Arial"/>
          <w:color w:val="000000"/>
        </w:rPr>
        <w:t>,</w:t>
      </w:r>
      <w:r w:rsidR="00325B05" w:rsidRPr="001672EA">
        <w:rPr>
          <w:rFonts w:ascii="Palatino Linotype" w:eastAsia="Times New Roman" w:hAnsi="Palatino Linotype" w:cs="Arial"/>
          <w:color w:val="000000"/>
        </w:rPr>
        <w:t xml:space="preserve"> en versión pública de ser procedente,</w:t>
      </w:r>
      <w:r w:rsidRPr="001672EA">
        <w:rPr>
          <w:rFonts w:ascii="Palatino Linotype" w:eastAsia="Times New Roman" w:hAnsi="Palatino Linotype" w:cs="Arial"/>
          <w:color w:val="000000"/>
        </w:rPr>
        <w:t xml:space="preserve"> </w:t>
      </w:r>
      <w:r w:rsidR="00AA4F6D" w:rsidRPr="001672EA">
        <w:rPr>
          <w:rFonts w:ascii="Palatino Linotype" w:eastAsia="Times New Roman" w:hAnsi="Palatino Linotype" w:cs="Arial"/>
          <w:color w:val="000000"/>
        </w:rPr>
        <w:t xml:space="preserve">la siguiente información generada durante el periodo comprendido del </w:t>
      </w:r>
      <w:r w:rsidR="00AA4F6D" w:rsidRPr="001672EA">
        <w:rPr>
          <w:rFonts w:ascii="Palatino Linotype" w:hAnsi="Palatino Linotype" w:cs="Tahoma"/>
          <w:bCs/>
          <w:iCs/>
        </w:rPr>
        <w:t>uno (01) de enero de dos mil doce al treinta y uno (31) de diciembre de dos mil dieciséis</w:t>
      </w:r>
      <w:r w:rsidRPr="001672EA">
        <w:rPr>
          <w:rFonts w:ascii="Palatino Linotype" w:eastAsia="Times New Roman" w:hAnsi="Palatino Linotype" w:cs="Arial"/>
          <w:color w:val="000000"/>
        </w:rPr>
        <w:t xml:space="preserve">: </w:t>
      </w:r>
    </w:p>
    <w:p w14:paraId="6E6AD4FF" w14:textId="77777777" w:rsidR="00596238" w:rsidRPr="001672EA" w:rsidRDefault="00596238" w:rsidP="00743CAC">
      <w:pPr>
        <w:spacing w:line="360" w:lineRule="auto"/>
        <w:contextualSpacing/>
        <w:jc w:val="both"/>
        <w:rPr>
          <w:rFonts w:ascii="Palatino Linotype" w:eastAsia="Times New Roman" w:hAnsi="Palatino Linotype" w:cs="Arial"/>
          <w:color w:val="000000"/>
        </w:rPr>
      </w:pPr>
    </w:p>
    <w:p w14:paraId="2CB5CCE6" w14:textId="628CD242" w:rsidR="00C00996" w:rsidRPr="001672EA" w:rsidRDefault="00AA4F6D" w:rsidP="0028422E">
      <w:pPr>
        <w:pStyle w:val="Prrafodelista"/>
        <w:numPr>
          <w:ilvl w:val="0"/>
          <w:numId w:val="2"/>
        </w:numPr>
        <w:spacing w:after="240" w:line="360" w:lineRule="auto"/>
        <w:ind w:left="851" w:right="567" w:hanging="284"/>
        <w:jc w:val="both"/>
        <w:rPr>
          <w:rFonts w:ascii="Palatino Linotype" w:hAnsi="Palatino Linotype"/>
          <w:b/>
          <w:bCs/>
          <w:color w:val="000000"/>
        </w:rPr>
      </w:pPr>
      <w:r w:rsidRPr="001672EA">
        <w:rPr>
          <w:rFonts w:ascii="Palatino Linotype" w:hAnsi="Palatino Linotype"/>
          <w:b/>
          <w:bCs/>
          <w:color w:val="000000"/>
        </w:rPr>
        <w:t>Padrón de proveedores; y</w:t>
      </w:r>
    </w:p>
    <w:p w14:paraId="0F259BC0" w14:textId="4B187010" w:rsidR="00F4086C" w:rsidRPr="001672EA" w:rsidRDefault="00AA4F6D" w:rsidP="0028422E">
      <w:pPr>
        <w:pStyle w:val="Prrafodelista"/>
        <w:numPr>
          <w:ilvl w:val="0"/>
          <w:numId w:val="2"/>
        </w:numPr>
        <w:spacing w:after="240" w:line="360" w:lineRule="auto"/>
        <w:ind w:left="851" w:right="567" w:hanging="284"/>
        <w:jc w:val="both"/>
        <w:rPr>
          <w:rFonts w:ascii="Palatino Linotype" w:hAnsi="Palatino Linotype"/>
          <w:b/>
          <w:bCs/>
          <w:color w:val="000000"/>
        </w:rPr>
      </w:pPr>
      <w:r w:rsidRPr="001672EA">
        <w:rPr>
          <w:rFonts w:ascii="Palatino Linotype" w:hAnsi="Palatino Linotype"/>
          <w:b/>
          <w:bCs/>
          <w:color w:val="000000"/>
        </w:rPr>
        <w:t xml:space="preserve">De </w:t>
      </w:r>
      <w:r w:rsidRPr="001672EA">
        <w:rPr>
          <w:rFonts w:ascii="Palatino Linotype" w:hAnsi="Palatino Linotype"/>
          <w:b/>
          <w:bCs/>
          <w:iCs/>
          <w:color w:val="000000"/>
        </w:rPr>
        <w:t>los contratos de obras, bienes y servicios, derivados de un procedimiento de licitación pública, invitación restringida o adjudicación directa, los registros y/o documentos donde se aprecien los siguientes elementos:</w:t>
      </w:r>
    </w:p>
    <w:p w14:paraId="41BC046E" w14:textId="1877969C"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Institución;</w:t>
      </w:r>
    </w:p>
    <w:p w14:paraId="2D3525FC" w14:textId="1FCB04EA"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Nombre de la Unidad Solicitante;</w:t>
      </w:r>
    </w:p>
    <w:p w14:paraId="6AFF094A" w14:textId="0F0794DD"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Responsable de la Unidad Solicitante;</w:t>
      </w:r>
    </w:p>
    <w:p w14:paraId="5514466E"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Código del expediente;</w:t>
      </w:r>
    </w:p>
    <w:p w14:paraId="05DECF31"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Referencia del expediente;</w:t>
      </w:r>
    </w:p>
    <w:p w14:paraId="4FBF4D7D"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Título del expediente;</w:t>
      </w:r>
    </w:p>
    <w:p w14:paraId="790C8135"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Fundamento legal;</w:t>
      </w:r>
    </w:p>
    <w:p w14:paraId="6FC5D56C"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lastRenderedPageBreak/>
        <w:t>Número del procedimiento;</w:t>
      </w:r>
    </w:p>
    <w:p w14:paraId="13998427"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Fecha de fallo;</w:t>
      </w:r>
    </w:p>
    <w:p w14:paraId="036F7FA6"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Fecha de publicación;</w:t>
      </w:r>
    </w:p>
    <w:p w14:paraId="6780AE9C"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Tipo de contratación;</w:t>
      </w:r>
    </w:p>
    <w:p w14:paraId="4EB7966D"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Tipo de procedimiento;</w:t>
      </w:r>
    </w:p>
    <w:p w14:paraId="7412A1D2"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Título del contrato;</w:t>
      </w:r>
    </w:p>
    <w:p w14:paraId="09D6E769"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Descripción del contrato;</w:t>
      </w:r>
    </w:p>
    <w:p w14:paraId="14784CD6"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Importe del contrato;</w:t>
      </w:r>
    </w:p>
    <w:p w14:paraId="66286F3A"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Convenio modificatorio;</w:t>
      </w:r>
    </w:p>
    <w:p w14:paraId="383FFAD5"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RFC;</w:t>
      </w:r>
    </w:p>
    <w:p w14:paraId="09869366" w14:textId="77777777"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Proveedor o contratista; y</w:t>
      </w:r>
    </w:p>
    <w:p w14:paraId="3ED99E70" w14:textId="0AD1779D" w:rsidR="00AA4F6D" w:rsidRPr="001672EA" w:rsidRDefault="00AA4F6D" w:rsidP="00AA4F6D">
      <w:pPr>
        <w:pStyle w:val="Prrafodelista"/>
        <w:numPr>
          <w:ilvl w:val="1"/>
          <w:numId w:val="2"/>
        </w:numPr>
        <w:spacing w:after="240" w:line="360" w:lineRule="auto"/>
        <w:ind w:left="1418" w:right="567"/>
        <w:jc w:val="both"/>
        <w:rPr>
          <w:rFonts w:ascii="Palatino Linotype" w:hAnsi="Palatino Linotype"/>
          <w:b/>
          <w:bCs/>
          <w:color w:val="000000"/>
        </w:rPr>
      </w:pPr>
      <w:r w:rsidRPr="001672EA">
        <w:rPr>
          <w:rFonts w:ascii="Palatino Linotype" w:hAnsi="Palatino Linotype"/>
          <w:b/>
          <w:bCs/>
          <w:color w:val="000000"/>
        </w:rPr>
        <w:t>Dirección del anuncio.</w:t>
      </w:r>
    </w:p>
    <w:p w14:paraId="2DA954F0" w14:textId="77F938EE" w:rsidR="000D7CBE" w:rsidRPr="001672EA" w:rsidRDefault="000D7CBE" w:rsidP="000D7CBE">
      <w:pPr>
        <w:tabs>
          <w:tab w:val="left" w:pos="993"/>
        </w:tabs>
        <w:spacing w:line="360" w:lineRule="auto"/>
        <w:jc w:val="both"/>
        <w:rPr>
          <w:rFonts w:ascii="Palatino Linotype" w:eastAsia="Calibri" w:hAnsi="Palatino Linotype" w:cs="Arial"/>
        </w:rPr>
      </w:pPr>
      <w:r w:rsidRPr="001672EA">
        <w:rPr>
          <w:rFonts w:ascii="Palatino Linotype" w:hAnsi="Palatino Linotype"/>
          <w:color w:val="000000"/>
        </w:rPr>
        <w:t xml:space="preserve">Para </w:t>
      </w:r>
      <w:r w:rsidRPr="001672EA">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1672EA">
        <w:rPr>
          <w:rFonts w:ascii="Palatino Linotype" w:eastAsia="Calibri" w:hAnsi="Palatino Linotype" w:cs="Arial"/>
          <w:b/>
        </w:rPr>
        <w:t>RECURRENTE</w:t>
      </w:r>
      <w:r w:rsidRPr="001672EA">
        <w:rPr>
          <w:rFonts w:ascii="Palatino Linotype" w:eastAsia="Calibri" w:hAnsi="Palatino Linotype" w:cs="Arial"/>
        </w:rPr>
        <w:t>.</w:t>
      </w:r>
    </w:p>
    <w:p w14:paraId="66EF1D13" w14:textId="77777777" w:rsidR="00AA4F6D" w:rsidRPr="001672EA" w:rsidRDefault="00AA4F6D" w:rsidP="000D7CBE">
      <w:pPr>
        <w:tabs>
          <w:tab w:val="left" w:pos="993"/>
        </w:tabs>
        <w:spacing w:line="360" w:lineRule="auto"/>
        <w:jc w:val="both"/>
        <w:rPr>
          <w:rFonts w:ascii="Palatino Linotype" w:eastAsia="Calibri" w:hAnsi="Palatino Linotype" w:cs="Arial"/>
        </w:rPr>
      </w:pPr>
    </w:p>
    <w:p w14:paraId="7E3B4DF2" w14:textId="0E70DCA6" w:rsidR="00AA4F6D" w:rsidRPr="001672EA" w:rsidRDefault="00AA4F6D" w:rsidP="000D7CBE">
      <w:pPr>
        <w:tabs>
          <w:tab w:val="left" w:pos="993"/>
        </w:tabs>
        <w:spacing w:line="360" w:lineRule="auto"/>
        <w:jc w:val="both"/>
        <w:rPr>
          <w:rFonts w:ascii="Palatino Linotype" w:eastAsia="Calibri" w:hAnsi="Palatino Linotype" w:cs="Arial"/>
        </w:rPr>
      </w:pPr>
      <w:r w:rsidRPr="001672EA">
        <w:rPr>
          <w:rFonts w:ascii="Palatino Linotype" w:hAnsi="Palatino Linotype" w:cs="Tahoma"/>
          <w:bCs/>
          <w:iCs/>
        </w:rPr>
        <w:t xml:space="preserve">Ahora bien, si derivado de la búsqueda de la información, el </w:t>
      </w:r>
      <w:r w:rsidRPr="001672EA">
        <w:rPr>
          <w:rFonts w:ascii="Palatino Linotype" w:hAnsi="Palatino Linotype" w:cs="Tahoma"/>
          <w:b/>
          <w:bCs/>
          <w:iCs/>
        </w:rPr>
        <w:t>SUJETO OBLIGADO</w:t>
      </w:r>
      <w:r w:rsidRPr="001672EA">
        <w:rPr>
          <w:rFonts w:ascii="Palatino Linotype" w:hAnsi="Palatino Linotype" w:cs="Tahoma"/>
          <w:bCs/>
          <w:iCs/>
        </w:rPr>
        <w:t xml:space="preserve"> concluyera que ésta no obra más en sus archivos al haberse concluido su ciclo de vida, deberá entregar los documentos que sustenten su </w:t>
      </w:r>
      <w:r w:rsidRPr="001672EA">
        <w:rPr>
          <w:rFonts w:ascii="Palatino Linotype" w:hAnsi="Palatino Linotype" w:cs="Tahoma"/>
          <w:b/>
          <w:bCs/>
          <w:iCs/>
        </w:rPr>
        <w:t>transferencia al Archivo Histórico</w:t>
      </w:r>
      <w:r w:rsidRPr="001672EA">
        <w:rPr>
          <w:rFonts w:ascii="Palatino Linotype" w:hAnsi="Palatino Linotype" w:cs="Tahoma"/>
          <w:bCs/>
          <w:iCs/>
        </w:rPr>
        <w:t xml:space="preserve"> del municipio.</w:t>
      </w:r>
    </w:p>
    <w:p w14:paraId="38832BE9" w14:textId="77777777" w:rsidR="00EF0F44" w:rsidRPr="001672EA" w:rsidRDefault="00EF0F44" w:rsidP="000D7CBE">
      <w:pPr>
        <w:tabs>
          <w:tab w:val="left" w:pos="993"/>
        </w:tabs>
        <w:spacing w:line="360" w:lineRule="auto"/>
        <w:jc w:val="both"/>
        <w:rPr>
          <w:rFonts w:ascii="Palatino Linotype" w:eastAsia="Calibri" w:hAnsi="Palatino Linotype" w:cs="Arial"/>
        </w:rPr>
      </w:pPr>
    </w:p>
    <w:p w14:paraId="477119ED" w14:textId="035C10BF" w:rsidR="00AA4F6D" w:rsidRPr="001672EA" w:rsidRDefault="00AA4F6D" w:rsidP="00AA4F6D">
      <w:pPr>
        <w:tabs>
          <w:tab w:val="left" w:pos="7088"/>
        </w:tabs>
        <w:autoSpaceDE w:val="0"/>
        <w:autoSpaceDN w:val="0"/>
        <w:adjustRightInd w:val="0"/>
        <w:spacing w:line="360" w:lineRule="auto"/>
        <w:ind w:right="49"/>
        <w:contextualSpacing/>
        <w:jc w:val="both"/>
        <w:rPr>
          <w:rFonts w:ascii="Palatino Linotype" w:eastAsia="Calibri" w:hAnsi="Palatino Linotype" w:cs="Arial"/>
        </w:rPr>
      </w:pPr>
      <w:r w:rsidRPr="001672EA">
        <w:rPr>
          <w:rFonts w:ascii="Palatino Linotype" w:eastAsia="Calibri" w:hAnsi="Palatino Linotype" w:cs="Arial"/>
        </w:rPr>
        <w:lastRenderedPageBreak/>
        <w:t xml:space="preserve">Por otro lado, si derivado del proceso de búsqueda, el </w:t>
      </w:r>
      <w:r w:rsidRPr="001672EA">
        <w:rPr>
          <w:rFonts w:ascii="Palatino Linotype" w:eastAsia="Calibri" w:hAnsi="Palatino Linotype" w:cs="Arial"/>
          <w:b/>
        </w:rPr>
        <w:t>SUJETO OBLIGADO</w:t>
      </w:r>
      <w:r w:rsidRPr="001672EA">
        <w:rPr>
          <w:rFonts w:ascii="Palatino Linotype" w:eastAsia="Calibri" w:hAnsi="Palatino Linotype" w:cs="Arial"/>
        </w:rPr>
        <w:t xml:space="preserve"> concluyera que no </w:t>
      </w:r>
      <w:r w:rsidR="00215EC9" w:rsidRPr="001672EA">
        <w:rPr>
          <w:rFonts w:ascii="Palatino Linotype" w:eastAsia="Calibri" w:hAnsi="Palatino Linotype" w:cs="Arial"/>
        </w:rPr>
        <w:t xml:space="preserve">cuenta ni con la información que se ordena entregar, ni con el o los documentos que certifiquen su </w:t>
      </w:r>
      <w:r w:rsidR="00ED3E6C" w:rsidRPr="001672EA">
        <w:rPr>
          <w:rFonts w:ascii="Palatino Linotype" w:eastAsia="Calibri" w:hAnsi="Palatino Linotype" w:cs="Arial"/>
        </w:rPr>
        <w:t>transferencia</w:t>
      </w:r>
      <w:r w:rsidR="00215EC9" w:rsidRPr="001672EA">
        <w:rPr>
          <w:rFonts w:ascii="Palatino Linotype" w:eastAsia="Calibri" w:hAnsi="Palatino Linotype" w:cs="Arial"/>
        </w:rPr>
        <w:t xml:space="preserve"> final</w:t>
      </w:r>
      <w:r w:rsidRPr="001672EA">
        <w:rPr>
          <w:rFonts w:ascii="Palatino Linotype" w:eastAsia="Calibri" w:hAnsi="Palatino Linotype" w:cs="Arial"/>
        </w:rPr>
        <w:t xml:space="preserve">, deberá presentar al particular el </w:t>
      </w:r>
      <w:r w:rsidRPr="001672EA">
        <w:rPr>
          <w:rFonts w:ascii="Palatino Linotype" w:eastAsia="Calibri" w:hAnsi="Palatino Linotype" w:cs="Arial"/>
          <w:b/>
        </w:rPr>
        <w:t>Acuerdo de su Comité de Transparencia</w:t>
      </w:r>
      <w:r w:rsidRPr="001672EA">
        <w:rPr>
          <w:rFonts w:ascii="Palatino Linotype" w:eastAsia="Calibri" w:hAnsi="Palatino Linotype" w:cs="Arial"/>
        </w:rPr>
        <w:t xml:space="preserve"> en el que se confirme su </w:t>
      </w:r>
      <w:r w:rsidRPr="001672EA">
        <w:rPr>
          <w:rFonts w:ascii="Palatino Linotype" w:eastAsia="Calibri" w:hAnsi="Palatino Linotype" w:cs="Arial"/>
          <w:b/>
        </w:rPr>
        <w:t>inexistencia</w:t>
      </w:r>
      <w:r w:rsidRPr="001672EA">
        <w:rPr>
          <w:rFonts w:ascii="Palatino Linotype" w:eastAsia="Calibri" w:hAnsi="Palatino Linotype" w:cs="Arial"/>
        </w:rPr>
        <w:t>, en términos de lo dispuesto por la Ley de Transparencia y Acceso a la Información Pública de</w:t>
      </w:r>
      <w:r w:rsidR="00ED3E6C" w:rsidRPr="001672EA">
        <w:rPr>
          <w:rFonts w:ascii="Palatino Linotype" w:eastAsia="Calibri" w:hAnsi="Palatino Linotype" w:cs="Arial"/>
        </w:rPr>
        <w:t xml:space="preserve">l Estado de México y Municipios, junto con el respectivo </w:t>
      </w:r>
      <w:r w:rsidR="00ED3E6C" w:rsidRPr="001672EA">
        <w:rPr>
          <w:rFonts w:ascii="Palatino Linotype" w:eastAsia="Calibri" w:hAnsi="Palatino Linotype" w:cs="Arial"/>
          <w:b/>
        </w:rPr>
        <w:t>Acuerdo que sustente la baja documental</w:t>
      </w:r>
      <w:r w:rsidR="00ED3E6C" w:rsidRPr="001672EA">
        <w:rPr>
          <w:rFonts w:ascii="Palatino Linotype" w:eastAsia="Calibri" w:hAnsi="Palatino Linotype" w:cs="Arial"/>
        </w:rPr>
        <w:t>.</w:t>
      </w:r>
    </w:p>
    <w:p w14:paraId="243011BE" w14:textId="77777777" w:rsidR="0060789B" w:rsidRPr="001672EA" w:rsidRDefault="0060789B" w:rsidP="00AA4F6D">
      <w:pPr>
        <w:tabs>
          <w:tab w:val="left" w:pos="7088"/>
        </w:tabs>
        <w:autoSpaceDE w:val="0"/>
        <w:autoSpaceDN w:val="0"/>
        <w:adjustRightInd w:val="0"/>
        <w:spacing w:line="360" w:lineRule="auto"/>
        <w:ind w:right="49"/>
        <w:contextualSpacing/>
        <w:jc w:val="both"/>
        <w:rPr>
          <w:rFonts w:ascii="Palatino Linotype" w:eastAsia="Calibri" w:hAnsi="Palatino Linotype" w:cs="Arial"/>
        </w:rPr>
      </w:pPr>
    </w:p>
    <w:p w14:paraId="63256303" w14:textId="17EEFFC4" w:rsidR="0060789B" w:rsidRPr="001672EA" w:rsidRDefault="0060789B" w:rsidP="00AA4F6D">
      <w:pPr>
        <w:tabs>
          <w:tab w:val="left" w:pos="7088"/>
        </w:tabs>
        <w:autoSpaceDE w:val="0"/>
        <w:autoSpaceDN w:val="0"/>
        <w:adjustRightInd w:val="0"/>
        <w:spacing w:line="360" w:lineRule="auto"/>
        <w:ind w:right="49"/>
        <w:contextualSpacing/>
        <w:jc w:val="both"/>
        <w:rPr>
          <w:rFonts w:ascii="Palatino Linotype" w:eastAsia="Calibri" w:hAnsi="Palatino Linotype" w:cs="Arial"/>
        </w:rPr>
      </w:pPr>
      <w:r w:rsidRPr="001672EA">
        <w:rPr>
          <w:rFonts w:ascii="Palatino Linotype" w:eastAsia="Calibri" w:hAnsi="Palatino Linotype" w:cs="Arial"/>
        </w:rPr>
        <w:t xml:space="preserve">Finalmente, </w:t>
      </w:r>
      <w:r w:rsidRPr="001672EA">
        <w:rPr>
          <w:rFonts w:ascii="Palatino Linotype" w:hAnsi="Palatino Linotype"/>
          <w:iCs/>
          <w:lang w:val="es-ES_tradnl"/>
        </w:rPr>
        <w:t xml:space="preserve">caso de que no se hayan ejercido las facultades, competencias o funciones que propiciaran la generación de la información que se ordena entregar </w:t>
      </w:r>
      <w:r w:rsidRPr="001672EA">
        <w:rPr>
          <w:rFonts w:ascii="Palatino Linotype" w:eastAsia="Calibri" w:hAnsi="Palatino Linotype" w:cs="Arial"/>
        </w:rPr>
        <w:t xml:space="preserve">en el </w:t>
      </w:r>
      <w:r w:rsidRPr="001672EA">
        <w:rPr>
          <w:rFonts w:ascii="Palatino Linotype" w:eastAsia="Calibri" w:hAnsi="Palatino Linotype" w:cs="Arial"/>
          <w:b/>
        </w:rPr>
        <w:t>punto II, inciso s)</w:t>
      </w:r>
      <w:r w:rsidRPr="001672EA">
        <w:rPr>
          <w:rFonts w:ascii="Palatino Linotype" w:eastAsia="Calibri" w:hAnsi="Palatino Linotype" w:cs="Arial"/>
        </w:rPr>
        <w:t>,</w:t>
      </w:r>
      <w:r w:rsidRPr="001672EA">
        <w:rPr>
          <w:rFonts w:ascii="Palatino Linotype" w:hAnsi="Palatino Linotype"/>
          <w:iCs/>
          <w:lang w:val="es-ES_tradnl"/>
        </w:rPr>
        <w:t xml:space="preserve"> el </w:t>
      </w:r>
      <w:r w:rsidRPr="001672EA">
        <w:rPr>
          <w:rFonts w:ascii="Palatino Linotype" w:hAnsi="Palatino Linotype"/>
          <w:b/>
          <w:iCs/>
          <w:lang w:val="es-ES_tradnl"/>
        </w:rPr>
        <w:t>SUJETO OBLIGADO</w:t>
      </w:r>
      <w:r w:rsidRPr="001672EA">
        <w:rPr>
          <w:rFonts w:ascii="Palatino Linotype" w:hAnsi="Palatino Linotype"/>
          <w:iCs/>
          <w:lang w:val="es-ES_tradnl"/>
        </w:rPr>
        <w:t xml:space="preserve"> deberá motivar su respuesta en función de las causas que motiven tal circunstancia</w:t>
      </w:r>
      <w:r w:rsidRPr="001672EA">
        <w:rPr>
          <w:rFonts w:ascii="Palatino Linotype" w:hAnsi="Palatino Linotype"/>
          <w:bCs/>
          <w:iCs/>
          <w:lang w:val="es-ES_tradnl"/>
        </w:rPr>
        <w:t>.</w:t>
      </w:r>
    </w:p>
    <w:p w14:paraId="3D36B4E4" w14:textId="77777777" w:rsidR="00325B05" w:rsidRPr="001672EA" w:rsidRDefault="00325B05" w:rsidP="000D7CBE">
      <w:pPr>
        <w:tabs>
          <w:tab w:val="left" w:pos="993"/>
        </w:tabs>
        <w:spacing w:line="360" w:lineRule="auto"/>
        <w:jc w:val="both"/>
        <w:rPr>
          <w:rFonts w:ascii="Palatino Linotype" w:eastAsia="Calibri" w:hAnsi="Palatino Linotype" w:cs="Arial"/>
        </w:rPr>
      </w:pPr>
    </w:p>
    <w:p w14:paraId="22EACC04" w14:textId="6A43E665" w:rsidR="00743CAC" w:rsidRPr="001672EA" w:rsidRDefault="00743CAC" w:rsidP="00743CAC">
      <w:pPr>
        <w:spacing w:line="360" w:lineRule="auto"/>
        <w:jc w:val="both"/>
        <w:rPr>
          <w:rFonts w:ascii="Palatino Linotype" w:eastAsia="MS Mincho" w:hAnsi="Palatino Linotype" w:cs="Times New Roman"/>
          <w:color w:val="000000"/>
        </w:rPr>
      </w:pPr>
      <w:r w:rsidRPr="001672EA">
        <w:rPr>
          <w:rFonts w:ascii="Palatino Linotype" w:eastAsia="MS Mincho" w:hAnsi="Palatino Linotype" w:cs="Times New Roman"/>
          <w:b/>
          <w:color w:val="000000"/>
          <w:sz w:val="28"/>
          <w:szCs w:val="28"/>
        </w:rPr>
        <w:t>TERCERO</w:t>
      </w:r>
      <w:r w:rsidRPr="001672EA">
        <w:rPr>
          <w:rFonts w:ascii="Palatino Linotype" w:eastAsia="MS Mincho" w:hAnsi="Palatino Linotype" w:cs="Times New Roman"/>
          <w:b/>
          <w:color w:val="000000"/>
        </w:rPr>
        <w:t>.</w:t>
      </w:r>
      <w:r w:rsidRPr="001672EA">
        <w:rPr>
          <w:rFonts w:ascii="Palatino Linotype" w:eastAsia="MS Mincho" w:hAnsi="Palatino Linotype" w:cs="Times New Roman"/>
          <w:color w:val="000000"/>
        </w:rPr>
        <w:t xml:space="preserve"> Notifíquese </w:t>
      </w:r>
      <w:r w:rsidR="00F2141D" w:rsidRPr="001672EA">
        <w:rPr>
          <w:rFonts w:ascii="Palatino Linotype" w:eastAsia="MS Mincho" w:hAnsi="Palatino Linotype" w:cs="Times New Roman"/>
          <w:color w:val="000000"/>
        </w:rPr>
        <w:t xml:space="preserve">al </w:t>
      </w:r>
      <w:r w:rsidR="00F2141D" w:rsidRPr="001672EA">
        <w:rPr>
          <w:rFonts w:ascii="Palatino Linotype" w:hAnsi="Palatino Linotype" w:cs="Arial"/>
          <w:color w:val="222222"/>
          <w:lang w:eastAsia="es-MX"/>
        </w:rPr>
        <w:t xml:space="preserve">Titular de la Unidad de Transparencia del </w:t>
      </w:r>
      <w:r w:rsidR="00F2141D" w:rsidRPr="001672EA">
        <w:rPr>
          <w:rFonts w:ascii="Palatino Linotype" w:hAnsi="Palatino Linotype" w:cs="Arial"/>
          <w:b/>
          <w:bCs/>
          <w:color w:val="222222"/>
          <w:lang w:eastAsia="es-MX"/>
        </w:rPr>
        <w:t>SUJETO OBLIGADO</w:t>
      </w:r>
      <w:r w:rsidR="00F2141D" w:rsidRPr="001672EA">
        <w:rPr>
          <w:rFonts w:ascii="Palatino Linotype" w:hAnsi="Palatino Linotype" w:cs="Arial"/>
          <w:color w:val="222222"/>
          <w:lang w:eastAsia="es-MX"/>
        </w:rPr>
        <w:t xml:space="preserve">, </w:t>
      </w:r>
      <w:r w:rsidR="000F6AF3" w:rsidRPr="001672EA">
        <w:rPr>
          <w:rFonts w:ascii="Palatino Linotype" w:hAnsi="Palatino Linotype" w:cs="Arial"/>
          <w:color w:val="222222"/>
          <w:lang w:eastAsia="es-MX"/>
        </w:rPr>
        <w:t xml:space="preserve">vía SAIMEX, la presente resolución, para que conforme al artículo 186 último párrafo, 189 segundo párrafo y 194 de la Ley de Transparencia y Acceso a la Información Pública del Estado de México y Municipios dé cumplimiento a lo ordenado dentro del </w:t>
      </w:r>
      <w:r w:rsidR="000F6AF3" w:rsidRPr="001672EA">
        <w:rPr>
          <w:rFonts w:ascii="Palatino Linotype" w:hAnsi="Palatino Linotype" w:cs="Arial"/>
          <w:b/>
          <w:color w:val="222222"/>
          <w:lang w:eastAsia="es-MX"/>
        </w:rPr>
        <w:t>plazo de diez días hábiles</w:t>
      </w:r>
      <w:r w:rsidR="000F6AF3" w:rsidRPr="001672EA">
        <w:rPr>
          <w:rFonts w:ascii="Palatino Linotype" w:hAnsi="Palatino Linotype" w:cs="Arial"/>
          <w:color w:val="222222"/>
          <w:lang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1672EA">
        <w:rPr>
          <w:rFonts w:ascii="Palatino Linotype" w:eastAsia="MS Mincho" w:hAnsi="Palatino Linotype" w:cs="Times New Roman"/>
          <w:color w:val="000000"/>
        </w:rPr>
        <w:t>.</w:t>
      </w:r>
    </w:p>
    <w:p w14:paraId="24A1876D" w14:textId="77777777" w:rsidR="00743CAC" w:rsidRPr="001672EA"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1672EA" w:rsidRDefault="00743CAC" w:rsidP="00743CAC">
      <w:pPr>
        <w:spacing w:line="360" w:lineRule="auto"/>
        <w:jc w:val="both"/>
        <w:rPr>
          <w:rFonts w:ascii="Palatino Linotype" w:eastAsia="MS Mincho" w:hAnsi="Palatino Linotype" w:cs="Times New Roman"/>
          <w:color w:val="000000"/>
        </w:rPr>
      </w:pPr>
      <w:r w:rsidRPr="001672EA">
        <w:rPr>
          <w:rFonts w:ascii="Palatino Linotype" w:eastAsia="MS Mincho" w:hAnsi="Palatino Linotype" w:cs="Times New Roman"/>
          <w:b/>
          <w:bCs/>
          <w:color w:val="000000"/>
          <w:sz w:val="28"/>
          <w:szCs w:val="28"/>
        </w:rPr>
        <w:lastRenderedPageBreak/>
        <w:t>CUARTO</w:t>
      </w:r>
      <w:r w:rsidRPr="001672EA">
        <w:rPr>
          <w:rFonts w:ascii="Palatino Linotype" w:eastAsia="MS Mincho" w:hAnsi="Palatino Linotype" w:cs="Times New Roman"/>
          <w:b/>
          <w:bCs/>
          <w:color w:val="000000"/>
        </w:rPr>
        <w:t>.</w:t>
      </w:r>
      <w:r w:rsidRPr="001672EA">
        <w:rPr>
          <w:rFonts w:ascii="Palatino Linotype" w:eastAsia="MS Mincho" w:hAnsi="Palatino Linotype" w:cs="Times New Roman"/>
          <w:color w:val="000000"/>
        </w:rPr>
        <w:t xml:space="preserve"> De </w:t>
      </w:r>
      <w:r w:rsidRPr="001672EA">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1672EA">
        <w:rPr>
          <w:rFonts w:ascii="Palatino Linotype" w:eastAsia="MS Mincho" w:hAnsi="Palatino Linotype" w:cs="Times New Roman"/>
          <w:b/>
          <w:color w:val="000000"/>
        </w:rPr>
        <w:t>SUJETO OBLIGADO,</w:t>
      </w:r>
      <w:r w:rsidRPr="001672EA">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1672EA" w:rsidRDefault="00743CAC" w:rsidP="00743CAC">
      <w:pPr>
        <w:spacing w:line="360" w:lineRule="auto"/>
        <w:jc w:val="both"/>
        <w:rPr>
          <w:rFonts w:ascii="Palatino Linotype" w:eastAsia="MS Mincho" w:hAnsi="Palatino Linotype" w:cs="Times New Roman"/>
          <w:color w:val="000000"/>
        </w:rPr>
      </w:pPr>
    </w:p>
    <w:p w14:paraId="09CBBAC7" w14:textId="1946AB0D" w:rsidR="00743CAC" w:rsidRPr="001672EA" w:rsidRDefault="00743CAC" w:rsidP="00743CAC">
      <w:pPr>
        <w:spacing w:line="360" w:lineRule="auto"/>
        <w:jc w:val="both"/>
        <w:rPr>
          <w:rFonts w:ascii="Palatino Linotype" w:eastAsia="MS Mincho" w:hAnsi="Palatino Linotype" w:cs="Times New Roman"/>
          <w:color w:val="000000"/>
        </w:rPr>
      </w:pPr>
      <w:r w:rsidRPr="001672EA">
        <w:rPr>
          <w:rFonts w:ascii="Palatino Linotype" w:eastAsia="MS Mincho" w:hAnsi="Palatino Linotype" w:cs="Times New Roman"/>
          <w:b/>
          <w:color w:val="000000"/>
          <w:sz w:val="28"/>
          <w:szCs w:val="28"/>
        </w:rPr>
        <w:t>QUINTO</w:t>
      </w:r>
      <w:r w:rsidRPr="001672EA">
        <w:rPr>
          <w:rFonts w:ascii="Palatino Linotype" w:eastAsia="MS Mincho" w:hAnsi="Palatino Linotype" w:cs="Times New Roman"/>
          <w:b/>
          <w:color w:val="000000"/>
        </w:rPr>
        <w:t xml:space="preserve">. </w:t>
      </w:r>
      <w:r w:rsidRPr="001672EA">
        <w:rPr>
          <w:rFonts w:ascii="Palatino Linotype" w:eastAsia="MS Mincho" w:hAnsi="Palatino Linotype" w:cs="Times New Roman"/>
          <w:color w:val="000000"/>
        </w:rPr>
        <w:t xml:space="preserve">Notifíquese al </w:t>
      </w:r>
      <w:r w:rsidRPr="001672EA">
        <w:rPr>
          <w:rFonts w:ascii="Palatino Linotype" w:eastAsia="MS Mincho" w:hAnsi="Palatino Linotype" w:cs="Times New Roman"/>
          <w:b/>
          <w:bCs/>
          <w:color w:val="000000"/>
        </w:rPr>
        <w:t>RECURRENTE</w:t>
      </w:r>
      <w:r w:rsidRPr="001672EA">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1672EA" w:rsidRDefault="00743CAC" w:rsidP="00743CAC">
      <w:pPr>
        <w:spacing w:line="360" w:lineRule="auto"/>
        <w:jc w:val="both"/>
        <w:rPr>
          <w:rFonts w:ascii="Palatino Linotype" w:hAnsi="Palatino Linotype"/>
          <w:b/>
        </w:rPr>
      </w:pPr>
    </w:p>
    <w:p w14:paraId="2A314043" w14:textId="7FD33A16" w:rsidR="00743CAC" w:rsidRPr="001672EA" w:rsidRDefault="00743CAC" w:rsidP="00743CAC">
      <w:pPr>
        <w:spacing w:line="360" w:lineRule="auto"/>
        <w:jc w:val="both"/>
        <w:rPr>
          <w:rFonts w:ascii="Palatino Linotype" w:eastAsia="MS Mincho" w:hAnsi="Palatino Linotype" w:cs="Times New Roman"/>
          <w:color w:val="000000"/>
        </w:rPr>
      </w:pPr>
      <w:r w:rsidRPr="001672EA">
        <w:rPr>
          <w:rFonts w:ascii="Palatino Linotype" w:eastAsia="MS Mincho" w:hAnsi="Palatino Linotype" w:cs="Times New Roman"/>
          <w:b/>
          <w:sz w:val="28"/>
          <w:szCs w:val="28"/>
        </w:rPr>
        <w:t>SEXTO</w:t>
      </w:r>
      <w:r w:rsidRPr="001672EA">
        <w:rPr>
          <w:rFonts w:ascii="Palatino Linotype" w:eastAsia="MS Mincho" w:hAnsi="Palatino Linotype" w:cs="Times New Roman"/>
          <w:b/>
          <w:color w:val="000000"/>
        </w:rPr>
        <w:t xml:space="preserve">. </w:t>
      </w:r>
      <w:r w:rsidRPr="001672EA">
        <w:rPr>
          <w:rFonts w:ascii="Palatino Linotype" w:eastAsia="MS Mincho" w:hAnsi="Palatino Linotype" w:cs="Times New Roman"/>
          <w:color w:val="000000"/>
        </w:rPr>
        <w:t xml:space="preserve">Se </w:t>
      </w:r>
      <w:bookmarkEnd w:id="25"/>
      <w:r w:rsidRPr="001672EA">
        <w:rPr>
          <w:rFonts w:ascii="Palatino Linotype" w:eastAsia="MS Mincho" w:hAnsi="Palatino Linotype" w:cs="Times New Roman"/>
          <w:color w:val="000000" w:themeColor="text1"/>
        </w:rPr>
        <w:t>hace del conocimiento del</w:t>
      </w:r>
      <w:r w:rsidRPr="001672EA">
        <w:rPr>
          <w:rFonts w:ascii="Palatino Linotype" w:eastAsia="MS Mincho" w:hAnsi="Palatino Linotype" w:cs="Times New Roman"/>
          <w:b/>
          <w:color w:val="000000" w:themeColor="text1"/>
        </w:rPr>
        <w:t xml:space="preserve"> RECURRENTE </w:t>
      </w:r>
      <w:r w:rsidRPr="001672EA">
        <w:rPr>
          <w:rFonts w:ascii="Palatino Linotype" w:eastAsia="MS Mincho" w:hAnsi="Palatino Linotype" w:cs="Times New Roman"/>
          <w:color w:val="000000" w:themeColor="text1"/>
        </w:rPr>
        <w:t xml:space="preserve">que, </w:t>
      </w:r>
      <w:r w:rsidR="00F75114" w:rsidRPr="001672EA">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1672EA">
        <w:rPr>
          <w:rFonts w:ascii="Palatino Linotype" w:eastAsia="MS Mincho" w:hAnsi="Palatino Linotype" w:cs="Times New Roman"/>
          <w:bCs/>
          <w:color w:val="000000"/>
        </w:rPr>
        <w:t>vía juicio de amparo</w:t>
      </w:r>
      <w:r w:rsidR="00F75114" w:rsidRPr="001672EA">
        <w:rPr>
          <w:rFonts w:ascii="Palatino Linotype" w:eastAsia="MS Mincho" w:hAnsi="Palatino Linotype" w:cs="Times New Roman"/>
          <w:color w:val="000000"/>
        </w:rPr>
        <w:t xml:space="preserve"> en los términos de las leyes aplicables</w:t>
      </w:r>
      <w:r w:rsidR="00C603F1" w:rsidRPr="001672EA">
        <w:rPr>
          <w:rFonts w:ascii="Palatino Linotype" w:eastAsia="MS Mincho" w:hAnsi="Palatino Linotype"/>
          <w:color w:val="000000" w:themeColor="text1"/>
        </w:rPr>
        <w:t>.</w:t>
      </w:r>
    </w:p>
    <w:p w14:paraId="35177F2C" w14:textId="77777777" w:rsidR="002578EE" w:rsidRPr="001672EA" w:rsidRDefault="002578EE" w:rsidP="002578EE">
      <w:pPr>
        <w:spacing w:line="360" w:lineRule="auto"/>
        <w:jc w:val="both"/>
        <w:rPr>
          <w:rFonts w:ascii="Palatino Linotype" w:eastAsia="MS Mincho" w:hAnsi="Palatino Linotype" w:cs="Times New Roman"/>
          <w:color w:val="000000"/>
        </w:rPr>
      </w:pPr>
    </w:p>
    <w:p w14:paraId="39B11B67" w14:textId="63EFA3A0" w:rsidR="00560A81" w:rsidRPr="00F67C7C" w:rsidRDefault="00560A81" w:rsidP="00560A81">
      <w:pPr>
        <w:spacing w:line="360" w:lineRule="auto"/>
        <w:ind w:right="48"/>
        <w:jc w:val="both"/>
        <w:rPr>
          <w:rFonts w:ascii="Palatino Linotype" w:hAnsi="Palatino Linotype"/>
          <w:color w:val="000000" w:themeColor="text1"/>
        </w:rPr>
      </w:pPr>
      <w:r w:rsidRPr="001672EA">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C83C79" w:rsidRPr="001672EA">
        <w:rPr>
          <w:rFonts w:ascii="Palatino Linotype" w:hAnsi="Palatino Linotype"/>
          <w:color w:val="000000" w:themeColor="text1"/>
        </w:rPr>
        <w:t>ARON CRISTINA MORALES MARTÍNEZ</w:t>
      </w:r>
      <w:r w:rsidRPr="001672EA">
        <w:rPr>
          <w:rFonts w:ascii="Palatino Linotype" w:hAnsi="Palatino Linotype"/>
          <w:color w:val="000000" w:themeColor="text1"/>
        </w:rPr>
        <w:t>, LUIS GUSTAVO PARRA NORIEGA</w:t>
      </w:r>
      <w:r w:rsidR="001672EA" w:rsidRPr="001672EA">
        <w:rPr>
          <w:rFonts w:ascii="Palatino Linotype" w:hAnsi="Palatino Linotype"/>
          <w:color w:val="000000" w:themeColor="text1"/>
        </w:rPr>
        <w:t>;</w:t>
      </w:r>
      <w:r w:rsidRPr="001672EA">
        <w:rPr>
          <w:rFonts w:ascii="Palatino Linotype" w:hAnsi="Palatino Linotype"/>
          <w:color w:val="000000" w:themeColor="text1"/>
        </w:rPr>
        <w:t xml:space="preserve"> Y GUADALUPE RAMÍREZ PEÑA</w:t>
      </w:r>
      <w:r w:rsidR="00F67C7C" w:rsidRPr="001672EA">
        <w:rPr>
          <w:rFonts w:ascii="Palatino Linotype" w:hAnsi="Palatino Linotype"/>
          <w:color w:val="000000" w:themeColor="text1"/>
        </w:rPr>
        <w:t xml:space="preserve"> </w:t>
      </w:r>
      <w:r w:rsidR="00F67C7C" w:rsidRPr="001672EA">
        <w:rPr>
          <w:rStyle w:val="Referenciasutil"/>
          <w:rFonts w:ascii="Palatino Linotype" w:hAnsi="Palatino Linotype"/>
          <w:color w:val="000000" w:themeColor="text1"/>
        </w:rPr>
        <w:t>EMITIENDO VOTO PARTICULAR</w:t>
      </w:r>
      <w:r w:rsidRPr="001672EA">
        <w:rPr>
          <w:rFonts w:ascii="Palatino Linotype" w:hAnsi="Palatino Linotype"/>
          <w:color w:val="000000" w:themeColor="text1"/>
        </w:rPr>
        <w:t xml:space="preserve">; EN LA </w:t>
      </w:r>
      <w:r w:rsidR="00215EC9" w:rsidRPr="001672EA">
        <w:rPr>
          <w:rFonts w:ascii="Palatino Linotype" w:hAnsi="Palatino Linotype"/>
          <w:color w:val="000000" w:themeColor="text1"/>
        </w:rPr>
        <w:t>CUARTA</w:t>
      </w:r>
      <w:r w:rsidRPr="001672EA">
        <w:rPr>
          <w:rFonts w:ascii="Palatino Linotype" w:hAnsi="Palatino Linotype"/>
          <w:color w:val="000000" w:themeColor="text1"/>
        </w:rPr>
        <w:t xml:space="preserve"> SESIÓN  ORDINARIA, CELEBRADA EL </w:t>
      </w:r>
      <w:r w:rsidR="00215EC9" w:rsidRPr="001672EA">
        <w:rPr>
          <w:rFonts w:ascii="Palatino Linotype" w:hAnsi="Palatino Linotype"/>
          <w:color w:val="000000" w:themeColor="text1"/>
        </w:rPr>
        <w:t xml:space="preserve">OCHO (08) DE FEBRERO </w:t>
      </w:r>
      <w:r w:rsidR="0053156D" w:rsidRPr="001672EA">
        <w:rPr>
          <w:rFonts w:ascii="Palatino Linotype" w:hAnsi="Palatino Linotype"/>
          <w:color w:val="000000" w:themeColor="text1"/>
        </w:rPr>
        <w:t>DE DOS MIL VEINTICUATRO</w:t>
      </w:r>
      <w:r w:rsidRPr="001672EA">
        <w:rPr>
          <w:rFonts w:ascii="Palatino Linotype" w:hAnsi="Palatino Linotype"/>
          <w:color w:val="000000" w:themeColor="text1"/>
        </w:rPr>
        <w:t>, ANTE EL SECRETARIO TÉCNICO DEL PLENO ALEXIS TAPIA RAMÍREZ</w:t>
      </w:r>
      <w:r w:rsidR="0053156D" w:rsidRPr="001672EA">
        <w:rPr>
          <w:rFonts w:ascii="Palatino Linotype" w:hAnsi="Palatino Linotype"/>
          <w:color w:val="000000" w:themeColor="text1"/>
        </w:rPr>
        <w:t>.</w:t>
      </w:r>
    </w:p>
    <w:p w14:paraId="7EFA4F21" w14:textId="77777777" w:rsidR="00895335" w:rsidRPr="00F86EA3" w:rsidRDefault="00895335">
      <w:pPr>
        <w:rPr>
          <w:rFonts w:ascii="Palatino Linotype" w:hAnsi="Palatino Linotype" w:cs="Arial"/>
          <w:color w:val="000000" w:themeColor="text1"/>
        </w:rPr>
      </w:pPr>
      <w:r w:rsidRPr="00F86EA3">
        <w:rPr>
          <w:rFonts w:ascii="Palatino Linotype" w:hAnsi="Palatino Linotype" w:cs="Arial"/>
          <w:color w:val="000000" w:themeColor="text1"/>
        </w:rPr>
        <w:br w:type="page"/>
      </w:r>
    </w:p>
    <w:p w14:paraId="7B651527" w14:textId="77777777" w:rsidR="001672EA" w:rsidRPr="00F86EA3" w:rsidRDefault="001672EA">
      <w:pPr>
        <w:rPr>
          <w:rFonts w:ascii="Palatino Linotype" w:hAnsi="Palatino Linotype" w:cs="Arial"/>
          <w:color w:val="000000" w:themeColor="text1"/>
        </w:rPr>
      </w:pPr>
    </w:p>
    <w:sectPr w:rsidR="001672EA" w:rsidRPr="00F86EA3" w:rsidSect="006D57BE">
      <w:headerReference w:type="default" r:id="rId15"/>
      <w:footerReference w:type="default" r:id="rId16"/>
      <w:headerReference w:type="first" r:id="rId17"/>
      <w:footerReference w:type="first" r:id="rId18"/>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31B22" w14:textId="77777777" w:rsidR="00CB153B" w:rsidRDefault="00CB153B" w:rsidP="00587366">
      <w:r>
        <w:separator/>
      </w:r>
    </w:p>
  </w:endnote>
  <w:endnote w:type="continuationSeparator" w:id="0">
    <w:p w14:paraId="6BDAEE6A" w14:textId="77777777" w:rsidR="00CB153B" w:rsidRDefault="00CB153B" w:rsidP="00587366">
      <w:r>
        <w:continuationSeparator/>
      </w:r>
    </w:p>
  </w:endnote>
  <w:endnote w:type="continuationNotice" w:id="1">
    <w:p w14:paraId="20D88F59" w14:textId="77777777" w:rsidR="00CB153B" w:rsidRDefault="00CB15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ED3E6C" w:rsidRPr="00883450" w:rsidRDefault="00ED3E6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672EA">
              <w:rPr>
                <w:rFonts w:ascii="Palatino Linotype" w:hAnsi="Palatino Linotype"/>
                <w:b/>
                <w:bCs/>
                <w:noProof/>
                <w:sz w:val="22"/>
                <w:szCs w:val="20"/>
              </w:rPr>
              <w:t>81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672EA">
              <w:rPr>
                <w:rFonts w:ascii="Palatino Linotype" w:hAnsi="Palatino Linotype"/>
                <w:b/>
                <w:bCs/>
                <w:noProof/>
                <w:sz w:val="22"/>
                <w:szCs w:val="20"/>
              </w:rPr>
              <w:t>81</w:t>
            </w:r>
            <w:r w:rsidRPr="00883450">
              <w:rPr>
                <w:rFonts w:ascii="Palatino Linotype" w:hAnsi="Palatino Linotype"/>
                <w:b/>
                <w:bCs/>
                <w:sz w:val="22"/>
                <w:szCs w:val="20"/>
              </w:rPr>
              <w:fldChar w:fldCharType="end"/>
            </w:r>
          </w:p>
        </w:sdtContent>
      </w:sdt>
    </w:sdtContent>
  </w:sdt>
  <w:p w14:paraId="6243EC1B" w14:textId="1BF2D794" w:rsidR="00ED3E6C" w:rsidRDefault="00ED3E6C">
    <w:pPr>
      <w:pStyle w:val="Piedepgina"/>
    </w:pPr>
    <w:r>
      <w:rPr>
        <w:noProof/>
        <w:lang w:eastAsia="es-MX"/>
      </w:rPr>
      <w:drawing>
        <wp:anchor distT="0" distB="0" distL="114300" distR="114300" simplePos="0" relativeHeight="251657216" behindDoc="1" locked="0" layoutInCell="0" allowOverlap="1" wp14:anchorId="1A29E15A" wp14:editId="299A7E82">
          <wp:simplePos x="0" y="0"/>
          <wp:positionH relativeFrom="page">
            <wp:posOffset>31750</wp:posOffset>
          </wp:positionH>
          <wp:positionV relativeFrom="page">
            <wp:posOffset>0</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ED3E6C" w:rsidRPr="00883450" w:rsidRDefault="00ED3E6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672EA" w:rsidRPr="001672E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672EA" w:rsidRPr="001672EA">
      <w:rPr>
        <w:rFonts w:ascii="Palatino Linotype" w:hAnsi="Palatino Linotype"/>
        <w:noProof/>
        <w:sz w:val="22"/>
        <w:szCs w:val="22"/>
        <w:lang w:val="es-ES"/>
      </w:rPr>
      <w:t>81</w:t>
    </w:r>
    <w:r w:rsidRPr="00883450">
      <w:rPr>
        <w:rFonts w:ascii="Palatino Linotype" w:hAnsi="Palatino Linotype"/>
        <w:sz w:val="22"/>
        <w:szCs w:val="22"/>
      </w:rPr>
      <w:fldChar w:fldCharType="end"/>
    </w:r>
  </w:p>
  <w:p w14:paraId="5F5C4865" w14:textId="6B993D8B" w:rsidR="00ED3E6C" w:rsidRPr="00883450" w:rsidRDefault="00ED3E6C">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522B6" w14:textId="77777777" w:rsidR="00CB153B" w:rsidRDefault="00CB153B" w:rsidP="00587366">
      <w:r>
        <w:separator/>
      </w:r>
    </w:p>
  </w:footnote>
  <w:footnote w:type="continuationSeparator" w:id="0">
    <w:p w14:paraId="118D2795" w14:textId="77777777" w:rsidR="00CB153B" w:rsidRDefault="00CB153B" w:rsidP="00587366">
      <w:r>
        <w:continuationSeparator/>
      </w:r>
    </w:p>
  </w:footnote>
  <w:footnote w:type="continuationNotice" w:id="1">
    <w:p w14:paraId="3F5583B0" w14:textId="77777777" w:rsidR="00CB153B" w:rsidRDefault="00CB153B"/>
  </w:footnote>
  <w:footnote w:id="2">
    <w:p w14:paraId="0D450E59" w14:textId="77777777" w:rsidR="00ED3E6C" w:rsidRPr="00C7183E" w:rsidRDefault="00ED3E6C" w:rsidP="008F4D8E">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2D44310B" w14:textId="77777777" w:rsidR="00ED3E6C" w:rsidRDefault="00ED3E6C" w:rsidP="008F4D8E">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2C1A3C21" w14:textId="77777777" w:rsidR="00ED3E6C" w:rsidRDefault="00ED3E6C" w:rsidP="008F4D8E">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1AD34A50" w14:textId="77777777" w:rsidR="00ED3E6C" w:rsidRDefault="00ED3E6C" w:rsidP="004B20FF">
      <w:pPr>
        <w:pStyle w:val="Textonotapie"/>
      </w:pPr>
      <w:r>
        <w:rPr>
          <w:rStyle w:val="Refdenotaalpie"/>
        </w:rPr>
        <w:footnoteRef/>
      </w:r>
      <w:r>
        <w:t xml:space="preserve"> Artículo 50, Ley de Transparencia y Acceso a la Información Pública del Estado de México y Municipios.</w:t>
      </w:r>
    </w:p>
  </w:footnote>
  <w:footnote w:id="6">
    <w:p w14:paraId="36D6ACD7" w14:textId="77777777" w:rsidR="00ED3E6C" w:rsidRDefault="00ED3E6C" w:rsidP="004B20FF">
      <w:pPr>
        <w:pStyle w:val="Textonotapie"/>
      </w:pPr>
      <w:r>
        <w:rPr>
          <w:rStyle w:val="Refdenotaalpie"/>
        </w:rPr>
        <w:footnoteRef/>
      </w:r>
      <w:r>
        <w:t xml:space="preserve"> Artículo 51, Ídem.</w:t>
      </w:r>
    </w:p>
  </w:footnote>
  <w:footnote w:id="7">
    <w:p w14:paraId="64B17C69" w14:textId="77777777" w:rsidR="00ED3E6C" w:rsidRDefault="00ED3E6C" w:rsidP="004B20FF">
      <w:pPr>
        <w:pStyle w:val="Textonotapie"/>
      </w:pPr>
      <w:r>
        <w:rPr>
          <w:rStyle w:val="Refdenotaalpie"/>
        </w:rPr>
        <w:footnoteRef/>
      </w:r>
      <w:r>
        <w:t xml:space="preserve"> Artículo 58, Ley de Transparencia y Acceso a la Información Pública del Estado de México y Municipios.</w:t>
      </w:r>
    </w:p>
  </w:footnote>
  <w:footnote w:id="8">
    <w:p w14:paraId="07FEACDA" w14:textId="77777777" w:rsidR="00ED3E6C" w:rsidRDefault="00ED3E6C" w:rsidP="004B20FF">
      <w:pPr>
        <w:pStyle w:val="Textonotapie"/>
      </w:pPr>
      <w:r>
        <w:rPr>
          <w:rStyle w:val="Refdenotaalpie"/>
        </w:rPr>
        <w:footnoteRef/>
      </w:r>
      <w:r>
        <w:t xml:space="preserve"> Artículo 59, Ídem.</w:t>
      </w:r>
    </w:p>
  </w:footnote>
  <w:footnote w:id="9">
    <w:p w14:paraId="16300020" w14:textId="77777777" w:rsidR="00ED3E6C" w:rsidRDefault="00ED3E6C" w:rsidP="00B136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0">
    <w:p w14:paraId="4A81956E" w14:textId="77777777" w:rsidR="00ED3E6C" w:rsidRDefault="00ED3E6C" w:rsidP="00B136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1">
    <w:p w14:paraId="684E7393" w14:textId="77777777" w:rsidR="00ED3E6C" w:rsidRDefault="00ED3E6C" w:rsidP="00B136E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24B4CDB5" w14:textId="77777777" w:rsidR="00ED3E6C" w:rsidRDefault="00ED3E6C" w:rsidP="00B136E2">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r>
        <w:rPr>
          <w:rFonts w:ascii="Palatino Linotype" w:eastAsia="Palatino Linotype" w:hAnsi="Palatino Linotype" w:cs="Palatino Linotype"/>
          <w:color w:val="000000"/>
          <w:sz w:val="18"/>
          <w:szCs w:val="18"/>
        </w:rPr>
        <w:t>.(…)</w:t>
      </w:r>
    </w:p>
    <w:p w14:paraId="47446388" w14:textId="77777777" w:rsidR="00ED3E6C" w:rsidRDefault="00ED3E6C" w:rsidP="00B136E2">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25AB3CE3" w14:textId="77777777" w:rsidR="00ED3E6C" w:rsidRDefault="00ED3E6C" w:rsidP="00B136E2">
      <w:pPr>
        <w:pBdr>
          <w:top w:val="nil"/>
          <w:left w:val="nil"/>
          <w:bottom w:val="nil"/>
          <w:right w:val="nil"/>
          <w:between w:val="nil"/>
        </w:pBdr>
        <w:rPr>
          <w:color w:val="000000"/>
          <w:sz w:val="20"/>
          <w:szCs w:val="20"/>
        </w:rPr>
      </w:pPr>
      <w:r>
        <w:rPr>
          <w:color w:val="000000"/>
          <w:sz w:val="20"/>
          <w:szCs w:val="20"/>
        </w:rPr>
        <w:t>(…)”</w:t>
      </w:r>
    </w:p>
  </w:footnote>
  <w:footnote w:id="12">
    <w:p w14:paraId="695E53D1" w14:textId="77777777" w:rsidR="00ED3E6C" w:rsidRDefault="00ED3E6C" w:rsidP="00F341F5">
      <w:pPr>
        <w:pStyle w:val="Textonotapie"/>
      </w:pPr>
      <w:r>
        <w:rPr>
          <w:rStyle w:val="Refdenotaalpie"/>
        </w:rPr>
        <w:footnoteRef/>
      </w:r>
      <w:r>
        <w:t xml:space="preserve"> Artículo 129, Constitución Política del Estado Libre y Soberano de México.</w:t>
      </w:r>
    </w:p>
  </w:footnote>
  <w:footnote w:id="13">
    <w:p w14:paraId="62C25A41" w14:textId="77777777" w:rsidR="00ED3E6C" w:rsidRDefault="00ED3E6C" w:rsidP="00F341F5">
      <w:pPr>
        <w:pStyle w:val="Textonotapie"/>
      </w:pPr>
      <w:r>
        <w:rPr>
          <w:rStyle w:val="Refdenotaalpie"/>
        </w:rPr>
        <w:footnoteRef/>
      </w:r>
      <w:r>
        <w:t xml:space="preserve"> Artículo 1, Ley de Contratación Pública del Estado de México y Municipios.</w:t>
      </w:r>
    </w:p>
  </w:footnote>
  <w:footnote w:id="14">
    <w:p w14:paraId="550D6DF1" w14:textId="77777777" w:rsidR="00ED3E6C" w:rsidRDefault="00ED3E6C" w:rsidP="00F341F5">
      <w:pPr>
        <w:pStyle w:val="Textonotapie"/>
      </w:pPr>
      <w:r>
        <w:rPr>
          <w:rStyle w:val="Refdenotaalpie"/>
        </w:rPr>
        <w:footnoteRef/>
      </w:r>
      <w:r>
        <w:t xml:space="preserve"> Artículo 22, Ley de contratación Pública del Estado de México y Municipios.</w:t>
      </w:r>
    </w:p>
  </w:footnote>
  <w:footnote w:id="15">
    <w:p w14:paraId="7F3F99D4" w14:textId="77777777" w:rsidR="00ED3E6C" w:rsidRPr="005C675F" w:rsidRDefault="00ED3E6C" w:rsidP="00F341F5">
      <w:pPr>
        <w:pStyle w:val="Textonotapie"/>
      </w:pPr>
      <w:r>
        <w:rPr>
          <w:rStyle w:val="Refdenotaalpie"/>
        </w:rPr>
        <w:footnoteRef/>
      </w:r>
      <w:r>
        <w:t xml:space="preserve"> Artículo 24, Ley de Contratación Pública del Estado de México y Municipios.</w:t>
      </w:r>
    </w:p>
  </w:footnote>
  <w:footnote w:id="16">
    <w:p w14:paraId="45FD4DB4" w14:textId="77777777" w:rsidR="00ED3E6C" w:rsidRPr="005C675F" w:rsidRDefault="00ED3E6C" w:rsidP="00F341F5">
      <w:pPr>
        <w:pStyle w:val="Textonotapie"/>
      </w:pPr>
      <w:r>
        <w:rPr>
          <w:rStyle w:val="Refdenotaalpie"/>
        </w:rPr>
        <w:footnoteRef/>
      </w:r>
      <w:r>
        <w:t xml:space="preserve"> Artículo 26, Ídem.</w:t>
      </w:r>
    </w:p>
  </w:footnote>
  <w:footnote w:id="17">
    <w:p w14:paraId="219ADD9D" w14:textId="77777777" w:rsidR="00ED3E6C" w:rsidRPr="005C675F" w:rsidRDefault="00ED3E6C" w:rsidP="00F341F5">
      <w:pPr>
        <w:pStyle w:val="Textonotapie"/>
      </w:pPr>
      <w:r>
        <w:rPr>
          <w:rStyle w:val="Refdenotaalpie"/>
        </w:rPr>
        <w:footnoteRef/>
      </w:r>
      <w:r>
        <w:t xml:space="preserve"> Artículo 27, Ídem.</w:t>
      </w:r>
    </w:p>
  </w:footnote>
  <w:footnote w:id="18">
    <w:p w14:paraId="36B45C29" w14:textId="5F65D6B5" w:rsidR="00ED3E6C" w:rsidRDefault="00ED3E6C">
      <w:pPr>
        <w:pStyle w:val="Textonotapie"/>
      </w:pPr>
      <w:r>
        <w:rPr>
          <w:rStyle w:val="Refdenotaalpie"/>
        </w:rPr>
        <w:footnoteRef/>
      </w:r>
      <w:r>
        <w:t xml:space="preserve"> Artículo 1, </w:t>
      </w:r>
      <w:r w:rsidRPr="009C7D30">
        <w:t>Ley de Documentos Administrativos e Históricos del Estado de México</w:t>
      </w:r>
    </w:p>
  </w:footnote>
  <w:footnote w:id="19">
    <w:p w14:paraId="508426FA" w14:textId="42DFBE6D" w:rsidR="00ED3E6C" w:rsidRDefault="00ED3E6C">
      <w:pPr>
        <w:pStyle w:val="Textonotapie"/>
      </w:pPr>
      <w:r>
        <w:rPr>
          <w:rStyle w:val="Refdenotaalpie"/>
        </w:rPr>
        <w:footnoteRef/>
      </w:r>
      <w:r>
        <w:t xml:space="preserve"> Artículo 31, </w:t>
      </w:r>
      <w:r w:rsidRPr="009C7D30">
        <w:t>Ley de Documentos Administrativos e Históricos del Estado de México</w:t>
      </w:r>
    </w:p>
  </w:footnote>
  <w:footnote w:id="20">
    <w:p w14:paraId="62F9D72B" w14:textId="77D02EC4" w:rsidR="00ED3E6C" w:rsidRDefault="00ED3E6C">
      <w:pPr>
        <w:pStyle w:val="Textonotapie"/>
      </w:pPr>
      <w:r>
        <w:rPr>
          <w:rStyle w:val="Refdenotaalpie"/>
        </w:rPr>
        <w:footnoteRef/>
      </w:r>
      <w:r>
        <w:t xml:space="preserve"> Lineamiento Primero, Lineamientos para la Organización y  Conservación de los Archivos</w:t>
      </w:r>
    </w:p>
  </w:footnote>
  <w:footnote w:id="21">
    <w:p w14:paraId="469ADAC8" w14:textId="77777777" w:rsidR="00ED3E6C" w:rsidRDefault="00ED3E6C" w:rsidP="009713B5">
      <w:pPr>
        <w:pStyle w:val="Textonotapie"/>
      </w:pPr>
      <w:r>
        <w:rPr>
          <w:rStyle w:val="Refdenotaalpie"/>
        </w:rPr>
        <w:footnoteRef/>
      </w:r>
      <w:r>
        <w:t xml:space="preserve"> Artículo 86, Ley Orgánica Municipal del Estado de México.</w:t>
      </w:r>
    </w:p>
  </w:footnote>
  <w:footnote w:id="22">
    <w:p w14:paraId="3DC7F942" w14:textId="77777777" w:rsidR="00ED3E6C" w:rsidRDefault="00ED3E6C" w:rsidP="009713B5">
      <w:pPr>
        <w:pStyle w:val="Textonotapie"/>
      </w:pPr>
      <w:r>
        <w:rPr>
          <w:rStyle w:val="Refdenotaalpie"/>
        </w:rPr>
        <w:footnoteRef/>
      </w:r>
      <w:r>
        <w:t xml:space="preserve"> Artículo 87, Ídem.</w:t>
      </w:r>
    </w:p>
  </w:footnote>
  <w:footnote w:id="23">
    <w:p w14:paraId="7D216520" w14:textId="49CCC174" w:rsidR="00ED3E6C" w:rsidRDefault="00ED3E6C">
      <w:pPr>
        <w:pStyle w:val="Textonotapie"/>
      </w:pPr>
      <w:r>
        <w:rPr>
          <w:rStyle w:val="Refdenotaalpie"/>
        </w:rPr>
        <w:footnoteRef/>
      </w:r>
      <w:r>
        <w:t xml:space="preserve"> Artículo 26, Bando Municipal 2022 de Texcoco.</w:t>
      </w:r>
    </w:p>
  </w:footnote>
  <w:footnote w:id="24">
    <w:p w14:paraId="5231876B" w14:textId="53141975" w:rsidR="00ED3E6C" w:rsidRDefault="00ED3E6C">
      <w:pPr>
        <w:pStyle w:val="Textonotapie"/>
      </w:pPr>
      <w:r>
        <w:rPr>
          <w:rStyle w:val="Refdenotaalpie"/>
        </w:rPr>
        <w:footnoteRef/>
      </w:r>
      <w:r>
        <w:t xml:space="preserve"> Artículo 28, Ídem.</w:t>
      </w:r>
    </w:p>
  </w:footnote>
  <w:footnote w:id="25">
    <w:p w14:paraId="0B4EF582" w14:textId="1C7D0D3B" w:rsidR="00ED3E6C" w:rsidRDefault="00ED3E6C">
      <w:pPr>
        <w:pStyle w:val="Textonotapie"/>
      </w:pPr>
      <w:r>
        <w:rPr>
          <w:rStyle w:val="Refdenotaalpie"/>
        </w:rPr>
        <w:footnoteRef/>
      </w:r>
      <w:r>
        <w:t xml:space="preserve"> Artículo 82, Bando Municipal 2022 de Texcoco.</w:t>
      </w:r>
    </w:p>
  </w:footnote>
  <w:footnote w:id="26">
    <w:p w14:paraId="2CD99B9D" w14:textId="19587C06" w:rsidR="00ED3E6C" w:rsidRDefault="00ED3E6C">
      <w:pPr>
        <w:pStyle w:val="Textonotapie"/>
      </w:pPr>
      <w:r>
        <w:rPr>
          <w:rStyle w:val="Refdenotaalpie"/>
        </w:rPr>
        <w:footnoteRef/>
      </w:r>
      <w:r>
        <w:t xml:space="preserve"> Artículo 17.1, Código Administrativo del Estado de México.</w:t>
      </w:r>
    </w:p>
  </w:footnote>
  <w:footnote w:id="27">
    <w:p w14:paraId="312B3735" w14:textId="111A2CB2" w:rsidR="00ED3E6C" w:rsidRDefault="00ED3E6C">
      <w:pPr>
        <w:pStyle w:val="Textonotapie"/>
      </w:pPr>
      <w:r>
        <w:rPr>
          <w:rStyle w:val="Refdenotaalpie"/>
        </w:rPr>
        <w:footnoteRef/>
      </w:r>
      <w:r>
        <w:t xml:space="preserve"> Ibídem.</w:t>
      </w:r>
    </w:p>
  </w:footnote>
  <w:footnote w:id="28">
    <w:p w14:paraId="689982A2" w14:textId="6B07A71B" w:rsidR="00ED3E6C" w:rsidRDefault="00ED3E6C">
      <w:pPr>
        <w:pStyle w:val="Textonotapie"/>
      </w:pPr>
      <w:r>
        <w:rPr>
          <w:rStyle w:val="Refdenotaalpie"/>
        </w:rPr>
        <w:footnoteRef/>
      </w:r>
      <w:r>
        <w:t xml:space="preserve"> Artículo 17.23, Código Administrativo del Estado de México.</w:t>
      </w:r>
    </w:p>
  </w:footnote>
  <w:footnote w:id="29">
    <w:p w14:paraId="0991A7BF" w14:textId="77777777" w:rsidR="00ED3E6C" w:rsidRPr="006E240A" w:rsidRDefault="00ED3E6C" w:rsidP="00372C08">
      <w:pPr>
        <w:pBdr>
          <w:top w:val="nil"/>
          <w:left w:val="nil"/>
          <w:bottom w:val="nil"/>
          <w:right w:val="nil"/>
          <w:between w:val="nil"/>
        </w:pBdr>
        <w:rPr>
          <w:color w:val="000000"/>
          <w:sz w:val="20"/>
          <w:szCs w:val="20"/>
        </w:rPr>
      </w:pPr>
      <w:r>
        <w:rPr>
          <w:vertAlign w:val="superscript"/>
        </w:rPr>
        <w:footnoteRef/>
      </w:r>
      <w:r w:rsidRPr="006E240A">
        <w:rPr>
          <w:rFonts w:ascii="Cambria" w:eastAsia="Cambria" w:hAnsi="Cambria" w:cs="Cambria"/>
          <w:color w:val="000000"/>
          <w:sz w:val="20"/>
          <w:szCs w:val="20"/>
        </w:rPr>
        <w:t xml:space="preserve"> Lo anterior es incluso un requerimiento del Sistema Interamericano de Protección a los Derechos Humanos.</w:t>
      </w:r>
    </w:p>
  </w:footnote>
  <w:footnote w:id="30">
    <w:p w14:paraId="0C34B590" w14:textId="77777777" w:rsidR="00ED3E6C" w:rsidRDefault="00ED3E6C" w:rsidP="00613B74">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ED3E6C" w:rsidRPr="00025127" w14:paraId="07F2896E" w14:textId="77777777" w:rsidTr="003032CB">
      <w:trPr>
        <w:trHeight w:val="138"/>
        <w:jc w:val="right"/>
      </w:trPr>
      <w:tc>
        <w:tcPr>
          <w:tcW w:w="3686" w:type="dxa"/>
          <w:vAlign w:val="center"/>
        </w:tcPr>
        <w:p w14:paraId="4A5B1974" w14:textId="172F35BB" w:rsidR="00ED3E6C" w:rsidRPr="00025127" w:rsidRDefault="00ED3E6C"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0B1E80A7" w:rsidR="00ED3E6C" w:rsidRPr="00025127" w:rsidRDefault="00ED3E6C" w:rsidP="00F25B61">
          <w:pPr>
            <w:pStyle w:val="Encabezado"/>
            <w:jc w:val="both"/>
            <w:rPr>
              <w:rFonts w:ascii="Palatino Linotype" w:hAnsi="Palatino Linotype"/>
              <w:b/>
              <w:sz w:val="22"/>
              <w:szCs w:val="22"/>
            </w:rPr>
          </w:pPr>
          <w:r>
            <w:rPr>
              <w:rFonts w:ascii="Palatino Linotype" w:hAnsi="Palatino Linotype"/>
              <w:b/>
              <w:sz w:val="22"/>
              <w:szCs w:val="22"/>
            </w:rPr>
            <w:t>08723</w:t>
          </w:r>
          <w:r w:rsidRPr="00025127">
            <w:rPr>
              <w:rFonts w:ascii="Palatino Linotype" w:hAnsi="Palatino Linotype"/>
              <w:b/>
              <w:sz w:val="22"/>
              <w:szCs w:val="22"/>
            </w:rPr>
            <w:t>/INFOEM/IP/RR/</w:t>
          </w:r>
          <w:r>
            <w:rPr>
              <w:rFonts w:ascii="Palatino Linotype" w:hAnsi="Palatino Linotype"/>
              <w:b/>
              <w:sz w:val="22"/>
              <w:szCs w:val="22"/>
            </w:rPr>
            <w:t>2022</w:t>
          </w:r>
        </w:p>
      </w:tc>
    </w:tr>
    <w:tr w:rsidR="00ED3E6C" w:rsidRPr="00025127" w14:paraId="1B5D8690" w14:textId="77777777" w:rsidTr="003032CB">
      <w:trPr>
        <w:trHeight w:val="233"/>
        <w:jc w:val="right"/>
      </w:trPr>
      <w:tc>
        <w:tcPr>
          <w:tcW w:w="3686" w:type="dxa"/>
          <w:vAlign w:val="center"/>
        </w:tcPr>
        <w:p w14:paraId="3903F2C6" w14:textId="22D569F8" w:rsidR="00ED3E6C" w:rsidRPr="00025127" w:rsidRDefault="00ED3E6C" w:rsidP="001A14B4">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50C42FE3" w:rsidR="00ED3E6C" w:rsidRPr="00025127" w:rsidRDefault="00ED3E6C" w:rsidP="001A14B4">
          <w:pPr>
            <w:pStyle w:val="Encabezado"/>
            <w:rPr>
              <w:rFonts w:ascii="Palatino Linotype" w:hAnsi="Palatino Linotype"/>
              <w:b/>
              <w:sz w:val="22"/>
              <w:szCs w:val="22"/>
            </w:rPr>
          </w:pPr>
          <w:r>
            <w:rPr>
              <w:rFonts w:ascii="Palatino Linotype" w:hAnsi="Palatino Linotype"/>
              <w:b/>
              <w:bCs/>
              <w:color w:val="000000"/>
              <w:sz w:val="22"/>
              <w:szCs w:val="22"/>
            </w:rPr>
            <w:t>Ayuntamiento de Texcoco</w:t>
          </w:r>
        </w:p>
      </w:tc>
    </w:tr>
    <w:tr w:rsidR="00ED3E6C" w:rsidRPr="00025127" w14:paraId="095EB01B" w14:textId="77777777" w:rsidTr="003032CB">
      <w:trPr>
        <w:trHeight w:val="321"/>
        <w:jc w:val="right"/>
      </w:trPr>
      <w:tc>
        <w:tcPr>
          <w:tcW w:w="3686" w:type="dxa"/>
          <w:vAlign w:val="center"/>
        </w:tcPr>
        <w:p w14:paraId="6E000A51" w14:textId="05E1861A" w:rsidR="00ED3E6C" w:rsidRPr="00025127" w:rsidRDefault="00ED3E6C"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ED3E6C" w:rsidRPr="00025127" w:rsidRDefault="00ED3E6C"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00F16DEE" w:rsidR="00ED3E6C" w:rsidRDefault="00ED3E6C"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4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9"/>
    </w:tblGrid>
    <w:tr w:rsidR="00ED3E6C" w:rsidRPr="00025127" w14:paraId="0A3256F2" w14:textId="77777777" w:rsidTr="003032CB">
      <w:trPr>
        <w:trHeight w:val="138"/>
        <w:jc w:val="right"/>
      </w:trPr>
      <w:tc>
        <w:tcPr>
          <w:tcW w:w="3686" w:type="dxa"/>
          <w:vAlign w:val="center"/>
        </w:tcPr>
        <w:p w14:paraId="3D80769D" w14:textId="44A35B8D" w:rsidR="00ED3E6C" w:rsidRPr="00025127" w:rsidRDefault="00ED3E6C"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59" w:type="dxa"/>
          <w:vAlign w:val="center"/>
        </w:tcPr>
        <w:p w14:paraId="0453495E" w14:textId="08B57E15" w:rsidR="00ED3E6C" w:rsidRPr="00025127" w:rsidRDefault="00ED3E6C" w:rsidP="00F25B61">
          <w:pPr>
            <w:pStyle w:val="Encabezado"/>
            <w:rPr>
              <w:rFonts w:ascii="Palatino Linotype" w:hAnsi="Palatino Linotype"/>
              <w:b/>
              <w:sz w:val="22"/>
              <w:szCs w:val="22"/>
            </w:rPr>
          </w:pPr>
          <w:r>
            <w:rPr>
              <w:rFonts w:ascii="Palatino Linotype" w:hAnsi="Palatino Linotype"/>
              <w:b/>
              <w:sz w:val="22"/>
              <w:szCs w:val="22"/>
            </w:rPr>
            <w:t>08723</w:t>
          </w:r>
          <w:r w:rsidRPr="00025127">
            <w:rPr>
              <w:rFonts w:ascii="Palatino Linotype" w:hAnsi="Palatino Linotype"/>
              <w:b/>
              <w:sz w:val="22"/>
              <w:szCs w:val="22"/>
            </w:rPr>
            <w:t>/INFOEM/IP/RR/</w:t>
          </w:r>
          <w:r>
            <w:rPr>
              <w:rFonts w:ascii="Palatino Linotype" w:hAnsi="Palatino Linotype"/>
              <w:b/>
              <w:sz w:val="22"/>
              <w:szCs w:val="22"/>
            </w:rPr>
            <w:t>2022</w:t>
          </w:r>
        </w:p>
      </w:tc>
    </w:tr>
    <w:tr w:rsidR="00ED3E6C" w:rsidRPr="00025127" w14:paraId="128C8B3C" w14:textId="77777777" w:rsidTr="003032CB">
      <w:trPr>
        <w:trHeight w:val="233"/>
        <w:jc w:val="right"/>
      </w:trPr>
      <w:tc>
        <w:tcPr>
          <w:tcW w:w="3686" w:type="dxa"/>
          <w:vAlign w:val="center"/>
        </w:tcPr>
        <w:p w14:paraId="483E3371" w14:textId="66B1BC74" w:rsidR="00ED3E6C" w:rsidRPr="00025127" w:rsidRDefault="00ED3E6C"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59" w:type="dxa"/>
        </w:tcPr>
        <w:p w14:paraId="1548525E" w14:textId="03FBF06E" w:rsidR="00ED3E6C" w:rsidRPr="00025127" w:rsidRDefault="000904F4" w:rsidP="0058757A">
          <w:pPr>
            <w:pStyle w:val="Encabezado"/>
            <w:rPr>
              <w:rFonts w:ascii="Palatino Linotype" w:hAnsi="Palatino Linotype"/>
              <w:b/>
              <w:sz w:val="22"/>
              <w:szCs w:val="22"/>
            </w:rPr>
          </w:pPr>
          <w:r>
            <w:rPr>
              <w:rFonts w:ascii="Palatino Linotype" w:hAnsi="Palatino Linotype"/>
              <w:b/>
              <w:sz w:val="22"/>
              <w:szCs w:val="22"/>
            </w:rPr>
            <w:t xml:space="preserve">XXX </w:t>
          </w:r>
          <w:proofErr w:type="spellStart"/>
          <w:r>
            <w:rPr>
              <w:rFonts w:ascii="Palatino Linotype" w:hAnsi="Palatino Linotype"/>
              <w:b/>
              <w:sz w:val="22"/>
              <w:szCs w:val="22"/>
            </w:rPr>
            <w:t>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w:t>
          </w:r>
          <w:proofErr w:type="spellEnd"/>
        </w:p>
      </w:tc>
    </w:tr>
    <w:tr w:rsidR="00ED3E6C" w:rsidRPr="00025127" w14:paraId="41BE0704" w14:textId="77777777" w:rsidTr="003032CB">
      <w:trPr>
        <w:trHeight w:val="321"/>
        <w:jc w:val="right"/>
      </w:trPr>
      <w:tc>
        <w:tcPr>
          <w:tcW w:w="3686" w:type="dxa"/>
          <w:vAlign w:val="center"/>
        </w:tcPr>
        <w:p w14:paraId="34C64148" w14:textId="10C6C8A9" w:rsidR="00ED3E6C" w:rsidRPr="00025127" w:rsidRDefault="00ED3E6C"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59" w:type="dxa"/>
          <w:vAlign w:val="center"/>
        </w:tcPr>
        <w:p w14:paraId="34C341BF" w14:textId="51351B65" w:rsidR="00ED3E6C" w:rsidRPr="00025127" w:rsidRDefault="00ED3E6C" w:rsidP="00FD03CC">
          <w:pPr>
            <w:pStyle w:val="Encabezado"/>
            <w:rPr>
              <w:rFonts w:ascii="Palatino Linotype" w:hAnsi="Palatino Linotype"/>
              <w:b/>
              <w:sz w:val="22"/>
              <w:szCs w:val="22"/>
            </w:rPr>
          </w:pPr>
          <w:r>
            <w:rPr>
              <w:rFonts w:ascii="Palatino Linotype" w:hAnsi="Palatino Linotype"/>
              <w:b/>
              <w:bCs/>
              <w:color w:val="000000"/>
              <w:sz w:val="22"/>
              <w:szCs w:val="22"/>
            </w:rPr>
            <w:t>Ayuntamiento de Texcoco</w:t>
          </w:r>
        </w:p>
      </w:tc>
    </w:tr>
    <w:tr w:rsidR="00ED3E6C" w:rsidRPr="00025127" w14:paraId="0C8B6193" w14:textId="77777777" w:rsidTr="003032CB">
      <w:trPr>
        <w:trHeight w:val="321"/>
        <w:jc w:val="right"/>
      </w:trPr>
      <w:tc>
        <w:tcPr>
          <w:tcW w:w="3686" w:type="dxa"/>
          <w:vAlign w:val="center"/>
        </w:tcPr>
        <w:p w14:paraId="321FFAFF" w14:textId="0E8C2CE7" w:rsidR="00ED3E6C" w:rsidRPr="00025127" w:rsidRDefault="00ED3E6C"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9" w:type="dxa"/>
          <w:vAlign w:val="center"/>
        </w:tcPr>
        <w:p w14:paraId="0FECDA9D" w14:textId="6D336FD0" w:rsidR="00ED3E6C" w:rsidRPr="00025127" w:rsidRDefault="00ED3E6C"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135AC2E0" w:rsidR="00ED3E6C" w:rsidRDefault="00CB153B" w:rsidP="00472C41">
    <w:pPr>
      <w:pStyle w:val="Encabezado"/>
      <w:tabs>
        <w:tab w:val="clear" w:pos="4252"/>
        <w:tab w:val="clear" w:pos="8504"/>
        <w:tab w:val="left" w:pos="3103"/>
      </w:tabs>
    </w:pPr>
    <w:r>
      <w:rPr>
        <w:noProof/>
      </w:rPr>
      <w:pict w14:anchorId="604D6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00.1pt;margin-top:-124.35pt;width:663.5pt;height:12in;z-index:-251658240;mso-wrap-edited:f;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C448E3"/>
    <w:multiLevelType w:val="multilevel"/>
    <w:tmpl w:val="0290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22E2B"/>
    <w:multiLevelType w:val="multilevel"/>
    <w:tmpl w:val="D7FCA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A4428"/>
    <w:multiLevelType w:val="hybridMultilevel"/>
    <w:tmpl w:val="597EA79A"/>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strike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D55AD2"/>
    <w:multiLevelType w:val="multilevel"/>
    <w:tmpl w:val="DFC8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3DE23CAD"/>
    <w:multiLevelType w:val="multilevel"/>
    <w:tmpl w:val="CD18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B236FB"/>
    <w:multiLevelType w:val="hybridMultilevel"/>
    <w:tmpl w:val="73DA04A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B15A434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AD49D1"/>
    <w:multiLevelType w:val="hybridMultilevel"/>
    <w:tmpl w:val="F8103B92"/>
    <w:lvl w:ilvl="0" w:tplc="FFFFFFFF">
      <w:start w:val="1"/>
      <w:numFmt w:val="decimal"/>
      <w:lvlText w:val="%1."/>
      <w:lvlJc w:val="left"/>
      <w:pPr>
        <w:ind w:left="0" w:firstLine="0"/>
      </w:pPr>
      <w:rPr>
        <w:rFonts w:ascii="Palatino Linotype" w:hAnsi="Palatino Linotype" w:hint="default"/>
        <w:b/>
        <w:i w:val="0"/>
        <w:sz w:val="24"/>
      </w:rPr>
    </w:lvl>
    <w:lvl w:ilvl="1" w:tplc="C69033A8">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FFC2A46"/>
    <w:multiLevelType w:val="hybridMultilevel"/>
    <w:tmpl w:val="249E11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FB142F"/>
    <w:multiLevelType w:val="hybridMultilevel"/>
    <w:tmpl w:val="45788CE8"/>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1B362CD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AF091D"/>
    <w:multiLevelType w:val="multilevel"/>
    <w:tmpl w:val="95C6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ADF18ED"/>
    <w:multiLevelType w:val="hybridMultilevel"/>
    <w:tmpl w:val="9C920C1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B7F6C64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54378497">
    <w:abstractNumId w:val="9"/>
  </w:num>
  <w:num w:numId="2" w16cid:durableId="564874512">
    <w:abstractNumId w:val="11"/>
  </w:num>
  <w:num w:numId="3" w16cid:durableId="2099253141">
    <w:abstractNumId w:val="0"/>
  </w:num>
  <w:num w:numId="4" w16cid:durableId="1824353084">
    <w:abstractNumId w:val="8"/>
  </w:num>
  <w:num w:numId="5" w16cid:durableId="1172530811">
    <w:abstractNumId w:val="6"/>
  </w:num>
  <w:num w:numId="6" w16cid:durableId="460347108">
    <w:abstractNumId w:val="19"/>
  </w:num>
  <w:num w:numId="7" w16cid:durableId="1134105224">
    <w:abstractNumId w:val="15"/>
  </w:num>
  <w:num w:numId="8" w16cid:durableId="794568732">
    <w:abstractNumId w:val="10"/>
  </w:num>
  <w:num w:numId="9" w16cid:durableId="1127627659">
    <w:abstractNumId w:val="13"/>
  </w:num>
  <w:num w:numId="10" w16cid:durableId="1334869618">
    <w:abstractNumId w:val="24"/>
  </w:num>
  <w:num w:numId="11" w16cid:durableId="1774669338">
    <w:abstractNumId w:val="7"/>
  </w:num>
  <w:num w:numId="12" w16cid:durableId="1036783066">
    <w:abstractNumId w:val="20"/>
  </w:num>
  <w:num w:numId="13" w16cid:durableId="1172450377">
    <w:abstractNumId w:val="17"/>
  </w:num>
  <w:num w:numId="14" w16cid:durableId="53697911">
    <w:abstractNumId w:val="25"/>
  </w:num>
  <w:num w:numId="15" w16cid:durableId="931207925">
    <w:abstractNumId w:val="23"/>
  </w:num>
  <w:num w:numId="16" w16cid:durableId="1297881517">
    <w:abstractNumId w:val="5"/>
  </w:num>
  <w:num w:numId="17" w16cid:durableId="2129082374">
    <w:abstractNumId w:val="26"/>
  </w:num>
  <w:num w:numId="18" w16cid:durableId="79447604">
    <w:abstractNumId w:val="16"/>
  </w:num>
  <w:num w:numId="19" w16cid:durableId="1454862466">
    <w:abstractNumId w:val="3"/>
  </w:num>
  <w:num w:numId="20" w16cid:durableId="733283833">
    <w:abstractNumId w:val="18"/>
  </w:num>
  <w:num w:numId="21" w16cid:durableId="299188523">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2032141687">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22711394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2137524849">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849873602">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4404704">
    <w:abstractNumId w:val="21"/>
  </w:num>
  <w:num w:numId="27" w16cid:durableId="170316536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2AB0"/>
    <w:rsid w:val="0000310F"/>
    <w:rsid w:val="0000381E"/>
    <w:rsid w:val="00003A05"/>
    <w:rsid w:val="0000407F"/>
    <w:rsid w:val="000058E3"/>
    <w:rsid w:val="000061A2"/>
    <w:rsid w:val="00006D24"/>
    <w:rsid w:val="0000797D"/>
    <w:rsid w:val="00007E8A"/>
    <w:rsid w:val="000100D7"/>
    <w:rsid w:val="00010B47"/>
    <w:rsid w:val="0001106B"/>
    <w:rsid w:val="00011317"/>
    <w:rsid w:val="00012472"/>
    <w:rsid w:val="0001398B"/>
    <w:rsid w:val="00013CF1"/>
    <w:rsid w:val="00014F51"/>
    <w:rsid w:val="00015A16"/>
    <w:rsid w:val="00015A51"/>
    <w:rsid w:val="00016250"/>
    <w:rsid w:val="000174A0"/>
    <w:rsid w:val="000203D3"/>
    <w:rsid w:val="000204A6"/>
    <w:rsid w:val="000211F8"/>
    <w:rsid w:val="0002146F"/>
    <w:rsid w:val="000218C3"/>
    <w:rsid w:val="00022D89"/>
    <w:rsid w:val="000236A3"/>
    <w:rsid w:val="00024A8D"/>
    <w:rsid w:val="00024F35"/>
    <w:rsid w:val="00025127"/>
    <w:rsid w:val="00025266"/>
    <w:rsid w:val="0002699D"/>
    <w:rsid w:val="0003063D"/>
    <w:rsid w:val="00031D37"/>
    <w:rsid w:val="00031F10"/>
    <w:rsid w:val="00031F98"/>
    <w:rsid w:val="00032493"/>
    <w:rsid w:val="00032EC5"/>
    <w:rsid w:val="00032ED4"/>
    <w:rsid w:val="000371EF"/>
    <w:rsid w:val="00037657"/>
    <w:rsid w:val="0004072A"/>
    <w:rsid w:val="00040E10"/>
    <w:rsid w:val="00040E2D"/>
    <w:rsid w:val="000411E2"/>
    <w:rsid w:val="000414B8"/>
    <w:rsid w:val="0004193F"/>
    <w:rsid w:val="00042380"/>
    <w:rsid w:val="000435A5"/>
    <w:rsid w:val="000444BD"/>
    <w:rsid w:val="00044DB9"/>
    <w:rsid w:val="000463B6"/>
    <w:rsid w:val="0004686A"/>
    <w:rsid w:val="000468E2"/>
    <w:rsid w:val="00046CEE"/>
    <w:rsid w:val="000478BA"/>
    <w:rsid w:val="00051175"/>
    <w:rsid w:val="0005237C"/>
    <w:rsid w:val="00052A3C"/>
    <w:rsid w:val="00054384"/>
    <w:rsid w:val="00054A03"/>
    <w:rsid w:val="00054EF9"/>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A70"/>
    <w:rsid w:val="00064B95"/>
    <w:rsid w:val="0006566C"/>
    <w:rsid w:val="000659BE"/>
    <w:rsid w:val="00065A78"/>
    <w:rsid w:val="000664BF"/>
    <w:rsid w:val="00066B68"/>
    <w:rsid w:val="00070361"/>
    <w:rsid w:val="000718C5"/>
    <w:rsid w:val="0007221E"/>
    <w:rsid w:val="000728AD"/>
    <w:rsid w:val="00074573"/>
    <w:rsid w:val="00076A3F"/>
    <w:rsid w:val="00076E15"/>
    <w:rsid w:val="000770CE"/>
    <w:rsid w:val="000800AC"/>
    <w:rsid w:val="0008230A"/>
    <w:rsid w:val="00082D11"/>
    <w:rsid w:val="00082E28"/>
    <w:rsid w:val="000834FE"/>
    <w:rsid w:val="0008465D"/>
    <w:rsid w:val="00084E31"/>
    <w:rsid w:val="0008542A"/>
    <w:rsid w:val="000866D9"/>
    <w:rsid w:val="000904F4"/>
    <w:rsid w:val="000908CC"/>
    <w:rsid w:val="00090D6F"/>
    <w:rsid w:val="00091C2C"/>
    <w:rsid w:val="00093A7F"/>
    <w:rsid w:val="00093FB4"/>
    <w:rsid w:val="00093FC7"/>
    <w:rsid w:val="00094B41"/>
    <w:rsid w:val="000953E2"/>
    <w:rsid w:val="00095806"/>
    <w:rsid w:val="00095BB9"/>
    <w:rsid w:val="0009700A"/>
    <w:rsid w:val="0009728E"/>
    <w:rsid w:val="000A0678"/>
    <w:rsid w:val="000A1CCA"/>
    <w:rsid w:val="000A26B8"/>
    <w:rsid w:val="000A3F90"/>
    <w:rsid w:val="000A44DE"/>
    <w:rsid w:val="000A4554"/>
    <w:rsid w:val="000A45FD"/>
    <w:rsid w:val="000A4E44"/>
    <w:rsid w:val="000A556A"/>
    <w:rsid w:val="000A77ED"/>
    <w:rsid w:val="000B0370"/>
    <w:rsid w:val="000B2BA0"/>
    <w:rsid w:val="000B35EB"/>
    <w:rsid w:val="000B405C"/>
    <w:rsid w:val="000B4DDD"/>
    <w:rsid w:val="000B5AB1"/>
    <w:rsid w:val="000B5D79"/>
    <w:rsid w:val="000B6D31"/>
    <w:rsid w:val="000B6F19"/>
    <w:rsid w:val="000B750B"/>
    <w:rsid w:val="000B7C4F"/>
    <w:rsid w:val="000C0061"/>
    <w:rsid w:val="000C0663"/>
    <w:rsid w:val="000C0BBB"/>
    <w:rsid w:val="000C10B9"/>
    <w:rsid w:val="000C1D19"/>
    <w:rsid w:val="000C2E5F"/>
    <w:rsid w:val="000C3423"/>
    <w:rsid w:val="000C37A5"/>
    <w:rsid w:val="000C3861"/>
    <w:rsid w:val="000C4111"/>
    <w:rsid w:val="000C48CA"/>
    <w:rsid w:val="000C4A8E"/>
    <w:rsid w:val="000C5458"/>
    <w:rsid w:val="000C5A04"/>
    <w:rsid w:val="000C5AF7"/>
    <w:rsid w:val="000C6B73"/>
    <w:rsid w:val="000C6CE3"/>
    <w:rsid w:val="000C6E97"/>
    <w:rsid w:val="000D001E"/>
    <w:rsid w:val="000D0855"/>
    <w:rsid w:val="000D11CC"/>
    <w:rsid w:val="000D1E0F"/>
    <w:rsid w:val="000D2DC2"/>
    <w:rsid w:val="000D3275"/>
    <w:rsid w:val="000D447F"/>
    <w:rsid w:val="000D45E8"/>
    <w:rsid w:val="000D4940"/>
    <w:rsid w:val="000D5A1D"/>
    <w:rsid w:val="000D62FF"/>
    <w:rsid w:val="000D69DF"/>
    <w:rsid w:val="000D72C9"/>
    <w:rsid w:val="000D7369"/>
    <w:rsid w:val="000D7394"/>
    <w:rsid w:val="000D7CBE"/>
    <w:rsid w:val="000E0366"/>
    <w:rsid w:val="000E07DC"/>
    <w:rsid w:val="000E096F"/>
    <w:rsid w:val="000E1389"/>
    <w:rsid w:val="000E2665"/>
    <w:rsid w:val="000E2A46"/>
    <w:rsid w:val="000E5176"/>
    <w:rsid w:val="000E5F27"/>
    <w:rsid w:val="000E67FC"/>
    <w:rsid w:val="000E77B8"/>
    <w:rsid w:val="000F1731"/>
    <w:rsid w:val="000F1B9F"/>
    <w:rsid w:val="000F1BF0"/>
    <w:rsid w:val="000F2739"/>
    <w:rsid w:val="000F2EDD"/>
    <w:rsid w:val="000F3457"/>
    <w:rsid w:val="000F37A8"/>
    <w:rsid w:val="000F3FE5"/>
    <w:rsid w:val="000F6AF3"/>
    <w:rsid w:val="000F6D7E"/>
    <w:rsid w:val="00100187"/>
    <w:rsid w:val="00100C6D"/>
    <w:rsid w:val="00100DDD"/>
    <w:rsid w:val="001015CE"/>
    <w:rsid w:val="001019F7"/>
    <w:rsid w:val="0010205D"/>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3B03"/>
    <w:rsid w:val="00114A21"/>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362"/>
    <w:rsid w:val="00126C46"/>
    <w:rsid w:val="00127A33"/>
    <w:rsid w:val="00127E68"/>
    <w:rsid w:val="00130E89"/>
    <w:rsid w:val="001318D2"/>
    <w:rsid w:val="00132C06"/>
    <w:rsid w:val="00132D0E"/>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CE4"/>
    <w:rsid w:val="00160E22"/>
    <w:rsid w:val="001611E5"/>
    <w:rsid w:val="00161E95"/>
    <w:rsid w:val="00163780"/>
    <w:rsid w:val="00163B1F"/>
    <w:rsid w:val="001648EE"/>
    <w:rsid w:val="00164B65"/>
    <w:rsid w:val="001656F2"/>
    <w:rsid w:val="00165DC8"/>
    <w:rsid w:val="00166794"/>
    <w:rsid w:val="001672EA"/>
    <w:rsid w:val="00167813"/>
    <w:rsid w:val="0017212C"/>
    <w:rsid w:val="00172471"/>
    <w:rsid w:val="0017260D"/>
    <w:rsid w:val="0017273C"/>
    <w:rsid w:val="001732E3"/>
    <w:rsid w:val="00174E02"/>
    <w:rsid w:val="00174E1B"/>
    <w:rsid w:val="0017653A"/>
    <w:rsid w:val="00176B16"/>
    <w:rsid w:val="0017745D"/>
    <w:rsid w:val="001775DF"/>
    <w:rsid w:val="001809A7"/>
    <w:rsid w:val="00181C60"/>
    <w:rsid w:val="00181E2A"/>
    <w:rsid w:val="00183B72"/>
    <w:rsid w:val="001848C0"/>
    <w:rsid w:val="00185460"/>
    <w:rsid w:val="0018568B"/>
    <w:rsid w:val="001862A3"/>
    <w:rsid w:val="001921FD"/>
    <w:rsid w:val="001925E3"/>
    <w:rsid w:val="00192E4B"/>
    <w:rsid w:val="00194D62"/>
    <w:rsid w:val="00196407"/>
    <w:rsid w:val="00197091"/>
    <w:rsid w:val="001970D6"/>
    <w:rsid w:val="001972CC"/>
    <w:rsid w:val="00197827"/>
    <w:rsid w:val="001A032D"/>
    <w:rsid w:val="001A0B3A"/>
    <w:rsid w:val="001A138D"/>
    <w:rsid w:val="001A14B4"/>
    <w:rsid w:val="001A229F"/>
    <w:rsid w:val="001A2857"/>
    <w:rsid w:val="001A2A89"/>
    <w:rsid w:val="001A2C62"/>
    <w:rsid w:val="001A3034"/>
    <w:rsid w:val="001A3634"/>
    <w:rsid w:val="001A4D5D"/>
    <w:rsid w:val="001A5150"/>
    <w:rsid w:val="001A58B9"/>
    <w:rsid w:val="001A61E1"/>
    <w:rsid w:val="001A6C1E"/>
    <w:rsid w:val="001B2AB9"/>
    <w:rsid w:val="001B30F9"/>
    <w:rsid w:val="001B3659"/>
    <w:rsid w:val="001B370C"/>
    <w:rsid w:val="001B40F3"/>
    <w:rsid w:val="001B508E"/>
    <w:rsid w:val="001B53A0"/>
    <w:rsid w:val="001B5A5C"/>
    <w:rsid w:val="001B5F70"/>
    <w:rsid w:val="001B6845"/>
    <w:rsid w:val="001B6D4E"/>
    <w:rsid w:val="001B76FA"/>
    <w:rsid w:val="001C09E0"/>
    <w:rsid w:val="001C0AED"/>
    <w:rsid w:val="001C13A8"/>
    <w:rsid w:val="001C13B1"/>
    <w:rsid w:val="001C1C2A"/>
    <w:rsid w:val="001C1CDE"/>
    <w:rsid w:val="001C20E8"/>
    <w:rsid w:val="001C263B"/>
    <w:rsid w:val="001C2713"/>
    <w:rsid w:val="001C2EF3"/>
    <w:rsid w:val="001C34D6"/>
    <w:rsid w:val="001C3732"/>
    <w:rsid w:val="001C3BEF"/>
    <w:rsid w:val="001C54A9"/>
    <w:rsid w:val="001C6012"/>
    <w:rsid w:val="001C67B0"/>
    <w:rsid w:val="001C6F61"/>
    <w:rsid w:val="001C7276"/>
    <w:rsid w:val="001C7733"/>
    <w:rsid w:val="001C77F5"/>
    <w:rsid w:val="001C79FA"/>
    <w:rsid w:val="001D07C9"/>
    <w:rsid w:val="001D31E7"/>
    <w:rsid w:val="001D3AB5"/>
    <w:rsid w:val="001D3CC5"/>
    <w:rsid w:val="001D4A81"/>
    <w:rsid w:val="001D545E"/>
    <w:rsid w:val="001D7365"/>
    <w:rsid w:val="001D7961"/>
    <w:rsid w:val="001D7D8F"/>
    <w:rsid w:val="001D7DF0"/>
    <w:rsid w:val="001D7E82"/>
    <w:rsid w:val="001E018C"/>
    <w:rsid w:val="001E036B"/>
    <w:rsid w:val="001E0672"/>
    <w:rsid w:val="001E0AD2"/>
    <w:rsid w:val="001E11C8"/>
    <w:rsid w:val="001E3596"/>
    <w:rsid w:val="001E372E"/>
    <w:rsid w:val="001E38ED"/>
    <w:rsid w:val="001E3B25"/>
    <w:rsid w:val="001E3F91"/>
    <w:rsid w:val="001E4152"/>
    <w:rsid w:val="001E489D"/>
    <w:rsid w:val="001E5C94"/>
    <w:rsid w:val="001E6822"/>
    <w:rsid w:val="001E74A5"/>
    <w:rsid w:val="001E7B9E"/>
    <w:rsid w:val="001F025B"/>
    <w:rsid w:val="001F0379"/>
    <w:rsid w:val="001F094C"/>
    <w:rsid w:val="001F1C5C"/>
    <w:rsid w:val="001F2B8C"/>
    <w:rsid w:val="001F394F"/>
    <w:rsid w:val="001F6063"/>
    <w:rsid w:val="001F783F"/>
    <w:rsid w:val="001F7AFD"/>
    <w:rsid w:val="001F7DE2"/>
    <w:rsid w:val="002001BE"/>
    <w:rsid w:val="002031F3"/>
    <w:rsid w:val="00203388"/>
    <w:rsid w:val="002058A7"/>
    <w:rsid w:val="00205A1A"/>
    <w:rsid w:val="00207665"/>
    <w:rsid w:val="002076E2"/>
    <w:rsid w:val="0021017B"/>
    <w:rsid w:val="0021056F"/>
    <w:rsid w:val="00210BD1"/>
    <w:rsid w:val="00211229"/>
    <w:rsid w:val="00211C4C"/>
    <w:rsid w:val="00211E8C"/>
    <w:rsid w:val="00212C9C"/>
    <w:rsid w:val="00212FCA"/>
    <w:rsid w:val="00213108"/>
    <w:rsid w:val="00213D85"/>
    <w:rsid w:val="00213DFB"/>
    <w:rsid w:val="002142D5"/>
    <w:rsid w:val="0021453E"/>
    <w:rsid w:val="0021475E"/>
    <w:rsid w:val="00215A63"/>
    <w:rsid w:val="00215EC9"/>
    <w:rsid w:val="002179AC"/>
    <w:rsid w:val="00217B86"/>
    <w:rsid w:val="00220ADB"/>
    <w:rsid w:val="002217BA"/>
    <w:rsid w:val="00221E74"/>
    <w:rsid w:val="00223507"/>
    <w:rsid w:val="00223616"/>
    <w:rsid w:val="00223716"/>
    <w:rsid w:val="00223ACC"/>
    <w:rsid w:val="0022448D"/>
    <w:rsid w:val="00226ED6"/>
    <w:rsid w:val="002275DE"/>
    <w:rsid w:val="00230170"/>
    <w:rsid w:val="002305CF"/>
    <w:rsid w:val="002310B5"/>
    <w:rsid w:val="00232110"/>
    <w:rsid w:val="00233E08"/>
    <w:rsid w:val="002345FF"/>
    <w:rsid w:val="00235907"/>
    <w:rsid w:val="00235DF2"/>
    <w:rsid w:val="00237611"/>
    <w:rsid w:val="002408D7"/>
    <w:rsid w:val="002417FB"/>
    <w:rsid w:val="002426EA"/>
    <w:rsid w:val="00244476"/>
    <w:rsid w:val="0024579C"/>
    <w:rsid w:val="002457CF"/>
    <w:rsid w:val="00245B8E"/>
    <w:rsid w:val="00246318"/>
    <w:rsid w:val="00247818"/>
    <w:rsid w:val="002507D8"/>
    <w:rsid w:val="002510FA"/>
    <w:rsid w:val="00252A20"/>
    <w:rsid w:val="00252B41"/>
    <w:rsid w:val="002530E4"/>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31C"/>
    <w:rsid w:val="00265CD7"/>
    <w:rsid w:val="00266588"/>
    <w:rsid w:val="002665BD"/>
    <w:rsid w:val="00270264"/>
    <w:rsid w:val="00271342"/>
    <w:rsid w:val="00271678"/>
    <w:rsid w:val="00271B06"/>
    <w:rsid w:val="0027298D"/>
    <w:rsid w:val="00272FEC"/>
    <w:rsid w:val="00273013"/>
    <w:rsid w:val="00273C37"/>
    <w:rsid w:val="00273F6D"/>
    <w:rsid w:val="0027430D"/>
    <w:rsid w:val="0027463A"/>
    <w:rsid w:val="002746D9"/>
    <w:rsid w:val="00274ED2"/>
    <w:rsid w:val="002754FC"/>
    <w:rsid w:val="002765F2"/>
    <w:rsid w:val="00277A35"/>
    <w:rsid w:val="00280278"/>
    <w:rsid w:val="00280994"/>
    <w:rsid w:val="00280E3F"/>
    <w:rsid w:val="00280F05"/>
    <w:rsid w:val="0028248C"/>
    <w:rsid w:val="00282B05"/>
    <w:rsid w:val="00282D4D"/>
    <w:rsid w:val="00283043"/>
    <w:rsid w:val="0028323A"/>
    <w:rsid w:val="00283861"/>
    <w:rsid w:val="002840C2"/>
    <w:rsid w:val="0028422E"/>
    <w:rsid w:val="00284829"/>
    <w:rsid w:val="002856F3"/>
    <w:rsid w:val="00286DDB"/>
    <w:rsid w:val="002871EB"/>
    <w:rsid w:val="0028741E"/>
    <w:rsid w:val="00290DBD"/>
    <w:rsid w:val="00291D91"/>
    <w:rsid w:val="0029212A"/>
    <w:rsid w:val="002948C4"/>
    <w:rsid w:val="00294D2D"/>
    <w:rsid w:val="002960D6"/>
    <w:rsid w:val="00297E45"/>
    <w:rsid w:val="002A2099"/>
    <w:rsid w:val="002A229B"/>
    <w:rsid w:val="002A26D9"/>
    <w:rsid w:val="002A35B6"/>
    <w:rsid w:val="002A4172"/>
    <w:rsid w:val="002A4516"/>
    <w:rsid w:val="002A4755"/>
    <w:rsid w:val="002A54DE"/>
    <w:rsid w:val="002A5FB6"/>
    <w:rsid w:val="002A670D"/>
    <w:rsid w:val="002A70E6"/>
    <w:rsid w:val="002A7FAB"/>
    <w:rsid w:val="002B0692"/>
    <w:rsid w:val="002B085C"/>
    <w:rsid w:val="002B0CBE"/>
    <w:rsid w:val="002B1252"/>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1142"/>
    <w:rsid w:val="002C2D44"/>
    <w:rsid w:val="002C2F22"/>
    <w:rsid w:val="002C363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57AA"/>
    <w:rsid w:val="002D7AE2"/>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0EB7"/>
    <w:rsid w:val="002F1871"/>
    <w:rsid w:val="002F3672"/>
    <w:rsid w:val="002F37C1"/>
    <w:rsid w:val="002F5396"/>
    <w:rsid w:val="002F64A2"/>
    <w:rsid w:val="002F72FA"/>
    <w:rsid w:val="002F7BEF"/>
    <w:rsid w:val="002F7D11"/>
    <w:rsid w:val="003001E4"/>
    <w:rsid w:val="003007E0"/>
    <w:rsid w:val="0030150B"/>
    <w:rsid w:val="00301B41"/>
    <w:rsid w:val="00301D47"/>
    <w:rsid w:val="003030B1"/>
    <w:rsid w:val="003032CB"/>
    <w:rsid w:val="00303717"/>
    <w:rsid w:val="00304013"/>
    <w:rsid w:val="00304137"/>
    <w:rsid w:val="003046AA"/>
    <w:rsid w:val="0030494E"/>
    <w:rsid w:val="003049F3"/>
    <w:rsid w:val="00304CDF"/>
    <w:rsid w:val="00305BB3"/>
    <w:rsid w:val="00305F6D"/>
    <w:rsid w:val="003062D4"/>
    <w:rsid w:val="003064B8"/>
    <w:rsid w:val="00306E7D"/>
    <w:rsid w:val="00307227"/>
    <w:rsid w:val="0030745D"/>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711F"/>
    <w:rsid w:val="00317883"/>
    <w:rsid w:val="00317EFF"/>
    <w:rsid w:val="00320597"/>
    <w:rsid w:val="00321181"/>
    <w:rsid w:val="00321AA3"/>
    <w:rsid w:val="00321AE9"/>
    <w:rsid w:val="00321EEE"/>
    <w:rsid w:val="0032264B"/>
    <w:rsid w:val="00323258"/>
    <w:rsid w:val="00323895"/>
    <w:rsid w:val="00323F63"/>
    <w:rsid w:val="0032586C"/>
    <w:rsid w:val="00325B05"/>
    <w:rsid w:val="00326579"/>
    <w:rsid w:val="00327D27"/>
    <w:rsid w:val="00327D79"/>
    <w:rsid w:val="003304E2"/>
    <w:rsid w:val="00330CBC"/>
    <w:rsid w:val="00330E47"/>
    <w:rsid w:val="00332E6B"/>
    <w:rsid w:val="003337F3"/>
    <w:rsid w:val="00333BE8"/>
    <w:rsid w:val="00333F73"/>
    <w:rsid w:val="003344DB"/>
    <w:rsid w:val="00335866"/>
    <w:rsid w:val="00335898"/>
    <w:rsid w:val="00335BFE"/>
    <w:rsid w:val="00335E9C"/>
    <w:rsid w:val="0033608B"/>
    <w:rsid w:val="0033675D"/>
    <w:rsid w:val="00336AFF"/>
    <w:rsid w:val="00337941"/>
    <w:rsid w:val="003401F8"/>
    <w:rsid w:val="003407D0"/>
    <w:rsid w:val="0034181B"/>
    <w:rsid w:val="00341840"/>
    <w:rsid w:val="00341B17"/>
    <w:rsid w:val="00341DAE"/>
    <w:rsid w:val="00342C51"/>
    <w:rsid w:val="00345856"/>
    <w:rsid w:val="0034595C"/>
    <w:rsid w:val="00345B79"/>
    <w:rsid w:val="00345D0F"/>
    <w:rsid w:val="0034614E"/>
    <w:rsid w:val="00346885"/>
    <w:rsid w:val="00346A9B"/>
    <w:rsid w:val="003472B3"/>
    <w:rsid w:val="003501DB"/>
    <w:rsid w:val="0035104F"/>
    <w:rsid w:val="0035199B"/>
    <w:rsid w:val="003522BF"/>
    <w:rsid w:val="00352901"/>
    <w:rsid w:val="00353288"/>
    <w:rsid w:val="00355AEE"/>
    <w:rsid w:val="00355D3B"/>
    <w:rsid w:val="0035606B"/>
    <w:rsid w:val="0035651C"/>
    <w:rsid w:val="00357CC7"/>
    <w:rsid w:val="0036073F"/>
    <w:rsid w:val="00360789"/>
    <w:rsid w:val="003615A3"/>
    <w:rsid w:val="003629EE"/>
    <w:rsid w:val="00363DCB"/>
    <w:rsid w:val="003643B3"/>
    <w:rsid w:val="00366A7A"/>
    <w:rsid w:val="003708DD"/>
    <w:rsid w:val="00370B8E"/>
    <w:rsid w:val="00370BB1"/>
    <w:rsid w:val="003721B2"/>
    <w:rsid w:val="00372328"/>
    <w:rsid w:val="00372C08"/>
    <w:rsid w:val="003739B0"/>
    <w:rsid w:val="00373F21"/>
    <w:rsid w:val="00374CE8"/>
    <w:rsid w:val="003762FD"/>
    <w:rsid w:val="00376FD2"/>
    <w:rsid w:val="00377278"/>
    <w:rsid w:val="003779F9"/>
    <w:rsid w:val="00377A76"/>
    <w:rsid w:val="00380A5C"/>
    <w:rsid w:val="0038132B"/>
    <w:rsid w:val="00383E66"/>
    <w:rsid w:val="00384AE2"/>
    <w:rsid w:val="00385699"/>
    <w:rsid w:val="00387DC9"/>
    <w:rsid w:val="00390D23"/>
    <w:rsid w:val="00390FDE"/>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676"/>
    <w:rsid w:val="003A2CF7"/>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90C"/>
    <w:rsid w:val="003B7EC4"/>
    <w:rsid w:val="003C183D"/>
    <w:rsid w:val="003C19CA"/>
    <w:rsid w:val="003C41AC"/>
    <w:rsid w:val="003C4ECE"/>
    <w:rsid w:val="003C64C3"/>
    <w:rsid w:val="003C7269"/>
    <w:rsid w:val="003C7282"/>
    <w:rsid w:val="003C74CA"/>
    <w:rsid w:val="003D00D5"/>
    <w:rsid w:val="003D03B5"/>
    <w:rsid w:val="003D0A29"/>
    <w:rsid w:val="003D0BC7"/>
    <w:rsid w:val="003D17FB"/>
    <w:rsid w:val="003D181D"/>
    <w:rsid w:val="003D187D"/>
    <w:rsid w:val="003D20C4"/>
    <w:rsid w:val="003D29E0"/>
    <w:rsid w:val="003D4163"/>
    <w:rsid w:val="003D46D0"/>
    <w:rsid w:val="003D5051"/>
    <w:rsid w:val="003D5661"/>
    <w:rsid w:val="003D65BF"/>
    <w:rsid w:val="003D792A"/>
    <w:rsid w:val="003E1680"/>
    <w:rsid w:val="003E1870"/>
    <w:rsid w:val="003E2E98"/>
    <w:rsid w:val="003E2ED8"/>
    <w:rsid w:val="003E3CAB"/>
    <w:rsid w:val="003E4701"/>
    <w:rsid w:val="003E4C96"/>
    <w:rsid w:val="003E6079"/>
    <w:rsid w:val="003E6128"/>
    <w:rsid w:val="003E6679"/>
    <w:rsid w:val="003E6D0F"/>
    <w:rsid w:val="003E6D1E"/>
    <w:rsid w:val="003E712E"/>
    <w:rsid w:val="003F0769"/>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2179"/>
    <w:rsid w:val="0040278D"/>
    <w:rsid w:val="00402C84"/>
    <w:rsid w:val="00403249"/>
    <w:rsid w:val="00403781"/>
    <w:rsid w:val="0040471A"/>
    <w:rsid w:val="004078C8"/>
    <w:rsid w:val="004102DE"/>
    <w:rsid w:val="004107D7"/>
    <w:rsid w:val="00412696"/>
    <w:rsid w:val="00412E24"/>
    <w:rsid w:val="00413DF7"/>
    <w:rsid w:val="00414335"/>
    <w:rsid w:val="004147B1"/>
    <w:rsid w:val="00416727"/>
    <w:rsid w:val="004170BE"/>
    <w:rsid w:val="004171E4"/>
    <w:rsid w:val="00417A0E"/>
    <w:rsid w:val="0042068A"/>
    <w:rsid w:val="00422378"/>
    <w:rsid w:val="0042267F"/>
    <w:rsid w:val="00422B32"/>
    <w:rsid w:val="0042437A"/>
    <w:rsid w:val="00424992"/>
    <w:rsid w:val="00424E72"/>
    <w:rsid w:val="00425F0D"/>
    <w:rsid w:val="00426CE7"/>
    <w:rsid w:val="00426D7C"/>
    <w:rsid w:val="00427621"/>
    <w:rsid w:val="004277BC"/>
    <w:rsid w:val="004300ED"/>
    <w:rsid w:val="00431687"/>
    <w:rsid w:val="00432B72"/>
    <w:rsid w:val="00433016"/>
    <w:rsid w:val="0043405B"/>
    <w:rsid w:val="0043412E"/>
    <w:rsid w:val="004341B3"/>
    <w:rsid w:val="004342F1"/>
    <w:rsid w:val="004349C0"/>
    <w:rsid w:val="00434ECD"/>
    <w:rsid w:val="00435075"/>
    <w:rsid w:val="00435DF1"/>
    <w:rsid w:val="00437702"/>
    <w:rsid w:val="00437909"/>
    <w:rsid w:val="004401B5"/>
    <w:rsid w:val="004404F8"/>
    <w:rsid w:val="00440800"/>
    <w:rsid w:val="004409D4"/>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6190"/>
    <w:rsid w:val="00456317"/>
    <w:rsid w:val="00456348"/>
    <w:rsid w:val="004572A1"/>
    <w:rsid w:val="00457EC5"/>
    <w:rsid w:val="00457F74"/>
    <w:rsid w:val="00460F4B"/>
    <w:rsid w:val="004613B1"/>
    <w:rsid w:val="00461F2A"/>
    <w:rsid w:val="0046231E"/>
    <w:rsid w:val="0046340E"/>
    <w:rsid w:val="004635E2"/>
    <w:rsid w:val="004638FA"/>
    <w:rsid w:val="00464CB6"/>
    <w:rsid w:val="0046532D"/>
    <w:rsid w:val="0046566E"/>
    <w:rsid w:val="00466C6C"/>
    <w:rsid w:val="00470027"/>
    <w:rsid w:val="0047025A"/>
    <w:rsid w:val="004724EC"/>
    <w:rsid w:val="00472A17"/>
    <w:rsid w:val="00472C41"/>
    <w:rsid w:val="00472CB5"/>
    <w:rsid w:val="00473115"/>
    <w:rsid w:val="004738D8"/>
    <w:rsid w:val="00473BD2"/>
    <w:rsid w:val="00473F11"/>
    <w:rsid w:val="00474477"/>
    <w:rsid w:val="004749E8"/>
    <w:rsid w:val="00475E37"/>
    <w:rsid w:val="004764CB"/>
    <w:rsid w:val="00476730"/>
    <w:rsid w:val="004769A5"/>
    <w:rsid w:val="00476A2D"/>
    <w:rsid w:val="004773A3"/>
    <w:rsid w:val="004773E6"/>
    <w:rsid w:val="00477710"/>
    <w:rsid w:val="00477AAB"/>
    <w:rsid w:val="00477B66"/>
    <w:rsid w:val="00481A7B"/>
    <w:rsid w:val="00483042"/>
    <w:rsid w:val="0048386B"/>
    <w:rsid w:val="00483C14"/>
    <w:rsid w:val="00484EDE"/>
    <w:rsid w:val="0048533E"/>
    <w:rsid w:val="004858CD"/>
    <w:rsid w:val="00485DB6"/>
    <w:rsid w:val="0048628A"/>
    <w:rsid w:val="0048658E"/>
    <w:rsid w:val="00487D6A"/>
    <w:rsid w:val="00490303"/>
    <w:rsid w:val="004905A8"/>
    <w:rsid w:val="004911B6"/>
    <w:rsid w:val="00491C96"/>
    <w:rsid w:val="004923B6"/>
    <w:rsid w:val="00494294"/>
    <w:rsid w:val="00495611"/>
    <w:rsid w:val="004961DA"/>
    <w:rsid w:val="00496359"/>
    <w:rsid w:val="004963D5"/>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5A5"/>
    <w:rsid w:val="004B0EB6"/>
    <w:rsid w:val="004B176B"/>
    <w:rsid w:val="004B182C"/>
    <w:rsid w:val="004B20FF"/>
    <w:rsid w:val="004B293C"/>
    <w:rsid w:val="004B35A4"/>
    <w:rsid w:val="004B3A2A"/>
    <w:rsid w:val="004B3D59"/>
    <w:rsid w:val="004B4713"/>
    <w:rsid w:val="004B4BE7"/>
    <w:rsid w:val="004B50F8"/>
    <w:rsid w:val="004B58EA"/>
    <w:rsid w:val="004B6CB0"/>
    <w:rsid w:val="004B73EF"/>
    <w:rsid w:val="004B7992"/>
    <w:rsid w:val="004C0200"/>
    <w:rsid w:val="004C09B4"/>
    <w:rsid w:val="004C2082"/>
    <w:rsid w:val="004C20F2"/>
    <w:rsid w:val="004C251E"/>
    <w:rsid w:val="004C3F25"/>
    <w:rsid w:val="004C4E77"/>
    <w:rsid w:val="004C4EF2"/>
    <w:rsid w:val="004C525E"/>
    <w:rsid w:val="004C6796"/>
    <w:rsid w:val="004C67E2"/>
    <w:rsid w:val="004C6BD8"/>
    <w:rsid w:val="004C7263"/>
    <w:rsid w:val="004C7A27"/>
    <w:rsid w:val="004D0490"/>
    <w:rsid w:val="004D10C7"/>
    <w:rsid w:val="004D12F1"/>
    <w:rsid w:val="004D1805"/>
    <w:rsid w:val="004D1CB6"/>
    <w:rsid w:val="004D2229"/>
    <w:rsid w:val="004D257A"/>
    <w:rsid w:val="004D2676"/>
    <w:rsid w:val="004D29C1"/>
    <w:rsid w:val="004D3142"/>
    <w:rsid w:val="004D36A1"/>
    <w:rsid w:val="004D37D7"/>
    <w:rsid w:val="004D4509"/>
    <w:rsid w:val="004D52DD"/>
    <w:rsid w:val="004D54E4"/>
    <w:rsid w:val="004D5A36"/>
    <w:rsid w:val="004D5BA4"/>
    <w:rsid w:val="004D68F8"/>
    <w:rsid w:val="004D6D19"/>
    <w:rsid w:val="004D70F9"/>
    <w:rsid w:val="004E11D8"/>
    <w:rsid w:val="004E54DE"/>
    <w:rsid w:val="004E6E3A"/>
    <w:rsid w:val="004F0BF4"/>
    <w:rsid w:val="004F0C96"/>
    <w:rsid w:val="004F0F98"/>
    <w:rsid w:val="004F28A0"/>
    <w:rsid w:val="004F39A4"/>
    <w:rsid w:val="004F44C7"/>
    <w:rsid w:val="004F489F"/>
    <w:rsid w:val="004F4958"/>
    <w:rsid w:val="004F4BEF"/>
    <w:rsid w:val="004F766F"/>
    <w:rsid w:val="004F785F"/>
    <w:rsid w:val="004F78B7"/>
    <w:rsid w:val="004F7944"/>
    <w:rsid w:val="00500224"/>
    <w:rsid w:val="005002D1"/>
    <w:rsid w:val="00501B93"/>
    <w:rsid w:val="005028AA"/>
    <w:rsid w:val="005041C2"/>
    <w:rsid w:val="00505CA0"/>
    <w:rsid w:val="00506A11"/>
    <w:rsid w:val="00507043"/>
    <w:rsid w:val="00507C08"/>
    <w:rsid w:val="00507D18"/>
    <w:rsid w:val="00507D4A"/>
    <w:rsid w:val="0051016E"/>
    <w:rsid w:val="0051022D"/>
    <w:rsid w:val="00510707"/>
    <w:rsid w:val="0051111B"/>
    <w:rsid w:val="00511A30"/>
    <w:rsid w:val="00511EEA"/>
    <w:rsid w:val="005124A9"/>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374"/>
    <w:rsid w:val="005255D3"/>
    <w:rsid w:val="00525C4F"/>
    <w:rsid w:val="00526446"/>
    <w:rsid w:val="00527495"/>
    <w:rsid w:val="00527E7A"/>
    <w:rsid w:val="0053156D"/>
    <w:rsid w:val="00531594"/>
    <w:rsid w:val="00531EF4"/>
    <w:rsid w:val="00532EAC"/>
    <w:rsid w:val="005350BD"/>
    <w:rsid w:val="00536E7B"/>
    <w:rsid w:val="00537E2C"/>
    <w:rsid w:val="00540208"/>
    <w:rsid w:val="00542797"/>
    <w:rsid w:val="00542B3A"/>
    <w:rsid w:val="0054356D"/>
    <w:rsid w:val="00544ADC"/>
    <w:rsid w:val="00544B9C"/>
    <w:rsid w:val="00544CF9"/>
    <w:rsid w:val="00544E13"/>
    <w:rsid w:val="00544EC9"/>
    <w:rsid w:val="00546038"/>
    <w:rsid w:val="00546CE8"/>
    <w:rsid w:val="00546FBD"/>
    <w:rsid w:val="00547330"/>
    <w:rsid w:val="00550671"/>
    <w:rsid w:val="00551425"/>
    <w:rsid w:val="0055159A"/>
    <w:rsid w:val="005516E0"/>
    <w:rsid w:val="00551A9B"/>
    <w:rsid w:val="005520BF"/>
    <w:rsid w:val="00552213"/>
    <w:rsid w:val="005526F4"/>
    <w:rsid w:val="00552B8E"/>
    <w:rsid w:val="0055544F"/>
    <w:rsid w:val="00556533"/>
    <w:rsid w:val="00556B04"/>
    <w:rsid w:val="00556F72"/>
    <w:rsid w:val="00556F82"/>
    <w:rsid w:val="00560A81"/>
    <w:rsid w:val="00560C00"/>
    <w:rsid w:val="00561ED1"/>
    <w:rsid w:val="005620F7"/>
    <w:rsid w:val="00562B0A"/>
    <w:rsid w:val="00562CCE"/>
    <w:rsid w:val="00563FC3"/>
    <w:rsid w:val="00564AE2"/>
    <w:rsid w:val="00564F73"/>
    <w:rsid w:val="0056555A"/>
    <w:rsid w:val="00565D5E"/>
    <w:rsid w:val="005669D6"/>
    <w:rsid w:val="00566BC5"/>
    <w:rsid w:val="0056788F"/>
    <w:rsid w:val="00567998"/>
    <w:rsid w:val="00570911"/>
    <w:rsid w:val="005716F3"/>
    <w:rsid w:val="00573BC6"/>
    <w:rsid w:val="005759CD"/>
    <w:rsid w:val="00575D39"/>
    <w:rsid w:val="00575F2C"/>
    <w:rsid w:val="005773AC"/>
    <w:rsid w:val="00577884"/>
    <w:rsid w:val="00577C3F"/>
    <w:rsid w:val="00581C0F"/>
    <w:rsid w:val="00582919"/>
    <w:rsid w:val="00583749"/>
    <w:rsid w:val="005849B2"/>
    <w:rsid w:val="00585172"/>
    <w:rsid w:val="00586719"/>
    <w:rsid w:val="00587366"/>
    <w:rsid w:val="0058757A"/>
    <w:rsid w:val="00590037"/>
    <w:rsid w:val="00590579"/>
    <w:rsid w:val="00590892"/>
    <w:rsid w:val="00591931"/>
    <w:rsid w:val="00593476"/>
    <w:rsid w:val="005937BC"/>
    <w:rsid w:val="00594C52"/>
    <w:rsid w:val="00595511"/>
    <w:rsid w:val="00596238"/>
    <w:rsid w:val="00596514"/>
    <w:rsid w:val="0059679B"/>
    <w:rsid w:val="00597B2E"/>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89B"/>
    <w:rsid w:val="005B2D8D"/>
    <w:rsid w:val="005B2DD1"/>
    <w:rsid w:val="005B3A49"/>
    <w:rsid w:val="005B3F0D"/>
    <w:rsid w:val="005B4B08"/>
    <w:rsid w:val="005B5703"/>
    <w:rsid w:val="005B6ADF"/>
    <w:rsid w:val="005B773D"/>
    <w:rsid w:val="005B7C5D"/>
    <w:rsid w:val="005C02B5"/>
    <w:rsid w:val="005C0821"/>
    <w:rsid w:val="005C1A74"/>
    <w:rsid w:val="005C2CE0"/>
    <w:rsid w:val="005C2F0A"/>
    <w:rsid w:val="005C3294"/>
    <w:rsid w:val="005C347F"/>
    <w:rsid w:val="005C380A"/>
    <w:rsid w:val="005C3B63"/>
    <w:rsid w:val="005C450C"/>
    <w:rsid w:val="005C6961"/>
    <w:rsid w:val="005C6F55"/>
    <w:rsid w:val="005C7898"/>
    <w:rsid w:val="005C7CA9"/>
    <w:rsid w:val="005D0EB4"/>
    <w:rsid w:val="005D18A6"/>
    <w:rsid w:val="005D27DD"/>
    <w:rsid w:val="005D3493"/>
    <w:rsid w:val="005D42F5"/>
    <w:rsid w:val="005D487C"/>
    <w:rsid w:val="005D622E"/>
    <w:rsid w:val="005D6617"/>
    <w:rsid w:val="005D6FF0"/>
    <w:rsid w:val="005E0A97"/>
    <w:rsid w:val="005E11D5"/>
    <w:rsid w:val="005E2084"/>
    <w:rsid w:val="005E2486"/>
    <w:rsid w:val="005E2E8F"/>
    <w:rsid w:val="005E34D4"/>
    <w:rsid w:val="005E3716"/>
    <w:rsid w:val="005E3AE2"/>
    <w:rsid w:val="005E3FDE"/>
    <w:rsid w:val="005E55F2"/>
    <w:rsid w:val="005E59B8"/>
    <w:rsid w:val="005E68FC"/>
    <w:rsid w:val="005E7271"/>
    <w:rsid w:val="005E76A0"/>
    <w:rsid w:val="005E7CC9"/>
    <w:rsid w:val="005F0007"/>
    <w:rsid w:val="005F0E6C"/>
    <w:rsid w:val="005F1362"/>
    <w:rsid w:val="005F1BAD"/>
    <w:rsid w:val="005F3685"/>
    <w:rsid w:val="005F487C"/>
    <w:rsid w:val="005F53A4"/>
    <w:rsid w:val="005F5FE1"/>
    <w:rsid w:val="005F62B2"/>
    <w:rsid w:val="005F692C"/>
    <w:rsid w:val="005F715E"/>
    <w:rsid w:val="006010DA"/>
    <w:rsid w:val="006014C5"/>
    <w:rsid w:val="006015F0"/>
    <w:rsid w:val="006017AB"/>
    <w:rsid w:val="00604AC3"/>
    <w:rsid w:val="00605865"/>
    <w:rsid w:val="0060789B"/>
    <w:rsid w:val="00611DC1"/>
    <w:rsid w:val="00613655"/>
    <w:rsid w:val="00613B74"/>
    <w:rsid w:val="006144EE"/>
    <w:rsid w:val="00616236"/>
    <w:rsid w:val="00617125"/>
    <w:rsid w:val="00617813"/>
    <w:rsid w:val="006206CC"/>
    <w:rsid w:val="0062118E"/>
    <w:rsid w:val="00621F3F"/>
    <w:rsid w:val="00622B06"/>
    <w:rsid w:val="00623C15"/>
    <w:rsid w:val="00624425"/>
    <w:rsid w:val="006257C2"/>
    <w:rsid w:val="00625CD0"/>
    <w:rsid w:val="00627163"/>
    <w:rsid w:val="00627CA9"/>
    <w:rsid w:val="0063034E"/>
    <w:rsid w:val="00632E24"/>
    <w:rsid w:val="00634476"/>
    <w:rsid w:val="00635424"/>
    <w:rsid w:val="00637049"/>
    <w:rsid w:val="00637475"/>
    <w:rsid w:val="00640B8E"/>
    <w:rsid w:val="00642240"/>
    <w:rsid w:val="0064393B"/>
    <w:rsid w:val="006439A1"/>
    <w:rsid w:val="00643C26"/>
    <w:rsid w:val="00644375"/>
    <w:rsid w:val="00644A5C"/>
    <w:rsid w:val="00644F20"/>
    <w:rsid w:val="00645E03"/>
    <w:rsid w:val="00646A08"/>
    <w:rsid w:val="00646E43"/>
    <w:rsid w:val="0064767F"/>
    <w:rsid w:val="00650392"/>
    <w:rsid w:val="0065061D"/>
    <w:rsid w:val="00650C79"/>
    <w:rsid w:val="00651701"/>
    <w:rsid w:val="00652854"/>
    <w:rsid w:val="006545C5"/>
    <w:rsid w:val="00655146"/>
    <w:rsid w:val="006563A8"/>
    <w:rsid w:val="0065715E"/>
    <w:rsid w:val="00657670"/>
    <w:rsid w:val="00657DBF"/>
    <w:rsid w:val="00657DE0"/>
    <w:rsid w:val="00662C69"/>
    <w:rsid w:val="00663214"/>
    <w:rsid w:val="006633C0"/>
    <w:rsid w:val="00663470"/>
    <w:rsid w:val="00663CC7"/>
    <w:rsid w:val="006642CA"/>
    <w:rsid w:val="0066458B"/>
    <w:rsid w:val="00664805"/>
    <w:rsid w:val="00664FB5"/>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80568"/>
    <w:rsid w:val="00680F25"/>
    <w:rsid w:val="00682297"/>
    <w:rsid w:val="006842C0"/>
    <w:rsid w:val="00685689"/>
    <w:rsid w:val="0068594B"/>
    <w:rsid w:val="00686459"/>
    <w:rsid w:val="00686B04"/>
    <w:rsid w:val="00687CAD"/>
    <w:rsid w:val="006901FA"/>
    <w:rsid w:val="006904D3"/>
    <w:rsid w:val="00690ED0"/>
    <w:rsid w:val="006917EC"/>
    <w:rsid w:val="00692D5E"/>
    <w:rsid w:val="00693427"/>
    <w:rsid w:val="006934DA"/>
    <w:rsid w:val="00693503"/>
    <w:rsid w:val="006939DC"/>
    <w:rsid w:val="00693D82"/>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1264"/>
    <w:rsid w:val="006A2CF3"/>
    <w:rsid w:val="006A2D34"/>
    <w:rsid w:val="006A2EDE"/>
    <w:rsid w:val="006A2EFB"/>
    <w:rsid w:val="006A32B6"/>
    <w:rsid w:val="006A3D7A"/>
    <w:rsid w:val="006A4617"/>
    <w:rsid w:val="006A63E1"/>
    <w:rsid w:val="006A6859"/>
    <w:rsid w:val="006A79C3"/>
    <w:rsid w:val="006B004E"/>
    <w:rsid w:val="006B0198"/>
    <w:rsid w:val="006B0D49"/>
    <w:rsid w:val="006B12E8"/>
    <w:rsid w:val="006B1A37"/>
    <w:rsid w:val="006B1C19"/>
    <w:rsid w:val="006B218B"/>
    <w:rsid w:val="006B249F"/>
    <w:rsid w:val="006B31E7"/>
    <w:rsid w:val="006B4585"/>
    <w:rsid w:val="006B53EE"/>
    <w:rsid w:val="006B5BA1"/>
    <w:rsid w:val="006B65D4"/>
    <w:rsid w:val="006B7A58"/>
    <w:rsid w:val="006C15A0"/>
    <w:rsid w:val="006C26B3"/>
    <w:rsid w:val="006C2FEE"/>
    <w:rsid w:val="006C50B1"/>
    <w:rsid w:val="006C50C2"/>
    <w:rsid w:val="006C563A"/>
    <w:rsid w:val="006C6C8C"/>
    <w:rsid w:val="006C6E1A"/>
    <w:rsid w:val="006D1B6D"/>
    <w:rsid w:val="006D24C4"/>
    <w:rsid w:val="006D27EF"/>
    <w:rsid w:val="006D3FB4"/>
    <w:rsid w:val="006D425C"/>
    <w:rsid w:val="006D52D1"/>
    <w:rsid w:val="006D57BE"/>
    <w:rsid w:val="006D6D3D"/>
    <w:rsid w:val="006D77A2"/>
    <w:rsid w:val="006E013D"/>
    <w:rsid w:val="006E1056"/>
    <w:rsid w:val="006E3A2A"/>
    <w:rsid w:val="006E3C4C"/>
    <w:rsid w:val="006E4BD4"/>
    <w:rsid w:val="006E4E2A"/>
    <w:rsid w:val="006E5715"/>
    <w:rsid w:val="006E5950"/>
    <w:rsid w:val="006E5AC6"/>
    <w:rsid w:val="006E6B65"/>
    <w:rsid w:val="006E6C14"/>
    <w:rsid w:val="006E73D4"/>
    <w:rsid w:val="006E7CC5"/>
    <w:rsid w:val="006F0346"/>
    <w:rsid w:val="006F0AE3"/>
    <w:rsid w:val="006F1345"/>
    <w:rsid w:val="006F1DE2"/>
    <w:rsid w:val="006F1E31"/>
    <w:rsid w:val="006F2724"/>
    <w:rsid w:val="006F2C12"/>
    <w:rsid w:val="006F2F92"/>
    <w:rsid w:val="006F3266"/>
    <w:rsid w:val="006F51AA"/>
    <w:rsid w:val="006F5231"/>
    <w:rsid w:val="006F69E5"/>
    <w:rsid w:val="00700553"/>
    <w:rsid w:val="0070102E"/>
    <w:rsid w:val="00701218"/>
    <w:rsid w:val="00702D2E"/>
    <w:rsid w:val="007050B1"/>
    <w:rsid w:val="00705527"/>
    <w:rsid w:val="00705B80"/>
    <w:rsid w:val="007060B5"/>
    <w:rsid w:val="00707096"/>
    <w:rsid w:val="00710B50"/>
    <w:rsid w:val="007127BB"/>
    <w:rsid w:val="00712B96"/>
    <w:rsid w:val="007136BC"/>
    <w:rsid w:val="007137B5"/>
    <w:rsid w:val="00713959"/>
    <w:rsid w:val="00714576"/>
    <w:rsid w:val="00714FEC"/>
    <w:rsid w:val="00715A04"/>
    <w:rsid w:val="00715B7D"/>
    <w:rsid w:val="0072026C"/>
    <w:rsid w:val="0072125C"/>
    <w:rsid w:val="00721335"/>
    <w:rsid w:val="0072136F"/>
    <w:rsid w:val="00721924"/>
    <w:rsid w:val="00721F66"/>
    <w:rsid w:val="00722B93"/>
    <w:rsid w:val="0072445A"/>
    <w:rsid w:val="007263AA"/>
    <w:rsid w:val="00730DF4"/>
    <w:rsid w:val="00730FBC"/>
    <w:rsid w:val="00731F1F"/>
    <w:rsid w:val="00732319"/>
    <w:rsid w:val="00732F98"/>
    <w:rsid w:val="0073324B"/>
    <w:rsid w:val="007337E6"/>
    <w:rsid w:val="00735A75"/>
    <w:rsid w:val="00736115"/>
    <w:rsid w:val="007365AD"/>
    <w:rsid w:val="00736C54"/>
    <w:rsid w:val="007409D8"/>
    <w:rsid w:val="00740BA4"/>
    <w:rsid w:val="00740D91"/>
    <w:rsid w:val="007411E3"/>
    <w:rsid w:val="007417CD"/>
    <w:rsid w:val="00742486"/>
    <w:rsid w:val="007432E0"/>
    <w:rsid w:val="00743CAC"/>
    <w:rsid w:val="0074433B"/>
    <w:rsid w:val="007446C2"/>
    <w:rsid w:val="0074573F"/>
    <w:rsid w:val="00745B63"/>
    <w:rsid w:val="0074628D"/>
    <w:rsid w:val="007473D2"/>
    <w:rsid w:val="007474B7"/>
    <w:rsid w:val="007479C2"/>
    <w:rsid w:val="00750543"/>
    <w:rsid w:val="00750A80"/>
    <w:rsid w:val="00750FC0"/>
    <w:rsid w:val="00751061"/>
    <w:rsid w:val="0075151E"/>
    <w:rsid w:val="0075265E"/>
    <w:rsid w:val="0075440D"/>
    <w:rsid w:val="00754898"/>
    <w:rsid w:val="00754EF8"/>
    <w:rsid w:val="007550FA"/>
    <w:rsid w:val="00755369"/>
    <w:rsid w:val="0075604A"/>
    <w:rsid w:val="0075650E"/>
    <w:rsid w:val="007565B7"/>
    <w:rsid w:val="00757995"/>
    <w:rsid w:val="00760BAE"/>
    <w:rsid w:val="00762511"/>
    <w:rsid w:val="00762697"/>
    <w:rsid w:val="00762E59"/>
    <w:rsid w:val="007640CC"/>
    <w:rsid w:val="007644E6"/>
    <w:rsid w:val="007652EA"/>
    <w:rsid w:val="00766CDD"/>
    <w:rsid w:val="007674F3"/>
    <w:rsid w:val="00767CD2"/>
    <w:rsid w:val="00770859"/>
    <w:rsid w:val="00771B73"/>
    <w:rsid w:val="00772245"/>
    <w:rsid w:val="0077236C"/>
    <w:rsid w:val="0077277D"/>
    <w:rsid w:val="00774A5F"/>
    <w:rsid w:val="00774AB3"/>
    <w:rsid w:val="00774DFD"/>
    <w:rsid w:val="00775193"/>
    <w:rsid w:val="007753FA"/>
    <w:rsid w:val="0077544D"/>
    <w:rsid w:val="007758D3"/>
    <w:rsid w:val="00775D67"/>
    <w:rsid w:val="00776C78"/>
    <w:rsid w:val="007774E7"/>
    <w:rsid w:val="00780072"/>
    <w:rsid w:val="0078079A"/>
    <w:rsid w:val="007814A7"/>
    <w:rsid w:val="0078249C"/>
    <w:rsid w:val="00782761"/>
    <w:rsid w:val="00783DB5"/>
    <w:rsid w:val="00784AA0"/>
    <w:rsid w:val="00784F3D"/>
    <w:rsid w:val="00785321"/>
    <w:rsid w:val="00785E63"/>
    <w:rsid w:val="007860B9"/>
    <w:rsid w:val="0078618D"/>
    <w:rsid w:val="007861AF"/>
    <w:rsid w:val="00786DD5"/>
    <w:rsid w:val="00787184"/>
    <w:rsid w:val="00790613"/>
    <w:rsid w:val="00790765"/>
    <w:rsid w:val="007914E4"/>
    <w:rsid w:val="0079183F"/>
    <w:rsid w:val="00791CA9"/>
    <w:rsid w:val="00791E58"/>
    <w:rsid w:val="00794C2B"/>
    <w:rsid w:val="00795FC5"/>
    <w:rsid w:val="00797D59"/>
    <w:rsid w:val="007A0692"/>
    <w:rsid w:val="007A082B"/>
    <w:rsid w:val="007A0A0E"/>
    <w:rsid w:val="007A1303"/>
    <w:rsid w:val="007A28D5"/>
    <w:rsid w:val="007A2C90"/>
    <w:rsid w:val="007A4419"/>
    <w:rsid w:val="007A5823"/>
    <w:rsid w:val="007A638B"/>
    <w:rsid w:val="007A65E0"/>
    <w:rsid w:val="007A70B9"/>
    <w:rsid w:val="007A729D"/>
    <w:rsid w:val="007A7602"/>
    <w:rsid w:val="007A7A58"/>
    <w:rsid w:val="007A7D25"/>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3C16"/>
    <w:rsid w:val="007C6110"/>
    <w:rsid w:val="007C6AE2"/>
    <w:rsid w:val="007C7154"/>
    <w:rsid w:val="007C78C4"/>
    <w:rsid w:val="007C7CA2"/>
    <w:rsid w:val="007D08F9"/>
    <w:rsid w:val="007D0C01"/>
    <w:rsid w:val="007D26D2"/>
    <w:rsid w:val="007D2748"/>
    <w:rsid w:val="007D27D5"/>
    <w:rsid w:val="007D2E26"/>
    <w:rsid w:val="007D3356"/>
    <w:rsid w:val="007D3FBD"/>
    <w:rsid w:val="007D49A0"/>
    <w:rsid w:val="007D7B65"/>
    <w:rsid w:val="007D7EF3"/>
    <w:rsid w:val="007E0553"/>
    <w:rsid w:val="007E31A3"/>
    <w:rsid w:val="007E5125"/>
    <w:rsid w:val="007E5A30"/>
    <w:rsid w:val="007E5DB4"/>
    <w:rsid w:val="007E6334"/>
    <w:rsid w:val="007E6423"/>
    <w:rsid w:val="007E64B6"/>
    <w:rsid w:val="007E72D5"/>
    <w:rsid w:val="007E72DF"/>
    <w:rsid w:val="007F0617"/>
    <w:rsid w:val="007F313E"/>
    <w:rsid w:val="007F372C"/>
    <w:rsid w:val="007F3993"/>
    <w:rsid w:val="007F3A5A"/>
    <w:rsid w:val="007F57FD"/>
    <w:rsid w:val="007F5AD6"/>
    <w:rsid w:val="007F6819"/>
    <w:rsid w:val="007F6F57"/>
    <w:rsid w:val="007F729E"/>
    <w:rsid w:val="007F7734"/>
    <w:rsid w:val="00800E69"/>
    <w:rsid w:val="00800EFF"/>
    <w:rsid w:val="008027FA"/>
    <w:rsid w:val="00802B28"/>
    <w:rsid w:val="00802BFE"/>
    <w:rsid w:val="00803827"/>
    <w:rsid w:val="0080391F"/>
    <w:rsid w:val="008039C2"/>
    <w:rsid w:val="008039F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4AF2"/>
    <w:rsid w:val="00815B29"/>
    <w:rsid w:val="00815FC2"/>
    <w:rsid w:val="0081607D"/>
    <w:rsid w:val="008167F5"/>
    <w:rsid w:val="00816B09"/>
    <w:rsid w:val="0081717F"/>
    <w:rsid w:val="0081794B"/>
    <w:rsid w:val="00817D8E"/>
    <w:rsid w:val="008200A3"/>
    <w:rsid w:val="00820222"/>
    <w:rsid w:val="00820BF2"/>
    <w:rsid w:val="00821A8A"/>
    <w:rsid w:val="00824749"/>
    <w:rsid w:val="00824C4E"/>
    <w:rsid w:val="00826125"/>
    <w:rsid w:val="00826F38"/>
    <w:rsid w:val="00827AE9"/>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3C1"/>
    <w:rsid w:val="00843908"/>
    <w:rsid w:val="008443E1"/>
    <w:rsid w:val="008444D4"/>
    <w:rsid w:val="00845D12"/>
    <w:rsid w:val="00846713"/>
    <w:rsid w:val="00846C5D"/>
    <w:rsid w:val="00846D48"/>
    <w:rsid w:val="008472A9"/>
    <w:rsid w:val="008473E4"/>
    <w:rsid w:val="008473FA"/>
    <w:rsid w:val="00847830"/>
    <w:rsid w:val="00851A81"/>
    <w:rsid w:val="00851F4C"/>
    <w:rsid w:val="0085224B"/>
    <w:rsid w:val="008523BA"/>
    <w:rsid w:val="00852B26"/>
    <w:rsid w:val="008543D4"/>
    <w:rsid w:val="0085480B"/>
    <w:rsid w:val="00855021"/>
    <w:rsid w:val="00855985"/>
    <w:rsid w:val="00855A70"/>
    <w:rsid w:val="008560F4"/>
    <w:rsid w:val="0085656A"/>
    <w:rsid w:val="008568B1"/>
    <w:rsid w:val="008570EB"/>
    <w:rsid w:val="00860A1E"/>
    <w:rsid w:val="00861622"/>
    <w:rsid w:val="008624DD"/>
    <w:rsid w:val="00863125"/>
    <w:rsid w:val="00864325"/>
    <w:rsid w:val="008645F1"/>
    <w:rsid w:val="0086470B"/>
    <w:rsid w:val="00864EBB"/>
    <w:rsid w:val="0086534F"/>
    <w:rsid w:val="008662C0"/>
    <w:rsid w:val="0086644C"/>
    <w:rsid w:val="008701F3"/>
    <w:rsid w:val="0087030B"/>
    <w:rsid w:val="008705E1"/>
    <w:rsid w:val="0087153F"/>
    <w:rsid w:val="00872938"/>
    <w:rsid w:val="00873ABF"/>
    <w:rsid w:val="0087459A"/>
    <w:rsid w:val="00875167"/>
    <w:rsid w:val="00875A88"/>
    <w:rsid w:val="00875DF8"/>
    <w:rsid w:val="0087644A"/>
    <w:rsid w:val="008765E3"/>
    <w:rsid w:val="00876DCE"/>
    <w:rsid w:val="00876F0A"/>
    <w:rsid w:val="00876FBF"/>
    <w:rsid w:val="00881572"/>
    <w:rsid w:val="00882FEA"/>
    <w:rsid w:val="0088320F"/>
    <w:rsid w:val="00883450"/>
    <w:rsid w:val="008834D1"/>
    <w:rsid w:val="0088398C"/>
    <w:rsid w:val="0088416D"/>
    <w:rsid w:val="00885A71"/>
    <w:rsid w:val="00885C6E"/>
    <w:rsid w:val="0088608A"/>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894"/>
    <w:rsid w:val="008965EF"/>
    <w:rsid w:val="00896AD4"/>
    <w:rsid w:val="00896CA1"/>
    <w:rsid w:val="008971FC"/>
    <w:rsid w:val="00897752"/>
    <w:rsid w:val="008A1B00"/>
    <w:rsid w:val="008A2811"/>
    <w:rsid w:val="008A3DB4"/>
    <w:rsid w:val="008A3F4A"/>
    <w:rsid w:val="008A3FC8"/>
    <w:rsid w:val="008A4872"/>
    <w:rsid w:val="008A52F3"/>
    <w:rsid w:val="008A5456"/>
    <w:rsid w:val="008A56DD"/>
    <w:rsid w:val="008A6806"/>
    <w:rsid w:val="008A74F2"/>
    <w:rsid w:val="008A7536"/>
    <w:rsid w:val="008A7F1F"/>
    <w:rsid w:val="008A7F7D"/>
    <w:rsid w:val="008B1A0C"/>
    <w:rsid w:val="008B1A5A"/>
    <w:rsid w:val="008B382F"/>
    <w:rsid w:val="008B38BC"/>
    <w:rsid w:val="008B3A16"/>
    <w:rsid w:val="008B3CBF"/>
    <w:rsid w:val="008B4590"/>
    <w:rsid w:val="008B5AB4"/>
    <w:rsid w:val="008B66A6"/>
    <w:rsid w:val="008B6849"/>
    <w:rsid w:val="008B7D4A"/>
    <w:rsid w:val="008B7FFE"/>
    <w:rsid w:val="008C0446"/>
    <w:rsid w:val="008C13DB"/>
    <w:rsid w:val="008C1CFD"/>
    <w:rsid w:val="008C23FB"/>
    <w:rsid w:val="008C28BF"/>
    <w:rsid w:val="008C2B3C"/>
    <w:rsid w:val="008C33F9"/>
    <w:rsid w:val="008C41A7"/>
    <w:rsid w:val="008C6F34"/>
    <w:rsid w:val="008C7108"/>
    <w:rsid w:val="008C7424"/>
    <w:rsid w:val="008C75C8"/>
    <w:rsid w:val="008C79A6"/>
    <w:rsid w:val="008D02A3"/>
    <w:rsid w:val="008D115B"/>
    <w:rsid w:val="008D22D8"/>
    <w:rsid w:val="008D259C"/>
    <w:rsid w:val="008D288D"/>
    <w:rsid w:val="008D2BCD"/>
    <w:rsid w:val="008D3A21"/>
    <w:rsid w:val="008D406E"/>
    <w:rsid w:val="008D45C3"/>
    <w:rsid w:val="008D4E99"/>
    <w:rsid w:val="008D5066"/>
    <w:rsid w:val="008D5A97"/>
    <w:rsid w:val="008D6697"/>
    <w:rsid w:val="008D728C"/>
    <w:rsid w:val="008E0674"/>
    <w:rsid w:val="008E11CC"/>
    <w:rsid w:val="008E1B8F"/>
    <w:rsid w:val="008E2154"/>
    <w:rsid w:val="008E234C"/>
    <w:rsid w:val="008E26D5"/>
    <w:rsid w:val="008E29BB"/>
    <w:rsid w:val="008E2B17"/>
    <w:rsid w:val="008E3E12"/>
    <w:rsid w:val="008E4DCD"/>
    <w:rsid w:val="008E5767"/>
    <w:rsid w:val="008E580D"/>
    <w:rsid w:val="008E63C7"/>
    <w:rsid w:val="008E7DFD"/>
    <w:rsid w:val="008F12E6"/>
    <w:rsid w:val="008F1558"/>
    <w:rsid w:val="008F2263"/>
    <w:rsid w:val="008F263E"/>
    <w:rsid w:val="008F2B44"/>
    <w:rsid w:val="008F330B"/>
    <w:rsid w:val="008F3604"/>
    <w:rsid w:val="008F3A6B"/>
    <w:rsid w:val="008F4D8E"/>
    <w:rsid w:val="008F5927"/>
    <w:rsid w:val="008F5D4C"/>
    <w:rsid w:val="008F5F96"/>
    <w:rsid w:val="008F7752"/>
    <w:rsid w:val="009006C5"/>
    <w:rsid w:val="0090174A"/>
    <w:rsid w:val="0090253F"/>
    <w:rsid w:val="00902E52"/>
    <w:rsid w:val="009036B3"/>
    <w:rsid w:val="00904A82"/>
    <w:rsid w:val="009052C1"/>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1D8F"/>
    <w:rsid w:val="00922166"/>
    <w:rsid w:val="00923604"/>
    <w:rsid w:val="00925276"/>
    <w:rsid w:val="00925C68"/>
    <w:rsid w:val="009315B0"/>
    <w:rsid w:val="009316E9"/>
    <w:rsid w:val="00931C93"/>
    <w:rsid w:val="00931EE2"/>
    <w:rsid w:val="00931FD8"/>
    <w:rsid w:val="0093282F"/>
    <w:rsid w:val="0093416D"/>
    <w:rsid w:val="009341A4"/>
    <w:rsid w:val="00934799"/>
    <w:rsid w:val="0093652D"/>
    <w:rsid w:val="00936971"/>
    <w:rsid w:val="00936999"/>
    <w:rsid w:val="0093714F"/>
    <w:rsid w:val="00937309"/>
    <w:rsid w:val="00937D66"/>
    <w:rsid w:val="009405CB"/>
    <w:rsid w:val="0094065A"/>
    <w:rsid w:val="00940FE2"/>
    <w:rsid w:val="009420B5"/>
    <w:rsid w:val="00943E62"/>
    <w:rsid w:val="0094407F"/>
    <w:rsid w:val="00945A61"/>
    <w:rsid w:val="009467D2"/>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4B51"/>
    <w:rsid w:val="00965470"/>
    <w:rsid w:val="009670E9"/>
    <w:rsid w:val="00970F70"/>
    <w:rsid w:val="00971056"/>
    <w:rsid w:val="009713B5"/>
    <w:rsid w:val="0097210F"/>
    <w:rsid w:val="0097252B"/>
    <w:rsid w:val="00972668"/>
    <w:rsid w:val="009727B4"/>
    <w:rsid w:val="00972C36"/>
    <w:rsid w:val="00972DF8"/>
    <w:rsid w:val="009747E8"/>
    <w:rsid w:val="009750AA"/>
    <w:rsid w:val="00975852"/>
    <w:rsid w:val="00975B6D"/>
    <w:rsid w:val="009767EB"/>
    <w:rsid w:val="00977D37"/>
    <w:rsid w:val="009813EA"/>
    <w:rsid w:val="009830D3"/>
    <w:rsid w:val="00983535"/>
    <w:rsid w:val="00983B8F"/>
    <w:rsid w:val="0098467F"/>
    <w:rsid w:val="009847B3"/>
    <w:rsid w:val="00984D47"/>
    <w:rsid w:val="0098595E"/>
    <w:rsid w:val="00986073"/>
    <w:rsid w:val="00987589"/>
    <w:rsid w:val="00990EE2"/>
    <w:rsid w:val="009916D2"/>
    <w:rsid w:val="009917E9"/>
    <w:rsid w:val="009918B7"/>
    <w:rsid w:val="009918C6"/>
    <w:rsid w:val="0099229C"/>
    <w:rsid w:val="00994E5F"/>
    <w:rsid w:val="009959DB"/>
    <w:rsid w:val="00995C9F"/>
    <w:rsid w:val="0099705D"/>
    <w:rsid w:val="0099752D"/>
    <w:rsid w:val="00997C2A"/>
    <w:rsid w:val="009A0358"/>
    <w:rsid w:val="009A0461"/>
    <w:rsid w:val="009A0E2A"/>
    <w:rsid w:val="009A1513"/>
    <w:rsid w:val="009A1E9E"/>
    <w:rsid w:val="009A28A2"/>
    <w:rsid w:val="009A2D33"/>
    <w:rsid w:val="009A3F10"/>
    <w:rsid w:val="009A5191"/>
    <w:rsid w:val="009A54BF"/>
    <w:rsid w:val="009A593A"/>
    <w:rsid w:val="009A5F87"/>
    <w:rsid w:val="009A5FBB"/>
    <w:rsid w:val="009A6EA3"/>
    <w:rsid w:val="009A7F61"/>
    <w:rsid w:val="009B0E35"/>
    <w:rsid w:val="009B0F5C"/>
    <w:rsid w:val="009B11D6"/>
    <w:rsid w:val="009B1B37"/>
    <w:rsid w:val="009B2550"/>
    <w:rsid w:val="009B2EE9"/>
    <w:rsid w:val="009B3771"/>
    <w:rsid w:val="009B4864"/>
    <w:rsid w:val="009B5504"/>
    <w:rsid w:val="009B5B41"/>
    <w:rsid w:val="009B5D1A"/>
    <w:rsid w:val="009B649B"/>
    <w:rsid w:val="009B6F16"/>
    <w:rsid w:val="009C0940"/>
    <w:rsid w:val="009C0950"/>
    <w:rsid w:val="009C1D99"/>
    <w:rsid w:val="009C1F8B"/>
    <w:rsid w:val="009C20A8"/>
    <w:rsid w:val="009C5057"/>
    <w:rsid w:val="009C6069"/>
    <w:rsid w:val="009C7D30"/>
    <w:rsid w:val="009D1378"/>
    <w:rsid w:val="009D1780"/>
    <w:rsid w:val="009D2384"/>
    <w:rsid w:val="009D3240"/>
    <w:rsid w:val="009D3A6E"/>
    <w:rsid w:val="009D3E9A"/>
    <w:rsid w:val="009D55C6"/>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24C9"/>
    <w:rsid w:val="009F307E"/>
    <w:rsid w:val="009F33FC"/>
    <w:rsid w:val="009F37D5"/>
    <w:rsid w:val="009F4582"/>
    <w:rsid w:val="009F50DE"/>
    <w:rsid w:val="009F5F3E"/>
    <w:rsid w:val="009F6D34"/>
    <w:rsid w:val="009F74A2"/>
    <w:rsid w:val="009F7BB0"/>
    <w:rsid w:val="00A0179F"/>
    <w:rsid w:val="00A0191E"/>
    <w:rsid w:val="00A01B7D"/>
    <w:rsid w:val="00A0343A"/>
    <w:rsid w:val="00A036C5"/>
    <w:rsid w:val="00A03AD2"/>
    <w:rsid w:val="00A05A67"/>
    <w:rsid w:val="00A05DA0"/>
    <w:rsid w:val="00A073A0"/>
    <w:rsid w:val="00A07D84"/>
    <w:rsid w:val="00A10336"/>
    <w:rsid w:val="00A10BE1"/>
    <w:rsid w:val="00A10CE2"/>
    <w:rsid w:val="00A11EAC"/>
    <w:rsid w:val="00A13400"/>
    <w:rsid w:val="00A13703"/>
    <w:rsid w:val="00A13811"/>
    <w:rsid w:val="00A13838"/>
    <w:rsid w:val="00A13D7D"/>
    <w:rsid w:val="00A15C42"/>
    <w:rsid w:val="00A166B8"/>
    <w:rsid w:val="00A16DF1"/>
    <w:rsid w:val="00A17302"/>
    <w:rsid w:val="00A17A17"/>
    <w:rsid w:val="00A2069D"/>
    <w:rsid w:val="00A20B1F"/>
    <w:rsid w:val="00A21050"/>
    <w:rsid w:val="00A235D0"/>
    <w:rsid w:val="00A24131"/>
    <w:rsid w:val="00A255AD"/>
    <w:rsid w:val="00A27A7F"/>
    <w:rsid w:val="00A3276A"/>
    <w:rsid w:val="00A349D2"/>
    <w:rsid w:val="00A34C05"/>
    <w:rsid w:val="00A35492"/>
    <w:rsid w:val="00A35FCF"/>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8FE"/>
    <w:rsid w:val="00A46AC9"/>
    <w:rsid w:val="00A46F7C"/>
    <w:rsid w:val="00A470D4"/>
    <w:rsid w:val="00A471A7"/>
    <w:rsid w:val="00A47279"/>
    <w:rsid w:val="00A473F5"/>
    <w:rsid w:val="00A477E5"/>
    <w:rsid w:val="00A50188"/>
    <w:rsid w:val="00A50720"/>
    <w:rsid w:val="00A50922"/>
    <w:rsid w:val="00A50B8A"/>
    <w:rsid w:val="00A51F40"/>
    <w:rsid w:val="00A526B0"/>
    <w:rsid w:val="00A55D2B"/>
    <w:rsid w:val="00A56C03"/>
    <w:rsid w:val="00A572BC"/>
    <w:rsid w:val="00A57A82"/>
    <w:rsid w:val="00A612F0"/>
    <w:rsid w:val="00A62B7B"/>
    <w:rsid w:val="00A65B37"/>
    <w:rsid w:val="00A66AE9"/>
    <w:rsid w:val="00A67428"/>
    <w:rsid w:val="00A679BF"/>
    <w:rsid w:val="00A70CF3"/>
    <w:rsid w:val="00A7155E"/>
    <w:rsid w:val="00A71FE7"/>
    <w:rsid w:val="00A73BAD"/>
    <w:rsid w:val="00A73C04"/>
    <w:rsid w:val="00A73E14"/>
    <w:rsid w:val="00A73EFE"/>
    <w:rsid w:val="00A74EDE"/>
    <w:rsid w:val="00A763AE"/>
    <w:rsid w:val="00A76619"/>
    <w:rsid w:val="00A766D5"/>
    <w:rsid w:val="00A76B0D"/>
    <w:rsid w:val="00A80223"/>
    <w:rsid w:val="00A80A03"/>
    <w:rsid w:val="00A8114B"/>
    <w:rsid w:val="00A816EE"/>
    <w:rsid w:val="00A81AB5"/>
    <w:rsid w:val="00A822C6"/>
    <w:rsid w:val="00A82724"/>
    <w:rsid w:val="00A82C13"/>
    <w:rsid w:val="00A82C5A"/>
    <w:rsid w:val="00A83FF6"/>
    <w:rsid w:val="00A84187"/>
    <w:rsid w:val="00A85CB7"/>
    <w:rsid w:val="00A8620F"/>
    <w:rsid w:val="00A8652F"/>
    <w:rsid w:val="00A86AAB"/>
    <w:rsid w:val="00A86D49"/>
    <w:rsid w:val="00A8769A"/>
    <w:rsid w:val="00A877B4"/>
    <w:rsid w:val="00A87B22"/>
    <w:rsid w:val="00A90FF4"/>
    <w:rsid w:val="00A917E3"/>
    <w:rsid w:val="00A918B0"/>
    <w:rsid w:val="00A92E9F"/>
    <w:rsid w:val="00A92EC0"/>
    <w:rsid w:val="00A92EED"/>
    <w:rsid w:val="00A94F2F"/>
    <w:rsid w:val="00A95848"/>
    <w:rsid w:val="00A975D5"/>
    <w:rsid w:val="00A9772B"/>
    <w:rsid w:val="00AA0660"/>
    <w:rsid w:val="00AA1409"/>
    <w:rsid w:val="00AA29D8"/>
    <w:rsid w:val="00AA2D1F"/>
    <w:rsid w:val="00AA3875"/>
    <w:rsid w:val="00AA404A"/>
    <w:rsid w:val="00AA40DC"/>
    <w:rsid w:val="00AA4F6D"/>
    <w:rsid w:val="00AA5063"/>
    <w:rsid w:val="00AA5BE8"/>
    <w:rsid w:val="00AA6228"/>
    <w:rsid w:val="00AA69A4"/>
    <w:rsid w:val="00AA75D4"/>
    <w:rsid w:val="00AB1131"/>
    <w:rsid w:val="00AB1B91"/>
    <w:rsid w:val="00AB2744"/>
    <w:rsid w:val="00AB274F"/>
    <w:rsid w:val="00AB3F90"/>
    <w:rsid w:val="00AB5F30"/>
    <w:rsid w:val="00AB61E4"/>
    <w:rsid w:val="00AB6BE3"/>
    <w:rsid w:val="00AB7AAA"/>
    <w:rsid w:val="00AC2197"/>
    <w:rsid w:val="00AC37C3"/>
    <w:rsid w:val="00AC3E08"/>
    <w:rsid w:val="00AC3E65"/>
    <w:rsid w:val="00AC535B"/>
    <w:rsid w:val="00AC5F6A"/>
    <w:rsid w:val="00AC63D3"/>
    <w:rsid w:val="00AD02D6"/>
    <w:rsid w:val="00AD0B3C"/>
    <w:rsid w:val="00AD0F76"/>
    <w:rsid w:val="00AD0FC3"/>
    <w:rsid w:val="00AD1CC0"/>
    <w:rsid w:val="00AD22B5"/>
    <w:rsid w:val="00AD2718"/>
    <w:rsid w:val="00AD2E4D"/>
    <w:rsid w:val="00AD31ED"/>
    <w:rsid w:val="00AD33D3"/>
    <w:rsid w:val="00AD3DB4"/>
    <w:rsid w:val="00AD5133"/>
    <w:rsid w:val="00AD5712"/>
    <w:rsid w:val="00AD65F4"/>
    <w:rsid w:val="00AD6AC5"/>
    <w:rsid w:val="00AD76A1"/>
    <w:rsid w:val="00AE1CCB"/>
    <w:rsid w:val="00AE48E8"/>
    <w:rsid w:val="00AE6F39"/>
    <w:rsid w:val="00AE7F20"/>
    <w:rsid w:val="00AF0E7C"/>
    <w:rsid w:val="00AF1F04"/>
    <w:rsid w:val="00AF3B55"/>
    <w:rsid w:val="00AF3D59"/>
    <w:rsid w:val="00AF5337"/>
    <w:rsid w:val="00AF5C58"/>
    <w:rsid w:val="00AF615F"/>
    <w:rsid w:val="00AF6794"/>
    <w:rsid w:val="00AF6F48"/>
    <w:rsid w:val="00AF717E"/>
    <w:rsid w:val="00AF77A6"/>
    <w:rsid w:val="00AF7E53"/>
    <w:rsid w:val="00B016F7"/>
    <w:rsid w:val="00B024B9"/>
    <w:rsid w:val="00B02BDD"/>
    <w:rsid w:val="00B04A9B"/>
    <w:rsid w:val="00B04E10"/>
    <w:rsid w:val="00B055B9"/>
    <w:rsid w:val="00B07194"/>
    <w:rsid w:val="00B10AFF"/>
    <w:rsid w:val="00B10F6B"/>
    <w:rsid w:val="00B12CE1"/>
    <w:rsid w:val="00B13243"/>
    <w:rsid w:val="00B13511"/>
    <w:rsid w:val="00B136E2"/>
    <w:rsid w:val="00B13AEF"/>
    <w:rsid w:val="00B13D85"/>
    <w:rsid w:val="00B14ED7"/>
    <w:rsid w:val="00B16296"/>
    <w:rsid w:val="00B16CC7"/>
    <w:rsid w:val="00B1786A"/>
    <w:rsid w:val="00B206D8"/>
    <w:rsid w:val="00B20AD8"/>
    <w:rsid w:val="00B20C75"/>
    <w:rsid w:val="00B230E5"/>
    <w:rsid w:val="00B23E88"/>
    <w:rsid w:val="00B246C8"/>
    <w:rsid w:val="00B25AD2"/>
    <w:rsid w:val="00B267A4"/>
    <w:rsid w:val="00B312C7"/>
    <w:rsid w:val="00B315C4"/>
    <w:rsid w:val="00B316B9"/>
    <w:rsid w:val="00B31E55"/>
    <w:rsid w:val="00B31E90"/>
    <w:rsid w:val="00B32E58"/>
    <w:rsid w:val="00B335A2"/>
    <w:rsid w:val="00B342D1"/>
    <w:rsid w:val="00B34371"/>
    <w:rsid w:val="00B357DD"/>
    <w:rsid w:val="00B3657D"/>
    <w:rsid w:val="00B36BEC"/>
    <w:rsid w:val="00B37104"/>
    <w:rsid w:val="00B37930"/>
    <w:rsid w:val="00B406E3"/>
    <w:rsid w:val="00B41516"/>
    <w:rsid w:val="00B433EB"/>
    <w:rsid w:val="00B434CB"/>
    <w:rsid w:val="00B447D7"/>
    <w:rsid w:val="00B44F9F"/>
    <w:rsid w:val="00B451F7"/>
    <w:rsid w:val="00B452A3"/>
    <w:rsid w:val="00B4545E"/>
    <w:rsid w:val="00B47889"/>
    <w:rsid w:val="00B47D0D"/>
    <w:rsid w:val="00B50723"/>
    <w:rsid w:val="00B52B7D"/>
    <w:rsid w:val="00B531D2"/>
    <w:rsid w:val="00B537D8"/>
    <w:rsid w:val="00B53CCA"/>
    <w:rsid w:val="00B54441"/>
    <w:rsid w:val="00B54A5F"/>
    <w:rsid w:val="00B560C2"/>
    <w:rsid w:val="00B5626B"/>
    <w:rsid w:val="00B56409"/>
    <w:rsid w:val="00B56F9B"/>
    <w:rsid w:val="00B57B32"/>
    <w:rsid w:val="00B614EB"/>
    <w:rsid w:val="00B62FF7"/>
    <w:rsid w:val="00B64099"/>
    <w:rsid w:val="00B643D6"/>
    <w:rsid w:val="00B64919"/>
    <w:rsid w:val="00B6571D"/>
    <w:rsid w:val="00B667C6"/>
    <w:rsid w:val="00B66BC8"/>
    <w:rsid w:val="00B6723D"/>
    <w:rsid w:val="00B67B60"/>
    <w:rsid w:val="00B67BD4"/>
    <w:rsid w:val="00B71F08"/>
    <w:rsid w:val="00B72964"/>
    <w:rsid w:val="00B73838"/>
    <w:rsid w:val="00B7421A"/>
    <w:rsid w:val="00B74366"/>
    <w:rsid w:val="00B74D4D"/>
    <w:rsid w:val="00B7561B"/>
    <w:rsid w:val="00B75F20"/>
    <w:rsid w:val="00B762FD"/>
    <w:rsid w:val="00B76BC1"/>
    <w:rsid w:val="00B76C73"/>
    <w:rsid w:val="00B803A8"/>
    <w:rsid w:val="00B808A4"/>
    <w:rsid w:val="00B81371"/>
    <w:rsid w:val="00B818B8"/>
    <w:rsid w:val="00B8225B"/>
    <w:rsid w:val="00B83B1F"/>
    <w:rsid w:val="00B83E2E"/>
    <w:rsid w:val="00B84739"/>
    <w:rsid w:val="00B855AA"/>
    <w:rsid w:val="00B864B3"/>
    <w:rsid w:val="00B87678"/>
    <w:rsid w:val="00B8780A"/>
    <w:rsid w:val="00B902E7"/>
    <w:rsid w:val="00B90B4F"/>
    <w:rsid w:val="00B922D9"/>
    <w:rsid w:val="00B926D6"/>
    <w:rsid w:val="00B93351"/>
    <w:rsid w:val="00B945F2"/>
    <w:rsid w:val="00B95670"/>
    <w:rsid w:val="00B959FD"/>
    <w:rsid w:val="00B95C7D"/>
    <w:rsid w:val="00B966BF"/>
    <w:rsid w:val="00B96E7C"/>
    <w:rsid w:val="00B96FBD"/>
    <w:rsid w:val="00B974B4"/>
    <w:rsid w:val="00BA0012"/>
    <w:rsid w:val="00BA0458"/>
    <w:rsid w:val="00BA200D"/>
    <w:rsid w:val="00BA48DA"/>
    <w:rsid w:val="00BA4BD7"/>
    <w:rsid w:val="00BA4F66"/>
    <w:rsid w:val="00BA54A2"/>
    <w:rsid w:val="00BA6D15"/>
    <w:rsid w:val="00BA7987"/>
    <w:rsid w:val="00BA7CFA"/>
    <w:rsid w:val="00BB1309"/>
    <w:rsid w:val="00BB2592"/>
    <w:rsid w:val="00BB2A0F"/>
    <w:rsid w:val="00BB3156"/>
    <w:rsid w:val="00BB4F26"/>
    <w:rsid w:val="00BB5CA9"/>
    <w:rsid w:val="00BB6662"/>
    <w:rsid w:val="00BB7E0C"/>
    <w:rsid w:val="00BC0CE4"/>
    <w:rsid w:val="00BC1CB0"/>
    <w:rsid w:val="00BC2139"/>
    <w:rsid w:val="00BC22CD"/>
    <w:rsid w:val="00BC260A"/>
    <w:rsid w:val="00BC30BF"/>
    <w:rsid w:val="00BC3150"/>
    <w:rsid w:val="00BC3781"/>
    <w:rsid w:val="00BC428C"/>
    <w:rsid w:val="00BC4307"/>
    <w:rsid w:val="00BC49C9"/>
    <w:rsid w:val="00BC4C44"/>
    <w:rsid w:val="00BC61B2"/>
    <w:rsid w:val="00BC7300"/>
    <w:rsid w:val="00BC7E69"/>
    <w:rsid w:val="00BD025A"/>
    <w:rsid w:val="00BD02D5"/>
    <w:rsid w:val="00BD0A1C"/>
    <w:rsid w:val="00BD0DA4"/>
    <w:rsid w:val="00BD0F9E"/>
    <w:rsid w:val="00BD1B67"/>
    <w:rsid w:val="00BD2E8E"/>
    <w:rsid w:val="00BD335B"/>
    <w:rsid w:val="00BD33B6"/>
    <w:rsid w:val="00BD36AE"/>
    <w:rsid w:val="00BD3D7F"/>
    <w:rsid w:val="00BD4097"/>
    <w:rsid w:val="00BD4163"/>
    <w:rsid w:val="00BD4ADB"/>
    <w:rsid w:val="00BD4E41"/>
    <w:rsid w:val="00BD4F95"/>
    <w:rsid w:val="00BD517B"/>
    <w:rsid w:val="00BD540C"/>
    <w:rsid w:val="00BD64CA"/>
    <w:rsid w:val="00BD650E"/>
    <w:rsid w:val="00BD6560"/>
    <w:rsid w:val="00BD687D"/>
    <w:rsid w:val="00BD717E"/>
    <w:rsid w:val="00BD7AEB"/>
    <w:rsid w:val="00BE00FA"/>
    <w:rsid w:val="00BE0C95"/>
    <w:rsid w:val="00BE27F4"/>
    <w:rsid w:val="00BE31BD"/>
    <w:rsid w:val="00BE37A9"/>
    <w:rsid w:val="00BE462E"/>
    <w:rsid w:val="00BE545A"/>
    <w:rsid w:val="00BE57A2"/>
    <w:rsid w:val="00BE5E11"/>
    <w:rsid w:val="00BE6C95"/>
    <w:rsid w:val="00BE7459"/>
    <w:rsid w:val="00BE74FA"/>
    <w:rsid w:val="00BE7E61"/>
    <w:rsid w:val="00BF0A54"/>
    <w:rsid w:val="00BF0F1C"/>
    <w:rsid w:val="00BF0F89"/>
    <w:rsid w:val="00BF1278"/>
    <w:rsid w:val="00BF1B7F"/>
    <w:rsid w:val="00BF22B8"/>
    <w:rsid w:val="00BF2346"/>
    <w:rsid w:val="00BF3B85"/>
    <w:rsid w:val="00BF485E"/>
    <w:rsid w:val="00BF6B5B"/>
    <w:rsid w:val="00BF6C2B"/>
    <w:rsid w:val="00BF6D83"/>
    <w:rsid w:val="00BF704D"/>
    <w:rsid w:val="00BF7365"/>
    <w:rsid w:val="00BF7585"/>
    <w:rsid w:val="00BF7596"/>
    <w:rsid w:val="00BF7824"/>
    <w:rsid w:val="00BF7D15"/>
    <w:rsid w:val="00C0049D"/>
    <w:rsid w:val="00C00996"/>
    <w:rsid w:val="00C020F8"/>
    <w:rsid w:val="00C0234A"/>
    <w:rsid w:val="00C02535"/>
    <w:rsid w:val="00C04666"/>
    <w:rsid w:val="00C04D22"/>
    <w:rsid w:val="00C06C02"/>
    <w:rsid w:val="00C07C99"/>
    <w:rsid w:val="00C11482"/>
    <w:rsid w:val="00C11E0B"/>
    <w:rsid w:val="00C12419"/>
    <w:rsid w:val="00C1254E"/>
    <w:rsid w:val="00C12E38"/>
    <w:rsid w:val="00C14CDF"/>
    <w:rsid w:val="00C150E0"/>
    <w:rsid w:val="00C150F6"/>
    <w:rsid w:val="00C15A7E"/>
    <w:rsid w:val="00C15F97"/>
    <w:rsid w:val="00C16762"/>
    <w:rsid w:val="00C16B08"/>
    <w:rsid w:val="00C17637"/>
    <w:rsid w:val="00C179FC"/>
    <w:rsid w:val="00C203F6"/>
    <w:rsid w:val="00C20EB1"/>
    <w:rsid w:val="00C2139F"/>
    <w:rsid w:val="00C21EE9"/>
    <w:rsid w:val="00C24101"/>
    <w:rsid w:val="00C24B25"/>
    <w:rsid w:val="00C24FF3"/>
    <w:rsid w:val="00C2548D"/>
    <w:rsid w:val="00C2575E"/>
    <w:rsid w:val="00C25C57"/>
    <w:rsid w:val="00C26121"/>
    <w:rsid w:val="00C26278"/>
    <w:rsid w:val="00C27ABF"/>
    <w:rsid w:val="00C3086E"/>
    <w:rsid w:val="00C315FB"/>
    <w:rsid w:val="00C31713"/>
    <w:rsid w:val="00C317BD"/>
    <w:rsid w:val="00C3198E"/>
    <w:rsid w:val="00C31C1C"/>
    <w:rsid w:val="00C33279"/>
    <w:rsid w:val="00C34B8F"/>
    <w:rsid w:val="00C35332"/>
    <w:rsid w:val="00C37421"/>
    <w:rsid w:val="00C37D4F"/>
    <w:rsid w:val="00C41015"/>
    <w:rsid w:val="00C41131"/>
    <w:rsid w:val="00C411C1"/>
    <w:rsid w:val="00C422BD"/>
    <w:rsid w:val="00C42996"/>
    <w:rsid w:val="00C42ED3"/>
    <w:rsid w:val="00C43233"/>
    <w:rsid w:val="00C43A3B"/>
    <w:rsid w:val="00C454F4"/>
    <w:rsid w:val="00C45581"/>
    <w:rsid w:val="00C45A02"/>
    <w:rsid w:val="00C45BF0"/>
    <w:rsid w:val="00C46213"/>
    <w:rsid w:val="00C465BE"/>
    <w:rsid w:val="00C4712A"/>
    <w:rsid w:val="00C47468"/>
    <w:rsid w:val="00C47CDC"/>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22D"/>
    <w:rsid w:val="00C70AB7"/>
    <w:rsid w:val="00C71858"/>
    <w:rsid w:val="00C722C5"/>
    <w:rsid w:val="00C72382"/>
    <w:rsid w:val="00C74346"/>
    <w:rsid w:val="00C744AE"/>
    <w:rsid w:val="00C74781"/>
    <w:rsid w:val="00C76B87"/>
    <w:rsid w:val="00C80034"/>
    <w:rsid w:val="00C80729"/>
    <w:rsid w:val="00C814EC"/>
    <w:rsid w:val="00C828E8"/>
    <w:rsid w:val="00C83043"/>
    <w:rsid w:val="00C83387"/>
    <w:rsid w:val="00C83579"/>
    <w:rsid w:val="00C83C79"/>
    <w:rsid w:val="00C83EA7"/>
    <w:rsid w:val="00C84559"/>
    <w:rsid w:val="00C84E31"/>
    <w:rsid w:val="00C862C4"/>
    <w:rsid w:val="00C86977"/>
    <w:rsid w:val="00C86B34"/>
    <w:rsid w:val="00C86FFF"/>
    <w:rsid w:val="00C871C7"/>
    <w:rsid w:val="00C87AC8"/>
    <w:rsid w:val="00C91060"/>
    <w:rsid w:val="00C91720"/>
    <w:rsid w:val="00C928FD"/>
    <w:rsid w:val="00C94D6B"/>
    <w:rsid w:val="00C95593"/>
    <w:rsid w:val="00C9667A"/>
    <w:rsid w:val="00C966B2"/>
    <w:rsid w:val="00C96A1F"/>
    <w:rsid w:val="00C9707E"/>
    <w:rsid w:val="00CA03B7"/>
    <w:rsid w:val="00CA0640"/>
    <w:rsid w:val="00CA1B2C"/>
    <w:rsid w:val="00CA2022"/>
    <w:rsid w:val="00CA4741"/>
    <w:rsid w:val="00CA4CF0"/>
    <w:rsid w:val="00CA543E"/>
    <w:rsid w:val="00CA5465"/>
    <w:rsid w:val="00CA5FEE"/>
    <w:rsid w:val="00CA62D4"/>
    <w:rsid w:val="00CA7A78"/>
    <w:rsid w:val="00CA7F49"/>
    <w:rsid w:val="00CB153B"/>
    <w:rsid w:val="00CB25AE"/>
    <w:rsid w:val="00CB2FC0"/>
    <w:rsid w:val="00CB3C69"/>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76F8"/>
    <w:rsid w:val="00CD2BD3"/>
    <w:rsid w:val="00CD32FE"/>
    <w:rsid w:val="00CD3E7D"/>
    <w:rsid w:val="00CD4161"/>
    <w:rsid w:val="00CD5036"/>
    <w:rsid w:val="00CD6866"/>
    <w:rsid w:val="00CD76D4"/>
    <w:rsid w:val="00CD7893"/>
    <w:rsid w:val="00CD7911"/>
    <w:rsid w:val="00CE03CC"/>
    <w:rsid w:val="00CE5758"/>
    <w:rsid w:val="00CE6EC5"/>
    <w:rsid w:val="00CE7784"/>
    <w:rsid w:val="00CE7E6A"/>
    <w:rsid w:val="00CF030B"/>
    <w:rsid w:val="00CF15AD"/>
    <w:rsid w:val="00CF23A2"/>
    <w:rsid w:val="00CF2665"/>
    <w:rsid w:val="00CF2E5B"/>
    <w:rsid w:val="00CF5D77"/>
    <w:rsid w:val="00CF6EB2"/>
    <w:rsid w:val="00D00269"/>
    <w:rsid w:val="00D00730"/>
    <w:rsid w:val="00D02F72"/>
    <w:rsid w:val="00D04655"/>
    <w:rsid w:val="00D056B5"/>
    <w:rsid w:val="00D06E0B"/>
    <w:rsid w:val="00D07927"/>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17E10"/>
    <w:rsid w:val="00D20E91"/>
    <w:rsid w:val="00D2181D"/>
    <w:rsid w:val="00D225CB"/>
    <w:rsid w:val="00D23CD2"/>
    <w:rsid w:val="00D24D07"/>
    <w:rsid w:val="00D24D53"/>
    <w:rsid w:val="00D25A9F"/>
    <w:rsid w:val="00D266ED"/>
    <w:rsid w:val="00D26C47"/>
    <w:rsid w:val="00D2734A"/>
    <w:rsid w:val="00D276CF"/>
    <w:rsid w:val="00D27F25"/>
    <w:rsid w:val="00D30003"/>
    <w:rsid w:val="00D306AB"/>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7B7"/>
    <w:rsid w:val="00D409B3"/>
    <w:rsid w:val="00D41B84"/>
    <w:rsid w:val="00D41E2D"/>
    <w:rsid w:val="00D42588"/>
    <w:rsid w:val="00D425C6"/>
    <w:rsid w:val="00D427F9"/>
    <w:rsid w:val="00D4287D"/>
    <w:rsid w:val="00D42957"/>
    <w:rsid w:val="00D429E4"/>
    <w:rsid w:val="00D43E64"/>
    <w:rsid w:val="00D4447E"/>
    <w:rsid w:val="00D446E7"/>
    <w:rsid w:val="00D46D5B"/>
    <w:rsid w:val="00D47265"/>
    <w:rsid w:val="00D47500"/>
    <w:rsid w:val="00D4793C"/>
    <w:rsid w:val="00D47B8B"/>
    <w:rsid w:val="00D51955"/>
    <w:rsid w:val="00D525E2"/>
    <w:rsid w:val="00D53E76"/>
    <w:rsid w:val="00D5750C"/>
    <w:rsid w:val="00D60582"/>
    <w:rsid w:val="00D61222"/>
    <w:rsid w:val="00D6172D"/>
    <w:rsid w:val="00D6172F"/>
    <w:rsid w:val="00D62BEF"/>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34E"/>
    <w:rsid w:val="00D738F0"/>
    <w:rsid w:val="00D74685"/>
    <w:rsid w:val="00D75E6C"/>
    <w:rsid w:val="00D80F7C"/>
    <w:rsid w:val="00D82CB3"/>
    <w:rsid w:val="00D82FC0"/>
    <w:rsid w:val="00D8322A"/>
    <w:rsid w:val="00D83C17"/>
    <w:rsid w:val="00D84495"/>
    <w:rsid w:val="00D8537E"/>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5EE9"/>
    <w:rsid w:val="00D963CC"/>
    <w:rsid w:val="00DA07EB"/>
    <w:rsid w:val="00DA0B95"/>
    <w:rsid w:val="00DA11BA"/>
    <w:rsid w:val="00DA226D"/>
    <w:rsid w:val="00DA22D8"/>
    <w:rsid w:val="00DA2D95"/>
    <w:rsid w:val="00DA3A4F"/>
    <w:rsid w:val="00DA42C0"/>
    <w:rsid w:val="00DA52A2"/>
    <w:rsid w:val="00DA5647"/>
    <w:rsid w:val="00DA57B0"/>
    <w:rsid w:val="00DA701E"/>
    <w:rsid w:val="00DA7146"/>
    <w:rsid w:val="00DA7E2F"/>
    <w:rsid w:val="00DB0C0B"/>
    <w:rsid w:val="00DB1382"/>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4DAD"/>
    <w:rsid w:val="00DC5188"/>
    <w:rsid w:val="00DC5A97"/>
    <w:rsid w:val="00DC6294"/>
    <w:rsid w:val="00DC6875"/>
    <w:rsid w:val="00DC6AEA"/>
    <w:rsid w:val="00DC7377"/>
    <w:rsid w:val="00DD0282"/>
    <w:rsid w:val="00DD2912"/>
    <w:rsid w:val="00DD2A39"/>
    <w:rsid w:val="00DD353B"/>
    <w:rsid w:val="00DD3902"/>
    <w:rsid w:val="00DD3DF7"/>
    <w:rsid w:val="00DD417A"/>
    <w:rsid w:val="00DD45C1"/>
    <w:rsid w:val="00DD4849"/>
    <w:rsid w:val="00DD4C01"/>
    <w:rsid w:val="00DD5361"/>
    <w:rsid w:val="00DD54CB"/>
    <w:rsid w:val="00DE0FC0"/>
    <w:rsid w:val="00DE190A"/>
    <w:rsid w:val="00DE1A76"/>
    <w:rsid w:val="00DE288D"/>
    <w:rsid w:val="00DE31D8"/>
    <w:rsid w:val="00DE3949"/>
    <w:rsid w:val="00DE3A31"/>
    <w:rsid w:val="00DE4F75"/>
    <w:rsid w:val="00DE5F76"/>
    <w:rsid w:val="00DE6603"/>
    <w:rsid w:val="00DF09A4"/>
    <w:rsid w:val="00DF0DF7"/>
    <w:rsid w:val="00DF13A5"/>
    <w:rsid w:val="00DF1C93"/>
    <w:rsid w:val="00DF1E5D"/>
    <w:rsid w:val="00DF2ABA"/>
    <w:rsid w:val="00DF2C11"/>
    <w:rsid w:val="00DF391A"/>
    <w:rsid w:val="00DF419C"/>
    <w:rsid w:val="00DF51C5"/>
    <w:rsid w:val="00DF6794"/>
    <w:rsid w:val="00DF72C7"/>
    <w:rsid w:val="00DF7862"/>
    <w:rsid w:val="00E00D6F"/>
    <w:rsid w:val="00E012FA"/>
    <w:rsid w:val="00E01A81"/>
    <w:rsid w:val="00E022F3"/>
    <w:rsid w:val="00E02A48"/>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16EBE"/>
    <w:rsid w:val="00E171AB"/>
    <w:rsid w:val="00E221E6"/>
    <w:rsid w:val="00E227C3"/>
    <w:rsid w:val="00E22843"/>
    <w:rsid w:val="00E22B8E"/>
    <w:rsid w:val="00E23111"/>
    <w:rsid w:val="00E23556"/>
    <w:rsid w:val="00E23CC6"/>
    <w:rsid w:val="00E24C79"/>
    <w:rsid w:val="00E25A78"/>
    <w:rsid w:val="00E26881"/>
    <w:rsid w:val="00E26DFE"/>
    <w:rsid w:val="00E2713B"/>
    <w:rsid w:val="00E274D7"/>
    <w:rsid w:val="00E3177E"/>
    <w:rsid w:val="00E322FD"/>
    <w:rsid w:val="00E32652"/>
    <w:rsid w:val="00E32DDF"/>
    <w:rsid w:val="00E32FCA"/>
    <w:rsid w:val="00E33108"/>
    <w:rsid w:val="00E3451B"/>
    <w:rsid w:val="00E34622"/>
    <w:rsid w:val="00E34657"/>
    <w:rsid w:val="00E34706"/>
    <w:rsid w:val="00E35537"/>
    <w:rsid w:val="00E36F7D"/>
    <w:rsid w:val="00E37D0C"/>
    <w:rsid w:val="00E41588"/>
    <w:rsid w:val="00E41813"/>
    <w:rsid w:val="00E43ABE"/>
    <w:rsid w:val="00E44057"/>
    <w:rsid w:val="00E445BD"/>
    <w:rsid w:val="00E46673"/>
    <w:rsid w:val="00E46BF7"/>
    <w:rsid w:val="00E47A5F"/>
    <w:rsid w:val="00E47F04"/>
    <w:rsid w:val="00E50385"/>
    <w:rsid w:val="00E506E7"/>
    <w:rsid w:val="00E507A5"/>
    <w:rsid w:val="00E51A57"/>
    <w:rsid w:val="00E52798"/>
    <w:rsid w:val="00E528D2"/>
    <w:rsid w:val="00E54E89"/>
    <w:rsid w:val="00E56DBA"/>
    <w:rsid w:val="00E57714"/>
    <w:rsid w:val="00E57E0F"/>
    <w:rsid w:val="00E601CE"/>
    <w:rsid w:val="00E602CF"/>
    <w:rsid w:val="00E609D1"/>
    <w:rsid w:val="00E60B1D"/>
    <w:rsid w:val="00E61EE8"/>
    <w:rsid w:val="00E62061"/>
    <w:rsid w:val="00E62441"/>
    <w:rsid w:val="00E62DCB"/>
    <w:rsid w:val="00E63879"/>
    <w:rsid w:val="00E63CDC"/>
    <w:rsid w:val="00E647FF"/>
    <w:rsid w:val="00E650C6"/>
    <w:rsid w:val="00E6520A"/>
    <w:rsid w:val="00E6662D"/>
    <w:rsid w:val="00E66A80"/>
    <w:rsid w:val="00E66C3D"/>
    <w:rsid w:val="00E66EE6"/>
    <w:rsid w:val="00E7063D"/>
    <w:rsid w:val="00E70911"/>
    <w:rsid w:val="00E71329"/>
    <w:rsid w:val="00E71633"/>
    <w:rsid w:val="00E7218C"/>
    <w:rsid w:val="00E72689"/>
    <w:rsid w:val="00E730AA"/>
    <w:rsid w:val="00E74C7A"/>
    <w:rsid w:val="00E76F52"/>
    <w:rsid w:val="00E77069"/>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4ADD"/>
    <w:rsid w:val="00E95534"/>
    <w:rsid w:val="00E96326"/>
    <w:rsid w:val="00E969D2"/>
    <w:rsid w:val="00E96FC5"/>
    <w:rsid w:val="00E97D83"/>
    <w:rsid w:val="00EA0CA1"/>
    <w:rsid w:val="00EA1D8B"/>
    <w:rsid w:val="00EA289E"/>
    <w:rsid w:val="00EA2998"/>
    <w:rsid w:val="00EA2E5E"/>
    <w:rsid w:val="00EA3249"/>
    <w:rsid w:val="00EA37A0"/>
    <w:rsid w:val="00EA3C59"/>
    <w:rsid w:val="00EA4CEB"/>
    <w:rsid w:val="00EA5061"/>
    <w:rsid w:val="00EA5118"/>
    <w:rsid w:val="00EA53CF"/>
    <w:rsid w:val="00EA6C56"/>
    <w:rsid w:val="00EB02F9"/>
    <w:rsid w:val="00EB0C63"/>
    <w:rsid w:val="00EB0DF0"/>
    <w:rsid w:val="00EB1280"/>
    <w:rsid w:val="00EB1A2C"/>
    <w:rsid w:val="00EB2513"/>
    <w:rsid w:val="00EB3DF7"/>
    <w:rsid w:val="00EB3F5C"/>
    <w:rsid w:val="00EB40DC"/>
    <w:rsid w:val="00EB41EF"/>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44E9"/>
    <w:rsid w:val="00EC61C5"/>
    <w:rsid w:val="00EC6F0E"/>
    <w:rsid w:val="00EC7352"/>
    <w:rsid w:val="00ED2270"/>
    <w:rsid w:val="00ED26C0"/>
    <w:rsid w:val="00ED3818"/>
    <w:rsid w:val="00ED3B1D"/>
    <w:rsid w:val="00ED3E6C"/>
    <w:rsid w:val="00ED512E"/>
    <w:rsid w:val="00ED5912"/>
    <w:rsid w:val="00ED5B4E"/>
    <w:rsid w:val="00ED5EFD"/>
    <w:rsid w:val="00EE0293"/>
    <w:rsid w:val="00EE03EC"/>
    <w:rsid w:val="00EE048D"/>
    <w:rsid w:val="00EE04E0"/>
    <w:rsid w:val="00EE0ACB"/>
    <w:rsid w:val="00EE107C"/>
    <w:rsid w:val="00EE123D"/>
    <w:rsid w:val="00EE221F"/>
    <w:rsid w:val="00EE2263"/>
    <w:rsid w:val="00EE280E"/>
    <w:rsid w:val="00EE2D4A"/>
    <w:rsid w:val="00EE3E9C"/>
    <w:rsid w:val="00EE4D4C"/>
    <w:rsid w:val="00EE4FBE"/>
    <w:rsid w:val="00EE696E"/>
    <w:rsid w:val="00EF014A"/>
    <w:rsid w:val="00EF01CE"/>
    <w:rsid w:val="00EF0558"/>
    <w:rsid w:val="00EF0F44"/>
    <w:rsid w:val="00EF193A"/>
    <w:rsid w:val="00EF1D84"/>
    <w:rsid w:val="00EF1DC8"/>
    <w:rsid w:val="00EF1F30"/>
    <w:rsid w:val="00EF26CB"/>
    <w:rsid w:val="00EF2E2B"/>
    <w:rsid w:val="00EF34D2"/>
    <w:rsid w:val="00EF3BF9"/>
    <w:rsid w:val="00EF4891"/>
    <w:rsid w:val="00EF4C26"/>
    <w:rsid w:val="00EF5CC0"/>
    <w:rsid w:val="00EF6A20"/>
    <w:rsid w:val="00EF7540"/>
    <w:rsid w:val="00EF75DE"/>
    <w:rsid w:val="00EF77E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4FE"/>
    <w:rsid w:val="00F20933"/>
    <w:rsid w:val="00F2141D"/>
    <w:rsid w:val="00F21705"/>
    <w:rsid w:val="00F21772"/>
    <w:rsid w:val="00F2299C"/>
    <w:rsid w:val="00F231FC"/>
    <w:rsid w:val="00F234AD"/>
    <w:rsid w:val="00F24AB7"/>
    <w:rsid w:val="00F2567E"/>
    <w:rsid w:val="00F25819"/>
    <w:rsid w:val="00F25B61"/>
    <w:rsid w:val="00F25E84"/>
    <w:rsid w:val="00F26068"/>
    <w:rsid w:val="00F26D05"/>
    <w:rsid w:val="00F2706D"/>
    <w:rsid w:val="00F27142"/>
    <w:rsid w:val="00F2723F"/>
    <w:rsid w:val="00F27ADB"/>
    <w:rsid w:val="00F30953"/>
    <w:rsid w:val="00F30AB9"/>
    <w:rsid w:val="00F31178"/>
    <w:rsid w:val="00F3117D"/>
    <w:rsid w:val="00F31AE8"/>
    <w:rsid w:val="00F325F9"/>
    <w:rsid w:val="00F32971"/>
    <w:rsid w:val="00F33708"/>
    <w:rsid w:val="00F3400B"/>
    <w:rsid w:val="00F341F5"/>
    <w:rsid w:val="00F34793"/>
    <w:rsid w:val="00F35C44"/>
    <w:rsid w:val="00F37B6F"/>
    <w:rsid w:val="00F4086C"/>
    <w:rsid w:val="00F408DD"/>
    <w:rsid w:val="00F40C05"/>
    <w:rsid w:val="00F40E86"/>
    <w:rsid w:val="00F42168"/>
    <w:rsid w:val="00F425B3"/>
    <w:rsid w:val="00F4327E"/>
    <w:rsid w:val="00F44C78"/>
    <w:rsid w:val="00F44F38"/>
    <w:rsid w:val="00F452C0"/>
    <w:rsid w:val="00F45502"/>
    <w:rsid w:val="00F455A6"/>
    <w:rsid w:val="00F459E6"/>
    <w:rsid w:val="00F460CC"/>
    <w:rsid w:val="00F473DE"/>
    <w:rsid w:val="00F47D88"/>
    <w:rsid w:val="00F53104"/>
    <w:rsid w:val="00F5372F"/>
    <w:rsid w:val="00F53C70"/>
    <w:rsid w:val="00F550F8"/>
    <w:rsid w:val="00F55309"/>
    <w:rsid w:val="00F562A9"/>
    <w:rsid w:val="00F56E0D"/>
    <w:rsid w:val="00F606BE"/>
    <w:rsid w:val="00F60C62"/>
    <w:rsid w:val="00F6174D"/>
    <w:rsid w:val="00F6300E"/>
    <w:rsid w:val="00F6301A"/>
    <w:rsid w:val="00F638B9"/>
    <w:rsid w:val="00F63940"/>
    <w:rsid w:val="00F645AF"/>
    <w:rsid w:val="00F65055"/>
    <w:rsid w:val="00F65D41"/>
    <w:rsid w:val="00F664F8"/>
    <w:rsid w:val="00F66BC9"/>
    <w:rsid w:val="00F67057"/>
    <w:rsid w:val="00F6715F"/>
    <w:rsid w:val="00F67946"/>
    <w:rsid w:val="00F67C7C"/>
    <w:rsid w:val="00F70916"/>
    <w:rsid w:val="00F70DDB"/>
    <w:rsid w:val="00F7271E"/>
    <w:rsid w:val="00F72B99"/>
    <w:rsid w:val="00F72CCD"/>
    <w:rsid w:val="00F72E9F"/>
    <w:rsid w:val="00F73166"/>
    <w:rsid w:val="00F736F9"/>
    <w:rsid w:val="00F739E9"/>
    <w:rsid w:val="00F75114"/>
    <w:rsid w:val="00F75285"/>
    <w:rsid w:val="00F77C12"/>
    <w:rsid w:val="00F8110A"/>
    <w:rsid w:val="00F81620"/>
    <w:rsid w:val="00F84240"/>
    <w:rsid w:val="00F85237"/>
    <w:rsid w:val="00F8564F"/>
    <w:rsid w:val="00F86EA3"/>
    <w:rsid w:val="00F87DAE"/>
    <w:rsid w:val="00F9000A"/>
    <w:rsid w:val="00F9002A"/>
    <w:rsid w:val="00F90261"/>
    <w:rsid w:val="00F906D0"/>
    <w:rsid w:val="00F90CC8"/>
    <w:rsid w:val="00F91388"/>
    <w:rsid w:val="00F92741"/>
    <w:rsid w:val="00F93FEB"/>
    <w:rsid w:val="00F94E43"/>
    <w:rsid w:val="00F95914"/>
    <w:rsid w:val="00F96156"/>
    <w:rsid w:val="00F96460"/>
    <w:rsid w:val="00F97916"/>
    <w:rsid w:val="00F97AFE"/>
    <w:rsid w:val="00F97E65"/>
    <w:rsid w:val="00FA0128"/>
    <w:rsid w:val="00FA0F09"/>
    <w:rsid w:val="00FA1786"/>
    <w:rsid w:val="00FA17C2"/>
    <w:rsid w:val="00FA19C1"/>
    <w:rsid w:val="00FA215F"/>
    <w:rsid w:val="00FA2406"/>
    <w:rsid w:val="00FA3191"/>
    <w:rsid w:val="00FA3808"/>
    <w:rsid w:val="00FA3860"/>
    <w:rsid w:val="00FA38E0"/>
    <w:rsid w:val="00FA3FCC"/>
    <w:rsid w:val="00FA5AE3"/>
    <w:rsid w:val="00FA73DD"/>
    <w:rsid w:val="00FB0C36"/>
    <w:rsid w:val="00FB13C2"/>
    <w:rsid w:val="00FB1B29"/>
    <w:rsid w:val="00FB1C70"/>
    <w:rsid w:val="00FB25AF"/>
    <w:rsid w:val="00FB27FA"/>
    <w:rsid w:val="00FB2EE1"/>
    <w:rsid w:val="00FB2F73"/>
    <w:rsid w:val="00FB35D3"/>
    <w:rsid w:val="00FB380D"/>
    <w:rsid w:val="00FB3FB7"/>
    <w:rsid w:val="00FB47BD"/>
    <w:rsid w:val="00FB5B03"/>
    <w:rsid w:val="00FB65DD"/>
    <w:rsid w:val="00FB68A4"/>
    <w:rsid w:val="00FB720D"/>
    <w:rsid w:val="00FB76C5"/>
    <w:rsid w:val="00FB7FBE"/>
    <w:rsid w:val="00FC0824"/>
    <w:rsid w:val="00FC0C57"/>
    <w:rsid w:val="00FC16B9"/>
    <w:rsid w:val="00FC1DA7"/>
    <w:rsid w:val="00FC2414"/>
    <w:rsid w:val="00FC2C4D"/>
    <w:rsid w:val="00FC2E20"/>
    <w:rsid w:val="00FC44A1"/>
    <w:rsid w:val="00FC4DEB"/>
    <w:rsid w:val="00FC50CE"/>
    <w:rsid w:val="00FC62AC"/>
    <w:rsid w:val="00FC66A8"/>
    <w:rsid w:val="00FC6AC7"/>
    <w:rsid w:val="00FC6C3D"/>
    <w:rsid w:val="00FC6E16"/>
    <w:rsid w:val="00FC77FF"/>
    <w:rsid w:val="00FC7E40"/>
    <w:rsid w:val="00FD01C5"/>
    <w:rsid w:val="00FD03CC"/>
    <w:rsid w:val="00FD0B5A"/>
    <w:rsid w:val="00FD1351"/>
    <w:rsid w:val="00FD1906"/>
    <w:rsid w:val="00FD27EA"/>
    <w:rsid w:val="00FD33CC"/>
    <w:rsid w:val="00FD4B65"/>
    <w:rsid w:val="00FD600C"/>
    <w:rsid w:val="00FD62D7"/>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233"/>
    <w:rsid w:val="00FF3338"/>
    <w:rsid w:val="00FF335C"/>
    <w:rsid w:val="00FF3373"/>
    <w:rsid w:val="00FF35F5"/>
    <w:rsid w:val="00FF3B7B"/>
    <w:rsid w:val="00FF3EA0"/>
    <w:rsid w:val="00FF3FF6"/>
    <w:rsid w:val="00FF40F7"/>
    <w:rsid w:val="00FF6C0E"/>
    <w:rsid w:val="00FF7333"/>
    <w:rsid w:val="00FF7602"/>
    <w:rsid w:val="00FF783D"/>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BBA1CFD9-9C4F-4959-8278-ED6D7CA20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4">
    <w:name w:val="heading 4"/>
    <w:basedOn w:val="Normal"/>
    <w:next w:val="Normal"/>
    <w:link w:val="Ttulo4Car"/>
    <w:uiPriority w:val="9"/>
    <w:semiHidden/>
    <w:unhideWhenUsed/>
    <w:qFormat/>
    <w:rsid w:val="00EF77E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Ttulo4Car">
    <w:name w:val="Título 4 Car"/>
    <w:basedOn w:val="Fuentedeprrafopredeter"/>
    <w:link w:val="Ttulo4"/>
    <w:uiPriority w:val="9"/>
    <w:semiHidden/>
    <w:rsid w:val="00EF77EE"/>
    <w:rPr>
      <w:rFonts w:asciiTheme="majorHAnsi" w:eastAsiaTheme="majorEastAsia" w:hAnsiTheme="majorHAnsi" w:cstheme="majorBidi"/>
      <w:i/>
      <w:iCs/>
      <w:color w:val="365F91" w:themeColor="accent1" w:themeShade="BF"/>
      <w:lang w:val="es-MX"/>
    </w:rPr>
  </w:style>
  <w:style w:type="character" w:styleId="Referenciasutil">
    <w:name w:val="Subtle Reference"/>
    <w:basedOn w:val="Fuentedeprrafopredeter"/>
    <w:uiPriority w:val="31"/>
    <w:qFormat/>
    <w:rsid w:val="00F67C7C"/>
    <w:rPr>
      <w:rFonts w:ascii="Times New Roman" w:hAnsi="Times New Roman" w:cs="Times New Roman" w:hint="default"/>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132966">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40872119">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3636026">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65185960">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59235539">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32391641">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47265193">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2046562147">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477213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29696123">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996953921">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29185716">
      <w:bodyDiv w:val="1"/>
      <w:marLeft w:val="0"/>
      <w:marRight w:val="0"/>
      <w:marTop w:val="0"/>
      <w:marBottom w:val="0"/>
      <w:divBdr>
        <w:top w:val="none" w:sz="0" w:space="0" w:color="auto"/>
        <w:left w:val="none" w:sz="0" w:space="0" w:color="auto"/>
        <w:bottom w:val="none" w:sz="0" w:space="0" w:color="auto"/>
        <w:right w:val="none" w:sz="0" w:space="0" w:color="auto"/>
      </w:divBdr>
    </w:div>
    <w:div w:id="108403103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85286473">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58832367">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63482380">
      <w:bodyDiv w:val="1"/>
      <w:marLeft w:val="0"/>
      <w:marRight w:val="0"/>
      <w:marTop w:val="0"/>
      <w:marBottom w:val="0"/>
      <w:divBdr>
        <w:top w:val="none" w:sz="0" w:space="0" w:color="auto"/>
        <w:left w:val="none" w:sz="0" w:space="0" w:color="auto"/>
        <w:bottom w:val="none" w:sz="0" w:space="0" w:color="auto"/>
        <w:right w:val="none" w:sz="0" w:space="0" w:color="auto"/>
      </w:divBdr>
    </w:div>
    <w:div w:id="1364744920">
      <w:bodyDiv w:val="1"/>
      <w:marLeft w:val="0"/>
      <w:marRight w:val="0"/>
      <w:marTop w:val="0"/>
      <w:marBottom w:val="0"/>
      <w:divBdr>
        <w:top w:val="none" w:sz="0" w:space="0" w:color="auto"/>
        <w:left w:val="none" w:sz="0" w:space="0" w:color="auto"/>
        <w:bottom w:val="none" w:sz="0" w:space="0" w:color="auto"/>
        <w:right w:val="none" w:sz="0" w:space="0" w:color="auto"/>
      </w:divBdr>
    </w:div>
    <w:div w:id="1376079548">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09694498">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40447527">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16268739">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75385027">
      <w:bodyDiv w:val="1"/>
      <w:marLeft w:val="0"/>
      <w:marRight w:val="0"/>
      <w:marTop w:val="0"/>
      <w:marBottom w:val="0"/>
      <w:divBdr>
        <w:top w:val="none" w:sz="0" w:space="0" w:color="auto"/>
        <w:left w:val="none" w:sz="0" w:space="0" w:color="auto"/>
        <w:bottom w:val="none" w:sz="0" w:space="0" w:color="auto"/>
        <w:right w:val="none" w:sz="0" w:space="0" w:color="auto"/>
      </w:divBdr>
    </w:div>
    <w:div w:id="158541328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18359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8069014">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0277032">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19960830">
      <w:bodyDiv w:val="1"/>
      <w:marLeft w:val="0"/>
      <w:marRight w:val="0"/>
      <w:marTop w:val="0"/>
      <w:marBottom w:val="0"/>
      <w:divBdr>
        <w:top w:val="none" w:sz="0" w:space="0" w:color="auto"/>
        <w:left w:val="none" w:sz="0" w:space="0" w:color="auto"/>
        <w:bottom w:val="none" w:sz="0" w:space="0" w:color="auto"/>
        <w:right w:val="none" w:sz="0" w:space="0" w:color="auto"/>
      </w:divBdr>
    </w:div>
    <w:div w:id="1822112143">
      <w:bodyDiv w:val="1"/>
      <w:marLeft w:val="0"/>
      <w:marRight w:val="0"/>
      <w:marTop w:val="0"/>
      <w:marBottom w:val="0"/>
      <w:divBdr>
        <w:top w:val="none" w:sz="0" w:space="0" w:color="auto"/>
        <w:left w:val="none" w:sz="0" w:space="0" w:color="auto"/>
        <w:bottom w:val="none" w:sz="0" w:space="0" w:color="auto"/>
        <w:right w:val="none" w:sz="0" w:space="0" w:color="auto"/>
      </w:divBdr>
    </w:div>
    <w:div w:id="183233373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08193068">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D4E87-31EA-4875-9562-40FDB5A8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81</Pages>
  <Words>19056</Words>
  <Characters>104813</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6</cp:revision>
  <cp:lastPrinted>2024-02-12T17:14:00Z</cp:lastPrinted>
  <dcterms:created xsi:type="dcterms:W3CDTF">2024-02-07T16:44:00Z</dcterms:created>
  <dcterms:modified xsi:type="dcterms:W3CDTF">2024-02-21T17:41:00Z</dcterms:modified>
</cp:coreProperties>
</file>