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F88C1" w14:textId="05025635"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sidR="005F6C6D">
        <w:rPr>
          <w:rFonts w:eastAsia="Palatino Linotype" w:cs="Palatino Linotype"/>
          <w:color w:val="000000"/>
          <w:szCs w:val="24"/>
        </w:rPr>
        <w:t xml:space="preserve"> </w:t>
      </w:r>
      <w:r w:rsidR="008A1C85">
        <w:rPr>
          <w:rFonts w:eastAsia="Palatino Linotype" w:cs="Palatino Linotype"/>
          <w:color w:val="000000"/>
          <w:szCs w:val="24"/>
        </w:rPr>
        <w:t>seis de noviembre</w:t>
      </w:r>
      <w:r w:rsidR="00D321D8">
        <w:rPr>
          <w:rFonts w:eastAsia="Palatino Linotype" w:cs="Palatino Linotype"/>
          <w:color w:val="000000"/>
          <w:szCs w:val="24"/>
        </w:rPr>
        <w:t xml:space="preserve"> de dos mil </w:t>
      </w:r>
      <w:r w:rsidR="00B426F3">
        <w:rPr>
          <w:rFonts w:eastAsia="Palatino Linotype" w:cs="Palatino Linotype"/>
          <w:color w:val="000000"/>
          <w:szCs w:val="24"/>
        </w:rPr>
        <w:t>veinticuatro</w:t>
      </w:r>
      <w:r w:rsidRPr="00875B7E">
        <w:rPr>
          <w:rFonts w:eastAsia="Palatino Linotype" w:cs="Palatino Linotype"/>
          <w:color w:val="000000"/>
          <w:szCs w:val="24"/>
        </w:rPr>
        <w:t>.</w:t>
      </w:r>
    </w:p>
    <w:p w14:paraId="48DE4E79"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13754330" w14:textId="3850B5E8"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w:t>
      </w:r>
      <w:r w:rsidR="009C7E85">
        <w:rPr>
          <w:rFonts w:eastAsia="Palatino Linotype" w:cs="Palatino Linotype"/>
          <w:b/>
          <w:color w:val="000000"/>
          <w:szCs w:val="24"/>
        </w:rPr>
        <w:t>5820</w:t>
      </w:r>
      <w:r>
        <w:rPr>
          <w:rFonts w:eastAsia="Palatino Linotype" w:cs="Palatino Linotype"/>
          <w:b/>
          <w:color w:val="000000"/>
          <w:szCs w:val="24"/>
        </w:rPr>
        <w:t>/</w:t>
      </w:r>
      <w:r w:rsidRPr="00875B7E">
        <w:rPr>
          <w:rFonts w:eastAsia="Palatino Linotype" w:cs="Palatino Linotype"/>
          <w:b/>
          <w:color w:val="000000"/>
          <w:szCs w:val="24"/>
        </w:rPr>
        <w:t>INFOEM/IP/RR/202</w:t>
      </w:r>
      <w:r w:rsidR="009C7E85">
        <w:rPr>
          <w:rFonts w:eastAsia="Palatino Linotype" w:cs="Palatino Linotype"/>
          <w:b/>
          <w:color w:val="000000"/>
          <w:szCs w:val="24"/>
        </w:rPr>
        <w:t>4</w:t>
      </w:r>
      <w:r w:rsidRPr="00875B7E">
        <w:rPr>
          <w:rFonts w:eastAsia="Palatino Linotype" w:cs="Palatino Linotype"/>
          <w:color w:val="000000"/>
          <w:szCs w:val="24"/>
        </w:rPr>
        <w:t>, interpuesto por</w:t>
      </w:r>
      <w:r w:rsidR="00D321D8">
        <w:rPr>
          <w:rFonts w:eastAsia="Palatino Linotype" w:cs="Palatino Linotype"/>
          <w:b/>
          <w:bCs/>
          <w:color w:val="000000"/>
          <w:szCs w:val="24"/>
        </w:rPr>
        <w:t xml:space="preserve"> </w:t>
      </w:r>
      <w:r w:rsidR="00B120DB">
        <w:rPr>
          <w:rFonts w:eastAsia="Palatino Linotype" w:cs="Palatino Linotype"/>
          <w:b/>
          <w:bCs/>
          <w:color w:val="000000"/>
          <w:szCs w:val="24"/>
        </w:rPr>
        <w:t>XXXXXXXXXXXXXXXX</w:t>
      </w:r>
      <w:r w:rsidR="009C7E85">
        <w:rPr>
          <w:rFonts w:eastAsia="Palatino Linotype" w:cs="Palatino Linotype"/>
          <w:b/>
          <w:bCs/>
          <w:color w:val="000000"/>
          <w:szCs w:val="24"/>
        </w:rPr>
        <w:t xml:space="preserve"> </w:t>
      </w:r>
      <w:r w:rsidR="00B120DB">
        <w:rPr>
          <w:rFonts w:eastAsia="Palatino Linotype" w:cs="Palatino Linotype"/>
          <w:b/>
          <w:bCs/>
          <w:color w:val="000000"/>
          <w:szCs w:val="24"/>
        </w:rPr>
        <w:t>XXXXXXXXXXXXX</w:t>
      </w:r>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009C7E85">
        <w:rPr>
          <w:rFonts w:eastAsia="Palatino Linotype" w:cs="Palatino Linotype"/>
          <w:color w:val="000000"/>
          <w:szCs w:val="24"/>
        </w:rPr>
        <w:t xml:space="preserve">, en contra de la respuesta de la </w:t>
      </w:r>
      <w:r w:rsidR="009C7E85">
        <w:rPr>
          <w:rFonts w:eastAsia="Palatino Linotype" w:cs="Palatino Linotype"/>
          <w:b/>
          <w:color w:val="000000"/>
          <w:szCs w:val="24"/>
        </w:rPr>
        <w:t xml:space="preserve">Secretaría de Finanzas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149F4A01"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3DE6B95E" w14:textId="77777777" w:rsidR="00511260" w:rsidRPr="00511260" w:rsidRDefault="00511260" w:rsidP="00D321D8">
      <w:pPr>
        <w:jc w:val="center"/>
        <w:rPr>
          <w:b/>
          <w:bCs/>
          <w:sz w:val="28"/>
          <w:szCs w:val="28"/>
        </w:rPr>
      </w:pPr>
      <w:r w:rsidRPr="00511260">
        <w:rPr>
          <w:b/>
          <w:bCs/>
          <w:sz w:val="28"/>
          <w:szCs w:val="28"/>
        </w:rPr>
        <w:t>A N T E C E D E N T E S</w:t>
      </w:r>
    </w:p>
    <w:p w14:paraId="57621D0B"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6A011D4A" w14:textId="77777777" w:rsidR="00511260" w:rsidRPr="00511260" w:rsidRDefault="00511260" w:rsidP="00511260">
      <w:pPr>
        <w:rPr>
          <w:b/>
          <w:bCs/>
          <w:sz w:val="28"/>
          <w:szCs w:val="24"/>
        </w:rPr>
      </w:pPr>
      <w:r w:rsidRPr="00511260">
        <w:rPr>
          <w:b/>
          <w:bCs/>
          <w:sz w:val="28"/>
          <w:szCs w:val="24"/>
        </w:rPr>
        <w:t>PRIMERO. De la Solicitud de Información.</w:t>
      </w:r>
    </w:p>
    <w:p w14:paraId="32EB670D" w14:textId="22DDE812" w:rsidR="00511260"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9C7E85">
        <w:rPr>
          <w:rFonts w:eastAsia="Palatino Linotype" w:cs="Palatino Linotype"/>
          <w:color w:val="000000"/>
          <w:szCs w:val="24"/>
        </w:rPr>
        <w:t>dos de septiembre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w:t>
      </w:r>
      <w:bookmarkStart w:id="0" w:name="_GoBack"/>
      <w:bookmarkEnd w:id="0"/>
      <w:r w:rsidRPr="006922F5">
        <w:rPr>
          <w:rFonts w:eastAsia="Palatino Linotype" w:cs="Palatino Linotype"/>
          <w:color w:val="000000"/>
          <w:szCs w:val="24"/>
        </w:rPr>
        <w:t xml:space="preserve">Sistema de Acceso a la Información Mexiquense (SAIMEX), solicitud de información registrada con el número de </w:t>
      </w:r>
      <w:r w:rsidRPr="000147D3">
        <w:rPr>
          <w:rFonts w:eastAsia="Palatino Linotype" w:cs="Palatino Linotype"/>
          <w:szCs w:val="24"/>
        </w:rPr>
        <w:t>expediente</w:t>
      </w:r>
      <w:r w:rsidR="00D321D8" w:rsidRPr="00D321D8">
        <w:rPr>
          <w:b/>
          <w:bCs/>
        </w:rPr>
        <w:t> </w:t>
      </w:r>
      <w:r w:rsidR="009C7E85" w:rsidRPr="009C7E85">
        <w:rPr>
          <w:b/>
          <w:bCs/>
        </w:rPr>
        <w:t>00580/SF/IP/2024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14026B80" w14:textId="77777777" w:rsidR="00D321D8" w:rsidRDefault="00D321D8" w:rsidP="00511260">
      <w:pPr>
        <w:pBdr>
          <w:top w:val="nil"/>
          <w:left w:val="nil"/>
          <w:bottom w:val="nil"/>
          <w:right w:val="nil"/>
          <w:between w:val="nil"/>
        </w:pBdr>
        <w:contextualSpacing/>
        <w:rPr>
          <w:rFonts w:eastAsia="Palatino Linotype" w:cs="Palatino Linotype"/>
          <w:color w:val="000000"/>
          <w:szCs w:val="24"/>
        </w:rPr>
      </w:pPr>
    </w:p>
    <w:p w14:paraId="3D004B25" w14:textId="445C5C92" w:rsidR="00511260" w:rsidRPr="009C7E85" w:rsidRDefault="009C7E85" w:rsidP="009C7E85">
      <w:pPr>
        <w:pBdr>
          <w:top w:val="nil"/>
          <w:left w:val="nil"/>
          <w:bottom w:val="nil"/>
          <w:right w:val="nil"/>
          <w:between w:val="nil"/>
        </w:pBdr>
        <w:ind w:left="708"/>
        <w:contextualSpacing/>
        <w:rPr>
          <w:i/>
          <w:color w:val="000000"/>
          <w:szCs w:val="24"/>
        </w:rPr>
      </w:pPr>
      <w:r w:rsidRPr="009C7E85">
        <w:rPr>
          <w:i/>
          <w:color w:val="000000"/>
          <w:szCs w:val="24"/>
        </w:rPr>
        <w:t xml:space="preserve">“Se solicita documento firmado por la C. Luz María Cuero Hernández, Directora de Área, adscrita a la Dirección General de Evaluación del Desempeño Institucional, donde confirme que en el año 2023 tuvo acusaciones de acoso laboral, hostigamiento y abuso de autoridad, de igual forma, con que fundamento jurídico la contrataron si no tiene el </w:t>
      </w:r>
      <w:proofErr w:type="spellStart"/>
      <w:r w:rsidRPr="009C7E85">
        <w:rPr>
          <w:i/>
          <w:color w:val="000000"/>
          <w:szCs w:val="24"/>
        </w:rPr>
        <w:t>Titulo</w:t>
      </w:r>
      <w:proofErr w:type="spellEnd"/>
      <w:r w:rsidRPr="009C7E85">
        <w:rPr>
          <w:i/>
          <w:color w:val="000000"/>
          <w:szCs w:val="24"/>
        </w:rPr>
        <w:t xml:space="preserve"> profesional para el perfil que marca el puesto.” (SIC)</w:t>
      </w:r>
    </w:p>
    <w:p w14:paraId="265836B1" w14:textId="77777777" w:rsidR="009C7E85" w:rsidRPr="00875B7E" w:rsidRDefault="009C7E85" w:rsidP="009C7E85">
      <w:pPr>
        <w:pBdr>
          <w:top w:val="nil"/>
          <w:left w:val="nil"/>
          <w:bottom w:val="nil"/>
          <w:right w:val="nil"/>
          <w:between w:val="nil"/>
        </w:pBdr>
        <w:ind w:left="708"/>
        <w:contextualSpacing/>
        <w:rPr>
          <w:rFonts w:eastAsia="Palatino Linotype" w:cs="Palatino Linotype"/>
          <w:color w:val="000000"/>
          <w:szCs w:val="24"/>
        </w:rPr>
      </w:pPr>
    </w:p>
    <w:p w14:paraId="4F4FA494" w14:textId="77777777" w:rsidR="00511260" w:rsidRPr="006922F5" w:rsidRDefault="00511260" w:rsidP="00511260">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lastRenderedPageBreak/>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3D69AF50"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1A7758F8" w14:textId="77777777" w:rsidR="00511260" w:rsidRPr="00511260" w:rsidRDefault="00511260" w:rsidP="00511260">
      <w:pPr>
        <w:rPr>
          <w:b/>
          <w:bCs/>
          <w:sz w:val="28"/>
          <w:szCs w:val="28"/>
        </w:rPr>
      </w:pPr>
      <w:r w:rsidRPr="00511260">
        <w:rPr>
          <w:b/>
          <w:bCs/>
          <w:sz w:val="28"/>
          <w:szCs w:val="28"/>
        </w:rPr>
        <w:t>SEGUNDO. De la respuesta del Sujeto Obligado.</w:t>
      </w:r>
    </w:p>
    <w:p w14:paraId="4CD7110D" w14:textId="07FA0C9A" w:rsidR="00D321D8"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9C7E85">
        <w:rPr>
          <w:rFonts w:eastAsia="Palatino Linotype" w:cs="Palatino Linotype"/>
          <w:color w:val="000000"/>
          <w:szCs w:val="24"/>
        </w:rPr>
        <w:t>veintitrés de septiembre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respuesta a la solicitud de información</w:t>
      </w:r>
      <w:r w:rsidR="009C7E85">
        <w:rPr>
          <w:rFonts w:eastAsia="Palatino Linotype" w:cs="Palatino Linotype"/>
          <w:color w:val="000000"/>
          <w:szCs w:val="24"/>
        </w:rPr>
        <w:t xml:space="preserve"> en los términos siguientes; </w:t>
      </w:r>
    </w:p>
    <w:tbl>
      <w:tblPr>
        <w:tblW w:w="8242" w:type="dxa"/>
        <w:jc w:val="center"/>
        <w:tblCellSpacing w:w="0" w:type="dxa"/>
        <w:tblCellMar>
          <w:left w:w="0" w:type="dxa"/>
          <w:right w:w="0" w:type="dxa"/>
        </w:tblCellMar>
        <w:tblLook w:val="04A0" w:firstRow="1" w:lastRow="0" w:firstColumn="1" w:lastColumn="0" w:noHBand="0" w:noVBand="1"/>
      </w:tblPr>
      <w:tblGrid>
        <w:gridCol w:w="8242"/>
      </w:tblGrid>
      <w:tr w:rsidR="009C7E85" w:rsidRPr="009C7E85" w14:paraId="2F02E496" w14:textId="77777777" w:rsidTr="009C7E85">
        <w:trPr>
          <w:trHeight w:val="300"/>
          <w:tblCellSpacing w:w="0" w:type="dxa"/>
          <w:jc w:val="center"/>
        </w:trPr>
        <w:tc>
          <w:tcPr>
            <w:tcW w:w="0" w:type="auto"/>
            <w:vAlign w:val="center"/>
            <w:hideMark/>
          </w:tcPr>
          <w:p w14:paraId="17ABA5C3" w14:textId="77777777" w:rsidR="009C7E85" w:rsidRPr="009C7E85" w:rsidRDefault="009C7E85" w:rsidP="009C7E85">
            <w:pPr>
              <w:spacing w:line="240" w:lineRule="auto"/>
              <w:jc w:val="right"/>
              <w:rPr>
                <w:rFonts w:eastAsia="Times New Roman" w:cs="Times New Roman"/>
                <w:i/>
                <w:sz w:val="22"/>
                <w:lang w:val="es-MX"/>
              </w:rPr>
            </w:pPr>
            <w:r w:rsidRPr="009C7E85">
              <w:rPr>
                <w:rFonts w:eastAsia="Times New Roman" w:cs="Times New Roman"/>
                <w:i/>
                <w:sz w:val="22"/>
                <w:lang w:val="es-MX"/>
              </w:rPr>
              <w:t>Metepec, México a 23 de Septiembre de 2024</w:t>
            </w:r>
          </w:p>
        </w:tc>
      </w:tr>
      <w:tr w:rsidR="009C7E85" w:rsidRPr="009C7E85" w14:paraId="59963DDD" w14:textId="77777777" w:rsidTr="009C7E85">
        <w:trPr>
          <w:trHeight w:val="300"/>
          <w:tblCellSpacing w:w="0" w:type="dxa"/>
          <w:jc w:val="center"/>
        </w:trPr>
        <w:tc>
          <w:tcPr>
            <w:tcW w:w="0" w:type="auto"/>
            <w:vAlign w:val="center"/>
            <w:hideMark/>
          </w:tcPr>
          <w:p w14:paraId="1D08118E" w14:textId="77777777" w:rsidR="009C7E85" w:rsidRPr="009C7E85" w:rsidRDefault="009C7E85" w:rsidP="009C7E85">
            <w:pPr>
              <w:spacing w:line="240" w:lineRule="auto"/>
              <w:jc w:val="right"/>
              <w:rPr>
                <w:rFonts w:eastAsia="Times New Roman" w:cs="Times New Roman"/>
                <w:i/>
                <w:sz w:val="22"/>
                <w:lang w:val="es-MX"/>
              </w:rPr>
            </w:pPr>
            <w:r w:rsidRPr="009C7E85">
              <w:rPr>
                <w:rFonts w:eastAsia="Times New Roman" w:cs="Times New Roman"/>
                <w:i/>
                <w:sz w:val="22"/>
                <w:lang w:val="es-MX"/>
              </w:rPr>
              <w:t>Nombre del solicitante: C. Solicitante</w:t>
            </w:r>
          </w:p>
        </w:tc>
      </w:tr>
      <w:tr w:rsidR="009C7E85" w:rsidRPr="009C7E85" w14:paraId="16482F9F" w14:textId="77777777" w:rsidTr="009C7E85">
        <w:trPr>
          <w:trHeight w:val="300"/>
          <w:tblCellSpacing w:w="0" w:type="dxa"/>
          <w:jc w:val="center"/>
        </w:trPr>
        <w:tc>
          <w:tcPr>
            <w:tcW w:w="0" w:type="auto"/>
            <w:vAlign w:val="center"/>
            <w:hideMark/>
          </w:tcPr>
          <w:p w14:paraId="73D039D9" w14:textId="77777777" w:rsidR="009C7E85" w:rsidRPr="009C7E85" w:rsidRDefault="009C7E85" w:rsidP="009C7E85">
            <w:pPr>
              <w:spacing w:line="240" w:lineRule="auto"/>
              <w:jc w:val="right"/>
              <w:rPr>
                <w:rFonts w:eastAsia="Times New Roman" w:cs="Times New Roman"/>
                <w:i/>
                <w:sz w:val="22"/>
                <w:lang w:val="es-MX"/>
              </w:rPr>
            </w:pPr>
            <w:r w:rsidRPr="009C7E85">
              <w:rPr>
                <w:rFonts w:eastAsia="Times New Roman" w:cs="Times New Roman"/>
                <w:i/>
                <w:sz w:val="22"/>
                <w:lang w:val="es-MX"/>
              </w:rPr>
              <w:t>Folio de la solicitud: 00580/SF/IP/2024</w:t>
            </w:r>
          </w:p>
        </w:tc>
      </w:tr>
      <w:tr w:rsidR="009C7E85" w:rsidRPr="009C7E85" w14:paraId="40DE4423" w14:textId="77777777" w:rsidTr="009C7E85">
        <w:trPr>
          <w:trHeight w:val="450"/>
          <w:tblCellSpacing w:w="0" w:type="dxa"/>
          <w:jc w:val="center"/>
        </w:trPr>
        <w:tc>
          <w:tcPr>
            <w:tcW w:w="0" w:type="auto"/>
            <w:vAlign w:val="center"/>
            <w:hideMark/>
          </w:tcPr>
          <w:p w14:paraId="6A57AEEA" w14:textId="77777777" w:rsidR="009C7E85" w:rsidRPr="009C7E85" w:rsidRDefault="009C7E85" w:rsidP="009C7E85">
            <w:pPr>
              <w:spacing w:line="240" w:lineRule="auto"/>
              <w:jc w:val="right"/>
              <w:rPr>
                <w:rFonts w:eastAsia="Times New Roman" w:cs="Times New Roman"/>
                <w:i/>
                <w:sz w:val="22"/>
                <w:lang w:val="es-MX"/>
              </w:rPr>
            </w:pPr>
          </w:p>
        </w:tc>
      </w:tr>
      <w:tr w:rsidR="009C7E85" w:rsidRPr="009C7E85" w14:paraId="64F05EC1" w14:textId="77777777" w:rsidTr="009C7E85">
        <w:trPr>
          <w:trHeight w:val="150"/>
          <w:tblCellSpacing w:w="0" w:type="dxa"/>
          <w:jc w:val="center"/>
        </w:trPr>
        <w:tc>
          <w:tcPr>
            <w:tcW w:w="0" w:type="auto"/>
            <w:vAlign w:val="center"/>
            <w:hideMark/>
          </w:tcPr>
          <w:p w14:paraId="29E8D998" w14:textId="77777777" w:rsidR="009C7E85" w:rsidRPr="009C7E85" w:rsidRDefault="009C7E85" w:rsidP="009C7E85">
            <w:pPr>
              <w:spacing w:line="240" w:lineRule="auto"/>
              <w:rPr>
                <w:rFonts w:eastAsia="Times New Roman" w:cs="Times New Roman"/>
                <w:i/>
                <w:sz w:val="22"/>
                <w:lang w:val="es-MX"/>
              </w:rPr>
            </w:pPr>
            <w:r w:rsidRPr="009C7E85">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7B0504CE" w14:textId="77777777" w:rsidR="009C7E85" w:rsidRDefault="009C7E85" w:rsidP="00511260">
      <w:pPr>
        <w:pBdr>
          <w:top w:val="nil"/>
          <w:left w:val="nil"/>
          <w:bottom w:val="nil"/>
          <w:right w:val="nil"/>
          <w:between w:val="nil"/>
        </w:pBdr>
        <w:contextualSpacing/>
        <w:rPr>
          <w:rFonts w:eastAsia="Palatino Linotype" w:cs="Palatino Linotype"/>
          <w:color w:val="000000"/>
          <w:szCs w:val="24"/>
        </w:rPr>
      </w:pPr>
    </w:p>
    <w:p w14:paraId="0A9653A4" w14:textId="77777777" w:rsidR="009C7E85" w:rsidRDefault="009C7E85" w:rsidP="00511260">
      <w:pPr>
        <w:pBdr>
          <w:top w:val="nil"/>
          <w:left w:val="nil"/>
          <w:bottom w:val="nil"/>
          <w:right w:val="nil"/>
          <w:between w:val="nil"/>
        </w:pBdr>
        <w:contextualSpacing/>
        <w:rPr>
          <w:rFonts w:eastAsia="Palatino Linotype" w:cs="Palatino Linotype"/>
          <w:color w:val="000000"/>
          <w:szCs w:val="24"/>
        </w:rPr>
      </w:pPr>
    </w:p>
    <w:p w14:paraId="16B16B0A" w14:textId="1F5074AB" w:rsidR="00511260" w:rsidRPr="009C7E85" w:rsidRDefault="009C7E85" w:rsidP="005112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 través de los archivos electrónicos “</w:t>
      </w:r>
      <w:r w:rsidRPr="009C7E85">
        <w:rPr>
          <w:rFonts w:cs="Arial"/>
          <w:b/>
          <w:bCs/>
          <w:i/>
          <w:szCs w:val="24"/>
        </w:rPr>
        <w:t>00580 SSPYP.pdf</w:t>
      </w:r>
      <w:r>
        <w:rPr>
          <w:rFonts w:cs="Arial"/>
          <w:b/>
          <w:bCs/>
          <w:i/>
          <w:szCs w:val="24"/>
        </w:rPr>
        <w:t>” y “</w:t>
      </w:r>
      <w:r w:rsidRPr="009C7E85">
        <w:rPr>
          <w:rFonts w:cs="Arial"/>
          <w:b/>
          <w:bCs/>
          <w:i/>
          <w:szCs w:val="24"/>
        </w:rPr>
        <w:t>00580 SOLICITANTE.pdf</w:t>
      </w:r>
      <w:r>
        <w:rPr>
          <w:rFonts w:eastAsia="Palatino Linotype" w:cs="Palatino Linotype"/>
          <w:color w:val="000000"/>
          <w:szCs w:val="24"/>
        </w:rPr>
        <w:t xml:space="preserve">” </w:t>
      </w:r>
      <w:r w:rsidR="00511260">
        <w:rPr>
          <w:rFonts w:eastAsia="Palatino Linotype" w:cs="Palatino Linotype"/>
          <w:color w:val="000000"/>
          <w:szCs w:val="24"/>
        </w:rPr>
        <w:t>cual</w:t>
      </w:r>
      <w:r w:rsidR="00D321D8">
        <w:rPr>
          <w:rFonts w:eastAsia="Palatino Linotype" w:cs="Palatino Linotype"/>
          <w:color w:val="000000"/>
          <w:szCs w:val="24"/>
        </w:rPr>
        <w:t>es</w:t>
      </w:r>
      <w:r w:rsidR="00511260">
        <w:rPr>
          <w:rFonts w:eastAsia="Palatino Linotype" w:cs="Palatino Linotype"/>
          <w:color w:val="000000"/>
          <w:szCs w:val="24"/>
        </w:rPr>
        <w:t xml:space="preserve"> no se reproduce</w:t>
      </w:r>
      <w:r w:rsidR="00D321D8">
        <w:rPr>
          <w:rFonts w:eastAsia="Palatino Linotype" w:cs="Palatino Linotype"/>
          <w:color w:val="000000"/>
          <w:szCs w:val="24"/>
        </w:rPr>
        <w:t>n</w:t>
      </w:r>
      <w:r w:rsidR="00511260">
        <w:rPr>
          <w:rFonts w:eastAsia="Palatino Linotype" w:cs="Palatino Linotype"/>
          <w:color w:val="000000"/>
          <w:szCs w:val="24"/>
        </w:rPr>
        <w:t xml:space="preserve"> por ser del conocimiento de las partes; no obstante, su contenido será motivo de análisis en el estudio correspondiente.</w:t>
      </w:r>
    </w:p>
    <w:p w14:paraId="2F641781" w14:textId="77777777" w:rsidR="00511260" w:rsidRPr="0037112D" w:rsidRDefault="00511260" w:rsidP="00511260">
      <w:pPr>
        <w:pBdr>
          <w:top w:val="nil"/>
          <w:left w:val="nil"/>
          <w:bottom w:val="nil"/>
          <w:right w:val="nil"/>
          <w:between w:val="nil"/>
        </w:pBdr>
        <w:contextualSpacing/>
        <w:rPr>
          <w:rFonts w:eastAsia="Palatino Linotype" w:cs="Palatino Linotype"/>
          <w:color w:val="000000"/>
          <w:szCs w:val="24"/>
        </w:rPr>
      </w:pPr>
    </w:p>
    <w:p w14:paraId="2DE68489" w14:textId="77777777" w:rsidR="00511260" w:rsidRPr="00511260" w:rsidRDefault="00511260" w:rsidP="00511260">
      <w:pPr>
        <w:rPr>
          <w:b/>
          <w:bCs/>
          <w:sz w:val="28"/>
          <w:szCs w:val="28"/>
        </w:rPr>
      </w:pPr>
      <w:r w:rsidRPr="00511260">
        <w:rPr>
          <w:b/>
          <w:bCs/>
          <w:sz w:val="28"/>
          <w:szCs w:val="28"/>
        </w:rPr>
        <w:t>TERCERO. Del recurso de revisión.</w:t>
      </w:r>
    </w:p>
    <w:p w14:paraId="7F7738FB" w14:textId="69C64818"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w:t>
      </w:r>
      <w:r w:rsidR="001963C1">
        <w:rPr>
          <w:rFonts w:eastAsia="Palatino Linotype" w:cs="Palatino Linotype"/>
          <w:color w:val="000000"/>
          <w:szCs w:val="24"/>
        </w:rPr>
        <w:t xml:space="preserve">el día </w:t>
      </w:r>
      <w:r w:rsidR="009C7E85">
        <w:rPr>
          <w:rFonts w:eastAsia="Palatino Linotype" w:cs="Palatino Linotype"/>
          <w:b/>
          <w:bCs/>
          <w:color w:val="000000"/>
          <w:szCs w:val="24"/>
        </w:rPr>
        <w:t>veinticuatro de septiembre</w:t>
      </w:r>
      <w:r w:rsidR="001963C1">
        <w:rPr>
          <w:rFonts w:eastAsia="Palatino Linotype" w:cs="Palatino Linotype"/>
          <w:b/>
          <w:bCs/>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w:t>
      </w:r>
      <w:r w:rsidR="009C7E85">
        <w:rPr>
          <w:rFonts w:eastAsia="Palatino Linotype" w:cs="Palatino Linotype"/>
          <w:b/>
          <w:color w:val="000000"/>
          <w:szCs w:val="24"/>
        </w:rPr>
        <w:t>5820</w:t>
      </w:r>
      <w:r>
        <w:rPr>
          <w:rFonts w:eastAsia="Palatino Linotype" w:cs="Palatino Linotype"/>
          <w:b/>
          <w:color w:val="000000"/>
          <w:szCs w:val="24"/>
        </w:rPr>
        <w:t>/INFOEM/IP/RR/202</w:t>
      </w:r>
      <w:r w:rsidR="009C7E85">
        <w:rPr>
          <w:rFonts w:eastAsia="Palatino Linotype" w:cs="Palatino Linotype"/>
          <w:b/>
          <w:color w:val="000000"/>
          <w:szCs w:val="24"/>
        </w:rPr>
        <w:t>4</w:t>
      </w:r>
      <w:r w:rsidRPr="006922F5">
        <w:rPr>
          <w:rFonts w:eastAsia="Palatino Linotype" w:cs="Palatino Linotype"/>
          <w:color w:val="000000"/>
          <w:szCs w:val="24"/>
        </w:rPr>
        <w:t>, manifestando lo siguiente:</w:t>
      </w:r>
    </w:p>
    <w:p w14:paraId="76C8AF76" w14:textId="77777777" w:rsidR="009C7E85" w:rsidRDefault="009C7E85" w:rsidP="00511260">
      <w:pPr>
        <w:contextualSpacing/>
        <w:rPr>
          <w:rFonts w:eastAsia="Palatino Linotype" w:cs="Palatino Linotype"/>
          <w:b/>
          <w:color w:val="000000"/>
          <w:szCs w:val="24"/>
        </w:rPr>
      </w:pPr>
    </w:p>
    <w:p w14:paraId="13B91035" w14:textId="77777777" w:rsidR="009C7E85" w:rsidRDefault="009C7E85" w:rsidP="00511260">
      <w:pPr>
        <w:contextualSpacing/>
        <w:rPr>
          <w:rFonts w:eastAsia="Palatino Linotype" w:cs="Palatino Linotype"/>
          <w:b/>
          <w:color w:val="000000"/>
          <w:szCs w:val="24"/>
        </w:rPr>
      </w:pPr>
    </w:p>
    <w:p w14:paraId="630CEE20" w14:textId="77777777" w:rsidR="00511260" w:rsidRPr="006922F5" w:rsidRDefault="00511260" w:rsidP="00511260">
      <w:pPr>
        <w:contextualSpacing/>
        <w:rPr>
          <w:rFonts w:eastAsia="Palatino Linotype" w:cs="Palatino Linotype"/>
          <w:b/>
        </w:rPr>
      </w:pPr>
      <w:r w:rsidRPr="006922F5">
        <w:rPr>
          <w:rFonts w:eastAsia="Palatino Linotype" w:cs="Palatino Linotype"/>
          <w:b/>
        </w:rPr>
        <w:lastRenderedPageBreak/>
        <w:t xml:space="preserve">Acto Impugnado: </w:t>
      </w:r>
    </w:p>
    <w:p w14:paraId="02181A32" w14:textId="04B6445D" w:rsidR="00511260" w:rsidRPr="009C7E85" w:rsidRDefault="00511260" w:rsidP="00511260">
      <w:pPr>
        <w:pStyle w:val="Fundamentos"/>
        <w:rPr>
          <w:b/>
          <w:sz w:val="24"/>
        </w:rPr>
      </w:pPr>
      <w:r w:rsidRPr="009C7E85">
        <w:rPr>
          <w:sz w:val="24"/>
        </w:rPr>
        <w:t>“</w:t>
      </w:r>
      <w:r w:rsidR="009C7E85" w:rsidRPr="009C7E85">
        <w:rPr>
          <w:sz w:val="24"/>
        </w:rPr>
        <w:t xml:space="preserve">No se da respuesta con el MANUAL DE NORMAS Y PROCEDIMIENTOS DE DESARROLLO Y ADMINISTRACIÓN DE PERSONAL, la respuesta es ambigua, por lo que se pide, se </w:t>
      </w:r>
      <w:proofErr w:type="spellStart"/>
      <w:r w:rsidR="009C7E85" w:rsidRPr="009C7E85">
        <w:rPr>
          <w:sz w:val="24"/>
        </w:rPr>
        <w:t>de</w:t>
      </w:r>
      <w:proofErr w:type="spellEnd"/>
      <w:r w:rsidR="009C7E85" w:rsidRPr="009C7E85">
        <w:rPr>
          <w:sz w:val="24"/>
        </w:rPr>
        <w:t xml:space="preserve"> respuesta a lo solicitado.</w:t>
      </w:r>
      <w:r w:rsidRPr="009C7E85">
        <w:rPr>
          <w:sz w:val="24"/>
        </w:rPr>
        <w:t>” Sic)</w:t>
      </w:r>
    </w:p>
    <w:p w14:paraId="71B19819" w14:textId="77777777" w:rsidR="00511260" w:rsidRPr="006922F5" w:rsidRDefault="00511260" w:rsidP="00511260">
      <w:pPr>
        <w:contextualSpacing/>
        <w:rPr>
          <w:rFonts w:eastAsia="Palatino Linotype" w:cs="Palatino Linotype"/>
          <w:iCs/>
          <w:szCs w:val="24"/>
        </w:rPr>
      </w:pPr>
    </w:p>
    <w:p w14:paraId="4524F02B" w14:textId="77777777" w:rsidR="00511260" w:rsidRPr="006922F5" w:rsidRDefault="00511260" w:rsidP="00511260">
      <w:pPr>
        <w:contextualSpacing/>
        <w:rPr>
          <w:rFonts w:eastAsia="Palatino Linotype" w:cs="Palatino Linotype"/>
        </w:rPr>
      </w:pPr>
      <w:r w:rsidRPr="006922F5">
        <w:rPr>
          <w:rFonts w:eastAsia="Palatino Linotype" w:cs="Palatino Linotype"/>
          <w:b/>
        </w:rPr>
        <w:t>Razones o Motivos de Inconformidad</w:t>
      </w:r>
      <w:r w:rsidRPr="006922F5">
        <w:rPr>
          <w:rFonts w:eastAsia="Palatino Linotype" w:cs="Palatino Linotype"/>
        </w:rPr>
        <w:t>:</w:t>
      </w:r>
    </w:p>
    <w:p w14:paraId="351E808E" w14:textId="22DD0297" w:rsidR="00511260" w:rsidRPr="009C7E85" w:rsidRDefault="00511260" w:rsidP="00511260">
      <w:pPr>
        <w:pStyle w:val="Fundamentos"/>
        <w:rPr>
          <w:sz w:val="24"/>
        </w:rPr>
      </w:pPr>
      <w:r w:rsidRPr="009C7E85">
        <w:rPr>
          <w:sz w:val="24"/>
        </w:rPr>
        <w:t>“</w:t>
      </w:r>
      <w:r w:rsidR="009C7E85" w:rsidRPr="009C7E85">
        <w:rPr>
          <w:sz w:val="24"/>
        </w:rPr>
        <w:t>No se da respuesta a la solicitud, con el MANUAL DE NORMAS Y PROCEDIMIENTOS DE DESARROLLO Y ADMINISTRACIÓN DE PERSONAL, se excusan de dar respuesta. “</w:t>
      </w:r>
      <w:r w:rsidRPr="009C7E85">
        <w:rPr>
          <w:sz w:val="24"/>
        </w:rPr>
        <w:t>(Sic)</w:t>
      </w:r>
    </w:p>
    <w:p w14:paraId="6E36A6BE"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6DCB6BF4" w14:textId="77777777" w:rsidR="00E513F1" w:rsidRPr="006922F5" w:rsidRDefault="00E513F1" w:rsidP="00511260">
      <w:pPr>
        <w:pBdr>
          <w:top w:val="nil"/>
          <w:left w:val="nil"/>
          <w:bottom w:val="nil"/>
          <w:right w:val="nil"/>
          <w:between w:val="nil"/>
        </w:pBdr>
        <w:contextualSpacing/>
        <w:rPr>
          <w:rFonts w:eastAsia="Palatino Linotype" w:cs="Palatino Linotype"/>
          <w:color w:val="000000"/>
          <w:szCs w:val="24"/>
        </w:rPr>
      </w:pPr>
    </w:p>
    <w:p w14:paraId="1E0770D3" w14:textId="2EAECE7E" w:rsidR="00E513F1" w:rsidRPr="0055610A" w:rsidRDefault="00E513F1" w:rsidP="00E513F1">
      <w:pPr>
        <w:rPr>
          <w:rFonts w:cs="Arial"/>
          <w:szCs w:val="24"/>
        </w:rPr>
      </w:pPr>
      <w:r>
        <w:rPr>
          <w:rFonts w:cs="Arial"/>
          <w:b/>
          <w:sz w:val="28"/>
          <w:szCs w:val="28"/>
        </w:rPr>
        <w:t>Cuarto</w:t>
      </w:r>
      <w:r w:rsidRPr="00B34266">
        <w:rPr>
          <w:rFonts w:cs="Arial"/>
          <w:b/>
          <w:sz w:val="28"/>
          <w:szCs w:val="28"/>
        </w:rPr>
        <w:t xml:space="preserve">. Del turno </w:t>
      </w:r>
      <w:r w:rsidR="009C7E85">
        <w:rPr>
          <w:rFonts w:cs="Arial"/>
          <w:b/>
          <w:sz w:val="28"/>
          <w:szCs w:val="28"/>
        </w:rPr>
        <w:t xml:space="preserve"> y admisión </w:t>
      </w:r>
      <w:r w:rsidRPr="00B34266">
        <w:rPr>
          <w:rFonts w:cs="Arial"/>
          <w:b/>
          <w:sz w:val="28"/>
          <w:szCs w:val="28"/>
        </w:rPr>
        <w:t>del recurso de revisión.</w:t>
      </w:r>
      <w:r w:rsidRPr="00B34266">
        <w:rPr>
          <w:rFonts w:cs="Arial"/>
          <w:sz w:val="28"/>
          <w:szCs w:val="28"/>
        </w:rPr>
        <w:t xml:space="preserve"> </w:t>
      </w:r>
    </w:p>
    <w:p w14:paraId="1E8006ED" w14:textId="6AF72E5B" w:rsidR="00E513F1" w:rsidRPr="0055610A" w:rsidRDefault="00E513F1" w:rsidP="00E513F1">
      <w:pPr>
        <w:rPr>
          <w:szCs w:val="24"/>
        </w:rPr>
      </w:pPr>
      <w:r w:rsidRPr="0055610A">
        <w:rPr>
          <w:rFonts w:cs="Arial"/>
          <w:szCs w:val="24"/>
        </w:rPr>
        <w:t xml:space="preserve">De conformidad con el artículo 185 fracción I de la Ley de Transparencia y Acceso a la información Pública del Estado de México y Municipios vigente, </w:t>
      </w:r>
      <w:r w:rsidRPr="0055610A">
        <w:rPr>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szCs w:val="24"/>
        </w:rPr>
        <w:t xml:space="preserve">misionado </w:t>
      </w:r>
      <w:r w:rsidRPr="005559E2">
        <w:rPr>
          <w:b/>
          <w:bCs/>
          <w:szCs w:val="24"/>
        </w:rPr>
        <w:t>José Martínez Vilchis</w:t>
      </w:r>
      <w:r w:rsidR="009C7E85">
        <w:rPr>
          <w:szCs w:val="24"/>
        </w:rPr>
        <w:t xml:space="preserve"> </w:t>
      </w:r>
      <w:r w:rsidRPr="0055610A">
        <w:rPr>
          <w:szCs w:val="24"/>
        </w:rPr>
        <w:t>para su análisis, estudio, elaboración del proyecto y presentación ante el Pleno de este Instituto</w:t>
      </w:r>
      <w:r>
        <w:rPr>
          <w:szCs w:val="24"/>
        </w:rPr>
        <w:t>.</w:t>
      </w:r>
    </w:p>
    <w:p w14:paraId="11A95262" w14:textId="77777777" w:rsidR="009C7E85" w:rsidRDefault="009C7E85" w:rsidP="009C7E85">
      <w:pPr>
        <w:rPr>
          <w:rFonts w:cs="Arial"/>
          <w:b/>
          <w:sz w:val="28"/>
          <w:szCs w:val="28"/>
        </w:rPr>
      </w:pPr>
    </w:p>
    <w:p w14:paraId="3DC5FE08" w14:textId="11C7307B" w:rsidR="009C7E85" w:rsidRPr="00FB72E2" w:rsidRDefault="009C7E85" w:rsidP="009C7E85">
      <w:pPr>
        <w:rPr>
          <w:b/>
          <w:szCs w:val="24"/>
        </w:rPr>
      </w:pPr>
      <w:r>
        <w:rPr>
          <w:szCs w:val="24"/>
        </w:rPr>
        <w:t>Mediante acuerdos de fecha</w:t>
      </w:r>
      <w:r w:rsidRPr="0055610A">
        <w:rPr>
          <w:szCs w:val="24"/>
        </w:rPr>
        <w:t xml:space="preserve"> </w:t>
      </w:r>
      <w:r>
        <w:rPr>
          <w:b/>
          <w:szCs w:val="24"/>
        </w:rPr>
        <w:t>treinta de septiembre</w:t>
      </w:r>
      <w:r>
        <w:rPr>
          <w:rFonts w:eastAsia="Palatino Linotype" w:cs="Palatino Linotype"/>
          <w:b/>
          <w:color w:val="000000"/>
          <w:szCs w:val="24"/>
        </w:rPr>
        <w:t xml:space="preserve"> de </w:t>
      </w:r>
      <w:r w:rsidRPr="00B72EBA">
        <w:rPr>
          <w:rFonts w:eastAsia="Palatino Linotype" w:cs="Palatino Linotype"/>
          <w:b/>
          <w:color w:val="000000"/>
          <w:szCs w:val="24"/>
        </w:rPr>
        <w:t>dos mil veinticuatro</w:t>
      </w:r>
      <w:r w:rsidRPr="0055610A">
        <w:rPr>
          <w:szCs w:val="24"/>
        </w:rPr>
        <w:t>, este Organism</w:t>
      </w:r>
      <w:r>
        <w:rPr>
          <w:szCs w:val="24"/>
        </w:rPr>
        <w:t>o Garante, admitió a trámite el</w:t>
      </w:r>
      <w:r w:rsidRPr="0055610A">
        <w:rPr>
          <w:szCs w:val="24"/>
        </w:rPr>
        <w:t xml:space="preserve"> recursos de </w:t>
      </w:r>
      <w:r>
        <w:rPr>
          <w:szCs w:val="24"/>
        </w:rPr>
        <w:t>revisión respectivo</w:t>
      </w:r>
      <w:r w:rsidRPr="0055610A">
        <w:rPr>
          <w:szCs w:val="24"/>
        </w:rPr>
        <w:t>,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1A37BCA9" w14:textId="4E487E89" w:rsidR="00E513F1" w:rsidRPr="0055610A" w:rsidRDefault="009C7E85" w:rsidP="00E513F1">
      <w:pPr>
        <w:rPr>
          <w:rFonts w:cs="Arial"/>
          <w:b/>
          <w:szCs w:val="24"/>
        </w:rPr>
      </w:pPr>
      <w:r w:rsidRPr="009C7E85">
        <w:rPr>
          <w:rFonts w:eastAsiaTheme="minorHAnsi" w:cs="Arial"/>
          <w:b/>
          <w:color w:val="000000"/>
          <w:sz w:val="28"/>
          <w:szCs w:val="28"/>
          <w:lang w:val="es-MX" w:eastAsia="en-US"/>
        </w:rPr>
        <w:lastRenderedPageBreak/>
        <w:t>QUINTO.</w:t>
      </w:r>
      <w:r>
        <w:rPr>
          <w:rFonts w:eastAsiaTheme="minorHAnsi" w:cs="Arial"/>
          <w:color w:val="000000"/>
          <w:szCs w:val="24"/>
          <w:lang w:val="es-MX" w:eastAsia="en-US"/>
        </w:rPr>
        <w:t xml:space="preserve"> </w:t>
      </w:r>
      <w:r w:rsidR="00E513F1" w:rsidRPr="00B34266">
        <w:rPr>
          <w:rFonts w:cs="Arial"/>
          <w:b/>
          <w:sz w:val="28"/>
          <w:szCs w:val="28"/>
        </w:rPr>
        <w:t>De la etapa de manifestaciones y/o alegatos</w:t>
      </w:r>
      <w:r w:rsidR="00E513F1" w:rsidRPr="0055610A">
        <w:rPr>
          <w:rFonts w:cs="Arial"/>
          <w:b/>
          <w:szCs w:val="24"/>
        </w:rPr>
        <w:t xml:space="preserve">. </w:t>
      </w:r>
    </w:p>
    <w:p w14:paraId="674D50C5" w14:textId="7FEA8E23" w:rsidR="00E513F1" w:rsidRPr="009417F8" w:rsidRDefault="00E513F1" w:rsidP="009417F8">
      <w:pPr>
        <w:pBdr>
          <w:top w:val="nil"/>
          <w:left w:val="nil"/>
          <w:bottom w:val="nil"/>
          <w:right w:val="nil"/>
          <w:between w:val="nil"/>
        </w:pBdr>
        <w:contextualSpacing/>
        <w:rPr>
          <w:szCs w:val="24"/>
        </w:rPr>
      </w:pPr>
      <w:r w:rsidRPr="0055610A">
        <w:rPr>
          <w:rFonts w:cs="Arial"/>
          <w:szCs w:val="24"/>
        </w:rPr>
        <w:t xml:space="preserve">Una vez abierta la etapa de instrucción, se advierte que el </w:t>
      </w:r>
      <w:r w:rsidRPr="0055610A">
        <w:rPr>
          <w:rFonts w:cs="Arial"/>
          <w:b/>
          <w:szCs w:val="24"/>
        </w:rPr>
        <w:t>Sujeto Obligado</w:t>
      </w:r>
      <w:r>
        <w:rPr>
          <w:rFonts w:cs="Arial"/>
          <w:szCs w:val="24"/>
        </w:rPr>
        <w:t xml:space="preserve"> </w:t>
      </w:r>
      <w:r w:rsidR="00B156C7" w:rsidRPr="00F12945">
        <w:rPr>
          <w:rFonts w:cs="Arial"/>
          <w:b/>
          <w:szCs w:val="24"/>
        </w:rPr>
        <w:t xml:space="preserve">rindió </w:t>
      </w:r>
      <w:r w:rsidRPr="00F12945">
        <w:rPr>
          <w:rFonts w:cs="Arial"/>
          <w:b/>
          <w:szCs w:val="24"/>
        </w:rPr>
        <w:t>su informe justificado</w:t>
      </w:r>
      <w:r w:rsidR="00B156C7" w:rsidRPr="00F12945">
        <w:rPr>
          <w:rFonts w:cs="Arial"/>
          <w:b/>
          <w:szCs w:val="24"/>
        </w:rPr>
        <w:t xml:space="preserve"> </w:t>
      </w:r>
      <w:r w:rsidR="00B156C7">
        <w:rPr>
          <w:rFonts w:cs="Arial"/>
          <w:szCs w:val="24"/>
        </w:rPr>
        <w:t xml:space="preserve">en fecha </w:t>
      </w:r>
      <w:r w:rsidR="009C7E85">
        <w:rPr>
          <w:rFonts w:cs="Arial"/>
          <w:szCs w:val="24"/>
        </w:rPr>
        <w:t>nueve de octubre de dos mil veinticuatro, el cual fue puesto</w:t>
      </w:r>
      <w:r w:rsidR="00B156C7">
        <w:rPr>
          <w:rFonts w:cs="Arial"/>
          <w:szCs w:val="24"/>
        </w:rPr>
        <w:t xml:space="preserve"> a la vista del recurrente en fecha </w:t>
      </w:r>
      <w:r w:rsidR="009C7E85">
        <w:rPr>
          <w:rFonts w:cs="Arial"/>
          <w:szCs w:val="24"/>
        </w:rPr>
        <w:t>catorce de octubre</w:t>
      </w:r>
      <w:r w:rsidR="00B156C7">
        <w:rPr>
          <w:rFonts w:cs="Arial"/>
          <w:szCs w:val="24"/>
        </w:rPr>
        <w:t xml:space="preserve"> de dos mil veinticuatro</w:t>
      </w:r>
      <w:r w:rsidR="009417F8">
        <w:rPr>
          <w:rFonts w:cs="Arial"/>
          <w:szCs w:val="24"/>
        </w:rPr>
        <w:t xml:space="preserve">, </w:t>
      </w:r>
      <w:r w:rsidR="009C7E85">
        <w:rPr>
          <w:rFonts w:cs="Arial"/>
          <w:szCs w:val="24"/>
        </w:rPr>
        <w:t xml:space="preserve">el cual </w:t>
      </w:r>
      <w:r w:rsidR="009C7E85">
        <w:rPr>
          <w:rFonts w:eastAsia="Palatino Linotype" w:cs="Palatino Linotype"/>
          <w:color w:val="000000"/>
          <w:szCs w:val="24"/>
        </w:rPr>
        <w:t xml:space="preserve"> no se reproduce</w:t>
      </w:r>
      <w:r w:rsidR="009417F8">
        <w:rPr>
          <w:rFonts w:eastAsia="Palatino Linotype" w:cs="Palatino Linotype"/>
          <w:color w:val="000000"/>
          <w:szCs w:val="24"/>
        </w:rPr>
        <w:t xml:space="preserve"> por ser del conocimiento de las partes; no obstante, su contenido será motivo de análisis en el estudio correspondiente.</w:t>
      </w:r>
      <w:r>
        <w:rPr>
          <w:rFonts w:cs="Arial"/>
          <w:szCs w:val="24"/>
        </w:rPr>
        <w:t xml:space="preserve"> Por su parte, el Recurrente </w:t>
      </w:r>
      <w:r w:rsidRPr="0055610A">
        <w:rPr>
          <w:rFonts w:cs="Arial"/>
          <w:szCs w:val="24"/>
        </w:rPr>
        <w:t>omitió rendir sus manifestaciones que a sus intereses conviniera dentro del término de Ley.</w:t>
      </w:r>
    </w:p>
    <w:p w14:paraId="1C208A4F" w14:textId="77777777" w:rsidR="00E513F1" w:rsidRPr="0055610A" w:rsidRDefault="00E513F1" w:rsidP="00E513F1">
      <w:pPr>
        <w:rPr>
          <w:rFonts w:cs="Arial"/>
          <w:szCs w:val="24"/>
        </w:rPr>
      </w:pPr>
    </w:p>
    <w:p w14:paraId="28E24C48" w14:textId="2A3263E9" w:rsidR="00E513F1" w:rsidRDefault="00E513F1" w:rsidP="00E513F1">
      <w:pPr>
        <w:rPr>
          <w:rFonts w:cs="Arial"/>
          <w:szCs w:val="24"/>
        </w:rPr>
      </w:pPr>
      <w:r w:rsidRPr="0055610A">
        <w:rPr>
          <w:rFonts w:cs="Arial"/>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0A38A255" w14:textId="77777777" w:rsidR="009C7E85" w:rsidRDefault="009C7E85" w:rsidP="00E513F1">
      <w:pPr>
        <w:rPr>
          <w:rFonts w:cs="Arial"/>
          <w:szCs w:val="24"/>
        </w:rPr>
      </w:pPr>
    </w:p>
    <w:p w14:paraId="0C95216E" w14:textId="34FE3783" w:rsidR="00E513F1" w:rsidRDefault="009C7E85" w:rsidP="00E513F1">
      <w:pPr>
        <w:rPr>
          <w:rFonts w:cs="Arial"/>
          <w:b/>
          <w:szCs w:val="24"/>
        </w:rPr>
      </w:pPr>
      <w:r w:rsidRPr="009C7E85">
        <w:rPr>
          <w:rFonts w:cs="Arial"/>
          <w:b/>
          <w:sz w:val="28"/>
          <w:szCs w:val="28"/>
        </w:rPr>
        <w:t>SEXTO</w:t>
      </w:r>
      <w:r w:rsidR="00E513F1" w:rsidRPr="0055610A">
        <w:rPr>
          <w:rFonts w:cs="Arial"/>
          <w:b/>
          <w:sz w:val="28"/>
          <w:szCs w:val="28"/>
        </w:rPr>
        <w:t>.</w:t>
      </w:r>
      <w:r w:rsidR="00E513F1" w:rsidRPr="0018543E">
        <w:rPr>
          <w:rFonts w:cs="Arial"/>
          <w:b/>
          <w:sz w:val="28"/>
        </w:rPr>
        <w:t xml:space="preserve"> </w:t>
      </w:r>
      <w:r w:rsidR="00E513F1" w:rsidRPr="00B0277A">
        <w:rPr>
          <w:rFonts w:cs="Arial"/>
          <w:b/>
          <w:sz w:val="28"/>
          <w:szCs w:val="28"/>
        </w:rPr>
        <w:t>Del cierre de instrucción.</w:t>
      </w:r>
      <w:r w:rsidR="00E513F1" w:rsidRPr="0055610A">
        <w:rPr>
          <w:rFonts w:cs="Arial"/>
          <w:b/>
          <w:szCs w:val="24"/>
        </w:rPr>
        <w:t xml:space="preserve"> </w:t>
      </w:r>
    </w:p>
    <w:p w14:paraId="2BEED988" w14:textId="7E957FF5" w:rsidR="00E513F1" w:rsidRPr="00E513F1" w:rsidRDefault="00E513F1" w:rsidP="00E513F1">
      <w:pPr>
        <w:rPr>
          <w:rFonts w:cs="Arial"/>
          <w:b/>
          <w:sz w:val="28"/>
        </w:rPr>
      </w:pPr>
      <w:r w:rsidRPr="0055610A">
        <w:rPr>
          <w:rFonts w:cs="Arial"/>
          <w:szCs w:val="24"/>
        </w:rPr>
        <w:t xml:space="preserve">Así, una vez transcurrido el término legal, se decretó el cierre de instrucción de los recursos de revisión ya referidos en </w:t>
      </w:r>
      <w:r w:rsidRPr="0057505E">
        <w:rPr>
          <w:rFonts w:cs="Arial"/>
          <w:b/>
          <w:bCs/>
          <w:szCs w:val="24"/>
        </w:rPr>
        <w:t>fecha</w:t>
      </w:r>
      <w:r>
        <w:rPr>
          <w:rFonts w:cs="Arial"/>
          <w:b/>
          <w:bCs/>
          <w:szCs w:val="24"/>
        </w:rPr>
        <w:t xml:space="preserve"> </w:t>
      </w:r>
      <w:r w:rsidR="009C7E85">
        <w:rPr>
          <w:rFonts w:cs="Arial"/>
          <w:b/>
          <w:bCs/>
          <w:szCs w:val="24"/>
        </w:rPr>
        <w:t>dieciocho de octubre</w:t>
      </w:r>
      <w:r w:rsidRPr="0057505E">
        <w:rPr>
          <w:rFonts w:cs="Arial"/>
          <w:b/>
          <w:bCs/>
          <w:szCs w:val="24"/>
        </w:rPr>
        <w:t xml:space="preserve"> dos mil veinticuatro</w:t>
      </w:r>
      <w:r w:rsidRPr="0055610A">
        <w:rPr>
          <w:rFonts w:cs="Arial"/>
          <w:szCs w:val="24"/>
        </w:rPr>
        <w:t>, en términos del artículo 185 Fracción VI de la Ley de Transparencia y Acceso a la Información Pública del Estado de México y Municipios, iniciando el término legal para dictar resolución definitiva del asunto</w:t>
      </w:r>
      <w:r>
        <w:rPr>
          <w:rFonts w:cs="Arial"/>
          <w:b/>
          <w:sz w:val="28"/>
        </w:rPr>
        <w:t>.</w:t>
      </w:r>
    </w:p>
    <w:p w14:paraId="41E49D0F" w14:textId="051BFEB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4E3977CD" w14:textId="77777777" w:rsidR="00A87691" w:rsidRDefault="00A87691" w:rsidP="00511260">
      <w:pPr>
        <w:pBdr>
          <w:top w:val="nil"/>
          <w:left w:val="nil"/>
          <w:bottom w:val="nil"/>
          <w:right w:val="nil"/>
          <w:between w:val="nil"/>
        </w:pBdr>
        <w:contextualSpacing/>
        <w:rPr>
          <w:rFonts w:eastAsia="Palatino Linotype" w:cs="Palatino Linotype"/>
          <w:color w:val="000000"/>
          <w:szCs w:val="24"/>
        </w:rPr>
      </w:pPr>
    </w:p>
    <w:p w14:paraId="0DB5D1A9" w14:textId="77777777" w:rsidR="00A87691" w:rsidRDefault="00A87691" w:rsidP="00511260">
      <w:pPr>
        <w:pBdr>
          <w:top w:val="nil"/>
          <w:left w:val="nil"/>
          <w:bottom w:val="nil"/>
          <w:right w:val="nil"/>
          <w:between w:val="nil"/>
        </w:pBdr>
        <w:contextualSpacing/>
        <w:rPr>
          <w:rFonts w:eastAsia="Palatino Linotype" w:cs="Palatino Linotype"/>
          <w:color w:val="000000"/>
          <w:szCs w:val="24"/>
        </w:rPr>
      </w:pPr>
    </w:p>
    <w:p w14:paraId="1339003D" w14:textId="77777777" w:rsidR="00A87691" w:rsidRPr="00576D4E" w:rsidRDefault="00A87691" w:rsidP="00511260">
      <w:pPr>
        <w:pBdr>
          <w:top w:val="nil"/>
          <w:left w:val="nil"/>
          <w:bottom w:val="nil"/>
          <w:right w:val="nil"/>
          <w:between w:val="nil"/>
        </w:pBdr>
        <w:contextualSpacing/>
        <w:rPr>
          <w:rFonts w:eastAsia="Palatino Linotype" w:cs="Palatino Linotype"/>
          <w:color w:val="000000"/>
          <w:szCs w:val="24"/>
        </w:rPr>
      </w:pPr>
    </w:p>
    <w:p w14:paraId="7A6A1E20" w14:textId="77777777" w:rsidR="00511260" w:rsidRPr="00511260" w:rsidRDefault="00511260" w:rsidP="00E513F1">
      <w:pPr>
        <w:jc w:val="center"/>
        <w:rPr>
          <w:b/>
          <w:bCs/>
          <w:sz w:val="28"/>
          <w:szCs w:val="28"/>
        </w:rPr>
      </w:pPr>
      <w:r w:rsidRPr="00511260">
        <w:rPr>
          <w:b/>
          <w:bCs/>
          <w:sz w:val="28"/>
          <w:szCs w:val="28"/>
        </w:rPr>
        <w:lastRenderedPageBreak/>
        <w:t>C O N S I D E R A N D O</w:t>
      </w:r>
    </w:p>
    <w:p w14:paraId="5412B9B2" w14:textId="77777777" w:rsidR="00511260" w:rsidRPr="00511260" w:rsidRDefault="00511260" w:rsidP="00511260">
      <w:pPr>
        <w:rPr>
          <w:b/>
          <w:bCs/>
          <w:sz w:val="28"/>
          <w:szCs w:val="28"/>
        </w:rPr>
      </w:pPr>
    </w:p>
    <w:p w14:paraId="6D6AB61B" w14:textId="77777777" w:rsidR="00511260" w:rsidRPr="00511260" w:rsidRDefault="00511260" w:rsidP="00511260">
      <w:pPr>
        <w:rPr>
          <w:b/>
          <w:bCs/>
          <w:sz w:val="28"/>
          <w:szCs w:val="28"/>
        </w:rPr>
      </w:pPr>
      <w:r w:rsidRPr="00511260">
        <w:rPr>
          <w:b/>
          <w:bCs/>
          <w:sz w:val="28"/>
          <w:szCs w:val="28"/>
        </w:rPr>
        <w:t>PRIMERO. De la competencia.</w:t>
      </w:r>
    </w:p>
    <w:p w14:paraId="31D91ED9"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1813A2E"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05A1DE44" w14:textId="77777777" w:rsidR="00511260" w:rsidRPr="00511260" w:rsidRDefault="00511260" w:rsidP="00511260">
      <w:pPr>
        <w:rPr>
          <w:b/>
          <w:bCs/>
          <w:sz w:val="28"/>
          <w:szCs w:val="28"/>
        </w:rPr>
      </w:pPr>
      <w:r w:rsidRPr="00511260">
        <w:rPr>
          <w:b/>
          <w:bCs/>
          <w:sz w:val="28"/>
          <w:szCs w:val="28"/>
        </w:rPr>
        <w:t xml:space="preserve">SEGUNDO. Sobre los alcances del recurso de revisión. </w:t>
      </w:r>
    </w:p>
    <w:p w14:paraId="2DD88B61" w14:textId="77777777" w:rsidR="00511260" w:rsidRDefault="00511260" w:rsidP="00511260">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767D650" w14:textId="77777777" w:rsidR="00511260" w:rsidRDefault="00511260" w:rsidP="00511260"/>
    <w:p w14:paraId="15959F3F" w14:textId="77777777" w:rsidR="00511260" w:rsidRPr="00CA1D2B" w:rsidRDefault="00511260" w:rsidP="00511260">
      <w:pPr>
        <w:pStyle w:val="Prrafodelista"/>
        <w:autoSpaceDE w:val="0"/>
        <w:autoSpaceDN w:val="0"/>
        <w:adjustRightInd w:val="0"/>
        <w:spacing w:before="240" w:after="160"/>
        <w:ind w:left="0"/>
        <w:rPr>
          <w:rFonts w:cs="Arial"/>
          <w:b/>
          <w:sz w:val="28"/>
        </w:rPr>
      </w:pPr>
      <w:r>
        <w:rPr>
          <w:rFonts w:cs="Arial"/>
          <w:b/>
          <w:sz w:val="28"/>
        </w:rPr>
        <w:t xml:space="preserve">TERCERO. </w:t>
      </w:r>
      <w:r w:rsidRPr="00CA1D2B">
        <w:rPr>
          <w:rFonts w:cs="Arial"/>
          <w:b/>
          <w:sz w:val="28"/>
        </w:rPr>
        <w:t>De las causas de improcedencia.</w:t>
      </w:r>
    </w:p>
    <w:p w14:paraId="280AE1BF" w14:textId="77777777" w:rsidR="00511260" w:rsidRDefault="00511260" w:rsidP="00511260">
      <w:pPr>
        <w:pStyle w:val="Prrafodelista"/>
        <w:autoSpaceDE w:val="0"/>
        <w:autoSpaceDN w:val="0"/>
        <w:adjustRightInd w:val="0"/>
        <w:ind w:left="0"/>
        <w:rPr>
          <w:rFonts w:cs="Arial"/>
        </w:rPr>
      </w:pPr>
      <w:r w:rsidRPr="00CA1D2B">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831628" w14:textId="77777777" w:rsidR="00511260" w:rsidRPr="00CA1D2B" w:rsidRDefault="00511260" w:rsidP="00511260">
      <w:pPr>
        <w:pStyle w:val="Prrafodelista"/>
        <w:autoSpaceDE w:val="0"/>
        <w:autoSpaceDN w:val="0"/>
        <w:adjustRightInd w:val="0"/>
        <w:ind w:left="0"/>
        <w:rPr>
          <w:rFonts w:cs="Arial"/>
        </w:rPr>
      </w:pPr>
    </w:p>
    <w:p w14:paraId="396FE936" w14:textId="1A467565" w:rsidR="00511260" w:rsidRPr="00CA1D2B" w:rsidRDefault="00511260" w:rsidP="00511260">
      <w:pPr>
        <w:pStyle w:val="Prrafodelista"/>
        <w:autoSpaceDE w:val="0"/>
        <w:autoSpaceDN w:val="0"/>
        <w:adjustRightInd w:val="0"/>
        <w:ind w:left="0"/>
        <w:rPr>
          <w:rFonts w:cs="Arial"/>
        </w:rPr>
      </w:pPr>
      <w:r w:rsidRPr="00CA1D2B">
        <w:rPr>
          <w:rFonts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199FB7FE" w14:textId="5B2B47C4" w:rsidR="00511260" w:rsidRDefault="00511260" w:rsidP="00511260">
      <w:pPr>
        <w:pStyle w:val="Prrafodelista"/>
        <w:autoSpaceDE w:val="0"/>
        <w:autoSpaceDN w:val="0"/>
        <w:adjustRightInd w:val="0"/>
        <w:ind w:left="0"/>
        <w:rPr>
          <w:rFonts w:cs="Arial"/>
        </w:rPr>
      </w:pPr>
      <w:r w:rsidRPr="00CA1D2B">
        <w:rPr>
          <w:rFonts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FBE1828" w14:textId="77777777" w:rsidR="00B156C7" w:rsidRPr="00231378" w:rsidRDefault="00B156C7" w:rsidP="00511260">
      <w:pPr>
        <w:pStyle w:val="Prrafodelista"/>
        <w:autoSpaceDE w:val="0"/>
        <w:autoSpaceDN w:val="0"/>
        <w:adjustRightInd w:val="0"/>
        <w:ind w:left="0"/>
        <w:rPr>
          <w:rFonts w:cs="Arial"/>
        </w:rPr>
      </w:pPr>
    </w:p>
    <w:p w14:paraId="196F8202" w14:textId="236D86EC" w:rsidR="00511260" w:rsidRPr="00E513F1" w:rsidRDefault="00511260" w:rsidP="00511260">
      <w:pPr>
        <w:rPr>
          <w:b/>
          <w:bCs/>
          <w:sz w:val="28"/>
          <w:szCs w:val="28"/>
        </w:rPr>
      </w:pPr>
      <w:r w:rsidRPr="00511260">
        <w:rPr>
          <w:b/>
          <w:bCs/>
          <w:sz w:val="28"/>
          <w:szCs w:val="28"/>
        </w:rPr>
        <w:t>CUARTO. Estudio y resolución del asunto.</w:t>
      </w:r>
    </w:p>
    <w:p w14:paraId="65DB4271"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790E057"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6C9474EB" w14:textId="37001C32" w:rsidR="00511260"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56A1005E" w14:textId="77777777" w:rsidR="005142FA" w:rsidRDefault="005142FA" w:rsidP="00511260">
      <w:pPr>
        <w:pBdr>
          <w:top w:val="nil"/>
          <w:left w:val="nil"/>
          <w:bottom w:val="nil"/>
          <w:right w:val="nil"/>
          <w:between w:val="nil"/>
        </w:pBdr>
        <w:contextualSpacing/>
        <w:rPr>
          <w:rFonts w:eastAsia="Palatino Linotype" w:cs="Palatino Linotype"/>
          <w:color w:val="000000"/>
          <w:szCs w:val="24"/>
        </w:rPr>
      </w:pPr>
    </w:p>
    <w:p w14:paraId="2D341673" w14:textId="77777777" w:rsidR="00366FF2" w:rsidRPr="00366FF2" w:rsidRDefault="00366FF2" w:rsidP="00E513F1">
      <w:pPr>
        <w:pStyle w:val="Prrafodelista"/>
        <w:numPr>
          <w:ilvl w:val="0"/>
          <w:numId w:val="6"/>
        </w:numPr>
        <w:pBdr>
          <w:top w:val="nil"/>
          <w:left w:val="nil"/>
          <w:bottom w:val="nil"/>
          <w:right w:val="nil"/>
          <w:between w:val="nil"/>
        </w:pBdr>
        <w:rPr>
          <w:rFonts w:eastAsia="Palatino Linotype" w:cs="Palatino Linotype"/>
          <w:color w:val="000000"/>
          <w:szCs w:val="24"/>
        </w:rPr>
      </w:pPr>
      <w:r>
        <w:rPr>
          <w:color w:val="000000"/>
          <w:szCs w:val="24"/>
        </w:rPr>
        <w:t>De la Servidora pública referida en solicitud</w:t>
      </w:r>
    </w:p>
    <w:p w14:paraId="395A16BD" w14:textId="15D93B41" w:rsidR="00366FF2" w:rsidRPr="00366FF2" w:rsidRDefault="005142FA" w:rsidP="00366FF2">
      <w:pPr>
        <w:pStyle w:val="Prrafodelista"/>
        <w:numPr>
          <w:ilvl w:val="2"/>
          <w:numId w:val="6"/>
        </w:numPr>
        <w:pBdr>
          <w:top w:val="nil"/>
          <w:left w:val="nil"/>
          <w:bottom w:val="nil"/>
          <w:right w:val="nil"/>
          <w:between w:val="nil"/>
        </w:pBdr>
        <w:rPr>
          <w:rFonts w:eastAsia="Palatino Linotype" w:cs="Palatino Linotype"/>
          <w:color w:val="000000"/>
          <w:szCs w:val="24"/>
        </w:rPr>
      </w:pPr>
      <w:r>
        <w:rPr>
          <w:color w:val="000000"/>
          <w:szCs w:val="24"/>
        </w:rPr>
        <w:t>D</w:t>
      </w:r>
      <w:r w:rsidRPr="005142FA">
        <w:rPr>
          <w:color w:val="000000"/>
          <w:szCs w:val="24"/>
        </w:rPr>
        <w:t xml:space="preserve">ocumento donde confirme que en el año 2023 tuvo acusaciones de acoso laboral, hostigamiento y abuso de </w:t>
      </w:r>
      <w:r w:rsidR="00EB36C6">
        <w:rPr>
          <w:color w:val="000000"/>
          <w:szCs w:val="24"/>
        </w:rPr>
        <w:t>autoridad</w:t>
      </w:r>
      <w:r w:rsidR="00471F4D">
        <w:rPr>
          <w:color w:val="000000"/>
          <w:szCs w:val="24"/>
        </w:rPr>
        <w:t>.</w:t>
      </w:r>
    </w:p>
    <w:p w14:paraId="075D86AC" w14:textId="1DD872ED" w:rsidR="00511260" w:rsidRPr="005142FA" w:rsidRDefault="00366FF2" w:rsidP="00366FF2">
      <w:pPr>
        <w:pStyle w:val="Prrafodelista"/>
        <w:numPr>
          <w:ilvl w:val="2"/>
          <w:numId w:val="6"/>
        </w:numPr>
        <w:pBdr>
          <w:top w:val="nil"/>
          <w:left w:val="nil"/>
          <w:bottom w:val="nil"/>
          <w:right w:val="nil"/>
          <w:between w:val="nil"/>
        </w:pBdr>
        <w:rPr>
          <w:rFonts w:eastAsia="Palatino Linotype" w:cs="Palatino Linotype"/>
          <w:color w:val="000000"/>
          <w:szCs w:val="24"/>
        </w:rPr>
      </w:pPr>
      <w:r>
        <w:rPr>
          <w:color w:val="000000"/>
          <w:szCs w:val="24"/>
        </w:rPr>
        <w:t>F</w:t>
      </w:r>
      <w:r w:rsidR="005142FA" w:rsidRPr="005142FA">
        <w:rPr>
          <w:color w:val="000000"/>
          <w:szCs w:val="24"/>
        </w:rPr>
        <w:t xml:space="preserve">undamento jurídico </w:t>
      </w:r>
      <w:r>
        <w:rPr>
          <w:color w:val="000000"/>
          <w:szCs w:val="24"/>
        </w:rPr>
        <w:t>de su contratación</w:t>
      </w:r>
      <w:r w:rsidR="00E513F1" w:rsidRPr="005142FA">
        <w:rPr>
          <w:rFonts w:eastAsia="Palatino Linotype" w:cs="Palatino Linotype"/>
          <w:color w:val="000000"/>
          <w:szCs w:val="24"/>
        </w:rPr>
        <w:t>.</w:t>
      </w:r>
    </w:p>
    <w:p w14:paraId="125C7CDB" w14:textId="77777777" w:rsidR="00E513F1" w:rsidRDefault="00E513F1" w:rsidP="00511260">
      <w:pPr>
        <w:pBdr>
          <w:top w:val="nil"/>
          <w:left w:val="nil"/>
          <w:bottom w:val="nil"/>
          <w:right w:val="nil"/>
          <w:between w:val="nil"/>
        </w:pBdr>
        <w:contextualSpacing/>
        <w:rPr>
          <w:rFonts w:eastAsia="Palatino Linotype" w:cs="Palatino Linotype"/>
          <w:color w:val="000000"/>
          <w:szCs w:val="24"/>
        </w:rPr>
      </w:pPr>
    </w:p>
    <w:p w14:paraId="2A043BF8" w14:textId="20A5C3FD" w:rsidR="00511260" w:rsidRDefault="00511260" w:rsidP="005112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 los siguientes archivos electrónicos:</w:t>
      </w:r>
    </w:p>
    <w:p w14:paraId="23B15988" w14:textId="12312371" w:rsidR="005142FA" w:rsidRPr="005142FA" w:rsidRDefault="005142FA" w:rsidP="00511260">
      <w:pPr>
        <w:pStyle w:val="Prrafodelista"/>
        <w:numPr>
          <w:ilvl w:val="0"/>
          <w:numId w:val="15"/>
        </w:numPr>
        <w:pBdr>
          <w:top w:val="nil"/>
          <w:left w:val="nil"/>
          <w:bottom w:val="nil"/>
          <w:right w:val="nil"/>
          <w:between w:val="nil"/>
        </w:pBdr>
        <w:rPr>
          <w:szCs w:val="24"/>
        </w:rPr>
      </w:pPr>
      <w:r w:rsidRPr="005142FA">
        <w:rPr>
          <w:rFonts w:cs="Arial"/>
          <w:b/>
          <w:bCs/>
          <w:szCs w:val="24"/>
        </w:rPr>
        <w:t>00580 SSPYP.pdf</w:t>
      </w:r>
      <w:r>
        <w:rPr>
          <w:rFonts w:cs="Arial"/>
          <w:b/>
          <w:bCs/>
          <w:szCs w:val="24"/>
        </w:rPr>
        <w:t xml:space="preserve">; </w:t>
      </w:r>
      <w:r>
        <w:rPr>
          <w:rFonts w:cs="Arial"/>
          <w:bCs/>
          <w:szCs w:val="24"/>
        </w:rPr>
        <w:t xml:space="preserve">Documento que consta de una foja en formato PDF de fecha dieciocho de septiembre de dos mil veinticuatro con número de oficio 20704000020000S/389/2024 por medio del cual el Servidor Público Habilitado Suplente de la Subsecretaria de Planeación y Presupuesto manifiesta que no obra documento que señale acusaciones hechas por el solicitante, señala que la servidora pública cumplió con los requisitos señalados por el Manual de Normas y Procedimientos de Desarrollo y Administración de Personal, en la Norma “021 Alta o reingreso de servidoras y servidores públicos generales de confianza” </w:t>
      </w:r>
    </w:p>
    <w:p w14:paraId="3D499BD0" w14:textId="77777777" w:rsidR="005142FA" w:rsidRPr="005142FA" w:rsidRDefault="005142FA" w:rsidP="005142FA">
      <w:pPr>
        <w:pStyle w:val="Prrafodelista"/>
        <w:pBdr>
          <w:top w:val="nil"/>
          <w:left w:val="nil"/>
          <w:bottom w:val="nil"/>
          <w:right w:val="nil"/>
          <w:between w:val="nil"/>
        </w:pBdr>
        <w:rPr>
          <w:szCs w:val="24"/>
        </w:rPr>
      </w:pPr>
    </w:p>
    <w:p w14:paraId="4967EA0E" w14:textId="6CAF0A75" w:rsidR="005142FA" w:rsidRPr="005142FA" w:rsidRDefault="005142FA" w:rsidP="00511260">
      <w:pPr>
        <w:pStyle w:val="Prrafodelista"/>
        <w:numPr>
          <w:ilvl w:val="0"/>
          <w:numId w:val="15"/>
        </w:numPr>
        <w:pBdr>
          <w:top w:val="nil"/>
          <w:left w:val="nil"/>
          <w:bottom w:val="nil"/>
          <w:right w:val="nil"/>
          <w:between w:val="nil"/>
        </w:pBdr>
        <w:rPr>
          <w:szCs w:val="24"/>
        </w:rPr>
      </w:pPr>
      <w:r w:rsidRPr="005142FA">
        <w:rPr>
          <w:rFonts w:cs="Arial"/>
          <w:b/>
          <w:bCs/>
          <w:szCs w:val="24"/>
        </w:rPr>
        <w:t>00580 SOLICITANTE.pdf</w:t>
      </w:r>
      <w:r>
        <w:rPr>
          <w:rFonts w:cs="Arial"/>
          <w:b/>
          <w:bCs/>
          <w:szCs w:val="24"/>
        </w:rPr>
        <w:t xml:space="preserve">; </w:t>
      </w:r>
      <w:r>
        <w:rPr>
          <w:rFonts w:cs="Arial"/>
          <w:bCs/>
          <w:szCs w:val="24"/>
        </w:rPr>
        <w:t xml:space="preserve">Documento que consta de una foja en formato PDF de fecha diecinueve de septiembre de dos mil veinticuatro con número de oficio 20700004S/UT-1733/2024 por medio del cual el Jefe de la UIPPE y Titular de la </w:t>
      </w:r>
      <w:r>
        <w:rPr>
          <w:rFonts w:cs="Arial"/>
          <w:bCs/>
          <w:szCs w:val="24"/>
        </w:rPr>
        <w:lastRenderedPageBreak/>
        <w:t xml:space="preserve">Unidad de Transparencia de la Secretaria de Finanzas manifiesta que turno la solicitud de información. </w:t>
      </w:r>
    </w:p>
    <w:p w14:paraId="328B01BD" w14:textId="77777777" w:rsidR="005142FA" w:rsidRDefault="005142FA" w:rsidP="00511260">
      <w:pPr>
        <w:rPr>
          <w:rFonts w:eastAsia="Palatino Linotype" w:cs="Palatino Linotype"/>
          <w:color w:val="000000"/>
        </w:rPr>
      </w:pPr>
    </w:p>
    <w:p w14:paraId="1886837D" w14:textId="44E895D2" w:rsidR="00B156C7" w:rsidRPr="00366FF2" w:rsidRDefault="00511260" w:rsidP="00366FF2">
      <w:pPr>
        <w:rPr>
          <w:color w:val="000000"/>
          <w:szCs w:val="24"/>
        </w:rPr>
      </w:pPr>
      <w:r w:rsidRPr="00031639">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Pr="00366FF2">
        <w:rPr>
          <w:rFonts w:eastAsia="Palatino Linotype" w:cs="Palatino Linotype"/>
          <w:i/>
          <w:iCs/>
          <w:color w:val="000000"/>
          <w:szCs w:val="24"/>
        </w:rPr>
        <w:t>“</w:t>
      </w:r>
      <w:r w:rsidR="00366FF2" w:rsidRPr="00366FF2">
        <w:rPr>
          <w:i/>
          <w:color w:val="000000"/>
          <w:szCs w:val="24"/>
        </w:rPr>
        <w:t xml:space="preserve">No se da respuesta con el MANUAL DE NORMAS Y PROCEDIMIENTOS DE DESARROLLO Y ADMINISTRACIÓN DE PERSONAL, la respuesta es ambigua, por lo que se pide, se </w:t>
      </w:r>
      <w:proofErr w:type="spellStart"/>
      <w:r w:rsidR="00366FF2" w:rsidRPr="00366FF2">
        <w:rPr>
          <w:i/>
          <w:color w:val="000000"/>
          <w:szCs w:val="24"/>
        </w:rPr>
        <w:t>de</w:t>
      </w:r>
      <w:proofErr w:type="spellEnd"/>
      <w:r w:rsidR="00366FF2" w:rsidRPr="00366FF2">
        <w:rPr>
          <w:i/>
          <w:color w:val="000000"/>
          <w:szCs w:val="24"/>
        </w:rPr>
        <w:t xml:space="preserve"> respuesta a lo solicitado.</w:t>
      </w:r>
      <w:r w:rsidR="00B40A7A">
        <w:rPr>
          <w:i/>
          <w:sz w:val="22"/>
        </w:rPr>
        <w:t xml:space="preserve">” </w:t>
      </w:r>
      <w:r w:rsidR="00B40A7A">
        <w:rPr>
          <w:sz w:val="22"/>
        </w:rPr>
        <w:t xml:space="preserve">y como razones o motivos de inconformidad  </w:t>
      </w:r>
      <w:r w:rsidR="00B40A7A">
        <w:rPr>
          <w:iCs/>
          <w:color w:val="000000"/>
          <w:szCs w:val="24"/>
        </w:rPr>
        <w:t>“</w:t>
      </w:r>
      <w:r w:rsidR="00366FF2" w:rsidRPr="00366FF2">
        <w:rPr>
          <w:i/>
          <w:color w:val="000000"/>
          <w:szCs w:val="24"/>
        </w:rPr>
        <w:t>No se da respuesta a la solicitud, con el MANUAL DE NORMAS Y PROCEDIMIENTOS DE DESARROLLO Y ADMINISTRACIÓN DE PERSONAL, se excusan de dar respuesta</w:t>
      </w:r>
      <w:r w:rsidR="00B40A7A">
        <w:rPr>
          <w:i/>
          <w:sz w:val="22"/>
        </w:rPr>
        <w:t>”</w:t>
      </w:r>
      <w:r w:rsidRPr="00031639">
        <w:rPr>
          <w:rFonts w:eastAsia="Palatino Linotype" w:cs="Palatino Linotype"/>
          <w:i/>
          <w:color w:val="000000"/>
        </w:rPr>
        <w:t>,</w:t>
      </w:r>
      <w:r w:rsidRPr="00031639">
        <w:rPr>
          <w:rFonts w:eastAsia="Palatino Linotype" w:cs="Palatino Linotype"/>
          <w:i/>
          <w:color w:val="000000"/>
          <w:sz w:val="22"/>
        </w:rPr>
        <w:t xml:space="preserve"> </w:t>
      </w:r>
      <w:r w:rsidRPr="00031639">
        <w:rPr>
          <w:rFonts w:eastAsia="Palatino Linotype" w:cs="Palatino Linotype"/>
          <w:color w:val="000000"/>
        </w:rPr>
        <w:t xml:space="preserve">en este sentido el Recurrente considero que el </w:t>
      </w:r>
      <w:r w:rsidR="00B40A7A">
        <w:rPr>
          <w:rFonts w:eastAsia="Palatino Linotype" w:cs="Palatino Linotype"/>
          <w:color w:val="000000"/>
        </w:rPr>
        <w:t>Suje</w:t>
      </w:r>
      <w:r w:rsidR="00366FF2">
        <w:rPr>
          <w:rFonts w:eastAsia="Palatino Linotype" w:cs="Palatino Linotype"/>
          <w:color w:val="000000"/>
        </w:rPr>
        <w:t xml:space="preserve">to Obligado no le dio cuenta del soporte documental en el que se confirme que en 2023 la servidora pública referida </w:t>
      </w:r>
      <w:r w:rsidR="00366FF2" w:rsidRPr="005142FA">
        <w:rPr>
          <w:color w:val="000000"/>
          <w:szCs w:val="24"/>
        </w:rPr>
        <w:t xml:space="preserve">tuvo acusaciones de acoso laboral, hostigamiento y abuso de </w:t>
      </w:r>
      <w:r w:rsidR="00366FF2">
        <w:rPr>
          <w:color w:val="000000"/>
          <w:szCs w:val="24"/>
        </w:rPr>
        <w:t xml:space="preserve">autoridad así como el </w:t>
      </w:r>
      <w:r w:rsidR="00366FF2" w:rsidRPr="005142FA">
        <w:rPr>
          <w:color w:val="000000"/>
          <w:szCs w:val="24"/>
        </w:rPr>
        <w:t>fundamento jurídico</w:t>
      </w:r>
      <w:r w:rsidR="00366FF2">
        <w:rPr>
          <w:color w:val="000000"/>
          <w:szCs w:val="24"/>
        </w:rPr>
        <w:t xml:space="preserve"> de</w:t>
      </w:r>
      <w:r w:rsidR="00366FF2" w:rsidRPr="005142FA">
        <w:rPr>
          <w:color w:val="000000"/>
          <w:szCs w:val="24"/>
        </w:rPr>
        <w:t xml:space="preserve"> la </w:t>
      </w:r>
      <w:r w:rsidR="00366FF2">
        <w:rPr>
          <w:color w:val="000000"/>
          <w:szCs w:val="24"/>
        </w:rPr>
        <w:t>contratación de la servidora pública referida.</w:t>
      </w:r>
    </w:p>
    <w:p w14:paraId="17893244" w14:textId="77777777" w:rsidR="00366FF2" w:rsidRDefault="00366FF2" w:rsidP="00511260">
      <w:pPr>
        <w:tabs>
          <w:tab w:val="left" w:pos="709"/>
        </w:tabs>
        <w:contextualSpacing/>
        <w:rPr>
          <w:rFonts w:cs="Arial"/>
        </w:rPr>
      </w:pPr>
    </w:p>
    <w:p w14:paraId="4842AC2A" w14:textId="171F43DB" w:rsidR="00E718F8" w:rsidRDefault="00B156C7" w:rsidP="00B156C7">
      <w:pPr>
        <w:tabs>
          <w:tab w:val="left" w:pos="709"/>
        </w:tabs>
        <w:contextualSpacing/>
        <w:rPr>
          <w:rFonts w:cs="Arial"/>
          <w:bCs/>
          <w:szCs w:val="24"/>
        </w:rPr>
      </w:pPr>
      <w:r>
        <w:rPr>
          <w:rFonts w:cs="Arial"/>
        </w:rPr>
        <w:t>De lo anterior y a efecto de no vulnerar el derecho al acceso a la información del Recurrente el Sujeto Obligad</w:t>
      </w:r>
      <w:r w:rsidR="00366FF2">
        <w:rPr>
          <w:rFonts w:cs="Arial"/>
        </w:rPr>
        <w:t>o rindió su informe justificado, a través de los archivos electrónicos denominados “</w:t>
      </w:r>
      <w:r w:rsidR="00366FF2" w:rsidRPr="00366FF2">
        <w:rPr>
          <w:rFonts w:cs="Arial"/>
          <w:b/>
          <w:bCs/>
          <w:i/>
          <w:szCs w:val="24"/>
        </w:rPr>
        <w:t>RR 05820-2024 INFORME JUSTIFICADO.pdf</w:t>
      </w:r>
      <w:r w:rsidR="00366FF2">
        <w:rPr>
          <w:rFonts w:cs="Arial"/>
          <w:b/>
          <w:bCs/>
          <w:i/>
          <w:szCs w:val="24"/>
        </w:rPr>
        <w:t>” y “</w:t>
      </w:r>
      <w:r w:rsidR="00366FF2" w:rsidRPr="00366FF2">
        <w:rPr>
          <w:rFonts w:cs="Arial"/>
          <w:b/>
          <w:bCs/>
          <w:i/>
          <w:szCs w:val="24"/>
        </w:rPr>
        <w:t>RR 005820-2024 SPP.pdf</w:t>
      </w:r>
      <w:r w:rsidR="00366FF2">
        <w:rPr>
          <w:rFonts w:cs="Arial"/>
          <w:b/>
          <w:bCs/>
          <w:i/>
          <w:szCs w:val="24"/>
        </w:rPr>
        <w:t xml:space="preserve">” </w:t>
      </w:r>
      <w:r w:rsidR="00E718F8">
        <w:rPr>
          <w:rFonts w:cs="Arial"/>
          <w:bCs/>
          <w:szCs w:val="24"/>
        </w:rPr>
        <w:t xml:space="preserve">en los términos siguientes; </w:t>
      </w:r>
    </w:p>
    <w:p w14:paraId="257AEFD1" w14:textId="77777777" w:rsidR="00E718F8" w:rsidRDefault="00E718F8" w:rsidP="00B156C7">
      <w:pPr>
        <w:tabs>
          <w:tab w:val="left" w:pos="709"/>
        </w:tabs>
        <w:contextualSpacing/>
        <w:rPr>
          <w:rFonts w:cs="Arial"/>
          <w:bCs/>
          <w:szCs w:val="24"/>
        </w:rPr>
      </w:pPr>
    </w:p>
    <w:p w14:paraId="273F8C13" w14:textId="1E3364F3" w:rsidR="00E718F8" w:rsidRDefault="00E718F8" w:rsidP="00E718F8">
      <w:pPr>
        <w:pStyle w:val="Prrafodelista"/>
        <w:numPr>
          <w:ilvl w:val="0"/>
          <w:numId w:val="15"/>
        </w:numPr>
        <w:tabs>
          <w:tab w:val="left" w:pos="709"/>
        </w:tabs>
        <w:rPr>
          <w:rFonts w:cs="Arial"/>
          <w:b/>
          <w:bCs/>
          <w:i/>
          <w:szCs w:val="24"/>
        </w:rPr>
      </w:pPr>
      <w:r w:rsidRPr="00E718F8">
        <w:rPr>
          <w:rFonts w:cs="Arial"/>
          <w:b/>
          <w:bCs/>
          <w:i/>
          <w:szCs w:val="24"/>
        </w:rPr>
        <w:t>RR 05820-2024 INFORME JUSTIFICADO.pdf</w:t>
      </w:r>
      <w:r>
        <w:rPr>
          <w:rFonts w:cs="Arial"/>
          <w:b/>
          <w:bCs/>
          <w:i/>
          <w:szCs w:val="24"/>
        </w:rPr>
        <w:t xml:space="preserve">; </w:t>
      </w:r>
      <w:r>
        <w:rPr>
          <w:rFonts w:cs="Arial"/>
          <w:bCs/>
          <w:szCs w:val="24"/>
        </w:rPr>
        <w:t xml:space="preserve">Documento que consta de seis fojas en formato PDF por medio del cual el Sujeto Obligado rinde informe justificado </w:t>
      </w:r>
    </w:p>
    <w:p w14:paraId="3EE1FD50" w14:textId="77777777" w:rsidR="00E718F8" w:rsidRPr="00E718F8" w:rsidRDefault="00E718F8" w:rsidP="00E718F8">
      <w:pPr>
        <w:pStyle w:val="Prrafodelista"/>
        <w:tabs>
          <w:tab w:val="left" w:pos="709"/>
        </w:tabs>
        <w:rPr>
          <w:rFonts w:cs="Arial"/>
          <w:b/>
          <w:bCs/>
          <w:i/>
          <w:szCs w:val="24"/>
        </w:rPr>
      </w:pPr>
    </w:p>
    <w:p w14:paraId="1CC77761" w14:textId="52639FD0" w:rsidR="00E718F8" w:rsidRPr="00160494" w:rsidRDefault="00E718F8" w:rsidP="00D41B9A">
      <w:pPr>
        <w:pStyle w:val="Prrafodelista"/>
        <w:numPr>
          <w:ilvl w:val="0"/>
          <w:numId w:val="15"/>
        </w:numPr>
        <w:tabs>
          <w:tab w:val="left" w:pos="709"/>
        </w:tabs>
        <w:rPr>
          <w:rFonts w:cs="Arial"/>
          <w:bCs/>
          <w:szCs w:val="24"/>
        </w:rPr>
      </w:pPr>
      <w:r w:rsidRPr="00E718F8">
        <w:rPr>
          <w:rFonts w:cs="Arial"/>
          <w:b/>
          <w:bCs/>
          <w:i/>
          <w:szCs w:val="24"/>
        </w:rPr>
        <w:lastRenderedPageBreak/>
        <w:t>RR 005820-2024 SPP.pdf</w:t>
      </w:r>
      <w:r>
        <w:rPr>
          <w:rFonts w:cs="Arial"/>
          <w:b/>
          <w:bCs/>
          <w:i/>
          <w:szCs w:val="24"/>
        </w:rPr>
        <w:t xml:space="preserve">; </w:t>
      </w:r>
      <w:r>
        <w:rPr>
          <w:rFonts w:cs="Arial"/>
          <w:bCs/>
          <w:szCs w:val="24"/>
        </w:rPr>
        <w:t>Documento que consta de una foja en formato PDF de fecha treinta de septiembre de dos mil veinticuatro por medio del cual el Servidor Público Habilitado Suplente de la Subsecretaria de Planeación y Presupuesto</w:t>
      </w:r>
      <w:r w:rsidR="00D41B9A">
        <w:rPr>
          <w:rFonts w:cs="Arial"/>
          <w:bCs/>
          <w:szCs w:val="24"/>
        </w:rPr>
        <w:t xml:space="preserve"> ratifica su respuesta </w:t>
      </w:r>
    </w:p>
    <w:p w14:paraId="2F5E11E0" w14:textId="77777777" w:rsidR="00FE13EF" w:rsidRPr="00D41B9A" w:rsidRDefault="00FE13EF" w:rsidP="00D41B9A">
      <w:pPr>
        <w:tabs>
          <w:tab w:val="left" w:pos="709"/>
        </w:tabs>
        <w:rPr>
          <w:rFonts w:cs="Arial"/>
          <w:bCs/>
          <w:szCs w:val="24"/>
        </w:rPr>
      </w:pPr>
    </w:p>
    <w:p w14:paraId="00E40574" w14:textId="5D77E3D8" w:rsidR="00511260" w:rsidRPr="006537E2" w:rsidRDefault="00511260" w:rsidP="006537E2">
      <w:pPr>
        <w:tabs>
          <w:tab w:val="left" w:pos="709"/>
        </w:tabs>
        <w:contextualSpacing/>
        <w:rPr>
          <w:rFonts w:cs="Arial"/>
        </w:rPr>
      </w:pPr>
      <w:r>
        <w:rPr>
          <w:rFonts w:cs="Arial"/>
        </w:rPr>
        <w:t xml:space="preserve">De lo anterior se debe </w:t>
      </w:r>
      <w:r w:rsidRPr="00B7320F">
        <w:rPr>
          <w:rFonts w:cs="Arial"/>
        </w:rPr>
        <w:t>señalar que el artículo 4, párrafo segundo de la Ley de Transparencia y Acceso a la Información Pública del Estado de México y Municipios, dispone:</w:t>
      </w:r>
    </w:p>
    <w:p w14:paraId="46B1EB7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32A3E4AB" w14:textId="77777777" w:rsidR="00511260" w:rsidRPr="00B7320F" w:rsidRDefault="00511260" w:rsidP="00511260">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883349" w14:textId="77777777" w:rsidR="00511260" w:rsidRPr="00B7320F" w:rsidRDefault="00511260" w:rsidP="00511260">
      <w:pPr>
        <w:tabs>
          <w:tab w:val="left" w:pos="709"/>
        </w:tabs>
        <w:contextualSpacing/>
        <w:rPr>
          <w:rFonts w:cs="Arial"/>
        </w:rPr>
      </w:pPr>
    </w:p>
    <w:p w14:paraId="08245615" w14:textId="77777777" w:rsidR="00511260" w:rsidRDefault="00511260" w:rsidP="00511260">
      <w:pPr>
        <w:tabs>
          <w:tab w:val="left" w:pos="709"/>
        </w:tabs>
        <w:contextualSpacing/>
        <w:rPr>
          <w:rFonts w:cs="Arial"/>
        </w:rPr>
      </w:pPr>
      <w:r w:rsidRPr="00B7320F">
        <w:rPr>
          <w:rFonts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5071FF1" w14:textId="77777777" w:rsidR="00511260" w:rsidRPr="00B7320F" w:rsidRDefault="00511260" w:rsidP="00511260">
      <w:pPr>
        <w:tabs>
          <w:tab w:val="left" w:pos="709"/>
        </w:tabs>
        <w:contextualSpacing/>
        <w:rPr>
          <w:rFonts w:cs="Arial"/>
        </w:rPr>
      </w:pPr>
    </w:p>
    <w:p w14:paraId="2D616939" w14:textId="77777777" w:rsidR="00511260" w:rsidRPr="00B7320F" w:rsidRDefault="00511260" w:rsidP="00511260">
      <w:pPr>
        <w:tabs>
          <w:tab w:val="left" w:pos="709"/>
        </w:tabs>
        <w:contextualSpacing/>
        <w:rPr>
          <w:rFonts w:cs="Arial"/>
        </w:rPr>
      </w:pPr>
      <w:r w:rsidRPr="00B7320F">
        <w:rPr>
          <w:rFonts w:cs="Arial"/>
        </w:rPr>
        <w:t xml:space="preserve">En esta misma tesitura, el derecho de acceso a la información pública, consiste en que la información solicitada conste en un soporte documental en cualquiera de sus formas, a saber: </w:t>
      </w:r>
      <w:r w:rsidRPr="00B7320F">
        <w:rPr>
          <w:rFonts w:cs="Arial"/>
          <w:b/>
          <w:u w:val="single"/>
        </w:rPr>
        <w:t xml:space="preserve">expedientes, reportes, estudios, actas, resoluciones, oficios, correspondencia, </w:t>
      </w:r>
      <w:r w:rsidRPr="00B7320F">
        <w:rPr>
          <w:rFonts w:cs="Arial"/>
          <w:b/>
          <w:u w:val="single"/>
        </w:rPr>
        <w:lastRenderedPageBreak/>
        <w:t>acuerdos, directivas, directrices, circulares, contratos, convenios, instructivos, notas, memorandos, estadísticas o bien, cualquier otro registro que documente el ejercicio de 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D0E6F2D" w14:textId="77777777" w:rsidR="00511260" w:rsidRPr="00B7320F" w:rsidRDefault="00511260" w:rsidP="00511260">
      <w:pPr>
        <w:pStyle w:val="Sinespaciado"/>
      </w:pPr>
    </w:p>
    <w:p w14:paraId="7DCBBF0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0C6D4E49" w14:textId="77777777" w:rsidR="00511260" w:rsidRPr="00B7320F" w:rsidRDefault="00511260" w:rsidP="00511260">
      <w:pPr>
        <w:ind w:left="567" w:right="616"/>
        <w:rPr>
          <w:rFonts w:cs="Arial"/>
          <w:i/>
          <w:sz w:val="22"/>
        </w:rPr>
      </w:pPr>
      <w:r w:rsidRPr="00B7320F">
        <w:rPr>
          <w:rFonts w:cs="Arial"/>
          <w:i/>
          <w:sz w:val="22"/>
        </w:rPr>
        <w:t>(…)</w:t>
      </w:r>
    </w:p>
    <w:p w14:paraId="58610409" w14:textId="77777777" w:rsidR="00511260" w:rsidRPr="00B7320F" w:rsidRDefault="00511260" w:rsidP="00511260">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documentos podrán estar en cualquier medio, sea escrito, impreso, sonoro, visual, electrónico, informático u holográfico;</w:t>
      </w:r>
    </w:p>
    <w:p w14:paraId="0BA68671" w14:textId="5D033DD3" w:rsidR="00511260" w:rsidRPr="00CF7459" w:rsidRDefault="00511260" w:rsidP="00CF7459">
      <w:pPr>
        <w:ind w:left="567" w:right="616"/>
        <w:rPr>
          <w:rFonts w:cs="Arial"/>
          <w:i/>
          <w:sz w:val="22"/>
        </w:rPr>
      </w:pPr>
      <w:r w:rsidRPr="00B7320F">
        <w:rPr>
          <w:rFonts w:cs="Arial"/>
          <w:i/>
          <w:sz w:val="22"/>
        </w:rPr>
        <w:t>(…)”</w:t>
      </w:r>
    </w:p>
    <w:p w14:paraId="46E094D8" w14:textId="77777777" w:rsidR="00FE13EF" w:rsidRDefault="00FE13EF" w:rsidP="00511260">
      <w:pPr>
        <w:spacing w:before="240" w:after="240"/>
        <w:ind w:right="49"/>
        <w:contextualSpacing/>
        <w:rPr>
          <w:rFonts w:cs="Arial"/>
        </w:rPr>
      </w:pPr>
    </w:p>
    <w:p w14:paraId="0E8050C1" w14:textId="77777777" w:rsidR="00511260" w:rsidRDefault="00511260" w:rsidP="00511260">
      <w:pPr>
        <w:spacing w:before="240" w:after="240"/>
        <w:ind w:right="49"/>
        <w:contextualSpacing/>
        <w:rPr>
          <w:rFonts w:eastAsia="MS Mincho"/>
        </w:rPr>
      </w:pPr>
      <w:r w:rsidRPr="00B7320F">
        <w:rPr>
          <w:rFonts w:cs="Arial"/>
        </w:rPr>
        <w:t xml:space="preserve">Además, </w:t>
      </w:r>
      <w:r w:rsidRPr="00B7320F">
        <w:rPr>
          <w:rFonts w:eastAsia="MS Mincho"/>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w:t>
      </w:r>
      <w:r w:rsidRPr="00B7320F">
        <w:rPr>
          <w:rFonts w:eastAsia="MS Mincho"/>
        </w:rPr>
        <w:lastRenderedPageBreak/>
        <w:t>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BA6BC53" w14:textId="77777777" w:rsidR="00511260" w:rsidRPr="006A187E" w:rsidRDefault="00511260" w:rsidP="00511260">
      <w:pPr>
        <w:spacing w:before="240" w:after="240"/>
        <w:ind w:right="49"/>
        <w:contextualSpacing/>
        <w:rPr>
          <w:rFonts w:eastAsia="MS Mincho"/>
        </w:rPr>
      </w:pPr>
    </w:p>
    <w:p w14:paraId="7693AF8A" w14:textId="77777777" w:rsidR="00511260" w:rsidRPr="006A187E" w:rsidRDefault="00511260" w:rsidP="00511260">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1AC236D9" w14:textId="77777777" w:rsidR="00511260" w:rsidRPr="00B7320F" w:rsidRDefault="00511260" w:rsidP="00511260">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F6DA7F" w14:textId="77777777" w:rsidR="00B40A7A" w:rsidRDefault="00B40A7A" w:rsidP="00511260">
      <w:pPr>
        <w:rPr>
          <w:rFonts w:eastAsiaTheme="minorHAnsi" w:cs="Arial"/>
          <w:lang w:val="es-MX" w:eastAsia="en-US"/>
        </w:rPr>
      </w:pPr>
    </w:p>
    <w:p w14:paraId="5D8B4287" w14:textId="77777777" w:rsidR="00511260" w:rsidRPr="00322CE7" w:rsidRDefault="00511260" w:rsidP="00511260">
      <w:pPr>
        <w:rPr>
          <w:rFonts w:eastAsiaTheme="minorHAnsi" w:cs="Arial"/>
          <w:lang w:val="es-MX" w:eastAsia="en-US"/>
        </w:rPr>
      </w:pPr>
      <w:r w:rsidRPr="00B7320F">
        <w:rPr>
          <w:rFonts w:eastAsiaTheme="minorHAnsi" w:cs="Arial"/>
          <w:lang w:val="es-MX" w:eastAsia="en-US"/>
        </w:rPr>
        <w:t xml:space="preserve">Expuesto lo anterior, se procede al análisis de la totalidad de las constancias que integran el expediente electrónico del </w:t>
      </w:r>
      <w:r w:rsidRPr="00B7320F">
        <w:rPr>
          <w:rFonts w:eastAsiaTheme="minorHAnsi" w:cs="Arial"/>
          <w:b/>
          <w:lang w:val="es-MX" w:eastAsia="en-US"/>
        </w:rPr>
        <w:t>SAIMEX</w:t>
      </w:r>
      <w:r w:rsidRPr="00B7320F">
        <w:rPr>
          <w:rFonts w:eastAsiaTheme="minorHAnsi" w:cs="Arial"/>
          <w:lang w:val="es-MX" w:eastAsia="en-US"/>
        </w:rPr>
        <w:t xml:space="preserve">, a efecto de determinar si con la información remitida por </w:t>
      </w:r>
      <w:r w:rsidRPr="00B7320F">
        <w:rPr>
          <w:rFonts w:eastAsiaTheme="minorHAnsi" w:cs="Arial"/>
          <w:b/>
          <w:lang w:val="es-MX" w:eastAsia="en-US"/>
        </w:rPr>
        <w:t>El Sujeto Obligado</w:t>
      </w:r>
      <w:r w:rsidRPr="00B7320F">
        <w:rPr>
          <w:rFonts w:eastAsiaTheme="minorHAnsi" w:cs="Arial"/>
          <w:lang w:val="es-MX" w:eastAsia="en-US"/>
        </w:rPr>
        <w:t xml:space="preserve"> a través de su respuesta se colma lo requerido en dicha solicitud.</w:t>
      </w:r>
    </w:p>
    <w:p w14:paraId="001B14B3" w14:textId="47DC1A5E" w:rsidR="00CA454B" w:rsidRDefault="004551AD" w:rsidP="00511260">
      <w:pPr>
        <w:rPr>
          <w:rFonts w:eastAsia="Palatino Linotype" w:cs="Palatino Linotype"/>
          <w:color w:val="000000"/>
          <w:szCs w:val="24"/>
        </w:rPr>
      </w:pPr>
      <w:r>
        <w:rPr>
          <w:rFonts w:eastAsia="Palatino Linotype" w:cs="Palatino Linotype"/>
          <w:color w:val="000000"/>
          <w:szCs w:val="24"/>
        </w:rPr>
        <w:t xml:space="preserve"> </w:t>
      </w:r>
    </w:p>
    <w:p w14:paraId="4959394C" w14:textId="0F156AAA" w:rsidR="00A45A88" w:rsidRDefault="00511260" w:rsidP="00160494">
      <w:r w:rsidRPr="00036045">
        <w:t xml:space="preserve">De lo anterior, </w:t>
      </w:r>
      <w:r>
        <w:t xml:space="preserve">resulta pertinente </w:t>
      </w:r>
      <w:r w:rsidR="004643B1">
        <w:t xml:space="preserve">traer a colación </w:t>
      </w:r>
      <w:r w:rsidR="00160494">
        <w:t xml:space="preserve">el Manual General de Organización de la Secretaría de Finanzas </w:t>
      </w:r>
      <w:r w:rsidR="00A45A88">
        <w:t>el cual establece que la Subsecretaria de Planeación y Presupuesto es la unidad administrativa encargada de p</w:t>
      </w:r>
      <w:r w:rsidR="00A45A88" w:rsidRPr="00A45A88">
        <w:t>lanear, dirigir y coordinar la elaboración e implantación de planes, programas y el presupuesto de egresos</w:t>
      </w:r>
      <w:r w:rsidR="00A45A88">
        <w:t>, integrada por la Subdirección de Recursos Humanos.</w:t>
      </w:r>
    </w:p>
    <w:p w14:paraId="43A9B321" w14:textId="77777777" w:rsidR="00A45A88" w:rsidRDefault="00A45A88" w:rsidP="00160494"/>
    <w:p w14:paraId="3C02FF43" w14:textId="6825F11B" w:rsidR="00A45A88" w:rsidRPr="00471F4D" w:rsidRDefault="00A45A88" w:rsidP="00160494">
      <w:pPr>
        <w:rPr>
          <w:szCs w:val="24"/>
        </w:rPr>
      </w:pPr>
      <w:r w:rsidRPr="00471F4D">
        <w:rPr>
          <w:szCs w:val="24"/>
        </w:rPr>
        <w:lastRenderedPageBreak/>
        <w:t xml:space="preserve">En este sentido la Subdirección de Recursos Humanos es la encargada de coordinar y dirigir las actividades relacionadas con </w:t>
      </w:r>
      <w:r w:rsidRPr="00471F4D">
        <w:rPr>
          <w:b/>
          <w:szCs w:val="24"/>
        </w:rPr>
        <w:t>la administración y desarrollo de los recursos humanos</w:t>
      </w:r>
      <w:r w:rsidRPr="00471F4D">
        <w:rPr>
          <w:szCs w:val="24"/>
        </w:rPr>
        <w:t xml:space="preserve"> de las unidades administrativas encargada de supervisar la gestión de los </w:t>
      </w:r>
      <w:r w:rsidRPr="00471F4D">
        <w:rPr>
          <w:b/>
          <w:szCs w:val="24"/>
        </w:rPr>
        <w:t>movimientos de alta, baja</w:t>
      </w:r>
      <w:r w:rsidRPr="00471F4D">
        <w:rPr>
          <w:szCs w:val="24"/>
        </w:rPr>
        <w:t xml:space="preserve">, cambios de adscripción, promociones y licencias en los términos siguientes; </w:t>
      </w:r>
    </w:p>
    <w:p w14:paraId="457DDDE5" w14:textId="77777777" w:rsidR="00A45A88" w:rsidRPr="004643B1" w:rsidRDefault="00A45A88" w:rsidP="00160494">
      <w:pPr>
        <w:rPr>
          <w:i/>
          <w:sz w:val="22"/>
        </w:rPr>
      </w:pPr>
    </w:p>
    <w:p w14:paraId="432281A2" w14:textId="23381423" w:rsidR="00160494" w:rsidRPr="006970FB" w:rsidRDefault="00160494" w:rsidP="00160494">
      <w:pPr>
        <w:ind w:firstLine="708"/>
        <w:rPr>
          <w:b/>
          <w:i/>
        </w:rPr>
      </w:pPr>
      <w:r w:rsidRPr="006970FB">
        <w:rPr>
          <w:b/>
          <w:i/>
        </w:rPr>
        <w:t>20704000000000L Subsecretaría de Planeación y Presupuesto</w:t>
      </w:r>
    </w:p>
    <w:p w14:paraId="3969409B" w14:textId="5A3CC526" w:rsidR="00160494" w:rsidRDefault="00160494" w:rsidP="00160494">
      <w:pPr>
        <w:ind w:left="708"/>
        <w:rPr>
          <w:i/>
        </w:rPr>
      </w:pPr>
      <w:r w:rsidRPr="00160494">
        <w:rPr>
          <w:i/>
        </w:rPr>
        <w:t>OBJETIVO: Planear, dirigir y coordinar la elaboración e implantación de planes, programas y el presupuesto de egresos, así como autorizar el ejercicio de las finanzas públicas estatales que coadyuven al desarrollo regional y sectorial del Estado de México.</w:t>
      </w:r>
    </w:p>
    <w:p w14:paraId="446CBA11" w14:textId="77777777" w:rsidR="00160494" w:rsidRPr="00160494" w:rsidRDefault="00160494" w:rsidP="00160494">
      <w:pPr>
        <w:ind w:left="708"/>
        <w:rPr>
          <w:i/>
        </w:rPr>
      </w:pPr>
    </w:p>
    <w:p w14:paraId="65EF610B" w14:textId="181CF20D" w:rsidR="00160494" w:rsidRPr="00160494" w:rsidRDefault="00160494" w:rsidP="00160494">
      <w:pPr>
        <w:ind w:firstLine="708"/>
        <w:rPr>
          <w:b/>
          <w:i/>
          <w:sz w:val="22"/>
        </w:rPr>
      </w:pPr>
      <w:r w:rsidRPr="00160494">
        <w:rPr>
          <w:b/>
          <w:i/>
          <w:sz w:val="22"/>
        </w:rPr>
        <w:t>20704000010100S Subdirección de Recursos Humanos</w:t>
      </w:r>
    </w:p>
    <w:p w14:paraId="44345BCA" w14:textId="77777777" w:rsidR="00160494" w:rsidRPr="00160494" w:rsidRDefault="00160494" w:rsidP="00160494">
      <w:pPr>
        <w:ind w:left="708"/>
        <w:rPr>
          <w:i/>
          <w:sz w:val="22"/>
        </w:rPr>
      </w:pPr>
      <w:r w:rsidRPr="00160494">
        <w:rPr>
          <w:b/>
          <w:i/>
          <w:sz w:val="22"/>
        </w:rPr>
        <w:t>OBJETIVO</w:t>
      </w:r>
      <w:r w:rsidRPr="00160494">
        <w:rPr>
          <w:i/>
          <w:sz w:val="22"/>
        </w:rPr>
        <w:t xml:space="preserve">: Coordinar y dirigir las actividades relacionadas con la administración y desarrollo de los recursos humanos de las unidades administrativas adscritas a la Subsecretaría de Planeación y Presupuesto. </w:t>
      </w:r>
    </w:p>
    <w:p w14:paraId="2B560016" w14:textId="77777777" w:rsidR="00160494" w:rsidRPr="00160494" w:rsidRDefault="00160494" w:rsidP="00160494">
      <w:pPr>
        <w:ind w:left="708"/>
        <w:rPr>
          <w:i/>
          <w:sz w:val="22"/>
        </w:rPr>
      </w:pPr>
    </w:p>
    <w:p w14:paraId="77E3A68D" w14:textId="77777777" w:rsidR="00160494" w:rsidRPr="00160494" w:rsidRDefault="00160494" w:rsidP="00160494">
      <w:pPr>
        <w:ind w:left="708"/>
        <w:rPr>
          <w:b/>
          <w:i/>
          <w:sz w:val="22"/>
        </w:rPr>
      </w:pPr>
      <w:r w:rsidRPr="00160494">
        <w:rPr>
          <w:b/>
          <w:i/>
          <w:sz w:val="22"/>
        </w:rPr>
        <w:t>FUNCIONES:</w:t>
      </w:r>
    </w:p>
    <w:p w14:paraId="1D4E2768" w14:textId="77777777" w:rsidR="00160494" w:rsidRPr="00160494" w:rsidRDefault="00160494" w:rsidP="00160494">
      <w:pPr>
        <w:ind w:left="708"/>
        <w:rPr>
          <w:i/>
          <w:sz w:val="22"/>
        </w:rPr>
      </w:pPr>
      <w:r w:rsidRPr="00160494">
        <w:rPr>
          <w:i/>
          <w:sz w:val="22"/>
        </w:rPr>
        <w:t xml:space="preserve"> − Aplicar y supervisar las políticas, normas y procedimientos establecidos en materia de desarrollo y administración de personal, a las y los servidores públicos adscritos a la Subsecretaría de Planeación y Presupuesto.</w:t>
      </w:r>
    </w:p>
    <w:p w14:paraId="78D031D0" w14:textId="77777777" w:rsidR="00160494" w:rsidRPr="00160494" w:rsidRDefault="00160494" w:rsidP="00160494">
      <w:pPr>
        <w:ind w:left="708"/>
        <w:rPr>
          <w:i/>
          <w:sz w:val="22"/>
        </w:rPr>
      </w:pPr>
      <w:r w:rsidRPr="00160494">
        <w:rPr>
          <w:i/>
          <w:sz w:val="22"/>
        </w:rPr>
        <w:t xml:space="preserve"> − </w:t>
      </w:r>
      <w:r w:rsidRPr="00160494">
        <w:rPr>
          <w:b/>
          <w:i/>
          <w:sz w:val="22"/>
        </w:rPr>
        <w:t xml:space="preserve">Supervisar la gestión de los movimientos de alta, baja, cambios de adscripción, </w:t>
      </w:r>
      <w:r w:rsidRPr="005B5B86">
        <w:rPr>
          <w:i/>
          <w:sz w:val="22"/>
        </w:rPr>
        <w:t>promociones y licencias del personal adscrito a la Subsecretaría de Planeación y Presupuesto.</w:t>
      </w:r>
    </w:p>
    <w:p w14:paraId="5C2F95C1" w14:textId="77777777" w:rsidR="00160494" w:rsidRPr="00160494" w:rsidRDefault="00160494" w:rsidP="00160494">
      <w:pPr>
        <w:ind w:left="708"/>
        <w:rPr>
          <w:i/>
          <w:sz w:val="22"/>
        </w:rPr>
      </w:pPr>
      <w:r w:rsidRPr="00160494">
        <w:rPr>
          <w:i/>
          <w:sz w:val="22"/>
        </w:rPr>
        <w:t xml:space="preserve"> − Supervisar el trámite de permisos, vacaciones e incidencias derivadas del registro y control de asistencia y puntualidad del personal adscrito a la Subsecretaría de Planeación y Presupuesto. </w:t>
      </w:r>
    </w:p>
    <w:p w14:paraId="5CB650C1" w14:textId="77777777" w:rsidR="00160494" w:rsidRPr="00160494" w:rsidRDefault="00160494" w:rsidP="00160494">
      <w:pPr>
        <w:ind w:left="708"/>
        <w:rPr>
          <w:i/>
          <w:sz w:val="22"/>
        </w:rPr>
      </w:pPr>
      <w:r w:rsidRPr="00160494">
        <w:rPr>
          <w:i/>
          <w:sz w:val="22"/>
        </w:rPr>
        <w:lastRenderedPageBreak/>
        <w:t xml:space="preserve">− Supervisar la actualización de la plantilla de personal adscrito a la Subsecretaría de Planeación y Presupuesto. </w:t>
      </w:r>
    </w:p>
    <w:p w14:paraId="4548CFD7" w14:textId="77777777" w:rsidR="00160494" w:rsidRPr="00160494" w:rsidRDefault="00160494" w:rsidP="00160494">
      <w:pPr>
        <w:ind w:left="708"/>
        <w:rPr>
          <w:i/>
          <w:sz w:val="22"/>
        </w:rPr>
      </w:pPr>
      <w:r w:rsidRPr="00160494">
        <w:rPr>
          <w:i/>
          <w:sz w:val="22"/>
        </w:rPr>
        <w:t>− Promover, en coordinación con el Instituto de Profesionalización de los Servidores Públicos del Poder Ejecutivo del Gobierno del Estado de México, los cursos de capacitación y adiestramiento de las servidoras y los servidores públicos adscritos a la Subsecretaría de Planeación y Presupuesto.</w:t>
      </w:r>
    </w:p>
    <w:p w14:paraId="5289ADA1" w14:textId="77777777" w:rsidR="00160494" w:rsidRPr="00160494" w:rsidRDefault="00160494" w:rsidP="00160494">
      <w:pPr>
        <w:ind w:left="708"/>
        <w:rPr>
          <w:sz w:val="22"/>
        </w:rPr>
      </w:pPr>
      <w:r w:rsidRPr="00160494">
        <w:rPr>
          <w:i/>
          <w:sz w:val="22"/>
        </w:rPr>
        <w:t xml:space="preserve"> − Ejecutar los procedimientos y mecanismos establecidos para el otorgamiento de estímulos y recompensas al personal</w:t>
      </w:r>
      <w:r w:rsidRPr="00160494">
        <w:rPr>
          <w:sz w:val="22"/>
        </w:rPr>
        <w:t xml:space="preserve"> </w:t>
      </w:r>
    </w:p>
    <w:p w14:paraId="79C6B713" w14:textId="77777777" w:rsidR="00160494" w:rsidRPr="00160494" w:rsidRDefault="00160494" w:rsidP="00160494">
      <w:pPr>
        <w:ind w:left="708"/>
        <w:rPr>
          <w:i/>
          <w:sz w:val="22"/>
        </w:rPr>
      </w:pPr>
      <w:r w:rsidRPr="00160494">
        <w:rPr>
          <w:i/>
          <w:sz w:val="22"/>
        </w:rPr>
        <w:t>− Supervisar las conciliaciones del capítulo 1000 Servicios Personales de la Subsecretaría de Planeación y Presupuesto.</w:t>
      </w:r>
    </w:p>
    <w:p w14:paraId="04EA50C5" w14:textId="77777777" w:rsidR="00160494" w:rsidRPr="00160494" w:rsidRDefault="00160494" w:rsidP="00160494">
      <w:pPr>
        <w:ind w:left="708"/>
        <w:rPr>
          <w:i/>
          <w:sz w:val="22"/>
        </w:rPr>
      </w:pPr>
      <w:r w:rsidRPr="00160494">
        <w:rPr>
          <w:i/>
          <w:sz w:val="22"/>
        </w:rPr>
        <w:t xml:space="preserve"> − Ejecutar los procedimientos y mecanismos establecidos para la evaluación del desempeño, promoviendo la motivación e incentivación de las servidoras públicas o los servidores públicos, así como su desarrollo en las labores que se le encomienden.</w:t>
      </w:r>
    </w:p>
    <w:p w14:paraId="49342207" w14:textId="77777777" w:rsidR="00160494" w:rsidRPr="00160494" w:rsidRDefault="00160494" w:rsidP="00160494">
      <w:pPr>
        <w:ind w:left="708"/>
        <w:rPr>
          <w:i/>
          <w:sz w:val="22"/>
        </w:rPr>
      </w:pPr>
      <w:r w:rsidRPr="00160494">
        <w:rPr>
          <w:i/>
          <w:sz w:val="22"/>
        </w:rPr>
        <w:t xml:space="preserve">− Coordinar las actividades relacionadas con el Programa de Escalafón de las unidades administrativas adscritas a la Subsecretaría de Planeación y Presupuesto. − Supervisar la elaboración de la plantilla de plazas por contrato, así como los contratos del personal eventual, autorizadas a la Subsecretaría de Planeación y Presupuesto. </w:t>
      </w:r>
    </w:p>
    <w:p w14:paraId="5385CA96" w14:textId="77777777" w:rsidR="00160494" w:rsidRPr="00160494" w:rsidRDefault="00160494" w:rsidP="00160494">
      <w:pPr>
        <w:ind w:left="708"/>
        <w:rPr>
          <w:i/>
          <w:sz w:val="22"/>
        </w:rPr>
      </w:pPr>
      <w:r w:rsidRPr="00160494">
        <w:rPr>
          <w:i/>
          <w:sz w:val="22"/>
        </w:rPr>
        <w:t xml:space="preserve">− Supervisar la elaboración de la nómina del personal por contrato. </w:t>
      </w:r>
    </w:p>
    <w:p w14:paraId="15E05580" w14:textId="4EB9ABD7" w:rsidR="00160494" w:rsidRPr="00160494" w:rsidRDefault="00160494" w:rsidP="00160494">
      <w:pPr>
        <w:ind w:left="708"/>
        <w:rPr>
          <w:i/>
          <w:sz w:val="22"/>
        </w:rPr>
      </w:pPr>
      <w:r w:rsidRPr="00160494">
        <w:rPr>
          <w:i/>
          <w:sz w:val="22"/>
        </w:rPr>
        <w:t>− Desarrollar las demás funciones inherentes al área de su competencia.</w:t>
      </w:r>
    </w:p>
    <w:p w14:paraId="44023EA8" w14:textId="77777777" w:rsidR="00160494" w:rsidRDefault="00160494" w:rsidP="00160494">
      <w:pPr>
        <w:ind w:left="708"/>
        <w:rPr>
          <w:b/>
          <w:i/>
        </w:rPr>
      </w:pPr>
    </w:p>
    <w:p w14:paraId="61A1EDA2" w14:textId="1C824747" w:rsidR="005B5B86" w:rsidRDefault="005B5B86" w:rsidP="005B5B86">
      <w:pPr>
        <w:rPr>
          <w:rFonts w:eastAsia="Palatino Linotype" w:cs="Palatino Linotype"/>
          <w:color w:val="000000"/>
          <w:sz w:val="22"/>
          <w:szCs w:val="24"/>
        </w:rPr>
      </w:pPr>
      <w:r w:rsidRPr="00693CB7">
        <w:rPr>
          <w:rFonts w:eastAsia="Palatino Linotype" w:cs="Palatino Linotype"/>
          <w:color w:val="000000"/>
          <w:szCs w:val="24"/>
        </w:rPr>
        <w:t xml:space="preserve">En este sentido resulta imprescindible traer a colación el </w:t>
      </w:r>
      <w:r w:rsidR="00CA454B" w:rsidRPr="00693CB7">
        <w:rPr>
          <w:rFonts w:eastAsia="Palatino Linotype" w:cs="Palatino Linotype"/>
          <w:color w:val="000000"/>
          <w:szCs w:val="24"/>
        </w:rPr>
        <w:t>Manual de normas y procedimientos de desarrollo de administración de personal en la norma 021 Alta o reingreso de servidoras y servidores públicos generales y de confianza  para su ingreso</w:t>
      </w:r>
      <w:r w:rsidRPr="00693CB7">
        <w:rPr>
          <w:rStyle w:val="Refdenotaalpie"/>
          <w:rFonts w:eastAsia="Palatino Linotype" w:cs="Palatino Linotype"/>
          <w:color w:val="000000"/>
          <w:szCs w:val="24"/>
        </w:rPr>
        <w:footnoteReference w:id="2"/>
      </w:r>
      <w:r w:rsidR="00CA454B" w:rsidRPr="00693CB7">
        <w:rPr>
          <w:rFonts w:eastAsia="Palatino Linotype" w:cs="Palatino Linotype"/>
          <w:color w:val="000000"/>
          <w:szCs w:val="24"/>
        </w:rPr>
        <w:t xml:space="preserve"> </w:t>
      </w:r>
      <w:r w:rsidRPr="00693CB7">
        <w:rPr>
          <w:rFonts w:eastAsia="Palatino Linotype" w:cs="Palatino Linotype"/>
          <w:color w:val="000000"/>
          <w:szCs w:val="24"/>
        </w:rPr>
        <w:t xml:space="preserve"> </w:t>
      </w:r>
      <w:r w:rsidRPr="00693CB7">
        <w:rPr>
          <w:szCs w:val="24"/>
        </w:rPr>
        <w:t xml:space="preserve">cuyo objetivo es procesar el movimiento de alta de las candidatas o los candidatos que </w:t>
      </w:r>
      <w:r w:rsidRPr="00693CB7">
        <w:rPr>
          <w:szCs w:val="24"/>
        </w:rPr>
        <w:lastRenderedPageBreak/>
        <w:t>ingresen o reingresen en cualquiera de las dependencias del sector central, con el propósito de emitir</w:t>
      </w:r>
      <w:r>
        <w:t xml:space="preserve"> su pago quincenal y establecer, mediante su nombramiento, la relación laboral entre la servidora pública o el servidor público y el Gobierno del Estado.</w:t>
      </w:r>
    </w:p>
    <w:p w14:paraId="04011023" w14:textId="77777777" w:rsidR="005B5B86" w:rsidRDefault="005B5B86" w:rsidP="005B5B86">
      <w:pPr>
        <w:rPr>
          <w:rFonts w:eastAsia="Palatino Linotype" w:cs="Palatino Linotype"/>
          <w:color w:val="000000"/>
          <w:sz w:val="22"/>
          <w:szCs w:val="24"/>
        </w:rPr>
      </w:pPr>
    </w:p>
    <w:p w14:paraId="124DD2E1" w14:textId="24BB9061" w:rsidR="005B5B86" w:rsidRPr="00471F4D" w:rsidRDefault="005B5B86" w:rsidP="005B5B86">
      <w:pPr>
        <w:rPr>
          <w:rFonts w:eastAsia="Palatino Linotype" w:cs="Palatino Linotype"/>
          <w:color w:val="000000"/>
          <w:szCs w:val="24"/>
        </w:rPr>
      </w:pPr>
      <w:r w:rsidRPr="00471F4D">
        <w:rPr>
          <w:rFonts w:eastAsia="Palatino Linotype" w:cs="Palatino Linotype"/>
          <w:color w:val="000000"/>
          <w:szCs w:val="24"/>
        </w:rPr>
        <w:t>De lo anterior el Manual de normas y procedimientos de desarrollo de administración de personal en la norma 021 Alta o reingreso de servidoras y servidores púb</w:t>
      </w:r>
      <w:r w:rsidR="00FD12E0" w:rsidRPr="00471F4D">
        <w:rPr>
          <w:rFonts w:eastAsia="Palatino Linotype" w:cs="Palatino Linotype"/>
          <w:color w:val="000000"/>
          <w:szCs w:val="24"/>
        </w:rPr>
        <w:t xml:space="preserve">licos generales y de confianza </w:t>
      </w:r>
      <w:r w:rsidRPr="00471F4D">
        <w:rPr>
          <w:rFonts w:eastAsia="Palatino Linotype" w:cs="Palatino Linotype"/>
          <w:color w:val="000000"/>
          <w:szCs w:val="24"/>
        </w:rPr>
        <w:t xml:space="preserve">para su ingreso establece puntualmente el procedimiento </w:t>
      </w:r>
      <w:r w:rsidR="00FD12E0" w:rsidRPr="00471F4D">
        <w:rPr>
          <w:rFonts w:eastAsia="Palatino Linotype" w:cs="Palatino Linotype"/>
          <w:color w:val="000000"/>
          <w:szCs w:val="24"/>
        </w:rPr>
        <w:t xml:space="preserve">para el alta o reingreso de los servidores públicos, sirva de referencia el diagrama de flujo proporcionado por el citado manual; </w:t>
      </w:r>
    </w:p>
    <w:p w14:paraId="4A9EAA03" w14:textId="77777777" w:rsidR="00FD12E0" w:rsidRDefault="00FD12E0" w:rsidP="005B5B86">
      <w:pPr>
        <w:rPr>
          <w:rFonts w:eastAsia="Palatino Linotype" w:cs="Palatino Linotype"/>
          <w:color w:val="000000"/>
          <w:sz w:val="22"/>
          <w:szCs w:val="24"/>
        </w:rPr>
      </w:pPr>
    </w:p>
    <w:p w14:paraId="43ED0796" w14:textId="30B61131" w:rsidR="00FD12E0" w:rsidRPr="005B5B86" w:rsidRDefault="00FD12E0" w:rsidP="00FD12E0">
      <w:pPr>
        <w:jc w:val="right"/>
        <w:rPr>
          <w:rFonts w:eastAsia="Palatino Linotype" w:cs="Palatino Linotype"/>
          <w:color w:val="000000"/>
          <w:sz w:val="22"/>
          <w:szCs w:val="24"/>
        </w:rPr>
      </w:pPr>
      <w:r w:rsidRPr="00FD12E0">
        <w:rPr>
          <w:rFonts w:eastAsia="Palatino Linotype" w:cs="Palatino Linotype"/>
          <w:noProof/>
          <w:color w:val="000000"/>
          <w:sz w:val="22"/>
          <w:szCs w:val="24"/>
          <w:lang w:val="es-MX"/>
        </w:rPr>
        <w:drawing>
          <wp:inline distT="0" distB="0" distL="0" distR="0" wp14:anchorId="2F66689A" wp14:editId="039C098E">
            <wp:extent cx="3086100" cy="4181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8846" cy="4212295"/>
                    </a:xfrm>
                    <a:prstGeom prst="rect">
                      <a:avLst/>
                    </a:prstGeom>
                  </pic:spPr>
                </pic:pic>
              </a:graphicData>
            </a:graphic>
          </wp:inline>
        </w:drawing>
      </w:r>
      <w:r w:rsidRPr="00FD12E0">
        <w:rPr>
          <w:noProof/>
          <w:lang w:val="es-MX"/>
          <w14:ligatures w14:val="standardContextual"/>
        </w:rPr>
        <w:t xml:space="preserve"> </w:t>
      </w:r>
      <w:r w:rsidRPr="00FD12E0">
        <w:rPr>
          <w:rFonts w:eastAsia="Palatino Linotype" w:cs="Palatino Linotype"/>
          <w:noProof/>
          <w:color w:val="000000"/>
          <w:sz w:val="22"/>
          <w:szCs w:val="24"/>
          <w:lang w:val="es-MX"/>
        </w:rPr>
        <w:drawing>
          <wp:inline distT="0" distB="0" distL="0" distR="0" wp14:anchorId="2A3DAE52" wp14:editId="473D2E5F">
            <wp:extent cx="2681216" cy="3466465"/>
            <wp:effectExtent l="0" t="0" r="508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81216" cy="3466465"/>
                    </a:xfrm>
                    <a:prstGeom prst="rect">
                      <a:avLst/>
                    </a:prstGeom>
                  </pic:spPr>
                </pic:pic>
              </a:graphicData>
            </a:graphic>
          </wp:inline>
        </w:drawing>
      </w:r>
    </w:p>
    <w:p w14:paraId="1B3E2853" w14:textId="77777777" w:rsidR="00664BC2" w:rsidRDefault="00664BC2" w:rsidP="00686AA3">
      <w:pPr>
        <w:tabs>
          <w:tab w:val="left" w:pos="7938"/>
        </w:tabs>
        <w:rPr>
          <w:rFonts w:cs="Arial"/>
          <w:szCs w:val="24"/>
        </w:rPr>
      </w:pPr>
    </w:p>
    <w:p w14:paraId="3A9DC9C0" w14:textId="52608E94" w:rsidR="00664BC2" w:rsidRDefault="00664BC2" w:rsidP="00686AA3">
      <w:pPr>
        <w:tabs>
          <w:tab w:val="left" w:pos="7938"/>
        </w:tabs>
        <w:rPr>
          <w:rFonts w:cs="Arial"/>
          <w:bCs/>
          <w:szCs w:val="24"/>
        </w:rPr>
      </w:pPr>
      <w:r>
        <w:rPr>
          <w:rFonts w:cs="Arial"/>
          <w:szCs w:val="24"/>
        </w:rPr>
        <w:t xml:space="preserve">De lo descrito con anterioridad es de establecerse que </w:t>
      </w:r>
      <w:r>
        <w:rPr>
          <w:rFonts w:cs="Arial"/>
          <w:bCs/>
          <w:szCs w:val="24"/>
        </w:rPr>
        <w:t>el Servidor Público Habilitado Suplente de la Subsecretaria de Planeación y Presupuesto manifiesto</w:t>
      </w:r>
      <w:r>
        <w:rPr>
          <w:rFonts w:cs="Arial"/>
          <w:szCs w:val="24"/>
        </w:rPr>
        <w:t xml:space="preserve"> que </w:t>
      </w:r>
      <w:r w:rsidRPr="007D237D">
        <w:rPr>
          <w:rFonts w:cs="Arial"/>
          <w:bCs/>
          <w:szCs w:val="24"/>
          <w:u w:val="single"/>
        </w:rPr>
        <w:t>la servidora pública cumplió con los requisitos</w:t>
      </w:r>
      <w:r>
        <w:rPr>
          <w:rFonts w:cs="Arial"/>
          <w:bCs/>
          <w:szCs w:val="24"/>
        </w:rPr>
        <w:t xml:space="preserve"> señalados por el Manual de Normas y Procedimientos de Desarrollo y Administración de Personal, en la Norma “021 Alta o reingreso de servidoras y servidores públicos generales de confianza”, estableciendo que la servidora pública referida en solicitud </w:t>
      </w:r>
      <w:r w:rsidR="007D237D">
        <w:rPr>
          <w:rFonts w:cs="Arial"/>
          <w:bCs/>
          <w:szCs w:val="24"/>
        </w:rPr>
        <w:t xml:space="preserve">cumplió con los siguientes requisitos para el alta o reingreso de las servidoras públicas y servidores públicos generales y de confianza establecidos por multicitado Manual, en los términos siguientes; </w:t>
      </w:r>
    </w:p>
    <w:p w14:paraId="06E2E26E" w14:textId="77777777" w:rsidR="007D237D" w:rsidRDefault="007D237D" w:rsidP="00686AA3">
      <w:pPr>
        <w:tabs>
          <w:tab w:val="left" w:pos="7938"/>
        </w:tabs>
        <w:rPr>
          <w:rFonts w:cs="Arial"/>
          <w:bCs/>
          <w:szCs w:val="24"/>
        </w:rPr>
      </w:pPr>
    </w:p>
    <w:p w14:paraId="49154F35" w14:textId="20421004" w:rsidR="007D237D" w:rsidRPr="007D237D" w:rsidRDefault="007D237D" w:rsidP="007D237D">
      <w:pPr>
        <w:pStyle w:val="Prrafodelista"/>
        <w:numPr>
          <w:ilvl w:val="1"/>
          <w:numId w:val="6"/>
        </w:numPr>
        <w:tabs>
          <w:tab w:val="left" w:pos="7938"/>
        </w:tabs>
        <w:rPr>
          <w:rFonts w:cs="Arial"/>
          <w:b/>
          <w:i/>
          <w:sz w:val="22"/>
        </w:rPr>
      </w:pPr>
      <w:r w:rsidRPr="007D237D">
        <w:rPr>
          <w:rFonts w:cs="Arial"/>
          <w:b/>
          <w:i/>
          <w:sz w:val="22"/>
        </w:rPr>
        <w:t>Del Candidato/Candidata</w:t>
      </w:r>
    </w:p>
    <w:p w14:paraId="07F850E1" w14:textId="77777777" w:rsidR="007D237D" w:rsidRPr="007D237D" w:rsidRDefault="007D237D" w:rsidP="007D237D">
      <w:pPr>
        <w:tabs>
          <w:tab w:val="left" w:pos="7938"/>
        </w:tabs>
        <w:ind w:left="708"/>
        <w:rPr>
          <w:i/>
          <w:sz w:val="22"/>
        </w:rPr>
      </w:pPr>
      <w:r w:rsidRPr="007D237D">
        <w:rPr>
          <w:i/>
          <w:sz w:val="22"/>
        </w:rPr>
        <w:t xml:space="preserve">ACTIVIDAD </w:t>
      </w:r>
    </w:p>
    <w:p w14:paraId="2184D98E" w14:textId="50157180" w:rsidR="007D237D" w:rsidRPr="007D237D" w:rsidRDefault="007D237D" w:rsidP="007D237D">
      <w:pPr>
        <w:tabs>
          <w:tab w:val="left" w:pos="7938"/>
        </w:tabs>
        <w:ind w:left="708"/>
        <w:rPr>
          <w:b/>
          <w:i/>
          <w:sz w:val="22"/>
        </w:rPr>
      </w:pPr>
      <w:r w:rsidRPr="007D237D">
        <w:rPr>
          <w:b/>
          <w:i/>
          <w:sz w:val="22"/>
        </w:rPr>
        <w:t xml:space="preserve">Presenta la siguiente documentación a la coordinación administrativa o equivalente: </w:t>
      </w:r>
    </w:p>
    <w:p w14:paraId="19D3147E" w14:textId="77777777" w:rsidR="007D237D" w:rsidRDefault="007D237D" w:rsidP="007D237D">
      <w:pPr>
        <w:tabs>
          <w:tab w:val="left" w:pos="7938"/>
        </w:tabs>
        <w:ind w:left="708"/>
        <w:rPr>
          <w:i/>
          <w:sz w:val="22"/>
        </w:rPr>
      </w:pPr>
      <w:r w:rsidRPr="007D237D">
        <w:rPr>
          <w:i/>
          <w:sz w:val="22"/>
        </w:rPr>
        <w:t xml:space="preserve">Original de: </w:t>
      </w:r>
    </w:p>
    <w:p w14:paraId="61B00AD9" w14:textId="51C5DCB2" w:rsidR="007D237D" w:rsidRPr="007D237D" w:rsidRDefault="007D237D" w:rsidP="007D237D">
      <w:pPr>
        <w:tabs>
          <w:tab w:val="left" w:pos="7938"/>
        </w:tabs>
        <w:ind w:left="708"/>
        <w:rPr>
          <w:i/>
          <w:sz w:val="22"/>
        </w:rPr>
      </w:pPr>
      <w:r w:rsidRPr="007D237D">
        <w:rPr>
          <w:i/>
          <w:sz w:val="22"/>
        </w:rPr>
        <w:t xml:space="preserve">− Solicitud de empleo Formato 20301/NP-104/19, con la declaración de ser o no pensionado de ISSEMYM. </w:t>
      </w:r>
    </w:p>
    <w:p w14:paraId="5AF56CB4" w14:textId="77777777" w:rsidR="007D237D" w:rsidRPr="007D237D" w:rsidRDefault="007D237D" w:rsidP="007D237D">
      <w:pPr>
        <w:tabs>
          <w:tab w:val="left" w:pos="7938"/>
        </w:tabs>
        <w:ind w:left="708"/>
        <w:rPr>
          <w:i/>
          <w:sz w:val="22"/>
        </w:rPr>
      </w:pPr>
      <w:r w:rsidRPr="007D237D">
        <w:rPr>
          <w:i/>
          <w:sz w:val="22"/>
        </w:rPr>
        <w:t>− 2 fotografías recientes (tamaño infantil).</w:t>
      </w:r>
    </w:p>
    <w:p w14:paraId="10B1E318" w14:textId="77777777" w:rsidR="007D237D" w:rsidRPr="007D237D" w:rsidRDefault="007D237D" w:rsidP="007D237D">
      <w:pPr>
        <w:tabs>
          <w:tab w:val="left" w:pos="7938"/>
        </w:tabs>
        <w:ind w:left="708"/>
        <w:rPr>
          <w:i/>
          <w:sz w:val="22"/>
        </w:rPr>
      </w:pPr>
      <w:r w:rsidRPr="007D237D">
        <w:rPr>
          <w:i/>
          <w:sz w:val="22"/>
        </w:rPr>
        <w:t xml:space="preserve"> − Original del resultado del examen de conocimientos y aptitudes, en su caso.</w:t>
      </w:r>
    </w:p>
    <w:p w14:paraId="2753B4CE" w14:textId="77777777" w:rsidR="007D237D" w:rsidRPr="007D237D" w:rsidRDefault="007D237D" w:rsidP="007D237D">
      <w:pPr>
        <w:tabs>
          <w:tab w:val="left" w:pos="7938"/>
        </w:tabs>
        <w:ind w:left="708"/>
        <w:rPr>
          <w:i/>
          <w:sz w:val="22"/>
        </w:rPr>
      </w:pPr>
      <w:r w:rsidRPr="007D237D">
        <w:rPr>
          <w:i/>
          <w:sz w:val="22"/>
        </w:rPr>
        <w:t xml:space="preserve"> − 2 Cartas de Recomendación. </w:t>
      </w:r>
    </w:p>
    <w:p w14:paraId="6D9945AD" w14:textId="77777777" w:rsidR="007D237D" w:rsidRPr="007D237D" w:rsidRDefault="007D237D" w:rsidP="007D237D">
      <w:pPr>
        <w:tabs>
          <w:tab w:val="left" w:pos="7938"/>
        </w:tabs>
        <w:ind w:left="708"/>
        <w:rPr>
          <w:i/>
          <w:sz w:val="22"/>
        </w:rPr>
      </w:pPr>
      <w:r w:rsidRPr="007D237D">
        <w:rPr>
          <w:i/>
          <w:sz w:val="22"/>
        </w:rPr>
        <w:t xml:space="preserve">− </w:t>
      </w:r>
      <w:r w:rsidRPr="00C96F02">
        <w:rPr>
          <w:b/>
          <w:i/>
          <w:sz w:val="22"/>
        </w:rPr>
        <w:t>Currículum Vitae.</w:t>
      </w:r>
    </w:p>
    <w:p w14:paraId="6D0E2878" w14:textId="77777777" w:rsidR="007D237D" w:rsidRPr="007D237D" w:rsidRDefault="007D237D" w:rsidP="007D237D">
      <w:pPr>
        <w:tabs>
          <w:tab w:val="left" w:pos="7938"/>
        </w:tabs>
        <w:ind w:left="708"/>
        <w:rPr>
          <w:i/>
          <w:sz w:val="22"/>
        </w:rPr>
      </w:pPr>
      <w:r w:rsidRPr="007D237D">
        <w:rPr>
          <w:i/>
          <w:sz w:val="22"/>
        </w:rPr>
        <w:t xml:space="preserve"> − Contrato de apertura de cuenta bancaria de nómina a la que le depositarán sus percepciones (con los Bancos que el GEM tiene convenio). Original y copia de: − Acta de Nacimiento (certificada). </w:t>
      </w:r>
    </w:p>
    <w:p w14:paraId="7ADB14D9" w14:textId="77777777" w:rsidR="007D237D" w:rsidRPr="007D237D" w:rsidRDefault="007D237D" w:rsidP="007D237D">
      <w:pPr>
        <w:tabs>
          <w:tab w:val="left" w:pos="7938"/>
        </w:tabs>
        <w:ind w:left="708"/>
        <w:rPr>
          <w:i/>
          <w:sz w:val="22"/>
        </w:rPr>
      </w:pPr>
      <w:r w:rsidRPr="007D237D">
        <w:rPr>
          <w:i/>
          <w:sz w:val="22"/>
        </w:rPr>
        <w:t xml:space="preserve">− CURP (Clave Única de Registro de Población). </w:t>
      </w:r>
    </w:p>
    <w:p w14:paraId="4E1393FC" w14:textId="77777777" w:rsidR="007D237D" w:rsidRPr="007D237D" w:rsidRDefault="007D237D" w:rsidP="007D237D">
      <w:pPr>
        <w:tabs>
          <w:tab w:val="left" w:pos="7938"/>
        </w:tabs>
        <w:ind w:left="708"/>
        <w:rPr>
          <w:i/>
          <w:sz w:val="22"/>
        </w:rPr>
      </w:pPr>
      <w:r w:rsidRPr="007D237D">
        <w:rPr>
          <w:i/>
          <w:sz w:val="22"/>
        </w:rPr>
        <w:t xml:space="preserve">− </w:t>
      </w:r>
      <w:r w:rsidRPr="007D237D">
        <w:rPr>
          <w:b/>
          <w:i/>
          <w:sz w:val="22"/>
        </w:rPr>
        <w:t>Comprobante de grado máximo de estudios.</w:t>
      </w:r>
      <w:r w:rsidRPr="007D237D">
        <w:rPr>
          <w:i/>
          <w:sz w:val="22"/>
        </w:rPr>
        <w:t xml:space="preserve"> </w:t>
      </w:r>
    </w:p>
    <w:p w14:paraId="5DD9BC0B" w14:textId="602114A5" w:rsidR="007D237D" w:rsidRPr="007D237D" w:rsidRDefault="007D237D" w:rsidP="007D237D">
      <w:pPr>
        <w:tabs>
          <w:tab w:val="left" w:pos="7938"/>
        </w:tabs>
        <w:ind w:left="708"/>
        <w:rPr>
          <w:i/>
          <w:sz w:val="22"/>
        </w:rPr>
      </w:pPr>
      <w:r w:rsidRPr="007D237D">
        <w:rPr>
          <w:i/>
          <w:sz w:val="22"/>
        </w:rPr>
        <w:t xml:space="preserve">− Cartilla del Servicio Militar Nacional liberada, en su caso. </w:t>
      </w:r>
    </w:p>
    <w:p w14:paraId="7021DF92" w14:textId="77777777" w:rsidR="007D237D" w:rsidRPr="007D237D" w:rsidRDefault="007D237D" w:rsidP="007D237D">
      <w:pPr>
        <w:tabs>
          <w:tab w:val="left" w:pos="7938"/>
        </w:tabs>
        <w:ind w:left="708"/>
        <w:rPr>
          <w:i/>
          <w:sz w:val="22"/>
        </w:rPr>
      </w:pPr>
      <w:r w:rsidRPr="007D237D">
        <w:rPr>
          <w:i/>
          <w:sz w:val="22"/>
        </w:rPr>
        <w:lastRenderedPageBreak/>
        <w:t xml:space="preserve">− Comprobante domiciliario (credencial para votar, recibo telefónico, de luz, de agua o de predial). </w:t>
      </w:r>
    </w:p>
    <w:p w14:paraId="0F88A5B0" w14:textId="77777777" w:rsidR="007D237D" w:rsidRPr="007D237D" w:rsidRDefault="007D237D" w:rsidP="007D237D">
      <w:pPr>
        <w:tabs>
          <w:tab w:val="left" w:pos="7938"/>
        </w:tabs>
        <w:ind w:left="708"/>
        <w:rPr>
          <w:i/>
          <w:sz w:val="22"/>
        </w:rPr>
      </w:pPr>
      <w:r w:rsidRPr="007D237D">
        <w:rPr>
          <w:i/>
          <w:sz w:val="22"/>
        </w:rPr>
        <w:t xml:space="preserve">− Identificación Oficial con fotografía vigente. </w:t>
      </w:r>
    </w:p>
    <w:p w14:paraId="270B5995" w14:textId="77777777" w:rsidR="007D237D" w:rsidRPr="007D237D" w:rsidRDefault="007D237D" w:rsidP="007D237D">
      <w:pPr>
        <w:tabs>
          <w:tab w:val="left" w:pos="7938"/>
        </w:tabs>
        <w:ind w:left="708"/>
        <w:rPr>
          <w:i/>
          <w:sz w:val="22"/>
        </w:rPr>
      </w:pPr>
      <w:r w:rsidRPr="007D237D">
        <w:rPr>
          <w:i/>
          <w:sz w:val="22"/>
        </w:rPr>
        <w:t xml:space="preserve">− Certificado expedido por la Unidad de Registro de Deudores Alimentarios Morosos en el que conste si se encuentra inscrito o no en el mismo (se tramita en la Dirección General del Registro Civil). </w:t>
      </w:r>
    </w:p>
    <w:p w14:paraId="74AB4322" w14:textId="79785EA0" w:rsidR="007D237D" w:rsidRPr="007D237D" w:rsidRDefault="007D237D" w:rsidP="007D237D">
      <w:pPr>
        <w:tabs>
          <w:tab w:val="left" w:pos="7938"/>
        </w:tabs>
        <w:ind w:left="708"/>
        <w:rPr>
          <w:i/>
          <w:sz w:val="22"/>
        </w:rPr>
      </w:pPr>
      <w:r w:rsidRPr="007D237D">
        <w:rPr>
          <w:i/>
          <w:sz w:val="22"/>
        </w:rPr>
        <w:t>Copia de:</w:t>
      </w:r>
    </w:p>
    <w:p w14:paraId="216D25B3" w14:textId="693B67D6" w:rsidR="007D237D" w:rsidRPr="007D237D" w:rsidRDefault="007D237D" w:rsidP="007D237D">
      <w:pPr>
        <w:tabs>
          <w:tab w:val="left" w:pos="7938"/>
        </w:tabs>
        <w:ind w:left="708"/>
        <w:rPr>
          <w:rFonts w:cs="Arial"/>
          <w:i/>
          <w:sz w:val="22"/>
        </w:rPr>
      </w:pPr>
      <w:r w:rsidRPr="007D237D">
        <w:rPr>
          <w:i/>
          <w:sz w:val="22"/>
        </w:rPr>
        <w:t xml:space="preserve"> − R.F.C. con </w:t>
      </w:r>
      <w:proofErr w:type="spellStart"/>
      <w:r w:rsidRPr="007D237D">
        <w:rPr>
          <w:i/>
          <w:sz w:val="22"/>
        </w:rPr>
        <w:t>homoclave</w:t>
      </w:r>
      <w:proofErr w:type="spellEnd"/>
      <w:r w:rsidRPr="007D237D">
        <w:rPr>
          <w:i/>
          <w:sz w:val="22"/>
        </w:rPr>
        <w:t>, en su caso, emitido por el SAT</w:t>
      </w:r>
    </w:p>
    <w:p w14:paraId="4B70E831" w14:textId="77777777" w:rsidR="00EE0923" w:rsidRDefault="00EE0923" w:rsidP="00C96F02">
      <w:pPr>
        <w:tabs>
          <w:tab w:val="left" w:pos="426"/>
        </w:tabs>
        <w:ind w:right="49"/>
        <w:contextualSpacing/>
        <w:rPr>
          <w:rFonts w:eastAsia="MS Mincho" w:cs="Arial"/>
          <w:lang w:val="es-ES" w:eastAsia="es-ES"/>
        </w:rPr>
      </w:pPr>
    </w:p>
    <w:p w14:paraId="6AED7F2D" w14:textId="4EE569F3" w:rsidR="00555D9B" w:rsidRDefault="007D237D" w:rsidP="00C96F02">
      <w:pPr>
        <w:tabs>
          <w:tab w:val="left" w:pos="426"/>
        </w:tabs>
        <w:ind w:right="49"/>
        <w:contextualSpacing/>
      </w:pPr>
      <w:r>
        <w:t xml:space="preserve">De lo anterior es de recordarse que </w:t>
      </w:r>
      <w:r>
        <w:rPr>
          <w:rFonts w:cs="Arial"/>
          <w:bCs/>
          <w:szCs w:val="24"/>
        </w:rPr>
        <w:t xml:space="preserve">el Servidor Público Habilitado Suplente de la Subsecretaria de Planeación y Presupuesto </w:t>
      </w:r>
      <w:r>
        <w:t xml:space="preserve">manifestó que la servidora pública </w:t>
      </w:r>
      <w:r w:rsidR="00C96F02">
        <w:t xml:space="preserve">referida en solicitud cumplió con los requisitos necesarios para su alta o reintegración al servicio público </w:t>
      </w:r>
      <w:r w:rsidR="00555D9B">
        <w:t xml:space="preserve">por lo que </w:t>
      </w:r>
      <w:r w:rsidRPr="00A87691">
        <w:t xml:space="preserve">se tiene por colmado dicho requerimiento, ya que </w:t>
      </w:r>
      <w:r w:rsidR="00555D9B" w:rsidRPr="00A87691">
        <w:t xml:space="preserve"> el Recurrente</w:t>
      </w:r>
      <w:r w:rsidRPr="00A87691">
        <w:t xml:space="preserve"> manifestó conocer </w:t>
      </w:r>
      <w:r w:rsidR="00C96F02" w:rsidRPr="00A87691">
        <w:t>el fundamento jur</w:t>
      </w:r>
      <w:r w:rsidR="00555D9B" w:rsidRPr="00A87691">
        <w:t>ídico con la que fue contratada.</w:t>
      </w:r>
    </w:p>
    <w:p w14:paraId="735BB652" w14:textId="77777777" w:rsidR="00555D9B" w:rsidRDefault="00555D9B" w:rsidP="00686AA3">
      <w:pPr>
        <w:tabs>
          <w:tab w:val="left" w:pos="7938"/>
        </w:tabs>
        <w:rPr>
          <w:rFonts w:eastAsia="MS Mincho" w:cs="Arial"/>
          <w:lang w:val="es-ES" w:eastAsia="es-ES"/>
        </w:rPr>
      </w:pPr>
    </w:p>
    <w:p w14:paraId="381A0C97" w14:textId="159D4ACE" w:rsidR="00686AA3" w:rsidRPr="00EB36C6" w:rsidRDefault="00686AA3" w:rsidP="00686AA3">
      <w:pPr>
        <w:tabs>
          <w:tab w:val="left" w:pos="7938"/>
        </w:tabs>
        <w:rPr>
          <w:rFonts w:cs="Arial"/>
          <w:szCs w:val="24"/>
        </w:rPr>
      </w:pPr>
      <w:r w:rsidRPr="00713779">
        <w:rPr>
          <w:rFonts w:cs="Arial"/>
          <w:szCs w:val="24"/>
        </w:rPr>
        <w:t>Aho</w:t>
      </w:r>
      <w:r>
        <w:rPr>
          <w:rFonts w:cs="Arial"/>
          <w:szCs w:val="24"/>
        </w:rPr>
        <w:t xml:space="preserve">ra bien, es de recordarse que </w:t>
      </w:r>
      <w:r>
        <w:rPr>
          <w:rFonts w:cs="Arial"/>
          <w:bCs/>
          <w:szCs w:val="24"/>
        </w:rPr>
        <w:t xml:space="preserve">el Servidor Público Habilitado Suplente de la Subsecretaria de Planeación y Presupuesto manifiesto que </w:t>
      </w:r>
      <w:r w:rsidRPr="00686AA3">
        <w:rPr>
          <w:rFonts w:cs="Arial"/>
          <w:b/>
          <w:bCs/>
          <w:szCs w:val="24"/>
        </w:rPr>
        <w:t>no obra documento que señale acusaciones hechas por el solicitante</w:t>
      </w:r>
      <w:r>
        <w:rPr>
          <w:rFonts w:cs="Arial"/>
          <w:bCs/>
          <w:szCs w:val="24"/>
        </w:rPr>
        <w:t>, por lo que</w:t>
      </w:r>
      <w:r w:rsidR="00EB36C6">
        <w:rPr>
          <w:rFonts w:cs="Arial"/>
          <w:szCs w:val="24"/>
        </w:rPr>
        <w:t xml:space="preserve"> </w:t>
      </w:r>
      <w:r>
        <w:rPr>
          <w:rFonts w:cs="Arial"/>
          <w:color w:val="000000" w:themeColor="text1"/>
          <w:szCs w:val="24"/>
        </w:rPr>
        <w:t xml:space="preserve">este Instituto encuadro dichas manifestaciones en sentido negativo </w:t>
      </w:r>
      <w:r w:rsidRPr="00713779">
        <w:rPr>
          <w:rFonts w:cs="Arial"/>
          <w:szCs w:val="24"/>
          <w:lang w:val="es-419"/>
        </w:rPr>
        <w:t>los cuales es improcedente su demostración, tal y como se desprende de lo razonado en la Tesis Aislada (común): 267287, Semanario Judicial de la Federación, Sexta Época, Volumen LII, Tercera Parte, p. 101; de rubro y textos siguientes</w:t>
      </w:r>
      <w:r w:rsidRPr="00C141F0">
        <w:rPr>
          <w:rFonts w:cs="Arial"/>
          <w:szCs w:val="24"/>
          <w:lang w:val="es-419"/>
        </w:rPr>
        <w:t xml:space="preserve">: </w:t>
      </w:r>
    </w:p>
    <w:p w14:paraId="5A61C95B" w14:textId="77777777" w:rsidR="00686AA3" w:rsidRPr="00914131" w:rsidRDefault="00686AA3" w:rsidP="00686AA3">
      <w:pPr>
        <w:ind w:left="567" w:right="567"/>
        <w:rPr>
          <w:rFonts w:cs="Arial"/>
          <w:i/>
          <w:iCs/>
        </w:rPr>
      </w:pPr>
      <w:r w:rsidRPr="00914131">
        <w:rPr>
          <w:rFonts w:cs="Arial"/>
          <w:i/>
          <w:iCs/>
        </w:rPr>
        <w:t>“</w:t>
      </w:r>
      <w:r w:rsidRPr="00EB36C6">
        <w:rPr>
          <w:rFonts w:cs="Arial"/>
          <w:b/>
          <w:bCs/>
          <w:i/>
          <w:iCs/>
          <w:sz w:val="22"/>
        </w:rPr>
        <w:t>HECHOS NEGATIVOS, NO SON SUSCEPTIBLES DE DEMOSTRACION</w:t>
      </w:r>
      <w:r w:rsidRPr="00EB36C6">
        <w:rPr>
          <w:rFonts w:cs="Arial"/>
          <w:i/>
          <w:iCs/>
          <w:sz w:val="22"/>
        </w:rPr>
        <w:t>. Tratándose de un hecho negativo, el Juez no tiene por qué invocar prueba alguna de la que se desprenda, ya que es bien sabido que esta clase de hechos no son susceptibles de demostración</w:t>
      </w:r>
      <w:r w:rsidRPr="00914131">
        <w:rPr>
          <w:rFonts w:cs="Arial"/>
          <w:i/>
          <w:iCs/>
        </w:rPr>
        <w:t>.”</w:t>
      </w:r>
    </w:p>
    <w:p w14:paraId="7476935A" w14:textId="77777777" w:rsidR="00686AA3" w:rsidRPr="00C141F0" w:rsidRDefault="00686AA3" w:rsidP="00686AA3">
      <w:pPr>
        <w:ind w:right="567"/>
      </w:pPr>
    </w:p>
    <w:p w14:paraId="497962CC" w14:textId="5114DAE0" w:rsidR="00F52C70" w:rsidRDefault="00686AA3" w:rsidP="00686AA3">
      <w:pPr>
        <w:tabs>
          <w:tab w:val="left" w:pos="7938"/>
        </w:tabs>
        <w:rPr>
          <w:rFonts w:cs="Arial"/>
          <w:szCs w:val="24"/>
          <w:lang w:val="es-419"/>
        </w:rPr>
      </w:pPr>
      <w:r w:rsidRPr="00C141F0">
        <w:rPr>
          <w:rFonts w:cs="Arial"/>
          <w:szCs w:val="24"/>
          <w:lang w:val="es-419"/>
        </w:rPr>
        <w:lastRenderedPageBreak/>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281DAC0D" w14:textId="77777777" w:rsidR="003F1692" w:rsidRPr="00EB36C6" w:rsidRDefault="003F1692" w:rsidP="00686AA3">
      <w:pPr>
        <w:tabs>
          <w:tab w:val="left" w:pos="7938"/>
        </w:tabs>
        <w:rPr>
          <w:rFonts w:cs="Arial"/>
          <w:szCs w:val="24"/>
          <w:lang w:val="es-419"/>
        </w:rPr>
      </w:pPr>
    </w:p>
    <w:p w14:paraId="0B035436" w14:textId="023EE262" w:rsidR="00686AA3" w:rsidRDefault="00686AA3" w:rsidP="00EB36C6">
      <w:pPr>
        <w:pStyle w:val="Sinespaciado"/>
        <w:spacing w:line="360" w:lineRule="auto"/>
        <w:ind w:left="567" w:right="567"/>
        <w:jc w:val="both"/>
        <w:rPr>
          <w:rFonts w:ascii="Palatino Linotype" w:hAnsi="Palatino Linotype"/>
          <w:i/>
          <w:sz w:val="22"/>
          <w:szCs w:val="22"/>
        </w:rPr>
      </w:pPr>
      <w:r w:rsidRPr="00EB36C6">
        <w:rPr>
          <w:rFonts w:ascii="Palatino Linotype" w:hAnsi="Palatino Linotype"/>
          <w:sz w:val="22"/>
          <w:szCs w:val="22"/>
        </w:rPr>
        <w:t>“</w:t>
      </w:r>
      <w:r w:rsidRPr="00EB36C6">
        <w:rPr>
          <w:rFonts w:ascii="Palatino Linotype" w:hAnsi="Palatino Linotype"/>
          <w:b/>
          <w:i/>
          <w:sz w:val="22"/>
          <w:szCs w:val="22"/>
        </w:rPr>
        <w:t>Artículo 12.</w:t>
      </w:r>
      <w:r w:rsidRPr="00EB36C6">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36CB440" w14:textId="77777777" w:rsidR="00EB36C6" w:rsidRPr="00EB36C6" w:rsidRDefault="00EB36C6" w:rsidP="00EB36C6">
      <w:pPr>
        <w:pStyle w:val="Sinespaciado"/>
        <w:spacing w:line="360" w:lineRule="auto"/>
        <w:ind w:left="567" w:right="567"/>
        <w:jc w:val="both"/>
        <w:rPr>
          <w:rFonts w:ascii="Palatino Linotype" w:hAnsi="Palatino Linotype"/>
          <w:i/>
          <w:sz w:val="22"/>
          <w:szCs w:val="22"/>
        </w:rPr>
      </w:pPr>
    </w:p>
    <w:p w14:paraId="19C25457" w14:textId="77777777" w:rsidR="00686AA3" w:rsidRPr="00EB36C6" w:rsidRDefault="00686AA3" w:rsidP="00686AA3">
      <w:pPr>
        <w:tabs>
          <w:tab w:val="left" w:pos="1842"/>
        </w:tabs>
        <w:ind w:left="567" w:right="49"/>
        <w:rPr>
          <w:i/>
          <w:sz w:val="22"/>
        </w:rPr>
      </w:pPr>
      <w:r w:rsidRPr="00EB36C6">
        <w:rPr>
          <w:b/>
          <w:i/>
          <w:sz w:val="22"/>
          <w:u w:val="single"/>
        </w:rPr>
        <w:t>Los sujetos obligados sólo proporcionarán la información pública que se les requiera y que obre en sus archivos</w:t>
      </w:r>
      <w:r w:rsidRPr="00EB36C6">
        <w:rPr>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C4BCFC6" w14:textId="77777777" w:rsidR="00EB36C6" w:rsidRDefault="00EB36C6" w:rsidP="00686AA3">
      <w:pPr>
        <w:rPr>
          <w:color w:val="000000" w:themeColor="text1"/>
          <w:szCs w:val="24"/>
        </w:rPr>
      </w:pPr>
    </w:p>
    <w:p w14:paraId="4F2A5456" w14:textId="77777777" w:rsidR="00686AA3" w:rsidRDefault="00686AA3" w:rsidP="00686AA3">
      <w:pPr>
        <w:rPr>
          <w:rFonts w:cs="Arial"/>
          <w:color w:val="000000" w:themeColor="text1"/>
          <w:szCs w:val="24"/>
        </w:rPr>
      </w:pPr>
      <w:r w:rsidRPr="00C141F0">
        <w:rPr>
          <w:color w:val="000000" w:themeColor="text1"/>
          <w:szCs w:val="24"/>
        </w:rPr>
        <w:t xml:space="preserve">Así, de conformidad con lo establecido en el artículo 12 de la Ley de Transparencia y Acceso a la Información Pública del Estado de México y Municipios, </w:t>
      </w:r>
      <w:r w:rsidRPr="00C141F0">
        <w:rPr>
          <w:b/>
          <w:color w:val="000000" w:themeColor="text1"/>
          <w:szCs w:val="24"/>
        </w:rPr>
        <w:t>EL SUJETO OBLIGADO</w:t>
      </w:r>
      <w:r w:rsidRPr="00C141F0">
        <w:rPr>
          <w:color w:val="000000" w:themeColor="text1"/>
          <w:szCs w:val="24"/>
        </w:rPr>
        <w:t xml:space="preserve"> sólo proporcionará la información que obra en sus archivos, lo que a</w:t>
      </w:r>
      <w:r w:rsidRPr="00C141F0">
        <w:rPr>
          <w:i/>
          <w:color w:val="000000" w:themeColor="text1"/>
          <w:szCs w:val="24"/>
        </w:rPr>
        <w:t xml:space="preserve"> contrario sensu</w:t>
      </w:r>
      <w:r w:rsidRPr="00C141F0">
        <w:rPr>
          <w:color w:val="000000" w:themeColor="text1"/>
          <w:szCs w:val="24"/>
        </w:rPr>
        <w:t xml:space="preserve"> significa que no se está obligado a proporcionar lo que no obre en los mismos.</w:t>
      </w:r>
      <w:r w:rsidRPr="00C141F0">
        <w:rPr>
          <w:rFonts w:cs="Arial"/>
          <w:color w:val="000000" w:themeColor="text1"/>
          <w:szCs w:val="24"/>
        </w:rPr>
        <w:t xml:space="preserve"> </w:t>
      </w:r>
    </w:p>
    <w:p w14:paraId="1293CC2E" w14:textId="77777777" w:rsidR="00686AA3" w:rsidRDefault="00686AA3" w:rsidP="00CA454B">
      <w:pPr>
        <w:contextualSpacing/>
        <w:rPr>
          <w:rFonts w:eastAsia="MS Mincho" w:cs="Arial"/>
        </w:rPr>
      </w:pPr>
    </w:p>
    <w:p w14:paraId="5F1650F1" w14:textId="2B965B7F" w:rsidR="00555D9B" w:rsidRPr="00A87691" w:rsidRDefault="00EB36C6" w:rsidP="00CA454B">
      <w:pPr>
        <w:contextualSpacing/>
        <w:rPr>
          <w:rFonts w:eastAsia="Arial" w:cs="Arial"/>
          <w:spacing w:val="1"/>
          <w:szCs w:val="24"/>
        </w:rPr>
      </w:pPr>
      <w:r>
        <w:rPr>
          <w:rFonts w:eastAsia="MS Mincho" w:cs="Arial"/>
        </w:rPr>
        <w:t xml:space="preserve">De lo anterior es de considerarse que el Servidor Público Habilitado </w:t>
      </w:r>
      <w:r w:rsidR="00686AA3">
        <w:rPr>
          <w:rFonts w:cs="Arial"/>
          <w:bCs/>
          <w:szCs w:val="24"/>
        </w:rPr>
        <w:t xml:space="preserve">la Subsecretaria de </w:t>
      </w:r>
      <w:r w:rsidR="00686AA3" w:rsidRPr="00555D9B">
        <w:rPr>
          <w:rFonts w:cs="Arial"/>
          <w:bCs/>
          <w:szCs w:val="24"/>
        </w:rPr>
        <w:t xml:space="preserve">Planeación y Presupuesto </w:t>
      </w:r>
      <w:r w:rsidRPr="00555D9B">
        <w:rPr>
          <w:rFonts w:cs="Arial"/>
          <w:bCs/>
          <w:szCs w:val="24"/>
        </w:rPr>
        <w:t>se pronunció respecto al soporte documental que daba cuenta de</w:t>
      </w:r>
      <w:r w:rsidR="00897555" w:rsidRPr="00555D9B">
        <w:rPr>
          <w:rFonts w:cs="Arial"/>
          <w:bCs/>
          <w:szCs w:val="24"/>
        </w:rPr>
        <w:t xml:space="preserve"> las </w:t>
      </w:r>
      <w:r w:rsidRPr="00555D9B">
        <w:rPr>
          <w:rFonts w:cs="Arial"/>
          <w:bCs/>
          <w:szCs w:val="24"/>
        </w:rPr>
        <w:t xml:space="preserve"> </w:t>
      </w:r>
      <w:r w:rsidR="00897555" w:rsidRPr="00555D9B">
        <w:rPr>
          <w:color w:val="000000"/>
          <w:szCs w:val="24"/>
        </w:rPr>
        <w:t xml:space="preserve">acusaciones de acoso laboral, hostigamiento y abuso de autoridad de la servidora pública referida en solicitud </w:t>
      </w:r>
      <w:r w:rsidR="00555D9B" w:rsidRPr="00555D9B">
        <w:rPr>
          <w:color w:val="000000"/>
          <w:szCs w:val="24"/>
        </w:rPr>
        <w:t xml:space="preserve"> en sentido negativo por lo que </w:t>
      </w:r>
      <w:r w:rsidR="00555D9B" w:rsidRPr="00A87691">
        <w:rPr>
          <w:color w:val="000000"/>
          <w:szCs w:val="24"/>
        </w:rPr>
        <w:t xml:space="preserve">resulta aplicable traer a </w:t>
      </w:r>
      <w:r w:rsidR="00555D9B" w:rsidRPr="00A87691">
        <w:rPr>
          <w:color w:val="000000"/>
          <w:szCs w:val="24"/>
        </w:rPr>
        <w:lastRenderedPageBreak/>
        <w:t>colación el criterio 003/2017 emitido por el Máximo Órgano Garante que establece que l</w:t>
      </w:r>
      <w:r w:rsidR="00555D9B" w:rsidRPr="00A87691">
        <w:rPr>
          <w:rFonts w:eastAsia="Arial" w:cs="Arial"/>
          <w:szCs w:val="24"/>
        </w:rPr>
        <w:t>os sujetos obligados deben garantizar el derecho de acceso a la información del particular, proporcionando la información con la que cuentan en el formato en que la misma obre en sus archivos;</w:t>
      </w:r>
      <w:r w:rsidR="00555D9B" w:rsidRPr="00A87691">
        <w:rPr>
          <w:rFonts w:eastAsia="Arial" w:cs="Arial"/>
          <w:spacing w:val="-1"/>
          <w:szCs w:val="24"/>
        </w:rPr>
        <w:t xml:space="preserve"> </w:t>
      </w:r>
      <w:r w:rsidR="00555D9B" w:rsidRPr="00A87691">
        <w:rPr>
          <w:rFonts w:eastAsia="Arial" w:cs="Arial"/>
          <w:spacing w:val="-1"/>
          <w:szCs w:val="24"/>
          <w:u w:val="single"/>
        </w:rPr>
        <w:t>sin necesidad de</w:t>
      </w:r>
      <w:r w:rsidR="00555D9B" w:rsidRPr="00A87691">
        <w:rPr>
          <w:rFonts w:eastAsia="Arial" w:cs="Arial"/>
          <w:spacing w:val="1"/>
          <w:szCs w:val="24"/>
          <w:u w:val="single"/>
        </w:rPr>
        <w:t xml:space="preserve"> e</w:t>
      </w:r>
      <w:r w:rsidR="00555D9B" w:rsidRPr="00A87691">
        <w:rPr>
          <w:rFonts w:eastAsia="Arial" w:cs="Arial"/>
          <w:szCs w:val="24"/>
          <w:u w:val="single"/>
        </w:rPr>
        <w:t>la</w:t>
      </w:r>
      <w:r w:rsidR="00555D9B" w:rsidRPr="00A87691">
        <w:rPr>
          <w:rFonts w:eastAsia="Arial" w:cs="Arial"/>
          <w:spacing w:val="1"/>
          <w:szCs w:val="24"/>
          <w:u w:val="single"/>
        </w:rPr>
        <w:t>bo</w:t>
      </w:r>
      <w:r w:rsidR="00555D9B" w:rsidRPr="00A87691">
        <w:rPr>
          <w:rFonts w:eastAsia="Arial" w:cs="Arial"/>
          <w:szCs w:val="24"/>
          <w:u w:val="single"/>
        </w:rPr>
        <w:t xml:space="preserve">rar </w:t>
      </w:r>
      <w:r w:rsidR="00555D9B" w:rsidRPr="00A87691">
        <w:rPr>
          <w:rFonts w:eastAsia="Arial" w:cs="Arial"/>
          <w:spacing w:val="1"/>
          <w:szCs w:val="24"/>
          <w:u w:val="single"/>
        </w:rPr>
        <w:t>do</w:t>
      </w:r>
      <w:r w:rsidR="00555D9B" w:rsidRPr="00A87691">
        <w:rPr>
          <w:rFonts w:eastAsia="Arial" w:cs="Arial"/>
          <w:spacing w:val="-2"/>
          <w:szCs w:val="24"/>
          <w:u w:val="single"/>
        </w:rPr>
        <w:t>c</w:t>
      </w:r>
      <w:r w:rsidR="00555D9B" w:rsidRPr="00A87691">
        <w:rPr>
          <w:rFonts w:eastAsia="Arial" w:cs="Arial"/>
          <w:spacing w:val="1"/>
          <w:szCs w:val="24"/>
          <w:u w:val="single"/>
        </w:rPr>
        <w:t>u</w:t>
      </w:r>
      <w:r w:rsidR="00555D9B" w:rsidRPr="00A87691">
        <w:rPr>
          <w:rFonts w:eastAsia="Arial" w:cs="Arial"/>
          <w:spacing w:val="-1"/>
          <w:szCs w:val="24"/>
          <w:u w:val="single"/>
        </w:rPr>
        <w:t>m</w:t>
      </w:r>
      <w:r w:rsidR="00555D9B" w:rsidRPr="00A87691">
        <w:rPr>
          <w:rFonts w:eastAsia="Arial" w:cs="Arial"/>
          <w:spacing w:val="1"/>
          <w:szCs w:val="24"/>
          <w:u w:val="single"/>
        </w:rPr>
        <w:t>en</w:t>
      </w:r>
      <w:r w:rsidR="00555D9B" w:rsidRPr="00A87691">
        <w:rPr>
          <w:rFonts w:eastAsia="Arial" w:cs="Arial"/>
          <w:spacing w:val="-2"/>
          <w:szCs w:val="24"/>
          <w:u w:val="single"/>
        </w:rPr>
        <w:t>t</w:t>
      </w:r>
      <w:r w:rsidR="00555D9B" w:rsidRPr="00A87691">
        <w:rPr>
          <w:rFonts w:eastAsia="Arial" w:cs="Arial"/>
          <w:spacing w:val="1"/>
          <w:szCs w:val="24"/>
          <w:u w:val="single"/>
        </w:rPr>
        <w:t>o</w:t>
      </w:r>
      <w:r w:rsidR="00555D9B" w:rsidRPr="00A87691">
        <w:rPr>
          <w:rFonts w:eastAsia="Arial" w:cs="Arial"/>
          <w:szCs w:val="24"/>
          <w:u w:val="single"/>
        </w:rPr>
        <w:t>s</w:t>
      </w:r>
      <w:r w:rsidR="00555D9B" w:rsidRPr="00A87691">
        <w:rPr>
          <w:rFonts w:eastAsia="Arial" w:cs="Arial"/>
          <w:spacing w:val="3"/>
          <w:szCs w:val="24"/>
          <w:u w:val="single"/>
        </w:rPr>
        <w:t xml:space="preserve"> </w:t>
      </w:r>
      <w:r w:rsidR="00555D9B" w:rsidRPr="00A87691">
        <w:rPr>
          <w:rFonts w:eastAsia="Arial" w:cs="Arial"/>
          <w:spacing w:val="1"/>
          <w:szCs w:val="24"/>
          <w:u w:val="single"/>
        </w:rPr>
        <w:t>a</w:t>
      </w:r>
      <w:r w:rsidR="00555D9B" w:rsidRPr="00A87691">
        <w:rPr>
          <w:rFonts w:eastAsia="Arial" w:cs="Arial"/>
          <w:szCs w:val="24"/>
          <w:u w:val="single"/>
        </w:rPr>
        <w:t>d</w:t>
      </w:r>
      <w:r w:rsidR="00555D9B" w:rsidRPr="00A87691">
        <w:rPr>
          <w:rFonts w:eastAsia="Arial" w:cs="Arial"/>
          <w:spacing w:val="1"/>
          <w:szCs w:val="24"/>
          <w:u w:val="single"/>
        </w:rPr>
        <w:t xml:space="preserve"> ho</w:t>
      </w:r>
      <w:r w:rsidR="00555D9B" w:rsidRPr="00A87691">
        <w:rPr>
          <w:rFonts w:eastAsia="Arial" w:cs="Arial"/>
          <w:szCs w:val="24"/>
          <w:u w:val="single"/>
        </w:rPr>
        <w:t>c</w:t>
      </w:r>
      <w:r w:rsidR="00555D9B" w:rsidRPr="00A87691">
        <w:rPr>
          <w:rFonts w:eastAsia="Arial" w:cs="Arial"/>
          <w:spacing w:val="2"/>
          <w:szCs w:val="24"/>
          <w:u w:val="single"/>
        </w:rPr>
        <w:t xml:space="preserve"> </w:t>
      </w:r>
      <w:r w:rsidR="00555D9B" w:rsidRPr="00A87691">
        <w:rPr>
          <w:rFonts w:eastAsia="Arial" w:cs="Arial"/>
          <w:spacing w:val="1"/>
          <w:szCs w:val="24"/>
          <w:u w:val="single"/>
        </w:rPr>
        <w:t>pa</w:t>
      </w:r>
      <w:r w:rsidR="00555D9B" w:rsidRPr="00A87691">
        <w:rPr>
          <w:rFonts w:eastAsia="Arial" w:cs="Arial"/>
          <w:szCs w:val="24"/>
          <w:u w:val="single"/>
        </w:rPr>
        <w:t xml:space="preserve">ra </w:t>
      </w:r>
      <w:r w:rsidR="00555D9B" w:rsidRPr="00A87691">
        <w:rPr>
          <w:rFonts w:eastAsia="Arial" w:cs="Arial"/>
          <w:spacing w:val="1"/>
          <w:szCs w:val="24"/>
          <w:u w:val="single"/>
        </w:rPr>
        <w:t>a</w:t>
      </w:r>
      <w:r w:rsidR="00555D9B" w:rsidRPr="00A87691">
        <w:rPr>
          <w:rFonts w:eastAsia="Arial" w:cs="Arial"/>
          <w:szCs w:val="24"/>
          <w:u w:val="single"/>
        </w:rPr>
        <w:t>t</w:t>
      </w:r>
      <w:r w:rsidR="00555D9B" w:rsidRPr="00A87691">
        <w:rPr>
          <w:rFonts w:eastAsia="Arial" w:cs="Arial"/>
          <w:spacing w:val="-1"/>
          <w:szCs w:val="24"/>
          <w:u w:val="single"/>
        </w:rPr>
        <w:t>e</w:t>
      </w:r>
      <w:r w:rsidR="00555D9B" w:rsidRPr="00A87691">
        <w:rPr>
          <w:rFonts w:eastAsia="Arial" w:cs="Arial"/>
          <w:spacing w:val="1"/>
          <w:szCs w:val="24"/>
          <w:u w:val="single"/>
        </w:rPr>
        <w:t>n</w:t>
      </w:r>
      <w:r w:rsidR="00555D9B" w:rsidRPr="00A87691">
        <w:rPr>
          <w:rFonts w:eastAsia="Arial" w:cs="Arial"/>
          <w:spacing w:val="-1"/>
          <w:szCs w:val="24"/>
          <w:u w:val="single"/>
        </w:rPr>
        <w:t>d</w:t>
      </w:r>
      <w:r w:rsidR="00555D9B" w:rsidRPr="00A87691">
        <w:rPr>
          <w:rFonts w:eastAsia="Arial" w:cs="Arial"/>
          <w:spacing w:val="1"/>
          <w:szCs w:val="24"/>
          <w:u w:val="single"/>
        </w:rPr>
        <w:t>e</w:t>
      </w:r>
      <w:r w:rsidR="00555D9B" w:rsidRPr="00A87691">
        <w:rPr>
          <w:rFonts w:eastAsia="Arial" w:cs="Arial"/>
          <w:szCs w:val="24"/>
          <w:u w:val="single"/>
        </w:rPr>
        <w:t>r</w:t>
      </w:r>
      <w:r w:rsidR="00555D9B" w:rsidRPr="00A87691">
        <w:rPr>
          <w:rFonts w:eastAsia="Arial" w:cs="Arial"/>
          <w:spacing w:val="2"/>
          <w:szCs w:val="24"/>
          <w:u w:val="single"/>
        </w:rPr>
        <w:t xml:space="preserve"> </w:t>
      </w:r>
      <w:r w:rsidR="00555D9B" w:rsidRPr="00A87691">
        <w:rPr>
          <w:rFonts w:eastAsia="Arial" w:cs="Arial"/>
          <w:szCs w:val="24"/>
          <w:u w:val="single"/>
        </w:rPr>
        <w:t>l</w:t>
      </w:r>
      <w:r w:rsidR="00555D9B" w:rsidRPr="00A87691">
        <w:rPr>
          <w:rFonts w:eastAsia="Arial" w:cs="Arial"/>
          <w:spacing w:val="-2"/>
          <w:szCs w:val="24"/>
          <w:u w:val="single"/>
        </w:rPr>
        <w:t>a</w:t>
      </w:r>
      <w:r w:rsidR="00555D9B" w:rsidRPr="00A87691">
        <w:rPr>
          <w:rFonts w:eastAsia="Arial" w:cs="Arial"/>
          <w:szCs w:val="24"/>
          <w:u w:val="single"/>
        </w:rPr>
        <w:t>s</w:t>
      </w:r>
      <w:r w:rsidR="00555D9B" w:rsidRPr="00A87691">
        <w:rPr>
          <w:rFonts w:eastAsia="Arial" w:cs="Arial"/>
          <w:spacing w:val="2"/>
          <w:szCs w:val="24"/>
          <w:u w:val="single"/>
        </w:rPr>
        <w:t xml:space="preserve"> </w:t>
      </w:r>
      <w:r w:rsidR="00555D9B" w:rsidRPr="00A87691">
        <w:rPr>
          <w:rFonts w:eastAsia="Arial" w:cs="Arial"/>
          <w:szCs w:val="24"/>
          <w:u w:val="single"/>
        </w:rPr>
        <w:t>s</w:t>
      </w:r>
      <w:r w:rsidR="00555D9B" w:rsidRPr="00A87691">
        <w:rPr>
          <w:rFonts w:eastAsia="Arial" w:cs="Arial"/>
          <w:spacing w:val="1"/>
          <w:szCs w:val="24"/>
          <w:u w:val="single"/>
        </w:rPr>
        <w:t>o</w:t>
      </w:r>
      <w:r w:rsidR="00555D9B" w:rsidRPr="00A87691">
        <w:rPr>
          <w:rFonts w:eastAsia="Arial" w:cs="Arial"/>
          <w:szCs w:val="24"/>
          <w:u w:val="single"/>
        </w:rPr>
        <w:t>l</w:t>
      </w:r>
      <w:r w:rsidR="00555D9B" w:rsidRPr="00A87691">
        <w:rPr>
          <w:rFonts w:eastAsia="Arial" w:cs="Arial"/>
          <w:spacing w:val="-1"/>
          <w:szCs w:val="24"/>
          <w:u w:val="single"/>
        </w:rPr>
        <w:t>i</w:t>
      </w:r>
      <w:r w:rsidR="00555D9B" w:rsidRPr="00A87691">
        <w:rPr>
          <w:rFonts w:eastAsia="Arial" w:cs="Arial"/>
          <w:szCs w:val="24"/>
          <w:u w:val="single"/>
        </w:rPr>
        <w:t>cit</w:t>
      </w:r>
      <w:r w:rsidR="00555D9B" w:rsidRPr="00A87691">
        <w:rPr>
          <w:rFonts w:eastAsia="Arial" w:cs="Arial"/>
          <w:spacing w:val="1"/>
          <w:szCs w:val="24"/>
          <w:u w:val="single"/>
        </w:rPr>
        <w:t>ude</w:t>
      </w:r>
      <w:r w:rsidR="00555D9B" w:rsidRPr="00A87691">
        <w:rPr>
          <w:rFonts w:eastAsia="Arial" w:cs="Arial"/>
          <w:szCs w:val="24"/>
          <w:u w:val="single"/>
        </w:rPr>
        <w:t>s</w:t>
      </w:r>
      <w:r w:rsidR="00555D9B" w:rsidRPr="00A87691">
        <w:rPr>
          <w:rFonts w:eastAsia="Arial" w:cs="Arial"/>
          <w:spacing w:val="4"/>
          <w:szCs w:val="24"/>
          <w:u w:val="single"/>
        </w:rPr>
        <w:t xml:space="preserve"> </w:t>
      </w:r>
      <w:r w:rsidR="00555D9B" w:rsidRPr="00A87691">
        <w:rPr>
          <w:rFonts w:eastAsia="Arial" w:cs="Arial"/>
          <w:spacing w:val="-1"/>
          <w:szCs w:val="24"/>
          <w:u w:val="single"/>
        </w:rPr>
        <w:t>d</w:t>
      </w:r>
      <w:r w:rsidR="00555D9B" w:rsidRPr="00A87691">
        <w:rPr>
          <w:rFonts w:eastAsia="Arial" w:cs="Arial"/>
          <w:szCs w:val="24"/>
          <w:u w:val="single"/>
        </w:rPr>
        <w:t>e</w:t>
      </w:r>
      <w:r w:rsidR="00555D9B" w:rsidRPr="00A87691">
        <w:rPr>
          <w:rFonts w:eastAsia="Arial" w:cs="Arial"/>
          <w:spacing w:val="3"/>
          <w:szCs w:val="24"/>
          <w:u w:val="single"/>
        </w:rPr>
        <w:t xml:space="preserve"> </w:t>
      </w:r>
      <w:r w:rsidR="00555D9B" w:rsidRPr="00A87691">
        <w:rPr>
          <w:rFonts w:eastAsia="Arial" w:cs="Arial"/>
          <w:szCs w:val="24"/>
          <w:u w:val="single"/>
        </w:rPr>
        <w:t>información</w:t>
      </w:r>
      <w:r w:rsidR="00555D9B" w:rsidRPr="00A87691">
        <w:rPr>
          <w:rFonts w:eastAsia="Arial" w:cs="Arial"/>
          <w:spacing w:val="1"/>
          <w:szCs w:val="24"/>
        </w:rPr>
        <w:t xml:space="preserve">, en este sentido el pronunciamiento del Servidor Público Habilitado colma el requerimiento pues ya manifestó que no obra documento alguno que señale acusaciones a la servidora pública referida en la solicitud, sirva de apoyo el Criterio 003/2017; </w:t>
      </w:r>
    </w:p>
    <w:p w14:paraId="4240E6DC" w14:textId="77777777" w:rsidR="00555D9B" w:rsidRPr="00A87691" w:rsidRDefault="00555D9B" w:rsidP="00CA454B">
      <w:pPr>
        <w:contextualSpacing/>
        <w:rPr>
          <w:rFonts w:eastAsia="Arial" w:cs="Arial"/>
          <w:spacing w:val="1"/>
          <w:szCs w:val="24"/>
        </w:rPr>
      </w:pPr>
    </w:p>
    <w:p w14:paraId="692A531C" w14:textId="77777777" w:rsidR="00555D9B" w:rsidRPr="00A87691" w:rsidRDefault="00555D9B" w:rsidP="00555D9B">
      <w:pPr>
        <w:spacing w:line="240" w:lineRule="auto"/>
        <w:ind w:left="708"/>
        <w:rPr>
          <w:rFonts w:eastAsia="Arial" w:cs="Arial"/>
          <w:i/>
          <w:sz w:val="22"/>
        </w:rPr>
      </w:pPr>
      <w:r w:rsidRPr="00A87691">
        <w:rPr>
          <w:rFonts w:eastAsia="Arial" w:cs="Arial"/>
          <w:b/>
          <w:i/>
          <w:sz w:val="22"/>
        </w:rPr>
        <w:t xml:space="preserve">No existe obligación de elaborar </w:t>
      </w:r>
      <w:r w:rsidRPr="00A87691">
        <w:rPr>
          <w:rFonts w:eastAsia="Arial" w:cs="Arial"/>
          <w:b/>
          <w:i/>
          <w:spacing w:val="-3"/>
          <w:sz w:val="22"/>
        </w:rPr>
        <w:t>d</w:t>
      </w:r>
      <w:r w:rsidRPr="00A87691">
        <w:rPr>
          <w:rFonts w:eastAsia="Arial" w:cs="Arial"/>
          <w:b/>
          <w:i/>
          <w:sz w:val="22"/>
        </w:rPr>
        <w:t>ocum</w:t>
      </w:r>
      <w:r w:rsidRPr="00A87691">
        <w:rPr>
          <w:rFonts w:eastAsia="Arial" w:cs="Arial"/>
          <w:b/>
          <w:i/>
          <w:spacing w:val="1"/>
          <w:sz w:val="22"/>
        </w:rPr>
        <w:t>e</w:t>
      </w:r>
      <w:r w:rsidRPr="00A87691">
        <w:rPr>
          <w:rFonts w:eastAsia="Arial" w:cs="Arial"/>
          <w:b/>
          <w:i/>
          <w:sz w:val="22"/>
        </w:rPr>
        <w:t>n</w:t>
      </w:r>
      <w:r w:rsidRPr="00A87691">
        <w:rPr>
          <w:rFonts w:eastAsia="Arial" w:cs="Arial"/>
          <w:b/>
          <w:i/>
          <w:spacing w:val="-1"/>
          <w:sz w:val="22"/>
        </w:rPr>
        <w:t>t</w:t>
      </w:r>
      <w:r w:rsidRPr="00A87691">
        <w:rPr>
          <w:rFonts w:eastAsia="Arial" w:cs="Arial"/>
          <w:b/>
          <w:i/>
          <w:sz w:val="22"/>
        </w:rPr>
        <w:t>os</w:t>
      </w:r>
      <w:r w:rsidRPr="00A87691">
        <w:rPr>
          <w:rFonts w:eastAsia="Arial" w:cs="Arial"/>
          <w:b/>
          <w:i/>
          <w:spacing w:val="14"/>
          <w:sz w:val="22"/>
        </w:rPr>
        <w:t xml:space="preserve"> </w:t>
      </w:r>
      <w:r w:rsidRPr="00A87691">
        <w:rPr>
          <w:rFonts w:eastAsia="Arial" w:cs="Arial"/>
          <w:b/>
          <w:i/>
          <w:spacing w:val="-1"/>
          <w:sz w:val="22"/>
        </w:rPr>
        <w:t xml:space="preserve">ad </w:t>
      </w:r>
      <w:r w:rsidRPr="00A87691">
        <w:rPr>
          <w:rFonts w:eastAsia="Arial" w:cs="Arial"/>
          <w:b/>
          <w:i/>
          <w:sz w:val="22"/>
        </w:rPr>
        <w:t>hoc</w:t>
      </w:r>
      <w:r w:rsidRPr="00A87691">
        <w:rPr>
          <w:rFonts w:eastAsia="Arial" w:cs="Arial"/>
          <w:b/>
          <w:i/>
          <w:spacing w:val="11"/>
          <w:sz w:val="22"/>
        </w:rPr>
        <w:t xml:space="preserve"> </w:t>
      </w:r>
      <w:r w:rsidRPr="00A87691">
        <w:rPr>
          <w:rFonts w:eastAsia="Arial" w:cs="Arial"/>
          <w:b/>
          <w:i/>
          <w:sz w:val="22"/>
        </w:rPr>
        <w:t>para</w:t>
      </w:r>
      <w:r w:rsidRPr="00A87691">
        <w:rPr>
          <w:rFonts w:eastAsia="Arial" w:cs="Arial"/>
          <w:b/>
          <w:i/>
          <w:spacing w:val="10"/>
          <w:sz w:val="22"/>
        </w:rPr>
        <w:t xml:space="preserve"> </w:t>
      </w:r>
      <w:r w:rsidRPr="00A87691">
        <w:rPr>
          <w:rFonts w:eastAsia="Arial" w:cs="Arial"/>
          <w:b/>
          <w:i/>
          <w:sz w:val="22"/>
        </w:rPr>
        <w:t>atender las sol</w:t>
      </w:r>
      <w:r w:rsidRPr="00A87691">
        <w:rPr>
          <w:rFonts w:eastAsia="Arial" w:cs="Arial"/>
          <w:b/>
          <w:i/>
          <w:spacing w:val="-2"/>
          <w:sz w:val="22"/>
        </w:rPr>
        <w:t>i</w:t>
      </w:r>
      <w:r w:rsidRPr="00A87691">
        <w:rPr>
          <w:rFonts w:eastAsia="Arial" w:cs="Arial"/>
          <w:b/>
          <w:i/>
          <w:spacing w:val="1"/>
          <w:sz w:val="22"/>
        </w:rPr>
        <w:t>c</w:t>
      </w:r>
      <w:r w:rsidRPr="00A87691">
        <w:rPr>
          <w:rFonts w:eastAsia="Arial" w:cs="Arial"/>
          <w:b/>
          <w:i/>
          <w:sz w:val="22"/>
        </w:rPr>
        <w:t>itudes</w:t>
      </w:r>
      <w:r w:rsidRPr="00A87691">
        <w:rPr>
          <w:rFonts w:eastAsia="Arial" w:cs="Arial"/>
          <w:b/>
          <w:i/>
          <w:spacing w:val="10"/>
          <w:sz w:val="22"/>
        </w:rPr>
        <w:t xml:space="preserve"> </w:t>
      </w:r>
      <w:r w:rsidRPr="00A87691">
        <w:rPr>
          <w:rFonts w:eastAsia="Arial" w:cs="Arial"/>
          <w:b/>
          <w:i/>
          <w:sz w:val="22"/>
        </w:rPr>
        <w:t>de</w:t>
      </w:r>
      <w:r w:rsidRPr="00A87691">
        <w:rPr>
          <w:rFonts w:eastAsia="Arial" w:cs="Arial"/>
          <w:b/>
          <w:i/>
          <w:spacing w:val="9"/>
          <w:sz w:val="22"/>
        </w:rPr>
        <w:t xml:space="preserve"> </w:t>
      </w:r>
      <w:r w:rsidRPr="00A87691">
        <w:rPr>
          <w:rFonts w:eastAsia="Arial" w:cs="Arial"/>
          <w:b/>
          <w:i/>
          <w:spacing w:val="1"/>
          <w:sz w:val="22"/>
        </w:rPr>
        <w:t>ac</w:t>
      </w:r>
      <w:r w:rsidRPr="00A87691">
        <w:rPr>
          <w:rFonts w:eastAsia="Arial" w:cs="Arial"/>
          <w:b/>
          <w:i/>
          <w:spacing w:val="-1"/>
          <w:sz w:val="22"/>
        </w:rPr>
        <w:t>c</w:t>
      </w:r>
      <w:r w:rsidRPr="00A87691">
        <w:rPr>
          <w:rFonts w:eastAsia="Arial" w:cs="Arial"/>
          <w:b/>
          <w:i/>
          <w:spacing w:val="1"/>
          <w:sz w:val="22"/>
        </w:rPr>
        <w:t>es</w:t>
      </w:r>
      <w:r w:rsidRPr="00A87691">
        <w:rPr>
          <w:rFonts w:eastAsia="Arial" w:cs="Arial"/>
          <w:b/>
          <w:i/>
          <w:sz w:val="22"/>
        </w:rPr>
        <w:t>o</w:t>
      </w:r>
      <w:r w:rsidRPr="00A87691">
        <w:rPr>
          <w:rFonts w:eastAsia="Arial" w:cs="Arial"/>
          <w:b/>
          <w:i/>
          <w:spacing w:val="11"/>
          <w:sz w:val="22"/>
        </w:rPr>
        <w:t xml:space="preserve"> </w:t>
      </w:r>
      <w:r w:rsidRPr="00A87691">
        <w:rPr>
          <w:rFonts w:eastAsia="Arial" w:cs="Arial"/>
          <w:b/>
          <w:i/>
          <w:sz w:val="22"/>
        </w:rPr>
        <w:t>a</w:t>
      </w:r>
      <w:r w:rsidRPr="00A87691">
        <w:rPr>
          <w:rFonts w:eastAsia="Arial" w:cs="Arial"/>
          <w:b/>
          <w:i/>
          <w:spacing w:val="9"/>
          <w:sz w:val="22"/>
        </w:rPr>
        <w:t xml:space="preserve"> </w:t>
      </w:r>
      <w:r w:rsidRPr="00A87691">
        <w:rPr>
          <w:rFonts w:eastAsia="Arial" w:cs="Arial"/>
          <w:b/>
          <w:i/>
          <w:sz w:val="22"/>
        </w:rPr>
        <w:t>la</w:t>
      </w:r>
      <w:r w:rsidRPr="00A87691">
        <w:rPr>
          <w:rFonts w:eastAsia="Arial" w:cs="Arial"/>
          <w:b/>
          <w:i/>
          <w:spacing w:val="10"/>
          <w:sz w:val="22"/>
        </w:rPr>
        <w:t xml:space="preserve"> </w:t>
      </w:r>
      <w:r w:rsidRPr="00A87691">
        <w:rPr>
          <w:rFonts w:eastAsia="Arial" w:cs="Arial"/>
          <w:b/>
          <w:i/>
          <w:sz w:val="22"/>
        </w:rPr>
        <w:t>informa</w:t>
      </w:r>
      <w:r w:rsidRPr="00A87691">
        <w:rPr>
          <w:rFonts w:eastAsia="Arial" w:cs="Arial"/>
          <w:b/>
          <w:i/>
          <w:spacing w:val="1"/>
          <w:sz w:val="22"/>
        </w:rPr>
        <w:t>c</w:t>
      </w:r>
      <w:r w:rsidRPr="00A87691">
        <w:rPr>
          <w:rFonts w:eastAsia="Arial" w:cs="Arial"/>
          <w:b/>
          <w:i/>
          <w:sz w:val="22"/>
        </w:rPr>
        <w:t>ió</w:t>
      </w:r>
      <w:r w:rsidRPr="00A87691">
        <w:rPr>
          <w:rFonts w:eastAsia="Arial" w:cs="Arial"/>
          <w:b/>
          <w:i/>
          <w:spacing w:val="-2"/>
          <w:sz w:val="22"/>
        </w:rPr>
        <w:t>n</w:t>
      </w:r>
      <w:r w:rsidRPr="00A87691">
        <w:rPr>
          <w:rFonts w:eastAsia="Arial" w:cs="Arial"/>
          <w:b/>
          <w:i/>
          <w:sz w:val="22"/>
        </w:rPr>
        <w:t>.</w:t>
      </w:r>
      <w:r w:rsidRPr="00A87691">
        <w:rPr>
          <w:rFonts w:eastAsia="Arial" w:cs="Arial"/>
          <w:b/>
          <w:i/>
          <w:spacing w:val="18"/>
          <w:sz w:val="22"/>
        </w:rPr>
        <w:t xml:space="preserve"> </w:t>
      </w:r>
      <w:r w:rsidRPr="00A87691">
        <w:rPr>
          <w:rFonts w:eastAsia="Arial" w:cs="Arial"/>
          <w:i/>
          <w:spacing w:val="18"/>
          <w:sz w:val="22"/>
        </w:rPr>
        <w:t>L</w:t>
      </w:r>
      <w:r w:rsidRPr="00A87691">
        <w:rPr>
          <w:rFonts w:eastAsia="Arial" w:cs="Arial"/>
          <w:i/>
          <w:spacing w:val="-1"/>
          <w:sz w:val="22"/>
        </w:rPr>
        <w:t xml:space="preserve">os </w:t>
      </w:r>
      <w:r w:rsidRPr="00A87691">
        <w:rPr>
          <w:rFonts w:eastAsia="Arial" w:cs="Arial"/>
          <w:i/>
          <w:spacing w:val="1"/>
          <w:sz w:val="22"/>
        </w:rPr>
        <w:t>a</w:t>
      </w:r>
      <w:r w:rsidRPr="00A87691">
        <w:rPr>
          <w:rFonts w:eastAsia="Arial" w:cs="Arial"/>
          <w:i/>
          <w:sz w:val="22"/>
        </w:rPr>
        <w:t>rt</w:t>
      </w:r>
      <w:r w:rsidRPr="00A87691">
        <w:rPr>
          <w:rFonts w:eastAsia="Arial" w:cs="Arial"/>
          <w:i/>
          <w:spacing w:val="-2"/>
          <w:sz w:val="22"/>
        </w:rPr>
        <w:t>í</w:t>
      </w:r>
      <w:r w:rsidRPr="00A87691">
        <w:rPr>
          <w:rFonts w:eastAsia="Arial" w:cs="Arial"/>
          <w:i/>
          <w:sz w:val="22"/>
        </w:rPr>
        <w:t>c</w:t>
      </w:r>
      <w:r w:rsidRPr="00A87691">
        <w:rPr>
          <w:rFonts w:eastAsia="Arial" w:cs="Arial"/>
          <w:i/>
          <w:spacing w:val="1"/>
          <w:sz w:val="22"/>
        </w:rPr>
        <w:t>u</w:t>
      </w:r>
      <w:r w:rsidRPr="00A87691">
        <w:rPr>
          <w:rFonts w:eastAsia="Arial" w:cs="Arial"/>
          <w:i/>
          <w:sz w:val="22"/>
        </w:rPr>
        <w:t>los</w:t>
      </w:r>
      <w:r w:rsidRPr="00A87691">
        <w:rPr>
          <w:rFonts w:eastAsia="Arial" w:cs="Arial"/>
          <w:i/>
          <w:spacing w:val="8"/>
          <w:sz w:val="22"/>
        </w:rPr>
        <w:t xml:space="preserve"> 129 </w:t>
      </w:r>
      <w:r w:rsidRPr="00A87691">
        <w:rPr>
          <w:rFonts w:eastAsia="Arial" w:cs="Arial"/>
          <w:i/>
          <w:spacing w:val="1"/>
          <w:sz w:val="22"/>
        </w:rPr>
        <w:t>d</w:t>
      </w:r>
      <w:r w:rsidRPr="00A87691">
        <w:rPr>
          <w:rFonts w:eastAsia="Arial" w:cs="Arial"/>
          <w:i/>
          <w:sz w:val="22"/>
        </w:rPr>
        <w:t>e</w:t>
      </w:r>
      <w:r w:rsidRPr="00A87691">
        <w:rPr>
          <w:rFonts w:eastAsia="Arial" w:cs="Arial"/>
          <w:i/>
          <w:spacing w:val="9"/>
          <w:sz w:val="22"/>
        </w:rPr>
        <w:t xml:space="preserve"> </w:t>
      </w:r>
      <w:r w:rsidRPr="00A87691">
        <w:rPr>
          <w:rFonts w:eastAsia="Arial" w:cs="Arial"/>
          <w:i/>
          <w:sz w:val="22"/>
        </w:rPr>
        <w:t>la</w:t>
      </w:r>
      <w:r w:rsidRPr="00A87691">
        <w:rPr>
          <w:rFonts w:eastAsia="Arial" w:cs="Arial"/>
          <w:i/>
          <w:spacing w:val="10"/>
          <w:sz w:val="22"/>
        </w:rPr>
        <w:t xml:space="preserve"> </w:t>
      </w:r>
      <w:r w:rsidRPr="00A87691">
        <w:rPr>
          <w:rFonts w:eastAsia="Arial" w:cs="Arial"/>
          <w:i/>
          <w:spacing w:val="-1"/>
          <w:sz w:val="22"/>
        </w:rPr>
        <w:t>L</w:t>
      </w:r>
      <w:r w:rsidRPr="00A87691">
        <w:rPr>
          <w:rFonts w:eastAsia="Arial" w:cs="Arial"/>
          <w:i/>
          <w:spacing w:val="1"/>
          <w:sz w:val="22"/>
        </w:rPr>
        <w:t>e</w:t>
      </w:r>
      <w:r w:rsidRPr="00A87691">
        <w:rPr>
          <w:rFonts w:eastAsia="Arial" w:cs="Arial"/>
          <w:i/>
          <w:sz w:val="22"/>
        </w:rPr>
        <w:t>y</w:t>
      </w:r>
      <w:r w:rsidRPr="00A87691">
        <w:rPr>
          <w:rFonts w:eastAsia="Arial" w:cs="Arial"/>
          <w:i/>
          <w:spacing w:val="8"/>
          <w:sz w:val="22"/>
        </w:rPr>
        <w:t xml:space="preserve"> </w:t>
      </w:r>
      <w:r w:rsidRPr="00A87691">
        <w:rPr>
          <w:rFonts w:eastAsia="Arial" w:cs="Arial"/>
          <w:i/>
          <w:sz w:val="22"/>
        </w:rPr>
        <w:t>General</w:t>
      </w:r>
      <w:r w:rsidRPr="00A87691">
        <w:rPr>
          <w:rFonts w:eastAsia="Arial" w:cs="Arial"/>
          <w:i/>
          <w:spacing w:val="10"/>
          <w:sz w:val="22"/>
        </w:rPr>
        <w:t xml:space="preserve"> </w:t>
      </w:r>
      <w:r w:rsidRPr="00A87691">
        <w:rPr>
          <w:rFonts w:eastAsia="Arial" w:cs="Arial"/>
          <w:i/>
          <w:spacing w:val="-1"/>
          <w:sz w:val="22"/>
        </w:rPr>
        <w:t>d</w:t>
      </w:r>
      <w:r w:rsidRPr="00A87691">
        <w:rPr>
          <w:rFonts w:eastAsia="Arial" w:cs="Arial"/>
          <w:i/>
          <w:sz w:val="22"/>
        </w:rPr>
        <w:t>e</w:t>
      </w:r>
      <w:r w:rsidRPr="00A87691">
        <w:rPr>
          <w:rFonts w:eastAsia="Arial" w:cs="Arial"/>
          <w:i/>
          <w:spacing w:val="9"/>
          <w:sz w:val="22"/>
        </w:rPr>
        <w:t xml:space="preserve"> </w:t>
      </w:r>
      <w:r w:rsidRPr="00A87691">
        <w:rPr>
          <w:rFonts w:eastAsia="Arial" w:cs="Arial"/>
          <w:i/>
          <w:spacing w:val="2"/>
          <w:sz w:val="22"/>
        </w:rPr>
        <w:t>T</w:t>
      </w:r>
      <w:r w:rsidRPr="00A87691">
        <w:rPr>
          <w:rFonts w:eastAsia="Arial" w:cs="Arial"/>
          <w:i/>
          <w:sz w:val="22"/>
        </w:rPr>
        <w:t>r</w:t>
      </w:r>
      <w:r w:rsidRPr="00A87691">
        <w:rPr>
          <w:rFonts w:eastAsia="Arial" w:cs="Arial"/>
          <w:i/>
          <w:spacing w:val="-2"/>
          <w:sz w:val="22"/>
        </w:rPr>
        <w:t>a</w:t>
      </w:r>
      <w:r w:rsidRPr="00A87691">
        <w:rPr>
          <w:rFonts w:eastAsia="Arial" w:cs="Arial"/>
          <w:i/>
          <w:spacing w:val="1"/>
          <w:sz w:val="22"/>
        </w:rPr>
        <w:t>n</w:t>
      </w:r>
      <w:r w:rsidRPr="00A87691">
        <w:rPr>
          <w:rFonts w:eastAsia="Arial" w:cs="Arial"/>
          <w:i/>
          <w:sz w:val="22"/>
        </w:rPr>
        <w:t>s</w:t>
      </w:r>
      <w:r w:rsidRPr="00A87691">
        <w:rPr>
          <w:rFonts w:eastAsia="Arial" w:cs="Arial"/>
          <w:i/>
          <w:spacing w:val="1"/>
          <w:sz w:val="22"/>
        </w:rPr>
        <w:t>pa</w:t>
      </w:r>
      <w:r w:rsidRPr="00A87691">
        <w:rPr>
          <w:rFonts w:eastAsia="Arial" w:cs="Arial"/>
          <w:i/>
          <w:sz w:val="22"/>
        </w:rPr>
        <w:t>r</w:t>
      </w:r>
      <w:r w:rsidRPr="00A87691">
        <w:rPr>
          <w:rFonts w:eastAsia="Arial" w:cs="Arial"/>
          <w:i/>
          <w:spacing w:val="-2"/>
          <w:sz w:val="22"/>
        </w:rPr>
        <w:t>e</w:t>
      </w:r>
      <w:r w:rsidRPr="00A87691">
        <w:rPr>
          <w:rFonts w:eastAsia="Arial" w:cs="Arial"/>
          <w:i/>
          <w:spacing w:val="1"/>
          <w:sz w:val="22"/>
        </w:rPr>
        <w:t>n</w:t>
      </w:r>
      <w:r w:rsidRPr="00A87691">
        <w:rPr>
          <w:rFonts w:eastAsia="Arial" w:cs="Arial"/>
          <w:i/>
          <w:sz w:val="22"/>
        </w:rPr>
        <w:t>cia y Acc</w:t>
      </w:r>
      <w:r w:rsidRPr="00A87691">
        <w:rPr>
          <w:rFonts w:eastAsia="Arial" w:cs="Arial"/>
          <w:i/>
          <w:spacing w:val="1"/>
          <w:sz w:val="22"/>
        </w:rPr>
        <w:t>e</w:t>
      </w:r>
      <w:r w:rsidRPr="00A87691">
        <w:rPr>
          <w:rFonts w:eastAsia="Arial" w:cs="Arial"/>
          <w:i/>
          <w:sz w:val="22"/>
        </w:rPr>
        <w:t>so</w:t>
      </w:r>
      <w:r w:rsidRPr="00A87691">
        <w:rPr>
          <w:rFonts w:eastAsia="Arial" w:cs="Arial"/>
          <w:i/>
          <w:spacing w:val="3"/>
          <w:sz w:val="22"/>
        </w:rPr>
        <w:t xml:space="preserve"> </w:t>
      </w:r>
      <w:r w:rsidRPr="00A87691">
        <w:rPr>
          <w:rFonts w:eastAsia="Arial" w:cs="Arial"/>
          <w:i/>
          <w:sz w:val="22"/>
        </w:rPr>
        <w:t>a</w:t>
      </w:r>
      <w:r w:rsidRPr="00A87691">
        <w:rPr>
          <w:rFonts w:eastAsia="Arial" w:cs="Arial"/>
          <w:i/>
          <w:spacing w:val="1"/>
          <w:sz w:val="22"/>
        </w:rPr>
        <w:t xml:space="preserve"> </w:t>
      </w:r>
      <w:r w:rsidRPr="00A87691">
        <w:rPr>
          <w:rFonts w:eastAsia="Arial" w:cs="Arial"/>
          <w:i/>
          <w:sz w:val="22"/>
        </w:rPr>
        <w:t>la I</w:t>
      </w:r>
      <w:r w:rsidRPr="00A87691">
        <w:rPr>
          <w:rFonts w:eastAsia="Arial" w:cs="Arial"/>
          <w:i/>
          <w:spacing w:val="-1"/>
          <w:sz w:val="22"/>
        </w:rPr>
        <w:t>n</w:t>
      </w:r>
      <w:r w:rsidRPr="00A87691">
        <w:rPr>
          <w:rFonts w:eastAsia="Arial" w:cs="Arial"/>
          <w:i/>
          <w:sz w:val="22"/>
        </w:rPr>
        <w:t>f</w:t>
      </w:r>
      <w:r w:rsidRPr="00A87691">
        <w:rPr>
          <w:rFonts w:eastAsia="Arial" w:cs="Arial"/>
          <w:i/>
          <w:spacing w:val="1"/>
          <w:sz w:val="22"/>
        </w:rPr>
        <w:t>o</w:t>
      </w:r>
      <w:r w:rsidRPr="00A87691">
        <w:rPr>
          <w:rFonts w:eastAsia="Arial" w:cs="Arial"/>
          <w:i/>
          <w:spacing w:val="-3"/>
          <w:sz w:val="22"/>
        </w:rPr>
        <w:t>r</w:t>
      </w:r>
      <w:r w:rsidRPr="00A87691">
        <w:rPr>
          <w:rFonts w:eastAsia="Arial" w:cs="Arial"/>
          <w:i/>
          <w:spacing w:val="1"/>
          <w:sz w:val="22"/>
        </w:rPr>
        <w:t>ma</w:t>
      </w:r>
      <w:r w:rsidRPr="00A87691">
        <w:rPr>
          <w:rFonts w:eastAsia="Arial" w:cs="Arial"/>
          <w:i/>
          <w:sz w:val="22"/>
        </w:rPr>
        <w:t>ci</w:t>
      </w:r>
      <w:r w:rsidRPr="00A87691">
        <w:rPr>
          <w:rFonts w:eastAsia="Arial" w:cs="Arial"/>
          <w:i/>
          <w:spacing w:val="-2"/>
          <w:sz w:val="22"/>
        </w:rPr>
        <w:t>ó</w:t>
      </w:r>
      <w:r w:rsidRPr="00A87691">
        <w:rPr>
          <w:rFonts w:eastAsia="Arial" w:cs="Arial"/>
          <w:i/>
          <w:sz w:val="22"/>
        </w:rPr>
        <w:t>n</w:t>
      </w:r>
      <w:r w:rsidRPr="00A87691">
        <w:rPr>
          <w:rFonts w:eastAsia="Arial" w:cs="Arial"/>
          <w:i/>
          <w:spacing w:val="6"/>
          <w:sz w:val="22"/>
        </w:rPr>
        <w:t xml:space="preserve"> </w:t>
      </w:r>
      <w:r w:rsidRPr="00A87691">
        <w:rPr>
          <w:rFonts w:eastAsia="Arial" w:cs="Arial"/>
          <w:i/>
          <w:spacing w:val="-2"/>
          <w:sz w:val="22"/>
        </w:rPr>
        <w:t>P</w:t>
      </w:r>
      <w:r w:rsidRPr="00A87691">
        <w:rPr>
          <w:rFonts w:eastAsia="Arial" w:cs="Arial"/>
          <w:i/>
          <w:spacing w:val="1"/>
          <w:sz w:val="22"/>
        </w:rPr>
        <w:t>úb</w:t>
      </w:r>
      <w:r w:rsidRPr="00A87691">
        <w:rPr>
          <w:rFonts w:eastAsia="Arial" w:cs="Arial"/>
          <w:i/>
          <w:sz w:val="22"/>
        </w:rPr>
        <w:t>l</w:t>
      </w:r>
      <w:r w:rsidRPr="00A87691">
        <w:rPr>
          <w:rFonts w:eastAsia="Arial" w:cs="Arial"/>
          <w:i/>
          <w:spacing w:val="-1"/>
          <w:sz w:val="22"/>
        </w:rPr>
        <w:t>i</w:t>
      </w:r>
      <w:r w:rsidRPr="00A87691">
        <w:rPr>
          <w:rFonts w:eastAsia="Arial" w:cs="Arial"/>
          <w:i/>
          <w:sz w:val="22"/>
        </w:rPr>
        <w:t xml:space="preserve">ca y </w:t>
      </w:r>
      <w:r w:rsidRPr="00A87691">
        <w:rPr>
          <w:rFonts w:eastAsia="Arial" w:cs="Arial"/>
          <w:i/>
          <w:spacing w:val="8"/>
          <w:sz w:val="22"/>
        </w:rPr>
        <w:t xml:space="preserve">130, párrafo cuarto, </w:t>
      </w:r>
      <w:r w:rsidRPr="00A87691">
        <w:rPr>
          <w:rFonts w:eastAsia="Arial" w:cs="Arial"/>
          <w:i/>
          <w:spacing w:val="1"/>
          <w:sz w:val="22"/>
        </w:rPr>
        <w:t>d</w:t>
      </w:r>
      <w:r w:rsidRPr="00A87691">
        <w:rPr>
          <w:rFonts w:eastAsia="Arial" w:cs="Arial"/>
          <w:i/>
          <w:sz w:val="22"/>
        </w:rPr>
        <w:t>e</w:t>
      </w:r>
      <w:r w:rsidRPr="00A87691">
        <w:rPr>
          <w:rFonts w:eastAsia="Arial" w:cs="Arial"/>
          <w:i/>
          <w:spacing w:val="9"/>
          <w:sz w:val="22"/>
        </w:rPr>
        <w:t xml:space="preserve"> </w:t>
      </w:r>
      <w:r w:rsidRPr="00A87691">
        <w:rPr>
          <w:rFonts w:eastAsia="Arial" w:cs="Arial"/>
          <w:i/>
          <w:sz w:val="22"/>
        </w:rPr>
        <w:t>la</w:t>
      </w:r>
      <w:r w:rsidRPr="00A87691">
        <w:rPr>
          <w:rFonts w:eastAsia="Arial" w:cs="Arial"/>
          <w:i/>
          <w:spacing w:val="10"/>
          <w:sz w:val="22"/>
        </w:rPr>
        <w:t xml:space="preserve"> </w:t>
      </w:r>
      <w:r w:rsidRPr="00A87691">
        <w:rPr>
          <w:rFonts w:eastAsia="Arial" w:cs="Arial"/>
          <w:i/>
          <w:spacing w:val="-1"/>
          <w:sz w:val="22"/>
        </w:rPr>
        <w:t>L</w:t>
      </w:r>
      <w:r w:rsidRPr="00A87691">
        <w:rPr>
          <w:rFonts w:eastAsia="Arial" w:cs="Arial"/>
          <w:i/>
          <w:spacing w:val="1"/>
          <w:sz w:val="22"/>
        </w:rPr>
        <w:t>e</w:t>
      </w:r>
      <w:r w:rsidRPr="00A87691">
        <w:rPr>
          <w:rFonts w:eastAsia="Arial" w:cs="Arial"/>
          <w:i/>
          <w:sz w:val="22"/>
        </w:rPr>
        <w:t>y</w:t>
      </w:r>
      <w:r w:rsidRPr="00A87691">
        <w:rPr>
          <w:rFonts w:eastAsia="Arial" w:cs="Arial"/>
          <w:i/>
          <w:spacing w:val="8"/>
          <w:sz w:val="22"/>
        </w:rPr>
        <w:t xml:space="preserve"> </w:t>
      </w:r>
      <w:r w:rsidRPr="00A87691">
        <w:rPr>
          <w:rFonts w:eastAsia="Arial" w:cs="Arial"/>
          <w:i/>
          <w:sz w:val="22"/>
        </w:rPr>
        <w:t>Fe</w:t>
      </w:r>
      <w:r w:rsidRPr="00A87691">
        <w:rPr>
          <w:rFonts w:eastAsia="Arial" w:cs="Arial"/>
          <w:i/>
          <w:spacing w:val="1"/>
          <w:sz w:val="22"/>
        </w:rPr>
        <w:t>de</w:t>
      </w:r>
      <w:r w:rsidRPr="00A87691">
        <w:rPr>
          <w:rFonts w:eastAsia="Arial" w:cs="Arial"/>
          <w:i/>
          <w:sz w:val="22"/>
        </w:rPr>
        <w:t>ral</w:t>
      </w:r>
      <w:r w:rsidRPr="00A87691">
        <w:rPr>
          <w:rFonts w:eastAsia="Arial" w:cs="Arial"/>
          <w:i/>
          <w:spacing w:val="10"/>
          <w:sz w:val="22"/>
        </w:rPr>
        <w:t xml:space="preserve"> </w:t>
      </w:r>
      <w:r w:rsidRPr="00A87691">
        <w:rPr>
          <w:rFonts w:eastAsia="Arial" w:cs="Arial"/>
          <w:i/>
          <w:spacing w:val="-1"/>
          <w:sz w:val="22"/>
        </w:rPr>
        <w:t>d</w:t>
      </w:r>
      <w:r w:rsidRPr="00A87691">
        <w:rPr>
          <w:rFonts w:eastAsia="Arial" w:cs="Arial"/>
          <w:i/>
          <w:sz w:val="22"/>
        </w:rPr>
        <w:t>e</w:t>
      </w:r>
      <w:r w:rsidRPr="00A87691">
        <w:rPr>
          <w:rFonts w:eastAsia="Arial" w:cs="Arial"/>
          <w:i/>
          <w:spacing w:val="9"/>
          <w:sz w:val="22"/>
        </w:rPr>
        <w:t xml:space="preserve"> </w:t>
      </w:r>
      <w:r w:rsidRPr="00A87691">
        <w:rPr>
          <w:rFonts w:eastAsia="Arial" w:cs="Arial"/>
          <w:i/>
          <w:spacing w:val="2"/>
          <w:sz w:val="22"/>
        </w:rPr>
        <w:t>T</w:t>
      </w:r>
      <w:r w:rsidRPr="00A87691">
        <w:rPr>
          <w:rFonts w:eastAsia="Arial" w:cs="Arial"/>
          <w:i/>
          <w:sz w:val="22"/>
        </w:rPr>
        <w:t>r</w:t>
      </w:r>
      <w:r w:rsidRPr="00A87691">
        <w:rPr>
          <w:rFonts w:eastAsia="Arial" w:cs="Arial"/>
          <w:i/>
          <w:spacing w:val="-2"/>
          <w:sz w:val="22"/>
        </w:rPr>
        <w:t>a</w:t>
      </w:r>
      <w:r w:rsidRPr="00A87691">
        <w:rPr>
          <w:rFonts w:eastAsia="Arial" w:cs="Arial"/>
          <w:i/>
          <w:spacing w:val="1"/>
          <w:sz w:val="22"/>
        </w:rPr>
        <w:t>n</w:t>
      </w:r>
      <w:r w:rsidRPr="00A87691">
        <w:rPr>
          <w:rFonts w:eastAsia="Arial" w:cs="Arial"/>
          <w:i/>
          <w:sz w:val="22"/>
        </w:rPr>
        <w:t>s</w:t>
      </w:r>
      <w:r w:rsidRPr="00A87691">
        <w:rPr>
          <w:rFonts w:eastAsia="Arial" w:cs="Arial"/>
          <w:i/>
          <w:spacing w:val="1"/>
          <w:sz w:val="22"/>
        </w:rPr>
        <w:t>pa</w:t>
      </w:r>
      <w:r w:rsidRPr="00A87691">
        <w:rPr>
          <w:rFonts w:eastAsia="Arial" w:cs="Arial"/>
          <w:i/>
          <w:sz w:val="22"/>
        </w:rPr>
        <w:t>r</w:t>
      </w:r>
      <w:r w:rsidRPr="00A87691">
        <w:rPr>
          <w:rFonts w:eastAsia="Arial" w:cs="Arial"/>
          <w:i/>
          <w:spacing w:val="-2"/>
          <w:sz w:val="22"/>
        </w:rPr>
        <w:t>e</w:t>
      </w:r>
      <w:r w:rsidRPr="00A87691">
        <w:rPr>
          <w:rFonts w:eastAsia="Arial" w:cs="Arial"/>
          <w:i/>
          <w:spacing w:val="1"/>
          <w:sz w:val="22"/>
        </w:rPr>
        <w:t>n</w:t>
      </w:r>
      <w:r w:rsidRPr="00A87691">
        <w:rPr>
          <w:rFonts w:eastAsia="Arial" w:cs="Arial"/>
          <w:i/>
          <w:sz w:val="22"/>
        </w:rPr>
        <w:t>cia y Acc</w:t>
      </w:r>
      <w:r w:rsidRPr="00A87691">
        <w:rPr>
          <w:rFonts w:eastAsia="Arial" w:cs="Arial"/>
          <w:i/>
          <w:spacing w:val="1"/>
          <w:sz w:val="22"/>
        </w:rPr>
        <w:t>e</w:t>
      </w:r>
      <w:r w:rsidRPr="00A87691">
        <w:rPr>
          <w:rFonts w:eastAsia="Arial" w:cs="Arial"/>
          <w:i/>
          <w:sz w:val="22"/>
        </w:rPr>
        <w:t>so</w:t>
      </w:r>
      <w:r w:rsidRPr="00A87691">
        <w:rPr>
          <w:rFonts w:eastAsia="Arial" w:cs="Arial"/>
          <w:i/>
          <w:spacing w:val="3"/>
          <w:sz w:val="22"/>
        </w:rPr>
        <w:t xml:space="preserve"> </w:t>
      </w:r>
      <w:r w:rsidRPr="00A87691">
        <w:rPr>
          <w:rFonts w:eastAsia="Arial" w:cs="Arial"/>
          <w:i/>
          <w:sz w:val="22"/>
        </w:rPr>
        <w:t>a</w:t>
      </w:r>
      <w:r w:rsidRPr="00A87691">
        <w:rPr>
          <w:rFonts w:eastAsia="Arial" w:cs="Arial"/>
          <w:i/>
          <w:spacing w:val="1"/>
          <w:sz w:val="22"/>
        </w:rPr>
        <w:t xml:space="preserve"> </w:t>
      </w:r>
      <w:r w:rsidRPr="00A87691">
        <w:rPr>
          <w:rFonts w:eastAsia="Arial" w:cs="Arial"/>
          <w:i/>
          <w:sz w:val="22"/>
        </w:rPr>
        <w:t>la I</w:t>
      </w:r>
      <w:r w:rsidRPr="00A87691">
        <w:rPr>
          <w:rFonts w:eastAsia="Arial" w:cs="Arial"/>
          <w:i/>
          <w:spacing w:val="-1"/>
          <w:sz w:val="22"/>
        </w:rPr>
        <w:t>n</w:t>
      </w:r>
      <w:r w:rsidRPr="00A87691">
        <w:rPr>
          <w:rFonts w:eastAsia="Arial" w:cs="Arial"/>
          <w:i/>
          <w:sz w:val="22"/>
        </w:rPr>
        <w:t>f</w:t>
      </w:r>
      <w:r w:rsidRPr="00A87691">
        <w:rPr>
          <w:rFonts w:eastAsia="Arial" w:cs="Arial"/>
          <w:i/>
          <w:spacing w:val="1"/>
          <w:sz w:val="22"/>
        </w:rPr>
        <w:t>o</w:t>
      </w:r>
      <w:r w:rsidRPr="00A87691">
        <w:rPr>
          <w:rFonts w:eastAsia="Arial" w:cs="Arial"/>
          <w:i/>
          <w:spacing w:val="-3"/>
          <w:sz w:val="22"/>
        </w:rPr>
        <w:t>r</w:t>
      </w:r>
      <w:r w:rsidRPr="00A87691">
        <w:rPr>
          <w:rFonts w:eastAsia="Arial" w:cs="Arial"/>
          <w:i/>
          <w:spacing w:val="1"/>
          <w:sz w:val="22"/>
        </w:rPr>
        <w:t>ma</w:t>
      </w:r>
      <w:r w:rsidRPr="00A87691">
        <w:rPr>
          <w:rFonts w:eastAsia="Arial" w:cs="Arial"/>
          <w:i/>
          <w:sz w:val="22"/>
        </w:rPr>
        <w:t>ci</w:t>
      </w:r>
      <w:r w:rsidRPr="00A87691">
        <w:rPr>
          <w:rFonts w:eastAsia="Arial" w:cs="Arial"/>
          <w:i/>
          <w:spacing w:val="-2"/>
          <w:sz w:val="22"/>
        </w:rPr>
        <w:t>ó</w:t>
      </w:r>
      <w:r w:rsidRPr="00A87691">
        <w:rPr>
          <w:rFonts w:eastAsia="Arial" w:cs="Arial"/>
          <w:i/>
          <w:sz w:val="22"/>
        </w:rPr>
        <w:t>n</w:t>
      </w:r>
      <w:r w:rsidRPr="00A87691">
        <w:rPr>
          <w:rFonts w:eastAsia="Arial" w:cs="Arial"/>
          <w:i/>
          <w:spacing w:val="6"/>
          <w:sz w:val="22"/>
        </w:rPr>
        <w:t xml:space="preserve"> </w:t>
      </w:r>
      <w:r w:rsidRPr="00A87691">
        <w:rPr>
          <w:rFonts w:eastAsia="Arial" w:cs="Arial"/>
          <w:i/>
          <w:spacing w:val="-2"/>
          <w:sz w:val="22"/>
        </w:rPr>
        <w:t>P</w:t>
      </w:r>
      <w:r w:rsidRPr="00A87691">
        <w:rPr>
          <w:rFonts w:eastAsia="Arial" w:cs="Arial"/>
          <w:i/>
          <w:spacing w:val="1"/>
          <w:sz w:val="22"/>
        </w:rPr>
        <w:t>úb</w:t>
      </w:r>
      <w:r w:rsidRPr="00A87691">
        <w:rPr>
          <w:rFonts w:eastAsia="Arial" w:cs="Arial"/>
          <w:i/>
          <w:sz w:val="22"/>
        </w:rPr>
        <w:t>l</w:t>
      </w:r>
      <w:r w:rsidRPr="00A87691">
        <w:rPr>
          <w:rFonts w:eastAsia="Arial" w:cs="Arial"/>
          <w:i/>
          <w:spacing w:val="-1"/>
          <w:sz w:val="22"/>
        </w:rPr>
        <w:t>i</w:t>
      </w:r>
      <w:r w:rsidRPr="00A87691">
        <w:rPr>
          <w:rFonts w:eastAsia="Arial" w:cs="Arial"/>
          <w:i/>
          <w:sz w:val="22"/>
        </w:rPr>
        <w:t xml:space="preserve">ca, </w:t>
      </w:r>
      <w:r w:rsidRPr="00A87691">
        <w:rPr>
          <w:rFonts w:eastAsia="Arial" w:cs="Arial"/>
          <w:i/>
          <w:spacing w:val="-1"/>
          <w:sz w:val="22"/>
        </w:rPr>
        <w:t>señalan</w:t>
      </w:r>
      <w:r w:rsidRPr="00A87691">
        <w:rPr>
          <w:rFonts w:eastAsia="Arial" w:cs="Arial"/>
          <w:i/>
          <w:spacing w:val="1"/>
          <w:sz w:val="22"/>
        </w:rPr>
        <w:t xml:space="preserve"> </w:t>
      </w:r>
      <w:r w:rsidRPr="00A87691">
        <w:rPr>
          <w:rFonts w:eastAsia="Arial" w:cs="Arial"/>
          <w:i/>
          <w:spacing w:val="-1"/>
          <w:sz w:val="22"/>
        </w:rPr>
        <w:t>q</w:t>
      </w:r>
      <w:r w:rsidRPr="00A87691">
        <w:rPr>
          <w:rFonts w:eastAsia="Arial" w:cs="Arial"/>
          <w:i/>
          <w:spacing w:val="1"/>
          <w:sz w:val="22"/>
        </w:rPr>
        <w:t>u</w:t>
      </w:r>
      <w:r w:rsidRPr="00A87691">
        <w:rPr>
          <w:rFonts w:eastAsia="Arial" w:cs="Arial"/>
          <w:i/>
          <w:sz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A87691">
        <w:rPr>
          <w:rFonts w:eastAsia="Arial" w:cs="Arial"/>
          <w:i/>
          <w:spacing w:val="-1"/>
          <w:sz w:val="22"/>
        </w:rPr>
        <w:t xml:space="preserve"> sin necesidad de</w:t>
      </w:r>
      <w:r w:rsidRPr="00A87691">
        <w:rPr>
          <w:rFonts w:eastAsia="Arial" w:cs="Arial"/>
          <w:i/>
          <w:spacing w:val="1"/>
          <w:sz w:val="22"/>
        </w:rPr>
        <w:t xml:space="preserve"> e</w:t>
      </w:r>
      <w:r w:rsidRPr="00A87691">
        <w:rPr>
          <w:rFonts w:eastAsia="Arial" w:cs="Arial"/>
          <w:i/>
          <w:sz w:val="22"/>
        </w:rPr>
        <w:t>la</w:t>
      </w:r>
      <w:r w:rsidRPr="00A87691">
        <w:rPr>
          <w:rFonts w:eastAsia="Arial" w:cs="Arial"/>
          <w:i/>
          <w:spacing w:val="1"/>
          <w:sz w:val="22"/>
        </w:rPr>
        <w:t>bo</w:t>
      </w:r>
      <w:r w:rsidRPr="00A87691">
        <w:rPr>
          <w:rFonts w:eastAsia="Arial" w:cs="Arial"/>
          <w:i/>
          <w:sz w:val="22"/>
        </w:rPr>
        <w:t xml:space="preserve">rar </w:t>
      </w:r>
      <w:r w:rsidRPr="00A87691">
        <w:rPr>
          <w:rFonts w:eastAsia="Arial" w:cs="Arial"/>
          <w:i/>
          <w:spacing w:val="1"/>
          <w:sz w:val="22"/>
        </w:rPr>
        <w:t>do</w:t>
      </w:r>
      <w:r w:rsidRPr="00A87691">
        <w:rPr>
          <w:rFonts w:eastAsia="Arial" w:cs="Arial"/>
          <w:i/>
          <w:spacing w:val="-2"/>
          <w:sz w:val="22"/>
        </w:rPr>
        <w:t>c</w:t>
      </w:r>
      <w:r w:rsidRPr="00A87691">
        <w:rPr>
          <w:rFonts w:eastAsia="Arial" w:cs="Arial"/>
          <w:i/>
          <w:spacing w:val="1"/>
          <w:sz w:val="22"/>
        </w:rPr>
        <w:t>u</w:t>
      </w:r>
      <w:r w:rsidRPr="00A87691">
        <w:rPr>
          <w:rFonts w:eastAsia="Arial" w:cs="Arial"/>
          <w:i/>
          <w:spacing w:val="-1"/>
          <w:sz w:val="22"/>
        </w:rPr>
        <w:t>m</w:t>
      </w:r>
      <w:r w:rsidRPr="00A87691">
        <w:rPr>
          <w:rFonts w:eastAsia="Arial" w:cs="Arial"/>
          <w:i/>
          <w:spacing w:val="1"/>
          <w:sz w:val="22"/>
        </w:rPr>
        <w:t>en</w:t>
      </w:r>
      <w:r w:rsidRPr="00A87691">
        <w:rPr>
          <w:rFonts w:eastAsia="Arial" w:cs="Arial"/>
          <w:i/>
          <w:spacing w:val="-2"/>
          <w:sz w:val="22"/>
        </w:rPr>
        <w:t>t</w:t>
      </w:r>
      <w:r w:rsidRPr="00A87691">
        <w:rPr>
          <w:rFonts w:eastAsia="Arial" w:cs="Arial"/>
          <w:i/>
          <w:spacing w:val="1"/>
          <w:sz w:val="22"/>
        </w:rPr>
        <w:t>o</w:t>
      </w:r>
      <w:r w:rsidRPr="00A87691">
        <w:rPr>
          <w:rFonts w:eastAsia="Arial" w:cs="Arial"/>
          <w:i/>
          <w:sz w:val="22"/>
        </w:rPr>
        <w:t>s</w:t>
      </w:r>
      <w:r w:rsidRPr="00A87691">
        <w:rPr>
          <w:rFonts w:eastAsia="Arial" w:cs="Arial"/>
          <w:i/>
          <w:spacing w:val="3"/>
          <w:sz w:val="22"/>
        </w:rPr>
        <w:t xml:space="preserve"> </w:t>
      </w:r>
      <w:r w:rsidRPr="00A87691">
        <w:rPr>
          <w:rFonts w:eastAsia="Arial" w:cs="Arial"/>
          <w:i/>
          <w:spacing w:val="1"/>
          <w:sz w:val="22"/>
        </w:rPr>
        <w:t>a</w:t>
      </w:r>
      <w:r w:rsidRPr="00A87691">
        <w:rPr>
          <w:rFonts w:eastAsia="Arial" w:cs="Arial"/>
          <w:i/>
          <w:sz w:val="22"/>
        </w:rPr>
        <w:t>d</w:t>
      </w:r>
      <w:r w:rsidRPr="00A87691">
        <w:rPr>
          <w:rFonts w:eastAsia="Arial" w:cs="Arial"/>
          <w:i/>
          <w:spacing w:val="1"/>
          <w:sz w:val="22"/>
        </w:rPr>
        <w:t xml:space="preserve"> ho</w:t>
      </w:r>
      <w:r w:rsidRPr="00A87691">
        <w:rPr>
          <w:rFonts w:eastAsia="Arial" w:cs="Arial"/>
          <w:i/>
          <w:sz w:val="22"/>
        </w:rPr>
        <w:t>c</w:t>
      </w:r>
      <w:r w:rsidRPr="00A87691">
        <w:rPr>
          <w:rFonts w:eastAsia="Arial" w:cs="Arial"/>
          <w:i/>
          <w:spacing w:val="2"/>
          <w:sz w:val="22"/>
        </w:rPr>
        <w:t xml:space="preserve"> </w:t>
      </w:r>
      <w:r w:rsidRPr="00A87691">
        <w:rPr>
          <w:rFonts w:eastAsia="Arial" w:cs="Arial"/>
          <w:i/>
          <w:spacing w:val="1"/>
          <w:sz w:val="22"/>
        </w:rPr>
        <w:t>pa</w:t>
      </w:r>
      <w:r w:rsidRPr="00A87691">
        <w:rPr>
          <w:rFonts w:eastAsia="Arial" w:cs="Arial"/>
          <w:i/>
          <w:sz w:val="22"/>
        </w:rPr>
        <w:t xml:space="preserve">ra </w:t>
      </w:r>
      <w:r w:rsidRPr="00A87691">
        <w:rPr>
          <w:rFonts w:eastAsia="Arial" w:cs="Arial"/>
          <w:i/>
          <w:spacing w:val="1"/>
          <w:sz w:val="22"/>
        </w:rPr>
        <w:t>a</w:t>
      </w:r>
      <w:r w:rsidRPr="00A87691">
        <w:rPr>
          <w:rFonts w:eastAsia="Arial" w:cs="Arial"/>
          <w:i/>
          <w:sz w:val="22"/>
        </w:rPr>
        <w:t>t</w:t>
      </w:r>
      <w:r w:rsidRPr="00A87691">
        <w:rPr>
          <w:rFonts w:eastAsia="Arial" w:cs="Arial"/>
          <w:i/>
          <w:spacing w:val="-1"/>
          <w:sz w:val="22"/>
        </w:rPr>
        <w:t>e</w:t>
      </w:r>
      <w:r w:rsidRPr="00A87691">
        <w:rPr>
          <w:rFonts w:eastAsia="Arial" w:cs="Arial"/>
          <w:i/>
          <w:spacing w:val="1"/>
          <w:sz w:val="22"/>
        </w:rPr>
        <w:t>n</w:t>
      </w:r>
      <w:r w:rsidRPr="00A87691">
        <w:rPr>
          <w:rFonts w:eastAsia="Arial" w:cs="Arial"/>
          <w:i/>
          <w:spacing w:val="-1"/>
          <w:sz w:val="22"/>
        </w:rPr>
        <w:t>d</w:t>
      </w:r>
      <w:r w:rsidRPr="00A87691">
        <w:rPr>
          <w:rFonts w:eastAsia="Arial" w:cs="Arial"/>
          <w:i/>
          <w:spacing w:val="1"/>
          <w:sz w:val="22"/>
        </w:rPr>
        <w:t>e</w:t>
      </w:r>
      <w:r w:rsidRPr="00A87691">
        <w:rPr>
          <w:rFonts w:eastAsia="Arial" w:cs="Arial"/>
          <w:i/>
          <w:sz w:val="22"/>
        </w:rPr>
        <w:t>r</w:t>
      </w:r>
      <w:r w:rsidRPr="00A87691">
        <w:rPr>
          <w:rFonts w:eastAsia="Arial" w:cs="Arial"/>
          <w:i/>
          <w:spacing w:val="2"/>
          <w:sz w:val="22"/>
        </w:rPr>
        <w:t xml:space="preserve"> </w:t>
      </w:r>
      <w:r w:rsidRPr="00A87691">
        <w:rPr>
          <w:rFonts w:eastAsia="Arial" w:cs="Arial"/>
          <w:i/>
          <w:sz w:val="22"/>
        </w:rPr>
        <w:t>l</w:t>
      </w:r>
      <w:r w:rsidRPr="00A87691">
        <w:rPr>
          <w:rFonts w:eastAsia="Arial" w:cs="Arial"/>
          <w:i/>
          <w:spacing w:val="-2"/>
          <w:sz w:val="22"/>
        </w:rPr>
        <w:t>a</w:t>
      </w:r>
      <w:r w:rsidRPr="00A87691">
        <w:rPr>
          <w:rFonts w:eastAsia="Arial" w:cs="Arial"/>
          <w:i/>
          <w:sz w:val="22"/>
        </w:rPr>
        <w:t>s</w:t>
      </w:r>
      <w:r w:rsidRPr="00A87691">
        <w:rPr>
          <w:rFonts w:eastAsia="Arial" w:cs="Arial"/>
          <w:i/>
          <w:spacing w:val="2"/>
          <w:sz w:val="22"/>
        </w:rPr>
        <w:t xml:space="preserve"> </w:t>
      </w:r>
      <w:r w:rsidRPr="00A87691">
        <w:rPr>
          <w:rFonts w:eastAsia="Arial" w:cs="Arial"/>
          <w:i/>
          <w:sz w:val="22"/>
        </w:rPr>
        <w:t>s</w:t>
      </w:r>
      <w:r w:rsidRPr="00A87691">
        <w:rPr>
          <w:rFonts w:eastAsia="Arial" w:cs="Arial"/>
          <w:i/>
          <w:spacing w:val="1"/>
          <w:sz w:val="22"/>
        </w:rPr>
        <w:t>o</w:t>
      </w:r>
      <w:r w:rsidRPr="00A87691">
        <w:rPr>
          <w:rFonts w:eastAsia="Arial" w:cs="Arial"/>
          <w:i/>
          <w:sz w:val="22"/>
        </w:rPr>
        <w:t>l</w:t>
      </w:r>
      <w:r w:rsidRPr="00A87691">
        <w:rPr>
          <w:rFonts w:eastAsia="Arial" w:cs="Arial"/>
          <w:i/>
          <w:spacing w:val="-1"/>
          <w:sz w:val="22"/>
        </w:rPr>
        <w:t>i</w:t>
      </w:r>
      <w:r w:rsidRPr="00A87691">
        <w:rPr>
          <w:rFonts w:eastAsia="Arial" w:cs="Arial"/>
          <w:i/>
          <w:sz w:val="22"/>
        </w:rPr>
        <w:t>cit</w:t>
      </w:r>
      <w:r w:rsidRPr="00A87691">
        <w:rPr>
          <w:rFonts w:eastAsia="Arial" w:cs="Arial"/>
          <w:i/>
          <w:spacing w:val="1"/>
          <w:sz w:val="22"/>
        </w:rPr>
        <w:t>ude</w:t>
      </w:r>
      <w:r w:rsidRPr="00A87691">
        <w:rPr>
          <w:rFonts w:eastAsia="Arial" w:cs="Arial"/>
          <w:i/>
          <w:sz w:val="22"/>
        </w:rPr>
        <w:t>s</w:t>
      </w:r>
      <w:r w:rsidRPr="00A87691">
        <w:rPr>
          <w:rFonts w:eastAsia="Arial" w:cs="Arial"/>
          <w:i/>
          <w:spacing w:val="4"/>
          <w:sz w:val="22"/>
        </w:rPr>
        <w:t xml:space="preserve"> </w:t>
      </w:r>
      <w:r w:rsidRPr="00A87691">
        <w:rPr>
          <w:rFonts w:eastAsia="Arial" w:cs="Arial"/>
          <w:i/>
          <w:spacing w:val="-1"/>
          <w:sz w:val="22"/>
        </w:rPr>
        <w:t>d</w:t>
      </w:r>
      <w:r w:rsidRPr="00A87691">
        <w:rPr>
          <w:rFonts w:eastAsia="Arial" w:cs="Arial"/>
          <w:i/>
          <w:sz w:val="22"/>
        </w:rPr>
        <w:t>e</w:t>
      </w:r>
      <w:r w:rsidRPr="00A87691">
        <w:rPr>
          <w:rFonts w:eastAsia="Arial" w:cs="Arial"/>
          <w:i/>
          <w:spacing w:val="3"/>
          <w:sz w:val="22"/>
        </w:rPr>
        <w:t xml:space="preserve"> </w:t>
      </w:r>
      <w:r w:rsidRPr="00A87691">
        <w:rPr>
          <w:rFonts w:eastAsia="Arial" w:cs="Arial"/>
          <w:i/>
          <w:sz w:val="22"/>
        </w:rPr>
        <w:t>i</w:t>
      </w:r>
      <w:r w:rsidRPr="00A87691">
        <w:rPr>
          <w:rFonts w:eastAsia="Arial" w:cs="Arial"/>
          <w:i/>
          <w:spacing w:val="-2"/>
          <w:sz w:val="22"/>
        </w:rPr>
        <w:t>n</w:t>
      </w:r>
      <w:r w:rsidRPr="00A87691">
        <w:rPr>
          <w:rFonts w:eastAsia="Arial" w:cs="Arial"/>
          <w:i/>
          <w:sz w:val="22"/>
        </w:rPr>
        <w:t>f</w:t>
      </w:r>
      <w:r w:rsidRPr="00A87691">
        <w:rPr>
          <w:rFonts w:eastAsia="Arial" w:cs="Arial"/>
          <w:i/>
          <w:spacing w:val="1"/>
          <w:sz w:val="22"/>
        </w:rPr>
        <w:t>o</w:t>
      </w:r>
      <w:r w:rsidRPr="00A87691">
        <w:rPr>
          <w:rFonts w:eastAsia="Arial" w:cs="Arial"/>
          <w:i/>
          <w:sz w:val="22"/>
        </w:rPr>
        <w:t>r</w:t>
      </w:r>
      <w:r w:rsidRPr="00A87691">
        <w:rPr>
          <w:rFonts w:eastAsia="Arial" w:cs="Arial"/>
          <w:i/>
          <w:spacing w:val="-1"/>
          <w:sz w:val="22"/>
        </w:rPr>
        <w:t>m</w:t>
      </w:r>
      <w:r w:rsidRPr="00A87691">
        <w:rPr>
          <w:rFonts w:eastAsia="Arial" w:cs="Arial"/>
          <w:i/>
          <w:spacing w:val="1"/>
          <w:sz w:val="22"/>
        </w:rPr>
        <w:t>a</w:t>
      </w:r>
      <w:r w:rsidRPr="00A87691">
        <w:rPr>
          <w:rFonts w:eastAsia="Arial" w:cs="Arial"/>
          <w:i/>
          <w:sz w:val="22"/>
        </w:rPr>
        <w:t>ció</w:t>
      </w:r>
      <w:r w:rsidRPr="00A87691">
        <w:rPr>
          <w:rFonts w:eastAsia="Arial" w:cs="Arial"/>
          <w:i/>
          <w:spacing w:val="1"/>
          <w:sz w:val="22"/>
        </w:rPr>
        <w:t>n</w:t>
      </w:r>
      <w:r w:rsidRPr="00A87691">
        <w:rPr>
          <w:rFonts w:eastAsia="Arial" w:cs="Arial"/>
          <w:i/>
          <w:sz w:val="22"/>
        </w:rPr>
        <w:t>.</w:t>
      </w:r>
    </w:p>
    <w:p w14:paraId="2A7671B7" w14:textId="77777777" w:rsidR="00555D9B" w:rsidRPr="00A87691" w:rsidRDefault="00555D9B" w:rsidP="00555D9B">
      <w:pPr>
        <w:spacing w:line="240" w:lineRule="auto"/>
        <w:rPr>
          <w:rFonts w:cs="Arial"/>
          <w:i/>
          <w:color w:val="000000"/>
          <w:sz w:val="22"/>
        </w:rPr>
      </w:pPr>
    </w:p>
    <w:p w14:paraId="1CF5435D" w14:textId="77777777" w:rsidR="00555D9B" w:rsidRPr="00A87691" w:rsidRDefault="00555D9B" w:rsidP="00555D9B">
      <w:pPr>
        <w:spacing w:line="240" w:lineRule="auto"/>
        <w:ind w:firstLine="357"/>
        <w:rPr>
          <w:rFonts w:cs="Arial"/>
          <w:b/>
          <w:i/>
          <w:sz w:val="22"/>
        </w:rPr>
      </w:pPr>
      <w:r w:rsidRPr="00A87691">
        <w:rPr>
          <w:rFonts w:cs="Arial"/>
          <w:b/>
          <w:i/>
          <w:sz w:val="22"/>
        </w:rPr>
        <w:t>Precedentes:</w:t>
      </w:r>
    </w:p>
    <w:p w14:paraId="0825FE03" w14:textId="77777777" w:rsidR="00555D9B" w:rsidRPr="00A87691" w:rsidRDefault="00555D9B" w:rsidP="00555D9B">
      <w:pPr>
        <w:pStyle w:val="Prrafodelista"/>
        <w:numPr>
          <w:ilvl w:val="0"/>
          <w:numId w:val="14"/>
        </w:numPr>
        <w:spacing w:line="240" w:lineRule="auto"/>
        <w:ind w:left="714" w:hanging="357"/>
        <w:rPr>
          <w:rFonts w:cs="Arial"/>
          <w:b/>
          <w:bCs/>
          <w:i/>
          <w:sz w:val="20"/>
          <w:szCs w:val="20"/>
        </w:rPr>
      </w:pPr>
      <w:r w:rsidRPr="00A87691">
        <w:rPr>
          <w:rFonts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348E678C" w14:textId="77777777" w:rsidR="00555D9B" w:rsidRPr="00A87691" w:rsidRDefault="00555D9B" w:rsidP="00555D9B">
      <w:pPr>
        <w:pStyle w:val="Prrafodelista"/>
        <w:numPr>
          <w:ilvl w:val="0"/>
          <w:numId w:val="14"/>
        </w:numPr>
        <w:spacing w:line="240" w:lineRule="auto"/>
        <w:rPr>
          <w:rFonts w:cs="Arial"/>
          <w:i/>
          <w:sz w:val="20"/>
          <w:szCs w:val="20"/>
        </w:rPr>
      </w:pPr>
      <w:r w:rsidRPr="00A87691">
        <w:rPr>
          <w:rFonts w:cs="Arial"/>
          <w:i/>
          <w:sz w:val="20"/>
          <w:szCs w:val="20"/>
        </w:rPr>
        <w:t>Acceso a la información pública. RRA 0310/16.</w:t>
      </w:r>
      <w:r w:rsidRPr="00A87691">
        <w:rPr>
          <w:rFonts w:cs="Arial"/>
          <w:b/>
          <w:bCs/>
          <w:i/>
          <w:sz w:val="20"/>
          <w:szCs w:val="20"/>
        </w:rPr>
        <w:t xml:space="preserve"> </w:t>
      </w:r>
      <w:r w:rsidRPr="00A87691">
        <w:rPr>
          <w:rFonts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56273103" w14:textId="77777777" w:rsidR="00555D9B" w:rsidRPr="00A87691" w:rsidRDefault="00555D9B" w:rsidP="00555D9B">
      <w:pPr>
        <w:pStyle w:val="Prrafodelista"/>
        <w:numPr>
          <w:ilvl w:val="0"/>
          <w:numId w:val="14"/>
        </w:numPr>
        <w:spacing w:line="240" w:lineRule="auto"/>
        <w:rPr>
          <w:rFonts w:cs="Arial"/>
          <w:i/>
          <w:sz w:val="20"/>
          <w:szCs w:val="20"/>
        </w:rPr>
      </w:pPr>
      <w:r w:rsidRPr="00A87691">
        <w:rPr>
          <w:rFonts w:cs="Arial"/>
          <w:i/>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63BB0574" w14:textId="77777777" w:rsidR="00555D9B" w:rsidRPr="00A87691" w:rsidRDefault="00555D9B" w:rsidP="00897555">
      <w:pPr>
        <w:pStyle w:val="Citas"/>
        <w:tabs>
          <w:tab w:val="left" w:pos="7470"/>
        </w:tabs>
        <w:ind w:left="0" w:right="72"/>
        <w:rPr>
          <w:rFonts w:eastAsia="Calibri"/>
          <w:i w:val="0"/>
          <w:sz w:val="24"/>
        </w:rPr>
      </w:pPr>
    </w:p>
    <w:p w14:paraId="72209E76" w14:textId="77777777" w:rsidR="00897555" w:rsidRPr="00A87691" w:rsidRDefault="00897555" w:rsidP="00897555">
      <w:pPr>
        <w:pStyle w:val="Citas"/>
        <w:tabs>
          <w:tab w:val="left" w:pos="7470"/>
        </w:tabs>
        <w:ind w:left="0" w:right="72"/>
        <w:rPr>
          <w:bCs/>
          <w:i w:val="0"/>
          <w:sz w:val="24"/>
          <w:szCs w:val="24"/>
        </w:rPr>
      </w:pPr>
      <w:r w:rsidRPr="00A87691">
        <w:rPr>
          <w:rFonts w:eastAsia="Calibri"/>
          <w:i w:val="0"/>
          <w:sz w:val="24"/>
        </w:rPr>
        <w:t xml:space="preserve">Por lo anterior, debe </w:t>
      </w:r>
      <w:r w:rsidRPr="00A87691">
        <w:rPr>
          <w:bCs/>
          <w:i w:val="0"/>
          <w:sz w:val="24"/>
          <w:szCs w:val="24"/>
        </w:rPr>
        <w:t>arribarse a las siguientes consideraciones:</w:t>
      </w:r>
    </w:p>
    <w:p w14:paraId="11FBCD1F" w14:textId="1F4474D5" w:rsidR="00897555" w:rsidRPr="00A87691" w:rsidRDefault="00897555" w:rsidP="00CF6235">
      <w:pPr>
        <w:pStyle w:val="Sinespaciado"/>
        <w:numPr>
          <w:ilvl w:val="0"/>
          <w:numId w:val="16"/>
        </w:numPr>
        <w:spacing w:line="360" w:lineRule="auto"/>
        <w:jc w:val="both"/>
        <w:rPr>
          <w:rFonts w:ascii="Palatino Linotype" w:hAnsi="Palatino Linotype"/>
        </w:rPr>
      </w:pPr>
      <w:r w:rsidRPr="00A87691">
        <w:rPr>
          <w:rFonts w:ascii="Palatino Linotype" w:hAnsi="Palatino Linotype"/>
        </w:rPr>
        <w:lastRenderedPageBreak/>
        <w:t xml:space="preserve">El derecho de acceso a la información versa esencialmente en acceder a información registrada en cualquier soporte documental que en ejercicio de las atribuciones conferidas sea generada, poseída o administrada por los </w:t>
      </w:r>
      <w:r w:rsidRPr="00A87691">
        <w:rPr>
          <w:rFonts w:ascii="Palatino Linotype" w:hAnsi="Palatino Linotype"/>
          <w:b/>
          <w:bCs/>
        </w:rPr>
        <w:t xml:space="preserve">Sujetos Obligados. </w:t>
      </w:r>
    </w:p>
    <w:p w14:paraId="4E8D3753" w14:textId="77777777" w:rsidR="0088777B" w:rsidRPr="00A87691" w:rsidRDefault="0088777B" w:rsidP="0088777B">
      <w:pPr>
        <w:pStyle w:val="Sinespaciado"/>
        <w:spacing w:line="360" w:lineRule="auto"/>
        <w:ind w:left="720"/>
        <w:jc w:val="both"/>
        <w:rPr>
          <w:rFonts w:ascii="Palatino Linotype" w:hAnsi="Palatino Linotype"/>
        </w:rPr>
      </w:pPr>
    </w:p>
    <w:p w14:paraId="03F8DB8F" w14:textId="77777777" w:rsidR="00897555" w:rsidRPr="00A87691" w:rsidRDefault="00897555" w:rsidP="00897555">
      <w:pPr>
        <w:pStyle w:val="Sinespaciado"/>
        <w:numPr>
          <w:ilvl w:val="0"/>
          <w:numId w:val="16"/>
        </w:numPr>
        <w:spacing w:line="360" w:lineRule="auto"/>
        <w:jc w:val="both"/>
        <w:rPr>
          <w:rFonts w:ascii="Palatino Linotype" w:hAnsi="Palatino Linotype"/>
        </w:rPr>
      </w:pPr>
      <w:r w:rsidRPr="00A87691">
        <w:rPr>
          <w:rFonts w:ascii="Palatino Linotype" w:hAnsi="Palatino Linotype"/>
        </w:rPr>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p>
    <w:p w14:paraId="7D0BA063" w14:textId="77777777" w:rsidR="00897555" w:rsidRPr="00A87691" w:rsidRDefault="00897555" w:rsidP="00897555">
      <w:pPr>
        <w:pStyle w:val="Sinespaciado"/>
        <w:spacing w:line="360" w:lineRule="auto"/>
        <w:jc w:val="both"/>
        <w:rPr>
          <w:rFonts w:ascii="Palatino Linotype" w:hAnsi="Palatino Linotype"/>
        </w:rPr>
      </w:pPr>
    </w:p>
    <w:p w14:paraId="0BC57ABB" w14:textId="5E64A1B2" w:rsidR="00897555" w:rsidRPr="00A87691" w:rsidRDefault="00897555" w:rsidP="00183F9C">
      <w:pPr>
        <w:pStyle w:val="Prrafodelista"/>
        <w:numPr>
          <w:ilvl w:val="0"/>
          <w:numId w:val="16"/>
        </w:numPr>
        <w:contextualSpacing w:val="0"/>
        <w:rPr>
          <w:rFonts w:eastAsiaTheme="majorEastAsia" w:cs="Arial"/>
          <w:bCs/>
        </w:rPr>
      </w:pPr>
      <w:r w:rsidRPr="00A87691">
        <w:rPr>
          <w:rFonts w:cs="Arial"/>
        </w:rPr>
        <w:t xml:space="preserve">Resulta evidente para esta Ponencia que la Unidad de Transparencia del </w:t>
      </w:r>
      <w:r w:rsidRPr="00A87691">
        <w:rPr>
          <w:rFonts w:cs="Arial"/>
          <w:b/>
        </w:rPr>
        <w:t>Sujeto Obligado</w:t>
      </w:r>
      <w:r w:rsidRPr="00A87691">
        <w:rPr>
          <w:rFonts w:cs="Arial"/>
        </w:rPr>
        <w:t xml:space="preserve"> </w:t>
      </w:r>
      <w:r w:rsidR="007D7892" w:rsidRPr="00A87691">
        <w:rPr>
          <w:rFonts w:cs="Arial"/>
        </w:rPr>
        <w:t xml:space="preserve">le </w:t>
      </w:r>
      <w:r w:rsidRPr="00A87691">
        <w:rPr>
          <w:rFonts w:cs="Arial"/>
        </w:rPr>
        <w:t>trámite correspondiente a la solicitud de acceso a la información</w:t>
      </w:r>
      <w:r w:rsidR="00CF6235" w:rsidRPr="00A87691">
        <w:rPr>
          <w:rFonts w:cs="Arial"/>
        </w:rPr>
        <w:t xml:space="preserve"> pues </w:t>
      </w:r>
      <w:r w:rsidR="007D7892" w:rsidRPr="00A87691">
        <w:rPr>
          <w:rFonts w:cs="Arial"/>
        </w:rPr>
        <w:t>turno la solicitud de información a la unidad administrativa que posee, genera</w:t>
      </w:r>
      <w:r w:rsidR="00CF6235" w:rsidRPr="00A87691">
        <w:rPr>
          <w:rFonts w:cs="Arial"/>
        </w:rPr>
        <w:t xml:space="preserve"> o administrar la información</w:t>
      </w:r>
      <w:r w:rsidR="007D7892" w:rsidRPr="00A87691">
        <w:rPr>
          <w:rFonts w:cs="Arial"/>
        </w:rPr>
        <w:t xml:space="preserve"> requerida. </w:t>
      </w:r>
    </w:p>
    <w:p w14:paraId="559C1170" w14:textId="77777777" w:rsidR="007D7892" w:rsidRPr="00A87691" w:rsidRDefault="007D7892" w:rsidP="007D7892">
      <w:pPr>
        <w:rPr>
          <w:rFonts w:eastAsiaTheme="majorEastAsia" w:cs="Arial"/>
          <w:bCs/>
        </w:rPr>
      </w:pPr>
    </w:p>
    <w:p w14:paraId="7352500F" w14:textId="783768C0" w:rsidR="007D7892" w:rsidRPr="00A87691" w:rsidRDefault="00897555" w:rsidP="007D7892">
      <w:pPr>
        <w:pStyle w:val="Prrafodelista"/>
        <w:numPr>
          <w:ilvl w:val="0"/>
          <w:numId w:val="16"/>
        </w:numPr>
        <w:contextualSpacing w:val="0"/>
        <w:rPr>
          <w:rFonts w:cs="Arial"/>
        </w:rPr>
      </w:pPr>
      <w:r w:rsidRPr="00A87691">
        <w:rPr>
          <w:rFonts w:eastAsiaTheme="majorEastAsia" w:cs="Arial"/>
          <w:bCs/>
        </w:rPr>
        <w:t xml:space="preserve">Del estudio realizado resulta  </w:t>
      </w:r>
      <w:r w:rsidR="007D7892" w:rsidRPr="00A87691">
        <w:rPr>
          <w:rFonts w:eastAsiaTheme="majorEastAsia" w:cs="Arial"/>
          <w:bCs/>
        </w:rPr>
        <w:t>viable establecer que el Sujeto Obligado colmo lo requerido por el Recurrente, satisfaciendo su derecho al acceso a la información pública, por lo que el acto impugnado así como las razones o motivos de informidad realizados por el Recurrente resultan infundados.</w:t>
      </w:r>
    </w:p>
    <w:p w14:paraId="33D46A2D" w14:textId="77777777" w:rsidR="007D7892" w:rsidRPr="00A87691" w:rsidRDefault="007D7892" w:rsidP="007D7892">
      <w:pPr>
        <w:pStyle w:val="Prrafodelista"/>
        <w:rPr>
          <w:rFonts w:eastAsiaTheme="majorEastAsia" w:cs="Arial"/>
          <w:bCs/>
        </w:rPr>
      </w:pPr>
    </w:p>
    <w:p w14:paraId="508264FD" w14:textId="4414CC94" w:rsidR="007D7892" w:rsidRPr="00A87691" w:rsidRDefault="007D7892" w:rsidP="007D7892">
      <w:pPr>
        <w:pBdr>
          <w:top w:val="nil"/>
          <w:left w:val="nil"/>
          <w:bottom w:val="nil"/>
          <w:right w:val="nil"/>
          <w:between w:val="nil"/>
        </w:pBdr>
        <w:rPr>
          <w:rFonts w:eastAsia="Palatino Linotype" w:cs="Palatino Linotype"/>
          <w:szCs w:val="24"/>
        </w:rPr>
      </w:pPr>
      <w:r w:rsidRPr="00A87691">
        <w:rPr>
          <w:szCs w:val="24"/>
        </w:rPr>
        <w:t xml:space="preserve">En este sentido y una vez analizadas las constancias que obran en el Sistema de Acceso a la Información Pública Mexiquense (SAIMEX) así como la solicitud de información, el acto impugnado y las razones o motivos de inconformidad  este Instituto conforme los principios de Certeza, Eficacia, Imparcialidad, Objetividad y Máxima Publicidad </w:t>
      </w:r>
      <w:r w:rsidRPr="00A87691">
        <w:rPr>
          <w:szCs w:val="24"/>
        </w:rPr>
        <w:lastRenderedPageBreak/>
        <w:t>consagrados en el artículo 9 de la Ley de Transparencia Local determinó</w:t>
      </w:r>
      <w:r w:rsidRPr="00A87691">
        <w:rPr>
          <w:rFonts w:eastAsia="Palatino Linotype" w:cs="Palatino Linotype"/>
          <w:szCs w:val="24"/>
        </w:rPr>
        <w:t xml:space="preserve"> que los motivos de inconformidad planteados por la parte </w:t>
      </w:r>
      <w:r w:rsidRPr="00A87691">
        <w:rPr>
          <w:rFonts w:eastAsia="Palatino Linotype" w:cs="Palatino Linotype"/>
          <w:b/>
          <w:szCs w:val="24"/>
        </w:rPr>
        <w:t>Recurrente</w:t>
      </w:r>
      <w:r w:rsidRPr="00A87691">
        <w:rPr>
          <w:rFonts w:eastAsia="Palatino Linotype" w:cs="Palatino Linotype"/>
          <w:szCs w:val="24"/>
        </w:rPr>
        <w:t xml:space="preserve"> resultan infundados; por ello </w:t>
      </w:r>
      <w:r w:rsidRPr="00A87691">
        <w:rPr>
          <w:rFonts w:eastAsia="Palatino Linotype" w:cs="Palatino Linotype"/>
          <w:b/>
          <w:szCs w:val="24"/>
        </w:rPr>
        <w:t xml:space="preserve">con fundamento en la segunda fracción del artículo 186 </w:t>
      </w:r>
      <w:r w:rsidRPr="00A87691">
        <w:rPr>
          <w:rFonts w:eastAsia="Palatino Linotype" w:cs="Palatino Linotype"/>
          <w:szCs w:val="24"/>
        </w:rPr>
        <w:t xml:space="preserve">de la Ley de Transparencia y Acceso a la Información Pública del Estado de México y Municipios, se </w:t>
      </w:r>
      <w:r w:rsidRPr="00A87691">
        <w:rPr>
          <w:rFonts w:eastAsia="Palatino Linotype" w:cs="Palatino Linotype"/>
          <w:b/>
          <w:szCs w:val="24"/>
        </w:rPr>
        <w:t xml:space="preserve">CONFIRMA </w:t>
      </w:r>
      <w:r w:rsidRPr="00A87691">
        <w:rPr>
          <w:rFonts w:eastAsia="Palatino Linotype" w:cs="Palatino Linotype"/>
          <w:szCs w:val="24"/>
        </w:rPr>
        <w:t xml:space="preserve">la respuesta proporcionada a la solicitud de información número </w:t>
      </w:r>
      <w:r w:rsidRPr="00A87691">
        <w:rPr>
          <w:color w:val="000000"/>
          <w:szCs w:val="24"/>
        </w:rPr>
        <w:t> </w:t>
      </w:r>
      <w:r w:rsidRPr="00A87691">
        <w:rPr>
          <w:b/>
          <w:bCs/>
        </w:rPr>
        <w:t xml:space="preserve">00580/SF/IP/2024 </w:t>
      </w:r>
      <w:r w:rsidRPr="00A87691">
        <w:rPr>
          <w:rFonts w:eastAsia="Palatino Linotype" w:cs="Palatino Linotype"/>
          <w:szCs w:val="24"/>
        </w:rPr>
        <w:t>que ha sido materia del presente estudio.</w:t>
      </w:r>
    </w:p>
    <w:p w14:paraId="50A771CA" w14:textId="77777777" w:rsidR="007D7892" w:rsidRPr="00A87691" w:rsidRDefault="007D7892" w:rsidP="007D7892">
      <w:pPr>
        <w:pBdr>
          <w:top w:val="nil"/>
          <w:left w:val="nil"/>
          <w:bottom w:val="nil"/>
          <w:right w:val="nil"/>
          <w:between w:val="nil"/>
        </w:pBdr>
        <w:rPr>
          <w:rFonts w:eastAsia="Palatino Linotype" w:cs="Palatino Linotype"/>
          <w:szCs w:val="24"/>
        </w:rPr>
      </w:pPr>
    </w:p>
    <w:p w14:paraId="3569265D" w14:textId="77777777" w:rsidR="007D7892" w:rsidRDefault="007D7892" w:rsidP="007D7892">
      <w:pPr>
        <w:autoSpaceDE w:val="0"/>
        <w:autoSpaceDN w:val="0"/>
        <w:adjustRightInd w:val="0"/>
        <w:rPr>
          <w:rFonts w:cs="Arial"/>
          <w:szCs w:val="24"/>
        </w:rPr>
      </w:pPr>
      <w:r w:rsidRPr="00A87691">
        <w:rPr>
          <w:rFonts w:cs="Arial"/>
          <w:szCs w:val="24"/>
        </w:rPr>
        <w:t>Por lo antes expuesto y fundado es de resolverse y,</w:t>
      </w:r>
    </w:p>
    <w:p w14:paraId="1DF19035" w14:textId="77777777" w:rsidR="007D7892" w:rsidRDefault="007D7892" w:rsidP="007D7892">
      <w:pPr>
        <w:autoSpaceDE w:val="0"/>
        <w:autoSpaceDN w:val="0"/>
        <w:adjustRightInd w:val="0"/>
        <w:rPr>
          <w:rFonts w:cs="Arial"/>
          <w:szCs w:val="24"/>
        </w:rPr>
      </w:pPr>
    </w:p>
    <w:p w14:paraId="57361399" w14:textId="77777777" w:rsidR="007D7892" w:rsidRPr="00DF23DA" w:rsidRDefault="007D7892" w:rsidP="007D7892">
      <w:pPr>
        <w:ind w:left="426"/>
        <w:jc w:val="center"/>
        <w:rPr>
          <w:rFonts w:eastAsia="Times New Roman" w:cs="Times New Roman"/>
          <w:b/>
          <w:color w:val="000000"/>
          <w:sz w:val="28"/>
          <w:szCs w:val="24"/>
          <w:lang w:val="es-ES" w:eastAsia="es-ES"/>
        </w:rPr>
      </w:pPr>
      <w:r w:rsidRPr="00DF23DA">
        <w:rPr>
          <w:rFonts w:eastAsia="Times New Roman" w:cs="Times New Roman"/>
          <w:b/>
          <w:color w:val="000000"/>
          <w:sz w:val="28"/>
          <w:szCs w:val="24"/>
          <w:lang w:val="es-ES" w:eastAsia="es-ES"/>
        </w:rPr>
        <w:t>SE    RESUELVE</w:t>
      </w:r>
    </w:p>
    <w:p w14:paraId="509AC653" w14:textId="77777777" w:rsidR="007D7892" w:rsidRPr="00DF23DA" w:rsidRDefault="007D7892" w:rsidP="007D7892">
      <w:pPr>
        <w:tabs>
          <w:tab w:val="left" w:pos="8647"/>
        </w:tabs>
        <w:ind w:right="51"/>
        <w:rPr>
          <w:rFonts w:cs="Arial"/>
          <w:szCs w:val="24"/>
        </w:rPr>
      </w:pPr>
    </w:p>
    <w:p w14:paraId="5CB72DA6" w14:textId="25184C06" w:rsidR="007D7892" w:rsidRPr="00A87691" w:rsidRDefault="007D7892" w:rsidP="007D7892">
      <w:pPr>
        <w:pBdr>
          <w:top w:val="nil"/>
          <w:left w:val="nil"/>
          <w:bottom w:val="nil"/>
          <w:right w:val="nil"/>
          <w:between w:val="nil"/>
        </w:pBdr>
        <w:rPr>
          <w:rFonts w:eastAsia="Palatino Linotype" w:cs="Palatino Linotype"/>
          <w:szCs w:val="24"/>
        </w:rPr>
      </w:pPr>
      <w:r w:rsidRPr="00A87691">
        <w:rPr>
          <w:rFonts w:eastAsia="Palatino Linotype" w:cs="Palatino Linotype"/>
          <w:b/>
          <w:sz w:val="28"/>
          <w:szCs w:val="28"/>
        </w:rPr>
        <w:t>PRIMERO.</w:t>
      </w:r>
      <w:r w:rsidRPr="00A87691">
        <w:rPr>
          <w:rFonts w:eastAsia="Palatino Linotype" w:cs="Palatino Linotype"/>
          <w:szCs w:val="24"/>
        </w:rPr>
        <w:t xml:space="preserve"> Se </w:t>
      </w:r>
      <w:r w:rsidRPr="00A87691">
        <w:rPr>
          <w:rFonts w:eastAsia="Palatino Linotype" w:cs="Palatino Linotype"/>
          <w:b/>
          <w:szCs w:val="24"/>
        </w:rPr>
        <w:t>CONFIRMA</w:t>
      </w:r>
      <w:r w:rsidRPr="00A87691">
        <w:rPr>
          <w:rFonts w:eastAsia="Palatino Linotype" w:cs="Palatino Linotype"/>
          <w:szCs w:val="24"/>
        </w:rPr>
        <w:t xml:space="preserve"> la respuesta entregada  por el </w:t>
      </w:r>
      <w:r w:rsidRPr="00A87691">
        <w:rPr>
          <w:rFonts w:eastAsia="Palatino Linotype" w:cs="Palatino Linotype"/>
          <w:b/>
          <w:szCs w:val="24"/>
        </w:rPr>
        <w:t xml:space="preserve">Sujeto Obligado </w:t>
      </w:r>
      <w:r w:rsidRPr="00A87691">
        <w:rPr>
          <w:rFonts w:eastAsia="Palatino Linotype" w:cs="Palatino Linotype"/>
          <w:szCs w:val="24"/>
        </w:rPr>
        <w:t xml:space="preserve">a la solicitud de información </w:t>
      </w:r>
      <w:r w:rsidRPr="00A87691">
        <w:rPr>
          <w:b/>
          <w:bCs/>
          <w:szCs w:val="24"/>
        </w:rPr>
        <w:t xml:space="preserve"> </w:t>
      </w:r>
      <w:r w:rsidRPr="00A87691">
        <w:rPr>
          <w:b/>
          <w:bCs/>
        </w:rPr>
        <w:t xml:space="preserve">00580/SF/IP/2024 </w:t>
      </w:r>
      <w:r w:rsidRPr="00A87691">
        <w:rPr>
          <w:rFonts w:eastAsia="Palatino Linotype" w:cs="Palatino Linotype"/>
          <w:szCs w:val="24"/>
        </w:rPr>
        <w:t xml:space="preserve">por resultar infundados los motivos de inconformidad argüidos por la parte </w:t>
      </w:r>
      <w:r w:rsidRPr="00A87691">
        <w:rPr>
          <w:rFonts w:eastAsia="Palatino Linotype" w:cs="Palatino Linotype"/>
          <w:b/>
          <w:szCs w:val="24"/>
        </w:rPr>
        <w:t>Recurrente</w:t>
      </w:r>
      <w:r w:rsidRPr="00A87691">
        <w:rPr>
          <w:rFonts w:eastAsia="Palatino Linotype" w:cs="Palatino Linotype"/>
          <w:szCs w:val="24"/>
        </w:rPr>
        <w:t>, en términos del considerando</w:t>
      </w:r>
      <w:r w:rsidRPr="00A87691">
        <w:rPr>
          <w:rFonts w:eastAsia="Palatino Linotype" w:cs="Palatino Linotype"/>
          <w:b/>
          <w:szCs w:val="24"/>
        </w:rPr>
        <w:t xml:space="preserve"> CUARTO </w:t>
      </w:r>
      <w:r w:rsidRPr="00A87691">
        <w:rPr>
          <w:rFonts w:eastAsia="Palatino Linotype" w:cs="Palatino Linotype"/>
          <w:szCs w:val="24"/>
        </w:rPr>
        <w:t xml:space="preserve">de la presente resolución. </w:t>
      </w:r>
    </w:p>
    <w:p w14:paraId="7A5F2ECA" w14:textId="77777777" w:rsidR="007D7892" w:rsidRPr="00A87691" w:rsidRDefault="007D7892" w:rsidP="007D7892">
      <w:pPr>
        <w:pBdr>
          <w:top w:val="nil"/>
          <w:left w:val="nil"/>
          <w:bottom w:val="nil"/>
          <w:right w:val="nil"/>
          <w:between w:val="nil"/>
        </w:pBdr>
        <w:rPr>
          <w:rFonts w:eastAsia="Palatino Linotype" w:cs="Palatino Linotype"/>
          <w:sz w:val="28"/>
          <w:szCs w:val="28"/>
        </w:rPr>
      </w:pPr>
    </w:p>
    <w:p w14:paraId="3092F465" w14:textId="77777777" w:rsidR="007D7892" w:rsidRPr="00A87691" w:rsidRDefault="007D7892" w:rsidP="007D7892">
      <w:pPr>
        <w:pBdr>
          <w:top w:val="nil"/>
          <w:left w:val="nil"/>
          <w:bottom w:val="nil"/>
          <w:right w:val="nil"/>
          <w:between w:val="nil"/>
        </w:pBdr>
        <w:rPr>
          <w:rFonts w:cs="Arial"/>
          <w:i/>
          <w:szCs w:val="24"/>
        </w:rPr>
      </w:pPr>
      <w:r w:rsidRPr="00A87691">
        <w:rPr>
          <w:rFonts w:eastAsia="Palatino Linotype" w:cs="Palatino Linotype"/>
          <w:b/>
          <w:sz w:val="28"/>
          <w:szCs w:val="28"/>
        </w:rPr>
        <w:t>SEGUNDO.</w:t>
      </w:r>
      <w:r w:rsidRPr="00A87691">
        <w:rPr>
          <w:rFonts w:eastAsia="Palatino Linotype" w:cs="Palatino Linotype"/>
          <w:b/>
          <w:szCs w:val="24"/>
        </w:rPr>
        <w:t xml:space="preserve"> </w:t>
      </w:r>
      <w:r w:rsidRPr="00A87691">
        <w:rPr>
          <w:rFonts w:cs="Arial"/>
          <w:b/>
          <w:szCs w:val="24"/>
        </w:rPr>
        <w:t>Notifíquese</w:t>
      </w:r>
      <w:r w:rsidRPr="00A87691">
        <w:rPr>
          <w:rFonts w:eastAsia="Palatino Linotype" w:cs="Palatino Linotype"/>
          <w:b/>
          <w:szCs w:val="24"/>
        </w:rPr>
        <w:t xml:space="preserve">, </w:t>
      </w:r>
      <w:r w:rsidRPr="00A87691">
        <w:rPr>
          <w:rFonts w:eastAsia="Palatino Linotype" w:cs="Palatino Linotype"/>
          <w:szCs w:val="24"/>
        </w:rPr>
        <w:t>vía Sistema de Acceso a la Información Mexiquense (</w:t>
      </w:r>
      <w:r w:rsidRPr="00A87691">
        <w:rPr>
          <w:rFonts w:eastAsia="Palatino Linotype" w:cs="Palatino Linotype"/>
          <w:b/>
          <w:szCs w:val="24"/>
        </w:rPr>
        <w:t>SAIMEX),</w:t>
      </w:r>
      <w:r w:rsidRPr="00A87691">
        <w:rPr>
          <w:rFonts w:eastAsia="Palatino Linotype" w:cs="Palatino Linotype"/>
          <w:szCs w:val="24"/>
        </w:rPr>
        <w:t xml:space="preserve"> la presente resolución al Titular de la Unidad de Transparencia del </w:t>
      </w:r>
      <w:r w:rsidRPr="00A87691">
        <w:rPr>
          <w:rFonts w:eastAsia="Palatino Linotype" w:cs="Palatino Linotype"/>
          <w:b/>
          <w:szCs w:val="24"/>
        </w:rPr>
        <w:t>SUJETO OBLIGADO.</w:t>
      </w:r>
    </w:p>
    <w:p w14:paraId="10B687A8" w14:textId="77777777" w:rsidR="007D7892" w:rsidRPr="00A87691" w:rsidRDefault="007D7892" w:rsidP="007D7892">
      <w:pPr>
        <w:rPr>
          <w:rFonts w:cs="Arial"/>
          <w:szCs w:val="24"/>
          <w:lang w:eastAsia="es-ES"/>
        </w:rPr>
      </w:pPr>
    </w:p>
    <w:p w14:paraId="457EFE04" w14:textId="77777777" w:rsidR="007D7892" w:rsidRPr="00352EDF" w:rsidRDefault="007D7892" w:rsidP="007D7892">
      <w:pPr>
        <w:rPr>
          <w:rFonts w:cs="Arial"/>
          <w:szCs w:val="24"/>
        </w:rPr>
      </w:pPr>
      <w:r w:rsidRPr="00A87691">
        <w:rPr>
          <w:rFonts w:eastAsia="Palatino Linotype" w:cs="Palatino Linotype"/>
          <w:b/>
          <w:sz w:val="28"/>
          <w:szCs w:val="28"/>
        </w:rPr>
        <w:t>TERCERO.</w:t>
      </w:r>
      <w:r w:rsidRPr="00A87691">
        <w:rPr>
          <w:rFonts w:eastAsia="Palatino Linotype" w:cs="Palatino Linotype"/>
          <w:b/>
          <w:szCs w:val="24"/>
        </w:rPr>
        <w:t xml:space="preserve"> </w:t>
      </w:r>
      <w:r w:rsidRPr="00A87691">
        <w:rPr>
          <w:rFonts w:cs="Arial"/>
          <w:b/>
          <w:szCs w:val="24"/>
          <w:lang w:val="es-ES" w:eastAsia="es-ES"/>
        </w:rPr>
        <w:t>Notifíquese</w:t>
      </w:r>
      <w:r w:rsidRPr="00A87691">
        <w:rPr>
          <w:rFonts w:cs="Arial"/>
          <w:szCs w:val="24"/>
          <w:lang w:val="es-ES" w:eastAsia="es-ES"/>
        </w:rPr>
        <w:t xml:space="preserve"> </w:t>
      </w:r>
      <w:r w:rsidRPr="00A87691">
        <w:rPr>
          <w:rFonts w:cs="Arial"/>
          <w:b/>
          <w:szCs w:val="24"/>
          <w:lang w:val="es-ES" w:eastAsia="es-ES"/>
        </w:rPr>
        <w:t>a la Recurrente</w:t>
      </w:r>
      <w:r w:rsidRPr="00A87691">
        <w:rPr>
          <w:rFonts w:cs="Arial"/>
          <w:szCs w:val="24"/>
          <w:lang w:val="es-ES" w:eastAsia="es-ES"/>
        </w:rPr>
        <w:t xml:space="preserve"> a través del </w:t>
      </w:r>
      <w:r w:rsidRPr="00A87691">
        <w:rPr>
          <w:rFonts w:eastAsia="Palatino Linotype" w:cs="Palatino Linotype"/>
          <w:szCs w:val="24"/>
        </w:rPr>
        <w:t>Sistema de Acceso a la Información Mexiquense</w:t>
      </w:r>
      <w:r w:rsidRPr="00A87691">
        <w:rPr>
          <w:rFonts w:cs="Arial"/>
          <w:szCs w:val="24"/>
          <w:lang w:val="es-ES" w:eastAsia="es-ES"/>
        </w:rPr>
        <w:t xml:space="preserve"> (</w:t>
      </w:r>
      <w:r w:rsidRPr="00A87691">
        <w:rPr>
          <w:rFonts w:cs="Arial"/>
          <w:b/>
          <w:szCs w:val="24"/>
          <w:lang w:val="es-ES" w:eastAsia="es-ES"/>
        </w:rPr>
        <w:t>SAIMEX),</w:t>
      </w:r>
      <w:r w:rsidRPr="00A87691">
        <w:rPr>
          <w:rFonts w:cs="Arial"/>
          <w:szCs w:val="24"/>
          <w:lang w:val="es-ES" w:eastAsia="es-ES"/>
        </w:rPr>
        <w:t xml:space="preserve"> la presente resolución, y hágase de su conocimiento que en caso de considerar que la presente resolución le causa algún perjuicio, podrá </w:t>
      </w:r>
      <w:r w:rsidRPr="00A87691">
        <w:rPr>
          <w:rFonts w:cs="Arial"/>
          <w:szCs w:val="24"/>
          <w:lang w:val="es-ES" w:eastAsia="es-ES"/>
        </w:rPr>
        <w:lastRenderedPageBreak/>
        <w:t>interponer el juicio de amparo, en los términos de las leyes aplicables de acuerdo con lo estipulado en el artículo 196 de la Ley de Transparencia y Acceso a la Información Pública del Estado de México y Municipios.</w:t>
      </w:r>
    </w:p>
    <w:p w14:paraId="6DEFFE20" w14:textId="77777777" w:rsidR="0046458F" w:rsidRDefault="0046458F" w:rsidP="00511260">
      <w:pPr>
        <w:rPr>
          <w:rFonts w:eastAsia="Palatino Linotype" w:cs="Palatino Linotype"/>
        </w:rPr>
      </w:pPr>
    </w:p>
    <w:p w14:paraId="447A58D6" w14:textId="1E4B8BB6" w:rsidR="00511260" w:rsidRPr="00F7034C" w:rsidRDefault="00511260" w:rsidP="00511260">
      <w:pPr>
        <w:rPr>
          <w:rFonts w:cs="Arial"/>
          <w:szCs w:val="24"/>
          <w:lang w:val="es-MX"/>
        </w:rPr>
      </w:pPr>
      <w:r>
        <w:rPr>
          <w:rFonts w:cs="Arial"/>
          <w:szCs w:val="24"/>
        </w:rPr>
        <w:t xml:space="preserve">ASÍ LO RESUELVE, POR </w:t>
      </w:r>
      <w:r w:rsidRPr="005F5C5C">
        <w:rPr>
          <w:rFonts w:cs="Arial"/>
          <w:b/>
          <w:bCs/>
          <w:szCs w:val="24"/>
        </w:rPr>
        <w:t>UNANIMIDAD DE VOTOS</w:t>
      </w:r>
      <w:r>
        <w:rPr>
          <w:rFonts w:cs="Arial"/>
          <w:szCs w:val="24"/>
        </w:rPr>
        <w:t xml:space="preserve">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 SHARON CRISTINA MORALES MARTÍNEZ, LUIS GUSTAVO PARRA NORIEGA Y GUADALUPE RAMÍREZ PEÑA, E</w:t>
      </w:r>
      <w:r w:rsidR="005F5C5C">
        <w:rPr>
          <w:rFonts w:cs="Arial"/>
          <w:szCs w:val="24"/>
        </w:rPr>
        <w:t xml:space="preserve">N </w:t>
      </w:r>
      <w:r w:rsidR="005F5C5C" w:rsidRPr="005F5C5C">
        <w:rPr>
          <w:rFonts w:cs="Arial"/>
          <w:b/>
          <w:bCs/>
          <w:szCs w:val="24"/>
        </w:rPr>
        <w:t>LA TRIGÉSIMA</w:t>
      </w:r>
      <w:r w:rsidRPr="005F5C5C">
        <w:rPr>
          <w:rFonts w:cs="Arial"/>
          <w:b/>
          <w:bCs/>
          <w:szCs w:val="24"/>
          <w:lang w:val="es-419"/>
        </w:rPr>
        <w:t xml:space="preserve"> </w:t>
      </w:r>
      <w:r w:rsidR="00FD3EB2">
        <w:rPr>
          <w:rFonts w:cs="Arial"/>
          <w:b/>
          <w:bCs/>
          <w:szCs w:val="24"/>
          <w:lang w:val="es-419"/>
        </w:rPr>
        <w:t>OCTAVA</w:t>
      </w:r>
      <w:r w:rsidRPr="005F5C5C">
        <w:rPr>
          <w:rFonts w:cs="Arial"/>
          <w:b/>
          <w:bCs/>
          <w:szCs w:val="24"/>
          <w:lang w:val="es-419"/>
        </w:rPr>
        <w:t xml:space="preserve"> </w:t>
      </w:r>
      <w:r w:rsidRPr="005F5C5C">
        <w:rPr>
          <w:rFonts w:cs="Arial"/>
          <w:b/>
          <w:bCs/>
          <w:szCs w:val="24"/>
        </w:rPr>
        <w:t>SESIÓN ORDINARIA CELEBRADA</w:t>
      </w:r>
      <w:r w:rsidR="005F5C5C">
        <w:rPr>
          <w:rFonts w:cs="Arial"/>
          <w:b/>
          <w:bCs/>
          <w:szCs w:val="24"/>
        </w:rPr>
        <w:t xml:space="preserve"> EL </w:t>
      </w:r>
      <w:r w:rsidR="008A1C85">
        <w:rPr>
          <w:rFonts w:cs="Arial"/>
          <w:b/>
          <w:bCs/>
          <w:szCs w:val="24"/>
        </w:rPr>
        <w:t>SEIS DE NOVIEMBRE</w:t>
      </w:r>
      <w:r w:rsidR="005F5C5C">
        <w:rPr>
          <w:rFonts w:cs="Arial"/>
          <w:b/>
          <w:bCs/>
          <w:szCs w:val="24"/>
        </w:rPr>
        <w:t xml:space="preserve"> DE DOS MIL VEINTICUATRO</w:t>
      </w:r>
      <w:r>
        <w:rPr>
          <w:rFonts w:cs="Arial"/>
          <w:szCs w:val="24"/>
        </w:rPr>
        <w:t>, ANTE EL SECRETARIO TÉCNICO DEL PLENO, ALEXIS TAPIA RAMÍREZ. --------------------------------------------------------------------------------------------------------------------------------------------------------------------------------------------------------------------------</w:t>
      </w:r>
      <w:r w:rsidR="004A5602" w:rsidRPr="004A5602">
        <w:rPr>
          <w:rFonts w:cs="Arial"/>
          <w:szCs w:val="24"/>
        </w:rPr>
        <w:t>------------------------------------------------------------------------------------------------------------------------------------------------------------------------------------------------------------------------------------------------------------------------------------------------------------------------------------------------------------------------------------------------------------------------------------------------------------------------------------------------------------------------------------------------------------------------------------------------------------------------------------------------------------------------------------------------------------------------------------------------------------------------------------------------------------------------------------------------------------------------------------------------------------------------------------------------------------------------------------------------------------------------------------------------------------------</w:t>
      </w:r>
      <w:r w:rsidR="004A5602">
        <w:rPr>
          <w:rFonts w:cs="Arial"/>
          <w:szCs w:val="24"/>
        </w:rPr>
        <w:t>---------------------------</w:t>
      </w:r>
    </w:p>
    <w:p w14:paraId="4AAAEFDA" w14:textId="77777777" w:rsidR="00511260" w:rsidRDefault="00511260" w:rsidP="00511260">
      <w:pPr>
        <w:rPr>
          <w:rFonts w:cs="Arial"/>
          <w:sz w:val="20"/>
        </w:rPr>
      </w:pPr>
      <w:r>
        <w:rPr>
          <w:rFonts w:cs="Arial"/>
          <w:sz w:val="20"/>
        </w:rPr>
        <w:t>JMV/CCR/NJMB</w:t>
      </w:r>
    </w:p>
    <w:p w14:paraId="1AC06A9F" w14:textId="77777777" w:rsidR="00511260" w:rsidRDefault="00511260" w:rsidP="00511260">
      <w:pPr>
        <w:rPr>
          <w:rFonts w:cs="Arial"/>
          <w:sz w:val="20"/>
        </w:rPr>
      </w:pPr>
    </w:p>
    <w:p w14:paraId="62C702DE" w14:textId="77777777" w:rsidR="00511260" w:rsidRDefault="00511260" w:rsidP="00511260">
      <w:pPr>
        <w:rPr>
          <w:rFonts w:cs="Arial"/>
          <w:sz w:val="20"/>
        </w:rPr>
      </w:pPr>
    </w:p>
    <w:p w14:paraId="07C5E5D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4E0EAE10"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38708F"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42E223"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34EA176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391B21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576957F2"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7F5FBEF8"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72E2B0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61366E68" w14:textId="77777777" w:rsidR="00511260" w:rsidRPr="004B7011" w:rsidRDefault="00511260" w:rsidP="00511260"/>
    <w:p w14:paraId="00368013" w14:textId="77777777" w:rsidR="00511260" w:rsidRDefault="00511260" w:rsidP="00511260"/>
    <w:p w14:paraId="45DC08C8" w14:textId="77777777" w:rsidR="00511260" w:rsidRDefault="00511260" w:rsidP="00511260"/>
    <w:p w14:paraId="1A6A0019" w14:textId="77777777" w:rsidR="00511260" w:rsidRDefault="00511260"/>
    <w:sectPr w:rsidR="00511260" w:rsidSect="00511260">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AEE37" w14:textId="77777777" w:rsidR="006D1F56" w:rsidRDefault="006D1F56" w:rsidP="00511260">
      <w:pPr>
        <w:spacing w:line="240" w:lineRule="auto"/>
      </w:pPr>
      <w:r>
        <w:separator/>
      </w:r>
    </w:p>
  </w:endnote>
  <w:endnote w:type="continuationSeparator" w:id="0">
    <w:p w14:paraId="08D78823" w14:textId="77777777" w:rsidR="006D1F56" w:rsidRDefault="006D1F56" w:rsidP="0051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E979" w14:textId="77777777" w:rsidR="00AA0380" w:rsidRPr="00871A91" w:rsidRDefault="00AA0380"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120DB">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120DB">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08D4" w14:textId="77777777" w:rsidR="00AA0380" w:rsidRPr="00871A91" w:rsidRDefault="00AA0380"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120D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120DB">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23B19" w14:textId="77777777" w:rsidR="006D1F56" w:rsidRDefault="006D1F56" w:rsidP="00511260">
      <w:pPr>
        <w:spacing w:line="240" w:lineRule="auto"/>
      </w:pPr>
      <w:r>
        <w:separator/>
      </w:r>
    </w:p>
  </w:footnote>
  <w:footnote w:type="continuationSeparator" w:id="0">
    <w:p w14:paraId="535B34C6" w14:textId="77777777" w:rsidR="006D1F56" w:rsidRDefault="006D1F56" w:rsidP="00511260">
      <w:pPr>
        <w:spacing w:line="240" w:lineRule="auto"/>
      </w:pPr>
      <w:r>
        <w:continuationSeparator/>
      </w:r>
    </w:p>
  </w:footnote>
  <w:footnote w:id="1">
    <w:p w14:paraId="2549BD1F" w14:textId="77777777" w:rsidR="00AA0380" w:rsidRPr="00481AAF" w:rsidRDefault="00AA0380" w:rsidP="00511260">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18E915AC" w14:textId="77777777" w:rsidR="00AA0380" w:rsidRPr="00946E1F" w:rsidRDefault="00AA0380" w:rsidP="00511260">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FF8AA01" w14:textId="0DF87448" w:rsidR="00AA0380" w:rsidRPr="005B5B86" w:rsidRDefault="00AA0380">
      <w:pPr>
        <w:pStyle w:val="Textonotapie"/>
        <w:rPr>
          <w:lang w:val="es-MX"/>
        </w:rPr>
      </w:pPr>
      <w:r>
        <w:rPr>
          <w:rStyle w:val="Refdenotaalpie"/>
        </w:rPr>
        <w:footnoteRef/>
      </w:r>
      <w:hyperlink r:id="rId3" w:history="1">
        <w:r w:rsidRPr="005B5B86">
          <w:rPr>
            <w:rStyle w:val="Hipervnculo"/>
            <w:sz w:val="18"/>
            <w:szCs w:val="18"/>
          </w:rPr>
          <w:t>https://finanzas.edomex.gob.mx/sites/finanzas.edomex.gob.mx/files/files/Servidores%20Publicos/MANUAL/Procedimientos/021_2019.pdf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423B" w14:textId="77777777" w:rsidR="00AA0380" w:rsidRDefault="00B120DB">
    <w:pPr>
      <w:pStyle w:val="Encabezado"/>
    </w:pPr>
    <w:r>
      <w:rPr>
        <w:noProof/>
        <w:lang w:val="es-MX" w:eastAsia="es-MX"/>
      </w:rPr>
      <w:pict w14:anchorId="40F1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A0380" w:rsidRPr="00B17577" w14:paraId="74F8F2EF" w14:textId="77777777" w:rsidTr="00F34B81">
      <w:trPr>
        <w:trHeight w:val="227"/>
      </w:trPr>
      <w:tc>
        <w:tcPr>
          <w:tcW w:w="5103" w:type="dxa"/>
          <w:hideMark/>
        </w:tcPr>
        <w:p w14:paraId="7016A1D4" w14:textId="77777777" w:rsidR="00AA0380" w:rsidRPr="00096248" w:rsidRDefault="00AA0380" w:rsidP="00F34B8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F4B4092" w14:textId="7BBD10ED" w:rsidR="00AA0380" w:rsidRPr="00096248" w:rsidRDefault="00AA0380" w:rsidP="00F34B81">
          <w:pPr>
            <w:spacing w:after="120" w:line="240" w:lineRule="auto"/>
            <w:ind w:right="71"/>
            <w:jc w:val="right"/>
            <w:rPr>
              <w:rFonts w:cs="Arial"/>
              <w:b/>
              <w:szCs w:val="24"/>
            </w:rPr>
          </w:pPr>
          <w:r>
            <w:rPr>
              <w:rFonts w:cs="Arial"/>
              <w:b/>
              <w:bCs/>
              <w:szCs w:val="24"/>
            </w:rPr>
            <w:t>05820</w:t>
          </w:r>
          <w:r w:rsidRPr="00096248">
            <w:rPr>
              <w:rFonts w:cs="Arial"/>
              <w:b/>
              <w:bCs/>
              <w:szCs w:val="24"/>
            </w:rPr>
            <w:t>/INFOEM/IP/RR/202</w:t>
          </w:r>
          <w:r>
            <w:rPr>
              <w:rFonts w:cs="Arial"/>
              <w:b/>
              <w:bCs/>
              <w:szCs w:val="24"/>
            </w:rPr>
            <w:t>4</w:t>
          </w:r>
        </w:p>
      </w:tc>
    </w:tr>
    <w:tr w:rsidR="00AA0380" w14:paraId="18E3B481" w14:textId="77777777" w:rsidTr="00F34B81">
      <w:trPr>
        <w:trHeight w:val="242"/>
      </w:trPr>
      <w:tc>
        <w:tcPr>
          <w:tcW w:w="5103" w:type="dxa"/>
          <w:hideMark/>
        </w:tcPr>
        <w:p w14:paraId="0D8CA91F" w14:textId="77777777" w:rsidR="00AA0380" w:rsidRPr="00096248" w:rsidRDefault="00AA0380" w:rsidP="00F34B81">
          <w:pPr>
            <w:spacing w:after="120" w:line="240" w:lineRule="auto"/>
            <w:ind w:right="69"/>
            <w:jc w:val="right"/>
            <w:rPr>
              <w:rFonts w:cs="Arial"/>
              <w:b/>
              <w:szCs w:val="24"/>
            </w:rPr>
          </w:pPr>
          <w:r w:rsidRPr="00096248">
            <w:rPr>
              <w:rFonts w:cs="Arial"/>
              <w:b/>
              <w:szCs w:val="24"/>
            </w:rPr>
            <w:t>Sujeto Obligado:</w:t>
          </w:r>
        </w:p>
      </w:tc>
      <w:tc>
        <w:tcPr>
          <w:tcW w:w="4395" w:type="dxa"/>
          <w:hideMark/>
        </w:tcPr>
        <w:p w14:paraId="6840CC1F" w14:textId="7754C52D" w:rsidR="00AA0380" w:rsidRPr="00096248" w:rsidRDefault="00AA0380" w:rsidP="009C7E85">
          <w:pPr>
            <w:spacing w:after="120" w:line="240" w:lineRule="auto"/>
            <w:ind w:left="-81" w:right="71"/>
            <w:jc w:val="right"/>
            <w:rPr>
              <w:rFonts w:cs="Arial"/>
              <w:szCs w:val="24"/>
            </w:rPr>
          </w:pPr>
          <w:r>
            <w:rPr>
              <w:rFonts w:cs="Arial"/>
              <w:b/>
              <w:bCs/>
              <w:szCs w:val="24"/>
            </w:rPr>
            <w:t>Secretaría de Finanzas</w:t>
          </w:r>
        </w:p>
      </w:tc>
    </w:tr>
    <w:tr w:rsidR="00AA0380" w:rsidRPr="00F63239" w14:paraId="2CCA9704" w14:textId="77777777" w:rsidTr="00F34B81">
      <w:trPr>
        <w:trHeight w:val="342"/>
      </w:trPr>
      <w:tc>
        <w:tcPr>
          <w:tcW w:w="5103" w:type="dxa"/>
          <w:hideMark/>
        </w:tcPr>
        <w:p w14:paraId="72907A46" w14:textId="77777777" w:rsidR="00AA0380" w:rsidRPr="00096248" w:rsidRDefault="00AA0380" w:rsidP="00F34B8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BAFBF39" w14:textId="77777777" w:rsidR="00AA0380" w:rsidRDefault="00AA0380" w:rsidP="00F34B81">
          <w:pPr>
            <w:spacing w:after="120" w:line="240" w:lineRule="auto"/>
            <w:ind w:left="-486" w:right="71" w:firstLine="567"/>
            <w:jc w:val="right"/>
            <w:rPr>
              <w:rFonts w:cs="Arial"/>
              <w:szCs w:val="24"/>
            </w:rPr>
          </w:pPr>
          <w:r w:rsidRPr="00096248">
            <w:rPr>
              <w:rFonts w:cs="Arial"/>
              <w:szCs w:val="24"/>
            </w:rPr>
            <w:t>José Martínez Vilchis</w:t>
          </w:r>
        </w:p>
        <w:p w14:paraId="1047C7D9" w14:textId="77777777" w:rsidR="00AA0380" w:rsidRPr="00711916" w:rsidRDefault="00AA0380" w:rsidP="00F34B81">
          <w:pPr>
            <w:spacing w:after="120" w:line="240" w:lineRule="auto"/>
            <w:ind w:left="-486" w:right="71" w:firstLine="567"/>
            <w:jc w:val="right"/>
            <w:rPr>
              <w:rFonts w:cs="Arial"/>
              <w:sz w:val="2"/>
              <w:szCs w:val="2"/>
            </w:rPr>
          </w:pPr>
        </w:p>
      </w:tc>
    </w:tr>
  </w:tbl>
  <w:p w14:paraId="73103D5B" w14:textId="77777777" w:rsidR="00AA0380" w:rsidRPr="00871A91" w:rsidRDefault="00B120DB">
    <w:pPr>
      <w:pStyle w:val="Encabezado"/>
      <w:rPr>
        <w:sz w:val="2"/>
      </w:rPr>
    </w:pPr>
    <w:r>
      <w:rPr>
        <w:noProof/>
        <w:lang w:val="es-MX" w:eastAsia="es-MX"/>
      </w:rPr>
      <w:pict w14:anchorId="7D3C7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AA038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A0380" w14:paraId="70AFDA88" w14:textId="77777777" w:rsidTr="00F34B81">
      <w:trPr>
        <w:trHeight w:val="227"/>
      </w:trPr>
      <w:tc>
        <w:tcPr>
          <w:tcW w:w="5103" w:type="dxa"/>
          <w:hideMark/>
        </w:tcPr>
        <w:p w14:paraId="3D064589" w14:textId="77777777" w:rsidR="00AA0380" w:rsidRPr="00663A37" w:rsidRDefault="00AA0380" w:rsidP="00F34B8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4A673A9" w14:textId="61145DE0" w:rsidR="00AA0380" w:rsidRPr="001776EC" w:rsidRDefault="00AA0380" w:rsidP="009C7E85">
          <w:pPr>
            <w:spacing w:after="120" w:line="240" w:lineRule="auto"/>
            <w:ind w:left="-486" w:right="68" w:firstLine="558"/>
            <w:jc w:val="right"/>
            <w:rPr>
              <w:rFonts w:cs="Arial"/>
              <w:b/>
              <w:bCs/>
              <w:szCs w:val="24"/>
            </w:rPr>
          </w:pPr>
          <w:r>
            <w:rPr>
              <w:rFonts w:cs="Arial"/>
              <w:b/>
              <w:bCs/>
              <w:szCs w:val="24"/>
            </w:rPr>
            <w:t xml:space="preserve">05820/INFOEM/IP/RR/2024 </w:t>
          </w:r>
        </w:p>
      </w:tc>
    </w:tr>
    <w:tr w:rsidR="00AA0380" w:rsidRPr="001F57CD" w14:paraId="32A34B18" w14:textId="77777777" w:rsidTr="00F34B81">
      <w:trPr>
        <w:trHeight w:val="196"/>
      </w:trPr>
      <w:tc>
        <w:tcPr>
          <w:tcW w:w="5103" w:type="dxa"/>
          <w:hideMark/>
        </w:tcPr>
        <w:p w14:paraId="255F7FD4" w14:textId="77777777" w:rsidR="00AA0380" w:rsidRPr="00663A37" w:rsidRDefault="00AA0380" w:rsidP="00F34B81">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5BB7BB8F" w14:textId="4F939AFE" w:rsidR="00AA0380" w:rsidRPr="00663A37" w:rsidRDefault="00B120DB" w:rsidP="00B120DB">
          <w:pPr>
            <w:spacing w:after="120" w:line="240" w:lineRule="auto"/>
            <w:ind w:right="68"/>
            <w:jc w:val="right"/>
            <w:rPr>
              <w:rFonts w:cs="Arial"/>
              <w:szCs w:val="24"/>
            </w:rPr>
          </w:pPr>
          <w:r>
            <w:rPr>
              <w:rFonts w:cs="Arial"/>
              <w:szCs w:val="24"/>
            </w:rPr>
            <w:t>XXXXXXXXXXXXXX</w:t>
          </w:r>
          <w:r w:rsidR="00AA0380">
            <w:rPr>
              <w:rFonts w:cs="Arial"/>
              <w:szCs w:val="24"/>
            </w:rPr>
            <w:t xml:space="preserve"> </w:t>
          </w:r>
          <w:r>
            <w:rPr>
              <w:rFonts w:cs="Arial"/>
              <w:szCs w:val="24"/>
            </w:rPr>
            <w:t>XXXXXXXXXXXX</w:t>
          </w:r>
        </w:p>
      </w:tc>
    </w:tr>
    <w:tr w:rsidR="00AA0380" w14:paraId="7472047E" w14:textId="77777777" w:rsidTr="00F34B81">
      <w:trPr>
        <w:trHeight w:val="242"/>
      </w:trPr>
      <w:tc>
        <w:tcPr>
          <w:tcW w:w="5103" w:type="dxa"/>
          <w:hideMark/>
        </w:tcPr>
        <w:p w14:paraId="3D84B202" w14:textId="77777777" w:rsidR="00AA0380" w:rsidRPr="00663A37" w:rsidRDefault="00AA0380" w:rsidP="00F34B81">
          <w:pPr>
            <w:spacing w:after="120" w:line="240" w:lineRule="auto"/>
            <w:ind w:right="68"/>
            <w:jc w:val="right"/>
            <w:rPr>
              <w:rFonts w:cs="Arial"/>
              <w:b/>
              <w:szCs w:val="24"/>
            </w:rPr>
          </w:pPr>
          <w:r w:rsidRPr="00663A37">
            <w:rPr>
              <w:rFonts w:cs="Arial"/>
              <w:b/>
              <w:szCs w:val="24"/>
            </w:rPr>
            <w:t>Sujeto Obligado:</w:t>
          </w:r>
        </w:p>
      </w:tc>
      <w:tc>
        <w:tcPr>
          <w:tcW w:w="4395" w:type="dxa"/>
          <w:hideMark/>
        </w:tcPr>
        <w:p w14:paraId="26ADCBD9" w14:textId="00B507A0" w:rsidR="00AA0380" w:rsidRPr="00663A37" w:rsidRDefault="00AA0380" w:rsidP="009C7E85">
          <w:pPr>
            <w:spacing w:after="120" w:line="240" w:lineRule="auto"/>
            <w:ind w:left="-70" w:right="68"/>
            <w:jc w:val="right"/>
            <w:rPr>
              <w:rFonts w:cs="Arial"/>
              <w:szCs w:val="24"/>
            </w:rPr>
          </w:pPr>
          <w:r>
            <w:rPr>
              <w:rFonts w:cs="Arial"/>
              <w:b/>
              <w:bCs/>
              <w:szCs w:val="24"/>
            </w:rPr>
            <w:t>Secretaría de Finanzas</w:t>
          </w:r>
          <w:r w:rsidRPr="00D321D8">
            <w:rPr>
              <w:rFonts w:cs="Arial"/>
              <w:b/>
              <w:bCs/>
              <w:szCs w:val="24"/>
            </w:rPr>
            <w:t xml:space="preserve"> </w:t>
          </w:r>
        </w:p>
      </w:tc>
    </w:tr>
    <w:tr w:rsidR="00AA0380" w14:paraId="7436AB92" w14:textId="77777777" w:rsidTr="00F34B81">
      <w:trPr>
        <w:trHeight w:val="342"/>
      </w:trPr>
      <w:tc>
        <w:tcPr>
          <w:tcW w:w="5103" w:type="dxa"/>
          <w:hideMark/>
        </w:tcPr>
        <w:p w14:paraId="55234C9C" w14:textId="77777777" w:rsidR="00AA0380" w:rsidRPr="00663A37" w:rsidRDefault="00AA0380" w:rsidP="00F34B8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463ED9CF" w14:textId="77777777" w:rsidR="00AA0380" w:rsidRPr="00663A37" w:rsidRDefault="00AA0380" w:rsidP="00F34B81">
          <w:pPr>
            <w:spacing w:after="120" w:line="240" w:lineRule="auto"/>
            <w:ind w:left="-486" w:right="68" w:firstLine="567"/>
            <w:jc w:val="right"/>
            <w:rPr>
              <w:rFonts w:cs="Arial"/>
              <w:szCs w:val="24"/>
            </w:rPr>
          </w:pPr>
          <w:r w:rsidRPr="00663A37">
            <w:rPr>
              <w:rFonts w:cs="Arial"/>
              <w:szCs w:val="24"/>
            </w:rPr>
            <w:t>José Martínez Vilchis</w:t>
          </w:r>
        </w:p>
      </w:tc>
    </w:tr>
  </w:tbl>
  <w:p w14:paraId="7060E3EA" w14:textId="77777777" w:rsidR="00AA0380" w:rsidRPr="00871A91" w:rsidRDefault="00AA0380">
    <w:pPr>
      <w:pStyle w:val="Encabezado"/>
      <w:rPr>
        <w:sz w:val="2"/>
      </w:rPr>
    </w:pPr>
    <w:r>
      <w:rPr>
        <w:noProof/>
        <w:lang w:val="es-MX" w:eastAsia="es-MX"/>
      </w:rPr>
      <w:drawing>
        <wp:anchor distT="0" distB="0" distL="114300" distR="114300" simplePos="0" relativeHeight="251661312" behindDoc="1" locked="0" layoutInCell="0" allowOverlap="1" wp14:anchorId="05732BEF" wp14:editId="2E69136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DAE"/>
    <w:multiLevelType w:val="hybridMultilevel"/>
    <w:tmpl w:val="D714B6F6"/>
    <w:lvl w:ilvl="0" w:tplc="7D2452E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3"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D8C4DE0"/>
    <w:multiLevelType w:val="hybridMultilevel"/>
    <w:tmpl w:val="7F4291C0"/>
    <w:lvl w:ilvl="0" w:tplc="A3D6F8CC">
      <w:start w:val="1"/>
      <w:numFmt w:val="decimal"/>
      <w:lvlText w:val="%1."/>
      <w:lvlJc w:val="left"/>
      <w:pPr>
        <w:ind w:left="1429" w:hanging="360"/>
      </w:pPr>
      <w:rPr>
        <w:rFonts w:eastAsia="Calibri" w:cs="Calibri" w:hint="default"/>
        <w:i/>
      </w:rPr>
    </w:lvl>
    <w:lvl w:ilvl="1" w:tplc="0DFE4C1E">
      <w:numFmt w:val="bullet"/>
      <w:lvlText w:val="-"/>
      <w:lvlJc w:val="left"/>
      <w:pPr>
        <w:ind w:left="2149" w:hanging="360"/>
      </w:pPr>
      <w:rPr>
        <w:rFonts w:ascii="Palatino Linotype" w:eastAsia="Calibri" w:hAnsi="Palatino Linotype" w:cs="Arial" w:hint="default"/>
      </w:r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0EC2304"/>
    <w:multiLevelType w:val="hybridMultilevel"/>
    <w:tmpl w:val="3C4CB088"/>
    <w:lvl w:ilvl="0" w:tplc="0DDCFDC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1E059B0"/>
    <w:multiLevelType w:val="hybridMultilevel"/>
    <w:tmpl w:val="C5E8F32C"/>
    <w:lvl w:ilvl="0" w:tplc="94E45FC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11618C9"/>
    <w:multiLevelType w:val="hybridMultilevel"/>
    <w:tmpl w:val="CC58FFEA"/>
    <w:lvl w:ilvl="0" w:tplc="A7421166">
      <w:start w:val="580"/>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A32513"/>
    <w:multiLevelType w:val="hybridMultilevel"/>
    <w:tmpl w:val="B9E642F2"/>
    <w:lvl w:ilvl="0" w:tplc="42A668D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60839D1"/>
    <w:multiLevelType w:val="hybridMultilevel"/>
    <w:tmpl w:val="5D169F9C"/>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F054E3"/>
    <w:multiLevelType w:val="hybridMultilevel"/>
    <w:tmpl w:val="04E64BBC"/>
    <w:lvl w:ilvl="0" w:tplc="BDD4E55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D2E09D3"/>
    <w:multiLevelType w:val="hybridMultilevel"/>
    <w:tmpl w:val="439E5F3E"/>
    <w:lvl w:ilvl="0" w:tplc="6D980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9F25CE"/>
    <w:multiLevelType w:val="hybridMultilevel"/>
    <w:tmpl w:val="84C4DA46"/>
    <w:lvl w:ilvl="0" w:tplc="F7261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984205"/>
    <w:multiLevelType w:val="hybridMultilevel"/>
    <w:tmpl w:val="11DA4158"/>
    <w:lvl w:ilvl="0" w:tplc="364C5A56">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9"/>
  </w:num>
  <w:num w:numId="4">
    <w:abstractNumId w:val="4"/>
  </w:num>
  <w:num w:numId="5">
    <w:abstractNumId w:val="13"/>
  </w:num>
  <w:num w:numId="6">
    <w:abstractNumId w:val="5"/>
  </w:num>
  <w:num w:numId="7">
    <w:abstractNumId w:val="22"/>
  </w:num>
  <w:num w:numId="8">
    <w:abstractNumId w:val="0"/>
  </w:num>
  <w:num w:numId="9">
    <w:abstractNumId w:val="16"/>
  </w:num>
  <w:num w:numId="10">
    <w:abstractNumId w:val="15"/>
  </w:num>
  <w:num w:numId="11">
    <w:abstractNumId w:val="3"/>
  </w:num>
  <w:num w:numId="12">
    <w:abstractNumId w:val="2"/>
  </w:num>
  <w:num w:numId="13">
    <w:abstractNumId w:val="20"/>
  </w:num>
  <w:num w:numId="14">
    <w:abstractNumId w:val="1"/>
  </w:num>
  <w:num w:numId="15">
    <w:abstractNumId w:val="12"/>
  </w:num>
  <w:num w:numId="16">
    <w:abstractNumId w:val="9"/>
  </w:num>
  <w:num w:numId="17">
    <w:abstractNumId w:val="10"/>
  </w:num>
  <w:num w:numId="18">
    <w:abstractNumId w:val="17"/>
  </w:num>
  <w:num w:numId="19">
    <w:abstractNumId w:val="18"/>
  </w:num>
  <w:num w:numId="20">
    <w:abstractNumId w:val="6"/>
  </w:num>
  <w:num w:numId="21">
    <w:abstractNumId w:val="8"/>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60"/>
    <w:rsid w:val="000076C9"/>
    <w:rsid w:val="00090A5D"/>
    <w:rsid w:val="0010537C"/>
    <w:rsid w:val="00133F65"/>
    <w:rsid w:val="00160494"/>
    <w:rsid w:val="001963C1"/>
    <w:rsid w:val="001A0AE4"/>
    <w:rsid w:val="001C6BDD"/>
    <w:rsid w:val="00246D6E"/>
    <w:rsid w:val="00263593"/>
    <w:rsid w:val="0027504B"/>
    <w:rsid w:val="00284DAC"/>
    <w:rsid w:val="002C6981"/>
    <w:rsid w:val="002E63E8"/>
    <w:rsid w:val="00350334"/>
    <w:rsid w:val="00362D0C"/>
    <w:rsid w:val="00366FF2"/>
    <w:rsid w:val="003918C4"/>
    <w:rsid w:val="003F1692"/>
    <w:rsid w:val="00407F9E"/>
    <w:rsid w:val="0044416C"/>
    <w:rsid w:val="004551AD"/>
    <w:rsid w:val="004643B1"/>
    <w:rsid w:val="0046458F"/>
    <w:rsid w:val="00471F4D"/>
    <w:rsid w:val="00474647"/>
    <w:rsid w:val="004A5602"/>
    <w:rsid w:val="004C1EAB"/>
    <w:rsid w:val="00511260"/>
    <w:rsid w:val="005142FA"/>
    <w:rsid w:val="00514E9D"/>
    <w:rsid w:val="00514EB8"/>
    <w:rsid w:val="00525C38"/>
    <w:rsid w:val="00555D9B"/>
    <w:rsid w:val="005B5B86"/>
    <w:rsid w:val="005D3B64"/>
    <w:rsid w:val="005F5407"/>
    <w:rsid w:val="005F5C5C"/>
    <w:rsid w:val="005F6C6D"/>
    <w:rsid w:val="0062671A"/>
    <w:rsid w:val="00646E4F"/>
    <w:rsid w:val="006537E2"/>
    <w:rsid w:val="00664BC2"/>
    <w:rsid w:val="006757F8"/>
    <w:rsid w:val="00686AA3"/>
    <w:rsid w:val="00690C9E"/>
    <w:rsid w:val="00693CB7"/>
    <w:rsid w:val="006970FB"/>
    <w:rsid w:val="006C7C42"/>
    <w:rsid w:val="006D1F56"/>
    <w:rsid w:val="007460DF"/>
    <w:rsid w:val="007464C3"/>
    <w:rsid w:val="0079595B"/>
    <w:rsid w:val="00796422"/>
    <w:rsid w:val="007B1488"/>
    <w:rsid w:val="007D237D"/>
    <w:rsid w:val="007D7892"/>
    <w:rsid w:val="008030AF"/>
    <w:rsid w:val="008156CA"/>
    <w:rsid w:val="0082399A"/>
    <w:rsid w:val="00832271"/>
    <w:rsid w:val="0088777B"/>
    <w:rsid w:val="00897555"/>
    <w:rsid w:val="008A1C85"/>
    <w:rsid w:val="008A512A"/>
    <w:rsid w:val="008D2BAF"/>
    <w:rsid w:val="008E4499"/>
    <w:rsid w:val="008F7EEB"/>
    <w:rsid w:val="009275AE"/>
    <w:rsid w:val="00931B6C"/>
    <w:rsid w:val="0093331B"/>
    <w:rsid w:val="009417F8"/>
    <w:rsid w:val="00942196"/>
    <w:rsid w:val="00950A34"/>
    <w:rsid w:val="00963ABA"/>
    <w:rsid w:val="009C5C83"/>
    <w:rsid w:val="009C7E85"/>
    <w:rsid w:val="00A336A2"/>
    <w:rsid w:val="00A35E71"/>
    <w:rsid w:val="00A45A88"/>
    <w:rsid w:val="00A87691"/>
    <w:rsid w:val="00AA0380"/>
    <w:rsid w:val="00B06067"/>
    <w:rsid w:val="00B120DB"/>
    <w:rsid w:val="00B156C7"/>
    <w:rsid w:val="00B201FA"/>
    <w:rsid w:val="00B40A7A"/>
    <w:rsid w:val="00B41B79"/>
    <w:rsid w:val="00B426F3"/>
    <w:rsid w:val="00B52B00"/>
    <w:rsid w:val="00B671D7"/>
    <w:rsid w:val="00BB1B59"/>
    <w:rsid w:val="00BC7542"/>
    <w:rsid w:val="00C324F0"/>
    <w:rsid w:val="00C96F02"/>
    <w:rsid w:val="00CA454B"/>
    <w:rsid w:val="00CB17C5"/>
    <w:rsid w:val="00CF6235"/>
    <w:rsid w:val="00CF7459"/>
    <w:rsid w:val="00D321D8"/>
    <w:rsid w:val="00D41B9A"/>
    <w:rsid w:val="00DA406E"/>
    <w:rsid w:val="00DA5FB4"/>
    <w:rsid w:val="00E37B9A"/>
    <w:rsid w:val="00E513F1"/>
    <w:rsid w:val="00E718F8"/>
    <w:rsid w:val="00E8444D"/>
    <w:rsid w:val="00EB36C6"/>
    <w:rsid w:val="00ED3B2F"/>
    <w:rsid w:val="00EE0923"/>
    <w:rsid w:val="00F12945"/>
    <w:rsid w:val="00F34B81"/>
    <w:rsid w:val="00F44E85"/>
    <w:rsid w:val="00F52C70"/>
    <w:rsid w:val="00F7034C"/>
    <w:rsid w:val="00FD12E0"/>
    <w:rsid w:val="00FD3EB2"/>
    <w:rsid w:val="00FE1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00566"/>
  <w15:chartTrackingRefBased/>
  <w15:docId w15:val="{4650A120-658D-49D8-A205-3B2DFAB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60"/>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511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511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12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12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12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12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12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12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12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11260"/>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5112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12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12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12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12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12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12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1260"/>
    <w:rPr>
      <w:rFonts w:eastAsiaTheme="majorEastAsia" w:cstheme="majorBidi"/>
      <w:color w:val="272727" w:themeColor="text1" w:themeTint="D8"/>
    </w:rPr>
  </w:style>
  <w:style w:type="paragraph" w:styleId="Puesto">
    <w:name w:val="Title"/>
    <w:basedOn w:val="Normal"/>
    <w:next w:val="Normal"/>
    <w:link w:val="PuestoCar"/>
    <w:uiPriority w:val="10"/>
    <w:qFormat/>
    <w:rsid w:val="00511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112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12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12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1260"/>
    <w:pPr>
      <w:spacing w:before="160"/>
      <w:jc w:val="center"/>
    </w:pPr>
    <w:rPr>
      <w:i/>
      <w:iCs/>
      <w:color w:val="404040" w:themeColor="text1" w:themeTint="BF"/>
    </w:rPr>
  </w:style>
  <w:style w:type="character" w:customStyle="1" w:styleId="CitaCar">
    <w:name w:val="Cita Car"/>
    <w:basedOn w:val="Fuentedeprrafopredeter"/>
    <w:link w:val="Cita"/>
    <w:uiPriority w:val="29"/>
    <w:rsid w:val="0051126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1260"/>
    <w:pPr>
      <w:ind w:left="720"/>
      <w:contextualSpacing/>
    </w:pPr>
  </w:style>
  <w:style w:type="character" w:styleId="nfasisintenso">
    <w:name w:val="Intense Emphasis"/>
    <w:basedOn w:val="Fuentedeprrafopredeter"/>
    <w:uiPriority w:val="21"/>
    <w:qFormat/>
    <w:rsid w:val="00511260"/>
    <w:rPr>
      <w:i/>
      <w:iCs/>
      <w:color w:val="0F4761" w:themeColor="accent1" w:themeShade="BF"/>
    </w:rPr>
  </w:style>
  <w:style w:type="paragraph" w:styleId="Citadestacada">
    <w:name w:val="Intense Quote"/>
    <w:basedOn w:val="Normal"/>
    <w:next w:val="Normal"/>
    <w:link w:val="CitadestacadaCar"/>
    <w:uiPriority w:val="30"/>
    <w:qFormat/>
    <w:rsid w:val="0051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1260"/>
    <w:rPr>
      <w:i/>
      <w:iCs/>
      <w:color w:val="0F4761" w:themeColor="accent1" w:themeShade="BF"/>
    </w:rPr>
  </w:style>
  <w:style w:type="character" w:styleId="Referenciaintensa">
    <w:name w:val="Intense Reference"/>
    <w:basedOn w:val="Fuentedeprrafopredeter"/>
    <w:uiPriority w:val="32"/>
    <w:qFormat/>
    <w:rsid w:val="00511260"/>
    <w:rPr>
      <w:b/>
      <w:bCs/>
      <w:smallCaps/>
      <w:color w:val="0F4761" w:themeColor="accent1" w:themeShade="BF"/>
      <w:spacing w:val="5"/>
    </w:rPr>
  </w:style>
  <w:style w:type="paragraph" w:styleId="Encabezado">
    <w:name w:val="header"/>
    <w:basedOn w:val="Normal"/>
    <w:link w:val="Encabezado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11260"/>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11260"/>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11260"/>
  </w:style>
  <w:style w:type="character" w:customStyle="1" w:styleId="apple-converted-space">
    <w:name w:val="apple-converted-space"/>
    <w:basedOn w:val="Fuentedeprrafopredeter"/>
    <w:rsid w:val="0051126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1126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1260"/>
    <w:rPr>
      <w:color w:val="467886" w:themeColor="hyperlink"/>
      <w:u w:val="single"/>
    </w:rPr>
  </w:style>
  <w:style w:type="paragraph" w:customStyle="1" w:styleId="Fundamentos">
    <w:name w:val="Fundamentos"/>
    <w:basedOn w:val="Normal"/>
    <w:qFormat/>
    <w:rsid w:val="0051126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511260"/>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511260"/>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D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321D8"/>
    <w:rPr>
      <w:color w:val="605E5C"/>
      <w:shd w:val="clear" w:color="auto" w:fill="E1DFDD"/>
    </w:rPr>
  </w:style>
  <w:style w:type="paragraph" w:customStyle="1" w:styleId="Default">
    <w:name w:val="Default"/>
    <w:rsid w:val="00E513F1"/>
    <w:pPr>
      <w:autoSpaceDE w:val="0"/>
      <w:autoSpaceDN w:val="0"/>
      <w:adjustRightInd w:val="0"/>
      <w:spacing w:after="0" w:line="240" w:lineRule="auto"/>
    </w:pPr>
    <w:rPr>
      <w:rFonts w:ascii="Palatino Linotype" w:hAnsi="Palatino Linotype" w:cs="Palatino Linotype"/>
      <w:color w:val="000000"/>
      <w:kern w:val="0"/>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B5B86"/>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B5B86"/>
    <w:rPr>
      <w:rFonts w:ascii="Palatino Linotype" w:eastAsia="Calibri" w:hAnsi="Palatino Linotype" w:cs="Calibri"/>
      <w:kern w:val="0"/>
      <w:sz w:val="20"/>
      <w:szCs w:val="20"/>
      <w:lang w:val="es-ES_tradnl" w:eastAsia="es-MX"/>
      <w14:ligatures w14:val="none"/>
    </w:rPr>
  </w:style>
  <w:style w:type="paragraph" w:customStyle="1" w:styleId="Citas">
    <w:name w:val="Citas"/>
    <w:basedOn w:val="Normal"/>
    <w:qFormat/>
    <w:rsid w:val="00897555"/>
    <w:pPr>
      <w:spacing w:before="240" w:after="160"/>
      <w:ind w:left="851" w:right="851"/>
    </w:pPr>
    <w:rPr>
      <w:rFonts w:eastAsiaTheme="minorHAnsi" w:cs="Arial"/>
      <w:i/>
      <w:sz w:val="22"/>
      <w:lang w:val="es-MX" w:eastAsia="en-US"/>
    </w:rPr>
  </w:style>
  <w:style w:type="paragraph" w:styleId="Revisin">
    <w:name w:val="Revision"/>
    <w:hidden/>
    <w:uiPriority w:val="99"/>
    <w:semiHidden/>
    <w:rsid w:val="00BC7542"/>
    <w:pPr>
      <w:spacing w:after="0" w:line="240" w:lineRule="auto"/>
    </w:pPr>
    <w:rPr>
      <w:rFonts w:ascii="Palatino Linotype" w:eastAsia="Calibri" w:hAnsi="Palatino Linotype" w:cs="Calibri"/>
      <w:kern w:val="0"/>
      <w:szCs w:val="22"/>
      <w:lang w:val="es-ES_tradnl" w:eastAsia="es-MX"/>
      <w14:ligatures w14:val="none"/>
    </w:rPr>
  </w:style>
  <w:style w:type="paragraph" w:styleId="Textodeglobo">
    <w:name w:val="Balloon Text"/>
    <w:basedOn w:val="Normal"/>
    <w:link w:val="TextodegloboCar"/>
    <w:uiPriority w:val="99"/>
    <w:semiHidden/>
    <w:unhideWhenUsed/>
    <w:rsid w:val="00AA038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380"/>
    <w:rPr>
      <w:rFonts w:ascii="Segoe UI" w:eastAsia="Calibri" w:hAnsi="Segoe UI" w:cs="Segoe UI"/>
      <w:kern w:val="0"/>
      <w:sz w:val="18"/>
      <w:szCs w:val="18"/>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4819">
      <w:bodyDiv w:val="1"/>
      <w:marLeft w:val="0"/>
      <w:marRight w:val="0"/>
      <w:marTop w:val="0"/>
      <w:marBottom w:val="0"/>
      <w:divBdr>
        <w:top w:val="none" w:sz="0" w:space="0" w:color="auto"/>
        <w:left w:val="none" w:sz="0" w:space="0" w:color="auto"/>
        <w:bottom w:val="none" w:sz="0" w:space="0" w:color="auto"/>
        <w:right w:val="none" w:sz="0" w:space="0" w:color="auto"/>
      </w:divBdr>
    </w:div>
    <w:div w:id="2055545035">
      <w:bodyDiv w:val="1"/>
      <w:marLeft w:val="0"/>
      <w:marRight w:val="0"/>
      <w:marTop w:val="0"/>
      <w:marBottom w:val="0"/>
      <w:divBdr>
        <w:top w:val="none" w:sz="0" w:space="0" w:color="auto"/>
        <w:left w:val="none" w:sz="0" w:space="0" w:color="auto"/>
        <w:bottom w:val="none" w:sz="0" w:space="0" w:color="auto"/>
        <w:right w:val="none" w:sz="0" w:space="0" w:color="auto"/>
      </w:divBdr>
    </w:div>
    <w:div w:id="21365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inanzas.edomex.gob.mx/sites/finanzas.edomex.gob.mx/files/files/Servidores%20Publicos/MANUAL/Procedimientos/021_2019.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1C99-2BE8-496F-8EB5-6A812CE0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4991</Words>
  <Characters>27455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5</cp:revision>
  <dcterms:created xsi:type="dcterms:W3CDTF">2024-10-24T19:49:00Z</dcterms:created>
  <dcterms:modified xsi:type="dcterms:W3CDTF">2024-11-22T18:47:00Z</dcterms:modified>
</cp:coreProperties>
</file>