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7627" w14:textId="3D2CD36A" w:rsidR="00F8557D" w:rsidRPr="00470507"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w:t>
      </w:r>
      <w:r w:rsidR="003018D5" w:rsidRPr="00470507">
        <w:rPr>
          <w:rFonts w:ascii="Palatino Linotype" w:eastAsia="Palatino Linotype" w:hAnsi="Palatino Linotype" w:cs="Palatino Linotype"/>
          <w:sz w:val="24"/>
          <w:szCs w:val="24"/>
        </w:rPr>
        <w:t xml:space="preserve">pec, Estado de México, de fecha </w:t>
      </w:r>
      <w:r w:rsidR="00877616" w:rsidRPr="00470507">
        <w:rPr>
          <w:rFonts w:ascii="Palatino Linotype" w:eastAsia="Palatino Linotype" w:hAnsi="Palatino Linotype" w:cs="Palatino Linotype"/>
          <w:sz w:val="24"/>
          <w:szCs w:val="24"/>
        </w:rPr>
        <w:t>tres de abril</w:t>
      </w:r>
      <w:r w:rsidR="003609F9" w:rsidRPr="00470507">
        <w:rPr>
          <w:rFonts w:ascii="Palatino Linotype" w:eastAsia="Palatino Linotype" w:hAnsi="Palatino Linotype" w:cs="Palatino Linotype"/>
          <w:sz w:val="24"/>
          <w:szCs w:val="24"/>
        </w:rPr>
        <w:t xml:space="preserve"> de dos mil veinticuatro</w:t>
      </w:r>
      <w:r w:rsidR="001E4407" w:rsidRPr="00470507">
        <w:rPr>
          <w:rFonts w:ascii="Palatino Linotype" w:eastAsia="Palatino Linotype" w:hAnsi="Palatino Linotype" w:cs="Palatino Linotype"/>
          <w:sz w:val="24"/>
          <w:szCs w:val="24"/>
        </w:rPr>
        <w:t xml:space="preserve">. </w:t>
      </w:r>
    </w:p>
    <w:p w14:paraId="74ED697E" w14:textId="77777777" w:rsidR="00F8557D" w:rsidRPr="00470507" w:rsidRDefault="00F8557D">
      <w:pPr>
        <w:spacing w:after="0" w:line="360" w:lineRule="auto"/>
        <w:ind w:right="49"/>
        <w:jc w:val="center"/>
        <w:rPr>
          <w:rFonts w:ascii="Palatino Linotype" w:eastAsia="Palatino Linotype" w:hAnsi="Palatino Linotype" w:cs="Palatino Linotype"/>
          <w:sz w:val="24"/>
          <w:szCs w:val="24"/>
        </w:rPr>
      </w:pPr>
    </w:p>
    <w:p w14:paraId="52F4F0DF" w14:textId="287BA060" w:rsidR="00F8557D" w:rsidRPr="00470507"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 xml:space="preserve">Visto el expediente relativo al recurso de revisión </w:t>
      </w:r>
      <w:r w:rsidR="005E4B25" w:rsidRPr="00470507">
        <w:rPr>
          <w:rFonts w:ascii="Palatino Linotype" w:eastAsia="Palatino Linotype" w:hAnsi="Palatino Linotype" w:cs="Palatino Linotype"/>
          <w:b/>
          <w:sz w:val="24"/>
          <w:szCs w:val="24"/>
        </w:rPr>
        <w:t>0</w:t>
      </w:r>
      <w:r w:rsidR="00C938C8" w:rsidRPr="00470507">
        <w:rPr>
          <w:rFonts w:ascii="Palatino Linotype" w:eastAsia="Palatino Linotype" w:hAnsi="Palatino Linotype" w:cs="Palatino Linotype"/>
          <w:b/>
          <w:sz w:val="24"/>
          <w:szCs w:val="24"/>
        </w:rPr>
        <w:t>6169</w:t>
      </w:r>
      <w:r w:rsidR="00D7458B" w:rsidRPr="00470507">
        <w:rPr>
          <w:rFonts w:ascii="Palatino Linotype" w:eastAsia="Palatino Linotype" w:hAnsi="Palatino Linotype" w:cs="Palatino Linotype"/>
          <w:b/>
          <w:sz w:val="24"/>
          <w:szCs w:val="24"/>
        </w:rPr>
        <w:t>/INFOEM/IP/RR/2023</w:t>
      </w:r>
      <w:r w:rsidRPr="00470507">
        <w:rPr>
          <w:rFonts w:ascii="Palatino Linotype" w:eastAsia="Palatino Linotype" w:hAnsi="Palatino Linotype" w:cs="Palatino Linotype"/>
          <w:sz w:val="24"/>
          <w:szCs w:val="24"/>
        </w:rPr>
        <w:t>, interpuesto por</w:t>
      </w:r>
      <w:r w:rsidR="001E4407" w:rsidRPr="00470507">
        <w:rPr>
          <w:rFonts w:ascii="Palatino Linotype" w:eastAsia="Palatino Linotype" w:hAnsi="Palatino Linotype" w:cs="Palatino Linotype"/>
          <w:sz w:val="24"/>
          <w:szCs w:val="24"/>
        </w:rPr>
        <w:t xml:space="preserve"> </w:t>
      </w:r>
      <w:r w:rsidR="00C163EE">
        <w:rPr>
          <w:rFonts w:ascii="Palatino Linotype" w:eastAsia="Palatino Linotype" w:hAnsi="Palatino Linotype" w:cs="Palatino Linotype"/>
          <w:b/>
          <w:bCs/>
          <w:sz w:val="24"/>
          <w:szCs w:val="24"/>
        </w:rPr>
        <w:t>XXXXXXX XXXXXX XXXX</w:t>
      </w:r>
      <w:r w:rsidRPr="00470507">
        <w:rPr>
          <w:rFonts w:ascii="Palatino Linotype" w:eastAsia="Palatino Linotype" w:hAnsi="Palatino Linotype" w:cs="Palatino Linotype"/>
          <w:sz w:val="24"/>
          <w:szCs w:val="24"/>
        </w:rPr>
        <w:t>, al cual en</w:t>
      </w:r>
      <w:r w:rsidR="0001679E" w:rsidRPr="00470507">
        <w:rPr>
          <w:rFonts w:ascii="Palatino Linotype" w:eastAsia="Palatino Linotype" w:hAnsi="Palatino Linotype" w:cs="Palatino Linotype"/>
          <w:sz w:val="24"/>
          <w:szCs w:val="24"/>
        </w:rPr>
        <w:t xml:space="preserve"> lo sucesivo se le denominará la parte</w:t>
      </w:r>
      <w:r w:rsidRPr="00470507">
        <w:rPr>
          <w:rFonts w:ascii="Palatino Linotype" w:eastAsia="Palatino Linotype" w:hAnsi="Palatino Linotype" w:cs="Palatino Linotype"/>
          <w:sz w:val="24"/>
          <w:szCs w:val="24"/>
        </w:rPr>
        <w:t xml:space="preserve"> </w:t>
      </w:r>
      <w:r w:rsidRPr="00470507">
        <w:rPr>
          <w:rFonts w:ascii="Palatino Linotype" w:eastAsia="Palatino Linotype" w:hAnsi="Palatino Linotype" w:cs="Palatino Linotype"/>
          <w:b/>
          <w:sz w:val="24"/>
          <w:szCs w:val="24"/>
        </w:rPr>
        <w:t>RECURRENTE</w:t>
      </w:r>
      <w:r w:rsidRPr="00470507">
        <w:rPr>
          <w:rFonts w:ascii="Palatino Linotype" w:eastAsia="Palatino Linotype" w:hAnsi="Palatino Linotype" w:cs="Palatino Linotype"/>
          <w:sz w:val="24"/>
          <w:szCs w:val="24"/>
        </w:rPr>
        <w:t xml:space="preserve">, en contra de la respuesta a su solicitud de información identificada con número de folio </w:t>
      </w:r>
      <w:r w:rsidR="00B30C44" w:rsidRPr="00470507">
        <w:rPr>
          <w:rFonts w:ascii="Palatino Linotype" w:eastAsia="Palatino Linotype" w:hAnsi="Palatino Linotype" w:cs="Palatino Linotype"/>
          <w:b/>
          <w:sz w:val="24"/>
          <w:szCs w:val="24"/>
        </w:rPr>
        <w:t>0</w:t>
      </w:r>
      <w:r w:rsidR="00C938C8" w:rsidRPr="00470507">
        <w:rPr>
          <w:rFonts w:ascii="Palatino Linotype" w:eastAsia="Palatino Linotype" w:hAnsi="Palatino Linotype" w:cs="Palatino Linotype"/>
          <w:b/>
          <w:sz w:val="24"/>
          <w:szCs w:val="24"/>
        </w:rPr>
        <w:t>0120</w:t>
      </w:r>
      <w:r w:rsidRPr="00470507">
        <w:rPr>
          <w:rFonts w:ascii="Palatino Linotype" w:eastAsia="Palatino Linotype" w:hAnsi="Palatino Linotype" w:cs="Palatino Linotype"/>
          <w:b/>
          <w:sz w:val="24"/>
          <w:szCs w:val="24"/>
        </w:rPr>
        <w:t>/</w:t>
      </w:r>
      <w:r w:rsidR="00C938C8" w:rsidRPr="00470507">
        <w:rPr>
          <w:rFonts w:ascii="Palatino Linotype" w:eastAsia="Palatino Linotype" w:hAnsi="Palatino Linotype" w:cs="Palatino Linotype"/>
          <w:b/>
          <w:sz w:val="24"/>
          <w:szCs w:val="24"/>
        </w:rPr>
        <w:t>MALINAL</w:t>
      </w:r>
      <w:r w:rsidRPr="00470507">
        <w:rPr>
          <w:rFonts w:ascii="Palatino Linotype" w:eastAsia="Palatino Linotype" w:hAnsi="Palatino Linotype" w:cs="Palatino Linotype"/>
          <w:b/>
          <w:sz w:val="24"/>
          <w:szCs w:val="24"/>
        </w:rPr>
        <w:t>/IP/202</w:t>
      </w:r>
      <w:r w:rsidR="006B4A8B" w:rsidRPr="00470507">
        <w:rPr>
          <w:rFonts w:ascii="Palatino Linotype" w:eastAsia="Palatino Linotype" w:hAnsi="Palatino Linotype" w:cs="Palatino Linotype"/>
          <w:b/>
          <w:sz w:val="24"/>
          <w:szCs w:val="24"/>
        </w:rPr>
        <w:t>3</w:t>
      </w:r>
      <w:r w:rsidRPr="00470507">
        <w:rPr>
          <w:rFonts w:ascii="Palatino Linotype" w:eastAsia="Palatino Linotype" w:hAnsi="Palatino Linotype" w:cs="Palatino Linotype"/>
          <w:sz w:val="24"/>
          <w:szCs w:val="24"/>
        </w:rPr>
        <w:t xml:space="preserve"> proporcionada por parte </w:t>
      </w:r>
      <w:r w:rsidR="005E4B25" w:rsidRPr="00470507">
        <w:rPr>
          <w:rFonts w:ascii="Palatino Linotype" w:eastAsia="Palatino Linotype" w:hAnsi="Palatino Linotype" w:cs="Palatino Linotype"/>
          <w:sz w:val="24"/>
          <w:szCs w:val="24"/>
        </w:rPr>
        <w:t xml:space="preserve">del </w:t>
      </w:r>
      <w:r w:rsidR="00C938C8" w:rsidRPr="00470507">
        <w:rPr>
          <w:rFonts w:ascii="Palatino Linotype" w:eastAsia="Palatino Linotype" w:hAnsi="Palatino Linotype" w:cs="Palatino Linotype"/>
          <w:b/>
          <w:sz w:val="24"/>
          <w:szCs w:val="24"/>
        </w:rPr>
        <w:t>Ayuntamiento de Malinalco</w:t>
      </w:r>
      <w:r w:rsidR="002D6A54" w:rsidRPr="00470507">
        <w:rPr>
          <w:rFonts w:ascii="Palatino Linotype" w:eastAsia="Palatino Linotype" w:hAnsi="Palatino Linotype" w:cs="Palatino Linotype"/>
          <w:sz w:val="24"/>
          <w:szCs w:val="24"/>
        </w:rPr>
        <w:t xml:space="preserve">, </w:t>
      </w:r>
      <w:r w:rsidRPr="00470507">
        <w:rPr>
          <w:rFonts w:ascii="Palatino Linotype" w:eastAsia="Palatino Linotype" w:hAnsi="Palatino Linotype" w:cs="Palatino Linotype"/>
          <w:sz w:val="24"/>
          <w:szCs w:val="24"/>
        </w:rPr>
        <w:t xml:space="preserve">en lo sucesivo el </w:t>
      </w:r>
      <w:r w:rsidRPr="00470507">
        <w:rPr>
          <w:rFonts w:ascii="Palatino Linotype" w:eastAsia="Palatino Linotype" w:hAnsi="Palatino Linotype" w:cs="Palatino Linotype"/>
          <w:b/>
          <w:sz w:val="24"/>
          <w:szCs w:val="24"/>
        </w:rPr>
        <w:t>SUJETO OBLIGADO</w:t>
      </w:r>
      <w:r w:rsidRPr="00470507">
        <w:rPr>
          <w:rFonts w:ascii="Palatino Linotype" w:eastAsia="Palatino Linotype" w:hAnsi="Palatino Linotype" w:cs="Palatino Linotype"/>
          <w:sz w:val="24"/>
          <w:szCs w:val="24"/>
        </w:rPr>
        <w:t>; se procede a dictar la presente resolución, con base en los siguientes:</w:t>
      </w:r>
    </w:p>
    <w:p w14:paraId="19C97CA5" w14:textId="77777777" w:rsidR="00F8557D" w:rsidRPr="00470507" w:rsidRDefault="00F8557D">
      <w:pPr>
        <w:spacing w:after="0" w:line="360" w:lineRule="auto"/>
        <w:ind w:right="49"/>
        <w:jc w:val="both"/>
        <w:rPr>
          <w:rFonts w:ascii="Palatino Linotype" w:eastAsia="Palatino Linotype" w:hAnsi="Palatino Linotype" w:cs="Palatino Linotype"/>
          <w:sz w:val="24"/>
          <w:szCs w:val="24"/>
        </w:rPr>
      </w:pPr>
    </w:p>
    <w:p w14:paraId="61BF936A" w14:textId="77777777" w:rsidR="00F8557D" w:rsidRPr="00470507" w:rsidRDefault="00646B44">
      <w:pPr>
        <w:spacing w:after="0" w:line="360" w:lineRule="auto"/>
        <w:ind w:right="49"/>
        <w:jc w:val="center"/>
        <w:rPr>
          <w:rFonts w:ascii="Palatino Linotype" w:eastAsia="Palatino Linotype" w:hAnsi="Palatino Linotype" w:cs="Palatino Linotype"/>
          <w:b/>
          <w:sz w:val="24"/>
          <w:szCs w:val="24"/>
        </w:rPr>
      </w:pPr>
      <w:r w:rsidRPr="00470507">
        <w:rPr>
          <w:rFonts w:ascii="Palatino Linotype" w:eastAsia="Palatino Linotype" w:hAnsi="Palatino Linotype" w:cs="Palatino Linotype"/>
          <w:b/>
          <w:sz w:val="24"/>
          <w:szCs w:val="24"/>
        </w:rPr>
        <w:t>I.</w:t>
      </w:r>
      <w:r w:rsidRPr="00470507">
        <w:rPr>
          <w:rFonts w:ascii="Palatino Linotype" w:eastAsia="Palatino Linotype" w:hAnsi="Palatino Linotype" w:cs="Palatino Linotype"/>
          <w:b/>
          <w:sz w:val="24"/>
          <w:szCs w:val="24"/>
        </w:rPr>
        <w:tab/>
        <w:t>A N T E C E D E N T E S</w:t>
      </w:r>
    </w:p>
    <w:p w14:paraId="0D8742AC" w14:textId="77777777" w:rsidR="00F8557D" w:rsidRPr="00470507" w:rsidRDefault="00F8557D">
      <w:pPr>
        <w:spacing w:after="0" w:line="360" w:lineRule="auto"/>
        <w:ind w:right="49"/>
        <w:jc w:val="both"/>
        <w:rPr>
          <w:rFonts w:ascii="Palatino Linotype" w:eastAsia="Palatino Linotype" w:hAnsi="Palatino Linotype" w:cs="Palatino Linotype"/>
          <w:sz w:val="24"/>
          <w:szCs w:val="24"/>
        </w:rPr>
      </w:pPr>
    </w:p>
    <w:p w14:paraId="191568F3" w14:textId="0D37545A" w:rsidR="00F8557D" w:rsidRPr="00470507"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b/>
          <w:color w:val="000000"/>
          <w:sz w:val="24"/>
          <w:szCs w:val="24"/>
        </w:rPr>
        <w:t>Solicitud de acceso a la información.</w:t>
      </w:r>
      <w:r w:rsidRPr="00470507">
        <w:rPr>
          <w:rFonts w:ascii="Palatino Linotype" w:eastAsia="Palatino Linotype" w:hAnsi="Palatino Linotype" w:cs="Palatino Linotype"/>
          <w:color w:val="000000"/>
          <w:sz w:val="24"/>
          <w:szCs w:val="24"/>
        </w:rPr>
        <w:t xml:space="preserve"> Con fecha </w:t>
      </w:r>
      <w:r w:rsidR="00C938C8" w:rsidRPr="00470507">
        <w:rPr>
          <w:rFonts w:ascii="Palatino Linotype" w:eastAsia="Palatino Linotype" w:hAnsi="Palatino Linotype" w:cs="Palatino Linotype"/>
          <w:b/>
          <w:color w:val="000000"/>
          <w:sz w:val="24"/>
          <w:szCs w:val="24"/>
        </w:rPr>
        <w:t>veintitrés de agosto</w:t>
      </w:r>
      <w:r w:rsidR="003609F9" w:rsidRPr="00470507">
        <w:rPr>
          <w:rFonts w:ascii="Palatino Linotype" w:eastAsia="Palatino Linotype" w:hAnsi="Palatino Linotype" w:cs="Palatino Linotype"/>
          <w:b/>
          <w:color w:val="000000"/>
          <w:sz w:val="24"/>
          <w:szCs w:val="24"/>
        </w:rPr>
        <w:t xml:space="preserve"> </w:t>
      </w:r>
      <w:r w:rsidR="006B4A8B" w:rsidRPr="00470507">
        <w:rPr>
          <w:rFonts w:ascii="Palatino Linotype" w:eastAsia="Palatino Linotype" w:hAnsi="Palatino Linotype" w:cs="Palatino Linotype"/>
          <w:b/>
          <w:color w:val="000000"/>
          <w:sz w:val="24"/>
          <w:szCs w:val="24"/>
        </w:rPr>
        <w:t>de dos mil veintitrés</w:t>
      </w:r>
      <w:r w:rsidRPr="00470507">
        <w:rPr>
          <w:rFonts w:ascii="Palatino Linotype" w:eastAsia="Palatino Linotype" w:hAnsi="Palatino Linotype" w:cs="Palatino Linotype"/>
          <w:color w:val="000000"/>
          <w:sz w:val="24"/>
          <w:szCs w:val="24"/>
        </w:rPr>
        <w:t xml:space="preserve">, la parte </w:t>
      </w:r>
      <w:r w:rsidRPr="00470507">
        <w:rPr>
          <w:rFonts w:ascii="Palatino Linotype" w:eastAsia="Palatino Linotype" w:hAnsi="Palatino Linotype" w:cs="Palatino Linotype"/>
          <w:b/>
          <w:color w:val="000000"/>
          <w:sz w:val="24"/>
          <w:szCs w:val="24"/>
        </w:rPr>
        <w:t>RECURRENTE</w:t>
      </w:r>
      <w:r w:rsidRPr="00470507">
        <w:rPr>
          <w:rFonts w:ascii="Palatino Linotype" w:eastAsia="Palatino Linotype" w:hAnsi="Palatino Linotype" w:cs="Palatino Linotype"/>
          <w:color w:val="000000"/>
          <w:sz w:val="24"/>
          <w:szCs w:val="24"/>
        </w:rPr>
        <w:t xml:space="preserve"> formuló solicitud de acceso a información pública al</w:t>
      </w:r>
      <w:r w:rsidRPr="00470507">
        <w:rPr>
          <w:rFonts w:ascii="Palatino Linotype" w:eastAsia="Palatino Linotype" w:hAnsi="Palatino Linotype" w:cs="Palatino Linotype"/>
          <w:b/>
          <w:color w:val="000000"/>
          <w:sz w:val="24"/>
          <w:szCs w:val="24"/>
        </w:rPr>
        <w:t xml:space="preserve"> SUJETO OBLIGADO</w:t>
      </w:r>
      <w:r w:rsidRPr="00470507">
        <w:rPr>
          <w:rFonts w:ascii="Palatino Linotype" w:eastAsia="Palatino Linotype" w:hAnsi="Palatino Linotype" w:cs="Palatino Linotype"/>
          <w:color w:val="000000"/>
          <w:sz w:val="24"/>
          <w:szCs w:val="24"/>
        </w:rPr>
        <w:t xml:space="preserve"> a través del Sistema de Acceso a la Información Mexiquense, en adelante SAIMEX, en la que requirió lo siguiente: </w:t>
      </w:r>
    </w:p>
    <w:p w14:paraId="6567E90C" w14:textId="2F12DF4C" w:rsidR="00F8557D" w:rsidRPr="00470507" w:rsidRDefault="00B661FB" w:rsidP="00B661FB">
      <w:pPr>
        <w:tabs>
          <w:tab w:val="left" w:pos="1530"/>
        </w:tabs>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ab/>
      </w:r>
    </w:p>
    <w:p w14:paraId="3BF531D1" w14:textId="726220B9" w:rsidR="003960A4" w:rsidRPr="00470507" w:rsidRDefault="00646B44" w:rsidP="002F37D8">
      <w:pPr>
        <w:spacing w:after="0"/>
        <w:ind w:left="567" w:right="560"/>
        <w:jc w:val="both"/>
        <w:rPr>
          <w:rFonts w:ascii="Palatino Linotype" w:eastAsia="Palatino Linotype" w:hAnsi="Palatino Linotype" w:cs="Palatino Linotype"/>
          <w:i/>
        </w:rPr>
      </w:pPr>
      <w:bookmarkStart w:id="0" w:name="_heading=h.30j0zll" w:colFirst="0" w:colLast="0"/>
      <w:bookmarkEnd w:id="0"/>
      <w:r w:rsidRPr="00470507">
        <w:rPr>
          <w:rFonts w:ascii="Palatino Linotype" w:eastAsia="Palatino Linotype" w:hAnsi="Palatino Linotype" w:cs="Palatino Linotype"/>
          <w:i/>
        </w:rPr>
        <w:t>“</w:t>
      </w:r>
      <w:r w:rsidR="00C938C8" w:rsidRPr="00470507">
        <w:rPr>
          <w:rFonts w:ascii="Palatino Linotype" w:eastAsia="Palatino Linotype" w:hAnsi="Palatino Linotype" w:cs="Palatino Linotype"/>
          <w:i/>
        </w:rPr>
        <w:t>DE LA DIRECCION DE OBRAS PUBLICAS DE MALINALCO, SE SOLICITA EL EXPEDIENTE LABORAL DEL EXDIRECTOR GETSEMANI CASTRO ASÍ COMO SU TITULO DE LA CARRERA DE ARQUITECTURA</w:t>
      </w:r>
      <w:r w:rsidR="005E4B25" w:rsidRPr="00470507">
        <w:rPr>
          <w:rFonts w:ascii="Palatino Linotype" w:eastAsia="Palatino Linotype" w:hAnsi="Palatino Linotype" w:cs="Palatino Linotype"/>
          <w:i/>
        </w:rPr>
        <w:t>”.</w:t>
      </w:r>
    </w:p>
    <w:p w14:paraId="4D20A199" w14:textId="5F3CD646" w:rsidR="00F8557D" w:rsidRPr="00470507" w:rsidRDefault="005E4B25" w:rsidP="002F37D8">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 </w:t>
      </w:r>
    </w:p>
    <w:p w14:paraId="73EF560A" w14:textId="56692F6E" w:rsidR="00D7458B" w:rsidRPr="00470507" w:rsidRDefault="00646B44" w:rsidP="003609F9">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b/>
          <w:sz w:val="24"/>
          <w:szCs w:val="24"/>
        </w:rPr>
        <w:t>Modalidad elegida para la entrega de la información:</w:t>
      </w:r>
      <w:r w:rsidRPr="00470507">
        <w:rPr>
          <w:rFonts w:ascii="Palatino Linotype" w:eastAsia="Palatino Linotype" w:hAnsi="Palatino Linotype" w:cs="Palatino Linotype"/>
          <w:sz w:val="24"/>
          <w:szCs w:val="24"/>
        </w:rPr>
        <w:t xml:space="preserve"> a través del Sistema de Acceso a la Información Mexiquense (SAIMEX). </w:t>
      </w:r>
    </w:p>
    <w:p w14:paraId="02392E62" w14:textId="68012834" w:rsidR="00C938C8" w:rsidRPr="00470507" w:rsidRDefault="00C938C8" w:rsidP="00C938C8">
      <w:pPr>
        <w:pStyle w:val="Prrafodelista"/>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470507">
        <w:rPr>
          <w:rFonts w:ascii="Palatino Linotype" w:eastAsia="Palatino Linotype" w:hAnsi="Palatino Linotype" w:cs="Palatino Linotype"/>
          <w:b/>
          <w:color w:val="000000"/>
          <w:sz w:val="24"/>
          <w:szCs w:val="24"/>
        </w:rPr>
        <w:lastRenderedPageBreak/>
        <w:t xml:space="preserve">Respuesta. </w:t>
      </w:r>
      <w:r w:rsidRPr="00470507">
        <w:rPr>
          <w:rFonts w:ascii="Palatino Linotype" w:eastAsia="Palatino Linotype" w:hAnsi="Palatino Linotype" w:cs="Palatino Linotype"/>
          <w:color w:val="000000"/>
          <w:sz w:val="24"/>
          <w:szCs w:val="24"/>
        </w:rPr>
        <w:t>De las constancias que obran en Sistema de Acceso a la Información Mexiquense, se observa que el Sujeto Obligado no emitió respuesta a la</w:t>
      </w:r>
      <w:r w:rsidR="006C3BC3" w:rsidRPr="00470507">
        <w:rPr>
          <w:rFonts w:ascii="Palatino Linotype" w:eastAsia="Palatino Linotype" w:hAnsi="Palatino Linotype" w:cs="Palatino Linotype"/>
          <w:color w:val="000000"/>
          <w:sz w:val="24"/>
          <w:szCs w:val="24"/>
        </w:rPr>
        <w:t xml:space="preserve"> </w:t>
      </w:r>
      <w:r w:rsidRPr="00470507">
        <w:rPr>
          <w:rFonts w:ascii="Palatino Linotype" w:eastAsia="Palatino Linotype" w:hAnsi="Palatino Linotype" w:cs="Palatino Linotype"/>
          <w:color w:val="000000"/>
          <w:sz w:val="24"/>
          <w:szCs w:val="24"/>
        </w:rPr>
        <w:t>solicitud de información formulada por la persona solicitante.</w:t>
      </w:r>
    </w:p>
    <w:p w14:paraId="5FCD107D" w14:textId="77777777" w:rsidR="003609F9" w:rsidRPr="00470507" w:rsidRDefault="003609F9"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759EDBF5" w14:textId="087C376C" w:rsidR="00F8557D" w:rsidRPr="00470507" w:rsidRDefault="00D7458B"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b/>
          <w:color w:val="000000"/>
          <w:sz w:val="24"/>
          <w:szCs w:val="24"/>
        </w:rPr>
        <w:t xml:space="preserve">Recurso de Revisión. </w:t>
      </w:r>
      <w:r w:rsidRPr="00470507">
        <w:rPr>
          <w:rFonts w:ascii="Palatino Linotype" w:eastAsia="Palatino Linotype" w:hAnsi="Palatino Linotype" w:cs="Palatino Linotype"/>
          <w:color w:val="000000"/>
          <w:sz w:val="24"/>
          <w:szCs w:val="24"/>
        </w:rPr>
        <w:t xml:space="preserve">En fecha </w:t>
      </w:r>
      <w:r w:rsidR="00C938C8" w:rsidRPr="00470507">
        <w:rPr>
          <w:rFonts w:ascii="Palatino Linotype" w:eastAsia="Palatino Linotype" w:hAnsi="Palatino Linotype" w:cs="Palatino Linotype"/>
          <w:b/>
          <w:color w:val="000000"/>
          <w:sz w:val="24"/>
          <w:szCs w:val="24"/>
        </w:rPr>
        <w:t>quince de septiembre</w:t>
      </w:r>
      <w:r w:rsidR="003609F9" w:rsidRPr="00470507">
        <w:rPr>
          <w:rFonts w:ascii="Palatino Linotype" w:eastAsia="Palatino Linotype" w:hAnsi="Palatino Linotype" w:cs="Palatino Linotype"/>
          <w:b/>
          <w:color w:val="000000"/>
          <w:sz w:val="24"/>
          <w:szCs w:val="24"/>
        </w:rPr>
        <w:t xml:space="preserve"> </w:t>
      </w:r>
      <w:r w:rsidRPr="00470507">
        <w:rPr>
          <w:rFonts w:ascii="Palatino Linotype" w:eastAsia="Palatino Linotype" w:hAnsi="Palatino Linotype" w:cs="Palatino Linotype"/>
          <w:b/>
          <w:color w:val="000000"/>
          <w:sz w:val="24"/>
          <w:szCs w:val="24"/>
        </w:rPr>
        <w:t>de dos mil veintitrés</w:t>
      </w:r>
      <w:r w:rsidRPr="00470507">
        <w:rPr>
          <w:rFonts w:ascii="Palatino Linotype" w:eastAsia="Palatino Linotype" w:hAnsi="Palatino Linotype" w:cs="Palatino Linotype"/>
          <w:color w:val="000000"/>
          <w:sz w:val="24"/>
          <w:szCs w:val="24"/>
        </w:rPr>
        <w:t xml:space="preserve"> la persona Solicitante</w:t>
      </w:r>
      <w:r w:rsidR="00646B44" w:rsidRPr="00470507">
        <w:rPr>
          <w:rFonts w:ascii="Palatino Linotype" w:eastAsia="Palatino Linotype" w:hAnsi="Palatino Linotype" w:cs="Palatino Linotype"/>
          <w:color w:val="000000"/>
          <w:sz w:val="24"/>
          <w:szCs w:val="24"/>
        </w:rPr>
        <w:t xml:space="preserve"> interpuso Recurso de Revisión a través del </w:t>
      </w:r>
      <w:r w:rsidR="00646B44" w:rsidRPr="00470507">
        <w:rPr>
          <w:rFonts w:ascii="Palatino Linotype" w:eastAsia="Palatino Linotype" w:hAnsi="Palatino Linotype" w:cs="Palatino Linotype"/>
          <w:b/>
          <w:color w:val="000000"/>
          <w:sz w:val="24"/>
          <w:szCs w:val="24"/>
        </w:rPr>
        <w:t>SAIMEX</w:t>
      </w:r>
      <w:r w:rsidR="00646B44" w:rsidRPr="00470507">
        <w:rPr>
          <w:rFonts w:ascii="Palatino Linotype" w:eastAsia="Palatino Linotype" w:hAnsi="Palatino Linotype" w:cs="Palatino Linotype"/>
          <w:color w:val="000000"/>
          <w:sz w:val="24"/>
          <w:szCs w:val="24"/>
        </w:rPr>
        <w:t>, a través del cual expresó lo siguiente:</w:t>
      </w:r>
    </w:p>
    <w:p w14:paraId="6A6948AD" w14:textId="77777777" w:rsidR="00F8557D" w:rsidRPr="00470507" w:rsidRDefault="00F8557D" w:rsidP="00B30C4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64160CA8" w14:textId="578B2B2F" w:rsidR="00F8557D" w:rsidRPr="00470507" w:rsidRDefault="00646B44"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sz w:val="24"/>
          <w:szCs w:val="24"/>
        </w:rPr>
      </w:pPr>
      <w:r w:rsidRPr="00470507">
        <w:rPr>
          <w:rFonts w:ascii="Palatino Linotype" w:eastAsia="Palatino Linotype" w:hAnsi="Palatino Linotype" w:cs="Palatino Linotype"/>
          <w:b/>
          <w:color w:val="000000"/>
          <w:sz w:val="24"/>
          <w:szCs w:val="24"/>
        </w:rPr>
        <w:t>Acto impugnado</w:t>
      </w:r>
      <w:r w:rsidRPr="00470507">
        <w:rPr>
          <w:rFonts w:ascii="Palatino Linotype" w:eastAsia="Palatino Linotype" w:hAnsi="Palatino Linotype" w:cs="Palatino Linotype"/>
          <w:b/>
          <w:i/>
          <w:color w:val="000000"/>
          <w:sz w:val="24"/>
          <w:szCs w:val="24"/>
        </w:rPr>
        <w:t xml:space="preserve">. </w:t>
      </w:r>
      <w:r w:rsidRPr="00470507">
        <w:rPr>
          <w:rFonts w:ascii="Palatino Linotype" w:eastAsia="Palatino Linotype" w:hAnsi="Palatino Linotype" w:cs="Palatino Linotype"/>
          <w:i/>
          <w:color w:val="000000"/>
        </w:rPr>
        <w:t>“</w:t>
      </w:r>
      <w:r w:rsidR="00C938C8" w:rsidRPr="00470507">
        <w:rPr>
          <w:rFonts w:ascii="Palatino Linotype" w:eastAsia="Palatino Linotype" w:hAnsi="Palatino Linotype" w:cs="Palatino Linotype"/>
          <w:i/>
          <w:color w:val="000000"/>
        </w:rPr>
        <w:t>DE LA DIRECCION DE OBRAS PUBLICAS DE MALINALCO, SE SOLICITA EL EXPEDIENTE LABORAL DEL EXDIRECTOR GETSEMANI CASTRO ASÍ COMO SU TITULO DE LA CARRERA DE ARQUITECTURA</w:t>
      </w:r>
      <w:r w:rsidRPr="00470507">
        <w:rPr>
          <w:rFonts w:ascii="Palatino Linotype" w:eastAsia="Palatino Linotype" w:hAnsi="Palatino Linotype" w:cs="Palatino Linotype"/>
          <w:i/>
          <w:color w:val="000000"/>
        </w:rPr>
        <w:t>”.</w:t>
      </w:r>
    </w:p>
    <w:p w14:paraId="3CF073E1" w14:textId="77777777" w:rsidR="00F8557D" w:rsidRPr="00470507" w:rsidRDefault="00F8557D"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sz w:val="24"/>
          <w:szCs w:val="24"/>
        </w:rPr>
      </w:pPr>
    </w:p>
    <w:p w14:paraId="0F61B626" w14:textId="7293FEDD" w:rsidR="00F8557D" w:rsidRPr="00470507" w:rsidRDefault="00646B44" w:rsidP="00FF17F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iCs/>
          <w:color w:val="000000"/>
        </w:rPr>
      </w:pPr>
      <w:r w:rsidRPr="00470507">
        <w:rPr>
          <w:rFonts w:ascii="Palatino Linotype" w:eastAsia="Palatino Linotype" w:hAnsi="Palatino Linotype" w:cs="Palatino Linotype"/>
          <w:b/>
          <w:color w:val="000000"/>
          <w:sz w:val="24"/>
          <w:szCs w:val="24"/>
        </w:rPr>
        <w:t xml:space="preserve">Razones o motivos de la inconformidad: </w:t>
      </w:r>
      <w:r w:rsidRPr="00470507">
        <w:rPr>
          <w:rFonts w:ascii="Palatino Linotype" w:eastAsia="Palatino Linotype" w:hAnsi="Palatino Linotype" w:cs="Palatino Linotype"/>
          <w:i/>
          <w:iCs/>
          <w:color w:val="000000"/>
        </w:rPr>
        <w:t>“</w:t>
      </w:r>
      <w:r w:rsidR="00C938C8" w:rsidRPr="00470507">
        <w:rPr>
          <w:rFonts w:ascii="Palatino Linotype" w:eastAsia="Palatino Linotype" w:hAnsi="Palatino Linotype" w:cs="Palatino Linotype"/>
          <w:i/>
          <w:iCs/>
          <w:color w:val="000000"/>
        </w:rPr>
        <w:t xml:space="preserve">HA TRANSCURRIDO EL PLAZO PARA LA ENTREGA Y LA INFORMACION NO HA SIDO ENTREGADA”. </w:t>
      </w:r>
    </w:p>
    <w:p w14:paraId="7E8D3B71" w14:textId="77777777" w:rsidR="00C2557B" w:rsidRPr="00470507" w:rsidRDefault="00C2557B" w:rsidP="00C2557B">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color w:val="000000"/>
          <w:sz w:val="24"/>
          <w:szCs w:val="24"/>
        </w:rPr>
      </w:pPr>
    </w:p>
    <w:p w14:paraId="09ACAD97" w14:textId="0C0498A5" w:rsidR="00D53D49" w:rsidRPr="00470507" w:rsidRDefault="00646B44" w:rsidP="00D53D4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b/>
          <w:color w:val="000000"/>
          <w:sz w:val="24"/>
          <w:szCs w:val="24"/>
        </w:rPr>
        <w:t>Turno.</w:t>
      </w:r>
      <w:r w:rsidRPr="00470507">
        <w:rPr>
          <w:rFonts w:ascii="Palatino Linotype" w:eastAsia="Palatino Linotype" w:hAnsi="Palatino Linotype" w:cs="Palatino Linotype"/>
          <w:color w:val="000000"/>
          <w:sz w:val="24"/>
          <w:szCs w:val="24"/>
        </w:rPr>
        <w:t xml:space="preserve"> De conformidad con el artículo 185, fracción I de la Ley de Transparencia y Acceso a la Información Pública del Estado de México y Municipios, el recurso de revisión número </w:t>
      </w:r>
      <w:r w:rsidR="000F7FA6" w:rsidRPr="00470507">
        <w:rPr>
          <w:rFonts w:ascii="Palatino Linotype" w:eastAsia="Palatino Linotype" w:hAnsi="Palatino Linotype" w:cs="Palatino Linotype"/>
          <w:b/>
          <w:color w:val="000000"/>
          <w:sz w:val="24"/>
          <w:szCs w:val="24"/>
        </w:rPr>
        <w:t>0</w:t>
      </w:r>
      <w:r w:rsidR="00C938C8" w:rsidRPr="00470507">
        <w:rPr>
          <w:rFonts w:ascii="Palatino Linotype" w:eastAsia="Palatino Linotype" w:hAnsi="Palatino Linotype" w:cs="Palatino Linotype"/>
          <w:b/>
          <w:color w:val="000000"/>
          <w:sz w:val="24"/>
          <w:szCs w:val="24"/>
        </w:rPr>
        <w:t>6169</w:t>
      </w:r>
      <w:r w:rsidR="00D7458B" w:rsidRPr="00470507">
        <w:rPr>
          <w:rFonts w:ascii="Palatino Linotype" w:eastAsia="Palatino Linotype" w:hAnsi="Palatino Linotype" w:cs="Palatino Linotype"/>
          <w:b/>
          <w:color w:val="000000"/>
          <w:sz w:val="24"/>
          <w:szCs w:val="24"/>
        </w:rPr>
        <w:t>/INFOEM/IP/RR/2023</w:t>
      </w:r>
      <w:r w:rsidRPr="00470507">
        <w:rPr>
          <w:rFonts w:ascii="Palatino Linotype" w:eastAsia="Palatino Linotype" w:hAnsi="Palatino Linotype" w:cs="Palatino Linotype"/>
          <w:color w:val="000000"/>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A5B3EFE" w14:textId="77777777" w:rsidR="003960A4" w:rsidRPr="00470507" w:rsidRDefault="003960A4" w:rsidP="003960A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5C29537" w14:textId="4088F91F" w:rsidR="00F8557D" w:rsidRPr="00470507"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b/>
          <w:color w:val="000000"/>
          <w:sz w:val="24"/>
          <w:szCs w:val="24"/>
        </w:rPr>
        <w:t>Admisión del recurso de revisión</w:t>
      </w:r>
      <w:r w:rsidRPr="00470507">
        <w:rPr>
          <w:rFonts w:ascii="Palatino Linotype" w:eastAsia="Palatino Linotype" w:hAnsi="Palatino Linotype" w:cs="Palatino Linotype"/>
          <w:color w:val="000000"/>
          <w:sz w:val="24"/>
          <w:szCs w:val="24"/>
        </w:rPr>
        <w:t xml:space="preserve">: En fecha </w:t>
      </w:r>
      <w:r w:rsidR="00C938C8" w:rsidRPr="00470507">
        <w:rPr>
          <w:rFonts w:ascii="Palatino Linotype" w:eastAsia="Palatino Linotype" w:hAnsi="Palatino Linotype" w:cs="Palatino Linotype"/>
          <w:b/>
          <w:color w:val="000000"/>
          <w:sz w:val="24"/>
          <w:szCs w:val="24"/>
        </w:rPr>
        <w:t>veinte de septiembre</w:t>
      </w:r>
      <w:r w:rsidR="00B628D1" w:rsidRPr="00470507">
        <w:rPr>
          <w:rFonts w:ascii="Palatino Linotype" w:eastAsia="Palatino Linotype" w:hAnsi="Palatino Linotype" w:cs="Palatino Linotype"/>
          <w:b/>
          <w:color w:val="000000"/>
          <w:sz w:val="24"/>
          <w:szCs w:val="24"/>
        </w:rPr>
        <w:t xml:space="preserve"> </w:t>
      </w:r>
      <w:r w:rsidR="00D7458B" w:rsidRPr="00470507">
        <w:rPr>
          <w:rFonts w:ascii="Palatino Linotype" w:eastAsia="Palatino Linotype" w:hAnsi="Palatino Linotype" w:cs="Palatino Linotype"/>
          <w:b/>
          <w:color w:val="000000"/>
          <w:sz w:val="24"/>
          <w:szCs w:val="24"/>
        </w:rPr>
        <w:t>de dos mil veintitrés</w:t>
      </w:r>
      <w:r w:rsidRPr="00470507">
        <w:rPr>
          <w:rFonts w:ascii="Palatino Linotype" w:eastAsia="Palatino Linotype" w:hAnsi="Palatino Linotype" w:cs="Palatino Linotype"/>
          <w:color w:val="000000"/>
          <w:sz w:val="24"/>
          <w:szCs w:val="24"/>
        </w:rPr>
        <w:t xml:space="preserve">, la Comisionada Ponente admitió a trámite el recurso de revisión que ahora </w:t>
      </w:r>
      <w:r w:rsidRPr="00470507">
        <w:rPr>
          <w:rFonts w:ascii="Palatino Linotype" w:eastAsia="Palatino Linotype" w:hAnsi="Palatino Linotype" w:cs="Palatino Linotype"/>
          <w:color w:val="000000"/>
          <w:sz w:val="24"/>
          <w:szCs w:val="24"/>
        </w:rPr>
        <w:lastRenderedPageBreak/>
        <w:t xml:space="preserve">se resuelve, dando un plazo máximo de siete días hábiles para que las partes manifestaran lo que a su derecho resultara conveniente, ofrecieran pruebas, formularan alegatos y el Sujeto Obligado presentara su informe justificado. </w:t>
      </w:r>
    </w:p>
    <w:p w14:paraId="24E34316" w14:textId="77777777" w:rsidR="00F8557D" w:rsidRPr="00470507" w:rsidRDefault="00F8557D">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AAF48D2" w14:textId="77777777" w:rsidR="00C938C8" w:rsidRPr="00470507" w:rsidRDefault="00646B44" w:rsidP="00AC79ED">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b/>
          <w:color w:val="000000"/>
          <w:sz w:val="24"/>
          <w:szCs w:val="24"/>
        </w:rPr>
        <w:t xml:space="preserve">Informe Justificado. </w:t>
      </w:r>
      <w:r w:rsidR="00C938C8" w:rsidRPr="00470507">
        <w:rPr>
          <w:rFonts w:ascii="Palatino Linotype" w:eastAsia="Palatino Linotype" w:hAnsi="Palatino Linotype" w:cs="Palatino Linotype"/>
          <w:color w:val="000000"/>
          <w:sz w:val="24"/>
          <w:szCs w:val="24"/>
        </w:rPr>
        <w:t xml:space="preserve">En fecha </w:t>
      </w:r>
      <w:r w:rsidR="00C938C8" w:rsidRPr="00470507">
        <w:rPr>
          <w:rFonts w:ascii="Palatino Linotype" w:eastAsia="Palatino Linotype" w:hAnsi="Palatino Linotype" w:cs="Palatino Linotype"/>
          <w:b/>
          <w:color w:val="000000"/>
          <w:sz w:val="24"/>
          <w:szCs w:val="24"/>
        </w:rPr>
        <w:t>cuatro de octubre de dos mil veintitrés</w:t>
      </w:r>
      <w:r w:rsidR="00C938C8" w:rsidRPr="00470507">
        <w:rPr>
          <w:rFonts w:ascii="Palatino Linotype" w:eastAsia="Palatino Linotype" w:hAnsi="Palatino Linotype" w:cs="Palatino Linotype"/>
          <w:color w:val="000000"/>
          <w:sz w:val="24"/>
          <w:szCs w:val="24"/>
        </w:rPr>
        <w:t xml:space="preserve">, el </w:t>
      </w:r>
      <w:r w:rsidR="00C938C8" w:rsidRPr="00470507">
        <w:rPr>
          <w:rFonts w:ascii="Palatino Linotype" w:eastAsia="Palatino Linotype" w:hAnsi="Palatino Linotype" w:cs="Palatino Linotype"/>
          <w:b/>
          <w:color w:val="000000"/>
          <w:sz w:val="24"/>
          <w:szCs w:val="24"/>
        </w:rPr>
        <w:t xml:space="preserve">SUJETO OBLIGADO </w:t>
      </w:r>
      <w:r w:rsidR="00C938C8" w:rsidRPr="00470507">
        <w:rPr>
          <w:rFonts w:ascii="Palatino Linotype" w:eastAsia="Palatino Linotype" w:hAnsi="Palatino Linotype" w:cs="Palatino Linotype"/>
          <w:color w:val="000000"/>
          <w:sz w:val="24"/>
          <w:szCs w:val="24"/>
        </w:rPr>
        <w:t xml:space="preserve">rindió su informe justificado, a través de lo siguiente: </w:t>
      </w:r>
    </w:p>
    <w:p w14:paraId="1F0B7919" w14:textId="77777777" w:rsidR="00C938C8" w:rsidRPr="00470507" w:rsidRDefault="00C938C8" w:rsidP="00C938C8">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6C47C748" w14:textId="16135E55" w:rsidR="00933869"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Oficio de fecha veintiocho de agosto de dos mil veintitrés, signado por el Director de Obras Públicas y Desarrollo Urbano, mediante el cual informa que lo solicitado no es competencia de la Dirección de Obras Públicas. </w:t>
      </w:r>
    </w:p>
    <w:p w14:paraId="15A92C40" w14:textId="7090AD3A"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Oficio de fecha treinta de octubre de dos mil veintitrés, signado por la Coordinación de Recursos Humanos, mediante el cual informa que se remite el expediente laboral del ex Director y su título de arquitectura. </w:t>
      </w:r>
    </w:p>
    <w:p w14:paraId="79528360" w14:textId="5369C65D"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Nombramiento a favor del servidor público como Director de Obras Públicas y Desarrollo Urbano, de fecha uno de enero de dos mil veintidós. </w:t>
      </w:r>
    </w:p>
    <w:p w14:paraId="1BEBC749" w14:textId="5BADF372"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Solicitud de empleo.</w:t>
      </w:r>
    </w:p>
    <w:p w14:paraId="6FF66C84" w14:textId="54E69935"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t xml:space="preserve">Currículum Vitae a nombre del servidor público. </w:t>
      </w:r>
    </w:p>
    <w:p w14:paraId="4A11BA1D" w14:textId="38EEB4DF"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t xml:space="preserve">Constancia de la Clave Única de Registro de Población. </w:t>
      </w:r>
    </w:p>
    <w:p w14:paraId="726C1F03" w14:textId="729CD537"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t xml:space="preserve">Acta de Nacimiento. </w:t>
      </w:r>
    </w:p>
    <w:p w14:paraId="1F7F52EB" w14:textId="055A4ECE"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t xml:space="preserve">Cédula de Identificación Fiscal. </w:t>
      </w:r>
    </w:p>
    <w:p w14:paraId="748DE1DD" w14:textId="589EE55A"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t xml:space="preserve">Constancia domiciliaria. </w:t>
      </w:r>
    </w:p>
    <w:p w14:paraId="18BE53BB" w14:textId="35D1F5F5"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t xml:space="preserve">Credencial Electoral emitida por el Instituto Federal Electoral. </w:t>
      </w:r>
    </w:p>
    <w:p w14:paraId="52D58867" w14:textId="1FBFAFD1"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t xml:space="preserve">Carta de Pasante de Arquitectura. </w:t>
      </w:r>
    </w:p>
    <w:p w14:paraId="1A2F32E1" w14:textId="14F02F9F"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t xml:space="preserve">Tres cartas de recomendación. </w:t>
      </w:r>
    </w:p>
    <w:p w14:paraId="5D5FAE51" w14:textId="7BDBC2F2"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t xml:space="preserve">Certificado médico emitido por el Sistema Municipal DIF de Malinalco. </w:t>
      </w:r>
    </w:p>
    <w:p w14:paraId="38D2C65C" w14:textId="4E0871FB"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lastRenderedPageBreak/>
        <w:t xml:space="preserve">Aviso de Movimientos. </w:t>
      </w:r>
    </w:p>
    <w:p w14:paraId="350995DB" w14:textId="78660FF9"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t xml:space="preserve">Licencia para conducir. </w:t>
      </w:r>
    </w:p>
    <w:p w14:paraId="24B61591" w14:textId="142FFD0A" w:rsidR="00C938C8" w:rsidRPr="00470507" w:rsidRDefault="00C938C8"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t xml:space="preserve">Hoja de liberación de servicio militar. </w:t>
      </w:r>
    </w:p>
    <w:p w14:paraId="435855C2" w14:textId="3418925E" w:rsidR="00DE4535" w:rsidRPr="00470507" w:rsidRDefault="00DE4535"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themeColor="text1"/>
          <w:sz w:val="24"/>
          <w:szCs w:val="24"/>
        </w:rPr>
      </w:pPr>
      <w:r w:rsidRPr="00470507">
        <w:rPr>
          <w:rFonts w:ascii="Palatino Linotype" w:eastAsia="Palatino Linotype" w:hAnsi="Palatino Linotype" w:cs="Palatino Linotype"/>
          <w:color w:val="000000" w:themeColor="text1"/>
          <w:szCs w:val="24"/>
        </w:rPr>
        <w:t xml:space="preserve">Informe de no antecedentes penales. </w:t>
      </w:r>
    </w:p>
    <w:p w14:paraId="2DB3E815" w14:textId="48B9F9A6" w:rsidR="00DE4535" w:rsidRPr="00470507" w:rsidRDefault="00DE4535"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themeColor="text1"/>
          <w:szCs w:val="24"/>
        </w:rPr>
        <w:t xml:space="preserve">Oficio emitido por el Subdirector de Profesionalización y Coordinador de los Grupos de Dictamen de la COCERTEM, mediante el cual informa que el servidor público participa en el proceso de evaluación </w:t>
      </w:r>
      <w:r w:rsidRPr="00470507">
        <w:rPr>
          <w:rFonts w:ascii="Palatino Linotype" w:eastAsia="Palatino Linotype" w:hAnsi="Palatino Linotype" w:cs="Palatino Linotype"/>
          <w:color w:val="000000"/>
          <w:szCs w:val="24"/>
        </w:rPr>
        <w:t xml:space="preserve">para la certificación “Administrar las Obras Públicas Municipales y servicios relacionados con las mismas en el Estado de México”. </w:t>
      </w:r>
    </w:p>
    <w:p w14:paraId="21AB3703" w14:textId="44895671" w:rsidR="00DE4535" w:rsidRPr="00470507" w:rsidRDefault="00DE4535" w:rsidP="00C938C8">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Certificado de Competencia Laboral en el Estándar de Competencia “Administración de la Obra Pública Municipal” </w:t>
      </w:r>
    </w:p>
    <w:p w14:paraId="4EE0D430" w14:textId="77777777" w:rsidR="003960A4" w:rsidRPr="00470507" w:rsidRDefault="003960A4" w:rsidP="003960A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D3D4052" w14:textId="58F8EE55" w:rsidR="003609F9" w:rsidRPr="00470507" w:rsidRDefault="00DE4535" w:rsidP="00DE453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 w:val="24"/>
          <w:szCs w:val="24"/>
        </w:rPr>
        <w:t xml:space="preserve">Documentos que no se hicieron del conocimiento de la parte Recurrente, debido a que todos se encontraban en un mismo archivo y en algunos de ellos, se dejaron a la vista datos personales susceptibles de ser clasificados, así como documentos que debieron ser clasificados en su totalidad. </w:t>
      </w:r>
    </w:p>
    <w:p w14:paraId="6BBD51D3" w14:textId="77777777" w:rsidR="00DE4535" w:rsidRPr="00470507" w:rsidRDefault="00DE4535" w:rsidP="003609F9">
      <w:pPr>
        <w:pBdr>
          <w:top w:val="nil"/>
          <w:left w:val="nil"/>
          <w:bottom w:val="nil"/>
          <w:right w:val="nil"/>
          <w:between w:val="nil"/>
        </w:pBdr>
        <w:spacing w:after="0" w:line="360" w:lineRule="auto"/>
        <w:ind w:right="49"/>
        <w:rPr>
          <w:rFonts w:ascii="Palatino Linotype" w:eastAsia="Palatino Linotype" w:hAnsi="Palatino Linotype" w:cs="Palatino Linotype"/>
          <w:color w:val="000000"/>
          <w:sz w:val="24"/>
          <w:szCs w:val="24"/>
        </w:rPr>
      </w:pPr>
    </w:p>
    <w:p w14:paraId="60DC1542" w14:textId="79C7A806" w:rsidR="00DE4535" w:rsidRPr="00470507" w:rsidRDefault="00DE4535" w:rsidP="003609F9">
      <w:pPr>
        <w:pBdr>
          <w:top w:val="nil"/>
          <w:left w:val="nil"/>
          <w:bottom w:val="nil"/>
          <w:right w:val="nil"/>
          <w:between w:val="nil"/>
        </w:pBdr>
        <w:spacing w:after="0" w:line="360" w:lineRule="auto"/>
        <w:ind w:right="49"/>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 w:val="24"/>
          <w:szCs w:val="24"/>
        </w:rPr>
        <w:t xml:space="preserve">La parte Recurrente no realizó manifestaciones. </w:t>
      </w:r>
    </w:p>
    <w:p w14:paraId="2B4B1093" w14:textId="77777777" w:rsidR="00DE4535" w:rsidRPr="00470507" w:rsidRDefault="00DE4535" w:rsidP="003609F9">
      <w:pPr>
        <w:pBdr>
          <w:top w:val="nil"/>
          <w:left w:val="nil"/>
          <w:bottom w:val="nil"/>
          <w:right w:val="nil"/>
          <w:between w:val="nil"/>
        </w:pBdr>
        <w:spacing w:after="0" w:line="360" w:lineRule="auto"/>
        <w:ind w:right="49"/>
        <w:rPr>
          <w:rFonts w:ascii="Palatino Linotype" w:eastAsia="Palatino Linotype" w:hAnsi="Palatino Linotype" w:cs="Palatino Linotype"/>
          <w:color w:val="000000"/>
          <w:sz w:val="24"/>
          <w:szCs w:val="24"/>
        </w:rPr>
      </w:pPr>
    </w:p>
    <w:p w14:paraId="706E515F" w14:textId="58E69C13" w:rsidR="00933869" w:rsidRPr="00470507" w:rsidRDefault="00646B44" w:rsidP="00933869">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b/>
          <w:color w:val="000000"/>
          <w:sz w:val="24"/>
          <w:szCs w:val="24"/>
        </w:rPr>
        <w:t>Ampliación de plazo:</w:t>
      </w:r>
      <w:r w:rsidRPr="00470507">
        <w:rPr>
          <w:rFonts w:ascii="Palatino Linotype" w:eastAsia="Palatino Linotype" w:hAnsi="Palatino Linotype" w:cs="Palatino Linotype"/>
          <w:color w:val="000000"/>
          <w:sz w:val="24"/>
          <w:szCs w:val="24"/>
        </w:rPr>
        <w:t xml:space="preserve"> </w:t>
      </w:r>
      <w:r w:rsidR="00933869" w:rsidRPr="00470507">
        <w:rPr>
          <w:rFonts w:ascii="Palatino Linotype" w:eastAsia="Palatino Linotype" w:hAnsi="Palatino Linotype" w:cs="Palatino Linotype"/>
          <w:color w:val="000000"/>
          <w:sz w:val="24"/>
          <w:szCs w:val="24"/>
        </w:rPr>
        <w:t xml:space="preserve">En fecha </w:t>
      </w:r>
      <w:r w:rsidR="00DE4535" w:rsidRPr="00470507">
        <w:rPr>
          <w:rFonts w:ascii="Palatino Linotype" w:eastAsia="Palatino Linotype" w:hAnsi="Palatino Linotype" w:cs="Palatino Linotype"/>
          <w:b/>
          <w:color w:val="000000"/>
          <w:sz w:val="24"/>
          <w:szCs w:val="24"/>
        </w:rPr>
        <w:t>catorce de marzo</w:t>
      </w:r>
      <w:r w:rsidR="003609F9" w:rsidRPr="00470507">
        <w:rPr>
          <w:rFonts w:ascii="Palatino Linotype" w:eastAsia="Palatino Linotype" w:hAnsi="Palatino Linotype" w:cs="Palatino Linotype"/>
          <w:b/>
          <w:color w:val="000000"/>
          <w:sz w:val="24"/>
          <w:szCs w:val="24"/>
        </w:rPr>
        <w:t xml:space="preserve"> de dos mil veinticuatro</w:t>
      </w:r>
      <w:r w:rsidR="00933869" w:rsidRPr="00470507">
        <w:rPr>
          <w:rFonts w:ascii="Palatino Linotype" w:eastAsia="Palatino Linotype" w:hAnsi="Palatino Linotype" w:cs="Palatino Linotype"/>
          <w:color w:val="000000"/>
          <w:sz w:val="24"/>
          <w:szCs w:val="24"/>
        </w:rPr>
        <w:t>, con fundamento en el artículo 181, párrafo tercero de la Ley de Transparencia y Acceso a la Información Pública del Estado de México y Municipios, se acordó la ampliación del plazo para su resolución.</w:t>
      </w:r>
    </w:p>
    <w:p w14:paraId="53348BE4" w14:textId="77777777" w:rsidR="00933869" w:rsidRPr="00470507" w:rsidRDefault="00933869" w:rsidP="00933869">
      <w:pPr>
        <w:widowControl w:val="0"/>
        <w:spacing w:after="0" w:line="360" w:lineRule="auto"/>
        <w:jc w:val="both"/>
        <w:rPr>
          <w:rFonts w:ascii="Palatino Linotype" w:eastAsia="Palatino Linotype" w:hAnsi="Palatino Linotype" w:cs="Palatino Linotype"/>
          <w:sz w:val="24"/>
        </w:rPr>
      </w:pPr>
    </w:p>
    <w:p w14:paraId="4C8D27F2" w14:textId="7CE121C0" w:rsidR="00933869" w:rsidRPr="00470507" w:rsidRDefault="00C02260" w:rsidP="003960A4">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r w:rsidR="003E7A5D" w:rsidRPr="00470507">
        <w:rPr>
          <w:rFonts w:ascii="Palatino Linotype" w:eastAsia="Palatino Linotype" w:hAnsi="Palatino Linotype" w:cs="Palatino Linotype"/>
          <w:sz w:val="24"/>
          <w:szCs w:val="24"/>
        </w:rPr>
        <w:t>.</w:t>
      </w:r>
    </w:p>
    <w:p w14:paraId="63D8B2C4" w14:textId="77777777" w:rsidR="003960A4" w:rsidRPr="00470507" w:rsidRDefault="003960A4" w:rsidP="003960A4">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5E423D5D" w14:textId="77777777" w:rsidR="00933869" w:rsidRPr="00470507" w:rsidRDefault="00933869" w:rsidP="00933869">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E38F972" w14:textId="77777777" w:rsidR="00933869" w:rsidRPr="00470507" w:rsidRDefault="00933869" w:rsidP="00933869">
      <w:pPr>
        <w:spacing w:after="0" w:line="360" w:lineRule="auto"/>
        <w:jc w:val="both"/>
        <w:rPr>
          <w:rFonts w:ascii="Palatino Linotype" w:eastAsia="Palatino Linotype" w:hAnsi="Palatino Linotype" w:cs="Palatino Linotype"/>
          <w:sz w:val="24"/>
        </w:rPr>
      </w:pPr>
    </w:p>
    <w:p w14:paraId="5AC64A07" w14:textId="77777777" w:rsidR="00933869" w:rsidRPr="00470507" w:rsidRDefault="00933869" w:rsidP="00933869">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12D08E" w14:textId="77777777" w:rsidR="00933869" w:rsidRPr="00470507" w:rsidRDefault="00933869" w:rsidP="00933869">
      <w:pPr>
        <w:spacing w:after="0" w:line="360" w:lineRule="auto"/>
        <w:jc w:val="both"/>
        <w:rPr>
          <w:rFonts w:ascii="Palatino Linotype" w:eastAsia="Palatino Linotype" w:hAnsi="Palatino Linotype" w:cs="Palatino Linotype"/>
          <w:sz w:val="24"/>
        </w:rPr>
      </w:pPr>
    </w:p>
    <w:p w14:paraId="459D51E7" w14:textId="6024B3AC" w:rsidR="00933869" w:rsidRPr="00470507" w:rsidRDefault="00933869" w:rsidP="00933869">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743A3FB" w14:textId="77777777" w:rsidR="00C2557B" w:rsidRPr="00470507" w:rsidRDefault="00C2557B" w:rsidP="00933869">
      <w:pPr>
        <w:spacing w:after="0" w:line="360" w:lineRule="auto"/>
        <w:jc w:val="both"/>
        <w:rPr>
          <w:rFonts w:ascii="Palatino Linotype" w:eastAsia="Palatino Linotype" w:hAnsi="Palatino Linotype" w:cs="Palatino Linotype"/>
          <w:sz w:val="24"/>
        </w:rPr>
      </w:pPr>
    </w:p>
    <w:p w14:paraId="3F5BDB9E" w14:textId="77777777" w:rsidR="00933869" w:rsidRPr="00470507" w:rsidRDefault="00933869" w:rsidP="00933869">
      <w:pPr>
        <w:spacing w:after="0" w:line="360" w:lineRule="auto"/>
        <w:jc w:val="both"/>
        <w:rPr>
          <w:rFonts w:ascii="Palatino Linotype" w:eastAsia="Palatino Linotype" w:hAnsi="Palatino Linotype" w:cs="Palatino Linotype"/>
          <w:strike/>
          <w:color w:val="FF0000"/>
          <w:sz w:val="24"/>
        </w:rPr>
      </w:pPr>
      <w:r w:rsidRPr="00470507">
        <w:rPr>
          <w:rFonts w:ascii="Palatino Linotype" w:eastAsia="Palatino Linotype" w:hAnsi="Palatino Linotype" w:cs="Palatino Linotype"/>
          <w:sz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20507ED" w14:textId="77777777" w:rsidR="00933869" w:rsidRPr="00470507" w:rsidRDefault="00933869" w:rsidP="00933869">
      <w:pPr>
        <w:spacing w:after="0" w:line="360" w:lineRule="auto"/>
        <w:jc w:val="both"/>
        <w:rPr>
          <w:rFonts w:ascii="Palatino Linotype" w:eastAsia="Palatino Linotype" w:hAnsi="Palatino Linotype" w:cs="Palatino Linotype"/>
          <w:sz w:val="24"/>
        </w:rPr>
      </w:pPr>
    </w:p>
    <w:p w14:paraId="560DEC88" w14:textId="77777777" w:rsidR="00933869" w:rsidRPr="00470507" w:rsidRDefault="00933869" w:rsidP="00933869">
      <w:pPr>
        <w:numPr>
          <w:ilvl w:val="0"/>
          <w:numId w:val="18"/>
        </w:numPr>
        <w:spacing w:after="0" w:line="360" w:lineRule="auto"/>
        <w:jc w:val="both"/>
        <w:rPr>
          <w:rFonts w:ascii="Palatino Linotype" w:eastAsia="Palatino Linotype" w:hAnsi="Palatino Linotype" w:cs="Palatino Linotype"/>
        </w:rPr>
      </w:pPr>
      <w:r w:rsidRPr="00470507">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6F380AA6" w14:textId="77777777" w:rsidR="00933869" w:rsidRPr="00470507" w:rsidRDefault="00933869" w:rsidP="00933869">
      <w:pPr>
        <w:numPr>
          <w:ilvl w:val="0"/>
          <w:numId w:val="18"/>
        </w:numPr>
        <w:spacing w:after="0" w:line="360" w:lineRule="auto"/>
        <w:jc w:val="both"/>
        <w:rPr>
          <w:rFonts w:ascii="Palatino Linotype" w:eastAsia="Palatino Linotype" w:hAnsi="Palatino Linotype" w:cs="Palatino Linotype"/>
        </w:rPr>
      </w:pPr>
      <w:r w:rsidRPr="00470507">
        <w:rPr>
          <w:rFonts w:ascii="Palatino Linotype" w:eastAsia="Palatino Linotype" w:hAnsi="Palatino Linotype" w:cs="Palatino Linotype"/>
        </w:rPr>
        <w:t>Actividad Procesal del interesado. Acciones u omisiones del interesado.</w:t>
      </w:r>
    </w:p>
    <w:p w14:paraId="53FD7C10" w14:textId="77777777" w:rsidR="00933869" w:rsidRPr="00470507" w:rsidRDefault="00933869" w:rsidP="00933869">
      <w:pPr>
        <w:numPr>
          <w:ilvl w:val="0"/>
          <w:numId w:val="18"/>
        </w:numPr>
        <w:spacing w:after="0" w:line="360" w:lineRule="auto"/>
        <w:jc w:val="both"/>
        <w:rPr>
          <w:rFonts w:ascii="Palatino Linotype" w:eastAsia="Palatino Linotype" w:hAnsi="Palatino Linotype" w:cs="Palatino Linotype"/>
        </w:rPr>
      </w:pPr>
      <w:r w:rsidRPr="00470507">
        <w:rPr>
          <w:rFonts w:ascii="Palatino Linotype" w:eastAsia="Palatino Linotype" w:hAnsi="Palatino Linotype" w:cs="Palatino Linotype"/>
        </w:rPr>
        <w:t>Conducta de la Autoridad: Las Acciones u omisiones realizadas en el procedimiento. Así como si la autoridad actuó con la debida diligencia.</w:t>
      </w:r>
    </w:p>
    <w:p w14:paraId="3E8D5219" w14:textId="77777777" w:rsidR="00933869" w:rsidRPr="00470507" w:rsidRDefault="00933869" w:rsidP="00933869">
      <w:pPr>
        <w:numPr>
          <w:ilvl w:val="0"/>
          <w:numId w:val="18"/>
        </w:numPr>
        <w:spacing w:after="0" w:line="360" w:lineRule="auto"/>
        <w:jc w:val="both"/>
        <w:rPr>
          <w:rFonts w:ascii="Palatino Linotype" w:eastAsia="Palatino Linotype" w:hAnsi="Palatino Linotype" w:cs="Palatino Linotype"/>
        </w:rPr>
      </w:pPr>
      <w:r w:rsidRPr="00470507">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E934C38" w14:textId="77777777" w:rsidR="00933869" w:rsidRPr="00470507" w:rsidRDefault="00933869" w:rsidP="00933869">
      <w:pPr>
        <w:spacing w:after="0" w:line="360" w:lineRule="auto"/>
        <w:jc w:val="both"/>
        <w:rPr>
          <w:rFonts w:ascii="Palatino Linotype" w:eastAsia="Palatino Linotype" w:hAnsi="Palatino Linotype" w:cs="Palatino Linotype"/>
          <w:sz w:val="24"/>
        </w:rPr>
      </w:pPr>
    </w:p>
    <w:p w14:paraId="03DFD099" w14:textId="77777777" w:rsidR="00933869" w:rsidRPr="00470507" w:rsidRDefault="00933869" w:rsidP="00933869">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521F4D" w14:textId="77777777" w:rsidR="00933869" w:rsidRPr="00470507" w:rsidRDefault="00933869" w:rsidP="00933869">
      <w:pPr>
        <w:spacing w:after="0" w:line="360" w:lineRule="auto"/>
        <w:jc w:val="both"/>
        <w:rPr>
          <w:rFonts w:ascii="Palatino Linotype" w:eastAsia="Palatino Linotype" w:hAnsi="Palatino Linotype" w:cs="Palatino Linotype"/>
          <w:sz w:val="24"/>
        </w:rPr>
      </w:pPr>
    </w:p>
    <w:p w14:paraId="37FAAB92" w14:textId="5F58D6DA" w:rsidR="00D53D49" w:rsidRPr="00470507" w:rsidRDefault="00933869" w:rsidP="00933869">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 xml:space="preserve">Argumento que encuentra sustento en la jurisprudencia P./J. 32/92 emitida por el Pleno de la Suprema Corte de Justicia de la Nación de rubro </w:t>
      </w:r>
      <w:r w:rsidRPr="00470507">
        <w:rPr>
          <w:rFonts w:ascii="Palatino Linotype" w:eastAsia="Palatino Linotype" w:hAnsi="Palatino Linotype" w:cs="Palatino Linotype"/>
          <w:i/>
          <w:sz w:val="24"/>
        </w:rPr>
        <w:t>“TÉRMINOS PROCESALES. PARA DETERMINAR SI UN FUNCIONARIO JUDICIAL ACTUÓ INDEBIDAMENTE POR NO RESPETARLOS SE DEBE ATENDER AL PRESUPUESTO QUE CONSIDERÓ EL LEGISLADOR AL FIJARLOS Y LAS CARACTERÍSTICAS DEL CASO.”</w:t>
      </w:r>
      <w:r w:rsidRPr="00470507">
        <w:rPr>
          <w:rFonts w:ascii="Palatino Linotype" w:eastAsia="Palatino Linotype" w:hAnsi="Palatino Linotype" w:cs="Palatino Linotype"/>
          <w:sz w:val="24"/>
        </w:rPr>
        <w:t>, visible en la Gaceta del Seminario Judicial de la Federación con el registro digital 205635.</w:t>
      </w:r>
    </w:p>
    <w:p w14:paraId="4FD2A8D6" w14:textId="77777777" w:rsidR="00933869" w:rsidRPr="00470507" w:rsidRDefault="00933869" w:rsidP="00933869">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FA4027E" w14:textId="77777777" w:rsidR="00933869" w:rsidRPr="00470507" w:rsidRDefault="00933869" w:rsidP="00933869">
      <w:pPr>
        <w:spacing w:after="0" w:line="360" w:lineRule="auto"/>
        <w:jc w:val="both"/>
        <w:rPr>
          <w:rFonts w:ascii="Palatino Linotype" w:eastAsia="Palatino Linotype" w:hAnsi="Palatino Linotype" w:cs="Palatino Linotype"/>
          <w:sz w:val="24"/>
        </w:rPr>
      </w:pPr>
    </w:p>
    <w:p w14:paraId="564B1E1A" w14:textId="4BC2A56A" w:rsidR="00933869" w:rsidRPr="00470507" w:rsidRDefault="00933869" w:rsidP="00933869">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Al respecto, también son de considerar los criterios sostenidos por el Cuarto Tribunal Colegiado en Materia Administrativa del Primer Circuito, cuyos rubros y datos de identificación son los siguientes:</w:t>
      </w:r>
    </w:p>
    <w:p w14:paraId="5582B0B4" w14:textId="77777777" w:rsidR="003A0D42" w:rsidRPr="00470507" w:rsidRDefault="003A0D42" w:rsidP="00933869">
      <w:pPr>
        <w:spacing w:after="0" w:line="360" w:lineRule="auto"/>
        <w:jc w:val="both"/>
        <w:rPr>
          <w:rFonts w:ascii="Palatino Linotype" w:eastAsia="Palatino Linotype" w:hAnsi="Palatino Linotype" w:cs="Palatino Linotype"/>
          <w:sz w:val="24"/>
        </w:rPr>
      </w:pPr>
    </w:p>
    <w:p w14:paraId="1ACEBDDD" w14:textId="77777777" w:rsidR="00933869" w:rsidRPr="00470507" w:rsidRDefault="00933869" w:rsidP="00933869">
      <w:pPr>
        <w:spacing w:after="0" w:line="360" w:lineRule="auto"/>
        <w:ind w:left="567" w:right="616"/>
        <w:jc w:val="both"/>
        <w:rPr>
          <w:rFonts w:ascii="Palatino Linotype" w:eastAsia="Palatino Linotype" w:hAnsi="Palatino Linotype" w:cs="Palatino Linotype"/>
        </w:rPr>
      </w:pPr>
      <w:r w:rsidRPr="00470507">
        <w:rPr>
          <w:rFonts w:ascii="Palatino Linotype" w:eastAsia="Palatino Linotype" w:hAnsi="Palatino Linotype" w:cs="Palatino Linotype"/>
          <w:b/>
        </w:rPr>
        <w:t xml:space="preserve"> </w:t>
      </w:r>
      <w:r w:rsidRPr="00470507">
        <w:rPr>
          <w:rFonts w:ascii="Palatino Linotype" w:eastAsia="Palatino Linotype" w:hAnsi="Palatino Linotype" w:cs="Palatino Linotype"/>
          <w:b/>
          <w:i/>
        </w:rPr>
        <w:t>“PLAZO RAZONABLE PARA RESOLVER. DIMENSIÓN Y EFECTOS DE ESTE CONCEPTO CUANDO SE ADUCE EXCESIVA CARGA DE TRABAJO.”</w:t>
      </w:r>
      <w:r w:rsidRPr="00470507">
        <w:rPr>
          <w:rFonts w:ascii="Palatino Linotype" w:eastAsia="Palatino Linotype" w:hAnsi="Palatino Linotype" w:cs="Palatino Linotype"/>
        </w:rPr>
        <w:t xml:space="preserve"> consultable en el Seminario Judicial de la Federación y su gaceta, con el registro digital 2002351.</w:t>
      </w:r>
    </w:p>
    <w:p w14:paraId="085688C7" w14:textId="77777777" w:rsidR="00933869" w:rsidRPr="00470507" w:rsidRDefault="00933869" w:rsidP="00933869">
      <w:pPr>
        <w:spacing w:after="0" w:line="360" w:lineRule="auto"/>
        <w:ind w:left="567" w:right="616"/>
        <w:jc w:val="both"/>
        <w:rPr>
          <w:rFonts w:ascii="Palatino Linotype" w:eastAsia="Palatino Linotype" w:hAnsi="Palatino Linotype" w:cs="Palatino Linotype"/>
          <w:b/>
        </w:rPr>
      </w:pPr>
    </w:p>
    <w:p w14:paraId="2694D862" w14:textId="6E374C19" w:rsidR="00D53D49" w:rsidRPr="00470507" w:rsidRDefault="00933869" w:rsidP="00BD52A1">
      <w:pPr>
        <w:spacing w:after="0" w:line="360" w:lineRule="auto"/>
        <w:ind w:left="567" w:right="616"/>
        <w:jc w:val="both"/>
        <w:rPr>
          <w:rFonts w:ascii="Palatino Linotype" w:eastAsia="Palatino Linotype" w:hAnsi="Palatino Linotype" w:cs="Palatino Linotype"/>
        </w:rPr>
      </w:pPr>
      <w:r w:rsidRPr="00470507">
        <w:rPr>
          <w:rFonts w:ascii="Palatino Linotype" w:eastAsia="Palatino Linotype" w:hAnsi="Palatino Linotype" w:cs="Palatino Linotype"/>
          <w:b/>
          <w:i/>
        </w:rPr>
        <w:t>“PLAZO RAZONABLE PARA RESOLVER. CONCEPTO Y ELEMENTOS QUE LO INTEGRAN A LA LUZ DEL DERECHO INTERNACIONAL DE LOS DERECHOS HUMANOS</w:t>
      </w:r>
      <w:r w:rsidRPr="00470507">
        <w:rPr>
          <w:rFonts w:ascii="Palatino Linotype" w:eastAsia="Palatino Linotype" w:hAnsi="Palatino Linotype" w:cs="Palatino Linotype"/>
          <w:i/>
        </w:rPr>
        <w:t>.”</w:t>
      </w:r>
      <w:r w:rsidRPr="00470507">
        <w:rPr>
          <w:rFonts w:ascii="Palatino Linotype" w:eastAsia="Palatino Linotype" w:hAnsi="Palatino Linotype" w:cs="Palatino Linotype"/>
        </w:rPr>
        <w:t>, visible en el Seminario Judicial de la Federación y su gaceta, con el registro digital 2002350.</w:t>
      </w:r>
    </w:p>
    <w:p w14:paraId="5B61B20B" w14:textId="24626B24" w:rsidR="005A3826" w:rsidRPr="00470507" w:rsidRDefault="00933869" w:rsidP="00C2557B">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lastRenderedPageBreak/>
        <w:t>Por ello, este organismo garante comprometido con la tutela de los derechos humanos confiados señala que este exceso de plazo legal para resolver el presente asunto resulta de carácter excepcional.</w:t>
      </w:r>
    </w:p>
    <w:p w14:paraId="6EB516CC" w14:textId="77777777" w:rsidR="008D63F3" w:rsidRPr="00470507" w:rsidRDefault="008D63F3" w:rsidP="00C2557B">
      <w:pPr>
        <w:spacing w:after="0" w:line="360" w:lineRule="auto"/>
        <w:jc w:val="both"/>
        <w:rPr>
          <w:rFonts w:ascii="Palatino Linotype" w:eastAsia="Palatino Linotype" w:hAnsi="Palatino Linotype" w:cs="Palatino Linotype"/>
          <w:sz w:val="24"/>
        </w:rPr>
      </w:pPr>
    </w:p>
    <w:p w14:paraId="55385642" w14:textId="3A6DC3B1" w:rsidR="0003629B" w:rsidRPr="00470507" w:rsidRDefault="0003629B" w:rsidP="0003629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b/>
          <w:color w:val="000000"/>
          <w:sz w:val="24"/>
          <w:szCs w:val="24"/>
        </w:rPr>
        <w:t>Cierre de instrucción</w:t>
      </w:r>
      <w:r w:rsidRPr="00470507">
        <w:rPr>
          <w:rFonts w:ascii="Palatino Linotype" w:eastAsia="Palatino Linotype" w:hAnsi="Palatino Linotype" w:cs="Palatino Linotype"/>
          <w:color w:val="000000"/>
          <w:sz w:val="24"/>
          <w:szCs w:val="24"/>
        </w:rPr>
        <w:t xml:space="preserve">. En fecha </w:t>
      </w:r>
      <w:r w:rsidR="00DE4535" w:rsidRPr="00470507">
        <w:rPr>
          <w:rFonts w:ascii="Palatino Linotype" w:eastAsia="Palatino Linotype" w:hAnsi="Palatino Linotype" w:cs="Palatino Linotype"/>
          <w:b/>
          <w:color w:val="000000"/>
          <w:sz w:val="24"/>
          <w:szCs w:val="24"/>
        </w:rPr>
        <w:t>catorce de marzo</w:t>
      </w:r>
      <w:r w:rsidR="003609F9" w:rsidRPr="00470507">
        <w:rPr>
          <w:rFonts w:ascii="Palatino Linotype" w:eastAsia="Palatino Linotype" w:hAnsi="Palatino Linotype" w:cs="Palatino Linotype"/>
          <w:b/>
          <w:color w:val="000000"/>
          <w:sz w:val="24"/>
          <w:szCs w:val="24"/>
        </w:rPr>
        <w:t xml:space="preserve"> de dos mil veinticuatro</w:t>
      </w:r>
      <w:r w:rsidRPr="00470507">
        <w:rPr>
          <w:rFonts w:ascii="Palatino Linotype" w:eastAsia="Palatino Linotype" w:hAnsi="Palatino Linotype" w:cs="Palatino Linotype"/>
          <w:color w:val="000000"/>
          <w:sz w:val="24"/>
          <w:szCs w:val="24"/>
        </w:rPr>
        <w:t>, la Comisionada Ponente determinó el cierre de instrucción en términos de la fracción VI del artículo 185 de la Ley de Transparencia y Acceso a la Información Pública del Estado de México y Municipios.</w:t>
      </w:r>
    </w:p>
    <w:p w14:paraId="0707E712" w14:textId="77777777" w:rsidR="0003629B" w:rsidRPr="00470507" w:rsidRDefault="0003629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16F263D8" w14:textId="78D02D37" w:rsidR="00F22AE1" w:rsidRPr="00470507"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454A05D4" w14:textId="7830C833" w:rsidR="00933869" w:rsidRPr="00470507" w:rsidRDefault="00933869">
      <w:pPr>
        <w:spacing w:after="0" w:line="360" w:lineRule="auto"/>
        <w:ind w:right="49"/>
        <w:jc w:val="both"/>
        <w:rPr>
          <w:rFonts w:ascii="Palatino Linotype" w:eastAsia="Palatino Linotype" w:hAnsi="Palatino Linotype" w:cs="Palatino Linotype"/>
          <w:sz w:val="24"/>
          <w:szCs w:val="24"/>
        </w:rPr>
      </w:pPr>
    </w:p>
    <w:p w14:paraId="40DB3F56" w14:textId="77777777" w:rsidR="00F8557D" w:rsidRPr="00470507" w:rsidRDefault="00646B44">
      <w:pPr>
        <w:spacing w:after="0" w:line="360" w:lineRule="auto"/>
        <w:ind w:right="49"/>
        <w:jc w:val="center"/>
        <w:rPr>
          <w:rFonts w:ascii="Palatino Linotype" w:eastAsia="Palatino Linotype" w:hAnsi="Palatino Linotype" w:cs="Palatino Linotype"/>
          <w:b/>
          <w:sz w:val="24"/>
          <w:szCs w:val="24"/>
        </w:rPr>
      </w:pPr>
      <w:r w:rsidRPr="00470507">
        <w:rPr>
          <w:rFonts w:ascii="Palatino Linotype" w:eastAsia="Palatino Linotype" w:hAnsi="Palatino Linotype" w:cs="Palatino Linotype"/>
          <w:b/>
          <w:sz w:val="24"/>
          <w:szCs w:val="24"/>
        </w:rPr>
        <w:t>II.</w:t>
      </w:r>
      <w:r w:rsidRPr="00470507">
        <w:rPr>
          <w:rFonts w:ascii="Palatino Linotype" w:eastAsia="Palatino Linotype" w:hAnsi="Palatino Linotype" w:cs="Palatino Linotype"/>
          <w:b/>
          <w:sz w:val="24"/>
          <w:szCs w:val="24"/>
        </w:rPr>
        <w:tab/>
        <w:t>C O N S I D E R A N D O:</w:t>
      </w:r>
    </w:p>
    <w:p w14:paraId="3619A913" w14:textId="77777777" w:rsidR="00F8557D" w:rsidRPr="00470507" w:rsidRDefault="00F8557D">
      <w:pPr>
        <w:spacing w:after="0" w:line="360" w:lineRule="auto"/>
        <w:ind w:right="49"/>
        <w:jc w:val="both"/>
        <w:rPr>
          <w:rFonts w:ascii="Palatino Linotype" w:eastAsia="Palatino Linotype" w:hAnsi="Palatino Linotype" w:cs="Palatino Linotype"/>
          <w:sz w:val="24"/>
          <w:szCs w:val="24"/>
        </w:rPr>
      </w:pPr>
    </w:p>
    <w:p w14:paraId="7101887F" w14:textId="06F6747B" w:rsidR="00933869" w:rsidRPr="00470507" w:rsidRDefault="00D7458B" w:rsidP="00D7458B">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b/>
          <w:sz w:val="24"/>
        </w:rPr>
        <w:t xml:space="preserve">Primero. Competencia. </w:t>
      </w:r>
      <w:r w:rsidR="00933869" w:rsidRPr="00470507">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w:t>
      </w:r>
      <w:r w:rsidR="00933869" w:rsidRPr="00470507">
        <w:rPr>
          <w:rFonts w:ascii="Palatino Linotype" w:eastAsia="Palatino Linotype" w:hAnsi="Palatino Linotype" w:cs="Palatino Linotype"/>
          <w:sz w:val="24"/>
          <w:szCs w:val="24"/>
        </w:rPr>
        <w:lastRenderedPageBreak/>
        <w:t>del Instituto de Transparencia, Acceso a la Información Pública y Protección de Datos Personales del Estado de México y Municipios.</w:t>
      </w:r>
    </w:p>
    <w:p w14:paraId="44CF613E" w14:textId="77777777" w:rsidR="00F8557D" w:rsidRPr="00470507" w:rsidRDefault="00F8557D">
      <w:pPr>
        <w:spacing w:after="0" w:line="360" w:lineRule="auto"/>
        <w:ind w:right="49"/>
        <w:jc w:val="both"/>
        <w:rPr>
          <w:rFonts w:ascii="Palatino Linotype" w:eastAsia="Palatino Linotype" w:hAnsi="Palatino Linotype" w:cs="Palatino Linotype"/>
          <w:sz w:val="24"/>
          <w:szCs w:val="24"/>
        </w:rPr>
      </w:pPr>
    </w:p>
    <w:p w14:paraId="5FB4118D" w14:textId="77777777" w:rsidR="00DE4535" w:rsidRPr="00470507" w:rsidRDefault="00646B44" w:rsidP="00DE4535">
      <w:pPr>
        <w:spacing w:after="0" w:line="360" w:lineRule="auto"/>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b/>
          <w:sz w:val="24"/>
          <w:szCs w:val="24"/>
        </w:rPr>
        <w:t>Segundo. Oportunidad y Procedibilidad del Recurso de Revisión.</w:t>
      </w:r>
      <w:r w:rsidRPr="00470507">
        <w:rPr>
          <w:rFonts w:ascii="Palatino Linotype" w:eastAsia="Palatino Linotype" w:hAnsi="Palatino Linotype" w:cs="Palatino Linotype"/>
          <w:sz w:val="24"/>
          <w:szCs w:val="24"/>
        </w:rPr>
        <w:t xml:space="preserve"> </w:t>
      </w:r>
      <w:r w:rsidR="00DE4535" w:rsidRPr="00470507">
        <w:rPr>
          <w:rFonts w:ascii="Palatino Linotype" w:eastAsia="Palatino Linotype" w:hAnsi="Palatino Linotype" w:cs="Palatino Linotype"/>
          <w:sz w:val="24"/>
          <w:szCs w:val="24"/>
        </w:rPr>
        <w:t>Es de precisar que la</w:t>
      </w:r>
      <w:r w:rsidR="00DE4535" w:rsidRPr="00470507">
        <w:rPr>
          <w:rFonts w:ascii="Palatino Linotype" w:eastAsia="Palatino Linotype" w:hAnsi="Palatino Linotype" w:cs="Palatino Linotype"/>
          <w:b/>
          <w:sz w:val="24"/>
          <w:szCs w:val="24"/>
        </w:rPr>
        <w:t xml:space="preserve"> </w:t>
      </w:r>
      <w:r w:rsidR="00DE4535" w:rsidRPr="00470507">
        <w:rPr>
          <w:rFonts w:ascii="Palatino Linotype" w:eastAsia="Palatino Linotype" w:hAnsi="Palatino Linotype" w:cs="Palatino Linotype"/>
          <w:sz w:val="24"/>
          <w:szCs w:val="24"/>
        </w:rPr>
        <w:t xml:space="preserve">Ley de Transparencia y Acceso a la Información Pública del Estado de México y Municipios, describe el mecanismo de procedencia de los recursos de revisión, como se dispone en los artículos 163 y 166, del tenor literal siguiente: </w:t>
      </w:r>
    </w:p>
    <w:p w14:paraId="1A1239E6" w14:textId="77777777" w:rsidR="00DE4535" w:rsidRPr="00470507" w:rsidRDefault="00DE4535" w:rsidP="00DE4535">
      <w:pPr>
        <w:spacing w:after="0" w:line="360" w:lineRule="auto"/>
        <w:jc w:val="both"/>
        <w:rPr>
          <w:rFonts w:ascii="Palatino Linotype" w:eastAsia="Palatino Linotype" w:hAnsi="Palatino Linotype" w:cs="Palatino Linotype"/>
        </w:rPr>
      </w:pPr>
    </w:p>
    <w:p w14:paraId="4843E0B4" w14:textId="77777777" w:rsidR="00DE4535" w:rsidRPr="00470507" w:rsidRDefault="00DE4535" w:rsidP="00DE4535">
      <w:pPr>
        <w:spacing w:after="0"/>
        <w:ind w:left="851" w:right="851"/>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r w:rsidRPr="00470507">
        <w:rPr>
          <w:rFonts w:ascii="Palatino Linotype" w:eastAsia="Palatino Linotype" w:hAnsi="Palatino Linotype" w:cs="Palatino Linotype"/>
          <w:b/>
          <w:i/>
        </w:rPr>
        <w:t xml:space="preserve">Artículo 163. </w:t>
      </w:r>
      <w:r w:rsidRPr="00470507">
        <w:rPr>
          <w:rFonts w:ascii="Palatino Linotype" w:eastAsia="Palatino Linotype" w:hAnsi="Palatino Linotype" w:cs="Palatino Linotype"/>
          <w:i/>
        </w:rPr>
        <w:t xml:space="preserve">La Unidad de Transparencia deberá notificar la respuesta a la solicitud al interesado en el menor tiempo posible, que no podrá exceder de quince días hábiles, contados a partir del día siguiente a la presentación de aquélla. </w:t>
      </w:r>
    </w:p>
    <w:p w14:paraId="6F104369" w14:textId="77777777" w:rsidR="00DE4535" w:rsidRPr="00470507" w:rsidRDefault="00DE4535" w:rsidP="00DE4535">
      <w:pPr>
        <w:spacing w:after="0"/>
        <w:ind w:left="851" w:right="851"/>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p>
    <w:p w14:paraId="5DF7142B" w14:textId="77777777" w:rsidR="00DE4535" w:rsidRPr="00470507" w:rsidRDefault="00DE4535" w:rsidP="00DE4535">
      <w:pPr>
        <w:spacing w:after="0"/>
        <w:ind w:left="851" w:right="851"/>
        <w:jc w:val="both"/>
        <w:rPr>
          <w:rFonts w:ascii="Palatino Linotype" w:eastAsia="Palatino Linotype" w:hAnsi="Palatino Linotype" w:cs="Palatino Linotype"/>
          <w:i/>
        </w:rPr>
      </w:pPr>
      <w:r w:rsidRPr="00470507">
        <w:rPr>
          <w:rFonts w:ascii="Palatino Linotype" w:eastAsia="Palatino Linotype" w:hAnsi="Palatino Linotype" w:cs="Palatino Linotype"/>
          <w:b/>
          <w:i/>
        </w:rPr>
        <w:t>Artículo 166.</w:t>
      </w:r>
      <w:r w:rsidRPr="00470507">
        <w:rPr>
          <w:rFonts w:ascii="Palatino Linotype" w:eastAsia="Palatino Linotype" w:hAnsi="Palatino Linotype" w:cs="Palatino Linotype"/>
          <w:i/>
        </w:rPr>
        <w:t xml:space="preserve"> […]</w:t>
      </w:r>
    </w:p>
    <w:p w14:paraId="6ACDADBB" w14:textId="77777777" w:rsidR="00DE4535" w:rsidRPr="00470507" w:rsidRDefault="00DE4535" w:rsidP="00DE4535">
      <w:pPr>
        <w:spacing w:after="0"/>
        <w:ind w:left="851" w:right="851"/>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Cuando el sujeto obligado no entregue la respuesta a la solicitud dentro del plazo previsto en la Ley, la solicitud se entenderá negada y el solicitante podrá interponer el recurso de revisión previsto en este ordenamiento.” </w:t>
      </w:r>
    </w:p>
    <w:p w14:paraId="6F8EBF4A" w14:textId="77777777" w:rsidR="00DE4535" w:rsidRPr="00470507" w:rsidRDefault="00DE4535" w:rsidP="00DE4535">
      <w:pPr>
        <w:spacing w:after="0" w:line="360" w:lineRule="auto"/>
        <w:ind w:left="851" w:right="851"/>
        <w:jc w:val="both"/>
        <w:rPr>
          <w:rFonts w:ascii="Palatino Linotype" w:eastAsia="Palatino Linotype" w:hAnsi="Palatino Linotype" w:cs="Palatino Linotype"/>
          <w:i/>
          <w:sz w:val="24"/>
        </w:rPr>
      </w:pPr>
    </w:p>
    <w:p w14:paraId="524D6A80" w14:textId="77777777" w:rsidR="00DE4535" w:rsidRPr="00470507" w:rsidRDefault="00DE4535" w:rsidP="00DE4535">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EFB8AA3" w14:textId="77777777" w:rsidR="00DE4535" w:rsidRPr="00470507" w:rsidRDefault="00DE4535" w:rsidP="00DE4535">
      <w:pPr>
        <w:spacing w:after="0" w:line="360" w:lineRule="auto"/>
        <w:jc w:val="both"/>
        <w:rPr>
          <w:rFonts w:ascii="Palatino Linotype" w:eastAsia="Palatino Linotype" w:hAnsi="Palatino Linotype" w:cs="Palatino Linotype"/>
        </w:rPr>
      </w:pPr>
    </w:p>
    <w:p w14:paraId="13027CC3" w14:textId="77777777" w:rsidR="00DE4535" w:rsidRPr="00470507" w:rsidRDefault="00DE4535" w:rsidP="00DE4535">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61790DE5" w14:textId="77777777" w:rsidR="00DE4535" w:rsidRPr="00470507" w:rsidRDefault="00DE4535" w:rsidP="00DE4535">
      <w:pPr>
        <w:spacing w:after="0" w:line="360" w:lineRule="auto"/>
        <w:jc w:val="both"/>
        <w:rPr>
          <w:rFonts w:ascii="Palatino Linotype" w:eastAsia="Palatino Linotype" w:hAnsi="Palatino Linotype" w:cs="Palatino Linotype"/>
        </w:rPr>
      </w:pPr>
    </w:p>
    <w:p w14:paraId="7C16E7D9" w14:textId="77777777" w:rsidR="00DE4535" w:rsidRPr="00470507" w:rsidRDefault="00DE4535" w:rsidP="00DE4535">
      <w:pPr>
        <w:spacing w:after="0" w:line="360" w:lineRule="auto"/>
        <w:jc w:val="both"/>
        <w:rPr>
          <w:rFonts w:ascii="Palatino Linotype" w:eastAsia="Palatino Linotype" w:hAnsi="Palatino Linotype" w:cs="Palatino Linotype"/>
        </w:rPr>
      </w:pPr>
      <w:r w:rsidRPr="00470507">
        <w:rPr>
          <w:rFonts w:ascii="Palatino Linotype" w:eastAsia="Palatino Linotype" w:hAnsi="Palatino Linotype" w:cs="Palatino Linotype"/>
        </w:rPr>
        <w:t>Por su parte, el artículo 178 del citado ordenamiento, establece:</w:t>
      </w:r>
    </w:p>
    <w:p w14:paraId="15C971FC" w14:textId="77777777" w:rsidR="00DE4535" w:rsidRPr="00470507" w:rsidRDefault="00DE4535" w:rsidP="00DE4535">
      <w:pPr>
        <w:spacing w:after="0" w:line="360" w:lineRule="auto"/>
        <w:jc w:val="both"/>
        <w:rPr>
          <w:rFonts w:ascii="Palatino Linotype" w:eastAsia="Palatino Linotype" w:hAnsi="Palatino Linotype" w:cs="Palatino Linotype"/>
        </w:rPr>
      </w:pPr>
    </w:p>
    <w:p w14:paraId="6C2697A7" w14:textId="77777777" w:rsidR="00DE4535" w:rsidRPr="00470507" w:rsidRDefault="00DE4535" w:rsidP="00DE4535">
      <w:pPr>
        <w:spacing w:after="0"/>
        <w:ind w:left="851" w:right="851"/>
        <w:jc w:val="both"/>
        <w:rPr>
          <w:rFonts w:ascii="Palatino Linotype" w:eastAsia="Palatino Linotype" w:hAnsi="Palatino Linotype" w:cs="Palatino Linotype"/>
          <w:b/>
          <w:i/>
        </w:rPr>
      </w:pPr>
      <w:r w:rsidRPr="00470507">
        <w:rPr>
          <w:rFonts w:ascii="Palatino Linotype" w:eastAsia="Palatino Linotype" w:hAnsi="Palatino Linotype" w:cs="Palatino Linotype"/>
          <w:i/>
        </w:rPr>
        <w:t>“</w:t>
      </w:r>
      <w:r w:rsidRPr="00470507">
        <w:rPr>
          <w:rFonts w:ascii="Palatino Linotype" w:eastAsia="Palatino Linotype" w:hAnsi="Palatino Linotype" w:cs="Palatino Linotype"/>
          <w:b/>
          <w:i/>
        </w:rPr>
        <w:t xml:space="preserve">Artículo 178. </w:t>
      </w:r>
      <w:r w:rsidRPr="00470507">
        <w:rPr>
          <w:rFonts w:ascii="Palatino Linotype" w:eastAsia="Palatino Linotype" w:hAnsi="Palatino Linotype" w:cs="Palatino Linotype"/>
          <w:i/>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470507">
        <w:rPr>
          <w:rFonts w:ascii="Palatino Linotype" w:eastAsia="Palatino Linotype" w:hAnsi="Palatino Linotype" w:cs="Palatino Linotype"/>
          <w:b/>
          <w:i/>
        </w:rPr>
        <w:t>.</w:t>
      </w:r>
    </w:p>
    <w:p w14:paraId="1F94C9F8" w14:textId="77777777" w:rsidR="00DE4535" w:rsidRPr="00470507" w:rsidRDefault="00DE4535" w:rsidP="00DE4535">
      <w:pPr>
        <w:spacing w:after="0"/>
        <w:ind w:left="851" w:right="851"/>
        <w:jc w:val="both"/>
        <w:rPr>
          <w:rFonts w:ascii="Palatino Linotype" w:eastAsia="Palatino Linotype" w:hAnsi="Palatino Linotype" w:cs="Palatino Linotype"/>
          <w:b/>
          <w:i/>
        </w:rPr>
      </w:pPr>
    </w:p>
    <w:p w14:paraId="2A1502F1" w14:textId="77777777" w:rsidR="00DE4535" w:rsidRPr="00470507" w:rsidRDefault="00DE4535" w:rsidP="00DE4535">
      <w:pPr>
        <w:spacing w:after="0"/>
        <w:ind w:left="851" w:right="851"/>
        <w:jc w:val="both"/>
        <w:rPr>
          <w:rFonts w:ascii="Palatino Linotype" w:hAnsi="Palatino Linotype"/>
          <w:i/>
        </w:rPr>
      </w:pPr>
      <w:r w:rsidRPr="00470507">
        <w:rPr>
          <w:rFonts w:ascii="Palatino Linotype" w:hAnsi="Palatino Linotype"/>
          <w:i/>
        </w:rPr>
        <w:t xml:space="preserve">A falta de respuesta del sujeto obligado, dentro de los plazos establecidos en esta Ley, a una solicitud de acceso a la información pública, el recurso podrá ser interpuesto en cualquier momento acompañado con el documento que pruebe la fecha en que presentó la solicitud. </w:t>
      </w:r>
    </w:p>
    <w:p w14:paraId="031E94D9" w14:textId="77777777" w:rsidR="00DE4535" w:rsidRPr="00470507" w:rsidRDefault="00DE4535" w:rsidP="00DE4535">
      <w:pPr>
        <w:spacing w:after="0"/>
        <w:ind w:left="851" w:right="851"/>
        <w:jc w:val="both"/>
        <w:rPr>
          <w:rFonts w:ascii="Palatino Linotype" w:hAnsi="Palatino Linotype"/>
          <w:i/>
        </w:rPr>
      </w:pPr>
    </w:p>
    <w:p w14:paraId="4740EC46" w14:textId="77777777" w:rsidR="00DE4535" w:rsidRPr="00470507" w:rsidRDefault="00DE4535" w:rsidP="00DE4535">
      <w:pPr>
        <w:spacing w:after="0"/>
        <w:ind w:left="851" w:right="851"/>
        <w:jc w:val="both"/>
        <w:rPr>
          <w:rFonts w:ascii="Palatino Linotype" w:eastAsia="Palatino Linotype" w:hAnsi="Palatino Linotype" w:cs="Palatino Linotype"/>
          <w:b/>
          <w:i/>
        </w:rPr>
      </w:pPr>
      <w:r w:rsidRPr="00470507">
        <w:rPr>
          <w:rFonts w:ascii="Palatino Linotype" w:hAnsi="Palatino Linotype"/>
          <w:i/>
        </w:rPr>
        <w:t>En el caso de que se interponga ante la Unidad de Transparencia, ésta deberá remitir el recurso de revisión al Instituto a más tardar al día siguiente de haberlo recibido.</w:t>
      </w:r>
      <w:r w:rsidRPr="00470507">
        <w:rPr>
          <w:rFonts w:ascii="Palatino Linotype" w:eastAsia="Palatino Linotype" w:hAnsi="Palatino Linotype" w:cs="Palatino Linotype"/>
          <w:b/>
          <w:i/>
        </w:rPr>
        <w:t>”</w:t>
      </w:r>
    </w:p>
    <w:p w14:paraId="20B5100D" w14:textId="77777777" w:rsidR="00DE4535" w:rsidRPr="00470507" w:rsidRDefault="00DE4535" w:rsidP="00DE4535">
      <w:pPr>
        <w:spacing w:after="0" w:line="360" w:lineRule="auto"/>
        <w:ind w:left="851" w:right="851"/>
        <w:jc w:val="both"/>
        <w:rPr>
          <w:rFonts w:ascii="Palatino Linotype" w:eastAsia="Palatino Linotype" w:hAnsi="Palatino Linotype" w:cs="Palatino Linotype"/>
          <w:i/>
        </w:rPr>
      </w:pPr>
    </w:p>
    <w:p w14:paraId="5D358C4D" w14:textId="77777777" w:rsidR="00DE4535" w:rsidRPr="00470507" w:rsidRDefault="00DE4535" w:rsidP="00DE4535">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 xml:space="preserve">De lo anterior, se advierte que el recurso de revisión se han de interponer dentro del plazo de quince días hábiles, a partir de la fecha en que el </w:t>
      </w:r>
      <w:r w:rsidRPr="00470507">
        <w:rPr>
          <w:rFonts w:ascii="Palatino Linotype" w:eastAsia="Palatino Linotype" w:hAnsi="Palatino Linotype" w:cs="Palatino Linotype"/>
          <w:b/>
          <w:sz w:val="24"/>
        </w:rPr>
        <w:t xml:space="preserve">Sujeto Obligado </w:t>
      </w:r>
      <w:r w:rsidRPr="00470507">
        <w:rPr>
          <w:rFonts w:ascii="Palatino Linotype" w:eastAsia="Palatino Linotype" w:hAnsi="Palatino Linotype" w:cs="Palatino Linotype"/>
          <w:sz w:val="24"/>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470507">
        <w:rPr>
          <w:rFonts w:ascii="Palatino Linotype" w:eastAsia="Palatino Linotype" w:hAnsi="Palatino Linotype" w:cs="Palatino Linotype"/>
          <w:b/>
          <w:sz w:val="24"/>
          <w:u w:val="single"/>
        </w:rPr>
        <w:t>la interposición del recurso de revisión puede ser en cualquier momento.</w:t>
      </w:r>
    </w:p>
    <w:p w14:paraId="6A544E0C" w14:textId="77777777" w:rsidR="00DE4535" w:rsidRPr="00470507" w:rsidRDefault="00DE4535" w:rsidP="00DE4535">
      <w:pPr>
        <w:spacing w:after="0" w:line="360" w:lineRule="auto"/>
        <w:jc w:val="both"/>
        <w:rPr>
          <w:rFonts w:ascii="Palatino Linotype" w:eastAsia="Palatino Linotype" w:hAnsi="Palatino Linotype" w:cs="Palatino Linotype"/>
        </w:rPr>
      </w:pPr>
    </w:p>
    <w:p w14:paraId="3F4307AA" w14:textId="77777777" w:rsidR="00DE4535" w:rsidRPr="00470507" w:rsidRDefault="00DE4535" w:rsidP="00DE4535">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lastRenderedPageBreak/>
        <w:t xml:space="preserve">La negativa ficta constituye una presunción legal, en el entendido de que donde no hubo respuesta por parte del </w:t>
      </w:r>
      <w:r w:rsidRPr="00470507">
        <w:rPr>
          <w:rFonts w:ascii="Palatino Linotype" w:eastAsia="Palatino Linotype" w:hAnsi="Palatino Linotype" w:cs="Palatino Linotype"/>
          <w:b/>
          <w:sz w:val="24"/>
        </w:rPr>
        <w:t xml:space="preserve">Sujeto Obligado </w:t>
      </w:r>
      <w:r w:rsidRPr="00470507">
        <w:rPr>
          <w:rFonts w:ascii="Palatino Linotype" w:eastAsia="Palatino Linotype" w:hAnsi="Palatino Linotype" w:cs="Palatino Linotype"/>
          <w:sz w:val="24"/>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0989CE6A" w14:textId="77777777" w:rsidR="00DE4535" w:rsidRPr="00470507" w:rsidRDefault="00DE4535" w:rsidP="00DE4535">
      <w:pPr>
        <w:spacing w:after="0" w:line="360" w:lineRule="auto"/>
        <w:jc w:val="both"/>
        <w:rPr>
          <w:rFonts w:ascii="Palatino Linotype" w:eastAsia="Palatino Linotype" w:hAnsi="Palatino Linotype" w:cs="Palatino Linotype"/>
        </w:rPr>
      </w:pPr>
    </w:p>
    <w:p w14:paraId="06C08131" w14:textId="77777777" w:rsidR="00DE4535" w:rsidRPr="00470507" w:rsidRDefault="00DE4535" w:rsidP="00DE4535">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470507">
        <w:rPr>
          <w:rFonts w:ascii="Palatino Linotype" w:eastAsia="Palatino Linotype" w:hAnsi="Palatino Linotype" w:cs="Palatino Linotype"/>
          <w:sz w:val="24"/>
        </w:rPr>
        <w:t>desechamiento</w:t>
      </w:r>
      <w:proofErr w:type="spellEnd"/>
      <w:r w:rsidRPr="00470507">
        <w:rPr>
          <w:rFonts w:ascii="Palatino Linotype" w:eastAsia="Palatino Linotype" w:hAnsi="Palatino Linotype" w:cs="Palatino Linotype"/>
          <w:sz w:val="24"/>
        </w:rPr>
        <w:t xml:space="preserve"> del mismo.</w:t>
      </w:r>
    </w:p>
    <w:p w14:paraId="2228EF9F" w14:textId="77777777" w:rsidR="00DE4535" w:rsidRPr="00470507" w:rsidRDefault="00DE4535" w:rsidP="00DE4535">
      <w:pPr>
        <w:spacing w:after="0" w:line="360" w:lineRule="auto"/>
        <w:jc w:val="both"/>
        <w:rPr>
          <w:rFonts w:ascii="Palatino Linotype" w:eastAsia="Palatino Linotype" w:hAnsi="Palatino Linotype" w:cs="Palatino Linotype"/>
        </w:rPr>
      </w:pPr>
    </w:p>
    <w:p w14:paraId="177D70CB" w14:textId="77777777" w:rsidR="00DE4535" w:rsidRPr="00470507" w:rsidRDefault="00DE4535" w:rsidP="00DE4535">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 xml:space="preserve">Por lo tanto, con la finalidad de no reducir ni limitar el derecho de acceso a la información y concederle una protección más eficaz al solicitante para impugnar el silencio del </w:t>
      </w:r>
      <w:r w:rsidRPr="00470507">
        <w:rPr>
          <w:rFonts w:ascii="Palatino Linotype" w:eastAsia="Palatino Linotype" w:hAnsi="Palatino Linotype" w:cs="Palatino Linotype"/>
          <w:b/>
          <w:sz w:val="24"/>
        </w:rPr>
        <w:t>Sujeto Obligado</w:t>
      </w:r>
      <w:r w:rsidRPr="00470507">
        <w:rPr>
          <w:rFonts w:ascii="Palatino Linotype" w:eastAsia="Palatino Linotype" w:hAnsi="Palatino Linotype" w:cs="Palatino Linotype"/>
          <w:sz w:val="24"/>
        </w:rPr>
        <w:t xml:space="preserve">, este tiene la posibilidad de impugnar dicha omisión en cualquier tiempo mediante el recurso de revisión y con ello satisfacer su pretensión; postura que ha sido adoptada mediante criterio número 001-15, aprobado por el Pleno </w:t>
      </w:r>
      <w:r w:rsidRPr="00470507">
        <w:rPr>
          <w:rFonts w:ascii="Palatino Linotype" w:eastAsia="Palatino Linotype" w:hAnsi="Palatino Linotype" w:cs="Palatino Linotype"/>
          <w:sz w:val="24"/>
        </w:rPr>
        <w:lastRenderedPageBreak/>
        <w:t>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425CE0E8" w14:textId="77777777" w:rsidR="00DE4535" w:rsidRPr="00470507" w:rsidRDefault="00DE4535" w:rsidP="00DE4535">
      <w:pPr>
        <w:spacing w:after="0"/>
        <w:jc w:val="both"/>
        <w:rPr>
          <w:rFonts w:ascii="Palatino Linotype" w:eastAsia="Palatino Linotype" w:hAnsi="Palatino Linotype" w:cs="Palatino Linotype"/>
          <w:i/>
        </w:rPr>
      </w:pPr>
    </w:p>
    <w:p w14:paraId="002CF0DD" w14:textId="77777777" w:rsidR="00DE4535" w:rsidRPr="00470507" w:rsidRDefault="00DE4535" w:rsidP="00DE4535">
      <w:pPr>
        <w:tabs>
          <w:tab w:val="left" w:pos="1276"/>
        </w:tabs>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b/>
          <w:i/>
        </w:rPr>
        <w:t>“CRITERIO 0001-15. NEGATIVA FICTA. PLAZO PARA INTERPONER EL RECURSO DE REVISIÓN TRATÁNDOSE DE</w:t>
      </w:r>
      <w:r w:rsidRPr="00470507">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w:t>
      </w:r>
    </w:p>
    <w:p w14:paraId="4FCF2445" w14:textId="77777777" w:rsidR="00DE4535" w:rsidRPr="00470507" w:rsidRDefault="00DE4535" w:rsidP="00DE4535">
      <w:pPr>
        <w:spacing w:after="0"/>
        <w:ind w:left="567" w:right="843"/>
        <w:jc w:val="both"/>
        <w:rPr>
          <w:rFonts w:ascii="Palatino Linotype" w:eastAsia="Palatino Linotype" w:hAnsi="Palatino Linotype" w:cs="Palatino Linotype"/>
          <w:i/>
        </w:rPr>
      </w:pPr>
    </w:p>
    <w:p w14:paraId="58AF54DD" w14:textId="77777777" w:rsidR="00DE4535" w:rsidRPr="00470507" w:rsidRDefault="00DE4535" w:rsidP="00DE4535">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9578E68" w14:textId="77777777" w:rsidR="00DE4535" w:rsidRPr="00470507" w:rsidRDefault="00DE4535" w:rsidP="00DE4535">
      <w:pPr>
        <w:spacing w:after="0" w:line="360" w:lineRule="auto"/>
        <w:jc w:val="both"/>
        <w:rPr>
          <w:rFonts w:ascii="Palatino Linotype" w:eastAsia="Palatino Linotype" w:hAnsi="Palatino Linotype" w:cs="Palatino Linotype"/>
        </w:rPr>
      </w:pPr>
    </w:p>
    <w:p w14:paraId="0EFF09BF" w14:textId="77777777" w:rsidR="00DE4535" w:rsidRPr="00470507" w:rsidRDefault="00DE4535" w:rsidP="00DE4535">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lastRenderedPageBreak/>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w:t>
      </w:r>
    </w:p>
    <w:p w14:paraId="69258F52" w14:textId="77777777" w:rsidR="00DE4535" w:rsidRPr="00470507" w:rsidRDefault="00DE4535" w:rsidP="00DE4535">
      <w:pPr>
        <w:spacing w:after="0" w:line="360" w:lineRule="auto"/>
        <w:jc w:val="both"/>
        <w:rPr>
          <w:rFonts w:ascii="Palatino Linotype" w:eastAsia="Palatino Linotype" w:hAnsi="Palatino Linotype" w:cs="Palatino Linotype"/>
        </w:rPr>
      </w:pPr>
    </w:p>
    <w:p w14:paraId="60F819B3" w14:textId="77777777" w:rsidR="00DE4535" w:rsidRPr="00470507" w:rsidRDefault="00DE4535" w:rsidP="00DE4535">
      <w:pPr>
        <w:spacing w:after="0"/>
        <w:ind w:left="851" w:right="851"/>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r w:rsidRPr="00470507">
        <w:rPr>
          <w:rFonts w:ascii="Palatino Linotype" w:eastAsia="Palatino Linotype" w:hAnsi="Palatino Linotype" w:cs="Palatino Linotype"/>
          <w:b/>
          <w:i/>
        </w:rPr>
        <w:t xml:space="preserve">Artículo 179. </w:t>
      </w:r>
      <w:r w:rsidRPr="00470507">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28FECADC" w14:textId="77777777" w:rsidR="00DE4535" w:rsidRPr="00470507" w:rsidRDefault="00DE4535" w:rsidP="00DE4535">
      <w:pPr>
        <w:spacing w:after="0"/>
        <w:ind w:left="851" w:right="851"/>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p>
    <w:p w14:paraId="51B923CD" w14:textId="77777777" w:rsidR="00DE4535" w:rsidRPr="00470507" w:rsidRDefault="00DE4535" w:rsidP="00DE4535">
      <w:pPr>
        <w:spacing w:after="0"/>
        <w:ind w:left="851" w:right="851"/>
        <w:jc w:val="both"/>
        <w:rPr>
          <w:rFonts w:ascii="Palatino Linotype" w:eastAsia="Palatino Linotype" w:hAnsi="Palatino Linotype" w:cs="Palatino Linotype"/>
          <w:i/>
        </w:rPr>
      </w:pPr>
      <w:r w:rsidRPr="00470507">
        <w:rPr>
          <w:rFonts w:ascii="Palatino Linotype" w:eastAsia="Palatino Linotype" w:hAnsi="Palatino Linotype" w:cs="Palatino Linotype"/>
          <w:b/>
          <w:i/>
        </w:rPr>
        <w:t xml:space="preserve">VII. </w:t>
      </w:r>
      <w:r w:rsidRPr="00470507">
        <w:rPr>
          <w:rFonts w:ascii="Palatino Linotype" w:eastAsia="Palatino Linotype" w:hAnsi="Palatino Linotype" w:cs="Palatino Linotype"/>
          <w:i/>
        </w:rPr>
        <w:t>La falta de respuesta a una solicitud de acceso a la información;”</w:t>
      </w:r>
    </w:p>
    <w:p w14:paraId="469F4D0F" w14:textId="77777777" w:rsidR="00DE4535" w:rsidRPr="00470507" w:rsidRDefault="00DE4535" w:rsidP="00DE4535">
      <w:pPr>
        <w:spacing w:after="0" w:line="360" w:lineRule="auto"/>
        <w:ind w:left="1134" w:right="851"/>
        <w:jc w:val="both"/>
        <w:rPr>
          <w:rFonts w:ascii="Palatino Linotype" w:eastAsia="Palatino Linotype" w:hAnsi="Palatino Linotype" w:cs="Palatino Linotype"/>
          <w:i/>
        </w:rPr>
      </w:pPr>
    </w:p>
    <w:p w14:paraId="7C486975" w14:textId="0102A578" w:rsidR="00DE4535" w:rsidRPr="00470507" w:rsidRDefault="00DE4535" w:rsidP="00DE4535">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El precepto legal citado, establece como supuesto de procedencia del recurso de revisión, en aquellos casos en que la parte Recurrente estime negado el acceso a la información por la falta de respuesta por el Sujeto Obligado, en este asunto se actualiza la hipótesis jurídica citada, en atención a que la parte Recurrente combate falta de trámite por el Sujeto Obligado y expresa motivos de inconformidad en contra de dicha circunstancia.</w:t>
      </w:r>
    </w:p>
    <w:p w14:paraId="0E697F31" w14:textId="77777777" w:rsidR="00DE4535" w:rsidRPr="00470507" w:rsidRDefault="00DE4535" w:rsidP="00DE4535">
      <w:pPr>
        <w:spacing w:after="0" w:line="360" w:lineRule="auto"/>
        <w:jc w:val="both"/>
        <w:rPr>
          <w:rFonts w:ascii="Palatino Linotype" w:eastAsia="Palatino Linotype" w:hAnsi="Palatino Linotype" w:cs="Palatino Linotype"/>
          <w:sz w:val="24"/>
        </w:rPr>
      </w:pPr>
    </w:p>
    <w:p w14:paraId="35EE1366" w14:textId="39010050" w:rsidR="00F8557D" w:rsidRPr="00470507"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b/>
          <w:sz w:val="24"/>
          <w:szCs w:val="24"/>
        </w:rPr>
        <w:t>Tercero. Materia de la revisión</w:t>
      </w:r>
      <w:r w:rsidR="00DE4535" w:rsidRPr="00470507">
        <w:rPr>
          <w:rFonts w:ascii="Palatino Linotype" w:eastAsia="Palatino Linotype" w:hAnsi="Palatino Linotype" w:cs="Palatino Linotype"/>
          <w:sz w:val="24"/>
          <w:szCs w:val="24"/>
        </w:rPr>
        <w:t xml:space="preserve">. 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r w:rsidRPr="00470507">
        <w:rPr>
          <w:rFonts w:ascii="Palatino Linotype" w:eastAsia="Palatino Linotype" w:hAnsi="Palatino Linotype" w:cs="Palatino Linotype"/>
          <w:sz w:val="24"/>
          <w:szCs w:val="24"/>
        </w:rPr>
        <w:t xml:space="preserve"> </w:t>
      </w:r>
    </w:p>
    <w:p w14:paraId="59E87883" w14:textId="77777777" w:rsidR="005A1562" w:rsidRPr="00470507" w:rsidRDefault="005A1562">
      <w:pPr>
        <w:spacing w:after="0" w:line="360" w:lineRule="auto"/>
        <w:ind w:right="49"/>
        <w:jc w:val="both"/>
        <w:rPr>
          <w:rFonts w:ascii="Palatino Linotype" w:eastAsia="Palatino Linotype" w:hAnsi="Palatino Linotype" w:cs="Palatino Linotype"/>
          <w:sz w:val="24"/>
          <w:szCs w:val="24"/>
        </w:rPr>
      </w:pPr>
    </w:p>
    <w:p w14:paraId="7226B665" w14:textId="1CC10AC6" w:rsidR="00DE4535" w:rsidRPr="00470507" w:rsidRDefault="00646B44">
      <w:pPr>
        <w:spacing w:after="0" w:line="360" w:lineRule="auto"/>
        <w:ind w:right="49"/>
        <w:jc w:val="both"/>
        <w:rPr>
          <w:rFonts w:ascii="Palatino Linotype" w:eastAsia="Palatino Linotype" w:hAnsi="Palatino Linotype" w:cs="Palatino Linotype"/>
          <w:sz w:val="24"/>
        </w:rPr>
      </w:pPr>
      <w:r w:rsidRPr="00470507">
        <w:rPr>
          <w:rFonts w:ascii="Palatino Linotype" w:eastAsia="Palatino Linotype" w:hAnsi="Palatino Linotype" w:cs="Palatino Linotype"/>
          <w:b/>
          <w:sz w:val="24"/>
          <w:szCs w:val="24"/>
        </w:rPr>
        <w:lastRenderedPageBreak/>
        <w:t>Cuarto.</w:t>
      </w:r>
      <w:r w:rsidRPr="00470507">
        <w:rPr>
          <w:rFonts w:ascii="Palatino Linotype" w:eastAsia="Palatino Linotype" w:hAnsi="Palatino Linotype" w:cs="Palatino Linotype"/>
          <w:sz w:val="24"/>
          <w:szCs w:val="24"/>
        </w:rPr>
        <w:t xml:space="preserve"> </w:t>
      </w:r>
      <w:r w:rsidRPr="00470507">
        <w:rPr>
          <w:rFonts w:ascii="Palatino Linotype" w:eastAsia="Palatino Linotype" w:hAnsi="Palatino Linotype" w:cs="Palatino Linotype"/>
          <w:b/>
          <w:sz w:val="24"/>
          <w:szCs w:val="24"/>
        </w:rPr>
        <w:t>Estudio de fondo del asunto.</w:t>
      </w:r>
      <w:r w:rsidRPr="00470507">
        <w:rPr>
          <w:rFonts w:ascii="Palatino Linotype" w:eastAsia="Palatino Linotype" w:hAnsi="Palatino Linotype" w:cs="Palatino Linotype"/>
          <w:sz w:val="24"/>
          <w:szCs w:val="24"/>
        </w:rPr>
        <w:t xml:space="preserve">  </w:t>
      </w:r>
      <w:r w:rsidR="00DE4535" w:rsidRPr="00470507">
        <w:rPr>
          <w:rFonts w:ascii="Palatino Linotype" w:eastAsia="Palatino Linotype" w:hAnsi="Palatino Linotype" w:cs="Palatino Linotype"/>
          <w:sz w:val="24"/>
        </w:rPr>
        <w:t xml:space="preserve">Una vez determinada la vía sobre la que versará el presente recurso, y previa revisión del expediente del recurso de revisión materia de la presente resolución, se advierte que el </w:t>
      </w:r>
      <w:r w:rsidR="00DE4535" w:rsidRPr="00470507">
        <w:rPr>
          <w:rFonts w:ascii="Palatino Linotype" w:eastAsia="Palatino Linotype" w:hAnsi="Palatino Linotype" w:cs="Palatino Linotype"/>
          <w:b/>
          <w:sz w:val="24"/>
        </w:rPr>
        <w:t xml:space="preserve">Sujeto Obligado </w:t>
      </w:r>
      <w:r w:rsidR="00DE4535" w:rsidRPr="00470507">
        <w:rPr>
          <w:rFonts w:ascii="Palatino Linotype" w:eastAsia="Palatino Linotype" w:hAnsi="Palatino Linotype" w:cs="Palatino Linotype"/>
          <w:sz w:val="24"/>
        </w:rPr>
        <w:t xml:space="preserve">no dio respuesta a la solicitud de información planteada por la parte </w:t>
      </w:r>
      <w:r w:rsidR="00DE4535" w:rsidRPr="00470507">
        <w:rPr>
          <w:rFonts w:ascii="Palatino Linotype" w:eastAsia="Palatino Linotype" w:hAnsi="Palatino Linotype" w:cs="Palatino Linotype"/>
          <w:b/>
          <w:sz w:val="24"/>
        </w:rPr>
        <w:t>Recurrente</w:t>
      </w:r>
      <w:r w:rsidR="00DE4535" w:rsidRPr="00470507">
        <w:rPr>
          <w:rFonts w:ascii="Palatino Linotype" w:eastAsia="Palatino Linotype" w:hAnsi="Palatino Linotype" w:cs="Palatino Linotype"/>
          <w:sz w:val="24"/>
        </w:rPr>
        <w:t xml:space="preserve">, lo que se traduce como la configuración de la </w:t>
      </w:r>
      <w:r w:rsidR="00DE4535" w:rsidRPr="00470507">
        <w:rPr>
          <w:rFonts w:ascii="Palatino Linotype" w:eastAsia="Palatino Linotype" w:hAnsi="Palatino Linotype" w:cs="Palatino Linotype"/>
          <w:b/>
          <w:sz w:val="24"/>
        </w:rPr>
        <w:t>negativa ficta</w:t>
      </w:r>
      <w:r w:rsidR="00DE4535" w:rsidRPr="00470507">
        <w:rPr>
          <w:rFonts w:ascii="Palatino Linotype" w:eastAsia="Palatino Linotype" w:hAnsi="Palatino Linotype" w:cs="Palatino Linotype"/>
          <w:sz w:val="24"/>
        </w:rPr>
        <w:t xml:space="preserve">, situación que demuestra la existencia del acto impugnado y procedencia del motivo de inconformidad, que en términos generales consistente en que el </w:t>
      </w:r>
      <w:r w:rsidR="00DE4535" w:rsidRPr="00470507">
        <w:rPr>
          <w:rFonts w:ascii="Palatino Linotype" w:eastAsia="Palatino Linotype" w:hAnsi="Palatino Linotype" w:cs="Palatino Linotype"/>
          <w:b/>
          <w:sz w:val="24"/>
        </w:rPr>
        <w:t>Sujeto Obligado</w:t>
      </w:r>
      <w:r w:rsidR="00DE4535" w:rsidRPr="00470507">
        <w:rPr>
          <w:rFonts w:ascii="Palatino Linotype" w:eastAsia="Palatino Linotype" w:hAnsi="Palatino Linotype" w:cs="Palatino Linotype"/>
          <w:sz w:val="24"/>
        </w:rPr>
        <w:t xml:space="preserve"> no emitió respuesta a la solicitud de información, dentro del plazo legal previsto para ello.</w:t>
      </w:r>
    </w:p>
    <w:p w14:paraId="34C70B39" w14:textId="77777777" w:rsidR="00DE4535" w:rsidRPr="00470507" w:rsidRDefault="00DE4535">
      <w:pPr>
        <w:spacing w:after="0" w:line="360" w:lineRule="auto"/>
        <w:ind w:right="49"/>
        <w:jc w:val="both"/>
        <w:rPr>
          <w:rFonts w:ascii="Palatino Linotype" w:eastAsia="Palatino Linotype" w:hAnsi="Palatino Linotype" w:cs="Palatino Linotype"/>
          <w:sz w:val="24"/>
          <w:szCs w:val="24"/>
        </w:rPr>
      </w:pPr>
    </w:p>
    <w:p w14:paraId="6AD4A2F2" w14:textId="1513FE59" w:rsidR="00F8557D" w:rsidRPr="00470507" w:rsidRDefault="00DE4535">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 xml:space="preserve">En ese sentido, es </w:t>
      </w:r>
      <w:r w:rsidR="00646B44" w:rsidRPr="00470507">
        <w:rPr>
          <w:rFonts w:ascii="Palatino Linotype" w:eastAsia="Palatino Linotype" w:hAnsi="Palatino Linotype" w:cs="Palatino Linotype"/>
          <w:sz w:val="24"/>
          <w:szCs w:val="24"/>
        </w:rPr>
        <w:t>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A7C1A84" w14:textId="77777777" w:rsidR="00F8557D" w:rsidRPr="00470507" w:rsidRDefault="00F8557D">
      <w:pPr>
        <w:spacing w:after="0"/>
        <w:ind w:left="567" w:right="560"/>
        <w:jc w:val="both"/>
        <w:rPr>
          <w:rFonts w:ascii="Palatino Linotype" w:eastAsia="Palatino Linotype" w:hAnsi="Palatino Linotype" w:cs="Palatino Linotype"/>
          <w:i/>
        </w:rPr>
      </w:pPr>
    </w:p>
    <w:p w14:paraId="06123CDB"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b/>
          <w:i/>
        </w:rPr>
        <w:t>Artículo 1o.</w:t>
      </w:r>
      <w:r w:rsidRPr="00470507">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4B55DA0"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3CD58237"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w:t>
      </w:r>
      <w:r w:rsidRPr="00470507">
        <w:rPr>
          <w:rFonts w:ascii="Palatino Linotype" w:eastAsia="Palatino Linotype" w:hAnsi="Palatino Linotype" w:cs="Palatino Linotype"/>
          <w:i/>
        </w:rPr>
        <w:lastRenderedPageBreak/>
        <w:t>Estado deberá prevenir, investigar, sancionar y reparar las violaciones a los derechos humanos, en los términos que establezca la ley</w:t>
      </w:r>
    </w:p>
    <w:p w14:paraId="65F14F92"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p>
    <w:p w14:paraId="75867AD6" w14:textId="77777777" w:rsidR="00F8557D" w:rsidRPr="00470507" w:rsidRDefault="00646B44">
      <w:pPr>
        <w:spacing w:after="0"/>
        <w:ind w:left="567" w:right="560"/>
        <w:jc w:val="both"/>
        <w:rPr>
          <w:rFonts w:ascii="Palatino Linotype" w:eastAsia="Palatino Linotype" w:hAnsi="Palatino Linotype" w:cs="Palatino Linotype"/>
          <w:b/>
          <w:i/>
        </w:rPr>
      </w:pPr>
      <w:r w:rsidRPr="00470507">
        <w:rPr>
          <w:rFonts w:ascii="Palatino Linotype" w:eastAsia="Palatino Linotype" w:hAnsi="Palatino Linotype" w:cs="Palatino Linotype"/>
          <w:b/>
          <w:i/>
        </w:rPr>
        <w:t>“Artículo 6o.</w:t>
      </w:r>
    </w:p>
    <w:p w14:paraId="43236C09"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p>
    <w:p w14:paraId="40F47EB2"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EAD3BF1"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E17F1D"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23D67166"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4C9252D"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63A4285B"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AD1263"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4F485102" w14:textId="1D46DDE0" w:rsidR="00B661FB" w:rsidRPr="00470507" w:rsidRDefault="00646B44" w:rsidP="0045606E">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2E6546E4" w14:textId="132C95E8" w:rsidR="00F8557D" w:rsidRPr="00470507"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07FADBD" w14:textId="77777777" w:rsidR="003A0D42" w:rsidRPr="00470507" w:rsidRDefault="003A0D42">
      <w:pPr>
        <w:spacing w:after="0" w:line="360" w:lineRule="auto"/>
        <w:ind w:right="49"/>
        <w:jc w:val="both"/>
        <w:rPr>
          <w:rFonts w:ascii="Palatino Linotype" w:eastAsia="Palatino Linotype" w:hAnsi="Palatino Linotype" w:cs="Palatino Linotype"/>
          <w:sz w:val="24"/>
          <w:szCs w:val="24"/>
        </w:rPr>
      </w:pPr>
    </w:p>
    <w:p w14:paraId="7E5D712A"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r w:rsidRPr="00470507">
        <w:rPr>
          <w:rFonts w:ascii="Palatino Linotype" w:eastAsia="Palatino Linotype" w:hAnsi="Palatino Linotype" w:cs="Palatino Linotype"/>
          <w:b/>
          <w:i/>
        </w:rPr>
        <w:t>Artículo 4.</w:t>
      </w:r>
      <w:r w:rsidRPr="0047050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1CB5E61"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F08E79"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14968CA1" w14:textId="77777777" w:rsidR="00F8557D" w:rsidRPr="00470507" w:rsidRDefault="00F8557D">
      <w:pPr>
        <w:spacing w:after="0" w:line="360" w:lineRule="auto"/>
        <w:ind w:left="567" w:right="560"/>
        <w:jc w:val="both"/>
        <w:rPr>
          <w:rFonts w:ascii="Palatino Linotype" w:eastAsia="Palatino Linotype" w:hAnsi="Palatino Linotype" w:cs="Palatino Linotype"/>
          <w:i/>
          <w:sz w:val="24"/>
          <w:szCs w:val="24"/>
        </w:rPr>
      </w:pPr>
    </w:p>
    <w:p w14:paraId="6E9DB9B4" w14:textId="77777777" w:rsidR="00F8557D" w:rsidRPr="00470507"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 xml:space="preserve">De lo precedente, se desprende que los Sujetos Obligados tienen la obligación o deber de atender las solicitudes de acceso a la información pública que se les hagan de su </w:t>
      </w:r>
      <w:r w:rsidRPr="00470507">
        <w:rPr>
          <w:rFonts w:ascii="Palatino Linotype" w:eastAsia="Palatino Linotype" w:hAnsi="Palatino Linotype" w:cs="Palatino Linotype"/>
          <w:sz w:val="24"/>
          <w:szCs w:val="24"/>
        </w:rPr>
        <w:lastRenderedPageBreak/>
        <w:t>conocimiento y proporcionar la información pública que obren en su poder como así lo establece el artículo 12 de la Ley de Transparencia y Acceso a la Información Pública del Estado de México y Municipios, el cual a la letra dice:</w:t>
      </w:r>
    </w:p>
    <w:p w14:paraId="33EA1797" w14:textId="77777777" w:rsidR="00F8557D" w:rsidRPr="00470507" w:rsidRDefault="00F8557D">
      <w:pPr>
        <w:spacing w:after="0" w:line="360" w:lineRule="auto"/>
        <w:ind w:right="49"/>
        <w:jc w:val="both"/>
        <w:rPr>
          <w:rFonts w:ascii="Palatino Linotype" w:eastAsia="Palatino Linotype" w:hAnsi="Palatino Linotype" w:cs="Palatino Linotype"/>
          <w:sz w:val="24"/>
          <w:szCs w:val="24"/>
        </w:rPr>
      </w:pPr>
    </w:p>
    <w:p w14:paraId="3697D698"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r w:rsidRPr="00470507">
        <w:rPr>
          <w:rFonts w:ascii="Palatino Linotype" w:eastAsia="Palatino Linotype" w:hAnsi="Palatino Linotype" w:cs="Palatino Linotype"/>
          <w:b/>
          <w:i/>
        </w:rPr>
        <w:t>Artículo 12.</w:t>
      </w:r>
      <w:r w:rsidRPr="0047050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A105DC8"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0EAB651" w14:textId="77777777" w:rsidR="00F8557D" w:rsidRPr="00470507" w:rsidRDefault="00F8557D">
      <w:pPr>
        <w:spacing w:after="0" w:line="360" w:lineRule="auto"/>
        <w:ind w:right="49"/>
        <w:jc w:val="both"/>
        <w:rPr>
          <w:rFonts w:ascii="Palatino Linotype" w:eastAsia="Palatino Linotype" w:hAnsi="Palatino Linotype" w:cs="Palatino Linotype"/>
          <w:sz w:val="24"/>
          <w:szCs w:val="24"/>
        </w:rPr>
      </w:pPr>
    </w:p>
    <w:p w14:paraId="58115B51" w14:textId="4E3C3AA3" w:rsidR="00F8557D" w:rsidRPr="00470507"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77A26F01" w14:textId="77777777" w:rsidR="003960A4" w:rsidRPr="00470507" w:rsidRDefault="003960A4">
      <w:pPr>
        <w:spacing w:after="0" w:line="360" w:lineRule="auto"/>
        <w:ind w:right="49"/>
        <w:jc w:val="both"/>
        <w:rPr>
          <w:rFonts w:ascii="Palatino Linotype" w:eastAsia="Palatino Linotype" w:hAnsi="Palatino Linotype" w:cs="Palatino Linotype"/>
          <w:sz w:val="24"/>
          <w:szCs w:val="24"/>
        </w:rPr>
      </w:pPr>
    </w:p>
    <w:p w14:paraId="2CE90F90" w14:textId="77777777" w:rsidR="00F8557D" w:rsidRPr="00470507" w:rsidRDefault="00646B44">
      <w:pPr>
        <w:spacing w:after="0"/>
        <w:ind w:left="567" w:right="560"/>
        <w:jc w:val="both"/>
        <w:rPr>
          <w:rFonts w:ascii="Palatino Linotype" w:eastAsia="Palatino Linotype" w:hAnsi="Palatino Linotype" w:cs="Palatino Linotype"/>
          <w:b/>
          <w:i/>
        </w:rPr>
      </w:pPr>
      <w:r w:rsidRPr="00470507">
        <w:rPr>
          <w:rFonts w:ascii="Palatino Linotype" w:eastAsia="Palatino Linotype" w:hAnsi="Palatino Linotype" w:cs="Palatino Linotype"/>
          <w:b/>
          <w:i/>
        </w:rPr>
        <w:t>Criterio 03/17</w:t>
      </w:r>
    </w:p>
    <w:p w14:paraId="0406D8B0"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b/>
          <w:i/>
        </w:rPr>
        <w:t xml:space="preserve">“NO EXISTE OBLIGACIÓN DE ELABORAR DOCUMENTOS AD HOC PARA ATENDER LAS SOLICITUDES DE ACCESO A LA INFORMACIÓN. </w:t>
      </w:r>
      <w:r w:rsidRPr="00470507">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w:t>
      </w:r>
      <w:r w:rsidRPr="00470507">
        <w:rPr>
          <w:rFonts w:ascii="Palatino Linotype" w:eastAsia="Palatino Linotype" w:hAnsi="Palatino Linotype" w:cs="Palatino Linotype"/>
          <w:i/>
        </w:rPr>
        <w:lastRenderedPageBreak/>
        <w:t>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5B39575" w14:textId="77777777" w:rsidR="00F8557D" w:rsidRPr="00470507" w:rsidRDefault="00F8557D">
      <w:pPr>
        <w:spacing w:after="0" w:line="360" w:lineRule="auto"/>
        <w:ind w:left="567" w:right="560"/>
        <w:jc w:val="both"/>
        <w:rPr>
          <w:rFonts w:ascii="Palatino Linotype" w:eastAsia="Palatino Linotype" w:hAnsi="Palatino Linotype" w:cs="Palatino Linotype"/>
          <w:b/>
          <w:i/>
          <w:sz w:val="24"/>
          <w:szCs w:val="24"/>
        </w:rPr>
      </w:pPr>
    </w:p>
    <w:p w14:paraId="3CABB273" w14:textId="2D8979DE" w:rsidR="00F8557D" w:rsidRPr="00470507"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E1500E9" w14:textId="77777777" w:rsidR="003960A4" w:rsidRPr="00470507" w:rsidRDefault="003960A4">
      <w:pPr>
        <w:spacing w:after="0" w:line="360" w:lineRule="auto"/>
        <w:ind w:right="49"/>
        <w:jc w:val="both"/>
        <w:rPr>
          <w:rFonts w:ascii="Palatino Linotype" w:eastAsia="Palatino Linotype" w:hAnsi="Palatino Linotype" w:cs="Palatino Linotype"/>
          <w:sz w:val="24"/>
          <w:szCs w:val="24"/>
        </w:rPr>
      </w:pPr>
    </w:p>
    <w:p w14:paraId="21E9BFD8" w14:textId="77777777" w:rsidR="00F8557D" w:rsidRPr="00470507"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F7181AF" w14:textId="77777777" w:rsidR="00F8557D" w:rsidRPr="00470507" w:rsidRDefault="00F8557D">
      <w:pPr>
        <w:spacing w:after="0" w:line="360" w:lineRule="auto"/>
        <w:ind w:right="49"/>
        <w:jc w:val="both"/>
        <w:rPr>
          <w:rFonts w:ascii="Palatino Linotype" w:eastAsia="Palatino Linotype" w:hAnsi="Palatino Linotype" w:cs="Palatino Linotype"/>
          <w:sz w:val="24"/>
          <w:szCs w:val="24"/>
        </w:rPr>
      </w:pPr>
    </w:p>
    <w:p w14:paraId="7E905A4A" w14:textId="760562D4" w:rsidR="00F8557D" w:rsidRPr="00470507" w:rsidRDefault="00646B44" w:rsidP="00A74EBA">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470507">
        <w:rPr>
          <w:rFonts w:ascii="Palatino Linotype" w:eastAsia="Palatino Linotype" w:hAnsi="Palatino Linotype" w:cs="Palatino Linotype"/>
          <w:sz w:val="24"/>
          <w:szCs w:val="24"/>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BD9BEC3" w14:textId="77777777" w:rsidR="0003629B" w:rsidRPr="00470507" w:rsidRDefault="0003629B" w:rsidP="00A74EBA">
      <w:pPr>
        <w:spacing w:after="0" w:line="360" w:lineRule="auto"/>
        <w:ind w:right="49"/>
        <w:jc w:val="both"/>
        <w:rPr>
          <w:rFonts w:ascii="Palatino Linotype" w:eastAsia="Palatino Linotype" w:hAnsi="Palatino Linotype" w:cs="Palatino Linotype"/>
          <w:sz w:val="24"/>
          <w:szCs w:val="24"/>
        </w:rPr>
      </w:pPr>
    </w:p>
    <w:p w14:paraId="02E4D6CD"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r w:rsidRPr="00470507">
        <w:rPr>
          <w:rFonts w:ascii="Palatino Linotype" w:eastAsia="Palatino Linotype" w:hAnsi="Palatino Linotype" w:cs="Palatino Linotype"/>
          <w:b/>
          <w:i/>
        </w:rPr>
        <w:t>Artículo 3.</w:t>
      </w:r>
      <w:r w:rsidRPr="00470507">
        <w:rPr>
          <w:rFonts w:ascii="Palatino Linotype" w:eastAsia="Palatino Linotype" w:hAnsi="Palatino Linotype" w:cs="Palatino Linotype"/>
          <w:i/>
        </w:rPr>
        <w:t xml:space="preserve"> Para los efectos de la presente Ley se entenderá por:</w:t>
      </w:r>
    </w:p>
    <w:p w14:paraId="20112B26"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p>
    <w:p w14:paraId="4DB11EE2" w14:textId="61FEFEFB"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b/>
          <w:i/>
        </w:rPr>
        <w:t>XI. Documento:</w:t>
      </w:r>
      <w:r w:rsidRPr="00470507">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00C2557B" w:rsidRPr="00470507">
        <w:rPr>
          <w:rFonts w:ascii="Palatino Linotype" w:eastAsia="Palatino Linotype" w:hAnsi="Palatino Linotype" w:cs="Palatino Linotype"/>
          <w:i/>
        </w:rPr>
        <w:t xml:space="preserve"> </w:t>
      </w:r>
    </w:p>
    <w:p w14:paraId="1EFA98EC" w14:textId="77777777" w:rsidR="00F8557D" w:rsidRPr="00470507" w:rsidRDefault="00F8557D">
      <w:pPr>
        <w:spacing w:after="0" w:line="360" w:lineRule="auto"/>
        <w:ind w:right="49"/>
        <w:jc w:val="both"/>
        <w:rPr>
          <w:rFonts w:ascii="Palatino Linotype" w:eastAsia="Palatino Linotype" w:hAnsi="Palatino Linotype" w:cs="Palatino Linotype"/>
          <w:sz w:val="24"/>
          <w:szCs w:val="24"/>
        </w:rPr>
      </w:pPr>
    </w:p>
    <w:p w14:paraId="0EC960E4" w14:textId="77777777" w:rsidR="00F8557D" w:rsidRPr="00470507"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E96C56C" w14:textId="77777777" w:rsidR="00F8557D" w:rsidRPr="00470507" w:rsidRDefault="00F8557D">
      <w:pPr>
        <w:spacing w:after="0" w:line="360" w:lineRule="auto"/>
        <w:ind w:right="49"/>
        <w:jc w:val="both"/>
        <w:rPr>
          <w:rFonts w:ascii="Palatino Linotype" w:eastAsia="Palatino Linotype" w:hAnsi="Palatino Linotype" w:cs="Palatino Linotype"/>
          <w:sz w:val="24"/>
          <w:szCs w:val="24"/>
        </w:rPr>
      </w:pPr>
    </w:p>
    <w:p w14:paraId="59209BB8" w14:textId="77777777" w:rsidR="00F8557D" w:rsidRPr="00470507" w:rsidRDefault="00646B44">
      <w:pPr>
        <w:spacing w:after="0"/>
        <w:ind w:left="567" w:right="560"/>
        <w:jc w:val="both"/>
        <w:rPr>
          <w:rFonts w:ascii="Palatino Linotype" w:eastAsia="Palatino Linotype" w:hAnsi="Palatino Linotype" w:cs="Palatino Linotype"/>
          <w:b/>
          <w:i/>
        </w:rPr>
      </w:pPr>
      <w:r w:rsidRPr="00470507">
        <w:rPr>
          <w:rFonts w:ascii="Palatino Linotype" w:eastAsia="Palatino Linotype" w:hAnsi="Palatino Linotype" w:cs="Palatino Linotype"/>
          <w:i/>
        </w:rPr>
        <w:t>“</w:t>
      </w:r>
      <w:r w:rsidRPr="00470507">
        <w:rPr>
          <w:rFonts w:ascii="Palatino Linotype" w:eastAsia="Palatino Linotype" w:hAnsi="Palatino Linotype" w:cs="Palatino Linotype"/>
          <w:b/>
          <w:i/>
        </w:rPr>
        <w:t>CRITERIO 0002-11</w:t>
      </w:r>
    </w:p>
    <w:p w14:paraId="5302D9BA"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47050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w:t>
      </w:r>
      <w:r w:rsidRPr="00470507">
        <w:rPr>
          <w:rFonts w:ascii="Palatino Linotype" w:eastAsia="Palatino Linotype" w:hAnsi="Palatino Linotype" w:cs="Palatino Linotype"/>
          <w:i/>
        </w:rPr>
        <w:lastRenderedPageBreak/>
        <w:t>generados o en posesión de los órganos u organismos públicos, en virtud del ejercicio de sus funciones de derecho público, sin importar su fuente, soporte o fecha de elaboración.</w:t>
      </w:r>
    </w:p>
    <w:p w14:paraId="2F67A663"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En consecuencia el acceso a la información se refiere a que se cumplan cualquiera de los siguientes tres supuestos:</w:t>
      </w:r>
    </w:p>
    <w:p w14:paraId="3666FA6F"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1)</w:t>
      </w:r>
      <w:r w:rsidRPr="00470507">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27A23F54"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2)</w:t>
      </w:r>
      <w:r w:rsidRPr="00470507">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16644C8A" w14:textId="77777777" w:rsidR="00F8557D" w:rsidRPr="00470507" w:rsidRDefault="00646B44">
      <w:pPr>
        <w:spacing w:after="0"/>
        <w:ind w:left="567" w:right="560"/>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0D90780" w14:textId="77777777" w:rsidR="00F8557D" w:rsidRPr="00470507" w:rsidRDefault="00F8557D">
      <w:pPr>
        <w:spacing w:after="0" w:line="360" w:lineRule="auto"/>
        <w:ind w:right="49"/>
        <w:jc w:val="both"/>
        <w:rPr>
          <w:rFonts w:ascii="Palatino Linotype" w:eastAsia="Palatino Linotype" w:hAnsi="Palatino Linotype" w:cs="Palatino Linotype"/>
          <w:sz w:val="24"/>
          <w:szCs w:val="24"/>
        </w:rPr>
      </w:pPr>
    </w:p>
    <w:p w14:paraId="41018A46" w14:textId="77777777" w:rsidR="00F8557D" w:rsidRPr="00470507"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732271EC" w14:textId="77777777" w:rsidR="00F8557D" w:rsidRPr="00470507" w:rsidRDefault="00F8557D">
      <w:pPr>
        <w:spacing w:after="0" w:line="360" w:lineRule="auto"/>
        <w:ind w:right="49"/>
        <w:jc w:val="both"/>
        <w:rPr>
          <w:rFonts w:ascii="Palatino Linotype" w:eastAsia="Palatino Linotype" w:hAnsi="Palatino Linotype" w:cs="Palatino Linotype"/>
          <w:sz w:val="24"/>
          <w:szCs w:val="24"/>
        </w:rPr>
      </w:pPr>
    </w:p>
    <w:p w14:paraId="0B796A6A" w14:textId="6179CFEE" w:rsidR="00F8557D" w:rsidRPr="00470507"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De las actuaciones que integran el expediente electrónico, se procede al análisis de los agravios hechos valer por el R</w:t>
      </w:r>
      <w:r w:rsidR="00DB71F7" w:rsidRPr="00470507">
        <w:rPr>
          <w:rFonts w:ascii="Palatino Linotype" w:eastAsia="Palatino Linotype" w:hAnsi="Palatino Linotype" w:cs="Palatino Linotype"/>
          <w:sz w:val="24"/>
          <w:szCs w:val="24"/>
        </w:rPr>
        <w:t xml:space="preserve">ecurrente, relativos a </w:t>
      </w:r>
      <w:r w:rsidR="00B661FB" w:rsidRPr="00470507">
        <w:rPr>
          <w:rFonts w:ascii="Palatino Linotype" w:eastAsia="Palatino Linotype" w:hAnsi="Palatino Linotype" w:cs="Palatino Linotype"/>
          <w:sz w:val="24"/>
          <w:szCs w:val="24"/>
        </w:rPr>
        <w:t xml:space="preserve">la </w:t>
      </w:r>
      <w:r w:rsidR="0045606E" w:rsidRPr="00470507">
        <w:rPr>
          <w:rFonts w:ascii="Palatino Linotype" w:eastAsia="Palatino Linotype" w:hAnsi="Palatino Linotype" w:cs="Palatino Linotype"/>
          <w:sz w:val="24"/>
          <w:szCs w:val="24"/>
        </w:rPr>
        <w:t>falta de respuesta a una solicitud de acceso a la información</w:t>
      </w:r>
      <w:r w:rsidR="00DB71F7" w:rsidRPr="00470507">
        <w:rPr>
          <w:rFonts w:ascii="Palatino Linotype" w:eastAsia="Palatino Linotype" w:hAnsi="Palatino Linotype" w:cs="Palatino Linotype"/>
          <w:sz w:val="24"/>
          <w:szCs w:val="24"/>
        </w:rPr>
        <w:t>, lo que actualiza la causal de pro</w:t>
      </w:r>
      <w:r w:rsidR="00C2557B" w:rsidRPr="00470507">
        <w:rPr>
          <w:rFonts w:ascii="Palatino Linotype" w:eastAsia="Palatino Linotype" w:hAnsi="Palatino Linotype" w:cs="Palatino Linotype"/>
          <w:sz w:val="24"/>
          <w:szCs w:val="24"/>
        </w:rPr>
        <w:t>cedencia prevista en la fracci</w:t>
      </w:r>
      <w:r w:rsidR="008D63F3" w:rsidRPr="00470507">
        <w:rPr>
          <w:rFonts w:ascii="Palatino Linotype" w:eastAsia="Palatino Linotype" w:hAnsi="Palatino Linotype" w:cs="Palatino Linotype"/>
          <w:sz w:val="24"/>
          <w:szCs w:val="24"/>
        </w:rPr>
        <w:t xml:space="preserve">ón </w:t>
      </w:r>
      <w:r w:rsidR="0045606E" w:rsidRPr="00470507">
        <w:rPr>
          <w:rFonts w:ascii="Palatino Linotype" w:eastAsia="Palatino Linotype" w:hAnsi="Palatino Linotype" w:cs="Palatino Linotype"/>
          <w:sz w:val="24"/>
          <w:szCs w:val="24"/>
        </w:rPr>
        <w:t>VI</w:t>
      </w:r>
      <w:r w:rsidR="001E6843" w:rsidRPr="00470507">
        <w:rPr>
          <w:rFonts w:ascii="Palatino Linotype" w:eastAsia="Palatino Linotype" w:hAnsi="Palatino Linotype" w:cs="Palatino Linotype"/>
          <w:sz w:val="24"/>
          <w:szCs w:val="24"/>
        </w:rPr>
        <w:t>I</w:t>
      </w:r>
      <w:r w:rsidR="00C2557B" w:rsidRPr="00470507">
        <w:rPr>
          <w:rFonts w:ascii="Palatino Linotype" w:eastAsia="Palatino Linotype" w:hAnsi="Palatino Linotype" w:cs="Palatino Linotype"/>
          <w:sz w:val="24"/>
          <w:szCs w:val="24"/>
        </w:rPr>
        <w:t xml:space="preserve"> </w:t>
      </w:r>
      <w:r w:rsidRPr="00470507">
        <w:rPr>
          <w:rFonts w:ascii="Palatino Linotype" w:eastAsia="Palatino Linotype" w:hAnsi="Palatino Linotype" w:cs="Palatino Linotype"/>
          <w:sz w:val="24"/>
          <w:szCs w:val="24"/>
        </w:rPr>
        <w:t>del artículo 179 de la Ley de Transparencia y Acceso a la Información Pública del</w:t>
      </w:r>
      <w:r w:rsidR="00933869" w:rsidRPr="00470507">
        <w:rPr>
          <w:rFonts w:ascii="Palatino Linotype" w:eastAsia="Palatino Linotype" w:hAnsi="Palatino Linotype" w:cs="Palatino Linotype"/>
          <w:sz w:val="24"/>
          <w:szCs w:val="24"/>
        </w:rPr>
        <w:t xml:space="preserve"> Estado de México y Municipios.</w:t>
      </w:r>
    </w:p>
    <w:p w14:paraId="4BF42BC4" w14:textId="77777777" w:rsidR="00F8557D" w:rsidRPr="00470507" w:rsidRDefault="00F8557D">
      <w:pPr>
        <w:spacing w:after="0" w:line="360" w:lineRule="auto"/>
        <w:ind w:right="49"/>
        <w:jc w:val="both"/>
        <w:rPr>
          <w:rFonts w:ascii="Palatino Linotype" w:eastAsia="Palatino Linotype" w:hAnsi="Palatino Linotype" w:cs="Palatino Linotype"/>
          <w:sz w:val="24"/>
          <w:szCs w:val="24"/>
        </w:rPr>
      </w:pPr>
    </w:p>
    <w:p w14:paraId="6CF9FD84" w14:textId="54A65152" w:rsidR="00B661FB" w:rsidRPr="00470507" w:rsidRDefault="00646B44" w:rsidP="00B661FB">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lastRenderedPageBreak/>
        <w:t>Para ello, en principio resulta</w:t>
      </w:r>
      <w:r w:rsidR="00EE774D" w:rsidRPr="00470507">
        <w:rPr>
          <w:rFonts w:ascii="Palatino Linotype" w:eastAsia="Palatino Linotype" w:hAnsi="Palatino Linotype" w:cs="Palatino Linotype"/>
          <w:sz w:val="24"/>
          <w:szCs w:val="24"/>
        </w:rPr>
        <w:t xml:space="preserve"> recordar que la pretensión de la parte </w:t>
      </w:r>
      <w:r w:rsidRPr="00470507">
        <w:rPr>
          <w:rFonts w:ascii="Palatino Linotype" w:eastAsia="Palatino Linotype" w:hAnsi="Palatino Linotype" w:cs="Palatino Linotype"/>
          <w:sz w:val="24"/>
          <w:szCs w:val="24"/>
        </w:rPr>
        <w:t xml:space="preserve">ahora Recurrente </w:t>
      </w:r>
      <w:r w:rsidR="00B661FB" w:rsidRPr="00470507">
        <w:rPr>
          <w:rFonts w:ascii="Palatino Linotype" w:eastAsia="Palatino Linotype" w:hAnsi="Palatino Linotype" w:cs="Palatino Linotype"/>
          <w:sz w:val="24"/>
          <w:szCs w:val="24"/>
        </w:rPr>
        <w:t xml:space="preserve">es obtener </w:t>
      </w:r>
      <w:r w:rsidR="001E6843" w:rsidRPr="00470507">
        <w:rPr>
          <w:rFonts w:ascii="Palatino Linotype" w:eastAsia="Palatino Linotype" w:hAnsi="Palatino Linotype" w:cs="Palatino Linotype"/>
          <w:sz w:val="24"/>
          <w:szCs w:val="24"/>
        </w:rPr>
        <w:t xml:space="preserve">la siguiente información: </w:t>
      </w:r>
    </w:p>
    <w:p w14:paraId="3032BEDB" w14:textId="77777777" w:rsidR="00C2557B" w:rsidRPr="00470507" w:rsidRDefault="00C2557B" w:rsidP="00B661FB">
      <w:pPr>
        <w:spacing w:after="0" w:line="360" w:lineRule="auto"/>
        <w:ind w:right="49"/>
        <w:jc w:val="both"/>
        <w:rPr>
          <w:rFonts w:ascii="Palatino Linotype" w:eastAsia="Palatino Linotype" w:hAnsi="Palatino Linotype" w:cs="Palatino Linotype"/>
          <w:sz w:val="24"/>
          <w:szCs w:val="24"/>
        </w:rPr>
      </w:pPr>
    </w:p>
    <w:p w14:paraId="18640E1B" w14:textId="6E1FCEF4" w:rsidR="003609F9" w:rsidRPr="00470507" w:rsidRDefault="0045606E" w:rsidP="0045606E">
      <w:pPr>
        <w:pStyle w:val="Prrafodelista"/>
        <w:numPr>
          <w:ilvl w:val="0"/>
          <w:numId w:val="42"/>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b/>
          <w:color w:val="000000"/>
          <w:szCs w:val="24"/>
        </w:rPr>
      </w:pPr>
      <w:r w:rsidRPr="00470507">
        <w:rPr>
          <w:rFonts w:ascii="Palatino Linotype" w:eastAsia="Palatino Linotype" w:hAnsi="Palatino Linotype" w:cs="Palatino Linotype"/>
          <w:b/>
          <w:color w:val="000000"/>
          <w:szCs w:val="24"/>
        </w:rPr>
        <w:t>Expediente laboral del ex director Getsemaní Castro, así como su título de la carrera de arquitectura</w:t>
      </w:r>
    </w:p>
    <w:p w14:paraId="6FE1FB4F" w14:textId="666A86F9" w:rsidR="002E4B3E" w:rsidRPr="00470507" w:rsidRDefault="002E4B3E" w:rsidP="00154FE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b/>
          <w:color w:val="000000"/>
          <w:sz w:val="24"/>
          <w:szCs w:val="28"/>
        </w:rPr>
      </w:pPr>
    </w:p>
    <w:p w14:paraId="1FC8DE4B" w14:textId="5F72443A" w:rsidR="0045606E" w:rsidRPr="00470507" w:rsidRDefault="0045606E" w:rsidP="00154FE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sz w:val="24"/>
          <w:szCs w:val="28"/>
        </w:rPr>
      </w:pPr>
      <w:r w:rsidRPr="00470507">
        <w:rPr>
          <w:rFonts w:ascii="Palatino Linotype" w:eastAsia="Palatino Linotype" w:hAnsi="Palatino Linotype" w:cs="Palatino Linotype"/>
          <w:color w:val="000000"/>
          <w:sz w:val="24"/>
          <w:szCs w:val="28"/>
        </w:rPr>
        <w:t xml:space="preserve">El Sujeto Obligado fue omiso en proporcionar respuesta. </w:t>
      </w:r>
    </w:p>
    <w:p w14:paraId="148899C2" w14:textId="77777777" w:rsidR="002E4B3E" w:rsidRPr="00470507" w:rsidRDefault="002E4B3E" w:rsidP="00154FE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sz w:val="24"/>
          <w:szCs w:val="28"/>
        </w:rPr>
      </w:pPr>
    </w:p>
    <w:p w14:paraId="17B2B4A0" w14:textId="13A5B7FA" w:rsidR="00BF2472" w:rsidRPr="00470507" w:rsidRDefault="002E4B3E" w:rsidP="003609F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sz w:val="24"/>
          <w:szCs w:val="28"/>
        </w:rPr>
      </w:pPr>
      <w:r w:rsidRPr="00470507">
        <w:rPr>
          <w:rFonts w:ascii="Palatino Linotype" w:eastAsia="Palatino Linotype" w:hAnsi="Palatino Linotype" w:cs="Palatino Linotype"/>
          <w:color w:val="000000"/>
          <w:sz w:val="24"/>
          <w:szCs w:val="28"/>
        </w:rPr>
        <w:t xml:space="preserve">Derivado de ello, la parte Recurrente se inconformó por la falta </w:t>
      </w:r>
      <w:r w:rsidR="0045606E" w:rsidRPr="00470507">
        <w:rPr>
          <w:rFonts w:ascii="Palatino Linotype" w:eastAsia="Palatino Linotype" w:hAnsi="Palatino Linotype" w:cs="Palatino Linotype"/>
          <w:color w:val="000000"/>
          <w:sz w:val="24"/>
          <w:szCs w:val="28"/>
        </w:rPr>
        <w:t xml:space="preserve">de respuesta a la solicitud de información. </w:t>
      </w:r>
    </w:p>
    <w:p w14:paraId="00031648" w14:textId="4A63B208" w:rsidR="00892CBC" w:rsidRPr="00470507" w:rsidRDefault="00892CBC" w:rsidP="001128BC">
      <w:pPr>
        <w:spacing w:after="0" w:line="360" w:lineRule="auto"/>
        <w:ind w:right="49"/>
        <w:jc w:val="both"/>
        <w:rPr>
          <w:rFonts w:ascii="Palatino Linotype" w:eastAsia="Palatino Linotype" w:hAnsi="Palatino Linotype" w:cs="Palatino Linotype"/>
          <w:color w:val="000000"/>
          <w:sz w:val="24"/>
          <w:szCs w:val="28"/>
        </w:rPr>
      </w:pPr>
    </w:p>
    <w:p w14:paraId="55F60C79" w14:textId="6716A8DB" w:rsidR="00DB667F" w:rsidRPr="00470507" w:rsidRDefault="00DB667F" w:rsidP="001128BC">
      <w:pPr>
        <w:spacing w:after="0" w:line="360" w:lineRule="auto"/>
        <w:ind w:right="49"/>
        <w:jc w:val="both"/>
        <w:rPr>
          <w:rFonts w:ascii="Palatino Linotype" w:eastAsia="Palatino Linotype" w:hAnsi="Palatino Linotype" w:cs="Palatino Linotype"/>
          <w:color w:val="000000"/>
          <w:sz w:val="24"/>
          <w:szCs w:val="28"/>
        </w:rPr>
      </w:pPr>
      <w:r w:rsidRPr="00470507">
        <w:rPr>
          <w:rFonts w:ascii="Palatino Linotype" w:eastAsia="Palatino Linotype" w:hAnsi="Palatino Linotype" w:cs="Palatino Linotype"/>
          <w:color w:val="000000"/>
          <w:sz w:val="24"/>
          <w:szCs w:val="28"/>
        </w:rPr>
        <w:t xml:space="preserve">Posteriormente, el Sujeto Obligado, mediante informe justificado, remitió la siguiente información: </w:t>
      </w:r>
    </w:p>
    <w:p w14:paraId="2D3D8ECE" w14:textId="77777777" w:rsidR="00DB667F" w:rsidRPr="00470507" w:rsidRDefault="00DB667F" w:rsidP="00DB667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2D9C4AEE"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Oficio de fecha veintiocho de agosto de dos mil veintitrés, signado por el Director de Obras Públicas y Desarrollo Urbano, mediante el cual informa que lo solicitado no es competencia de la Dirección de Obras Públicas. </w:t>
      </w:r>
    </w:p>
    <w:p w14:paraId="5FF35AFC"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Oficio de fecha treinta de octubre de dos mil veintitrés, signado por la Coordinación de Recursos Humanos, mediante el cual informa que se remite el expediente laboral del ex Director y su título de arquitectura. </w:t>
      </w:r>
    </w:p>
    <w:p w14:paraId="15F65D2D"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Nombramiento a favor del servidor público como Director de Obras Públicas y Desarrollo Urbano, de fecha uno de enero de dos mil veintidós. </w:t>
      </w:r>
    </w:p>
    <w:p w14:paraId="276142D8"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Solicitud de empleo.</w:t>
      </w:r>
    </w:p>
    <w:p w14:paraId="594E147C"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Currículum Vitae a nombre del servidor público. </w:t>
      </w:r>
    </w:p>
    <w:p w14:paraId="2374C5D8"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Constancia de la Clave Única de Registro de Población. </w:t>
      </w:r>
    </w:p>
    <w:p w14:paraId="51D6BF6B"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lastRenderedPageBreak/>
        <w:t xml:space="preserve">Acta de Nacimiento. </w:t>
      </w:r>
    </w:p>
    <w:p w14:paraId="367A3E71"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Cédula de Identificación Fiscal. </w:t>
      </w:r>
    </w:p>
    <w:p w14:paraId="0ABA5556"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Constancia domiciliaria. </w:t>
      </w:r>
    </w:p>
    <w:p w14:paraId="29688761"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Credencial Electoral emitida por el Instituto Federal Electoral. </w:t>
      </w:r>
    </w:p>
    <w:p w14:paraId="2A1E647D"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Carta de Pasante de Arquitectura. </w:t>
      </w:r>
    </w:p>
    <w:p w14:paraId="6B01D77D"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Tres cartas de recomendación. </w:t>
      </w:r>
    </w:p>
    <w:p w14:paraId="40B4CC93"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Certificado médico emitido por el Sistema Municipal DIF de Malinalco. </w:t>
      </w:r>
    </w:p>
    <w:p w14:paraId="7318E81C"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Aviso de Movimientos. </w:t>
      </w:r>
    </w:p>
    <w:p w14:paraId="1D8D69AB"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Licencia para conducir. </w:t>
      </w:r>
    </w:p>
    <w:p w14:paraId="551B8363"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Hoja de liberación de servicio militar. </w:t>
      </w:r>
    </w:p>
    <w:p w14:paraId="1B8C44A2"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Informe de no antecedentes penales. </w:t>
      </w:r>
    </w:p>
    <w:p w14:paraId="6F31C241"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Oficio emitido por el Subdirector de Profesionalización y Coordinador de los Grupos de Dictamen de la COCERTEM, mediante el cual informa que el servidor público participa en el proceso de evaluación para la certificación “Administrar las Obras Públicas Municipales y servicios relacionados con las mismas en el Estado de México”. </w:t>
      </w:r>
    </w:p>
    <w:p w14:paraId="62F63BC9" w14:textId="77777777" w:rsidR="00DB667F" w:rsidRPr="00470507" w:rsidRDefault="00DB667F" w:rsidP="00DB667F">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Certificado de Competencia Laboral en el Estándar de Competencia “Administración de la Obra Pública Municipal” </w:t>
      </w:r>
    </w:p>
    <w:p w14:paraId="1B6077BF" w14:textId="77777777" w:rsidR="00DB667F" w:rsidRPr="00470507" w:rsidRDefault="00DB667F" w:rsidP="00DB667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EDE992D" w14:textId="77B7CC8A" w:rsidR="00DB667F" w:rsidRPr="00470507" w:rsidRDefault="00DB667F" w:rsidP="00DB667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 w:val="24"/>
          <w:szCs w:val="24"/>
        </w:rPr>
        <w:t xml:space="preserve">Documentos que no se hicieron del conocimiento de la parte Recurrente, debido a que todos se encontraban en un mismo archivo y en algunos de ellos, se dejaron a la vista datos personales susceptibles de ser clasificados, así como documentos que debieron ser clasificados en su totalidad, información que será estudiada dentro del cuerpo de la presente resolución. </w:t>
      </w:r>
    </w:p>
    <w:p w14:paraId="1CA7356E" w14:textId="77777777" w:rsidR="00DB667F" w:rsidRPr="00470507" w:rsidRDefault="00DB667F" w:rsidP="00DB667F">
      <w:pPr>
        <w:pBdr>
          <w:top w:val="nil"/>
          <w:left w:val="nil"/>
          <w:bottom w:val="nil"/>
          <w:right w:val="nil"/>
          <w:between w:val="nil"/>
        </w:pBdr>
        <w:spacing w:after="0" w:line="360" w:lineRule="auto"/>
        <w:ind w:right="49"/>
        <w:rPr>
          <w:rFonts w:ascii="Palatino Linotype" w:eastAsia="Palatino Linotype" w:hAnsi="Palatino Linotype" w:cs="Palatino Linotype"/>
          <w:color w:val="000000"/>
          <w:sz w:val="24"/>
          <w:szCs w:val="24"/>
        </w:rPr>
      </w:pPr>
    </w:p>
    <w:p w14:paraId="55B98DE2" w14:textId="77777777" w:rsidR="00DB667F" w:rsidRPr="00470507" w:rsidRDefault="00DB667F" w:rsidP="00DB667F">
      <w:pPr>
        <w:pBdr>
          <w:top w:val="nil"/>
          <w:left w:val="nil"/>
          <w:bottom w:val="nil"/>
          <w:right w:val="nil"/>
          <w:between w:val="nil"/>
        </w:pBdr>
        <w:spacing w:after="0" w:line="360" w:lineRule="auto"/>
        <w:ind w:right="49"/>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 w:val="24"/>
          <w:szCs w:val="24"/>
        </w:rPr>
        <w:lastRenderedPageBreak/>
        <w:t xml:space="preserve">La parte Recurrente no realizó manifestaciones. </w:t>
      </w:r>
    </w:p>
    <w:p w14:paraId="3197F277" w14:textId="77777777" w:rsidR="00DB667F" w:rsidRPr="00470507" w:rsidRDefault="00DB667F" w:rsidP="001128BC">
      <w:pPr>
        <w:spacing w:after="0" w:line="360" w:lineRule="auto"/>
        <w:ind w:right="49"/>
        <w:jc w:val="both"/>
        <w:rPr>
          <w:rFonts w:ascii="Palatino Linotype" w:eastAsia="Palatino Linotype" w:hAnsi="Palatino Linotype" w:cs="Palatino Linotype"/>
          <w:color w:val="000000"/>
          <w:sz w:val="24"/>
          <w:szCs w:val="28"/>
        </w:rPr>
      </w:pPr>
    </w:p>
    <w:p w14:paraId="4A481E16" w14:textId="66A39810" w:rsidR="00DB667F" w:rsidRPr="00470507" w:rsidRDefault="00DB667F" w:rsidP="00DB667F">
      <w:pPr>
        <w:spacing w:after="0" w:line="360" w:lineRule="auto"/>
        <w:ind w:right="49"/>
        <w:jc w:val="both"/>
        <w:rPr>
          <w:rFonts w:ascii="Palatino Linotype" w:eastAsia="Palatino Linotype" w:hAnsi="Palatino Linotype" w:cs="Palatino Linotype"/>
          <w:sz w:val="28"/>
          <w:szCs w:val="28"/>
        </w:rPr>
      </w:pPr>
      <w:r w:rsidRPr="00470507">
        <w:rPr>
          <w:rFonts w:ascii="Palatino Linotype" w:eastAsia="Palatino Linotype" w:hAnsi="Palatino Linotype" w:cs="Palatino Linotype"/>
          <w:sz w:val="24"/>
          <w:szCs w:val="24"/>
        </w:rPr>
        <w:t xml:space="preserve">Por lo anterior, se procede a contextualizar la información requerida por la parte Solicitante, para ello, </w:t>
      </w:r>
      <w:r w:rsidRPr="00470507">
        <w:rPr>
          <w:rFonts w:ascii="Palatino Linotype" w:eastAsia="Calibri" w:hAnsi="Palatino Linotype" w:cs="Tahoma"/>
          <w:bCs/>
          <w:sz w:val="24"/>
          <w:szCs w:val="24"/>
        </w:rPr>
        <w:t xml:space="preserve">resulta necesario traer a colación lo establecido en el artículo 47 de la Ley de Trabajo de los Servidores Públicos del Estado de México y Municipios, </w:t>
      </w:r>
      <w:bookmarkStart w:id="1" w:name="_Hlk98940377"/>
      <w:r w:rsidRPr="00470507">
        <w:rPr>
          <w:rFonts w:ascii="Palatino Linotype" w:eastAsia="Calibri" w:hAnsi="Palatino Linotype" w:cs="Tahoma"/>
          <w:bCs/>
          <w:sz w:val="24"/>
          <w:szCs w:val="24"/>
        </w:rPr>
        <w:t xml:space="preserve">el cual refiere que toda persona que requiera ingresar al servicio público debe cumplir con el mínimo de requisitos, entre los cuales se encuentra: presentar una solicitud en el formato oficial, ser de nacionalidad mexicana, estar en ejercicio de derechos civiles y políticos, no haber sido separado del servicio, tener buena salud, cumplir con los requisitos que se establezcan para los diferentes puestos, acreditar los exámenes de conocimientos correspondientes, presentar certificado expedido por la Unidad del Registro de Deudores Alimentarios Morosos, entre otros. </w:t>
      </w:r>
    </w:p>
    <w:p w14:paraId="4BB7151F" w14:textId="77777777" w:rsidR="00DB667F" w:rsidRPr="00470507" w:rsidRDefault="00DB667F" w:rsidP="00DB667F">
      <w:pPr>
        <w:spacing w:after="0" w:line="360" w:lineRule="auto"/>
        <w:jc w:val="both"/>
        <w:rPr>
          <w:rFonts w:ascii="Palatino Linotype" w:eastAsia="Calibri" w:hAnsi="Palatino Linotype" w:cs="Tahoma"/>
          <w:bCs/>
        </w:rPr>
      </w:pPr>
    </w:p>
    <w:p w14:paraId="49B22C04" w14:textId="72B4BAAC"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sz w:val="24"/>
          <w:szCs w:val="24"/>
        </w:rPr>
      </w:pPr>
      <w:r w:rsidRPr="00470507">
        <w:rPr>
          <w:rFonts w:ascii="Palatino Linotype" w:eastAsia="Calibri" w:hAnsi="Palatino Linotype" w:cs="Tahoma"/>
          <w:bCs/>
          <w:sz w:val="24"/>
          <w:szCs w:val="24"/>
        </w:rPr>
        <w:t xml:space="preserve">En ese mismo orden de ideas, el artículo 32 de la Ley Orgánica Municipal del Estado de México, establece que para ocupar </w:t>
      </w:r>
      <w:r w:rsidR="00F55D08" w:rsidRPr="00470507">
        <w:rPr>
          <w:rFonts w:ascii="Palatino Linotype" w:eastAsia="Calibri" w:hAnsi="Palatino Linotype" w:cs="Tahoma"/>
          <w:bCs/>
          <w:sz w:val="24"/>
          <w:szCs w:val="24"/>
        </w:rPr>
        <w:t>el cargo de</w:t>
      </w:r>
      <w:r w:rsidRPr="00470507">
        <w:rPr>
          <w:rFonts w:ascii="Palatino Linotype" w:eastAsia="Calibri" w:hAnsi="Palatino Linotype" w:cs="Tahoma"/>
          <w:bCs/>
          <w:sz w:val="24"/>
          <w:szCs w:val="24"/>
        </w:rPr>
        <w:t xml:space="preserve"> </w:t>
      </w:r>
      <w:r w:rsidR="00F55D08" w:rsidRPr="00470507">
        <w:rPr>
          <w:rFonts w:ascii="Palatino Linotype" w:eastAsia="Calibri" w:hAnsi="Palatino Linotype" w:cs="Tahoma"/>
          <w:b/>
          <w:sz w:val="24"/>
          <w:szCs w:val="24"/>
          <w:u w:val="single"/>
        </w:rPr>
        <w:t>director</w:t>
      </w:r>
      <w:r w:rsidRPr="00470507">
        <w:rPr>
          <w:rFonts w:ascii="Palatino Linotype" w:eastAsia="Calibri" w:hAnsi="Palatino Linotype" w:cs="Tahoma"/>
          <w:b/>
          <w:sz w:val="24"/>
          <w:szCs w:val="24"/>
          <w:u w:val="single"/>
        </w:rPr>
        <w:t xml:space="preserve"> de Obras Públicas</w:t>
      </w:r>
      <w:r w:rsidRPr="00470507">
        <w:rPr>
          <w:rFonts w:ascii="Palatino Linotype" w:eastAsia="Calibri" w:hAnsi="Palatino Linotype" w:cs="Tahoma"/>
          <w:bCs/>
          <w:sz w:val="24"/>
          <w:szCs w:val="24"/>
        </w:rPr>
        <w:t xml:space="preserve">, se deberán satisfacer diversos requisitos, entre ellos, </w:t>
      </w:r>
      <w:r w:rsidRPr="00470507">
        <w:rPr>
          <w:rFonts w:ascii="Palatino Linotype" w:eastAsia="Calibri" w:hAnsi="Palatino Linotype" w:cs="Tahoma"/>
          <w:sz w:val="24"/>
          <w:szCs w:val="24"/>
        </w:rPr>
        <w:t xml:space="preserve">contar con título profesional o acreditar experiencia mínima, cuando sea el caso, para el desempeño de los cargos que así lo requieran. </w:t>
      </w:r>
    </w:p>
    <w:p w14:paraId="65620DBC"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sz w:val="24"/>
          <w:szCs w:val="24"/>
        </w:rPr>
      </w:pPr>
    </w:p>
    <w:p w14:paraId="72D3F25D" w14:textId="01F91FBF" w:rsidR="005D1CA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sz w:val="24"/>
          <w:szCs w:val="24"/>
        </w:rPr>
      </w:pPr>
      <w:r w:rsidRPr="00470507">
        <w:rPr>
          <w:rFonts w:ascii="Palatino Linotype" w:eastAsia="Calibri" w:hAnsi="Palatino Linotype" w:cs="Tahoma"/>
          <w:sz w:val="24"/>
          <w:szCs w:val="24"/>
        </w:rPr>
        <w:t xml:space="preserve">En ese sentido, debido a que, de quien se solicitó la información fue </w:t>
      </w:r>
      <w:proofErr w:type="spellStart"/>
      <w:r w:rsidRPr="00470507">
        <w:rPr>
          <w:rFonts w:ascii="Palatino Linotype" w:eastAsia="Calibri" w:hAnsi="Palatino Linotype" w:cs="Tahoma"/>
          <w:sz w:val="24"/>
          <w:szCs w:val="24"/>
        </w:rPr>
        <w:t>de el</w:t>
      </w:r>
      <w:proofErr w:type="spellEnd"/>
      <w:r w:rsidRPr="00470507">
        <w:rPr>
          <w:rFonts w:ascii="Palatino Linotype" w:eastAsia="Calibri" w:hAnsi="Palatino Linotype" w:cs="Tahoma"/>
          <w:sz w:val="24"/>
          <w:szCs w:val="24"/>
        </w:rPr>
        <w:t xml:space="preserve"> ex Director de Obras Públicas y Desarrollo Urbano del Ayuntamiento, </w:t>
      </w:r>
      <w:r w:rsidR="005D1CAF" w:rsidRPr="00470507">
        <w:rPr>
          <w:rFonts w:ascii="Palatino Linotype" w:eastAsia="Calibri" w:hAnsi="Palatino Linotype" w:cs="Tahoma"/>
          <w:sz w:val="24"/>
          <w:szCs w:val="24"/>
        </w:rPr>
        <w:t xml:space="preserve">es necesario mencionar que el artículo 96 Ter de la Ley Orgánica Municipal del Estado de México establece lo siguiente: </w:t>
      </w:r>
    </w:p>
    <w:p w14:paraId="35F5A428" w14:textId="77777777" w:rsidR="005D1CAF" w:rsidRPr="00470507" w:rsidRDefault="005D1CAF" w:rsidP="00DB667F">
      <w:pPr>
        <w:widowControl w:val="0"/>
        <w:autoSpaceDE w:val="0"/>
        <w:autoSpaceDN w:val="0"/>
        <w:adjustRightInd w:val="0"/>
        <w:spacing w:after="0" w:line="360" w:lineRule="auto"/>
        <w:jc w:val="both"/>
        <w:rPr>
          <w:rFonts w:ascii="Palatino Linotype" w:eastAsia="Calibri" w:hAnsi="Palatino Linotype" w:cs="Tahoma"/>
          <w:sz w:val="24"/>
          <w:szCs w:val="24"/>
        </w:rPr>
      </w:pPr>
    </w:p>
    <w:p w14:paraId="354B375B" w14:textId="77777777" w:rsidR="005D1CAF" w:rsidRPr="00470507" w:rsidRDefault="005D1CAF" w:rsidP="005D1CAF">
      <w:pPr>
        <w:widowControl w:val="0"/>
        <w:autoSpaceDE w:val="0"/>
        <w:autoSpaceDN w:val="0"/>
        <w:adjustRightInd w:val="0"/>
        <w:spacing w:after="0"/>
        <w:ind w:left="567" w:right="843"/>
        <w:jc w:val="both"/>
        <w:rPr>
          <w:rFonts w:ascii="Palatino Linotype" w:hAnsi="Palatino Linotype"/>
          <w:i/>
          <w:iCs/>
        </w:rPr>
      </w:pPr>
      <w:r w:rsidRPr="00470507">
        <w:rPr>
          <w:rFonts w:ascii="Palatino Linotype" w:hAnsi="Palatino Linotype"/>
          <w:b/>
          <w:bCs/>
          <w:i/>
          <w:iCs/>
        </w:rPr>
        <w:lastRenderedPageBreak/>
        <w:t>Artículo 96 Ter.</w:t>
      </w:r>
      <w:r w:rsidRPr="00470507">
        <w:rPr>
          <w:rFonts w:ascii="Palatino Linotype" w:hAnsi="Palatino Linotype"/>
          <w:i/>
          <w:iCs/>
        </w:rPr>
        <w:t xml:space="preserve"> El Director de Obras Públicas o Titular de la Unidad Administrativa equivalente, además de los requisitos del artículo 32 de esta Ley, </w:t>
      </w:r>
      <w:r w:rsidRPr="00470507">
        <w:rPr>
          <w:rFonts w:ascii="Palatino Linotype" w:hAnsi="Palatino Linotype"/>
          <w:b/>
          <w:bCs/>
          <w:i/>
          <w:iCs/>
          <w:u w:val="single"/>
        </w:rPr>
        <w:t>requiere contar con título profesional en ingeniería, arquitectura o alguna área afín, o contar con una experiencia mínima de un año, con anterioridad a la fecha de su designación</w:t>
      </w:r>
      <w:r w:rsidRPr="00470507">
        <w:rPr>
          <w:rFonts w:ascii="Palatino Linotype" w:hAnsi="Palatino Linotype"/>
          <w:i/>
          <w:iCs/>
        </w:rPr>
        <w:t>.</w:t>
      </w:r>
    </w:p>
    <w:p w14:paraId="50B04D49" w14:textId="6701DF4E" w:rsidR="005D1CAF" w:rsidRPr="00470507" w:rsidRDefault="005D1CAF" w:rsidP="005D1CAF">
      <w:pPr>
        <w:widowControl w:val="0"/>
        <w:autoSpaceDE w:val="0"/>
        <w:autoSpaceDN w:val="0"/>
        <w:adjustRightInd w:val="0"/>
        <w:spacing w:after="0"/>
        <w:ind w:left="567" w:right="843"/>
        <w:jc w:val="both"/>
        <w:rPr>
          <w:rFonts w:ascii="Palatino Linotype" w:eastAsia="Calibri" w:hAnsi="Palatino Linotype" w:cs="Tahoma"/>
          <w:i/>
          <w:iCs/>
          <w:sz w:val="24"/>
          <w:szCs w:val="24"/>
        </w:rPr>
      </w:pPr>
      <w:r w:rsidRPr="00470507">
        <w:rPr>
          <w:rFonts w:ascii="Palatino Linotype" w:hAnsi="Palatino Linotype"/>
          <w:i/>
          <w:iCs/>
        </w:rPr>
        <w:t xml:space="preserve"> Además, deberá acreditar, dentro de los seis meses siguientes a la fecha en que inicie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534F628E" w14:textId="77777777" w:rsidR="00DB667F" w:rsidRPr="00470507" w:rsidRDefault="00DB667F" w:rsidP="00DB667F">
      <w:pPr>
        <w:spacing w:after="0" w:line="360" w:lineRule="auto"/>
        <w:jc w:val="both"/>
        <w:rPr>
          <w:rFonts w:ascii="Palatino Linotype" w:eastAsia="Calibri" w:hAnsi="Palatino Linotype" w:cs="Tahoma"/>
          <w:bCs/>
        </w:rPr>
      </w:pPr>
    </w:p>
    <w:p w14:paraId="59162DA8" w14:textId="3B188550" w:rsidR="005D1CAF" w:rsidRPr="00470507" w:rsidRDefault="005D1CAF" w:rsidP="00DB667F">
      <w:pPr>
        <w:spacing w:after="0" w:line="360" w:lineRule="auto"/>
        <w:jc w:val="both"/>
        <w:rPr>
          <w:rFonts w:ascii="Palatino Linotype" w:eastAsia="Calibri" w:hAnsi="Palatino Linotype" w:cs="Tahoma"/>
          <w:b/>
        </w:rPr>
      </w:pPr>
      <w:r w:rsidRPr="00470507">
        <w:rPr>
          <w:rFonts w:ascii="Palatino Linotype" w:eastAsia="Calibri" w:hAnsi="Palatino Linotype" w:cs="Tahoma"/>
          <w:bCs/>
        </w:rPr>
        <w:t xml:space="preserve">De lo anterior, se advierte que, para ostentar el cargo de Director de Obras Públicas es necesario contar además de los requisitos que refiere el artículo 32 de la Ley Orgánica Municipal con el título profesional en ingeniería, arquitectura o área afín </w:t>
      </w:r>
      <w:r w:rsidRPr="00470507">
        <w:rPr>
          <w:rFonts w:ascii="Palatino Linotype" w:eastAsia="Calibri" w:hAnsi="Palatino Linotype" w:cs="Tahoma"/>
          <w:b/>
        </w:rPr>
        <w:t xml:space="preserve">o contar con una experiencia mínima de un año. </w:t>
      </w:r>
    </w:p>
    <w:p w14:paraId="5F6D4EF3" w14:textId="77777777" w:rsidR="005D1CAF" w:rsidRPr="00470507" w:rsidRDefault="005D1CAF" w:rsidP="00DB667F">
      <w:pPr>
        <w:spacing w:after="0" w:line="360" w:lineRule="auto"/>
        <w:jc w:val="both"/>
        <w:rPr>
          <w:rFonts w:ascii="Palatino Linotype" w:eastAsia="Calibri" w:hAnsi="Palatino Linotype" w:cs="Tahoma"/>
          <w:b/>
        </w:rPr>
      </w:pPr>
    </w:p>
    <w:p w14:paraId="790C2B07" w14:textId="77777777" w:rsidR="005D1CAF" w:rsidRPr="00470507" w:rsidRDefault="005D1CAF" w:rsidP="00DB667F">
      <w:pPr>
        <w:spacing w:after="0" w:line="360" w:lineRule="auto"/>
        <w:jc w:val="both"/>
        <w:rPr>
          <w:rFonts w:ascii="Palatino Linotype" w:eastAsia="Calibri" w:hAnsi="Palatino Linotype" w:cs="Tahoma"/>
          <w:b/>
          <w:u w:val="single"/>
        </w:rPr>
      </w:pPr>
      <w:r w:rsidRPr="00470507">
        <w:rPr>
          <w:rFonts w:ascii="Palatino Linotype" w:eastAsia="Calibri" w:hAnsi="Palatino Linotype" w:cs="Tahoma"/>
          <w:b/>
          <w:u w:val="single"/>
        </w:rPr>
        <w:t xml:space="preserve">Es decir; se requiere acreditar uno u otro requisito, ya sea el título o la experiencia. </w:t>
      </w:r>
    </w:p>
    <w:p w14:paraId="20ABEC4F" w14:textId="77777777" w:rsidR="005D1CAF" w:rsidRPr="00470507" w:rsidRDefault="005D1CAF" w:rsidP="00DB667F">
      <w:pPr>
        <w:spacing w:after="0" w:line="360" w:lineRule="auto"/>
        <w:jc w:val="both"/>
        <w:rPr>
          <w:rFonts w:ascii="Palatino Linotype" w:eastAsia="Calibri" w:hAnsi="Palatino Linotype" w:cs="Tahoma"/>
          <w:b/>
          <w:u w:val="single"/>
        </w:rPr>
      </w:pPr>
    </w:p>
    <w:p w14:paraId="1CAD2C45" w14:textId="691F5257" w:rsidR="005D1CAF" w:rsidRPr="00470507" w:rsidRDefault="00DB667F" w:rsidP="00DB667F">
      <w:pPr>
        <w:spacing w:after="0" w:line="360" w:lineRule="auto"/>
        <w:jc w:val="both"/>
        <w:rPr>
          <w:rFonts w:ascii="Palatino Linotype" w:eastAsia="Calibri" w:hAnsi="Palatino Linotype" w:cs="Tahoma"/>
          <w:bCs/>
          <w:sz w:val="24"/>
          <w:szCs w:val="24"/>
        </w:rPr>
      </w:pPr>
      <w:r w:rsidRPr="00470507">
        <w:rPr>
          <w:rFonts w:ascii="Palatino Linotype" w:eastAsia="Calibri" w:hAnsi="Palatino Linotype" w:cs="Tahoma"/>
          <w:bCs/>
          <w:sz w:val="24"/>
          <w:szCs w:val="24"/>
        </w:rPr>
        <w:t>Con lo anterior, se logra advertir que toda persona que ingrese al servicio público debe cumplir con las especificaciones que son necesarias para ocupar el cargo, esto es, los requisitos mínimos</w:t>
      </w:r>
      <w:r w:rsidR="005D1CAF" w:rsidRPr="00470507">
        <w:rPr>
          <w:rFonts w:ascii="Palatino Linotype" w:eastAsia="Calibri" w:hAnsi="Palatino Linotype" w:cs="Tahoma"/>
          <w:bCs/>
          <w:sz w:val="24"/>
          <w:szCs w:val="24"/>
        </w:rPr>
        <w:t xml:space="preserve">. </w:t>
      </w:r>
    </w:p>
    <w:p w14:paraId="4A065333" w14:textId="77777777" w:rsidR="00DB667F" w:rsidRPr="00470507" w:rsidRDefault="00DB667F" w:rsidP="00DB667F">
      <w:pPr>
        <w:spacing w:after="0" w:line="360" w:lineRule="auto"/>
        <w:jc w:val="both"/>
        <w:rPr>
          <w:rFonts w:ascii="Palatino Linotype" w:eastAsia="Calibri" w:hAnsi="Palatino Linotype" w:cs="Tahoma"/>
          <w:bCs/>
        </w:rPr>
      </w:pPr>
    </w:p>
    <w:p w14:paraId="6FB2A357"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sz w:val="24"/>
          <w:szCs w:val="24"/>
        </w:rPr>
      </w:pPr>
      <w:r w:rsidRPr="00470507">
        <w:rPr>
          <w:rFonts w:ascii="Palatino Linotype" w:eastAsia="Calibri" w:hAnsi="Palatino Linotype" w:cs="Tahoma"/>
          <w:bCs/>
          <w:sz w:val="24"/>
          <w:szCs w:val="24"/>
        </w:rPr>
        <w:t xml:space="preserve">En ese sentido, los documentos que son requisitos establecidos para el ingreso al servicio público, para desempeñar un determinado cargo o función, serán avalados a través de la entrega de los mismos y con los cuales se conformará un expediente laboral del servidor público, cabe advertir que si bien la palabra expediente laboral no se encuentra explícitamente descrita en la normatividad mencionada, se colige que de los </w:t>
      </w:r>
      <w:r w:rsidRPr="00470507">
        <w:rPr>
          <w:rFonts w:ascii="Palatino Linotype" w:eastAsia="Calibri" w:hAnsi="Palatino Linotype" w:cs="Tahoma"/>
          <w:bCs/>
          <w:sz w:val="24"/>
          <w:szCs w:val="24"/>
        </w:rPr>
        <w:lastRenderedPageBreak/>
        <w:t xml:space="preserve">documentos entregados por las personas que ingresarán al servicio público y/o desempeñarán un determinado cargo dentro del Sujeto Obligado, se tendrá que conformar un archivo en el que obren precisamente dichas documentales, que si bien pueden no ser generadas por el Sujeto Obligado, si son poseídas y administradas por este. </w:t>
      </w:r>
    </w:p>
    <w:bookmarkEnd w:id="1"/>
    <w:p w14:paraId="33313C50"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rPr>
      </w:pPr>
    </w:p>
    <w:p w14:paraId="02E39EB6" w14:textId="1963191F"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sz w:val="24"/>
          <w:szCs w:val="24"/>
        </w:rPr>
      </w:pPr>
      <w:r w:rsidRPr="00470507">
        <w:rPr>
          <w:rFonts w:ascii="Palatino Linotype" w:eastAsia="Calibri" w:hAnsi="Palatino Linotype" w:cs="Tahoma"/>
          <w:bCs/>
          <w:sz w:val="24"/>
          <w:szCs w:val="24"/>
        </w:rPr>
        <w:t>En resumen, este Instituto advierte que la pretensión del ahora Recurrente es obtener los documentos que conforman el expediente laboral de</w:t>
      </w:r>
      <w:r w:rsidR="005D1CAF" w:rsidRPr="00470507">
        <w:rPr>
          <w:rFonts w:ascii="Palatino Linotype" w:eastAsia="Calibri" w:hAnsi="Palatino Linotype" w:cs="Tahoma"/>
          <w:bCs/>
          <w:sz w:val="24"/>
          <w:szCs w:val="24"/>
        </w:rPr>
        <w:t>l anterior Director de Obras Públicas y Desarrollo Urbano</w:t>
      </w:r>
      <w:r w:rsidRPr="00470507">
        <w:rPr>
          <w:rFonts w:ascii="Palatino Linotype" w:eastAsia="Calibri" w:hAnsi="Palatino Linotype" w:cs="Tahoma"/>
          <w:bCs/>
          <w:sz w:val="24"/>
          <w:szCs w:val="24"/>
        </w:rPr>
        <w:t>; esto es, las documentales que dan cuenta al cumplimiento de los requisitos previstos para ingresar al servicio público y ocupar diversos cargos en la Administración</w:t>
      </w:r>
      <w:r w:rsidR="005D1CAF" w:rsidRPr="00470507">
        <w:rPr>
          <w:rFonts w:ascii="Palatino Linotype" w:eastAsia="Calibri" w:hAnsi="Palatino Linotype" w:cs="Tahoma"/>
          <w:bCs/>
          <w:sz w:val="24"/>
          <w:szCs w:val="24"/>
        </w:rPr>
        <w:t xml:space="preserve"> Pública</w:t>
      </w:r>
      <w:r w:rsidRPr="00470507">
        <w:rPr>
          <w:rFonts w:ascii="Palatino Linotype" w:eastAsia="Calibri" w:hAnsi="Palatino Linotype" w:cs="Tahoma"/>
          <w:bCs/>
          <w:sz w:val="24"/>
          <w:szCs w:val="24"/>
        </w:rPr>
        <w:t xml:space="preserve"> Municipal. </w:t>
      </w:r>
    </w:p>
    <w:p w14:paraId="714C50D4"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rPr>
      </w:pPr>
    </w:p>
    <w:p w14:paraId="3942C287" w14:textId="5E3A4FDB" w:rsidR="005D1CAF" w:rsidRPr="00470507" w:rsidRDefault="005D1CAF" w:rsidP="005D1CAF">
      <w:pPr>
        <w:pStyle w:val="Prrafodelista"/>
        <w:widowControl w:val="0"/>
        <w:numPr>
          <w:ilvl w:val="0"/>
          <w:numId w:val="46"/>
        </w:numPr>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
        </w:rPr>
        <w:t xml:space="preserve">De la calificación de los agravios hechos valer en el Recurso de Revisión. </w:t>
      </w:r>
    </w:p>
    <w:p w14:paraId="5D6A5347" w14:textId="77777777" w:rsidR="005D1CAF" w:rsidRPr="00470507" w:rsidRDefault="005D1CAF" w:rsidP="00DB667F">
      <w:pPr>
        <w:widowControl w:val="0"/>
        <w:autoSpaceDE w:val="0"/>
        <w:autoSpaceDN w:val="0"/>
        <w:adjustRightInd w:val="0"/>
        <w:spacing w:after="0" w:line="360" w:lineRule="auto"/>
        <w:jc w:val="both"/>
        <w:rPr>
          <w:rFonts w:ascii="Palatino Linotype" w:eastAsia="Calibri" w:hAnsi="Palatino Linotype" w:cs="Tahoma"/>
          <w:bCs/>
        </w:rPr>
      </w:pPr>
    </w:p>
    <w:p w14:paraId="6A3293DA" w14:textId="289ED3D6" w:rsidR="005D1CAF" w:rsidRPr="00470507" w:rsidRDefault="005D1CAF" w:rsidP="00F55D08">
      <w:pPr>
        <w:widowControl w:val="0"/>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Cs/>
          <w:sz w:val="24"/>
          <w:szCs w:val="24"/>
        </w:rPr>
        <w:t xml:space="preserve">En principio, es de mencionar que la parte Recurrente se inconformó </w:t>
      </w:r>
      <w:r w:rsidR="00E83EF0" w:rsidRPr="00470507">
        <w:rPr>
          <w:rFonts w:ascii="Palatino Linotype" w:eastAsia="Calibri" w:hAnsi="Palatino Linotype" w:cs="Tahoma"/>
          <w:bCs/>
          <w:sz w:val="24"/>
          <w:szCs w:val="24"/>
        </w:rPr>
        <w:t>por la falta de respuesta del Sujeto Obligado, en ese sentido, de las constancias que obran en el expediente electrónico, se observa que, el Ayuntamiento de Malinalco no dio respuesta en el plazo establecido por la Ley en la Materia</w:t>
      </w:r>
      <w:r w:rsidR="00F55D08" w:rsidRPr="00470507">
        <w:rPr>
          <w:rFonts w:ascii="Palatino Linotype" w:eastAsia="Calibri" w:hAnsi="Palatino Linotype" w:cs="Tahoma"/>
          <w:bCs/>
          <w:sz w:val="24"/>
          <w:szCs w:val="24"/>
        </w:rPr>
        <w:t>.</w:t>
      </w:r>
    </w:p>
    <w:p w14:paraId="22891BD2" w14:textId="77777777" w:rsidR="005D1CAF" w:rsidRPr="00470507" w:rsidRDefault="005D1CAF" w:rsidP="00DB667F">
      <w:pPr>
        <w:widowControl w:val="0"/>
        <w:autoSpaceDE w:val="0"/>
        <w:autoSpaceDN w:val="0"/>
        <w:adjustRightInd w:val="0"/>
        <w:spacing w:after="0" w:line="360" w:lineRule="auto"/>
        <w:jc w:val="both"/>
        <w:rPr>
          <w:rFonts w:ascii="Palatino Linotype" w:eastAsia="Calibri" w:hAnsi="Palatino Linotype" w:cs="Tahoma"/>
          <w:bCs/>
        </w:rPr>
      </w:pPr>
    </w:p>
    <w:p w14:paraId="52D02FD2" w14:textId="17431867" w:rsidR="00E83EF0" w:rsidRPr="00470507" w:rsidRDefault="00E83EF0" w:rsidP="00DB667F">
      <w:pPr>
        <w:widowControl w:val="0"/>
        <w:autoSpaceDE w:val="0"/>
        <w:autoSpaceDN w:val="0"/>
        <w:adjustRightInd w:val="0"/>
        <w:spacing w:after="0" w:line="360" w:lineRule="auto"/>
        <w:jc w:val="both"/>
        <w:rPr>
          <w:rFonts w:ascii="Palatino Linotype" w:eastAsia="Calibri" w:hAnsi="Palatino Linotype" w:cs="Tahoma"/>
          <w:b/>
          <w:sz w:val="24"/>
          <w:szCs w:val="24"/>
        </w:rPr>
      </w:pPr>
      <w:r w:rsidRPr="00470507">
        <w:rPr>
          <w:rFonts w:ascii="Palatino Linotype" w:eastAsia="Calibri" w:hAnsi="Palatino Linotype" w:cs="Tahoma"/>
          <w:bCs/>
          <w:sz w:val="24"/>
          <w:szCs w:val="24"/>
        </w:rPr>
        <w:t xml:space="preserve">Por lo que, los agravios hechos valer por la parte Recurrente, deviene </w:t>
      </w:r>
      <w:r w:rsidRPr="00470507">
        <w:rPr>
          <w:rFonts w:ascii="Palatino Linotype" w:eastAsia="Calibri" w:hAnsi="Palatino Linotype" w:cs="Tahoma"/>
          <w:b/>
          <w:sz w:val="24"/>
          <w:szCs w:val="24"/>
        </w:rPr>
        <w:t xml:space="preserve">FUNDADOS. </w:t>
      </w:r>
    </w:p>
    <w:p w14:paraId="55E7B437" w14:textId="77777777" w:rsidR="00E83EF0" w:rsidRPr="00470507" w:rsidRDefault="00E83EF0" w:rsidP="00DB667F">
      <w:pPr>
        <w:widowControl w:val="0"/>
        <w:autoSpaceDE w:val="0"/>
        <w:autoSpaceDN w:val="0"/>
        <w:adjustRightInd w:val="0"/>
        <w:spacing w:after="0" w:line="360" w:lineRule="auto"/>
        <w:jc w:val="both"/>
        <w:rPr>
          <w:rFonts w:ascii="Palatino Linotype" w:eastAsia="Calibri" w:hAnsi="Palatino Linotype" w:cs="Tahoma"/>
          <w:b/>
        </w:rPr>
      </w:pPr>
    </w:p>
    <w:p w14:paraId="50346531" w14:textId="77777777" w:rsidR="009C3F85" w:rsidRPr="00470507" w:rsidRDefault="009C3F85" w:rsidP="00DB667F">
      <w:pPr>
        <w:widowControl w:val="0"/>
        <w:autoSpaceDE w:val="0"/>
        <w:autoSpaceDN w:val="0"/>
        <w:adjustRightInd w:val="0"/>
        <w:spacing w:after="0" w:line="360" w:lineRule="auto"/>
        <w:jc w:val="both"/>
        <w:rPr>
          <w:rFonts w:ascii="Palatino Linotype" w:eastAsia="Calibri" w:hAnsi="Palatino Linotype" w:cs="Tahoma"/>
          <w:b/>
        </w:rPr>
      </w:pPr>
    </w:p>
    <w:p w14:paraId="73644006" w14:textId="77777777" w:rsidR="009C3F85" w:rsidRPr="00470507" w:rsidRDefault="009C3F85" w:rsidP="00DB667F">
      <w:pPr>
        <w:widowControl w:val="0"/>
        <w:autoSpaceDE w:val="0"/>
        <w:autoSpaceDN w:val="0"/>
        <w:adjustRightInd w:val="0"/>
        <w:spacing w:after="0" w:line="360" w:lineRule="auto"/>
        <w:jc w:val="both"/>
        <w:rPr>
          <w:rFonts w:ascii="Palatino Linotype" w:eastAsia="Calibri" w:hAnsi="Palatino Linotype" w:cs="Tahoma"/>
          <w:b/>
        </w:rPr>
      </w:pPr>
    </w:p>
    <w:p w14:paraId="5A25E7A9" w14:textId="77777777" w:rsidR="009C3F85" w:rsidRPr="00470507" w:rsidRDefault="009C3F85" w:rsidP="00DB667F">
      <w:pPr>
        <w:widowControl w:val="0"/>
        <w:autoSpaceDE w:val="0"/>
        <w:autoSpaceDN w:val="0"/>
        <w:adjustRightInd w:val="0"/>
        <w:spacing w:after="0" w:line="360" w:lineRule="auto"/>
        <w:jc w:val="both"/>
        <w:rPr>
          <w:rFonts w:ascii="Palatino Linotype" w:eastAsia="Calibri" w:hAnsi="Palatino Linotype" w:cs="Tahoma"/>
          <w:b/>
        </w:rPr>
      </w:pPr>
    </w:p>
    <w:p w14:paraId="64A7FB16" w14:textId="5BF739D8" w:rsidR="00E83EF0" w:rsidRPr="00470507" w:rsidRDefault="00E83EF0" w:rsidP="00E83EF0">
      <w:pPr>
        <w:pStyle w:val="Prrafodelista"/>
        <w:widowControl w:val="0"/>
        <w:numPr>
          <w:ilvl w:val="0"/>
          <w:numId w:val="46"/>
        </w:numPr>
        <w:autoSpaceDE w:val="0"/>
        <w:autoSpaceDN w:val="0"/>
        <w:adjustRightInd w:val="0"/>
        <w:spacing w:after="0" w:line="360" w:lineRule="auto"/>
        <w:jc w:val="both"/>
        <w:rPr>
          <w:rFonts w:ascii="Palatino Linotype" w:eastAsia="Calibri" w:hAnsi="Palatino Linotype" w:cs="Tahoma"/>
          <w:b/>
        </w:rPr>
      </w:pPr>
      <w:r w:rsidRPr="00470507">
        <w:rPr>
          <w:rFonts w:ascii="Palatino Linotype" w:eastAsia="Calibri" w:hAnsi="Palatino Linotype" w:cs="Tahoma"/>
          <w:b/>
        </w:rPr>
        <w:lastRenderedPageBreak/>
        <w:t xml:space="preserve">Del análisis de la información enviada por el Sujeto Obligado en calidad de informe justificado. </w:t>
      </w:r>
    </w:p>
    <w:p w14:paraId="753D6CC9" w14:textId="7A1219B2" w:rsidR="005D1CAF" w:rsidRPr="00470507" w:rsidRDefault="005D1CAF" w:rsidP="00DB667F">
      <w:pPr>
        <w:widowControl w:val="0"/>
        <w:autoSpaceDE w:val="0"/>
        <w:autoSpaceDN w:val="0"/>
        <w:adjustRightInd w:val="0"/>
        <w:spacing w:after="0" w:line="360" w:lineRule="auto"/>
        <w:jc w:val="both"/>
        <w:rPr>
          <w:rFonts w:ascii="Palatino Linotype" w:eastAsia="Calibri" w:hAnsi="Palatino Linotype" w:cs="Tahoma"/>
          <w:bCs/>
          <w:sz w:val="24"/>
          <w:szCs w:val="24"/>
        </w:rPr>
      </w:pPr>
    </w:p>
    <w:p w14:paraId="3CAA0B2A" w14:textId="77777777" w:rsidR="00FE37BB" w:rsidRPr="00470507" w:rsidRDefault="00E83EF0" w:rsidP="00DB667F">
      <w:pPr>
        <w:widowControl w:val="0"/>
        <w:autoSpaceDE w:val="0"/>
        <w:autoSpaceDN w:val="0"/>
        <w:adjustRightInd w:val="0"/>
        <w:spacing w:after="0" w:line="360" w:lineRule="auto"/>
        <w:jc w:val="both"/>
        <w:rPr>
          <w:rFonts w:ascii="Palatino Linotype" w:eastAsia="Calibri" w:hAnsi="Palatino Linotype" w:cs="Tahoma"/>
          <w:bCs/>
          <w:sz w:val="24"/>
          <w:szCs w:val="24"/>
        </w:rPr>
      </w:pPr>
      <w:r w:rsidRPr="00470507">
        <w:rPr>
          <w:rFonts w:ascii="Palatino Linotype" w:eastAsia="Calibri" w:hAnsi="Palatino Linotype" w:cs="Tahoma"/>
          <w:bCs/>
          <w:sz w:val="24"/>
          <w:szCs w:val="24"/>
        </w:rPr>
        <w:t xml:space="preserve">Tal como se mencionó, mediante informe justificado, el Sujeto Obligado a través </w:t>
      </w:r>
      <w:r w:rsidR="00FE37BB" w:rsidRPr="00470507">
        <w:rPr>
          <w:rFonts w:ascii="Palatino Linotype" w:eastAsia="Calibri" w:hAnsi="Palatino Linotype" w:cs="Tahoma"/>
          <w:bCs/>
          <w:sz w:val="24"/>
          <w:szCs w:val="24"/>
        </w:rPr>
        <w:t xml:space="preserve">de la Coordinadora de Recursos Humanos, remitió diversas documentales que contiene el expediente laboral del servidor público, por lo que, se colige que, </w:t>
      </w:r>
      <w:r w:rsidR="00FE37BB" w:rsidRPr="00470507">
        <w:rPr>
          <w:rFonts w:ascii="Palatino Linotype" w:eastAsia="Palatino Linotype" w:hAnsi="Palatino Linotype" w:cs="Palatino Linotype"/>
          <w:sz w:val="24"/>
        </w:rPr>
        <w:t xml:space="preserve">la Unidad de Transparencia siguió un determinado procedimiento para atender la solicitud que ahora nos ocupa, entre este, </w:t>
      </w:r>
      <w:r w:rsidR="00FE37BB" w:rsidRPr="00470507">
        <w:rPr>
          <w:rFonts w:ascii="Palatino Linotype" w:eastAsia="Palatino Linotype" w:hAnsi="Palatino Linotype" w:cs="Palatino Linotype"/>
          <w:bCs/>
          <w:sz w:val="24"/>
        </w:rPr>
        <w:t>turnó la solicitud de información a la unidad administrativa competente que cuenta con la información de acuerdo con sus facultades, funciones y atribuciones, para que realizara una búsqueda exhaustiva y razonable de la documentación solicitada; a saber la Coordinación de Recursos Humanos.</w:t>
      </w:r>
      <w:r w:rsidR="00FE37BB" w:rsidRPr="00470507">
        <w:rPr>
          <w:rFonts w:ascii="Palatino Linotype" w:eastAsia="Palatino Linotype" w:hAnsi="Palatino Linotype" w:cs="Palatino Linotype"/>
          <w:sz w:val="24"/>
          <w:u w:val="single"/>
        </w:rPr>
        <w:t xml:space="preserve"> </w:t>
      </w:r>
    </w:p>
    <w:p w14:paraId="297DC0BF" w14:textId="77777777" w:rsidR="00FE37BB" w:rsidRPr="00470507" w:rsidRDefault="00FE37BB" w:rsidP="00DB667F">
      <w:pPr>
        <w:widowControl w:val="0"/>
        <w:autoSpaceDE w:val="0"/>
        <w:autoSpaceDN w:val="0"/>
        <w:adjustRightInd w:val="0"/>
        <w:spacing w:after="0" w:line="360" w:lineRule="auto"/>
        <w:jc w:val="both"/>
        <w:rPr>
          <w:rFonts w:ascii="Palatino Linotype" w:eastAsia="Calibri" w:hAnsi="Palatino Linotype" w:cs="Tahoma"/>
          <w:bCs/>
          <w:sz w:val="24"/>
          <w:szCs w:val="24"/>
        </w:rPr>
      </w:pPr>
    </w:p>
    <w:p w14:paraId="2373F61E" w14:textId="67834793" w:rsidR="00FE37BB" w:rsidRPr="00470507" w:rsidRDefault="00FE37BB" w:rsidP="00DB667F">
      <w:pPr>
        <w:widowControl w:val="0"/>
        <w:autoSpaceDE w:val="0"/>
        <w:autoSpaceDN w:val="0"/>
        <w:adjustRightInd w:val="0"/>
        <w:spacing w:after="0" w:line="360" w:lineRule="auto"/>
        <w:jc w:val="both"/>
        <w:rPr>
          <w:rFonts w:ascii="Palatino Linotype" w:eastAsia="Calibri" w:hAnsi="Palatino Linotype" w:cs="Tahoma"/>
          <w:bCs/>
          <w:sz w:val="24"/>
          <w:szCs w:val="24"/>
        </w:rPr>
      </w:pPr>
      <w:r w:rsidRPr="00470507">
        <w:rPr>
          <w:rFonts w:ascii="Palatino Linotype" w:eastAsia="Calibri" w:hAnsi="Palatino Linotype" w:cs="Tahoma"/>
          <w:bCs/>
          <w:sz w:val="24"/>
          <w:szCs w:val="24"/>
        </w:rPr>
        <w:t xml:space="preserve">Ahora bien, la unidad administrativa competente remitió las siguientes documentales: </w:t>
      </w:r>
    </w:p>
    <w:p w14:paraId="66759355" w14:textId="77777777" w:rsidR="00E83EF0" w:rsidRPr="00470507" w:rsidRDefault="00E83EF0" w:rsidP="00DB667F">
      <w:pPr>
        <w:widowControl w:val="0"/>
        <w:autoSpaceDE w:val="0"/>
        <w:autoSpaceDN w:val="0"/>
        <w:adjustRightInd w:val="0"/>
        <w:spacing w:after="0" w:line="360" w:lineRule="auto"/>
        <w:jc w:val="both"/>
        <w:rPr>
          <w:rFonts w:ascii="Palatino Linotype" w:eastAsia="Calibri" w:hAnsi="Palatino Linotype" w:cs="Tahoma"/>
          <w:bCs/>
          <w:sz w:val="24"/>
          <w:szCs w:val="24"/>
        </w:rPr>
      </w:pPr>
    </w:p>
    <w:p w14:paraId="203A4D4C"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bookmarkStart w:id="2" w:name="_Hlk161307713"/>
      <w:r w:rsidRPr="00470507">
        <w:rPr>
          <w:rFonts w:ascii="Palatino Linotype" w:eastAsia="Palatino Linotype" w:hAnsi="Palatino Linotype" w:cs="Palatino Linotype"/>
          <w:color w:val="000000"/>
          <w:szCs w:val="24"/>
        </w:rPr>
        <w:t xml:space="preserve">Nombramiento a favor del servidor público como Director de Obras Públicas y Desarrollo Urbano, de fecha uno de enero de dos mil veintidós. </w:t>
      </w:r>
    </w:p>
    <w:p w14:paraId="77B43279"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Solicitud de empleo.</w:t>
      </w:r>
    </w:p>
    <w:p w14:paraId="5701524D"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Currículum Vitae a nombre del servidor público. </w:t>
      </w:r>
    </w:p>
    <w:p w14:paraId="68BF4809"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Constancia de la Clave Única de Registro de Población. </w:t>
      </w:r>
    </w:p>
    <w:p w14:paraId="0D3B68F9"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Acta de Nacimiento. </w:t>
      </w:r>
    </w:p>
    <w:p w14:paraId="3B36DAEB"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Cédula de Identificación Fiscal. </w:t>
      </w:r>
    </w:p>
    <w:p w14:paraId="427947A2"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Constancia domiciliaria. </w:t>
      </w:r>
    </w:p>
    <w:p w14:paraId="41BDD8A9"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Credencial Electoral emitida por el Instituto Federal Electoral. </w:t>
      </w:r>
    </w:p>
    <w:p w14:paraId="2B2D97D3"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lastRenderedPageBreak/>
        <w:t xml:space="preserve">Carta de Pasante de Arquitectura. </w:t>
      </w:r>
    </w:p>
    <w:p w14:paraId="0F26379F"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Tres cartas de recomendación. </w:t>
      </w:r>
    </w:p>
    <w:p w14:paraId="48308A8E"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Certificado médico emitido por el Sistema Municipal DIF de Malinalco. </w:t>
      </w:r>
    </w:p>
    <w:p w14:paraId="0940417B"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Aviso de Movimientos. </w:t>
      </w:r>
    </w:p>
    <w:p w14:paraId="011CC1A3"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Licencia para conducir. </w:t>
      </w:r>
    </w:p>
    <w:p w14:paraId="473D354C"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Hoja de liberación de servicio militar. </w:t>
      </w:r>
    </w:p>
    <w:p w14:paraId="12328F76"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Informe de no antecedentes penales. </w:t>
      </w:r>
    </w:p>
    <w:p w14:paraId="38B6618F"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Oficio emitido por el Subdirector de Profesionalización y Coordinador de los Grupos de Dictamen de la COCERTEM, mediante el cual informa que el servidor público participa en el proceso de evaluación para la certificación “Administrar las Obras Públicas Municipales y servicios relacionados con las mismas en el Estado de México”. </w:t>
      </w:r>
    </w:p>
    <w:p w14:paraId="47C96D8F" w14:textId="77777777" w:rsidR="00E83EF0" w:rsidRPr="00470507" w:rsidRDefault="00E83EF0" w:rsidP="00E83EF0">
      <w:pPr>
        <w:pStyle w:val="Prrafodelista"/>
        <w:numPr>
          <w:ilvl w:val="0"/>
          <w:numId w:val="4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Cs w:val="24"/>
        </w:rPr>
        <w:t xml:space="preserve">Certificado de Competencia Laboral en el Estándar de Competencia “Administración de la Obra Pública Municipal” </w:t>
      </w:r>
    </w:p>
    <w:bookmarkEnd w:id="2"/>
    <w:p w14:paraId="73D15229" w14:textId="77777777" w:rsidR="00E83EF0" w:rsidRPr="00470507" w:rsidRDefault="00E83EF0" w:rsidP="00DB667F">
      <w:pPr>
        <w:widowControl w:val="0"/>
        <w:autoSpaceDE w:val="0"/>
        <w:autoSpaceDN w:val="0"/>
        <w:adjustRightInd w:val="0"/>
        <w:spacing w:after="0" w:line="360" w:lineRule="auto"/>
        <w:jc w:val="both"/>
        <w:rPr>
          <w:rFonts w:ascii="Palatino Linotype" w:eastAsia="Calibri" w:hAnsi="Palatino Linotype" w:cs="Tahoma"/>
          <w:bCs/>
          <w:sz w:val="24"/>
          <w:szCs w:val="24"/>
        </w:rPr>
      </w:pPr>
    </w:p>
    <w:p w14:paraId="3B482D7B" w14:textId="731289FC" w:rsidR="00FE37BB" w:rsidRPr="00470507" w:rsidRDefault="00FE37BB" w:rsidP="00DB667F">
      <w:pPr>
        <w:widowControl w:val="0"/>
        <w:autoSpaceDE w:val="0"/>
        <w:autoSpaceDN w:val="0"/>
        <w:adjustRightInd w:val="0"/>
        <w:spacing w:after="0" w:line="360" w:lineRule="auto"/>
        <w:jc w:val="both"/>
        <w:rPr>
          <w:rFonts w:ascii="Palatino Linotype" w:eastAsia="Calibri" w:hAnsi="Palatino Linotype" w:cs="Tahoma"/>
          <w:bCs/>
          <w:sz w:val="24"/>
          <w:szCs w:val="24"/>
        </w:rPr>
      </w:pPr>
      <w:r w:rsidRPr="00470507">
        <w:rPr>
          <w:rFonts w:ascii="Palatino Linotype" w:eastAsia="Calibri" w:hAnsi="Palatino Linotype" w:cs="Tahoma"/>
          <w:bCs/>
          <w:sz w:val="24"/>
          <w:szCs w:val="24"/>
        </w:rPr>
        <w:t>Es de destacar que, estos documentos no se hicieron del conocimiento de la parte Recurrente, debido a que, se dejaron a la vista datos personales en</w:t>
      </w:r>
      <w:r w:rsidR="00A806AC" w:rsidRPr="00470507">
        <w:rPr>
          <w:rFonts w:ascii="Palatino Linotype" w:eastAsia="Calibri" w:hAnsi="Palatino Linotype" w:cs="Tahoma"/>
          <w:bCs/>
          <w:sz w:val="24"/>
          <w:szCs w:val="24"/>
        </w:rPr>
        <w:t xml:space="preserve"> algunos documentos </w:t>
      </w:r>
      <w:r w:rsidRPr="00470507">
        <w:rPr>
          <w:rFonts w:ascii="Palatino Linotype" w:eastAsia="Calibri" w:hAnsi="Palatino Linotype" w:cs="Tahoma"/>
          <w:bCs/>
          <w:sz w:val="24"/>
          <w:szCs w:val="24"/>
        </w:rPr>
        <w:t>y, se entregaron documentos que por su naturaleza se consideran confidenciales en su totalidad,</w:t>
      </w:r>
      <w:r w:rsidR="00A806AC" w:rsidRPr="00470507">
        <w:rPr>
          <w:rFonts w:ascii="Palatino Linotype" w:eastAsia="Calibri" w:hAnsi="Palatino Linotype" w:cs="Tahoma"/>
          <w:bCs/>
          <w:sz w:val="24"/>
          <w:szCs w:val="24"/>
        </w:rPr>
        <w:t xml:space="preserve"> aunado a que, la información proporcionada es incompleta,</w:t>
      </w:r>
      <w:r w:rsidRPr="00470507">
        <w:rPr>
          <w:rFonts w:ascii="Palatino Linotype" w:eastAsia="Calibri" w:hAnsi="Palatino Linotype" w:cs="Tahoma"/>
          <w:bCs/>
          <w:sz w:val="24"/>
          <w:szCs w:val="24"/>
        </w:rPr>
        <w:t xml:space="preserve"> situación que se analizará al tenor de lo siguiente: </w:t>
      </w:r>
    </w:p>
    <w:p w14:paraId="2501BC92" w14:textId="77777777" w:rsidR="00FE37BB" w:rsidRPr="00470507" w:rsidRDefault="00FE37BB" w:rsidP="00DB667F">
      <w:pPr>
        <w:widowControl w:val="0"/>
        <w:autoSpaceDE w:val="0"/>
        <w:autoSpaceDN w:val="0"/>
        <w:adjustRightInd w:val="0"/>
        <w:spacing w:after="0" w:line="360" w:lineRule="auto"/>
        <w:jc w:val="both"/>
        <w:rPr>
          <w:rFonts w:ascii="Palatino Linotype" w:eastAsia="Calibri" w:hAnsi="Palatino Linotype" w:cs="Tahoma"/>
          <w:bCs/>
          <w:sz w:val="24"/>
          <w:szCs w:val="24"/>
        </w:rPr>
      </w:pPr>
    </w:p>
    <w:p w14:paraId="35FB9528" w14:textId="40633B6C" w:rsidR="00FE37BB" w:rsidRPr="00470507" w:rsidRDefault="00A806AC" w:rsidP="00FE37BB">
      <w:pPr>
        <w:pStyle w:val="Prrafodelista"/>
        <w:widowControl w:val="0"/>
        <w:numPr>
          <w:ilvl w:val="0"/>
          <w:numId w:val="48"/>
        </w:numPr>
        <w:autoSpaceDE w:val="0"/>
        <w:autoSpaceDN w:val="0"/>
        <w:adjustRightInd w:val="0"/>
        <w:spacing w:after="0" w:line="360" w:lineRule="auto"/>
        <w:jc w:val="both"/>
        <w:rPr>
          <w:rFonts w:ascii="Palatino Linotype" w:eastAsia="Calibri" w:hAnsi="Palatino Linotype" w:cs="Tahoma"/>
          <w:bCs/>
        </w:rPr>
      </w:pPr>
      <w:bookmarkStart w:id="3" w:name="_Hlk161309238"/>
      <w:r w:rsidRPr="00470507">
        <w:rPr>
          <w:rFonts w:ascii="Palatino Linotype" w:eastAsia="Calibri" w:hAnsi="Palatino Linotype" w:cs="Tahoma"/>
          <w:b/>
        </w:rPr>
        <w:t xml:space="preserve">Solicitud de </w:t>
      </w:r>
      <w:r w:rsidR="00895BC6" w:rsidRPr="00470507">
        <w:rPr>
          <w:rFonts w:ascii="Palatino Linotype" w:eastAsia="Calibri" w:hAnsi="Palatino Linotype" w:cs="Tahoma"/>
          <w:b/>
        </w:rPr>
        <w:t>empleo</w:t>
      </w:r>
      <w:r w:rsidRPr="00470507">
        <w:rPr>
          <w:rFonts w:ascii="Palatino Linotype" w:eastAsia="Calibri" w:hAnsi="Palatino Linotype" w:cs="Tahoma"/>
          <w:bCs/>
        </w:rPr>
        <w:t xml:space="preserve"> Se remitió incompleta y se dejaron a la vista nombres y domicilios particulares, información que actualiza la hipótesis contenida en la fracción I del artículo 143 de la Ley de Transparencia y Acceso a la Información Pública del Estado de México y Municipios. </w:t>
      </w:r>
    </w:p>
    <w:p w14:paraId="5921F2A6" w14:textId="0AA0DE8D" w:rsidR="00A806AC" w:rsidRPr="00470507" w:rsidRDefault="00A806AC" w:rsidP="00FE37BB">
      <w:pPr>
        <w:pStyle w:val="Prrafodelista"/>
        <w:widowControl w:val="0"/>
        <w:numPr>
          <w:ilvl w:val="0"/>
          <w:numId w:val="48"/>
        </w:numPr>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
        </w:rPr>
        <w:lastRenderedPageBreak/>
        <w:t>Currículum Vitae.</w:t>
      </w:r>
      <w:r w:rsidRPr="00470507">
        <w:rPr>
          <w:rFonts w:ascii="Palatino Linotype" w:eastAsia="Calibri" w:hAnsi="Palatino Linotype" w:cs="Tahoma"/>
          <w:bCs/>
        </w:rPr>
        <w:t xml:space="preserve"> Se clasificó fotografía del anterior Director de Obras Públicas y se dejó a la vista la fecha de nacimiento, domicilio particular</w:t>
      </w:r>
      <w:r w:rsidR="00D028CF" w:rsidRPr="00470507">
        <w:rPr>
          <w:rFonts w:ascii="Palatino Linotype" w:eastAsia="Calibri" w:hAnsi="Palatino Linotype" w:cs="Tahoma"/>
          <w:bCs/>
        </w:rPr>
        <w:t xml:space="preserve"> e interés personales. </w:t>
      </w:r>
    </w:p>
    <w:p w14:paraId="09C475DB" w14:textId="11A6D60A" w:rsidR="00D028CF" w:rsidRPr="00470507" w:rsidRDefault="00D028CF" w:rsidP="00FE37BB">
      <w:pPr>
        <w:pStyle w:val="Prrafodelista"/>
        <w:widowControl w:val="0"/>
        <w:numPr>
          <w:ilvl w:val="0"/>
          <w:numId w:val="48"/>
        </w:numPr>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
        </w:rPr>
        <w:t>Acta de Nacimiento.</w:t>
      </w:r>
      <w:r w:rsidRPr="00470507">
        <w:rPr>
          <w:rFonts w:ascii="Palatino Linotype" w:eastAsia="Calibri" w:hAnsi="Palatino Linotype" w:cs="Tahoma"/>
          <w:bCs/>
        </w:rPr>
        <w:t xml:space="preserve"> Documento que debe ser clasificado en su totalidad. </w:t>
      </w:r>
    </w:p>
    <w:p w14:paraId="3D010E42" w14:textId="7FA115B4" w:rsidR="00D028CF" w:rsidRPr="00470507" w:rsidRDefault="00D028CF" w:rsidP="00FE37BB">
      <w:pPr>
        <w:pStyle w:val="Prrafodelista"/>
        <w:widowControl w:val="0"/>
        <w:numPr>
          <w:ilvl w:val="0"/>
          <w:numId w:val="48"/>
        </w:numPr>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
        </w:rPr>
        <w:t>Cédula de identificación fiscal</w:t>
      </w:r>
      <w:r w:rsidRPr="00470507">
        <w:rPr>
          <w:rFonts w:ascii="Palatino Linotype" w:eastAsia="Calibri" w:hAnsi="Palatino Linotype" w:cs="Tahoma"/>
          <w:bCs/>
        </w:rPr>
        <w:t xml:space="preserve">. Documento que debe ser clasificado en su totalidad. </w:t>
      </w:r>
    </w:p>
    <w:p w14:paraId="31F8E93B" w14:textId="449A33A4" w:rsidR="00D028CF" w:rsidRPr="00470507" w:rsidRDefault="00D028CF" w:rsidP="00FE37BB">
      <w:pPr>
        <w:pStyle w:val="Prrafodelista"/>
        <w:widowControl w:val="0"/>
        <w:numPr>
          <w:ilvl w:val="0"/>
          <w:numId w:val="48"/>
        </w:numPr>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
        </w:rPr>
        <w:t xml:space="preserve">Constancia domiciliaria. </w:t>
      </w:r>
      <w:r w:rsidRPr="00470507">
        <w:rPr>
          <w:rFonts w:ascii="Palatino Linotype" w:eastAsia="Calibri" w:hAnsi="Palatino Linotype" w:cs="Tahoma"/>
          <w:bCs/>
        </w:rPr>
        <w:t xml:space="preserve">Documento que debe ser clasificado en su totalidad. </w:t>
      </w:r>
    </w:p>
    <w:p w14:paraId="46F0064D" w14:textId="303C1A97" w:rsidR="00D028CF" w:rsidRPr="00470507" w:rsidRDefault="00D028CF" w:rsidP="00FE37BB">
      <w:pPr>
        <w:pStyle w:val="Prrafodelista"/>
        <w:widowControl w:val="0"/>
        <w:numPr>
          <w:ilvl w:val="0"/>
          <w:numId w:val="48"/>
        </w:numPr>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
        </w:rPr>
        <w:t xml:space="preserve">Credencial de elector. </w:t>
      </w:r>
      <w:r w:rsidRPr="00470507">
        <w:rPr>
          <w:rFonts w:ascii="Palatino Linotype" w:eastAsia="Calibri" w:hAnsi="Palatino Linotype" w:cs="Tahoma"/>
          <w:bCs/>
        </w:rPr>
        <w:t xml:space="preserve">Documento que debe ser clasificado en su totalidad. </w:t>
      </w:r>
    </w:p>
    <w:p w14:paraId="5CA39BB3" w14:textId="48202C4B" w:rsidR="00D028CF" w:rsidRPr="00470507" w:rsidRDefault="00D028CF" w:rsidP="00FE37BB">
      <w:pPr>
        <w:pStyle w:val="Prrafodelista"/>
        <w:widowControl w:val="0"/>
        <w:numPr>
          <w:ilvl w:val="0"/>
          <w:numId w:val="48"/>
        </w:numPr>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
        </w:rPr>
        <w:t>Certificado de salud.</w:t>
      </w:r>
      <w:r w:rsidRPr="00470507">
        <w:rPr>
          <w:rFonts w:ascii="Palatino Linotype" w:eastAsia="Calibri" w:hAnsi="Palatino Linotype" w:cs="Tahoma"/>
          <w:bCs/>
        </w:rPr>
        <w:t xml:space="preserve"> Documento que debe ser clasificado en su totalidad. </w:t>
      </w:r>
    </w:p>
    <w:p w14:paraId="3B552C09" w14:textId="36E789AF" w:rsidR="00D028CF" w:rsidRPr="00470507" w:rsidRDefault="00D028CF" w:rsidP="00FE37BB">
      <w:pPr>
        <w:pStyle w:val="Prrafodelista"/>
        <w:widowControl w:val="0"/>
        <w:numPr>
          <w:ilvl w:val="0"/>
          <w:numId w:val="48"/>
        </w:numPr>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
        </w:rPr>
        <w:t xml:space="preserve">Hoja de liberación de servicio militar. </w:t>
      </w:r>
      <w:r w:rsidRPr="00470507">
        <w:rPr>
          <w:rFonts w:ascii="Palatino Linotype" w:eastAsia="Calibri" w:hAnsi="Palatino Linotype" w:cs="Tahoma"/>
          <w:bCs/>
        </w:rPr>
        <w:t xml:space="preserve">Debe ser clasificado en su totalidad. </w:t>
      </w:r>
    </w:p>
    <w:p w14:paraId="6976DB3E" w14:textId="382E51E8" w:rsidR="00895BC6" w:rsidRPr="00470507" w:rsidRDefault="00895BC6" w:rsidP="00FE37BB">
      <w:pPr>
        <w:pStyle w:val="Prrafodelista"/>
        <w:widowControl w:val="0"/>
        <w:numPr>
          <w:ilvl w:val="0"/>
          <w:numId w:val="48"/>
        </w:numPr>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
        </w:rPr>
        <w:t>Informe de No Antecedentes Penales.</w:t>
      </w:r>
      <w:r w:rsidRPr="00470507">
        <w:rPr>
          <w:rFonts w:ascii="Palatino Linotype" w:eastAsia="Calibri" w:hAnsi="Palatino Linotype" w:cs="Tahoma"/>
          <w:bCs/>
        </w:rPr>
        <w:t xml:space="preserve"> Se dejó a la vista la fecha de nacimiento. </w:t>
      </w:r>
    </w:p>
    <w:p w14:paraId="49642840" w14:textId="70318850" w:rsidR="00895BC6" w:rsidRPr="00470507" w:rsidRDefault="00895BC6" w:rsidP="00FE37BB">
      <w:pPr>
        <w:pStyle w:val="Prrafodelista"/>
        <w:widowControl w:val="0"/>
        <w:numPr>
          <w:ilvl w:val="0"/>
          <w:numId w:val="48"/>
        </w:numPr>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
        </w:rPr>
        <w:t>Certificado de Competencia Laboral.</w:t>
      </w:r>
      <w:r w:rsidRPr="00470507">
        <w:rPr>
          <w:rFonts w:ascii="Palatino Linotype" w:eastAsia="Calibri" w:hAnsi="Palatino Linotype" w:cs="Tahoma"/>
          <w:bCs/>
        </w:rPr>
        <w:t xml:space="preserve"> Se clasificó el QR y es de naturaleza pública. </w:t>
      </w:r>
    </w:p>
    <w:p w14:paraId="37476185" w14:textId="4CE6E038" w:rsidR="00F55D08" w:rsidRPr="00470507" w:rsidRDefault="00F51F8E" w:rsidP="00FE37BB">
      <w:pPr>
        <w:pStyle w:val="Prrafodelista"/>
        <w:widowControl w:val="0"/>
        <w:numPr>
          <w:ilvl w:val="0"/>
          <w:numId w:val="48"/>
        </w:numPr>
        <w:autoSpaceDE w:val="0"/>
        <w:autoSpaceDN w:val="0"/>
        <w:adjustRightInd w:val="0"/>
        <w:spacing w:after="0" w:line="360" w:lineRule="auto"/>
        <w:jc w:val="both"/>
        <w:rPr>
          <w:rFonts w:ascii="Palatino Linotype" w:eastAsia="Calibri" w:hAnsi="Palatino Linotype" w:cs="Tahoma"/>
          <w:bCs/>
          <w:color w:val="000000" w:themeColor="text1"/>
        </w:rPr>
      </w:pPr>
      <w:r w:rsidRPr="00470507">
        <w:rPr>
          <w:rFonts w:ascii="Palatino Linotype" w:eastAsia="Calibri" w:hAnsi="Palatino Linotype" w:cs="Tahoma"/>
          <w:b/>
          <w:color w:val="000000" w:themeColor="text1"/>
        </w:rPr>
        <w:t xml:space="preserve">Cartas de recomendación. </w:t>
      </w:r>
      <w:r w:rsidRPr="00470507">
        <w:rPr>
          <w:rFonts w:ascii="Palatino Linotype" w:eastAsia="Calibri" w:hAnsi="Palatino Linotype" w:cs="Tahoma"/>
          <w:bCs/>
          <w:color w:val="000000" w:themeColor="text1"/>
        </w:rPr>
        <w:t xml:space="preserve">Documentos que deben ser clasificados en su totalidad. </w:t>
      </w:r>
    </w:p>
    <w:p w14:paraId="241561AD" w14:textId="260C5A14" w:rsidR="00F55D08" w:rsidRPr="00470507" w:rsidRDefault="00F55D08" w:rsidP="00FE37BB">
      <w:pPr>
        <w:pStyle w:val="Prrafodelista"/>
        <w:widowControl w:val="0"/>
        <w:numPr>
          <w:ilvl w:val="0"/>
          <w:numId w:val="48"/>
        </w:numPr>
        <w:autoSpaceDE w:val="0"/>
        <w:autoSpaceDN w:val="0"/>
        <w:adjustRightInd w:val="0"/>
        <w:spacing w:after="0" w:line="360" w:lineRule="auto"/>
        <w:jc w:val="both"/>
        <w:rPr>
          <w:rFonts w:ascii="Palatino Linotype" w:eastAsia="Calibri" w:hAnsi="Palatino Linotype" w:cs="Tahoma"/>
          <w:bCs/>
          <w:color w:val="000000" w:themeColor="text1"/>
        </w:rPr>
      </w:pPr>
      <w:r w:rsidRPr="00470507">
        <w:rPr>
          <w:rFonts w:ascii="Palatino Linotype" w:eastAsia="Calibri" w:hAnsi="Palatino Linotype" w:cs="Tahoma"/>
          <w:b/>
          <w:color w:val="000000" w:themeColor="text1"/>
        </w:rPr>
        <w:t>Licencia para conducir</w:t>
      </w:r>
      <w:r w:rsidR="00F51F8E" w:rsidRPr="00470507">
        <w:rPr>
          <w:rFonts w:ascii="Palatino Linotype" w:eastAsia="Calibri" w:hAnsi="Palatino Linotype" w:cs="Tahoma"/>
          <w:b/>
          <w:color w:val="000000" w:themeColor="text1"/>
        </w:rPr>
        <w:t xml:space="preserve">. </w:t>
      </w:r>
      <w:r w:rsidR="00F51F8E" w:rsidRPr="00470507">
        <w:rPr>
          <w:rFonts w:ascii="Palatino Linotype" w:eastAsia="Calibri" w:hAnsi="Palatino Linotype" w:cs="Tahoma"/>
          <w:bCs/>
          <w:color w:val="000000" w:themeColor="text1"/>
        </w:rPr>
        <w:t xml:space="preserve">Documento que debe ser clasificado en su totalidad. </w:t>
      </w:r>
    </w:p>
    <w:bookmarkEnd w:id="3"/>
    <w:p w14:paraId="1B976DC3"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rPr>
      </w:pPr>
    </w:p>
    <w:p w14:paraId="17287C92" w14:textId="5DCB98D2" w:rsidR="00895BC6" w:rsidRPr="00470507" w:rsidRDefault="00895BC6" w:rsidP="00DB667F">
      <w:pPr>
        <w:widowControl w:val="0"/>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Cs/>
        </w:rPr>
        <w:t xml:space="preserve">Dicho lo anterior, se procede a referir lo siguiente: </w:t>
      </w:r>
    </w:p>
    <w:p w14:paraId="6AD440DF" w14:textId="77777777" w:rsidR="00895BC6" w:rsidRPr="00470507" w:rsidRDefault="00895BC6" w:rsidP="00DB667F">
      <w:pPr>
        <w:widowControl w:val="0"/>
        <w:autoSpaceDE w:val="0"/>
        <w:autoSpaceDN w:val="0"/>
        <w:adjustRightInd w:val="0"/>
        <w:spacing w:after="0" w:line="360" w:lineRule="auto"/>
        <w:jc w:val="both"/>
        <w:rPr>
          <w:rFonts w:ascii="Palatino Linotype" w:eastAsia="Calibri" w:hAnsi="Palatino Linotype" w:cs="Tahoma"/>
          <w:bCs/>
        </w:rPr>
      </w:pPr>
    </w:p>
    <w:p w14:paraId="1B5A99EC" w14:textId="77777777" w:rsidR="00DB667F" w:rsidRPr="00470507" w:rsidRDefault="00DB667F" w:rsidP="00DB667F">
      <w:pPr>
        <w:pStyle w:val="Prrafodelista"/>
        <w:widowControl w:val="0"/>
        <w:numPr>
          <w:ilvl w:val="0"/>
          <w:numId w:val="43"/>
        </w:numPr>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
        </w:rPr>
        <w:t xml:space="preserve">Solicitud de empleo. </w:t>
      </w:r>
    </w:p>
    <w:p w14:paraId="7DCFC288"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rPr>
      </w:pPr>
    </w:p>
    <w:p w14:paraId="2666C668"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Cs/>
        </w:rPr>
        <w:t xml:space="preserve">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 </w:t>
      </w:r>
    </w:p>
    <w:p w14:paraId="4FD645F1"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rPr>
      </w:pPr>
    </w:p>
    <w:p w14:paraId="6A46174C"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Cs/>
        </w:rPr>
        <w:t xml:space="preserve">Por otro lado, es necesario referir que de acuerdo con el artículo 47 de la Ley de Trabajo de los </w:t>
      </w:r>
      <w:r w:rsidRPr="00470507">
        <w:rPr>
          <w:rFonts w:ascii="Palatino Linotype" w:eastAsia="Calibri" w:hAnsi="Palatino Linotype" w:cs="Tahoma"/>
          <w:bCs/>
        </w:rPr>
        <w:lastRenderedPageBreak/>
        <w:t xml:space="preserve">Servidores Públicos del Estado de México y el 5.4 del Código Reglamentario de Metepec, para ingresar al servicio público se requiere presentar una solicitud por escrito, es decir, la entrega de este documento resulta ser un requisito indispensable para poder prestar servicios dentro de la Administración Pública. </w:t>
      </w:r>
    </w:p>
    <w:p w14:paraId="1DF8BC44"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rPr>
      </w:pPr>
    </w:p>
    <w:p w14:paraId="6A5B47A1" w14:textId="77777777" w:rsidR="00DB667F" w:rsidRPr="00470507" w:rsidRDefault="00DB667F" w:rsidP="00DB667F">
      <w:pPr>
        <w:pStyle w:val="Prrafodelista"/>
        <w:spacing w:after="0" w:line="360" w:lineRule="auto"/>
        <w:ind w:left="0"/>
        <w:jc w:val="both"/>
        <w:rPr>
          <w:rFonts w:ascii="Palatino Linotype" w:hAnsi="Palatino Linotype" w:cs="Arial"/>
        </w:rPr>
      </w:pPr>
      <w:r w:rsidRPr="00470507">
        <w:rPr>
          <w:rFonts w:ascii="Palatino Linotype" w:hAnsi="Palatino Linotype" w:cs="Arial"/>
        </w:rPr>
        <w:t xml:space="preserve">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 </w:t>
      </w:r>
    </w:p>
    <w:p w14:paraId="4AD7DDE7" w14:textId="77777777" w:rsidR="00DB667F" w:rsidRPr="00470507" w:rsidRDefault="00DB667F" w:rsidP="00DB667F">
      <w:pPr>
        <w:pStyle w:val="Prrafodelista"/>
        <w:spacing w:after="0" w:line="360" w:lineRule="auto"/>
        <w:ind w:left="0"/>
        <w:jc w:val="both"/>
        <w:rPr>
          <w:rFonts w:ascii="Palatino Linotype" w:hAnsi="Palatino Linotype" w:cs="Arial"/>
        </w:rPr>
      </w:pPr>
    </w:p>
    <w:p w14:paraId="0DD12BF8" w14:textId="42E887CF" w:rsidR="00DB667F" w:rsidRPr="00470507" w:rsidRDefault="00DB667F" w:rsidP="00F51F8E">
      <w:pPr>
        <w:spacing w:after="0" w:line="360" w:lineRule="auto"/>
        <w:jc w:val="both"/>
        <w:rPr>
          <w:rFonts w:ascii="Palatino Linotype" w:eastAsia="Calibri" w:hAnsi="Palatino Linotype" w:cs="Tahoma"/>
          <w:bCs/>
        </w:rPr>
      </w:pPr>
      <w:r w:rsidRPr="00470507">
        <w:rPr>
          <w:rFonts w:ascii="Palatino Linotype" w:eastAsia="Calibri" w:hAnsi="Palatino Linotype" w:cs="Tahoma"/>
          <w:bCs/>
        </w:rP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deben proporcionarse en versión pública. </w:t>
      </w:r>
    </w:p>
    <w:p w14:paraId="32CE4DE6" w14:textId="77777777" w:rsidR="00895BC6" w:rsidRPr="00470507" w:rsidRDefault="00895BC6" w:rsidP="00DB667F">
      <w:pPr>
        <w:widowControl w:val="0"/>
        <w:autoSpaceDE w:val="0"/>
        <w:autoSpaceDN w:val="0"/>
        <w:adjustRightInd w:val="0"/>
        <w:spacing w:after="0" w:line="360" w:lineRule="auto"/>
        <w:jc w:val="both"/>
        <w:rPr>
          <w:rFonts w:ascii="Palatino Linotype" w:eastAsia="Calibri" w:hAnsi="Palatino Linotype" w:cs="Tahoma"/>
          <w:bCs/>
        </w:rPr>
      </w:pPr>
    </w:p>
    <w:p w14:paraId="2C9078C0" w14:textId="77777777" w:rsidR="00DB667F" w:rsidRPr="00470507" w:rsidRDefault="00DB667F" w:rsidP="00DB667F">
      <w:pPr>
        <w:pStyle w:val="Prrafodelista"/>
        <w:widowControl w:val="0"/>
        <w:numPr>
          <w:ilvl w:val="0"/>
          <w:numId w:val="43"/>
        </w:numPr>
        <w:autoSpaceDE w:val="0"/>
        <w:autoSpaceDN w:val="0"/>
        <w:adjustRightInd w:val="0"/>
        <w:spacing w:after="0" w:line="360" w:lineRule="auto"/>
        <w:jc w:val="both"/>
        <w:rPr>
          <w:rFonts w:ascii="Palatino Linotype" w:hAnsi="Palatino Linotype" w:cs="Tahoma"/>
          <w:b/>
        </w:rPr>
      </w:pPr>
      <w:r w:rsidRPr="00470507">
        <w:rPr>
          <w:rFonts w:ascii="Palatino Linotype" w:eastAsia="Calibri" w:hAnsi="Palatino Linotype" w:cs="Tahoma"/>
          <w:b/>
        </w:rPr>
        <w:t xml:space="preserve">Currículum Vitae o Información Curricular y constancia de grado máximo de estudios. </w:t>
      </w:r>
    </w:p>
    <w:p w14:paraId="3D75254F"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52250D15" w14:textId="77777777" w:rsidR="00DB667F" w:rsidRPr="00470507" w:rsidRDefault="00DB667F" w:rsidP="00DB667F">
      <w:pPr>
        <w:spacing w:after="0" w:line="360" w:lineRule="auto"/>
        <w:jc w:val="both"/>
        <w:rPr>
          <w:rFonts w:ascii="Palatino Linotype" w:eastAsia="Calibri" w:hAnsi="Palatino Linotype" w:cs="Tahoma"/>
          <w:bCs/>
        </w:rPr>
      </w:pPr>
      <w:r w:rsidRPr="00470507">
        <w:rPr>
          <w:rFonts w:ascii="Palatino Linotype" w:eastAsia="Calibri" w:hAnsi="Palatino Linotype" w:cs="Tahoma"/>
          <w:bCs/>
        </w:rPr>
        <w:t xml:space="preserve">En principio es de señalar que el Currículum Vitae es una locución latina que literalmente significa “carrera de vida”, y que la Real Academia Española ha definido como “la relación de los títulos, honores, cargos, trabajo realizado y datos biográficos que califican a una persona. En ese sentido, el currículum además de señalar datos personales refiere los estudios realizados y con ello, el nivel académico que se ostenta, así como la experiencia laboral que incluyen los cargos ocupados, periodos y funciones. </w:t>
      </w:r>
    </w:p>
    <w:p w14:paraId="7273C01C" w14:textId="77777777" w:rsidR="00DB667F" w:rsidRPr="00470507" w:rsidRDefault="00DB667F" w:rsidP="00DB667F">
      <w:pPr>
        <w:spacing w:after="0" w:line="360" w:lineRule="auto"/>
        <w:jc w:val="both"/>
        <w:rPr>
          <w:rFonts w:ascii="Palatino Linotype" w:eastAsia="Calibri" w:hAnsi="Palatino Linotype" w:cs="Tahoma"/>
          <w:bCs/>
        </w:rPr>
      </w:pPr>
    </w:p>
    <w:p w14:paraId="5D9DD813" w14:textId="77777777" w:rsidR="00DB667F" w:rsidRPr="00470507" w:rsidRDefault="00DB667F" w:rsidP="00DB667F">
      <w:pPr>
        <w:spacing w:after="0" w:line="360" w:lineRule="auto"/>
        <w:jc w:val="both"/>
        <w:rPr>
          <w:rFonts w:ascii="Palatino Linotype" w:eastAsia="Calibri" w:hAnsi="Palatino Linotype" w:cs="Tahoma"/>
          <w:bCs/>
        </w:rPr>
      </w:pPr>
      <w:r w:rsidRPr="00470507">
        <w:rPr>
          <w:rFonts w:ascii="Palatino Linotype" w:eastAsia="Calibri" w:hAnsi="Palatino Linotype" w:cs="Tahoma"/>
          <w:bCs/>
        </w:rPr>
        <w:t>En resumen, el Currículum Vitae es aquel documento que las personas elaboran con datos de identificación y contacto, preparación académica y experiencia profesional, el cual es presentado ante un posible empleador, quien podrá identificar el nivel de conocimientos de su titular, así como, su perfil profesional o laboral para el desempeño del cargo al que aspira.</w:t>
      </w:r>
    </w:p>
    <w:p w14:paraId="0B772BF2" w14:textId="77777777" w:rsidR="00DB667F" w:rsidRPr="00470507" w:rsidRDefault="00DB667F" w:rsidP="00DB667F">
      <w:pPr>
        <w:spacing w:after="0" w:line="360" w:lineRule="auto"/>
        <w:jc w:val="both"/>
        <w:rPr>
          <w:rFonts w:ascii="Palatino Linotype" w:eastAsia="Calibri" w:hAnsi="Palatino Linotype" w:cs="Tahoma"/>
          <w:bCs/>
        </w:rPr>
      </w:pPr>
    </w:p>
    <w:p w14:paraId="75DD8AA0"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rPr>
      </w:pPr>
      <w:r w:rsidRPr="00470507">
        <w:rPr>
          <w:rFonts w:ascii="Palatino Linotype" w:eastAsia="Calibri" w:hAnsi="Palatino Linotype" w:cs="Tahoma"/>
          <w:bCs/>
        </w:rPr>
        <w:t>En ese contexto, la información que contenga la preparación académica y experiencia profesional, sirve como medio de identificación para que a su titular lo relacionen con el nivel de estudios con el que se ostenta; por lo que dicha documentación permite conocer de manera indudable si la persona que se desempeña como funcionario público tiene el perfil idóneo para desarrollar las actividades y atribuciones que deriven de su cargo, aunado a que si estos documentos forman parte de los requisitos de acceso al cargo, esto toma mayor relevancia, toda vez que el acceso a ellos, daría certeza de que su designación fue apegada a la norma.</w:t>
      </w:r>
    </w:p>
    <w:p w14:paraId="749A3C02" w14:textId="77777777" w:rsidR="00895BC6" w:rsidRPr="00470507" w:rsidRDefault="00895BC6" w:rsidP="00DB667F">
      <w:pPr>
        <w:widowControl w:val="0"/>
        <w:autoSpaceDE w:val="0"/>
        <w:autoSpaceDN w:val="0"/>
        <w:adjustRightInd w:val="0"/>
        <w:spacing w:after="0" w:line="360" w:lineRule="auto"/>
        <w:jc w:val="both"/>
        <w:rPr>
          <w:rFonts w:ascii="Palatino Linotype" w:eastAsia="Calibri" w:hAnsi="Palatino Linotype" w:cs="Tahoma"/>
          <w:bCs/>
        </w:rPr>
      </w:pPr>
    </w:p>
    <w:p w14:paraId="4F1C004E" w14:textId="77777777" w:rsidR="00DB667F" w:rsidRPr="00470507" w:rsidRDefault="00DB667F" w:rsidP="00DB667F">
      <w:pPr>
        <w:spacing w:after="0" w:line="360" w:lineRule="auto"/>
        <w:jc w:val="both"/>
        <w:rPr>
          <w:rFonts w:ascii="Palatino Linotype" w:eastAsia="Calibri" w:hAnsi="Palatino Linotype" w:cs="Tahoma"/>
          <w:bCs/>
        </w:rPr>
      </w:pPr>
      <w:r w:rsidRPr="00470507">
        <w:rPr>
          <w:rFonts w:ascii="Palatino Linotype" w:eastAsia="Calibri" w:hAnsi="Palatino Linotype" w:cs="Tahoma"/>
          <w:bCs/>
        </w:rPr>
        <w:t xml:space="preserve">Además, es viable señalar que la información curricular se encuentra establecida como una obligación común de transparencia que los sujetos obligados deben cumplir como mínimo, esto de conformidad con la fracción XXI del artículo 92 de la Ley de la materia que medularmente establece que se debe otorgar el acceso de manera actualizada y permanente sobre la información curricular, desde el nivel de jefe de departamento o equivalente, hasta el titular del sujeto obligado. </w:t>
      </w:r>
    </w:p>
    <w:p w14:paraId="004484A2" w14:textId="77777777" w:rsidR="00DB667F" w:rsidRPr="00470507" w:rsidRDefault="00DB667F" w:rsidP="00DB667F">
      <w:pPr>
        <w:spacing w:after="0" w:line="360" w:lineRule="auto"/>
        <w:jc w:val="both"/>
        <w:rPr>
          <w:rFonts w:ascii="Palatino Linotype" w:eastAsia="Calibri" w:hAnsi="Palatino Linotype" w:cs="Tahoma"/>
          <w:bCs/>
        </w:rPr>
      </w:pPr>
    </w:p>
    <w:p w14:paraId="5FA0FB97" w14:textId="77777777" w:rsidR="00DB667F" w:rsidRPr="00470507" w:rsidRDefault="00DB667F" w:rsidP="00DB667F">
      <w:pPr>
        <w:tabs>
          <w:tab w:val="left" w:pos="3828"/>
        </w:tabs>
        <w:spacing w:after="0" w:line="360" w:lineRule="auto"/>
        <w:jc w:val="both"/>
        <w:rPr>
          <w:rFonts w:ascii="Palatino Linotype" w:hAnsi="Palatino Linotype" w:cs="Tahoma"/>
          <w:bCs/>
          <w:iCs/>
        </w:rPr>
      </w:pPr>
      <w:r w:rsidRPr="00470507">
        <w:rPr>
          <w:rFonts w:ascii="Palatino Linotype" w:eastAsia="Calibri" w:hAnsi="Palatino Linotype" w:cs="Tahoma"/>
          <w:bCs/>
        </w:rPr>
        <w:t xml:space="preserve">Asimismo, de acuerdo con el formato 17 LGT_Art_70_Fr_XVII (información curricular y las sanciones administrativas definitivas de los servidores públicos y personas que desempeñan un empleo, cargo o comisión) de los Lineamientos Generales-, </w:t>
      </w:r>
      <w:r w:rsidRPr="00470507">
        <w:rPr>
          <w:rFonts w:ascii="Palatino Linotype" w:hAnsi="Palatino Linotype" w:cs="Tahoma"/>
          <w:bCs/>
          <w:iCs/>
        </w:rPr>
        <w:t xml:space="preserve">que deben de difundir los sujetos obligados en los portales de Internet y en la Plataforma Nacional de Transparencia, establece como datos a publicar, de los servidores públicos, su información curricular, tal como </w:t>
      </w:r>
      <w:r w:rsidRPr="00470507">
        <w:rPr>
          <w:rFonts w:ascii="Palatino Linotype" w:hAnsi="Palatino Linotype" w:cs="Tahoma"/>
          <w:bCs/>
          <w:iCs/>
        </w:rPr>
        <w:lastRenderedPageBreak/>
        <w:t xml:space="preserve">lo es, </w:t>
      </w:r>
      <w:r w:rsidRPr="00470507">
        <w:rPr>
          <w:rFonts w:ascii="Palatino Linotype" w:hAnsi="Palatino Linotype" w:cs="Tahoma"/>
          <w:b/>
          <w:bCs/>
          <w:iCs/>
        </w:rPr>
        <w:t>el nivel máximo de estudios concluido y comprobable</w:t>
      </w:r>
      <w:r w:rsidRPr="00470507">
        <w:rPr>
          <w:rFonts w:ascii="Palatino Linotype" w:hAnsi="Palatino Linotype" w:cs="Tahoma"/>
          <w:bCs/>
          <w:iCs/>
        </w:rPr>
        <w:t xml:space="preserve">, </w:t>
      </w:r>
      <w:r w:rsidRPr="00470507">
        <w:rPr>
          <w:rFonts w:ascii="Palatino Linotype" w:hAnsi="Palatino Linotype" w:cs="Tahoma"/>
          <w:b/>
          <w:iCs/>
        </w:rPr>
        <w:t xml:space="preserve">así como la experiencia laboral, </w:t>
      </w:r>
      <w:r w:rsidRPr="00470507">
        <w:rPr>
          <w:rFonts w:ascii="Palatino Linotype" w:hAnsi="Palatino Linotype" w:cs="Tahoma"/>
          <w:bCs/>
          <w:iCs/>
        </w:rPr>
        <w:t>tal como se muestra continuación:</w:t>
      </w:r>
    </w:p>
    <w:p w14:paraId="3DE0A74C" w14:textId="77777777" w:rsidR="00DB667F" w:rsidRPr="00470507" w:rsidRDefault="00DB667F" w:rsidP="00DB667F">
      <w:pPr>
        <w:tabs>
          <w:tab w:val="left" w:pos="8931"/>
        </w:tabs>
        <w:spacing w:after="0" w:line="360" w:lineRule="auto"/>
        <w:ind w:right="-93"/>
        <w:jc w:val="both"/>
        <w:rPr>
          <w:rFonts w:ascii="Palatino Linotype" w:eastAsia="Calibri" w:hAnsi="Palatino Linotype" w:cs="Arial"/>
          <w:lang w:val="es-ES"/>
        </w:rPr>
      </w:pPr>
    </w:p>
    <w:p w14:paraId="6E7EF5DC" w14:textId="77777777" w:rsidR="00DB667F" w:rsidRPr="00470507" w:rsidRDefault="00DB667F" w:rsidP="00DB667F">
      <w:pPr>
        <w:tabs>
          <w:tab w:val="left" w:pos="8931"/>
        </w:tabs>
        <w:spacing w:after="0" w:line="360" w:lineRule="auto"/>
        <w:ind w:left="567" w:right="-93"/>
        <w:jc w:val="both"/>
        <w:rPr>
          <w:rFonts w:ascii="Palatino Linotype" w:eastAsia="Calibri" w:hAnsi="Palatino Linotype" w:cs="Arial"/>
          <w:lang w:val="es-ES"/>
        </w:rPr>
      </w:pPr>
      <w:r w:rsidRPr="00470507">
        <w:rPr>
          <w:rFonts w:ascii="Palatino Linotype" w:hAnsi="Palatino Linotype"/>
          <w:noProof/>
          <w:lang w:eastAsia="es-MX"/>
        </w:rPr>
        <w:drawing>
          <wp:inline distT="0" distB="0" distL="0" distR="0" wp14:anchorId="19EC2C33" wp14:editId="146860D2">
            <wp:extent cx="4996020" cy="1502875"/>
            <wp:effectExtent l="0" t="0" r="0" b="2540"/>
            <wp:docPr id="18" name="Imagen 18"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nterfaz de usuario gráfica, Aplicación, Tabla&#10;&#10;Descripción generada automáticamente"/>
                    <pic:cNvPicPr/>
                  </pic:nvPicPr>
                  <pic:blipFill>
                    <a:blip r:embed="rId9"/>
                    <a:stretch>
                      <a:fillRect/>
                    </a:stretch>
                  </pic:blipFill>
                  <pic:spPr>
                    <a:xfrm>
                      <a:off x="0" y="0"/>
                      <a:ext cx="5033237" cy="1514070"/>
                    </a:xfrm>
                    <a:prstGeom prst="rect">
                      <a:avLst/>
                    </a:prstGeom>
                  </pic:spPr>
                </pic:pic>
              </a:graphicData>
            </a:graphic>
          </wp:inline>
        </w:drawing>
      </w:r>
    </w:p>
    <w:p w14:paraId="17AADE4D" w14:textId="77777777" w:rsidR="00DB667F" w:rsidRPr="00470507" w:rsidRDefault="00DB667F" w:rsidP="00DB667F">
      <w:pPr>
        <w:pStyle w:val="Prrafodelista"/>
        <w:spacing w:after="0" w:line="360" w:lineRule="auto"/>
        <w:ind w:left="0"/>
        <w:jc w:val="both"/>
        <w:rPr>
          <w:rFonts w:ascii="Palatino Linotype" w:hAnsi="Palatino Linotype" w:cs="Arial"/>
        </w:rPr>
      </w:pPr>
    </w:p>
    <w:p w14:paraId="111F00AC" w14:textId="208BC5C4" w:rsidR="00DB667F" w:rsidRPr="00470507" w:rsidRDefault="00DB667F" w:rsidP="00DB667F">
      <w:pPr>
        <w:pStyle w:val="Prrafodelista"/>
        <w:spacing w:after="0" w:line="360" w:lineRule="auto"/>
        <w:ind w:left="0"/>
        <w:jc w:val="both"/>
        <w:rPr>
          <w:rFonts w:ascii="Palatino Linotype" w:hAnsi="Palatino Linotype" w:cs="Arial"/>
        </w:rPr>
      </w:pPr>
      <w:r w:rsidRPr="00470507">
        <w:rPr>
          <w:rFonts w:ascii="Palatino Linotype" w:hAnsi="Palatino Linotype" w:cs="Arial"/>
        </w:rPr>
        <w:t xml:space="preserve">Bajo este orden de ideas, la entrega de los documentos que acreditan el nivel académico o de preparación en algún área del conocimiento, aporta elementos de convicción sobre su legalidad y legitimidad, además de que permite verificar que los servidores públicos del Ayuntamiento de </w:t>
      </w:r>
      <w:r w:rsidR="00895BC6" w:rsidRPr="00470507">
        <w:rPr>
          <w:rFonts w:ascii="Palatino Linotype" w:hAnsi="Palatino Linotype" w:cs="Arial"/>
        </w:rPr>
        <w:t xml:space="preserve">Malinalco </w:t>
      </w:r>
      <w:r w:rsidRPr="00470507">
        <w:rPr>
          <w:rFonts w:ascii="Palatino Linotype" w:hAnsi="Palatino Linotype" w:cs="Arial"/>
        </w:rPr>
        <w:t xml:space="preserve">acreditaron el nivel académico y la experiencia necesaria para ocupar un cargo público dentro de su estructura orgánica. </w:t>
      </w:r>
    </w:p>
    <w:p w14:paraId="72584FB9" w14:textId="77777777" w:rsidR="00895BC6" w:rsidRPr="00470507" w:rsidRDefault="00895BC6" w:rsidP="00DB667F">
      <w:pPr>
        <w:pStyle w:val="Prrafodelista"/>
        <w:spacing w:after="0" w:line="360" w:lineRule="auto"/>
        <w:ind w:left="0"/>
        <w:jc w:val="both"/>
        <w:rPr>
          <w:rFonts w:ascii="Palatino Linotype" w:hAnsi="Palatino Linotype" w:cs="Arial"/>
        </w:rPr>
      </w:pPr>
    </w:p>
    <w:p w14:paraId="6E65D122" w14:textId="3CCB5E27" w:rsidR="00895BC6" w:rsidRPr="00470507" w:rsidRDefault="00895BC6" w:rsidP="00DB667F">
      <w:pPr>
        <w:pStyle w:val="Prrafodelista"/>
        <w:spacing w:after="0" w:line="360" w:lineRule="auto"/>
        <w:ind w:left="0"/>
        <w:jc w:val="both"/>
        <w:rPr>
          <w:rFonts w:ascii="Palatino Linotype" w:hAnsi="Palatino Linotype" w:cs="Arial"/>
        </w:rPr>
      </w:pPr>
      <w:r w:rsidRPr="00470507">
        <w:rPr>
          <w:rFonts w:ascii="Palatino Linotype" w:hAnsi="Palatino Linotype" w:cs="Arial"/>
        </w:rPr>
        <w:t xml:space="preserve">En el presente caso, es de mencionar que, el Sujeto Obligado dejó a la vista datos como </w:t>
      </w:r>
      <w:r w:rsidR="00335ADB" w:rsidRPr="00470507">
        <w:rPr>
          <w:rFonts w:ascii="Palatino Linotype" w:hAnsi="Palatino Linotype" w:cs="Arial"/>
        </w:rPr>
        <w:t xml:space="preserve">la </w:t>
      </w:r>
      <w:r w:rsidR="00335ADB" w:rsidRPr="00470507">
        <w:rPr>
          <w:rFonts w:ascii="Palatino Linotype" w:hAnsi="Palatino Linotype" w:cs="Arial"/>
          <w:b/>
          <w:bCs/>
          <w:u w:val="single"/>
        </w:rPr>
        <w:t xml:space="preserve">fecha de nacimiento </w:t>
      </w:r>
      <w:r w:rsidR="00335ADB" w:rsidRPr="00470507">
        <w:rPr>
          <w:rFonts w:ascii="Palatino Linotype" w:hAnsi="Palatino Linotype" w:cs="Arial"/>
        </w:rPr>
        <w:t xml:space="preserve">del servidor público, por lo que, es de mencionar que este es un dato personal que debe ser clasificado como confidencial debido a que revela el día exacto en que nació y la edad de la persona, por lo que debe ser protegido y más cuando se encuentra vinculado con el nombre de alguien específico. </w:t>
      </w:r>
    </w:p>
    <w:p w14:paraId="3756ED6B" w14:textId="77777777" w:rsidR="00335ADB" w:rsidRPr="00470507" w:rsidRDefault="00335ADB" w:rsidP="00DB667F">
      <w:pPr>
        <w:pStyle w:val="Prrafodelista"/>
        <w:spacing w:after="0" w:line="360" w:lineRule="auto"/>
        <w:ind w:left="0"/>
        <w:jc w:val="both"/>
        <w:rPr>
          <w:rFonts w:ascii="Palatino Linotype" w:hAnsi="Palatino Linotype" w:cs="Arial"/>
        </w:rPr>
      </w:pPr>
    </w:p>
    <w:p w14:paraId="3C2EE530" w14:textId="09CCD606" w:rsidR="00335ADB" w:rsidRPr="00470507" w:rsidRDefault="00335ADB" w:rsidP="00DB667F">
      <w:pPr>
        <w:pStyle w:val="Prrafodelista"/>
        <w:spacing w:after="0" w:line="360" w:lineRule="auto"/>
        <w:ind w:left="0"/>
        <w:jc w:val="both"/>
        <w:rPr>
          <w:rFonts w:ascii="Palatino Linotype" w:hAnsi="Palatino Linotype" w:cs="Arial"/>
        </w:rPr>
      </w:pPr>
      <w:r w:rsidRPr="00470507">
        <w:rPr>
          <w:rFonts w:ascii="Palatino Linotype" w:hAnsi="Palatino Linotype" w:cs="Arial"/>
        </w:rPr>
        <w:t xml:space="preserve">Asimismo, se dejó a la vista información relacionada con </w:t>
      </w:r>
      <w:r w:rsidRPr="00470507">
        <w:rPr>
          <w:rFonts w:ascii="Palatino Linotype" w:hAnsi="Palatino Linotype" w:cs="Arial"/>
          <w:b/>
          <w:bCs/>
          <w:u w:val="single"/>
        </w:rPr>
        <w:t>domicilios de particulares</w:t>
      </w:r>
      <w:r w:rsidRPr="00470507">
        <w:rPr>
          <w:rFonts w:ascii="Palatino Linotype" w:hAnsi="Palatino Linotype" w:cs="Arial"/>
        </w:rPr>
        <w:t xml:space="preserve">, los cuales dan cuenta de los lugares en donde residen habitualmente las personas, por lo que permite hacerlos identificables y ubicables, propiciando que puedan ser molestados en su casa o negocio, por lo que, es confidencial. </w:t>
      </w:r>
    </w:p>
    <w:p w14:paraId="14B5969D" w14:textId="77777777" w:rsidR="00895BC6" w:rsidRPr="00470507" w:rsidRDefault="00895BC6" w:rsidP="00DB667F">
      <w:pPr>
        <w:pStyle w:val="Prrafodelista"/>
        <w:spacing w:after="0" w:line="360" w:lineRule="auto"/>
        <w:ind w:left="0"/>
        <w:jc w:val="both"/>
        <w:rPr>
          <w:rFonts w:ascii="Palatino Linotype" w:hAnsi="Palatino Linotype" w:cs="Arial"/>
        </w:rPr>
      </w:pPr>
    </w:p>
    <w:p w14:paraId="09931A39" w14:textId="71E0ADB1" w:rsidR="00335ADB" w:rsidRPr="00470507" w:rsidRDefault="00335ADB" w:rsidP="00DB667F">
      <w:pPr>
        <w:pStyle w:val="Prrafodelista"/>
        <w:spacing w:after="0" w:line="360" w:lineRule="auto"/>
        <w:ind w:left="0"/>
        <w:jc w:val="both"/>
        <w:rPr>
          <w:rFonts w:ascii="Palatino Linotype" w:hAnsi="Palatino Linotype" w:cs="Arial"/>
        </w:rPr>
      </w:pPr>
      <w:r w:rsidRPr="00470507">
        <w:rPr>
          <w:rFonts w:ascii="Palatino Linotype" w:hAnsi="Palatino Linotype" w:cs="Arial"/>
        </w:rPr>
        <w:t xml:space="preserve">Por otro lado, en relación con </w:t>
      </w:r>
      <w:r w:rsidRPr="00470507">
        <w:rPr>
          <w:rFonts w:ascii="Palatino Linotype" w:hAnsi="Palatino Linotype" w:cs="Arial"/>
          <w:b/>
          <w:bCs/>
          <w:u w:val="single"/>
        </w:rPr>
        <w:t>los intereses particulares</w:t>
      </w:r>
      <w:r w:rsidRPr="00470507">
        <w:rPr>
          <w:rFonts w:ascii="Palatino Linotype" w:hAnsi="Palatino Linotype" w:cs="Arial"/>
          <w:b/>
          <w:bCs/>
        </w:rPr>
        <w:t xml:space="preserve"> </w:t>
      </w:r>
      <w:r w:rsidRPr="00470507">
        <w:rPr>
          <w:rFonts w:ascii="Palatino Linotype" w:hAnsi="Palatino Linotype" w:cs="Arial"/>
        </w:rPr>
        <w:t xml:space="preserve">es de mencionar que se tratan de apreciaciones personales y subjetivas del servidor público, por lo que, es información que no abona en nada a la transparencia ni rinde cuentas de la forma de actuar de un trabajador, por lo que, guarda carácter de confidencial. </w:t>
      </w:r>
    </w:p>
    <w:p w14:paraId="31921445" w14:textId="77777777" w:rsidR="00335ADB" w:rsidRPr="00470507" w:rsidRDefault="00335ADB" w:rsidP="00DB667F">
      <w:pPr>
        <w:pStyle w:val="Prrafodelista"/>
        <w:spacing w:after="0" w:line="360" w:lineRule="auto"/>
        <w:ind w:left="0"/>
        <w:jc w:val="both"/>
        <w:rPr>
          <w:rFonts w:ascii="Palatino Linotype" w:hAnsi="Palatino Linotype" w:cs="Arial"/>
        </w:rPr>
      </w:pPr>
    </w:p>
    <w:p w14:paraId="6D699202" w14:textId="77777777" w:rsidR="00DB667F" w:rsidRPr="00470507" w:rsidRDefault="00DB667F" w:rsidP="00DB667F">
      <w:pPr>
        <w:pStyle w:val="Prrafodelista"/>
        <w:widowControl w:val="0"/>
        <w:numPr>
          <w:ilvl w:val="0"/>
          <w:numId w:val="43"/>
        </w:numPr>
        <w:autoSpaceDE w:val="0"/>
        <w:autoSpaceDN w:val="0"/>
        <w:adjustRightInd w:val="0"/>
        <w:spacing w:after="0" w:line="360" w:lineRule="auto"/>
        <w:jc w:val="both"/>
        <w:rPr>
          <w:rFonts w:ascii="Palatino Linotype" w:hAnsi="Palatino Linotype" w:cs="Tahoma"/>
          <w:b/>
        </w:rPr>
      </w:pPr>
      <w:r w:rsidRPr="00470507">
        <w:rPr>
          <w:rFonts w:ascii="Palatino Linotype" w:eastAsia="Calibri" w:hAnsi="Palatino Linotype" w:cs="Tahoma"/>
          <w:b/>
        </w:rPr>
        <w:t>Acta de nacimiento</w:t>
      </w:r>
    </w:p>
    <w:p w14:paraId="06135A87" w14:textId="77777777" w:rsidR="00DB667F" w:rsidRPr="00470507" w:rsidRDefault="00DB667F" w:rsidP="00DB667F">
      <w:pPr>
        <w:pStyle w:val="Prrafodelista"/>
        <w:widowControl w:val="0"/>
        <w:autoSpaceDE w:val="0"/>
        <w:autoSpaceDN w:val="0"/>
        <w:adjustRightInd w:val="0"/>
        <w:spacing w:after="0" w:line="360" w:lineRule="auto"/>
        <w:jc w:val="both"/>
        <w:rPr>
          <w:rFonts w:ascii="Palatino Linotype" w:hAnsi="Palatino Linotype" w:cs="Tahoma"/>
          <w:b/>
        </w:rPr>
      </w:pPr>
    </w:p>
    <w:p w14:paraId="2F84B400" w14:textId="77777777" w:rsidR="00DB667F" w:rsidRPr="00470507" w:rsidRDefault="00DB667F" w:rsidP="00DB667F">
      <w:pPr>
        <w:spacing w:after="0" w:line="360" w:lineRule="auto"/>
        <w:jc w:val="both"/>
        <w:rPr>
          <w:rFonts w:ascii="Palatino Linotype" w:eastAsia="Calibri" w:hAnsi="Palatino Linotype" w:cs="Tahoma"/>
          <w:bCs/>
        </w:rPr>
      </w:pPr>
      <w:r w:rsidRPr="00470507">
        <w:rPr>
          <w:rFonts w:ascii="Palatino Linotype" w:eastAsia="Calibri" w:hAnsi="Palatino Linotype" w:cs="Tahoma"/>
          <w:bCs/>
        </w:rPr>
        <w:t xml:space="preserve">Las actas emitidas por el Registro Civil dan cuenta de un atributo de la personalidad, tal como lo establece el artículo 2.3 del Código Civil del Estado México. En ese orden de ideas, el artículo 3.5 del del citado Código Civil establece que el estado civil de las personas sólo se comprueba con las constancias relativas del Registro Civil, tal como lo es el Acta de Nacimiento. </w:t>
      </w:r>
    </w:p>
    <w:p w14:paraId="10FA3E5E" w14:textId="77777777" w:rsidR="00DB667F" w:rsidRPr="00470507" w:rsidRDefault="00DB667F" w:rsidP="00DB667F">
      <w:pPr>
        <w:spacing w:after="0" w:line="360" w:lineRule="auto"/>
        <w:jc w:val="both"/>
        <w:rPr>
          <w:rFonts w:ascii="Palatino Linotype" w:eastAsia="Calibri" w:hAnsi="Palatino Linotype" w:cs="Tahoma"/>
          <w:bCs/>
        </w:rPr>
      </w:pPr>
    </w:p>
    <w:p w14:paraId="6B3751DF" w14:textId="77777777" w:rsidR="00DB667F" w:rsidRPr="00470507" w:rsidRDefault="00DB667F" w:rsidP="00DB667F">
      <w:pPr>
        <w:spacing w:after="0" w:line="360" w:lineRule="auto"/>
        <w:jc w:val="both"/>
        <w:rPr>
          <w:rFonts w:ascii="Palatino Linotype" w:eastAsia="Calibri" w:hAnsi="Palatino Linotype" w:cs="Tahoma"/>
          <w:bCs/>
        </w:rPr>
      </w:pPr>
      <w:r w:rsidRPr="00470507">
        <w:rPr>
          <w:rFonts w:ascii="Palatino Linotype" w:eastAsia="Calibri" w:hAnsi="Palatino Linotype" w:cs="Tahoma"/>
          <w:bCs/>
        </w:rPr>
        <w:t xml:space="preserve">Ahora bien, de acuerdo con el Formato Único del Acta de Nacimiento publicado por la Secretaría de Gobernación en el enlace http://www.diputados.gob.mx/documentos/N_Acta_Nacimiento.pdf, se advierte que el Acta de Nacimiento se componte de quince elementos siendo los siguientes: </w:t>
      </w:r>
    </w:p>
    <w:p w14:paraId="444CBAEB" w14:textId="77777777" w:rsidR="00DB667F" w:rsidRPr="00470507" w:rsidRDefault="00DB667F" w:rsidP="00DB667F">
      <w:pPr>
        <w:spacing w:after="0" w:line="360" w:lineRule="auto"/>
        <w:jc w:val="both"/>
        <w:rPr>
          <w:rFonts w:ascii="Palatino Linotype" w:eastAsia="Calibri" w:hAnsi="Palatino Linotype" w:cs="Tahoma"/>
          <w:bCs/>
        </w:rPr>
      </w:pPr>
    </w:p>
    <w:p w14:paraId="4EAB9A38"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a)</w:t>
      </w:r>
      <w:r w:rsidRPr="00470507">
        <w:rPr>
          <w:rFonts w:ascii="Palatino Linotype" w:eastAsia="Calibri" w:hAnsi="Palatino Linotype" w:cs="Tahoma"/>
          <w:bCs/>
        </w:rPr>
        <w:tab/>
        <w:t>Folio de Impresión.</w:t>
      </w:r>
    </w:p>
    <w:p w14:paraId="28482FCF"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b)</w:t>
      </w:r>
      <w:r w:rsidRPr="00470507">
        <w:rPr>
          <w:rFonts w:ascii="Palatino Linotype" w:eastAsia="Calibri" w:hAnsi="Palatino Linotype" w:cs="Tahoma"/>
          <w:bCs/>
        </w:rPr>
        <w:tab/>
        <w:t>Denominación del Documento.</w:t>
      </w:r>
    </w:p>
    <w:p w14:paraId="745EED64"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c)</w:t>
      </w:r>
      <w:r w:rsidRPr="00470507">
        <w:rPr>
          <w:rFonts w:ascii="Palatino Linotype" w:eastAsia="Calibri" w:hAnsi="Palatino Linotype" w:cs="Tahoma"/>
          <w:bCs/>
        </w:rPr>
        <w:tab/>
        <w:t xml:space="preserve">Identificador Electrónico. </w:t>
      </w:r>
    </w:p>
    <w:p w14:paraId="78C60352"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d)</w:t>
      </w:r>
      <w:r w:rsidRPr="00470507">
        <w:rPr>
          <w:rFonts w:ascii="Palatino Linotype" w:eastAsia="Calibri" w:hAnsi="Palatino Linotype" w:cs="Tahoma"/>
          <w:bCs/>
        </w:rPr>
        <w:tab/>
        <w:t xml:space="preserve">Elementos del Registro. </w:t>
      </w:r>
    </w:p>
    <w:p w14:paraId="5F7A5381"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e)</w:t>
      </w:r>
      <w:r w:rsidRPr="00470507">
        <w:rPr>
          <w:rFonts w:ascii="Palatino Linotype" w:eastAsia="Calibri" w:hAnsi="Palatino Linotype" w:cs="Tahoma"/>
          <w:bCs/>
        </w:rPr>
        <w:tab/>
        <w:t xml:space="preserve">Datos de la Persona Registrada. </w:t>
      </w:r>
    </w:p>
    <w:p w14:paraId="72E2594C"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f)</w:t>
      </w:r>
      <w:r w:rsidRPr="00470507">
        <w:rPr>
          <w:rFonts w:ascii="Palatino Linotype" w:eastAsia="Calibri" w:hAnsi="Palatino Linotype" w:cs="Tahoma"/>
          <w:bCs/>
        </w:rPr>
        <w:tab/>
        <w:t xml:space="preserve">Datos de Filiación de la Persona Registrada. </w:t>
      </w:r>
    </w:p>
    <w:p w14:paraId="7088A5DA"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g)</w:t>
      </w:r>
      <w:r w:rsidRPr="00470507">
        <w:rPr>
          <w:rFonts w:ascii="Palatino Linotype" w:eastAsia="Calibri" w:hAnsi="Palatino Linotype" w:cs="Tahoma"/>
          <w:bCs/>
        </w:rPr>
        <w:tab/>
        <w:t xml:space="preserve">Anotaciones Marginales. </w:t>
      </w:r>
    </w:p>
    <w:p w14:paraId="454F961B"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h)</w:t>
      </w:r>
      <w:r w:rsidRPr="00470507">
        <w:rPr>
          <w:rFonts w:ascii="Palatino Linotype" w:eastAsia="Calibri" w:hAnsi="Palatino Linotype" w:cs="Tahoma"/>
          <w:bCs/>
        </w:rPr>
        <w:tab/>
        <w:t xml:space="preserve">Certificación. </w:t>
      </w:r>
    </w:p>
    <w:p w14:paraId="193E51AB"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lastRenderedPageBreak/>
        <w:t>i)</w:t>
      </w:r>
      <w:r w:rsidRPr="00470507">
        <w:rPr>
          <w:rFonts w:ascii="Palatino Linotype" w:eastAsia="Calibri" w:hAnsi="Palatino Linotype" w:cs="Tahoma"/>
          <w:bCs/>
        </w:rPr>
        <w:tab/>
        <w:t xml:space="preserve">Código Bidimensional QR que contiene información encriptada del acta. </w:t>
      </w:r>
    </w:p>
    <w:p w14:paraId="06CFC805"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j)</w:t>
      </w:r>
      <w:r w:rsidRPr="00470507">
        <w:rPr>
          <w:rFonts w:ascii="Palatino Linotype" w:eastAsia="Calibri" w:hAnsi="Palatino Linotype" w:cs="Tahoma"/>
          <w:bCs/>
        </w:rPr>
        <w:tab/>
        <w:t xml:space="preserve">Leyenda “Soy México” </w:t>
      </w:r>
    </w:p>
    <w:p w14:paraId="6C391273"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k)</w:t>
      </w:r>
      <w:r w:rsidRPr="00470507">
        <w:rPr>
          <w:rFonts w:ascii="Palatino Linotype" w:eastAsia="Calibri" w:hAnsi="Palatino Linotype" w:cs="Tahoma"/>
          <w:bCs/>
        </w:rPr>
        <w:tab/>
        <w:t xml:space="preserve">Firma Electrónica Avanzada. </w:t>
      </w:r>
    </w:p>
    <w:p w14:paraId="6485AD2D"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l)</w:t>
      </w:r>
      <w:r w:rsidRPr="00470507">
        <w:rPr>
          <w:rFonts w:ascii="Palatino Linotype" w:eastAsia="Calibri" w:hAnsi="Palatino Linotype" w:cs="Tahoma"/>
          <w:bCs/>
        </w:rPr>
        <w:tab/>
        <w:t xml:space="preserve">Firma y datos de la autoridad emisora. </w:t>
      </w:r>
    </w:p>
    <w:p w14:paraId="77518AA9"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m)</w:t>
      </w:r>
      <w:r w:rsidRPr="00470507">
        <w:rPr>
          <w:rFonts w:ascii="Palatino Linotype" w:eastAsia="Calibri" w:hAnsi="Palatino Linotype" w:cs="Tahoma"/>
          <w:bCs/>
        </w:rPr>
        <w:tab/>
        <w:t xml:space="preserve">Código QR. </w:t>
      </w:r>
    </w:p>
    <w:p w14:paraId="0E416424"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n)</w:t>
      </w:r>
      <w:r w:rsidRPr="00470507">
        <w:rPr>
          <w:rFonts w:ascii="Palatino Linotype" w:eastAsia="Calibri" w:hAnsi="Palatino Linotype" w:cs="Tahoma"/>
          <w:bCs/>
        </w:rPr>
        <w:tab/>
        <w:t>Código de Verificación.</w:t>
      </w:r>
    </w:p>
    <w:p w14:paraId="7DAB7E89" w14:textId="77777777" w:rsidR="00DB667F" w:rsidRPr="00470507" w:rsidRDefault="00DB667F" w:rsidP="00DB667F">
      <w:pPr>
        <w:spacing w:after="0" w:line="360" w:lineRule="auto"/>
        <w:ind w:left="284"/>
        <w:jc w:val="both"/>
        <w:rPr>
          <w:rFonts w:ascii="Palatino Linotype" w:eastAsia="Calibri" w:hAnsi="Palatino Linotype" w:cs="Tahoma"/>
          <w:bCs/>
        </w:rPr>
      </w:pPr>
      <w:r w:rsidRPr="00470507">
        <w:rPr>
          <w:rFonts w:ascii="Palatino Linotype" w:eastAsia="Calibri" w:hAnsi="Palatino Linotype" w:cs="Tahoma"/>
          <w:bCs/>
        </w:rPr>
        <w:t>o)</w:t>
      </w:r>
      <w:r w:rsidRPr="00470507">
        <w:rPr>
          <w:rFonts w:ascii="Palatino Linotype" w:eastAsia="Calibri" w:hAnsi="Palatino Linotype" w:cs="Tahoma"/>
          <w:bCs/>
        </w:rPr>
        <w:tab/>
        <w:t xml:space="preserve">Leyenda de instrucciones para la verificación del documento. </w:t>
      </w:r>
    </w:p>
    <w:p w14:paraId="37223638" w14:textId="77777777" w:rsidR="00DB667F" w:rsidRPr="00470507" w:rsidRDefault="00DB667F" w:rsidP="00DB667F">
      <w:pPr>
        <w:spacing w:after="0" w:line="360" w:lineRule="auto"/>
        <w:jc w:val="both"/>
        <w:rPr>
          <w:rFonts w:ascii="Palatino Linotype" w:eastAsia="Calibri" w:hAnsi="Palatino Linotype" w:cs="Tahoma"/>
          <w:bCs/>
        </w:rPr>
      </w:pPr>
    </w:p>
    <w:p w14:paraId="3686E447" w14:textId="77777777" w:rsidR="00DB667F" w:rsidRPr="00470507" w:rsidRDefault="00DB667F" w:rsidP="00DB667F">
      <w:pPr>
        <w:spacing w:after="0" w:line="360" w:lineRule="auto"/>
        <w:jc w:val="both"/>
        <w:rPr>
          <w:rFonts w:ascii="Palatino Linotype" w:eastAsia="Calibri" w:hAnsi="Palatino Linotype" w:cs="Tahoma"/>
          <w:bCs/>
        </w:rPr>
      </w:pPr>
      <w:r w:rsidRPr="00470507">
        <w:rPr>
          <w:rFonts w:ascii="Palatino Linotype" w:eastAsia="Calibri" w:hAnsi="Palatino Linotype" w:cs="Tahoma"/>
          <w:bCs/>
        </w:rPr>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6FF03AC7" w14:textId="77777777" w:rsidR="00DB667F" w:rsidRPr="00470507" w:rsidRDefault="00DB667F" w:rsidP="00DB667F">
      <w:pPr>
        <w:spacing w:after="0" w:line="360" w:lineRule="auto"/>
        <w:jc w:val="both"/>
        <w:rPr>
          <w:rFonts w:ascii="Palatino Linotype" w:eastAsia="Calibri" w:hAnsi="Palatino Linotype" w:cs="Tahoma"/>
          <w:bCs/>
        </w:rPr>
      </w:pPr>
    </w:p>
    <w:p w14:paraId="6E0BCCF7" w14:textId="77777777" w:rsidR="00DB667F" w:rsidRPr="00470507" w:rsidRDefault="00DB667F" w:rsidP="00DB667F">
      <w:pPr>
        <w:spacing w:after="0" w:line="360" w:lineRule="auto"/>
        <w:jc w:val="both"/>
        <w:rPr>
          <w:rFonts w:ascii="Palatino Linotype" w:eastAsia="Calibri" w:hAnsi="Palatino Linotype" w:cs="Tahoma"/>
          <w:bCs/>
        </w:rPr>
      </w:pPr>
      <w:r w:rsidRPr="00470507">
        <w:rPr>
          <w:rFonts w:ascii="Palatino Linotype" w:eastAsia="Calibri" w:hAnsi="Palatino Linotype" w:cs="Tahoma"/>
          <w:bCs/>
        </w:rPr>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55C3167E" w14:textId="77777777" w:rsidR="00DB667F" w:rsidRPr="00470507" w:rsidRDefault="00DB667F" w:rsidP="00DB667F">
      <w:pPr>
        <w:spacing w:after="0" w:line="360" w:lineRule="auto"/>
        <w:jc w:val="both"/>
        <w:rPr>
          <w:rFonts w:ascii="Palatino Linotype" w:eastAsia="Calibri" w:hAnsi="Palatino Linotype" w:cs="Tahoma"/>
          <w:bCs/>
        </w:rPr>
      </w:pPr>
    </w:p>
    <w:p w14:paraId="7247D42C" w14:textId="6DAEF92C" w:rsidR="00DB667F" w:rsidRPr="00470507" w:rsidRDefault="00DB667F" w:rsidP="00DB667F">
      <w:pPr>
        <w:spacing w:after="0" w:line="360" w:lineRule="auto"/>
        <w:jc w:val="both"/>
        <w:rPr>
          <w:rFonts w:ascii="Palatino Linotype" w:eastAsia="Calibri" w:hAnsi="Palatino Linotype" w:cs="Tahoma"/>
          <w:bCs/>
        </w:rPr>
      </w:pPr>
      <w:r w:rsidRPr="00470507">
        <w:rPr>
          <w:rFonts w:ascii="Palatino Linotype" w:eastAsia="Calibri" w:hAnsi="Palatino Linotype" w:cs="Tahoma"/>
          <w:bCs/>
        </w:rPr>
        <w:t>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48A3839C" w14:textId="77777777" w:rsidR="00DB667F" w:rsidRPr="00470507" w:rsidRDefault="00DB667F" w:rsidP="00DB667F">
      <w:pPr>
        <w:pStyle w:val="Prrafodelista"/>
        <w:widowControl w:val="0"/>
        <w:numPr>
          <w:ilvl w:val="0"/>
          <w:numId w:val="43"/>
        </w:numPr>
        <w:autoSpaceDE w:val="0"/>
        <w:autoSpaceDN w:val="0"/>
        <w:adjustRightInd w:val="0"/>
        <w:spacing w:after="0" w:line="360" w:lineRule="auto"/>
        <w:jc w:val="both"/>
        <w:rPr>
          <w:rFonts w:ascii="Palatino Linotype" w:hAnsi="Palatino Linotype" w:cs="Tahoma"/>
          <w:b/>
        </w:rPr>
      </w:pPr>
      <w:r w:rsidRPr="00470507">
        <w:rPr>
          <w:rFonts w:ascii="Palatino Linotype" w:eastAsia="Calibri" w:hAnsi="Palatino Linotype" w:cs="Tahoma"/>
          <w:b/>
          <w:bCs/>
        </w:rPr>
        <w:lastRenderedPageBreak/>
        <w:t>Certificado de No Antecedentes Penales</w:t>
      </w:r>
    </w:p>
    <w:p w14:paraId="43FCD99A"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5634D24B"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rPr>
      </w:pPr>
      <w:r w:rsidRPr="00470507">
        <w:rPr>
          <w:rFonts w:ascii="Palatino Linotype" w:hAnsi="Palatino Linotype" w:cs="Tahoma"/>
        </w:rPr>
        <w:t xml:space="preserve">El Certificado de No Antecedentes Penales, es un documento que emite el Instituto de Servicios Periciales de la Fiscalía General de Justicia del Estado de México en los casos en que las leyes lo exijan como forma para acreditar requisitos para el desempeño de empleos, cargos o comisiones en el servicio público, en instituciones de seguridad u otros que las propias leyes establezcan o bien, cuando sea requerido de manera fundada y motivada por autoridades competentes. </w:t>
      </w:r>
    </w:p>
    <w:p w14:paraId="43746FEC"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rPr>
      </w:pPr>
    </w:p>
    <w:p w14:paraId="64F6810E"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rPr>
      </w:pPr>
      <w:r w:rsidRPr="00470507">
        <w:rPr>
          <w:rFonts w:ascii="Palatino Linotype" w:hAnsi="Palatino Linotype" w:cs="Tahoma"/>
        </w:rPr>
        <w:t xml:space="preserve">La expedición del Certificado o informe permite acreditar si una persona ha sido o no condenada por sentencia firme dictada por los órganos jurisdiccionales competentes, es decir, certifica que una persona no cuenta con antecedentes o procesos penales pendientes. </w:t>
      </w:r>
    </w:p>
    <w:p w14:paraId="5FC1EB7F"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rPr>
      </w:pPr>
    </w:p>
    <w:p w14:paraId="2D74592E"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rPr>
      </w:pPr>
      <w:r w:rsidRPr="00470507">
        <w:rPr>
          <w:rFonts w:ascii="Palatino Linotype" w:hAnsi="Palatino Linotype" w:cs="Tahoma"/>
        </w:rPr>
        <w:t xml:space="preserve">Ahora bien, de acuerdo con el artículo 47 de la Ley del Trabajo de los Servidores Públicos del Estado de México, fracciones III y X, para ingresar al servicio público se requiere estar en pleno ejercicio de derechos civiles y políticos y no encontrarse inhabilitado para el desempeño de servicio público, asimismo, el artículo 5.4, fracciones IV y V, establecen que es requisito indispensable para ingresar al servicio público municipal, gozar plenamente de los derechos civiles y políticos y presentar Certificado de No Antecedentes Penales. </w:t>
      </w:r>
    </w:p>
    <w:p w14:paraId="638DFEB8"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rPr>
      </w:pPr>
    </w:p>
    <w:p w14:paraId="5971BDD9"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Arial"/>
        </w:rPr>
      </w:pPr>
      <w:r w:rsidRPr="00470507">
        <w:rPr>
          <w:rFonts w:ascii="Palatino Linotype" w:hAnsi="Palatino Linotype" w:cs="Tahoma"/>
        </w:rPr>
        <w:t xml:space="preserve">En ese sentido, este documento se constituye de diversos datos personales como: nombre, fecha de nacimiento, Clave Única de Registro de Población, domicilio particular, entre otros, </w:t>
      </w:r>
      <w:r w:rsidRPr="00470507">
        <w:rPr>
          <w:rFonts w:ascii="Palatino Linotype" w:hAnsi="Palatino Linotype" w:cs="Arial"/>
        </w:rPr>
        <w:t xml:space="preserve">que atañen únicamente a la esfera privada del servidor público, sin embargo, también constituye un requisito indispensable de ingreso al servicio público municipal, por lo que, guarda relación directa con la contratación del servidor público y con el ejercicio de sus atribuciones. </w:t>
      </w:r>
    </w:p>
    <w:p w14:paraId="7B8D01F9" w14:textId="77777777" w:rsidR="00DB667F" w:rsidRPr="00470507" w:rsidRDefault="00DB667F" w:rsidP="00DB667F">
      <w:pPr>
        <w:pStyle w:val="Prrafodelista"/>
        <w:spacing w:after="0" w:line="360" w:lineRule="auto"/>
        <w:ind w:left="0"/>
        <w:jc w:val="both"/>
        <w:rPr>
          <w:rFonts w:ascii="Palatino Linotype" w:hAnsi="Palatino Linotype" w:cs="Arial"/>
        </w:rPr>
      </w:pPr>
    </w:p>
    <w:p w14:paraId="6B91ACFC" w14:textId="77777777" w:rsidR="00DB667F" w:rsidRPr="00470507" w:rsidRDefault="00DB667F" w:rsidP="00DB667F">
      <w:pPr>
        <w:spacing w:after="0" w:line="360" w:lineRule="auto"/>
        <w:jc w:val="both"/>
        <w:rPr>
          <w:rFonts w:ascii="Palatino Linotype" w:eastAsia="Calibri" w:hAnsi="Palatino Linotype" w:cs="Tahoma"/>
          <w:bCs/>
        </w:rPr>
      </w:pPr>
      <w:r w:rsidRPr="00470507">
        <w:rPr>
          <w:rFonts w:ascii="Palatino Linotype" w:eastAsia="Calibri" w:hAnsi="Palatino Linotype" w:cs="Tahoma"/>
          <w:bCs/>
        </w:rP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 proporcionarse en versión pública. </w:t>
      </w:r>
    </w:p>
    <w:p w14:paraId="560EB25D" w14:textId="77777777" w:rsidR="00DB667F" w:rsidRPr="00470507" w:rsidRDefault="00DB667F" w:rsidP="00335ADB">
      <w:pPr>
        <w:widowControl w:val="0"/>
        <w:autoSpaceDE w:val="0"/>
        <w:autoSpaceDN w:val="0"/>
        <w:adjustRightInd w:val="0"/>
        <w:spacing w:after="0" w:line="360" w:lineRule="auto"/>
        <w:jc w:val="both"/>
        <w:rPr>
          <w:rFonts w:ascii="Palatino Linotype" w:hAnsi="Palatino Linotype" w:cs="Tahoma"/>
          <w:b/>
        </w:rPr>
      </w:pPr>
    </w:p>
    <w:p w14:paraId="0CDD89BB" w14:textId="77777777" w:rsidR="00DB667F" w:rsidRPr="00470507" w:rsidRDefault="00DB667F" w:rsidP="00DB667F">
      <w:pPr>
        <w:pStyle w:val="Prrafodelista"/>
        <w:widowControl w:val="0"/>
        <w:numPr>
          <w:ilvl w:val="0"/>
          <w:numId w:val="43"/>
        </w:numPr>
        <w:autoSpaceDE w:val="0"/>
        <w:autoSpaceDN w:val="0"/>
        <w:adjustRightInd w:val="0"/>
        <w:spacing w:after="0" w:line="360" w:lineRule="auto"/>
        <w:jc w:val="both"/>
        <w:rPr>
          <w:rFonts w:ascii="Palatino Linotype" w:hAnsi="Palatino Linotype" w:cs="Tahoma"/>
          <w:b/>
        </w:rPr>
      </w:pPr>
      <w:r w:rsidRPr="00470507">
        <w:rPr>
          <w:rFonts w:ascii="Palatino Linotype" w:eastAsia="Calibri" w:hAnsi="Palatino Linotype" w:cs="Tahoma"/>
          <w:b/>
          <w:bCs/>
        </w:rPr>
        <w:t>Credencial para votar</w:t>
      </w:r>
    </w:p>
    <w:p w14:paraId="29F98CA6"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65957B3E" w14:textId="77777777" w:rsidR="00DB667F" w:rsidRPr="00470507" w:rsidRDefault="00DB667F" w:rsidP="00DB667F">
      <w:pPr>
        <w:spacing w:after="0" w:line="360" w:lineRule="auto"/>
        <w:contextualSpacing/>
        <w:jc w:val="both"/>
        <w:rPr>
          <w:rFonts w:ascii="Palatino Linotype" w:hAnsi="Palatino Linotype" w:cs="Tahoma"/>
          <w:lang w:eastAsia="es-MX"/>
        </w:rPr>
      </w:pPr>
      <w:r w:rsidRPr="00470507">
        <w:rPr>
          <w:rFonts w:ascii="Palatino Linotype" w:hAnsi="Palatino Linotype" w:cs="Tahoma"/>
          <w:lang w:eastAsia="es-MX"/>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32A5E98B" w14:textId="77777777" w:rsidR="00DB667F" w:rsidRPr="00470507" w:rsidRDefault="00DB667F" w:rsidP="00DB667F">
      <w:pPr>
        <w:spacing w:after="0" w:line="360" w:lineRule="auto"/>
        <w:contextualSpacing/>
        <w:jc w:val="both"/>
        <w:rPr>
          <w:rFonts w:ascii="Palatino Linotype" w:hAnsi="Palatino Linotype" w:cs="Tahoma"/>
          <w:lang w:eastAsia="es-MX"/>
        </w:rPr>
      </w:pPr>
    </w:p>
    <w:p w14:paraId="21FD422E" w14:textId="77777777" w:rsidR="00DB667F" w:rsidRPr="00470507" w:rsidRDefault="00DB667F" w:rsidP="00DB667F">
      <w:pPr>
        <w:spacing w:after="0" w:line="360" w:lineRule="auto"/>
        <w:contextualSpacing/>
        <w:jc w:val="both"/>
        <w:rPr>
          <w:rFonts w:ascii="Palatino Linotype" w:hAnsi="Palatino Linotype" w:cs="Tahoma"/>
          <w:b/>
          <w:bCs/>
          <w:color w:val="000000"/>
          <w:lang w:eastAsia="es-MX"/>
        </w:rPr>
      </w:pPr>
      <w:r w:rsidRPr="00470507">
        <w:rPr>
          <w:rFonts w:ascii="Palatino Linotype" w:hAnsi="Palatino Linotype" w:cs="Tahoma"/>
          <w:lang w:eastAsia="es-MX"/>
        </w:rPr>
        <w:t>De manera particular el artículo 156, de la Ley General de Instituciones y Procedimientos Electorales dispone que la credencial para votar deberá contener, cuando menos, los siguientes datos:</w:t>
      </w:r>
    </w:p>
    <w:p w14:paraId="0BE09988"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color w:val="000000"/>
          <w:lang w:eastAsia="es-MX"/>
        </w:rPr>
      </w:pPr>
    </w:p>
    <w:p w14:paraId="426EC070"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a) </w:t>
      </w:r>
      <w:r w:rsidRPr="00470507">
        <w:rPr>
          <w:rFonts w:ascii="Palatino Linotype" w:hAnsi="Palatino Linotype" w:cs="Tahoma"/>
          <w:i/>
          <w:iCs/>
          <w:color w:val="000000"/>
          <w:lang w:eastAsia="es-MX"/>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2DD94DD9"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b) </w:t>
      </w:r>
      <w:r w:rsidRPr="00470507">
        <w:rPr>
          <w:rFonts w:ascii="Palatino Linotype" w:hAnsi="Palatino Linotype" w:cs="Tahoma"/>
          <w:i/>
          <w:iCs/>
          <w:color w:val="000000"/>
          <w:lang w:eastAsia="es-MX"/>
        </w:rPr>
        <w:t xml:space="preserve">Sección electoral en donde deberá votar el ciudadano. En el caso de los ciudadanos residentes en el extranjero no será necesario incluir este requisito; </w:t>
      </w:r>
    </w:p>
    <w:p w14:paraId="048C4A6A"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c) </w:t>
      </w:r>
      <w:r w:rsidRPr="00470507">
        <w:rPr>
          <w:rFonts w:ascii="Palatino Linotype" w:hAnsi="Palatino Linotype" w:cs="Tahoma"/>
          <w:i/>
          <w:iCs/>
          <w:color w:val="000000"/>
          <w:lang w:eastAsia="es-MX"/>
        </w:rPr>
        <w:t xml:space="preserve">Apellido paterno, apellido materno y nombre completo; </w:t>
      </w:r>
    </w:p>
    <w:p w14:paraId="150F6A0D"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lastRenderedPageBreak/>
        <w:t xml:space="preserve">d) </w:t>
      </w:r>
      <w:r w:rsidRPr="00470507">
        <w:rPr>
          <w:rFonts w:ascii="Palatino Linotype" w:hAnsi="Palatino Linotype" w:cs="Tahoma"/>
          <w:i/>
          <w:iCs/>
          <w:color w:val="000000"/>
          <w:lang w:eastAsia="es-MX"/>
        </w:rPr>
        <w:t xml:space="preserve">Domicilio; </w:t>
      </w:r>
    </w:p>
    <w:p w14:paraId="0B642847"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e) </w:t>
      </w:r>
      <w:r w:rsidRPr="00470507">
        <w:rPr>
          <w:rFonts w:ascii="Palatino Linotype" w:hAnsi="Palatino Linotype" w:cs="Tahoma"/>
          <w:i/>
          <w:iCs/>
          <w:color w:val="000000"/>
          <w:lang w:eastAsia="es-MX"/>
        </w:rPr>
        <w:t xml:space="preserve">Sexo; </w:t>
      </w:r>
    </w:p>
    <w:p w14:paraId="1C69DE13" w14:textId="77777777" w:rsidR="00DB667F" w:rsidRPr="00470507" w:rsidRDefault="00DB667F" w:rsidP="00DB667F">
      <w:pPr>
        <w:spacing w:after="0" w:line="360" w:lineRule="auto"/>
        <w:ind w:left="567" w:right="567"/>
        <w:contextualSpacing/>
        <w:jc w:val="both"/>
        <w:rPr>
          <w:rFonts w:ascii="Palatino Linotype" w:hAnsi="Palatino Linotype" w:cs="Tahoma"/>
          <w:i/>
          <w:iCs/>
          <w:lang w:eastAsia="es-MX"/>
        </w:rPr>
      </w:pPr>
      <w:r w:rsidRPr="00470507">
        <w:rPr>
          <w:rFonts w:ascii="Palatino Linotype" w:hAnsi="Palatino Linotype" w:cs="Tahoma"/>
          <w:b/>
          <w:bCs/>
          <w:i/>
          <w:iCs/>
          <w:color w:val="000000"/>
          <w:lang w:eastAsia="es-MX"/>
        </w:rPr>
        <w:t xml:space="preserve">f) </w:t>
      </w:r>
      <w:r w:rsidRPr="00470507">
        <w:rPr>
          <w:rFonts w:ascii="Palatino Linotype" w:hAnsi="Palatino Linotype" w:cs="Tahoma"/>
          <w:i/>
          <w:iCs/>
          <w:color w:val="000000"/>
          <w:lang w:eastAsia="es-MX"/>
        </w:rPr>
        <w:t>Edad y año de registro;</w:t>
      </w:r>
    </w:p>
    <w:p w14:paraId="24792DCF"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g) </w:t>
      </w:r>
      <w:r w:rsidRPr="00470507">
        <w:rPr>
          <w:rFonts w:ascii="Palatino Linotype" w:hAnsi="Palatino Linotype" w:cs="Tahoma"/>
          <w:i/>
          <w:iCs/>
          <w:color w:val="000000"/>
          <w:lang w:eastAsia="es-MX"/>
        </w:rPr>
        <w:t xml:space="preserve">Firma, huella digital y fotografía del elector; </w:t>
      </w:r>
    </w:p>
    <w:p w14:paraId="57DF2CCC"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h) </w:t>
      </w:r>
      <w:r w:rsidRPr="00470507">
        <w:rPr>
          <w:rFonts w:ascii="Palatino Linotype" w:hAnsi="Palatino Linotype" w:cs="Tahoma"/>
          <w:i/>
          <w:iCs/>
          <w:color w:val="000000"/>
          <w:lang w:eastAsia="es-MX"/>
        </w:rPr>
        <w:t xml:space="preserve">Clave de registro, y </w:t>
      </w:r>
    </w:p>
    <w:p w14:paraId="27C67CB5"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i) </w:t>
      </w:r>
      <w:r w:rsidRPr="00470507">
        <w:rPr>
          <w:rFonts w:ascii="Palatino Linotype" w:hAnsi="Palatino Linotype" w:cs="Tahoma"/>
          <w:i/>
          <w:iCs/>
          <w:color w:val="000000"/>
          <w:lang w:eastAsia="es-MX"/>
        </w:rPr>
        <w:t xml:space="preserve">Clave Única del Registro de Población. </w:t>
      </w:r>
    </w:p>
    <w:p w14:paraId="04AAE321"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b/>
          <w:bCs/>
          <w:i/>
          <w:iCs/>
          <w:color w:val="000000"/>
          <w:lang w:eastAsia="es-MX"/>
        </w:rPr>
      </w:pPr>
    </w:p>
    <w:p w14:paraId="2AD82562"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2. </w:t>
      </w:r>
      <w:r w:rsidRPr="00470507">
        <w:rPr>
          <w:rFonts w:ascii="Palatino Linotype" w:hAnsi="Palatino Linotype" w:cs="Tahoma"/>
          <w:i/>
          <w:iCs/>
          <w:color w:val="000000"/>
          <w:lang w:eastAsia="es-MX"/>
        </w:rPr>
        <w:t xml:space="preserve">Además tendrá: </w:t>
      </w:r>
    </w:p>
    <w:p w14:paraId="411EE383"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a) </w:t>
      </w:r>
      <w:r w:rsidRPr="00470507">
        <w:rPr>
          <w:rFonts w:ascii="Palatino Linotype" w:hAnsi="Palatino Linotype" w:cs="Tahoma"/>
          <w:i/>
          <w:iCs/>
          <w:color w:val="000000"/>
          <w:lang w:eastAsia="es-MX"/>
        </w:rPr>
        <w:t xml:space="preserve">Espacios necesarios para marcar año y elección de que se trate; </w:t>
      </w:r>
    </w:p>
    <w:p w14:paraId="590AFA4C"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b) </w:t>
      </w:r>
      <w:r w:rsidRPr="00470507">
        <w:rPr>
          <w:rFonts w:ascii="Palatino Linotype" w:hAnsi="Palatino Linotype" w:cs="Tahoma"/>
          <w:i/>
          <w:iCs/>
          <w:color w:val="000000"/>
          <w:lang w:eastAsia="es-MX"/>
        </w:rPr>
        <w:t xml:space="preserve">Firma impresa del Secretario Ejecutivo del Instituto; </w:t>
      </w:r>
    </w:p>
    <w:p w14:paraId="15310A0E"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c) </w:t>
      </w:r>
      <w:r w:rsidRPr="00470507">
        <w:rPr>
          <w:rFonts w:ascii="Palatino Linotype" w:hAnsi="Palatino Linotype" w:cs="Tahoma"/>
          <w:i/>
          <w:iCs/>
          <w:color w:val="000000"/>
          <w:lang w:eastAsia="es-MX"/>
        </w:rPr>
        <w:t xml:space="preserve">Año de emisión; </w:t>
      </w:r>
    </w:p>
    <w:p w14:paraId="155B89C3" w14:textId="77777777" w:rsidR="00DB667F" w:rsidRPr="00470507" w:rsidRDefault="00DB667F" w:rsidP="00DB667F">
      <w:pPr>
        <w:autoSpaceDE w:val="0"/>
        <w:autoSpaceDN w:val="0"/>
        <w:adjustRightInd w:val="0"/>
        <w:spacing w:after="0" w:line="360" w:lineRule="auto"/>
        <w:ind w:left="567" w:right="567"/>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d) </w:t>
      </w:r>
      <w:r w:rsidRPr="00470507">
        <w:rPr>
          <w:rFonts w:ascii="Palatino Linotype" w:hAnsi="Palatino Linotype" w:cs="Tahoma"/>
          <w:i/>
          <w:iCs/>
          <w:color w:val="000000"/>
          <w:lang w:eastAsia="es-MX"/>
        </w:rPr>
        <w:t xml:space="preserve">Año en el que expira su vigencia, y </w:t>
      </w:r>
    </w:p>
    <w:p w14:paraId="73C0CD09" w14:textId="77777777" w:rsidR="00DB667F" w:rsidRPr="00470507" w:rsidRDefault="00DB667F" w:rsidP="00DB667F">
      <w:pPr>
        <w:spacing w:after="0" w:line="360" w:lineRule="auto"/>
        <w:ind w:left="567" w:right="567"/>
        <w:contextualSpacing/>
        <w:jc w:val="both"/>
        <w:rPr>
          <w:rFonts w:ascii="Palatino Linotype" w:hAnsi="Palatino Linotype" w:cs="Tahoma"/>
          <w:i/>
          <w:iCs/>
          <w:color w:val="000000"/>
          <w:lang w:eastAsia="es-MX"/>
        </w:rPr>
      </w:pPr>
      <w:r w:rsidRPr="00470507">
        <w:rPr>
          <w:rFonts w:ascii="Palatino Linotype" w:hAnsi="Palatino Linotype" w:cs="Tahoma"/>
          <w:b/>
          <w:bCs/>
          <w:i/>
          <w:iCs/>
          <w:color w:val="000000"/>
          <w:lang w:eastAsia="es-MX"/>
        </w:rPr>
        <w:t xml:space="preserve">e) </w:t>
      </w:r>
      <w:r w:rsidRPr="00470507">
        <w:rPr>
          <w:rFonts w:ascii="Palatino Linotype" w:hAnsi="Palatino Linotype" w:cs="Tahoma"/>
          <w:i/>
          <w:iCs/>
          <w:color w:val="000000"/>
          <w:lang w:eastAsia="es-MX"/>
        </w:rPr>
        <w:t>En el caso de la que se expida al ciudadano residente en el extranjero, la leyenda “Para Votar desde el Extranjero”.</w:t>
      </w:r>
    </w:p>
    <w:p w14:paraId="4686D23F" w14:textId="77777777" w:rsidR="00DB667F" w:rsidRPr="00470507" w:rsidRDefault="00DB667F" w:rsidP="00DB667F">
      <w:pPr>
        <w:spacing w:after="0" w:line="360" w:lineRule="auto"/>
        <w:contextualSpacing/>
        <w:jc w:val="both"/>
        <w:rPr>
          <w:rFonts w:ascii="Palatino Linotype" w:hAnsi="Palatino Linotype" w:cs="Tahoma"/>
          <w:lang w:eastAsia="es-MX"/>
        </w:rPr>
      </w:pPr>
    </w:p>
    <w:p w14:paraId="3D3C9E04" w14:textId="77777777" w:rsidR="00DB667F" w:rsidRPr="00470507" w:rsidRDefault="00DB667F" w:rsidP="00DB667F">
      <w:pPr>
        <w:spacing w:after="0" w:line="360" w:lineRule="auto"/>
        <w:contextualSpacing/>
        <w:jc w:val="both"/>
        <w:rPr>
          <w:rFonts w:ascii="Palatino Linotype" w:hAnsi="Palatino Linotype" w:cs="Tahoma"/>
        </w:rPr>
      </w:pPr>
      <w:r w:rsidRPr="00470507">
        <w:rPr>
          <w:rFonts w:ascii="Palatino Linotype" w:hAnsi="Palatino Linotype" w:cs="Tahoma"/>
          <w:lang w:eastAsia="es-MX"/>
        </w:rPr>
        <w:t xml:space="preserve">Como se advierte, todos los elementos contenidos en la credencial hacen a su titular, identificado, identificable e incluso ubicable en su domicilio. </w:t>
      </w:r>
      <w:r w:rsidRPr="00470507">
        <w:rPr>
          <w:rFonts w:ascii="Palatino Linotype" w:hAnsi="Palatino Linotype" w:cs="Tahoma"/>
        </w:rPr>
        <w:t>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5986E534" w14:textId="77777777" w:rsidR="00DB667F" w:rsidRPr="00470507" w:rsidRDefault="00DB667F" w:rsidP="00DB667F">
      <w:pPr>
        <w:spacing w:after="0" w:line="360" w:lineRule="auto"/>
        <w:contextualSpacing/>
        <w:jc w:val="both"/>
        <w:rPr>
          <w:rFonts w:ascii="Palatino Linotype" w:hAnsi="Palatino Linotype" w:cs="Tahoma"/>
        </w:rPr>
      </w:pPr>
    </w:p>
    <w:p w14:paraId="2713EF5B" w14:textId="77777777" w:rsidR="00DB667F" w:rsidRPr="00470507" w:rsidRDefault="00DB667F" w:rsidP="00DB667F">
      <w:pPr>
        <w:spacing w:after="0" w:line="360" w:lineRule="auto"/>
        <w:contextualSpacing/>
        <w:jc w:val="both"/>
        <w:rPr>
          <w:rFonts w:ascii="Palatino Linotype" w:hAnsi="Palatino Linotype" w:cs="Tahoma"/>
        </w:rPr>
      </w:pPr>
      <w:r w:rsidRPr="00470507">
        <w:rPr>
          <w:rFonts w:ascii="Palatino Linotype" w:hAnsi="Palatino Linotype" w:cs="Tahoma"/>
        </w:rPr>
        <w:t xml:space="preserve">Es de tener presente que la finalidad esencial de la credencial para votar con fotografía es la de ejercer el derecho humano de votar y ser votado; sin embargo, en el país, este documento es el reconocido a nivel general como medio idóneo para identificarse incluso de manera </w:t>
      </w:r>
      <w:r w:rsidRPr="00470507">
        <w:rPr>
          <w:rFonts w:ascii="Palatino Linotype" w:hAnsi="Palatino Linotype" w:cs="Tahoma"/>
        </w:rPr>
        <w:lastRenderedPageBreak/>
        <w:t>oficial; en el Estado de México está reconocida como identificación oficial en el artículo 2.5 Bis, fracción II del Código Civil del Estado de México.</w:t>
      </w:r>
    </w:p>
    <w:p w14:paraId="42D24C60" w14:textId="77777777" w:rsidR="00DB667F" w:rsidRPr="00470507" w:rsidRDefault="00DB667F" w:rsidP="00DB667F">
      <w:pPr>
        <w:spacing w:after="0" w:line="360" w:lineRule="auto"/>
        <w:contextualSpacing/>
        <w:jc w:val="both"/>
        <w:rPr>
          <w:rFonts w:ascii="Palatino Linotype" w:hAnsi="Palatino Linotype" w:cs="Tahoma"/>
        </w:rPr>
      </w:pPr>
    </w:p>
    <w:p w14:paraId="18C8E24F" w14:textId="77777777" w:rsidR="00DB667F" w:rsidRPr="00470507" w:rsidRDefault="00DB667F" w:rsidP="00DB667F">
      <w:pPr>
        <w:spacing w:after="0" w:line="360" w:lineRule="auto"/>
        <w:contextualSpacing/>
        <w:jc w:val="both"/>
        <w:rPr>
          <w:rFonts w:ascii="Palatino Linotype" w:eastAsia="Calibri" w:hAnsi="Palatino Linotype" w:cs="Tahoma"/>
          <w:bCs/>
          <w:lang w:val="es-ES"/>
        </w:rPr>
      </w:pPr>
      <w:r w:rsidRPr="00470507">
        <w:rPr>
          <w:rFonts w:ascii="Palatino Linotype" w:hAnsi="Palatino Linotype" w:cs="Tahoma"/>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w:t>
      </w:r>
      <w:r w:rsidRPr="00470507">
        <w:rPr>
          <w:rFonts w:ascii="Palatino Linotype" w:eastAsia="Calibri" w:hAnsi="Palatino Linotype" w:cs="Tahoma"/>
          <w:bCs/>
          <w:lang w:val="es-ES"/>
        </w:rPr>
        <w:t>artículo 143, fracción I, de la Ley de Transparencia y Acceso a la Información Pública del Estado de México y Municipios.</w:t>
      </w:r>
    </w:p>
    <w:p w14:paraId="6D9EA599"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7A43C18F" w14:textId="77777777" w:rsidR="00DB667F" w:rsidRPr="00470507" w:rsidRDefault="00DB667F" w:rsidP="00DB667F">
      <w:pPr>
        <w:pStyle w:val="Prrafodelista"/>
        <w:widowControl w:val="0"/>
        <w:numPr>
          <w:ilvl w:val="0"/>
          <w:numId w:val="43"/>
        </w:numPr>
        <w:autoSpaceDE w:val="0"/>
        <w:autoSpaceDN w:val="0"/>
        <w:adjustRightInd w:val="0"/>
        <w:spacing w:after="0" w:line="360" w:lineRule="auto"/>
        <w:jc w:val="both"/>
        <w:rPr>
          <w:rFonts w:ascii="Palatino Linotype" w:hAnsi="Palatino Linotype" w:cs="Tahoma"/>
          <w:b/>
        </w:rPr>
      </w:pPr>
      <w:r w:rsidRPr="00470507">
        <w:rPr>
          <w:rFonts w:ascii="Palatino Linotype" w:eastAsia="Calibri" w:hAnsi="Palatino Linotype" w:cs="Tahoma"/>
          <w:b/>
          <w:bCs/>
        </w:rPr>
        <w:t>Constancia domiciliaria</w:t>
      </w:r>
    </w:p>
    <w:p w14:paraId="14658935"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164D6C48" w14:textId="77777777" w:rsidR="00DB667F" w:rsidRPr="00470507" w:rsidRDefault="00DB667F" w:rsidP="00DB667F">
      <w:pPr>
        <w:spacing w:after="0" w:line="360" w:lineRule="auto"/>
        <w:ind w:right="-93"/>
        <w:jc w:val="both"/>
        <w:rPr>
          <w:rFonts w:ascii="Palatino Linotype" w:hAnsi="Palatino Linotype" w:cs="Tahoma"/>
          <w:lang w:val="es-ES"/>
        </w:rPr>
      </w:pPr>
      <w:r w:rsidRPr="00470507">
        <w:rPr>
          <w:rFonts w:ascii="Palatino Linotype" w:hAnsi="Palatino Linotype" w:cs="Tahoma"/>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333FB836" w14:textId="77777777" w:rsidR="00DB667F" w:rsidRPr="00470507" w:rsidRDefault="00DB667F" w:rsidP="00DB667F">
      <w:pPr>
        <w:spacing w:after="0" w:line="360" w:lineRule="auto"/>
        <w:ind w:right="-93"/>
        <w:jc w:val="both"/>
        <w:rPr>
          <w:rFonts w:ascii="Palatino Linotype" w:hAnsi="Palatino Linotype" w:cs="Tahoma"/>
          <w:lang w:val="es-ES"/>
        </w:rPr>
      </w:pPr>
    </w:p>
    <w:p w14:paraId="2E8AAFFB" w14:textId="77777777" w:rsidR="00DB667F" w:rsidRPr="00470507" w:rsidRDefault="00DB667F" w:rsidP="00DB667F">
      <w:pPr>
        <w:spacing w:after="0" w:line="360" w:lineRule="auto"/>
        <w:ind w:right="-93"/>
        <w:jc w:val="both"/>
        <w:rPr>
          <w:rFonts w:ascii="Palatino Linotype" w:hAnsi="Palatino Linotype" w:cs="Tahoma"/>
          <w:b/>
          <w:lang w:val="es-ES"/>
        </w:rPr>
      </w:pPr>
      <w:r w:rsidRPr="00470507">
        <w:rPr>
          <w:rFonts w:ascii="Palatino Linotype" w:hAnsi="Palatino Linotype" w:cs="Tahoma"/>
          <w:lang w:val="es-ES"/>
        </w:rPr>
        <w:t>De la misma manera, lo establece el artículo 29 del Código Civil Federal, al precisar que el domicilio de personas físicas</w:t>
      </w:r>
      <w:r w:rsidRPr="00470507">
        <w:rPr>
          <w:rFonts w:ascii="Palatino Linotype" w:hAnsi="Palatino Linotype" w:cs="Tahoma"/>
          <w:b/>
          <w:lang w:val="es-ES"/>
        </w:rPr>
        <w:t xml:space="preserve">, </w:t>
      </w:r>
      <w:r w:rsidRPr="00470507">
        <w:rPr>
          <w:rFonts w:ascii="Palatino Linotype" w:hAnsi="Palatino Linotype" w:cs="Tahoma"/>
          <w:lang w:val="es-ES"/>
        </w:rPr>
        <w:t>es el lugar donde residen habitualmente, el lugar del centro principal de sus negocios, donde residan o el lugar donde se encuentren.</w:t>
      </w:r>
    </w:p>
    <w:p w14:paraId="198E0B26" w14:textId="77777777" w:rsidR="00DB667F" w:rsidRPr="00470507" w:rsidRDefault="00DB667F" w:rsidP="00DB667F">
      <w:pPr>
        <w:spacing w:after="0" w:line="360" w:lineRule="auto"/>
        <w:jc w:val="both"/>
        <w:rPr>
          <w:rFonts w:ascii="Palatino Linotype" w:eastAsia="Calibri" w:hAnsi="Palatino Linotype" w:cs="Tahoma"/>
          <w:b/>
          <w:bCs/>
        </w:rPr>
      </w:pPr>
    </w:p>
    <w:p w14:paraId="794E77E9" w14:textId="77777777" w:rsidR="00DB667F" w:rsidRPr="00470507" w:rsidRDefault="00DB667F" w:rsidP="00DB667F">
      <w:pPr>
        <w:spacing w:after="0" w:line="360" w:lineRule="auto"/>
        <w:ind w:right="-93"/>
        <w:jc w:val="both"/>
        <w:rPr>
          <w:rFonts w:ascii="Palatino Linotype" w:hAnsi="Palatino Linotype" w:cs="Tahoma"/>
          <w:lang w:val="es-ES"/>
        </w:rPr>
      </w:pPr>
      <w:r w:rsidRPr="00470507">
        <w:rPr>
          <w:rFonts w:ascii="Palatino Linotype" w:hAnsi="Palatino Linotype" w:cs="Tahoma"/>
          <w:lang w:val="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w:t>
      </w:r>
      <w:r w:rsidRPr="00470507">
        <w:rPr>
          <w:rFonts w:ascii="Palatino Linotype" w:hAnsi="Palatino Linotype" w:cs="Tahoma"/>
          <w:lang w:val="es-ES"/>
        </w:rPr>
        <w:lastRenderedPageBreak/>
        <w:t xml:space="preserve">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525B0DF2" w14:textId="77777777" w:rsidR="00DB667F" w:rsidRPr="00470507" w:rsidRDefault="00DB667F" w:rsidP="00DB667F">
      <w:pPr>
        <w:spacing w:after="0" w:line="360" w:lineRule="auto"/>
        <w:ind w:right="-93"/>
        <w:jc w:val="both"/>
        <w:rPr>
          <w:rFonts w:ascii="Palatino Linotype" w:hAnsi="Palatino Linotype" w:cs="Tahoma"/>
          <w:lang w:val="es-ES"/>
        </w:rPr>
      </w:pPr>
    </w:p>
    <w:p w14:paraId="0A32D0C3" w14:textId="77777777" w:rsidR="00DB667F" w:rsidRPr="00470507" w:rsidRDefault="00DB667F" w:rsidP="00DB667F">
      <w:pPr>
        <w:spacing w:after="0" w:line="360" w:lineRule="auto"/>
        <w:ind w:right="-93"/>
        <w:jc w:val="both"/>
        <w:rPr>
          <w:rFonts w:ascii="Palatino Linotype" w:hAnsi="Palatino Linotype" w:cs="Tahoma"/>
          <w:lang w:val="es-ES"/>
        </w:rPr>
      </w:pPr>
      <w:r w:rsidRPr="00470507">
        <w:rPr>
          <w:rFonts w:ascii="Palatino Linotype" w:hAnsi="Palatino Linotype" w:cs="Tahoma"/>
          <w:lang w:val="es-ES"/>
        </w:rPr>
        <w:t>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5A7F8621" w14:textId="77777777" w:rsidR="00DB667F" w:rsidRPr="00470507" w:rsidRDefault="00DB667F" w:rsidP="00DB667F">
      <w:pPr>
        <w:spacing w:after="0" w:line="360" w:lineRule="auto"/>
        <w:ind w:right="-93"/>
        <w:jc w:val="both"/>
        <w:rPr>
          <w:rFonts w:ascii="Palatino Linotype" w:hAnsi="Palatino Linotype" w:cs="Tahoma"/>
          <w:lang w:val="es-ES"/>
        </w:rPr>
      </w:pPr>
    </w:p>
    <w:p w14:paraId="69499027" w14:textId="77777777" w:rsidR="00DB667F" w:rsidRPr="00470507" w:rsidRDefault="00DB667F" w:rsidP="00DB667F">
      <w:pPr>
        <w:spacing w:after="0" w:line="360" w:lineRule="auto"/>
        <w:ind w:right="-93"/>
        <w:jc w:val="both"/>
        <w:rPr>
          <w:rFonts w:ascii="Palatino Linotype" w:hAnsi="Palatino Linotype" w:cs="Tahoma"/>
          <w:lang w:val="es-ES"/>
        </w:rPr>
      </w:pPr>
      <w:r w:rsidRPr="00470507">
        <w:rPr>
          <w:rFonts w:ascii="Palatino Linotype" w:hAnsi="Palatino Linotype" w:cs="Tahoma"/>
          <w:lang w:val="es-ES"/>
        </w:rPr>
        <w:t>Por lo tanto, se actualiza la clasificación del domicilio y su comprobante, de conformidad con la fracción I, del artículo 143 de la Ley de Transparencia y Acceso a la Información Pública del Estado de México y Municipios.</w:t>
      </w:r>
    </w:p>
    <w:p w14:paraId="462C2526"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2699FBBF" w14:textId="77777777" w:rsidR="00DB667F" w:rsidRPr="00470507" w:rsidRDefault="00DB667F" w:rsidP="00DB667F">
      <w:pPr>
        <w:pStyle w:val="Prrafodelista"/>
        <w:widowControl w:val="0"/>
        <w:numPr>
          <w:ilvl w:val="0"/>
          <w:numId w:val="43"/>
        </w:numPr>
        <w:autoSpaceDE w:val="0"/>
        <w:autoSpaceDN w:val="0"/>
        <w:adjustRightInd w:val="0"/>
        <w:spacing w:after="0" w:line="360" w:lineRule="auto"/>
        <w:jc w:val="both"/>
        <w:rPr>
          <w:rFonts w:ascii="Palatino Linotype" w:hAnsi="Palatino Linotype" w:cs="Tahoma"/>
          <w:b/>
        </w:rPr>
      </w:pPr>
      <w:r w:rsidRPr="00470507">
        <w:rPr>
          <w:rFonts w:ascii="Palatino Linotype" w:eastAsia="Calibri" w:hAnsi="Palatino Linotype" w:cs="Tahoma"/>
          <w:b/>
          <w:bCs/>
        </w:rPr>
        <w:t>Constancia o certificado médico</w:t>
      </w:r>
    </w:p>
    <w:p w14:paraId="7C5B9929"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610FC4BC" w14:textId="77777777" w:rsidR="00DB667F" w:rsidRPr="00470507" w:rsidRDefault="00DB667F" w:rsidP="00DB667F">
      <w:pPr>
        <w:spacing w:after="0" w:line="360" w:lineRule="auto"/>
        <w:jc w:val="both"/>
        <w:rPr>
          <w:rFonts w:ascii="Palatino Linotype" w:hAnsi="Palatino Linotype" w:cs="Tahoma"/>
          <w:b/>
          <w:bCs/>
        </w:rPr>
      </w:pPr>
      <w:r w:rsidRPr="00470507">
        <w:rPr>
          <w:rFonts w:ascii="Palatino Linotype" w:hAnsi="Palatino Linotype" w:cs="Tahoma"/>
        </w:rPr>
        <w:t xml:space="preserve">En principio, es de señalar que cualquier información que dé cuenta del </w:t>
      </w:r>
      <w:r w:rsidRPr="00470507">
        <w:rPr>
          <w:rFonts w:ascii="Palatino Linotype" w:hAnsi="Palatino Linotype" w:cs="Tahoma"/>
          <w:b/>
          <w:bCs/>
        </w:rPr>
        <w:t>estado de salud de una persona</w:t>
      </w:r>
      <w:r w:rsidRPr="00470507">
        <w:rPr>
          <w:rFonts w:ascii="Palatino Linotype" w:hAnsi="Palatino Linotype" w:cs="Tahoma"/>
        </w:rPr>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470507">
        <w:rPr>
          <w:rFonts w:ascii="Palatino Linotype" w:hAnsi="Palatino Linotype" w:cs="Tahoma"/>
          <w:b/>
          <w:bCs/>
        </w:rPr>
        <w:t>den cuenta del estado de salud, ya sea físico o mental.</w:t>
      </w:r>
    </w:p>
    <w:p w14:paraId="34FB5077" w14:textId="77777777" w:rsidR="00DB667F" w:rsidRPr="00470507" w:rsidRDefault="00DB667F" w:rsidP="00DB667F">
      <w:pPr>
        <w:spacing w:after="0" w:line="360" w:lineRule="auto"/>
        <w:jc w:val="both"/>
        <w:rPr>
          <w:rFonts w:ascii="Palatino Linotype" w:hAnsi="Palatino Linotype" w:cs="Tahoma"/>
          <w:b/>
          <w:bCs/>
        </w:rPr>
      </w:pPr>
    </w:p>
    <w:p w14:paraId="284ABBD9"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r w:rsidRPr="00470507">
        <w:rPr>
          <w:rFonts w:ascii="Palatino Linotype" w:eastAsia="Calibri" w:hAnsi="Palatino Linotype" w:cs="Tahoma"/>
          <w:lang w:val="es-ES"/>
        </w:rPr>
        <w:t xml:space="preserve">De tales circunstancias, se considera que la información contenida en el certificado médico </w:t>
      </w:r>
      <w:r w:rsidRPr="00470507">
        <w:rPr>
          <w:rFonts w:ascii="Palatino Linotype" w:eastAsia="Calibri" w:hAnsi="Palatino Linotype" w:cs="Tahoma"/>
          <w:lang w:val="es-ES"/>
        </w:rPr>
        <w:lastRenderedPageBreak/>
        <w:t>únicamente identifica el estado de salud físico y mental de la servidora pública, lo cual guarda el carácter confidencial, en términos del artículo 143, fracción I, de la Ley de Transparencia y Acceso a la Información Pública del Estado de México y Municipios</w:t>
      </w:r>
    </w:p>
    <w:p w14:paraId="56154CC5"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0A2F12B6" w14:textId="77777777" w:rsidR="00DB667F" w:rsidRPr="00470507" w:rsidRDefault="00DB667F" w:rsidP="00DB667F">
      <w:pPr>
        <w:pStyle w:val="Prrafodelista"/>
        <w:widowControl w:val="0"/>
        <w:numPr>
          <w:ilvl w:val="0"/>
          <w:numId w:val="43"/>
        </w:numPr>
        <w:autoSpaceDE w:val="0"/>
        <w:autoSpaceDN w:val="0"/>
        <w:adjustRightInd w:val="0"/>
        <w:spacing w:after="0" w:line="360" w:lineRule="auto"/>
        <w:jc w:val="both"/>
        <w:rPr>
          <w:rFonts w:ascii="Palatino Linotype" w:hAnsi="Palatino Linotype" w:cs="Tahoma"/>
          <w:b/>
        </w:rPr>
      </w:pPr>
      <w:r w:rsidRPr="00470507">
        <w:rPr>
          <w:rFonts w:ascii="Palatino Linotype" w:eastAsia="Calibri" w:hAnsi="Palatino Linotype" w:cs="Tahoma"/>
          <w:b/>
          <w:bCs/>
        </w:rPr>
        <w:t>Cartas de recomendación</w:t>
      </w:r>
    </w:p>
    <w:p w14:paraId="4AED8E3B"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16765D87" w14:textId="77777777" w:rsidR="00DB667F" w:rsidRPr="00470507" w:rsidRDefault="00DB667F" w:rsidP="00DB667F">
      <w:pPr>
        <w:spacing w:after="0" w:line="360" w:lineRule="auto"/>
        <w:jc w:val="both"/>
        <w:rPr>
          <w:rFonts w:ascii="Palatino Linotype" w:eastAsia="Calibri" w:hAnsi="Palatino Linotype" w:cs="Tahoma"/>
          <w:bCs/>
          <w:iCs/>
        </w:rPr>
      </w:pPr>
      <w:r w:rsidRPr="00470507">
        <w:rPr>
          <w:rFonts w:ascii="Palatino Linotype" w:eastAsia="Calibri" w:hAnsi="Palatino Linotype" w:cs="Tahoma"/>
          <w:bCs/>
          <w:iCs/>
        </w:rPr>
        <w:t>Sobre dichos documentos, es de señalar que corresponden aquellos documentos en donde personas particulares dan referencias o una valoración de la persona que recomiendan, las cuales pueden contener información  de su forma de actuar, comportarse, valores, entre otras cuestiones, por lo que, se considera que son documentos de naturaleza privada, pues no abonan en nada a la transparencia, ni rinden cuentas del actuar de una trabajadora gubernamental, sino corresponde una apreciación subjetiva de una persona para recomendar a otra, las cuales son ocupadas comúnmente al solicitar un empleo.</w:t>
      </w:r>
    </w:p>
    <w:p w14:paraId="55EED3B1" w14:textId="77777777" w:rsidR="00DB667F" w:rsidRPr="00470507" w:rsidRDefault="00DB667F" w:rsidP="00DB667F">
      <w:pPr>
        <w:spacing w:after="0" w:line="360" w:lineRule="auto"/>
        <w:jc w:val="both"/>
        <w:rPr>
          <w:rFonts w:ascii="Palatino Linotype" w:eastAsia="Calibri" w:hAnsi="Palatino Linotype" w:cs="Tahoma"/>
          <w:bCs/>
          <w:iCs/>
        </w:rPr>
      </w:pPr>
    </w:p>
    <w:p w14:paraId="463C0A5D" w14:textId="77777777" w:rsidR="00DB667F" w:rsidRPr="00470507" w:rsidRDefault="00DB667F" w:rsidP="00DB667F">
      <w:pPr>
        <w:spacing w:after="0" w:line="360" w:lineRule="auto"/>
        <w:ind w:right="-93"/>
        <w:jc w:val="both"/>
        <w:rPr>
          <w:rFonts w:ascii="Palatino Linotype" w:hAnsi="Palatino Linotype" w:cs="Tahoma"/>
          <w:lang w:val="es-ES"/>
        </w:rPr>
      </w:pPr>
      <w:r w:rsidRPr="00470507">
        <w:rPr>
          <w:rFonts w:ascii="Palatino Linotype" w:eastAsia="Calibri" w:hAnsi="Palatino Linotype" w:cs="Tahoma"/>
          <w:bCs/>
          <w:iCs/>
        </w:rPr>
        <w:t xml:space="preserve">Por lo que, se considera que dichos documentos actualizan la clasificación, de la causal establecida en el artículo 143, fracción I, de la </w:t>
      </w:r>
      <w:r w:rsidRPr="00470507">
        <w:rPr>
          <w:rFonts w:ascii="Palatino Linotype" w:hAnsi="Palatino Linotype" w:cs="Tahoma"/>
          <w:lang w:val="es-ES"/>
        </w:rPr>
        <w:t>Ley de Transparencia y Acceso a la Información Pública del Estado de México y Municipios.</w:t>
      </w:r>
    </w:p>
    <w:p w14:paraId="08665C31" w14:textId="77777777" w:rsidR="00DB667F" w:rsidRPr="00470507" w:rsidRDefault="00DB667F" w:rsidP="00DB667F">
      <w:pPr>
        <w:spacing w:after="0" w:line="360" w:lineRule="auto"/>
        <w:ind w:right="-93"/>
        <w:jc w:val="both"/>
        <w:rPr>
          <w:rFonts w:ascii="Palatino Linotype" w:hAnsi="Palatino Linotype" w:cs="Tahoma"/>
          <w:lang w:val="es-ES"/>
        </w:rPr>
      </w:pPr>
    </w:p>
    <w:p w14:paraId="59EB8570" w14:textId="77777777" w:rsidR="00DB667F" w:rsidRPr="00470507" w:rsidRDefault="00DB667F" w:rsidP="00DB667F">
      <w:pPr>
        <w:pStyle w:val="Prrafodelista"/>
        <w:widowControl w:val="0"/>
        <w:numPr>
          <w:ilvl w:val="0"/>
          <w:numId w:val="43"/>
        </w:numPr>
        <w:autoSpaceDE w:val="0"/>
        <w:autoSpaceDN w:val="0"/>
        <w:adjustRightInd w:val="0"/>
        <w:spacing w:after="0" w:line="360" w:lineRule="auto"/>
        <w:jc w:val="both"/>
        <w:rPr>
          <w:rFonts w:ascii="Palatino Linotype" w:hAnsi="Palatino Linotype" w:cs="Tahoma"/>
          <w:b/>
        </w:rPr>
      </w:pPr>
      <w:r w:rsidRPr="00470507">
        <w:rPr>
          <w:rFonts w:ascii="Palatino Linotype" w:eastAsia="Calibri" w:hAnsi="Palatino Linotype" w:cs="Tahoma"/>
          <w:b/>
          <w:bCs/>
        </w:rPr>
        <w:t xml:space="preserve">Fotografías de los servidores públicos. </w:t>
      </w:r>
    </w:p>
    <w:p w14:paraId="3B6AF806" w14:textId="77777777" w:rsidR="00DB667F" w:rsidRPr="00470507" w:rsidRDefault="00DB667F" w:rsidP="00DB667F">
      <w:pPr>
        <w:pStyle w:val="Prrafodelista"/>
        <w:widowControl w:val="0"/>
        <w:autoSpaceDE w:val="0"/>
        <w:autoSpaceDN w:val="0"/>
        <w:adjustRightInd w:val="0"/>
        <w:spacing w:after="0" w:line="360" w:lineRule="auto"/>
        <w:jc w:val="both"/>
        <w:rPr>
          <w:rFonts w:ascii="Palatino Linotype" w:hAnsi="Palatino Linotype" w:cs="Tahoma"/>
          <w:b/>
        </w:rPr>
      </w:pPr>
      <w:r w:rsidRPr="00470507">
        <w:rPr>
          <w:rFonts w:ascii="Palatino Linotype" w:hAnsi="Palatino Linotype"/>
          <w:color w:val="222222"/>
          <w:lang w:eastAsia="es-MX"/>
        </w:rPr>
        <w:t> </w:t>
      </w:r>
    </w:p>
    <w:p w14:paraId="11B9CBF5" w14:textId="77777777" w:rsidR="00DB667F" w:rsidRPr="00470507" w:rsidRDefault="00DB667F" w:rsidP="00DB667F">
      <w:pPr>
        <w:shd w:val="clear" w:color="auto" w:fill="FFFFFF"/>
        <w:spacing w:after="0" w:line="360" w:lineRule="auto"/>
        <w:jc w:val="both"/>
        <w:rPr>
          <w:rFonts w:ascii="Palatino Linotype" w:hAnsi="Palatino Linotype"/>
          <w:color w:val="222222"/>
          <w:lang w:eastAsia="es-MX"/>
        </w:rPr>
      </w:pPr>
      <w:r w:rsidRPr="00470507">
        <w:rPr>
          <w:rFonts w:ascii="Palatino Linotype" w:hAnsi="Palatino Linotype"/>
          <w:color w:val="222222"/>
          <w:lang w:eastAsia="es-MX"/>
        </w:rPr>
        <w:t>Por lo que hace a la fotografía, es preciso señalar que esta </w:t>
      </w:r>
      <w:r w:rsidRPr="00470507">
        <w:rPr>
          <w:rFonts w:ascii="Palatino Linotype" w:hAnsi="Palatino Linotype"/>
          <w:b/>
          <w:bCs/>
          <w:color w:val="222222"/>
          <w:lang w:eastAsia="es-MX"/>
        </w:rPr>
        <w:t>da cuenta de las características físicas de una persona.</w:t>
      </w:r>
      <w:r w:rsidRPr="00470507">
        <w:rPr>
          <w:rFonts w:ascii="Palatino Linotype" w:hAnsi="Palatino Linotype"/>
          <w:color w:val="222222"/>
          <w:lang w:eastAsia="es-MX"/>
        </w:rPr>
        <w:t>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FD23E50" w14:textId="77777777" w:rsidR="00DB667F" w:rsidRPr="00470507" w:rsidRDefault="00DB667F" w:rsidP="00DB667F">
      <w:pPr>
        <w:shd w:val="clear" w:color="auto" w:fill="FFFFFF"/>
        <w:spacing w:after="0" w:line="360" w:lineRule="auto"/>
        <w:jc w:val="both"/>
        <w:rPr>
          <w:rFonts w:ascii="Palatino Linotype" w:hAnsi="Palatino Linotype"/>
          <w:color w:val="222222"/>
          <w:lang w:eastAsia="es-MX"/>
        </w:rPr>
      </w:pPr>
    </w:p>
    <w:p w14:paraId="5FAD4167" w14:textId="77777777" w:rsidR="00DB667F" w:rsidRPr="00470507" w:rsidRDefault="00DB667F" w:rsidP="00DB667F">
      <w:pPr>
        <w:shd w:val="clear" w:color="auto" w:fill="FFFFFF"/>
        <w:spacing w:after="0" w:line="360" w:lineRule="auto"/>
        <w:jc w:val="both"/>
        <w:rPr>
          <w:rFonts w:ascii="Palatino Linotype" w:hAnsi="Palatino Linotype"/>
          <w:color w:val="222222"/>
          <w:lang w:eastAsia="es-MX"/>
        </w:rPr>
      </w:pPr>
      <w:r w:rsidRPr="00470507">
        <w:rPr>
          <w:rFonts w:ascii="Palatino Linotype" w:hAnsi="Palatino Linotype"/>
          <w:color w:val="222222"/>
          <w:lang w:eastAsia="es-MX"/>
        </w:rPr>
        <w:t>De esa forma, el derecho a la imagen como la representación gráfica de la persona y el derecho a la propia imagen como facultad para permitir o impedir su obtención, reproducción, difusión y distribución por parte de un tercero.</w:t>
      </w:r>
    </w:p>
    <w:p w14:paraId="14B2EB0E" w14:textId="77777777" w:rsidR="00DB667F" w:rsidRPr="00470507" w:rsidRDefault="00DB667F" w:rsidP="00DB667F">
      <w:pPr>
        <w:shd w:val="clear" w:color="auto" w:fill="FFFFFF"/>
        <w:spacing w:after="0" w:line="360" w:lineRule="auto"/>
        <w:jc w:val="both"/>
        <w:rPr>
          <w:rFonts w:ascii="Palatino Linotype" w:hAnsi="Palatino Linotype"/>
          <w:color w:val="222222"/>
          <w:lang w:eastAsia="es-MX"/>
        </w:rPr>
      </w:pPr>
      <w:r w:rsidRPr="00470507">
        <w:rPr>
          <w:rFonts w:ascii="Palatino Linotype" w:hAnsi="Palatino Linotype"/>
          <w:color w:val="222222"/>
          <w:lang w:eastAsia="es-MX"/>
        </w:rPr>
        <w:t> </w:t>
      </w:r>
    </w:p>
    <w:p w14:paraId="2EF03B5F" w14:textId="77777777" w:rsidR="00DB667F" w:rsidRPr="00470507" w:rsidRDefault="00DB667F" w:rsidP="00DB667F">
      <w:pPr>
        <w:shd w:val="clear" w:color="auto" w:fill="FFFFFF"/>
        <w:spacing w:after="0" w:line="360" w:lineRule="auto"/>
        <w:jc w:val="both"/>
        <w:rPr>
          <w:rFonts w:ascii="Palatino Linotype" w:hAnsi="Palatino Linotype"/>
          <w:color w:val="222222"/>
          <w:lang w:eastAsia="es-MX"/>
        </w:rPr>
      </w:pPr>
      <w:r w:rsidRPr="00470507">
        <w:rPr>
          <w:rFonts w:ascii="Palatino Linotype" w:hAnsi="Palatino Linotype"/>
          <w:color w:val="222222"/>
          <w:lang w:eastAsia="es-MX"/>
        </w:rPr>
        <w:t>Al respecto, el Pleno de la Suprema Corte de Justicia de la Nación se ha pronunciado en el mismo sentido en la siguiente tesis:</w:t>
      </w:r>
    </w:p>
    <w:p w14:paraId="512289B2" w14:textId="77777777" w:rsidR="00DB667F" w:rsidRPr="00470507" w:rsidRDefault="00DB667F" w:rsidP="00DB667F">
      <w:pPr>
        <w:shd w:val="clear" w:color="auto" w:fill="FFFFFF"/>
        <w:spacing w:after="0" w:line="360" w:lineRule="auto"/>
        <w:jc w:val="both"/>
        <w:rPr>
          <w:rFonts w:ascii="Palatino Linotype" w:hAnsi="Palatino Linotype"/>
          <w:color w:val="222222"/>
          <w:lang w:eastAsia="es-MX"/>
        </w:rPr>
      </w:pPr>
      <w:r w:rsidRPr="00470507">
        <w:rPr>
          <w:rFonts w:ascii="Palatino Linotype" w:hAnsi="Palatino Linotype"/>
          <w:color w:val="222222"/>
          <w:lang w:eastAsia="es-MX"/>
        </w:rPr>
        <w:t> </w:t>
      </w:r>
    </w:p>
    <w:p w14:paraId="350957DE" w14:textId="77777777" w:rsidR="00DB667F" w:rsidRPr="00470507" w:rsidRDefault="00DB667F" w:rsidP="00DB667F">
      <w:pPr>
        <w:shd w:val="clear" w:color="auto" w:fill="FFFFFF"/>
        <w:spacing w:after="0" w:line="360" w:lineRule="auto"/>
        <w:ind w:left="567" w:right="567"/>
        <w:jc w:val="both"/>
        <w:rPr>
          <w:rFonts w:ascii="Palatino Linotype" w:hAnsi="Palatino Linotype"/>
          <w:color w:val="222222"/>
          <w:lang w:eastAsia="es-MX"/>
        </w:rPr>
      </w:pPr>
      <w:r w:rsidRPr="00470507">
        <w:rPr>
          <w:rFonts w:ascii="Palatino Linotype" w:hAnsi="Palatino Linotype"/>
          <w:b/>
          <w:bCs/>
          <w:i/>
          <w:iCs/>
          <w:color w:val="222222"/>
          <w:lang w:eastAsia="es-MX"/>
        </w:rPr>
        <w:t>“DERECHOS A LA INTIMIDAD, PROPIA IMAGEN, IDENTIDAD PERSONAL Y SEXUAL. CONSTITUYEN DERECHOS DE DEFENSA Y GARANTÍA ESENCIAL PARA LA CONDICIÓN HUMANA. </w:t>
      </w:r>
      <w:r w:rsidRPr="00470507">
        <w:rPr>
          <w:rFonts w:ascii="Palatino Linotype" w:hAnsi="Palatino Linotype"/>
          <w:i/>
          <w:iCs/>
          <w:color w:val="222222"/>
          <w:lang w:eastAsia="es-MX"/>
        </w:rPr>
        <w:t xml:space="preserve">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w:t>
      </w:r>
      <w:r w:rsidRPr="00470507">
        <w:rPr>
          <w:rFonts w:ascii="Palatino Linotype" w:hAnsi="Palatino Linotype"/>
          <w:i/>
          <w:iCs/>
          <w:color w:val="222222"/>
          <w:lang w:eastAsia="es-MX"/>
        </w:rPr>
        <w:lastRenderedPageBreak/>
        <w:t>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w:t>
      </w:r>
      <w:r w:rsidRPr="00470507">
        <w:rPr>
          <w:rFonts w:ascii="Palatino Linotype" w:hAnsi="Palatino Linotype"/>
          <w:b/>
          <w:bCs/>
          <w:i/>
          <w:iCs/>
          <w:color w:val="222222"/>
          <w:lang w:eastAsia="es-MX"/>
        </w:rPr>
        <w:t>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w:t>
      </w:r>
      <w:r w:rsidRPr="00470507">
        <w:rPr>
          <w:rFonts w:ascii="Palatino Linotype" w:hAnsi="Palatino Linotype"/>
          <w:i/>
          <w:iCs/>
          <w:color w:val="222222"/>
          <w:lang w:eastAsia="es-MX"/>
        </w:rPr>
        <w:t>por lo que, si bien no son absolutos, </w:t>
      </w:r>
      <w:r w:rsidRPr="00470507">
        <w:rPr>
          <w:rFonts w:ascii="Palatino Linotype" w:hAnsi="Palatino Linotype"/>
          <w:b/>
          <w:bCs/>
          <w:i/>
          <w:iCs/>
          <w:color w:val="222222"/>
          <w:lang w:eastAsia="es-MX"/>
        </w:rPr>
        <w:t>sólo por ley podrá justificarse su intromisión, siempre que medie un interés superior</w:t>
      </w:r>
      <w:r w:rsidRPr="00470507">
        <w:rPr>
          <w:rFonts w:ascii="Palatino Linotype" w:hAnsi="Palatino Linotype"/>
          <w:i/>
          <w:iCs/>
          <w:color w:val="222222"/>
          <w:lang w:eastAsia="es-MX"/>
        </w:rPr>
        <w:t>.”</w:t>
      </w:r>
    </w:p>
    <w:p w14:paraId="427CB032" w14:textId="77777777" w:rsidR="00DB667F" w:rsidRPr="00470507" w:rsidRDefault="00DB667F" w:rsidP="00DB667F">
      <w:pPr>
        <w:shd w:val="clear" w:color="auto" w:fill="FFFFFF"/>
        <w:spacing w:after="0" w:line="360" w:lineRule="auto"/>
        <w:jc w:val="both"/>
        <w:rPr>
          <w:rFonts w:ascii="Palatino Linotype" w:hAnsi="Palatino Linotype"/>
          <w:color w:val="222222"/>
          <w:lang w:eastAsia="es-MX"/>
        </w:rPr>
      </w:pPr>
      <w:r w:rsidRPr="00470507">
        <w:rPr>
          <w:rFonts w:ascii="Palatino Linotype" w:hAnsi="Palatino Linotype"/>
          <w:color w:val="222222"/>
          <w:lang w:eastAsia="es-MX"/>
        </w:rPr>
        <w:t> </w:t>
      </w:r>
    </w:p>
    <w:p w14:paraId="4480521E" w14:textId="77777777" w:rsidR="00DB667F" w:rsidRPr="00470507" w:rsidRDefault="00DB667F" w:rsidP="00DB667F">
      <w:pPr>
        <w:shd w:val="clear" w:color="auto" w:fill="FFFFFF"/>
        <w:spacing w:after="0" w:line="360" w:lineRule="auto"/>
        <w:jc w:val="both"/>
        <w:rPr>
          <w:rFonts w:ascii="Palatino Linotype" w:hAnsi="Palatino Linotype"/>
          <w:color w:val="222222"/>
          <w:lang w:eastAsia="es-MX"/>
        </w:rPr>
      </w:pPr>
      <w:r w:rsidRPr="00470507">
        <w:rPr>
          <w:rFonts w:ascii="Palatino Linotype" w:hAnsi="Palatino Linotype"/>
          <w:color w:val="222222"/>
          <w:lang w:eastAsia="es-MX"/>
        </w:rPr>
        <w:t>Así, se advierte que el Máximo Tribunal reconoce que el derecho a la imagen está relacionado con el derecho a la identidad; es decir, el derecho del individuo a no ser conocido por otros en ciertos aspectos de su vida y a la propia imagen, como aquel derecho de decidir, en forma libre, sobre la manera en que elige mostrarse frente a los demás, es la forma en que se ve a sí mismo y se proyecta en la sociedad, de acuerdo con sus caracteres físicos e internos y sus acciones, que lo individualizan ante la sociedad y permiten identificarlo.</w:t>
      </w:r>
    </w:p>
    <w:p w14:paraId="5AAD4334" w14:textId="77777777" w:rsidR="00335ADB" w:rsidRPr="00470507" w:rsidRDefault="00335ADB" w:rsidP="00DB667F">
      <w:pPr>
        <w:shd w:val="clear" w:color="auto" w:fill="FFFFFF"/>
        <w:spacing w:after="0" w:line="360" w:lineRule="auto"/>
        <w:jc w:val="both"/>
        <w:rPr>
          <w:rFonts w:ascii="Palatino Linotype" w:hAnsi="Palatino Linotype"/>
          <w:color w:val="222222"/>
          <w:lang w:eastAsia="es-MX"/>
        </w:rPr>
      </w:pPr>
    </w:p>
    <w:p w14:paraId="09DB2E94" w14:textId="77777777" w:rsidR="00DB667F" w:rsidRPr="00470507" w:rsidRDefault="00DB667F" w:rsidP="00DB667F">
      <w:pPr>
        <w:shd w:val="clear" w:color="auto" w:fill="FFFFFF"/>
        <w:spacing w:after="0" w:line="360" w:lineRule="auto"/>
        <w:jc w:val="both"/>
        <w:rPr>
          <w:rFonts w:ascii="Palatino Linotype" w:hAnsi="Palatino Linotype"/>
          <w:color w:val="222222"/>
          <w:lang w:eastAsia="es-MX"/>
        </w:rPr>
      </w:pPr>
      <w:r w:rsidRPr="00470507">
        <w:rPr>
          <w:rFonts w:ascii="Palatino Linotype" w:hAnsi="Palatino Linotype"/>
          <w:color w:val="222222"/>
          <w:lang w:eastAsia="es-MX"/>
        </w:rPr>
        <w:t>En este tenor, el derecho a la imagen es un derecho inherente a la persona a mantenerse fuera de la injerencia de los demás y se configura como un derecho de defensa y garantía esencial para la condición humana, que pueden reclamarse tanto en defensa de la intimidad violada o amenazada, así como exigir del Estado que prevenga la existencia de eventuales intromisiones que los lesionen; si bien no son absolutos, sólo por ley podrá justificarse su intromisión y siempre que medie un interés superior; elementos que en la especie no se cumplen.</w:t>
      </w:r>
    </w:p>
    <w:p w14:paraId="3896A9E6" w14:textId="77777777" w:rsidR="00DB667F" w:rsidRPr="00470507" w:rsidRDefault="00DB667F" w:rsidP="00DB667F">
      <w:pPr>
        <w:shd w:val="clear" w:color="auto" w:fill="FFFFFF"/>
        <w:spacing w:after="0" w:line="360" w:lineRule="auto"/>
        <w:jc w:val="both"/>
        <w:rPr>
          <w:rFonts w:ascii="Palatino Linotype" w:hAnsi="Palatino Linotype"/>
          <w:color w:val="222222"/>
          <w:lang w:eastAsia="es-MX"/>
        </w:rPr>
      </w:pPr>
      <w:r w:rsidRPr="00470507">
        <w:rPr>
          <w:rFonts w:ascii="Palatino Linotype" w:hAnsi="Palatino Linotype"/>
          <w:color w:val="222222"/>
          <w:lang w:eastAsia="es-MX"/>
        </w:rPr>
        <w:t> </w:t>
      </w:r>
    </w:p>
    <w:p w14:paraId="0700B6FF" w14:textId="4D0FB93A" w:rsidR="00DB667F" w:rsidRPr="00470507" w:rsidRDefault="00DB667F" w:rsidP="00DB667F">
      <w:pPr>
        <w:shd w:val="clear" w:color="auto" w:fill="FFFFFF"/>
        <w:spacing w:after="0" w:line="360" w:lineRule="auto"/>
        <w:jc w:val="both"/>
        <w:rPr>
          <w:rFonts w:ascii="Palatino Linotype" w:hAnsi="Palatino Linotype"/>
          <w:b/>
          <w:bCs/>
          <w:color w:val="222222"/>
          <w:lang w:eastAsia="es-MX"/>
        </w:rPr>
      </w:pPr>
      <w:r w:rsidRPr="00470507">
        <w:rPr>
          <w:rFonts w:ascii="Palatino Linotype" w:hAnsi="Palatino Linotype"/>
          <w:b/>
          <w:bCs/>
          <w:color w:val="222222"/>
          <w:lang w:eastAsia="es-MX"/>
        </w:rPr>
        <w:lastRenderedPageBreak/>
        <w:t xml:space="preserve">Ahora bien, no pasa desapercibido que la fotografía, </w:t>
      </w:r>
      <w:r w:rsidR="00335ADB" w:rsidRPr="00470507">
        <w:rPr>
          <w:rFonts w:ascii="Palatino Linotype" w:hAnsi="Palatino Linotype"/>
          <w:b/>
          <w:bCs/>
          <w:color w:val="222222"/>
          <w:lang w:eastAsia="es-MX"/>
        </w:rPr>
        <w:t>cuando se</w:t>
      </w:r>
      <w:r w:rsidRPr="00470507">
        <w:rPr>
          <w:rFonts w:ascii="Palatino Linotype" w:hAnsi="Palatino Linotype"/>
          <w:b/>
          <w:bCs/>
          <w:color w:val="222222"/>
          <w:lang w:eastAsia="es-MX"/>
        </w:rPr>
        <w:t xml:space="preserve"> trata de servidores </w:t>
      </w:r>
      <w:r w:rsidR="00335ADB" w:rsidRPr="00470507">
        <w:rPr>
          <w:rFonts w:ascii="Palatino Linotype" w:hAnsi="Palatino Linotype"/>
          <w:b/>
          <w:bCs/>
          <w:color w:val="222222"/>
          <w:lang w:eastAsia="es-MX"/>
        </w:rPr>
        <w:t xml:space="preserve">públicos </w:t>
      </w:r>
      <w:r w:rsidRPr="00470507">
        <w:rPr>
          <w:rFonts w:ascii="Palatino Linotype" w:hAnsi="Palatino Linotype"/>
          <w:b/>
          <w:bCs/>
          <w:color w:val="222222"/>
          <w:lang w:eastAsia="es-MX"/>
        </w:rPr>
        <w:t xml:space="preserve">será de naturaleza pública, toda vez que existe un interés público de dar a conocer dichos datos. </w:t>
      </w:r>
    </w:p>
    <w:p w14:paraId="41791154" w14:textId="77777777" w:rsidR="00DB667F" w:rsidRPr="00470507" w:rsidRDefault="00DB667F" w:rsidP="00DB667F">
      <w:pPr>
        <w:shd w:val="clear" w:color="auto" w:fill="FFFFFF"/>
        <w:spacing w:after="0" w:line="360" w:lineRule="auto"/>
        <w:jc w:val="both"/>
        <w:rPr>
          <w:rFonts w:ascii="Palatino Linotype" w:hAnsi="Palatino Linotype"/>
          <w:color w:val="222222"/>
          <w:lang w:eastAsia="es-MX"/>
        </w:rPr>
      </w:pPr>
    </w:p>
    <w:p w14:paraId="723E1EAC" w14:textId="77777777" w:rsidR="0097763C" w:rsidRPr="00470507" w:rsidRDefault="00DB667F" w:rsidP="00DB667F">
      <w:pPr>
        <w:shd w:val="clear" w:color="auto" w:fill="FFFFFF"/>
        <w:spacing w:after="0" w:line="360" w:lineRule="auto"/>
        <w:jc w:val="both"/>
        <w:rPr>
          <w:rFonts w:ascii="Palatino Linotype" w:hAnsi="Palatino Linotype"/>
          <w:color w:val="222222"/>
          <w:lang w:eastAsia="es-MX"/>
        </w:rPr>
      </w:pPr>
      <w:r w:rsidRPr="00470507">
        <w:rPr>
          <w:rFonts w:ascii="Palatino Linotype" w:hAnsi="Palatino Linotype"/>
          <w:color w:val="222222"/>
          <w:lang w:eastAsia="es-MX"/>
        </w:rPr>
        <w:t>Conforme a lo anterior, la fotografía</w:t>
      </w:r>
      <w:r w:rsidR="00335ADB" w:rsidRPr="00470507">
        <w:rPr>
          <w:rFonts w:ascii="Palatino Linotype" w:hAnsi="Palatino Linotype"/>
          <w:color w:val="222222"/>
          <w:lang w:eastAsia="es-MX"/>
        </w:rPr>
        <w:t xml:space="preserve"> de servidores públicos, </w:t>
      </w:r>
      <w:r w:rsidRPr="00470507">
        <w:rPr>
          <w:rFonts w:ascii="Palatino Linotype" w:hAnsi="Palatino Linotype"/>
          <w:color w:val="222222"/>
          <w:lang w:eastAsia="es-MX"/>
        </w:rPr>
        <w:t xml:space="preserve">no actualiza la causal de clasificación prevista en el artículo 143, fracción I, de la Ley de Transparencia y Acceso a la Información Pública del Estado de México y Municipios. </w:t>
      </w:r>
    </w:p>
    <w:p w14:paraId="5D45B613"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5666E053" w14:textId="77777777" w:rsidR="00DB667F" w:rsidRPr="00470507" w:rsidRDefault="00DB667F" w:rsidP="00DB667F">
      <w:pPr>
        <w:pStyle w:val="Prrafodelista"/>
        <w:widowControl w:val="0"/>
        <w:numPr>
          <w:ilvl w:val="0"/>
          <w:numId w:val="43"/>
        </w:numPr>
        <w:autoSpaceDE w:val="0"/>
        <w:autoSpaceDN w:val="0"/>
        <w:adjustRightInd w:val="0"/>
        <w:spacing w:after="0" w:line="360" w:lineRule="auto"/>
        <w:jc w:val="both"/>
        <w:rPr>
          <w:rFonts w:ascii="Palatino Linotype" w:hAnsi="Palatino Linotype" w:cs="Tahoma"/>
          <w:b/>
        </w:rPr>
      </w:pPr>
      <w:r w:rsidRPr="00470507">
        <w:rPr>
          <w:rFonts w:ascii="Palatino Linotype" w:eastAsia="Calibri" w:hAnsi="Palatino Linotype" w:cs="Tahoma"/>
          <w:b/>
          <w:bCs/>
        </w:rPr>
        <w:t xml:space="preserve">Aviso de Movimientos de alta ISSEMyM. </w:t>
      </w:r>
    </w:p>
    <w:p w14:paraId="43B8BFCC"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rPr>
      </w:pPr>
    </w:p>
    <w:p w14:paraId="21A2C150"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rPr>
      </w:pPr>
      <w:r w:rsidRPr="00470507">
        <w:rPr>
          <w:rFonts w:ascii="Palatino Linotype" w:hAnsi="Palatino Linotype" w:cs="Tahoma"/>
        </w:rPr>
        <w:t xml:space="preserve">El Aviso de Movimientos, es un documento que debe expedir la dependencia pública a la cual se ingresa y que indica el alta en el sistema como servidor público, este documento deberá ser presentado ante el Instituto de Seguridad Social del Estado de México y Municipios, con la finalidad de llevar a cabo diversos trámites para obtener los beneficios de seguridad social. </w:t>
      </w:r>
    </w:p>
    <w:p w14:paraId="7BDEE97C"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rPr>
      </w:pPr>
    </w:p>
    <w:p w14:paraId="31B02891"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rPr>
      </w:pPr>
      <w:r w:rsidRPr="00470507">
        <w:rPr>
          <w:rFonts w:ascii="Palatino Linotype" w:hAnsi="Palatino Linotype" w:cs="Tahoma"/>
        </w:rPr>
        <w:t xml:space="preserve">Ahora bien, de acuerdo con lo que establece el artículo 3.85 del Código Reglamentario de Metepec, el Departamento de nómina tiene dentro de sus atribuciones aplicar en el Sistema del ISSEMyM, los movimientos de la nómina (altas, bajas y modificaciones), es decir, derivado del ingreso al servicio público, esta unidad administrativa deberá registrar los datos correspondientes con la finalidad de desempeñar sus atribuciones y en cumplimiento de las obligaciones y derechos laborales a favor de los servidores públicos que emplea; es decir, la inscripción de los trabajadores a alguna institución de salud. </w:t>
      </w:r>
    </w:p>
    <w:p w14:paraId="4E111984"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rPr>
      </w:pPr>
    </w:p>
    <w:p w14:paraId="010CCACD"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rPr>
      </w:pPr>
      <w:r w:rsidRPr="00470507">
        <w:rPr>
          <w:rFonts w:ascii="Palatino Linotype" w:hAnsi="Palatino Linotype" w:cs="Tahoma"/>
        </w:rPr>
        <w:t xml:space="preserve">Por lo anterior, toda vez que este documento es generado en ejercicio de funciones del Sujeto Obligado, es de naturaleza pública, sin embargo, no pasa desapercibido mencionar que puede contener datos que actualizan la causal prevista en la fracción I del artículo 143 de la Ley de </w:t>
      </w:r>
      <w:r w:rsidRPr="00470507">
        <w:rPr>
          <w:rFonts w:ascii="Palatino Linotype" w:hAnsi="Palatino Linotype" w:cs="Tahoma"/>
        </w:rPr>
        <w:lastRenderedPageBreak/>
        <w:t xml:space="preserve">Transparencia del Estado de México y Municipios, por lo tanto, deberá ser proporcionado en versión pública. </w:t>
      </w:r>
    </w:p>
    <w:p w14:paraId="62CCD8E3"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67A96211" w14:textId="77777777" w:rsidR="00DB667F" w:rsidRPr="00470507" w:rsidRDefault="00DB667F" w:rsidP="00DB667F">
      <w:pPr>
        <w:pStyle w:val="Prrafodelista"/>
        <w:widowControl w:val="0"/>
        <w:numPr>
          <w:ilvl w:val="0"/>
          <w:numId w:val="43"/>
        </w:numPr>
        <w:autoSpaceDE w:val="0"/>
        <w:autoSpaceDN w:val="0"/>
        <w:adjustRightInd w:val="0"/>
        <w:spacing w:after="0" w:line="360" w:lineRule="auto"/>
        <w:jc w:val="both"/>
        <w:rPr>
          <w:rFonts w:ascii="Palatino Linotype" w:hAnsi="Palatino Linotype" w:cs="Tahoma"/>
          <w:b/>
        </w:rPr>
      </w:pPr>
      <w:r w:rsidRPr="00470507">
        <w:rPr>
          <w:rFonts w:ascii="Palatino Linotype" w:eastAsia="Calibri" w:hAnsi="Palatino Linotype" w:cs="Tahoma"/>
          <w:b/>
          <w:bCs/>
        </w:rPr>
        <w:t>Clave Única de Registro de Población</w:t>
      </w:r>
    </w:p>
    <w:p w14:paraId="6824172A"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4B99A32A" w14:textId="77777777" w:rsidR="00DB667F" w:rsidRPr="00470507" w:rsidRDefault="00DB667F" w:rsidP="00DB667F">
      <w:pPr>
        <w:spacing w:after="0" w:line="360" w:lineRule="auto"/>
        <w:jc w:val="both"/>
        <w:rPr>
          <w:rFonts w:ascii="Palatino Linotype" w:hAnsi="Palatino Linotype" w:cs="Tahoma"/>
          <w:bCs/>
        </w:rPr>
      </w:pPr>
      <w:r w:rsidRPr="00470507">
        <w:rPr>
          <w:rFonts w:ascii="Palatino Linotype" w:hAnsi="Palatino Linotype" w:cs="Tahoma"/>
          <w:bCs/>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6015543A" w14:textId="77777777" w:rsidR="00DB667F" w:rsidRPr="00470507" w:rsidRDefault="00DB667F" w:rsidP="00DB667F">
      <w:pPr>
        <w:spacing w:after="0" w:line="360" w:lineRule="auto"/>
        <w:jc w:val="both"/>
        <w:rPr>
          <w:rFonts w:ascii="Palatino Linotype" w:hAnsi="Palatino Linotype" w:cs="Tahoma"/>
          <w:bCs/>
        </w:rPr>
      </w:pPr>
    </w:p>
    <w:p w14:paraId="2D4D2A56" w14:textId="77777777" w:rsidR="00DB667F" w:rsidRPr="00470507" w:rsidRDefault="00DB667F" w:rsidP="00DB667F">
      <w:pPr>
        <w:spacing w:after="0" w:line="360" w:lineRule="auto"/>
        <w:jc w:val="both"/>
        <w:rPr>
          <w:rFonts w:ascii="Palatino Linotype" w:hAnsi="Palatino Linotype" w:cs="Tahoma"/>
          <w:bCs/>
        </w:rPr>
      </w:pPr>
      <w:r w:rsidRPr="00470507">
        <w:rPr>
          <w:rFonts w:ascii="Palatino Linotype" w:hAnsi="Palatino Linotype" w:cs="Tahoma"/>
          <w:bC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45DE2FD" w14:textId="77777777" w:rsidR="00DB667F" w:rsidRPr="00470507" w:rsidRDefault="00DB667F" w:rsidP="00DB667F">
      <w:pPr>
        <w:spacing w:after="0" w:line="360" w:lineRule="auto"/>
        <w:jc w:val="both"/>
        <w:rPr>
          <w:rFonts w:ascii="Palatino Linotype" w:hAnsi="Palatino Linotype" w:cs="Tahoma"/>
          <w:bCs/>
          <w:iCs/>
        </w:rPr>
      </w:pPr>
    </w:p>
    <w:p w14:paraId="20D9AACD" w14:textId="77777777" w:rsidR="00DB667F" w:rsidRPr="00470507" w:rsidRDefault="00DB667F" w:rsidP="00DB667F">
      <w:pPr>
        <w:spacing w:after="0" w:line="360" w:lineRule="auto"/>
        <w:jc w:val="both"/>
        <w:rPr>
          <w:rFonts w:ascii="Palatino Linotype" w:hAnsi="Palatino Linotype" w:cs="Tahoma"/>
          <w:bCs/>
        </w:rPr>
      </w:pPr>
      <w:r w:rsidRPr="00470507">
        <w:rPr>
          <w:rFonts w:ascii="Palatino Linotype" w:hAnsi="Palatino Linotype" w:cs="Tahoma"/>
        </w:rPr>
        <w:t xml:space="preserve">En ese orden de ideas, la Secretaría de Gobernación en las direcciones </w:t>
      </w:r>
      <w:hyperlink r:id="rId10" w:history="1">
        <w:r w:rsidRPr="00470507">
          <w:rPr>
            <w:rStyle w:val="Hipervnculo"/>
            <w:rFonts w:ascii="Palatino Linotype" w:hAnsi="Palatino Linotype" w:cs="Tahoma"/>
          </w:rPr>
          <w:t>https://consultas.curp.gob.mx/CurpSP/html/informacionecurpPS.html</w:t>
        </w:r>
      </w:hyperlink>
      <w:r w:rsidRPr="00470507">
        <w:rPr>
          <w:rFonts w:ascii="Palatino Linotype" w:hAnsi="Palatino Linotype" w:cs="Tahoma"/>
        </w:rPr>
        <w:t xml:space="preserve"> y </w:t>
      </w:r>
      <w:hyperlink r:id="rId11" w:history="1">
        <w:r w:rsidRPr="00470507">
          <w:rPr>
            <w:rStyle w:val="Hipervnculo"/>
            <w:rFonts w:ascii="Palatino Linotype" w:hAnsi="Palatino Linotype" w:cs="Tahoma"/>
          </w:rPr>
          <w:t>https://www.gob.mx/segob/renapo/acciones-y-programas/clave-unica-de-registro-de-poblacion-curp-142226</w:t>
        </w:r>
      </w:hyperlink>
      <w:r w:rsidRPr="00470507">
        <w:rPr>
          <w:rFonts w:ascii="Palatino Linotype" w:hAnsi="Palatino Linotype" w:cs="Tahoma"/>
        </w:rPr>
        <w:t xml:space="preserve"> </w:t>
      </w:r>
      <w:r w:rsidRPr="00470507">
        <w:rPr>
          <w:rFonts w:ascii="Palatino Linotype" w:hAnsi="Palatino Linotype" w:cs="Tahoma"/>
          <w:bCs/>
        </w:rPr>
        <w:t xml:space="preserve">(consultadas el trece de mayo de dos mil veintiuno, a las diez horas),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w:t>
      </w:r>
      <w:r w:rsidRPr="00470507">
        <w:rPr>
          <w:rFonts w:ascii="Palatino Linotype" w:hAnsi="Palatino Linotype" w:cs="Tahoma"/>
          <w:bCs/>
        </w:rPr>
        <w:lastRenderedPageBreak/>
        <w:t>identidad del interesado (acta de nacimiento, carta de naturalización o documento migratorio) de la siguiente forma:</w:t>
      </w:r>
    </w:p>
    <w:p w14:paraId="597A385D" w14:textId="77777777" w:rsidR="00DB667F" w:rsidRPr="00470507" w:rsidRDefault="00DB667F" w:rsidP="00DB667F">
      <w:pPr>
        <w:spacing w:after="0" w:line="360" w:lineRule="auto"/>
        <w:jc w:val="both"/>
        <w:rPr>
          <w:rFonts w:ascii="Palatino Linotype" w:hAnsi="Palatino Linotype" w:cs="Tahoma"/>
          <w:bCs/>
        </w:rPr>
      </w:pPr>
    </w:p>
    <w:p w14:paraId="40D122F9" w14:textId="77777777" w:rsidR="00DB667F" w:rsidRPr="00470507" w:rsidRDefault="00DB667F" w:rsidP="00DB667F">
      <w:pPr>
        <w:numPr>
          <w:ilvl w:val="0"/>
          <w:numId w:val="45"/>
        </w:numPr>
        <w:spacing w:after="0" w:line="360" w:lineRule="auto"/>
        <w:jc w:val="both"/>
        <w:rPr>
          <w:rFonts w:ascii="Palatino Linotype" w:hAnsi="Palatino Linotype" w:cs="Tahoma"/>
          <w:bCs/>
        </w:rPr>
      </w:pPr>
      <w:r w:rsidRPr="00470507">
        <w:rPr>
          <w:rFonts w:ascii="Palatino Linotype" w:hAnsi="Palatino Linotype" w:cs="Tahoma"/>
          <w:bCs/>
        </w:rPr>
        <w:t>El primero y segundo apellidos, así como al nombre de pila;</w:t>
      </w:r>
    </w:p>
    <w:p w14:paraId="32378678" w14:textId="77777777" w:rsidR="00DB667F" w:rsidRPr="00470507" w:rsidRDefault="00DB667F" w:rsidP="00DB667F">
      <w:pPr>
        <w:numPr>
          <w:ilvl w:val="0"/>
          <w:numId w:val="45"/>
        </w:numPr>
        <w:spacing w:after="0" w:line="360" w:lineRule="auto"/>
        <w:jc w:val="both"/>
        <w:rPr>
          <w:rFonts w:ascii="Palatino Linotype" w:hAnsi="Palatino Linotype" w:cs="Tahoma"/>
          <w:bCs/>
        </w:rPr>
      </w:pPr>
      <w:r w:rsidRPr="00470507">
        <w:rPr>
          <w:rFonts w:ascii="Palatino Linotype" w:hAnsi="Palatino Linotype" w:cs="Tahoma"/>
          <w:bCs/>
        </w:rPr>
        <w:t>La fecha de nacimiento;</w:t>
      </w:r>
    </w:p>
    <w:p w14:paraId="172E8589" w14:textId="77777777" w:rsidR="00DB667F" w:rsidRPr="00470507" w:rsidRDefault="00DB667F" w:rsidP="00DB667F">
      <w:pPr>
        <w:numPr>
          <w:ilvl w:val="0"/>
          <w:numId w:val="45"/>
        </w:numPr>
        <w:spacing w:after="0" w:line="360" w:lineRule="auto"/>
        <w:jc w:val="both"/>
        <w:rPr>
          <w:rFonts w:ascii="Palatino Linotype" w:hAnsi="Palatino Linotype" w:cs="Tahoma"/>
          <w:bCs/>
        </w:rPr>
      </w:pPr>
      <w:r w:rsidRPr="00470507">
        <w:rPr>
          <w:rFonts w:ascii="Palatino Linotype" w:hAnsi="Palatino Linotype" w:cs="Tahoma"/>
          <w:bCs/>
        </w:rPr>
        <w:t>El sexo, y</w:t>
      </w:r>
    </w:p>
    <w:p w14:paraId="6EC5875F" w14:textId="77777777" w:rsidR="00DB667F" w:rsidRPr="00470507" w:rsidRDefault="00DB667F" w:rsidP="00DB667F">
      <w:pPr>
        <w:numPr>
          <w:ilvl w:val="0"/>
          <w:numId w:val="45"/>
        </w:numPr>
        <w:spacing w:after="0" w:line="360" w:lineRule="auto"/>
        <w:jc w:val="both"/>
        <w:rPr>
          <w:rFonts w:ascii="Palatino Linotype" w:hAnsi="Palatino Linotype" w:cs="Tahoma"/>
          <w:bCs/>
        </w:rPr>
      </w:pPr>
      <w:r w:rsidRPr="00470507">
        <w:rPr>
          <w:rFonts w:ascii="Palatino Linotype" w:hAnsi="Palatino Linotype" w:cs="Tahoma"/>
          <w:bCs/>
        </w:rPr>
        <w:t>La entidad federativa de nacimiento.</w:t>
      </w:r>
    </w:p>
    <w:p w14:paraId="2AE746F7" w14:textId="77777777" w:rsidR="00DB667F" w:rsidRPr="00470507" w:rsidRDefault="00DB667F" w:rsidP="00DB667F">
      <w:pPr>
        <w:spacing w:after="0" w:line="360" w:lineRule="auto"/>
        <w:jc w:val="both"/>
        <w:rPr>
          <w:rFonts w:ascii="Palatino Linotype" w:hAnsi="Palatino Linotype" w:cs="Tahoma"/>
          <w:bCs/>
        </w:rPr>
      </w:pPr>
    </w:p>
    <w:p w14:paraId="059A4A86" w14:textId="77777777" w:rsidR="00DB667F" w:rsidRPr="00470507" w:rsidRDefault="00DB667F" w:rsidP="00DB667F">
      <w:pPr>
        <w:spacing w:after="0" w:line="360" w:lineRule="auto"/>
        <w:jc w:val="both"/>
        <w:rPr>
          <w:rFonts w:ascii="Palatino Linotype" w:hAnsi="Palatino Linotype" w:cs="Tahoma"/>
          <w:bCs/>
        </w:rPr>
      </w:pPr>
      <w:r w:rsidRPr="00470507">
        <w:rPr>
          <w:rFonts w:ascii="Palatino Linotype" w:hAnsi="Palatino Linotype" w:cs="Tahoma"/>
          <w:bCs/>
        </w:rPr>
        <w:t>Los dos últimos elementos de la Clave Única de Registro de Población evitan la duplicidad de la Clave y garantizan su correcta integración.</w:t>
      </w:r>
    </w:p>
    <w:p w14:paraId="0B29B386" w14:textId="77777777" w:rsidR="00DB667F" w:rsidRPr="00470507" w:rsidRDefault="00DB667F" w:rsidP="00DB667F">
      <w:pPr>
        <w:spacing w:after="0" w:line="360" w:lineRule="auto"/>
        <w:jc w:val="both"/>
        <w:rPr>
          <w:rFonts w:ascii="Palatino Linotype" w:hAnsi="Palatino Linotype" w:cs="Tahoma"/>
          <w:bCs/>
        </w:rPr>
      </w:pPr>
    </w:p>
    <w:p w14:paraId="59D8E209" w14:textId="77777777" w:rsidR="00DB667F" w:rsidRPr="00470507" w:rsidRDefault="00DB667F" w:rsidP="00DB667F">
      <w:pPr>
        <w:spacing w:after="0" w:line="360" w:lineRule="auto"/>
        <w:jc w:val="both"/>
        <w:rPr>
          <w:rFonts w:ascii="Palatino Linotype" w:hAnsi="Palatino Linotype" w:cs="Tahoma"/>
          <w:bCs/>
        </w:rPr>
      </w:pPr>
      <w:r w:rsidRPr="00470507">
        <w:rPr>
          <w:rFonts w:ascii="Palatino Linotype" w:hAnsi="Palatino Linotype" w:cs="Tahoma"/>
          <w:bC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064629C" w14:textId="77777777" w:rsidR="00DB667F" w:rsidRPr="00470507" w:rsidRDefault="00DB667F" w:rsidP="00DB667F">
      <w:pPr>
        <w:spacing w:after="0" w:line="360" w:lineRule="auto"/>
        <w:jc w:val="both"/>
        <w:rPr>
          <w:rFonts w:ascii="Palatino Linotype" w:hAnsi="Palatino Linotype" w:cs="Tahoma"/>
          <w:bCs/>
        </w:rPr>
      </w:pPr>
    </w:p>
    <w:p w14:paraId="5627F7BA" w14:textId="77777777" w:rsidR="00DB667F" w:rsidRPr="00470507" w:rsidRDefault="00DB667F" w:rsidP="00DB667F">
      <w:pPr>
        <w:spacing w:after="0" w:line="360" w:lineRule="auto"/>
        <w:jc w:val="both"/>
        <w:rPr>
          <w:rFonts w:ascii="Palatino Linotype" w:hAnsi="Palatino Linotype" w:cs="Tahoma"/>
          <w:bCs/>
        </w:rPr>
      </w:pPr>
      <w:r w:rsidRPr="00470507">
        <w:rPr>
          <w:rFonts w:ascii="Palatino Linotype" w:hAnsi="Palatino Linotype" w:cs="Tahoma"/>
          <w:bCs/>
        </w:rPr>
        <w:t>Situación que se robustece, con el Criterio 18/17, emitido por el Instituto Nacional de Transparencia, Acceso a la Información y Protección de Datos Personales, que establece lo siguiente:</w:t>
      </w:r>
    </w:p>
    <w:p w14:paraId="56577A8D" w14:textId="77777777" w:rsidR="00DB667F" w:rsidRPr="00470507" w:rsidRDefault="00DB667F" w:rsidP="00DB667F">
      <w:pPr>
        <w:spacing w:after="0" w:line="360" w:lineRule="auto"/>
        <w:ind w:left="567" w:right="567"/>
        <w:jc w:val="both"/>
        <w:rPr>
          <w:rFonts w:ascii="Palatino Linotype" w:hAnsi="Palatino Linotype" w:cs="Tahoma"/>
          <w:bCs/>
          <w:iCs/>
        </w:rPr>
      </w:pPr>
    </w:p>
    <w:p w14:paraId="75056735" w14:textId="77777777" w:rsidR="00DB667F" w:rsidRPr="00470507" w:rsidRDefault="00DB667F" w:rsidP="0097763C">
      <w:pPr>
        <w:spacing w:after="0"/>
        <w:ind w:left="567" w:right="567"/>
        <w:jc w:val="both"/>
        <w:rPr>
          <w:rFonts w:ascii="Palatino Linotype" w:hAnsi="Palatino Linotype" w:cs="Tahoma"/>
          <w:bCs/>
          <w:i/>
          <w:iCs/>
        </w:rPr>
      </w:pPr>
      <w:r w:rsidRPr="00470507">
        <w:rPr>
          <w:rFonts w:ascii="Palatino Linotype" w:hAnsi="Palatino Linotype" w:cs="Tahoma"/>
          <w:b/>
          <w:bCs/>
          <w:i/>
          <w:iCs/>
        </w:rPr>
        <w:t xml:space="preserve">“Clave Única de Registro de Población (CURP). </w:t>
      </w:r>
      <w:r w:rsidRPr="00470507">
        <w:rPr>
          <w:rFonts w:ascii="Palatino Linotype" w:hAnsi="Palatino Linotype" w:cs="Tahoma"/>
          <w:bCs/>
          <w:i/>
          <w:iC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w:t>
      </w:r>
      <w:r w:rsidRPr="00470507">
        <w:rPr>
          <w:rFonts w:ascii="Palatino Linotype" w:hAnsi="Palatino Linotype" w:cs="Tahoma"/>
          <w:bCs/>
          <w:i/>
          <w:iCs/>
        </w:rPr>
        <w:lastRenderedPageBreak/>
        <w:t xml:space="preserve">resto de los habitantes del país, por lo que la CURP está considerada como información confidencial.” </w:t>
      </w:r>
    </w:p>
    <w:p w14:paraId="6B556359" w14:textId="77777777" w:rsidR="00DB667F" w:rsidRPr="00470507" w:rsidRDefault="00DB667F" w:rsidP="00DB667F">
      <w:pPr>
        <w:spacing w:after="0" w:line="360" w:lineRule="auto"/>
        <w:jc w:val="both"/>
        <w:rPr>
          <w:rFonts w:ascii="Palatino Linotype" w:hAnsi="Palatino Linotype" w:cs="Tahoma"/>
          <w:bCs/>
        </w:rPr>
      </w:pPr>
    </w:p>
    <w:p w14:paraId="33A6FD1E" w14:textId="40A0792A" w:rsidR="0097763C" w:rsidRPr="00470507" w:rsidRDefault="00DB667F" w:rsidP="00DB667F">
      <w:pPr>
        <w:spacing w:after="0" w:line="360" w:lineRule="auto"/>
        <w:jc w:val="both"/>
        <w:rPr>
          <w:rFonts w:ascii="Palatino Linotype" w:hAnsi="Palatino Linotype" w:cs="Tahoma"/>
          <w:bCs/>
        </w:rPr>
      </w:pPr>
      <w:r w:rsidRPr="00470507">
        <w:rPr>
          <w:rFonts w:ascii="Palatino Linotype" w:hAnsi="Palatino Linotype" w:cs="Tahoma"/>
          <w:bCs/>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documento privado, en términos del artículo 143, fracción I, de la Ley de Transparencia y Acceso a la Información Pública del Estado de México y Municipios. </w:t>
      </w:r>
    </w:p>
    <w:p w14:paraId="19F0A96D" w14:textId="77777777" w:rsidR="0097763C" w:rsidRPr="00470507" w:rsidRDefault="0097763C" w:rsidP="00DB667F">
      <w:pPr>
        <w:spacing w:after="0" w:line="360" w:lineRule="auto"/>
        <w:jc w:val="both"/>
        <w:rPr>
          <w:rFonts w:ascii="Palatino Linotype" w:hAnsi="Palatino Linotype" w:cs="Tahoma"/>
          <w:bCs/>
        </w:rPr>
      </w:pPr>
    </w:p>
    <w:p w14:paraId="6D388E4C" w14:textId="77777777" w:rsidR="00DB667F" w:rsidRPr="00470507" w:rsidRDefault="00DB667F" w:rsidP="00DB667F">
      <w:pPr>
        <w:pStyle w:val="Prrafodelista"/>
        <w:numPr>
          <w:ilvl w:val="0"/>
          <w:numId w:val="44"/>
        </w:numPr>
        <w:tabs>
          <w:tab w:val="left" w:pos="4962"/>
        </w:tabs>
        <w:spacing w:after="0" w:line="360" w:lineRule="auto"/>
        <w:ind w:right="-28"/>
        <w:jc w:val="both"/>
        <w:rPr>
          <w:rFonts w:ascii="Palatino Linotype" w:eastAsia="Calibri" w:hAnsi="Palatino Linotype" w:cs="Tahoma"/>
          <w:b/>
          <w:iCs/>
          <w:lang w:eastAsia="es-ES_tradnl"/>
        </w:rPr>
      </w:pPr>
      <w:r w:rsidRPr="00470507">
        <w:rPr>
          <w:rFonts w:ascii="Palatino Linotype" w:eastAsia="Calibri" w:hAnsi="Palatino Linotype" w:cs="Tahoma"/>
          <w:b/>
          <w:iCs/>
          <w:lang w:eastAsia="es-ES_tradnl"/>
        </w:rPr>
        <w:t xml:space="preserve">Cédula de Identificación Fiscal. </w:t>
      </w:r>
    </w:p>
    <w:p w14:paraId="2DB7FD43" w14:textId="77777777" w:rsidR="00DB667F" w:rsidRPr="00470507" w:rsidRDefault="00DB667F" w:rsidP="00DB667F">
      <w:pPr>
        <w:tabs>
          <w:tab w:val="left" w:pos="4962"/>
        </w:tabs>
        <w:spacing w:after="0" w:line="360" w:lineRule="auto"/>
        <w:ind w:right="-28"/>
        <w:jc w:val="both"/>
        <w:rPr>
          <w:rFonts w:ascii="Palatino Linotype" w:eastAsia="Calibri" w:hAnsi="Palatino Linotype" w:cs="Tahoma"/>
          <w:bCs/>
          <w:iCs/>
          <w:lang w:eastAsia="es-ES_tradnl"/>
        </w:rPr>
      </w:pPr>
    </w:p>
    <w:p w14:paraId="067BAC5D" w14:textId="77777777" w:rsidR="00DB667F" w:rsidRPr="00470507" w:rsidRDefault="00DB667F" w:rsidP="00DB667F">
      <w:pPr>
        <w:spacing w:after="0" w:line="360" w:lineRule="auto"/>
        <w:jc w:val="both"/>
        <w:rPr>
          <w:rFonts w:ascii="Palatino Linotype" w:hAnsi="Palatino Linotype" w:cs="Tahoma"/>
          <w:bCs/>
        </w:rPr>
      </w:pPr>
      <w:r w:rsidRPr="00470507">
        <w:rPr>
          <w:rFonts w:ascii="Palatino Linotype" w:hAnsi="Palatino Linotype" w:cs="Tahoma"/>
          <w:bC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1902807" w14:textId="77777777" w:rsidR="00DB667F" w:rsidRPr="00470507" w:rsidRDefault="00DB667F" w:rsidP="00DB667F">
      <w:pPr>
        <w:spacing w:after="0" w:line="360" w:lineRule="auto"/>
        <w:jc w:val="both"/>
        <w:rPr>
          <w:rFonts w:ascii="Palatino Linotype" w:hAnsi="Palatino Linotype" w:cs="Tahoma"/>
          <w:bCs/>
        </w:rPr>
      </w:pPr>
    </w:p>
    <w:p w14:paraId="225C6FE2" w14:textId="77777777" w:rsidR="00DB667F" w:rsidRPr="00470507" w:rsidRDefault="00DB667F" w:rsidP="00DB667F">
      <w:pPr>
        <w:spacing w:after="0" w:line="360" w:lineRule="auto"/>
        <w:jc w:val="both"/>
        <w:rPr>
          <w:rFonts w:ascii="Palatino Linotype" w:hAnsi="Palatino Linotype" w:cs="Tahoma"/>
          <w:bCs/>
        </w:rPr>
      </w:pPr>
      <w:r w:rsidRPr="00470507">
        <w:rPr>
          <w:rFonts w:ascii="Palatino Linotype" w:hAnsi="Palatino Linotype" w:cs="Tahoma"/>
          <w:bCs/>
        </w:rPr>
        <w:t xml:space="preserve">De acuerdo a lo establecido en el artículo en comento, esta clave se compone de trece caracteres alfanuméricos, con datos obtenidos de los apellidos, nombre(s), fecha de nacimiento del titular, más una </w:t>
      </w:r>
      <w:proofErr w:type="spellStart"/>
      <w:r w:rsidRPr="00470507">
        <w:rPr>
          <w:rFonts w:ascii="Palatino Linotype" w:hAnsi="Palatino Linotype" w:cs="Tahoma"/>
          <w:bCs/>
        </w:rPr>
        <w:t>homoclave</w:t>
      </w:r>
      <w:proofErr w:type="spellEnd"/>
      <w:r w:rsidRPr="00470507">
        <w:rPr>
          <w:rFonts w:ascii="Palatino Linotype" w:hAnsi="Palatino Linotype" w:cs="Tahoma"/>
          <w:bCs/>
        </w:rPr>
        <w:t xml:space="preserve"> que establece el sistema automático del Servicio de Administración Tributaria.</w:t>
      </w:r>
    </w:p>
    <w:p w14:paraId="4F3CF4B0" w14:textId="77777777" w:rsidR="00DB667F" w:rsidRPr="00470507" w:rsidRDefault="00DB667F" w:rsidP="00DB667F">
      <w:pPr>
        <w:spacing w:after="0" w:line="360" w:lineRule="auto"/>
        <w:jc w:val="both"/>
        <w:rPr>
          <w:rFonts w:ascii="Palatino Linotype" w:hAnsi="Palatino Linotype" w:cs="Tahoma"/>
          <w:bCs/>
          <w:iCs/>
        </w:rPr>
      </w:pPr>
    </w:p>
    <w:p w14:paraId="7083D7A1" w14:textId="77777777" w:rsidR="00DB667F" w:rsidRPr="00470507" w:rsidRDefault="00DB667F" w:rsidP="00DB667F">
      <w:pPr>
        <w:tabs>
          <w:tab w:val="left" w:pos="4962"/>
        </w:tabs>
        <w:spacing w:after="0" w:line="360" w:lineRule="auto"/>
        <w:ind w:right="-28"/>
        <w:jc w:val="both"/>
        <w:rPr>
          <w:rFonts w:ascii="Palatino Linotype" w:eastAsia="Calibri" w:hAnsi="Palatino Linotype" w:cs="Tahoma"/>
          <w:bCs/>
          <w:iCs/>
          <w:lang w:eastAsia="es-ES_tradnl"/>
        </w:rPr>
      </w:pPr>
      <w:r w:rsidRPr="00470507">
        <w:rPr>
          <w:rFonts w:ascii="Palatino Linotype" w:eastAsia="Calibri" w:hAnsi="Palatino Linotype" w:cs="Tahoma"/>
          <w:bCs/>
          <w:iCs/>
          <w:lang w:eastAsia="es-ES_tradnl"/>
        </w:rPr>
        <w:t xml:space="preserve">En ese contexto, conforme a la página oficial del Servicio de Administración Tributaria, en el apartado Obtén tu cédula de identificación fiscal (consultado el trece de mayo a las catorce </w:t>
      </w:r>
      <w:r w:rsidRPr="00470507">
        <w:rPr>
          <w:rFonts w:ascii="Palatino Linotype" w:eastAsia="Calibri" w:hAnsi="Palatino Linotype" w:cs="Tahoma"/>
          <w:bCs/>
          <w:iCs/>
          <w:lang w:eastAsia="es-ES_tradnl"/>
        </w:rPr>
        <w:lastRenderedPageBreak/>
        <w:t xml:space="preserve">horas en la liga </w:t>
      </w:r>
      <w:hyperlink r:id="rId12" w:history="1">
        <w:r w:rsidRPr="00470507">
          <w:rPr>
            <w:rStyle w:val="Hipervnculo"/>
            <w:rFonts w:ascii="Palatino Linotype" w:eastAsia="Calibri" w:hAnsi="Palatino Linotype" w:cs="Tahoma"/>
            <w:bCs/>
            <w:iCs/>
            <w:lang w:eastAsia="es-ES_tradnl"/>
          </w:rPr>
          <w:t>https://www.sat.gob.mx/aplicacion/28889/obten-tu-cedula-de-identificacion-fiscal</w:t>
        </w:r>
      </w:hyperlink>
      <w:r w:rsidRPr="00470507">
        <w:rPr>
          <w:rFonts w:ascii="Palatino Linotype" w:eastAsia="Calibri" w:hAnsi="Palatino Linotype" w:cs="Tahoma"/>
          <w:bCs/>
          <w:iCs/>
          <w:lang w:eastAsia="es-ES_tradnl"/>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0CF43793" w14:textId="77777777" w:rsidR="00DB667F" w:rsidRPr="00470507" w:rsidRDefault="00DB667F" w:rsidP="00DB667F">
      <w:pPr>
        <w:spacing w:after="0" w:line="360" w:lineRule="auto"/>
        <w:jc w:val="both"/>
        <w:rPr>
          <w:rFonts w:ascii="Palatino Linotype" w:hAnsi="Palatino Linotype" w:cs="Tahoma"/>
          <w:bCs/>
          <w:iCs/>
        </w:rPr>
      </w:pPr>
    </w:p>
    <w:p w14:paraId="1004AE17" w14:textId="77777777" w:rsidR="00DB667F" w:rsidRPr="00470507" w:rsidRDefault="00DB667F" w:rsidP="00DB667F">
      <w:pPr>
        <w:spacing w:after="0" w:line="360" w:lineRule="auto"/>
        <w:jc w:val="both"/>
        <w:rPr>
          <w:rFonts w:ascii="Palatino Linotype" w:hAnsi="Palatino Linotype" w:cs="Tahoma"/>
          <w:bCs/>
        </w:rPr>
      </w:pPr>
      <w:r w:rsidRPr="00470507">
        <w:rPr>
          <w:rFonts w:ascii="Palatino Linotype" w:hAnsi="Palatino Linotype" w:cs="Tahoma"/>
          <w:bCs/>
        </w:rPr>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1E9757DD" w14:textId="77777777" w:rsidR="00DB667F" w:rsidRPr="00470507" w:rsidRDefault="00DB667F" w:rsidP="00DB667F">
      <w:pPr>
        <w:spacing w:after="0" w:line="360" w:lineRule="auto"/>
        <w:jc w:val="both"/>
        <w:rPr>
          <w:rFonts w:ascii="Palatino Linotype" w:hAnsi="Palatino Linotype" w:cs="Tahoma"/>
          <w:bCs/>
        </w:rPr>
      </w:pPr>
    </w:p>
    <w:p w14:paraId="2F1272E8" w14:textId="77777777" w:rsidR="00DB667F" w:rsidRPr="00470507" w:rsidRDefault="00DB667F" w:rsidP="00DB667F">
      <w:pPr>
        <w:spacing w:after="0" w:line="360" w:lineRule="auto"/>
        <w:jc w:val="both"/>
        <w:rPr>
          <w:rFonts w:ascii="Palatino Linotype" w:hAnsi="Palatino Linotype" w:cs="Tahoma"/>
          <w:bCs/>
        </w:rPr>
      </w:pPr>
      <w:r w:rsidRPr="00470507">
        <w:rPr>
          <w:rFonts w:ascii="Palatino Linotype" w:hAnsi="Palatino Linotype" w:cs="Tahoma"/>
          <w:bC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71CEFBE7" w14:textId="77777777" w:rsidR="00DB667F" w:rsidRPr="00470507" w:rsidRDefault="00DB667F" w:rsidP="00DB667F">
      <w:pPr>
        <w:spacing w:after="0" w:line="360" w:lineRule="auto"/>
        <w:jc w:val="both"/>
        <w:rPr>
          <w:rFonts w:ascii="Palatino Linotype" w:hAnsi="Palatino Linotype" w:cs="Tahoma"/>
          <w:bCs/>
        </w:rPr>
      </w:pPr>
    </w:p>
    <w:p w14:paraId="2CA2D404" w14:textId="77777777" w:rsidR="00DB667F" w:rsidRPr="00470507" w:rsidRDefault="00DB667F" w:rsidP="00DB667F">
      <w:pPr>
        <w:spacing w:after="0" w:line="360" w:lineRule="auto"/>
        <w:jc w:val="both"/>
        <w:rPr>
          <w:rFonts w:ascii="Palatino Linotype" w:hAnsi="Palatino Linotype" w:cs="Tahoma"/>
          <w:bCs/>
        </w:rPr>
      </w:pPr>
      <w:r w:rsidRPr="00470507">
        <w:rPr>
          <w:rFonts w:ascii="Palatino Linotype" w:hAnsi="Palatino Linotype" w:cs="Tahoma"/>
          <w:bCs/>
        </w:rPr>
        <w:t>Lo anterior, resulta congruente con el Criterio 19/17 emitido por el Instituto Nacional de Transparencia, Acceso a la Información y Protección de Datos Personales, en el cual se señala lo siguiente:</w:t>
      </w:r>
    </w:p>
    <w:p w14:paraId="7DAC641B" w14:textId="77777777" w:rsidR="00DB667F" w:rsidRPr="00470507" w:rsidRDefault="00DB667F" w:rsidP="00DB667F">
      <w:pPr>
        <w:spacing w:after="0" w:line="360" w:lineRule="auto"/>
        <w:jc w:val="both"/>
        <w:rPr>
          <w:rFonts w:ascii="Palatino Linotype" w:hAnsi="Palatino Linotype" w:cs="Tahoma"/>
          <w:bCs/>
        </w:rPr>
      </w:pPr>
    </w:p>
    <w:p w14:paraId="59896B06" w14:textId="77777777" w:rsidR="00DB667F" w:rsidRPr="00470507" w:rsidRDefault="00DB667F" w:rsidP="0097763C">
      <w:pPr>
        <w:widowControl w:val="0"/>
        <w:spacing w:after="0"/>
        <w:ind w:left="567" w:right="567"/>
        <w:jc w:val="both"/>
        <w:rPr>
          <w:rFonts w:ascii="Palatino Linotype" w:hAnsi="Palatino Linotype" w:cs="Tahoma"/>
          <w:bCs/>
          <w:i/>
          <w:iCs/>
        </w:rPr>
      </w:pPr>
      <w:r w:rsidRPr="00470507">
        <w:rPr>
          <w:rFonts w:ascii="Palatino Linotype" w:hAnsi="Palatino Linotype" w:cs="Tahoma"/>
          <w:b/>
          <w:i/>
          <w:iCs/>
        </w:rPr>
        <w:t>“Registro Federal de Contribuyentes (RFC) de personas físicas.</w:t>
      </w:r>
      <w:r w:rsidRPr="00470507">
        <w:rPr>
          <w:rFonts w:ascii="Palatino Linotype" w:hAnsi="Palatino Linotype" w:cs="Tahoma"/>
          <w:bCs/>
          <w:i/>
          <w:iCs/>
        </w:rPr>
        <w:t xml:space="preserve"> El RFC es una clave de carácter fiscal, única e irrepetible, que permite identificar al titular, su edad y fecha de nacimiento, por lo que es un dato personal de carácter confidencial.”</w:t>
      </w:r>
    </w:p>
    <w:p w14:paraId="07DBB1E8" w14:textId="77777777" w:rsidR="00DB667F" w:rsidRPr="00470507" w:rsidRDefault="00DB667F" w:rsidP="00DB667F">
      <w:pPr>
        <w:spacing w:after="0" w:line="360" w:lineRule="auto"/>
        <w:jc w:val="both"/>
        <w:rPr>
          <w:rFonts w:ascii="Palatino Linotype" w:hAnsi="Palatino Linotype" w:cs="Tahoma"/>
          <w:bCs/>
        </w:rPr>
      </w:pPr>
    </w:p>
    <w:p w14:paraId="1244B3E7" w14:textId="77777777" w:rsidR="00DB667F" w:rsidRPr="00470507" w:rsidRDefault="00DB667F" w:rsidP="00DB667F">
      <w:pPr>
        <w:spacing w:after="0" w:line="360" w:lineRule="auto"/>
        <w:jc w:val="both"/>
        <w:rPr>
          <w:rFonts w:ascii="Palatino Linotype" w:hAnsi="Palatino Linotype" w:cs="Tahoma"/>
          <w:b/>
        </w:rPr>
      </w:pPr>
      <w:r w:rsidRPr="00470507">
        <w:rPr>
          <w:rFonts w:ascii="Palatino Linotype" w:hAnsi="Palatino Linotype" w:cs="Tahoma"/>
          <w:bCs/>
        </w:rPr>
        <w:lastRenderedPageBreak/>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 </w:t>
      </w:r>
    </w:p>
    <w:p w14:paraId="70B6553E" w14:textId="77777777" w:rsidR="00DB667F" w:rsidRPr="00470507" w:rsidRDefault="00DB667F" w:rsidP="00DB667F">
      <w:pPr>
        <w:widowControl w:val="0"/>
        <w:autoSpaceDE w:val="0"/>
        <w:autoSpaceDN w:val="0"/>
        <w:adjustRightInd w:val="0"/>
        <w:spacing w:after="0" w:line="360" w:lineRule="auto"/>
        <w:jc w:val="both"/>
        <w:rPr>
          <w:rFonts w:ascii="Palatino Linotype" w:hAnsi="Palatino Linotype" w:cs="Tahoma"/>
          <w:b/>
        </w:rPr>
      </w:pPr>
    </w:p>
    <w:p w14:paraId="1DF131CC" w14:textId="35E8741C" w:rsidR="00DB667F" w:rsidRPr="00470507" w:rsidRDefault="00DB667F" w:rsidP="00DB667F">
      <w:pPr>
        <w:pStyle w:val="Prrafodelista"/>
        <w:widowControl w:val="0"/>
        <w:numPr>
          <w:ilvl w:val="0"/>
          <w:numId w:val="43"/>
        </w:numPr>
        <w:autoSpaceDE w:val="0"/>
        <w:autoSpaceDN w:val="0"/>
        <w:adjustRightInd w:val="0"/>
        <w:spacing w:after="0" w:line="360" w:lineRule="auto"/>
        <w:jc w:val="both"/>
        <w:rPr>
          <w:rFonts w:ascii="Palatino Linotype" w:hAnsi="Palatino Linotype" w:cs="Tahoma"/>
          <w:b/>
        </w:rPr>
      </w:pPr>
      <w:r w:rsidRPr="00470507">
        <w:rPr>
          <w:rFonts w:ascii="Palatino Linotype" w:eastAsia="Calibri" w:hAnsi="Palatino Linotype" w:cs="Tahoma"/>
          <w:b/>
          <w:bCs/>
        </w:rPr>
        <w:t>Certificado de no deudor alimentario moroso</w:t>
      </w:r>
      <w:r w:rsidR="009C3F85" w:rsidRPr="00470507">
        <w:rPr>
          <w:rFonts w:ascii="Palatino Linotype" w:eastAsia="Calibri" w:hAnsi="Palatino Linotype" w:cs="Tahoma"/>
          <w:b/>
          <w:bCs/>
        </w:rPr>
        <w:t xml:space="preserve">. </w:t>
      </w:r>
    </w:p>
    <w:p w14:paraId="237FC6A9" w14:textId="77777777" w:rsidR="00DB667F" w:rsidRPr="00470507" w:rsidRDefault="00DB667F" w:rsidP="00DB667F">
      <w:pPr>
        <w:spacing w:after="0" w:line="360" w:lineRule="auto"/>
        <w:contextualSpacing/>
        <w:jc w:val="both"/>
        <w:rPr>
          <w:rFonts w:ascii="Palatino Linotype" w:hAnsi="Palatino Linotype" w:cs="Tahoma"/>
        </w:rPr>
      </w:pPr>
    </w:p>
    <w:p w14:paraId="77F4FC6F" w14:textId="77777777" w:rsidR="00DB667F" w:rsidRPr="00470507" w:rsidRDefault="00DB667F" w:rsidP="00DB667F">
      <w:pPr>
        <w:spacing w:after="0" w:line="360" w:lineRule="auto"/>
        <w:contextualSpacing/>
        <w:jc w:val="both"/>
        <w:rPr>
          <w:rFonts w:ascii="Palatino Linotype" w:hAnsi="Palatino Linotype" w:cs="Tahoma"/>
        </w:rPr>
      </w:pPr>
      <w:r w:rsidRPr="00470507">
        <w:rPr>
          <w:rFonts w:ascii="Palatino Linotype" w:hAnsi="Palatino Linotype" w:cs="Tahoma"/>
        </w:rPr>
        <w:t xml:space="preserve">Al respecto, en el Proyecto de Decreto por el que se Reforman y Adicionan Diversas Disposiciones para crear el Registro de Deudores Alimentarios del Estado de México, disponible en la dirección electrónica </w:t>
      </w:r>
      <w:hyperlink r:id="rId13" w:anchor=":~:text=La%20inscripci%C3%B3n%20con%20el%20car%C3%A1cter,del%20Estado%20de%20M%C3%A9xico%20e" w:history="1">
        <w:r w:rsidRPr="00470507">
          <w:rPr>
            <w:rStyle w:val="Hipervnculo"/>
            <w:rFonts w:ascii="Palatino Linotype" w:hAnsi="Palatino Linotype" w:cs="Tahoma"/>
          </w:rPr>
          <w:t>https://www.ipomex.org.mx/recursos/ipo/files_ipo/2014/8/11/630bc7787b59af912a96a9e1bca1c770.pdf#:~:text=La%20inscripci%C3%B3n%20con%20el%20car%C3%A1cter,del%20Estado%20de%20M%C3%A9xico%20e</w:t>
        </w:r>
      </w:hyperlink>
      <w:r w:rsidRPr="00470507">
        <w:rPr>
          <w:rFonts w:ascii="Palatino Linotype" w:hAnsi="Palatino Linotype" w:cs="Tahoma"/>
        </w:rPr>
        <w:t xml:space="preserve">, pueden advertirse los objetivos de crear dicho registro: </w:t>
      </w:r>
    </w:p>
    <w:p w14:paraId="0C8533A0" w14:textId="77777777" w:rsidR="00DB667F" w:rsidRPr="00470507" w:rsidRDefault="00DB667F" w:rsidP="00DB667F">
      <w:pPr>
        <w:spacing w:after="0" w:line="360" w:lineRule="auto"/>
        <w:contextualSpacing/>
        <w:jc w:val="both"/>
        <w:rPr>
          <w:rFonts w:ascii="Palatino Linotype" w:hAnsi="Palatino Linotype" w:cs="Tahoma"/>
        </w:rPr>
      </w:pPr>
    </w:p>
    <w:p w14:paraId="6D1A39FE" w14:textId="77777777" w:rsidR="00DB667F" w:rsidRPr="00470507" w:rsidRDefault="00DB667F" w:rsidP="0097763C">
      <w:pPr>
        <w:spacing w:after="0"/>
        <w:ind w:left="567" w:right="539"/>
        <w:contextualSpacing/>
        <w:jc w:val="both"/>
        <w:rPr>
          <w:rFonts w:ascii="Palatino Linotype" w:hAnsi="Palatino Linotype" w:cs="Tahoma"/>
          <w:i/>
          <w:iCs/>
        </w:rPr>
      </w:pPr>
      <w:r w:rsidRPr="00470507">
        <w:rPr>
          <w:rFonts w:ascii="Palatino Linotype" w:hAnsi="Palatino Linotype" w:cs="Tahoma"/>
          <w:i/>
          <w:iCs/>
        </w:rPr>
        <w:t>El interés superior del menor debe prevalecer en cualquier controversia de derecho familiar, situación que obliga a las autoridades a establecer las medidas necesarias para asegurar el cumplimiento del pago de la pensión alimenticia decretada a su favor.</w:t>
      </w:r>
    </w:p>
    <w:p w14:paraId="222FC04F" w14:textId="77777777" w:rsidR="00DB667F" w:rsidRPr="00470507" w:rsidRDefault="00DB667F" w:rsidP="0097763C">
      <w:pPr>
        <w:spacing w:after="0"/>
        <w:ind w:left="567"/>
        <w:contextualSpacing/>
        <w:jc w:val="both"/>
        <w:rPr>
          <w:rFonts w:ascii="Palatino Linotype" w:hAnsi="Palatino Linotype" w:cs="Tahoma"/>
          <w:i/>
          <w:iCs/>
        </w:rPr>
      </w:pPr>
    </w:p>
    <w:p w14:paraId="7132E0F2" w14:textId="5ACAB4E5" w:rsidR="00DB667F" w:rsidRPr="00470507" w:rsidRDefault="00DB667F" w:rsidP="009C3F85">
      <w:pPr>
        <w:spacing w:after="0"/>
        <w:ind w:left="567" w:right="539"/>
        <w:contextualSpacing/>
        <w:jc w:val="both"/>
        <w:rPr>
          <w:rFonts w:ascii="Palatino Linotype" w:hAnsi="Palatino Linotype" w:cs="Tahoma"/>
          <w:i/>
          <w:iCs/>
        </w:rPr>
      </w:pPr>
      <w:r w:rsidRPr="00470507">
        <w:rPr>
          <w:rFonts w:ascii="Palatino Linotype" w:hAnsi="Palatino Linotype" w:cs="Tahoma"/>
          <w:i/>
          <w:iCs/>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14:paraId="47EC9CC6" w14:textId="77777777" w:rsidR="00DB667F" w:rsidRPr="00470507" w:rsidRDefault="00DB667F" w:rsidP="0097763C">
      <w:pPr>
        <w:spacing w:after="0"/>
        <w:ind w:left="567" w:right="539"/>
        <w:contextualSpacing/>
        <w:jc w:val="both"/>
        <w:rPr>
          <w:rFonts w:ascii="Palatino Linotype" w:hAnsi="Palatino Linotype" w:cs="Tahoma"/>
          <w:i/>
          <w:iCs/>
        </w:rPr>
      </w:pPr>
      <w:r w:rsidRPr="00470507">
        <w:rPr>
          <w:rFonts w:ascii="Palatino Linotype" w:hAnsi="Palatino Linotype" w:cs="Tahoma"/>
          <w:i/>
          <w:iCs/>
        </w:rPr>
        <w:t xml:space="preserve">En nuestra Entidad, las demandas de alimentos son presentadas en su gran mayoría por mujeres madres de familia que demandan, por su propio derecho y/o en representación de sus menores hijos, de su cónyuge, concubino o ex pareja el cumplimiento de esta obligación. </w:t>
      </w:r>
      <w:r w:rsidRPr="00470507">
        <w:rPr>
          <w:rFonts w:ascii="Palatino Linotype" w:hAnsi="Palatino Linotype" w:cs="Tahoma"/>
          <w:i/>
          <w:iCs/>
        </w:rPr>
        <w:lastRenderedPageBreak/>
        <w:t>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14:paraId="5B473151" w14:textId="77777777" w:rsidR="00DB667F" w:rsidRPr="00470507" w:rsidRDefault="00DB667F" w:rsidP="0097763C">
      <w:pPr>
        <w:spacing w:after="0"/>
        <w:ind w:left="567" w:right="539"/>
        <w:contextualSpacing/>
        <w:jc w:val="both"/>
        <w:rPr>
          <w:rFonts w:ascii="Palatino Linotype" w:hAnsi="Palatino Linotype" w:cs="Tahoma"/>
          <w:i/>
          <w:iCs/>
        </w:rPr>
      </w:pPr>
    </w:p>
    <w:p w14:paraId="553BE503" w14:textId="77777777" w:rsidR="00DB667F" w:rsidRPr="00470507" w:rsidRDefault="00DB667F" w:rsidP="0097763C">
      <w:pPr>
        <w:spacing w:after="0"/>
        <w:ind w:left="567" w:right="539"/>
        <w:contextualSpacing/>
        <w:jc w:val="both"/>
        <w:rPr>
          <w:rFonts w:ascii="Palatino Linotype" w:hAnsi="Palatino Linotype" w:cs="Tahoma"/>
          <w:i/>
          <w:iCs/>
        </w:rPr>
      </w:pPr>
      <w:r w:rsidRPr="00470507">
        <w:rPr>
          <w:rFonts w:ascii="Palatino Linotype" w:hAnsi="Palatino Linotype" w:cs="Tahoma"/>
          <w:i/>
          <w:iCs/>
        </w:rPr>
        <w:t>Los alimentos tienen carácter preferente a favor de los hijos, sin que pueda eximirse el deudor alimentario de su cumplimiento cuando esté en posibilidades de hacerlo. En el Estado de México,</w:t>
      </w:r>
      <w:r w:rsidRPr="00470507">
        <w:rPr>
          <w:rFonts w:ascii="Palatino Linotype" w:hAnsi="Palatino Linotype"/>
        </w:rPr>
        <w:t xml:space="preserve"> </w:t>
      </w:r>
      <w:r w:rsidRPr="00470507">
        <w:rPr>
          <w:rFonts w:ascii="Palatino Linotype" w:hAnsi="Palatino Linotype" w:cs="Tahoma"/>
          <w:i/>
          <w:iCs/>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14:paraId="75CD9634" w14:textId="77777777" w:rsidR="00DB667F" w:rsidRPr="00470507" w:rsidRDefault="00DB667F" w:rsidP="0097763C">
      <w:pPr>
        <w:spacing w:after="0"/>
        <w:ind w:left="567" w:right="539"/>
        <w:contextualSpacing/>
        <w:jc w:val="both"/>
        <w:rPr>
          <w:rFonts w:ascii="Palatino Linotype" w:hAnsi="Palatino Linotype" w:cs="Tahoma"/>
          <w:i/>
          <w:iCs/>
        </w:rPr>
      </w:pPr>
    </w:p>
    <w:p w14:paraId="6B083B3B" w14:textId="77777777" w:rsidR="00DB667F" w:rsidRPr="00470507" w:rsidRDefault="00DB667F" w:rsidP="0097763C">
      <w:pPr>
        <w:spacing w:after="0"/>
        <w:ind w:left="567" w:right="539"/>
        <w:contextualSpacing/>
        <w:jc w:val="both"/>
        <w:rPr>
          <w:rFonts w:ascii="Palatino Linotype" w:hAnsi="Palatino Linotype" w:cs="Tahoma"/>
          <w:i/>
          <w:iCs/>
        </w:rPr>
      </w:pPr>
      <w:r w:rsidRPr="00470507">
        <w:rPr>
          <w:rFonts w:ascii="Palatino Linotype" w:hAnsi="Palatino Linotype" w:cs="Tahoma"/>
          <w:i/>
          <w:iCs/>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sidRPr="00470507">
        <w:rPr>
          <w:rFonts w:ascii="Palatino Linotype" w:hAnsi="Palatino Linotype" w:cs="Tahoma"/>
          <w:b/>
          <w:bCs/>
          <w:i/>
          <w:iCs/>
        </w:rPr>
        <w:t>con la finalidad de asegurar el cumplimiento de las obligaciones alimentarias que tienen los padres para con sus menores hijos.</w:t>
      </w:r>
    </w:p>
    <w:p w14:paraId="35D52777" w14:textId="77777777" w:rsidR="00DB667F" w:rsidRPr="00470507" w:rsidRDefault="00DB667F" w:rsidP="00DB667F">
      <w:pPr>
        <w:spacing w:after="0" w:line="360" w:lineRule="auto"/>
        <w:contextualSpacing/>
        <w:jc w:val="both"/>
        <w:rPr>
          <w:rFonts w:ascii="Palatino Linotype" w:hAnsi="Palatino Linotype" w:cs="Tahoma"/>
        </w:rPr>
      </w:pPr>
    </w:p>
    <w:p w14:paraId="5F74C7B3" w14:textId="20D9A98F" w:rsidR="009C3F85" w:rsidRPr="00470507" w:rsidRDefault="009C3F85" w:rsidP="009C3F85">
      <w:pPr>
        <w:spacing w:after="0" w:line="360" w:lineRule="auto"/>
        <w:contextualSpacing/>
        <w:jc w:val="both"/>
        <w:rPr>
          <w:rFonts w:ascii="Palatino Linotype" w:hAnsi="Palatino Linotype" w:cs="Tahoma"/>
          <w:color w:val="000000" w:themeColor="text1"/>
        </w:rPr>
      </w:pPr>
      <w:r w:rsidRPr="00470507">
        <w:rPr>
          <w:rFonts w:ascii="Palatino Linotype" w:eastAsia="Calibri" w:hAnsi="Palatino Linotype" w:cs="Tahoma"/>
          <w:bCs/>
          <w:color w:val="000000" w:themeColor="text1"/>
        </w:rPr>
        <w:t xml:space="preserve">Por lo que hace los certificados de no deudor alimentario moroso este documento debe ser entregado en versión pública, protegiendo los datos contenidos en los mismos que actualicen la </w:t>
      </w:r>
      <w:proofErr w:type="spellStart"/>
      <w:r w:rsidRPr="00470507">
        <w:rPr>
          <w:rFonts w:ascii="Palatino Linotype" w:eastAsia="Calibri" w:hAnsi="Palatino Linotype" w:cs="Tahoma"/>
          <w:bCs/>
          <w:color w:val="000000" w:themeColor="text1"/>
        </w:rPr>
        <w:t>hipotesis</w:t>
      </w:r>
      <w:proofErr w:type="spellEnd"/>
      <w:r w:rsidRPr="00470507">
        <w:rPr>
          <w:rFonts w:ascii="Palatino Linotype" w:eastAsia="Calibri" w:hAnsi="Palatino Linotype" w:cs="Tahoma"/>
          <w:bCs/>
          <w:color w:val="000000" w:themeColor="text1"/>
        </w:rPr>
        <w:t xml:space="preserve"> prevista en el </w:t>
      </w:r>
      <w:proofErr w:type="spellStart"/>
      <w:r w:rsidRPr="00470507">
        <w:rPr>
          <w:rFonts w:ascii="Palatino Linotype" w:eastAsia="Calibri" w:hAnsi="Palatino Linotype" w:cs="Tahoma"/>
          <w:bCs/>
          <w:color w:val="000000" w:themeColor="text1"/>
        </w:rPr>
        <w:t>artícuo</w:t>
      </w:r>
      <w:proofErr w:type="spellEnd"/>
      <w:r w:rsidRPr="00470507">
        <w:rPr>
          <w:rFonts w:ascii="Palatino Linotype" w:eastAsia="Calibri" w:hAnsi="Palatino Linotype" w:cs="Tahoma"/>
          <w:bCs/>
          <w:color w:val="000000" w:themeColor="text1"/>
        </w:rPr>
        <w:t xml:space="preserve"> 143 de la Ley de Transparencia y Acceso a la Información Pública del Estado de México y Municipios. </w:t>
      </w:r>
    </w:p>
    <w:p w14:paraId="6AEB8177" w14:textId="77777777" w:rsidR="0097763C" w:rsidRPr="00470507" w:rsidRDefault="0097763C" w:rsidP="00DB667F">
      <w:pPr>
        <w:spacing w:after="0" w:line="360" w:lineRule="auto"/>
        <w:contextualSpacing/>
        <w:jc w:val="both"/>
        <w:rPr>
          <w:rFonts w:ascii="Palatino Linotype" w:hAnsi="Palatino Linotype" w:cs="Tahoma"/>
        </w:rPr>
      </w:pPr>
    </w:p>
    <w:p w14:paraId="7D783744" w14:textId="77777777" w:rsidR="00F51F8E" w:rsidRPr="00470507" w:rsidRDefault="00F51F8E" w:rsidP="00DB667F">
      <w:pPr>
        <w:spacing w:after="0" w:line="360" w:lineRule="auto"/>
        <w:contextualSpacing/>
        <w:jc w:val="both"/>
        <w:rPr>
          <w:rFonts w:ascii="Palatino Linotype" w:hAnsi="Palatino Linotype" w:cs="Tahoma"/>
        </w:rPr>
      </w:pPr>
    </w:p>
    <w:p w14:paraId="18AF8286" w14:textId="3308776D" w:rsidR="0097763C" w:rsidRPr="00470507" w:rsidRDefault="0097763C" w:rsidP="0097763C">
      <w:pPr>
        <w:pStyle w:val="Prrafodelista"/>
        <w:numPr>
          <w:ilvl w:val="0"/>
          <w:numId w:val="43"/>
        </w:numPr>
        <w:spacing w:after="0" w:line="360" w:lineRule="auto"/>
        <w:jc w:val="both"/>
        <w:rPr>
          <w:rFonts w:ascii="Palatino Linotype" w:hAnsi="Palatino Linotype" w:cs="Tahoma"/>
        </w:rPr>
      </w:pPr>
      <w:r w:rsidRPr="00470507">
        <w:rPr>
          <w:rFonts w:ascii="Palatino Linotype" w:hAnsi="Palatino Linotype" w:cs="Tahoma"/>
          <w:b/>
          <w:bCs/>
        </w:rPr>
        <w:lastRenderedPageBreak/>
        <w:t xml:space="preserve">Hoja de liberación de servicio militar. </w:t>
      </w:r>
    </w:p>
    <w:p w14:paraId="62E4AB5C" w14:textId="77777777" w:rsidR="0097763C" w:rsidRPr="00470507" w:rsidRDefault="0097763C" w:rsidP="0097763C">
      <w:pPr>
        <w:spacing w:after="0" w:line="360" w:lineRule="auto"/>
        <w:jc w:val="both"/>
        <w:rPr>
          <w:rFonts w:ascii="Palatino Linotype" w:hAnsi="Palatino Linotype" w:cs="Tahoma"/>
        </w:rPr>
      </w:pPr>
    </w:p>
    <w:p w14:paraId="2564978D" w14:textId="344079E0" w:rsidR="0097763C" w:rsidRPr="00470507" w:rsidRDefault="0097763C" w:rsidP="0097763C">
      <w:pPr>
        <w:spacing w:after="0" w:line="360" w:lineRule="auto"/>
        <w:jc w:val="both"/>
        <w:rPr>
          <w:rFonts w:ascii="Palatino Linotype" w:hAnsi="Palatino Linotype" w:cs="Tahoma"/>
        </w:rPr>
      </w:pPr>
      <w:r w:rsidRPr="00470507">
        <w:rPr>
          <w:rFonts w:ascii="Palatino Linotype" w:hAnsi="Palatino Linotype" w:cs="Tahoma"/>
        </w:rPr>
        <w:t xml:space="preserve">Se trata de información que se relaciona con la esfera de privacidad más íntima de personas físicas y no es susceptible de entregarse, </w:t>
      </w:r>
      <w:proofErr w:type="spellStart"/>
      <w:r w:rsidRPr="00470507">
        <w:rPr>
          <w:rFonts w:ascii="Palatino Linotype" w:hAnsi="Palatino Linotype" w:cs="Tahoma"/>
        </w:rPr>
        <w:t>aún</w:t>
      </w:r>
      <w:proofErr w:type="spellEnd"/>
      <w:r w:rsidRPr="00470507">
        <w:rPr>
          <w:rFonts w:ascii="Palatino Linotype" w:hAnsi="Palatino Linotype" w:cs="Tahoma"/>
        </w:rPr>
        <w:t xml:space="preserve"> siendo en versión pública, pues en contenido del mismo se encontraría testado en su mayoría dejándose observar únicamente lo correspondiente al formato principal o básico del documento, lo cual aludiría a un formato cuya información resulta irrelevante, situación que conlleva a determinar que el documento debe ser clasificado en su totalidad, en términos de la fracción I del artículo 143 de la Ley de Transparencia y Acceso a la Información Pública del Estado de México y Municipios. </w:t>
      </w:r>
    </w:p>
    <w:p w14:paraId="4686FC09" w14:textId="77777777" w:rsidR="009C3F85" w:rsidRPr="00470507" w:rsidRDefault="009C3F85" w:rsidP="0097763C">
      <w:pPr>
        <w:spacing w:after="0" w:line="360" w:lineRule="auto"/>
        <w:jc w:val="both"/>
        <w:rPr>
          <w:rFonts w:ascii="Palatino Linotype" w:hAnsi="Palatino Linotype" w:cs="Tahoma"/>
        </w:rPr>
      </w:pPr>
    </w:p>
    <w:p w14:paraId="15243A3F" w14:textId="4DF82E7B" w:rsidR="009C3F85" w:rsidRPr="00470507" w:rsidRDefault="009C3F85" w:rsidP="009C3F85">
      <w:pPr>
        <w:pStyle w:val="Prrafodelista"/>
        <w:numPr>
          <w:ilvl w:val="0"/>
          <w:numId w:val="43"/>
        </w:numPr>
        <w:spacing w:after="0" w:line="360" w:lineRule="auto"/>
        <w:jc w:val="both"/>
        <w:rPr>
          <w:rFonts w:ascii="Palatino Linotype" w:hAnsi="Palatino Linotype" w:cs="Tahoma"/>
          <w:b/>
          <w:bCs/>
        </w:rPr>
      </w:pPr>
      <w:r w:rsidRPr="00470507">
        <w:rPr>
          <w:rFonts w:ascii="Palatino Linotype" w:hAnsi="Palatino Linotype" w:cs="Tahoma"/>
          <w:b/>
          <w:bCs/>
        </w:rPr>
        <w:t xml:space="preserve">Licencias de conducir. </w:t>
      </w:r>
    </w:p>
    <w:p w14:paraId="5E3C89A2" w14:textId="77777777" w:rsidR="009C3F85" w:rsidRPr="00470507" w:rsidRDefault="009C3F85" w:rsidP="009C3F85">
      <w:pPr>
        <w:spacing w:after="0" w:line="360" w:lineRule="auto"/>
        <w:jc w:val="both"/>
        <w:rPr>
          <w:rFonts w:ascii="Palatino Linotype" w:hAnsi="Palatino Linotype" w:cs="Tahoma"/>
        </w:rPr>
      </w:pPr>
    </w:p>
    <w:p w14:paraId="2A7F424B" w14:textId="388770FF" w:rsidR="009C3F85" w:rsidRPr="00470507" w:rsidRDefault="009C3F85" w:rsidP="009C3F85">
      <w:pPr>
        <w:spacing w:after="0" w:line="360" w:lineRule="auto"/>
        <w:jc w:val="both"/>
        <w:rPr>
          <w:rFonts w:ascii="Palatino Linotype" w:hAnsi="Palatino Linotype" w:cs="Tahoma"/>
        </w:rPr>
      </w:pPr>
      <w:r w:rsidRPr="00470507">
        <w:rPr>
          <w:rFonts w:ascii="Palatino Linotype" w:hAnsi="Palatino Linotype" w:cs="Tahoma"/>
        </w:rPr>
        <w:t>La licencia de conducir es un certificado oficial que acredita a la persona que lo porta y a quien identifica</w:t>
      </w:r>
      <w:r w:rsidR="00E84A1C" w:rsidRPr="00470507">
        <w:rPr>
          <w:rFonts w:ascii="Palatino Linotype" w:hAnsi="Palatino Linotype" w:cs="Tahoma"/>
        </w:rPr>
        <w:t xml:space="preserve"> </w:t>
      </w:r>
      <w:r w:rsidRPr="00470507">
        <w:rPr>
          <w:rFonts w:ascii="Palatino Linotype" w:hAnsi="Palatino Linotype" w:cs="Tahoma"/>
        </w:rPr>
        <w:t>las habilidades para manejar el vehículo para el cual se tramitó</w:t>
      </w:r>
      <w:r w:rsidR="00E84A1C" w:rsidRPr="00470507">
        <w:rPr>
          <w:rFonts w:ascii="Palatino Linotype" w:hAnsi="Palatino Linotype" w:cs="Tahoma"/>
        </w:rPr>
        <w:t>, entre los elementos que integran las licencias de conducir, se encuentran nombre, edad, sexo, huella digital, fecha de vigencia, estado que la emitió, grupo sanguíneo y fotografía,</w:t>
      </w:r>
      <w:r w:rsidR="00235482" w:rsidRPr="00470507">
        <w:rPr>
          <w:rFonts w:ascii="Palatino Linotype" w:hAnsi="Palatino Linotype" w:cs="Tahoma"/>
        </w:rPr>
        <w:t xml:space="preserve"> datos que hacen identificado e identificable a una persona, por lo que, se actualiza la hipótesis prevista en la fracción I del artículo 143 de la Ley de Transparencia y Acceso a la Información Pública del Estado de México. </w:t>
      </w:r>
    </w:p>
    <w:p w14:paraId="00860055" w14:textId="77777777" w:rsidR="00235482" w:rsidRPr="00470507" w:rsidRDefault="00235482" w:rsidP="009C3F85">
      <w:pPr>
        <w:spacing w:after="0" w:line="360" w:lineRule="auto"/>
        <w:jc w:val="both"/>
        <w:rPr>
          <w:rFonts w:ascii="Palatino Linotype" w:hAnsi="Palatino Linotype" w:cs="Tahoma"/>
        </w:rPr>
      </w:pPr>
    </w:p>
    <w:p w14:paraId="12A0F40D" w14:textId="67698AEF" w:rsidR="00235482" w:rsidRPr="00470507" w:rsidRDefault="00235482" w:rsidP="009C3F85">
      <w:pPr>
        <w:spacing w:after="0" w:line="360" w:lineRule="auto"/>
        <w:jc w:val="both"/>
        <w:rPr>
          <w:rFonts w:ascii="Palatino Linotype" w:hAnsi="Palatino Linotype" w:cs="Tahoma"/>
        </w:rPr>
      </w:pPr>
      <w:r w:rsidRPr="00470507">
        <w:rPr>
          <w:rFonts w:ascii="Palatino Linotype" w:hAnsi="Palatino Linotype" w:cs="Tahoma"/>
        </w:rPr>
        <w:t xml:space="preserve">Es de destacar que, en el presente asunto, si bien, el Sujeto Obligado remitió mediante informe justificado la licencia de conducir, también lo es que, de la normatividad que regula el ingreso de los particulares al servicio público, no se advierte que este documento deba ser un requisito para ostentar el cargo de Director de Obras Públicas, por lo que, no se advierte algún interés público por conocer este documento, pues no se </w:t>
      </w:r>
      <w:proofErr w:type="spellStart"/>
      <w:r w:rsidRPr="00470507">
        <w:rPr>
          <w:rFonts w:ascii="Palatino Linotype" w:hAnsi="Palatino Linotype" w:cs="Tahoma"/>
        </w:rPr>
        <w:t>víncula</w:t>
      </w:r>
      <w:proofErr w:type="spellEnd"/>
      <w:r w:rsidRPr="00470507">
        <w:rPr>
          <w:rFonts w:ascii="Palatino Linotype" w:hAnsi="Palatino Linotype" w:cs="Tahoma"/>
        </w:rPr>
        <w:t xml:space="preserve"> con el ejercicio de sus funciones. </w:t>
      </w:r>
    </w:p>
    <w:p w14:paraId="46CF29E1" w14:textId="77777777" w:rsidR="00235482" w:rsidRPr="00470507" w:rsidRDefault="00235482" w:rsidP="009C3F85">
      <w:pPr>
        <w:spacing w:after="0" w:line="360" w:lineRule="auto"/>
        <w:jc w:val="both"/>
        <w:rPr>
          <w:rFonts w:ascii="Palatino Linotype" w:hAnsi="Palatino Linotype" w:cs="Tahoma"/>
        </w:rPr>
      </w:pPr>
    </w:p>
    <w:p w14:paraId="05F5B824" w14:textId="0E850C76" w:rsidR="00235482" w:rsidRPr="00470507" w:rsidRDefault="00235482" w:rsidP="009C3F85">
      <w:pPr>
        <w:spacing w:after="0" w:line="360" w:lineRule="auto"/>
        <w:jc w:val="both"/>
        <w:rPr>
          <w:rFonts w:ascii="Palatino Linotype" w:hAnsi="Palatino Linotype" w:cs="Tahoma"/>
        </w:rPr>
      </w:pPr>
      <w:r w:rsidRPr="00470507">
        <w:rPr>
          <w:rFonts w:ascii="Palatino Linotype" w:hAnsi="Palatino Linotype" w:cs="Tahoma"/>
        </w:rPr>
        <w:lastRenderedPageBreak/>
        <w:t xml:space="preserve">Por lo anterior, en este caso, la licencia de conducir debe ser clasificada en su totalidad, en términos de la fracción I del artículo 143 de la Ley de Transparencia y Acceso a la Información Pública del Estado de México y Municipios. </w:t>
      </w:r>
    </w:p>
    <w:p w14:paraId="6EA4D2A3" w14:textId="77777777" w:rsidR="0097763C" w:rsidRPr="00470507" w:rsidRDefault="0097763C" w:rsidP="0097763C">
      <w:pPr>
        <w:spacing w:after="0" w:line="360" w:lineRule="auto"/>
        <w:jc w:val="both"/>
        <w:rPr>
          <w:rFonts w:ascii="Palatino Linotype" w:hAnsi="Palatino Linotype" w:cs="Tahoma"/>
        </w:rPr>
      </w:pPr>
    </w:p>
    <w:p w14:paraId="40370E23" w14:textId="73BEABAB" w:rsidR="0097763C" w:rsidRPr="00470507" w:rsidRDefault="0097763C" w:rsidP="0097763C">
      <w:pPr>
        <w:pStyle w:val="Prrafodelista"/>
        <w:numPr>
          <w:ilvl w:val="0"/>
          <w:numId w:val="43"/>
        </w:numPr>
        <w:spacing w:after="0" w:line="360" w:lineRule="auto"/>
        <w:jc w:val="both"/>
        <w:rPr>
          <w:rFonts w:ascii="Palatino Linotype" w:hAnsi="Palatino Linotype" w:cs="Tahoma"/>
        </w:rPr>
      </w:pPr>
      <w:r w:rsidRPr="00470507">
        <w:rPr>
          <w:rFonts w:ascii="Palatino Linotype" w:hAnsi="Palatino Linotype" w:cs="Tahoma"/>
          <w:b/>
          <w:bCs/>
        </w:rPr>
        <w:t xml:space="preserve">Certificado de Competencia Laboral. </w:t>
      </w:r>
    </w:p>
    <w:p w14:paraId="6D8FA800" w14:textId="77777777" w:rsidR="0097763C" w:rsidRPr="00470507" w:rsidRDefault="0097763C" w:rsidP="0097763C">
      <w:pPr>
        <w:spacing w:after="0" w:line="360" w:lineRule="auto"/>
        <w:jc w:val="both"/>
        <w:rPr>
          <w:rFonts w:ascii="Palatino Linotype" w:hAnsi="Palatino Linotype" w:cs="Tahoma"/>
        </w:rPr>
      </w:pPr>
    </w:p>
    <w:p w14:paraId="7B682FAA" w14:textId="47A0E13B" w:rsidR="0097763C" w:rsidRPr="00470507" w:rsidRDefault="0097763C" w:rsidP="0097763C">
      <w:pPr>
        <w:spacing w:after="0" w:line="360" w:lineRule="auto"/>
        <w:jc w:val="both"/>
        <w:rPr>
          <w:rFonts w:ascii="Palatino Linotype" w:hAnsi="Palatino Linotype" w:cs="Tahoma"/>
        </w:rPr>
      </w:pPr>
      <w:r w:rsidRPr="00470507">
        <w:rPr>
          <w:rFonts w:ascii="Palatino Linotype" w:hAnsi="Palatino Linotype" w:cs="Tahoma"/>
        </w:rPr>
        <w:t xml:space="preserve">De conformidad con el Consejo Nacional de Normalización y Certificación de Competencias Laborales (CONOCER), las competencias de las personas son los conocimientos, habilidades, destrezas y comportamientos individuales, es decir, aquello que los hace competentes para desarrollar una actividades en su vida laboral, en ese sentido, la certificación de competencias es el proceso a través del cual las personas demuestran que cuentan con los conocimientos, habilidades y destrezas necesarias para cumplir con una función a un alto nivel de desempeño de acuerdo con lo definido en un Estándar de Competencia, el cual es un documento aplicable en toda la República Mexicana que sirve de referencia para evaluar y certificar la competencia de las personas. </w:t>
      </w:r>
    </w:p>
    <w:p w14:paraId="0F4FC6B7" w14:textId="77777777" w:rsidR="0097763C" w:rsidRPr="00470507" w:rsidRDefault="0097763C" w:rsidP="0097763C">
      <w:pPr>
        <w:spacing w:after="0" w:line="360" w:lineRule="auto"/>
        <w:jc w:val="both"/>
        <w:rPr>
          <w:rFonts w:ascii="Palatino Linotype" w:hAnsi="Palatino Linotype" w:cs="Tahoma"/>
        </w:rPr>
      </w:pPr>
    </w:p>
    <w:p w14:paraId="10B6C9A0" w14:textId="62E9F82F" w:rsidR="0097763C" w:rsidRPr="00470507" w:rsidRDefault="0097763C" w:rsidP="0097763C">
      <w:pPr>
        <w:spacing w:after="0" w:line="360" w:lineRule="auto"/>
        <w:jc w:val="both"/>
        <w:rPr>
          <w:rFonts w:ascii="Palatino Linotype" w:hAnsi="Palatino Linotype" w:cs="Tahoma"/>
        </w:rPr>
      </w:pPr>
      <w:r w:rsidRPr="00470507">
        <w:rPr>
          <w:rFonts w:ascii="Palatino Linotype" w:hAnsi="Palatino Linotype" w:cs="Tahoma"/>
        </w:rPr>
        <w:t>En el presente caso se trata de un documento que puede contener información susceptible de ser clasificada como confidencial, como es el caso de la Clave Única de Registro de Población, la cual se estudió anteriormente y, también se conforma de datos de naturaleza pública, como lo es el folio y el QR</w:t>
      </w:r>
      <w:r w:rsidR="009C792B" w:rsidRPr="00470507">
        <w:rPr>
          <w:rFonts w:ascii="Palatino Linotype" w:hAnsi="Palatino Linotype" w:cs="Tahoma"/>
        </w:rPr>
        <w:t xml:space="preserve">. </w:t>
      </w:r>
    </w:p>
    <w:p w14:paraId="44E300E2" w14:textId="77777777" w:rsidR="00F51DB2" w:rsidRPr="00470507" w:rsidRDefault="00F51DB2" w:rsidP="0097763C">
      <w:pPr>
        <w:spacing w:after="0" w:line="360" w:lineRule="auto"/>
        <w:jc w:val="both"/>
        <w:rPr>
          <w:rFonts w:ascii="Palatino Linotype" w:hAnsi="Palatino Linotype" w:cs="Tahoma"/>
        </w:rPr>
      </w:pPr>
    </w:p>
    <w:p w14:paraId="60A24474" w14:textId="77777777" w:rsidR="009C792B" w:rsidRPr="00470507" w:rsidRDefault="009C792B" w:rsidP="0097763C">
      <w:pPr>
        <w:spacing w:after="0" w:line="360" w:lineRule="auto"/>
        <w:jc w:val="both"/>
        <w:rPr>
          <w:rFonts w:ascii="Palatino Linotype" w:hAnsi="Palatino Linotype" w:cs="Tahoma"/>
        </w:rPr>
      </w:pPr>
      <w:r w:rsidRPr="00470507">
        <w:rPr>
          <w:rFonts w:ascii="Palatino Linotype" w:hAnsi="Palatino Linotype" w:cs="Tahoma"/>
        </w:rPr>
        <w:t xml:space="preserve">En ese sentido, de conformidad con el artículo 43, fracción III de las Reglas Generales y Criterios para la Integración y Operación del Sistema Nacional de Competencias, la certificación de competencia deberá: tener como referente único el Estándar de Competencia correspondiente; ser realizada de acuerdo con los Procedimientos, Guías Técnicas y Manuales </w:t>
      </w:r>
      <w:r w:rsidRPr="00470507">
        <w:rPr>
          <w:rFonts w:ascii="Palatino Linotype" w:hAnsi="Palatino Linotype" w:cs="Tahoma"/>
        </w:rPr>
        <w:lastRenderedPageBreak/>
        <w:t xml:space="preserve">aprobados y autorizados por el CONOCER y; contar con un dictamen emitido por la Entidad de Certificación y Evaluación de Competencia Laboral o por el Organismo Certificador. </w:t>
      </w:r>
    </w:p>
    <w:p w14:paraId="5CB5DD62" w14:textId="77777777" w:rsidR="009C792B" w:rsidRPr="00470507" w:rsidRDefault="009C792B" w:rsidP="0097763C">
      <w:pPr>
        <w:spacing w:after="0" w:line="360" w:lineRule="auto"/>
        <w:jc w:val="both"/>
        <w:rPr>
          <w:rFonts w:ascii="Palatino Linotype" w:hAnsi="Palatino Linotype" w:cs="Tahoma"/>
        </w:rPr>
      </w:pPr>
    </w:p>
    <w:p w14:paraId="57534849" w14:textId="77777777" w:rsidR="009C792B" w:rsidRPr="00470507" w:rsidRDefault="009C792B" w:rsidP="0097763C">
      <w:pPr>
        <w:spacing w:after="0" w:line="360" w:lineRule="auto"/>
        <w:jc w:val="both"/>
        <w:rPr>
          <w:rFonts w:ascii="Palatino Linotype" w:hAnsi="Palatino Linotype" w:cs="Tahoma"/>
        </w:rPr>
      </w:pPr>
      <w:r w:rsidRPr="00470507">
        <w:rPr>
          <w:rFonts w:ascii="Palatino Linotype" w:hAnsi="Palatino Linotype" w:cs="Tahoma"/>
        </w:rPr>
        <w:t xml:space="preserve">Es así que, el Organismo Certificador resulta ser el Instituto Hacendario del Estado de México (IHAEM), por lo que de acuerdo con el artículo 2, fracción VII del Reglamento de la Comisión Certificadora de Competencia Laboral para el Servicio Público del Estado de México, el Certificado de Competencial Laboral es el documento con folio único que acredita la competencia de una persona. </w:t>
      </w:r>
    </w:p>
    <w:p w14:paraId="41E726D5" w14:textId="53A5C7D3" w:rsidR="009C792B" w:rsidRPr="00470507" w:rsidRDefault="009C792B" w:rsidP="0097763C">
      <w:pPr>
        <w:spacing w:after="0" w:line="360" w:lineRule="auto"/>
        <w:jc w:val="both"/>
        <w:rPr>
          <w:rFonts w:ascii="Palatino Linotype" w:hAnsi="Palatino Linotype" w:cs="Tahoma"/>
        </w:rPr>
      </w:pPr>
    </w:p>
    <w:p w14:paraId="3EC4E761" w14:textId="28C6B0F7" w:rsidR="009C792B" w:rsidRPr="00470507" w:rsidRDefault="009C792B" w:rsidP="0097763C">
      <w:pPr>
        <w:spacing w:after="0" w:line="360" w:lineRule="auto"/>
        <w:jc w:val="both"/>
        <w:rPr>
          <w:rFonts w:ascii="Palatino Linotype" w:hAnsi="Palatino Linotype" w:cs="Tahoma"/>
        </w:rPr>
      </w:pPr>
      <w:r w:rsidRPr="00470507">
        <w:rPr>
          <w:rFonts w:ascii="Palatino Linotype" w:hAnsi="Palatino Linotype" w:cs="Tahoma"/>
        </w:rPr>
        <w:t xml:space="preserve">Ahora bien, en lo que respecta al folio único de identificación del certificado y el Código QR, es de destacar que estos datos son parte integral del documento de certificación y de su conocimiento no se logran obtener datos personales al introducirlo en el buscador del Registro Nacional de Personas con Competencias Certificadas, por lo que, se determina que es información que puede ser del conocimiento del Particular, es así que, resulta procedente ordenar la entrega del Certificado de Competencia Laboral, en el que se advierta, el Código QR y el folio de identificación. </w:t>
      </w:r>
    </w:p>
    <w:p w14:paraId="3FA32736"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rPr>
      </w:pPr>
    </w:p>
    <w:p w14:paraId="71240A52" w14:textId="77777777" w:rsidR="00DB667F" w:rsidRPr="00470507" w:rsidRDefault="00DB667F" w:rsidP="00DB667F">
      <w:pPr>
        <w:widowControl w:val="0"/>
        <w:autoSpaceDE w:val="0"/>
        <w:autoSpaceDN w:val="0"/>
        <w:adjustRightInd w:val="0"/>
        <w:spacing w:after="0" w:line="360" w:lineRule="auto"/>
        <w:jc w:val="both"/>
        <w:rPr>
          <w:rFonts w:ascii="Palatino Linotype" w:eastAsia="Calibri" w:hAnsi="Palatino Linotype" w:cs="Tahoma"/>
          <w:bCs/>
          <w:sz w:val="24"/>
          <w:szCs w:val="24"/>
        </w:rPr>
      </w:pPr>
      <w:r w:rsidRPr="00470507">
        <w:rPr>
          <w:rFonts w:ascii="Palatino Linotype" w:eastAsia="Calibri" w:hAnsi="Palatino Linotype" w:cs="Tahoma"/>
          <w:bCs/>
          <w:sz w:val="24"/>
          <w:szCs w:val="24"/>
        </w:rPr>
        <w:t xml:space="preserve">Como se logró advertir, los documentos contenidos en los expedientes laborales por su propia naturaleza pueden contener documentos que atañen a la esfera privada de los servidores públicos, que en nada abonan a la transparencia y rendición de cuentas, no obstante, </w:t>
      </w:r>
      <w:r w:rsidRPr="00470507">
        <w:rPr>
          <w:rFonts w:ascii="Palatino Linotype" w:eastAsia="Calibri" w:hAnsi="Palatino Linotype" w:cs="Tahoma"/>
          <w:b/>
          <w:bCs/>
          <w:sz w:val="24"/>
          <w:szCs w:val="24"/>
        </w:rPr>
        <w:t xml:space="preserve">no debe dejarse de lado que el permitir el acceso a la información que da cuenta de la preparación académica y/o experiencia necesaria para ocupar un cargo, abona a que la ciudadanía conozca el perfil de aquellas personas que laboran dentro de la Administración Pública, asimismo, aquellos documentos que son generados por el ingreso o desempeño de la función del servidor público y que </w:t>
      </w:r>
      <w:r w:rsidRPr="00470507">
        <w:rPr>
          <w:rFonts w:ascii="Palatino Linotype" w:eastAsia="Calibri" w:hAnsi="Palatino Linotype" w:cs="Tahoma"/>
          <w:b/>
          <w:bCs/>
          <w:sz w:val="24"/>
          <w:szCs w:val="24"/>
        </w:rPr>
        <w:lastRenderedPageBreak/>
        <w:t>forman de los requisitos de acceso al cargo, deben ser entregados en su versión pública</w:t>
      </w:r>
      <w:r w:rsidRPr="00470507">
        <w:rPr>
          <w:rFonts w:ascii="Palatino Linotype" w:eastAsia="Calibri" w:hAnsi="Palatino Linotype" w:cs="Tahoma"/>
          <w:bCs/>
          <w:sz w:val="24"/>
          <w:szCs w:val="24"/>
        </w:rPr>
        <w:t xml:space="preserve">. </w:t>
      </w:r>
    </w:p>
    <w:p w14:paraId="3DC8E439" w14:textId="77777777" w:rsidR="00235482" w:rsidRPr="00470507" w:rsidRDefault="00235482" w:rsidP="00CA3B38">
      <w:pPr>
        <w:spacing w:after="0" w:line="360" w:lineRule="auto"/>
        <w:rPr>
          <w:rFonts w:ascii="Palatino Linotype" w:hAnsi="Palatino Linotype"/>
        </w:rPr>
      </w:pPr>
    </w:p>
    <w:p w14:paraId="0FAB4F11" w14:textId="178F52EA" w:rsidR="00235482" w:rsidRPr="00470507" w:rsidRDefault="009C792B"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Por último, no está por demás mencionar que, de los documentos enviados por el Sujeto Obligado</w:t>
      </w:r>
      <w:r w:rsidR="00235482" w:rsidRPr="00470507">
        <w:rPr>
          <w:rFonts w:ascii="Palatino Linotype" w:eastAsia="Palatino Linotype" w:hAnsi="Palatino Linotype" w:cs="Palatino Linotype"/>
          <w:sz w:val="24"/>
          <w:szCs w:val="24"/>
        </w:rPr>
        <w:t xml:space="preserve"> y de conformidad con los requisitos señalados en el artículo 47 de la Ley de Trabajo de los Servidores Públicos del Estado de México, se advierte que, el Sujeto Obligado no proporcionó: la constancia de no inhabilitación y el certificado de no deudor alimentario</w:t>
      </w:r>
      <w:r w:rsidR="002A361A" w:rsidRPr="00470507">
        <w:rPr>
          <w:rFonts w:ascii="Palatino Linotype" w:eastAsia="Palatino Linotype" w:hAnsi="Palatino Linotype" w:cs="Palatino Linotype"/>
          <w:sz w:val="24"/>
          <w:szCs w:val="24"/>
        </w:rPr>
        <w:t xml:space="preserve">, por lo que, es de mencionar que: </w:t>
      </w:r>
    </w:p>
    <w:p w14:paraId="1285BB7C" w14:textId="77777777" w:rsidR="002A361A" w:rsidRPr="00470507" w:rsidRDefault="002A361A"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67704800" w14:textId="06512CC0" w:rsidR="002A361A" w:rsidRPr="00470507" w:rsidRDefault="002A361A" w:rsidP="002A361A">
      <w:pPr>
        <w:pStyle w:val="Prrafodelista"/>
        <w:numPr>
          <w:ilvl w:val="0"/>
          <w:numId w:val="43"/>
        </w:num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b/>
          <w:bCs/>
          <w:sz w:val="24"/>
          <w:szCs w:val="24"/>
        </w:rPr>
        <w:t>Constancia de No Inhabilitación:</w:t>
      </w:r>
      <w:r w:rsidRPr="00470507">
        <w:rPr>
          <w:rFonts w:ascii="Palatino Linotype" w:eastAsia="Palatino Linotype" w:hAnsi="Palatino Linotype" w:cs="Palatino Linotype"/>
          <w:sz w:val="24"/>
          <w:szCs w:val="24"/>
        </w:rPr>
        <w:t xml:space="preserve"> </w:t>
      </w:r>
      <w:r w:rsidR="007277BF" w:rsidRPr="00470507">
        <w:rPr>
          <w:rFonts w:ascii="Palatino Linotype" w:eastAsia="Palatino Linotype" w:hAnsi="Palatino Linotype" w:cs="Palatino Linotype"/>
          <w:sz w:val="24"/>
          <w:szCs w:val="24"/>
        </w:rPr>
        <w:t>Respecto</w:t>
      </w:r>
      <w:r w:rsidRPr="00470507">
        <w:rPr>
          <w:rFonts w:ascii="Palatino Linotype" w:eastAsia="Palatino Linotype" w:hAnsi="Palatino Linotype" w:cs="Palatino Linotype"/>
          <w:sz w:val="24"/>
          <w:szCs w:val="24"/>
        </w:rPr>
        <w:t xml:space="preserve"> a este documento es de destacar que es un requisito para ingresar al servicio público y es un documento de interés público debido a que si no se cuenta con el mismo, no se puede ejercer funciones dentro del servicio público, en tal sentido este documento debe ser entregado en su versión pública, únicamente clasificando los datos que actualicen la </w:t>
      </w:r>
      <w:r w:rsidR="007277BF" w:rsidRPr="00470507">
        <w:rPr>
          <w:rFonts w:ascii="Palatino Linotype" w:eastAsia="Palatino Linotype" w:hAnsi="Palatino Linotype" w:cs="Palatino Linotype"/>
          <w:sz w:val="24"/>
          <w:szCs w:val="24"/>
        </w:rPr>
        <w:t>fracción</w:t>
      </w:r>
      <w:r w:rsidRPr="00470507">
        <w:rPr>
          <w:rFonts w:ascii="Palatino Linotype" w:eastAsia="Palatino Linotype" w:hAnsi="Palatino Linotype" w:cs="Palatino Linotype"/>
          <w:sz w:val="24"/>
          <w:szCs w:val="24"/>
        </w:rPr>
        <w:t xml:space="preserve"> I del artículo 143 de la Ley de Transparencia y Acceso a la Información Pública del Estado de México y Municipios. </w:t>
      </w:r>
    </w:p>
    <w:p w14:paraId="076BA6D1" w14:textId="38EDDA2C" w:rsidR="002A361A" w:rsidRPr="00470507" w:rsidRDefault="002A361A" w:rsidP="002A361A">
      <w:pPr>
        <w:pStyle w:val="Prrafodelista"/>
        <w:numPr>
          <w:ilvl w:val="0"/>
          <w:numId w:val="43"/>
        </w:numPr>
        <w:pBdr>
          <w:top w:val="nil"/>
          <w:left w:val="nil"/>
          <w:bottom w:val="nil"/>
          <w:right w:val="nil"/>
          <w:between w:val="nil"/>
        </w:pBdr>
        <w:spacing w:after="0" w:line="360" w:lineRule="auto"/>
        <w:ind w:right="-7"/>
        <w:jc w:val="both"/>
        <w:rPr>
          <w:rFonts w:ascii="Palatino Linotype" w:eastAsia="Palatino Linotype" w:hAnsi="Palatino Linotype" w:cs="Palatino Linotype"/>
          <w:sz w:val="28"/>
          <w:szCs w:val="28"/>
        </w:rPr>
      </w:pPr>
      <w:r w:rsidRPr="00470507">
        <w:rPr>
          <w:rFonts w:ascii="Palatino Linotype" w:eastAsia="Palatino Linotype" w:hAnsi="Palatino Linotype" w:cs="Palatino Linotype"/>
          <w:b/>
          <w:bCs/>
          <w:sz w:val="24"/>
          <w:szCs w:val="24"/>
        </w:rPr>
        <w:t>Certificado de No Deudor Alimentario Moroso.</w:t>
      </w:r>
      <w:r w:rsidRPr="00470507">
        <w:rPr>
          <w:rFonts w:ascii="Palatino Linotype" w:eastAsia="Palatino Linotype" w:hAnsi="Palatino Linotype" w:cs="Palatino Linotype"/>
          <w:sz w:val="24"/>
          <w:szCs w:val="24"/>
        </w:rPr>
        <w:t xml:space="preserve"> Para este documento, </w:t>
      </w:r>
      <w:r w:rsidRPr="00470507">
        <w:rPr>
          <w:rFonts w:ascii="Palatino Linotype" w:hAnsi="Palatino Linotype"/>
          <w:sz w:val="24"/>
          <w:szCs w:val="24"/>
        </w:rPr>
        <w:t>es importante referir que el artículo 47 ha sido reformado en tres ocasiones. Dichas reformas son las siguientes:</w:t>
      </w:r>
    </w:p>
    <w:p w14:paraId="47EB44F1" w14:textId="77777777" w:rsidR="002A361A" w:rsidRPr="00470507" w:rsidRDefault="002A361A" w:rsidP="002A361A"/>
    <w:p w14:paraId="27C0A10D" w14:textId="77777777" w:rsidR="002A361A" w:rsidRPr="00470507" w:rsidRDefault="002A361A" w:rsidP="002A361A">
      <w:pPr>
        <w:pStyle w:val="Prrafodelista"/>
        <w:numPr>
          <w:ilvl w:val="0"/>
          <w:numId w:val="49"/>
        </w:numPr>
        <w:spacing w:after="0" w:line="360" w:lineRule="auto"/>
        <w:contextualSpacing w:val="0"/>
        <w:jc w:val="both"/>
        <w:rPr>
          <w:rFonts w:ascii="Palatino Linotype" w:hAnsi="Palatino Linotype"/>
        </w:rPr>
      </w:pPr>
      <w:r w:rsidRPr="00470507">
        <w:rPr>
          <w:rFonts w:ascii="Palatino Linotype" w:hAnsi="Palatino Linotype"/>
        </w:rPr>
        <w:t>Mediante el Decreto 325 de Poder Ejecutivo del Estado publicado en el Periódico Oficial Gaceta del Gobierno el catorce de noviembre de dos mil catorce se modificó la fracción XI y se agregó un segundo párrafo al artículo 47.</w:t>
      </w:r>
    </w:p>
    <w:p w14:paraId="23EF3ED9" w14:textId="77777777" w:rsidR="002A361A" w:rsidRPr="00470507" w:rsidRDefault="002A361A" w:rsidP="002A361A">
      <w:pPr>
        <w:pStyle w:val="Prrafodelista"/>
        <w:numPr>
          <w:ilvl w:val="0"/>
          <w:numId w:val="49"/>
        </w:numPr>
        <w:spacing w:after="0" w:line="360" w:lineRule="auto"/>
        <w:contextualSpacing w:val="0"/>
        <w:jc w:val="both"/>
        <w:rPr>
          <w:rFonts w:ascii="Palatino Linotype" w:hAnsi="Palatino Linotype"/>
        </w:rPr>
      </w:pPr>
      <w:r w:rsidRPr="00470507">
        <w:rPr>
          <w:rFonts w:ascii="Palatino Linotype" w:hAnsi="Palatino Linotype"/>
        </w:rPr>
        <w:lastRenderedPageBreak/>
        <w:t>Mediante el Decreto 109 publicado en Gaceta del Gobierno el tres de agosto de dos mil dieciséis se derogó la fracción V.</w:t>
      </w:r>
    </w:p>
    <w:p w14:paraId="2C4ADD7B" w14:textId="77777777" w:rsidR="002A361A" w:rsidRPr="00470507" w:rsidRDefault="002A361A" w:rsidP="002A361A">
      <w:pPr>
        <w:pStyle w:val="Prrafodelista"/>
        <w:numPr>
          <w:ilvl w:val="0"/>
          <w:numId w:val="49"/>
        </w:numPr>
        <w:spacing w:after="0" w:line="360" w:lineRule="auto"/>
        <w:contextualSpacing w:val="0"/>
        <w:jc w:val="both"/>
        <w:rPr>
          <w:rFonts w:ascii="Palatino Linotype" w:hAnsi="Palatino Linotype"/>
        </w:rPr>
      </w:pPr>
      <w:r w:rsidRPr="00470507">
        <w:rPr>
          <w:rFonts w:ascii="Palatino Linotype" w:hAnsi="Palatino Linotype"/>
        </w:rPr>
        <w:t>Mediante el Decreto 325 publicado el diecinueve de septiembre de dos mil dieciocho se reformó la fracción VI para quedar como actualmente se observa.</w:t>
      </w:r>
    </w:p>
    <w:p w14:paraId="1F5A2E21" w14:textId="77777777" w:rsidR="00F51F8E" w:rsidRPr="00470507" w:rsidRDefault="00F51F8E" w:rsidP="00F51F8E">
      <w:pPr>
        <w:spacing w:after="0" w:line="360" w:lineRule="auto"/>
        <w:jc w:val="both"/>
        <w:rPr>
          <w:rFonts w:ascii="Palatino Linotype" w:hAnsi="Palatino Linotype"/>
        </w:rPr>
      </w:pPr>
    </w:p>
    <w:p w14:paraId="27F765F2" w14:textId="6B573AE2" w:rsidR="00F51F8E" w:rsidRPr="00470507" w:rsidRDefault="00F51F8E" w:rsidP="00F51F8E">
      <w:pPr>
        <w:spacing w:after="0" w:line="360" w:lineRule="auto"/>
        <w:jc w:val="both"/>
        <w:rPr>
          <w:rFonts w:ascii="Palatino Linotype" w:hAnsi="Palatino Linotype"/>
          <w:sz w:val="24"/>
          <w:szCs w:val="24"/>
        </w:rPr>
      </w:pPr>
      <w:r w:rsidRPr="00470507">
        <w:rPr>
          <w:rFonts w:ascii="Palatino Linotype" w:hAnsi="Palatino Linotype"/>
          <w:sz w:val="24"/>
          <w:szCs w:val="24"/>
        </w:rPr>
        <w:t xml:space="preserve">En ese sentido, la fracción que corresponde al Certificado de No Deudor Alimentario Moroso es la XI, siendo que, posterior al dos mil catorce resultaba necesario hacer la entrega de este documento, en ese sentido debido a que, el servidor público ingresó el uno de enero de dos mil veintidós, es </w:t>
      </w:r>
      <w:proofErr w:type="spellStart"/>
      <w:r w:rsidRPr="00470507">
        <w:rPr>
          <w:rFonts w:ascii="Palatino Linotype" w:hAnsi="Palatino Linotype"/>
          <w:sz w:val="24"/>
          <w:szCs w:val="24"/>
        </w:rPr>
        <w:t>impresindible</w:t>
      </w:r>
      <w:proofErr w:type="spellEnd"/>
      <w:r w:rsidRPr="00470507">
        <w:rPr>
          <w:rFonts w:ascii="Palatino Linotype" w:hAnsi="Palatino Linotype"/>
          <w:sz w:val="24"/>
          <w:szCs w:val="24"/>
        </w:rPr>
        <w:t xml:space="preserve"> que este obre en los archivos del Sujeto Obligado, por lo que, deberá hacer entrega del mismo en versión pública. </w:t>
      </w:r>
    </w:p>
    <w:p w14:paraId="18E09005" w14:textId="77777777" w:rsidR="00235482" w:rsidRPr="00470507" w:rsidRDefault="00235482"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61257961" w14:textId="04581774" w:rsidR="009C792B" w:rsidRPr="00470507" w:rsidRDefault="00F51F8E"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b/>
          <w:bCs/>
          <w:sz w:val="24"/>
          <w:szCs w:val="24"/>
        </w:rPr>
      </w:pPr>
      <w:r w:rsidRPr="00470507">
        <w:rPr>
          <w:rFonts w:ascii="Palatino Linotype" w:eastAsia="Palatino Linotype" w:hAnsi="Palatino Linotype" w:cs="Palatino Linotype"/>
          <w:sz w:val="24"/>
          <w:szCs w:val="24"/>
        </w:rPr>
        <w:t xml:space="preserve">En otro rubro, es de mencionar que no </w:t>
      </w:r>
      <w:r w:rsidR="009C792B" w:rsidRPr="00470507">
        <w:rPr>
          <w:rFonts w:ascii="Palatino Linotype" w:eastAsia="Palatino Linotype" w:hAnsi="Palatino Linotype" w:cs="Palatino Linotype"/>
          <w:sz w:val="24"/>
          <w:szCs w:val="24"/>
        </w:rPr>
        <w:t>se observó que</w:t>
      </w:r>
      <w:r w:rsidRPr="00470507">
        <w:rPr>
          <w:rFonts w:ascii="Palatino Linotype" w:eastAsia="Palatino Linotype" w:hAnsi="Palatino Linotype" w:cs="Palatino Linotype"/>
          <w:sz w:val="24"/>
          <w:szCs w:val="24"/>
        </w:rPr>
        <w:t xml:space="preserve"> el Sujeto Obligado </w:t>
      </w:r>
      <w:r w:rsidR="009C792B" w:rsidRPr="00470507">
        <w:rPr>
          <w:rFonts w:ascii="Palatino Linotype" w:eastAsia="Palatino Linotype" w:hAnsi="Palatino Linotype" w:cs="Palatino Linotype"/>
          <w:sz w:val="24"/>
          <w:szCs w:val="24"/>
        </w:rPr>
        <w:t>haya proporcionado el documento qu</w:t>
      </w:r>
      <w:r w:rsidR="00BB73F1" w:rsidRPr="00470507">
        <w:rPr>
          <w:rFonts w:ascii="Palatino Linotype" w:eastAsia="Palatino Linotype" w:hAnsi="Palatino Linotype" w:cs="Palatino Linotype"/>
          <w:sz w:val="24"/>
          <w:szCs w:val="24"/>
        </w:rPr>
        <w:t>e,</w:t>
      </w:r>
      <w:r w:rsidR="009C792B" w:rsidRPr="00470507">
        <w:rPr>
          <w:rFonts w:ascii="Palatino Linotype" w:eastAsia="Palatino Linotype" w:hAnsi="Palatino Linotype" w:cs="Palatino Linotype"/>
          <w:sz w:val="24"/>
          <w:szCs w:val="24"/>
        </w:rPr>
        <w:t xml:space="preserve"> de cuenta de la baja del servicio del servidor público, </w:t>
      </w:r>
      <w:r w:rsidR="00BB73F1" w:rsidRPr="00470507">
        <w:rPr>
          <w:rFonts w:ascii="Palatino Linotype" w:eastAsia="Palatino Linotype" w:hAnsi="Palatino Linotype" w:cs="Palatino Linotype"/>
          <w:sz w:val="24"/>
          <w:szCs w:val="24"/>
        </w:rPr>
        <w:t xml:space="preserve">por lo que, es de recordar que de conformidad con los artículos 92 y 94 de la Ley de Trabajo de los Servidores Públicos del Estado de México, precisan que la institución pública, podrá rescindir en cualquier momento la relación laboral; para lo cual </w:t>
      </w:r>
      <w:r w:rsidR="00BB73F1" w:rsidRPr="00470507">
        <w:rPr>
          <w:rFonts w:ascii="Palatino Linotype" w:eastAsia="Palatino Linotype" w:hAnsi="Palatino Linotype" w:cs="Palatino Linotype"/>
          <w:b/>
          <w:bCs/>
          <w:sz w:val="24"/>
          <w:szCs w:val="24"/>
        </w:rPr>
        <w:t xml:space="preserve">deberá dar aviso por escrito al servidor público de manera personal, la fecha y causa de baja. </w:t>
      </w:r>
    </w:p>
    <w:p w14:paraId="4EFE36B4" w14:textId="77777777" w:rsidR="00BB73F1" w:rsidRPr="00470507" w:rsidRDefault="00BB73F1"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b/>
          <w:bCs/>
          <w:sz w:val="24"/>
          <w:szCs w:val="24"/>
        </w:rPr>
      </w:pPr>
    </w:p>
    <w:p w14:paraId="6277B206" w14:textId="48B23ACD" w:rsidR="00BB73F1" w:rsidRPr="00470507" w:rsidRDefault="00BB73F1"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 xml:space="preserve">En ese sentido, la unidad administrativa competente, debe realizar una nueva búsqueda exhaustiva y razonable con la finalidad de que proporcione los documentos faltantes que conforman el expediente laboral del servidor público, como lo es </w:t>
      </w:r>
      <w:r w:rsidRPr="00470507">
        <w:rPr>
          <w:rFonts w:ascii="Palatino Linotype" w:eastAsia="Palatino Linotype" w:hAnsi="Palatino Linotype" w:cs="Palatino Linotype"/>
          <w:b/>
          <w:bCs/>
          <w:sz w:val="24"/>
          <w:szCs w:val="24"/>
        </w:rPr>
        <w:t>las hojas faltantes d</w:t>
      </w:r>
      <w:r w:rsidR="007277BF" w:rsidRPr="00470507">
        <w:rPr>
          <w:rFonts w:ascii="Palatino Linotype" w:eastAsia="Palatino Linotype" w:hAnsi="Palatino Linotype" w:cs="Palatino Linotype"/>
          <w:b/>
          <w:bCs/>
          <w:sz w:val="24"/>
          <w:szCs w:val="24"/>
        </w:rPr>
        <w:t xml:space="preserve">e la solicitud de información, </w:t>
      </w:r>
      <w:r w:rsidRPr="00470507">
        <w:rPr>
          <w:rFonts w:ascii="Palatino Linotype" w:eastAsia="Palatino Linotype" w:hAnsi="Palatino Linotype" w:cs="Palatino Linotype"/>
          <w:b/>
          <w:bCs/>
          <w:sz w:val="24"/>
          <w:szCs w:val="24"/>
        </w:rPr>
        <w:t>el movimiento de baja del servidor público</w:t>
      </w:r>
      <w:r w:rsidRPr="00470507">
        <w:rPr>
          <w:rFonts w:ascii="Palatino Linotype" w:eastAsia="Palatino Linotype" w:hAnsi="Palatino Linotype" w:cs="Palatino Linotype"/>
          <w:sz w:val="24"/>
          <w:szCs w:val="24"/>
        </w:rPr>
        <w:t xml:space="preserve">, </w:t>
      </w:r>
      <w:r w:rsidR="007277BF" w:rsidRPr="00470507">
        <w:rPr>
          <w:rFonts w:ascii="Palatino Linotype" w:eastAsia="Palatino Linotype" w:hAnsi="Palatino Linotype" w:cs="Palatino Linotype"/>
          <w:b/>
          <w:sz w:val="24"/>
          <w:szCs w:val="24"/>
        </w:rPr>
        <w:t xml:space="preserve">constancia de no inhabilitación y certificado de no deudor alimentario </w:t>
      </w:r>
      <w:r w:rsidR="007277BF" w:rsidRPr="00470507">
        <w:rPr>
          <w:rFonts w:ascii="Palatino Linotype" w:eastAsia="Palatino Linotype" w:hAnsi="Palatino Linotype" w:cs="Palatino Linotype"/>
          <w:b/>
          <w:sz w:val="24"/>
          <w:szCs w:val="24"/>
        </w:rPr>
        <w:lastRenderedPageBreak/>
        <w:t xml:space="preserve">moroso </w:t>
      </w:r>
      <w:r w:rsidRPr="00470507">
        <w:rPr>
          <w:rFonts w:ascii="Palatino Linotype" w:eastAsia="Palatino Linotype" w:hAnsi="Palatino Linotype" w:cs="Palatino Linotype"/>
          <w:sz w:val="24"/>
          <w:szCs w:val="24"/>
        </w:rPr>
        <w:t xml:space="preserve">respecto a este último es de señalar que, para el caso de que, el servidor público no haya causado baja, bastará que el Sujeto Obligado lo haga del conocimiento de la parte Solicitante en términos del artículo 19, párrafo segundo de la Ley de Transparencia y Acceso a la Información Pública del Estado de México. </w:t>
      </w:r>
    </w:p>
    <w:p w14:paraId="402BA2AD" w14:textId="77777777" w:rsidR="009C792B" w:rsidRPr="00470507" w:rsidRDefault="009C792B"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sz w:val="24"/>
        </w:rPr>
      </w:pPr>
    </w:p>
    <w:p w14:paraId="15B1AAB7" w14:textId="0C589C8D" w:rsidR="007435E2" w:rsidRPr="00470507" w:rsidRDefault="00892CBC" w:rsidP="00892CBC">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sz w:val="24"/>
          <w:szCs w:val="24"/>
        </w:rPr>
      </w:pPr>
      <w:r w:rsidRPr="00470507">
        <w:rPr>
          <w:rFonts w:ascii="Palatino Linotype" w:eastAsia="Palatino Linotype" w:hAnsi="Palatino Linotype" w:cs="Palatino Linotype"/>
          <w:color w:val="000000"/>
          <w:sz w:val="24"/>
          <w:szCs w:val="24"/>
        </w:rPr>
        <w:t xml:space="preserve">Por lo </w:t>
      </w:r>
      <w:r w:rsidR="00BB73F1" w:rsidRPr="00470507">
        <w:rPr>
          <w:rFonts w:ascii="Palatino Linotype" w:eastAsia="Palatino Linotype" w:hAnsi="Palatino Linotype" w:cs="Palatino Linotype"/>
          <w:color w:val="000000"/>
          <w:sz w:val="24"/>
          <w:szCs w:val="24"/>
        </w:rPr>
        <w:t>antes dicho,</w:t>
      </w:r>
      <w:r w:rsidRPr="00470507">
        <w:rPr>
          <w:rFonts w:ascii="Palatino Linotype" w:eastAsia="Palatino Linotype" w:hAnsi="Palatino Linotype" w:cs="Palatino Linotype"/>
          <w:color w:val="000000"/>
          <w:sz w:val="24"/>
          <w:szCs w:val="24"/>
        </w:rPr>
        <w:t xml:space="preserve"> debido a que el Sujeto Obligado remiti</w:t>
      </w:r>
      <w:r w:rsidR="00BB73F1" w:rsidRPr="00470507">
        <w:rPr>
          <w:rFonts w:ascii="Palatino Linotype" w:eastAsia="Palatino Linotype" w:hAnsi="Palatino Linotype" w:cs="Palatino Linotype"/>
          <w:color w:val="000000"/>
          <w:sz w:val="24"/>
          <w:szCs w:val="24"/>
        </w:rPr>
        <w:t xml:space="preserve">ó documentación </w:t>
      </w:r>
      <w:r w:rsidR="006309AD" w:rsidRPr="00470507">
        <w:rPr>
          <w:rFonts w:ascii="Palatino Linotype" w:eastAsia="Palatino Linotype" w:hAnsi="Palatino Linotype" w:cs="Palatino Linotype"/>
          <w:color w:val="000000"/>
          <w:sz w:val="24"/>
          <w:szCs w:val="24"/>
        </w:rPr>
        <w:t xml:space="preserve">en calidad de informe justificado, pero esta no se hizo del conocimiento de la parte Recurrente por los motivos antes expuestos, </w:t>
      </w:r>
      <w:r w:rsidRPr="00470507">
        <w:rPr>
          <w:rFonts w:ascii="Palatino Linotype" w:eastAsia="Palatino Linotype" w:hAnsi="Palatino Linotype" w:cs="Palatino Linotype"/>
          <w:color w:val="000000"/>
          <w:sz w:val="24"/>
          <w:szCs w:val="24"/>
        </w:rPr>
        <w:t xml:space="preserve">los agravios hechos valer por la parte Solicitante deviene </w:t>
      </w:r>
      <w:r w:rsidRPr="00470507">
        <w:rPr>
          <w:rFonts w:ascii="Palatino Linotype" w:eastAsia="Palatino Linotype" w:hAnsi="Palatino Linotype" w:cs="Palatino Linotype"/>
          <w:b/>
          <w:color w:val="000000"/>
          <w:sz w:val="24"/>
          <w:szCs w:val="24"/>
        </w:rPr>
        <w:t xml:space="preserve">FUNDADOS </w:t>
      </w:r>
      <w:r w:rsidR="007435E2" w:rsidRPr="00470507">
        <w:rPr>
          <w:rFonts w:ascii="Palatino Linotype" w:eastAsia="Palatino Linotype" w:hAnsi="Palatino Linotype" w:cs="Palatino Linotype"/>
          <w:color w:val="000000"/>
          <w:sz w:val="24"/>
          <w:szCs w:val="24"/>
        </w:rPr>
        <w:t xml:space="preserve">y, por ende, este Organismo Garante determina </w:t>
      </w:r>
      <w:r w:rsidR="006309AD" w:rsidRPr="00470507">
        <w:rPr>
          <w:rFonts w:ascii="Palatino Linotype" w:eastAsia="Palatino Linotype" w:hAnsi="Palatino Linotype" w:cs="Palatino Linotype"/>
          <w:b/>
          <w:color w:val="000000"/>
          <w:sz w:val="24"/>
          <w:szCs w:val="24"/>
        </w:rPr>
        <w:t>ORDENAR</w:t>
      </w:r>
      <w:r w:rsidR="007435E2" w:rsidRPr="00470507">
        <w:rPr>
          <w:rFonts w:ascii="Palatino Linotype" w:eastAsia="Palatino Linotype" w:hAnsi="Palatino Linotype" w:cs="Palatino Linotype"/>
          <w:color w:val="000000"/>
          <w:sz w:val="24"/>
          <w:szCs w:val="24"/>
        </w:rPr>
        <w:t xml:space="preserve"> </w:t>
      </w:r>
      <w:r w:rsidR="006309AD" w:rsidRPr="00470507">
        <w:rPr>
          <w:rFonts w:ascii="Palatino Linotype" w:eastAsia="Palatino Linotype" w:hAnsi="Palatino Linotype" w:cs="Palatino Linotype"/>
          <w:color w:val="000000"/>
          <w:sz w:val="24"/>
          <w:szCs w:val="24"/>
        </w:rPr>
        <w:t xml:space="preserve">al </w:t>
      </w:r>
      <w:r w:rsidR="007435E2" w:rsidRPr="00470507">
        <w:rPr>
          <w:rFonts w:ascii="Palatino Linotype" w:eastAsia="Palatino Linotype" w:hAnsi="Palatino Linotype" w:cs="Palatino Linotype"/>
          <w:color w:val="000000"/>
          <w:sz w:val="24"/>
          <w:szCs w:val="24"/>
        </w:rPr>
        <w:t>Sujeto Obligado</w:t>
      </w:r>
      <w:r w:rsidR="006309AD" w:rsidRPr="00470507">
        <w:rPr>
          <w:rFonts w:ascii="Palatino Linotype" w:eastAsia="Palatino Linotype" w:hAnsi="Palatino Linotype" w:cs="Palatino Linotype"/>
          <w:color w:val="000000"/>
          <w:sz w:val="24"/>
          <w:szCs w:val="24"/>
        </w:rPr>
        <w:t xml:space="preserve">, la entrega, previa búsqueda exhaustiva y razonable, de ser el caso, en versión pública, de lo siguiente: </w:t>
      </w:r>
    </w:p>
    <w:p w14:paraId="05FC6ACB" w14:textId="77777777" w:rsidR="00FF67E1" w:rsidRPr="00470507" w:rsidRDefault="00FF67E1" w:rsidP="00892CBC">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sz w:val="24"/>
          <w:szCs w:val="24"/>
        </w:rPr>
      </w:pPr>
    </w:p>
    <w:p w14:paraId="423BCF98" w14:textId="4BCCE5F0" w:rsidR="007277BF" w:rsidRPr="00470507" w:rsidRDefault="006309AD" w:rsidP="007C0DC5">
      <w:pPr>
        <w:pStyle w:val="Prrafodelista"/>
        <w:numPr>
          <w:ilvl w:val="0"/>
          <w:numId w:val="35"/>
        </w:numPr>
        <w:spacing w:after="0" w:line="360" w:lineRule="auto"/>
        <w:ind w:right="560"/>
        <w:jc w:val="both"/>
        <w:rPr>
          <w:rFonts w:ascii="Palatino Linotype" w:eastAsia="Palatino Linotype" w:hAnsi="Palatino Linotype" w:cs="Palatino Linotype"/>
          <w:b/>
        </w:rPr>
      </w:pPr>
      <w:r w:rsidRPr="00470507">
        <w:rPr>
          <w:rFonts w:ascii="Palatino Linotype" w:eastAsia="Palatino Linotype" w:hAnsi="Palatino Linotype" w:cs="Palatino Linotype"/>
          <w:b/>
        </w:rPr>
        <w:t>Los documentos que integran el expediente laboral, en</w:t>
      </w:r>
      <w:r w:rsidR="007277BF" w:rsidRPr="00470507">
        <w:rPr>
          <w:rFonts w:ascii="Palatino Linotype" w:eastAsia="Palatino Linotype" w:hAnsi="Palatino Linotype" w:cs="Palatino Linotype"/>
          <w:b/>
        </w:rPr>
        <w:t xml:space="preserve">viados en informe justificado </w:t>
      </w:r>
      <w:r w:rsidRPr="00470507">
        <w:rPr>
          <w:rFonts w:ascii="Palatino Linotype" w:eastAsia="Palatino Linotype" w:hAnsi="Palatino Linotype" w:cs="Palatino Linotype"/>
          <w:b/>
        </w:rPr>
        <w:t>del servidor público referido en</w:t>
      </w:r>
      <w:r w:rsidR="007277BF" w:rsidRPr="00470507">
        <w:rPr>
          <w:rFonts w:ascii="Palatino Linotype" w:eastAsia="Palatino Linotype" w:hAnsi="Palatino Linotype" w:cs="Palatino Linotype"/>
          <w:b/>
        </w:rPr>
        <w:t xml:space="preserve"> la solicitud de información</w:t>
      </w:r>
      <w:r w:rsidR="007C0DC5" w:rsidRPr="00470507">
        <w:rPr>
          <w:rFonts w:ascii="Palatino Linotype" w:eastAsia="Palatino Linotype" w:hAnsi="Palatino Linotype" w:cs="Palatino Linotype"/>
          <w:b/>
        </w:rPr>
        <w:t>, con excepción de los que se deben clasificar en su totalidad</w:t>
      </w:r>
      <w:r w:rsidRPr="00470507">
        <w:rPr>
          <w:rFonts w:ascii="Palatino Linotype" w:eastAsia="Palatino Linotype" w:hAnsi="Palatino Linotype" w:cs="Palatino Linotype"/>
          <w:b/>
        </w:rPr>
        <w:t>;</w:t>
      </w:r>
      <w:r w:rsidR="007C0DC5" w:rsidRPr="00470507">
        <w:rPr>
          <w:rFonts w:ascii="Palatino Linotype" w:eastAsia="Palatino Linotype" w:hAnsi="Palatino Linotype" w:cs="Palatino Linotype"/>
          <w:b/>
        </w:rPr>
        <w:t xml:space="preserve"> así como los faltantes consistentes en </w:t>
      </w:r>
      <w:r w:rsidR="007277BF" w:rsidRPr="00470507">
        <w:rPr>
          <w:rFonts w:ascii="Palatino Linotype" w:eastAsia="Palatino Linotype" w:hAnsi="Palatino Linotype" w:cs="Palatino Linotype"/>
          <w:b/>
        </w:rPr>
        <w:t xml:space="preserve">Constancia de No Inhabilitación, Certificado de No Deudor Alimentario Moroso y movimiento de baja del servidor público referido en la solicitud de información. </w:t>
      </w:r>
    </w:p>
    <w:p w14:paraId="5ACCAE97" w14:textId="46E59541" w:rsidR="005A1562" w:rsidRPr="00470507" w:rsidRDefault="006309AD" w:rsidP="0080100F">
      <w:pPr>
        <w:pStyle w:val="Prrafodelista"/>
        <w:numPr>
          <w:ilvl w:val="0"/>
          <w:numId w:val="35"/>
        </w:numPr>
        <w:spacing w:after="0" w:line="360" w:lineRule="auto"/>
        <w:ind w:right="560"/>
        <w:jc w:val="both"/>
        <w:rPr>
          <w:rFonts w:ascii="Palatino Linotype" w:eastAsia="Palatino Linotype" w:hAnsi="Palatino Linotype" w:cs="Palatino Linotype"/>
          <w:b/>
        </w:rPr>
      </w:pPr>
      <w:r w:rsidRPr="00470507">
        <w:rPr>
          <w:rFonts w:ascii="Palatino Linotype" w:eastAsia="Palatino Linotype" w:hAnsi="Palatino Linotype" w:cs="Palatino Linotype"/>
          <w:b/>
        </w:rPr>
        <w:t>Acuerdo emitido por el Comité de Transparencia, en el cual se confirme la clasificación total de los siguientes documentos: Acta de Nacimiento, credencial para votar, constancia domiciliaria, certificado médico, cartas de recomendación, Cédula de Identificación Fiscal, hoja de liberación de servicio militar</w:t>
      </w:r>
      <w:r w:rsidR="00F51F8E" w:rsidRPr="00470507">
        <w:rPr>
          <w:rFonts w:ascii="Palatino Linotype" w:eastAsia="Palatino Linotype" w:hAnsi="Palatino Linotype" w:cs="Palatino Linotype"/>
          <w:b/>
        </w:rPr>
        <w:t xml:space="preserve">, licencia de conducir </w:t>
      </w:r>
      <w:r w:rsidRPr="00470507">
        <w:rPr>
          <w:rFonts w:ascii="Palatino Linotype" w:eastAsia="Palatino Linotype" w:hAnsi="Palatino Linotype" w:cs="Palatino Linotype"/>
          <w:b/>
        </w:rPr>
        <w:t xml:space="preserve">y Constancia de Clave Única de Registro de Población, de conformidad con los artículos 49, fracción II, 132, fracción  II, 143 </w:t>
      </w:r>
      <w:r w:rsidRPr="00470507">
        <w:rPr>
          <w:rFonts w:ascii="Palatino Linotype" w:eastAsia="Palatino Linotype" w:hAnsi="Palatino Linotype" w:cs="Palatino Linotype"/>
          <w:b/>
        </w:rPr>
        <w:lastRenderedPageBreak/>
        <w:t xml:space="preserve">fracción I y 149 de la Ley de Transparencia y Acceso a la Información Pública del Estado de México y Municipios. </w:t>
      </w:r>
    </w:p>
    <w:p w14:paraId="08D290A9" w14:textId="7C314B81" w:rsidR="007435E2" w:rsidRPr="00470507" w:rsidRDefault="0080100F" w:rsidP="007277BF">
      <w:pPr>
        <w:spacing w:after="0"/>
        <w:ind w:left="567" w:right="615"/>
        <w:jc w:val="both"/>
        <w:rPr>
          <w:rFonts w:ascii="Palatino Linotype" w:eastAsia="Palatino Linotype" w:hAnsi="Palatino Linotype" w:cs="Palatino Linotype"/>
          <w:i/>
        </w:rPr>
      </w:pPr>
      <w:r w:rsidRPr="00470507">
        <w:rPr>
          <w:rFonts w:ascii="Palatino Linotype" w:eastAsia="Palatino Linotype" w:hAnsi="Palatino Linotype" w:cs="Palatino Linotype"/>
          <w:i/>
        </w:rPr>
        <w:t>Además, d</w:t>
      </w:r>
      <w:r w:rsidR="007435E2" w:rsidRPr="00470507">
        <w:rPr>
          <w:rFonts w:ascii="Palatino Linotype" w:eastAsia="Palatino Linotype" w:hAnsi="Palatino Linotype" w:cs="Palatino Linotype"/>
          <w:i/>
        </w:rPr>
        <w:t>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24876757" w14:textId="77777777" w:rsidR="007277BF" w:rsidRPr="00470507" w:rsidRDefault="007277BF" w:rsidP="007277BF">
      <w:pPr>
        <w:spacing w:after="0"/>
        <w:ind w:left="567" w:right="615"/>
        <w:jc w:val="both"/>
        <w:rPr>
          <w:rFonts w:ascii="Palatino Linotype" w:eastAsia="Palatino Linotype" w:hAnsi="Palatino Linotype" w:cs="Palatino Linotype"/>
          <w:i/>
        </w:rPr>
      </w:pPr>
    </w:p>
    <w:p w14:paraId="79942E72" w14:textId="27ACAA74" w:rsidR="007277BF" w:rsidRPr="00470507" w:rsidRDefault="007277BF" w:rsidP="00F30CCB">
      <w:pPr>
        <w:pBdr>
          <w:top w:val="nil"/>
          <w:left w:val="nil"/>
          <w:bottom w:val="nil"/>
          <w:right w:val="nil"/>
          <w:between w:val="nil"/>
        </w:pBdr>
        <w:tabs>
          <w:tab w:val="left" w:pos="993"/>
        </w:tabs>
        <w:spacing w:after="0"/>
        <w:ind w:left="567" w:right="616"/>
        <w:jc w:val="both"/>
        <w:rPr>
          <w:rFonts w:ascii="Palatino Linotype" w:eastAsia="Palatino Linotype" w:hAnsi="Palatino Linotype" w:cs="Palatino Linotype"/>
          <w:i/>
          <w:color w:val="000000"/>
        </w:rPr>
      </w:pPr>
      <w:r w:rsidRPr="00470507">
        <w:rPr>
          <w:rFonts w:ascii="Palatino Linotype" w:eastAsia="Palatino Linotype" w:hAnsi="Palatino Linotype" w:cs="Palatino Linotype"/>
          <w:i/>
          <w:color w:val="000000"/>
        </w:rPr>
        <w:t xml:space="preserve">En el supuesto de que el Sujeto Obligado </w:t>
      </w:r>
      <w:r w:rsidRPr="00470507">
        <w:rPr>
          <w:rFonts w:ascii="Palatino Linotype" w:eastAsia="Palatino Linotype" w:hAnsi="Palatino Linotype" w:cs="Palatino Linotype"/>
          <w:i/>
          <w:color w:val="000000"/>
          <w:u w:val="single"/>
        </w:rPr>
        <w:t>no cuente con el documento que da cuenta del movimiento de baja del servidor público, por no haber causado baja a la fecha de la solicitud de información</w:t>
      </w:r>
      <w:r w:rsidRPr="00470507">
        <w:rPr>
          <w:rFonts w:ascii="Palatino Linotype" w:eastAsia="Palatino Linotype" w:hAnsi="Palatino Linotype" w:cs="Palatino Linotype"/>
          <w:i/>
          <w:color w:val="000000"/>
        </w:rPr>
        <w:t xml:space="preserve">,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27475732" w14:textId="77777777" w:rsidR="00892CBC" w:rsidRPr="00470507" w:rsidRDefault="00892CBC" w:rsidP="00F30CCB">
      <w:pPr>
        <w:spacing w:after="0" w:line="360" w:lineRule="auto"/>
        <w:ind w:right="615"/>
        <w:jc w:val="both"/>
        <w:rPr>
          <w:rFonts w:ascii="Palatino Linotype" w:eastAsia="Palatino Linotype" w:hAnsi="Palatino Linotype" w:cs="Palatino Linotype"/>
          <w:i/>
        </w:rPr>
      </w:pPr>
    </w:p>
    <w:p w14:paraId="4A689E0F" w14:textId="478D4D1E" w:rsidR="00F30CCB" w:rsidRPr="00470507" w:rsidRDefault="00F30CCB" w:rsidP="00F30CCB">
      <w:pPr>
        <w:spacing w:after="0" w:line="360" w:lineRule="auto"/>
        <w:ind w:right="49"/>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 xml:space="preserve">Finalmente, es de señalar que, como ya se mencionó el Sujeto Obligado omitió proporcionar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ordena dar vista a la Secretaría Técnica del Pleno a efecto de que ejerza las atribuciones previstas en la normatividad aplicable y comunique al Órgano de Control Interno competente para que este último en ejercicio de sus atribuciones resuelva lo conducente y determine en su caso el grado de responsabilidad en el incumplimiento de las obligaciones establecidas en la citada Ley. </w:t>
      </w:r>
    </w:p>
    <w:p w14:paraId="56886A73" w14:textId="77777777" w:rsidR="00F30CCB" w:rsidRPr="00470507" w:rsidRDefault="00F30CCB" w:rsidP="007435E2">
      <w:pPr>
        <w:spacing w:after="0" w:line="360" w:lineRule="auto"/>
        <w:jc w:val="both"/>
        <w:rPr>
          <w:rFonts w:ascii="Palatino Linotype" w:eastAsia="Palatino Linotype" w:hAnsi="Palatino Linotype" w:cs="Palatino Linotype"/>
          <w:b/>
          <w:sz w:val="24"/>
        </w:rPr>
      </w:pPr>
    </w:p>
    <w:p w14:paraId="11045FA4" w14:textId="77777777" w:rsidR="007435E2" w:rsidRPr="00470507" w:rsidRDefault="007435E2" w:rsidP="007435E2">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b/>
          <w:sz w:val="24"/>
        </w:rPr>
        <w:lastRenderedPageBreak/>
        <w:t>Quinto. Versión Pública</w:t>
      </w:r>
      <w:r w:rsidRPr="00470507">
        <w:rPr>
          <w:rFonts w:ascii="Palatino Linotype" w:eastAsia="Palatino Linotype" w:hAnsi="Palatino Linotype" w:cs="Palatino Linotype"/>
          <w:sz w:val="24"/>
        </w:rPr>
        <w:t>.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6FD5CB8D" w14:textId="77777777" w:rsidR="007435E2" w:rsidRPr="00470507" w:rsidRDefault="007435E2" w:rsidP="007435E2">
      <w:pPr>
        <w:spacing w:after="0" w:line="360" w:lineRule="auto"/>
        <w:jc w:val="both"/>
        <w:rPr>
          <w:rFonts w:ascii="Palatino Linotype" w:eastAsia="Palatino Linotype" w:hAnsi="Palatino Linotype" w:cs="Palatino Linotype"/>
        </w:rPr>
      </w:pPr>
    </w:p>
    <w:p w14:paraId="77EECA2B" w14:textId="77777777" w:rsidR="007435E2" w:rsidRPr="00470507" w:rsidRDefault="007435E2" w:rsidP="007435E2">
      <w:pPr>
        <w:spacing w:after="0" w:line="360" w:lineRule="auto"/>
        <w:ind w:right="50"/>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Lo anterior, de conformidad con lo que señalan los artículos 3 fracciones IX, XX, XXI y XLV, 91, 132 fracciones II y III, y 143 de la Ley de Transparencia y Acceso a la Información Pública del Estado de México y Municipios que establecen:</w:t>
      </w:r>
    </w:p>
    <w:p w14:paraId="1ECECDD5" w14:textId="77777777" w:rsidR="007435E2" w:rsidRPr="00470507" w:rsidRDefault="007435E2" w:rsidP="007435E2">
      <w:pPr>
        <w:spacing w:after="0" w:line="360" w:lineRule="auto"/>
        <w:ind w:right="50"/>
        <w:jc w:val="both"/>
        <w:rPr>
          <w:rFonts w:ascii="Palatino Linotype" w:eastAsia="Palatino Linotype" w:hAnsi="Palatino Linotype" w:cs="Palatino Linotype"/>
        </w:rPr>
      </w:pPr>
    </w:p>
    <w:p w14:paraId="7EBB21BE"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r w:rsidRPr="00470507">
        <w:rPr>
          <w:rFonts w:ascii="Palatino Linotype" w:eastAsia="Palatino Linotype" w:hAnsi="Palatino Linotype" w:cs="Palatino Linotype"/>
          <w:b/>
          <w:i/>
        </w:rPr>
        <w:t>Artículo 3.</w:t>
      </w:r>
      <w:r w:rsidRPr="00470507">
        <w:rPr>
          <w:rFonts w:ascii="Palatino Linotype" w:eastAsia="Palatino Linotype" w:hAnsi="Palatino Linotype" w:cs="Palatino Linotype"/>
          <w:i/>
        </w:rPr>
        <w:t xml:space="preserve"> Para los efectos de la presente Ley se entenderá por:</w:t>
      </w:r>
    </w:p>
    <w:p w14:paraId="6C0A6D28"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p>
    <w:p w14:paraId="670A908A"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1B57E576"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XX. Información clasificada: Aquella considerada por la presente Ley como reservada o confidencial;</w:t>
      </w:r>
    </w:p>
    <w:p w14:paraId="160AA5DA"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18968B3"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7F825FF5"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p>
    <w:p w14:paraId="47A83E67"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b/>
          <w:i/>
        </w:rPr>
        <w:lastRenderedPageBreak/>
        <w:t>Artículo 91.</w:t>
      </w:r>
      <w:r w:rsidRPr="00470507">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1C6ECDC3"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b/>
          <w:i/>
        </w:rPr>
        <w:t>Artículo 132.</w:t>
      </w:r>
      <w:r w:rsidRPr="00470507">
        <w:rPr>
          <w:rFonts w:ascii="Palatino Linotype" w:eastAsia="Palatino Linotype" w:hAnsi="Palatino Linotype" w:cs="Palatino Linotype"/>
          <w:i/>
        </w:rPr>
        <w:t xml:space="preserve"> La clasificación de la información se llevará a cabo en el momento en que:</w:t>
      </w:r>
    </w:p>
    <w:p w14:paraId="61D86B3C" w14:textId="77777777" w:rsidR="007435E2" w:rsidRPr="00470507" w:rsidRDefault="007435E2" w:rsidP="007435E2">
      <w:pPr>
        <w:tabs>
          <w:tab w:val="left" w:pos="1134"/>
        </w:tabs>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I. Se reciba una solicitud de acceso a la información;</w:t>
      </w:r>
    </w:p>
    <w:p w14:paraId="4696BBE1" w14:textId="77777777" w:rsidR="007435E2" w:rsidRPr="00470507" w:rsidRDefault="007435E2" w:rsidP="007435E2">
      <w:pPr>
        <w:tabs>
          <w:tab w:val="left" w:pos="1134"/>
        </w:tabs>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II. Se determine mediante resolución de autoridad competente; o</w:t>
      </w:r>
    </w:p>
    <w:p w14:paraId="1FB293D6" w14:textId="77777777" w:rsidR="007435E2" w:rsidRPr="00470507" w:rsidRDefault="007435E2" w:rsidP="007435E2">
      <w:pPr>
        <w:tabs>
          <w:tab w:val="left" w:pos="1134"/>
        </w:tabs>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III. Se generen versiones públicas para dar cumplimiento a las obligaciones de transparencia previstas en esta Ley.</w:t>
      </w:r>
    </w:p>
    <w:p w14:paraId="20DE3E34"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p>
    <w:p w14:paraId="090512FB"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b/>
          <w:i/>
        </w:rPr>
        <w:t>Artículo 143</w:t>
      </w:r>
      <w:r w:rsidRPr="0047050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2B5E29B"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36C3095C"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34AD8F9"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III. La que presenten los particulares a los sujetos obligados, de conformidad con lo dispuesto por las leyes o los tratados internacionales.</w:t>
      </w:r>
    </w:p>
    <w:p w14:paraId="1972BE66"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61FEFEEF"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0E86F34A" w14:textId="77777777" w:rsidR="007435E2" w:rsidRPr="00470507" w:rsidRDefault="007435E2" w:rsidP="007435E2">
      <w:pPr>
        <w:spacing w:after="0"/>
        <w:ind w:left="567" w:right="616"/>
        <w:jc w:val="both"/>
        <w:rPr>
          <w:rFonts w:ascii="Palatino Linotype" w:eastAsia="Palatino Linotype" w:hAnsi="Palatino Linotype" w:cs="Palatino Linotype"/>
          <w:i/>
        </w:rPr>
      </w:pPr>
    </w:p>
    <w:p w14:paraId="6A3016E7" w14:textId="77777777" w:rsidR="007435E2" w:rsidRPr="00470507" w:rsidRDefault="007435E2" w:rsidP="007435E2">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1EB7E86" w14:textId="77777777" w:rsidR="007435E2" w:rsidRPr="00470507" w:rsidRDefault="007435E2" w:rsidP="007435E2">
      <w:pPr>
        <w:spacing w:after="0"/>
        <w:jc w:val="both"/>
        <w:rPr>
          <w:rFonts w:ascii="Palatino Linotype" w:eastAsia="Palatino Linotype" w:hAnsi="Palatino Linotype" w:cs="Palatino Linotype"/>
          <w:color w:val="000000"/>
        </w:rPr>
      </w:pPr>
    </w:p>
    <w:p w14:paraId="5261B604" w14:textId="77777777" w:rsidR="007435E2" w:rsidRPr="00470507" w:rsidRDefault="007435E2" w:rsidP="007435E2">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0990A168" w14:textId="77777777" w:rsidR="007435E2" w:rsidRPr="00470507" w:rsidRDefault="007435E2" w:rsidP="007435E2">
      <w:pPr>
        <w:spacing w:after="0" w:line="360" w:lineRule="auto"/>
        <w:jc w:val="both"/>
        <w:rPr>
          <w:rFonts w:ascii="Palatino Linotype" w:eastAsia="Palatino Linotype" w:hAnsi="Palatino Linotype" w:cs="Palatino Linotype"/>
        </w:rPr>
      </w:pPr>
    </w:p>
    <w:p w14:paraId="0C8CC01E"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 “</w:t>
      </w:r>
      <w:r w:rsidRPr="00470507">
        <w:rPr>
          <w:rFonts w:ascii="Palatino Linotype" w:eastAsia="Palatino Linotype" w:hAnsi="Palatino Linotype" w:cs="Palatino Linotype"/>
          <w:b/>
          <w:i/>
        </w:rPr>
        <w:t>Quincuagésimo</w:t>
      </w:r>
      <w:r w:rsidRPr="00470507">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EB2EE42"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b/>
          <w:i/>
        </w:rPr>
        <w:t>Quincuagésimo primero.</w:t>
      </w:r>
      <w:r w:rsidRPr="00470507">
        <w:rPr>
          <w:rFonts w:ascii="Palatino Linotype" w:eastAsia="Palatino Linotype" w:hAnsi="Palatino Linotype" w:cs="Palatino Linotype"/>
          <w:i/>
        </w:rPr>
        <w:t xml:space="preserve"> Toda acta del Comité de Transparencia deberá contener: </w:t>
      </w:r>
    </w:p>
    <w:p w14:paraId="016B05AA"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I. El número de sesión y fecha; </w:t>
      </w:r>
    </w:p>
    <w:p w14:paraId="01C4FA44"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II. El nombre del área que solicitó la clasificación de información; </w:t>
      </w:r>
    </w:p>
    <w:p w14:paraId="7CC1BC52"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III. La fundamentación legal y motivación correspondiente; </w:t>
      </w:r>
    </w:p>
    <w:p w14:paraId="2F629547"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IV. La resolución o resoluciones aprobadas; y </w:t>
      </w:r>
    </w:p>
    <w:p w14:paraId="74059D48"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V. La rúbrica o firma digital de cada integrante del Comité de Transparencia. </w:t>
      </w:r>
    </w:p>
    <w:p w14:paraId="166FC0DB"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58464209"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I. Los motivos y razonamientos que sustenten la confirmación o modificación de la prueba de daño;</w:t>
      </w:r>
    </w:p>
    <w:p w14:paraId="1A60411E"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II. Descripción de las partes o secciones reservadas, en caso de clasificación parcial; </w:t>
      </w:r>
    </w:p>
    <w:p w14:paraId="79AEDA4F"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III. El periodo por el que mantendrá su clasificación y fecha de expiración; y </w:t>
      </w:r>
    </w:p>
    <w:p w14:paraId="43FA14AA"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IV. El nombre del titular y área encargada de realizar la versión pública del documento, en su caso. </w:t>
      </w:r>
    </w:p>
    <w:p w14:paraId="6BF7A349"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6400615"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31361019"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b/>
          <w:i/>
        </w:rPr>
        <w:lastRenderedPageBreak/>
        <w:t>Quincuagésimo segundo.</w:t>
      </w:r>
      <w:r w:rsidRPr="00470507">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21458F7"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61A5B2F3"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I. Fijar la fecha en que se elaboró la versión pública y la fecha en la cual el Comité de Transparencia confirmó dicha versión;</w:t>
      </w:r>
    </w:p>
    <w:p w14:paraId="2CCF0F77"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E910407"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III. Señalar las personas o instancias autorizadas a acceder a la información clasificada.</w:t>
      </w:r>
    </w:p>
    <w:p w14:paraId="3C543212"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0511B8DB" w14:textId="77777777" w:rsidR="007435E2" w:rsidRPr="00470507" w:rsidRDefault="007435E2" w:rsidP="007435E2">
      <w:pPr>
        <w:spacing w:after="0"/>
        <w:ind w:left="567" w:right="616"/>
        <w:jc w:val="both"/>
        <w:rPr>
          <w:rFonts w:ascii="Palatino Linotype" w:eastAsia="Palatino Linotype" w:hAnsi="Palatino Linotype" w:cs="Palatino Linotype"/>
          <w:i/>
        </w:rPr>
      </w:pPr>
    </w:p>
    <w:p w14:paraId="13ED54A5" w14:textId="1EF0189E" w:rsidR="007435E2" w:rsidRPr="00470507" w:rsidRDefault="007435E2" w:rsidP="007435E2">
      <w:pPr>
        <w:spacing w:after="0" w:line="360" w:lineRule="auto"/>
        <w:ind w:right="50"/>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 xml:space="preserve">Asimismo, se deberá observar el Lineamiento Quincuagésimo tercero de los Lineamientos Generales en Materia de Clasificación y Desclasificación de la Información </w:t>
      </w:r>
      <w:proofErr w:type="spellStart"/>
      <w:r w:rsidRPr="00470507">
        <w:rPr>
          <w:rFonts w:ascii="Palatino Linotype" w:eastAsia="Palatino Linotype" w:hAnsi="Palatino Linotype" w:cs="Palatino Linotype"/>
          <w:sz w:val="24"/>
        </w:rPr>
        <w:t>supraindicados</w:t>
      </w:r>
      <w:proofErr w:type="spellEnd"/>
      <w:r w:rsidRPr="00470507">
        <w:rPr>
          <w:rFonts w:ascii="Palatino Linotype" w:eastAsia="Palatino Linotype" w:hAnsi="Palatino Linotype" w:cs="Palatino Linotype"/>
          <w:sz w:val="24"/>
        </w:rPr>
        <w:t xml:space="preserve"> el cual establece los formatos para la clasificación de los documentos, conforme a lo siguiente: </w:t>
      </w:r>
    </w:p>
    <w:p w14:paraId="7BED2635" w14:textId="77777777" w:rsidR="005A1562" w:rsidRPr="00470507" w:rsidRDefault="005A1562" w:rsidP="007435E2">
      <w:pPr>
        <w:spacing w:after="0" w:line="360" w:lineRule="auto"/>
        <w:ind w:right="50"/>
        <w:jc w:val="both"/>
        <w:rPr>
          <w:rFonts w:ascii="Palatino Linotype" w:eastAsia="Palatino Linotype" w:hAnsi="Palatino Linotype" w:cs="Palatino Linotype"/>
          <w:sz w:val="24"/>
        </w:rPr>
      </w:pPr>
    </w:p>
    <w:p w14:paraId="12D5026E" w14:textId="77777777" w:rsidR="007435E2" w:rsidRPr="00470507" w:rsidRDefault="007435E2" w:rsidP="007435E2">
      <w:pPr>
        <w:spacing w:after="0"/>
        <w:ind w:left="851" w:right="900"/>
        <w:jc w:val="center"/>
        <w:rPr>
          <w:rFonts w:ascii="Palatino Linotype" w:eastAsia="Palatino Linotype" w:hAnsi="Palatino Linotype" w:cs="Palatino Linotype"/>
          <w:b/>
          <w:i/>
        </w:rPr>
      </w:pPr>
      <w:r w:rsidRPr="00470507">
        <w:rPr>
          <w:rFonts w:ascii="Palatino Linotype" w:eastAsia="Palatino Linotype" w:hAnsi="Palatino Linotype" w:cs="Palatino Linotype"/>
          <w:b/>
          <w:i/>
        </w:rPr>
        <w:t>CAPÍTULO VIII</w:t>
      </w:r>
    </w:p>
    <w:p w14:paraId="10CAEA30" w14:textId="77777777" w:rsidR="007435E2" w:rsidRPr="00470507" w:rsidRDefault="007435E2" w:rsidP="007435E2">
      <w:pPr>
        <w:spacing w:after="0"/>
        <w:ind w:left="851" w:right="900"/>
        <w:jc w:val="center"/>
        <w:rPr>
          <w:rFonts w:ascii="Palatino Linotype" w:eastAsia="Palatino Linotype" w:hAnsi="Palatino Linotype" w:cs="Palatino Linotype"/>
          <w:b/>
          <w:i/>
        </w:rPr>
      </w:pPr>
      <w:r w:rsidRPr="00470507">
        <w:rPr>
          <w:rFonts w:ascii="Palatino Linotype" w:eastAsia="Palatino Linotype" w:hAnsi="Palatino Linotype" w:cs="Palatino Linotype"/>
          <w:b/>
          <w:i/>
        </w:rPr>
        <w:t xml:space="preserve">DE LOS ELEMENTOS PARA LA CLASIFICACIÓN </w:t>
      </w:r>
    </w:p>
    <w:p w14:paraId="5386FE11" w14:textId="77777777" w:rsidR="007435E2" w:rsidRPr="00470507" w:rsidRDefault="007435E2" w:rsidP="007435E2">
      <w:pPr>
        <w:spacing w:after="0"/>
        <w:ind w:left="851" w:right="902"/>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Quincuagésimo tercero. </w:t>
      </w:r>
      <w:r w:rsidRPr="00470507">
        <w:rPr>
          <w:rFonts w:ascii="Palatino Linotype" w:eastAsia="Palatino Linotype" w:hAnsi="Palatino Linotype" w:cs="Palatino Linotype"/>
          <w:i/>
          <w:u w:val="single"/>
        </w:rPr>
        <w:t>El formato para señalar la clasificación de un documento o expediente que contenga información reservada</w:t>
      </w:r>
      <w:r w:rsidRPr="00470507">
        <w:rPr>
          <w:rFonts w:ascii="Palatino Linotype" w:eastAsia="Palatino Linotype" w:hAnsi="Palatino Linotype" w:cs="Palatino Linotype"/>
          <w:i/>
        </w:rPr>
        <w:t xml:space="preserve">, es el siguiente: </w:t>
      </w:r>
    </w:p>
    <w:p w14:paraId="7CCDA8B7" w14:textId="77777777" w:rsidR="007435E2" w:rsidRPr="00470507" w:rsidRDefault="007435E2" w:rsidP="007435E2">
      <w:pPr>
        <w:spacing w:after="0"/>
        <w:ind w:left="851" w:right="902"/>
        <w:jc w:val="both"/>
        <w:rPr>
          <w:rFonts w:ascii="Palatino Linotype" w:eastAsia="Palatino Linotype" w:hAnsi="Palatino Linotype" w:cs="Palatino Linotype"/>
          <w:i/>
        </w:rPr>
      </w:pPr>
    </w:p>
    <w:tbl>
      <w:tblPr>
        <w:tblStyle w:val="Tablaconcuadrcula"/>
        <w:tblW w:w="0" w:type="auto"/>
        <w:jc w:val="center"/>
        <w:tblLook w:val="04A0" w:firstRow="1" w:lastRow="0" w:firstColumn="1" w:lastColumn="0" w:noHBand="0" w:noVBand="1"/>
      </w:tblPr>
      <w:tblGrid>
        <w:gridCol w:w="1271"/>
        <w:gridCol w:w="2693"/>
        <w:gridCol w:w="3691"/>
      </w:tblGrid>
      <w:tr w:rsidR="007435E2" w:rsidRPr="00470507" w14:paraId="5FDE0961" w14:textId="77777777" w:rsidTr="00892CBC">
        <w:trPr>
          <w:trHeight w:val="262"/>
          <w:jc w:val="center"/>
        </w:trPr>
        <w:tc>
          <w:tcPr>
            <w:tcW w:w="1271" w:type="dxa"/>
            <w:tcBorders>
              <w:top w:val="nil"/>
              <w:left w:val="nil"/>
            </w:tcBorders>
          </w:tcPr>
          <w:p w14:paraId="78CE6CD0" w14:textId="77777777" w:rsidR="007435E2" w:rsidRPr="00470507" w:rsidRDefault="007435E2" w:rsidP="005A1562">
            <w:pPr>
              <w:spacing w:after="0" w:line="240" w:lineRule="auto"/>
              <w:rPr>
                <w:rFonts w:ascii="Palatino Linotype" w:hAnsi="Palatino Linotype"/>
                <w:sz w:val="20"/>
              </w:rPr>
            </w:pPr>
          </w:p>
        </w:tc>
        <w:tc>
          <w:tcPr>
            <w:tcW w:w="2693" w:type="dxa"/>
            <w:shd w:val="clear" w:color="auto" w:fill="D9D9D9" w:themeFill="background1" w:themeFillShade="D9"/>
          </w:tcPr>
          <w:p w14:paraId="22315CFA" w14:textId="77777777" w:rsidR="007435E2" w:rsidRPr="00470507" w:rsidRDefault="007435E2" w:rsidP="005A1562">
            <w:pPr>
              <w:tabs>
                <w:tab w:val="center" w:pos="1238"/>
                <w:tab w:val="right" w:pos="2477"/>
              </w:tabs>
              <w:spacing w:after="0" w:line="240" w:lineRule="auto"/>
              <w:rPr>
                <w:rFonts w:ascii="Palatino Linotype" w:hAnsi="Palatino Linotype"/>
                <w:b/>
                <w:sz w:val="20"/>
              </w:rPr>
            </w:pPr>
            <w:r w:rsidRPr="00470507">
              <w:rPr>
                <w:rFonts w:ascii="Palatino Linotype" w:hAnsi="Palatino Linotype"/>
                <w:b/>
                <w:sz w:val="20"/>
              </w:rPr>
              <w:tab/>
              <w:t>Concepto</w:t>
            </w:r>
            <w:r w:rsidRPr="00470507">
              <w:rPr>
                <w:rFonts w:ascii="Palatino Linotype" w:hAnsi="Palatino Linotype"/>
                <w:b/>
                <w:sz w:val="20"/>
              </w:rPr>
              <w:tab/>
            </w:r>
          </w:p>
        </w:tc>
        <w:tc>
          <w:tcPr>
            <w:tcW w:w="3691" w:type="dxa"/>
            <w:shd w:val="clear" w:color="auto" w:fill="D9D9D9" w:themeFill="background1" w:themeFillShade="D9"/>
          </w:tcPr>
          <w:p w14:paraId="5AC8AE92" w14:textId="77777777" w:rsidR="007435E2" w:rsidRPr="00470507" w:rsidRDefault="007435E2" w:rsidP="005A1562">
            <w:pPr>
              <w:spacing w:after="0" w:line="240" w:lineRule="auto"/>
              <w:jc w:val="center"/>
              <w:rPr>
                <w:rFonts w:ascii="Palatino Linotype" w:hAnsi="Palatino Linotype"/>
                <w:b/>
                <w:sz w:val="20"/>
              </w:rPr>
            </w:pPr>
            <w:r w:rsidRPr="00470507">
              <w:rPr>
                <w:rFonts w:ascii="Palatino Linotype" w:hAnsi="Palatino Linotype"/>
                <w:b/>
                <w:sz w:val="20"/>
              </w:rPr>
              <w:t>Dónde</w:t>
            </w:r>
          </w:p>
        </w:tc>
      </w:tr>
      <w:tr w:rsidR="007435E2" w:rsidRPr="00470507" w14:paraId="3626D561" w14:textId="77777777" w:rsidTr="00892CBC">
        <w:trPr>
          <w:jc w:val="center"/>
        </w:trPr>
        <w:tc>
          <w:tcPr>
            <w:tcW w:w="1271" w:type="dxa"/>
            <w:vMerge w:val="restart"/>
            <w:shd w:val="clear" w:color="auto" w:fill="D9D9D9" w:themeFill="background1" w:themeFillShade="D9"/>
          </w:tcPr>
          <w:p w14:paraId="641AAF1E" w14:textId="77777777" w:rsidR="007435E2" w:rsidRPr="00470507" w:rsidRDefault="007435E2" w:rsidP="005A1562">
            <w:pPr>
              <w:spacing w:after="0" w:line="240" w:lineRule="auto"/>
              <w:jc w:val="both"/>
              <w:rPr>
                <w:rFonts w:ascii="Palatino Linotype" w:hAnsi="Palatino Linotype"/>
                <w:b/>
                <w:sz w:val="20"/>
              </w:rPr>
            </w:pPr>
          </w:p>
          <w:p w14:paraId="6EBD0CC7" w14:textId="77777777" w:rsidR="007435E2" w:rsidRPr="00470507" w:rsidRDefault="007435E2" w:rsidP="005A1562">
            <w:pPr>
              <w:spacing w:after="0" w:line="240" w:lineRule="auto"/>
              <w:jc w:val="both"/>
              <w:rPr>
                <w:rFonts w:ascii="Palatino Linotype" w:hAnsi="Palatino Linotype"/>
                <w:b/>
                <w:sz w:val="20"/>
              </w:rPr>
            </w:pPr>
          </w:p>
          <w:p w14:paraId="65A02A4C" w14:textId="77777777" w:rsidR="007435E2" w:rsidRPr="00470507" w:rsidRDefault="007435E2" w:rsidP="005A1562">
            <w:pPr>
              <w:spacing w:after="0" w:line="240" w:lineRule="auto"/>
              <w:jc w:val="both"/>
              <w:rPr>
                <w:rFonts w:ascii="Palatino Linotype" w:hAnsi="Palatino Linotype"/>
                <w:b/>
                <w:sz w:val="20"/>
              </w:rPr>
            </w:pPr>
          </w:p>
          <w:p w14:paraId="4C839720" w14:textId="77777777" w:rsidR="007435E2" w:rsidRPr="00470507" w:rsidRDefault="007435E2" w:rsidP="005A1562">
            <w:pPr>
              <w:spacing w:after="0" w:line="240" w:lineRule="auto"/>
              <w:jc w:val="both"/>
              <w:rPr>
                <w:rFonts w:ascii="Palatino Linotype" w:hAnsi="Palatino Linotype"/>
                <w:b/>
                <w:sz w:val="20"/>
              </w:rPr>
            </w:pPr>
          </w:p>
          <w:p w14:paraId="6F498794" w14:textId="77777777" w:rsidR="007435E2" w:rsidRPr="00470507" w:rsidRDefault="007435E2" w:rsidP="005A1562">
            <w:pPr>
              <w:spacing w:after="0" w:line="240" w:lineRule="auto"/>
              <w:jc w:val="both"/>
              <w:rPr>
                <w:rFonts w:ascii="Palatino Linotype" w:hAnsi="Palatino Linotype"/>
                <w:b/>
                <w:sz w:val="20"/>
              </w:rPr>
            </w:pPr>
          </w:p>
          <w:p w14:paraId="72E33A9D" w14:textId="77777777" w:rsidR="007435E2" w:rsidRPr="00470507" w:rsidRDefault="007435E2" w:rsidP="005A1562">
            <w:pPr>
              <w:spacing w:after="0" w:line="240" w:lineRule="auto"/>
              <w:jc w:val="both"/>
              <w:rPr>
                <w:rFonts w:ascii="Palatino Linotype" w:hAnsi="Palatino Linotype"/>
                <w:b/>
                <w:sz w:val="20"/>
              </w:rPr>
            </w:pPr>
          </w:p>
          <w:p w14:paraId="124C9100" w14:textId="77777777" w:rsidR="007435E2" w:rsidRPr="00470507" w:rsidRDefault="007435E2" w:rsidP="005A1562">
            <w:pPr>
              <w:spacing w:after="0" w:line="240" w:lineRule="auto"/>
              <w:jc w:val="both"/>
              <w:rPr>
                <w:rFonts w:ascii="Palatino Linotype" w:hAnsi="Palatino Linotype"/>
                <w:b/>
                <w:sz w:val="20"/>
              </w:rPr>
            </w:pPr>
            <w:r w:rsidRPr="00470507">
              <w:rPr>
                <w:rFonts w:ascii="Palatino Linotype" w:hAnsi="Palatino Linotype"/>
                <w:b/>
                <w:sz w:val="20"/>
              </w:rPr>
              <w:lastRenderedPageBreak/>
              <w:t xml:space="preserve">Sello oficial o logotipo del sujeto obligado </w:t>
            </w:r>
          </w:p>
        </w:tc>
        <w:tc>
          <w:tcPr>
            <w:tcW w:w="2693" w:type="dxa"/>
          </w:tcPr>
          <w:p w14:paraId="1E635923" w14:textId="77777777" w:rsidR="007435E2" w:rsidRPr="00470507" w:rsidRDefault="007435E2" w:rsidP="005A1562">
            <w:pPr>
              <w:spacing w:after="0" w:line="240" w:lineRule="auto"/>
              <w:rPr>
                <w:rFonts w:ascii="Palatino Linotype" w:hAnsi="Palatino Linotype"/>
                <w:sz w:val="20"/>
              </w:rPr>
            </w:pPr>
            <w:r w:rsidRPr="00470507">
              <w:rPr>
                <w:rFonts w:ascii="Palatino Linotype" w:hAnsi="Palatino Linotype"/>
                <w:sz w:val="20"/>
              </w:rPr>
              <w:lastRenderedPageBreak/>
              <w:t>Fecha de clasificación</w:t>
            </w:r>
          </w:p>
        </w:tc>
        <w:tc>
          <w:tcPr>
            <w:tcW w:w="3691" w:type="dxa"/>
          </w:tcPr>
          <w:p w14:paraId="645F46AA" w14:textId="77777777" w:rsidR="007435E2" w:rsidRPr="00470507" w:rsidRDefault="007435E2" w:rsidP="005A1562">
            <w:pPr>
              <w:spacing w:after="0" w:line="240" w:lineRule="auto"/>
              <w:jc w:val="both"/>
              <w:rPr>
                <w:rFonts w:ascii="Palatino Linotype" w:hAnsi="Palatino Linotype"/>
                <w:sz w:val="20"/>
              </w:rPr>
            </w:pPr>
            <w:r w:rsidRPr="00470507">
              <w:rPr>
                <w:rFonts w:ascii="Palatino Linotype" w:hAnsi="Palatino Linotype"/>
                <w:sz w:val="20"/>
              </w:rPr>
              <w:t xml:space="preserve">Se anotará la fecha en la que el Comité de Transparencia confirmó la clasificación del documento o expediente, en su caso. </w:t>
            </w:r>
          </w:p>
        </w:tc>
      </w:tr>
      <w:tr w:rsidR="007435E2" w:rsidRPr="00470507" w14:paraId="1B5B0507" w14:textId="77777777" w:rsidTr="00892CBC">
        <w:trPr>
          <w:jc w:val="center"/>
        </w:trPr>
        <w:tc>
          <w:tcPr>
            <w:tcW w:w="1271" w:type="dxa"/>
            <w:vMerge/>
            <w:shd w:val="clear" w:color="auto" w:fill="D9D9D9" w:themeFill="background1" w:themeFillShade="D9"/>
          </w:tcPr>
          <w:p w14:paraId="0AD4BA1E" w14:textId="77777777" w:rsidR="007435E2" w:rsidRPr="00470507" w:rsidRDefault="007435E2" w:rsidP="005A1562">
            <w:pPr>
              <w:spacing w:after="0" w:line="240" w:lineRule="auto"/>
              <w:rPr>
                <w:rFonts w:ascii="Palatino Linotype" w:hAnsi="Palatino Linotype"/>
                <w:sz w:val="20"/>
              </w:rPr>
            </w:pPr>
          </w:p>
        </w:tc>
        <w:tc>
          <w:tcPr>
            <w:tcW w:w="2693" w:type="dxa"/>
          </w:tcPr>
          <w:p w14:paraId="1DF4B624" w14:textId="77777777" w:rsidR="007435E2" w:rsidRPr="00470507" w:rsidRDefault="007435E2" w:rsidP="005A1562">
            <w:pPr>
              <w:spacing w:after="0" w:line="240" w:lineRule="auto"/>
              <w:rPr>
                <w:rFonts w:ascii="Palatino Linotype" w:hAnsi="Palatino Linotype"/>
                <w:sz w:val="20"/>
              </w:rPr>
            </w:pPr>
            <w:r w:rsidRPr="00470507">
              <w:rPr>
                <w:rFonts w:ascii="Palatino Linotype" w:hAnsi="Palatino Linotype"/>
                <w:sz w:val="20"/>
              </w:rPr>
              <w:t xml:space="preserve">Área </w:t>
            </w:r>
          </w:p>
        </w:tc>
        <w:tc>
          <w:tcPr>
            <w:tcW w:w="3691" w:type="dxa"/>
          </w:tcPr>
          <w:p w14:paraId="4FFC411E" w14:textId="77777777" w:rsidR="007435E2" w:rsidRPr="00470507" w:rsidRDefault="007435E2" w:rsidP="005A1562">
            <w:pPr>
              <w:spacing w:after="0" w:line="240" w:lineRule="auto"/>
              <w:jc w:val="both"/>
              <w:rPr>
                <w:rFonts w:ascii="Palatino Linotype" w:hAnsi="Palatino Linotype"/>
                <w:sz w:val="20"/>
              </w:rPr>
            </w:pPr>
            <w:r w:rsidRPr="00470507">
              <w:rPr>
                <w:rFonts w:ascii="Palatino Linotype" w:hAnsi="Palatino Linotype"/>
                <w:sz w:val="20"/>
              </w:rPr>
              <w:t xml:space="preserve">Se señalará el nombre del área del cual es titular quien clasifica. </w:t>
            </w:r>
          </w:p>
        </w:tc>
      </w:tr>
      <w:tr w:rsidR="007435E2" w:rsidRPr="00470507" w14:paraId="24C19847" w14:textId="77777777" w:rsidTr="00892CBC">
        <w:trPr>
          <w:jc w:val="center"/>
        </w:trPr>
        <w:tc>
          <w:tcPr>
            <w:tcW w:w="1271" w:type="dxa"/>
            <w:vMerge/>
            <w:shd w:val="clear" w:color="auto" w:fill="D9D9D9" w:themeFill="background1" w:themeFillShade="D9"/>
          </w:tcPr>
          <w:p w14:paraId="0DDC8AF4" w14:textId="77777777" w:rsidR="007435E2" w:rsidRPr="00470507" w:rsidRDefault="007435E2" w:rsidP="005A1562">
            <w:pPr>
              <w:spacing w:after="0" w:line="240" w:lineRule="auto"/>
              <w:rPr>
                <w:rFonts w:ascii="Palatino Linotype" w:hAnsi="Palatino Linotype"/>
                <w:sz w:val="20"/>
              </w:rPr>
            </w:pPr>
          </w:p>
        </w:tc>
        <w:tc>
          <w:tcPr>
            <w:tcW w:w="2693" w:type="dxa"/>
          </w:tcPr>
          <w:p w14:paraId="60CB68F6" w14:textId="77777777" w:rsidR="007435E2" w:rsidRPr="00470507" w:rsidRDefault="007435E2" w:rsidP="005A1562">
            <w:pPr>
              <w:spacing w:after="0" w:line="240" w:lineRule="auto"/>
              <w:rPr>
                <w:rFonts w:ascii="Palatino Linotype" w:hAnsi="Palatino Linotype"/>
                <w:sz w:val="20"/>
              </w:rPr>
            </w:pPr>
            <w:r w:rsidRPr="00470507">
              <w:rPr>
                <w:rFonts w:ascii="Palatino Linotype" w:hAnsi="Palatino Linotype"/>
                <w:sz w:val="20"/>
              </w:rPr>
              <w:t>Información Reservada</w:t>
            </w:r>
          </w:p>
        </w:tc>
        <w:tc>
          <w:tcPr>
            <w:tcW w:w="3691" w:type="dxa"/>
          </w:tcPr>
          <w:p w14:paraId="768699A7" w14:textId="77777777" w:rsidR="007435E2" w:rsidRPr="00470507" w:rsidRDefault="007435E2" w:rsidP="005A1562">
            <w:pPr>
              <w:spacing w:after="0" w:line="240" w:lineRule="auto"/>
              <w:jc w:val="both"/>
              <w:rPr>
                <w:rFonts w:ascii="Palatino Linotype" w:hAnsi="Palatino Linotype"/>
                <w:sz w:val="20"/>
              </w:rPr>
            </w:pPr>
            <w:r w:rsidRPr="00470507">
              <w:rPr>
                <w:rFonts w:ascii="Palatino Linotype" w:hAnsi="Palatino Linotype"/>
                <w:sz w:val="20"/>
              </w:rPr>
              <w:t>Se indicarán las partes o páginas del documento que se clasifican como reservadas, o, en su caso, se precisará que se ha reservado el documento o expediente en su totalidad.</w:t>
            </w:r>
          </w:p>
        </w:tc>
      </w:tr>
      <w:tr w:rsidR="007435E2" w:rsidRPr="00470507" w14:paraId="209F3740" w14:textId="77777777" w:rsidTr="00892CBC">
        <w:trPr>
          <w:jc w:val="center"/>
        </w:trPr>
        <w:tc>
          <w:tcPr>
            <w:tcW w:w="1271" w:type="dxa"/>
            <w:vMerge/>
            <w:shd w:val="clear" w:color="auto" w:fill="D9D9D9" w:themeFill="background1" w:themeFillShade="D9"/>
          </w:tcPr>
          <w:p w14:paraId="31FB91F8" w14:textId="77777777" w:rsidR="007435E2" w:rsidRPr="00470507" w:rsidRDefault="007435E2" w:rsidP="005A1562">
            <w:pPr>
              <w:spacing w:after="0" w:line="240" w:lineRule="auto"/>
              <w:rPr>
                <w:rFonts w:ascii="Palatino Linotype" w:hAnsi="Palatino Linotype"/>
                <w:sz w:val="20"/>
              </w:rPr>
            </w:pPr>
          </w:p>
        </w:tc>
        <w:tc>
          <w:tcPr>
            <w:tcW w:w="2693" w:type="dxa"/>
          </w:tcPr>
          <w:p w14:paraId="1B1B9716" w14:textId="77777777" w:rsidR="007435E2" w:rsidRPr="00470507" w:rsidRDefault="007435E2" w:rsidP="005A1562">
            <w:pPr>
              <w:spacing w:after="0" w:line="240" w:lineRule="auto"/>
              <w:rPr>
                <w:rFonts w:ascii="Palatino Linotype" w:hAnsi="Palatino Linotype"/>
                <w:sz w:val="20"/>
              </w:rPr>
            </w:pPr>
            <w:r w:rsidRPr="00470507">
              <w:rPr>
                <w:rFonts w:ascii="Palatino Linotype" w:hAnsi="Palatino Linotype"/>
                <w:sz w:val="20"/>
              </w:rPr>
              <w:t xml:space="preserve">Periodo de Reserva </w:t>
            </w:r>
          </w:p>
        </w:tc>
        <w:tc>
          <w:tcPr>
            <w:tcW w:w="3691" w:type="dxa"/>
          </w:tcPr>
          <w:p w14:paraId="0C7FDF1E" w14:textId="77777777" w:rsidR="007435E2" w:rsidRPr="00470507" w:rsidRDefault="007435E2" w:rsidP="005A1562">
            <w:pPr>
              <w:spacing w:after="0" w:line="240" w:lineRule="auto"/>
              <w:jc w:val="both"/>
              <w:rPr>
                <w:rFonts w:ascii="Palatino Linotype" w:hAnsi="Palatino Linotype"/>
                <w:sz w:val="20"/>
              </w:rPr>
            </w:pPr>
            <w:r w:rsidRPr="00470507">
              <w:rPr>
                <w:rFonts w:ascii="Palatino Linotype" w:hAnsi="Palatino Linotype"/>
                <w:sz w:val="20"/>
              </w:rPr>
              <w:t xml:space="preserve">Se anotará el número de años o meses por los que se mantendrá reservado el documento, el expediente o, en su caso, las partes o secciones reservadas. </w:t>
            </w:r>
          </w:p>
        </w:tc>
      </w:tr>
      <w:tr w:rsidR="007435E2" w:rsidRPr="00470507" w14:paraId="527D8A5F" w14:textId="77777777" w:rsidTr="00892CBC">
        <w:trPr>
          <w:jc w:val="center"/>
        </w:trPr>
        <w:tc>
          <w:tcPr>
            <w:tcW w:w="1271" w:type="dxa"/>
            <w:vMerge/>
            <w:shd w:val="clear" w:color="auto" w:fill="D9D9D9" w:themeFill="background1" w:themeFillShade="D9"/>
          </w:tcPr>
          <w:p w14:paraId="17175251" w14:textId="77777777" w:rsidR="007435E2" w:rsidRPr="00470507" w:rsidRDefault="007435E2" w:rsidP="005A1562">
            <w:pPr>
              <w:spacing w:after="0" w:line="240" w:lineRule="auto"/>
              <w:rPr>
                <w:rFonts w:ascii="Palatino Linotype" w:hAnsi="Palatino Linotype"/>
                <w:sz w:val="20"/>
              </w:rPr>
            </w:pPr>
          </w:p>
        </w:tc>
        <w:tc>
          <w:tcPr>
            <w:tcW w:w="2693" w:type="dxa"/>
          </w:tcPr>
          <w:p w14:paraId="74BDAC83" w14:textId="77777777" w:rsidR="007435E2" w:rsidRPr="00470507" w:rsidRDefault="007435E2" w:rsidP="005A1562">
            <w:pPr>
              <w:spacing w:after="0" w:line="240" w:lineRule="auto"/>
              <w:rPr>
                <w:rFonts w:ascii="Palatino Linotype" w:hAnsi="Palatino Linotype"/>
                <w:sz w:val="20"/>
              </w:rPr>
            </w:pPr>
            <w:r w:rsidRPr="00470507">
              <w:rPr>
                <w:rFonts w:ascii="Palatino Linotype" w:hAnsi="Palatino Linotype"/>
                <w:sz w:val="20"/>
              </w:rPr>
              <w:t>Fundamento legal</w:t>
            </w:r>
          </w:p>
        </w:tc>
        <w:tc>
          <w:tcPr>
            <w:tcW w:w="3691" w:type="dxa"/>
          </w:tcPr>
          <w:p w14:paraId="2B901B8C" w14:textId="77777777" w:rsidR="007435E2" w:rsidRPr="00470507" w:rsidRDefault="007435E2" w:rsidP="005A1562">
            <w:pPr>
              <w:spacing w:after="0" w:line="240" w:lineRule="auto"/>
              <w:jc w:val="both"/>
              <w:rPr>
                <w:rFonts w:ascii="Palatino Linotype" w:hAnsi="Palatino Linotype"/>
                <w:sz w:val="20"/>
              </w:rPr>
            </w:pPr>
            <w:r w:rsidRPr="00470507">
              <w:rPr>
                <w:rFonts w:ascii="Palatino Linotype" w:hAnsi="Palatino Linotype"/>
                <w:sz w:val="20"/>
              </w:rPr>
              <w:t xml:space="preserve">Se señalará el nombre del ordenamiento el o los artículos, fracciones, párrafos con base en los cuales se sustente la reserva. </w:t>
            </w:r>
          </w:p>
        </w:tc>
      </w:tr>
      <w:tr w:rsidR="007435E2" w:rsidRPr="00470507" w14:paraId="5D479E1D" w14:textId="77777777" w:rsidTr="00892CBC">
        <w:trPr>
          <w:jc w:val="center"/>
        </w:trPr>
        <w:tc>
          <w:tcPr>
            <w:tcW w:w="1271" w:type="dxa"/>
            <w:vMerge/>
            <w:shd w:val="clear" w:color="auto" w:fill="D9D9D9" w:themeFill="background1" w:themeFillShade="D9"/>
          </w:tcPr>
          <w:p w14:paraId="3532476A" w14:textId="77777777" w:rsidR="007435E2" w:rsidRPr="00470507" w:rsidRDefault="007435E2" w:rsidP="005A1562">
            <w:pPr>
              <w:spacing w:after="0" w:line="240" w:lineRule="auto"/>
              <w:rPr>
                <w:rFonts w:ascii="Palatino Linotype" w:hAnsi="Palatino Linotype"/>
                <w:sz w:val="20"/>
              </w:rPr>
            </w:pPr>
          </w:p>
        </w:tc>
        <w:tc>
          <w:tcPr>
            <w:tcW w:w="2693" w:type="dxa"/>
          </w:tcPr>
          <w:p w14:paraId="64EA6C5F" w14:textId="77777777" w:rsidR="007435E2" w:rsidRPr="00470507" w:rsidRDefault="007435E2" w:rsidP="005A1562">
            <w:pPr>
              <w:spacing w:after="0" w:line="240" w:lineRule="auto"/>
              <w:rPr>
                <w:rFonts w:ascii="Palatino Linotype" w:hAnsi="Palatino Linotype"/>
                <w:sz w:val="20"/>
              </w:rPr>
            </w:pPr>
            <w:r w:rsidRPr="00470507">
              <w:rPr>
                <w:rFonts w:ascii="Palatino Linotype" w:hAnsi="Palatino Linotype"/>
                <w:sz w:val="20"/>
              </w:rPr>
              <w:t>Ampliación del periodo de reserva</w:t>
            </w:r>
          </w:p>
        </w:tc>
        <w:tc>
          <w:tcPr>
            <w:tcW w:w="3691" w:type="dxa"/>
          </w:tcPr>
          <w:p w14:paraId="104C6190" w14:textId="77777777" w:rsidR="007435E2" w:rsidRPr="00470507" w:rsidRDefault="007435E2" w:rsidP="005A1562">
            <w:pPr>
              <w:spacing w:after="0" w:line="240" w:lineRule="auto"/>
              <w:jc w:val="both"/>
              <w:rPr>
                <w:rFonts w:ascii="Palatino Linotype" w:hAnsi="Palatino Linotype"/>
                <w:sz w:val="20"/>
              </w:rPr>
            </w:pPr>
            <w:r w:rsidRPr="00470507">
              <w:rPr>
                <w:rFonts w:ascii="Palatino Linotype" w:hAnsi="Palatino Linotype"/>
                <w:sz w:val="20"/>
              </w:rPr>
              <w:t xml:space="preserve">En caso de haber solicitado la ampliación del periodo de reserva originalmente establecido, se deberá anotar el número de años o meses por los que se amplía la reserva. </w:t>
            </w:r>
          </w:p>
        </w:tc>
      </w:tr>
      <w:tr w:rsidR="007435E2" w:rsidRPr="00470507" w14:paraId="4D908814" w14:textId="77777777" w:rsidTr="00892CBC">
        <w:trPr>
          <w:jc w:val="center"/>
        </w:trPr>
        <w:tc>
          <w:tcPr>
            <w:tcW w:w="3964" w:type="dxa"/>
            <w:gridSpan w:val="2"/>
            <w:shd w:val="clear" w:color="auto" w:fill="D9D9D9" w:themeFill="background1" w:themeFillShade="D9"/>
          </w:tcPr>
          <w:p w14:paraId="1F899F58" w14:textId="77777777" w:rsidR="007435E2" w:rsidRPr="00470507" w:rsidRDefault="007435E2" w:rsidP="005A1562">
            <w:pPr>
              <w:spacing w:after="0" w:line="240" w:lineRule="auto"/>
              <w:rPr>
                <w:rFonts w:ascii="Palatino Linotype" w:hAnsi="Palatino Linotype"/>
                <w:sz w:val="20"/>
              </w:rPr>
            </w:pPr>
            <w:r w:rsidRPr="00470507">
              <w:rPr>
                <w:rFonts w:ascii="Palatino Linotype" w:hAnsi="Palatino Linotype"/>
                <w:sz w:val="20"/>
              </w:rPr>
              <w:t>Rúbrica del titular del área</w:t>
            </w:r>
          </w:p>
        </w:tc>
        <w:tc>
          <w:tcPr>
            <w:tcW w:w="3691" w:type="dxa"/>
            <w:shd w:val="clear" w:color="auto" w:fill="D9D9D9" w:themeFill="background1" w:themeFillShade="D9"/>
          </w:tcPr>
          <w:p w14:paraId="7DB2C084" w14:textId="77777777" w:rsidR="007435E2" w:rsidRPr="00470507" w:rsidRDefault="007435E2" w:rsidP="005A1562">
            <w:pPr>
              <w:spacing w:after="0" w:line="240" w:lineRule="auto"/>
              <w:jc w:val="both"/>
              <w:rPr>
                <w:rFonts w:ascii="Palatino Linotype" w:hAnsi="Palatino Linotype"/>
                <w:sz w:val="20"/>
              </w:rPr>
            </w:pPr>
            <w:r w:rsidRPr="00470507">
              <w:rPr>
                <w:rFonts w:ascii="Palatino Linotype" w:hAnsi="Palatino Linotype"/>
                <w:sz w:val="20"/>
              </w:rPr>
              <w:t xml:space="preserve">Rúbrica autógrafa o firma digital de quien clasifica. </w:t>
            </w:r>
          </w:p>
        </w:tc>
      </w:tr>
      <w:tr w:rsidR="007435E2" w:rsidRPr="00470507" w14:paraId="3697A7F6" w14:textId="77777777" w:rsidTr="00892CBC">
        <w:trPr>
          <w:jc w:val="center"/>
        </w:trPr>
        <w:tc>
          <w:tcPr>
            <w:tcW w:w="3964" w:type="dxa"/>
            <w:gridSpan w:val="2"/>
            <w:shd w:val="clear" w:color="auto" w:fill="D9D9D9" w:themeFill="background1" w:themeFillShade="D9"/>
          </w:tcPr>
          <w:p w14:paraId="3CC1587C" w14:textId="77777777" w:rsidR="007435E2" w:rsidRPr="00470507" w:rsidRDefault="007435E2" w:rsidP="005A1562">
            <w:pPr>
              <w:spacing w:after="0" w:line="240" w:lineRule="auto"/>
              <w:rPr>
                <w:rFonts w:ascii="Palatino Linotype" w:hAnsi="Palatino Linotype"/>
                <w:sz w:val="20"/>
              </w:rPr>
            </w:pPr>
            <w:r w:rsidRPr="00470507">
              <w:rPr>
                <w:rFonts w:ascii="Palatino Linotype" w:hAnsi="Palatino Linotype"/>
                <w:sz w:val="20"/>
              </w:rPr>
              <w:t xml:space="preserve">Fecha de desclasificación </w:t>
            </w:r>
          </w:p>
        </w:tc>
        <w:tc>
          <w:tcPr>
            <w:tcW w:w="3691" w:type="dxa"/>
            <w:shd w:val="clear" w:color="auto" w:fill="D9D9D9" w:themeFill="background1" w:themeFillShade="D9"/>
          </w:tcPr>
          <w:p w14:paraId="606C5221" w14:textId="77777777" w:rsidR="007435E2" w:rsidRPr="00470507" w:rsidRDefault="007435E2" w:rsidP="005A1562">
            <w:pPr>
              <w:spacing w:after="0" w:line="240" w:lineRule="auto"/>
              <w:jc w:val="both"/>
              <w:rPr>
                <w:rFonts w:ascii="Palatino Linotype" w:hAnsi="Palatino Linotype"/>
                <w:sz w:val="20"/>
              </w:rPr>
            </w:pPr>
            <w:r w:rsidRPr="00470507">
              <w:rPr>
                <w:rFonts w:ascii="Palatino Linotype" w:hAnsi="Palatino Linotype"/>
                <w:sz w:val="20"/>
              </w:rPr>
              <w:t xml:space="preserve">Se anotará la fecha en que se desclasifica el documento. </w:t>
            </w:r>
          </w:p>
        </w:tc>
      </w:tr>
      <w:tr w:rsidR="007435E2" w:rsidRPr="00470507" w14:paraId="601099E2" w14:textId="77777777" w:rsidTr="00892CBC">
        <w:trPr>
          <w:jc w:val="center"/>
        </w:trPr>
        <w:tc>
          <w:tcPr>
            <w:tcW w:w="3964" w:type="dxa"/>
            <w:gridSpan w:val="2"/>
            <w:shd w:val="clear" w:color="auto" w:fill="D9D9D9" w:themeFill="background1" w:themeFillShade="D9"/>
          </w:tcPr>
          <w:p w14:paraId="73135863" w14:textId="77777777" w:rsidR="007435E2" w:rsidRPr="00470507" w:rsidRDefault="007435E2" w:rsidP="005A1562">
            <w:pPr>
              <w:spacing w:after="0" w:line="240" w:lineRule="auto"/>
              <w:rPr>
                <w:rFonts w:ascii="Palatino Linotype" w:hAnsi="Palatino Linotype"/>
                <w:sz w:val="20"/>
              </w:rPr>
            </w:pPr>
            <w:r w:rsidRPr="00470507">
              <w:rPr>
                <w:rFonts w:ascii="Palatino Linotype" w:hAnsi="Palatino Linotype"/>
                <w:sz w:val="20"/>
              </w:rPr>
              <w:t xml:space="preserve">Rúbrica y cargo del servidor público </w:t>
            </w:r>
          </w:p>
        </w:tc>
        <w:tc>
          <w:tcPr>
            <w:tcW w:w="3691" w:type="dxa"/>
            <w:shd w:val="clear" w:color="auto" w:fill="D9D9D9" w:themeFill="background1" w:themeFillShade="D9"/>
          </w:tcPr>
          <w:p w14:paraId="4832CDDE" w14:textId="77777777" w:rsidR="007435E2" w:rsidRPr="00470507" w:rsidRDefault="007435E2" w:rsidP="005A1562">
            <w:pPr>
              <w:spacing w:after="0" w:line="240" w:lineRule="auto"/>
              <w:jc w:val="both"/>
              <w:rPr>
                <w:rFonts w:ascii="Palatino Linotype" w:hAnsi="Palatino Linotype"/>
                <w:sz w:val="20"/>
              </w:rPr>
            </w:pPr>
            <w:r w:rsidRPr="00470507">
              <w:rPr>
                <w:rFonts w:ascii="Palatino Linotype" w:hAnsi="Palatino Linotype"/>
                <w:sz w:val="20"/>
              </w:rPr>
              <w:t xml:space="preserve">Rúbrica autógrafa o firma digital de quien desclasifica. </w:t>
            </w:r>
          </w:p>
        </w:tc>
      </w:tr>
    </w:tbl>
    <w:p w14:paraId="77EC63F1" w14:textId="77777777" w:rsidR="007435E2" w:rsidRPr="00470507" w:rsidRDefault="007435E2" w:rsidP="007435E2">
      <w:pPr>
        <w:spacing w:after="0" w:line="360" w:lineRule="auto"/>
        <w:ind w:right="902"/>
        <w:rPr>
          <w:rFonts w:ascii="Palatino Linotype" w:eastAsia="Palatino Linotype" w:hAnsi="Palatino Linotype" w:cs="Palatino Linotype"/>
          <w:i/>
        </w:rPr>
      </w:pPr>
    </w:p>
    <w:p w14:paraId="42C30385" w14:textId="77777777" w:rsidR="007435E2" w:rsidRPr="00470507" w:rsidRDefault="007435E2" w:rsidP="007435E2">
      <w:pPr>
        <w:spacing w:after="0"/>
        <w:ind w:left="567" w:right="902"/>
        <w:jc w:val="both"/>
        <w:rPr>
          <w:rFonts w:ascii="Palatino Linotype" w:eastAsia="Palatino Linotype" w:hAnsi="Palatino Linotype" w:cs="Palatino Linotype"/>
          <w:i/>
        </w:rPr>
      </w:pPr>
      <w:r w:rsidRPr="00470507">
        <w:rPr>
          <w:rFonts w:ascii="Palatino Linotype" w:eastAsia="Palatino Linotype" w:hAnsi="Palatino Linotype" w:cs="Palatino Linotype"/>
          <w:i/>
        </w:rPr>
        <w:t>Los documentos que integren un expediente reservado en su totalidad no deberán marcarse en lo individual.</w:t>
      </w:r>
    </w:p>
    <w:p w14:paraId="4E6ADF9B" w14:textId="77777777" w:rsidR="007435E2" w:rsidRPr="00470507" w:rsidRDefault="007435E2" w:rsidP="007435E2">
      <w:pPr>
        <w:spacing w:after="0"/>
        <w:ind w:left="567" w:right="902"/>
        <w:jc w:val="both"/>
        <w:rPr>
          <w:rFonts w:ascii="Palatino Linotype" w:eastAsia="Palatino Linotype" w:hAnsi="Palatino Linotype" w:cs="Palatino Linotype"/>
          <w:i/>
        </w:rPr>
      </w:pPr>
      <w:r w:rsidRPr="00470507">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7511126D" w14:textId="77777777" w:rsidR="007435E2" w:rsidRPr="00470507" w:rsidRDefault="007435E2" w:rsidP="007435E2">
      <w:pPr>
        <w:spacing w:after="0" w:line="360" w:lineRule="auto"/>
        <w:jc w:val="both"/>
        <w:rPr>
          <w:rFonts w:ascii="Palatino Linotype" w:eastAsia="Palatino Linotype" w:hAnsi="Palatino Linotype" w:cs="Palatino Linotype"/>
        </w:rPr>
      </w:pPr>
    </w:p>
    <w:p w14:paraId="2AFCC6A0" w14:textId="77777777" w:rsidR="007435E2" w:rsidRPr="00470507" w:rsidRDefault="007435E2" w:rsidP="007435E2">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De igual forma, deberá observar los Lineamientos Quincuagésimo cuarto, Quincuagésimo quinto, Quincuagésimo séptimo y Quincuagésimo octavo, establecen lo siguiente:</w:t>
      </w:r>
    </w:p>
    <w:p w14:paraId="3E5CB8AC" w14:textId="77777777" w:rsidR="007435E2" w:rsidRPr="00470507" w:rsidRDefault="007435E2" w:rsidP="007435E2">
      <w:pPr>
        <w:spacing w:after="0" w:line="360" w:lineRule="auto"/>
        <w:jc w:val="both"/>
        <w:rPr>
          <w:rFonts w:ascii="Palatino Linotype" w:eastAsia="Palatino Linotype" w:hAnsi="Palatino Linotype" w:cs="Palatino Linotype"/>
        </w:rPr>
      </w:pPr>
    </w:p>
    <w:p w14:paraId="06258271" w14:textId="77777777" w:rsidR="007435E2" w:rsidRPr="00470507"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r w:rsidRPr="00470507">
        <w:rPr>
          <w:rFonts w:ascii="Palatino Linotype" w:eastAsia="Palatino Linotype" w:hAnsi="Palatino Linotype" w:cs="Palatino Linotype"/>
          <w:b/>
          <w:i/>
        </w:rPr>
        <w:t>Quincuagésimo cuarto.</w:t>
      </w:r>
      <w:r w:rsidRPr="00470507">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w:t>
      </w:r>
      <w:r w:rsidRPr="00470507">
        <w:rPr>
          <w:rFonts w:ascii="Palatino Linotype" w:eastAsia="Palatino Linotype" w:hAnsi="Palatino Linotype" w:cs="Palatino Linotype"/>
          <w:i/>
        </w:rPr>
        <w:lastRenderedPageBreak/>
        <w:t xml:space="preserve">expediente la resolución que determinó la clasificación o, en su defecto, identificar en la carátula del expediente del cual formen parte, la fecha y sesión del Comité de Transparencia en la que se confirmó dicha clasificación. </w:t>
      </w:r>
    </w:p>
    <w:p w14:paraId="6809E85D"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b/>
          <w:i/>
        </w:rPr>
        <w:t>Quincuagésimo quinto.</w:t>
      </w:r>
      <w:r w:rsidRPr="00470507">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470507">
        <w:rPr>
          <w:rFonts w:ascii="Palatino Linotype" w:eastAsia="Palatino Linotype" w:hAnsi="Palatino Linotype" w:cs="Palatino Linotype"/>
          <w:i/>
        </w:rPr>
        <w:t>testado</w:t>
      </w:r>
      <w:proofErr w:type="spellEnd"/>
      <w:r w:rsidRPr="00470507">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F242448"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w:t>
      </w:r>
    </w:p>
    <w:p w14:paraId="0890B899"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b/>
          <w:i/>
        </w:rPr>
        <w:t>Quincuagésimo séptimo.</w:t>
      </w:r>
      <w:r w:rsidRPr="00470507">
        <w:rPr>
          <w:rFonts w:ascii="Palatino Linotype" w:eastAsia="Palatino Linotype" w:hAnsi="Palatino Linotype" w:cs="Palatino Linotype"/>
          <w:i/>
        </w:rPr>
        <w:t xml:space="preserve"> Se considera, en principio, como información pública y no podrá omitirse de las versiones públicas la siguiente: </w:t>
      </w:r>
    </w:p>
    <w:p w14:paraId="33068246"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1BC09637"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464F8D34"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4E8D9D5"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23F9A755" w14:textId="77777777" w:rsidR="007435E2" w:rsidRPr="00470507" w:rsidRDefault="007435E2" w:rsidP="007435E2">
      <w:pPr>
        <w:spacing w:after="0"/>
        <w:ind w:left="567" w:right="616"/>
        <w:jc w:val="both"/>
        <w:rPr>
          <w:rFonts w:ascii="Palatino Linotype" w:eastAsia="Palatino Linotype" w:hAnsi="Palatino Linotype" w:cs="Palatino Linotype"/>
          <w:i/>
        </w:rPr>
      </w:pPr>
      <w:r w:rsidRPr="00470507">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3B953189" w14:textId="77777777" w:rsidR="007435E2" w:rsidRPr="00470507" w:rsidRDefault="007435E2" w:rsidP="007435E2">
      <w:pPr>
        <w:spacing w:after="0"/>
        <w:ind w:left="567" w:right="616"/>
        <w:jc w:val="both"/>
        <w:rPr>
          <w:rFonts w:ascii="Palatino Linotype" w:eastAsia="Palatino Linotype" w:hAnsi="Palatino Linotype" w:cs="Palatino Linotype"/>
          <w:i/>
        </w:rPr>
      </w:pPr>
    </w:p>
    <w:p w14:paraId="659A1D73" w14:textId="77777777" w:rsidR="007435E2" w:rsidRPr="00470507" w:rsidRDefault="007435E2" w:rsidP="007435E2">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 xml:space="preserve">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w:t>
      </w:r>
      <w:r w:rsidRPr="00470507">
        <w:rPr>
          <w:rFonts w:ascii="Palatino Linotype" w:eastAsia="Palatino Linotype" w:hAnsi="Palatino Linotype" w:cs="Palatino Linotype"/>
          <w:sz w:val="24"/>
        </w:rPr>
        <w:lastRenderedPageBreak/>
        <w:t>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6468A5F5" w14:textId="77777777" w:rsidR="007435E2" w:rsidRPr="00470507" w:rsidRDefault="007435E2" w:rsidP="007435E2">
      <w:pPr>
        <w:spacing w:after="0" w:line="360" w:lineRule="auto"/>
        <w:jc w:val="both"/>
        <w:rPr>
          <w:rFonts w:ascii="Palatino Linotype" w:eastAsia="Palatino Linotype" w:hAnsi="Palatino Linotype" w:cs="Palatino Linotype"/>
          <w:sz w:val="24"/>
        </w:rPr>
      </w:pPr>
    </w:p>
    <w:p w14:paraId="0DEA4638" w14:textId="3A09958D" w:rsidR="007435E2" w:rsidRPr="00470507" w:rsidRDefault="007435E2" w:rsidP="007435E2">
      <w:pPr>
        <w:spacing w:after="0" w:line="360" w:lineRule="auto"/>
        <w:ind w:right="49"/>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 xml:space="preserve">Es así como, en mérito de lo expuesto en líneas anteriores, resultan fundadas las razones o motivos de inconformidad hechos valer por </w:t>
      </w:r>
      <w:r w:rsidR="00174CDA" w:rsidRPr="00470507">
        <w:rPr>
          <w:rFonts w:ascii="Palatino Linotype" w:eastAsia="Palatino Linotype" w:hAnsi="Palatino Linotype" w:cs="Palatino Linotype"/>
          <w:sz w:val="24"/>
        </w:rPr>
        <w:t>la parte</w:t>
      </w:r>
      <w:r w:rsidRPr="00470507">
        <w:rPr>
          <w:rFonts w:ascii="Palatino Linotype" w:eastAsia="Palatino Linotype" w:hAnsi="Palatino Linotype" w:cs="Palatino Linotype"/>
          <w:sz w:val="24"/>
        </w:rPr>
        <w:t xml:space="preserve"> </w:t>
      </w:r>
      <w:r w:rsidRPr="00470507">
        <w:rPr>
          <w:rFonts w:ascii="Palatino Linotype" w:eastAsia="Palatino Linotype" w:hAnsi="Palatino Linotype" w:cs="Palatino Linotype"/>
          <w:b/>
          <w:sz w:val="24"/>
        </w:rPr>
        <w:t>RECURRENTE</w:t>
      </w:r>
      <w:r w:rsidRPr="00470507">
        <w:rPr>
          <w:rFonts w:ascii="Palatino Linotype" w:eastAsia="Palatino Linotype" w:hAnsi="Palatino Linotype" w:cs="Palatino Linotype"/>
          <w:sz w:val="24"/>
        </w:rPr>
        <w:t xml:space="preserve"> dentro del recurso de revisión </w:t>
      </w:r>
      <w:r w:rsidRPr="00470507">
        <w:rPr>
          <w:rFonts w:ascii="Palatino Linotype" w:eastAsia="Palatino Linotype" w:hAnsi="Palatino Linotype" w:cs="Palatino Linotype"/>
          <w:b/>
          <w:sz w:val="24"/>
        </w:rPr>
        <w:t>0</w:t>
      </w:r>
      <w:r w:rsidR="0080100F" w:rsidRPr="00470507">
        <w:rPr>
          <w:rFonts w:ascii="Palatino Linotype" w:eastAsia="Palatino Linotype" w:hAnsi="Palatino Linotype" w:cs="Palatino Linotype"/>
          <w:b/>
          <w:sz w:val="24"/>
        </w:rPr>
        <w:t>6169</w:t>
      </w:r>
      <w:r w:rsidRPr="00470507">
        <w:rPr>
          <w:rFonts w:ascii="Palatino Linotype" w:eastAsia="Palatino Linotype" w:hAnsi="Palatino Linotype" w:cs="Palatino Linotype"/>
          <w:b/>
          <w:sz w:val="24"/>
        </w:rPr>
        <w:t>/INFOEM/IP/RR/2023</w:t>
      </w:r>
      <w:r w:rsidRPr="00470507">
        <w:rPr>
          <w:rFonts w:ascii="Palatino Linotype" w:eastAsia="Palatino Linotype" w:hAnsi="Palatino Linotype" w:cs="Palatino Linotype"/>
          <w:sz w:val="24"/>
        </w:rPr>
        <w:t>; por ello, y con fundamento en la fracción I</w:t>
      </w:r>
      <w:r w:rsidR="0080100F" w:rsidRPr="00470507">
        <w:rPr>
          <w:rFonts w:ascii="Palatino Linotype" w:eastAsia="Palatino Linotype" w:hAnsi="Palatino Linotype" w:cs="Palatino Linotype"/>
          <w:sz w:val="24"/>
        </w:rPr>
        <w:t>V</w:t>
      </w:r>
      <w:r w:rsidRPr="00470507">
        <w:rPr>
          <w:rFonts w:ascii="Palatino Linotype" w:eastAsia="Palatino Linotype" w:hAnsi="Palatino Linotype" w:cs="Palatino Linotype"/>
          <w:sz w:val="24"/>
        </w:rPr>
        <w:t xml:space="preserve"> del numeral 186 de la Ley de Transparencia y Acceso a la Información Pública del Estado de México y Municipios, por lo que se </w:t>
      </w:r>
      <w:r w:rsidR="0080100F" w:rsidRPr="00470507">
        <w:rPr>
          <w:rFonts w:ascii="Palatino Linotype" w:eastAsia="Palatino Linotype" w:hAnsi="Palatino Linotype" w:cs="Palatino Linotype"/>
          <w:b/>
          <w:sz w:val="24"/>
        </w:rPr>
        <w:t>ORDENA</w:t>
      </w:r>
      <w:r w:rsidR="0080100F" w:rsidRPr="00470507">
        <w:rPr>
          <w:rFonts w:ascii="Palatino Linotype" w:eastAsia="Palatino Linotype" w:hAnsi="Palatino Linotype" w:cs="Palatino Linotype"/>
          <w:sz w:val="24"/>
        </w:rPr>
        <w:t xml:space="preserve"> al </w:t>
      </w:r>
      <w:r w:rsidR="0080100F" w:rsidRPr="00470507">
        <w:rPr>
          <w:rFonts w:ascii="Palatino Linotype" w:eastAsia="Palatino Linotype" w:hAnsi="Palatino Linotype" w:cs="Palatino Linotype"/>
          <w:b/>
          <w:bCs/>
          <w:sz w:val="24"/>
        </w:rPr>
        <w:t xml:space="preserve">SUJETO OBLIGADO </w:t>
      </w:r>
      <w:r w:rsidR="0080100F" w:rsidRPr="00470507">
        <w:rPr>
          <w:rFonts w:ascii="Palatino Linotype" w:eastAsia="Palatino Linotype" w:hAnsi="Palatino Linotype" w:cs="Palatino Linotype"/>
          <w:sz w:val="24"/>
        </w:rPr>
        <w:t xml:space="preserve">proporcione la información requerida en la en la solicitud de información 00120/MALINAL/IP/2023. </w:t>
      </w:r>
      <w:r w:rsidRPr="00470507">
        <w:rPr>
          <w:rFonts w:ascii="Palatino Linotype" w:eastAsia="Palatino Linotype" w:hAnsi="Palatino Linotype" w:cs="Palatino Linotype"/>
          <w:sz w:val="24"/>
        </w:rPr>
        <w:t xml:space="preserve"> </w:t>
      </w:r>
      <w:r w:rsidRPr="00470507">
        <w:rPr>
          <w:rFonts w:ascii="Palatino Linotype" w:eastAsia="Palatino Linotype" w:hAnsi="Palatino Linotype" w:cs="Palatino Linotype"/>
          <w:b/>
          <w:sz w:val="24"/>
        </w:rPr>
        <w:t xml:space="preserve"> </w:t>
      </w:r>
    </w:p>
    <w:p w14:paraId="5812CC60" w14:textId="77777777" w:rsidR="00BD52A1" w:rsidRPr="00470507" w:rsidRDefault="00BD52A1" w:rsidP="007435E2">
      <w:pPr>
        <w:spacing w:after="0" w:line="360" w:lineRule="auto"/>
        <w:ind w:right="49"/>
        <w:jc w:val="both"/>
        <w:rPr>
          <w:rFonts w:ascii="Palatino Linotype" w:eastAsia="Palatino Linotype" w:hAnsi="Palatino Linotype" w:cs="Palatino Linotype"/>
          <w:b/>
          <w:sz w:val="24"/>
        </w:rPr>
      </w:pPr>
    </w:p>
    <w:p w14:paraId="01F864AD" w14:textId="71E0DBB6" w:rsidR="00F51F8E" w:rsidRPr="00470507" w:rsidRDefault="007435E2" w:rsidP="007277BF">
      <w:pPr>
        <w:spacing w:after="0" w:line="360" w:lineRule="auto"/>
        <w:ind w:right="49"/>
        <w:jc w:val="both"/>
        <w:rPr>
          <w:rFonts w:ascii="Palatino Linotype" w:eastAsia="Palatino Linotype" w:hAnsi="Palatino Linotype" w:cs="Palatino Linotype"/>
          <w:sz w:val="24"/>
        </w:rPr>
      </w:pPr>
      <w:r w:rsidRPr="00470507">
        <w:rPr>
          <w:rFonts w:ascii="Palatino Linotype" w:eastAsia="Palatino Linotype" w:hAnsi="Palatino Linotype" w:cs="Palatino Linotype"/>
          <w:sz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C2C8A29" w14:textId="77777777" w:rsidR="00F30CCB" w:rsidRPr="00470507" w:rsidRDefault="00F30CCB" w:rsidP="007277BF">
      <w:pPr>
        <w:spacing w:after="0" w:line="360" w:lineRule="auto"/>
        <w:ind w:right="49"/>
        <w:jc w:val="both"/>
        <w:rPr>
          <w:rFonts w:ascii="Palatino Linotype" w:eastAsia="Palatino Linotype" w:hAnsi="Palatino Linotype" w:cs="Palatino Linotype"/>
          <w:sz w:val="24"/>
        </w:rPr>
      </w:pPr>
    </w:p>
    <w:p w14:paraId="4B3C722F" w14:textId="1CBB18D8" w:rsidR="007435E2" w:rsidRPr="00470507" w:rsidRDefault="007435E2" w:rsidP="007435E2">
      <w:pPr>
        <w:spacing w:after="0" w:line="360" w:lineRule="auto"/>
        <w:ind w:right="49"/>
        <w:jc w:val="center"/>
        <w:rPr>
          <w:rFonts w:ascii="Palatino Linotype" w:eastAsia="Palatino Linotype" w:hAnsi="Palatino Linotype" w:cs="Palatino Linotype"/>
          <w:b/>
          <w:sz w:val="24"/>
          <w:szCs w:val="24"/>
        </w:rPr>
      </w:pPr>
      <w:r w:rsidRPr="00470507">
        <w:rPr>
          <w:rFonts w:ascii="Palatino Linotype" w:eastAsia="Palatino Linotype" w:hAnsi="Palatino Linotype" w:cs="Palatino Linotype"/>
          <w:b/>
          <w:sz w:val="24"/>
          <w:szCs w:val="24"/>
        </w:rPr>
        <w:t>III.</w:t>
      </w:r>
      <w:r w:rsidRPr="00470507">
        <w:rPr>
          <w:rFonts w:ascii="Palatino Linotype" w:eastAsia="Palatino Linotype" w:hAnsi="Palatino Linotype" w:cs="Palatino Linotype"/>
          <w:b/>
          <w:sz w:val="24"/>
          <w:szCs w:val="24"/>
        </w:rPr>
        <w:tab/>
        <w:t>R E S U E L V E:</w:t>
      </w:r>
    </w:p>
    <w:p w14:paraId="68F554AE" w14:textId="77777777" w:rsidR="007435E2" w:rsidRPr="00470507" w:rsidRDefault="007435E2" w:rsidP="007435E2">
      <w:pPr>
        <w:spacing w:after="0" w:line="360" w:lineRule="auto"/>
        <w:ind w:right="49"/>
        <w:jc w:val="both"/>
        <w:rPr>
          <w:rFonts w:ascii="Palatino Linotype" w:eastAsia="Palatino Linotype" w:hAnsi="Palatino Linotype" w:cs="Palatino Linotype"/>
          <w:sz w:val="24"/>
          <w:szCs w:val="24"/>
        </w:rPr>
      </w:pPr>
    </w:p>
    <w:p w14:paraId="48556227" w14:textId="7FFC77F3" w:rsidR="0080100F" w:rsidRPr="00470507" w:rsidRDefault="0080100F" w:rsidP="0080100F">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b/>
          <w:sz w:val="24"/>
          <w:szCs w:val="24"/>
        </w:rPr>
        <w:lastRenderedPageBreak/>
        <w:t xml:space="preserve">Primero. </w:t>
      </w:r>
      <w:r w:rsidRPr="00470507">
        <w:rPr>
          <w:rFonts w:ascii="Palatino Linotype" w:eastAsia="Palatino Linotype" w:hAnsi="Palatino Linotype" w:cs="Palatino Linotype"/>
          <w:sz w:val="24"/>
          <w:szCs w:val="24"/>
        </w:rPr>
        <w:t>Resultan</w:t>
      </w:r>
      <w:r w:rsidRPr="00470507">
        <w:rPr>
          <w:rFonts w:ascii="Palatino Linotype" w:eastAsia="Palatino Linotype" w:hAnsi="Palatino Linotype" w:cs="Palatino Linotype"/>
          <w:b/>
          <w:sz w:val="24"/>
          <w:szCs w:val="24"/>
        </w:rPr>
        <w:t xml:space="preserve"> FUNDADOS </w:t>
      </w:r>
      <w:r w:rsidRPr="00470507">
        <w:rPr>
          <w:rFonts w:ascii="Palatino Linotype" w:eastAsia="Palatino Linotype" w:hAnsi="Palatino Linotype" w:cs="Palatino Linotype"/>
          <w:sz w:val="24"/>
          <w:szCs w:val="24"/>
        </w:rPr>
        <w:t xml:space="preserve">los motivos de inconformidad de la parte </w:t>
      </w:r>
      <w:r w:rsidRPr="00470507">
        <w:rPr>
          <w:rFonts w:ascii="Palatino Linotype" w:eastAsia="Palatino Linotype" w:hAnsi="Palatino Linotype" w:cs="Palatino Linotype"/>
          <w:b/>
          <w:sz w:val="24"/>
          <w:szCs w:val="24"/>
        </w:rPr>
        <w:t>Recurrente</w:t>
      </w:r>
      <w:r w:rsidRPr="00470507">
        <w:rPr>
          <w:rFonts w:ascii="Palatino Linotype" w:eastAsia="Palatino Linotype" w:hAnsi="Palatino Linotype" w:cs="Palatino Linotype"/>
          <w:sz w:val="24"/>
          <w:szCs w:val="24"/>
        </w:rPr>
        <w:t xml:space="preserve">, hechos valer en el Recurso de Revisión </w:t>
      </w:r>
      <w:r w:rsidRPr="00470507">
        <w:rPr>
          <w:rFonts w:ascii="Palatino Linotype" w:eastAsia="Palatino Linotype" w:hAnsi="Palatino Linotype" w:cs="Palatino Linotype"/>
          <w:b/>
          <w:sz w:val="24"/>
          <w:szCs w:val="24"/>
        </w:rPr>
        <w:t>06169/INFOEM/IP/RR/2023</w:t>
      </w:r>
      <w:r w:rsidRPr="00470507">
        <w:rPr>
          <w:rFonts w:ascii="Palatino Linotype" w:eastAsia="Palatino Linotype" w:hAnsi="Palatino Linotype" w:cs="Palatino Linotype"/>
          <w:sz w:val="24"/>
          <w:szCs w:val="24"/>
        </w:rPr>
        <w:t>, en términos del</w:t>
      </w:r>
      <w:r w:rsidRPr="00470507">
        <w:rPr>
          <w:rFonts w:ascii="Palatino Linotype" w:eastAsia="Palatino Linotype" w:hAnsi="Palatino Linotype" w:cs="Palatino Linotype"/>
          <w:b/>
          <w:sz w:val="24"/>
          <w:szCs w:val="24"/>
        </w:rPr>
        <w:t xml:space="preserve"> Considerando</w:t>
      </w:r>
      <w:r w:rsidRPr="00470507">
        <w:rPr>
          <w:rFonts w:ascii="Palatino Linotype" w:eastAsia="Palatino Linotype" w:hAnsi="Palatino Linotype" w:cs="Palatino Linotype"/>
          <w:sz w:val="24"/>
          <w:szCs w:val="24"/>
        </w:rPr>
        <w:t xml:space="preserve"> </w:t>
      </w:r>
      <w:r w:rsidRPr="00470507">
        <w:rPr>
          <w:rFonts w:ascii="Palatino Linotype" w:eastAsia="Palatino Linotype" w:hAnsi="Palatino Linotype" w:cs="Palatino Linotype"/>
          <w:b/>
          <w:sz w:val="24"/>
          <w:szCs w:val="24"/>
        </w:rPr>
        <w:t>Cuarto</w:t>
      </w:r>
      <w:r w:rsidRPr="00470507">
        <w:rPr>
          <w:rFonts w:ascii="Palatino Linotype" w:eastAsia="Palatino Linotype" w:hAnsi="Palatino Linotype" w:cs="Palatino Linotype"/>
          <w:sz w:val="24"/>
          <w:szCs w:val="24"/>
        </w:rPr>
        <w:t xml:space="preserve"> de la presente resolución.</w:t>
      </w:r>
    </w:p>
    <w:p w14:paraId="0EA3584C" w14:textId="77777777" w:rsidR="0080100F" w:rsidRPr="00470507" w:rsidRDefault="0080100F" w:rsidP="0080100F">
      <w:pPr>
        <w:spacing w:after="0" w:line="360" w:lineRule="auto"/>
        <w:ind w:right="49"/>
        <w:jc w:val="both"/>
        <w:rPr>
          <w:rFonts w:ascii="Palatino Linotype" w:eastAsia="Palatino Linotype" w:hAnsi="Palatino Linotype" w:cs="Palatino Linotype"/>
          <w:sz w:val="24"/>
          <w:szCs w:val="24"/>
        </w:rPr>
      </w:pPr>
    </w:p>
    <w:p w14:paraId="43FAA939" w14:textId="6889071F" w:rsidR="007435E2" w:rsidRPr="00470507" w:rsidRDefault="0080100F" w:rsidP="0080100F">
      <w:pPr>
        <w:spacing w:after="0" w:line="360" w:lineRule="auto"/>
        <w:jc w:val="both"/>
        <w:rPr>
          <w:rFonts w:ascii="Palatino Linotype" w:eastAsia="Palatino Linotype" w:hAnsi="Palatino Linotype" w:cs="Palatino Linotype"/>
          <w:sz w:val="24"/>
          <w:szCs w:val="24"/>
        </w:rPr>
      </w:pPr>
      <w:bookmarkStart w:id="4" w:name="_heading=h.3dy6vkm" w:colFirst="0" w:colLast="0"/>
      <w:bookmarkEnd w:id="4"/>
      <w:r w:rsidRPr="00470507">
        <w:rPr>
          <w:rFonts w:ascii="Palatino Linotype" w:eastAsia="Palatino Linotype" w:hAnsi="Palatino Linotype" w:cs="Palatino Linotype"/>
          <w:b/>
          <w:sz w:val="24"/>
          <w:szCs w:val="24"/>
        </w:rPr>
        <w:t>Segundo.</w:t>
      </w:r>
      <w:r w:rsidRPr="00470507">
        <w:rPr>
          <w:rFonts w:ascii="Palatino Linotype" w:eastAsia="Palatino Linotype" w:hAnsi="Palatino Linotype" w:cs="Palatino Linotype"/>
          <w:sz w:val="24"/>
          <w:szCs w:val="24"/>
        </w:rPr>
        <w:t xml:space="preserve"> Se</w:t>
      </w:r>
      <w:r w:rsidRPr="00470507">
        <w:rPr>
          <w:rFonts w:ascii="Palatino Linotype" w:eastAsia="Palatino Linotype" w:hAnsi="Palatino Linotype" w:cs="Palatino Linotype"/>
          <w:b/>
          <w:sz w:val="24"/>
          <w:szCs w:val="24"/>
        </w:rPr>
        <w:t xml:space="preserve"> Ordena </w:t>
      </w:r>
      <w:r w:rsidRPr="00470507">
        <w:rPr>
          <w:rFonts w:ascii="Palatino Linotype" w:eastAsia="Palatino Linotype" w:hAnsi="Palatino Linotype" w:cs="Palatino Linotype"/>
          <w:sz w:val="24"/>
          <w:szCs w:val="24"/>
        </w:rPr>
        <w:t xml:space="preserve">al </w:t>
      </w:r>
      <w:r w:rsidRPr="00470507">
        <w:rPr>
          <w:rFonts w:ascii="Palatino Linotype" w:eastAsia="Palatino Linotype" w:hAnsi="Palatino Linotype" w:cs="Palatino Linotype"/>
          <w:b/>
          <w:sz w:val="24"/>
          <w:szCs w:val="24"/>
        </w:rPr>
        <w:t>Sujeto Obligado</w:t>
      </w:r>
      <w:r w:rsidRPr="00470507">
        <w:rPr>
          <w:rFonts w:ascii="Palatino Linotype" w:eastAsia="Palatino Linotype" w:hAnsi="Palatino Linotype" w:cs="Palatino Linotype"/>
          <w:sz w:val="24"/>
          <w:szCs w:val="24"/>
        </w:rPr>
        <w:t xml:space="preserve">, haga entrega a la parte </w:t>
      </w:r>
      <w:r w:rsidRPr="00470507">
        <w:rPr>
          <w:rFonts w:ascii="Palatino Linotype" w:eastAsia="Palatino Linotype" w:hAnsi="Palatino Linotype" w:cs="Palatino Linotype"/>
          <w:b/>
          <w:sz w:val="24"/>
          <w:szCs w:val="24"/>
        </w:rPr>
        <w:t xml:space="preserve">Recurrente </w:t>
      </w:r>
      <w:r w:rsidRPr="00470507">
        <w:rPr>
          <w:rFonts w:ascii="Palatino Linotype" w:eastAsia="Palatino Linotype" w:hAnsi="Palatino Linotype" w:cs="Palatino Linotype"/>
          <w:sz w:val="24"/>
          <w:szCs w:val="24"/>
        </w:rPr>
        <w:t xml:space="preserve">en términos de los </w:t>
      </w:r>
      <w:r w:rsidRPr="00470507">
        <w:rPr>
          <w:rFonts w:ascii="Palatino Linotype" w:eastAsia="Palatino Linotype" w:hAnsi="Palatino Linotype" w:cs="Palatino Linotype"/>
          <w:b/>
          <w:sz w:val="24"/>
          <w:szCs w:val="24"/>
        </w:rPr>
        <w:t>Considerandos Cuarto y Quinto</w:t>
      </w:r>
      <w:r w:rsidRPr="00470507">
        <w:rPr>
          <w:rFonts w:ascii="Palatino Linotype" w:eastAsia="Palatino Linotype" w:hAnsi="Palatino Linotype" w:cs="Palatino Linotype"/>
          <w:sz w:val="24"/>
          <w:szCs w:val="24"/>
        </w:rPr>
        <w:t xml:space="preserve">, previa búsqueda exhaustiva y razonable, vía Sistema de Acceso a la Información Pública Mexiquense, de ser procedente, en versión pública, lo siguiente:  </w:t>
      </w:r>
    </w:p>
    <w:p w14:paraId="50344804" w14:textId="77777777" w:rsidR="00515CB1" w:rsidRPr="00470507" w:rsidRDefault="00515CB1" w:rsidP="00515CB1">
      <w:pPr>
        <w:ind w:left="567" w:right="615"/>
        <w:jc w:val="both"/>
        <w:rPr>
          <w:rFonts w:ascii="Palatino Linotype" w:eastAsia="Palatino Linotype" w:hAnsi="Palatino Linotype" w:cs="Palatino Linotype"/>
          <w:i/>
        </w:rPr>
      </w:pPr>
    </w:p>
    <w:p w14:paraId="05B198A5" w14:textId="77777777" w:rsidR="007C0DC5" w:rsidRPr="00470507" w:rsidRDefault="0080100F" w:rsidP="007C0DC5">
      <w:pPr>
        <w:pStyle w:val="Prrafodelista"/>
        <w:numPr>
          <w:ilvl w:val="0"/>
          <w:numId w:val="35"/>
        </w:numPr>
        <w:spacing w:after="0" w:line="360" w:lineRule="auto"/>
        <w:ind w:right="560"/>
        <w:jc w:val="both"/>
        <w:rPr>
          <w:rFonts w:ascii="Palatino Linotype" w:eastAsia="Palatino Linotype" w:hAnsi="Palatino Linotype" w:cs="Palatino Linotype"/>
          <w:b/>
        </w:rPr>
      </w:pPr>
      <w:r w:rsidRPr="00470507">
        <w:rPr>
          <w:rFonts w:ascii="Palatino Linotype" w:eastAsia="Palatino Linotype" w:hAnsi="Palatino Linotype" w:cs="Palatino Linotype"/>
          <w:b/>
        </w:rPr>
        <w:t>Los documentos que integran el expediente laboral, enviados en informe justificado del servidor</w:t>
      </w:r>
      <w:r w:rsidR="007277BF" w:rsidRPr="00470507">
        <w:rPr>
          <w:rFonts w:ascii="Palatino Linotype" w:eastAsia="Palatino Linotype" w:hAnsi="Palatino Linotype" w:cs="Palatino Linotype"/>
          <w:b/>
        </w:rPr>
        <w:t xml:space="preserve"> público referido en la solicitud de información</w:t>
      </w:r>
      <w:r w:rsidRPr="00470507">
        <w:rPr>
          <w:rFonts w:ascii="Palatino Linotype" w:eastAsia="Palatino Linotype" w:hAnsi="Palatino Linotype" w:cs="Palatino Linotype"/>
          <w:b/>
        </w:rPr>
        <w:t>;</w:t>
      </w:r>
      <w:r w:rsidR="007C0DC5" w:rsidRPr="00470507">
        <w:rPr>
          <w:rFonts w:ascii="Palatino Linotype" w:eastAsia="Palatino Linotype" w:hAnsi="Palatino Linotype" w:cs="Palatino Linotype"/>
          <w:b/>
        </w:rPr>
        <w:t xml:space="preserve"> con excepción de los que se deben clasificar en su totalidad; así como los faltantes consistentes en Constancia de No Inhabilitación, Certificado de No Deudor Alimentario Moroso y movimiento de baja del servidor público referido en la solicitud de información. </w:t>
      </w:r>
    </w:p>
    <w:p w14:paraId="2C3D352C" w14:textId="5376CF84" w:rsidR="0080100F" w:rsidRPr="00470507" w:rsidRDefault="0080100F" w:rsidP="007C0DC5">
      <w:pPr>
        <w:pStyle w:val="Prrafodelista"/>
        <w:numPr>
          <w:ilvl w:val="0"/>
          <w:numId w:val="35"/>
        </w:numPr>
        <w:spacing w:after="0" w:line="360" w:lineRule="auto"/>
        <w:ind w:right="560"/>
        <w:jc w:val="both"/>
        <w:rPr>
          <w:rFonts w:ascii="Palatino Linotype" w:eastAsia="Palatino Linotype" w:hAnsi="Palatino Linotype" w:cs="Palatino Linotype"/>
          <w:b/>
        </w:rPr>
      </w:pPr>
      <w:r w:rsidRPr="00470507">
        <w:rPr>
          <w:rFonts w:ascii="Palatino Linotype" w:eastAsia="Palatino Linotype" w:hAnsi="Palatino Linotype" w:cs="Palatino Linotype"/>
          <w:b/>
        </w:rPr>
        <w:t>Acuerdo emitido por el Comité de Transparencia, en el cual se confirme la clasificación total de los siguientes documentos: Acta de Nacimiento, credencial para votar, constancia domiciliaria, certificado médico, cartas de recomendación, Cédula de Identificación Fiscal, hoja de liberación de servicio militar</w:t>
      </w:r>
      <w:r w:rsidR="00F51F8E" w:rsidRPr="00470507">
        <w:rPr>
          <w:rFonts w:ascii="Palatino Linotype" w:eastAsia="Palatino Linotype" w:hAnsi="Palatino Linotype" w:cs="Palatino Linotype"/>
          <w:b/>
        </w:rPr>
        <w:t>, licencia de conducir</w:t>
      </w:r>
      <w:r w:rsidRPr="00470507">
        <w:rPr>
          <w:rFonts w:ascii="Palatino Linotype" w:eastAsia="Palatino Linotype" w:hAnsi="Palatino Linotype" w:cs="Palatino Linotype"/>
          <w:b/>
          <w:color w:val="FF0000"/>
        </w:rPr>
        <w:t xml:space="preserve"> </w:t>
      </w:r>
      <w:r w:rsidRPr="00470507">
        <w:rPr>
          <w:rFonts w:ascii="Palatino Linotype" w:eastAsia="Palatino Linotype" w:hAnsi="Palatino Linotype" w:cs="Palatino Linotype"/>
          <w:b/>
        </w:rPr>
        <w:t xml:space="preserve">y Constancia de Clave Única de Registro de Población, de conformidad con los artículos 49, fracción II, 132, fracción  II, 143 fracción I y 149 de la Ley de Transparencia y Acceso a la Información Pública del Estado de México y Municipios. </w:t>
      </w:r>
    </w:p>
    <w:p w14:paraId="432D9D2B" w14:textId="77777777" w:rsidR="0080100F" w:rsidRPr="00470507" w:rsidRDefault="0080100F" w:rsidP="0080100F">
      <w:pPr>
        <w:spacing w:after="0" w:line="360" w:lineRule="auto"/>
        <w:ind w:right="560"/>
        <w:jc w:val="both"/>
        <w:rPr>
          <w:rFonts w:ascii="Palatino Linotype" w:eastAsia="Palatino Linotype" w:hAnsi="Palatino Linotype" w:cs="Palatino Linotype"/>
          <w:b/>
        </w:rPr>
      </w:pPr>
    </w:p>
    <w:p w14:paraId="643A69FF" w14:textId="71F9496A" w:rsidR="00242729" w:rsidRPr="00470507" w:rsidRDefault="0080100F" w:rsidP="00F30CCB">
      <w:pPr>
        <w:spacing w:after="0"/>
        <w:ind w:left="567" w:right="615"/>
        <w:jc w:val="both"/>
        <w:rPr>
          <w:rFonts w:ascii="Palatino Linotype" w:eastAsia="Palatino Linotype" w:hAnsi="Palatino Linotype" w:cs="Palatino Linotype"/>
          <w:i/>
        </w:rPr>
      </w:pPr>
      <w:r w:rsidRPr="00470507">
        <w:rPr>
          <w:rFonts w:ascii="Palatino Linotype" w:eastAsia="Palatino Linotype" w:hAnsi="Palatino Linotype" w:cs="Palatino Linotype"/>
          <w:i/>
        </w:rPr>
        <w:lastRenderedPageBreak/>
        <w:t>Además,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03221184" w14:textId="77777777" w:rsidR="00F30CCB" w:rsidRPr="00470507" w:rsidRDefault="00F30CCB" w:rsidP="00F30CCB">
      <w:pPr>
        <w:spacing w:after="0"/>
        <w:ind w:left="567" w:right="615"/>
        <w:jc w:val="both"/>
        <w:rPr>
          <w:rFonts w:ascii="Palatino Linotype" w:eastAsia="Palatino Linotype" w:hAnsi="Palatino Linotype" w:cs="Palatino Linotype"/>
          <w:i/>
        </w:rPr>
      </w:pPr>
    </w:p>
    <w:p w14:paraId="5B3EA89E" w14:textId="40ACBCA4" w:rsidR="007277BF" w:rsidRPr="00470507" w:rsidRDefault="007277BF" w:rsidP="00F30CCB">
      <w:pPr>
        <w:pBdr>
          <w:top w:val="nil"/>
          <w:left w:val="nil"/>
          <w:bottom w:val="nil"/>
          <w:right w:val="nil"/>
          <w:between w:val="nil"/>
        </w:pBdr>
        <w:tabs>
          <w:tab w:val="left" w:pos="993"/>
        </w:tabs>
        <w:spacing w:after="0"/>
        <w:ind w:left="567" w:right="616"/>
        <w:jc w:val="both"/>
        <w:rPr>
          <w:rFonts w:ascii="Palatino Linotype" w:eastAsia="Palatino Linotype" w:hAnsi="Palatino Linotype" w:cs="Palatino Linotype"/>
          <w:i/>
          <w:color w:val="000000"/>
        </w:rPr>
      </w:pPr>
      <w:r w:rsidRPr="00470507">
        <w:rPr>
          <w:rFonts w:ascii="Palatino Linotype" w:eastAsia="Palatino Linotype" w:hAnsi="Palatino Linotype" w:cs="Palatino Linotype"/>
          <w:i/>
          <w:color w:val="000000"/>
        </w:rPr>
        <w:t xml:space="preserve">En el supuesto de que el Sujeto Obligado </w:t>
      </w:r>
      <w:r w:rsidRPr="00470507">
        <w:rPr>
          <w:rFonts w:ascii="Palatino Linotype" w:eastAsia="Palatino Linotype" w:hAnsi="Palatino Linotype" w:cs="Palatino Linotype"/>
          <w:i/>
          <w:color w:val="000000"/>
          <w:u w:val="single"/>
        </w:rPr>
        <w:t>no cuente con el documento que da cuenta del movimiento de baja del servidor público, por no haber causado baja a la fecha de la solicitud de información</w:t>
      </w:r>
      <w:r w:rsidRPr="00470507">
        <w:rPr>
          <w:rFonts w:ascii="Palatino Linotype" w:eastAsia="Palatino Linotype" w:hAnsi="Palatino Linotype" w:cs="Palatino Linotype"/>
          <w:i/>
          <w:color w:val="000000"/>
        </w:rPr>
        <w:t xml:space="preserve">,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3DCDB05A" w14:textId="77777777" w:rsidR="007277BF" w:rsidRPr="00470507" w:rsidRDefault="007277BF" w:rsidP="00F30CCB">
      <w:pPr>
        <w:pBdr>
          <w:top w:val="nil"/>
          <w:left w:val="nil"/>
          <w:bottom w:val="nil"/>
          <w:right w:val="nil"/>
          <w:between w:val="nil"/>
        </w:pBdr>
        <w:tabs>
          <w:tab w:val="left" w:pos="993"/>
        </w:tabs>
        <w:spacing w:after="0" w:line="360" w:lineRule="auto"/>
        <w:ind w:left="567" w:right="616"/>
        <w:jc w:val="both"/>
        <w:rPr>
          <w:rFonts w:ascii="Palatino Linotype" w:eastAsia="Palatino Linotype" w:hAnsi="Palatino Linotype" w:cs="Palatino Linotype"/>
          <w:i/>
          <w:color w:val="000000"/>
        </w:rPr>
      </w:pPr>
    </w:p>
    <w:p w14:paraId="6531A876" w14:textId="77777777" w:rsidR="00FB4A31" w:rsidRPr="00470507" w:rsidRDefault="00FB4A31" w:rsidP="00FB4A31">
      <w:pPr>
        <w:spacing w:after="0" w:line="360" w:lineRule="auto"/>
        <w:ind w:right="49"/>
        <w:jc w:val="both"/>
        <w:rPr>
          <w:rFonts w:ascii="Palatino Linotype" w:eastAsia="Palatino Linotype" w:hAnsi="Palatino Linotype" w:cs="Palatino Linotype"/>
          <w:sz w:val="24"/>
        </w:rPr>
      </w:pPr>
      <w:r w:rsidRPr="00470507">
        <w:rPr>
          <w:rFonts w:ascii="Palatino Linotype" w:eastAsia="Palatino Linotype" w:hAnsi="Palatino Linotype" w:cs="Palatino Linotype"/>
          <w:b/>
          <w:sz w:val="24"/>
        </w:rPr>
        <w:t>Tercero.</w:t>
      </w:r>
      <w:r w:rsidRPr="00470507">
        <w:rPr>
          <w:rFonts w:ascii="Palatino Linotype" w:eastAsia="Palatino Linotype" w:hAnsi="Palatino Linotype" w:cs="Palatino Linotype"/>
          <w:sz w:val="24"/>
        </w:rPr>
        <w:t xml:space="preserve"> </w:t>
      </w:r>
      <w:r w:rsidRPr="00470507">
        <w:rPr>
          <w:rFonts w:ascii="Palatino Linotype" w:eastAsia="Palatino Linotype" w:hAnsi="Palatino Linotype" w:cs="Palatino Linotype"/>
          <w:b/>
          <w:sz w:val="24"/>
        </w:rPr>
        <w:t xml:space="preserve">Notifíquese </w:t>
      </w:r>
      <w:r w:rsidRPr="00470507">
        <w:rPr>
          <w:rFonts w:ascii="Palatino Linotype" w:eastAsia="Palatino Linotype" w:hAnsi="Palatino Linotype" w:cs="Palatino Linotype"/>
          <w:sz w:val="24"/>
        </w:rPr>
        <w:t>la presente resolución al T</w:t>
      </w:r>
      <w:r w:rsidRPr="00470507">
        <w:rPr>
          <w:rFonts w:ascii="Palatino Linotype" w:eastAsia="Palatino Linotype" w:hAnsi="Palatino Linotype" w:cs="Palatino Linotype"/>
          <w:b/>
          <w:sz w:val="24"/>
        </w:rPr>
        <w:t xml:space="preserve">itular de la Unidad de Transparencia </w:t>
      </w:r>
      <w:r w:rsidRPr="00470507">
        <w:rPr>
          <w:rFonts w:ascii="Palatino Linotype" w:eastAsia="Palatino Linotype" w:hAnsi="Palatino Linotype" w:cs="Palatino Linotype"/>
          <w:sz w:val="24"/>
        </w:rPr>
        <w:t xml:space="preserve">del </w:t>
      </w:r>
      <w:r w:rsidRPr="00470507">
        <w:rPr>
          <w:rFonts w:ascii="Palatino Linotype" w:eastAsia="Palatino Linotype" w:hAnsi="Palatino Linotype" w:cs="Palatino Linotype"/>
          <w:b/>
          <w:sz w:val="24"/>
        </w:rPr>
        <w:t>SUJETO OBLIGADO</w:t>
      </w:r>
      <w:r w:rsidRPr="00470507">
        <w:rPr>
          <w:rFonts w:ascii="Palatino Linotype" w:eastAsia="Palatino Linotype" w:hAnsi="Palatino Linotype" w:cs="Palatino Linotype"/>
          <w:sz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18AA42" w14:textId="77777777" w:rsidR="00FB4A31" w:rsidRPr="00470507" w:rsidRDefault="00FB4A31" w:rsidP="00FB4A31">
      <w:pPr>
        <w:spacing w:after="0" w:line="360" w:lineRule="auto"/>
        <w:ind w:right="49"/>
        <w:jc w:val="both"/>
        <w:rPr>
          <w:rFonts w:ascii="Palatino Linotype" w:eastAsia="Palatino Linotype" w:hAnsi="Palatino Linotype" w:cs="Palatino Linotype"/>
          <w:sz w:val="24"/>
        </w:rPr>
      </w:pPr>
    </w:p>
    <w:p w14:paraId="76487553" w14:textId="77777777" w:rsidR="00FB4A31" w:rsidRPr="00470507" w:rsidRDefault="00FB4A31" w:rsidP="00FB4A31">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b/>
          <w:sz w:val="24"/>
        </w:rPr>
        <w:t>Cuarto. Notifíquese</w:t>
      </w:r>
      <w:r w:rsidRPr="00470507">
        <w:rPr>
          <w:rFonts w:ascii="Palatino Linotype" w:eastAsia="Palatino Linotype" w:hAnsi="Palatino Linotype" w:cs="Palatino Linotype"/>
          <w:sz w:val="24"/>
        </w:rPr>
        <w:t>,</w:t>
      </w:r>
      <w:r w:rsidRPr="00470507">
        <w:rPr>
          <w:rFonts w:ascii="Palatino Linotype" w:eastAsia="Palatino Linotype" w:hAnsi="Palatino Linotype" w:cs="Palatino Linotype"/>
          <w:b/>
          <w:sz w:val="24"/>
        </w:rPr>
        <w:t xml:space="preserve"> </w:t>
      </w:r>
      <w:r w:rsidRPr="00470507">
        <w:rPr>
          <w:rFonts w:ascii="Palatino Linotype" w:eastAsia="Palatino Linotype" w:hAnsi="Palatino Linotype" w:cs="Palatino Linotype"/>
          <w:sz w:val="24"/>
        </w:rPr>
        <w:t xml:space="preserve">vía </w:t>
      </w:r>
      <w:r w:rsidRPr="00470507">
        <w:rPr>
          <w:rFonts w:ascii="Palatino Linotype" w:eastAsia="Palatino Linotype" w:hAnsi="Palatino Linotype" w:cs="Palatino Linotype"/>
          <w:b/>
          <w:sz w:val="24"/>
        </w:rPr>
        <w:t>SAIMEX</w:t>
      </w:r>
      <w:r w:rsidRPr="00470507">
        <w:rPr>
          <w:rFonts w:ascii="Palatino Linotype" w:eastAsia="Palatino Linotype" w:hAnsi="Palatino Linotype" w:cs="Palatino Linotype"/>
          <w:bCs/>
          <w:sz w:val="24"/>
        </w:rPr>
        <w:t xml:space="preserve">, </w:t>
      </w:r>
      <w:r w:rsidRPr="00470507">
        <w:rPr>
          <w:rFonts w:ascii="Palatino Linotype" w:eastAsia="Palatino Linotype" w:hAnsi="Palatino Linotype" w:cs="Palatino Linotype"/>
          <w:sz w:val="24"/>
        </w:rPr>
        <w:t xml:space="preserve">a la parte </w:t>
      </w:r>
      <w:r w:rsidRPr="00470507">
        <w:rPr>
          <w:rFonts w:ascii="Palatino Linotype" w:eastAsia="Palatino Linotype" w:hAnsi="Palatino Linotype" w:cs="Palatino Linotype"/>
          <w:b/>
          <w:sz w:val="24"/>
        </w:rPr>
        <w:t xml:space="preserve">Recurrente </w:t>
      </w:r>
      <w:r w:rsidRPr="00470507">
        <w:rPr>
          <w:rFonts w:ascii="Palatino Linotype" w:eastAsia="Palatino Linotype" w:hAnsi="Palatino Linotype" w:cs="Palatino Linotype"/>
          <w:sz w:val="24"/>
        </w:rPr>
        <w:t xml:space="preserve">la presente resolución, así como, que de conformidad con lo establecido en el artículo 196 de la Ley de Transparencia y Acceso a la Información Pública del Estado de México y Municipios, </w:t>
      </w:r>
      <w:r w:rsidRPr="00470507">
        <w:rPr>
          <w:rFonts w:ascii="Palatino Linotype" w:eastAsia="Palatino Linotype" w:hAnsi="Palatino Linotype" w:cs="Palatino Linotype"/>
          <w:sz w:val="24"/>
        </w:rPr>
        <w:lastRenderedPageBreak/>
        <w:t>en caso de que considere que le causa algún perjuicio podrá impugnarla vía Juicio de Amparo en los términos de las leyes aplicables.</w:t>
      </w:r>
    </w:p>
    <w:p w14:paraId="54C9D8B4" w14:textId="77777777" w:rsidR="00FB4A31" w:rsidRPr="00470507" w:rsidRDefault="00FB4A31" w:rsidP="00FB4A31">
      <w:pPr>
        <w:spacing w:after="0" w:line="360" w:lineRule="auto"/>
        <w:jc w:val="both"/>
        <w:rPr>
          <w:rFonts w:ascii="Palatino Linotype" w:eastAsia="Palatino Linotype" w:hAnsi="Palatino Linotype" w:cs="Palatino Linotype"/>
          <w:sz w:val="24"/>
        </w:rPr>
      </w:pPr>
    </w:p>
    <w:p w14:paraId="5E8B4C6D" w14:textId="1CFDF6FC" w:rsidR="00FB4A31" w:rsidRPr="00470507" w:rsidRDefault="00FB4A31" w:rsidP="00FB4A31">
      <w:pPr>
        <w:spacing w:after="0" w:line="360" w:lineRule="auto"/>
        <w:jc w:val="both"/>
        <w:rPr>
          <w:rFonts w:ascii="Palatino Linotype" w:eastAsia="Palatino Linotype" w:hAnsi="Palatino Linotype" w:cs="Palatino Linotype"/>
          <w:sz w:val="24"/>
        </w:rPr>
      </w:pPr>
      <w:r w:rsidRPr="00470507">
        <w:rPr>
          <w:rFonts w:ascii="Palatino Linotype" w:eastAsia="Palatino Linotype" w:hAnsi="Palatino Linotype" w:cs="Palatino Linotype"/>
          <w:b/>
          <w:sz w:val="24"/>
        </w:rPr>
        <w:t xml:space="preserve">Quinto. Notifíquese </w:t>
      </w:r>
      <w:r w:rsidRPr="00470507">
        <w:rPr>
          <w:rFonts w:ascii="Palatino Linotype" w:eastAsia="Palatino Linotype" w:hAnsi="Palatino Linotype" w:cs="Palatino Linotype"/>
          <w:sz w:val="24"/>
        </w:rPr>
        <w:t xml:space="preserve">a la parte </w:t>
      </w:r>
      <w:r w:rsidRPr="00470507">
        <w:rPr>
          <w:rFonts w:ascii="Palatino Linotype" w:eastAsia="Palatino Linotype" w:hAnsi="Palatino Linotype" w:cs="Palatino Linotype"/>
          <w:b/>
          <w:sz w:val="24"/>
        </w:rPr>
        <w:t xml:space="preserve">Recurrente </w:t>
      </w:r>
      <w:r w:rsidRPr="00470507">
        <w:rPr>
          <w:rFonts w:ascii="Palatino Linotype" w:eastAsia="Palatino Linotype" w:hAnsi="Palatino Linotype" w:cs="Palatino Linotype"/>
          <w:sz w:val="24"/>
        </w:rPr>
        <w:t xml:space="preserve">que la respuesta que dé el </w:t>
      </w:r>
      <w:r w:rsidRPr="00470507">
        <w:rPr>
          <w:rFonts w:ascii="Palatino Linotype" w:eastAsia="Palatino Linotype" w:hAnsi="Palatino Linotype" w:cs="Palatino Linotype"/>
          <w:b/>
          <w:sz w:val="24"/>
        </w:rPr>
        <w:t>Sujeto Obligado</w:t>
      </w:r>
      <w:r w:rsidRPr="00470507">
        <w:rPr>
          <w:rFonts w:ascii="Palatino Linotype" w:eastAsia="Palatino Linotype" w:hAnsi="Palatino Linotype" w:cs="Palatino Linotype"/>
          <w:sz w:val="24"/>
        </w:rPr>
        <w:t xml:space="preserve"> derivada de la presente resolución </w:t>
      </w:r>
      <w:r w:rsidR="007C0DC5" w:rsidRPr="00470507">
        <w:rPr>
          <w:rFonts w:ascii="Palatino Linotype" w:eastAsia="Palatino Linotype" w:hAnsi="Palatino Linotype" w:cs="Palatino Linotype"/>
          <w:sz w:val="24"/>
        </w:rPr>
        <w:t>es</w:t>
      </w:r>
      <w:r w:rsidRPr="00470507">
        <w:rPr>
          <w:rFonts w:ascii="Palatino Linotype" w:eastAsia="Palatino Linotype" w:hAnsi="Palatino Linotype" w:cs="Palatino Linotype"/>
          <w:sz w:val="24"/>
        </w:rPr>
        <w:t xml:space="preserve"> susceptible de ser impugnada nuevamente, mediante recurso de revisión, ante el Instituto, en términos del artículo 179, último párrafo de la Ley de Transparencia y Acceso a la Información Pública del Estado de México y Municipios.</w:t>
      </w:r>
    </w:p>
    <w:p w14:paraId="20FFE60A" w14:textId="77777777" w:rsidR="00FB4A31" w:rsidRPr="00470507" w:rsidRDefault="00FB4A31" w:rsidP="00FB4A31">
      <w:pPr>
        <w:spacing w:after="0" w:line="360" w:lineRule="auto"/>
        <w:jc w:val="both"/>
        <w:rPr>
          <w:rFonts w:ascii="Palatino Linotype" w:eastAsia="Palatino Linotype" w:hAnsi="Palatino Linotype" w:cs="Palatino Linotype"/>
          <w:b/>
          <w:sz w:val="24"/>
        </w:rPr>
      </w:pPr>
    </w:p>
    <w:p w14:paraId="1428CB74" w14:textId="77777777" w:rsidR="00FB4A31" w:rsidRPr="00470507" w:rsidRDefault="00FB4A31" w:rsidP="00FB4A31">
      <w:pPr>
        <w:spacing w:after="0" w:line="360" w:lineRule="auto"/>
        <w:jc w:val="both"/>
        <w:rPr>
          <w:rFonts w:ascii="Palatino Linotype" w:eastAsia="Palatino Linotype" w:hAnsi="Palatino Linotype" w:cs="Palatino Linotype"/>
          <w:b/>
          <w:sz w:val="24"/>
        </w:rPr>
      </w:pPr>
      <w:r w:rsidRPr="00470507">
        <w:rPr>
          <w:rFonts w:ascii="Palatino Linotype" w:eastAsia="Palatino Linotype" w:hAnsi="Palatino Linotype" w:cs="Palatino Linotype"/>
          <w:b/>
          <w:sz w:val="24"/>
        </w:rPr>
        <w:t xml:space="preserve">Sexto. Gírese </w:t>
      </w:r>
      <w:r w:rsidRPr="00470507">
        <w:rPr>
          <w:rFonts w:ascii="Palatino Linotype" w:eastAsia="Palatino Linotype" w:hAnsi="Palatino Linotype" w:cs="Palatino Linotype"/>
          <w:sz w:val="24"/>
        </w:rPr>
        <w:t xml:space="preserve">oficio a la </w:t>
      </w:r>
      <w:r w:rsidRPr="00470507">
        <w:rPr>
          <w:rFonts w:ascii="Palatino Linotype" w:eastAsia="Palatino Linotype" w:hAnsi="Palatino Linotype" w:cs="Palatino Linotype"/>
          <w:b/>
          <w:sz w:val="24"/>
        </w:rPr>
        <w:t>Secretaría Técnica del Pleno</w:t>
      </w:r>
      <w:r w:rsidRPr="00470507">
        <w:rPr>
          <w:rFonts w:ascii="Palatino Linotype" w:eastAsia="Palatino Linotype" w:hAnsi="Palatino Linotype" w:cs="Palatino Linotype"/>
          <w:sz w:val="24"/>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470507">
        <w:rPr>
          <w:rFonts w:ascii="Palatino Linotype" w:eastAsia="Palatino Linotype" w:hAnsi="Palatino Linotype" w:cs="Palatino Linotype"/>
          <w:b/>
          <w:sz w:val="24"/>
        </w:rPr>
        <w:t xml:space="preserve"> </w:t>
      </w:r>
      <w:r w:rsidRPr="00470507">
        <w:rPr>
          <w:rFonts w:ascii="Palatino Linotype" w:eastAsia="Palatino Linotype" w:hAnsi="Palatino Linotype" w:cs="Palatino Linotype"/>
          <w:sz w:val="24"/>
        </w:rPr>
        <w:t>de la presente resolución.</w:t>
      </w:r>
      <w:r w:rsidRPr="00470507">
        <w:rPr>
          <w:rFonts w:ascii="Palatino Linotype" w:eastAsia="Palatino Linotype" w:hAnsi="Palatino Linotype" w:cs="Palatino Linotype"/>
          <w:b/>
          <w:sz w:val="24"/>
        </w:rPr>
        <w:t xml:space="preserve"> </w:t>
      </w:r>
    </w:p>
    <w:p w14:paraId="685B05CD" w14:textId="06FA6B55" w:rsidR="007435E2" w:rsidRPr="00470507" w:rsidRDefault="007435E2"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sz w:val="24"/>
          <w:szCs w:val="24"/>
        </w:rPr>
      </w:pPr>
    </w:p>
    <w:p w14:paraId="0026736C" w14:textId="766A7B50" w:rsidR="00F8557D" w:rsidRDefault="00646B44">
      <w:pPr>
        <w:spacing w:after="0" w:line="360" w:lineRule="auto"/>
        <w:ind w:right="49"/>
        <w:jc w:val="both"/>
        <w:rPr>
          <w:rFonts w:ascii="Palatino Linotype" w:eastAsia="Palatino Linotype" w:hAnsi="Palatino Linotype" w:cs="Palatino Linotype"/>
          <w:sz w:val="24"/>
          <w:szCs w:val="24"/>
        </w:rPr>
      </w:pPr>
      <w:r w:rsidRPr="00470507">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w:t>
      </w:r>
      <w:r w:rsidR="00515CB1" w:rsidRPr="00470507">
        <w:rPr>
          <w:rFonts w:ascii="Palatino Linotype" w:eastAsia="Palatino Linotype" w:hAnsi="Palatino Linotype" w:cs="Palatino Linotype"/>
          <w:sz w:val="24"/>
          <w:szCs w:val="24"/>
        </w:rPr>
        <w:t xml:space="preserve">RIEGA Y GUADALUPE RAMÍREZ PEÑA; EN LA </w:t>
      </w:r>
      <w:r w:rsidR="0080100F" w:rsidRPr="00470507">
        <w:rPr>
          <w:rFonts w:ascii="Palatino Linotype" w:eastAsia="Palatino Linotype" w:hAnsi="Palatino Linotype" w:cs="Palatino Linotype"/>
          <w:sz w:val="24"/>
          <w:szCs w:val="24"/>
        </w:rPr>
        <w:t xml:space="preserve">DÉCIMA </w:t>
      </w:r>
      <w:r w:rsidR="00877616" w:rsidRPr="00470507">
        <w:rPr>
          <w:rFonts w:ascii="Palatino Linotype" w:eastAsia="Palatino Linotype" w:hAnsi="Palatino Linotype" w:cs="Palatino Linotype"/>
          <w:sz w:val="24"/>
          <w:szCs w:val="24"/>
        </w:rPr>
        <w:t xml:space="preserve">PRIMERA </w:t>
      </w:r>
      <w:r w:rsidR="00B16261" w:rsidRPr="00470507">
        <w:rPr>
          <w:rFonts w:ascii="Palatino Linotype" w:eastAsia="Palatino Linotype" w:hAnsi="Palatino Linotype" w:cs="Palatino Linotype"/>
          <w:sz w:val="24"/>
          <w:szCs w:val="24"/>
        </w:rPr>
        <w:t xml:space="preserve">SESIÓN ORDINARIA </w:t>
      </w:r>
      <w:r w:rsidRPr="00470507">
        <w:rPr>
          <w:rFonts w:ascii="Palatino Linotype" w:eastAsia="Palatino Linotype" w:hAnsi="Palatino Linotype" w:cs="Palatino Linotype"/>
          <w:sz w:val="24"/>
          <w:szCs w:val="24"/>
        </w:rPr>
        <w:t xml:space="preserve">CELEBRADA EL </w:t>
      </w:r>
      <w:r w:rsidR="00877616" w:rsidRPr="00470507">
        <w:rPr>
          <w:rFonts w:ascii="Palatino Linotype" w:eastAsia="Palatino Linotype" w:hAnsi="Palatino Linotype" w:cs="Palatino Linotype"/>
          <w:sz w:val="24"/>
          <w:szCs w:val="24"/>
        </w:rPr>
        <w:t>TRES DE ABRIL</w:t>
      </w:r>
      <w:r w:rsidR="009E75B5" w:rsidRPr="00470507">
        <w:rPr>
          <w:rFonts w:ascii="Palatino Linotype" w:eastAsia="Palatino Linotype" w:hAnsi="Palatino Linotype" w:cs="Palatino Linotype"/>
          <w:sz w:val="24"/>
          <w:szCs w:val="24"/>
        </w:rPr>
        <w:t xml:space="preserve"> </w:t>
      </w:r>
      <w:r w:rsidRPr="00470507">
        <w:rPr>
          <w:rFonts w:ascii="Palatino Linotype" w:eastAsia="Palatino Linotype" w:hAnsi="Palatino Linotype" w:cs="Palatino Linotype"/>
          <w:sz w:val="24"/>
          <w:szCs w:val="24"/>
        </w:rPr>
        <w:t>DE DOS MIL VEINTI</w:t>
      </w:r>
      <w:r w:rsidR="00C02260" w:rsidRPr="00470507">
        <w:rPr>
          <w:rFonts w:ascii="Palatino Linotype" w:eastAsia="Palatino Linotype" w:hAnsi="Palatino Linotype" w:cs="Palatino Linotype"/>
          <w:sz w:val="24"/>
          <w:szCs w:val="24"/>
        </w:rPr>
        <w:t>CUATRO</w:t>
      </w:r>
      <w:r w:rsidRPr="00470507">
        <w:rPr>
          <w:rFonts w:ascii="Palatino Linotype" w:eastAsia="Palatino Linotype" w:hAnsi="Palatino Linotype" w:cs="Palatino Linotype"/>
          <w:sz w:val="24"/>
          <w:szCs w:val="24"/>
        </w:rPr>
        <w:t xml:space="preserve">, ANTE EL SECRETARIO TÉCNICO </w:t>
      </w:r>
      <w:r w:rsidR="00877616" w:rsidRPr="00470507">
        <w:rPr>
          <w:rFonts w:ascii="Palatino Linotype" w:eastAsia="Palatino Linotype" w:hAnsi="Palatino Linotype" w:cs="Palatino Linotype"/>
          <w:sz w:val="24"/>
          <w:szCs w:val="24"/>
        </w:rPr>
        <w:t>DEL PLENO ALEXIS TAPIA RAMÍREZ.</w:t>
      </w:r>
    </w:p>
    <w:p w14:paraId="6E099F00" w14:textId="0225B56B" w:rsidR="00A607B9" w:rsidRDefault="00A607B9">
      <w:pPr>
        <w:spacing w:after="0" w:line="360" w:lineRule="auto"/>
        <w:ind w:right="49"/>
        <w:jc w:val="both"/>
        <w:rPr>
          <w:rFonts w:ascii="Palatino Linotype" w:eastAsia="Palatino Linotype" w:hAnsi="Palatino Linotype" w:cs="Palatino Linotype"/>
          <w:sz w:val="24"/>
          <w:szCs w:val="24"/>
        </w:rPr>
      </w:pPr>
    </w:p>
    <w:p w14:paraId="7BAD8B6E" w14:textId="4BCAF8B1" w:rsidR="00A607B9" w:rsidRDefault="00A607B9">
      <w:pPr>
        <w:spacing w:after="0" w:line="360" w:lineRule="auto"/>
        <w:ind w:right="49"/>
        <w:jc w:val="both"/>
        <w:rPr>
          <w:rFonts w:ascii="Palatino Linotype" w:eastAsia="Palatino Linotype" w:hAnsi="Palatino Linotype" w:cs="Palatino Linotype"/>
          <w:sz w:val="24"/>
          <w:szCs w:val="24"/>
        </w:rPr>
      </w:pPr>
    </w:p>
    <w:p w14:paraId="44B38746" w14:textId="365974A1" w:rsidR="00A607B9" w:rsidRDefault="00A607B9">
      <w:pPr>
        <w:spacing w:after="0" w:line="360" w:lineRule="auto"/>
        <w:ind w:right="49"/>
        <w:jc w:val="both"/>
        <w:rPr>
          <w:rFonts w:ascii="Palatino Linotype" w:eastAsia="Palatino Linotype" w:hAnsi="Palatino Linotype" w:cs="Palatino Linotype"/>
          <w:sz w:val="24"/>
          <w:szCs w:val="24"/>
        </w:rPr>
      </w:pPr>
    </w:p>
    <w:p w14:paraId="20DC030E" w14:textId="77777777" w:rsidR="00A607B9" w:rsidRDefault="00A607B9">
      <w:pPr>
        <w:spacing w:after="0" w:line="360" w:lineRule="auto"/>
        <w:ind w:right="49"/>
        <w:jc w:val="both"/>
        <w:rPr>
          <w:rFonts w:ascii="Palatino Linotype" w:eastAsia="Palatino Linotype" w:hAnsi="Palatino Linotype" w:cs="Palatino Linotype"/>
          <w:sz w:val="24"/>
          <w:szCs w:val="24"/>
        </w:rPr>
      </w:pPr>
    </w:p>
    <w:sectPr w:rsidR="00A607B9">
      <w:headerReference w:type="default" r:id="rId14"/>
      <w:footerReference w:type="default" r:id="rId15"/>
      <w:headerReference w:type="first" r:id="rId16"/>
      <w:footerReference w:type="first" r:id="rId17"/>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83D6" w14:textId="77777777" w:rsidR="00F5074C" w:rsidRDefault="00F5074C">
      <w:pPr>
        <w:spacing w:after="0" w:line="240" w:lineRule="auto"/>
      </w:pPr>
      <w:r>
        <w:separator/>
      </w:r>
    </w:p>
  </w:endnote>
  <w:endnote w:type="continuationSeparator" w:id="0">
    <w:p w14:paraId="32EE40C4" w14:textId="77777777" w:rsidR="00F5074C" w:rsidRDefault="00F5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1C3D" w14:textId="77777777" w:rsidR="007277BF" w:rsidRDefault="007277B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86E60">
      <w:rPr>
        <w:b/>
        <w:noProof/>
        <w:color w:val="000000"/>
        <w:sz w:val="24"/>
        <w:szCs w:val="24"/>
      </w:rPr>
      <w:t>64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86E60">
      <w:rPr>
        <w:b/>
        <w:noProof/>
        <w:color w:val="000000"/>
        <w:sz w:val="24"/>
        <w:szCs w:val="24"/>
      </w:rPr>
      <w:t>66</w:t>
    </w:r>
    <w:r>
      <w:rPr>
        <w:b/>
        <w:color w:val="000000"/>
        <w:sz w:val="24"/>
        <w:szCs w:val="24"/>
      </w:rPr>
      <w:fldChar w:fldCharType="end"/>
    </w:r>
  </w:p>
  <w:p w14:paraId="693219AA" w14:textId="77777777" w:rsidR="007277BF" w:rsidRDefault="007277B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6C6E" w14:textId="77777777" w:rsidR="007277BF" w:rsidRDefault="007277B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86E6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86E60">
      <w:rPr>
        <w:b/>
        <w:noProof/>
        <w:color w:val="000000"/>
        <w:sz w:val="24"/>
        <w:szCs w:val="24"/>
      </w:rPr>
      <w:t>66</w:t>
    </w:r>
    <w:r>
      <w:rPr>
        <w:b/>
        <w:color w:val="000000"/>
        <w:sz w:val="24"/>
        <w:szCs w:val="24"/>
      </w:rPr>
      <w:fldChar w:fldCharType="end"/>
    </w:r>
  </w:p>
  <w:p w14:paraId="54B4B9F6" w14:textId="77777777" w:rsidR="007277BF" w:rsidRDefault="007277B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7C47" w14:textId="77777777" w:rsidR="00F5074C" w:rsidRDefault="00F5074C">
      <w:pPr>
        <w:spacing w:after="0" w:line="240" w:lineRule="auto"/>
      </w:pPr>
      <w:r>
        <w:separator/>
      </w:r>
    </w:p>
  </w:footnote>
  <w:footnote w:type="continuationSeparator" w:id="0">
    <w:p w14:paraId="508AACC8" w14:textId="77777777" w:rsidR="00F5074C" w:rsidRDefault="00F50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E2F0" w14:textId="77777777" w:rsidR="007277BF" w:rsidRDefault="007277BF">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F5B294A" wp14:editId="72008637">
          <wp:simplePos x="0" y="0"/>
          <wp:positionH relativeFrom="column">
            <wp:posOffset>-727075</wp:posOffset>
          </wp:positionH>
          <wp:positionV relativeFrom="paragraph">
            <wp:posOffset>-288290</wp:posOffset>
          </wp:positionV>
          <wp:extent cx="7809876" cy="10165823"/>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7277BF" w14:paraId="3D10BF48" w14:textId="77777777">
      <w:tc>
        <w:tcPr>
          <w:tcW w:w="2551" w:type="dxa"/>
          <w:vAlign w:val="center"/>
        </w:tcPr>
        <w:p w14:paraId="3489D479" w14:textId="77777777" w:rsidR="007277BF" w:rsidRDefault="007277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A90425" w14:textId="3AA469B8" w:rsidR="007277BF" w:rsidRDefault="007277BF" w:rsidP="00D745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06169/INFOEM/IP/RR/2023</w:t>
          </w:r>
        </w:p>
      </w:tc>
    </w:tr>
    <w:tr w:rsidR="007277BF" w14:paraId="537DBD70" w14:textId="77777777" w:rsidTr="00F22AE1">
      <w:trPr>
        <w:trHeight w:val="217"/>
      </w:trPr>
      <w:tc>
        <w:tcPr>
          <w:tcW w:w="2551" w:type="dxa"/>
          <w:vAlign w:val="center"/>
        </w:tcPr>
        <w:p w14:paraId="15D24CA8" w14:textId="77777777" w:rsidR="007277BF" w:rsidRDefault="007277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3BFC658" w14:textId="44C006D1" w:rsidR="007277BF" w:rsidRDefault="007277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2903A6" w14:textId="2D137E48" w:rsidR="007277BF" w:rsidRDefault="007277BF" w:rsidP="00C938C8">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Malinalco</w:t>
          </w:r>
        </w:p>
      </w:tc>
    </w:tr>
    <w:tr w:rsidR="007277BF" w14:paraId="7D1FD3FE" w14:textId="77777777">
      <w:tc>
        <w:tcPr>
          <w:tcW w:w="2551" w:type="dxa"/>
          <w:vAlign w:val="center"/>
        </w:tcPr>
        <w:p w14:paraId="19D94C21" w14:textId="77777777" w:rsidR="007277BF" w:rsidRDefault="007277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4A4AAE" w14:textId="77777777" w:rsidR="007277BF" w:rsidRDefault="007277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14AEDC" w14:textId="77777777" w:rsidR="007277BF" w:rsidRDefault="007277B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AB5" w14:textId="318496B9" w:rsidR="007277BF" w:rsidRDefault="007277BF">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200B91A5" wp14:editId="531BE193">
          <wp:simplePos x="0" y="0"/>
          <wp:positionH relativeFrom="margin">
            <wp:align>center</wp:align>
          </wp:positionH>
          <wp:positionV relativeFrom="paragraph">
            <wp:posOffset>-401320</wp:posOffset>
          </wp:positionV>
          <wp:extent cx="7809865" cy="10165715"/>
          <wp:effectExtent l="0" t="0" r="635" b="6985"/>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2"/>
      <w:tblW w:w="5603" w:type="dxa"/>
      <w:tblInd w:w="3611" w:type="dxa"/>
      <w:tblLayout w:type="fixed"/>
      <w:tblLook w:val="0400" w:firstRow="0" w:lastRow="0" w:firstColumn="0" w:lastColumn="0" w:noHBand="0" w:noVBand="1"/>
    </w:tblPr>
    <w:tblGrid>
      <w:gridCol w:w="2551"/>
      <w:gridCol w:w="3052"/>
    </w:tblGrid>
    <w:tr w:rsidR="007277BF" w14:paraId="7C8FDD66" w14:textId="77777777" w:rsidTr="00F22AE1">
      <w:tc>
        <w:tcPr>
          <w:tcW w:w="2551" w:type="dxa"/>
          <w:vAlign w:val="center"/>
        </w:tcPr>
        <w:p w14:paraId="63FBC165" w14:textId="77777777" w:rsidR="007277BF" w:rsidRDefault="007277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C373242" w14:textId="3F4824C6" w:rsidR="007277BF" w:rsidRDefault="007277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06169/INFOEM/IP/RR/2023</w:t>
          </w:r>
        </w:p>
      </w:tc>
    </w:tr>
    <w:tr w:rsidR="007277BF" w14:paraId="44EE5E5E" w14:textId="77777777" w:rsidTr="00F22AE1">
      <w:tc>
        <w:tcPr>
          <w:tcW w:w="2551" w:type="dxa"/>
          <w:vAlign w:val="center"/>
        </w:tcPr>
        <w:p w14:paraId="362D8093" w14:textId="0B14A181" w:rsidR="007277BF" w:rsidRPr="003018D5" w:rsidRDefault="007277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sidRPr="003018D5">
            <w:rPr>
              <w:rFonts w:ascii="Palatino Linotype" w:eastAsia="Palatino Linotype" w:hAnsi="Palatino Linotype" w:cs="Palatino Linotype"/>
              <w:b/>
            </w:rPr>
            <w:t>Recurrente:</w:t>
          </w:r>
        </w:p>
      </w:tc>
      <w:tc>
        <w:tcPr>
          <w:tcW w:w="3052" w:type="dxa"/>
          <w:vAlign w:val="center"/>
        </w:tcPr>
        <w:p w14:paraId="0AAA5E3F" w14:textId="39238CF8" w:rsidR="007277BF" w:rsidRDefault="00C163E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 XXXXXX XXXX</w:t>
          </w:r>
        </w:p>
      </w:tc>
    </w:tr>
    <w:tr w:rsidR="007277BF" w14:paraId="62AB0F25" w14:textId="77777777" w:rsidTr="00F22AE1">
      <w:trPr>
        <w:trHeight w:val="152"/>
      </w:trPr>
      <w:tc>
        <w:tcPr>
          <w:tcW w:w="2551" w:type="dxa"/>
          <w:vAlign w:val="center"/>
        </w:tcPr>
        <w:p w14:paraId="262D7148" w14:textId="77777777" w:rsidR="007277BF" w:rsidRDefault="007277BF" w:rsidP="00F22AE1">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1A709B4" w14:textId="4E04B8AC" w:rsidR="007277BF" w:rsidRDefault="007277BF" w:rsidP="00F22AE1">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02BFD8D" w14:textId="3F1C4E0B" w:rsidR="007277BF" w:rsidRDefault="007277BF" w:rsidP="00C938C8">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Malinalco</w:t>
          </w:r>
        </w:p>
      </w:tc>
    </w:tr>
    <w:tr w:rsidR="007277BF" w14:paraId="43D52849" w14:textId="77777777" w:rsidTr="00F22AE1">
      <w:tc>
        <w:tcPr>
          <w:tcW w:w="2551" w:type="dxa"/>
          <w:vAlign w:val="center"/>
        </w:tcPr>
        <w:p w14:paraId="5770E145" w14:textId="77777777" w:rsidR="007277BF" w:rsidRDefault="007277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7F0450" w14:textId="77777777" w:rsidR="007277BF" w:rsidRDefault="007277B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774D56" w14:textId="02F0E7F4" w:rsidR="007277BF" w:rsidRDefault="007277BF">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AE8"/>
    <w:multiLevelType w:val="hybridMultilevel"/>
    <w:tmpl w:val="4C026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5021BD"/>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45937"/>
    <w:multiLevelType w:val="hybridMultilevel"/>
    <w:tmpl w:val="BD82C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E55F9"/>
    <w:multiLevelType w:val="multilevel"/>
    <w:tmpl w:val="F61E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027D9"/>
    <w:multiLevelType w:val="multilevel"/>
    <w:tmpl w:val="CA000D1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337D7C"/>
    <w:multiLevelType w:val="hybridMultilevel"/>
    <w:tmpl w:val="9AE6D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3C1C04"/>
    <w:multiLevelType w:val="hybridMultilevel"/>
    <w:tmpl w:val="F990A4C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11B74BDA"/>
    <w:multiLevelType w:val="hybridMultilevel"/>
    <w:tmpl w:val="DDD6F79E"/>
    <w:lvl w:ilvl="0" w:tplc="E8D860B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3102CB"/>
    <w:multiLevelType w:val="hybridMultilevel"/>
    <w:tmpl w:val="AC5A6A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1AA73C60"/>
    <w:multiLevelType w:val="hybridMultilevel"/>
    <w:tmpl w:val="445A8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2C2FCD"/>
    <w:multiLevelType w:val="hybridMultilevel"/>
    <w:tmpl w:val="2376E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F936BB"/>
    <w:multiLevelType w:val="hybridMultilevel"/>
    <w:tmpl w:val="C9820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AD3049"/>
    <w:multiLevelType w:val="hybridMultilevel"/>
    <w:tmpl w:val="5A141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0420E9F"/>
    <w:multiLevelType w:val="hybridMultilevel"/>
    <w:tmpl w:val="97DEA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656DE0"/>
    <w:multiLevelType w:val="multilevel"/>
    <w:tmpl w:val="EE028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A45D12"/>
    <w:multiLevelType w:val="hybridMultilevel"/>
    <w:tmpl w:val="7FBCC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317490"/>
    <w:multiLevelType w:val="hybridMultilevel"/>
    <w:tmpl w:val="BB122B50"/>
    <w:lvl w:ilvl="0" w:tplc="FB0C99F4">
      <w:start w:val="1"/>
      <w:numFmt w:val="decimal"/>
      <w:lvlText w:val="%1."/>
      <w:lvlJc w:val="left"/>
      <w:pPr>
        <w:ind w:left="644" w:hanging="360"/>
      </w:pPr>
      <w:rPr>
        <w:rFonts w:ascii="Palatino Linotype" w:hAnsi="Palatino Linotype" w:hint="default"/>
        <w:b/>
        <w:i w:val="0"/>
        <w:sz w:val="24"/>
      </w:rPr>
    </w:lvl>
    <w:lvl w:ilvl="1" w:tplc="080A0019">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9B31E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007002"/>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DC19B3"/>
    <w:multiLevelType w:val="multilevel"/>
    <w:tmpl w:val="33DE58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B7177F"/>
    <w:multiLevelType w:val="hybridMultilevel"/>
    <w:tmpl w:val="36385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100032"/>
    <w:multiLevelType w:val="hybridMultilevel"/>
    <w:tmpl w:val="3B187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635CB3"/>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B95DB4"/>
    <w:multiLevelType w:val="hybridMultilevel"/>
    <w:tmpl w:val="B568D8F0"/>
    <w:lvl w:ilvl="0" w:tplc="E760F23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C37968"/>
    <w:multiLevelType w:val="hybridMultilevel"/>
    <w:tmpl w:val="AD38D8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48AE1072"/>
    <w:multiLevelType w:val="hybridMultilevel"/>
    <w:tmpl w:val="C79C388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494815F1"/>
    <w:multiLevelType w:val="hybridMultilevel"/>
    <w:tmpl w:val="64FCA55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4D2016A0"/>
    <w:multiLevelType w:val="hybridMultilevel"/>
    <w:tmpl w:val="39D4F456"/>
    <w:lvl w:ilvl="0" w:tplc="4B8462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AE5AF5"/>
    <w:multiLevelType w:val="hybridMultilevel"/>
    <w:tmpl w:val="781672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8506A0"/>
    <w:multiLevelType w:val="hybridMultilevel"/>
    <w:tmpl w:val="B588D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D201AE"/>
    <w:multiLevelType w:val="multilevel"/>
    <w:tmpl w:val="229AD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3E557F"/>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1C7696"/>
    <w:multiLevelType w:val="multilevel"/>
    <w:tmpl w:val="59266F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270EDE"/>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6241D2"/>
    <w:multiLevelType w:val="hybridMultilevel"/>
    <w:tmpl w:val="D294FF44"/>
    <w:lvl w:ilvl="0" w:tplc="8D5EB5D0">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6D6501"/>
    <w:multiLevelType w:val="hybridMultilevel"/>
    <w:tmpl w:val="467C8F3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0" w15:restartNumberingAfterBreak="0">
    <w:nsid w:val="65F82B43"/>
    <w:multiLevelType w:val="hybridMultilevel"/>
    <w:tmpl w:val="1DA0D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CD4399"/>
    <w:multiLevelType w:val="multilevel"/>
    <w:tmpl w:val="EDEE6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650712"/>
    <w:multiLevelType w:val="hybridMultilevel"/>
    <w:tmpl w:val="A2E22C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0391148"/>
    <w:multiLevelType w:val="hybridMultilevel"/>
    <w:tmpl w:val="5364B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78F76136"/>
    <w:multiLevelType w:val="hybridMultilevel"/>
    <w:tmpl w:val="5E6E1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8360F7"/>
    <w:multiLevelType w:val="hybridMultilevel"/>
    <w:tmpl w:val="54944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6"/>
  </w:num>
  <w:num w:numId="3">
    <w:abstractNumId w:val="3"/>
  </w:num>
  <w:num w:numId="4">
    <w:abstractNumId w:val="42"/>
  </w:num>
  <w:num w:numId="5">
    <w:abstractNumId w:val="16"/>
  </w:num>
  <w:num w:numId="6">
    <w:abstractNumId w:val="34"/>
  </w:num>
  <w:num w:numId="7">
    <w:abstractNumId w:val="22"/>
  </w:num>
  <w:num w:numId="8">
    <w:abstractNumId w:val="26"/>
  </w:num>
  <w:num w:numId="9">
    <w:abstractNumId w:val="33"/>
  </w:num>
  <w:num w:numId="10">
    <w:abstractNumId w:val="13"/>
  </w:num>
  <w:num w:numId="11">
    <w:abstractNumId w:val="46"/>
  </w:num>
  <w:num w:numId="12">
    <w:abstractNumId w:val="28"/>
  </w:num>
  <w:num w:numId="13">
    <w:abstractNumId w:val="7"/>
  </w:num>
  <w:num w:numId="14">
    <w:abstractNumId w:val="18"/>
  </w:num>
  <w:num w:numId="15">
    <w:abstractNumId w:val="11"/>
  </w:num>
  <w:num w:numId="16">
    <w:abstractNumId w:val="43"/>
  </w:num>
  <w:num w:numId="17">
    <w:abstractNumId w:val="32"/>
  </w:num>
  <w:num w:numId="18">
    <w:abstractNumId w:val="14"/>
  </w:num>
  <w:num w:numId="19">
    <w:abstractNumId w:val="21"/>
  </w:num>
  <w:num w:numId="20">
    <w:abstractNumId w:val="35"/>
  </w:num>
  <w:num w:numId="21">
    <w:abstractNumId w:val="19"/>
  </w:num>
  <w:num w:numId="22">
    <w:abstractNumId w:val="25"/>
  </w:num>
  <w:num w:numId="23">
    <w:abstractNumId w:val="37"/>
  </w:num>
  <w:num w:numId="24">
    <w:abstractNumId w:val="1"/>
  </w:num>
  <w:num w:numId="25">
    <w:abstractNumId w:val="0"/>
  </w:num>
  <w:num w:numId="26">
    <w:abstractNumId w:val="12"/>
  </w:num>
  <w:num w:numId="27">
    <w:abstractNumId w:val="9"/>
  </w:num>
  <w:num w:numId="28">
    <w:abstractNumId w:val="45"/>
  </w:num>
  <w:num w:numId="29">
    <w:abstractNumId w:val="5"/>
  </w:num>
  <w:num w:numId="30">
    <w:abstractNumId w:val="15"/>
  </w:num>
  <w:num w:numId="31">
    <w:abstractNumId w:val="24"/>
  </w:num>
  <w:num w:numId="32">
    <w:abstractNumId w:val="39"/>
  </w:num>
  <w:num w:numId="33">
    <w:abstractNumId w:val="23"/>
  </w:num>
  <w:num w:numId="34">
    <w:abstractNumId w:val="29"/>
  </w:num>
  <w:num w:numId="35">
    <w:abstractNumId w:val="44"/>
  </w:num>
  <w:num w:numId="36">
    <w:abstractNumId w:val="41"/>
  </w:num>
  <w:num w:numId="37">
    <w:abstractNumId w:val="17"/>
  </w:num>
  <w:num w:numId="38">
    <w:abstractNumId w:val="47"/>
  </w:num>
  <w:num w:numId="39">
    <w:abstractNumId w:val="30"/>
  </w:num>
  <w:num w:numId="40">
    <w:abstractNumId w:val="31"/>
  </w:num>
  <w:num w:numId="41">
    <w:abstractNumId w:val="8"/>
  </w:num>
  <w:num w:numId="42">
    <w:abstractNumId w:val="27"/>
  </w:num>
  <w:num w:numId="43">
    <w:abstractNumId w:val="10"/>
  </w:num>
  <w:num w:numId="44">
    <w:abstractNumId w:val="2"/>
  </w:num>
  <w:num w:numId="45">
    <w:abstractNumId w:val="20"/>
  </w:num>
  <w:num w:numId="46">
    <w:abstractNumId w:val="40"/>
  </w:num>
  <w:num w:numId="47">
    <w:abstractNumId w:val="48"/>
  </w:num>
  <w:num w:numId="48">
    <w:abstractNumId w:val="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7D"/>
    <w:rsid w:val="00004C64"/>
    <w:rsid w:val="00006048"/>
    <w:rsid w:val="00010B9B"/>
    <w:rsid w:val="0001679E"/>
    <w:rsid w:val="0002412A"/>
    <w:rsid w:val="00030649"/>
    <w:rsid w:val="0003426C"/>
    <w:rsid w:val="0003629B"/>
    <w:rsid w:val="000F210B"/>
    <w:rsid w:val="000F2B24"/>
    <w:rsid w:val="000F7FA6"/>
    <w:rsid w:val="00104192"/>
    <w:rsid w:val="00106666"/>
    <w:rsid w:val="001128BC"/>
    <w:rsid w:val="001217EF"/>
    <w:rsid w:val="00141186"/>
    <w:rsid w:val="00141C9C"/>
    <w:rsid w:val="00142FEE"/>
    <w:rsid w:val="00144A39"/>
    <w:rsid w:val="0014787B"/>
    <w:rsid w:val="00154FEA"/>
    <w:rsid w:val="00156415"/>
    <w:rsid w:val="00174CDA"/>
    <w:rsid w:val="001B0960"/>
    <w:rsid w:val="001C4643"/>
    <w:rsid w:val="001C7CFE"/>
    <w:rsid w:val="001D6AE2"/>
    <w:rsid w:val="001E4407"/>
    <w:rsid w:val="001E6843"/>
    <w:rsid w:val="00200D2C"/>
    <w:rsid w:val="00203460"/>
    <w:rsid w:val="0022693C"/>
    <w:rsid w:val="00231E46"/>
    <w:rsid w:val="00235482"/>
    <w:rsid w:val="00241DE1"/>
    <w:rsid w:val="00242729"/>
    <w:rsid w:val="00261385"/>
    <w:rsid w:val="00261B27"/>
    <w:rsid w:val="00276C2F"/>
    <w:rsid w:val="002A361A"/>
    <w:rsid w:val="002A4A92"/>
    <w:rsid w:val="002C103C"/>
    <w:rsid w:val="002C254A"/>
    <w:rsid w:val="002D6A54"/>
    <w:rsid w:val="002E22B0"/>
    <w:rsid w:val="002E4B3E"/>
    <w:rsid w:val="002F37D8"/>
    <w:rsid w:val="002F3C2D"/>
    <w:rsid w:val="003018D5"/>
    <w:rsid w:val="00322186"/>
    <w:rsid w:val="003243DE"/>
    <w:rsid w:val="0032615A"/>
    <w:rsid w:val="003355E2"/>
    <w:rsid w:val="00335ADB"/>
    <w:rsid w:val="00341AEC"/>
    <w:rsid w:val="00346663"/>
    <w:rsid w:val="003609F9"/>
    <w:rsid w:val="003960A4"/>
    <w:rsid w:val="003A0D42"/>
    <w:rsid w:val="003A7A5D"/>
    <w:rsid w:val="003B3C75"/>
    <w:rsid w:val="003B52E6"/>
    <w:rsid w:val="003B72BC"/>
    <w:rsid w:val="003B749F"/>
    <w:rsid w:val="003E7A5D"/>
    <w:rsid w:val="004064E8"/>
    <w:rsid w:val="004125C0"/>
    <w:rsid w:val="0041338B"/>
    <w:rsid w:val="00433FA3"/>
    <w:rsid w:val="00446936"/>
    <w:rsid w:val="004537B2"/>
    <w:rsid w:val="0045606E"/>
    <w:rsid w:val="00461EAC"/>
    <w:rsid w:val="00465E0B"/>
    <w:rsid w:val="00470507"/>
    <w:rsid w:val="00482052"/>
    <w:rsid w:val="004A69FA"/>
    <w:rsid w:val="004B220B"/>
    <w:rsid w:val="004C732F"/>
    <w:rsid w:val="004E4ADA"/>
    <w:rsid w:val="00515CB1"/>
    <w:rsid w:val="0052303E"/>
    <w:rsid w:val="00545BD0"/>
    <w:rsid w:val="005808BF"/>
    <w:rsid w:val="005958FC"/>
    <w:rsid w:val="005A1562"/>
    <w:rsid w:val="005A3826"/>
    <w:rsid w:val="005A4992"/>
    <w:rsid w:val="005B3282"/>
    <w:rsid w:val="005D1CAF"/>
    <w:rsid w:val="005E4B25"/>
    <w:rsid w:val="00614356"/>
    <w:rsid w:val="006309AD"/>
    <w:rsid w:val="00634588"/>
    <w:rsid w:val="00646B44"/>
    <w:rsid w:val="00661B8E"/>
    <w:rsid w:val="00680857"/>
    <w:rsid w:val="00681338"/>
    <w:rsid w:val="006943D1"/>
    <w:rsid w:val="006A4EBA"/>
    <w:rsid w:val="006B4A8B"/>
    <w:rsid w:val="006C3BC3"/>
    <w:rsid w:val="006D24BB"/>
    <w:rsid w:val="006E5402"/>
    <w:rsid w:val="006E7E4D"/>
    <w:rsid w:val="00720498"/>
    <w:rsid w:val="007277BF"/>
    <w:rsid w:val="007435E2"/>
    <w:rsid w:val="00755515"/>
    <w:rsid w:val="0075678E"/>
    <w:rsid w:val="007670F9"/>
    <w:rsid w:val="0078543E"/>
    <w:rsid w:val="00790534"/>
    <w:rsid w:val="007A2A61"/>
    <w:rsid w:val="007C0DC5"/>
    <w:rsid w:val="007C26B6"/>
    <w:rsid w:val="007C2B04"/>
    <w:rsid w:val="007D19E9"/>
    <w:rsid w:val="007E3BE2"/>
    <w:rsid w:val="00800568"/>
    <w:rsid w:val="0080100F"/>
    <w:rsid w:val="00812D6E"/>
    <w:rsid w:val="008645E3"/>
    <w:rsid w:val="00864D69"/>
    <w:rsid w:val="008755B0"/>
    <w:rsid w:val="00877616"/>
    <w:rsid w:val="00886D95"/>
    <w:rsid w:val="00892CBC"/>
    <w:rsid w:val="00895BC6"/>
    <w:rsid w:val="00895D56"/>
    <w:rsid w:val="008A4385"/>
    <w:rsid w:val="008B7BCF"/>
    <w:rsid w:val="008C7B3C"/>
    <w:rsid w:val="008D63F3"/>
    <w:rsid w:val="008E6C40"/>
    <w:rsid w:val="00916D80"/>
    <w:rsid w:val="00917A6A"/>
    <w:rsid w:val="00933869"/>
    <w:rsid w:val="0093591F"/>
    <w:rsid w:val="00954D7F"/>
    <w:rsid w:val="00974332"/>
    <w:rsid w:val="0097763C"/>
    <w:rsid w:val="00981970"/>
    <w:rsid w:val="0098482D"/>
    <w:rsid w:val="00991082"/>
    <w:rsid w:val="00992917"/>
    <w:rsid w:val="009950C9"/>
    <w:rsid w:val="00995DE0"/>
    <w:rsid w:val="009A2072"/>
    <w:rsid w:val="009C3F85"/>
    <w:rsid w:val="009C792B"/>
    <w:rsid w:val="009E23C4"/>
    <w:rsid w:val="009E285E"/>
    <w:rsid w:val="009E75B5"/>
    <w:rsid w:val="009F4C17"/>
    <w:rsid w:val="00A14DC1"/>
    <w:rsid w:val="00A17F70"/>
    <w:rsid w:val="00A23CC3"/>
    <w:rsid w:val="00A26E71"/>
    <w:rsid w:val="00A27592"/>
    <w:rsid w:val="00A45BB6"/>
    <w:rsid w:val="00A607B9"/>
    <w:rsid w:val="00A74EBA"/>
    <w:rsid w:val="00A76332"/>
    <w:rsid w:val="00A806AC"/>
    <w:rsid w:val="00A86E60"/>
    <w:rsid w:val="00A96101"/>
    <w:rsid w:val="00AC143B"/>
    <w:rsid w:val="00AC79ED"/>
    <w:rsid w:val="00AD3815"/>
    <w:rsid w:val="00AD7D72"/>
    <w:rsid w:val="00AE4E2E"/>
    <w:rsid w:val="00AE5E7B"/>
    <w:rsid w:val="00AF46A0"/>
    <w:rsid w:val="00B16261"/>
    <w:rsid w:val="00B30C44"/>
    <w:rsid w:val="00B4319F"/>
    <w:rsid w:val="00B628D1"/>
    <w:rsid w:val="00B63FC6"/>
    <w:rsid w:val="00B65B2E"/>
    <w:rsid w:val="00B661FB"/>
    <w:rsid w:val="00B7051E"/>
    <w:rsid w:val="00B7278F"/>
    <w:rsid w:val="00B95097"/>
    <w:rsid w:val="00BB73F1"/>
    <w:rsid w:val="00BD19A9"/>
    <w:rsid w:val="00BD52A1"/>
    <w:rsid w:val="00BD7752"/>
    <w:rsid w:val="00BF2472"/>
    <w:rsid w:val="00BF24AB"/>
    <w:rsid w:val="00C02260"/>
    <w:rsid w:val="00C074E9"/>
    <w:rsid w:val="00C12F33"/>
    <w:rsid w:val="00C163EE"/>
    <w:rsid w:val="00C166B9"/>
    <w:rsid w:val="00C2535A"/>
    <w:rsid w:val="00C2557B"/>
    <w:rsid w:val="00C52691"/>
    <w:rsid w:val="00C717A6"/>
    <w:rsid w:val="00C75C7E"/>
    <w:rsid w:val="00C7712F"/>
    <w:rsid w:val="00C810F5"/>
    <w:rsid w:val="00C84DC7"/>
    <w:rsid w:val="00C938C8"/>
    <w:rsid w:val="00CA3B38"/>
    <w:rsid w:val="00CB24CB"/>
    <w:rsid w:val="00CC0CD3"/>
    <w:rsid w:val="00CD662A"/>
    <w:rsid w:val="00CE6234"/>
    <w:rsid w:val="00D028CF"/>
    <w:rsid w:val="00D02932"/>
    <w:rsid w:val="00D50F5B"/>
    <w:rsid w:val="00D53D49"/>
    <w:rsid w:val="00D7458B"/>
    <w:rsid w:val="00D750D3"/>
    <w:rsid w:val="00D80548"/>
    <w:rsid w:val="00DA0202"/>
    <w:rsid w:val="00DB183A"/>
    <w:rsid w:val="00DB667F"/>
    <w:rsid w:val="00DB71F7"/>
    <w:rsid w:val="00DE4535"/>
    <w:rsid w:val="00DF45E4"/>
    <w:rsid w:val="00E14B22"/>
    <w:rsid w:val="00E21162"/>
    <w:rsid w:val="00E2699F"/>
    <w:rsid w:val="00E32625"/>
    <w:rsid w:val="00E83EF0"/>
    <w:rsid w:val="00E84A1C"/>
    <w:rsid w:val="00EE774D"/>
    <w:rsid w:val="00EF3241"/>
    <w:rsid w:val="00F01E4E"/>
    <w:rsid w:val="00F200DA"/>
    <w:rsid w:val="00F22AE1"/>
    <w:rsid w:val="00F30CCB"/>
    <w:rsid w:val="00F5074C"/>
    <w:rsid w:val="00F50E49"/>
    <w:rsid w:val="00F51DB2"/>
    <w:rsid w:val="00F51F8E"/>
    <w:rsid w:val="00F55D08"/>
    <w:rsid w:val="00F758F6"/>
    <w:rsid w:val="00F8557D"/>
    <w:rsid w:val="00FB4703"/>
    <w:rsid w:val="00FB4A31"/>
    <w:rsid w:val="00FC00A5"/>
    <w:rsid w:val="00FC6671"/>
    <w:rsid w:val="00FE007A"/>
    <w:rsid w:val="00FE0469"/>
    <w:rsid w:val="00FE37BB"/>
    <w:rsid w:val="00FF17F3"/>
    <w:rsid w:val="00FF67E1"/>
    <w:rsid w:val="00FF6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91FD"/>
  <w15:docId w15:val="{93009E9D-024C-4648-96F2-4CA10B41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pPr>
      <w:spacing w:after="200" w:line="276" w:lineRule="auto"/>
    </w:pPr>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549">
      <w:bodyDiv w:val="1"/>
      <w:marLeft w:val="0"/>
      <w:marRight w:val="0"/>
      <w:marTop w:val="0"/>
      <w:marBottom w:val="0"/>
      <w:divBdr>
        <w:top w:val="none" w:sz="0" w:space="0" w:color="auto"/>
        <w:left w:val="none" w:sz="0" w:space="0" w:color="auto"/>
        <w:bottom w:val="none" w:sz="0" w:space="0" w:color="auto"/>
        <w:right w:val="none" w:sz="0" w:space="0" w:color="auto"/>
      </w:divBdr>
    </w:div>
    <w:div w:id="51928145">
      <w:bodyDiv w:val="1"/>
      <w:marLeft w:val="0"/>
      <w:marRight w:val="0"/>
      <w:marTop w:val="0"/>
      <w:marBottom w:val="0"/>
      <w:divBdr>
        <w:top w:val="none" w:sz="0" w:space="0" w:color="auto"/>
        <w:left w:val="none" w:sz="0" w:space="0" w:color="auto"/>
        <w:bottom w:val="none" w:sz="0" w:space="0" w:color="auto"/>
        <w:right w:val="none" w:sz="0" w:space="0" w:color="auto"/>
      </w:divBdr>
    </w:div>
    <w:div w:id="103501447">
      <w:bodyDiv w:val="1"/>
      <w:marLeft w:val="0"/>
      <w:marRight w:val="0"/>
      <w:marTop w:val="0"/>
      <w:marBottom w:val="0"/>
      <w:divBdr>
        <w:top w:val="none" w:sz="0" w:space="0" w:color="auto"/>
        <w:left w:val="none" w:sz="0" w:space="0" w:color="auto"/>
        <w:bottom w:val="none" w:sz="0" w:space="0" w:color="auto"/>
        <w:right w:val="none" w:sz="0" w:space="0" w:color="auto"/>
      </w:divBdr>
    </w:div>
    <w:div w:id="116146969">
      <w:bodyDiv w:val="1"/>
      <w:marLeft w:val="0"/>
      <w:marRight w:val="0"/>
      <w:marTop w:val="0"/>
      <w:marBottom w:val="0"/>
      <w:divBdr>
        <w:top w:val="none" w:sz="0" w:space="0" w:color="auto"/>
        <w:left w:val="none" w:sz="0" w:space="0" w:color="auto"/>
        <w:bottom w:val="none" w:sz="0" w:space="0" w:color="auto"/>
        <w:right w:val="none" w:sz="0" w:space="0" w:color="auto"/>
      </w:divBdr>
    </w:div>
    <w:div w:id="162819504">
      <w:bodyDiv w:val="1"/>
      <w:marLeft w:val="0"/>
      <w:marRight w:val="0"/>
      <w:marTop w:val="0"/>
      <w:marBottom w:val="0"/>
      <w:divBdr>
        <w:top w:val="none" w:sz="0" w:space="0" w:color="auto"/>
        <w:left w:val="none" w:sz="0" w:space="0" w:color="auto"/>
        <w:bottom w:val="none" w:sz="0" w:space="0" w:color="auto"/>
        <w:right w:val="none" w:sz="0" w:space="0" w:color="auto"/>
      </w:divBdr>
    </w:div>
    <w:div w:id="187916340">
      <w:bodyDiv w:val="1"/>
      <w:marLeft w:val="0"/>
      <w:marRight w:val="0"/>
      <w:marTop w:val="0"/>
      <w:marBottom w:val="0"/>
      <w:divBdr>
        <w:top w:val="none" w:sz="0" w:space="0" w:color="auto"/>
        <w:left w:val="none" w:sz="0" w:space="0" w:color="auto"/>
        <w:bottom w:val="none" w:sz="0" w:space="0" w:color="auto"/>
        <w:right w:val="none" w:sz="0" w:space="0" w:color="auto"/>
      </w:divBdr>
    </w:div>
    <w:div w:id="191114295">
      <w:bodyDiv w:val="1"/>
      <w:marLeft w:val="0"/>
      <w:marRight w:val="0"/>
      <w:marTop w:val="0"/>
      <w:marBottom w:val="0"/>
      <w:divBdr>
        <w:top w:val="none" w:sz="0" w:space="0" w:color="auto"/>
        <w:left w:val="none" w:sz="0" w:space="0" w:color="auto"/>
        <w:bottom w:val="none" w:sz="0" w:space="0" w:color="auto"/>
        <w:right w:val="none" w:sz="0" w:space="0" w:color="auto"/>
      </w:divBdr>
    </w:div>
    <w:div w:id="216009868">
      <w:bodyDiv w:val="1"/>
      <w:marLeft w:val="0"/>
      <w:marRight w:val="0"/>
      <w:marTop w:val="0"/>
      <w:marBottom w:val="0"/>
      <w:divBdr>
        <w:top w:val="none" w:sz="0" w:space="0" w:color="auto"/>
        <w:left w:val="none" w:sz="0" w:space="0" w:color="auto"/>
        <w:bottom w:val="none" w:sz="0" w:space="0" w:color="auto"/>
        <w:right w:val="none" w:sz="0" w:space="0" w:color="auto"/>
      </w:divBdr>
    </w:div>
    <w:div w:id="272593214">
      <w:bodyDiv w:val="1"/>
      <w:marLeft w:val="0"/>
      <w:marRight w:val="0"/>
      <w:marTop w:val="0"/>
      <w:marBottom w:val="0"/>
      <w:divBdr>
        <w:top w:val="none" w:sz="0" w:space="0" w:color="auto"/>
        <w:left w:val="none" w:sz="0" w:space="0" w:color="auto"/>
        <w:bottom w:val="none" w:sz="0" w:space="0" w:color="auto"/>
        <w:right w:val="none" w:sz="0" w:space="0" w:color="auto"/>
      </w:divBdr>
    </w:div>
    <w:div w:id="291445581">
      <w:bodyDiv w:val="1"/>
      <w:marLeft w:val="0"/>
      <w:marRight w:val="0"/>
      <w:marTop w:val="0"/>
      <w:marBottom w:val="0"/>
      <w:divBdr>
        <w:top w:val="none" w:sz="0" w:space="0" w:color="auto"/>
        <w:left w:val="none" w:sz="0" w:space="0" w:color="auto"/>
        <w:bottom w:val="none" w:sz="0" w:space="0" w:color="auto"/>
        <w:right w:val="none" w:sz="0" w:space="0" w:color="auto"/>
      </w:divBdr>
    </w:div>
    <w:div w:id="328481794">
      <w:bodyDiv w:val="1"/>
      <w:marLeft w:val="0"/>
      <w:marRight w:val="0"/>
      <w:marTop w:val="0"/>
      <w:marBottom w:val="0"/>
      <w:divBdr>
        <w:top w:val="none" w:sz="0" w:space="0" w:color="auto"/>
        <w:left w:val="none" w:sz="0" w:space="0" w:color="auto"/>
        <w:bottom w:val="none" w:sz="0" w:space="0" w:color="auto"/>
        <w:right w:val="none" w:sz="0" w:space="0" w:color="auto"/>
      </w:divBdr>
    </w:div>
    <w:div w:id="354504653">
      <w:bodyDiv w:val="1"/>
      <w:marLeft w:val="0"/>
      <w:marRight w:val="0"/>
      <w:marTop w:val="0"/>
      <w:marBottom w:val="0"/>
      <w:divBdr>
        <w:top w:val="none" w:sz="0" w:space="0" w:color="auto"/>
        <w:left w:val="none" w:sz="0" w:space="0" w:color="auto"/>
        <w:bottom w:val="none" w:sz="0" w:space="0" w:color="auto"/>
        <w:right w:val="none" w:sz="0" w:space="0" w:color="auto"/>
      </w:divBdr>
    </w:div>
    <w:div w:id="419371451">
      <w:bodyDiv w:val="1"/>
      <w:marLeft w:val="0"/>
      <w:marRight w:val="0"/>
      <w:marTop w:val="0"/>
      <w:marBottom w:val="0"/>
      <w:divBdr>
        <w:top w:val="none" w:sz="0" w:space="0" w:color="auto"/>
        <w:left w:val="none" w:sz="0" w:space="0" w:color="auto"/>
        <w:bottom w:val="none" w:sz="0" w:space="0" w:color="auto"/>
        <w:right w:val="none" w:sz="0" w:space="0" w:color="auto"/>
      </w:divBdr>
    </w:div>
    <w:div w:id="442308533">
      <w:bodyDiv w:val="1"/>
      <w:marLeft w:val="0"/>
      <w:marRight w:val="0"/>
      <w:marTop w:val="0"/>
      <w:marBottom w:val="0"/>
      <w:divBdr>
        <w:top w:val="none" w:sz="0" w:space="0" w:color="auto"/>
        <w:left w:val="none" w:sz="0" w:space="0" w:color="auto"/>
        <w:bottom w:val="none" w:sz="0" w:space="0" w:color="auto"/>
        <w:right w:val="none" w:sz="0" w:space="0" w:color="auto"/>
      </w:divBdr>
    </w:div>
    <w:div w:id="447941533">
      <w:bodyDiv w:val="1"/>
      <w:marLeft w:val="0"/>
      <w:marRight w:val="0"/>
      <w:marTop w:val="0"/>
      <w:marBottom w:val="0"/>
      <w:divBdr>
        <w:top w:val="none" w:sz="0" w:space="0" w:color="auto"/>
        <w:left w:val="none" w:sz="0" w:space="0" w:color="auto"/>
        <w:bottom w:val="none" w:sz="0" w:space="0" w:color="auto"/>
        <w:right w:val="none" w:sz="0" w:space="0" w:color="auto"/>
      </w:divBdr>
    </w:div>
    <w:div w:id="550844144">
      <w:bodyDiv w:val="1"/>
      <w:marLeft w:val="0"/>
      <w:marRight w:val="0"/>
      <w:marTop w:val="0"/>
      <w:marBottom w:val="0"/>
      <w:divBdr>
        <w:top w:val="none" w:sz="0" w:space="0" w:color="auto"/>
        <w:left w:val="none" w:sz="0" w:space="0" w:color="auto"/>
        <w:bottom w:val="none" w:sz="0" w:space="0" w:color="auto"/>
        <w:right w:val="none" w:sz="0" w:space="0" w:color="auto"/>
      </w:divBdr>
    </w:div>
    <w:div w:id="589049616">
      <w:bodyDiv w:val="1"/>
      <w:marLeft w:val="0"/>
      <w:marRight w:val="0"/>
      <w:marTop w:val="0"/>
      <w:marBottom w:val="0"/>
      <w:divBdr>
        <w:top w:val="none" w:sz="0" w:space="0" w:color="auto"/>
        <w:left w:val="none" w:sz="0" w:space="0" w:color="auto"/>
        <w:bottom w:val="none" w:sz="0" w:space="0" w:color="auto"/>
        <w:right w:val="none" w:sz="0" w:space="0" w:color="auto"/>
      </w:divBdr>
    </w:div>
    <w:div w:id="627901648">
      <w:bodyDiv w:val="1"/>
      <w:marLeft w:val="0"/>
      <w:marRight w:val="0"/>
      <w:marTop w:val="0"/>
      <w:marBottom w:val="0"/>
      <w:divBdr>
        <w:top w:val="none" w:sz="0" w:space="0" w:color="auto"/>
        <w:left w:val="none" w:sz="0" w:space="0" w:color="auto"/>
        <w:bottom w:val="none" w:sz="0" w:space="0" w:color="auto"/>
        <w:right w:val="none" w:sz="0" w:space="0" w:color="auto"/>
      </w:divBdr>
    </w:div>
    <w:div w:id="639381497">
      <w:bodyDiv w:val="1"/>
      <w:marLeft w:val="0"/>
      <w:marRight w:val="0"/>
      <w:marTop w:val="0"/>
      <w:marBottom w:val="0"/>
      <w:divBdr>
        <w:top w:val="none" w:sz="0" w:space="0" w:color="auto"/>
        <w:left w:val="none" w:sz="0" w:space="0" w:color="auto"/>
        <w:bottom w:val="none" w:sz="0" w:space="0" w:color="auto"/>
        <w:right w:val="none" w:sz="0" w:space="0" w:color="auto"/>
      </w:divBdr>
    </w:div>
    <w:div w:id="791556661">
      <w:bodyDiv w:val="1"/>
      <w:marLeft w:val="0"/>
      <w:marRight w:val="0"/>
      <w:marTop w:val="0"/>
      <w:marBottom w:val="0"/>
      <w:divBdr>
        <w:top w:val="none" w:sz="0" w:space="0" w:color="auto"/>
        <w:left w:val="none" w:sz="0" w:space="0" w:color="auto"/>
        <w:bottom w:val="none" w:sz="0" w:space="0" w:color="auto"/>
        <w:right w:val="none" w:sz="0" w:space="0" w:color="auto"/>
      </w:divBdr>
    </w:div>
    <w:div w:id="829567289">
      <w:bodyDiv w:val="1"/>
      <w:marLeft w:val="0"/>
      <w:marRight w:val="0"/>
      <w:marTop w:val="0"/>
      <w:marBottom w:val="0"/>
      <w:divBdr>
        <w:top w:val="none" w:sz="0" w:space="0" w:color="auto"/>
        <w:left w:val="none" w:sz="0" w:space="0" w:color="auto"/>
        <w:bottom w:val="none" w:sz="0" w:space="0" w:color="auto"/>
        <w:right w:val="none" w:sz="0" w:space="0" w:color="auto"/>
      </w:divBdr>
    </w:div>
    <w:div w:id="1005211473">
      <w:bodyDiv w:val="1"/>
      <w:marLeft w:val="0"/>
      <w:marRight w:val="0"/>
      <w:marTop w:val="0"/>
      <w:marBottom w:val="0"/>
      <w:divBdr>
        <w:top w:val="none" w:sz="0" w:space="0" w:color="auto"/>
        <w:left w:val="none" w:sz="0" w:space="0" w:color="auto"/>
        <w:bottom w:val="none" w:sz="0" w:space="0" w:color="auto"/>
        <w:right w:val="none" w:sz="0" w:space="0" w:color="auto"/>
      </w:divBdr>
    </w:div>
    <w:div w:id="1020083577">
      <w:bodyDiv w:val="1"/>
      <w:marLeft w:val="0"/>
      <w:marRight w:val="0"/>
      <w:marTop w:val="0"/>
      <w:marBottom w:val="0"/>
      <w:divBdr>
        <w:top w:val="none" w:sz="0" w:space="0" w:color="auto"/>
        <w:left w:val="none" w:sz="0" w:space="0" w:color="auto"/>
        <w:bottom w:val="none" w:sz="0" w:space="0" w:color="auto"/>
        <w:right w:val="none" w:sz="0" w:space="0" w:color="auto"/>
      </w:divBdr>
    </w:div>
    <w:div w:id="1082023788">
      <w:bodyDiv w:val="1"/>
      <w:marLeft w:val="0"/>
      <w:marRight w:val="0"/>
      <w:marTop w:val="0"/>
      <w:marBottom w:val="0"/>
      <w:divBdr>
        <w:top w:val="none" w:sz="0" w:space="0" w:color="auto"/>
        <w:left w:val="none" w:sz="0" w:space="0" w:color="auto"/>
        <w:bottom w:val="none" w:sz="0" w:space="0" w:color="auto"/>
        <w:right w:val="none" w:sz="0" w:space="0" w:color="auto"/>
      </w:divBdr>
    </w:div>
    <w:div w:id="1107457978">
      <w:bodyDiv w:val="1"/>
      <w:marLeft w:val="0"/>
      <w:marRight w:val="0"/>
      <w:marTop w:val="0"/>
      <w:marBottom w:val="0"/>
      <w:divBdr>
        <w:top w:val="none" w:sz="0" w:space="0" w:color="auto"/>
        <w:left w:val="none" w:sz="0" w:space="0" w:color="auto"/>
        <w:bottom w:val="none" w:sz="0" w:space="0" w:color="auto"/>
        <w:right w:val="none" w:sz="0" w:space="0" w:color="auto"/>
      </w:divBdr>
    </w:div>
    <w:div w:id="1170221872">
      <w:bodyDiv w:val="1"/>
      <w:marLeft w:val="0"/>
      <w:marRight w:val="0"/>
      <w:marTop w:val="0"/>
      <w:marBottom w:val="0"/>
      <w:divBdr>
        <w:top w:val="none" w:sz="0" w:space="0" w:color="auto"/>
        <w:left w:val="none" w:sz="0" w:space="0" w:color="auto"/>
        <w:bottom w:val="none" w:sz="0" w:space="0" w:color="auto"/>
        <w:right w:val="none" w:sz="0" w:space="0" w:color="auto"/>
      </w:divBdr>
    </w:div>
    <w:div w:id="1187908880">
      <w:bodyDiv w:val="1"/>
      <w:marLeft w:val="0"/>
      <w:marRight w:val="0"/>
      <w:marTop w:val="0"/>
      <w:marBottom w:val="0"/>
      <w:divBdr>
        <w:top w:val="none" w:sz="0" w:space="0" w:color="auto"/>
        <w:left w:val="none" w:sz="0" w:space="0" w:color="auto"/>
        <w:bottom w:val="none" w:sz="0" w:space="0" w:color="auto"/>
        <w:right w:val="none" w:sz="0" w:space="0" w:color="auto"/>
      </w:divBdr>
    </w:div>
    <w:div w:id="1231574016">
      <w:bodyDiv w:val="1"/>
      <w:marLeft w:val="0"/>
      <w:marRight w:val="0"/>
      <w:marTop w:val="0"/>
      <w:marBottom w:val="0"/>
      <w:divBdr>
        <w:top w:val="none" w:sz="0" w:space="0" w:color="auto"/>
        <w:left w:val="none" w:sz="0" w:space="0" w:color="auto"/>
        <w:bottom w:val="none" w:sz="0" w:space="0" w:color="auto"/>
        <w:right w:val="none" w:sz="0" w:space="0" w:color="auto"/>
      </w:divBdr>
    </w:div>
    <w:div w:id="1238324598">
      <w:bodyDiv w:val="1"/>
      <w:marLeft w:val="0"/>
      <w:marRight w:val="0"/>
      <w:marTop w:val="0"/>
      <w:marBottom w:val="0"/>
      <w:divBdr>
        <w:top w:val="none" w:sz="0" w:space="0" w:color="auto"/>
        <w:left w:val="none" w:sz="0" w:space="0" w:color="auto"/>
        <w:bottom w:val="none" w:sz="0" w:space="0" w:color="auto"/>
        <w:right w:val="none" w:sz="0" w:space="0" w:color="auto"/>
      </w:divBdr>
    </w:div>
    <w:div w:id="1282305662">
      <w:bodyDiv w:val="1"/>
      <w:marLeft w:val="0"/>
      <w:marRight w:val="0"/>
      <w:marTop w:val="0"/>
      <w:marBottom w:val="0"/>
      <w:divBdr>
        <w:top w:val="none" w:sz="0" w:space="0" w:color="auto"/>
        <w:left w:val="none" w:sz="0" w:space="0" w:color="auto"/>
        <w:bottom w:val="none" w:sz="0" w:space="0" w:color="auto"/>
        <w:right w:val="none" w:sz="0" w:space="0" w:color="auto"/>
      </w:divBdr>
    </w:div>
    <w:div w:id="1304116711">
      <w:bodyDiv w:val="1"/>
      <w:marLeft w:val="0"/>
      <w:marRight w:val="0"/>
      <w:marTop w:val="0"/>
      <w:marBottom w:val="0"/>
      <w:divBdr>
        <w:top w:val="none" w:sz="0" w:space="0" w:color="auto"/>
        <w:left w:val="none" w:sz="0" w:space="0" w:color="auto"/>
        <w:bottom w:val="none" w:sz="0" w:space="0" w:color="auto"/>
        <w:right w:val="none" w:sz="0" w:space="0" w:color="auto"/>
      </w:divBdr>
    </w:div>
    <w:div w:id="1318260939">
      <w:bodyDiv w:val="1"/>
      <w:marLeft w:val="0"/>
      <w:marRight w:val="0"/>
      <w:marTop w:val="0"/>
      <w:marBottom w:val="0"/>
      <w:divBdr>
        <w:top w:val="none" w:sz="0" w:space="0" w:color="auto"/>
        <w:left w:val="none" w:sz="0" w:space="0" w:color="auto"/>
        <w:bottom w:val="none" w:sz="0" w:space="0" w:color="auto"/>
        <w:right w:val="none" w:sz="0" w:space="0" w:color="auto"/>
      </w:divBdr>
    </w:div>
    <w:div w:id="1329745232">
      <w:bodyDiv w:val="1"/>
      <w:marLeft w:val="0"/>
      <w:marRight w:val="0"/>
      <w:marTop w:val="0"/>
      <w:marBottom w:val="0"/>
      <w:divBdr>
        <w:top w:val="none" w:sz="0" w:space="0" w:color="auto"/>
        <w:left w:val="none" w:sz="0" w:space="0" w:color="auto"/>
        <w:bottom w:val="none" w:sz="0" w:space="0" w:color="auto"/>
        <w:right w:val="none" w:sz="0" w:space="0" w:color="auto"/>
      </w:divBdr>
    </w:div>
    <w:div w:id="1459493137">
      <w:bodyDiv w:val="1"/>
      <w:marLeft w:val="0"/>
      <w:marRight w:val="0"/>
      <w:marTop w:val="0"/>
      <w:marBottom w:val="0"/>
      <w:divBdr>
        <w:top w:val="none" w:sz="0" w:space="0" w:color="auto"/>
        <w:left w:val="none" w:sz="0" w:space="0" w:color="auto"/>
        <w:bottom w:val="none" w:sz="0" w:space="0" w:color="auto"/>
        <w:right w:val="none" w:sz="0" w:space="0" w:color="auto"/>
      </w:divBdr>
    </w:div>
    <w:div w:id="1481851166">
      <w:bodyDiv w:val="1"/>
      <w:marLeft w:val="0"/>
      <w:marRight w:val="0"/>
      <w:marTop w:val="0"/>
      <w:marBottom w:val="0"/>
      <w:divBdr>
        <w:top w:val="none" w:sz="0" w:space="0" w:color="auto"/>
        <w:left w:val="none" w:sz="0" w:space="0" w:color="auto"/>
        <w:bottom w:val="none" w:sz="0" w:space="0" w:color="auto"/>
        <w:right w:val="none" w:sz="0" w:space="0" w:color="auto"/>
      </w:divBdr>
    </w:div>
    <w:div w:id="1511602960">
      <w:bodyDiv w:val="1"/>
      <w:marLeft w:val="0"/>
      <w:marRight w:val="0"/>
      <w:marTop w:val="0"/>
      <w:marBottom w:val="0"/>
      <w:divBdr>
        <w:top w:val="none" w:sz="0" w:space="0" w:color="auto"/>
        <w:left w:val="none" w:sz="0" w:space="0" w:color="auto"/>
        <w:bottom w:val="none" w:sz="0" w:space="0" w:color="auto"/>
        <w:right w:val="none" w:sz="0" w:space="0" w:color="auto"/>
      </w:divBdr>
    </w:div>
    <w:div w:id="1514297544">
      <w:bodyDiv w:val="1"/>
      <w:marLeft w:val="0"/>
      <w:marRight w:val="0"/>
      <w:marTop w:val="0"/>
      <w:marBottom w:val="0"/>
      <w:divBdr>
        <w:top w:val="none" w:sz="0" w:space="0" w:color="auto"/>
        <w:left w:val="none" w:sz="0" w:space="0" w:color="auto"/>
        <w:bottom w:val="none" w:sz="0" w:space="0" w:color="auto"/>
        <w:right w:val="none" w:sz="0" w:space="0" w:color="auto"/>
      </w:divBdr>
    </w:div>
    <w:div w:id="1523931401">
      <w:bodyDiv w:val="1"/>
      <w:marLeft w:val="0"/>
      <w:marRight w:val="0"/>
      <w:marTop w:val="0"/>
      <w:marBottom w:val="0"/>
      <w:divBdr>
        <w:top w:val="none" w:sz="0" w:space="0" w:color="auto"/>
        <w:left w:val="none" w:sz="0" w:space="0" w:color="auto"/>
        <w:bottom w:val="none" w:sz="0" w:space="0" w:color="auto"/>
        <w:right w:val="none" w:sz="0" w:space="0" w:color="auto"/>
      </w:divBdr>
    </w:div>
    <w:div w:id="1542550131">
      <w:bodyDiv w:val="1"/>
      <w:marLeft w:val="0"/>
      <w:marRight w:val="0"/>
      <w:marTop w:val="0"/>
      <w:marBottom w:val="0"/>
      <w:divBdr>
        <w:top w:val="none" w:sz="0" w:space="0" w:color="auto"/>
        <w:left w:val="none" w:sz="0" w:space="0" w:color="auto"/>
        <w:bottom w:val="none" w:sz="0" w:space="0" w:color="auto"/>
        <w:right w:val="none" w:sz="0" w:space="0" w:color="auto"/>
      </w:divBdr>
    </w:div>
    <w:div w:id="1637374560">
      <w:bodyDiv w:val="1"/>
      <w:marLeft w:val="0"/>
      <w:marRight w:val="0"/>
      <w:marTop w:val="0"/>
      <w:marBottom w:val="0"/>
      <w:divBdr>
        <w:top w:val="none" w:sz="0" w:space="0" w:color="auto"/>
        <w:left w:val="none" w:sz="0" w:space="0" w:color="auto"/>
        <w:bottom w:val="none" w:sz="0" w:space="0" w:color="auto"/>
        <w:right w:val="none" w:sz="0" w:space="0" w:color="auto"/>
      </w:divBdr>
    </w:div>
    <w:div w:id="1642222504">
      <w:bodyDiv w:val="1"/>
      <w:marLeft w:val="0"/>
      <w:marRight w:val="0"/>
      <w:marTop w:val="0"/>
      <w:marBottom w:val="0"/>
      <w:divBdr>
        <w:top w:val="none" w:sz="0" w:space="0" w:color="auto"/>
        <w:left w:val="none" w:sz="0" w:space="0" w:color="auto"/>
        <w:bottom w:val="none" w:sz="0" w:space="0" w:color="auto"/>
        <w:right w:val="none" w:sz="0" w:space="0" w:color="auto"/>
      </w:divBdr>
    </w:div>
    <w:div w:id="1667636904">
      <w:bodyDiv w:val="1"/>
      <w:marLeft w:val="0"/>
      <w:marRight w:val="0"/>
      <w:marTop w:val="0"/>
      <w:marBottom w:val="0"/>
      <w:divBdr>
        <w:top w:val="none" w:sz="0" w:space="0" w:color="auto"/>
        <w:left w:val="none" w:sz="0" w:space="0" w:color="auto"/>
        <w:bottom w:val="none" w:sz="0" w:space="0" w:color="auto"/>
        <w:right w:val="none" w:sz="0" w:space="0" w:color="auto"/>
      </w:divBdr>
    </w:div>
    <w:div w:id="1765229354">
      <w:bodyDiv w:val="1"/>
      <w:marLeft w:val="0"/>
      <w:marRight w:val="0"/>
      <w:marTop w:val="0"/>
      <w:marBottom w:val="0"/>
      <w:divBdr>
        <w:top w:val="none" w:sz="0" w:space="0" w:color="auto"/>
        <w:left w:val="none" w:sz="0" w:space="0" w:color="auto"/>
        <w:bottom w:val="none" w:sz="0" w:space="0" w:color="auto"/>
        <w:right w:val="none" w:sz="0" w:space="0" w:color="auto"/>
      </w:divBdr>
    </w:div>
    <w:div w:id="1827161306">
      <w:bodyDiv w:val="1"/>
      <w:marLeft w:val="0"/>
      <w:marRight w:val="0"/>
      <w:marTop w:val="0"/>
      <w:marBottom w:val="0"/>
      <w:divBdr>
        <w:top w:val="none" w:sz="0" w:space="0" w:color="auto"/>
        <w:left w:val="none" w:sz="0" w:space="0" w:color="auto"/>
        <w:bottom w:val="none" w:sz="0" w:space="0" w:color="auto"/>
        <w:right w:val="none" w:sz="0" w:space="0" w:color="auto"/>
      </w:divBdr>
    </w:div>
    <w:div w:id="1878620937">
      <w:bodyDiv w:val="1"/>
      <w:marLeft w:val="0"/>
      <w:marRight w:val="0"/>
      <w:marTop w:val="0"/>
      <w:marBottom w:val="0"/>
      <w:divBdr>
        <w:top w:val="none" w:sz="0" w:space="0" w:color="auto"/>
        <w:left w:val="none" w:sz="0" w:space="0" w:color="auto"/>
        <w:bottom w:val="none" w:sz="0" w:space="0" w:color="auto"/>
        <w:right w:val="none" w:sz="0" w:space="0" w:color="auto"/>
      </w:divBdr>
    </w:div>
    <w:div w:id="1907446364">
      <w:bodyDiv w:val="1"/>
      <w:marLeft w:val="0"/>
      <w:marRight w:val="0"/>
      <w:marTop w:val="0"/>
      <w:marBottom w:val="0"/>
      <w:divBdr>
        <w:top w:val="none" w:sz="0" w:space="0" w:color="auto"/>
        <w:left w:val="none" w:sz="0" w:space="0" w:color="auto"/>
        <w:bottom w:val="none" w:sz="0" w:space="0" w:color="auto"/>
        <w:right w:val="none" w:sz="0" w:space="0" w:color="auto"/>
      </w:divBdr>
    </w:div>
    <w:div w:id="1923560399">
      <w:bodyDiv w:val="1"/>
      <w:marLeft w:val="0"/>
      <w:marRight w:val="0"/>
      <w:marTop w:val="0"/>
      <w:marBottom w:val="0"/>
      <w:divBdr>
        <w:top w:val="none" w:sz="0" w:space="0" w:color="auto"/>
        <w:left w:val="none" w:sz="0" w:space="0" w:color="auto"/>
        <w:bottom w:val="none" w:sz="0" w:space="0" w:color="auto"/>
        <w:right w:val="none" w:sz="0" w:space="0" w:color="auto"/>
      </w:divBdr>
    </w:div>
    <w:div w:id="2029286483">
      <w:bodyDiv w:val="1"/>
      <w:marLeft w:val="0"/>
      <w:marRight w:val="0"/>
      <w:marTop w:val="0"/>
      <w:marBottom w:val="0"/>
      <w:divBdr>
        <w:top w:val="none" w:sz="0" w:space="0" w:color="auto"/>
        <w:left w:val="none" w:sz="0" w:space="0" w:color="auto"/>
        <w:bottom w:val="none" w:sz="0" w:space="0" w:color="auto"/>
        <w:right w:val="none" w:sz="0" w:space="0" w:color="auto"/>
      </w:divBdr>
    </w:div>
    <w:div w:id="2077891731">
      <w:bodyDiv w:val="1"/>
      <w:marLeft w:val="0"/>
      <w:marRight w:val="0"/>
      <w:marTop w:val="0"/>
      <w:marBottom w:val="0"/>
      <w:divBdr>
        <w:top w:val="none" w:sz="0" w:space="0" w:color="auto"/>
        <w:left w:val="none" w:sz="0" w:space="0" w:color="auto"/>
        <w:bottom w:val="none" w:sz="0" w:space="0" w:color="auto"/>
        <w:right w:val="none" w:sz="0" w:space="0" w:color="auto"/>
      </w:divBdr>
    </w:div>
    <w:div w:id="2084447728">
      <w:bodyDiv w:val="1"/>
      <w:marLeft w:val="0"/>
      <w:marRight w:val="0"/>
      <w:marTop w:val="0"/>
      <w:marBottom w:val="0"/>
      <w:divBdr>
        <w:top w:val="none" w:sz="0" w:space="0" w:color="auto"/>
        <w:left w:val="none" w:sz="0" w:space="0" w:color="auto"/>
        <w:bottom w:val="none" w:sz="0" w:space="0" w:color="auto"/>
        <w:right w:val="none" w:sz="0" w:space="0" w:color="auto"/>
      </w:divBdr>
    </w:div>
    <w:div w:id="209932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omex.org.mx/recursos/ipo/files_ipo/2014/8/11/630bc7787b59af912a96a9e1bca1c770.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at.gob.mx/aplicacion/28889/obten-tu-cedula-de-identificacion-fisc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onsultas.curp.gob.mx/CurpSP/html/informacionecurpP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wx/qnwRJo3Bl3ndIi459mVUguw==">AMUW2mXP5BkU+hN5ZJ56qa9szAHfXOA1F3Nn+poboyJ0/edI8Q5h0SImNKyKyAffNDdYB3aBCG7PYwMJoyuwfwqHjO4aOTGvd7xL5BhaEFdpFDOD3P8yt4xlw9XPQl+9e1hU3ShL7nTYl899id23V05Pk6/cvMdV3A==</go:docsCustomData>
</go:gDocsCustomXmlDataStorage>
</file>

<file path=customXml/itemProps1.xml><?xml version="1.0" encoding="utf-8"?>
<ds:datastoreItem xmlns:ds="http://schemas.openxmlformats.org/officeDocument/2006/customXml" ds:itemID="{7D36BC3B-8B6B-402E-94E9-AE4275F87C2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16666</Words>
  <Characters>91668</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2024-04-05T19:34:00Z</cp:lastPrinted>
  <dcterms:created xsi:type="dcterms:W3CDTF">2024-04-22T23:24:00Z</dcterms:created>
  <dcterms:modified xsi:type="dcterms:W3CDTF">2024-04-22T23:24:00Z</dcterms:modified>
</cp:coreProperties>
</file>