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ADDF2" w14:textId="77777777" w:rsidR="00D8077C" w:rsidRDefault="00D8077C">
      <w:pPr>
        <w:tabs>
          <w:tab w:val="left" w:pos="8931"/>
        </w:tabs>
        <w:spacing w:after="0" w:line="360" w:lineRule="auto"/>
      </w:pPr>
    </w:p>
    <w:p w14:paraId="31E3144F" w14:textId="7FB54EE3" w:rsidR="007230A0" w:rsidRPr="007A0287" w:rsidRDefault="00622888">
      <w:pPr>
        <w:tabs>
          <w:tab w:val="left" w:pos="8931"/>
        </w:tabs>
        <w:spacing w:after="0" w:line="360" w:lineRule="auto"/>
      </w:pPr>
      <w:r w:rsidRPr="007A0287">
        <w:t xml:space="preserve">Resolución del Pleno del Instituto de Transparencia, Acceso a la Información Pública y Protección de Datos Personales del Estado de México y Municipios, con domicilio en Metepec, Estado de México, de fecha </w:t>
      </w:r>
      <w:r w:rsidR="004D4790" w:rsidRPr="007A0287">
        <w:t>veinti</w:t>
      </w:r>
      <w:r w:rsidR="00D8077C" w:rsidRPr="007A0287">
        <w:t>siete</w:t>
      </w:r>
      <w:r w:rsidR="00ED3FE3" w:rsidRPr="007A0287">
        <w:t xml:space="preserve"> de noviembre</w:t>
      </w:r>
      <w:r w:rsidRPr="007A0287">
        <w:t xml:space="preserve"> de dos mil veinticuatro. </w:t>
      </w:r>
    </w:p>
    <w:p w14:paraId="6F8ED824" w14:textId="77777777" w:rsidR="007230A0" w:rsidRPr="007A0287" w:rsidRDefault="007230A0">
      <w:pPr>
        <w:spacing w:after="0" w:line="360" w:lineRule="auto"/>
        <w:rPr>
          <w:b/>
        </w:rPr>
      </w:pPr>
    </w:p>
    <w:p w14:paraId="5606C052" w14:textId="05ECF262" w:rsidR="007230A0" w:rsidRPr="007A0287" w:rsidRDefault="00622888">
      <w:pPr>
        <w:spacing w:after="0" w:line="360" w:lineRule="auto"/>
        <w:rPr>
          <w:color w:val="0D0D0D"/>
        </w:rPr>
      </w:pPr>
      <w:bookmarkStart w:id="0" w:name="_heading=h.gjdgxs" w:colFirst="0" w:colLast="0"/>
      <w:bookmarkEnd w:id="0"/>
      <w:r w:rsidRPr="007A0287">
        <w:rPr>
          <w:b/>
        </w:rPr>
        <w:t xml:space="preserve">VISTO </w:t>
      </w:r>
      <w:r w:rsidRPr="007A0287">
        <w:t xml:space="preserve">el expediente conformado con motivo del Recurso de Revisión </w:t>
      </w:r>
      <w:r w:rsidRPr="00392721">
        <w:rPr>
          <w:b/>
        </w:rPr>
        <w:t>0</w:t>
      </w:r>
      <w:r w:rsidR="00ED3FE3" w:rsidRPr="00392721">
        <w:rPr>
          <w:b/>
        </w:rPr>
        <w:t>6</w:t>
      </w:r>
      <w:r w:rsidR="00EC1370" w:rsidRPr="00392721">
        <w:rPr>
          <w:b/>
        </w:rPr>
        <w:t>7</w:t>
      </w:r>
      <w:r w:rsidR="00ED3FE3" w:rsidRPr="00392721">
        <w:rPr>
          <w:b/>
        </w:rPr>
        <w:t>06</w:t>
      </w:r>
      <w:r w:rsidRPr="00392721">
        <w:rPr>
          <w:b/>
        </w:rPr>
        <w:t>/INFOEM/IP/RR/2024,</w:t>
      </w:r>
      <w:r w:rsidRPr="007A0287">
        <w:t xml:space="preserve"> interpuesto por la persona</w:t>
      </w:r>
      <w:r w:rsidRPr="007A0287">
        <w:rPr>
          <w:color w:val="0D0D0D"/>
        </w:rPr>
        <w:t xml:space="preserve"> Recurrente o Particular, en contra de la respuesta del Sujeto Obligado, </w:t>
      </w:r>
      <w:r w:rsidR="00ED3FE3" w:rsidRPr="00392721">
        <w:rPr>
          <w:b/>
        </w:rPr>
        <w:t>Ayuntamiento de Temamatla</w:t>
      </w:r>
      <w:r w:rsidRPr="007A0287">
        <w:rPr>
          <w:color w:val="0D0D0D"/>
        </w:rPr>
        <w:t>, a la solicitud de acceso a la información pública</w:t>
      </w:r>
      <w:r w:rsidRPr="007A0287">
        <w:rPr>
          <w:b/>
          <w:color w:val="FF0000"/>
        </w:rPr>
        <w:t> </w:t>
      </w:r>
      <w:r w:rsidRPr="007A0287">
        <w:t>00</w:t>
      </w:r>
      <w:r w:rsidR="00EC1370" w:rsidRPr="007A0287">
        <w:t>443</w:t>
      </w:r>
      <w:r w:rsidRPr="007A0287">
        <w:t>/</w:t>
      </w:r>
      <w:r w:rsidR="00ED3FE3" w:rsidRPr="007A0287">
        <w:t>TEMAMATL</w:t>
      </w:r>
      <w:r w:rsidRPr="007A0287">
        <w:t>/IP/2024</w:t>
      </w:r>
      <w:r w:rsidRPr="007A0287">
        <w:rPr>
          <w:color w:val="0D0D0D"/>
        </w:rPr>
        <w:t>, se emite la presente Resolución, con base en los Antecedentes y Considerandos que se exponen a continuación:</w:t>
      </w:r>
    </w:p>
    <w:p w14:paraId="5C0CE6EC" w14:textId="77777777" w:rsidR="007230A0" w:rsidRPr="007A0287" w:rsidRDefault="007230A0">
      <w:pPr>
        <w:spacing w:after="0" w:line="360" w:lineRule="auto"/>
        <w:rPr>
          <w:b/>
        </w:rPr>
      </w:pPr>
    </w:p>
    <w:p w14:paraId="7603E378" w14:textId="77777777" w:rsidR="007230A0" w:rsidRPr="007A0287" w:rsidRDefault="00622888">
      <w:pPr>
        <w:spacing w:after="0" w:line="360" w:lineRule="auto"/>
        <w:jc w:val="center"/>
        <w:rPr>
          <w:b/>
        </w:rPr>
      </w:pPr>
      <w:r w:rsidRPr="007A0287">
        <w:rPr>
          <w:b/>
        </w:rPr>
        <w:t>A N T E C E D E N T E S</w:t>
      </w:r>
    </w:p>
    <w:p w14:paraId="0E3A567A" w14:textId="77777777" w:rsidR="007230A0" w:rsidRPr="007A0287" w:rsidRDefault="007230A0">
      <w:pPr>
        <w:spacing w:after="0" w:line="360" w:lineRule="auto"/>
      </w:pPr>
    </w:p>
    <w:p w14:paraId="6F143EBD" w14:textId="77777777" w:rsidR="007230A0" w:rsidRPr="007A0287" w:rsidRDefault="00622888">
      <w:pPr>
        <w:spacing w:after="0" w:line="360" w:lineRule="auto"/>
        <w:rPr>
          <w:b/>
        </w:rPr>
      </w:pPr>
      <w:r w:rsidRPr="007A0287">
        <w:rPr>
          <w:b/>
        </w:rPr>
        <w:t>I. Presentación de la solicitud de información</w:t>
      </w:r>
    </w:p>
    <w:p w14:paraId="76B7D03E" w14:textId="77777777" w:rsidR="007230A0" w:rsidRPr="007A0287" w:rsidRDefault="007230A0">
      <w:pPr>
        <w:spacing w:after="0" w:line="360" w:lineRule="auto"/>
      </w:pPr>
    </w:p>
    <w:p w14:paraId="04BCD6D5" w14:textId="650387D6" w:rsidR="007230A0" w:rsidRPr="007A0287" w:rsidRDefault="00622888">
      <w:pPr>
        <w:spacing w:after="0" w:line="360" w:lineRule="auto"/>
      </w:pPr>
      <w:r w:rsidRPr="007A0287">
        <w:t xml:space="preserve">El </w:t>
      </w:r>
      <w:r w:rsidR="00EC1370" w:rsidRPr="007A0287">
        <w:t>dos de octubre</w:t>
      </w:r>
      <w:r w:rsidRPr="007A0287">
        <w:t xml:space="preserve"> de dos mil veinticuatro, se presentó una solicitud de información por la persona Recurrente, a través del Sistema de Acceso a la Información Mexiquense (SAIMEX),</w:t>
      </w:r>
      <w:r w:rsidRPr="007A0287">
        <w:rPr>
          <w:b/>
        </w:rPr>
        <w:t xml:space="preserve"> </w:t>
      </w:r>
      <w:r w:rsidRPr="007A0287">
        <w:t>ante</w:t>
      </w:r>
      <w:r w:rsidR="00ED3FE3" w:rsidRPr="007A0287">
        <w:t xml:space="preserve"> el Ayuntamiento de Temamatla</w:t>
      </w:r>
      <w:r w:rsidRPr="007A0287">
        <w:t>,</w:t>
      </w:r>
      <w:r w:rsidR="00EC1370" w:rsidRPr="007A0287">
        <w:rPr>
          <w:rFonts w:eastAsia="Calibri" w:cs="Times New Roman"/>
        </w:rPr>
        <w:t xml:space="preserve"> </w:t>
      </w:r>
      <w:r w:rsidR="00EC1370" w:rsidRPr="007A0287">
        <w:rPr>
          <w:rFonts w:eastAsia="Calibri" w:cs="Times New Roman"/>
          <w:color w:val="000000"/>
        </w:rPr>
        <w:t xml:space="preserve">(ya que si bien, se registró, el primero del mismo mes y año, también lo es, que fue día inhábil), </w:t>
      </w:r>
      <w:r w:rsidRPr="007A0287">
        <w:t>en los siguientes términos</w:t>
      </w:r>
      <w:r w:rsidR="00EC1370" w:rsidRPr="007A0287">
        <w:t>:</w:t>
      </w:r>
    </w:p>
    <w:p w14:paraId="5B8A6A0A" w14:textId="77777777" w:rsidR="007230A0" w:rsidRPr="007A0287" w:rsidRDefault="007230A0">
      <w:pPr>
        <w:spacing w:after="0" w:line="360" w:lineRule="auto"/>
      </w:pPr>
    </w:p>
    <w:p w14:paraId="6812F878" w14:textId="7B1475A2" w:rsidR="007230A0" w:rsidRPr="007A0287" w:rsidRDefault="00622888">
      <w:pPr>
        <w:tabs>
          <w:tab w:val="left" w:pos="4667"/>
        </w:tabs>
        <w:spacing w:after="0" w:line="360" w:lineRule="auto"/>
        <w:ind w:left="567" w:right="567"/>
        <w:rPr>
          <w:b/>
          <w:i/>
          <w:sz w:val="20"/>
          <w:szCs w:val="20"/>
        </w:rPr>
      </w:pPr>
      <w:r w:rsidRPr="007A0287">
        <w:rPr>
          <w:b/>
          <w:i/>
          <w:sz w:val="20"/>
          <w:szCs w:val="20"/>
        </w:rPr>
        <w:t>DESCRIPCIÓN CLARA Y PRECISA DE LA INFORMACIÓN SOLICITADA</w:t>
      </w:r>
    </w:p>
    <w:p w14:paraId="3AD2F095" w14:textId="7DE63333" w:rsidR="007230A0" w:rsidRPr="007A0287" w:rsidRDefault="00EC1370">
      <w:pPr>
        <w:spacing w:after="0" w:line="360" w:lineRule="auto"/>
        <w:ind w:left="567" w:right="567"/>
        <w:rPr>
          <w:i/>
          <w:color w:val="000000"/>
          <w:sz w:val="20"/>
          <w:szCs w:val="20"/>
        </w:rPr>
      </w:pPr>
      <w:r w:rsidRPr="007A0287">
        <w:rPr>
          <w:i/>
          <w:sz w:val="20"/>
          <w:szCs w:val="20"/>
        </w:rPr>
        <w:t>Solicito un informe desglosado por mes, de las actividades realizadas, gestiones y reuniones de trabajo a las que asistio por el presidente municipal durante la administración 2022 2024</w:t>
      </w:r>
      <w:r w:rsidR="00622888" w:rsidRPr="007A0287">
        <w:rPr>
          <w:i/>
          <w:sz w:val="20"/>
          <w:szCs w:val="20"/>
        </w:rPr>
        <w:t>” (Sic)</w:t>
      </w:r>
    </w:p>
    <w:p w14:paraId="49644790" w14:textId="77777777" w:rsidR="007230A0" w:rsidRPr="007A0287" w:rsidRDefault="007230A0">
      <w:pPr>
        <w:tabs>
          <w:tab w:val="left" w:pos="4667"/>
        </w:tabs>
        <w:spacing w:after="0" w:line="360" w:lineRule="auto"/>
        <w:ind w:left="567" w:right="567"/>
        <w:rPr>
          <w:i/>
          <w:sz w:val="20"/>
          <w:szCs w:val="20"/>
        </w:rPr>
      </w:pPr>
      <w:bookmarkStart w:id="1" w:name="_heading=h.30j0zll" w:colFirst="0" w:colLast="0"/>
      <w:bookmarkEnd w:id="1"/>
    </w:p>
    <w:p w14:paraId="271A4B70" w14:textId="5AF1C654" w:rsidR="007230A0" w:rsidRPr="007A0287" w:rsidRDefault="00622888">
      <w:pPr>
        <w:tabs>
          <w:tab w:val="left" w:pos="4667"/>
        </w:tabs>
        <w:spacing w:after="0" w:line="360" w:lineRule="auto"/>
        <w:ind w:left="567" w:right="567"/>
        <w:rPr>
          <w:b/>
          <w:i/>
          <w:color w:val="000000"/>
          <w:sz w:val="20"/>
          <w:szCs w:val="20"/>
        </w:rPr>
      </w:pPr>
      <w:r w:rsidRPr="007A0287">
        <w:rPr>
          <w:b/>
          <w:i/>
          <w:color w:val="000000"/>
          <w:sz w:val="20"/>
          <w:szCs w:val="20"/>
        </w:rPr>
        <w:t>MODALIDAD DE ENTREGA</w:t>
      </w:r>
    </w:p>
    <w:p w14:paraId="36CCBF49" w14:textId="77777777" w:rsidR="007230A0" w:rsidRPr="007A0287" w:rsidRDefault="00622888">
      <w:pPr>
        <w:spacing w:after="0" w:line="360" w:lineRule="auto"/>
        <w:ind w:left="567" w:right="567"/>
        <w:rPr>
          <w:i/>
          <w:color w:val="000000"/>
          <w:sz w:val="20"/>
          <w:szCs w:val="20"/>
        </w:rPr>
      </w:pPr>
      <w:r w:rsidRPr="007A0287">
        <w:rPr>
          <w:i/>
          <w:color w:val="000000"/>
          <w:sz w:val="20"/>
          <w:szCs w:val="20"/>
        </w:rPr>
        <w:t xml:space="preserve">A través del SAIMEX” </w:t>
      </w:r>
    </w:p>
    <w:p w14:paraId="67D324D1" w14:textId="77777777" w:rsidR="007230A0" w:rsidRPr="007A0287" w:rsidRDefault="007230A0">
      <w:pPr>
        <w:tabs>
          <w:tab w:val="left" w:pos="4667"/>
        </w:tabs>
        <w:spacing w:after="0" w:line="360" w:lineRule="auto"/>
        <w:ind w:right="567"/>
        <w:rPr>
          <w:b/>
          <w:color w:val="000000"/>
        </w:rPr>
      </w:pPr>
    </w:p>
    <w:p w14:paraId="2A3842D7" w14:textId="77777777" w:rsidR="007230A0" w:rsidRPr="007A0287" w:rsidRDefault="00622888">
      <w:pPr>
        <w:tabs>
          <w:tab w:val="left" w:pos="4667"/>
        </w:tabs>
        <w:spacing w:after="0" w:line="360" w:lineRule="auto"/>
        <w:ind w:right="567"/>
        <w:rPr>
          <w:b/>
          <w:color w:val="000000"/>
        </w:rPr>
      </w:pPr>
      <w:r w:rsidRPr="007A0287">
        <w:rPr>
          <w:b/>
          <w:color w:val="000000"/>
        </w:rPr>
        <w:lastRenderedPageBreak/>
        <w:t>II. Respuesta del Sujeto Obligado</w:t>
      </w:r>
    </w:p>
    <w:p w14:paraId="4B68EE92" w14:textId="77777777" w:rsidR="007230A0" w:rsidRPr="007A0287" w:rsidRDefault="007230A0">
      <w:pPr>
        <w:spacing w:after="0" w:line="360" w:lineRule="auto"/>
        <w:rPr>
          <w:color w:val="000000"/>
        </w:rPr>
      </w:pPr>
    </w:p>
    <w:p w14:paraId="5326E653" w14:textId="1A65D45B" w:rsidR="00EC1370" w:rsidRPr="007A0287" w:rsidRDefault="00622888" w:rsidP="008E1C7F">
      <w:pPr>
        <w:spacing w:after="0" w:line="360" w:lineRule="auto"/>
        <w:rPr>
          <w:color w:val="000000"/>
        </w:rPr>
      </w:pPr>
      <w:bookmarkStart w:id="2" w:name="_heading=h.1fob9te" w:colFirst="0" w:colLast="0"/>
      <w:bookmarkEnd w:id="2"/>
      <w:r w:rsidRPr="007A0287">
        <w:rPr>
          <w:color w:val="000000"/>
        </w:rPr>
        <w:t xml:space="preserve">El </w:t>
      </w:r>
      <w:r w:rsidR="008E1C7F" w:rsidRPr="007A0287">
        <w:rPr>
          <w:color w:val="000000"/>
        </w:rPr>
        <w:t>veinti</w:t>
      </w:r>
      <w:r w:rsidR="00EC1370" w:rsidRPr="007A0287">
        <w:rPr>
          <w:color w:val="000000"/>
        </w:rPr>
        <w:t>dós</w:t>
      </w:r>
      <w:r w:rsidR="008E1C7F" w:rsidRPr="007A0287">
        <w:rPr>
          <w:color w:val="000000"/>
        </w:rPr>
        <w:t xml:space="preserve"> de octubre</w:t>
      </w:r>
      <w:r w:rsidRPr="007A0287">
        <w:rPr>
          <w:color w:val="000000"/>
        </w:rPr>
        <w:t xml:space="preserve"> de dos mil veinticuatro, el Sujeto Obligado notificó al Particular, mediante el Sistema de Acceso a la Información Mexiquense (SAIMEX), la respuesta a la solicitud de acceso a la información, a través de</w:t>
      </w:r>
      <w:r w:rsidR="008E1C7F" w:rsidRPr="007A0287">
        <w:rPr>
          <w:color w:val="000000"/>
        </w:rPr>
        <w:t xml:space="preserve">l oficio número </w:t>
      </w:r>
      <w:r w:rsidR="00EC1370" w:rsidRPr="007A0287">
        <w:rPr>
          <w:color w:val="000000"/>
        </w:rPr>
        <w:t>PM/O.I./51/2024, del veintidós de octubre de dos mil veinticuatro, suscrito por el Presidente Municipal Constitucional y dirigido a la Titular de la Unidad de Transparencia, por medio del cual mencionó lo siguiente:</w:t>
      </w:r>
    </w:p>
    <w:p w14:paraId="61A0AB1D" w14:textId="77777777" w:rsidR="008E1C7F" w:rsidRPr="007A0287" w:rsidRDefault="008E1C7F" w:rsidP="00EC1370">
      <w:pPr>
        <w:spacing w:after="0" w:line="360" w:lineRule="auto"/>
        <w:ind w:right="567"/>
        <w:rPr>
          <w:color w:val="000000"/>
        </w:rPr>
      </w:pPr>
    </w:p>
    <w:p w14:paraId="63C7A9A7" w14:textId="1A496CF9" w:rsidR="007B201A" w:rsidRPr="007A0287" w:rsidRDefault="008E1C7F" w:rsidP="00EC1370">
      <w:pPr>
        <w:spacing w:after="0" w:line="360" w:lineRule="auto"/>
        <w:ind w:left="567" w:right="567"/>
        <w:rPr>
          <w:i/>
          <w:iCs/>
          <w:color w:val="000000"/>
          <w:sz w:val="20"/>
          <w:szCs w:val="20"/>
        </w:rPr>
      </w:pPr>
      <w:r w:rsidRPr="007A0287">
        <w:rPr>
          <w:i/>
          <w:iCs/>
          <w:color w:val="000000"/>
          <w:sz w:val="20"/>
          <w:szCs w:val="20"/>
        </w:rPr>
        <w:t>“…</w:t>
      </w:r>
      <w:r w:rsidR="00E360B5" w:rsidRPr="007A0287">
        <w:rPr>
          <w:i/>
          <w:iCs/>
          <w:color w:val="000000"/>
          <w:sz w:val="20"/>
          <w:szCs w:val="20"/>
        </w:rPr>
        <w:t>Al respecto le informo lo siguiente:</w:t>
      </w:r>
    </w:p>
    <w:p w14:paraId="62568E57" w14:textId="77777777" w:rsidR="00E360B5" w:rsidRPr="007A0287" w:rsidRDefault="00E360B5" w:rsidP="00EC1370">
      <w:pPr>
        <w:spacing w:after="0" w:line="360" w:lineRule="auto"/>
        <w:ind w:left="567" w:right="567"/>
        <w:rPr>
          <w:i/>
          <w:iCs/>
          <w:color w:val="000000"/>
          <w:sz w:val="20"/>
          <w:szCs w:val="20"/>
        </w:rPr>
      </w:pPr>
    </w:p>
    <w:p w14:paraId="54498FD7" w14:textId="5BC3230C" w:rsidR="00E360B5" w:rsidRPr="007A0287" w:rsidRDefault="00E360B5" w:rsidP="00EC1370">
      <w:pPr>
        <w:spacing w:after="0" w:line="360" w:lineRule="auto"/>
        <w:ind w:left="567" w:right="567"/>
        <w:rPr>
          <w:i/>
          <w:iCs/>
          <w:color w:val="000000"/>
          <w:sz w:val="20"/>
          <w:szCs w:val="20"/>
        </w:rPr>
      </w:pPr>
      <w:r w:rsidRPr="007A0287">
        <w:rPr>
          <w:i/>
          <w:iCs/>
          <w:noProof/>
          <w:color w:val="000000"/>
          <w:sz w:val="20"/>
          <w:szCs w:val="20"/>
        </w:rPr>
        <w:drawing>
          <wp:inline distT="0" distB="0" distL="0" distR="0" wp14:anchorId="68245C4C" wp14:editId="55282329">
            <wp:extent cx="4823878" cy="2423370"/>
            <wp:effectExtent l="0" t="0" r="0" b="0"/>
            <wp:docPr id="1172181764" name="Imagen 1" descr="Interfaz de usuario gráfica,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81764" name="Imagen 1" descr="Interfaz de usuario gráfica, Tabla, Excel&#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823878" cy="2423370"/>
                    </a:xfrm>
                    <a:prstGeom prst="rect">
                      <a:avLst/>
                    </a:prstGeom>
                  </pic:spPr>
                </pic:pic>
              </a:graphicData>
            </a:graphic>
          </wp:inline>
        </w:drawing>
      </w:r>
    </w:p>
    <w:p w14:paraId="5D783441" w14:textId="78F053C3" w:rsidR="00E360B5" w:rsidRPr="007A0287" w:rsidRDefault="00E360B5" w:rsidP="00EC1370">
      <w:pPr>
        <w:spacing w:after="0" w:line="360" w:lineRule="auto"/>
        <w:ind w:left="567" w:right="567"/>
        <w:rPr>
          <w:i/>
          <w:iCs/>
          <w:color w:val="000000"/>
          <w:sz w:val="20"/>
          <w:szCs w:val="20"/>
        </w:rPr>
      </w:pPr>
      <w:r w:rsidRPr="007A0287">
        <w:rPr>
          <w:i/>
          <w:iCs/>
          <w:color w:val="000000"/>
          <w:sz w:val="20"/>
          <w:szCs w:val="20"/>
        </w:rPr>
        <w:t>…”</w:t>
      </w:r>
    </w:p>
    <w:p w14:paraId="77BD967A" w14:textId="77777777" w:rsidR="007230A0" w:rsidRPr="007A0287" w:rsidRDefault="007230A0">
      <w:pPr>
        <w:spacing w:after="0" w:line="360" w:lineRule="auto"/>
        <w:rPr>
          <w:color w:val="000000"/>
        </w:rPr>
      </w:pPr>
    </w:p>
    <w:p w14:paraId="3F42CC25" w14:textId="77777777" w:rsidR="007230A0" w:rsidRPr="007A0287" w:rsidRDefault="00622888">
      <w:pPr>
        <w:spacing w:after="0" w:line="360" w:lineRule="auto"/>
        <w:rPr>
          <w:b/>
          <w:color w:val="000000"/>
        </w:rPr>
      </w:pPr>
      <w:r w:rsidRPr="007A0287">
        <w:rPr>
          <w:b/>
          <w:color w:val="000000"/>
        </w:rPr>
        <w:t>III. Interposición del Recurso de Revisión</w:t>
      </w:r>
    </w:p>
    <w:p w14:paraId="009E6ACE" w14:textId="77777777" w:rsidR="007230A0" w:rsidRPr="007A0287" w:rsidRDefault="007230A0">
      <w:pPr>
        <w:spacing w:after="0" w:line="360" w:lineRule="auto"/>
        <w:rPr>
          <w:color w:val="000000"/>
        </w:rPr>
      </w:pPr>
    </w:p>
    <w:p w14:paraId="58741FA0" w14:textId="47064AD9" w:rsidR="007230A0" w:rsidRPr="007A0287" w:rsidRDefault="00622888">
      <w:pPr>
        <w:spacing w:after="0" w:line="360" w:lineRule="auto"/>
        <w:rPr>
          <w:color w:val="000000"/>
        </w:rPr>
      </w:pPr>
      <w:r w:rsidRPr="007A0287">
        <w:rPr>
          <w:color w:val="000000"/>
        </w:rPr>
        <w:t xml:space="preserve">El </w:t>
      </w:r>
      <w:r w:rsidR="007B201A" w:rsidRPr="007A0287">
        <w:rPr>
          <w:color w:val="000000"/>
        </w:rPr>
        <w:t>veinti</w:t>
      </w:r>
      <w:r w:rsidR="00E360B5" w:rsidRPr="007A0287">
        <w:rPr>
          <w:color w:val="000000"/>
        </w:rPr>
        <w:t>ocho</w:t>
      </w:r>
      <w:r w:rsidR="007B201A" w:rsidRPr="007A0287">
        <w:rPr>
          <w:color w:val="000000"/>
        </w:rPr>
        <w:t xml:space="preserve"> de octubre</w:t>
      </w:r>
      <w:r w:rsidRPr="007A0287">
        <w:rPr>
          <w:color w:val="000000"/>
        </w:rPr>
        <w:t xml:space="preserve"> de dos mil veinticuatro, se recibió en este Instituto, a través del Sistema de Acceso a la Información Mexiquense (SAIMEX), el Recurso de Revisión interpuesto por la persona Recurrente, en contra de la respuesta del Sujeto Obligado,</w:t>
      </w:r>
      <w:r w:rsidRPr="007A0287">
        <w:rPr>
          <w:b/>
        </w:rPr>
        <w:t xml:space="preserve"> </w:t>
      </w:r>
      <w:r w:rsidRPr="007A0287">
        <w:rPr>
          <w:color w:val="000000"/>
        </w:rPr>
        <w:t>en los siguientes términos:</w:t>
      </w:r>
    </w:p>
    <w:p w14:paraId="3F3010A4" w14:textId="77777777" w:rsidR="007230A0" w:rsidRPr="007A0287" w:rsidRDefault="007230A0">
      <w:pPr>
        <w:spacing w:after="0" w:line="360" w:lineRule="auto"/>
        <w:rPr>
          <w:color w:val="000000"/>
        </w:rPr>
      </w:pPr>
    </w:p>
    <w:p w14:paraId="31FB3C12" w14:textId="577252E1" w:rsidR="007230A0" w:rsidRPr="007A0287" w:rsidRDefault="00622888">
      <w:pPr>
        <w:spacing w:after="0" w:line="360" w:lineRule="auto"/>
        <w:ind w:left="567" w:right="567"/>
        <w:rPr>
          <w:b/>
          <w:i/>
          <w:color w:val="000000"/>
          <w:sz w:val="20"/>
          <w:szCs w:val="20"/>
        </w:rPr>
      </w:pPr>
      <w:r w:rsidRPr="007A0287">
        <w:rPr>
          <w:b/>
          <w:i/>
          <w:color w:val="000000"/>
          <w:sz w:val="20"/>
          <w:szCs w:val="20"/>
        </w:rPr>
        <w:t>ACTO IMPUGNADO</w:t>
      </w:r>
    </w:p>
    <w:p w14:paraId="0E3C45E0" w14:textId="01EE7F27" w:rsidR="007230A0" w:rsidRPr="007A0287" w:rsidRDefault="00E360B5">
      <w:pPr>
        <w:spacing w:after="0" w:line="360" w:lineRule="auto"/>
        <w:ind w:left="567" w:right="567"/>
        <w:rPr>
          <w:i/>
          <w:color w:val="000000"/>
          <w:sz w:val="20"/>
          <w:szCs w:val="20"/>
        </w:rPr>
      </w:pPr>
      <w:r w:rsidRPr="007A0287">
        <w:rPr>
          <w:i/>
          <w:color w:val="000000"/>
          <w:sz w:val="20"/>
          <w:szCs w:val="20"/>
        </w:rPr>
        <w:t>RESPUESTA OTORGADA</w:t>
      </w:r>
      <w:r w:rsidR="00622888" w:rsidRPr="007A0287">
        <w:rPr>
          <w:i/>
          <w:color w:val="000000"/>
          <w:sz w:val="20"/>
          <w:szCs w:val="20"/>
        </w:rPr>
        <w:t>”</w:t>
      </w:r>
      <w:r w:rsidR="00622888" w:rsidRPr="007A0287">
        <w:rPr>
          <w:i/>
          <w:sz w:val="20"/>
          <w:szCs w:val="20"/>
        </w:rPr>
        <w:t xml:space="preserve"> </w:t>
      </w:r>
    </w:p>
    <w:p w14:paraId="395152DB" w14:textId="77777777" w:rsidR="007230A0" w:rsidRPr="007A0287" w:rsidRDefault="007230A0">
      <w:pPr>
        <w:spacing w:after="0" w:line="360" w:lineRule="auto"/>
        <w:ind w:left="567" w:right="567"/>
        <w:rPr>
          <w:i/>
          <w:color w:val="000000"/>
          <w:sz w:val="20"/>
          <w:szCs w:val="20"/>
        </w:rPr>
      </w:pPr>
    </w:p>
    <w:p w14:paraId="7FE46309" w14:textId="57E258BB" w:rsidR="007230A0" w:rsidRPr="007A0287" w:rsidRDefault="00622888">
      <w:pPr>
        <w:spacing w:after="0" w:line="360" w:lineRule="auto"/>
        <w:ind w:left="567" w:right="567"/>
        <w:rPr>
          <w:b/>
          <w:i/>
          <w:color w:val="000000"/>
          <w:sz w:val="20"/>
          <w:szCs w:val="20"/>
        </w:rPr>
      </w:pPr>
      <w:r w:rsidRPr="007A0287">
        <w:rPr>
          <w:b/>
          <w:i/>
          <w:color w:val="000000"/>
          <w:sz w:val="20"/>
          <w:szCs w:val="20"/>
        </w:rPr>
        <w:t>RAZONES O MOTIVOS DE LA INCONFORMIDAD</w:t>
      </w:r>
    </w:p>
    <w:p w14:paraId="77B85B69" w14:textId="6DE665B7" w:rsidR="007230A0" w:rsidRPr="007A0287" w:rsidRDefault="00E360B5">
      <w:pPr>
        <w:spacing w:after="0" w:line="360" w:lineRule="auto"/>
        <w:ind w:left="567" w:right="567"/>
        <w:rPr>
          <w:color w:val="000000"/>
          <w:sz w:val="20"/>
          <w:szCs w:val="20"/>
        </w:rPr>
      </w:pPr>
      <w:r w:rsidRPr="007A0287">
        <w:rPr>
          <w:i/>
          <w:color w:val="000000"/>
          <w:sz w:val="20"/>
          <w:szCs w:val="20"/>
        </w:rPr>
        <w:t>LA INFORMACION PROPORCIONADA POR EL SUJETO OBLIGADO FUE PROPORCIONADA DE MANERA INCOMPLETA DEBIDO A QUE FUE ENTREGADA DE MANERA GENERAL NO FUE ESPECIFICADA DE MANERA MENSUAL CONFORME A MI SOLICITUD” (Sic.)</w:t>
      </w:r>
    </w:p>
    <w:p w14:paraId="7697B0D2" w14:textId="77777777" w:rsidR="007230A0" w:rsidRPr="007A0287" w:rsidRDefault="007230A0">
      <w:pPr>
        <w:spacing w:after="0" w:line="360" w:lineRule="auto"/>
        <w:rPr>
          <w:color w:val="000000"/>
        </w:rPr>
      </w:pPr>
    </w:p>
    <w:p w14:paraId="346754DC" w14:textId="77777777" w:rsidR="007230A0" w:rsidRPr="007A0287" w:rsidRDefault="00622888">
      <w:pPr>
        <w:spacing w:after="0" w:line="360" w:lineRule="auto"/>
        <w:rPr>
          <w:b/>
          <w:color w:val="000000"/>
        </w:rPr>
      </w:pPr>
      <w:r w:rsidRPr="007A0287">
        <w:rPr>
          <w:b/>
          <w:color w:val="000000"/>
        </w:rPr>
        <w:t>IV. Trámite del Recurso de Revisión ante este Instituto</w:t>
      </w:r>
    </w:p>
    <w:p w14:paraId="7B2F5D66" w14:textId="77777777" w:rsidR="007230A0" w:rsidRPr="007A0287" w:rsidRDefault="007230A0">
      <w:pPr>
        <w:spacing w:after="0" w:line="360" w:lineRule="auto"/>
        <w:rPr>
          <w:color w:val="000000"/>
        </w:rPr>
      </w:pPr>
    </w:p>
    <w:p w14:paraId="631F1E52" w14:textId="3F423905" w:rsidR="007230A0" w:rsidRPr="007A0287" w:rsidRDefault="00622888">
      <w:pPr>
        <w:spacing w:after="0" w:line="360" w:lineRule="auto"/>
        <w:rPr>
          <w:b/>
          <w:color w:val="000000"/>
        </w:rPr>
      </w:pPr>
      <w:r w:rsidRPr="007A0287">
        <w:rPr>
          <w:b/>
          <w:color w:val="000000"/>
        </w:rPr>
        <w:t xml:space="preserve">a) Turno del Medio de Impugnación. </w:t>
      </w:r>
      <w:r w:rsidRPr="007A0287">
        <w:rPr>
          <w:color w:val="000000"/>
        </w:rPr>
        <w:t xml:space="preserve">El </w:t>
      </w:r>
      <w:r w:rsidR="0021162B" w:rsidRPr="007A0287">
        <w:rPr>
          <w:color w:val="000000"/>
        </w:rPr>
        <w:t>veinti</w:t>
      </w:r>
      <w:r w:rsidR="00E360B5" w:rsidRPr="007A0287">
        <w:rPr>
          <w:color w:val="000000"/>
        </w:rPr>
        <w:t>ocho</w:t>
      </w:r>
      <w:r w:rsidR="0021162B" w:rsidRPr="007A0287">
        <w:rPr>
          <w:color w:val="000000"/>
        </w:rPr>
        <w:t xml:space="preserve"> de octubre</w:t>
      </w:r>
      <w:r w:rsidRPr="007A0287">
        <w:rPr>
          <w:color w:val="000000"/>
        </w:rPr>
        <w:t xml:space="preserve"> de dos mil veinticuatro, el Sistema de Acceso a la Información Mexiquense (SAIMEX), asignó el número de expediente</w:t>
      </w:r>
      <w:r w:rsidRPr="007A0287">
        <w:t xml:space="preserve"> </w:t>
      </w:r>
      <w:r w:rsidRPr="007A0287">
        <w:rPr>
          <w:b/>
        </w:rPr>
        <w:t>0</w:t>
      </w:r>
      <w:r w:rsidR="0021162B" w:rsidRPr="007A0287">
        <w:rPr>
          <w:b/>
        </w:rPr>
        <w:t>6</w:t>
      </w:r>
      <w:r w:rsidR="00AD2766" w:rsidRPr="007A0287">
        <w:rPr>
          <w:b/>
        </w:rPr>
        <w:t>7</w:t>
      </w:r>
      <w:r w:rsidR="0021162B" w:rsidRPr="007A0287">
        <w:rPr>
          <w:b/>
        </w:rPr>
        <w:t>06</w:t>
      </w:r>
      <w:r w:rsidRPr="007A0287">
        <w:rPr>
          <w:b/>
        </w:rPr>
        <w:t>/INFOEM/IP/RR/2024</w:t>
      </w:r>
      <w:r w:rsidRPr="007A0287">
        <w:rPr>
          <w:color w:val="000000"/>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3BDB0AD4" w14:textId="77777777" w:rsidR="007230A0" w:rsidRPr="007A0287" w:rsidRDefault="007230A0">
      <w:pPr>
        <w:spacing w:after="0" w:line="360" w:lineRule="auto"/>
        <w:rPr>
          <w:color w:val="000000"/>
        </w:rPr>
      </w:pPr>
    </w:p>
    <w:p w14:paraId="5D3B3517" w14:textId="1DEB044C" w:rsidR="007230A0" w:rsidRPr="007A0287" w:rsidRDefault="00622888">
      <w:pPr>
        <w:spacing w:after="0" w:line="360" w:lineRule="auto"/>
        <w:rPr>
          <w:b/>
          <w:color w:val="000000"/>
        </w:rPr>
      </w:pPr>
      <w:r w:rsidRPr="007A0287">
        <w:rPr>
          <w:b/>
          <w:color w:val="000000"/>
        </w:rPr>
        <w:t xml:space="preserve">b) Admisión del Recurso de Revisión. </w:t>
      </w:r>
      <w:r w:rsidRPr="007A0287">
        <w:rPr>
          <w:color w:val="000000"/>
        </w:rPr>
        <w:t xml:space="preserve">El </w:t>
      </w:r>
      <w:r w:rsidR="00AD2766" w:rsidRPr="007A0287">
        <w:rPr>
          <w:color w:val="000000"/>
        </w:rPr>
        <w:t>treinta y uno</w:t>
      </w:r>
      <w:r w:rsidR="0021162B" w:rsidRPr="007A0287">
        <w:rPr>
          <w:color w:val="000000"/>
        </w:rPr>
        <w:t xml:space="preserve"> de octubre</w:t>
      </w:r>
      <w:r w:rsidRPr="007A0287">
        <w:rPr>
          <w:color w:val="000000"/>
        </w:rPr>
        <w:t xml:space="preserve"> de dos mil veinticuatro,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w:t>
      </w:r>
      <w:r w:rsidR="0021162B" w:rsidRPr="007A0287">
        <w:rPr>
          <w:color w:val="000000"/>
        </w:rPr>
        <w:t xml:space="preserve"> mismo día</w:t>
      </w:r>
      <w:r w:rsidRPr="007A0287">
        <w:rPr>
          <w:color w:val="000000"/>
        </w:rPr>
        <w:t xml:space="preserve">, a través del Sistema de Acceso a la Información Mexiquense (SAIMEX), en el que se les otorgó un plazo de siete días hábiles posteriores a la misma, para que manifestaran lo que a su derecho conviniera y formularan alegatos. </w:t>
      </w:r>
    </w:p>
    <w:p w14:paraId="43709789" w14:textId="77777777" w:rsidR="007230A0" w:rsidRPr="007A0287" w:rsidRDefault="007230A0">
      <w:pPr>
        <w:spacing w:after="0" w:line="360" w:lineRule="auto"/>
      </w:pPr>
    </w:p>
    <w:p w14:paraId="517236FD" w14:textId="77777777" w:rsidR="007230A0" w:rsidRPr="007A0287" w:rsidRDefault="00622888">
      <w:pPr>
        <w:spacing w:after="0" w:line="360" w:lineRule="auto"/>
      </w:pPr>
      <w:r w:rsidRPr="007A0287">
        <w:rPr>
          <w:b/>
        </w:rPr>
        <w:lastRenderedPageBreak/>
        <w:t xml:space="preserve">c) Informe Justificado o manifestaciones. </w:t>
      </w:r>
      <w:r w:rsidRPr="007A0287">
        <w:t>Las partes fueron omisas en emitir manifestaciones o alegatos.</w:t>
      </w:r>
    </w:p>
    <w:p w14:paraId="25B4680C" w14:textId="77777777" w:rsidR="007230A0" w:rsidRPr="007A0287" w:rsidRDefault="007230A0">
      <w:pPr>
        <w:spacing w:after="0" w:line="360" w:lineRule="auto"/>
      </w:pPr>
    </w:p>
    <w:p w14:paraId="15084990" w14:textId="1CB2AE03" w:rsidR="007230A0" w:rsidRPr="007A0287" w:rsidRDefault="00622888">
      <w:pPr>
        <w:widowControl w:val="0"/>
        <w:spacing w:after="0" w:line="360" w:lineRule="auto"/>
        <w:rPr>
          <w:color w:val="000000"/>
        </w:rPr>
      </w:pPr>
      <w:r w:rsidRPr="007A0287">
        <w:rPr>
          <w:b/>
          <w:color w:val="000000"/>
        </w:rPr>
        <w:t>d) Cierre de instrucción.</w:t>
      </w:r>
      <w:r w:rsidRPr="007A0287">
        <w:rPr>
          <w:color w:val="000000"/>
        </w:rPr>
        <w:t xml:space="preserve"> El </w:t>
      </w:r>
      <w:r w:rsidR="00AD2766" w:rsidRPr="007A0287">
        <w:rPr>
          <w:color w:val="000000"/>
        </w:rPr>
        <w:t>trece</w:t>
      </w:r>
      <w:r w:rsidR="0021162B" w:rsidRPr="007A0287">
        <w:rPr>
          <w:color w:val="000000"/>
        </w:rPr>
        <w:t xml:space="preserve"> de noviembre</w:t>
      </w:r>
      <w:r w:rsidRPr="007A0287">
        <w:rPr>
          <w:color w:val="000000"/>
        </w:rPr>
        <w:t xml:space="preserv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79FACB70" w14:textId="77777777" w:rsidR="007230A0" w:rsidRPr="007A0287" w:rsidRDefault="007230A0">
      <w:pPr>
        <w:spacing w:after="0" w:line="360" w:lineRule="auto"/>
        <w:rPr>
          <w:color w:val="000000"/>
        </w:rPr>
      </w:pPr>
    </w:p>
    <w:p w14:paraId="255B7562" w14:textId="77777777" w:rsidR="007230A0" w:rsidRPr="007A0287" w:rsidRDefault="00622888">
      <w:pPr>
        <w:spacing w:after="0" w:line="360" w:lineRule="auto"/>
        <w:rPr>
          <w:color w:val="000000"/>
        </w:rPr>
      </w:pPr>
      <w:r w:rsidRPr="007A0287">
        <w:rPr>
          <w:color w:val="000000"/>
        </w:rPr>
        <w:t>En razón de que fue debidamente sustanciado e integrado el expediente electrónico y no existe diligencia pendiente de desahogo, se emite la resolución que conforme a Derecho proceda, de acuerdo a los siguientes:</w:t>
      </w:r>
    </w:p>
    <w:p w14:paraId="40B30772" w14:textId="77777777" w:rsidR="007230A0" w:rsidRPr="007A0287" w:rsidRDefault="007230A0">
      <w:pPr>
        <w:spacing w:after="0" w:line="360" w:lineRule="auto"/>
        <w:rPr>
          <w:color w:val="000000"/>
        </w:rPr>
      </w:pPr>
    </w:p>
    <w:p w14:paraId="2F3167E6" w14:textId="2DD2C72A" w:rsidR="007230A0" w:rsidRPr="007A0287" w:rsidRDefault="007A0287">
      <w:pPr>
        <w:spacing w:after="0" w:line="360" w:lineRule="auto"/>
        <w:jc w:val="center"/>
        <w:rPr>
          <w:b/>
          <w:color w:val="000000"/>
        </w:rPr>
      </w:pPr>
      <w:r w:rsidRPr="007A0287">
        <w:rPr>
          <w:b/>
          <w:color w:val="000000"/>
        </w:rPr>
        <w:t>C O N S I D E R A N D O S</w:t>
      </w:r>
    </w:p>
    <w:p w14:paraId="156BA0F9" w14:textId="77777777" w:rsidR="007230A0" w:rsidRPr="007A0287" w:rsidRDefault="007230A0">
      <w:pPr>
        <w:spacing w:after="0" w:line="360" w:lineRule="auto"/>
        <w:jc w:val="center"/>
        <w:rPr>
          <w:b/>
          <w:color w:val="000000"/>
        </w:rPr>
      </w:pPr>
    </w:p>
    <w:p w14:paraId="5D0B2FB2" w14:textId="44D038F6" w:rsidR="007230A0" w:rsidRPr="007A0287" w:rsidRDefault="00622888">
      <w:pPr>
        <w:spacing w:after="0" w:line="360" w:lineRule="auto"/>
        <w:rPr>
          <w:b/>
          <w:color w:val="000000"/>
        </w:rPr>
      </w:pPr>
      <w:r w:rsidRPr="007A0287">
        <w:rPr>
          <w:b/>
          <w:color w:val="000000"/>
        </w:rPr>
        <w:t>PRIMERO</w:t>
      </w:r>
      <w:r w:rsidRPr="007A0287">
        <w:rPr>
          <w:color w:val="000000"/>
        </w:rPr>
        <w:t xml:space="preserve">. </w:t>
      </w:r>
      <w:r w:rsidRPr="007A0287">
        <w:rPr>
          <w:b/>
          <w:color w:val="000000"/>
        </w:rPr>
        <w:t>Competencia</w:t>
      </w:r>
    </w:p>
    <w:p w14:paraId="1131A532" w14:textId="77777777" w:rsidR="007230A0" w:rsidRPr="007A0287" w:rsidRDefault="007230A0">
      <w:pPr>
        <w:spacing w:after="0" w:line="360" w:lineRule="auto"/>
        <w:rPr>
          <w:b/>
          <w:color w:val="000000"/>
        </w:rPr>
      </w:pPr>
    </w:p>
    <w:p w14:paraId="389B275C" w14:textId="77777777" w:rsidR="007230A0" w:rsidRPr="007A0287" w:rsidRDefault="00622888">
      <w:pPr>
        <w:spacing w:after="0" w:line="360" w:lineRule="auto"/>
        <w:rPr>
          <w:color w:val="000000"/>
        </w:rPr>
      </w:pPr>
      <w:bookmarkStart w:id="3" w:name="_heading=h.3znysh7" w:colFirst="0" w:colLast="0"/>
      <w:bookmarkEnd w:id="3"/>
      <w:r w:rsidRPr="007A0287">
        <w:rPr>
          <w:color w:val="000000"/>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w:t>
      </w:r>
      <w:r w:rsidRPr="007A0287">
        <w:rPr>
          <w:color w:val="000000"/>
        </w:rPr>
        <w:lastRenderedPageBreak/>
        <w:t>Municipios; 7°, 9°, fracciones I y XXIII y 11 del Reglamento Interior del Instituto de Transparencia, Acceso a la Información Pública y Protección de Datos Personales del Estado de México y Municipios.</w:t>
      </w:r>
    </w:p>
    <w:p w14:paraId="3341D71B" w14:textId="77777777" w:rsidR="007230A0" w:rsidRPr="007A0287" w:rsidRDefault="007230A0">
      <w:pPr>
        <w:spacing w:after="0" w:line="360" w:lineRule="auto"/>
      </w:pPr>
    </w:p>
    <w:p w14:paraId="7FE5E2BF" w14:textId="66EE63BF" w:rsidR="007230A0" w:rsidRPr="007A0287" w:rsidRDefault="00622888">
      <w:pPr>
        <w:spacing w:after="0" w:line="360" w:lineRule="auto"/>
        <w:rPr>
          <w:color w:val="000000"/>
        </w:rPr>
      </w:pPr>
      <w:r w:rsidRPr="007A0287">
        <w:rPr>
          <w:b/>
          <w:color w:val="000000"/>
        </w:rPr>
        <w:t>SEGUNDO</w:t>
      </w:r>
      <w:r w:rsidRPr="007A0287">
        <w:rPr>
          <w:color w:val="000000"/>
        </w:rPr>
        <w:t xml:space="preserve">. </w:t>
      </w:r>
      <w:r w:rsidRPr="007A0287">
        <w:rPr>
          <w:b/>
          <w:color w:val="000000"/>
        </w:rPr>
        <w:t>Causales de improcedencia y sobreseimiento</w:t>
      </w:r>
    </w:p>
    <w:p w14:paraId="3138C594" w14:textId="77777777" w:rsidR="007230A0" w:rsidRPr="007A0287" w:rsidRDefault="007230A0">
      <w:pPr>
        <w:spacing w:after="0" w:line="360" w:lineRule="auto"/>
        <w:rPr>
          <w:color w:val="000000"/>
        </w:rPr>
      </w:pPr>
    </w:p>
    <w:p w14:paraId="6A0092E8" w14:textId="77777777" w:rsidR="007230A0" w:rsidRPr="007A0287" w:rsidRDefault="00622888">
      <w:pPr>
        <w:spacing w:after="0" w:line="360" w:lineRule="auto"/>
        <w:rPr>
          <w:color w:val="000000"/>
        </w:rPr>
      </w:pPr>
      <w:r w:rsidRPr="007A0287">
        <w:rPr>
          <w:color w:val="000000"/>
        </w:rPr>
        <w:t xml:space="preserve">De las constancias que forma parte del Recurso de Revisión que se analiza, se advierte que previo al estudio del fondo de la </w:t>
      </w:r>
      <w:r w:rsidRPr="007A0287">
        <w:rPr>
          <w:i/>
          <w:color w:val="000000"/>
        </w:rPr>
        <w:t>litis</w:t>
      </w:r>
      <w:r w:rsidRPr="007A0287">
        <w:rPr>
          <w:color w:val="000000"/>
        </w:rPr>
        <w:t>, es necesario estudiar las causales de improcedencia y sobreseimiento que se adviertan, para determinar lo que en Derecho proceda.</w:t>
      </w:r>
    </w:p>
    <w:p w14:paraId="3310CDCF" w14:textId="77777777" w:rsidR="007230A0" w:rsidRPr="007A0287" w:rsidRDefault="007230A0">
      <w:pPr>
        <w:spacing w:after="0" w:line="360" w:lineRule="auto"/>
        <w:rPr>
          <w:color w:val="000000"/>
        </w:rPr>
      </w:pPr>
    </w:p>
    <w:p w14:paraId="26B45DE2" w14:textId="77777777" w:rsidR="007230A0" w:rsidRPr="007A0287" w:rsidRDefault="00622888">
      <w:pPr>
        <w:spacing w:after="0" w:line="360" w:lineRule="auto"/>
        <w:rPr>
          <w:b/>
        </w:rPr>
      </w:pPr>
      <w:r w:rsidRPr="007A0287">
        <w:rPr>
          <w:b/>
        </w:rPr>
        <w:t>Causales de improcedencia</w:t>
      </w:r>
    </w:p>
    <w:p w14:paraId="70827F37" w14:textId="77777777" w:rsidR="007230A0" w:rsidRPr="007A0287" w:rsidRDefault="007230A0">
      <w:pPr>
        <w:spacing w:after="0" w:line="360" w:lineRule="auto"/>
      </w:pPr>
    </w:p>
    <w:p w14:paraId="59575232" w14:textId="77777777" w:rsidR="007230A0" w:rsidRPr="007A0287" w:rsidRDefault="00622888">
      <w:pPr>
        <w:spacing w:after="0" w:line="360" w:lineRule="auto"/>
        <w:rPr>
          <w:color w:val="000000"/>
        </w:rPr>
      </w:pPr>
      <w:r w:rsidRPr="007A0287">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5F933B1" w14:textId="77777777" w:rsidR="007230A0" w:rsidRPr="007A0287" w:rsidRDefault="007230A0">
      <w:pPr>
        <w:spacing w:after="0" w:line="360" w:lineRule="auto"/>
        <w:rPr>
          <w:color w:val="000000"/>
        </w:rPr>
      </w:pPr>
    </w:p>
    <w:p w14:paraId="4440B384" w14:textId="77777777" w:rsidR="007230A0" w:rsidRPr="007A0287" w:rsidRDefault="00622888">
      <w:pPr>
        <w:spacing w:after="0" w:line="360" w:lineRule="auto"/>
        <w:rPr>
          <w:color w:val="000000"/>
        </w:rPr>
      </w:pPr>
      <w:r w:rsidRPr="007A0287">
        <w:rPr>
          <w:color w:val="000000"/>
        </w:rPr>
        <w:t>En el presente caso, </w:t>
      </w:r>
      <w:r w:rsidRPr="007A0287">
        <w:rPr>
          <w:b/>
          <w:color w:val="000000"/>
        </w:rPr>
        <w:t>no se actualiza ninguna de las causales de improcedencia</w:t>
      </w:r>
      <w:r w:rsidRPr="007A0287">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01339ADC" w14:textId="77777777" w:rsidR="007230A0" w:rsidRPr="007A0287" w:rsidRDefault="007230A0">
      <w:pPr>
        <w:spacing w:after="0" w:line="360" w:lineRule="auto"/>
        <w:rPr>
          <w:color w:val="000000"/>
        </w:rPr>
      </w:pPr>
    </w:p>
    <w:p w14:paraId="33C89D79" w14:textId="32E41F34" w:rsidR="007230A0" w:rsidRPr="007A0287" w:rsidRDefault="00622888">
      <w:pPr>
        <w:spacing w:after="0" w:line="360" w:lineRule="auto"/>
        <w:rPr>
          <w:color w:val="000000"/>
        </w:rPr>
      </w:pPr>
      <w:r w:rsidRPr="007A0287">
        <w:t xml:space="preserve">Asimismo, se actualiza la causal de procedencia del Recurso de Revisión señalada en el artículo 179, fracción V, de la Ley en cita, </w:t>
      </w:r>
      <w:r w:rsidRPr="007A0287">
        <w:rPr>
          <w:color w:val="000000"/>
        </w:rPr>
        <w:t xml:space="preserve">pues la persona Recurrente se inconformó con la entrega de información </w:t>
      </w:r>
      <w:r w:rsidR="00CB158E" w:rsidRPr="007A0287">
        <w:rPr>
          <w:color w:val="000000"/>
        </w:rPr>
        <w:t>incompleta.</w:t>
      </w:r>
    </w:p>
    <w:p w14:paraId="324E0399" w14:textId="77777777" w:rsidR="007230A0" w:rsidRPr="007A0287" w:rsidRDefault="007230A0">
      <w:pPr>
        <w:spacing w:after="0" w:line="360" w:lineRule="auto"/>
        <w:rPr>
          <w:color w:val="000000"/>
        </w:rPr>
      </w:pPr>
    </w:p>
    <w:p w14:paraId="75ECE559" w14:textId="62757506" w:rsidR="007230A0" w:rsidRPr="007A0287" w:rsidRDefault="00622888">
      <w:pPr>
        <w:spacing w:after="0" w:line="360" w:lineRule="auto"/>
        <w:rPr>
          <w:b/>
          <w:color w:val="0D0D0D"/>
        </w:rPr>
      </w:pPr>
      <w:r w:rsidRPr="007A0287">
        <w:rPr>
          <w:b/>
          <w:color w:val="0D0D0D"/>
        </w:rPr>
        <w:t>Causales de sobreseimiento</w:t>
      </w:r>
    </w:p>
    <w:p w14:paraId="1C278AF2" w14:textId="77777777" w:rsidR="007230A0" w:rsidRPr="007A0287" w:rsidRDefault="007230A0">
      <w:pPr>
        <w:spacing w:after="0" w:line="360" w:lineRule="auto"/>
        <w:rPr>
          <w:color w:val="0D0D0D"/>
        </w:rPr>
      </w:pPr>
    </w:p>
    <w:p w14:paraId="340A2EAC" w14:textId="77777777" w:rsidR="007230A0" w:rsidRPr="007A0287" w:rsidRDefault="00622888">
      <w:pPr>
        <w:spacing w:after="0" w:line="360" w:lineRule="auto"/>
        <w:rPr>
          <w:color w:val="0D0D0D"/>
        </w:rPr>
      </w:pPr>
      <w:r w:rsidRPr="007A0287">
        <w:rPr>
          <w:color w:val="0D0D0D"/>
        </w:rPr>
        <w:t xml:space="preserve">Por ser de previo y especial pronunciamiento, este Instituto analiza si se actualiza alguna causal de sobreseimiento. </w:t>
      </w:r>
    </w:p>
    <w:p w14:paraId="05AD3E46" w14:textId="77777777" w:rsidR="007230A0" w:rsidRPr="007A0287" w:rsidRDefault="007230A0">
      <w:pPr>
        <w:spacing w:after="0" w:line="360" w:lineRule="auto"/>
        <w:rPr>
          <w:color w:val="0D0D0D"/>
        </w:rPr>
      </w:pPr>
    </w:p>
    <w:p w14:paraId="623AC956" w14:textId="77777777" w:rsidR="007230A0" w:rsidRPr="007A0287" w:rsidRDefault="00622888">
      <w:pPr>
        <w:spacing w:after="0" w:line="360" w:lineRule="auto"/>
        <w:rPr>
          <w:color w:val="000000"/>
        </w:rPr>
      </w:pPr>
      <w:r w:rsidRPr="007A0287">
        <w:rPr>
          <w:color w:val="0D0D0D"/>
        </w:rPr>
        <w:t>Sobre el tema, e</w:t>
      </w:r>
      <w:r w:rsidRPr="007A0287">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044AD425" w14:textId="77777777" w:rsidR="007230A0" w:rsidRPr="007A0287" w:rsidRDefault="007230A0">
      <w:pPr>
        <w:spacing w:after="0" w:line="360" w:lineRule="auto"/>
        <w:rPr>
          <w:color w:val="000000"/>
        </w:rPr>
      </w:pPr>
    </w:p>
    <w:p w14:paraId="45B93222" w14:textId="77777777" w:rsidR="007230A0" w:rsidRPr="007A0287" w:rsidRDefault="00622888">
      <w:pPr>
        <w:spacing w:after="0" w:line="360" w:lineRule="auto"/>
        <w:rPr>
          <w:color w:val="0D0D0D"/>
        </w:rPr>
      </w:pPr>
      <w:r w:rsidRPr="007A0287">
        <w:rPr>
          <w:color w:val="0D0D0D"/>
        </w:rPr>
        <w:t xml:space="preserve">Por tales motivos, se considera procedente entrar al fondo del presente asunto. </w:t>
      </w:r>
    </w:p>
    <w:p w14:paraId="6CC52002" w14:textId="77777777" w:rsidR="007230A0" w:rsidRPr="007A0287" w:rsidRDefault="007230A0">
      <w:pPr>
        <w:spacing w:after="0" w:line="360" w:lineRule="auto"/>
        <w:rPr>
          <w:color w:val="0D0D0D"/>
        </w:rPr>
      </w:pPr>
    </w:p>
    <w:p w14:paraId="6169EEE0" w14:textId="4A376DB6" w:rsidR="007230A0" w:rsidRPr="007A0287" w:rsidRDefault="00622888">
      <w:pPr>
        <w:spacing w:after="0" w:line="360" w:lineRule="auto"/>
        <w:rPr>
          <w:b/>
          <w:color w:val="000000"/>
        </w:rPr>
      </w:pPr>
      <w:r w:rsidRPr="007A0287">
        <w:rPr>
          <w:b/>
          <w:color w:val="000000"/>
        </w:rPr>
        <w:t>TERCERO. Determinación de la Controversia</w:t>
      </w:r>
    </w:p>
    <w:p w14:paraId="37FDF4D9" w14:textId="77777777" w:rsidR="007230A0" w:rsidRPr="007A0287" w:rsidRDefault="007230A0">
      <w:pPr>
        <w:spacing w:after="0" w:line="360" w:lineRule="auto"/>
        <w:rPr>
          <w:b/>
          <w:color w:val="000000"/>
        </w:rPr>
      </w:pPr>
    </w:p>
    <w:p w14:paraId="561D24F0" w14:textId="20519E75" w:rsidR="002C27C8" w:rsidRPr="007A0287" w:rsidRDefault="00622888" w:rsidP="004D4790">
      <w:pPr>
        <w:spacing w:after="0" w:line="360" w:lineRule="auto"/>
      </w:pPr>
      <w:r w:rsidRPr="007A0287">
        <w:t>Con el objetivo de ilustrar la controversia planteada, resulta conveniente precisar, que una vez realizado el estudio de las constancias que integran el expediente en el que se actúa, se desprende que el Particular requirió</w:t>
      </w:r>
      <w:r w:rsidR="002C27C8" w:rsidRPr="007A0287">
        <w:t xml:space="preserve">, del Presidente Municipal, del primero de enero de dos </w:t>
      </w:r>
      <w:r w:rsidR="002C27C8" w:rsidRPr="007A0287">
        <w:lastRenderedPageBreak/>
        <w:t xml:space="preserve">mil veintidós al dos de octubre de dos mil veinticuatro, </w:t>
      </w:r>
      <w:r w:rsidR="004D4790" w:rsidRPr="007A0287">
        <w:t>e</w:t>
      </w:r>
      <w:r w:rsidR="002C27C8" w:rsidRPr="007A0287">
        <w:t xml:space="preserve">l informe de actividades, gestiones y reuniones de trabajo, desglosado por mes. </w:t>
      </w:r>
    </w:p>
    <w:p w14:paraId="0A2F6529" w14:textId="77777777" w:rsidR="007A0287" w:rsidRPr="007A0287" w:rsidRDefault="007A0287" w:rsidP="004D4790">
      <w:pPr>
        <w:spacing w:after="0" w:line="360" w:lineRule="auto"/>
      </w:pPr>
    </w:p>
    <w:p w14:paraId="376A5F16" w14:textId="76264237" w:rsidR="007230A0" w:rsidRPr="007A0287" w:rsidRDefault="00622888">
      <w:pPr>
        <w:spacing w:after="0" w:line="360" w:lineRule="auto"/>
        <w:rPr>
          <w:color w:val="000000"/>
        </w:rPr>
      </w:pPr>
      <w:r w:rsidRPr="007A0287">
        <w:rPr>
          <w:color w:val="000000"/>
        </w:rPr>
        <w:t>En respuesta, el Sujeto Obligado, a través de</w:t>
      </w:r>
      <w:r w:rsidR="002C27C8" w:rsidRPr="007A0287">
        <w:rPr>
          <w:color w:val="000000"/>
        </w:rPr>
        <w:t>l Presidencia Municipal, adjuntó un cuadro que contiene el número de actividades por mes, del ejercicio fiscal dos mil veintidós, dos mil veintitrés y dos mil veinticuatro</w:t>
      </w:r>
      <w:r w:rsidRPr="007A0287">
        <w:t xml:space="preserve">; ante dicha circunstancia, el Particular se inconformó de que le entregaron la información </w:t>
      </w:r>
      <w:r w:rsidR="004D4790" w:rsidRPr="007A0287">
        <w:t>de manera general y no mensual</w:t>
      </w:r>
      <w:r w:rsidRPr="007A0287">
        <w:t>, lo cual actualiza la causal de procedencia prevista en la fracción V, del artículo 179 de la Ley de Transparencia y Acceso a la Información Pública del Estado de México y Municipios</w:t>
      </w:r>
      <w:r w:rsidRPr="007A0287">
        <w:rPr>
          <w:color w:val="0D0D0D"/>
        </w:rPr>
        <w:t xml:space="preserve">. </w:t>
      </w:r>
      <w:r w:rsidRPr="007A0287">
        <w:t>Así, las cosas, una vez admitido y notificado el Recurso de Revisión a las partes, estas fueron omisas en emitir manifestaciones o alegatos.</w:t>
      </w:r>
    </w:p>
    <w:p w14:paraId="77319D29" w14:textId="77777777" w:rsidR="007230A0" w:rsidRPr="007A0287" w:rsidRDefault="007230A0">
      <w:pPr>
        <w:pBdr>
          <w:top w:val="nil"/>
          <w:left w:val="nil"/>
          <w:bottom w:val="nil"/>
          <w:right w:val="nil"/>
          <w:between w:val="nil"/>
        </w:pBdr>
        <w:spacing w:after="0" w:line="360" w:lineRule="auto"/>
        <w:ind w:right="-28"/>
        <w:rPr>
          <w:color w:val="000000"/>
        </w:rPr>
      </w:pPr>
    </w:p>
    <w:p w14:paraId="456733A4" w14:textId="77777777" w:rsidR="007230A0" w:rsidRPr="007A0287" w:rsidRDefault="00622888">
      <w:pPr>
        <w:tabs>
          <w:tab w:val="left" w:pos="4962"/>
        </w:tabs>
        <w:spacing w:after="0" w:line="360" w:lineRule="auto"/>
      </w:pPr>
      <w:r w:rsidRPr="007A0287">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2334FD43" w14:textId="77777777" w:rsidR="007230A0" w:rsidRPr="007A0287" w:rsidRDefault="007230A0">
      <w:pPr>
        <w:spacing w:after="0" w:line="360" w:lineRule="auto"/>
        <w:rPr>
          <w:color w:val="000000"/>
        </w:rPr>
      </w:pPr>
    </w:p>
    <w:p w14:paraId="42E4AF48" w14:textId="4B78C625" w:rsidR="007230A0" w:rsidRPr="007A0287" w:rsidRDefault="00622888">
      <w:pPr>
        <w:spacing w:after="0" w:line="360" w:lineRule="auto"/>
        <w:rPr>
          <w:b/>
          <w:color w:val="000000"/>
        </w:rPr>
      </w:pPr>
      <w:r w:rsidRPr="007A0287">
        <w:rPr>
          <w:b/>
          <w:color w:val="000000"/>
        </w:rPr>
        <w:t>CUARTO. Marco normativo aplicable en materia de transparencia y acceso a la información pública</w:t>
      </w:r>
    </w:p>
    <w:p w14:paraId="5A2542FC" w14:textId="77777777" w:rsidR="007230A0" w:rsidRPr="007A0287" w:rsidRDefault="007230A0">
      <w:pPr>
        <w:spacing w:after="0" w:line="360" w:lineRule="auto"/>
        <w:rPr>
          <w:color w:val="000000"/>
        </w:rPr>
      </w:pPr>
    </w:p>
    <w:p w14:paraId="6287919D" w14:textId="77777777" w:rsidR="007230A0" w:rsidRPr="007A0287" w:rsidRDefault="00622888">
      <w:pPr>
        <w:spacing w:after="0" w:line="360" w:lineRule="auto"/>
        <w:rPr>
          <w:color w:val="000000"/>
        </w:rPr>
      </w:pPr>
      <w:r w:rsidRPr="007A0287">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5EA2C99" w14:textId="77777777" w:rsidR="007230A0" w:rsidRPr="007A0287" w:rsidRDefault="007230A0">
      <w:pPr>
        <w:spacing w:after="0" w:line="360" w:lineRule="auto"/>
        <w:rPr>
          <w:color w:val="000000"/>
        </w:rPr>
      </w:pPr>
    </w:p>
    <w:p w14:paraId="03BDA707" w14:textId="77777777" w:rsidR="007230A0" w:rsidRPr="007A0287" w:rsidRDefault="00622888">
      <w:pPr>
        <w:spacing w:after="0" w:line="360" w:lineRule="auto"/>
        <w:rPr>
          <w:color w:val="000000"/>
        </w:rPr>
      </w:pPr>
      <w:r w:rsidRPr="007A0287">
        <w:rPr>
          <w:color w:val="000000"/>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DBD68EC" w14:textId="77777777" w:rsidR="007230A0" w:rsidRPr="007A0287" w:rsidRDefault="007230A0">
      <w:pPr>
        <w:spacing w:after="0" w:line="360" w:lineRule="auto"/>
        <w:rPr>
          <w:color w:val="000000"/>
        </w:rPr>
      </w:pPr>
    </w:p>
    <w:p w14:paraId="066EF41D" w14:textId="77777777" w:rsidR="007230A0" w:rsidRPr="007A0287" w:rsidRDefault="00622888">
      <w:pPr>
        <w:spacing w:after="0" w:line="360" w:lineRule="auto"/>
        <w:rPr>
          <w:color w:val="000000"/>
        </w:rPr>
      </w:pPr>
      <w:r w:rsidRPr="007A0287">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997AFDC" w14:textId="77777777" w:rsidR="007230A0" w:rsidRPr="007A0287" w:rsidRDefault="007230A0">
      <w:pPr>
        <w:spacing w:after="0" w:line="360" w:lineRule="auto"/>
        <w:rPr>
          <w:color w:val="000000"/>
        </w:rPr>
      </w:pPr>
    </w:p>
    <w:p w14:paraId="7B427504" w14:textId="77777777" w:rsidR="007230A0" w:rsidRPr="007A0287" w:rsidRDefault="00622888">
      <w:pPr>
        <w:spacing w:after="0" w:line="360" w:lineRule="auto"/>
        <w:rPr>
          <w:color w:val="000000"/>
        </w:rPr>
      </w:pPr>
      <w:r w:rsidRPr="007A0287">
        <w:rPr>
          <w:color w:val="000000"/>
        </w:rPr>
        <w:t>Por su parte, la Ley de Transparencia y Acceso a la Información Pública del Estado de México y Municipios (Reglamentaria del artículo 5° de la Constitución Local), establece lo siguiente:</w:t>
      </w:r>
    </w:p>
    <w:p w14:paraId="3F902273" w14:textId="77777777" w:rsidR="007230A0" w:rsidRPr="007A0287" w:rsidRDefault="007230A0">
      <w:pPr>
        <w:spacing w:after="0" w:line="360" w:lineRule="auto"/>
        <w:rPr>
          <w:color w:val="000000"/>
        </w:rPr>
      </w:pPr>
    </w:p>
    <w:p w14:paraId="17866355" w14:textId="77777777" w:rsidR="007230A0" w:rsidRPr="007A0287" w:rsidRDefault="00622888">
      <w:pPr>
        <w:spacing w:after="0" w:line="360" w:lineRule="auto"/>
        <w:rPr>
          <w:color w:val="000000"/>
        </w:rPr>
      </w:pPr>
      <w:r w:rsidRPr="007A0287">
        <w:rPr>
          <w:color w:val="000000"/>
        </w:rPr>
        <w:t>El artículo 12, que, quienes generen, recopilen, administren, manejen, procesen, archiven o conserven información pública serán responsables de la misma.</w:t>
      </w:r>
    </w:p>
    <w:p w14:paraId="199D6748" w14:textId="77777777" w:rsidR="007230A0" w:rsidRPr="007A0287" w:rsidRDefault="007230A0">
      <w:pPr>
        <w:spacing w:after="0" w:line="360" w:lineRule="auto"/>
        <w:rPr>
          <w:color w:val="000000"/>
        </w:rPr>
      </w:pPr>
    </w:p>
    <w:p w14:paraId="468FFFDC" w14:textId="77777777" w:rsidR="007230A0" w:rsidRPr="007A0287" w:rsidRDefault="00622888">
      <w:pPr>
        <w:widowControl w:val="0"/>
        <w:spacing w:after="0" w:line="360" w:lineRule="auto"/>
        <w:rPr>
          <w:color w:val="000000"/>
        </w:rPr>
      </w:pPr>
      <w:r w:rsidRPr="007A0287">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D57786F" w14:textId="77777777" w:rsidR="007230A0" w:rsidRPr="007A0287" w:rsidRDefault="007230A0">
      <w:pPr>
        <w:spacing w:after="0" w:line="360" w:lineRule="auto"/>
        <w:rPr>
          <w:color w:val="000000"/>
        </w:rPr>
      </w:pPr>
    </w:p>
    <w:p w14:paraId="3FB4082D" w14:textId="77777777" w:rsidR="007230A0" w:rsidRPr="007A0287" w:rsidRDefault="00622888">
      <w:pPr>
        <w:spacing w:after="0" w:line="360" w:lineRule="auto"/>
        <w:rPr>
          <w:color w:val="000000"/>
        </w:rPr>
      </w:pPr>
      <w:r w:rsidRPr="007A0287">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B5E500D" w14:textId="77777777" w:rsidR="007230A0" w:rsidRPr="007A0287" w:rsidRDefault="007230A0">
      <w:pPr>
        <w:spacing w:after="0" w:line="360" w:lineRule="auto"/>
        <w:rPr>
          <w:color w:val="000000"/>
        </w:rPr>
      </w:pPr>
    </w:p>
    <w:p w14:paraId="7C31EFD1" w14:textId="735649E9" w:rsidR="007230A0" w:rsidRPr="007A0287" w:rsidRDefault="00622888">
      <w:pPr>
        <w:spacing w:after="0" w:line="360" w:lineRule="auto"/>
        <w:rPr>
          <w:b/>
          <w:color w:val="000000"/>
        </w:rPr>
      </w:pPr>
      <w:r w:rsidRPr="007A0287">
        <w:rPr>
          <w:b/>
          <w:color w:val="000000"/>
        </w:rPr>
        <w:t>QUINTO. Estudio de Fondo</w:t>
      </w:r>
    </w:p>
    <w:p w14:paraId="22CA10C0" w14:textId="77777777" w:rsidR="007230A0" w:rsidRPr="007A0287" w:rsidRDefault="007230A0">
      <w:pPr>
        <w:spacing w:after="0" w:line="360" w:lineRule="auto"/>
        <w:rPr>
          <w:b/>
          <w:color w:val="000000"/>
        </w:rPr>
      </w:pPr>
    </w:p>
    <w:p w14:paraId="72ACEE48" w14:textId="0BA2B6FE" w:rsidR="00BA3A26" w:rsidRPr="007A0287" w:rsidRDefault="00622888">
      <w:pPr>
        <w:widowControl w:val="0"/>
        <w:spacing w:after="0" w:line="360" w:lineRule="auto"/>
        <w:rPr>
          <w:color w:val="000000"/>
        </w:rPr>
      </w:pPr>
      <w:r w:rsidRPr="007A0287">
        <w:rPr>
          <w:color w:val="000000"/>
        </w:rPr>
        <w:lastRenderedPageBreak/>
        <w:t xml:space="preserve">Expuestas las posturas de las partes, se procede al análisis del agravio hecho valer por la persona Recurrente, concerniente </w:t>
      </w:r>
      <w:r w:rsidRPr="007A0287">
        <w:t>a la entrega de información</w:t>
      </w:r>
      <w:r w:rsidR="007B5D6E" w:rsidRPr="007A0287">
        <w:t xml:space="preserve"> incompleta</w:t>
      </w:r>
      <w:r w:rsidRPr="007A0287">
        <w:rPr>
          <w:color w:val="000000"/>
        </w:rPr>
        <w:t>, para lo cual, en principio es necesario contextualizar la solicitud de información.</w:t>
      </w:r>
    </w:p>
    <w:p w14:paraId="7C63C751" w14:textId="77777777" w:rsidR="00602ED1" w:rsidRPr="007A0287" w:rsidRDefault="00602ED1">
      <w:pPr>
        <w:widowControl w:val="0"/>
        <w:spacing w:after="0" w:line="360" w:lineRule="auto"/>
        <w:rPr>
          <w:color w:val="000000"/>
        </w:rPr>
      </w:pPr>
    </w:p>
    <w:p w14:paraId="19E92A67" w14:textId="36C566CC" w:rsidR="00602ED1" w:rsidRPr="007A0287" w:rsidRDefault="00602ED1" w:rsidP="00602ED1">
      <w:pPr>
        <w:widowControl w:val="0"/>
        <w:spacing w:after="0" w:line="360" w:lineRule="auto"/>
        <w:rPr>
          <w:bCs/>
          <w:color w:val="000000"/>
        </w:rPr>
      </w:pPr>
      <w:r w:rsidRPr="007A0287">
        <w:rPr>
          <w:bCs/>
          <w:color w:val="000000"/>
        </w:rPr>
        <w:t xml:space="preserve">En principio, es necesario señalar </w:t>
      </w:r>
      <w:r w:rsidR="00FD52F9" w:rsidRPr="007A0287">
        <w:rPr>
          <w:bCs/>
          <w:color w:val="000000"/>
        </w:rPr>
        <w:t>que,</w:t>
      </w:r>
      <w:r w:rsidRPr="007A0287">
        <w:rPr>
          <w:bCs/>
          <w:color w:val="000000"/>
        </w:rPr>
        <w:t xml:space="preserve"> conforme al Diccionario de Real Academia Española, las </w:t>
      </w:r>
      <w:r w:rsidRPr="007A0287">
        <w:rPr>
          <w:bCs/>
          <w:i/>
          <w:color w:val="000000"/>
        </w:rPr>
        <w:t>actividades</w:t>
      </w:r>
      <w:r w:rsidRPr="007A0287">
        <w:rPr>
          <w:bCs/>
          <w:color w:val="000000"/>
        </w:rPr>
        <w:t xml:space="preserve"> corresponden a las operaciones, tareas, trabajos o labores realizadas por una persona; </w:t>
      </w:r>
      <w:r w:rsidR="00FD52F9" w:rsidRPr="007A0287">
        <w:rPr>
          <w:bCs/>
          <w:color w:val="000000"/>
        </w:rPr>
        <w:t>que,</w:t>
      </w:r>
      <w:r w:rsidRPr="007A0287">
        <w:rPr>
          <w:bCs/>
          <w:color w:val="000000"/>
        </w:rPr>
        <w:t xml:space="preserve"> en materia de administración pública, se pueden ver como las acciones realizadas por los servidores públicos para cumplir sus funciones y atribuciones. </w:t>
      </w:r>
    </w:p>
    <w:p w14:paraId="789AD10D" w14:textId="77777777" w:rsidR="00C44F46" w:rsidRPr="007A0287" w:rsidRDefault="00C44F46" w:rsidP="00602ED1">
      <w:pPr>
        <w:widowControl w:val="0"/>
        <w:spacing w:after="0" w:line="360" w:lineRule="auto"/>
        <w:rPr>
          <w:bCs/>
          <w:color w:val="000000"/>
        </w:rPr>
      </w:pPr>
    </w:p>
    <w:p w14:paraId="55D95790" w14:textId="512B8551" w:rsidR="00C44F46" w:rsidRPr="007A0287" w:rsidRDefault="00C44F46" w:rsidP="00C44F46">
      <w:pPr>
        <w:widowControl w:val="0"/>
        <w:spacing w:after="0" w:line="360" w:lineRule="auto"/>
        <w:rPr>
          <w:bCs/>
          <w:color w:val="000000"/>
        </w:rPr>
      </w:pPr>
      <w:r w:rsidRPr="007A0287">
        <w:rPr>
          <w:bCs/>
          <w:color w:val="000000"/>
        </w:rPr>
        <w:t>En ese contexto, el artículo 92, fracciones XV y XXXIII, de la Ley de Transparencia y Acceso a la Información Pública del Estado de México y Municipios, precisa que es obligación de los Sujetos Obligados poner a disposición del público de manera permanente y actualizada, la agenda de reuniones públicas a las que convoquen los titulares de los sujetos obligados y los informes que por disposición legal generen los sujetos obligados.</w:t>
      </w:r>
    </w:p>
    <w:p w14:paraId="4D4881A0" w14:textId="77777777" w:rsidR="00602ED1" w:rsidRPr="007A0287" w:rsidRDefault="00602ED1" w:rsidP="00602ED1">
      <w:pPr>
        <w:widowControl w:val="0"/>
        <w:spacing w:after="0" w:line="360" w:lineRule="auto"/>
        <w:rPr>
          <w:bCs/>
          <w:color w:val="000000"/>
        </w:rPr>
      </w:pPr>
    </w:p>
    <w:p w14:paraId="13C2D84B" w14:textId="667FC03D" w:rsidR="00613FA3" w:rsidRPr="007A0287" w:rsidRDefault="00613FA3" w:rsidP="00602ED1">
      <w:pPr>
        <w:widowControl w:val="0"/>
        <w:spacing w:after="0" w:line="360" w:lineRule="auto"/>
        <w:rPr>
          <w:bCs/>
          <w:color w:val="000000"/>
        </w:rPr>
      </w:pPr>
      <w:r w:rsidRPr="007A0287">
        <w:rPr>
          <w:bCs/>
          <w:color w:val="000000"/>
        </w:rPr>
        <w:t>De la misma manera</w:t>
      </w:r>
      <w:r w:rsidR="00FD52F9" w:rsidRPr="007A0287">
        <w:rPr>
          <w:bCs/>
          <w:color w:val="000000"/>
        </w:rPr>
        <w:t xml:space="preserve">, el artículo 48 fracción XV, de la Ley Orgánica Municipal del Estado de México, señala que el Presidente Municipal, deberá entregar por escrito y en medio electrónico al ayuntamiento, dentro de los primeros cinco días hábiles del mes de diciembre de cada año, en sesión solemne de cabildo, un </w:t>
      </w:r>
      <w:r w:rsidR="00FD52F9" w:rsidRPr="007A0287">
        <w:rPr>
          <w:b/>
          <w:color w:val="000000"/>
        </w:rPr>
        <w:t>informe del estado que guarda la administración pública municipal y de las labores realizadas durante el ejercicio</w:t>
      </w:r>
      <w:r w:rsidR="00FD52F9" w:rsidRPr="007A0287">
        <w:rPr>
          <w:bCs/>
          <w:color w:val="000000"/>
        </w:rPr>
        <w:t>, el cual se publicará en la página oficial, en la Gaceta Municipal y en los estrados de la Secretaría del ayuntamiento para su consulta.</w:t>
      </w:r>
    </w:p>
    <w:p w14:paraId="2FE7E0AF" w14:textId="77777777" w:rsidR="00FD52F9" w:rsidRPr="007A0287" w:rsidRDefault="00FD52F9" w:rsidP="00602ED1">
      <w:pPr>
        <w:widowControl w:val="0"/>
        <w:spacing w:after="0" w:line="360" w:lineRule="auto"/>
        <w:rPr>
          <w:bCs/>
          <w:color w:val="000000"/>
        </w:rPr>
      </w:pPr>
    </w:p>
    <w:p w14:paraId="12089FC5" w14:textId="14B13BA7" w:rsidR="00613FA3" w:rsidRPr="007A0287" w:rsidRDefault="00DA1686" w:rsidP="00613FA3">
      <w:pPr>
        <w:widowControl w:val="0"/>
        <w:spacing w:after="0" w:line="360" w:lineRule="auto"/>
        <w:rPr>
          <w:bCs/>
          <w:color w:val="000000"/>
        </w:rPr>
      </w:pPr>
      <w:r w:rsidRPr="007A0287">
        <w:rPr>
          <w:bCs/>
          <w:color w:val="000000"/>
        </w:rPr>
        <w:t xml:space="preserve">Ahora bien, </w:t>
      </w:r>
      <w:r w:rsidR="00613FA3" w:rsidRPr="007A0287">
        <w:rPr>
          <w:bCs/>
          <w:color w:val="000000"/>
        </w:rPr>
        <w:t xml:space="preserve">con relación a los artículos 31 y 32, del Bando Municipal de Temamatla, dos mil veinticuatro, establecen que el Municipio se encuentra depositado, en un cuerpo colegiado deliberativo denominado Ayuntamiento, el cual resuelve los asuntos de su competencia a través de una asamblea deliberante denominada Cabildo, conformado por diversos </w:t>
      </w:r>
      <w:r w:rsidR="00613FA3" w:rsidRPr="007A0287">
        <w:rPr>
          <w:bCs/>
          <w:color w:val="000000"/>
        </w:rPr>
        <w:lastRenderedPageBreak/>
        <w:t>funcionarios públicos, entre ellos, el Presidente Municipal.</w:t>
      </w:r>
    </w:p>
    <w:p w14:paraId="7ADDF7A8" w14:textId="6FE6087A" w:rsidR="00613FA3" w:rsidRPr="007A0287" w:rsidRDefault="00613FA3" w:rsidP="00C44F46">
      <w:pPr>
        <w:widowControl w:val="0"/>
        <w:spacing w:after="0" w:line="360" w:lineRule="auto"/>
        <w:rPr>
          <w:bCs/>
          <w:color w:val="000000"/>
        </w:rPr>
      </w:pPr>
    </w:p>
    <w:p w14:paraId="0E5F8D54" w14:textId="32037F06" w:rsidR="00C44F46" w:rsidRPr="007A0287" w:rsidRDefault="00613FA3" w:rsidP="00C44F46">
      <w:pPr>
        <w:widowControl w:val="0"/>
        <w:spacing w:after="0" w:line="360" w:lineRule="auto"/>
        <w:rPr>
          <w:bCs/>
          <w:color w:val="000000"/>
        </w:rPr>
      </w:pPr>
      <w:r w:rsidRPr="007A0287">
        <w:rPr>
          <w:bCs/>
          <w:color w:val="000000"/>
        </w:rPr>
        <w:t xml:space="preserve">Asimismo, </w:t>
      </w:r>
      <w:r w:rsidR="00DA1686" w:rsidRPr="007A0287">
        <w:rPr>
          <w:bCs/>
          <w:color w:val="000000"/>
        </w:rPr>
        <w:t xml:space="preserve">de conformidad con el Manual de Organización de la Secretaría del Ayuntamiento, establece </w:t>
      </w:r>
      <w:r w:rsidR="00C44F46" w:rsidRPr="007A0287">
        <w:rPr>
          <w:bCs/>
          <w:color w:val="000000"/>
        </w:rPr>
        <w:t>que el Secretario del Ayuntamiento se encargará de la publicación de la gaceta municipal, así como de las publicaciones en los estrados de los ayuntamientos.</w:t>
      </w:r>
    </w:p>
    <w:p w14:paraId="6A23D76A" w14:textId="77777777" w:rsidR="00D517D1" w:rsidRPr="007A0287" w:rsidRDefault="00D517D1" w:rsidP="003578B8">
      <w:pPr>
        <w:widowControl w:val="0"/>
        <w:spacing w:after="0" w:line="360" w:lineRule="auto"/>
        <w:rPr>
          <w:color w:val="000000"/>
        </w:rPr>
      </w:pPr>
    </w:p>
    <w:p w14:paraId="33481008" w14:textId="1D8A5745" w:rsidR="00D517D1" w:rsidRPr="007A0287" w:rsidRDefault="00D517D1" w:rsidP="00D517D1">
      <w:pPr>
        <w:spacing w:after="0" w:line="360" w:lineRule="auto"/>
      </w:pPr>
      <w:r w:rsidRPr="007A0287">
        <w:rPr>
          <w:rFonts w:eastAsia="Calibri" w:cs="Times New Roman"/>
          <w:color w:val="000000"/>
        </w:rPr>
        <w:t xml:space="preserve">Conforme a lo anterior, se logra vislumbrar que la pretensión de la persona Recurrente es </w:t>
      </w:r>
      <w:r w:rsidR="0062478A" w:rsidRPr="007A0287">
        <w:rPr>
          <w:rFonts w:eastAsia="Calibri" w:cs="Times New Roman"/>
          <w:color w:val="000000"/>
        </w:rPr>
        <w:t xml:space="preserve">obtener </w:t>
      </w:r>
      <w:r w:rsidR="0062478A" w:rsidRPr="007A0287">
        <w:t>del Presidente Municipal, un informe de actividades gestiones y reuniones de trabajo, desglosado por mes, del primero de enero de dos mil veintidós al dos de octubre de dos mil veinticuatro.</w:t>
      </w:r>
    </w:p>
    <w:p w14:paraId="6C3CC36B" w14:textId="77777777" w:rsidR="007230A0" w:rsidRPr="007A0287" w:rsidRDefault="007230A0">
      <w:pPr>
        <w:pBdr>
          <w:top w:val="nil"/>
          <w:left w:val="nil"/>
          <w:bottom w:val="nil"/>
          <w:right w:val="nil"/>
          <w:between w:val="nil"/>
        </w:pBdr>
        <w:spacing w:after="0" w:line="360" w:lineRule="auto"/>
        <w:ind w:right="-30"/>
        <w:rPr>
          <w:color w:val="000000"/>
        </w:rPr>
      </w:pPr>
    </w:p>
    <w:p w14:paraId="4EE4A194" w14:textId="4973F8F5" w:rsidR="007230A0" w:rsidRPr="007A0287" w:rsidRDefault="00622888" w:rsidP="004D4790">
      <w:pPr>
        <w:widowControl w:val="0"/>
        <w:spacing w:after="0" w:line="360" w:lineRule="auto"/>
        <w:rPr>
          <w:color w:val="000000"/>
        </w:rPr>
      </w:pPr>
      <w:r w:rsidRPr="007A0287">
        <w:t xml:space="preserve">Ante dicha circunstancia, es necesario precisar que </w:t>
      </w:r>
      <w:r w:rsidRPr="007A0287">
        <w:rPr>
          <w:color w:val="000000"/>
        </w:rPr>
        <w:t xml:space="preserve">de las constancias que obran en el expediente electrónico, se logra advertir que </w:t>
      </w:r>
      <w:r w:rsidR="00C60FFC" w:rsidRPr="007A0287">
        <w:t xml:space="preserve">el Sujeto Obligado </w:t>
      </w:r>
      <w:r w:rsidRPr="007A0287">
        <w:rPr>
          <w:color w:val="000000"/>
        </w:rPr>
        <w:t>turnó la solicitud de información a l</w:t>
      </w:r>
      <w:r w:rsidR="0062478A" w:rsidRPr="007A0287">
        <w:rPr>
          <w:color w:val="000000"/>
        </w:rPr>
        <w:t>a Presidencia Municipal</w:t>
      </w:r>
      <w:r w:rsidRPr="007A0287">
        <w:rPr>
          <w:color w:val="000000"/>
        </w:rPr>
        <w:t xml:space="preserve">; por lo que, resulta necesario hacer referencia al procedimiento de búsqueda que deben seguir los Sujetos Obligados para localizar la información, el cual se encuentra previsto </w:t>
      </w:r>
      <w:r w:rsidR="004D4790" w:rsidRPr="007A0287">
        <w:rPr>
          <w:color w:val="000000"/>
        </w:rPr>
        <w:t>en el artículo</w:t>
      </w:r>
      <w:r w:rsidRPr="007A0287">
        <w:rPr>
          <w:color w:val="000000"/>
        </w:rPr>
        <w:t xml:space="preserve"> 162 de la Ley de Transparencia y Acceso a la Información Pública del Estado de México y Municipios, </w:t>
      </w:r>
      <w:r w:rsidR="004D4790" w:rsidRPr="007A0287">
        <w:rPr>
          <w:color w:val="000000"/>
        </w:rPr>
        <w:t xml:space="preserve">el cual establece que las </w:t>
      </w:r>
      <w:r w:rsidRPr="007A0287">
        <w:rPr>
          <w:color w:val="000000"/>
        </w:rPr>
        <w:t>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4D4790" w:rsidRPr="007A0287">
        <w:rPr>
          <w:color w:val="000000"/>
        </w:rPr>
        <w:t>.</w:t>
      </w:r>
    </w:p>
    <w:p w14:paraId="509D1990" w14:textId="77777777" w:rsidR="0062478A" w:rsidRPr="007A0287" w:rsidRDefault="0062478A" w:rsidP="0062478A">
      <w:pPr>
        <w:widowControl w:val="0"/>
        <w:spacing w:after="0" w:line="360" w:lineRule="auto"/>
        <w:ind w:left="720"/>
        <w:rPr>
          <w:color w:val="000000"/>
        </w:rPr>
      </w:pPr>
    </w:p>
    <w:p w14:paraId="6340DF06" w14:textId="2CA614AA" w:rsidR="007230A0" w:rsidRPr="007A0287" w:rsidRDefault="00622888">
      <w:pPr>
        <w:widowControl w:val="0"/>
        <w:spacing w:after="0" w:line="360" w:lineRule="auto"/>
        <w:rPr>
          <w:color w:val="000000"/>
        </w:rPr>
      </w:pPr>
      <w:r w:rsidRPr="007A0287">
        <w:rPr>
          <w:color w:val="000000"/>
        </w:rPr>
        <w:t>Conforme a lo anterior, se logra colegir que el Sujeto Obligado cumplió con el procedimiento de búsqueda establecido en el artículo 162 de la Ley de Transparencia y Acceso a la Información Pública del Estado de México y Municipios, toda vez que turnó la solicitud a</w:t>
      </w:r>
      <w:r w:rsidR="0062478A" w:rsidRPr="007A0287">
        <w:rPr>
          <w:color w:val="000000"/>
        </w:rPr>
        <w:t>l</w:t>
      </w:r>
      <w:r w:rsidR="00C60FFC" w:rsidRPr="007A0287">
        <w:rPr>
          <w:color w:val="000000"/>
        </w:rPr>
        <w:t xml:space="preserve"> </w:t>
      </w:r>
      <w:r w:rsidRPr="007A0287">
        <w:rPr>
          <w:color w:val="000000"/>
        </w:rPr>
        <w:t>área competente de conocer la información</w:t>
      </w:r>
      <w:r w:rsidR="0062478A" w:rsidRPr="007A0287">
        <w:rPr>
          <w:color w:val="000000"/>
        </w:rPr>
        <w:t>.</w:t>
      </w:r>
    </w:p>
    <w:p w14:paraId="4AB8CEB5" w14:textId="77777777" w:rsidR="007230A0" w:rsidRPr="007A0287" w:rsidRDefault="007230A0">
      <w:pPr>
        <w:pBdr>
          <w:top w:val="nil"/>
          <w:left w:val="nil"/>
          <w:bottom w:val="nil"/>
          <w:right w:val="nil"/>
          <w:between w:val="nil"/>
        </w:pBdr>
        <w:spacing w:after="0" w:line="360" w:lineRule="auto"/>
        <w:ind w:right="-30"/>
        <w:rPr>
          <w:color w:val="000000"/>
        </w:rPr>
      </w:pPr>
    </w:p>
    <w:p w14:paraId="3C0AC29B" w14:textId="504499D5" w:rsidR="0062478A" w:rsidRPr="007A0287" w:rsidRDefault="00622888" w:rsidP="007F11CD">
      <w:pPr>
        <w:spacing w:after="0" w:line="360" w:lineRule="auto"/>
        <w:ind w:right="-93"/>
        <w:rPr>
          <w:color w:val="000000"/>
        </w:rPr>
      </w:pPr>
      <w:r w:rsidRPr="007A0287">
        <w:rPr>
          <w:color w:val="000000"/>
        </w:rPr>
        <w:lastRenderedPageBreak/>
        <w:t xml:space="preserve">Ahora bien, en respuesta, </w:t>
      </w:r>
      <w:r w:rsidR="0062478A" w:rsidRPr="007A0287">
        <w:rPr>
          <w:color w:val="000000"/>
        </w:rPr>
        <w:t xml:space="preserve">la Presidencia Municipal entregó un cuadro que contiene el número de actividades </w:t>
      </w:r>
      <w:r w:rsidR="004D4790" w:rsidRPr="007A0287">
        <w:rPr>
          <w:color w:val="000000"/>
        </w:rPr>
        <w:t>realizadas por mes</w:t>
      </w:r>
      <w:r w:rsidR="0062478A" w:rsidRPr="007A0287">
        <w:rPr>
          <w:color w:val="000000"/>
        </w:rPr>
        <w:t xml:space="preserve">, </w:t>
      </w:r>
      <w:r w:rsidR="004D4790" w:rsidRPr="007A0287">
        <w:rPr>
          <w:color w:val="000000"/>
        </w:rPr>
        <w:t>durante la Administración 2022-2024</w:t>
      </w:r>
      <w:r w:rsidR="0062478A" w:rsidRPr="007A0287">
        <w:rPr>
          <w:color w:val="000000"/>
        </w:rPr>
        <w:t>, como se muestra a continuación:</w:t>
      </w:r>
    </w:p>
    <w:p w14:paraId="47167DD6" w14:textId="77777777" w:rsidR="0062478A" w:rsidRPr="007A0287" w:rsidRDefault="0062478A" w:rsidP="007F11CD">
      <w:pPr>
        <w:spacing w:after="0" w:line="360" w:lineRule="auto"/>
        <w:ind w:right="-93"/>
        <w:rPr>
          <w:color w:val="000000"/>
        </w:rPr>
      </w:pPr>
    </w:p>
    <w:p w14:paraId="5455DDA5" w14:textId="469EBD19" w:rsidR="0062478A" w:rsidRPr="007A0287" w:rsidRDefault="0062478A" w:rsidP="0062478A">
      <w:pPr>
        <w:spacing w:after="0" w:line="360" w:lineRule="auto"/>
        <w:ind w:right="-93"/>
        <w:jc w:val="center"/>
        <w:rPr>
          <w:color w:val="000000"/>
        </w:rPr>
      </w:pPr>
      <w:r w:rsidRPr="007A0287">
        <w:rPr>
          <w:i/>
          <w:iCs/>
          <w:noProof/>
          <w:color w:val="000000"/>
          <w:sz w:val="20"/>
          <w:szCs w:val="20"/>
        </w:rPr>
        <w:drawing>
          <wp:inline distT="0" distB="0" distL="0" distR="0" wp14:anchorId="52C937CE" wp14:editId="52EE4A75">
            <wp:extent cx="4699635" cy="2423160"/>
            <wp:effectExtent l="0" t="0" r="5715" b="0"/>
            <wp:docPr id="1640128003" name="Imagen 1" descr="Interfaz de usuario gráfica,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81764" name="Imagen 1" descr="Interfaz de usuario gráfica, Tabla, Excel&#10;&#10;Descripción generada automáticamente"/>
                    <pic:cNvPicPr/>
                  </pic:nvPicPr>
                  <pic:blipFill rotWithShape="1">
                    <a:blip r:embed="rId9">
                      <a:extLst>
                        <a:ext uri="{28A0092B-C50C-407E-A947-70E740481C1C}">
                          <a14:useLocalDpi xmlns:a14="http://schemas.microsoft.com/office/drawing/2010/main" val="0"/>
                        </a:ext>
                      </a:extLst>
                    </a:blip>
                    <a:srcRect l="2567"/>
                    <a:stretch/>
                  </pic:blipFill>
                  <pic:spPr bwMode="auto">
                    <a:xfrm>
                      <a:off x="0" y="0"/>
                      <a:ext cx="4700042" cy="2423370"/>
                    </a:xfrm>
                    <a:prstGeom prst="rect">
                      <a:avLst/>
                    </a:prstGeom>
                    <a:ln>
                      <a:noFill/>
                    </a:ln>
                    <a:extLst>
                      <a:ext uri="{53640926-AAD7-44D8-BBD7-CCE9431645EC}">
                        <a14:shadowObscured xmlns:a14="http://schemas.microsoft.com/office/drawing/2010/main"/>
                      </a:ext>
                    </a:extLst>
                  </pic:spPr>
                </pic:pic>
              </a:graphicData>
            </a:graphic>
          </wp:inline>
        </w:drawing>
      </w:r>
    </w:p>
    <w:p w14:paraId="4AA8BF3F" w14:textId="77777777" w:rsidR="0062478A" w:rsidRPr="007A0287" w:rsidRDefault="0062478A" w:rsidP="007F11CD">
      <w:pPr>
        <w:spacing w:after="0" w:line="360" w:lineRule="auto"/>
        <w:ind w:right="-93"/>
        <w:rPr>
          <w:color w:val="000000"/>
        </w:rPr>
      </w:pPr>
    </w:p>
    <w:p w14:paraId="2ABB8A1B" w14:textId="0BADDBDB" w:rsidR="0062478A" w:rsidRPr="007A0287" w:rsidRDefault="0062478A" w:rsidP="004D4790">
      <w:pPr>
        <w:tabs>
          <w:tab w:val="center" w:pos="4522"/>
        </w:tabs>
        <w:spacing w:after="0" w:line="360" w:lineRule="auto"/>
        <w:contextualSpacing/>
        <w:rPr>
          <w:rFonts w:eastAsia="Calibri" w:cs="Tahoma"/>
          <w:bCs/>
          <w:iCs/>
          <w:color w:val="000000"/>
          <w:szCs w:val="24"/>
        </w:rPr>
      </w:pPr>
      <w:r w:rsidRPr="007A0287">
        <w:rPr>
          <w:rFonts w:eastAsia="Calibri" w:cs="Tahoma"/>
          <w:bCs/>
          <w:iCs/>
          <w:color w:val="000000"/>
          <w:szCs w:val="24"/>
        </w:rPr>
        <w:t xml:space="preserve">De lo anterior, </w:t>
      </w:r>
      <w:r w:rsidR="004D4790" w:rsidRPr="007A0287">
        <w:rPr>
          <w:rFonts w:eastAsia="Calibri" w:cs="Tahoma"/>
          <w:bCs/>
          <w:iCs/>
          <w:color w:val="000000"/>
          <w:szCs w:val="24"/>
        </w:rPr>
        <w:t>se logra advertir que</w:t>
      </w:r>
      <w:r w:rsidRPr="007A0287">
        <w:rPr>
          <w:rFonts w:eastAsia="Calibri" w:cs="Tahoma"/>
          <w:bCs/>
          <w:iCs/>
          <w:color w:val="000000"/>
          <w:szCs w:val="24"/>
        </w:rPr>
        <w:t xml:space="preserve"> el Sujeto Obligado entregó información estadística de las actividades que realizó el Presidente Municipal, desglosado por mes,</w:t>
      </w:r>
      <w:r w:rsidR="004D4790" w:rsidRPr="007A0287">
        <w:rPr>
          <w:rFonts w:eastAsia="Calibri" w:cs="Tahoma"/>
          <w:bCs/>
          <w:iCs/>
          <w:color w:val="000000"/>
          <w:szCs w:val="24"/>
        </w:rPr>
        <w:t xml:space="preserve"> durante la administración 2022-2024, contrario a lo referido por el Particular.</w:t>
      </w:r>
    </w:p>
    <w:p w14:paraId="2626BEB9" w14:textId="77777777" w:rsidR="004D4790" w:rsidRPr="007A0287" w:rsidRDefault="004D4790" w:rsidP="004D4790">
      <w:pPr>
        <w:tabs>
          <w:tab w:val="center" w:pos="4522"/>
        </w:tabs>
        <w:spacing w:after="0" w:line="360" w:lineRule="auto"/>
        <w:contextualSpacing/>
        <w:rPr>
          <w:rFonts w:eastAsia="Calibri" w:cs="Tahoma"/>
          <w:bCs/>
          <w:iCs/>
          <w:color w:val="000000"/>
          <w:szCs w:val="24"/>
        </w:rPr>
      </w:pPr>
    </w:p>
    <w:p w14:paraId="4A196F0A" w14:textId="53032C34" w:rsidR="004D4790" w:rsidRPr="007A0287" w:rsidRDefault="00D60A6B" w:rsidP="004D4790">
      <w:pPr>
        <w:tabs>
          <w:tab w:val="center" w:pos="4522"/>
        </w:tabs>
        <w:spacing w:after="0" w:line="360" w:lineRule="auto"/>
        <w:contextualSpacing/>
        <w:rPr>
          <w:rFonts w:eastAsia="Calibri" w:cs="Tahoma"/>
          <w:bCs/>
          <w:iCs/>
          <w:color w:val="000000"/>
          <w:szCs w:val="24"/>
        </w:rPr>
      </w:pPr>
      <w:r w:rsidRPr="007A0287">
        <w:rPr>
          <w:rFonts w:eastAsia="Calibri" w:cs="Tahoma"/>
          <w:bCs/>
          <w:iCs/>
          <w:color w:val="000000"/>
          <w:szCs w:val="24"/>
        </w:rPr>
        <w:t xml:space="preserve">En otras palabras, el Sujeto Obliga proporcionó el número de actividades realizadas por la Presidencia Municipal por mes, es decir, con el nivel de desagregación solicitado por el Particular; además, este Instituto realizó una búsqueda </w:t>
      </w:r>
      <w:r w:rsidR="006374C7" w:rsidRPr="007A0287">
        <w:rPr>
          <w:rFonts w:eastAsia="Calibri" w:cs="Tahoma"/>
          <w:bCs/>
          <w:iCs/>
          <w:color w:val="000000"/>
          <w:szCs w:val="24"/>
        </w:rPr>
        <w:t xml:space="preserve">en la normatividad aplicable, en la página oficial del Sujeto Obligado y la Plataforma de Información Pública de Oficio Mexiquense y no se adviritió alguna fuente obligacional para generar algún otro documento, al entregado, pues si bien es un documento </w:t>
      </w:r>
      <w:r w:rsidR="006374C7" w:rsidRPr="007A0287">
        <w:rPr>
          <w:rFonts w:eastAsia="Calibri" w:cs="Tahoma"/>
          <w:bCs/>
          <w:i/>
          <w:color w:val="000000"/>
          <w:szCs w:val="24"/>
        </w:rPr>
        <w:t xml:space="preserve">ad hoc, </w:t>
      </w:r>
      <w:r w:rsidR="006374C7" w:rsidRPr="007A0287">
        <w:rPr>
          <w:rFonts w:eastAsia="Calibri" w:cs="Tahoma"/>
          <w:bCs/>
          <w:iCs/>
          <w:color w:val="000000"/>
          <w:szCs w:val="24"/>
        </w:rPr>
        <w:t>fue generado y proporcionado para atender la solicitud de información.</w:t>
      </w:r>
    </w:p>
    <w:p w14:paraId="09D59E97" w14:textId="77777777" w:rsidR="004D4790" w:rsidRPr="007A0287" w:rsidRDefault="004D4790" w:rsidP="004D4790">
      <w:pPr>
        <w:tabs>
          <w:tab w:val="center" w:pos="4522"/>
        </w:tabs>
        <w:spacing w:after="0" w:line="360" w:lineRule="auto"/>
        <w:contextualSpacing/>
        <w:rPr>
          <w:rFonts w:eastAsia="Calibri" w:cs="Tahoma"/>
          <w:bCs/>
          <w:iCs/>
          <w:color w:val="000000"/>
          <w:szCs w:val="24"/>
        </w:rPr>
      </w:pPr>
    </w:p>
    <w:p w14:paraId="20B55EBA" w14:textId="574893A2" w:rsidR="004D4790" w:rsidRPr="007A0287" w:rsidRDefault="006374C7" w:rsidP="004D4790">
      <w:pPr>
        <w:tabs>
          <w:tab w:val="center" w:pos="4522"/>
        </w:tabs>
        <w:spacing w:after="0" w:line="360" w:lineRule="auto"/>
        <w:contextualSpacing/>
        <w:rPr>
          <w:rFonts w:eastAsia="Calibri" w:cs="Tahoma"/>
          <w:bCs/>
          <w:iCs/>
          <w:color w:val="000000"/>
          <w:szCs w:val="24"/>
        </w:rPr>
      </w:pPr>
      <w:r w:rsidRPr="007A0287">
        <w:rPr>
          <w:rFonts w:eastAsia="Calibri" w:cs="Tahoma"/>
          <w:bCs/>
          <w:iCs/>
          <w:color w:val="000000"/>
          <w:szCs w:val="24"/>
        </w:rPr>
        <w:lastRenderedPageBreak/>
        <w:t>Esto es, que en atención al Principio de Máxima Publicidad, la Presidencia Municipal generó un documento el cual contiene la estadística mensual de las actividades realizadas por el Presidente Municipal; por lo que se considera que proporcionó el documento que obraba en sus archivos y que daba cuenta de lo peticionado.</w:t>
      </w:r>
    </w:p>
    <w:p w14:paraId="77ADF0F1" w14:textId="77777777" w:rsidR="0062478A" w:rsidRPr="007A0287" w:rsidRDefault="0062478A" w:rsidP="0062478A">
      <w:pPr>
        <w:spacing w:after="0" w:line="360" w:lineRule="auto"/>
        <w:rPr>
          <w:rFonts w:eastAsia="Calibri" w:cs="Tahoma"/>
          <w:bCs/>
          <w:color w:val="000000"/>
        </w:rPr>
      </w:pPr>
    </w:p>
    <w:p w14:paraId="7A082047" w14:textId="77777777" w:rsidR="007230A0" w:rsidRPr="007A0287" w:rsidRDefault="00622888">
      <w:pPr>
        <w:tabs>
          <w:tab w:val="left" w:pos="4962"/>
        </w:tabs>
        <w:spacing w:after="0" w:line="360" w:lineRule="auto"/>
        <w:rPr>
          <w:color w:val="000000"/>
        </w:rPr>
      </w:pPr>
      <w:r w:rsidRPr="007A0287">
        <w:rPr>
          <w:color w:val="000000"/>
        </w:rPr>
        <w:t>Dicha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4CB43D9" w14:textId="77777777" w:rsidR="007230A0" w:rsidRPr="007A0287" w:rsidRDefault="007230A0">
      <w:pPr>
        <w:tabs>
          <w:tab w:val="left" w:pos="4962"/>
        </w:tabs>
        <w:spacing w:after="0" w:line="360" w:lineRule="auto"/>
        <w:rPr>
          <w:color w:val="000000"/>
        </w:rPr>
      </w:pPr>
    </w:p>
    <w:p w14:paraId="24F69FA5" w14:textId="77777777" w:rsidR="007230A0" w:rsidRPr="007A0287" w:rsidRDefault="00622888">
      <w:pPr>
        <w:spacing w:after="0" w:line="360" w:lineRule="auto"/>
        <w:rPr>
          <w:color w:val="000000"/>
        </w:rPr>
      </w:pPr>
      <w:r w:rsidRPr="007A0287">
        <w:rPr>
          <w:color w:val="000000"/>
        </w:rPr>
        <w:t xml:space="preserve">De esta manera, el derecho de acceso a la información pública se satisface en aquellos casos en que se entregue el soporte documental en el que conste la información solicitada, sin necesidad de elaborar documentos </w:t>
      </w:r>
      <w:r w:rsidRPr="007A0287">
        <w:rPr>
          <w:i/>
          <w:color w:val="000000"/>
        </w:rPr>
        <w:t>ad hoc</w:t>
      </w:r>
      <w:r w:rsidRPr="007A0287">
        <w:rPr>
          <w:color w:val="000000"/>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24573F2E" w14:textId="77777777" w:rsidR="007230A0" w:rsidRPr="007A0287" w:rsidRDefault="007230A0">
      <w:pPr>
        <w:spacing w:after="0" w:line="360" w:lineRule="auto"/>
        <w:ind w:right="-28"/>
        <w:rPr>
          <w:color w:val="000000"/>
        </w:rPr>
      </w:pPr>
    </w:p>
    <w:p w14:paraId="59C4CD7E" w14:textId="3B0A6AE4" w:rsidR="00C179F2" w:rsidRPr="007A0287" w:rsidRDefault="00622888">
      <w:pPr>
        <w:pBdr>
          <w:top w:val="nil"/>
          <w:left w:val="nil"/>
          <w:bottom w:val="nil"/>
          <w:right w:val="nil"/>
          <w:between w:val="nil"/>
        </w:pBdr>
        <w:spacing w:after="0" w:line="360" w:lineRule="auto"/>
        <w:ind w:right="-30"/>
        <w:rPr>
          <w:b/>
          <w:bCs/>
          <w:color w:val="000000"/>
        </w:rPr>
      </w:pPr>
      <w:r w:rsidRPr="007A0287">
        <w:rPr>
          <w:color w:val="000000"/>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006374C7" w:rsidRPr="007A0287">
        <w:rPr>
          <w:color w:val="000000"/>
        </w:rPr>
        <w:t xml:space="preserve">lo cual aconteció, pues si bien no esta obligado a generar documentos </w:t>
      </w:r>
      <w:r w:rsidR="006374C7" w:rsidRPr="007A0287">
        <w:rPr>
          <w:i/>
          <w:iCs/>
          <w:color w:val="000000"/>
        </w:rPr>
        <w:t xml:space="preserve">ad hoc, </w:t>
      </w:r>
      <w:r w:rsidR="006374C7" w:rsidRPr="007A0287">
        <w:rPr>
          <w:color w:val="000000"/>
        </w:rPr>
        <w:t xml:space="preserve">lo cierto es que lo generó y proporcionó para atender la solicitud de información, con el nivel de desglose requerido, tanto en la solicitud, como en el Recurso de Revisión, es decir, a nivel mensual, por lo que, se considera que el agravio es </w:t>
      </w:r>
      <w:r w:rsidR="006374C7" w:rsidRPr="007A0287">
        <w:rPr>
          <w:b/>
          <w:bCs/>
          <w:color w:val="000000"/>
        </w:rPr>
        <w:t>INFUNDADO.</w:t>
      </w:r>
    </w:p>
    <w:p w14:paraId="12DDA44F" w14:textId="77777777" w:rsidR="00EC3764" w:rsidRPr="007A0287" w:rsidRDefault="00EC3764">
      <w:pPr>
        <w:pBdr>
          <w:top w:val="nil"/>
          <w:left w:val="nil"/>
          <w:bottom w:val="nil"/>
          <w:right w:val="nil"/>
          <w:between w:val="nil"/>
        </w:pBdr>
        <w:spacing w:after="0" w:line="360" w:lineRule="auto"/>
        <w:ind w:right="-30"/>
      </w:pPr>
    </w:p>
    <w:p w14:paraId="1DD1E443" w14:textId="526E6425" w:rsidR="00C179F2" w:rsidRPr="007A0287" w:rsidRDefault="00C179F2" w:rsidP="00C179F2">
      <w:pPr>
        <w:spacing w:after="0" w:line="360" w:lineRule="auto"/>
        <w:rPr>
          <w:rFonts w:eastAsia="Times New Roman" w:cs="Tahoma"/>
          <w:b/>
          <w:bCs/>
          <w:lang w:eastAsia="es-ES"/>
        </w:rPr>
      </w:pPr>
      <w:r w:rsidRPr="007A0287">
        <w:rPr>
          <w:rFonts w:eastAsia="Times New Roman" w:cs="Tahoma"/>
          <w:b/>
          <w:bCs/>
          <w:lang w:eastAsia="es-ES"/>
        </w:rPr>
        <w:lastRenderedPageBreak/>
        <w:t>SEXTO. Decisión</w:t>
      </w:r>
    </w:p>
    <w:p w14:paraId="182EACF1" w14:textId="77777777" w:rsidR="00C179F2" w:rsidRPr="007A0287" w:rsidRDefault="00C179F2" w:rsidP="00C179F2">
      <w:pPr>
        <w:spacing w:after="0" w:line="360" w:lineRule="auto"/>
        <w:rPr>
          <w:rFonts w:eastAsia="Times New Roman" w:cs="Tahoma"/>
          <w:b/>
          <w:bCs/>
          <w:lang w:eastAsia="es-ES"/>
        </w:rPr>
      </w:pPr>
    </w:p>
    <w:p w14:paraId="51AD61C8" w14:textId="3DE148C5" w:rsidR="00C179F2" w:rsidRPr="007A0287" w:rsidRDefault="00C179F2" w:rsidP="00C179F2">
      <w:pPr>
        <w:spacing w:after="0" w:line="360" w:lineRule="auto"/>
        <w:rPr>
          <w:rFonts w:cs="Tahoma"/>
        </w:rPr>
      </w:pPr>
      <w:r w:rsidRPr="007A0287">
        <w:rPr>
          <w:rFonts w:cs="Tahoma"/>
        </w:rPr>
        <w:t xml:space="preserve">Con fundamento en el artículo 186, fracción II, de la Ley de Transparencia y Acceso a la Información Pública del Estado de México y Municipios, este Instituto considera procedente </w:t>
      </w:r>
      <w:r w:rsidR="00D8077C" w:rsidRPr="007A0287">
        <w:rPr>
          <w:b/>
          <w:bCs/>
        </w:rPr>
        <w:t>CONFIRMAR</w:t>
      </w:r>
      <w:r w:rsidRPr="007A0287">
        <w:rPr>
          <w:rFonts w:cs="Tahoma"/>
        </w:rPr>
        <w:t xml:space="preserve"> la respuesta otorgada por el Sujeto Obligado</w:t>
      </w:r>
      <w:r w:rsidR="00D8077C" w:rsidRPr="007A0287">
        <w:rPr>
          <w:rFonts w:cs="Tahoma"/>
        </w:rPr>
        <w:t>.</w:t>
      </w:r>
    </w:p>
    <w:p w14:paraId="038D1365" w14:textId="77777777" w:rsidR="00C179F2" w:rsidRPr="007A0287" w:rsidRDefault="00C179F2" w:rsidP="00C179F2">
      <w:pPr>
        <w:spacing w:after="0" w:line="360" w:lineRule="auto"/>
        <w:rPr>
          <w:rFonts w:cs="Tahoma"/>
        </w:rPr>
      </w:pPr>
    </w:p>
    <w:p w14:paraId="562DC615" w14:textId="77777777" w:rsidR="00C179F2" w:rsidRPr="007A0287" w:rsidRDefault="00C179F2" w:rsidP="00C179F2">
      <w:pPr>
        <w:spacing w:after="0" w:line="360" w:lineRule="auto"/>
        <w:rPr>
          <w:b/>
        </w:rPr>
      </w:pPr>
      <w:r w:rsidRPr="007A0287">
        <w:rPr>
          <w:b/>
        </w:rPr>
        <w:t>Términos de la Resolución para conocimiento del Particular</w:t>
      </w:r>
    </w:p>
    <w:p w14:paraId="3514FCE7" w14:textId="77777777" w:rsidR="00C179F2" w:rsidRPr="007A0287" w:rsidRDefault="00C179F2" w:rsidP="00C179F2">
      <w:pPr>
        <w:spacing w:after="0" w:line="360" w:lineRule="auto"/>
        <w:rPr>
          <w:b/>
        </w:rPr>
      </w:pPr>
    </w:p>
    <w:p w14:paraId="445122C1" w14:textId="77777777" w:rsidR="006374C7" w:rsidRPr="007A0287" w:rsidRDefault="006374C7" w:rsidP="006374C7">
      <w:pPr>
        <w:widowControl w:val="0"/>
        <w:spacing w:line="360" w:lineRule="auto"/>
        <w:contextualSpacing/>
        <w:rPr>
          <w:rFonts w:eastAsia="Calibri" w:cs="Tahoma"/>
          <w:bCs/>
          <w:iCs/>
          <w:color w:val="000000"/>
        </w:rPr>
      </w:pPr>
      <w:r w:rsidRPr="007A0287">
        <w:rPr>
          <w:rFonts w:eastAsia="Calibri" w:cs="Tahoma"/>
          <w:bCs/>
          <w:iCs/>
          <w:color w:val="000000"/>
        </w:rPr>
        <w:t xml:space="preserve">Se le hace del conocimiento al Particular, que, en el presente caso, no se le da la razón, pues  contrario a lo referido, el Sujeto Obligado entregó la estadística con el nivel de desglose solicitado. </w:t>
      </w:r>
    </w:p>
    <w:p w14:paraId="1535BC22" w14:textId="77777777" w:rsidR="006374C7" w:rsidRPr="007A0287" w:rsidRDefault="006374C7" w:rsidP="006374C7">
      <w:pPr>
        <w:widowControl w:val="0"/>
        <w:spacing w:line="360" w:lineRule="auto"/>
        <w:contextualSpacing/>
        <w:rPr>
          <w:rFonts w:eastAsia="Calibri" w:cs="Tahoma"/>
          <w:bCs/>
          <w:iCs/>
          <w:color w:val="000000"/>
        </w:rPr>
      </w:pPr>
    </w:p>
    <w:p w14:paraId="6AEC4A63" w14:textId="77AF2545" w:rsidR="006374C7" w:rsidRPr="007A0287" w:rsidRDefault="006374C7" w:rsidP="006374C7">
      <w:pPr>
        <w:widowControl w:val="0"/>
        <w:spacing w:line="360" w:lineRule="auto"/>
        <w:contextualSpacing/>
        <w:rPr>
          <w:rFonts w:eastAsia="Calibri" w:cs="Tahoma"/>
          <w:bCs/>
          <w:iCs/>
        </w:rPr>
      </w:pPr>
      <w:r w:rsidRPr="007A0287">
        <w:rPr>
          <w:rFonts w:eastAsia="Calibri" w:cs="Tahoma"/>
          <w:bCs/>
          <w:iCs/>
        </w:rPr>
        <w:t>La labor del Instituto, es apoyar a la población a acceder a la información pública y garantizar la protección de los datos personales.</w:t>
      </w:r>
    </w:p>
    <w:p w14:paraId="03B1900B" w14:textId="77777777" w:rsidR="00C179F2" w:rsidRPr="007A0287" w:rsidRDefault="00C179F2" w:rsidP="00C179F2">
      <w:pPr>
        <w:spacing w:after="0" w:line="360" w:lineRule="auto"/>
      </w:pPr>
    </w:p>
    <w:p w14:paraId="4DEFA20E" w14:textId="77777777" w:rsidR="00C179F2" w:rsidRPr="007A0287" w:rsidRDefault="00C179F2" w:rsidP="00C179F2">
      <w:pPr>
        <w:spacing w:after="0" w:line="360" w:lineRule="auto"/>
      </w:pPr>
      <w:r w:rsidRPr="007A0287">
        <w:t>Por lo expuesto y fundado, este Pleno:</w:t>
      </w:r>
    </w:p>
    <w:p w14:paraId="7D28C56E" w14:textId="77777777" w:rsidR="00C179F2" w:rsidRPr="007A0287" w:rsidRDefault="00C179F2" w:rsidP="00C179F2">
      <w:pPr>
        <w:spacing w:after="0" w:line="360" w:lineRule="auto"/>
        <w:rPr>
          <w:b/>
        </w:rPr>
      </w:pPr>
    </w:p>
    <w:p w14:paraId="202AFEB4" w14:textId="77777777" w:rsidR="00C179F2" w:rsidRPr="007A0287" w:rsidRDefault="00C179F2" w:rsidP="00C179F2">
      <w:pPr>
        <w:spacing w:after="0" w:line="360" w:lineRule="auto"/>
        <w:ind w:left="720" w:hanging="720"/>
        <w:jc w:val="center"/>
        <w:rPr>
          <w:b/>
        </w:rPr>
      </w:pPr>
      <w:r w:rsidRPr="007A0287">
        <w:rPr>
          <w:b/>
        </w:rPr>
        <w:t>R E S U E L V E</w:t>
      </w:r>
    </w:p>
    <w:p w14:paraId="4A55E452" w14:textId="77777777" w:rsidR="006374C7" w:rsidRPr="007A0287" w:rsidRDefault="006374C7" w:rsidP="00C179F2">
      <w:pPr>
        <w:spacing w:after="0" w:line="360" w:lineRule="auto"/>
        <w:ind w:left="720" w:hanging="720"/>
        <w:jc w:val="center"/>
        <w:rPr>
          <w:b/>
        </w:rPr>
      </w:pPr>
    </w:p>
    <w:p w14:paraId="038A4F9D" w14:textId="25F718F9" w:rsidR="006374C7" w:rsidRPr="007A0287" w:rsidRDefault="006374C7" w:rsidP="006374C7">
      <w:pPr>
        <w:spacing w:after="0" w:line="360" w:lineRule="auto"/>
        <w:contextualSpacing/>
        <w:rPr>
          <w:rFonts w:eastAsia="Calibri" w:cs="Tahoma"/>
          <w:iCs/>
        </w:rPr>
      </w:pPr>
      <w:r w:rsidRPr="007A0287">
        <w:rPr>
          <w:rFonts w:eastAsia="Calibri" w:cs="Tahoma"/>
          <w:b/>
          <w:iCs/>
        </w:rPr>
        <w:t>PRIMERO.</w:t>
      </w:r>
      <w:r w:rsidRPr="007A0287">
        <w:rPr>
          <w:rFonts w:eastAsia="Calibri" w:cs="Tahoma"/>
          <w:bCs/>
          <w:iCs/>
        </w:rPr>
        <w:t xml:space="preserve"> Se </w:t>
      </w:r>
      <w:r w:rsidRPr="007A0287">
        <w:rPr>
          <w:rFonts w:eastAsia="Calibri" w:cs="Tahoma"/>
          <w:b/>
          <w:bCs/>
          <w:iCs/>
        </w:rPr>
        <w:t xml:space="preserve">CONFIRMA </w:t>
      </w:r>
      <w:r w:rsidRPr="007A0287">
        <w:rPr>
          <w:rFonts w:eastAsia="Calibri" w:cs="Tahoma"/>
          <w:iCs/>
        </w:rPr>
        <w:t xml:space="preserve">la respuesta entregada por el Sujeto Obligado a la solicitud de acceso a la información </w:t>
      </w:r>
      <w:r w:rsidRPr="007A0287">
        <w:rPr>
          <w:rFonts w:cs="Tahoma"/>
          <w:color w:val="0D0D0D" w:themeColor="text1" w:themeTint="F2"/>
        </w:rPr>
        <w:t>con número de folio</w:t>
      </w:r>
      <w:r w:rsidRPr="007A0287">
        <w:rPr>
          <w:b/>
          <w:bCs/>
          <w:color w:val="FF0000"/>
        </w:rPr>
        <w:t> </w:t>
      </w:r>
      <w:r w:rsidRPr="007A0287">
        <w:t>00443/TEMAMATL/IP/2024</w:t>
      </w:r>
      <w:r w:rsidRPr="007A0287">
        <w:rPr>
          <w:rFonts w:cs="Tahoma"/>
          <w:bCs/>
          <w:color w:val="0D0D0D" w:themeColor="text1" w:themeTint="F2"/>
        </w:rPr>
        <w:t xml:space="preserve">, </w:t>
      </w:r>
      <w:r w:rsidRPr="007A0287">
        <w:rPr>
          <w:rFonts w:eastAsia="Calibri" w:cs="Tahoma"/>
          <w:bCs/>
          <w:iCs/>
        </w:rPr>
        <w:t xml:space="preserve">por resultar </w:t>
      </w:r>
      <w:r w:rsidRPr="007A0287">
        <w:rPr>
          <w:rFonts w:eastAsia="Calibri" w:cs="Tahoma"/>
          <w:b/>
          <w:bCs/>
          <w:iCs/>
        </w:rPr>
        <w:t>INFUNDADAS</w:t>
      </w:r>
      <w:r w:rsidRPr="007A0287">
        <w:rPr>
          <w:rFonts w:eastAsia="Calibri" w:cs="Tahoma"/>
          <w:bCs/>
          <w:iCs/>
        </w:rPr>
        <w:t xml:space="preserve"> las razones o motivos de inconformidad hechas valer por la persona Recurrente, en términos de los Considerandos </w:t>
      </w:r>
      <w:r w:rsidRPr="007A0287">
        <w:rPr>
          <w:rFonts w:eastAsia="Calibri" w:cs="Tahoma"/>
          <w:iCs/>
        </w:rPr>
        <w:t>QUINTO y SEXTO de esta Resolución.</w:t>
      </w:r>
    </w:p>
    <w:p w14:paraId="2C7A0F0A" w14:textId="77777777" w:rsidR="00C179F2" w:rsidRPr="007A0287" w:rsidRDefault="00C179F2" w:rsidP="00C179F2">
      <w:pPr>
        <w:spacing w:after="0" w:line="360" w:lineRule="auto"/>
      </w:pPr>
    </w:p>
    <w:p w14:paraId="70F2F2D8" w14:textId="77777777" w:rsidR="006374C7" w:rsidRPr="007A0287" w:rsidRDefault="006374C7" w:rsidP="006374C7">
      <w:pPr>
        <w:spacing w:after="0" w:line="360" w:lineRule="auto"/>
        <w:rPr>
          <w:rFonts w:eastAsia="Calibri" w:cs="Tahoma"/>
          <w:b/>
          <w:bCs/>
          <w:iCs/>
        </w:rPr>
      </w:pPr>
      <w:r w:rsidRPr="007A0287">
        <w:rPr>
          <w:rFonts w:eastAsia="Calibri" w:cs="Tahoma"/>
          <w:b/>
          <w:bCs/>
          <w:iCs/>
        </w:rPr>
        <w:t xml:space="preserve">SEGUNDO. NOTIFÍQUESE POR SAIMEX </w:t>
      </w:r>
      <w:r w:rsidRPr="007A0287">
        <w:rPr>
          <w:rFonts w:eastAsia="Calibri" w:cs="Tahoma"/>
          <w:iCs/>
        </w:rPr>
        <w:t>la presente Resolución, al Titular de la Unidad de Transparencia del Sujeto Obligado.</w:t>
      </w:r>
    </w:p>
    <w:p w14:paraId="335B2BD3" w14:textId="77777777" w:rsidR="006374C7" w:rsidRPr="007A0287" w:rsidRDefault="006374C7" w:rsidP="006374C7">
      <w:pPr>
        <w:spacing w:after="0" w:line="360" w:lineRule="auto"/>
        <w:rPr>
          <w:rFonts w:eastAsia="Calibri" w:cs="Tahoma"/>
          <w:b/>
          <w:bCs/>
          <w:i/>
          <w:iCs/>
        </w:rPr>
      </w:pPr>
    </w:p>
    <w:p w14:paraId="4BAD11F2" w14:textId="77777777" w:rsidR="006374C7" w:rsidRPr="007A0287" w:rsidRDefault="006374C7" w:rsidP="006374C7">
      <w:pPr>
        <w:spacing w:after="0" w:line="360" w:lineRule="auto"/>
        <w:rPr>
          <w:rFonts w:eastAsia="Calibri" w:cs="Tahoma"/>
          <w:iCs/>
        </w:rPr>
      </w:pPr>
      <w:r w:rsidRPr="007A0287">
        <w:rPr>
          <w:rFonts w:eastAsia="Calibri" w:cs="Tahoma"/>
          <w:b/>
          <w:bCs/>
          <w:iCs/>
        </w:rPr>
        <w:lastRenderedPageBreak/>
        <w:t xml:space="preserve">TERCERO. NOTIFÍQUESE POR SAIMEX </w:t>
      </w:r>
      <w:r w:rsidRPr="007A0287">
        <w:rPr>
          <w:rFonts w:eastAsia="Calibri" w:cs="Tahoma"/>
          <w:iCs/>
        </w:rPr>
        <w:t>a la persona Recurrente, la presente Resolución</w:t>
      </w:r>
      <w:r w:rsidRPr="007A0287">
        <w:rPr>
          <w:rFonts w:eastAsia="Calibri" w:cs="Tahoma"/>
          <w:lang w:val="es-ES"/>
        </w:rPr>
        <w:t>,</w:t>
      </w:r>
      <w:r w:rsidRPr="007A0287">
        <w:rPr>
          <w:rFonts w:eastAsia="Calibri" w:cs="Tahoma"/>
          <w:iCs/>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35FAB3B" w14:textId="77777777" w:rsidR="006374C7" w:rsidRPr="007A0287" w:rsidRDefault="006374C7" w:rsidP="00C179F2">
      <w:pPr>
        <w:spacing w:after="0" w:line="360" w:lineRule="auto"/>
      </w:pPr>
    </w:p>
    <w:p w14:paraId="05E9FE91" w14:textId="092338F8" w:rsidR="00C179F2" w:rsidRDefault="00C179F2" w:rsidP="00C179F2">
      <w:pPr>
        <w:spacing w:after="0" w:line="360" w:lineRule="auto"/>
      </w:pPr>
      <w:r w:rsidRPr="007A0287">
        <w:t>ASÍ LO RESUELVE, POR </w:t>
      </w:r>
      <w:r w:rsidRPr="007A0287">
        <w:rPr>
          <w:b/>
        </w:rPr>
        <w:t>UNANIMIDAD</w:t>
      </w:r>
      <w:r w:rsidRPr="007A0287">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B26CE" w:rsidRPr="007A0287">
        <w:t>CUADRAGÉSIMA</w:t>
      </w:r>
      <w:r w:rsidR="006374C7" w:rsidRPr="007A0287">
        <w:t xml:space="preserve"> PRIMERA</w:t>
      </w:r>
      <w:r w:rsidRPr="007A0287">
        <w:t xml:space="preserve"> SESIÓN ORDINARIA, CELEBRADA EL </w:t>
      </w:r>
      <w:r w:rsidR="006374C7" w:rsidRPr="007A0287">
        <w:t>VEINTI</w:t>
      </w:r>
      <w:r w:rsidR="00D8077C" w:rsidRPr="007A0287">
        <w:t>SIETE</w:t>
      </w:r>
      <w:r w:rsidRPr="007A0287">
        <w:t xml:space="preserve"> DE NOVIEMBRE DE DOS MIL VEINTICUATRO, ANTE EL SECRETARIO TÉCNICO DEL PLENO, ALEXIS TAPIA RAMÍREZ.</w:t>
      </w:r>
    </w:p>
    <w:p w14:paraId="4BC69F16" w14:textId="77777777" w:rsidR="00C179F2" w:rsidRDefault="00C179F2">
      <w:pPr>
        <w:pBdr>
          <w:top w:val="nil"/>
          <w:left w:val="nil"/>
          <w:bottom w:val="nil"/>
          <w:right w:val="nil"/>
          <w:between w:val="nil"/>
        </w:pBdr>
        <w:spacing w:after="0" w:line="360" w:lineRule="auto"/>
        <w:ind w:right="-30"/>
        <w:rPr>
          <w:color w:val="000000"/>
        </w:rPr>
      </w:pPr>
    </w:p>
    <w:p w14:paraId="6EE71772" w14:textId="77777777" w:rsidR="00C179F2" w:rsidRDefault="00C179F2">
      <w:pPr>
        <w:pBdr>
          <w:top w:val="nil"/>
          <w:left w:val="nil"/>
          <w:bottom w:val="nil"/>
          <w:right w:val="nil"/>
          <w:between w:val="nil"/>
        </w:pBdr>
        <w:spacing w:after="0" w:line="360" w:lineRule="auto"/>
        <w:ind w:right="-30"/>
        <w:rPr>
          <w:color w:val="000000"/>
        </w:rPr>
      </w:pPr>
    </w:p>
    <w:p w14:paraId="689B368E" w14:textId="77777777" w:rsidR="00C179F2" w:rsidRDefault="00C179F2">
      <w:pPr>
        <w:pBdr>
          <w:top w:val="nil"/>
          <w:left w:val="nil"/>
          <w:bottom w:val="nil"/>
          <w:right w:val="nil"/>
          <w:between w:val="nil"/>
        </w:pBdr>
        <w:spacing w:after="0" w:line="360" w:lineRule="auto"/>
        <w:ind w:right="-30"/>
        <w:rPr>
          <w:color w:val="000000"/>
        </w:rPr>
      </w:pPr>
    </w:p>
    <w:p w14:paraId="0BDF365B" w14:textId="77777777" w:rsidR="00C179F2" w:rsidRDefault="00C179F2">
      <w:pPr>
        <w:pBdr>
          <w:top w:val="nil"/>
          <w:left w:val="nil"/>
          <w:bottom w:val="nil"/>
          <w:right w:val="nil"/>
          <w:between w:val="nil"/>
        </w:pBdr>
        <w:spacing w:after="0" w:line="360" w:lineRule="auto"/>
        <w:ind w:right="-30"/>
        <w:rPr>
          <w:color w:val="000000"/>
        </w:rPr>
      </w:pPr>
    </w:p>
    <w:p w14:paraId="46255FF4" w14:textId="77777777" w:rsidR="00C179F2" w:rsidRDefault="00C179F2">
      <w:pPr>
        <w:pBdr>
          <w:top w:val="nil"/>
          <w:left w:val="nil"/>
          <w:bottom w:val="nil"/>
          <w:right w:val="nil"/>
          <w:between w:val="nil"/>
        </w:pBdr>
        <w:spacing w:after="0" w:line="360" w:lineRule="auto"/>
        <w:ind w:right="-30"/>
        <w:rPr>
          <w:color w:val="000000"/>
        </w:rPr>
      </w:pPr>
    </w:p>
    <w:p w14:paraId="74B038C3" w14:textId="77777777" w:rsidR="007230A0" w:rsidRDefault="007230A0">
      <w:pPr>
        <w:spacing w:after="0" w:line="360" w:lineRule="auto"/>
        <w:ind w:right="-28"/>
        <w:rPr>
          <w:color w:val="000000"/>
        </w:rPr>
      </w:pPr>
    </w:p>
    <w:p w14:paraId="277E8B59" w14:textId="77777777" w:rsidR="007230A0" w:rsidRDefault="007230A0">
      <w:pPr>
        <w:spacing w:after="0" w:line="360" w:lineRule="auto"/>
        <w:ind w:right="-28"/>
        <w:rPr>
          <w:color w:val="000000"/>
        </w:rPr>
      </w:pPr>
    </w:p>
    <w:p w14:paraId="3CB4AE92" w14:textId="77777777" w:rsidR="007230A0" w:rsidRDefault="00622888">
      <w:pPr>
        <w:spacing w:after="0" w:line="360" w:lineRule="auto"/>
        <w:rPr>
          <w:color w:val="000000"/>
        </w:rPr>
      </w:pPr>
      <w:r>
        <w:rPr>
          <w:color w:val="000000"/>
        </w:rPr>
        <w:t xml:space="preserve"> </w:t>
      </w:r>
    </w:p>
    <w:p w14:paraId="7A99FDB0" w14:textId="77777777" w:rsidR="007230A0" w:rsidRDefault="007230A0">
      <w:pPr>
        <w:spacing w:after="0" w:line="360" w:lineRule="auto"/>
        <w:rPr>
          <w:color w:val="000000"/>
        </w:rPr>
      </w:pPr>
    </w:p>
    <w:p w14:paraId="00A6434D" w14:textId="77777777" w:rsidR="007230A0" w:rsidRDefault="007230A0">
      <w:pPr>
        <w:tabs>
          <w:tab w:val="left" w:pos="993"/>
        </w:tabs>
        <w:spacing w:after="0" w:line="360" w:lineRule="auto"/>
        <w:ind w:right="-28"/>
      </w:pPr>
    </w:p>
    <w:p w14:paraId="057085EB" w14:textId="77777777" w:rsidR="007230A0" w:rsidRDefault="007230A0">
      <w:pPr>
        <w:widowControl w:val="0"/>
        <w:spacing w:after="0" w:line="360" w:lineRule="auto"/>
        <w:rPr>
          <w:color w:val="000000"/>
        </w:rPr>
      </w:pPr>
    </w:p>
    <w:p w14:paraId="43C876D3" w14:textId="77777777" w:rsidR="007230A0" w:rsidRDefault="007230A0">
      <w:pPr>
        <w:spacing w:after="0" w:line="360" w:lineRule="auto"/>
      </w:pPr>
    </w:p>
    <w:p w14:paraId="5AC00D16" w14:textId="77777777" w:rsidR="007230A0" w:rsidRDefault="007230A0">
      <w:pPr>
        <w:spacing w:after="0" w:line="360" w:lineRule="auto"/>
      </w:pPr>
      <w:bookmarkStart w:id="4" w:name="_GoBack"/>
      <w:bookmarkEnd w:id="4"/>
    </w:p>
    <w:sectPr w:rsidR="007230A0">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57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FF9BD" w14:textId="77777777" w:rsidR="007C04D7" w:rsidRDefault="007C04D7">
      <w:pPr>
        <w:spacing w:after="0" w:line="240" w:lineRule="auto"/>
      </w:pPr>
      <w:r>
        <w:separator/>
      </w:r>
    </w:p>
  </w:endnote>
  <w:endnote w:type="continuationSeparator" w:id="0">
    <w:p w14:paraId="02921DB6" w14:textId="77777777" w:rsidR="007C04D7" w:rsidRDefault="007C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3CCD4" w14:textId="77777777" w:rsidR="007230A0" w:rsidRDefault="0062288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B24A9">
      <w:rPr>
        <w:b/>
        <w:noProof/>
        <w:color w:val="000000"/>
        <w:sz w:val="24"/>
        <w:szCs w:val="24"/>
      </w:rPr>
      <w:t>15</w:t>
    </w:r>
    <w:r>
      <w:rPr>
        <w:b/>
        <w:color w:val="000000"/>
        <w:sz w:val="24"/>
        <w:szCs w:val="24"/>
      </w:rPr>
      <w:fldChar w:fldCharType="end"/>
    </w:r>
  </w:p>
  <w:p w14:paraId="62B5D17B" w14:textId="77777777" w:rsidR="007230A0" w:rsidRDefault="007230A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BCAC" w14:textId="77777777" w:rsidR="007230A0" w:rsidRDefault="0062288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C2581">
      <w:rPr>
        <w:b/>
        <w:noProof/>
        <w:color w:val="000000"/>
        <w:sz w:val="24"/>
        <w:szCs w:val="24"/>
      </w:rPr>
      <w:t>14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C2581">
      <w:rPr>
        <w:b/>
        <w:noProof/>
        <w:color w:val="000000"/>
        <w:sz w:val="24"/>
        <w:szCs w:val="24"/>
      </w:rPr>
      <w:t>14</w:t>
    </w:r>
    <w:r>
      <w:rPr>
        <w:b/>
        <w:color w:val="000000"/>
        <w:sz w:val="24"/>
        <w:szCs w:val="24"/>
      </w:rPr>
      <w:fldChar w:fldCharType="end"/>
    </w:r>
  </w:p>
  <w:p w14:paraId="56830101" w14:textId="77777777" w:rsidR="007230A0" w:rsidRDefault="007230A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84E19" w14:textId="77777777" w:rsidR="007230A0" w:rsidRDefault="0062288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C258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C2581">
      <w:rPr>
        <w:b/>
        <w:noProof/>
        <w:color w:val="000000"/>
        <w:sz w:val="24"/>
        <w:szCs w:val="24"/>
      </w:rPr>
      <w:t>14</w:t>
    </w:r>
    <w:r>
      <w:rPr>
        <w:b/>
        <w:color w:val="000000"/>
        <w:sz w:val="24"/>
        <w:szCs w:val="24"/>
      </w:rPr>
      <w:fldChar w:fldCharType="end"/>
    </w:r>
  </w:p>
  <w:p w14:paraId="1FC8DAD8" w14:textId="77777777" w:rsidR="007230A0" w:rsidRDefault="007230A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8DE1E" w14:textId="77777777" w:rsidR="007C04D7" w:rsidRDefault="007C04D7">
      <w:pPr>
        <w:spacing w:after="0" w:line="240" w:lineRule="auto"/>
      </w:pPr>
      <w:r>
        <w:separator/>
      </w:r>
    </w:p>
  </w:footnote>
  <w:footnote w:type="continuationSeparator" w:id="0">
    <w:p w14:paraId="1F4E1994" w14:textId="77777777" w:rsidR="007C04D7" w:rsidRDefault="007C0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78FF" w14:textId="77777777" w:rsidR="007230A0" w:rsidRDefault="007230A0">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7230A0" w14:paraId="28D95669" w14:textId="77777777">
      <w:trPr>
        <w:trHeight w:val="132"/>
      </w:trPr>
      <w:tc>
        <w:tcPr>
          <w:tcW w:w="2691" w:type="dxa"/>
        </w:tcPr>
        <w:p w14:paraId="4D149DB0" w14:textId="77777777" w:rsidR="007230A0" w:rsidRDefault="00622888">
          <w:pPr>
            <w:tabs>
              <w:tab w:val="right" w:pos="8838"/>
            </w:tabs>
            <w:ind w:right="-105"/>
            <w:rPr>
              <w:b/>
            </w:rPr>
          </w:pPr>
          <w:r>
            <w:rPr>
              <w:b/>
            </w:rPr>
            <w:t>Recurso de Revisión:</w:t>
          </w:r>
        </w:p>
      </w:tc>
      <w:tc>
        <w:tcPr>
          <w:tcW w:w="3405" w:type="dxa"/>
        </w:tcPr>
        <w:p w14:paraId="2AF2349E" w14:textId="77777777" w:rsidR="007230A0" w:rsidRDefault="00622888">
          <w:pPr>
            <w:tabs>
              <w:tab w:val="right" w:pos="8838"/>
            </w:tabs>
            <w:ind w:left="-28" w:right="-32"/>
          </w:pPr>
          <w:r>
            <w:t>03846/INFOEM/IP/RR/2020</w:t>
          </w:r>
        </w:p>
      </w:tc>
    </w:tr>
    <w:tr w:rsidR="007230A0" w14:paraId="289BE36D" w14:textId="77777777">
      <w:trPr>
        <w:trHeight w:val="261"/>
      </w:trPr>
      <w:tc>
        <w:tcPr>
          <w:tcW w:w="2691" w:type="dxa"/>
        </w:tcPr>
        <w:p w14:paraId="34D4B8C9" w14:textId="77777777" w:rsidR="007230A0" w:rsidRDefault="00622888">
          <w:pPr>
            <w:tabs>
              <w:tab w:val="right" w:pos="8838"/>
            </w:tabs>
            <w:ind w:right="-105"/>
            <w:rPr>
              <w:b/>
            </w:rPr>
          </w:pPr>
          <w:r>
            <w:rPr>
              <w:b/>
            </w:rPr>
            <w:t>Sujeto Obligado:</w:t>
          </w:r>
        </w:p>
      </w:tc>
      <w:tc>
        <w:tcPr>
          <w:tcW w:w="3405" w:type="dxa"/>
        </w:tcPr>
        <w:p w14:paraId="5FC1CB2A" w14:textId="77777777" w:rsidR="007230A0" w:rsidRDefault="00622888">
          <w:pPr>
            <w:tabs>
              <w:tab w:val="right" w:pos="8838"/>
            </w:tabs>
            <w:ind w:right="-32"/>
          </w:pPr>
          <w:r>
            <w:t>Ayuntamiento de Valle de Chalco Solidaridad</w:t>
          </w:r>
        </w:p>
      </w:tc>
    </w:tr>
    <w:tr w:rsidR="007230A0" w14:paraId="7A586643" w14:textId="77777777">
      <w:trPr>
        <w:trHeight w:val="261"/>
      </w:trPr>
      <w:tc>
        <w:tcPr>
          <w:tcW w:w="2691" w:type="dxa"/>
        </w:tcPr>
        <w:p w14:paraId="7F7085EA" w14:textId="77777777" w:rsidR="007230A0" w:rsidRDefault="00622888">
          <w:pPr>
            <w:tabs>
              <w:tab w:val="right" w:pos="8838"/>
            </w:tabs>
            <w:ind w:right="-105"/>
            <w:rPr>
              <w:b/>
            </w:rPr>
          </w:pPr>
          <w:r>
            <w:rPr>
              <w:b/>
            </w:rPr>
            <w:t>Comisionado Ponente:</w:t>
          </w:r>
        </w:p>
      </w:tc>
      <w:tc>
        <w:tcPr>
          <w:tcW w:w="3405" w:type="dxa"/>
        </w:tcPr>
        <w:p w14:paraId="1ACE607D" w14:textId="77777777" w:rsidR="007230A0" w:rsidRDefault="00622888">
          <w:pPr>
            <w:tabs>
              <w:tab w:val="right" w:pos="8838"/>
            </w:tabs>
            <w:ind w:right="-32"/>
            <w:rPr>
              <w:b/>
            </w:rPr>
          </w:pPr>
          <w:r>
            <w:t>Luis Gustavo Parra Noriega</w:t>
          </w:r>
        </w:p>
      </w:tc>
    </w:tr>
  </w:tbl>
  <w:p w14:paraId="2C5803CA" w14:textId="77777777" w:rsidR="007230A0" w:rsidRDefault="007C04D7">
    <w:pPr>
      <w:pBdr>
        <w:top w:val="nil"/>
        <w:left w:val="nil"/>
        <w:bottom w:val="nil"/>
        <w:right w:val="nil"/>
        <w:between w:val="nil"/>
      </w:pBdr>
      <w:tabs>
        <w:tab w:val="center" w:pos="4419"/>
        <w:tab w:val="right" w:pos="8838"/>
      </w:tabs>
      <w:spacing w:after="0" w:line="240" w:lineRule="auto"/>
      <w:rPr>
        <w:color w:val="000000"/>
      </w:rPr>
    </w:pPr>
    <w:r>
      <w:rPr>
        <w:color w:val="000000"/>
      </w:rPr>
      <w:pict w14:anchorId="78624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9D09" w14:textId="77777777" w:rsidR="007230A0" w:rsidRDefault="007230A0">
    <w:pPr>
      <w:widowControl w:val="0"/>
      <w:pBdr>
        <w:top w:val="nil"/>
        <w:left w:val="nil"/>
        <w:bottom w:val="nil"/>
        <w:right w:val="nil"/>
        <w:between w:val="nil"/>
      </w:pBdr>
      <w:spacing w:after="0" w:line="276" w:lineRule="auto"/>
      <w:jc w:val="left"/>
      <w:rPr>
        <w:color w:val="000000"/>
      </w:rPr>
    </w:pPr>
  </w:p>
  <w:tbl>
    <w:tblPr>
      <w:tblStyle w:val="a0"/>
      <w:tblW w:w="6804"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1"/>
      <w:gridCol w:w="4403"/>
    </w:tblGrid>
    <w:tr w:rsidR="007230A0" w14:paraId="4D060B57" w14:textId="77777777" w:rsidTr="00ED3FE3">
      <w:trPr>
        <w:trHeight w:val="138"/>
      </w:trPr>
      <w:tc>
        <w:tcPr>
          <w:tcW w:w="2401" w:type="dxa"/>
          <w:vAlign w:val="center"/>
        </w:tcPr>
        <w:p w14:paraId="109D59EF" w14:textId="77777777" w:rsidR="007230A0" w:rsidRDefault="00622888">
          <w:pPr>
            <w:tabs>
              <w:tab w:val="right" w:pos="8838"/>
            </w:tabs>
            <w:ind w:right="-105"/>
            <w:jc w:val="left"/>
            <w:rPr>
              <w:b/>
            </w:rPr>
          </w:pPr>
          <w:r>
            <w:rPr>
              <w:b/>
            </w:rPr>
            <w:t>Recurso de Revisión:</w:t>
          </w:r>
        </w:p>
      </w:tc>
      <w:tc>
        <w:tcPr>
          <w:tcW w:w="4403" w:type="dxa"/>
        </w:tcPr>
        <w:p w14:paraId="7F8FDC5E" w14:textId="5E93F47F" w:rsidR="007230A0" w:rsidRDefault="00622888">
          <w:pPr>
            <w:tabs>
              <w:tab w:val="right" w:pos="8838"/>
            </w:tabs>
            <w:ind w:right="-32"/>
          </w:pPr>
          <w:r>
            <w:t>0</w:t>
          </w:r>
          <w:r w:rsidR="00ED3FE3">
            <w:t>6</w:t>
          </w:r>
          <w:r w:rsidR="00EC1370">
            <w:t>706</w:t>
          </w:r>
          <w:r>
            <w:t>/INFOEM/IP/RR/2024</w:t>
          </w:r>
        </w:p>
      </w:tc>
    </w:tr>
    <w:tr w:rsidR="007230A0" w14:paraId="2B5B99BB" w14:textId="77777777" w:rsidTr="00ED3FE3">
      <w:trPr>
        <w:trHeight w:val="273"/>
      </w:trPr>
      <w:tc>
        <w:tcPr>
          <w:tcW w:w="2401" w:type="dxa"/>
        </w:tcPr>
        <w:p w14:paraId="7BEDF8EB" w14:textId="77777777" w:rsidR="007230A0" w:rsidRDefault="00622888">
          <w:pPr>
            <w:tabs>
              <w:tab w:val="right" w:pos="8838"/>
            </w:tabs>
            <w:ind w:right="-105"/>
            <w:rPr>
              <w:b/>
            </w:rPr>
          </w:pPr>
          <w:r>
            <w:rPr>
              <w:b/>
            </w:rPr>
            <w:t>Sujeto Obligado:</w:t>
          </w:r>
        </w:p>
      </w:tc>
      <w:tc>
        <w:tcPr>
          <w:tcW w:w="4403" w:type="dxa"/>
        </w:tcPr>
        <w:p w14:paraId="73735A49" w14:textId="05B5BD22" w:rsidR="007230A0" w:rsidRDefault="00ED3FE3">
          <w:pPr>
            <w:tabs>
              <w:tab w:val="right" w:pos="8838"/>
            </w:tabs>
            <w:ind w:left="-28" w:right="741"/>
          </w:pPr>
          <w:r>
            <w:t>Ayuntamiento de Temamatla</w:t>
          </w:r>
        </w:p>
      </w:tc>
    </w:tr>
    <w:tr w:rsidR="007230A0" w14:paraId="7313C2EB" w14:textId="77777777" w:rsidTr="00ED3FE3">
      <w:trPr>
        <w:trHeight w:val="273"/>
      </w:trPr>
      <w:tc>
        <w:tcPr>
          <w:tcW w:w="2401" w:type="dxa"/>
        </w:tcPr>
        <w:p w14:paraId="74257478" w14:textId="77777777" w:rsidR="007230A0" w:rsidRDefault="00622888">
          <w:pPr>
            <w:tabs>
              <w:tab w:val="right" w:pos="8838"/>
            </w:tabs>
            <w:ind w:right="-105"/>
            <w:rPr>
              <w:b/>
            </w:rPr>
          </w:pPr>
          <w:r>
            <w:rPr>
              <w:b/>
            </w:rPr>
            <w:t>Comisionado Ponente:</w:t>
          </w:r>
        </w:p>
      </w:tc>
      <w:tc>
        <w:tcPr>
          <w:tcW w:w="4403" w:type="dxa"/>
        </w:tcPr>
        <w:p w14:paraId="5BF2221E" w14:textId="77777777" w:rsidR="007230A0" w:rsidRDefault="00622888">
          <w:pPr>
            <w:tabs>
              <w:tab w:val="right" w:pos="8838"/>
            </w:tabs>
            <w:ind w:left="-28" w:right="-32"/>
            <w:rPr>
              <w:b/>
            </w:rPr>
          </w:pPr>
          <w:r>
            <w:t>Luis Gustavo Parra Noriega</w:t>
          </w:r>
        </w:p>
      </w:tc>
    </w:tr>
  </w:tbl>
  <w:p w14:paraId="5829B265" w14:textId="77777777" w:rsidR="007230A0" w:rsidRDefault="007C04D7">
    <w:pPr>
      <w:pBdr>
        <w:top w:val="nil"/>
        <w:left w:val="nil"/>
        <w:bottom w:val="nil"/>
        <w:right w:val="nil"/>
        <w:between w:val="nil"/>
      </w:pBdr>
      <w:tabs>
        <w:tab w:val="center" w:pos="4419"/>
        <w:tab w:val="right" w:pos="8838"/>
      </w:tabs>
      <w:spacing w:after="0" w:line="240" w:lineRule="auto"/>
      <w:rPr>
        <w:color w:val="000000"/>
      </w:rPr>
    </w:pPr>
    <w:r>
      <w:rPr>
        <w:color w:val="000000"/>
      </w:rPr>
      <w:pict w14:anchorId="6EA1B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84.6pt;margin-top:-122.95pt;width:663.5pt;height:12in;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08ADD" w14:textId="77777777" w:rsidR="007230A0" w:rsidRDefault="007230A0">
    <w:pPr>
      <w:widowControl w:val="0"/>
      <w:pBdr>
        <w:top w:val="nil"/>
        <w:left w:val="nil"/>
        <w:bottom w:val="nil"/>
        <w:right w:val="nil"/>
        <w:between w:val="nil"/>
      </w:pBdr>
      <w:spacing w:after="0" w:line="276" w:lineRule="auto"/>
      <w:jc w:val="left"/>
      <w:rPr>
        <w:color w:val="000000"/>
      </w:rPr>
    </w:pPr>
  </w:p>
  <w:tbl>
    <w:tblPr>
      <w:tblStyle w:val="a1"/>
      <w:tblW w:w="6950"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10"/>
      <w:gridCol w:w="4111"/>
      <w:gridCol w:w="429"/>
    </w:tblGrid>
    <w:tr w:rsidR="007230A0" w14:paraId="4A0E3DEA" w14:textId="77777777" w:rsidTr="00ED3FE3">
      <w:trPr>
        <w:trHeight w:val="132"/>
      </w:trPr>
      <w:tc>
        <w:tcPr>
          <w:tcW w:w="2410" w:type="dxa"/>
        </w:tcPr>
        <w:p w14:paraId="0A0C2943" w14:textId="77777777" w:rsidR="007230A0" w:rsidRDefault="00622888">
          <w:pPr>
            <w:tabs>
              <w:tab w:val="right" w:pos="8838"/>
            </w:tabs>
            <w:ind w:right="-105"/>
            <w:rPr>
              <w:b/>
            </w:rPr>
          </w:pPr>
          <w:r>
            <w:rPr>
              <w:b/>
            </w:rPr>
            <w:t>Recurso de Revisión:</w:t>
          </w:r>
        </w:p>
      </w:tc>
      <w:tc>
        <w:tcPr>
          <w:tcW w:w="4540" w:type="dxa"/>
          <w:gridSpan w:val="2"/>
        </w:tcPr>
        <w:p w14:paraId="0F97B52D" w14:textId="682D1FF8" w:rsidR="007230A0" w:rsidRDefault="00622888">
          <w:pPr>
            <w:tabs>
              <w:tab w:val="right" w:pos="8838"/>
            </w:tabs>
            <w:ind w:right="-32"/>
          </w:pPr>
          <w:r>
            <w:t>0</w:t>
          </w:r>
          <w:r w:rsidR="00ED3FE3">
            <w:t>6</w:t>
          </w:r>
          <w:r w:rsidR="00EC1370">
            <w:t>706</w:t>
          </w:r>
          <w:r>
            <w:t>/INFOEM/IP/RR/2024</w:t>
          </w:r>
        </w:p>
      </w:tc>
    </w:tr>
    <w:tr w:rsidR="007230A0" w14:paraId="10306FBC" w14:textId="77777777" w:rsidTr="00ED3FE3">
      <w:trPr>
        <w:trHeight w:val="132"/>
      </w:trPr>
      <w:tc>
        <w:tcPr>
          <w:tcW w:w="2410" w:type="dxa"/>
        </w:tcPr>
        <w:p w14:paraId="1F6A0730" w14:textId="77777777" w:rsidR="007230A0" w:rsidRDefault="00622888">
          <w:pPr>
            <w:tabs>
              <w:tab w:val="left" w:pos="1875"/>
            </w:tabs>
            <w:ind w:right="-105"/>
            <w:rPr>
              <w:b/>
            </w:rPr>
          </w:pPr>
          <w:r>
            <w:rPr>
              <w:b/>
            </w:rPr>
            <w:t>Recurrente:</w:t>
          </w:r>
          <w:r>
            <w:rPr>
              <w:b/>
            </w:rPr>
            <w:tab/>
          </w:r>
        </w:p>
      </w:tc>
      <w:tc>
        <w:tcPr>
          <w:tcW w:w="4540" w:type="dxa"/>
          <w:gridSpan w:val="2"/>
        </w:tcPr>
        <w:p w14:paraId="41A2735C" w14:textId="77777777" w:rsidR="007230A0" w:rsidRDefault="007230A0">
          <w:pPr>
            <w:tabs>
              <w:tab w:val="right" w:pos="8838"/>
            </w:tabs>
            <w:ind w:right="-48"/>
          </w:pPr>
        </w:p>
      </w:tc>
    </w:tr>
    <w:tr w:rsidR="007230A0" w14:paraId="241F85B6" w14:textId="77777777" w:rsidTr="00ED3FE3">
      <w:trPr>
        <w:gridAfter w:val="1"/>
        <w:wAfter w:w="429" w:type="dxa"/>
        <w:trHeight w:val="261"/>
      </w:trPr>
      <w:tc>
        <w:tcPr>
          <w:tcW w:w="2410" w:type="dxa"/>
        </w:tcPr>
        <w:p w14:paraId="2D3B3493" w14:textId="77777777" w:rsidR="007230A0" w:rsidRDefault="00622888">
          <w:pPr>
            <w:tabs>
              <w:tab w:val="right" w:pos="8838"/>
            </w:tabs>
            <w:ind w:right="-105"/>
            <w:rPr>
              <w:b/>
            </w:rPr>
          </w:pPr>
          <w:r>
            <w:rPr>
              <w:b/>
            </w:rPr>
            <w:t>Sujeto Obligado:</w:t>
          </w:r>
        </w:p>
      </w:tc>
      <w:tc>
        <w:tcPr>
          <w:tcW w:w="4111" w:type="dxa"/>
        </w:tcPr>
        <w:p w14:paraId="535CA47F" w14:textId="41B3A3C6" w:rsidR="007230A0" w:rsidRDefault="00ED3FE3">
          <w:pPr>
            <w:ind w:right="36"/>
          </w:pPr>
          <w:r>
            <w:t>Ayuntamiento de Temamatla</w:t>
          </w:r>
        </w:p>
      </w:tc>
    </w:tr>
    <w:tr w:rsidR="007230A0" w14:paraId="489DA410" w14:textId="77777777" w:rsidTr="00ED3FE3">
      <w:trPr>
        <w:trHeight w:val="261"/>
      </w:trPr>
      <w:tc>
        <w:tcPr>
          <w:tcW w:w="2410" w:type="dxa"/>
        </w:tcPr>
        <w:p w14:paraId="68596E55" w14:textId="77777777" w:rsidR="007230A0" w:rsidRDefault="00622888">
          <w:pPr>
            <w:tabs>
              <w:tab w:val="right" w:pos="8838"/>
            </w:tabs>
            <w:ind w:right="-105"/>
            <w:rPr>
              <w:b/>
            </w:rPr>
          </w:pPr>
          <w:r>
            <w:rPr>
              <w:b/>
            </w:rPr>
            <w:t>Comisionado Ponente:</w:t>
          </w:r>
        </w:p>
      </w:tc>
      <w:tc>
        <w:tcPr>
          <w:tcW w:w="4540" w:type="dxa"/>
          <w:gridSpan w:val="2"/>
        </w:tcPr>
        <w:p w14:paraId="49EA9D34" w14:textId="77777777" w:rsidR="007230A0" w:rsidRDefault="00622888">
          <w:pPr>
            <w:tabs>
              <w:tab w:val="right" w:pos="8838"/>
            </w:tabs>
            <w:ind w:right="-32"/>
            <w:rPr>
              <w:b/>
            </w:rPr>
          </w:pPr>
          <w:r>
            <w:t>Luis Gustavo Parra Noriega</w:t>
          </w:r>
        </w:p>
      </w:tc>
    </w:tr>
  </w:tbl>
  <w:p w14:paraId="62ABE149" w14:textId="77777777" w:rsidR="007230A0" w:rsidRDefault="007C04D7">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4D76D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5.15pt;margin-top:-124.25pt;width:663.5pt;height:12in;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12F"/>
    <w:multiLevelType w:val="multilevel"/>
    <w:tmpl w:val="ED36F9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1A102B"/>
    <w:multiLevelType w:val="multilevel"/>
    <w:tmpl w:val="0CB6E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B02F4B"/>
    <w:multiLevelType w:val="hybridMultilevel"/>
    <w:tmpl w:val="121AE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18456D"/>
    <w:multiLevelType w:val="hybridMultilevel"/>
    <w:tmpl w:val="4C2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6C092F"/>
    <w:multiLevelType w:val="hybridMultilevel"/>
    <w:tmpl w:val="F2B825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76A1671"/>
    <w:multiLevelType w:val="multilevel"/>
    <w:tmpl w:val="54A6BD9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384C02A0"/>
    <w:multiLevelType w:val="multilevel"/>
    <w:tmpl w:val="E2A0C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007D3E"/>
    <w:multiLevelType w:val="hybridMultilevel"/>
    <w:tmpl w:val="F356B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362EF1"/>
    <w:multiLevelType w:val="multilevel"/>
    <w:tmpl w:val="24369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BB230C"/>
    <w:multiLevelType w:val="multilevel"/>
    <w:tmpl w:val="5DB091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070B37"/>
    <w:multiLevelType w:val="hybridMultilevel"/>
    <w:tmpl w:val="82E6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F00100"/>
    <w:multiLevelType w:val="multilevel"/>
    <w:tmpl w:val="1D7A1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36C50A3"/>
    <w:multiLevelType w:val="multilevel"/>
    <w:tmpl w:val="9830064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4C1980"/>
    <w:multiLevelType w:val="multilevel"/>
    <w:tmpl w:val="033A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2"/>
  </w:num>
  <w:num w:numId="3">
    <w:abstractNumId w:val="1"/>
  </w:num>
  <w:num w:numId="4">
    <w:abstractNumId w:val="11"/>
  </w:num>
  <w:num w:numId="5">
    <w:abstractNumId w:val="6"/>
  </w:num>
  <w:num w:numId="6">
    <w:abstractNumId w:val="8"/>
  </w:num>
  <w:num w:numId="7">
    <w:abstractNumId w:val="13"/>
  </w:num>
  <w:num w:numId="8">
    <w:abstractNumId w:val="5"/>
  </w:num>
  <w:num w:numId="9">
    <w:abstractNumId w:val="0"/>
  </w:num>
  <w:num w:numId="10">
    <w:abstractNumId w:val="3"/>
  </w:num>
  <w:num w:numId="11">
    <w:abstractNumId w:val="2"/>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A0"/>
    <w:rsid w:val="00006DCE"/>
    <w:rsid w:val="000103B9"/>
    <w:rsid w:val="00073FE2"/>
    <w:rsid w:val="00081C4F"/>
    <w:rsid w:val="000E77AA"/>
    <w:rsid w:val="000F236F"/>
    <w:rsid w:val="001169E9"/>
    <w:rsid w:val="0021162B"/>
    <w:rsid w:val="002A6AE9"/>
    <w:rsid w:val="002C27C8"/>
    <w:rsid w:val="00314A71"/>
    <w:rsid w:val="00345EE5"/>
    <w:rsid w:val="003578B8"/>
    <w:rsid w:val="00392721"/>
    <w:rsid w:val="003F6B29"/>
    <w:rsid w:val="00430197"/>
    <w:rsid w:val="00443E3A"/>
    <w:rsid w:val="004702CD"/>
    <w:rsid w:val="004847A5"/>
    <w:rsid w:val="004D4790"/>
    <w:rsid w:val="004E213A"/>
    <w:rsid w:val="004E5815"/>
    <w:rsid w:val="005373DD"/>
    <w:rsid w:val="005B45DD"/>
    <w:rsid w:val="00602ED1"/>
    <w:rsid w:val="00606B63"/>
    <w:rsid w:val="00613FA3"/>
    <w:rsid w:val="00622888"/>
    <w:rsid w:val="0062478A"/>
    <w:rsid w:val="00626000"/>
    <w:rsid w:val="006374C7"/>
    <w:rsid w:val="00652F82"/>
    <w:rsid w:val="00673227"/>
    <w:rsid w:val="00711801"/>
    <w:rsid w:val="007230A0"/>
    <w:rsid w:val="007A0287"/>
    <w:rsid w:val="007A374E"/>
    <w:rsid w:val="007B201A"/>
    <w:rsid w:val="007B5D6E"/>
    <w:rsid w:val="007C04D7"/>
    <w:rsid w:val="007C5700"/>
    <w:rsid w:val="007F11CD"/>
    <w:rsid w:val="00864A8D"/>
    <w:rsid w:val="008C01D4"/>
    <w:rsid w:val="008E1C7F"/>
    <w:rsid w:val="00953480"/>
    <w:rsid w:val="009916C2"/>
    <w:rsid w:val="009B5876"/>
    <w:rsid w:val="00A17684"/>
    <w:rsid w:val="00A81B0C"/>
    <w:rsid w:val="00AB26CE"/>
    <w:rsid w:val="00AC103C"/>
    <w:rsid w:val="00AD2766"/>
    <w:rsid w:val="00B65993"/>
    <w:rsid w:val="00B86DD8"/>
    <w:rsid w:val="00B87F34"/>
    <w:rsid w:val="00BA3A06"/>
    <w:rsid w:val="00BA3A26"/>
    <w:rsid w:val="00C179F2"/>
    <w:rsid w:val="00C30263"/>
    <w:rsid w:val="00C44F46"/>
    <w:rsid w:val="00C60FFC"/>
    <w:rsid w:val="00CB158E"/>
    <w:rsid w:val="00CC2581"/>
    <w:rsid w:val="00CD05B1"/>
    <w:rsid w:val="00D517D1"/>
    <w:rsid w:val="00D60A6B"/>
    <w:rsid w:val="00D67CB9"/>
    <w:rsid w:val="00D8077C"/>
    <w:rsid w:val="00DA1686"/>
    <w:rsid w:val="00DB5FE9"/>
    <w:rsid w:val="00DD3903"/>
    <w:rsid w:val="00E25B62"/>
    <w:rsid w:val="00E360B5"/>
    <w:rsid w:val="00E365E9"/>
    <w:rsid w:val="00E44D06"/>
    <w:rsid w:val="00EB24A9"/>
    <w:rsid w:val="00EC1370"/>
    <w:rsid w:val="00EC3764"/>
    <w:rsid w:val="00ED3FE3"/>
    <w:rsid w:val="00EF1B43"/>
    <w:rsid w:val="00EF7762"/>
    <w:rsid w:val="00F453B7"/>
    <w:rsid w:val="00F62B63"/>
    <w:rsid w:val="00FB1339"/>
    <w:rsid w:val="00FD52F9"/>
    <w:rsid w:val="00FF0878"/>
    <w:rsid w:val="00FF1B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614A9D"/>
  <w15:docId w15:val="{B55841D0-0FD0-4558-A255-1B094832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6CE"/>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UnresolvedMention">
    <w:name w:val="Unresolved Mention"/>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12229">
      <w:bodyDiv w:val="1"/>
      <w:marLeft w:val="0"/>
      <w:marRight w:val="0"/>
      <w:marTop w:val="0"/>
      <w:marBottom w:val="0"/>
      <w:divBdr>
        <w:top w:val="none" w:sz="0" w:space="0" w:color="auto"/>
        <w:left w:val="none" w:sz="0" w:space="0" w:color="auto"/>
        <w:bottom w:val="none" w:sz="0" w:space="0" w:color="auto"/>
        <w:right w:val="none" w:sz="0" w:space="0" w:color="auto"/>
      </w:divBdr>
    </w:div>
    <w:div w:id="584844462">
      <w:bodyDiv w:val="1"/>
      <w:marLeft w:val="0"/>
      <w:marRight w:val="0"/>
      <w:marTop w:val="0"/>
      <w:marBottom w:val="0"/>
      <w:divBdr>
        <w:top w:val="none" w:sz="0" w:space="0" w:color="auto"/>
        <w:left w:val="none" w:sz="0" w:space="0" w:color="auto"/>
        <w:bottom w:val="none" w:sz="0" w:space="0" w:color="auto"/>
        <w:right w:val="none" w:sz="0" w:space="0" w:color="auto"/>
      </w:divBdr>
    </w:div>
    <w:div w:id="1037197997">
      <w:bodyDiv w:val="1"/>
      <w:marLeft w:val="0"/>
      <w:marRight w:val="0"/>
      <w:marTop w:val="0"/>
      <w:marBottom w:val="0"/>
      <w:divBdr>
        <w:top w:val="none" w:sz="0" w:space="0" w:color="auto"/>
        <w:left w:val="none" w:sz="0" w:space="0" w:color="auto"/>
        <w:bottom w:val="none" w:sz="0" w:space="0" w:color="auto"/>
        <w:right w:val="none" w:sz="0" w:space="0" w:color="auto"/>
      </w:divBdr>
    </w:div>
    <w:div w:id="1291016608">
      <w:bodyDiv w:val="1"/>
      <w:marLeft w:val="0"/>
      <w:marRight w:val="0"/>
      <w:marTop w:val="0"/>
      <w:marBottom w:val="0"/>
      <w:divBdr>
        <w:top w:val="none" w:sz="0" w:space="0" w:color="auto"/>
        <w:left w:val="none" w:sz="0" w:space="0" w:color="auto"/>
        <w:bottom w:val="none" w:sz="0" w:space="0" w:color="auto"/>
        <w:right w:val="none" w:sz="0" w:space="0" w:color="auto"/>
      </w:divBdr>
    </w:div>
    <w:div w:id="1376583697">
      <w:bodyDiv w:val="1"/>
      <w:marLeft w:val="0"/>
      <w:marRight w:val="0"/>
      <w:marTop w:val="0"/>
      <w:marBottom w:val="0"/>
      <w:divBdr>
        <w:top w:val="none" w:sz="0" w:space="0" w:color="auto"/>
        <w:left w:val="none" w:sz="0" w:space="0" w:color="auto"/>
        <w:bottom w:val="none" w:sz="0" w:space="0" w:color="auto"/>
        <w:right w:val="none" w:sz="0" w:space="0" w:color="auto"/>
      </w:divBdr>
    </w:div>
    <w:div w:id="1451784411">
      <w:bodyDiv w:val="1"/>
      <w:marLeft w:val="0"/>
      <w:marRight w:val="0"/>
      <w:marTop w:val="0"/>
      <w:marBottom w:val="0"/>
      <w:divBdr>
        <w:top w:val="none" w:sz="0" w:space="0" w:color="auto"/>
        <w:left w:val="none" w:sz="0" w:space="0" w:color="auto"/>
        <w:bottom w:val="none" w:sz="0" w:space="0" w:color="auto"/>
        <w:right w:val="none" w:sz="0" w:space="0" w:color="auto"/>
      </w:divBdr>
    </w:div>
    <w:div w:id="1534609139">
      <w:bodyDiv w:val="1"/>
      <w:marLeft w:val="0"/>
      <w:marRight w:val="0"/>
      <w:marTop w:val="0"/>
      <w:marBottom w:val="0"/>
      <w:divBdr>
        <w:top w:val="none" w:sz="0" w:space="0" w:color="auto"/>
        <w:left w:val="none" w:sz="0" w:space="0" w:color="auto"/>
        <w:bottom w:val="none" w:sz="0" w:space="0" w:color="auto"/>
        <w:right w:val="none" w:sz="0" w:space="0" w:color="auto"/>
      </w:divBdr>
    </w:div>
    <w:div w:id="1979843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mMOTMVONGWsKMQMX9eoJ81jQ==">CgMxLjAyCGguZ2pkZ3hzMgloLjMwajB6bGwyCWguMWZvYjl0ZTIJaC4zem55c2g3OAByITFkLVpxZEkyWkFGSjNwMlNJdmNYWFNNUWxzV0tIaHJlSQ==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7CB844-73D6-4F0A-8EE6-EE39A9A1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3170</Words>
  <Characters>17441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cp:lastModifiedBy>
  <cp:revision>4</cp:revision>
  <cp:lastPrinted>2024-11-29T00:16:00Z</cp:lastPrinted>
  <dcterms:created xsi:type="dcterms:W3CDTF">2024-11-29T00:16:00Z</dcterms:created>
  <dcterms:modified xsi:type="dcterms:W3CDTF">2025-02-05T15:57:00Z</dcterms:modified>
</cp:coreProperties>
</file>