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A6D74" w:rsidRDefault="00AE3DA7" w:rsidP="009A6D74">
          <w:pPr>
            <w:pStyle w:val="TtulodeTDC"/>
            <w:spacing w:before="0" w:line="240" w:lineRule="auto"/>
            <w:ind w:right="-312"/>
            <w:rPr>
              <w:rFonts w:ascii="Palatino Linotype" w:hAnsi="Palatino Linotype"/>
              <w:color w:val="auto"/>
              <w:sz w:val="24"/>
              <w:szCs w:val="24"/>
              <w:lang w:val="es-ES"/>
            </w:rPr>
          </w:pPr>
          <w:r w:rsidRPr="009A6D74">
            <w:rPr>
              <w:rFonts w:ascii="Palatino Linotype" w:hAnsi="Palatino Linotype"/>
              <w:color w:val="auto"/>
              <w:sz w:val="24"/>
              <w:szCs w:val="24"/>
              <w:lang w:val="es-ES"/>
            </w:rPr>
            <w:t>Contenido</w:t>
          </w:r>
        </w:p>
        <w:p w14:paraId="3EB312A7" w14:textId="77777777" w:rsidR="00AA6EA9" w:rsidRPr="009A6D74" w:rsidRDefault="00AA6EA9" w:rsidP="009A6D74">
          <w:pPr>
            <w:spacing w:line="240" w:lineRule="auto"/>
            <w:ind w:right="-312"/>
            <w:rPr>
              <w:sz w:val="16"/>
              <w:szCs w:val="16"/>
              <w:lang w:val="es-ES" w:eastAsia="es-MX"/>
            </w:rPr>
          </w:pPr>
        </w:p>
        <w:p w14:paraId="0AA6B180" w14:textId="0E78CCF6" w:rsidR="007E7192" w:rsidRPr="009A6D74" w:rsidRDefault="00AE3DA7" w:rsidP="009A6D74">
          <w:pPr>
            <w:pStyle w:val="TDC1"/>
            <w:tabs>
              <w:tab w:val="right" w:leader="dot" w:pos="9034"/>
            </w:tabs>
            <w:ind w:right="-312"/>
            <w:rPr>
              <w:rFonts w:asciiTheme="minorHAnsi" w:eastAsiaTheme="minorEastAsia" w:hAnsiTheme="minorHAnsi" w:cstheme="minorBidi"/>
              <w:noProof/>
              <w:szCs w:val="22"/>
              <w:lang w:eastAsia="es-MX"/>
            </w:rPr>
          </w:pPr>
          <w:r w:rsidRPr="009A6D74">
            <w:rPr>
              <w:sz w:val="16"/>
              <w:szCs w:val="16"/>
            </w:rPr>
            <w:fldChar w:fldCharType="begin"/>
          </w:r>
          <w:r w:rsidRPr="009A6D74">
            <w:rPr>
              <w:sz w:val="16"/>
              <w:szCs w:val="16"/>
            </w:rPr>
            <w:instrText xml:space="preserve"> TOC \o "1-3" \h \z \u </w:instrText>
          </w:r>
          <w:r w:rsidRPr="009A6D74">
            <w:rPr>
              <w:sz w:val="16"/>
              <w:szCs w:val="16"/>
            </w:rPr>
            <w:fldChar w:fldCharType="separate"/>
          </w:r>
          <w:hyperlink w:anchor="_Toc172748400" w:history="1">
            <w:r w:rsidR="007E7192" w:rsidRPr="009A6D74">
              <w:rPr>
                <w:rStyle w:val="Hipervnculo"/>
                <w:noProof/>
                <w:color w:val="auto"/>
              </w:rPr>
              <w:t>ANTECEDENTES</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_Toc172748400 \h </w:instrText>
            </w:r>
            <w:r w:rsidR="007E7192" w:rsidRPr="009A6D74">
              <w:rPr>
                <w:noProof/>
                <w:webHidden/>
              </w:rPr>
            </w:r>
            <w:r w:rsidR="007E7192" w:rsidRPr="009A6D74">
              <w:rPr>
                <w:noProof/>
                <w:webHidden/>
              </w:rPr>
              <w:fldChar w:fldCharType="separate"/>
            </w:r>
            <w:r w:rsidR="00E04AE3">
              <w:rPr>
                <w:noProof/>
                <w:webHidden/>
              </w:rPr>
              <w:t>1</w:t>
            </w:r>
            <w:r w:rsidR="007E7192" w:rsidRPr="009A6D74">
              <w:rPr>
                <w:noProof/>
                <w:webHidden/>
              </w:rPr>
              <w:fldChar w:fldCharType="end"/>
            </w:r>
          </w:hyperlink>
        </w:p>
        <w:p w14:paraId="37F42430" w14:textId="38E33225" w:rsidR="007E7192" w:rsidRPr="009A6D74" w:rsidRDefault="00D413E4" w:rsidP="009A6D74">
          <w:pPr>
            <w:pStyle w:val="TDC2"/>
            <w:ind w:right="-312"/>
            <w:rPr>
              <w:rFonts w:asciiTheme="minorHAnsi" w:eastAsiaTheme="minorEastAsia" w:hAnsiTheme="minorHAnsi" w:cstheme="minorBidi"/>
              <w:noProof/>
              <w:szCs w:val="22"/>
              <w:lang w:eastAsia="es-MX"/>
            </w:rPr>
          </w:pPr>
          <w:hyperlink w:anchor="_Toc172748401" w:history="1">
            <w:r w:rsidR="007E7192" w:rsidRPr="009A6D74">
              <w:rPr>
                <w:rStyle w:val="Hipervnculo"/>
                <w:noProof/>
                <w:color w:val="auto"/>
              </w:rPr>
              <w:t>DE LA SOLICITUD DE INFORMACIÓN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_Toc172748401 \h </w:instrText>
            </w:r>
            <w:r w:rsidR="007E7192" w:rsidRPr="009A6D74">
              <w:rPr>
                <w:noProof/>
                <w:webHidden/>
              </w:rPr>
            </w:r>
            <w:r w:rsidR="007E7192" w:rsidRPr="009A6D74">
              <w:rPr>
                <w:noProof/>
                <w:webHidden/>
              </w:rPr>
              <w:fldChar w:fldCharType="separate"/>
            </w:r>
            <w:r w:rsidR="00E04AE3">
              <w:rPr>
                <w:noProof/>
                <w:webHidden/>
              </w:rPr>
              <w:t>1</w:t>
            </w:r>
            <w:r w:rsidR="007E7192" w:rsidRPr="009A6D74">
              <w:rPr>
                <w:noProof/>
                <w:webHidden/>
              </w:rPr>
              <w:fldChar w:fldCharType="end"/>
            </w:r>
          </w:hyperlink>
        </w:p>
        <w:p w14:paraId="2C1D111E" w14:textId="7C34847E"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2" w:history="1">
            <w:r w:rsidR="007E7192" w:rsidRPr="009A6D74">
              <w:rPr>
                <w:rStyle w:val="Hipervnculo"/>
                <w:noProof/>
                <w:color w:val="auto"/>
              </w:rPr>
              <w:t>a) Solicitud de información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_Toc172748402 \h </w:instrText>
            </w:r>
            <w:r w:rsidR="007E7192" w:rsidRPr="009A6D74">
              <w:rPr>
                <w:noProof/>
                <w:webHidden/>
              </w:rPr>
            </w:r>
            <w:r w:rsidR="007E7192" w:rsidRPr="009A6D74">
              <w:rPr>
                <w:noProof/>
                <w:webHidden/>
              </w:rPr>
              <w:fldChar w:fldCharType="separate"/>
            </w:r>
            <w:r w:rsidR="00E04AE3">
              <w:rPr>
                <w:noProof/>
                <w:webHidden/>
              </w:rPr>
              <w:t>1</w:t>
            </w:r>
            <w:r w:rsidR="007E7192" w:rsidRPr="009A6D74">
              <w:rPr>
                <w:noProof/>
                <w:webHidden/>
              </w:rPr>
              <w:fldChar w:fldCharType="end"/>
            </w:r>
          </w:hyperlink>
        </w:p>
        <w:p w14:paraId="722670E8" w14:textId="04BF1DAB"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3" w:history="1">
            <w:r w:rsidR="007E7192" w:rsidRPr="009A6D74">
              <w:rPr>
                <w:rStyle w:val="Hipervnculo"/>
                <w:noProof/>
                <w:color w:val="auto"/>
              </w:rPr>
              <w:t xml:space="preserve">b) </w:t>
            </w:r>
            <w:r w:rsidR="007E7192" w:rsidRPr="009A6D74">
              <w:rPr>
                <w:rStyle w:val="Hipervnculo"/>
                <w:noProof/>
                <w:color w:val="auto"/>
                <w:lang w:val="es-ES"/>
              </w:rPr>
              <w:t xml:space="preserve">Respuesta </w:t>
            </w:r>
            <w:r w:rsidR="007E7192" w:rsidRPr="009A6D74">
              <w:rPr>
                <w:rStyle w:val="Hipervnculo"/>
                <w:rFonts w:eastAsia="Calibri"/>
                <w:noProof/>
                <w:color w:val="auto"/>
                <w:lang w:eastAsia="en-US"/>
              </w:rPr>
              <w:t>del Sujeto Obligado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_Toc172748403 \h </w:instrText>
            </w:r>
            <w:r w:rsidR="007E7192" w:rsidRPr="009A6D74">
              <w:rPr>
                <w:noProof/>
                <w:webHidden/>
              </w:rPr>
            </w:r>
            <w:r w:rsidR="007E7192" w:rsidRPr="009A6D74">
              <w:rPr>
                <w:noProof/>
                <w:webHidden/>
              </w:rPr>
              <w:fldChar w:fldCharType="separate"/>
            </w:r>
            <w:r w:rsidR="00E04AE3">
              <w:rPr>
                <w:noProof/>
                <w:webHidden/>
              </w:rPr>
              <w:t>3</w:t>
            </w:r>
            <w:r w:rsidR="007E7192" w:rsidRPr="009A6D74">
              <w:rPr>
                <w:noProof/>
                <w:webHidden/>
              </w:rPr>
              <w:fldChar w:fldCharType="end"/>
            </w:r>
          </w:hyperlink>
        </w:p>
        <w:p w14:paraId="47C65949" w14:textId="6000BA47" w:rsidR="007E7192" w:rsidRPr="009A6D74" w:rsidRDefault="00D413E4" w:rsidP="009A6D74">
          <w:pPr>
            <w:pStyle w:val="TDC2"/>
            <w:ind w:right="-312"/>
            <w:rPr>
              <w:rFonts w:asciiTheme="minorHAnsi" w:eastAsiaTheme="minorEastAsia" w:hAnsiTheme="minorHAnsi" w:cstheme="minorBidi"/>
              <w:noProof/>
              <w:szCs w:val="22"/>
              <w:lang w:eastAsia="es-MX"/>
            </w:rPr>
          </w:pPr>
          <w:hyperlink w:anchor="_Toc172748404" w:history="1">
            <w:r w:rsidR="007E7192" w:rsidRPr="009A6D74">
              <w:rPr>
                <w:rStyle w:val="Hipervnculo"/>
                <w:noProof/>
                <w:color w:val="auto"/>
              </w:rPr>
              <w:t>DEL RECURSO DE REVISIÓN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_Toc172748404 \h </w:instrText>
            </w:r>
            <w:r w:rsidR="007E7192" w:rsidRPr="009A6D74">
              <w:rPr>
                <w:noProof/>
                <w:webHidden/>
              </w:rPr>
            </w:r>
            <w:r w:rsidR="007E7192" w:rsidRPr="009A6D74">
              <w:rPr>
                <w:noProof/>
                <w:webHidden/>
              </w:rPr>
              <w:fldChar w:fldCharType="separate"/>
            </w:r>
            <w:r w:rsidR="00E04AE3">
              <w:rPr>
                <w:noProof/>
                <w:webHidden/>
              </w:rPr>
              <w:t>4</w:t>
            </w:r>
            <w:r w:rsidR="007E7192" w:rsidRPr="009A6D74">
              <w:rPr>
                <w:noProof/>
                <w:webHidden/>
              </w:rPr>
              <w:fldChar w:fldCharType="end"/>
            </w:r>
          </w:hyperlink>
        </w:p>
        <w:p w14:paraId="1F5C19AB" w14:textId="6538E2F9"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5" w:history="1">
            <w:r w:rsidR="007E7192" w:rsidRPr="009A6D74">
              <w:rPr>
                <w:rStyle w:val="Hipervnculo"/>
                <w:noProof/>
                <w:color w:val="auto"/>
              </w:rPr>
              <w:t>a) Interposición del Recurso de Revisión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_Toc172748405 \h </w:instrText>
            </w:r>
            <w:r w:rsidR="007E7192" w:rsidRPr="009A6D74">
              <w:rPr>
                <w:noProof/>
                <w:webHidden/>
              </w:rPr>
            </w:r>
            <w:r w:rsidR="007E7192" w:rsidRPr="009A6D74">
              <w:rPr>
                <w:noProof/>
                <w:webHidden/>
              </w:rPr>
              <w:fldChar w:fldCharType="separate"/>
            </w:r>
            <w:r w:rsidR="00E04AE3">
              <w:rPr>
                <w:noProof/>
                <w:webHidden/>
              </w:rPr>
              <w:t>4</w:t>
            </w:r>
            <w:r w:rsidR="007E7192" w:rsidRPr="009A6D74">
              <w:rPr>
                <w:noProof/>
                <w:webHidden/>
              </w:rPr>
              <w:fldChar w:fldCharType="end"/>
            </w:r>
          </w:hyperlink>
        </w:p>
        <w:p w14:paraId="2B5167ED" w14:textId="243E98C8"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6" w:history="1">
            <w:r w:rsidR="007E7192" w:rsidRPr="009A6D74">
              <w:rPr>
                <w:rStyle w:val="Hipervnculo"/>
                <w:noProof/>
                <w:color w:val="auto"/>
              </w:rPr>
              <w:t>b) Turno del Recurso de Revisión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_Toc172748406 \h </w:instrText>
            </w:r>
            <w:r w:rsidR="007E7192" w:rsidRPr="009A6D74">
              <w:rPr>
                <w:noProof/>
                <w:webHidden/>
              </w:rPr>
            </w:r>
            <w:r w:rsidR="007E7192" w:rsidRPr="009A6D74">
              <w:rPr>
                <w:noProof/>
                <w:webHidden/>
              </w:rPr>
              <w:fldChar w:fldCharType="separate"/>
            </w:r>
            <w:r w:rsidR="00E04AE3">
              <w:rPr>
                <w:noProof/>
                <w:webHidden/>
              </w:rPr>
              <w:t>5</w:t>
            </w:r>
            <w:r w:rsidR="007E7192" w:rsidRPr="009A6D74">
              <w:rPr>
                <w:noProof/>
                <w:webHidden/>
              </w:rPr>
              <w:fldChar w:fldCharType="end"/>
            </w:r>
          </w:hyperlink>
        </w:p>
        <w:p w14:paraId="6D0CA86A" w14:textId="5D4C7288"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7" w:history="1">
            <w:r w:rsidR="007E7192" w:rsidRPr="009A6D74">
              <w:rPr>
                <w:rStyle w:val="Hipervnculo"/>
                <w:noProof/>
                <w:color w:val="auto"/>
              </w:rPr>
              <w:t>c) Admisión del Recurso de Revisión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_Toc172748407 \h </w:instrText>
            </w:r>
            <w:r w:rsidR="007E7192" w:rsidRPr="009A6D74">
              <w:rPr>
                <w:noProof/>
                <w:webHidden/>
              </w:rPr>
            </w:r>
            <w:r w:rsidR="007E7192" w:rsidRPr="009A6D74">
              <w:rPr>
                <w:noProof/>
                <w:webHidden/>
              </w:rPr>
              <w:fldChar w:fldCharType="separate"/>
            </w:r>
            <w:r w:rsidR="00E04AE3">
              <w:rPr>
                <w:noProof/>
                <w:webHidden/>
              </w:rPr>
              <w:t>5</w:t>
            </w:r>
            <w:r w:rsidR="007E7192" w:rsidRPr="009A6D74">
              <w:rPr>
                <w:noProof/>
                <w:webHidden/>
              </w:rPr>
              <w:fldChar w:fldCharType="end"/>
            </w:r>
          </w:hyperlink>
        </w:p>
        <w:p w14:paraId="19A5E8FD" w14:textId="33D28169"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8" w:history="1">
            <w:r w:rsidR="007E7192" w:rsidRPr="009A6D74">
              <w:rPr>
                <w:rStyle w:val="Hipervnculo"/>
                <w:noProof/>
                <w:color w:val="auto"/>
              </w:rPr>
              <w:t>d) Informe Justificado del Sujeto Obligado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_Toc172748408 \h </w:instrText>
            </w:r>
            <w:r w:rsidR="007E7192" w:rsidRPr="009A6D74">
              <w:rPr>
                <w:noProof/>
                <w:webHidden/>
              </w:rPr>
            </w:r>
            <w:r w:rsidR="007E7192" w:rsidRPr="009A6D74">
              <w:rPr>
                <w:noProof/>
                <w:webHidden/>
              </w:rPr>
              <w:fldChar w:fldCharType="separate"/>
            </w:r>
            <w:r w:rsidR="00E04AE3">
              <w:rPr>
                <w:noProof/>
                <w:webHidden/>
              </w:rPr>
              <w:t>5</w:t>
            </w:r>
            <w:r w:rsidR="007E7192" w:rsidRPr="009A6D74">
              <w:rPr>
                <w:noProof/>
                <w:webHidden/>
              </w:rPr>
              <w:fldChar w:fldCharType="end"/>
            </w:r>
          </w:hyperlink>
        </w:p>
        <w:p w14:paraId="0CE7FCC4" w14:textId="73C0BA78"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09" w:history="1">
            <w:r w:rsidR="007E7192" w:rsidRPr="009A6D74">
              <w:rPr>
                <w:rStyle w:val="Hipervnculo"/>
                <w:rFonts w:eastAsia="Calibri"/>
                <w:bCs/>
                <w:noProof/>
                <w:color w:val="auto"/>
                <w:lang w:eastAsia="en-US"/>
              </w:rPr>
              <w:t>e)</w:t>
            </w:r>
            <w:r w:rsidR="007E7192" w:rsidRPr="009A6D74">
              <w:rPr>
                <w:rStyle w:val="Hipervnculo"/>
                <w:noProof/>
                <w:color w:val="auto"/>
              </w:rPr>
              <w:t xml:space="preserve"> </w:t>
            </w:r>
            <w:r w:rsidR="007E7192" w:rsidRPr="009A6D74">
              <w:rPr>
                <w:rStyle w:val="Hipervnculo"/>
                <w:noProof/>
                <w:color w:val="auto"/>
                <w:lang w:val="es-ES"/>
              </w:rPr>
              <w:t>Manifestaciones de la Parte Recurrente</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_Toc172748409 \h </w:instrText>
            </w:r>
            <w:r w:rsidR="007E7192" w:rsidRPr="009A6D74">
              <w:rPr>
                <w:noProof/>
                <w:webHidden/>
              </w:rPr>
            </w:r>
            <w:r w:rsidR="007E7192" w:rsidRPr="009A6D74">
              <w:rPr>
                <w:noProof/>
                <w:webHidden/>
              </w:rPr>
              <w:fldChar w:fldCharType="separate"/>
            </w:r>
            <w:r w:rsidR="00E04AE3">
              <w:rPr>
                <w:noProof/>
                <w:webHidden/>
              </w:rPr>
              <w:t>5</w:t>
            </w:r>
            <w:r w:rsidR="007E7192" w:rsidRPr="009A6D74">
              <w:rPr>
                <w:noProof/>
                <w:webHidden/>
              </w:rPr>
              <w:fldChar w:fldCharType="end"/>
            </w:r>
          </w:hyperlink>
        </w:p>
        <w:p w14:paraId="3AD8B04A" w14:textId="1302891E"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0" w:history="1">
            <w:r w:rsidR="007E7192" w:rsidRPr="009A6D74">
              <w:rPr>
                <w:rStyle w:val="Hipervnculo"/>
                <w:rFonts w:eastAsia="Calibri"/>
                <w:noProof/>
                <w:color w:val="auto"/>
              </w:rPr>
              <w:t>f) Ampliación de plazo para resolver el Recurso de Revisión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_Toc172748410 \h </w:instrText>
            </w:r>
            <w:r w:rsidR="007E7192" w:rsidRPr="009A6D74">
              <w:rPr>
                <w:noProof/>
                <w:webHidden/>
              </w:rPr>
            </w:r>
            <w:r w:rsidR="007E7192" w:rsidRPr="009A6D74">
              <w:rPr>
                <w:noProof/>
                <w:webHidden/>
              </w:rPr>
              <w:fldChar w:fldCharType="separate"/>
            </w:r>
            <w:r w:rsidR="00E04AE3">
              <w:rPr>
                <w:b/>
                <w:bCs/>
                <w:noProof/>
                <w:webHidden/>
                <w:lang w:val="es-ES"/>
              </w:rPr>
              <w:t>¡Error! Marcador no definido.</w:t>
            </w:r>
            <w:r w:rsidR="007E7192" w:rsidRPr="009A6D74">
              <w:rPr>
                <w:noProof/>
                <w:webHidden/>
              </w:rPr>
              <w:fldChar w:fldCharType="end"/>
            </w:r>
          </w:hyperlink>
        </w:p>
        <w:p w14:paraId="25EFCC7E" w14:textId="6E350DE9"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1" w:history="1">
            <w:r w:rsidR="007E7192" w:rsidRPr="009A6D74">
              <w:rPr>
                <w:rStyle w:val="Hipervnculo"/>
                <w:noProof/>
                <w:color w:val="auto"/>
              </w:rPr>
              <w:t>g) Cierre de instrucción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_Toc172748411 \h </w:instrText>
            </w:r>
            <w:r w:rsidR="007E7192" w:rsidRPr="009A6D74">
              <w:rPr>
                <w:noProof/>
                <w:webHidden/>
              </w:rPr>
            </w:r>
            <w:r w:rsidR="007E7192" w:rsidRPr="009A6D74">
              <w:rPr>
                <w:noProof/>
                <w:webHidden/>
              </w:rPr>
              <w:fldChar w:fldCharType="separate"/>
            </w:r>
            <w:r w:rsidR="00E04AE3">
              <w:rPr>
                <w:noProof/>
                <w:webHidden/>
              </w:rPr>
              <w:t>5</w:t>
            </w:r>
            <w:r w:rsidR="007E7192" w:rsidRPr="009A6D74">
              <w:rPr>
                <w:noProof/>
                <w:webHidden/>
              </w:rPr>
              <w:fldChar w:fldCharType="end"/>
            </w:r>
          </w:hyperlink>
        </w:p>
        <w:p w14:paraId="7B84CDCB" w14:textId="3669278C" w:rsidR="007E7192" w:rsidRPr="009A6D74" w:rsidRDefault="00D413E4" w:rsidP="009A6D74">
          <w:pPr>
            <w:pStyle w:val="TDC1"/>
            <w:tabs>
              <w:tab w:val="right" w:leader="dot" w:pos="9034"/>
            </w:tabs>
            <w:ind w:right="-312"/>
            <w:rPr>
              <w:rFonts w:asciiTheme="minorHAnsi" w:eastAsiaTheme="minorEastAsia" w:hAnsiTheme="minorHAnsi" w:cstheme="minorBidi"/>
              <w:noProof/>
              <w:szCs w:val="22"/>
              <w:lang w:eastAsia="es-MX"/>
            </w:rPr>
          </w:pPr>
          <w:hyperlink w:anchor="_Toc172748412" w:history="1">
            <w:r w:rsidR="007E7192" w:rsidRPr="009A6D74">
              <w:rPr>
                <w:rStyle w:val="Hipervnculo"/>
                <w:rFonts w:eastAsiaTheme="minorHAnsi"/>
                <w:noProof/>
                <w:color w:val="auto"/>
                <w:lang w:eastAsia="en-US"/>
              </w:rPr>
              <w:t>CONSIDERANDOS</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_Toc172748412 \h </w:instrText>
            </w:r>
            <w:r w:rsidR="007E7192" w:rsidRPr="009A6D74">
              <w:rPr>
                <w:noProof/>
                <w:webHidden/>
              </w:rPr>
            </w:r>
            <w:r w:rsidR="007E7192" w:rsidRPr="009A6D74">
              <w:rPr>
                <w:noProof/>
                <w:webHidden/>
              </w:rPr>
              <w:fldChar w:fldCharType="separate"/>
            </w:r>
            <w:r w:rsidR="00E04AE3">
              <w:rPr>
                <w:noProof/>
                <w:webHidden/>
              </w:rPr>
              <w:t>6</w:t>
            </w:r>
            <w:r w:rsidR="007E7192" w:rsidRPr="009A6D74">
              <w:rPr>
                <w:noProof/>
                <w:webHidden/>
              </w:rPr>
              <w:fldChar w:fldCharType="end"/>
            </w:r>
          </w:hyperlink>
        </w:p>
        <w:p w14:paraId="30D7E4A6" w14:textId="15A30511" w:rsidR="007E7192" w:rsidRPr="009A6D74" w:rsidRDefault="00D413E4" w:rsidP="009A6D74">
          <w:pPr>
            <w:pStyle w:val="TDC2"/>
            <w:ind w:right="-312"/>
            <w:rPr>
              <w:rFonts w:asciiTheme="minorHAnsi" w:eastAsiaTheme="minorEastAsia" w:hAnsiTheme="minorHAnsi" w:cstheme="minorBidi"/>
              <w:noProof/>
              <w:szCs w:val="22"/>
              <w:lang w:eastAsia="es-MX"/>
            </w:rPr>
          </w:pPr>
          <w:hyperlink w:anchor="_Toc172748413" w:history="1">
            <w:r w:rsidR="007E7192" w:rsidRPr="009A6D74">
              <w:rPr>
                <w:rStyle w:val="Hipervnculo"/>
                <w:rFonts w:eastAsia="Batang"/>
                <w:noProof/>
                <w:color w:val="auto"/>
              </w:rPr>
              <w:t>PRIMERO. Procedibilidad</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_Toc172748413 \h </w:instrText>
            </w:r>
            <w:r w:rsidR="007E7192" w:rsidRPr="009A6D74">
              <w:rPr>
                <w:noProof/>
                <w:webHidden/>
              </w:rPr>
            </w:r>
            <w:r w:rsidR="007E7192" w:rsidRPr="009A6D74">
              <w:rPr>
                <w:noProof/>
                <w:webHidden/>
              </w:rPr>
              <w:fldChar w:fldCharType="separate"/>
            </w:r>
            <w:r w:rsidR="00E04AE3">
              <w:rPr>
                <w:noProof/>
                <w:webHidden/>
              </w:rPr>
              <w:t>6</w:t>
            </w:r>
            <w:r w:rsidR="007E7192" w:rsidRPr="009A6D74">
              <w:rPr>
                <w:noProof/>
                <w:webHidden/>
              </w:rPr>
              <w:fldChar w:fldCharType="end"/>
            </w:r>
          </w:hyperlink>
        </w:p>
        <w:p w14:paraId="656B908A" w14:textId="70CBE396"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4" w:history="1">
            <w:r w:rsidR="007E7192" w:rsidRPr="009A6D74">
              <w:rPr>
                <w:rStyle w:val="Hipervnculo"/>
                <w:noProof/>
                <w:color w:val="auto"/>
              </w:rPr>
              <w:t>a) Competencia del Instituto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_Toc172748414 \h </w:instrText>
            </w:r>
            <w:r w:rsidR="007E7192" w:rsidRPr="009A6D74">
              <w:rPr>
                <w:noProof/>
                <w:webHidden/>
              </w:rPr>
            </w:r>
            <w:r w:rsidR="007E7192" w:rsidRPr="009A6D74">
              <w:rPr>
                <w:noProof/>
                <w:webHidden/>
              </w:rPr>
              <w:fldChar w:fldCharType="separate"/>
            </w:r>
            <w:r w:rsidR="00E04AE3">
              <w:rPr>
                <w:noProof/>
                <w:webHidden/>
              </w:rPr>
              <w:t>6</w:t>
            </w:r>
            <w:r w:rsidR="007E7192" w:rsidRPr="009A6D74">
              <w:rPr>
                <w:noProof/>
                <w:webHidden/>
              </w:rPr>
              <w:fldChar w:fldCharType="end"/>
            </w:r>
          </w:hyperlink>
        </w:p>
        <w:p w14:paraId="6A94EEF9" w14:textId="67961802"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5" w:history="1">
            <w:r w:rsidR="007E7192" w:rsidRPr="009A6D74">
              <w:rPr>
                <w:rStyle w:val="Hipervnculo"/>
                <w:noProof/>
                <w:color w:val="auto"/>
              </w:rPr>
              <w:t>b) Legitimidad de la parte recurrente</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_Toc172748415 \h </w:instrText>
            </w:r>
            <w:r w:rsidR="007E7192" w:rsidRPr="009A6D74">
              <w:rPr>
                <w:noProof/>
                <w:webHidden/>
              </w:rPr>
            </w:r>
            <w:r w:rsidR="007E7192" w:rsidRPr="009A6D74">
              <w:rPr>
                <w:noProof/>
                <w:webHidden/>
              </w:rPr>
              <w:fldChar w:fldCharType="separate"/>
            </w:r>
            <w:r w:rsidR="00E04AE3">
              <w:rPr>
                <w:noProof/>
                <w:webHidden/>
              </w:rPr>
              <w:t>6</w:t>
            </w:r>
            <w:r w:rsidR="007E7192" w:rsidRPr="009A6D74">
              <w:rPr>
                <w:noProof/>
                <w:webHidden/>
              </w:rPr>
              <w:fldChar w:fldCharType="end"/>
            </w:r>
          </w:hyperlink>
        </w:p>
        <w:p w14:paraId="6EA0B56C" w14:textId="682A3373"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6" w:history="1">
            <w:r w:rsidR="007E7192" w:rsidRPr="009A6D74">
              <w:rPr>
                <w:rStyle w:val="Hipervnculo"/>
                <w:rFonts w:eastAsia="Calibri"/>
                <w:noProof/>
                <w:color w:val="auto"/>
                <w:lang w:eastAsia="es-ES_tradnl"/>
              </w:rPr>
              <w:t>c) Plazo para interponer el recurso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_Toc172748416 \h </w:instrText>
            </w:r>
            <w:r w:rsidR="007E7192" w:rsidRPr="009A6D74">
              <w:rPr>
                <w:noProof/>
                <w:webHidden/>
              </w:rPr>
            </w:r>
            <w:r w:rsidR="007E7192" w:rsidRPr="009A6D74">
              <w:rPr>
                <w:noProof/>
                <w:webHidden/>
              </w:rPr>
              <w:fldChar w:fldCharType="separate"/>
            </w:r>
            <w:r w:rsidR="00E04AE3">
              <w:rPr>
                <w:noProof/>
                <w:webHidden/>
              </w:rPr>
              <w:t>7</w:t>
            </w:r>
            <w:r w:rsidR="007E7192" w:rsidRPr="009A6D74">
              <w:rPr>
                <w:noProof/>
                <w:webHidden/>
              </w:rPr>
              <w:fldChar w:fldCharType="end"/>
            </w:r>
          </w:hyperlink>
        </w:p>
        <w:p w14:paraId="265CF0D0" w14:textId="06041F68"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7" w:history="1">
            <w:r w:rsidR="007E7192" w:rsidRPr="009A6D74">
              <w:rPr>
                <w:rStyle w:val="Hipervnculo"/>
                <w:rFonts w:eastAsia="Calibri"/>
                <w:noProof/>
                <w:color w:val="auto"/>
                <w:lang w:eastAsia="es-ES_tradnl"/>
              </w:rPr>
              <w:t>d) Causal de procedencia</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_Toc172748417 \h </w:instrText>
            </w:r>
            <w:r w:rsidR="007E7192" w:rsidRPr="009A6D74">
              <w:rPr>
                <w:noProof/>
                <w:webHidden/>
              </w:rPr>
            </w:r>
            <w:r w:rsidR="007E7192" w:rsidRPr="009A6D74">
              <w:rPr>
                <w:noProof/>
                <w:webHidden/>
              </w:rPr>
              <w:fldChar w:fldCharType="separate"/>
            </w:r>
            <w:r w:rsidR="00E04AE3">
              <w:rPr>
                <w:noProof/>
                <w:webHidden/>
              </w:rPr>
              <w:t>7</w:t>
            </w:r>
            <w:r w:rsidR="007E7192" w:rsidRPr="009A6D74">
              <w:rPr>
                <w:noProof/>
                <w:webHidden/>
              </w:rPr>
              <w:fldChar w:fldCharType="end"/>
            </w:r>
          </w:hyperlink>
        </w:p>
        <w:p w14:paraId="568F29B6" w14:textId="63DCF4A4"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18" w:history="1">
            <w:r w:rsidR="007E7192" w:rsidRPr="009A6D74">
              <w:rPr>
                <w:rStyle w:val="Hipervnculo"/>
                <w:noProof/>
                <w:color w:val="auto"/>
              </w:rPr>
              <w:t>e) Requisitos formales para la interposición del recurso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_Toc172748418 \h </w:instrText>
            </w:r>
            <w:r w:rsidR="007E7192" w:rsidRPr="009A6D74">
              <w:rPr>
                <w:noProof/>
                <w:webHidden/>
              </w:rPr>
            </w:r>
            <w:r w:rsidR="007E7192" w:rsidRPr="009A6D74">
              <w:rPr>
                <w:noProof/>
                <w:webHidden/>
              </w:rPr>
              <w:fldChar w:fldCharType="separate"/>
            </w:r>
            <w:r w:rsidR="00E04AE3">
              <w:rPr>
                <w:noProof/>
                <w:webHidden/>
              </w:rPr>
              <w:t>7</w:t>
            </w:r>
            <w:r w:rsidR="007E7192" w:rsidRPr="009A6D74">
              <w:rPr>
                <w:noProof/>
                <w:webHidden/>
              </w:rPr>
              <w:fldChar w:fldCharType="end"/>
            </w:r>
          </w:hyperlink>
        </w:p>
        <w:p w14:paraId="4D401644" w14:textId="1C7560F0" w:rsidR="007E7192" w:rsidRPr="009A6D74" w:rsidRDefault="00D413E4" w:rsidP="009A6D74">
          <w:pPr>
            <w:pStyle w:val="TDC2"/>
            <w:ind w:right="-312"/>
            <w:rPr>
              <w:rFonts w:asciiTheme="minorHAnsi" w:eastAsiaTheme="minorEastAsia" w:hAnsiTheme="minorHAnsi" w:cstheme="minorBidi"/>
              <w:noProof/>
              <w:szCs w:val="22"/>
              <w:lang w:eastAsia="es-MX"/>
            </w:rPr>
          </w:pPr>
          <w:hyperlink w:anchor="_Toc172748419" w:history="1">
            <w:r w:rsidR="007E7192" w:rsidRPr="009A6D74">
              <w:rPr>
                <w:rStyle w:val="Hipervnculo"/>
                <w:noProof/>
                <w:color w:val="auto"/>
              </w:rPr>
              <w:t>SEGUNDO. Estudio de Fondo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_Toc172748419 \h </w:instrText>
            </w:r>
            <w:r w:rsidR="007E7192" w:rsidRPr="009A6D74">
              <w:rPr>
                <w:noProof/>
                <w:webHidden/>
              </w:rPr>
            </w:r>
            <w:r w:rsidR="007E7192" w:rsidRPr="009A6D74">
              <w:rPr>
                <w:noProof/>
                <w:webHidden/>
              </w:rPr>
              <w:fldChar w:fldCharType="separate"/>
            </w:r>
            <w:r w:rsidR="00E04AE3">
              <w:rPr>
                <w:noProof/>
                <w:webHidden/>
              </w:rPr>
              <w:t>8</w:t>
            </w:r>
            <w:r w:rsidR="007E7192" w:rsidRPr="009A6D74">
              <w:rPr>
                <w:noProof/>
                <w:webHidden/>
              </w:rPr>
              <w:fldChar w:fldCharType="end"/>
            </w:r>
          </w:hyperlink>
        </w:p>
        <w:p w14:paraId="2EA2FECE" w14:textId="62C99D33"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20" w:history="1">
            <w:r w:rsidR="007E7192" w:rsidRPr="009A6D74">
              <w:rPr>
                <w:rStyle w:val="Hipervnculo"/>
                <w:noProof/>
                <w:color w:val="auto"/>
              </w:rPr>
              <w:t>a) Mandato de transparencia y responsabilidad del Sujeto Obligado</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_Toc172748420 \h </w:instrText>
            </w:r>
            <w:r w:rsidR="007E7192" w:rsidRPr="009A6D74">
              <w:rPr>
                <w:noProof/>
                <w:webHidden/>
              </w:rPr>
            </w:r>
            <w:r w:rsidR="007E7192" w:rsidRPr="009A6D74">
              <w:rPr>
                <w:noProof/>
                <w:webHidden/>
              </w:rPr>
              <w:fldChar w:fldCharType="separate"/>
            </w:r>
            <w:r w:rsidR="00E04AE3">
              <w:rPr>
                <w:noProof/>
                <w:webHidden/>
              </w:rPr>
              <w:t>8</w:t>
            </w:r>
            <w:r w:rsidR="007E7192" w:rsidRPr="009A6D74">
              <w:rPr>
                <w:noProof/>
                <w:webHidden/>
              </w:rPr>
              <w:fldChar w:fldCharType="end"/>
            </w:r>
          </w:hyperlink>
        </w:p>
        <w:p w14:paraId="3E15DEFB" w14:textId="6CD8458B"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21" w:history="1">
            <w:r w:rsidR="007E7192" w:rsidRPr="009A6D74">
              <w:rPr>
                <w:rStyle w:val="Hipervnculo"/>
                <w:rFonts w:eastAsia="Calibri"/>
                <w:noProof/>
                <w:color w:val="auto"/>
                <w:lang w:eastAsia="es-ES_tradnl"/>
              </w:rPr>
              <w:t>b) Controversia a resolver</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_Toc172748421 \h </w:instrText>
            </w:r>
            <w:r w:rsidR="007E7192" w:rsidRPr="009A6D74">
              <w:rPr>
                <w:noProof/>
                <w:webHidden/>
              </w:rPr>
            </w:r>
            <w:r w:rsidR="007E7192" w:rsidRPr="009A6D74">
              <w:rPr>
                <w:noProof/>
                <w:webHidden/>
              </w:rPr>
              <w:fldChar w:fldCharType="separate"/>
            </w:r>
            <w:r w:rsidR="00E04AE3">
              <w:rPr>
                <w:noProof/>
                <w:webHidden/>
              </w:rPr>
              <w:t>10</w:t>
            </w:r>
            <w:r w:rsidR="007E7192" w:rsidRPr="009A6D74">
              <w:rPr>
                <w:noProof/>
                <w:webHidden/>
              </w:rPr>
              <w:fldChar w:fldCharType="end"/>
            </w:r>
          </w:hyperlink>
        </w:p>
        <w:p w14:paraId="68181B39" w14:textId="4D9E6C2B"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22" w:history="1">
            <w:r w:rsidR="007E7192" w:rsidRPr="009A6D74">
              <w:rPr>
                <w:rStyle w:val="Hipervnculo"/>
                <w:noProof/>
                <w:color w:val="auto"/>
              </w:rPr>
              <w:t>c) Estudio de la controversia</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_Toc172748422 \h </w:instrText>
            </w:r>
            <w:r w:rsidR="007E7192" w:rsidRPr="009A6D74">
              <w:rPr>
                <w:noProof/>
                <w:webHidden/>
              </w:rPr>
            </w:r>
            <w:r w:rsidR="007E7192" w:rsidRPr="009A6D74">
              <w:rPr>
                <w:noProof/>
                <w:webHidden/>
              </w:rPr>
              <w:fldChar w:fldCharType="separate"/>
            </w:r>
            <w:r w:rsidR="00E04AE3">
              <w:rPr>
                <w:noProof/>
                <w:webHidden/>
              </w:rPr>
              <w:t>12</w:t>
            </w:r>
            <w:r w:rsidR="007E7192" w:rsidRPr="009A6D74">
              <w:rPr>
                <w:noProof/>
                <w:webHidden/>
              </w:rPr>
              <w:fldChar w:fldCharType="end"/>
            </w:r>
          </w:hyperlink>
        </w:p>
        <w:p w14:paraId="7FD943F4" w14:textId="656EAD8D" w:rsidR="007E7192" w:rsidRPr="009A6D74" w:rsidRDefault="00D413E4" w:rsidP="009A6D74">
          <w:pPr>
            <w:pStyle w:val="TDC3"/>
            <w:ind w:right="-312"/>
            <w:rPr>
              <w:rFonts w:asciiTheme="minorHAnsi" w:eastAsiaTheme="minorEastAsia" w:hAnsiTheme="minorHAnsi" w:cstheme="minorBidi"/>
              <w:noProof/>
              <w:szCs w:val="22"/>
              <w:lang w:eastAsia="es-MX"/>
            </w:rPr>
          </w:pPr>
          <w:hyperlink w:anchor="_Toc172748423" w:history="1">
            <w:r w:rsidR="007E7192" w:rsidRPr="009A6D74">
              <w:rPr>
                <w:rStyle w:val="Hipervnculo"/>
                <w:rFonts w:eastAsia="Calibri"/>
                <w:noProof/>
                <w:color w:val="auto"/>
              </w:rPr>
              <w:t xml:space="preserve">d) </w:t>
            </w:r>
            <w:r w:rsidR="007E7192" w:rsidRPr="009A6D74">
              <w:rPr>
                <w:rStyle w:val="Hipervnculo"/>
                <w:noProof/>
                <w:color w:val="auto"/>
              </w:rPr>
              <w:t>Conclusión</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_Toc172748423 \h </w:instrText>
            </w:r>
            <w:r w:rsidR="007E7192" w:rsidRPr="009A6D74">
              <w:rPr>
                <w:noProof/>
                <w:webHidden/>
              </w:rPr>
            </w:r>
            <w:r w:rsidR="007E7192" w:rsidRPr="009A6D74">
              <w:rPr>
                <w:noProof/>
                <w:webHidden/>
              </w:rPr>
              <w:fldChar w:fldCharType="separate"/>
            </w:r>
            <w:r w:rsidR="00E04AE3">
              <w:rPr>
                <w:b/>
                <w:bCs/>
                <w:noProof/>
                <w:webHidden/>
                <w:lang w:val="es-ES"/>
              </w:rPr>
              <w:t>¡Error! Marcador no definido.</w:t>
            </w:r>
            <w:r w:rsidR="007E7192" w:rsidRPr="009A6D74">
              <w:rPr>
                <w:noProof/>
                <w:webHidden/>
              </w:rPr>
              <w:fldChar w:fldCharType="end"/>
            </w:r>
          </w:hyperlink>
        </w:p>
        <w:p w14:paraId="4D10D735" w14:textId="03186F54" w:rsidR="007E7192" w:rsidRPr="009A6D74" w:rsidRDefault="00D413E4" w:rsidP="009A6D74">
          <w:pPr>
            <w:pStyle w:val="TDC1"/>
            <w:tabs>
              <w:tab w:val="right" w:leader="dot" w:pos="9034"/>
            </w:tabs>
            <w:ind w:right="-312"/>
            <w:rPr>
              <w:rFonts w:asciiTheme="minorHAnsi" w:eastAsiaTheme="minorEastAsia" w:hAnsiTheme="minorHAnsi" w:cstheme="minorBidi"/>
              <w:noProof/>
              <w:szCs w:val="22"/>
              <w:lang w:eastAsia="es-MX"/>
            </w:rPr>
          </w:pPr>
          <w:hyperlink w:anchor="_Toc172748424" w:history="1">
            <w:r w:rsidR="007E7192" w:rsidRPr="009A6D74">
              <w:rPr>
                <w:rStyle w:val="Hipervnculo"/>
                <w:noProof/>
                <w:color w:val="auto"/>
              </w:rPr>
              <w:t>RESUELVE</w:t>
            </w:r>
            <w:r w:rsidR="007E7192" w:rsidRPr="009A6D74">
              <w:rPr>
                <w:noProof/>
                <w:webHidden/>
              </w:rPr>
              <w:tab/>
            </w:r>
            <w:r w:rsidR="007E7192" w:rsidRPr="009A6D74">
              <w:rPr>
                <w:noProof/>
                <w:webHidden/>
              </w:rPr>
              <w:fldChar w:fldCharType="begin"/>
            </w:r>
            <w:r w:rsidR="007E7192" w:rsidRPr="009A6D74">
              <w:rPr>
                <w:noProof/>
                <w:webHidden/>
              </w:rPr>
              <w:instrText xml:space="preserve"> PAGEREF _Toc172748424 \h </w:instrText>
            </w:r>
            <w:r w:rsidR="007E7192" w:rsidRPr="009A6D74">
              <w:rPr>
                <w:noProof/>
                <w:webHidden/>
              </w:rPr>
            </w:r>
            <w:r w:rsidR="007E7192" w:rsidRPr="009A6D74">
              <w:rPr>
                <w:noProof/>
                <w:webHidden/>
              </w:rPr>
              <w:fldChar w:fldCharType="separate"/>
            </w:r>
            <w:r w:rsidR="00E04AE3">
              <w:rPr>
                <w:b/>
                <w:bCs/>
                <w:noProof/>
                <w:webHidden/>
                <w:lang w:val="es-ES"/>
              </w:rPr>
              <w:t>¡Error! Marcador no definido.</w:t>
            </w:r>
            <w:r w:rsidR="007E7192" w:rsidRPr="009A6D74">
              <w:rPr>
                <w:noProof/>
                <w:webHidden/>
              </w:rPr>
              <w:fldChar w:fldCharType="end"/>
            </w:r>
          </w:hyperlink>
        </w:p>
        <w:p w14:paraId="0C82FD7A" w14:textId="1A1CF7EE" w:rsidR="009B2945" w:rsidRPr="009A6D74" w:rsidRDefault="00AE3DA7" w:rsidP="009A6D74">
          <w:pPr>
            <w:pStyle w:val="TDC1"/>
            <w:tabs>
              <w:tab w:val="right" w:leader="dot" w:pos="9034"/>
            </w:tabs>
            <w:ind w:right="-312"/>
            <w:rPr>
              <w:b/>
              <w:bCs/>
              <w:lang w:val="es-ES"/>
            </w:rPr>
          </w:pPr>
          <w:r w:rsidRPr="009A6D74">
            <w:rPr>
              <w:b/>
              <w:bCs/>
              <w:sz w:val="16"/>
              <w:szCs w:val="16"/>
              <w:lang w:val="es-ES"/>
            </w:rPr>
            <w:lastRenderedPageBreak/>
            <w:fldChar w:fldCharType="end"/>
          </w:r>
        </w:p>
      </w:sdtContent>
    </w:sdt>
    <w:p w14:paraId="603A07E2" w14:textId="77777777" w:rsidR="00646436" w:rsidRPr="009A6D74" w:rsidRDefault="00646436" w:rsidP="009A6D74">
      <w:pPr>
        <w:ind w:right="-312"/>
        <w:rPr>
          <w:rFonts w:cs="Tahoma"/>
          <w:szCs w:val="22"/>
        </w:rPr>
        <w:sectPr w:rsidR="00646436" w:rsidRPr="009A6D7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0C1519F" w:rsidR="00775BFC" w:rsidRPr="009A6D74" w:rsidRDefault="00775BFC" w:rsidP="009A6D74">
      <w:pPr>
        <w:ind w:right="-312"/>
        <w:rPr>
          <w:szCs w:val="22"/>
        </w:rPr>
      </w:pPr>
      <w:r w:rsidRPr="009A6D74">
        <w:rPr>
          <w:szCs w:val="22"/>
        </w:rPr>
        <w:lastRenderedPageBreak/>
        <w:t>Resolución del Pleno del Instituto de Transparencia, Acceso a la Información Pública y Protección de Datos Personales del Estado de México y Municipios, con domicilio en Metepec, Estado de México, de</w:t>
      </w:r>
      <w:r w:rsidR="009A6D74">
        <w:rPr>
          <w:szCs w:val="22"/>
        </w:rPr>
        <w:t>l</w:t>
      </w:r>
      <w:r w:rsidRPr="009A6D74">
        <w:rPr>
          <w:szCs w:val="22"/>
        </w:rPr>
        <w:t xml:space="preserve"> </w:t>
      </w:r>
      <w:r w:rsidR="00FE5A03" w:rsidRPr="009A6D74">
        <w:rPr>
          <w:b/>
          <w:szCs w:val="22"/>
        </w:rPr>
        <w:t>once</w:t>
      </w:r>
      <w:r w:rsidR="00375C6B" w:rsidRPr="009A6D74">
        <w:rPr>
          <w:b/>
          <w:szCs w:val="22"/>
        </w:rPr>
        <w:t xml:space="preserve"> de septiembre</w:t>
      </w:r>
      <w:r w:rsidR="00ED7170" w:rsidRPr="009A6D74">
        <w:rPr>
          <w:b/>
          <w:szCs w:val="22"/>
        </w:rPr>
        <w:t xml:space="preserve"> de dos mil veinticuatro.</w:t>
      </w:r>
    </w:p>
    <w:p w14:paraId="0AF3AAC4" w14:textId="77777777" w:rsidR="00775BFC" w:rsidRPr="009A6D74" w:rsidRDefault="00775BFC" w:rsidP="009A6D74">
      <w:pPr>
        <w:ind w:right="-312"/>
        <w:rPr>
          <w:szCs w:val="22"/>
        </w:rPr>
      </w:pPr>
    </w:p>
    <w:p w14:paraId="40EAE038" w14:textId="719E1FA8" w:rsidR="00775BFC" w:rsidRPr="009A6D74" w:rsidRDefault="00775BFC" w:rsidP="009A6D74">
      <w:pPr>
        <w:ind w:right="-312"/>
        <w:rPr>
          <w:szCs w:val="22"/>
        </w:rPr>
      </w:pPr>
      <w:r w:rsidRPr="009A6D74">
        <w:rPr>
          <w:b/>
          <w:szCs w:val="22"/>
        </w:rPr>
        <w:t xml:space="preserve">VISTO </w:t>
      </w:r>
      <w:r w:rsidRPr="009A6D74">
        <w:rPr>
          <w:szCs w:val="22"/>
        </w:rPr>
        <w:t xml:space="preserve">el expediente formado con motivo del Recurso de Revisión </w:t>
      </w:r>
      <w:r w:rsidR="00FE5A03" w:rsidRPr="009A6D74">
        <w:rPr>
          <w:rFonts w:eastAsia="Calibri"/>
          <w:b/>
          <w:szCs w:val="22"/>
          <w:lang w:eastAsia="en-US"/>
        </w:rPr>
        <w:t>05067/INFOEM/IP/RR/2024</w:t>
      </w:r>
      <w:r w:rsidRPr="009A6D74">
        <w:rPr>
          <w:rFonts w:eastAsia="Calibri"/>
          <w:szCs w:val="22"/>
          <w:lang w:eastAsia="en-US"/>
        </w:rPr>
        <w:t xml:space="preserve"> </w:t>
      </w:r>
      <w:r w:rsidRPr="009A6D74">
        <w:rPr>
          <w:szCs w:val="22"/>
        </w:rPr>
        <w:t xml:space="preserve">interpuesto por </w:t>
      </w:r>
      <w:bookmarkStart w:id="2" w:name="_GoBack"/>
      <w:r w:rsidR="00061444">
        <w:rPr>
          <w:b/>
          <w:bCs/>
          <w:szCs w:val="22"/>
        </w:rPr>
        <w:t>XXX XXXXXX XXXXXXXXXX XXXXX</w:t>
      </w:r>
      <w:bookmarkEnd w:id="2"/>
      <w:r w:rsidRPr="009A6D74">
        <w:rPr>
          <w:szCs w:val="22"/>
        </w:rPr>
        <w:t xml:space="preserve">, a quien en lo subsecuente se le denominará </w:t>
      </w:r>
      <w:r w:rsidRPr="009A6D74">
        <w:rPr>
          <w:b/>
          <w:bCs/>
          <w:szCs w:val="22"/>
        </w:rPr>
        <w:t>LA PARTE RECURRENTE</w:t>
      </w:r>
      <w:r w:rsidRPr="009A6D74">
        <w:rPr>
          <w:szCs w:val="22"/>
        </w:rPr>
        <w:t>, en contra de la respuesta emitida por</w:t>
      </w:r>
      <w:r w:rsidR="00A0449B" w:rsidRPr="009A6D74">
        <w:rPr>
          <w:szCs w:val="22"/>
        </w:rPr>
        <w:t xml:space="preserve"> </w:t>
      </w:r>
      <w:r w:rsidR="000748DF" w:rsidRPr="009A6D74">
        <w:rPr>
          <w:szCs w:val="22"/>
        </w:rPr>
        <w:t>l</w:t>
      </w:r>
      <w:r w:rsidR="002268D4" w:rsidRPr="009A6D74">
        <w:rPr>
          <w:szCs w:val="22"/>
        </w:rPr>
        <w:t>a</w:t>
      </w:r>
      <w:r w:rsidR="000748DF" w:rsidRPr="009A6D74">
        <w:rPr>
          <w:szCs w:val="22"/>
        </w:rPr>
        <w:t xml:space="preserve"> </w:t>
      </w:r>
      <w:r w:rsidR="00FE5A03" w:rsidRPr="009A6D74">
        <w:rPr>
          <w:b/>
          <w:bCs/>
          <w:szCs w:val="22"/>
        </w:rPr>
        <w:t>Consejería Jurídica</w:t>
      </w:r>
      <w:r w:rsidRPr="009A6D74">
        <w:rPr>
          <w:szCs w:val="22"/>
        </w:rPr>
        <w:t xml:space="preserve">, en adelante </w:t>
      </w:r>
      <w:r w:rsidRPr="009A6D74">
        <w:rPr>
          <w:b/>
          <w:bCs/>
          <w:szCs w:val="22"/>
        </w:rPr>
        <w:t>EL SUJETO OBLIGADO</w:t>
      </w:r>
      <w:r w:rsidRPr="009A6D74">
        <w:rPr>
          <w:rFonts w:eastAsia="Calibri"/>
          <w:szCs w:val="22"/>
          <w:lang w:eastAsia="en-US"/>
        </w:rPr>
        <w:t xml:space="preserve">, </w:t>
      </w:r>
      <w:r w:rsidRPr="009A6D74">
        <w:rPr>
          <w:szCs w:val="22"/>
        </w:rPr>
        <w:t>se emite la presente Resolución con base en los Antecedentes y Considerandos que se exponen a continuación:</w:t>
      </w:r>
    </w:p>
    <w:p w14:paraId="2116968C" w14:textId="77777777" w:rsidR="00775BFC" w:rsidRPr="009A6D74" w:rsidRDefault="00775BFC" w:rsidP="009A6D74">
      <w:pPr>
        <w:ind w:right="-312"/>
        <w:rPr>
          <w:szCs w:val="22"/>
        </w:rPr>
      </w:pPr>
    </w:p>
    <w:p w14:paraId="5A444FB6" w14:textId="639D3567" w:rsidR="00664420" w:rsidRPr="009A6D74" w:rsidRDefault="00664420" w:rsidP="009A6D74">
      <w:pPr>
        <w:pStyle w:val="Ttulo1"/>
        <w:ind w:right="-312"/>
        <w:rPr>
          <w:szCs w:val="22"/>
        </w:rPr>
      </w:pPr>
      <w:bookmarkStart w:id="3" w:name="_Toc172748400"/>
      <w:r w:rsidRPr="009A6D74">
        <w:rPr>
          <w:szCs w:val="22"/>
        </w:rPr>
        <w:t>ANTECEDENTES</w:t>
      </w:r>
      <w:bookmarkEnd w:id="3"/>
    </w:p>
    <w:p w14:paraId="7CE9E53D" w14:textId="77777777" w:rsidR="00E37A3F" w:rsidRPr="009A6D74" w:rsidRDefault="00E37A3F" w:rsidP="009A6D74">
      <w:pPr>
        <w:ind w:right="-312"/>
        <w:rPr>
          <w:szCs w:val="22"/>
        </w:rPr>
      </w:pPr>
    </w:p>
    <w:p w14:paraId="09B2D38F" w14:textId="6E49D146" w:rsidR="00664420" w:rsidRPr="009A6D74" w:rsidRDefault="00E37A3F" w:rsidP="009A6D74">
      <w:pPr>
        <w:pStyle w:val="Ttulo2"/>
        <w:ind w:right="-312"/>
        <w:rPr>
          <w:szCs w:val="22"/>
        </w:rPr>
      </w:pPr>
      <w:bookmarkStart w:id="4" w:name="_Toc172748401"/>
      <w:r w:rsidRPr="009A6D74">
        <w:rPr>
          <w:szCs w:val="22"/>
        </w:rPr>
        <w:t>DE LA SOLICITUD DE INFORMACIÓN</w:t>
      </w:r>
      <w:bookmarkEnd w:id="4"/>
    </w:p>
    <w:p w14:paraId="7B7535DF" w14:textId="77777777" w:rsidR="00E37A3F" w:rsidRPr="009A6D74" w:rsidRDefault="00E37A3F" w:rsidP="009A6D74">
      <w:pPr>
        <w:ind w:right="-312"/>
        <w:rPr>
          <w:szCs w:val="22"/>
        </w:rPr>
      </w:pPr>
    </w:p>
    <w:p w14:paraId="2C6AD1A5" w14:textId="0405B3CD" w:rsidR="00664420" w:rsidRPr="009A6D74" w:rsidRDefault="00E37A3F" w:rsidP="009A6D74">
      <w:pPr>
        <w:pStyle w:val="Ttulo3"/>
        <w:ind w:right="-312"/>
        <w:rPr>
          <w:szCs w:val="22"/>
        </w:rPr>
      </w:pPr>
      <w:bookmarkStart w:id="5" w:name="_Toc172748402"/>
      <w:r w:rsidRPr="009A6D74">
        <w:rPr>
          <w:szCs w:val="22"/>
        </w:rPr>
        <w:t xml:space="preserve">a) </w:t>
      </w:r>
      <w:r w:rsidR="006B10B0" w:rsidRPr="009A6D74">
        <w:rPr>
          <w:szCs w:val="22"/>
        </w:rPr>
        <w:t>S</w:t>
      </w:r>
      <w:r w:rsidR="00664420" w:rsidRPr="009A6D74">
        <w:rPr>
          <w:szCs w:val="22"/>
        </w:rPr>
        <w:t xml:space="preserve">olicitud de </w:t>
      </w:r>
      <w:r w:rsidR="006B10B0" w:rsidRPr="009A6D74">
        <w:rPr>
          <w:szCs w:val="22"/>
        </w:rPr>
        <w:t>i</w:t>
      </w:r>
      <w:r w:rsidR="00664420" w:rsidRPr="009A6D74">
        <w:rPr>
          <w:szCs w:val="22"/>
        </w:rPr>
        <w:t>nformación</w:t>
      </w:r>
      <w:bookmarkEnd w:id="5"/>
    </w:p>
    <w:p w14:paraId="06DCD29D" w14:textId="069D66EA" w:rsidR="009A2D78" w:rsidRPr="009A6D74" w:rsidRDefault="006B10B0" w:rsidP="009A6D74">
      <w:pPr>
        <w:pStyle w:val="Prrafodelista"/>
        <w:tabs>
          <w:tab w:val="left" w:pos="851"/>
        </w:tabs>
        <w:ind w:left="0" w:right="-312"/>
        <w:contextualSpacing w:val="0"/>
        <w:rPr>
          <w:rFonts w:cs="Tahoma"/>
          <w:szCs w:val="22"/>
        </w:rPr>
      </w:pPr>
      <w:r w:rsidRPr="009A6D74">
        <w:rPr>
          <w:rFonts w:cs="Tahoma"/>
          <w:szCs w:val="22"/>
        </w:rPr>
        <w:t>El</w:t>
      </w:r>
      <w:r w:rsidR="00664420" w:rsidRPr="009A6D74">
        <w:rPr>
          <w:rFonts w:cs="Tahoma"/>
          <w:szCs w:val="22"/>
        </w:rPr>
        <w:t xml:space="preserve"> </w:t>
      </w:r>
      <w:r w:rsidR="00FE5A03" w:rsidRPr="009A6D74">
        <w:rPr>
          <w:rFonts w:cs="Tahoma"/>
          <w:b/>
          <w:szCs w:val="22"/>
        </w:rPr>
        <w:t xml:space="preserve">seis de agosto </w:t>
      </w:r>
      <w:r w:rsidR="0004680B" w:rsidRPr="009A6D74">
        <w:rPr>
          <w:rFonts w:cs="Tahoma"/>
          <w:b/>
          <w:bCs/>
          <w:szCs w:val="22"/>
        </w:rPr>
        <w:t>de dos mil veinticuatro</w:t>
      </w:r>
      <w:r w:rsidR="00664420" w:rsidRPr="009A6D74">
        <w:rPr>
          <w:rFonts w:cs="Tahoma"/>
          <w:szCs w:val="22"/>
        </w:rPr>
        <w:t xml:space="preserve">, </w:t>
      </w:r>
      <w:r w:rsidRPr="009A6D74">
        <w:rPr>
          <w:b/>
          <w:bCs/>
          <w:szCs w:val="22"/>
        </w:rPr>
        <w:t>LA PARTE RECURRENTE</w:t>
      </w:r>
      <w:r w:rsidR="00664420" w:rsidRPr="009A6D74">
        <w:rPr>
          <w:rFonts w:cs="Tahoma"/>
          <w:szCs w:val="22"/>
        </w:rPr>
        <w:t xml:space="preserve"> presentó una solicitud de acceso a la información pública </w:t>
      </w:r>
      <w:r w:rsidR="001F3515" w:rsidRPr="009A6D74">
        <w:rPr>
          <w:rFonts w:cs="Tahoma"/>
          <w:szCs w:val="22"/>
        </w:rPr>
        <w:t xml:space="preserve">ante el </w:t>
      </w:r>
      <w:r w:rsidR="001F3515" w:rsidRPr="009A6D74">
        <w:rPr>
          <w:rFonts w:cs="Tahoma"/>
          <w:b/>
          <w:bCs/>
          <w:szCs w:val="22"/>
        </w:rPr>
        <w:t>SUJETO OBLIGADO</w:t>
      </w:r>
      <w:r w:rsidR="001F3515" w:rsidRPr="009A6D74">
        <w:rPr>
          <w:rFonts w:cs="Tahoma"/>
          <w:szCs w:val="22"/>
        </w:rPr>
        <w:t xml:space="preserve">, </w:t>
      </w:r>
      <w:r w:rsidR="00664420" w:rsidRPr="009A6D74">
        <w:rPr>
          <w:rFonts w:cs="Tahoma"/>
          <w:szCs w:val="22"/>
        </w:rPr>
        <w:t>a través del Sistema de Acceso a la Información Mexiquense</w:t>
      </w:r>
      <w:r w:rsidRPr="009A6D74">
        <w:rPr>
          <w:rFonts w:cs="Tahoma"/>
          <w:szCs w:val="22"/>
        </w:rPr>
        <w:t xml:space="preserve"> </w:t>
      </w:r>
      <w:r w:rsidR="009A2D78" w:rsidRPr="009A6D74">
        <w:rPr>
          <w:rFonts w:cs="Tahoma"/>
          <w:szCs w:val="22"/>
        </w:rPr>
        <w:t>(</w:t>
      </w:r>
      <w:r w:rsidRPr="009A6D74">
        <w:rPr>
          <w:rFonts w:cs="Tahoma"/>
          <w:b/>
          <w:szCs w:val="22"/>
        </w:rPr>
        <w:t>SAIMEX</w:t>
      </w:r>
      <w:r w:rsidR="009A2D78" w:rsidRPr="009A6D74">
        <w:rPr>
          <w:rFonts w:cs="Tahoma"/>
          <w:szCs w:val="22"/>
        </w:rPr>
        <w:t>). Dicha solicitud quedó</w:t>
      </w:r>
      <w:r w:rsidRPr="009A6D74">
        <w:rPr>
          <w:rFonts w:cs="Tahoma"/>
          <w:szCs w:val="22"/>
        </w:rPr>
        <w:t xml:space="preserve"> registrada c</w:t>
      </w:r>
      <w:r w:rsidR="00664420" w:rsidRPr="009A6D74">
        <w:rPr>
          <w:rFonts w:cs="Tahoma"/>
          <w:szCs w:val="22"/>
        </w:rPr>
        <w:t>on el número de folio</w:t>
      </w:r>
      <w:r w:rsidR="00664420" w:rsidRPr="009A6D74">
        <w:rPr>
          <w:rFonts w:cs="Tahoma"/>
          <w:b/>
          <w:bCs/>
          <w:szCs w:val="22"/>
        </w:rPr>
        <w:t xml:space="preserve"> </w:t>
      </w:r>
      <w:r w:rsidR="00FE5A03" w:rsidRPr="009A6D74">
        <w:rPr>
          <w:rFonts w:cs="Tahoma"/>
          <w:b/>
          <w:bCs/>
          <w:szCs w:val="22"/>
        </w:rPr>
        <w:t>00183/CJ/IP/2024</w:t>
      </w:r>
      <w:r w:rsidR="002A3601" w:rsidRPr="009A6D74">
        <w:rPr>
          <w:rFonts w:cs="Tahoma"/>
          <w:szCs w:val="22"/>
        </w:rPr>
        <w:t xml:space="preserve"> y en ella </w:t>
      </w:r>
      <w:r w:rsidR="009A2D78" w:rsidRPr="009A6D74">
        <w:rPr>
          <w:rFonts w:cs="Tahoma"/>
          <w:szCs w:val="22"/>
        </w:rPr>
        <w:t>se requirió la siguiente información:</w:t>
      </w:r>
    </w:p>
    <w:p w14:paraId="78614CE6" w14:textId="77777777" w:rsidR="009341B5" w:rsidRPr="009A6D74" w:rsidRDefault="009341B5" w:rsidP="009A6D74">
      <w:pPr>
        <w:ind w:left="851" w:right="-312"/>
        <w:rPr>
          <w:rFonts w:eastAsiaTheme="majorEastAsia" w:cstheme="majorBidi"/>
          <w:i/>
          <w:kern w:val="28"/>
          <w:szCs w:val="22"/>
        </w:rPr>
      </w:pPr>
    </w:p>
    <w:p w14:paraId="49DFA1EE" w14:textId="64ECB17F" w:rsidR="00BB7B48" w:rsidRPr="009A6D74" w:rsidRDefault="0004680B" w:rsidP="009A6D74">
      <w:pPr>
        <w:pStyle w:val="Puesto"/>
      </w:pPr>
      <w:r w:rsidRPr="009A6D74">
        <w:t>“</w:t>
      </w:r>
      <w:r w:rsidR="00FE5A03" w:rsidRPr="009A6D74">
        <w:t xml:space="preserve">Por medio de la presente, solicito atentamente se me proporcione la información que se encuentre en su poder (en formato abierto) en la que se detallen delitos o violaciones de derechos humanos perpetrados en contra de personas migrantes, solicitantes de asilo y refugiados en el territorio mexicano, así como información estadística relativa a las víctimas. Solicito explícitamente que la información se </w:t>
      </w:r>
      <w:r w:rsidR="00FE5A03" w:rsidRPr="009A6D74">
        <w:lastRenderedPageBreak/>
        <w:t xml:space="preserve">encuentre desglosada y particularizada por tipo de delito o violación a los derechos humanos, lugar donde se registró el incidente (dirección precisa o coordenadas), fecha y hora en la que se registró el incidente, así como raza, identidad de género, etnia, sexo, nacionalidad, discapacidad, </w:t>
      </w:r>
      <w:proofErr w:type="spellStart"/>
      <w:r w:rsidR="00FE5A03" w:rsidRPr="009A6D74">
        <w:t>pertenenencia</w:t>
      </w:r>
      <w:proofErr w:type="spellEnd"/>
      <w:r w:rsidR="00FE5A03" w:rsidRPr="009A6D74">
        <w:t xml:space="preserve"> a algún pueblo indígena, situación migratoria, </w:t>
      </w:r>
      <w:proofErr w:type="spellStart"/>
      <w:r w:rsidR="00FE5A03" w:rsidRPr="009A6D74">
        <w:t>condicion</w:t>
      </w:r>
      <w:proofErr w:type="spellEnd"/>
      <w:r w:rsidR="00FE5A03" w:rsidRPr="009A6D74">
        <w:t xml:space="preserve"> social y rango de edad de las personas víctimas. Requiero que se proporcione la información correspondiente al periodo del 1 de enero de 2024 a la fecha de la presente solicitud. Me permito mencionar que aun cuando existe información pública relacionada a la de mi solicitud en la página e información que se proporciona por la Subsecretaría de Derechos Humanos, Población y Migración de la Secretaría de Gobernación, la contenida en la misma no se encuentra actualizada ni contempla la totalidad de delitos registrados en nuestro país. Por lo que solicito que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las funciones del sujeto obligado o sus integrantes.</w:t>
      </w:r>
      <w:r w:rsidR="0027446D" w:rsidRPr="009A6D74">
        <w:t>”</w:t>
      </w:r>
    </w:p>
    <w:p w14:paraId="211DB020" w14:textId="11EC69BF" w:rsidR="00BB7B48" w:rsidRPr="009A6D74" w:rsidRDefault="00BB7B48" w:rsidP="009A6D74">
      <w:pPr>
        <w:tabs>
          <w:tab w:val="left" w:pos="4667"/>
        </w:tabs>
        <w:ind w:right="-312"/>
        <w:rPr>
          <w:rFonts w:cs="Tahoma"/>
          <w:bCs/>
          <w:szCs w:val="22"/>
        </w:rPr>
      </w:pPr>
    </w:p>
    <w:p w14:paraId="26F96FDE" w14:textId="77777777" w:rsidR="00FE5A03" w:rsidRPr="009A6D74" w:rsidRDefault="00FE5A03" w:rsidP="009A6D74">
      <w:pPr>
        <w:tabs>
          <w:tab w:val="left" w:pos="4667"/>
        </w:tabs>
        <w:ind w:right="567"/>
        <w:rPr>
          <w:rFonts w:cs="Tahoma"/>
          <w:bCs/>
          <w:i/>
          <w:szCs w:val="22"/>
        </w:rPr>
      </w:pPr>
      <w:r w:rsidRPr="009A6D74">
        <w:rPr>
          <w:rFonts w:cs="Tahoma"/>
          <w:b/>
          <w:bCs/>
          <w:szCs w:val="22"/>
        </w:rPr>
        <w:t>Modalidad de entrega</w:t>
      </w:r>
      <w:r w:rsidRPr="009A6D74">
        <w:rPr>
          <w:rFonts w:cs="Tahoma"/>
          <w:bCs/>
          <w:szCs w:val="22"/>
        </w:rPr>
        <w:t>: a</w:t>
      </w:r>
      <w:r w:rsidRPr="009A6D74">
        <w:rPr>
          <w:rFonts w:cs="Tahoma"/>
          <w:bCs/>
          <w:i/>
          <w:szCs w:val="22"/>
        </w:rPr>
        <w:t xml:space="preserve"> través del </w:t>
      </w:r>
      <w:r w:rsidRPr="009A6D74">
        <w:rPr>
          <w:rFonts w:cs="Tahoma"/>
          <w:b/>
          <w:bCs/>
          <w:i/>
          <w:szCs w:val="22"/>
        </w:rPr>
        <w:t>SAIMEX</w:t>
      </w:r>
      <w:r w:rsidRPr="009A6D74">
        <w:rPr>
          <w:rFonts w:cs="Tahoma"/>
          <w:bCs/>
          <w:i/>
          <w:szCs w:val="22"/>
        </w:rPr>
        <w:t>.</w:t>
      </w:r>
    </w:p>
    <w:p w14:paraId="18ED17CF" w14:textId="77777777" w:rsidR="008A30C1" w:rsidRPr="009A6D74" w:rsidRDefault="008A30C1" w:rsidP="009A6D74">
      <w:pPr>
        <w:tabs>
          <w:tab w:val="left" w:pos="4667"/>
        </w:tabs>
        <w:ind w:right="567"/>
        <w:rPr>
          <w:rFonts w:cs="Tahoma"/>
          <w:bCs/>
          <w:i/>
          <w:szCs w:val="22"/>
        </w:rPr>
      </w:pPr>
    </w:p>
    <w:p w14:paraId="0759D8B5" w14:textId="77777777" w:rsidR="00FE5A03" w:rsidRPr="009A6D74" w:rsidRDefault="00FE5A03" w:rsidP="009A6D74">
      <w:pPr>
        <w:pStyle w:val="Ttulo3"/>
        <w:rPr>
          <w:szCs w:val="22"/>
        </w:rPr>
      </w:pPr>
      <w:bookmarkStart w:id="6" w:name="_Toc175144223"/>
      <w:r w:rsidRPr="009A6D74">
        <w:rPr>
          <w:szCs w:val="22"/>
        </w:rPr>
        <w:t xml:space="preserve">b) </w:t>
      </w:r>
      <w:r w:rsidRPr="009A6D74">
        <w:rPr>
          <w:bCs/>
          <w:szCs w:val="22"/>
        </w:rPr>
        <w:t>Turno de la solicitud de información</w:t>
      </w:r>
      <w:bookmarkEnd w:id="6"/>
    </w:p>
    <w:p w14:paraId="1CDB477C" w14:textId="36247494" w:rsidR="00FE5A03" w:rsidRPr="009A6D74" w:rsidRDefault="00FE5A03" w:rsidP="009A6D74">
      <w:pPr>
        <w:tabs>
          <w:tab w:val="left" w:pos="4667"/>
        </w:tabs>
        <w:ind w:right="-312"/>
        <w:rPr>
          <w:rFonts w:cs="Tahoma"/>
          <w:bCs/>
          <w:szCs w:val="22"/>
        </w:rPr>
      </w:pPr>
      <w:r w:rsidRPr="009A6D74">
        <w:rPr>
          <w:rFonts w:cs="Tahoma"/>
          <w:bCs/>
          <w:szCs w:val="22"/>
        </w:rPr>
        <w:t xml:space="preserve">En cumplimiento al artículo 162 de la Ley de Transparencia y Acceso a la Información Pública del Estado de México y Municipios, el </w:t>
      </w:r>
      <w:r w:rsidRPr="009A6D74">
        <w:rPr>
          <w:rFonts w:cs="Tahoma"/>
          <w:b/>
          <w:bCs/>
          <w:szCs w:val="22"/>
        </w:rPr>
        <w:t>siete de agosto de dos mil veinticuatro</w:t>
      </w:r>
      <w:r w:rsidRPr="009A6D74">
        <w:rPr>
          <w:rFonts w:cs="Tahoma"/>
          <w:bCs/>
          <w:szCs w:val="22"/>
        </w:rPr>
        <w:t xml:space="preserve">, el Titular de la Unidad de Transparencia del </w:t>
      </w:r>
      <w:r w:rsidRPr="009A6D74">
        <w:rPr>
          <w:rFonts w:cs="Tahoma"/>
          <w:b/>
          <w:bCs/>
          <w:szCs w:val="22"/>
        </w:rPr>
        <w:t>SUJETO OBLIGADO</w:t>
      </w:r>
      <w:r w:rsidRPr="009A6D74">
        <w:rPr>
          <w:rFonts w:cs="Tahoma"/>
          <w:bCs/>
          <w:szCs w:val="22"/>
        </w:rPr>
        <w:t xml:space="preserve"> turnó la solicitud de información a los servidores públicos habilitados que estimó pertinente.</w:t>
      </w:r>
    </w:p>
    <w:p w14:paraId="4F811B19" w14:textId="77777777" w:rsidR="00FE5A03" w:rsidRPr="009A6D74" w:rsidRDefault="00FE5A03" w:rsidP="009A6D74">
      <w:pPr>
        <w:tabs>
          <w:tab w:val="left" w:pos="4667"/>
        </w:tabs>
        <w:ind w:right="-312"/>
        <w:rPr>
          <w:rFonts w:cs="Tahoma"/>
          <w:bCs/>
          <w:szCs w:val="22"/>
        </w:rPr>
      </w:pPr>
    </w:p>
    <w:p w14:paraId="3212BA4D" w14:textId="612800AD" w:rsidR="00664420" w:rsidRPr="009A6D74" w:rsidRDefault="00A252C9" w:rsidP="009A6D74">
      <w:pPr>
        <w:pStyle w:val="Ttulo3"/>
        <w:ind w:right="-312"/>
        <w:rPr>
          <w:szCs w:val="22"/>
        </w:rPr>
      </w:pPr>
      <w:bookmarkStart w:id="7" w:name="_Toc172748403"/>
      <w:r w:rsidRPr="009A6D74">
        <w:rPr>
          <w:szCs w:val="22"/>
        </w:rPr>
        <w:lastRenderedPageBreak/>
        <w:t>c</w:t>
      </w:r>
      <w:r w:rsidR="000748DF" w:rsidRPr="009A6D74">
        <w:rPr>
          <w:szCs w:val="22"/>
        </w:rPr>
        <w:t xml:space="preserve">) </w:t>
      </w:r>
      <w:r w:rsidR="00664420" w:rsidRPr="009A6D74">
        <w:rPr>
          <w:szCs w:val="22"/>
          <w:lang w:val="es-ES"/>
        </w:rPr>
        <w:t xml:space="preserve">Respuesta </w:t>
      </w:r>
      <w:r w:rsidR="00664420" w:rsidRPr="009A6D74">
        <w:rPr>
          <w:rFonts w:eastAsia="Calibri"/>
          <w:szCs w:val="22"/>
          <w:lang w:eastAsia="en-US"/>
        </w:rPr>
        <w:t>del Sujeto Obligado</w:t>
      </w:r>
      <w:bookmarkEnd w:id="7"/>
    </w:p>
    <w:p w14:paraId="79199CC1" w14:textId="150B5C07" w:rsidR="00664420" w:rsidRPr="009A6D74" w:rsidRDefault="00664420" w:rsidP="009A6D74">
      <w:pPr>
        <w:pStyle w:val="Sinespaciado"/>
        <w:spacing w:line="360" w:lineRule="auto"/>
        <w:ind w:right="-312"/>
        <w:rPr>
          <w:szCs w:val="22"/>
          <w:lang w:val="es-ES"/>
        </w:rPr>
      </w:pPr>
      <w:r w:rsidRPr="009A6D74">
        <w:rPr>
          <w:szCs w:val="22"/>
          <w:lang w:val="es-ES"/>
        </w:rPr>
        <w:t xml:space="preserve">El </w:t>
      </w:r>
      <w:r w:rsidR="00FE5A03" w:rsidRPr="009A6D74">
        <w:rPr>
          <w:rFonts w:eastAsia="Calibri" w:cs="Arial"/>
          <w:b/>
          <w:bCs/>
          <w:szCs w:val="22"/>
          <w:lang w:val="es-ES" w:eastAsia="en-US"/>
        </w:rPr>
        <w:t>dieciséis de agosto</w:t>
      </w:r>
      <w:r w:rsidR="000748DF" w:rsidRPr="009A6D74">
        <w:rPr>
          <w:rFonts w:eastAsia="Calibri" w:cs="Arial"/>
          <w:b/>
          <w:bCs/>
          <w:szCs w:val="22"/>
          <w:lang w:val="es-ES" w:eastAsia="en-US"/>
        </w:rPr>
        <w:t xml:space="preserve"> </w:t>
      </w:r>
      <w:r w:rsidR="000748DF" w:rsidRPr="009A6D74">
        <w:rPr>
          <w:rFonts w:eastAsia="Calibri" w:cs="Arial"/>
          <w:b/>
          <w:szCs w:val="22"/>
          <w:lang w:val="es-ES" w:eastAsia="en-US"/>
        </w:rPr>
        <w:t>de dos mil veinticuatro</w:t>
      </w:r>
      <w:r w:rsidR="00983EEF" w:rsidRPr="009A6D74">
        <w:rPr>
          <w:b/>
          <w:szCs w:val="22"/>
          <w:lang w:val="es-ES"/>
        </w:rPr>
        <w:t xml:space="preserve">, </w:t>
      </w:r>
      <w:r w:rsidR="00F07EE6" w:rsidRPr="009A6D74">
        <w:rPr>
          <w:szCs w:val="22"/>
          <w:lang w:val="es-ES"/>
        </w:rPr>
        <w:t>l</w:t>
      </w:r>
      <w:r w:rsidR="002268D4" w:rsidRPr="009A6D74">
        <w:rPr>
          <w:szCs w:val="22"/>
          <w:lang w:val="es-ES"/>
        </w:rPr>
        <w:t>a</w:t>
      </w:r>
      <w:r w:rsidR="00F07EE6" w:rsidRPr="009A6D74">
        <w:rPr>
          <w:szCs w:val="22"/>
          <w:lang w:val="es-ES"/>
        </w:rPr>
        <w:t xml:space="preserve"> Titular de la Unidad de Transparencia del </w:t>
      </w:r>
      <w:r w:rsidR="00F07EE6" w:rsidRPr="009A6D74">
        <w:rPr>
          <w:b/>
          <w:szCs w:val="22"/>
          <w:lang w:val="es-ES"/>
        </w:rPr>
        <w:t>SUJETO OBLIGADO</w:t>
      </w:r>
      <w:r w:rsidR="00F07EE6" w:rsidRPr="009A6D74">
        <w:rPr>
          <w:szCs w:val="22"/>
          <w:lang w:val="es-ES"/>
        </w:rPr>
        <w:t xml:space="preserve"> notificó la siguiente respuesta a través del </w:t>
      </w:r>
      <w:r w:rsidRPr="009A6D74">
        <w:rPr>
          <w:szCs w:val="22"/>
          <w:lang w:val="es-ES"/>
        </w:rPr>
        <w:t>SAIMEX</w:t>
      </w:r>
      <w:r w:rsidR="00F07EE6" w:rsidRPr="009A6D74">
        <w:rPr>
          <w:szCs w:val="22"/>
          <w:lang w:val="es-ES"/>
        </w:rPr>
        <w:t>:</w:t>
      </w:r>
    </w:p>
    <w:p w14:paraId="669F7EFD" w14:textId="77777777" w:rsidR="00664420" w:rsidRPr="009A6D74" w:rsidRDefault="00664420" w:rsidP="009A6D74">
      <w:pPr>
        <w:tabs>
          <w:tab w:val="left" w:pos="4667"/>
        </w:tabs>
        <w:ind w:left="567" w:right="-312"/>
        <w:rPr>
          <w:rFonts w:cs="Tahoma"/>
          <w:b/>
          <w:bCs/>
          <w:szCs w:val="22"/>
        </w:rPr>
      </w:pPr>
    </w:p>
    <w:p w14:paraId="5BA0ADF4" w14:textId="77777777" w:rsidR="00FE5A03" w:rsidRPr="009A6D74" w:rsidRDefault="00FE5A03" w:rsidP="009A6D74">
      <w:pPr>
        <w:pStyle w:val="Puesto"/>
      </w:pPr>
      <w:r w:rsidRPr="009A6D74">
        <w:t>Folio de la solicitud: 00183/CJ/IP/2024</w:t>
      </w:r>
    </w:p>
    <w:p w14:paraId="694710A2" w14:textId="77777777" w:rsidR="00FE5A03" w:rsidRPr="009A6D74" w:rsidRDefault="00FE5A03" w:rsidP="009A6D74">
      <w:pPr>
        <w:pStyle w:val="Puesto"/>
      </w:pPr>
    </w:p>
    <w:p w14:paraId="3E3E5AB5" w14:textId="77777777" w:rsidR="00FE5A03" w:rsidRPr="009A6D74" w:rsidRDefault="00FE5A03" w:rsidP="009A6D74">
      <w:pPr>
        <w:pStyle w:val="Puesto"/>
      </w:pPr>
      <w:r w:rsidRPr="009A6D74">
        <w:t>En respuesta a la solicitud recibida, nos permitimos hacer de su conocimiento que con fundamento en el artículo 53, Fracciones: II, V y VI de la Ley de Transparencia y Acceso a la Información Pública del Estado de México y Municipios, le contestamos que:</w:t>
      </w:r>
    </w:p>
    <w:p w14:paraId="6FF3ABF1" w14:textId="77777777" w:rsidR="005C4788" w:rsidRPr="009A6D74" w:rsidRDefault="005C4788" w:rsidP="009A6D74">
      <w:pPr>
        <w:pStyle w:val="Puesto"/>
      </w:pPr>
    </w:p>
    <w:p w14:paraId="792AAF43" w14:textId="77777777" w:rsidR="00FE5A03" w:rsidRPr="009A6D74" w:rsidRDefault="00FE5A03" w:rsidP="009A6D74">
      <w:pPr>
        <w:pStyle w:val="Puesto"/>
      </w:pPr>
      <w:r w:rsidRPr="009A6D74">
        <w:t>En caso de que la respuesta no sea legible, favor de comunicarse al teléfono (722) 2137511</w:t>
      </w:r>
    </w:p>
    <w:p w14:paraId="39F78F73" w14:textId="77777777" w:rsidR="00FE5A03" w:rsidRPr="009A6D74" w:rsidRDefault="00FE5A03" w:rsidP="009A6D74">
      <w:pPr>
        <w:pStyle w:val="Puesto"/>
      </w:pPr>
    </w:p>
    <w:p w14:paraId="7592918D" w14:textId="77777777" w:rsidR="00FE5A03" w:rsidRPr="009A6D74" w:rsidRDefault="00FE5A03" w:rsidP="009A6D74">
      <w:pPr>
        <w:pStyle w:val="Puesto"/>
      </w:pPr>
      <w:r w:rsidRPr="009A6D74">
        <w:t>ATENTAMENTE</w:t>
      </w:r>
    </w:p>
    <w:p w14:paraId="33C8A878" w14:textId="12E6C3F0" w:rsidR="0027446D" w:rsidRPr="009A6D74" w:rsidRDefault="00FE5A03" w:rsidP="009A6D74">
      <w:pPr>
        <w:pStyle w:val="Puesto"/>
        <w:rPr>
          <w:rFonts w:cs="Tahoma"/>
          <w:bCs/>
        </w:rPr>
      </w:pPr>
      <w:r w:rsidRPr="009A6D74">
        <w:t>LIC. MARIO CARLOS CANTÚ ESPARZA</w:t>
      </w:r>
    </w:p>
    <w:p w14:paraId="6655F93B" w14:textId="77777777" w:rsidR="00FE5A03" w:rsidRPr="009A6D74" w:rsidRDefault="00FE5A03" w:rsidP="009A6D74">
      <w:pPr>
        <w:pStyle w:val="Puesto"/>
        <w:rPr>
          <w:rFonts w:cs="Tahoma"/>
          <w:bCs/>
          <w:lang w:val="es-ES"/>
        </w:rPr>
      </w:pPr>
    </w:p>
    <w:p w14:paraId="7DCEB115" w14:textId="0191006B" w:rsidR="000C5109" w:rsidRPr="009A6D74" w:rsidRDefault="00F07EE6" w:rsidP="009A6D74">
      <w:pPr>
        <w:autoSpaceDE w:val="0"/>
        <w:autoSpaceDN w:val="0"/>
        <w:adjustRightInd w:val="0"/>
        <w:ind w:right="-312"/>
        <w:rPr>
          <w:rFonts w:cs="Tahoma"/>
          <w:bCs/>
          <w:szCs w:val="22"/>
          <w:lang w:val="es-ES"/>
        </w:rPr>
      </w:pPr>
      <w:r w:rsidRPr="009A6D74">
        <w:rPr>
          <w:rFonts w:cs="Tahoma"/>
          <w:bCs/>
          <w:szCs w:val="22"/>
          <w:lang w:val="es-ES"/>
        </w:rPr>
        <w:t xml:space="preserve">Asimismo, </w:t>
      </w:r>
      <w:r w:rsidRPr="009A6D74">
        <w:rPr>
          <w:rFonts w:cs="Tahoma"/>
          <w:b/>
          <w:szCs w:val="22"/>
          <w:lang w:val="es-ES"/>
        </w:rPr>
        <w:t xml:space="preserve">EL SUJETO OBLIGADO </w:t>
      </w:r>
      <w:r w:rsidRPr="009A6D74">
        <w:rPr>
          <w:rFonts w:cs="Tahoma"/>
          <w:bCs/>
          <w:szCs w:val="22"/>
          <w:lang w:val="es-ES"/>
        </w:rPr>
        <w:t xml:space="preserve">adjuntó a su respuesta </w:t>
      </w:r>
      <w:r w:rsidR="0004680B" w:rsidRPr="009A6D74">
        <w:rPr>
          <w:rFonts w:cs="Tahoma"/>
          <w:bCs/>
          <w:szCs w:val="22"/>
          <w:lang w:val="es-ES"/>
        </w:rPr>
        <w:t>el</w:t>
      </w:r>
      <w:r w:rsidR="004252F1" w:rsidRPr="009A6D74">
        <w:rPr>
          <w:rFonts w:cs="Tahoma"/>
          <w:bCs/>
          <w:szCs w:val="22"/>
          <w:lang w:val="es-ES"/>
        </w:rPr>
        <w:t xml:space="preserve"> </w:t>
      </w:r>
      <w:r w:rsidRPr="009A6D74">
        <w:rPr>
          <w:rFonts w:cs="Tahoma"/>
          <w:bCs/>
          <w:szCs w:val="22"/>
          <w:lang w:val="es-ES"/>
        </w:rPr>
        <w:t>archivo electrónico</w:t>
      </w:r>
      <w:r w:rsidR="0004680B" w:rsidRPr="009A6D74">
        <w:rPr>
          <w:rFonts w:cs="Tahoma"/>
          <w:bCs/>
          <w:szCs w:val="22"/>
          <w:lang w:val="es-ES"/>
        </w:rPr>
        <w:t xml:space="preserve"> siguiente</w:t>
      </w:r>
      <w:r w:rsidR="000C5109" w:rsidRPr="009A6D74">
        <w:rPr>
          <w:rFonts w:cs="Tahoma"/>
          <w:bCs/>
          <w:szCs w:val="22"/>
          <w:lang w:val="es-ES"/>
        </w:rPr>
        <w:t>:</w:t>
      </w:r>
    </w:p>
    <w:p w14:paraId="45FC75DA" w14:textId="77777777" w:rsidR="000C5109" w:rsidRPr="009A6D74" w:rsidRDefault="000C5109" w:rsidP="009A6D74">
      <w:pPr>
        <w:autoSpaceDE w:val="0"/>
        <w:autoSpaceDN w:val="0"/>
        <w:adjustRightInd w:val="0"/>
        <w:ind w:right="-312"/>
        <w:rPr>
          <w:rFonts w:cs="Tahoma"/>
          <w:bCs/>
          <w:szCs w:val="22"/>
          <w:lang w:val="es-ES"/>
        </w:rPr>
      </w:pPr>
    </w:p>
    <w:p w14:paraId="4900FCBD" w14:textId="77777777" w:rsidR="00FE5A03" w:rsidRPr="009A6D74" w:rsidRDefault="00FE5A03" w:rsidP="009A6D74">
      <w:pPr>
        <w:pStyle w:val="Prrafodelista"/>
        <w:numPr>
          <w:ilvl w:val="0"/>
          <w:numId w:val="4"/>
        </w:numPr>
        <w:autoSpaceDE w:val="0"/>
        <w:autoSpaceDN w:val="0"/>
        <w:adjustRightInd w:val="0"/>
        <w:ind w:right="-312"/>
        <w:rPr>
          <w:rFonts w:cs="Tahoma"/>
          <w:b/>
          <w:i/>
          <w:iCs/>
          <w:szCs w:val="22"/>
          <w:lang w:val="es-ES"/>
        </w:rPr>
      </w:pPr>
      <w:r w:rsidRPr="009A6D74">
        <w:rPr>
          <w:rFonts w:cs="Tahoma"/>
          <w:b/>
          <w:i/>
          <w:iCs/>
          <w:szCs w:val="22"/>
          <w:lang w:val="es-ES"/>
        </w:rPr>
        <w:t>Rpta183.24DGDHeIG.pdf</w:t>
      </w:r>
    </w:p>
    <w:p w14:paraId="344A4B1E" w14:textId="77777777" w:rsidR="00FE5A03" w:rsidRPr="009A6D74" w:rsidRDefault="0004680B" w:rsidP="009A6D74">
      <w:pPr>
        <w:autoSpaceDE w:val="0"/>
        <w:autoSpaceDN w:val="0"/>
        <w:adjustRightInd w:val="0"/>
        <w:ind w:left="567" w:right="-312"/>
        <w:rPr>
          <w:rFonts w:cs="Tahoma"/>
          <w:bCs/>
          <w:szCs w:val="22"/>
          <w:lang w:val="es-ES"/>
        </w:rPr>
      </w:pPr>
      <w:r w:rsidRPr="009A6D74">
        <w:rPr>
          <w:rFonts w:cs="Tahoma"/>
          <w:bCs/>
          <w:szCs w:val="22"/>
          <w:lang w:val="es-ES"/>
        </w:rPr>
        <w:t xml:space="preserve">Archivo constante de </w:t>
      </w:r>
      <w:r w:rsidR="00FE5A03" w:rsidRPr="009A6D74">
        <w:rPr>
          <w:rFonts w:cs="Tahoma"/>
          <w:bCs/>
          <w:szCs w:val="22"/>
          <w:lang w:val="es-ES"/>
        </w:rPr>
        <w:t>4</w:t>
      </w:r>
      <w:r w:rsidR="000C5109" w:rsidRPr="009A6D74">
        <w:rPr>
          <w:rFonts w:cs="Tahoma"/>
          <w:bCs/>
          <w:szCs w:val="22"/>
          <w:lang w:val="es-ES"/>
        </w:rPr>
        <w:t xml:space="preserve"> páginas, en la</w:t>
      </w:r>
      <w:r w:rsidR="00FE5A03" w:rsidRPr="009A6D74">
        <w:rPr>
          <w:rFonts w:cs="Tahoma"/>
          <w:bCs/>
          <w:szCs w:val="22"/>
          <w:lang w:val="es-ES"/>
        </w:rPr>
        <w:t>s que se aprecia:</w:t>
      </w:r>
    </w:p>
    <w:p w14:paraId="6296215A" w14:textId="711B4189" w:rsidR="000C5109" w:rsidRPr="009A6D74" w:rsidRDefault="00FE5A03" w:rsidP="009A6D74">
      <w:pPr>
        <w:autoSpaceDE w:val="0"/>
        <w:autoSpaceDN w:val="0"/>
        <w:adjustRightInd w:val="0"/>
        <w:ind w:left="567" w:right="-312"/>
        <w:rPr>
          <w:rFonts w:cs="Tahoma"/>
          <w:bCs/>
          <w:szCs w:val="22"/>
          <w:lang w:val="es-ES"/>
        </w:rPr>
      </w:pPr>
      <w:r w:rsidRPr="009A6D74">
        <w:rPr>
          <w:rFonts w:cs="Tahoma"/>
          <w:bCs/>
          <w:szCs w:val="22"/>
          <w:lang w:val="es-ES"/>
        </w:rPr>
        <w:t>Páginas 1 y 2. O</w:t>
      </w:r>
      <w:r w:rsidR="000C5109" w:rsidRPr="009A6D74">
        <w:rPr>
          <w:rFonts w:cs="Tahoma"/>
          <w:bCs/>
          <w:szCs w:val="22"/>
          <w:lang w:val="es-ES"/>
        </w:rPr>
        <w:t xml:space="preserve">ficio </w:t>
      </w:r>
      <w:r w:rsidRPr="009A6D74">
        <w:rPr>
          <w:rFonts w:cs="Tahoma"/>
          <w:bCs/>
          <w:szCs w:val="22"/>
          <w:lang w:val="es-ES"/>
        </w:rPr>
        <w:t>CJ-UIPPE/1600/2024 de fecha 15 de agosto de 2024, dirigido al solicitante, suscrito por el Titular de la Unidad de Transparencia, en el que le informa:</w:t>
      </w:r>
    </w:p>
    <w:p w14:paraId="3DAE0B92" w14:textId="77777777" w:rsidR="00FE5A03" w:rsidRPr="009A6D74" w:rsidRDefault="00FE5A03" w:rsidP="009A6D74">
      <w:pPr>
        <w:autoSpaceDE w:val="0"/>
        <w:autoSpaceDN w:val="0"/>
        <w:adjustRightInd w:val="0"/>
        <w:ind w:left="567" w:right="-312"/>
        <w:rPr>
          <w:rFonts w:cs="Tahoma"/>
          <w:bCs/>
          <w:i/>
          <w:szCs w:val="22"/>
          <w:lang w:val="es-ES"/>
        </w:rPr>
      </w:pPr>
    </w:p>
    <w:p w14:paraId="2702E332" w14:textId="77777777" w:rsidR="00FE5A03" w:rsidRPr="009A6D74" w:rsidRDefault="00FE5A03" w:rsidP="009A6D74">
      <w:pPr>
        <w:pStyle w:val="Puesto"/>
        <w:rPr>
          <w:lang w:val="es-ES"/>
        </w:rPr>
      </w:pPr>
      <w:r w:rsidRPr="009A6D74">
        <w:rPr>
          <w:lang w:val="es-ES"/>
        </w:rPr>
        <w:t>“… me permito informarle que su solicitud de información fue turnada mediante oficio número CJ-UIPPE/1558/2024, a la Servidora Pública Habilitada de la Dirección General de Derechos Humanos e Igualdad de Género, quien remitió respuesta por medio del oficio número 23302002000000L/719/2024, el cual se adjunta al presente.</w:t>
      </w:r>
    </w:p>
    <w:p w14:paraId="1200DD37" w14:textId="77777777" w:rsidR="00FE5A03" w:rsidRPr="009A6D74" w:rsidRDefault="00FE5A03" w:rsidP="009A6D74">
      <w:pPr>
        <w:autoSpaceDE w:val="0"/>
        <w:autoSpaceDN w:val="0"/>
        <w:adjustRightInd w:val="0"/>
        <w:ind w:left="567" w:right="-312"/>
        <w:rPr>
          <w:rFonts w:cs="Tahoma"/>
          <w:bCs/>
          <w:i/>
          <w:szCs w:val="22"/>
          <w:lang w:val="es-ES"/>
        </w:rPr>
      </w:pPr>
    </w:p>
    <w:p w14:paraId="22E02111" w14:textId="77777777" w:rsidR="00FE5A03" w:rsidRPr="009A6D74" w:rsidRDefault="00FE5A03" w:rsidP="009A6D74">
      <w:pPr>
        <w:autoSpaceDE w:val="0"/>
        <w:autoSpaceDN w:val="0"/>
        <w:adjustRightInd w:val="0"/>
        <w:ind w:left="567" w:right="-312"/>
        <w:rPr>
          <w:rFonts w:cs="Tahoma"/>
          <w:bCs/>
          <w:i/>
          <w:szCs w:val="22"/>
          <w:lang w:val="es-ES"/>
        </w:rPr>
      </w:pPr>
      <w:r w:rsidRPr="009A6D74">
        <w:rPr>
          <w:rFonts w:cs="Tahoma"/>
          <w:bCs/>
          <w:i/>
          <w:szCs w:val="22"/>
          <w:lang w:val="es-ES"/>
        </w:rPr>
        <w:t>…</w:t>
      </w:r>
    </w:p>
    <w:p w14:paraId="58FEC1F8" w14:textId="3CA2A566" w:rsidR="00FE5A03" w:rsidRPr="009A6D74" w:rsidRDefault="00FE5A03" w:rsidP="009A6D74">
      <w:pPr>
        <w:pStyle w:val="Puesto"/>
        <w:rPr>
          <w:lang w:val="es-ES"/>
        </w:rPr>
      </w:pPr>
      <w:r w:rsidRPr="009A6D74">
        <w:rPr>
          <w:lang w:val="es-ES"/>
        </w:rPr>
        <w:lastRenderedPageBreak/>
        <w:t xml:space="preserve">No obstante, toda vez que la solicitud de información hacer referencia a: “delitos o violaciones de derechos humanos perpetrados </w:t>
      </w:r>
      <w:r w:rsidR="00076DD7" w:rsidRPr="009A6D74">
        <w:rPr>
          <w:lang w:val="es-ES"/>
        </w:rPr>
        <w:t>en contra de personas migrantes, solicitantes de asilo y refugiados en el territorio mexicano…</w:t>
      </w:r>
      <w:proofErr w:type="gramStart"/>
      <w:r w:rsidR="00076DD7" w:rsidRPr="009A6D74">
        <w:rPr>
          <w:lang w:val="es-ES"/>
        </w:rPr>
        <w:t>”(</w:t>
      </w:r>
      <w:proofErr w:type="gramEnd"/>
      <w:r w:rsidR="00076DD7" w:rsidRPr="009A6D74">
        <w:rPr>
          <w:lang w:val="es-ES"/>
        </w:rPr>
        <w:t>Sic); probablemente el Sujeto Obligado para dar respuesta a su escrito sea la Secretaría de Gobernación…” Sic.</w:t>
      </w:r>
      <w:r w:rsidRPr="009A6D74">
        <w:rPr>
          <w:lang w:val="es-ES"/>
        </w:rPr>
        <w:t xml:space="preserve">  </w:t>
      </w:r>
    </w:p>
    <w:p w14:paraId="565E15BF" w14:textId="77777777" w:rsidR="00076DD7" w:rsidRPr="009A6D74" w:rsidRDefault="00076DD7" w:rsidP="009A6D74">
      <w:pPr>
        <w:autoSpaceDE w:val="0"/>
        <w:autoSpaceDN w:val="0"/>
        <w:adjustRightInd w:val="0"/>
        <w:ind w:left="567" w:right="-312"/>
        <w:rPr>
          <w:rFonts w:cs="Tahoma"/>
          <w:bCs/>
          <w:szCs w:val="22"/>
          <w:lang w:val="es-ES"/>
        </w:rPr>
      </w:pPr>
    </w:p>
    <w:p w14:paraId="164A6503" w14:textId="10961B00" w:rsidR="00076DD7" w:rsidRPr="009A6D74" w:rsidRDefault="004142C2" w:rsidP="009A6D74">
      <w:pPr>
        <w:autoSpaceDE w:val="0"/>
        <w:autoSpaceDN w:val="0"/>
        <w:adjustRightInd w:val="0"/>
        <w:ind w:left="567" w:right="-312"/>
        <w:rPr>
          <w:rFonts w:cs="Tahoma"/>
          <w:bCs/>
          <w:szCs w:val="22"/>
          <w:lang w:val="es-ES"/>
        </w:rPr>
      </w:pPr>
      <w:r w:rsidRPr="009A6D74">
        <w:rPr>
          <w:rFonts w:cs="Tahoma"/>
          <w:bCs/>
          <w:szCs w:val="22"/>
          <w:lang w:val="es-ES"/>
        </w:rPr>
        <w:t xml:space="preserve">Página 3. </w:t>
      </w:r>
      <w:r w:rsidR="00FC14B3" w:rsidRPr="009A6D74">
        <w:rPr>
          <w:rFonts w:cs="Tahoma"/>
          <w:bCs/>
          <w:szCs w:val="22"/>
          <w:lang w:val="es-ES"/>
        </w:rPr>
        <w:t xml:space="preserve">Oficio 23302002000000L/719/2024 de fecha 14 de agosto de 2024, </w:t>
      </w:r>
      <w:r w:rsidR="00B74F85" w:rsidRPr="009A6D74">
        <w:rPr>
          <w:rFonts w:cs="Tahoma"/>
          <w:bCs/>
          <w:szCs w:val="22"/>
          <w:lang w:val="es-ES"/>
        </w:rPr>
        <w:t xml:space="preserve">dirigido al Titular de la Unidad de Información, Planeación, Programación y Evaluación de la Consejería Jurídica, suscrito por </w:t>
      </w:r>
      <w:r w:rsidR="008A30C1" w:rsidRPr="009A6D74">
        <w:rPr>
          <w:rFonts w:cs="Tahoma"/>
          <w:bCs/>
          <w:szCs w:val="22"/>
          <w:lang w:val="es-ES"/>
        </w:rPr>
        <w:t>la Encargada de Despacho de la Dirección General de Derechos Humanos e Igualdad de Género de la Consejería Jurídica del Estado de México, en el que le indica:</w:t>
      </w:r>
    </w:p>
    <w:p w14:paraId="69967BE1" w14:textId="77777777" w:rsidR="008A30C1" w:rsidRPr="009A6D74" w:rsidRDefault="008A30C1" w:rsidP="009A6D74">
      <w:pPr>
        <w:autoSpaceDE w:val="0"/>
        <w:autoSpaceDN w:val="0"/>
        <w:adjustRightInd w:val="0"/>
        <w:ind w:left="567" w:right="-312"/>
        <w:rPr>
          <w:rFonts w:cs="Tahoma"/>
          <w:bCs/>
          <w:i/>
          <w:szCs w:val="22"/>
          <w:lang w:val="es-ES"/>
        </w:rPr>
      </w:pPr>
    </w:p>
    <w:p w14:paraId="4D1B5F5F" w14:textId="03C553CA" w:rsidR="008A30C1" w:rsidRPr="009A6D74" w:rsidRDefault="008A30C1" w:rsidP="009A6D74">
      <w:pPr>
        <w:pStyle w:val="Puesto"/>
        <w:rPr>
          <w:lang w:val="es-ES"/>
        </w:rPr>
      </w:pPr>
      <w:r w:rsidRPr="009A6D74">
        <w:rPr>
          <w:lang w:val="es-ES"/>
        </w:rPr>
        <w:t>“…se informa que se hizo una búsqueda en los archivos de esta Dirección General, no encontrándose información alguna relacionada con la petición en comento”</w:t>
      </w:r>
    </w:p>
    <w:p w14:paraId="6F90CFC9" w14:textId="77777777" w:rsidR="007857F0" w:rsidRPr="009A6D74" w:rsidRDefault="007857F0" w:rsidP="009A6D74">
      <w:pPr>
        <w:autoSpaceDE w:val="0"/>
        <w:autoSpaceDN w:val="0"/>
        <w:adjustRightInd w:val="0"/>
        <w:ind w:right="-312"/>
        <w:rPr>
          <w:rFonts w:cs="Tahoma"/>
          <w:bCs/>
          <w:szCs w:val="22"/>
          <w:lang w:val="es-ES"/>
        </w:rPr>
      </w:pPr>
    </w:p>
    <w:p w14:paraId="5A5DAB9E" w14:textId="77777777" w:rsidR="00E37A3F" w:rsidRPr="009A6D74" w:rsidRDefault="00E37A3F" w:rsidP="009A6D74">
      <w:pPr>
        <w:pStyle w:val="Ttulo2"/>
        <w:ind w:right="-312"/>
        <w:jc w:val="left"/>
        <w:rPr>
          <w:szCs w:val="22"/>
        </w:rPr>
      </w:pPr>
      <w:bookmarkStart w:id="8" w:name="_Toc172748404"/>
      <w:r w:rsidRPr="009A6D74">
        <w:rPr>
          <w:szCs w:val="22"/>
        </w:rPr>
        <w:t>DEL RECURSO DE REVISIÓN</w:t>
      </w:r>
      <w:bookmarkEnd w:id="8"/>
    </w:p>
    <w:p w14:paraId="2B216813" w14:textId="61ADBB2B" w:rsidR="00664420" w:rsidRPr="009A6D74" w:rsidRDefault="006E25BC" w:rsidP="009A6D74">
      <w:pPr>
        <w:pStyle w:val="Ttulo3"/>
        <w:ind w:right="-312"/>
        <w:rPr>
          <w:szCs w:val="22"/>
        </w:rPr>
      </w:pPr>
      <w:bookmarkStart w:id="9" w:name="_Toc172748405"/>
      <w:r w:rsidRPr="009A6D74">
        <w:rPr>
          <w:szCs w:val="22"/>
        </w:rPr>
        <w:t xml:space="preserve">a) </w:t>
      </w:r>
      <w:r w:rsidR="00664420" w:rsidRPr="009A6D74">
        <w:rPr>
          <w:szCs w:val="22"/>
        </w:rPr>
        <w:t>Interposición del Recurso de Revisión</w:t>
      </w:r>
      <w:bookmarkEnd w:id="9"/>
    </w:p>
    <w:p w14:paraId="6279C622" w14:textId="510C90A9" w:rsidR="00664420" w:rsidRPr="009A6D74" w:rsidRDefault="00664420" w:rsidP="009A6D74">
      <w:pPr>
        <w:autoSpaceDE w:val="0"/>
        <w:autoSpaceDN w:val="0"/>
        <w:adjustRightInd w:val="0"/>
        <w:ind w:right="-312"/>
        <w:rPr>
          <w:rFonts w:cs="Tahoma"/>
          <w:szCs w:val="22"/>
        </w:rPr>
      </w:pPr>
      <w:r w:rsidRPr="009A6D74">
        <w:rPr>
          <w:rFonts w:cs="Tahoma"/>
          <w:szCs w:val="22"/>
        </w:rPr>
        <w:t xml:space="preserve">El </w:t>
      </w:r>
      <w:r w:rsidR="008A30C1" w:rsidRPr="009A6D74">
        <w:rPr>
          <w:rFonts w:cs="Tahoma"/>
          <w:b/>
          <w:bCs/>
          <w:szCs w:val="22"/>
        </w:rPr>
        <w:t>veintidós</w:t>
      </w:r>
      <w:r w:rsidR="0009597C" w:rsidRPr="009A6D74">
        <w:rPr>
          <w:rFonts w:cs="Tahoma"/>
          <w:b/>
          <w:bCs/>
          <w:szCs w:val="22"/>
        </w:rPr>
        <w:t xml:space="preserve"> de agosto</w:t>
      </w:r>
      <w:r w:rsidRPr="009A6D74">
        <w:rPr>
          <w:rFonts w:cs="Tahoma"/>
          <w:b/>
          <w:bCs/>
          <w:szCs w:val="22"/>
        </w:rPr>
        <w:t xml:space="preserve"> de dos mil </w:t>
      </w:r>
      <w:r w:rsidR="00E810F7" w:rsidRPr="009A6D74">
        <w:rPr>
          <w:rFonts w:cs="Tahoma"/>
          <w:b/>
          <w:bCs/>
          <w:szCs w:val="22"/>
        </w:rPr>
        <w:t>veinticuatro</w:t>
      </w:r>
      <w:r w:rsidR="00103867" w:rsidRPr="009A6D74">
        <w:rPr>
          <w:rFonts w:cs="Tahoma"/>
          <w:b/>
          <w:bCs/>
          <w:szCs w:val="22"/>
        </w:rPr>
        <w:t>,</w:t>
      </w:r>
      <w:r w:rsidRPr="009A6D74">
        <w:rPr>
          <w:rFonts w:cs="Tahoma"/>
          <w:szCs w:val="22"/>
        </w:rPr>
        <w:t xml:space="preserve"> </w:t>
      </w:r>
      <w:r w:rsidR="00F75D23" w:rsidRPr="009A6D74">
        <w:rPr>
          <w:rFonts w:cs="Tahoma"/>
          <w:b/>
          <w:bCs/>
          <w:szCs w:val="22"/>
        </w:rPr>
        <w:t>LA PARTE RECURRENTE</w:t>
      </w:r>
      <w:r w:rsidR="00F75D23" w:rsidRPr="009A6D74">
        <w:rPr>
          <w:rFonts w:cs="Tahoma"/>
          <w:szCs w:val="22"/>
        </w:rPr>
        <w:t xml:space="preserve"> interpuso el recurso de revisión en contra de la respuesta emitida por </w:t>
      </w:r>
      <w:r w:rsidR="003E6101" w:rsidRPr="009A6D74">
        <w:rPr>
          <w:rFonts w:cs="Tahoma"/>
          <w:b/>
          <w:bCs/>
          <w:szCs w:val="22"/>
        </w:rPr>
        <w:t>EL</w:t>
      </w:r>
      <w:r w:rsidR="003E6101" w:rsidRPr="009A6D74">
        <w:rPr>
          <w:rFonts w:cs="Tahoma"/>
          <w:szCs w:val="22"/>
        </w:rPr>
        <w:t xml:space="preserve"> </w:t>
      </w:r>
      <w:r w:rsidR="00F75D23" w:rsidRPr="009A6D74">
        <w:rPr>
          <w:rFonts w:cs="Tahoma"/>
          <w:b/>
          <w:bCs/>
          <w:szCs w:val="22"/>
        </w:rPr>
        <w:t>SUJETO OBLIGADO</w:t>
      </w:r>
      <w:r w:rsidR="00953430" w:rsidRPr="009A6D74">
        <w:rPr>
          <w:rFonts w:cs="Tahoma"/>
          <w:szCs w:val="22"/>
        </w:rPr>
        <w:t xml:space="preserve">, mismo que fue registrado en el SAIMEX con el número de expediente </w:t>
      </w:r>
      <w:r w:rsidR="00FE5A03" w:rsidRPr="009A6D74">
        <w:rPr>
          <w:rFonts w:cs="Tahoma"/>
          <w:b/>
          <w:bCs/>
          <w:szCs w:val="22"/>
        </w:rPr>
        <w:t>05067/INFOEM/IP/RR/2024</w:t>
      </w:r>
      <w:r w:rsidR="00953430" w:rsidRPr="009A6D74">
        <w:rPr>
          <w:rFonts w:cs="Tahoma"/>
          <w:szCs w:val="22"/>
        </w:rPr>
        <w:t>, y en el cual manifiesta lo siguiente</w:t>
      </w:r>
      <w:r w:rsidRPr="009A6D74">
        <w:rPr>
          <w:rFonts w:cs="Tahoma"/>
          <w:szCs w:val="22"/>
        </w:rPr>
        <w:t>:</w:t>
      </w:r>
    </w:p>
    <w:p w14:paraId="74B30008" w14:textId="77777777" w:rsidR="00664420" w:rsidRPr="009A6D74" w:rsidRDefault="00664420" w:rsidP="009A6D74">
      <w:pPr>
        <w:tabs>
          <w:tab w:val="left" w:pos="4667"/>
        </w:tabs>
        <w:ind w:right="-312"/>
        <w:rPr>
          <w:rFonts w:cs="Tahoma"/>
          <w:szCs w:val="22"/>
        </w:rPr>
      </w:pPr>
    </w:p>
    <w:p w14:paraId="12153283" w14:textId="77777777" w:rsidR="00664420" w:rsidRPr="009A6D74" w:rsidRDefault="00664420" w:rsidP="009A6D74">
      <w:pPr>
        <w:tabs>
          <w:tab w:val="left" w:pos="4667"/>
        </w:tabs>
        <w:ind w:left="567" w:right="-312"/>
        <w:rPr>
          <w:rFonts w:cs="Tahoma"/>
          <w:b/>
          <w:iCs/>
          <w:szCs w:val="22"/>
        </w:rPr>
      </w:pPr>
      <w:r w:rsidRPr="009A6D74">
        <w:rPr>
          <w:rFonts w:cs="Tahoma"/>
          <w:b/>
          <w:iCs/>
          <w:szCs w:val="22"/>
        </w:rPr>
        <w:t>ACTO IMPUGNADO</w:t>
      </w:r>
      <w:r w:rsidRPr="009A6D74">
        <w:rPr>
          <w:rFonts w:cs="Tahoma"/>
          <w:b/>
          <w:iCs/>
          <w:szCs w:val="22"/>
        </w:rPr>
        <w:tab/>
      </w:r>
    </w:p>
    <w:p w14:paraId="6AE8EA9A" w14:textId="102E988A" w:rsidR="00664420" w:rsidRPr="009A6D74" w:rsidRDefault="008A30C1" w:rsidP="009A6D74">
      <w:pPr>
        <w:pStyle w:val="Puesto"/>
      </w:pPr>
      <w:r w:rsidRPr="009A6D74">
        <w:t>Declaratoria de inexistencia de la información</w:t>
      </w:r>
    </w:p>
    <w:p w14:paraId="6238FEEF" w14:textId="77777777" w:rsidR="005856CA" w:rsidRPr="009A6D74" w:rsidRDefault="005856CA" w:rsidP="009A6D74">
      <w:pPr>
        <w:tabs>
          <w:tab w:val="left" w:pos="4667"/>
        </w:tabs>
        <w:ind w:left="567" w:right="-312"/>
        <w:rPr>
          <w:rFonts w:cs="Tahoma"/>
          <w:b/>
          <w:iCs/>
          <w:szCs w:val="22"/>
        </w:rPr>
      </w:pPr>
    </w:p>
    <w:p w14:paraId="047D036B" w14:textId="77777777" w:rsidR="00664420" w:rsidRPr="009A6D74" w:rsidRDefault="00664420" w:rsidP="009A6D74">
      <w:pPr>
        <w:tabs>
          <w:tab w:val="left" w:pos="4667"/>
        </w:tabs>
        <w:ind w:left="567" w:right="-312"/>
        <w:rPr>
          <w:rFonts w:cs="Tahoma"/>
          <w:b/>
          <w:iCs/>
          <w:szCs w:val="22"/>
        </w:rPr>
      </w:pPr>
      <w:r w:rsidRPr="009A6D74">
        <w:rPr>
          <w:rFonts w:cs="Tahoma"/>
          <w:b/>
          <w:iCs/>
          <w:szCs w:val="22"/>
        </w:rPr>
        <w:t>RAZONES O MOTIVOS DE LA INCONFORMIDAD</w:t>
      </w:r>
      <w:r w:rsidRPr="009A6D74">
        <w:rPr>
          <w:rFonts w:cs="Tahoma"/>
          <w:b/>
          <w:iCs/>
          <w:szCs w:val="22"/>
        </w:rPr>
        <w:tab/>
      </w:r>
    </w:p>
    <w:p w14:paraId="48FE75EA" w14:textId="05A309DF" w:rsidR="00664420" w:rsidRPr="009A6D74" w:rsidRDefault="008A30C1" w:rsidP="009A6D74">
      <w:pPr>
        <w:pStyle w:val="Puesto"/>
      </w:pPr>
      <w:r w:rsidRPr="009A6D74">
        <w:t>La declaratoria de inexistencia resulta infundada debido a que dentro de las obligaciones del sujeto obligado se encuentran llevar registro de las violaciones a derechos humanos cometidos dentro del Estado de México o por sus autoridades.</w:t>
      </w:r>
    </w:p>
    <w:p w14:paraId="6804DEF1" w14:textId="3C4F6CB5" w:rsidR="00664420" w:rsidRPr="009A6D74" w:rsidRDefault="006E25BC" w:rsidP="009A6D74">
      <w:pPr>
        <w:pStyle w:val="Ttulo3"/>
        <w:ind w:right="-312"/>
        <w:rPr>
          <w:szCs w:val="22"/>
        </w:rPr>
      </w:pPr>
      <w:bookmarkStart w:id="10" w:name="_Toc172748406"/>
      <w:r w:rsidRPr="009A6D74">
        <w:rPr>
          <w:szCs w:val="22"/>
        </w:rPr>
        <w:lastRenderedPageBreak/>
        <w:t>b</w:t>
      </w:r>
      <w:r w:rsidR="00664420" w:rsidRPr="009A6D74">
        <w:rPr>
          <w:szCs w:val="22"/>
        </w:rPr>
        <w:t>) Turno del Recurso de Revisión</w:t>
      </w:r>
      <w:bookmarkEnd w:id="10"/>
    </w:p>
    <w:p w14:paraId="1173671B" w14:textId="2DE5F533" w:rsidR="00C72DAA" w:rsidRPr="009A6D74" w:rsidRDefault="00C72DAA" w:rsidP="009A6D74">
      <w:pPr>
        <w:ind w:right="-312"/>
        <w:rPr>
          <w:szCs w:val="22"/>
        </w:rPr>
      </w:pPr>
      <w:r w:rsidRPr="009A6D74">
        <w:rPr>
          <w:szCs w:val="22"/>
        </w:rPr>
        <w:t>Con fundamento en el artículo 185, fracción I de la Ley de Transparencia y Acceso a la Información Pública del Estado de México y Municipios, el</w:t>
      </w:r>
      <w:r w:rsidRPr="009A6D74">
        <w:rPr>
          <w:b/>
          <w:bCs/>
          <w:szCs w:val="22"/>
        </w:rPr>
        <w:t xml:space="preserve"> </w:t>
      </w:r>
      <w:r w:rsidR="008A30C1" w:rsidRPr="009A6D74">
        <w:rPr>
          <w:rFonts w:cs="Tahoma"/>
          <w:b/>
          <w:bCs/>
          <w:szCs w:val="22"/>
        </w:rPr>
        <w:t>veintidós</w:t>
      </w:r>
      <w:r w:rsidR="0097209B" w:rsidRPr="009A6D74">
        <w:rPr>
          <w:rFonts w:cs="Tahoma"/>
          <w:b/>
          <w:bCs/>
          <w:szCs w:val="22"/>
        </w:rPr>
        <w:t xml:space="preserve"> de agosto</w:t>
      </w:r>
      <w:r w:rsidR="004252F1" w:rsidRPr="009A6D74">
        <w:rPr>
          <w:rFonts w:cs="Tahoma"/>
          <w:b/>
          <w:bCs/>
          <w:szCs w:val="22"/>
        </w:rPr>
        <w:t xml:space="preserve"> de dos mil veinticuatro</w:t>
      </w:r>
      <w:r w:rsidR="0057766A" w:rsidRPr="009A6D74">
        <w:rPr>
          <w:rFonts w:cs="Tahoma"/>
          <w:b/>
          <w:bCs/>
          <w:szCs w:val="22"/>
        </w:rPr>
        <w:t>,</w:t>
      </w:r>
      <w:r w:rsidRPr="009A6D74">
        <w:rPr>
          <w:szCs w:val="22"/>
        </w:rPr>
        <w:t xml:space="preserve"> se turnó el recurso de revisión a través del</w:t>
      </w:r>
      <w:r w:rsidRPr="009A6D74">
        <w:rPr>
          <w:rFonts w:eastAsia="Arial Unicode MS"/>
          <w:szCs w:val="22"/>
        </w:rPr>
        <w:t xml:space="preserve"> </w:t>
      </w:r>
      <w:r w:rsidRPr="009A6D74">
        <w:rPr>
          <w:rFonts w:eastAsia="Arial Unicode MS"/>
          <w:bCs/>
          <w:szCs w:val="22"/>
        </w:rPr>
        <w:t>SAIMEX</w:t>
      </w:r>
      <w:r w:rsidRPr="009A6D74">
        <w:rPr>
          <w:szCs w:val="22"/>
        </w:rPr>
        <w:t xml:space="preserve"> a la </w:t>
      </w:r>
      <w:r w:rsidRPr="009A6D74">
        <w:rPr>
          <w:b/>
          <w:szCs w:val="22"/>
        </w:rPr>
        <w:t>Comisionada Sharon Cristina Morales Martínez</w:t>
      </w:r>
      <w:r w:rsidRPr="009A6D74">
        <w:rPr>
          <w:bCs/>
          <w:szCs w:val="22"/>
        </w:rPr>
        <w:t xml:space="preserve">, </w:t>
      </w:r>
      <w:r w:rsidRPr="009A6D74">
        <w:rPr>
          <w:szCs w:val="22"/>
        </w:rPr>
        <w:t xml:space="preserve">a efecto de decretar su admisión o </w:t>
      </w:r>
      <w:proofErr w:type="spellStart"/>
      <w:r w:rsidRPr="009A6D74">
        <w:rPr>
          <w:szCs w:val="22"/>
        </w:rPr>
        <w:t>desechamiento</w:t>
      </w:r>
      <w:proofErr w:type="spellEnd"/>
      <w:r w:rsidRPr="009A6D74">
        <w:rPr>
          <w:szCs w:val="22"/>
        </w:rPr>
        <w:t xml:space="preserve">. </w:t>
      </w:r>
    </w:p>
    <w:p w14:paraId="18F305CB" w14:textId="77777777" w:rsidR="00664420" w:rsidRPr="009A6D74" w:rsidRDefault="00664420" w:rsidP="009A6D74">
      <w:pPr>
        <w:ind w:right="-312"/>
        <w:rPr>
          <w:rFonts w:eastAsia="Batang" w:cs="Tahoma"/>
          <w:bCs/>
          <w:szCs w:val="22"/>
        </w:rPr>
      </w:pPr>
    </w:p>
    <w:p w14:paraId="3E31EC2D" w14:textId="295256A1" w:rsidR="00664420" w:rsidRPr="009A6D74" w:rsidRDefault="006E25BC" w:rsidP="009A6D74">
      <w:pPr>
        <w:pStyle w:val="Ttulo3"/>
        <w:ind w:right="-312"/>
        <w:rPr>
          <w:szCs w:val="22"/>
        </w:rPr>
      </w:pPr>
      <w:bookmarkStart w:id="11" w:name="_Toc172748407"/>
      <w:r w:rsidRPr="009A6D74">
        <w:rPr>
          <w:szCs w:val="22"/>
        </w:rPr>
        <w:t>c</w:t>
      </w:r>
      <w:r w:rsidR="00664420" w:rsidRPr="009A6D74">
        <w:rPr>
          <w:szCs w:val="22"/>
        </w:rPr>
        <w:t>) Admisión del Recurso de Revisión</w:t>
      </w:r>
      <w:bookmarkEnd w:id="11"/>
    </w:p>
    <w:p w14:paraId="240447D5" w14:textId="31C1D48A" w:rsidR="000E09C4" w:rsidRPr="009A6D74" w:rsidRDefault="000E09C4" w:rsidP="009A6D74">
      <w:pPr>
        <w:ind w:right="-312"/>
        <w:rPr>
          <w:rFonts w:cs="Arial"/>
          <w:szCs w:val="22"/>
        </w:rPr>
      </w:pPr>
      <w:r w:rsidRPr="009A6D74">
        <w:rPr>
          <w:rFonts w:cs="Arial"/>
          <w:szCs w:val="22"/>
        </w:rPr>
        <w:t xml:space="preserve">El </w:t>
      </w:r>
      <w:r w:rsidR="008A30C1" w:rsidRPr="009A6D74">
        <w:rPr>
          <w:rFonts w:cs="Arial"/>
          <w:b/>
          <w:bCs/>
          <w:szCs w:val="22"/>
        </w:rPr>
        <w:t>veintiséis</w:t>
      </w:r>
      <w:r w:rsidR="0009597C" w:rsidRPr="009A6D74">
        <w:rPr>
          <w:rFonts w:cs="Arial"/>
          <w:b/>
          <w:bCs/>
          <w:szCs w:val="22"/>
        </w:rPr>
        <w:t xml:space="preserve"> de agosto</w:t>
      </w:r>
      <w:r w:rsidR="004252F1" w:rsidRPr="009A6D74">
        <w:rPr>
          <w:rFonts w:cs="Arial"/>
          <w:b/>
          <w:bCs/>
          <w:szCs w:val="22"/>
        </w:rPr>
        <w:t xml:space="preserve"> de dos mil veinticuatro</w:t>
      </w:r>
      <w:r w:rsidR="0009597C" w:rsidRPr="009A6D74">
        <w:rPr>
          <w:rFonts w:cs="Arial"/>
          <w:b/>
          <w:bCs/>
          <w:szCs w:val="22"/>
        </w:rPr>
        <w:t>,</w:t>
      </w:r>
      <w:r w:rsidR="004252F1" w:rsidRPr="009A6D74">
        <w:rPr>
          <w:rFonts w:cs="Arial"/>
          <w:szCs w:val="22"/>
        </w:rPr>
        <w:t xml:space="preserve"> </w:t>
      </w:r>
      <w:r w:rsidRPr="009A6D7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A6D74">
        <w:rPr>
          <w:rFonts w:cs="Arial"/>
          <w:szCs w:val="22"/>
        </w:rPr>
        <w:t>, fracción II</w:t>
      </w:r>
      <w:r w:rsidRPr="009A6D74">
        <w:rPr>
          <w:rFonts w:cs="Arial"/>
          <w:szCs w:val="22"/>
        </w:rPr>
        <w:t xml:space="preserve"> de la Ley de Transparencia y Acceso a la Información Pública del Estado de México y Municipios.</w:t>
      </w:r>
    </w:p>
    <w:p w14:paraId="34EC3F86" w14:textId="77777777" w:rsidR="00D2790D" w:rsidRPr="009A6D74" w:rsidRDefault="00D2790D" w:rsidP="009A6D74">
      <w:pPr>
        <w:ind w:right="-312"/>
        <w:rPr>
          <w:rFonts w:cs="Arial"/>
          <w:szCs w:val="22"/>
        </w:rPr>
      </w:pPr>
    </w:p>
    <w:p w14:paraId="3B820F58" w14:textId="5EBF1699" w:rsidR="00865CF4" w:rsidRPr="009A6D74" w:rsidRDefault="006E25BC" w:rsidP="009A6D74">
      <w:pPr>
        <w:pStyle w:val="Ttulo3"/>
        <w:ind w:right="-312"/>
        <w:rPr>
          <w:szCs w:val="22"/>
        </w:rPr>
      </w:pPr>
      <w:bookmarkStart w:id="12" w:name="_Toc172748408"/>
      <w:r w:rsidRPr="009A6D74">
        <w:rPr>
          <w:szCs w:val="22"/>
        </w:rPr>
        <w:t>d</w:t>
      </w:r>
      <w:r w:rsidR="00D2790D" w:rsidRPr="009A6D74">
        <w:rPr>
          <w:szCs w:val="22"/>
        </w:rPr>
        <w:t xml:space="preserve">) </w:t>
      </w:r>
      <w:r w:rsidR="00865CF4" w:rsidRPr="009A6D74">
        <w:rPr>
          <w:szCs w:val="22"/>
        </w:rPr>
        <w:t>Informe Justificado del Sujeto Obligado</w:t>
      </w:r>
      <w:bookmarkEnd w:id="12"/>
    </w:p>
    <w:p w14:paraId="1DF7E78C" w14:textId="77777777" w:rsidR="008A30C1" w:rsidRPr="009A6D74" w:rsidRDefault="008A30C1" w:rsidP="009A6D74">
      <w:pPr>
        <w:rPr>
          <w:szCs w:val="22"/>
        </w:rPr>
      </w:pPr>
      <w:r w:rsidRPr="009A6D74">
        <w:rPr>
          <w:b/>
          <w:szCs w:val="22"/>
        </w:rPr>
        <w:t xml:space="preserve">EL SUJETO OBLIGADO </w:t>
      </w:r>
      <w:r w:rsidRPr="009A6D74">
        <w:rPr>
          <w:szCs w:val="22"/>
        </w:rPr>
        <w:t>no rindió su informe justificado dentro del término legalmente concedido para tal efecto.</w:t>
      </w:r>
    </w:p>
    <w:p w14:paraId="773BAF72" w14:textId="77777777" w:rsidR="00A60E92" w:rsidRPr="009A6D74" w:rsidRDefault="00A60E92" w:rsidP="009A6D74">
      <w:pPr>
        <w:ind w:right="-312"/>
      </w:pPr>
    </w:p>
    <w:p w14:paraId="755B7730" w14:textId="1B7170D8" w:rsidR="00664420" w:rsidRPr="009A6D74" w:rsidRDefault="00E810F7" w:rsidP="009A6D74">
      <w:pPr>
        <w:pStyle w:val="Ttulo3"/>
        <w:ind w:right="-312"/>
        <w:rPr>
          <w:szCs w:val="22"/>
          <w:lang w:val="es-ES"/>
        </w:rPr>
      </w:pPr>
      <w:bookmarkStart w:id="13" w:name="_Toc172748409"/>
      <w:r w:rsidRPr="009A6D74">
        <w:rPr>
          <w:rFonts w:eastAsia="Calibri"/>
          <w:bCs/>
          <w:szCs w:val="22"/>
          <w:lang w:eastAsia="en-US"/>
        </w:rPr>
        <w:t>e</w:t>
      </w:r>
      <w:r w:rsidR="00664420" w:rsidRPr="009A6D74">
        <w:rPr>
          <w:rFonts w:eastAsia="Calibri"/>
          <w:bCs/>
          <w:szCs w:val="22"/>
          <w:lang w:eastAsia="en-US"/>
        </w:rPr>
        <w:t>)</w:t>
      </w:r>
      <w:r w:rsidR="00664420" w:rsidRPr="009A6D74">
        <w:rPr>
          <w:szCs w:val="22"/>
        </w:rPr>
        <w:t xml:space="preserve"> </w:t>
      </w:r>
      <w:r w:rsidR="00865CF4" w:rsidRPr="009A6D74">
        <w:rPr>
          <w:szCs w:val="22"/>
          <w:lang w:val="es-ES"/>
        </w:rPr>
        <w:t>Manifestaciones de la Parte Recurrente</w:t>
      </w:r>
      <w:bookmarkEnd w:id="13"/>
    </w:p>
    <w:p w14:paraId="6225187D" w14:textId="77777777" w:rsidR="00F51674" w:rsidRPr="009A6D74" w:rsidRDefault="00F51674" w:rsidP="009A6D74">
      <w:pPr>
        <w:ind w:right="-312"/>
      </w:pPr>
      <w:r w:rsidRPr="009A6D74">
        <w:rPr>
          <w:b/>
          <w:bCs/>
        </w:rPr>
        <w:t xml:space="preserve">LA PARTE RECURRENTE </w:t>
      </w:r>
      <w:r w:rsidRPr="009A6D74">
        <w:t>no realizó manifestación alguna dentro del término legalmente concedido para tal efecto, ni presentó pruebas o alegatos.</w:t>
      </w:r>
    </w:p>
    <w:p w14:paraId="6A02C863" w14:textId="77777777" w:rsidR="00174FBE" w:rsidRPr="009A6D74" w:rsidRDefault="00174FBE" w:rsidP="009A6D74">
      <w:pPr>
        <w:ind w:right="-312"/>
        <w:rPr>
          <w:lang w:val="es-ES"/>
        </w:rPr>
      </w:pPr>
    </w:p>
    <w:p w14:paraId="0E651988" w14:textId="156F4867" w:rsidR="00664420" w:rsidRPr="009A6D74" w:rsidRDefault="00087E47" w:rsidP="009A6D74">
      <w:pPr>
        <w:pStyle w:val="Ttulo3"/>
        <w:ind w:right="-312"/>
        <w:rPr>
          <w:szCs w:val="22"/>
        </w:rPr>
      </w:pPr>
      <w:bookmarkStart w:id="14" w:name="_Toc172748411"/>
      <w:r w:rsidRPr="009A6D74">
        <w:rPr>
          <w:szCs w:val="22"/>
        </w:rPr>
        <w:t>f</w:t>
      </w:r>
      <w:r w:rsidR="00664420" w:rsidRPr="009A6D74">
        <w:rPr>
          <w:szCs w:val="22"/>
        </w:rPr>
        <w:t>) Cierre de instrucción</w:t>
      </w:r>
      <w:bookmarkEnd w:id="14"/>
    </w:p>
    <w:p w14:paraId="79AF95DC" w14:textId="6B519C2C" w:rsidR="00664420" w:rsidRPr="009A6D74" w:rsidRDefault="00BF091A" w:rsidP="009A6D74">
      <w:pPr>
        <w:ind w:right="-312"/>
        <w:rPr>
          <w:szCs w:val="22"/>
        </w:rPr>
      </w:pPr>
      <w:r w:rsidRPr="009A6D74">
        <w:rPr>
          <w:rFonts w:cs="Tahoma"/>
          <w:szCs w:val="22"/>
        </w:rPr>
        <w:t>Al no existir diligencias pendientes por desahogar</w:t>
      </w:r>
      <w:r w:rsidRPr="009A6D74">
        <w:rPr>
          <w:rFonts w:cs="Arial"/>
          <w:szCs w:val="22"/>
        </w:rPr>
        <w:t xml:space="preserve">, el </w:t>
      </w:r>
      <w:r w:rsidR="008A30C1" w:rsidRPr="009A6D74">
        <w:rPr>
          <w:rFonts w:cs="Tahoma"/>
          <w:b/>
          <w:bCs/>
          <w:szCs w:val="22"/>
        </w:rPr>
        <w:t>cinco</w:t>
      </w:r>
      <w:r w:rsidR="00702F96" w:rsidRPr="009A6D74">
        <w:rPr>
          <w:rFonts w:cs="Tahoma"/>
          <w:b/>
          <w:bCs/>
          <w:szCs w:val="22"/>
        </w:rPr>
        <w:t xml:space="preserve"> de septiembre</w:t>
      </w:r>
      <w:r w:rsidR="00E810F7" w:rsidRPr="009A6D74">
        <w:rPr>
          <w:rFonts w:cs="Tahoma"/>
          <w:b/>
          <w:bCs/>
          <w:szCs w:val="22"/>
        </w:rPr>
        <w:t xml:space="preserve"> de dos mil veinticuatro</w:t>
      </w:r>
      <w:r w:rsidR="00E810F7" w:rsidRPr="009A6D74">
        <w:rPr>
          <w:rFonts w:cs="Tahoma"/>
          <w:szCs w:val="22"/>
        </w:rPr>
        <w:t xml:space="preserve"> </w:t>
      </w:r>
      <w:r w:rsidRPr="009A6D74">
        <w:rPr>
          <w:rFonts w:cs="Arial"/>
          <w:szCs w:val="22"/>
        </w:rPr>
        <w:t xml:space="preserve">la </w:t>
      </w:r>
      <w:r w:rsidRPr="009A6D74">
        <w:rPr>
          <w:rFonts w:cs="Arial"/>
          <w:b/>
          <w:bCs/>
          <w:szCs w:val="22"/>
        </w:rPr>
        <w:t xml:space="preserve">Comisionada </w:t>
      </w:r>
      <w:r w:rsidRPr="009A6D74">
        <w:rPr>
          <w:b/>
          <w:szCs w:val="22"/>
        </w:rPr>
        <w:t xml:space="preserve">Sharon Cristina Morales Martínez </w:t>
      </w:r>
      <w:r w:rsidRPr="009A6D74">
        <w:rPr>
          <w:rFonts w:cs="Arial"/>
          <w:szCs w:val="22"/>
        </w:rPr>
        <w:t xml:space="preserve">acordó el cierre de </w:t>
      </w:r>
      <w:r w:rsidRPr="009A6D74">
        <w:rPr>
          <w:rFonts w:cs="Arial"/>
          <w:szCs w:val="22"/>
        </w:rPr>
        <w:lastRenderedPageBreak/>
        <w:t>instrucción</w:t>
      </w:r>
      <w:r w:rsidR="0011350D" w:rsidRPr="009A6D74">
        <w:rPr>
          <w:rFonts w:cs="Arial"/>
          <w:szCs w:val="22"/>
        </w:rPr>
        <w:t xml:space="preserve"> y</w:t>
      </w:r>
      <w:r w:rsidRPr="009A6D74">
        <w:rPr>
          <w:rFonts w:cs="Arial"/>
          <w:szCs w:val="22"/>
        </w:rPr>
        <w:t xml:space="preserve"> </w:t>
      </w:r>
      <w:r w:rsidR="0011350D" w:rsidRPr="009A6D74">
        <w:rPr>
          <w:rFonts w:cs="Arial"/>
          <w:szCs w:val="22"/>
        </w:rPr>
        <w:t xml:space="preserve">la </w:t>
      </w:r>
      <w:r w:rsidRPr="009A6D7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A6D74">
        <w:rPr>
          <w:szCs w:val="22"/>
        </w:rPr>
        <w:t>.</w:t>
      </w:r>
      <w:r w:rsidR="0011350D" w:rsidRPr="009A6D74">
        <w:rPr>
          <w:szCs w:val="22"/>
        </w:rPr>
        <w:t xml:space="preserve"> Dicho acuerdo </w:t>
      </w:r>
      <w:r w:rsidR="00664420" w:rsidRPr="009A6D74">
        <w:rPr>
          <w:rFonts w:cs="Tahoma"/>
          <w:szCs w:val="22"/>
        </w:rPr>
        <w:t xml:space="preserve">fue notificado a las partes el mismo día a través del </w:t>
      </w:r>
      <w:r w:rsidR="00664420" w:rsidRPr="009A6D74">
        <w:rPr>
          <w:rFonts w:cs="Tahoma"/>
          <w:szCs w:val="22"/>
          <w:lang w:val="es-ES"/>
        </w:rPr>
        <w:t>SAIMEX</w:t>
      </w:r>
      <w:r w:rsidR="00664420" w:rsidRPr="009A6D74">
        <w:rPr>
          <w:rFonts w:cs="Tahoma"/>
          <w:szCs w:val="22"/>
        </w:rPr>
        <w:t>.</w:t>
      </w:r>
    </w:p>
    <w:p w14:paraId="741683E3" w14:textId="77777777" w:rsidR="0011350D" w:rsidRPr="009A6D74" w:rsidRDefault="0011350D" w:rsidP="009A6D74">
      <w:pPr>
        <w:ind w:right="-312"/>
        <w:rPr>
          <w:rFonts w:cs="Tahoma"/>
          <w:szCs w:val="22"/>
        </w:rPr>
      </w:pPr>
    </w:p>
    <w:p w14:paraId="7A9629DE" w14:textId="77777777" w:rsidR="00664420" w:rsidRPr="009A6D74" w:rsidRDefault="00664420" w:rsidP="009A6D74">
      <w:pPr>
        <w:pStyle w:val="Ttulo1"/>
        <w:ind w:right="-312"/>
        <w:rPr>
          <w:rFonts w:eastAsiaTheme="minorHAnsi"/>
          <w:szCs w:val="22"/>
          <w:lang w:eastAsia="en-US"/>
        </w:rPr>
      </w:pPr>
      <w:bookmarkStart w:id="15" w:name="_Toc172748412"/>
      <w:r w:rsidRPr="009A6D74">
        <w:rPr>
          <w:rFonts w:eastAsiaTheme="minorHAnsi"/>
          <w:szCs w:val="22"/>
          <w:lang w:eastAsia="en-US"/>
        </w:rPr>
        <w:t>CONSIDERANDOS</w:t>
      </w:r>
      <w:bookmarkEnd w:id="15"/>
    </w:p>
    <w:p w14:paraId="6DD1243B" w14:textId="77777777" w:rsidR="00664420" w:rsidRPr="009A6D74" w:rsidRDefault="00664420" w:rsidP="009A6D74">
      <w:pPr>
        <w:ind w:right="-312"/>
        <w:contextualSpacing/>
        <w:jc w:val="center"/>
        <w:rPr>
          <w:rFonts w:eastAsiaTheme="minorHAnsi" w:cs="Tahoma"/>
          <w:b/>
          <w:szCs w:val="22"/>
          <w:lang w:eastAsia="en-US"/>
        </w:rPr>
      </w:pPr>
    </w:p>
    <w:p w14:paraId="0B67CB92" w14:textId="2E307D3B" w:rsidR="00664420" w:rsidRPr="009A6D74" w:rsidRDefault="00664420" w:rsidP="009A6D74">
      <w:pPr>
        <w:pStyle w:val="Ttulo2"/>
        <w:ind w:right="-312"/>
        <w:rPr>
          <w:rFonts w:eastAsia="Batang"/>
          <w:szCs w:val="22"/>
        </w:rPr>
      </w:pPr>
      <w:bookmarkStart w:id="16" w:name="_Toc172748413"/>
      <w:r w:rsidRPr="009A6D74">
        <w:rPr>
          <w:rFonts w:eastAsia="Batang"/>
          <w:szCs w:val="22"/>
        </w:rPr>
        <w:t xml:space="preserve">PRIMERO. </w:t>
      </w:r>
      <w:proofErr w:type="spellStart"/>
      <w:r w:rsidR="00BA55A8" w:rsidRPr="009A6D74">
        <w:rPr>
          <w:rFonts w:eastAsia="Batang"/>
          <w:szCs w:val="22"/>
        </w:rPr>
        <w:t>Procedibilidad</w:t>
      </w:r>
      <w:bookmarkEnd w:id="16"/>
      <w:proofErr w:type="spellEnd"/>
    </w:p>
    <w:p w14:paraId="39C52BC1" w14:textId="56FCC20D" w:rsidR="00BA55A8" w:rsidRPr="009A6D74" w:rsidRDefault="00BA55A8" w:rsidP="009A6D74">
      <w:pPr>
        <w:pStyle w:val="Ttulo3"/>
        <w:ind w:right="-312"/>
        <w:rPr>
          <w:szCs w:val="22"/>
        </w:rPr>
      </w:pPr>
      <w:bookmarkStart w:id="17" w:name="_Toc172748414"/>
      <w:r w:rsidRPr="009A6D74">
        <w:rPr>
          <w:szCs w:val="22"/>
        </w:rPr>
        <w:t>a) Competencia</w:t>
      </w:r>
      <w:r w:rsidR="00150C49" w:rsidRPr="009A6D74">
        <w:rPr>
          <w:szCs w:val="22"/>
        </w:rPr>
        <w:t xml:space="preserve"> del Instituto</w:t>
      </w:r>
      <w:bookmarkEnd w:id="17"/>
    </w:p>
    <w:p w14:paraId="56E64942" w14:textId="6572EDF7" w:rsidR="0011350D" w:rsidRPr="009A6D74" w:rsidRDefault="0011350D" w:rsidP="009A6D74">
      <w:pPr>
        <w:ind w:right="-312"/>
        <w:rPr>
          <w:rFonts w:cs="Arial"/>
          <w:szCs w:val="22"/>
        </w:rPr>
      </w:pPr>
      <w:r w:rsidRPr="009A6D74">
        <w:rPr>
          <w:szCs w:val="22"/>
        </w:rPr>
        <w:t xml:space="preserve">Este Instituto de Transparencia, Acceso a la Información Pública y Protección de Datos Personales del Estado de México y Municipios es competente para conocer y resolver </w:t>
      </w:r>
      <w:r w:rsidR="005F65B7" w:rsidRPr="009A6D74">
        <w:rPr>
          <w:szCs w:val="22"/>
        </w:rPr>
        <w:t xml:space="preserve">el </w:t>
      </w:r>
      <w:r w:rsidRPr="009A6D7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A6D7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9A6D74" w:rsidRDefault="00DB1C09" w:rsidP="009A6D74">
      <w:pPr>
        <w:ind w:right="-312"/>
        <w:rPr>
          <w:rFonts w:cs="Arial"/>
          <w:szCs w:val="22"/>
        </w:rPr>
      </w:pPr>
    </w:p>
    <w:p w14:paraId="517A2DD6" w14:textId="4169BE4D" w:rsidR="00664420" w:rsidRPr="009A6D74" w:rsidRDefault="00BA55A8" w:rsidP="009A6D74">
      <w:pPr>
        <w:pStyle w:val="Ttulo3"/>
        <w:ind w:right="-312"/>
        <w:rPr>
          <w:szCs w:val="22"/>
        </w:rPr>
      </w:pPr>
      <w:bookmarkStart w:id="18" w:name="_Toc172748415"/>
      <w:r w:rsidRPr="009A6D74">
        <w:rPr>
          <w:szCs w:val="22"/>
        </w:rPr>
        <w:t>b)</w:t>
      </w:r>
      <w:r w:rsidR="00664420" w:rsidRPr="009A6D74">
        <w:rPr>
          <w:szCs w:val="22"/>
        </w:rPr>
        <w:t xml:space="preserve"> </w:t>
      </w:r>
      <w:r w:rsidR="00D91CB4" w:rsidRPr="009A6D74">
        <w:rPr>
          <w:szCs w:val="22"/>
        </w:rPr>
        <w:t>Legitimidad</w:t>
      </w:r>
      <w:r w:rsidRPr="009A6D74">
        <w:rPr>
          <w:szCs w:val="22"/>
        </w:rPr>
        <w:t xml:space="preserve"> de la parte recurrente</w:t>
      </w:r>
      <w:bookmarkEnd w:id="18"/>
    </w:p>
    <w:p w14:paraId="26FEA382" w14:textId="0B06695C" w:rsidR="00D91CB4" w:rsidRPr="009A6D74" w:rsidRDefault="00D91CB4" w:rsidP="009A6D74">
      <w:pPr>
        <w:ind w:right="-312"/>
        <w:rPr>
          <w:rFonts w:cs="Arial"/>
          <w:bCs/>
          <w:szCs w:val="22"/>
        </w:rPr>
      </w:pPr>
      <w:r w:rsidRPr="009A6D74">
        <w:rPr>
          <w:rFonts w:cs="Arial"/>
          <w:bCs/>
          <w:szCs w:val="22"/>
        </w:rPr>
        <w:t>El recurso de revisión fue interpuesto por parte legítima, ya que se presentó por la misma persona que formuló la solicitud de acceso a la Información Pública,</w:t>
      </w:r>
      <w:r w:rsidRPr="009A6D74">
        <w:rPr>
          <w:rFonts w:cs="Arial"/>
          <w:b/>
          <w:bCs/>
          <w:szCs w:val="22"/>
        </w:rPr>
        <w:t xml:space="preserve"> </w:t>
      </w:r>
      <w:r w:rsidRPr="009A6D74">
        <w:rPr>
          <w:rFonts w:cs="Arial"/>
          <w:szCs w:val="22"/>
        </w:rPr>
        <w:t>debido a que los datos de acceso</w:t>
      </w:r>
      <w:r w:rsidRPr="009A6D74">
        <w:rPr>
          <w:rFonts w:cs="Arial"/>
          <w:b/>
          <w:bCs/>
          <w:szCs w:val="22"/>
        </w:rPr>
        <w:t xml:space="preserve"> </w:t>
      </w:r>
      <w:r w:rsidRPr="009A6D74">
        <w:rPr>
          <w:rFonts w:cs="Arial"/>
          <w:b/>
          <w:szCs w:val="22"/>
        </w:rPr>
        <w:t>SAIMEX</w:t>
      </w:r>
      <w:r w:rsidRPr="009A6D74">
        <w:rPr>
          <w:rFonts w:eastAsia="Calibri" w:cs="Arial"/>
          <w:szCs w:val="22"/>
          <w:lang w:eastAsia="en-US"/>
        </w:rPr>
        <w:t xml:space="preserve"> son personales e irrepetibles.</w:t>
      </w:r>
    </w:p>
    <w:p w14:paraId="2C367810" w14:textId="77777777" w:rsidR="00D91CB4" w:rsidRPr="009A6D74" w:rsidRDefault="00D91CB4" w:rsidP="009A6D74">
      <w:pPr>
        <w:ind w:right="-312"/>
        <w:rPr>
          <w:szCs w:val="22"/>
        </w:rPr>
      </w:pPr>
    </w:p>
    <w:p w14:paraId="496490FC" w14:textId="1A5F3FDB" w:rsidR="00D91CB4" w:rsidRPr="009A6D74" w:rsidRDefault="00BA55A8" w:rsidP="009A6D74">
      <w:pPr>
        <w:pStyle w:val="Ttulo3"/>
        <w:ind w:right="-312"/>
        <w:rPr>
          <w:rFonts w:eastAsia="Calibri"/>
          <w:szCs w:val="22"/>
          <w:lang w:eastAsia="es-ES_tradnl"/>
        </w:rPr>
      </w:pPr>
      <w:bookmarkStart w:id="19" w:name="_Toc172748416"/>
      <w:r w:rsidRPr="009A6D74">
        <w:rPr>
          <w:rFonts w:eastAsia="Calibri"/>
          <w:szCs w:val="22"/>
          <w:lang w:eastAsia="es-ES_tradnl"/>
        </w:rPr>
        <w:lastRenderedPageBreak/>
        <w:t>c)</w:t>
      </w:r>
      <w:r w:rsidR="00664420" w:rsidRPr="009A6D74">
        <w:rPr>
          <w:rFonts w:eastAsia="Calibri"/>
          <w:szCs w:val="22"/>
          <w:lang w:eastAsia="es-ES_tradnl"/>
        </w:rPr>
        <w:t xml:space="preserve"> </w:t>
      </w:r>
      <w:r w:rsidR="00D91CB4" w:rsidRPr="009A6D74">
        <w:rPr>
          <w:rFonts w:eastAsia="Calibri"/>
          <w:szCs w:val="22"/>
          <w:lang w:eastAsia="es-ES_tradnl"/>
        </w:rPr>
        <w:t>Plazo para interponer el recurso</w:t>
      </w:r>
      <w:bookmarkEnd w:id="19"/>
    </w:p>
    <w:p w14:paraId="106D37EE" w14:textId="7B0CEC33" w:rsidR="00D91CB4" w:rsidRPr="009A6D74" w:rsidRDefault="00D91CB4" w:rsidP="009A6D74">
      <w:pPr>
        <w:ind w:right="-312"/>
        <w:rPr>
          <w:rFonts w:eastAsiaTheme="minorEastAsia" w:cs="Arial"/>
          <w:szCs w:val="22"/>
          <w:lang w:val="es-ES_tradnl"/>
        </w:rPr>
      </w:pPr>
      <w:r w:rsidRPr="009A6D74">
        <w:rPr>
          <w:rFonts w:cs="Arial"/>
          <w:b/>
          <w:szCs w:val="22"/>
        </w:rPr>
        <w:t>EL SUJETO OBLIGADO</w:t>
      </w:r>
      <w:r w:rsidRPr="009A6D74">
        <w:rPr>
          <w:rFonts w:cs="Arial"/>
          <w:szCs w:val="22"/>
        </w:rPr>
        <w:t xml:space="preserve"> notificó la respuesta a la solicitud de acceso a la Información Pública el </w:t>
      </w:r>
      <w:r w:rsidR="00137F98" w:rsidRPr="009A6D74">
        <w:rPr>
          <w:rFonts w:cs="Tahoma"/>
          <w:b/>
          <w:bCs/>
          <w:szCs w:val="22"/>
        </w:rPr>
        <w:t>dieciséis de agosto</w:t>
      </w:r>
      <w:r w:rsidR="00DE285A" w:rsidRPr="009A6D74">
        <w:rPr>
          <w:rFonts w:cs="Tahoma"/>
          <w:b/>
          <w:bCs/>
          <w:szCs w:val="22"/>
        </w:rPr>
        <w:t xml:space="preserve"> de dos mil veinticuatro</w:t>
      </w:r>
      <w:r w:rsidR="00DE285A" w:rsidRPr="009A6D74">
        <w:rPr>
          <w:rFonts w:cs="Tahoma"/>
          <w:szCs w:val="22"/>
        </w:rPr>
        <w:t xml:space="preserve"> </w:t>
      </w:r>
      <w:r w:rsidR="00A53315" w:rsidRPr="009A6D74">
        <w:rPr>
          <w:rFonts w:cs="Arial"/>
          <w:szCs w:val="22"/>
        </w:rPr>
        <w:t xml:space="preserve">y el recurso </w:t>
      </w:r>
      <w:r w:rsidR="00A53315" w:rsidRPr="009A6D74">
        <w:rPr>
          <w:rFonts w:eastAsia="Palatino Linotype" w:cs="Palatino Linotype"/>
          <w:szCs w:val="22"/>
        </w:rPr>
        <w:t xml:space="preserve">que nos ocupa se </w:t>
      </w:r>
      <w:r w:rsidR="006A61F1" w:rsidRPr="009A6D74">
        <w:rPr>
          <w:rFonts w:eastAsia="Palatino Linotype" w:cs="Palatino Linotype"/>
          <w:szCs w:val="22"/>
        </w:rPr>
        <w:t>tuvo por presentado</w:t>
      </w:r>
      <w:r w:rsidR="00A53315" w:rsidRPr="009A6D74">
        <w:rPr>
          <w:rFonts w:eastAsia="Palatino Linotype" w:cs="Palatino Linotype"/>
          <w:szCs w:val="22"/>
        </w:rPr>
        <w:t xml:space="preserve"> el </w:t>
      </w:r>
      <w:r w:rsidR="00137F98" w:rsidRPr="009A6D74">
        <w:rPr>
          <w:rFonts w:cs="Tahoma"/>
          <w:b/>
          <w:bCs/>
          <w:szCs w:val="22"/>
        </w:rPr>
        <w:t>veintidós</w:t>
      </w:r>
      <w:r w:rsidR="002F3F8F" w:rsidRPr="009A6D74">
        <w:rPr>
          <w:rFonts w:cs="Tahoma"/>
          <w:b/>
          <w:bCs/>
          <w:szCs w:val="22"/>
        </w:rPr>
        <w:t xml:space="preserve"> de agosto</w:t>
      </w:r>
      <w:r w:rsidR="00DE285A" w:rsidRPr="009A6D74">
        <w:rPr>
          <w:rFonts w:cs="Tahoma"/>
          <w:b/>
          <w:bCs/>
          <w:szCs w:val="22"/>
        </w:rPr>
        <w:t xml:space="preserve"> de dos mil veinticuatro</w:t>
      </w:r>
      <w:r w:rsidR="00A53315" w:rsidRPr="009A6D74">
        <w:rPr>
          <w:rFonts w:eastAsia="Palatino Linotype" w:cs="Palatino Linotype"/>
          <w:bCs/>
          <w:szCs w:val="22"/>
        </w:rPr>
        <w:t>;</w:t>
      </w:r>
      <w:r w:rsidR="00A53315" w:rsidRPr="009A6D74">
        <w:rPr>
          <w:rFonts w:eastAsia="Palatino Linotype" w:cs="Palatino Linotype"/>
          <w:szCs w:val="22"/>
        </w:rPr>
        <w:t xml:space="preserve"> por lo tanto, éste se encuentra dentro del margen temporal previsto en el artículo 178 de la </w:t>
      </w:r>
      <w:r w:rsidR="00A53315" w:rsidRPr="009A6D74">
        <w:rPr>
          <w:rFonts w:cs="Arial"/>
          <w:szCs w:val="22"/>
        </w:rPr>
        <w:t xml:space="preserve">Ley de Transparencia y Acceso a la Información Pública del Estado de México y Municipios, </w:t>
      </w:r>
      <w:r w:rsidR="00A53315" w:rsidRPr="009A6D74">
        <w:rPr>
          <w:rFonts w:eastAsia="Calibri"/>
          <w:szCs w:val="22"/>
          <w:lang w:eastAsia="es-ES_tradnl"/>
        </w:rPr>
        <w:t xml:space="preserve">el cual </w:t>
      </w:r>
      <w:r w:rsidRPr="009A6D74">
        <w:rPr>
          <w:rFonts w:cs="Arial"/>
          <w:szCs w:val="22"/>
        </w:rPr>
        <w:t xml:space="preserve">transcurrió del </w:t>
      </w:r>
      <w:r w:rsidR="00137F98" w:rsidRPr="009A6D74">
        <w:rPr>
          <w:rFonts w:cs="Tahoma"/>
          <w:b/>
          <w:bCs/>
          <w:szCs w:val="22"/>
        </w:rPr>
        <w:t xml:space="preserve">diecinueve de agosto al seis de septiembre </w:t>
      </w:r>
      <w:r w:rsidR="00DE285A" w:rsidRPr="009A6D74">
        <w:rPr>
          <w:rFonts w:cs="Tahoma"/>
          <w:b/>
          <w:bCs/>
          <w:szCs w:val="22"/>
        </w:rPr>
        <w:t>de dos mil veinticuatro</w:t>
      </w:r>
      <w:r w:rsidRPr="009A6D74">
        <w:rPr>
          <w:rFonts w:cs="Arial"/>
          <w:szCs w:val="22"/>
        </w:rPr>
        <w:t xml:space="preserve">, </w:t>
      </w:r>
      <w:r w:rsidRPr="009A6D74">
        <w:rPr>
          <w:rFonts w:eastAsiaTheme="minorEastAsia" w:cs="Arial"/>
          <w:szCs w:val="22"/>
          <w:lang w:val="es-ES_tradnl"/>
        </w:rPr>
        <w:t xml:space="preserve">sin contemplar en el cómputo los días </w:t>
      </w:r>
      <w:bookmarkStart w:id="20" w:name="_Hlk62134391"/>
      <w:r w:rsidRPr="009A6D74">
        <w:rPr>
          <w:rFonts w:eastAsiaTheme="minorEastAsia" w:cs="Arial"/>
          <w:szCs w:val="22"/>
          <w:lang w:val="es-ES_tradnl"/>
        </w:rPr>
        <w:t>sábados</w:t>
      </w:r>
      <w:r w:rsidR="00CB7E9A" w:rsidRPr="009A6D74">
        <w:rPr>
          <w:rFonts w:eastAsiaTheme="minorEastAsia" w:cs="Arial"/>
          <w:szCs w:val="22"/>
          <w:lang w:val="es-ES_tradnl"/>
        </w:rPr>
        <w:t xml:space="preserve">, </w:t>
      </w:r>
      <w:r w:rsidRPr="009A6D74">
        <w:rPr>
          <w:rFonts w:eastAsiaTheme="minorEastAsia" w:cs="Arial"/>
          <w:szCs w:val="22"/>
          <w:lang w:val="es-ES_tradnl"/>
        </w:rPr>
        <w:t>domingos</w:t>
      </w:r>
      <w:r w:rsidR="00CB7E9A" w:rsidRPr="009A6D74">
        <w:rPr>
          <w:rFonts w:eastAsiaTheme="minorEastAsia" w:cs="Arial"/>
          <w:szCs w:val="22"/>
          <w:lang w:val="es-ES_tradnl"/>
        </w:rPr>
        <w:t xml:space="preserve"> y aquellos</w:t>
      </w:r>
      <w:r w:rsidRPr="009A6D74">
        <w:rPr>
          <w:rFonts w:eastAsiaTheme="minorEastAsia" w:cs="Arial"/>
          <w:szCs w:val="22"/>
          <w:lang w:val="es-ES_tradnl"/>
        </w:rPr>
        <w:t xml:space="preserve"> considerados como días inhábiles</w:t>
      </w:r>
      <w:r w:rsidR="00CB7E9A" w:rsidRPr="009A6D74">
        <w:rPr>
          <w:rFonts w:eastAsiaTheme="minorEastAsia" w:cs="Arial"/>
          <w:szCs w:val="22"/>
          <w:lang w:val="es-ES_tradnl"/>
        </w:rPr>
        <w:t xml:space="preserve"> </w:t>
      </w:r>
      <w:r w:rsidRPr="009A6D74">
        <w:rPr>
          <w:rFonts w:eastAsiaTheme="minorEastAsia" w:cs="Arial"/>
          <w:szCs w:val="22"/>
          <w:lang w:val="es-ES_tradnl"/>
        </w:rPr>
        <w:t xml:space="preserve">en términos del </w:t>
      </w:r>
      <w:bookmarkEnd w:id="20"/>
      <w:r w:rsidRPr="009A6D74">
        <w:rPr>
          <w:rFonts w:eastAsiaTheme="minorEastAsia" w:cs="Arial"/>
          <w:szCs w:val="22"/>
          <w:lang w:val="es-ES_tradnl"/>
        </w:rPr>
        <w:t>Calendario oficia</w:t>
      </w:r>
      <w:r w:rsidR="00CB7E9A" w:rsidRPr="009A6D74">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7E4CB5A" w14:textId="77777777" w:rsidR="00F74261" w:rsidRPr="009A6D74" w:rsidRDefault="00F74261" w:rsidP="009A6D74">
      <w:pPr>
        <w:ind w:right="-312"/>
        <w:rPr>
          <w:rFonts w:eastAsiaTheme="minorEastAsia" w:cs="Arial"/>
          <w:szCs w:val="22"/>
          <w:lang w:val="es-ES_tradnl"/>
        </w:rPr>
      </w:pPr>
    </w:p>
    <w:p w14:paraId="46C0EB3A" w14:textId="661B968D" w:rsidR="00A53315" w:rsidRPr="009A6D74" w:rsidRDefault="00BA55A8" w:rsidP="009A6D74">
      <w:pPr>
        <w:pStyle w:val="Ttulo3"/>
        <w:ind w:right="-312"/>
        <w:rPr>
          <w:rFonts w:eastAsia="Calibri"/>
          <w:szCs w:val="22"/>
          <w:lang w:eastAsia="es-ES_tradnl"/>
        </w:rPr>
      </w:pPr>
      <w:bookmarkStart w:id="21" w:name="_Toc172748417"/>
      <w:r w:rsidRPr="009A6D74">
        <w:rPr>
          <w:rFonts w:eastAsia="Calibri"/>
          <w:szCs w:val="22"/>
          <w:lang w:eastAsia="es-ES_tradnl"/>
        </w:rPr>
        <w:t>d)</w:t>
      </w:r>
      <w:r w:rsidR="00D91CB4" w:rsidRPr="009A6D74">
        <w:rPr>
          <w:rFonts w:eastAsia="Calibri"/>
          <w:szCs w:val="22"/>
          <w:lang w:eastAsia="es-ES_tradnl"/>
        </w:rPr>
        <w:t xml:space="preserve"> </w:t>
      </w:r>
      <w:r w:rsidR="00174FBE" w:rsidRPr="009A6D74">
        <w:rPr>
          <w:rFonts w:eastAsia="Calibri"/>
          <w:szCs w:val="22"/>
          <w:lang w:eastAsia="es-ES_tradnl"/>
        </w:rPr>
        <w:t>Causal de procedencia</w:t>
      </w:r>
      <w:bookmarkEnd w:id="21"/>
    </w:p>
    <w:p w14:paraId="190404A6" w14:textId="56DB2011" w:rsidR="00BA55A8" w:rsidRPr="009A6D74" w:rsidRDefault="00BA55A8" w:rsidP="009A6D74">
      <w:pPr>
        <w:ind w:right="-312"/>
        <w:rPr>
          <w:szCs w:val="22"/>
        </w:rPr>
      </w:pPr>
      <w:r w:rsidRPr="009A6D74">
        <w:rPr>
          <w:rFonts w:cs="Arial"/>
          <w:szCs w:val="22"/>
        </w:rPr>
        <w:t xml:space="preserve">Resulta procedente la interposición del recurso de revisión, ya que </w:t>
      </w:r>
      <w:r w:rsidRPr="009A6D74">
        <w:rPr>
          <w:rFonts w:eastAsia="Calibri" w:cs="Tahoma"/>
          <w:szCs w:val="22"/>
          <w:lang w:eastAsia="es-MX"/>
        </w:rPr>
        <w:t>se actualiza la causal de procedencia señalada en el artículo 179, fracci</w:t>
      </w:r>
      <w:r w:rsidR="008E3EAD" w:rsidRPr="009A6D74">
        <w:rPr>
          <w:rFonts w:eastAsia="Calibri" w:cs="Tahoma"/>
          <w:szCs w:val="22"/>
          <w:lang w:eastAsia="es-MX"/>
        </w:rPr>
        <w:t>ón</w:t>
      </w:r>
      <w:r w:rsidR="00EE1B1C" w:rsidRPr="009A6D74">
        <w:rPr>
          <w:rFonts w:eastAsia="Calibri" w:cs="Tahoma"/>
          <w:szCs w:val="22"/>
          <w:lang w:eastAsia="es-MX"/>
        </w:rPr>
        <w:t xml:space="preserve"> I</w:t>
      </w:r>
      <w:r w:rsidR="0008437D" w:rsidRPr="009A6D74">
        <w:rPr>
          <w:rFonts w:eastAsia="Calibri" w:cs="Tahoma"/>
          <w:szCs w:val="22"/>
          <w:lang w:eastAsia="es-MX"/>
        </w:rPr>
        <w:t>II</w:t>
      </w:r>
      <w:r w:rsidRPr="009A6D74">
        <w:rPr>
          <w:rFonts w:cs="Arial"/>
          <w:szCs w:val="22"/>
        </w:rPr>
        <w:t xml:space="preserve"> de la </w:t>
      </w:r>
      <w:r w:rsidRPr="009A6D74">
        <w:rPr>
          <w:szCs w:val="22"/>
        </w:rPr>
        <w:t>Ley de Transparencia y Acceso a la Información Pública del Estado de México y Municipios.</w:t>
      </w:r>
    </w:p>
    <w:p w14:paraId="0EFF7141" w14:textId="77777777" w:rsidR="00362A11" w:rsidRPr="009A6D74" w:rsidRDefault="00362A11" w:rsidP="009A6D74">
      <w:pPr>
        <w:ind w:right="-312"/>
        <w:rPr>
          <w:szCs w:val="22"/>
        </w:rPr>
      </w:pPr>
    </w:p>
    <w:p w14:paraId="2284D7EB" w14:textId="3EE1D036" w:rsidR="00BA55A8" w:rsidRPr="009A6D74" w:rsidRDefault="00362A11" w:rsidP="009A6D74">
      <w:pPr>
        <w:pStyle w:val="Ttulo3"/>
        <w:ind w:right="-312"/>
        <w:rPr>
          <w:szCs w:val="22"/>
        </w:rPr>
      </w:pPr>
      <w:bookmarkStart w:id="22" w:name="_Toc172748418"/>
      <w:r w:rsidRPr="009A6D74">
        <w:rPr>
          <w:szCs w:val="22"/>
        </w:rPr>
        <w:t>e) Requisitos formales para la interposición del recurso</w:t>
      </w:r>
      <w:bookmarkEnd w:id="22"/>
    </w:p>
    <w:p w14:paraId="069A3DBF" w14:textId="77777777" w:rsidR="002F3F8F" w:rsidRPr="009A6D74" w:rsidRDefault="002F3F8F" w:rsidP="009A6D74">
      <w:pPr>
        <w:ind w:right="-312"/>
      </w:pPr>
      <w:r w:rsidRPr="009A6D74">
        <w:rPr>
          <w:b/>
        </w:rPr>
        <w:t xml:space="preserve">LA PARTE RECURRENTE </w:t>
      </w:r>
      <w:r w:rsidRPr="009A6D74">
        <w:t>acreditó todos y cada uno de los elementos formales exigidos por el artículo 180 de la misma normatividad.</w:t>
      </w:r>
    </w:p>
    <w:p w14:paraId="3A121826" w14:textId="77777777" w:rsidR="00C461EC" w:rsidRPr="009A6D74" w:rsidRDefault="00C461EC" w:rsidP="009A6D74">
      <w:pPr>
        <w:ind w:right="-312"/>
        <w:rPr>
          <w:bCs/>
          <w:szCs w:val="22"/>
          <w:lang w:val="es-ES_tradnl"/>
        </w:rPr>
      </w:pPr>
    </w:p>
    <w:p w14:paraId="457548E9" w14:textId="3F7AF03B" w:rsidR="00C71CEF" w:rsidRPr="009A6D74" w:rsidRDefault="00C71CEF" w:rsidP="009A6D74">
      <w:pPr>
        <w:pStyle w:val="Ttulo2"/>
        <w:ind w:right="-312"/>
        <w:rPr>
          <w:szCs w:val="22"/>
        </w:rPr>
      </w:pPr>
      <w:bookmarkStart w:id="23" w:name="_Toc172748419"/>
      <w:r w:rsidRPr="009A6D74">
        <w:rPr>
          <w:szCs w:val="22"/>
        </w:rPr>
        <w:lastRenderedPageBreak/>
        <w:t>SEGUNDO. Estudio de Fondo</w:t>
      </w:r>
      <w:bookmarkEnd w:id="23"/>
    </w:p>
    <w:p w14:paraId="2A308F59" w14:textId="0FF373F0" w:rsidR="00C049E2" w:rsidRPr="009A6D74" w:rsidRDefault="00C71CEF" w:rsidP="009A6D74">
      <w:pPr>
        <w:pStyle w:val="Ttulo3"/>
        <w:ind w:right="-312"/>
        <w:rPr>
          <w:szCs w:val="22"/>
        </w:rPr>
      </w:pPr>
      <w:bookmarkStart w:id="24" w:name="_Toc172748420"/>
      <w:r w:rsidRPr="009A6D74">
        <w:rPr>
          <w:szCs w:val="22"/>
        </w:rPr>
        <w:t>a</w:t>
      </w:r>
      <w:r w:rsidR="00C049E2" w:rsidRPr="009A6D74">
        <w:rPr>
          <w:szCs w:val="22"/>
        </w:rPr>
        <w:t>) Mandato de transparencia y responsabilidad del Sujeto Obligado</w:t>
      </w:r>
      <w:bookmarkEnd w:id="24"/>
    </w:p>
    <w:p w14:paraId="6901A889" w14:textId="59EEDAE1" w:rsidR="00C049E2" w:rsidRPr="009A6D74" w:rsidRDefault="00C049E2" w:rsidP="009A6D74">
      <w:pPr>
        <w:ind w:right="-312"/>
        <w:rPr>
          <w:rFonts w:eastAsia="Palatino Linotype"/>
          <w:szCs w:val="22"/>
        </w:rPr>
      </w:pPr>
      <w:r w:rsidRPr="009A6D74">
        <w:rPr>
          <w:rFonts w:eastAsia="Palatino Linotype"/>
          <w:szCs w:val="22"/>
        </w:rPr>
        <w:t xml:space="preserve">El </w:t>
      </w:r>
      <w:r w:rsidR="00717E59" w:rsidRPr="009A6D74">
        <w:rPr>
          <w:rFonts w:eastAsia="Palatino Linotype"/>
          <w:szCs w:val="22"/>
        </w:rPr>
        <w:t>d</w:t>
      </w:r>
      <w:r w:rsidRPr="009A6D74">
        <w:rPr>
          <w:rFonts w:eastAsia="Palatino Linotype"/>
          <w:szCs w:val="22"/>
        </w:rPr>
        <w:t xml:space="preserve">erecho de </w:t>
      </w:r>
      <w:r w:rsidR="00717E59" w:rsidRPr="009A6D74">
        <w:rPr>
          <w:rFonts w:eastAsia="Palatino Linotype"/>
          <w:szCs w:val="22"/>
        </w:rPr>
        <w:t>a</w:t>
      </w:r>
      <w:r w:rsidRPr="009A6D74">
        <w:rPr>
          <w:rFonts w:eastAsia="Palatino Linotype"/>
          <w:szCs w:val="22"/>
        </w:rPr>
        <w:t xml:space="preserve">cceso a la </w:t>
      </w:r>
      <w:r w:rsidR="00717E59" w:rsidRPr="009A6D74">
        <w:rPr>
          <w:rFonts w:eastAsia="Palatino Linotype"/>
          <w:szCs w:val="22"/>
        </w:rPr>
        <w:t>i</w:t>
      </w:r>
      <w:r w:rsidRPr="009A6D74">
        <w:rPr>
          <w:rFonts w:eastAsia="Palatino Linotype"/>
          <w:szCs w:val="22"/>
        </w:rPr>
        <w:t xml:space="preserve">nformación </w:t>
      </w:r>
      <w:r w:rsidR="00717E59" w:rsidRPr="009A6D74">
        <w:rPr>
          <w:rFonts w:eastAsia="Palatino Linotype"/>
          <w:szCs w:val="22"/>
        </w:rPr>
        <w:t>p</w:t>
      </w:r>
      <w:r w:rsidRPr="009A6D7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A6D74">
        <w:rPr>
          <w:rFonts w:eastAsia="Palatino Linotype"/>
          <w:szCs w:val="22"/>
        </w:rPr>
        <w:t>:</w:t>
      </w:r>
    </w:p>
    <w:p w14:paraId="7FAB8D32" w14:textId="77777777" w:rsidR="00C049E2" w:rsidRPr="009A6D74" w:rsidRDefault="00C049E2" w:rsidP="009A6D74">
      <w:pPr>
        <w:ind w:right="-312"/>
        <w:rPr>
          <w:rFonts w:eastAsia="Palatino Linotype"/>
          <w:szCs w:val="22"/>
        </w:rPr>
      </w:pPr>
    </w:p>
    <w:p w14:paraId="05320813" w14:textId="77777777" w:rsidR="00C049E2" w:rsidRPr="009A6D74" w:rsidRDefault="00C049E2" w:rsidP="009A6D74">
      <w:pPr>
        <w:spacing w:line="240" w:lineRule="auto"/>
        <w:ind w:left="567" w:right="539"/>
        <w:rPr>
          <w:rFonts w:eastAsia="Palatino Linotype"/>
          <w:b/>
          <w:i/>
          <w:szCs w:val="22"/>
        </w:rPr>
      </w:pPr>
      <w:r w:rsidRPr="009A6D74">
        <w:rPr>
          <w:rFonts w:eastAsia="Palatino Linotype"/>
          <w:b/>
          <w:i/>
          <w:szCs w:val="22"/>
        </w:rPr>
        <w:t>Constitución Política de los Estados Unidos Mexicanos</w:t>
      </w:r>
    </w:p>
    <w:p w14:paraId="6B6C67B6" w14:textId="77777777" w:rsidR="00C049E2" w:rsidRPr="009A6D74" w:rsidRDefault="00C049E2" w:rsidP="009A6D74">
      <w:pPr>
        <w:spacing w:line="240" w:lineRule="auto"/>
        <w:ind w:left="567" w:right="539"/>
        <w:rPr>
          <w:rFonts w:eastAsia="Palatino Linotype"/>
          <w:b/>
          <w:i/>
          <w:szCs w:val="22"/>
        </w:rPr>
      </w:pPr>
      <w:r w:rsidRPr="009A6D74">
        <w:rPr>
          <w:rFonts w:eastAsia="Palatino Linotype"/>
          <w:b/>
          <w:i/>
          <w:szCs w:val="22"/>
        </w:rPr>
        <w:t>“Artículo 6.</w:t>
      </w:r>
    </w:p>
    <w:p w14:paraId="38D3B4C4" w14:textId="77777777" w:rsidR="00C049E2" w:rsidRPr="009A6D74" w:rsidRDefault="00C049E2" w:rsidP="009A6D74">
      <w:pPr>
        <w:spacing w:line="240" w:lineRule="auto"/>
        <w:ind w:left="567" w:right="539"/>
        <w:rPr>
          <w:rFonts w:eastAsia="Palatino Linotype"/>
          <w:i/>
          <w:szCs w:val="22"/>
        </w:rPr>
      </w:pPr>
      <w:r w:rsidRPr="009A6D74">
        <w:rPr>
          <w:rFonts w:eastAsia="Palatino Linotype"/>
          <w:i/>
          <w:szCs w:val="22"/>
        </w:rPr>
        <w:t>(…)</w:t>
      </w:r>
    </w:p>
    <w:p w14:paraId="2CCAA297" w14:textId="6602827B" w:rsidR="00C049E2" w:rsidRPr="009A6D74" w:rsidRDefault="00C049E2" w:rsidP="009A6D74">
      <w:pPr>
        <w:spacing w:line="240" w:lineRule="auto"/>
        <w:ind w:left="567" w:right="539"/>
        <w:rPr>
          <w:rFonts w:eastAsia="Palatino Linotype"/>
          <w:i/>
          <w:szCs w:val="22"/>
        </w:rPr>
      </w:pPr>
      <w:r w:rsidRPr="009A6D74">
        <w:rPr>
          <w:rFonts w:eastAsia="Palatino Linotype"/>
          <w:i/>
          <w:szCs w:val="22"/>
        </w:rPr>
        <w:t>Para efectos de lo dispuesto en el presente artículo se observará lo siguiente:</w:t>
      </w:r>
    </w:p>
    <w:p w14:paraId="74CC3718" w14:textId="77777777" w:rsidR="00C049E2" w:rsidRPr="009A6D74" w:rsidRDefault="00C049E2" w:rsidP="009A6D74">
      <w:pPr>
        <w:spacing w:line="240" w:lineRule="auto"/>
        <w:ind w:left="567" w:right="539"/>
        <w:rPr>
          <w:rFonts w:eastAsia="Palatino Linotype"/>
          <w:b/>
          <w:i/>
          <w:szCs w:val="22"/>
        </w:rPr>
      </w:pPr>
      <w:r w:rsidRPr="009A6D74">
        <w:rPr>
          <w:rFonts w:eastAsia="Palatino Linotype"/>
          <w:b/>
          <w:i/>
          <w:szCs w:val="22"/>
        </w:rPr>
        <w:t>A</w:t>
      </w:r>
      <w:r w:rsidRPr="009A6D74">
        <w:rPr>
          <w:rFonts w:eastAsia="Palatino Linotype"/>
          <w:i/>
          <w:szCs w:val="22"/>
        </w:rPr>
        <w:t xml:space="preserve">. </w:t>
      </w:r>
      <w:r w:rsidRPr="009A6D74">
        <w:rPr>
          <w:rFonts w:eastAsia="Palatino Linotype"/>
          <w:b/>
          <w:i/>
          <w:szCs w:val="22"/>
        </w:rPr>
        <w:t>Para el ejercicio del derecho de acceso a la información</w:t>
      </w:r>
      <w:r w:rsidRPr="009A6D74">
        <w:rPr>
          <w:rFonts w:eastAsia="Palatino Linotype"/>
          <w:i/>
          <w:szCs w:val="22"/>
        </w:rPr>
        <w:t xml:space="preserve">, la Federación y </w:t>
      </w:r>
      <w:r w:rsidRPr="009A6D74">
        <w:rPr>
          <w:rFonts w:eastAsia="Palatino Linotype"/>
          <w:b/>
          <w:i/>
          <w:szCs w:val="22"/>
        </w:rPr>
        <w:t>las entidades federativas, en el ámbito de sus respectivas competencias, se regirán por los siguientes principios y bases:</w:t>
      </w:r>
    </w:p>
    <w:p w14:paraId="596A956B" w14:textId="77777777" w:rsidR="00C049E2" w:rsidRPr="009A6D74" w:rsidRDefault="00C049E2" w:rsidP="009A6D74">
      <w:pPr>
        <w:spacing w:line="240" w:lineRule="auto"/>
        <w:ind w:left="567" w:right="539"/>
        <w:rPr>
          <w:rFonts w:eastAsia="Palatino Linotype"/>
          <w:i/>
          <w:szCs w:val="22"/>
        </w:rPr>
      </w:pPr>
      <w:r w:rsidRPr="009A6D74">
        <w:rPr>
          <w:rFonts w:eastAsia="Palatino Linotype"/>
          <w:b/>
          <w:i/>
          <w:szCs w:val="22"/>
        </w:rPr>
        <w:t xml:space="preserve">I. </w:t>
      </w:r>
      <w:r w:rsidRPr="009A6D74">
        <w:rPr>
          <w:rFonts w:eastAsia="Palatino Linotype"/>
          <w:b/>
          <w:i/>
          <w:szCs w:val="22"/>
        </w:rPr>
        <w:tab/>
        <w:t>Toda la información en posesión de cualquier</w:t>
      </w:r>
      <w:r w:rsidRPr="009A6D74">
        <w:rPr>
          <w:rFonts w:eastAsia="Palatino Linotype"/>
          <w:i/>
          <w:szCs w:val="22"/>
        </w:rPr>
        <w:t xml:space="preserve"> </w:t>
      </w:r>
      <w:r w:rsidRPr="009A6D74">
        <w:rPr>
          <w:rFonts w:eastAsia="Palatino Linotype"/>
          <w:b/>
          <w:i/>
          <w:szCs w:val="22"/>
        </w:rPr>
        <w:t>autoridad</w:t>
      </w:r>
      <w:r w:rsidRPr="009A6D7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A6D74">
        <w:rPr>
          <w:rFonts w:eastAsia="Palatino Linotype"/>
          <w:b/>
          <w:i/>
          <w:szCs w:val="22"/>
        </w:rPr>
        <w:t>municipal</w:t>
      </w:r>
      <w:r w:rsidRPr="009A6D74">
        <w:rPr>
          <w:rFonts w:eastAsia="Palatino Linotype"/>
          <w:i/>
          <w:szCs w:val="22"/>
        </w:rPr>
        <w:t xml:space="preserve">, </w:t>
      </w:r>
      <w:r w:rsidRPr="009A6D74">
        <w:rPr>
          <w:rFonts w:eastAsia="Palatino Linotype"/>
          <w:b/>
          <w:i/>
          <w:szCs w:val="22"/>
        </w:rPr>
        <w:t>es pública</w:t>
      </w:r>
      <w:r w:rsidRPr="009A6D74">
        <w:rPr>
          <w:rFonts w:eastAsia="Palatino Linotype"/>
          <w:i/>
          <w:szCs w:val="22"/>
        </w:rPr>
        <w:t xml:space="preserve"> y sólo podrá ser reservada temporalmente por razones de interés público y seguridad nacional, en los términos que fijen las leyes. </w:t>
      </w:r>
      <w:r w:rsidRPr="009A6D74">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A6D74">
        <w:rPr>
          <w:rFonts w:eastAsia="Palatino Linotype"/>
          <w:i/>
          <w:szCs w:val="22"/>
        </w:rPr>
        <w:t>, la ley determinará los supuestos específicos bajo los cuales procederá la declaración de inexistencia de la información.”</w:t>
      </w:r>
    </w:p>
    <w:p w14:paraId="68F313E4" w14:textId="77777777" w:rsidR="00C049E2" w:rsidRPr="009A6D74" w:rsidRDefault="00C049E2" w:rsidP="009A6D74">
      <w:pPr>
        <w:spacing w:line="240" w:lineRule="auto"/>
        <w:ind w:left="567" w:right="539"/>
        <w:rPr>
          <w:rFonts w:eastAsia="Palatino Linotype"/>
          <w:b/>
          <w:i/>
          <w:szCs w:val="22"/>
        </w:rPr>
      </w:pPr>
    </w:p>
    <w:p w14:paraId="504F12DB" w14:textId="77777777" w:rsidR="00C049E2" w:rsidRPr="009A6D74" w:rsidRDefault="00C049E2" w:rsidP="009A6D74">
      <w:pPr>
        <w:spacing w:line="240" w:lineRule="auto"/>
        <w:ind w:left="567" w:right="539"/>
        <w:rPr>
          <w:rFonts w:eastAsia="Palatino Linotype"/>
          <w:b/>
          <w:i/>
          <w:szCs w:val="22"/>
        </w:rPr>
      </w:pPr>
      <w:r w:rsidRPr="009A6D74">
        <w:rPr>
          <w:rFonts w:eastAsia="Palatino Linotype"/>
          <w:b/>
          <w:i/>
          <w:szCs w:val="22"/>
        </w:rPr>
        <w:t>Constitución Política del Estado Libre y Soberano de México</w:t>
      </w:r>
    </w:p>
    <w:p w14:paraId="04932D29" w14:textId="77777777" w:rsidR="00C049E2" w:rsidRPr="009A6D74" w:rsidRDefault="00C049E2" w:rsidP="009A6D74">
      <w:pPr>
        <w:spacing w:line="240" w:lineRule="auto"/>
        <w:ind w:left="567" w:right="539"/>
        <w:rPr>
          <w:rFonts w:eastAsia="Palatino Linotype"/>
          <w:i/>
          <w:szCs w:val="22"/>
        </w:rPr>
      </w:pPr>
      <w:r w:rsidRPr="009A6D74">
        <w:rPr>
          <w:rFonts w:eastAsia="Palatino Linotype"/>
          <w:b/>
          <w:i/>
          <w:szCs w:val="22"/>
        </w:rPr>
        <w:t>“Artículo 5</w:t>
      </w:r>
      <w:r w:rsidRPr="009A6D74">
        <w:rPr>
          <w:rFonts w:eastAsia="Palatino Linotype"/>
          <w:i/>
          <w:szCs w:val="22"/>
        </w:rPr>
        <w:t xml:space="preserve">.- </w:t>
      </w:r>
    </w:p>
    <w:p w14:paraId="1D3829F4" w14:textId="77777777" w:rsidR="00C049E2" w:rsidRPr="009A6D74" w:rsidRDefault="00C049E2" w:rsidP="009A6D74">
      <w:pPr>
        <w:spacing w:line="240" w:lineRule="auto"/>
        <w:ind w:left="567" w:right="539"/>
        <w:rPr>
          <w:rFonts w:eastAsia="Palatino Linotype"/>
          <w:i/>
          <w:szCs w:val="22"/>
        </w:rPr>
      </w:pPr>
      <w:r w:rsidRPr="009A6D74">
        <w:rPr>
          <w:rFonts w:eastAsia="Palatino Linotype"/>
          <w:i/>
          <w:szCs w:val="22"/>
        </w:rPr>
        <w:t>(…)</w:t>
      </w:r>
    </w:p>
    <w:p w14:paraId="0EAE47FD" w14:textId="77777777" w:rsidR="00C049E2" w:rsidRPr="009A6D74" w:rsidRDefault="00C049E2" w:rsidP="009A6D74">
      <w:pPr>
        <w:spacing w:line="240" w:lineRule="auto"/>
        <w:ind w:left="567" w:right="539"/>
        <w:rPr>
          <w:rFonts w:eastAsia="Palatino Linotype"/>
          <w:i/>
          <w:szCs w:val="22"/>
        </w:rPr>
      </w:pPr>
      <w:r w:rsidRPr="009A6D74">
        <w:rPr>
          <w:rFonts w:eastAsia="Palatino Linotype"/>
          <w:b/>
          <w:i/>
          <w:szCs w:val="22"/>
        </w:rPr>
        <w:t>El derecho a la información será garantizado por el Estado. La ley establecerá las previsiones que permitan asegurar la protección, el respeto y la difusión de este derecho</w:t>
      </w:r>
      <w:r w:rsidRPr="009A6D74">
        <w:rPr>
          <w:rFonts w:eastAsia="Palatino Linotype"/>
          <w:i/>
          <w:szCs w:val="22"/>
        </w:rPr>
        <w:t>.</w:t>
      </w:r>
    </w:p>
    <w:p w14:paraId="4F0C804A" w14:textId="77777777" w:rsidR="00C049E2" w:rsidRPr="009A6D74" w:rsidRDefault="00C049E2" w:rsidP="009A6D74">
      <w:pPr>
        <w:spacing w:line="240" w:lineRule="auto"/>
        <w:ind w:left="567" w:right="539"/>
        <w:rPr>
          <w:rFonts w:eastAsia="Palatino Linotype"/>
          <w:i/>
          <w:szCs w:val="22"/>
        </w:rPr>
      </w:pPr>
      <w:r w:rsidRPr="009A6D7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A6D74" w:rsidRDefault="00C049E2" w:rsidP="009A6D74">
      <w:pPr>
        <w:spacing w:line="240" w:lineRule="auto"/>
        <w:ind w:left="567" w:right="539"/>
        <w:rPr>
          <w:rFonts w:eastAsia="Palatino Linotype"/>
          <w:i/>
          <w:szCs w:val="22"/>
        </w:rPr>
      </w:pPr>
      <w:r w:rsidRPr="009A6D74">
        <w:rPr>
          <w:rFonts w:eastAsia="Palatino Linotype"/>
          <w:b/>
          <w:i/>
          <w:szCs w:val="22"/>
        </w:rPr>
        <w:lastRenderedPageBreak/>
        <w:t>Este derecho se regirá por los principios y bases siguientes</w:t>
      </w:r>
      <w:r w:rsidRPr="009A6D74">
        <w:rPr>
          <w:rFonts w:eastAsia="Palatino Linotype"/>
          <w:i/>
          <w:szCs w:val="22"/>
        </w:rPr>
        <w:t>:</w:t>
      </w:r>
    </w:p>
    <w:p w14:paraId="4A3E8CBA" w14:textId="77777777" w:rsidR="00C049E2" w:rsidRPr="009A6D74" w:rsidRDefault="00C049E2" w:rsidP="009A6D74">
      <w:pPr>
        <w:spacing w:line="240" w:lineRule="auto"/>
        <w:ind w:left="567" w:right="539"/>
        <w:rPr>
          <w:rFonts w:eastAsia="Palatino Linotype"/>
          <w:i/>
          <w:szCs w:val="22"/>
        </w:rPr>
      </w:pPr>
      <w:r w:rsidRPr="009A6D74">
        <w:rPr>
          <w:rFonts w:eastAsia="Palatino Linotype"/>
          <w:b/>
          <w:i/>
          <w:szCs w:val="22"/>
        </w:rPr>
        <w:t>I. Toda la información en posesión de cualquier autoridad, entidad, órgano y organismos de los</w:t>
      </w:r>
      <w:r w:rsidRPr="009A6D74">
        <w:rPr>
          <w:rFonts w:eastAsia="Palatino Linotype"/>
          <w:i/>
          <w:szCs w:val="22"/>
        </w:rPr>
        <w:t xml:space="preserve"> Poderes Ejecutivo, Legislativo y Judicial, órganos autónomos, partidos políticos, fideicomisos y fondos públicos estatales y </w:t>
      </w:r>
      <w:r w:rsidRPr="009A6D74">
        <w:rPr>
          <w:rFonts w:eastAsia="Palatino Linotype"/>
          <w:b/>
          <w:i/>
          <w:szCs w:val="22"/>
        </w:rPr>
        <w:t>municipales</w:t>
      </w:r>
      <w:r w:rsidRPr="009A6D7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A6D74">
        <w:rPr>
          <w:rFonts w:eastAsia="Palatino Linotype"/>
          <w:b/>
          <w:i/>
          <w:szCs w:val="22"/>
        </w:rPr>
        <w:t>es pública</w:t>
      </w:r>
      <w:r w:rsidRPr="009A6D7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A6D74">
        <w:rPr>
          <w:rFonts w:eastAsia="Palatino Linotype"/>
          <w:b/>
          <w:i/>
          <w:szCs w:val="22"/>
        </w:rPr>
        <w:t>En la interpretación de este derecho deberá prevalecer el principio de máxima publicidad</w:t>
      </w:r>
      <w:r w:rsidRPr="009A6D74">
        <w:rPr>
          <w:rFonts w:eastAsia="Palatino Linotype"/>
          <w:i/>
          <w:szCs w:val="22"/>
        </w:rPr>
        <w:t xml:space="preserve">. </w:t>
      </w:r>
      <w:r w:rsidRPr="009A6D74">
        <w:rPr>
          <w:rFonts w:eastAsia="Palatino Linotype"/>
          <w:b/>
          <w:i/>
          <w:szCs w:val="22"/>
        </w:rPr>
        <w:t>Los sujetos obligados deberán documentar todo acto que derive del ejercicio de sus facultades, competencias o funciones</w:t>
      </w:r>
      <w:r w:rsidRPr="009A6D74">
        <w:rPr>
          <w:rFonts w:eastAsia="Palatino Linotype"/>
          <w:i/>
          <w:szCs w:val="22"/>
        </w:rPr>
        <w:t>, la ley determinará los supuestos específicos bajo los cuales procederá la declaración de inexistencia de la información.”</w:t>
      </w:r>
    </w:p>
    <w:p w14:paraId="5CA98E37" w14:textId="77777777" w:rsidR="00C049E2" w:rsidRPr="009A6D74" w:rsidRDefault="00C049E2" w:rsidP="009A6D74">
      <w:pPr>
        <w:ind w:right="-312"/>
        <w:rPr>
          <w:rFonts w:eastAsia="Palatino Linotype"/>
          <w:b/>
          <w:i/>
          <w:szCs w:val="22"/>
        </w:rPr>
      </w:pPr>
    </w:p>
    <w:p w14:paraId="6FC1BB3B" w14:textId="3BF4A33D" w:rsidR="00C049E2" w:rsidRPr="009A6D74" w:rsidRDefault="00717E59" w:rsidP="009A6D74">
      <w:pPr>
        <w:ind w:right="-312"/>
        <w:rPr>
          <w:rFonts w:eastAsia="Palatino Linotype"/>
          <w:i/>
          <w:szCs w:val="22"/>
        </w:rPr>
      </w:pPr>
      <w:r w:rsidRPr="009A6D74">
        <w:rPr>
          <w:rFonts w:eastAsia="Palatino Linotype"/>
          <w:szCs w:val="22"/>
        </w:rPr>
        <w:t xml:space="preserve">Asimismo, </w:t>
      </w:r>
      <w:r w:rsidR="00C049E2" w:rsidRPr="009A6D74">
        <w:rPr>
          <w:rFonts w:eastAsia="Palatino Linotype"/>
          <w:szCs w:val="22"/>
        </w:rPr>
        <w:t>el artículo 150 de la Ley de Transparencia y Acceso a la Información Pública del Estado de México y Municipios</w:t>
      </w:r>
      <w:r w:rsidR="00057B2D" w:rsidRPr="009A6D74">
        <w:rPr>
          <w:rFonts w:eastAsia="Palatino Linotype"/>
          <w:szCs w:val="22"/>
        </w:rPr>
        <w:t xml:space="preserve"> </w:t>
      </w:r>
      <w:r w:rsidR="00E9335C" w:rsidRPr="009A6D74">
        <w:rPr>
          <w:rFonts w:eastAsia="Palatino Linotype"/>
          <w:szCs w:val="22"/>
        </w:rPr>
        <w:t xml:space="preserve">indica </w:t>
      </w:r>
      <w:r w:rsidR="00057B2D" w:rsidRPr="009A6D74">
        <w:rPr>
          <w:rFonts w:eastAsia="Palatino Linotype"/>
          <w:szCs w:val="22"/>
        </w:rPr>
        <w:t>que</w:t>
      </w:r>
      <w:r w:rsidR="00C049E2" w:rsidRPr="009A6D74">
        <w:rPr>
          <w:rFonts w:eastAsia="Palatino Linotype"/>
          <w:szCs w:val="22"/>
        </w:rPr>
        <w:t xml:space="preserve"> la solicitud es la garantía primaria del Derecho de Acceso a la Información, además, establece que se regirá </w:t>
      </w:r>
      <w:r w:rsidR="00C049E2" w:rsidRPr="009A6D74">
        <w:rPr>
          <w:rFonts w:eastAsia="Palatino Linotype"/>
          <w:i/>
          <w:szCs w:val="22"/>
        </w:rPr>
        <w:t>por los principios de simplicidad, rapidez</w:t>
      </w:r>
      <w:r w:rsidR="005F65B7" w:rsidRPr="009A6D74">
        <w:rPr>
          <w:rFonts w:eastAsia="Palatino Linotype"/>
          <w:i/>
          <w:szCs w:val="22"/>
        </w:rPr>
        <w:t>,</w:t>
      </w:r>
      <w:r w:rsidR="00C049E2" w:rsidRPr="009A6D74">
        <w:rPr>
          <w:rFonts w:eastAsia="Palatino Linotype"/>
          <w:i/>
          <w:szCs w:val="22"/>
        </w:rPr>
        <w:t xml:space="preserve"> gratuidad del procedimiento, auxilio y orientación a los particulare</w:t>
      </w:r>
      <w:r w:rsidR="001A58B3" w:rsidRPr="009A6D74">
        <w:rPr>
          <w:rFonts w:eastAsia="Palatino Linotype"/>
          <w:i/>
          <w:szCs w:val="22"/>
        </w:rPr>
        <w:t>s.</w:t>
      </w:r>
    </w:p>
    <w:p w14:paraId="033466A6" w14:textId="77777777" w:rsidR="001A58B3" w:rsidRPr="009A6D74" w:rsidRDefault="001A58B3" w:rsidP="009A6D74">
      <w:pPr>
        <w:ind w:right="-312"/>
        <w:rPr>
          <w:rFonts w:eastAsia="Palatino Linotype"/>
          <w:i/>
          <w:szCs w:val="22"/>
        </w:rPr>
      </w:pPr>
    </w:p>
    <w:p w14:paraId="04ADA10B" w14:textId="574A944A" w:rsidR="001A58B3" w:rsidRPr="009A6D74" w:rsidRDefault="00233F17" w:rsidP="009A6D74">
      <w:pPr>
        <w:ind w:right="-312"/>
        <w:rPr>
          <w:rFonts w:eastAsia="Palatino Linotype" w:cs="Palatino Linotype"/>
          <w:i/>
          <w:szCs w:val="22"/>
        </w:rPr>
      </w:pPr>
      <w:r w:rsidRPr="009A6D74">
        <w:rPr>
          <w:rFonts w:eastAsia="Palatino Linotype" w:cs="Palatino Linotype"/>
          <w:szCs w:val="22"/>
        </w:rPr>
        <w:t xml:space="preserve">Por su parte, el artículo 4 de </w:t>
      </w:r>
      <w:r w:rsidR="001A58B3" w:rsidRPr="009A6D7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A6D74">
        <w:rPr>
          <w:rFonts w:eastAsia="Palatino Linotype" w:cs="Palatino Linotype"/>
          <w:szCs w:val="22"/>
        </w:rPr>
        <w:t>.</w:t>
      </w:r>
    </w:p>
    <w:p w14:paraId="1407DBB8" w14:textId="77777777" w:rsidR="001A58B3" w:rsidRPr="009A6D74" w:rsidRDefault="001A58B3" w:rsidP="009A6D74">
      <w:pPr>
        <w:ind w:right="-312"/>
        <w:rPr>
          <w:rFonts w:eastAsia="Palatino Linotype" w:cs="Palatino Linotype"/>
          <w:szCs w:val="22"/>
        </w:rPr>
      </w:pPr>
    </w:p>
    <w:p w14:paraId="7552AA79" w14:textId="5C52E4A4" w:rsidR="001A58B3" w:rsidRPr="009A6D74" w:rsidRDefault="001A58B3" w:rsidP="009A6D74">
      <w:pPr>
        <w:ind w:right="-312"/>
        <w:rPr>
          <w:rFonts w:eastAsia="Palatino Linotype" w:cs="Palatino Linotype"/>
          <w:szCs w:val="22"/>
        </w:rPr>
      </w:pPr>
      <w:r w:rsidRPr="009A6D74">
        <w:rPr>
          <w:rFonts w:eastAsia="Palatino Linotype" w:cs="Palatino Linotype"/>
          <w:szCs w:val="22"/>
        </w:rPr>
        <w:t xml:space="preserve">Esto es, que los Sujetos Obligados </w:t>
      </w:r>
      <w:r w:rsidR="00FA5957" w:rsidRPr="009A6D74">
        <w:rPr>
          <w:rFonts w:eastAsia="Palatino Linotype" w:cs="Palatino Linotype"/>
          <w:szCs w:val="22"/>
        </w:rPr>
        <w:t>deben</w:t>
      </w:r>
      <w:r w:rsidRPr="009A6D74">
        <w:rPr>
          <w:rFonts w:eastAsia="Palatino Linotype" w:cs="Palatino Linotype"/>
          <w:szCs w:val="22"/>
        </w:rPr>
        <w:t xml:space="preserve"> atender las solicitudes de acceso a la información pública que se les </w:t>
      </w:r>
      <w:r w:rsidR="00FA5957" w:rsidRPr="009A6D74">
        <w:rPr>
          <w:rFonts w:eastAsia="Palatino Linotype" w:cs="Palatino Linotype"/>
          <w:szCs w:val="22"/>
        </w:rPr>
        <w:t>sean realizadas,</w:t>
      </w:r>
      <w:r w:rsidRPr="009A6D74">
        <w:rPr>
          <w:rFonts w:eastAsia="Palatino Linotype" w:cs="Palatino Linotype"/>
          <w:szCs w:val="22"/>
        </w:rPr>
        <w:t xml:space="preserve"> y proporcionar la información pública que obre en su poder</w:t>
      </w:r>
      <w:r w:rsidR="00FA5957" w:rsidRPr="009A6D74">
        <w:rPr>
          <w:rFonts w:eastAsia="Palatino Linotype" w:cs="Palatino Linotype"/>
          <w:szCs w:val="22"/>
        </w:rPr>
        <w:t>,</w:t>
      </w:r>
      <w:r w:rsidRPr="009A6D74">
        <w:rPr>
          <w:rFonts w:eastAsia="Palatino Linotype" w:cs="Palatino Linotype"/>
          <w:szCs w:val="22"/>
        </w:rPr>
        <w:t xml:space="preserve"> conforme </w:t>
      </w:r>
      <w:r w:rsidR="00FA5957" w:rsidRPr="009A6D74">
        <w:rPr>
          <w:rFonts w:eastAsia="Palatino Linotype" w:cs="Palatino Linotype"/>
          <w:szCs w:val="22"/>
        </w:rPr>
        <w:t>a</w:t>
      </w:r>
      <w:r w:rsidRPr="009A6D74">
        <w:rPr>
          <w:rFonts w:eastAsia="Palatino Linotype" w:cs="Palatino Linotype"/>
          <w:szCs w:val="22"/>
        </w:rPr>
        <w:t xml:space="preserve">l estado </w:t>
      </w:r>
      <w:r w:rsidR="00FA5957" w:rsidRPr="009A6D74">
        <w:rPr>
          <w:rFonts w:eastAsia="Palatino Linotype" w:cs="Palatino Linotype"/>
          <w:szCs w:val="22"/>
        </w:rPr>
        <w:t xml:space="preserve">en </w:t>
      </w:r>
      <w:r w:rsidRPr="009A6D74">
        <w:rPr>
          <w:rFonts w:eastAsia="Palatino Linotype" w:cs="Palatino Linotype"/>
          <w:szCs w:val="22"/>
        </w:rPr>
        <w:t>que se encuentr</w:t>
      </w:r>
      <w:r w:rsidR="00FA5957" w:rsidRPr="009A6D74">
        <w:rPr>
          <w:rFonts w:eastAsia="Palatino Linotype" w:cs="Palatino Linotype"/>
          <w:szCs w:val="22"/>
        </w:rPr>
        <w:t>e, sin que sea necesario</w:t>
      </w:r>
      <w:r w:rsidRPr="009A6D74">
        <w:rPr>
          <w:rFonts w:eastAsia="Palatino Linotype" w:cs="Palatino Linotype"/>
          <w:szCs w:val="22"/>
        </w:rPr>
        <w:t xml:space="preserve"> </w:t>
      </w:r>
      <w:r w:rsidR="00FA5957" w:rsidRPr="009A6D74">
        <w:rPr>
          <w:rFonts w:eastAsia="Palatino Linotype" w:cs="Palatino Linotype"/>
          <w:szCs w:val="22"/>
        </w:rPr>
        <w:t>procesar</w:t>
      </w:r>
      <w:r w:rsidRPr="009A6D74">
        <w:rPr>
          <w:rFonts w:eastAsia="Palatino Linotype" w:cs="Palatino Linotype"/>
          <w:szCs w:val="22"/>
        </w:rPr>
        <w:t xml:space="preserve"> la misma, ni presentarla conforme al interés del solicitante; </w:t>
      </w:r>
      <w:r w:rsidR="00FA5957" w:rsidRPr="009A6D74">
        <w:rPr>
          <w:rFonts w:eastAsia="Palatino Linotype" w:cs="Palatino Linotype"/>
          <w:szCs w:val="22"/>
        </w:rPr>
        <w:t>tal y como</w:t>
      </w:r>
      <w:r w:rsidRPr="009A6D74">
        <w:rPr>
          <w:rFonts w:eastAsia="Palatino Linotype" w:cs="Palatino Linotype"/>
          <w:szCs w:val="22"/>
        </w:rPr>
        <w:t xml:space="preserve"> lo establece el artículo 12 de la Ley de Transparencia y Acceso a la Información Pública del Estado de México y Municipios</w:t>
      </w:r>
      <w:r w:rsidR="00970EB3" w:rsidRPr="009A6D74">
        <w:rPr>
          <w:rFonts w:eastAsia="Palatino Linotype" w:cs="Palatino Linotype"/>
          <w:szCs w:val="22"/>
        </w:rPr>
        <w:t>.</w:t>
      </w:r>
    </w:p>
    <w:p w14:paraId="73245195" w14:textId="77777777" w:rsidR="00970EB3" w:rsidRPr="009A6D74" w:rsidRDefault="00970EB3" w:rsidP="009A6D74">
      <w:pPr>
        <w:ind w:right="-312"/>
        <w:rPr>
          <w:rFonts w:eastAsia="Palatino Linotype" w:cs="Palatino Linotype"/>
          <w:szCs w:val="22"/>
        </w:rPr>
      </w:pPr>
    </w:p>
    <w:p w14:paraId="7F62D4DF" w14:textId="775730E1" w:rsidR="001A58B3" w:rsidRPr="009A6D74" w:rsidRDefault="001A58B3" w:rsidP="009A6D74">
      <w:pPr>
        <w:ind w:right="-312"/>
        <w:rPr>
          <w:rFonts w:eastAsia="Palatino Linotype" w:cs="Palatino Linotype"/>
          <w:szCs w:val="22"/>
        </w:rPr>
      </w:pPr>
      <w:r w:rsidRPr="009A6D74">
        <w:rPr>
          <w:rFonts w:eastAsia="Palatino Linotype" w:cs="Palatino Linotype"/>
          <w:szCs w:val="22"/>
        </w:rPr>
        <w:t>Es decir, que todo sujeto obligado que genere, recopile, administre, procese, archive, posea o conserven, son responsables de la misma</w:t>
      </w:r>
      <w:r w:rsidR="00970EB3" w:rsidRPr="009A6D74">
        <w:rPr>
          <w:rFonts w:eastAsia="Palatino Linotype" w:cs="Palatino Linotype"/>
          <w:szCs w:val="22"/>
        </w:rPr>
        <w:t>,</w:t>
      </w:r>
      <w:r w:rsidRPr="009A6D7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A6D74">
        <w:rPr>
          <w:rFonts w:eastAsia="Palatino Linotype" w:cs="Palatino Linotype"/>
          <w:szCs w:val="22"/>
        </w:rPr>
        <w:t>o</w:t>
      </w:r>
      <w:r w:rsidRPr="009A6D7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A6D74" w:rsidRDefault="001A58B3" w:rsidP="009A6D74">
      <w:pPr>
        <w:ind w:right="-312"/>
        <w:rPr>
          <w:rFonts w:eastAsia="Palatino Linotype" w:cs="Palatino Linotype"/>
          <w:szCs w:val="22"/>
        </w:rPr>
      </w:pPr>
    </w:p>
    <w:p w14:paraId="04E42DFE" w14:textId="573F1198" w:rsidR="001A58B3" w:rsidRPr="009A6D74" w:rsidRDefault="001A58B3" w:rsidP="009A6D74">
      <w:pPr>
        <w:ind w:right="-312"/>
        <w:rPr>
          <w:rFonts w:eastAsia="Palatino Linotype" w:cs="Palatino Linotype"/>
          <w:szCs w:val="22"/>
        </w:rPr>
      </w:pPr>
      <w:r w:rsidRPr="009A6D7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A6D74">
        <w:rPr>
          <w:rFonts w:eastAsia="Palatino Linotype" w:cs="Palatino Linotype"/>
          <w:szCs w:val="22"/>
        </w:rPr>
        <w:t>, s</w:t>
      </w:r>
      <w:r w:rsidRPr="009A6D74">
        <w:rPr>
          <w:rFonts w:eastAsia="Palatino Linotype" w:cs="Palatino Linotype"/>
          <w:szCs w:val="22"/>
        </w:rPr>
        <w:t xml:space="preserve">iempre y cuando no se trate de información reservada o </w:t>
      </w:r>
      <w:r w:rsidR="00331F35" w:rsidRPr="009A6D74">
        <w:rPr>
          <w:rFonts w:eastAsia="Palatino Linotype" w:cs="Palatino Linotype"/>
          <w:szCs w:val="22"/>
        </w:rPr>
        <w:t>confidencial.</w:t>
      </w:r>
    </w:p>
    <w:p w14:paraId="6D7341B1" w14:textId="77777777" w:rsidR="00F74261" w:rsidRPr="009A6D74" w:rsidRDefault="00F74261" w:rsidP="009A6D74">
      <w:pPr>
        <w:ind w:right="-312"/>
        <w:rPr>
          <w:rFonts w:eastAsia="Palatino Linotype" w:cs="Palatino Linotype"/>
          <w:szCs w:val="22"/>
        </w:rPr>
      </w:pPr>
    </w:p>
    <w:p w14:paraId="51A0E8B4" w14:textId="676DCA47" w:rsidR="00664420" w:rsidRPr="009A6D74" w:rsidRDefault="00C71CEF" w:rsidP="009A6D74">
      <w:pPr>
        <w:pStyle w:val="Ttulo3"/>
        <w:ind w:right="-312"/>
        <w:rPr>
          <w:rFonts w:eastAsia="Calibri"/>
          <w:szCs w:val="22"/>
          <w:lang w:eastAsia="es-ES_tradnl"/>
        </w:rPr>
      </w:pPr>
      <w:bookmarkStart w:id="25" w:name="_heading=h.2s8eyo1" w:colFirst="0" w:colLast="0"/>
      <w:bookmarkStart w:id="26" w:name="_Toc172748421"/>
      <w:bookmarkEnd w:id="25"/>
      <w:r w:rsidRPr="009A6D74">
        <w:rPr>
          <w:rFonts w:eastAsia="Calibri"/>
          <w:szCs w:val="22"/>
          <w:lang w:eastAsia="es-ES_tradnl"/>
        </w:rPr>
        <w:t>b)</w:t>
      </w:r>
      <w:r w:rsidR="00A53315" w:rsidRPr="009A6D74">
        <w:rPr>
          <w:rFonts w:eastAsia="Calibri"/>
          <w:szCs w:val="22"/>
          <w:lang w:eastAsia="es-ES_tradnl"/>
        </w:rPr>
        <w:t xml:space="preserve"> </w:t>
      </w:r>
      <w:r w:rsidR="00A21A20" w:rsidRPr="009A6D74">
        <w:rPr>
          <w:rFonts w:eastAsia="Calibri"/>
          <w:szCs w:val="22"/>
          <w:lang w:eastAsia="es-ES_tradnl"/>
        </w:rPr>
        <w:t>Controversia a resolver</w:t>
      </w:r>
      <w:bookmarkEnd w:id="26"/>
    </w:p>
    <w:p w14:paraId="5DAE2A65" w14:textId="382C31A9" w:rsidR="00664420" w:rsidRPr="009A6D74" w:rsidRDefault="00664420" w:rsidP="009A6D74">
      <w:pPr>
        <w:ind w:right="-312"/>
        <w:rPr>
          <w:rFonts w:eastAsia="Calibri"/>
          <w:szCs w:val="22"/>
          <w:lang w:eastAsia="es-ES_tradnl"/>
        </w:rPr>
      </w:pPr>
      <w:r w:rsidRPr="009A6D7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A6D74">
        <w:rPr>
          <w:rFonts w:eastAsia="Calibri"/>
          <w:b/>
          <w:bCs/>
          <w:szCs w:val="22"/>
          <w:lang w:eastAsia="es-ES_tradnl"/>
        </w:rPr>
        <w:t>LA PARTE RECURRENTE</w:t>
      </w:r>
      <w:r w:rsidRPr="009A6D74">
        <w:rPr>
          <w:rFonts w:eastAsia="Calibri"/>
          <w:szCs w:val="22"/>
          <w:lang w:eastAsia="es-ES_tradnl"/>
        </w:rPr>
        <w:t xml:space="preserve"> solicitó lo siguiente:</w:t>
      </w:r>
    </w:p>
    <w:p w14:paraId="645AC9A9" w14:textId="77777777" w:rsidR="0042475F" w:rsidRPr="009A6D74" w:rsidRDefault="0042475F" w:rsidP="009A6D74">
      <w:pPr>
        <w:ind w:right="-312"/>
        <w:rPr>
          <w:rFonts w:cs="Tahoma"/>
          <w:bCs/>
          <w:i/>
          <w:iCs/>
          <w:szCs w:val="22"/>
        </w:rPr>
      </w:pPr>
    </w:p>
    <w:p w14:paraId="58466D4F" w14:textId="0D0F0756" w:rsidR="008C1421" w:rsidRPr="009A6D74" w:rsidRDefault="0042475F" w:rsidP="009A6D74">
      <w:pPr>
        <w:ind w:right="-312"/>
        <w:rPr>
          <w:rFonts w:cs="Tahoma"/>
          <w:bCs/>
          <w:i/>
          <w:iCs/>
          <w:szCs w:val="22"/>
        </w:rPr>
      </w:pPr>
      <w:r w:rsidRPr="009A6D74">
        <w:rPr>
          <w:rFonts w:cs="Tahoma"/>
          <w:bCs/>
          <w:i/>
          <w:iCs/>
          <w:szCs w:val="22"/>
        </w:rPr>
        <w:t>Del 1 de enero a</w:t>
      </w:r>
      <w:r w:rsidR="00B60169" w:rsidRPr="009A6D74">
        <w:rPr>
          <w:rFonts w:cs="Tahoma"/>
          <w:bCs/>
          <w:i/>
          <w:iCs/>
          <w:szCs w:val="22"/>
        </w:rPr>
        <w:t>l 06</w:t>
      </w:r>
      <w:r w:rsidRPr="009A6D74">
        <w:rPr>
          <w:rFonts w:cs="Tahoma"/>
          <w:bCs/>
          <w:i/>
          <w:iCs/>
          <w:szCs w:val="22"/>
        </w:rPr>
        <w:t xml:space="preserve"> de agosto de 2024.</w:t>
      </w:r>
    </w:p>
    <w:p w14:paraId="39805392" w14:textId="77777777" w:rsidR="0042475F" w:rsidRPr="009A6D74" w:rsidRDefault="0042475F" w:rsidP="009A6D74">
      <w:pPr>
        <w:ind w:right="-312"/>
        <w:rPr>
          <w:rFonts w:eastAsia="Calibri"/>
          <w:szCs w:val="22"/>
          <w:lang w:eastAsia="es-ES_tradnl"/>
        </w:rPr>
      </w:pPr>
    </w:p>
    <w:p w14:paraId="7727A429" w14:textId="77777777" w:rsidR="0042475F" w:rsidRPr="009A6D74" w:rsidRDefault="0042475F" w:rsidP="009A6D74">
      <w:pPr>
        <w:pStyle w:val="Prrafodelista"/>
        <w:numPr>
          <w:ilvl w:val="0"/>
          <w:numId w:val="5"/>
        </w:numPr>
        <w:tabs>
          <w:tab w:val="left" w:pos="4962"/>
        </w:tabs>
        <w:ind w:right="-312"/>
        <w:rPr>
          <w:rFonts w:cs="Tahoma"/>
          <w:bCs/>
          <w:i/>
          <w:iCs/>
          <w:szCs w:val="22"/>
        </w:rPr>
      </w:pPr>
      <w:r w:rsidRPr="009A6D74">
        <w:rPr>
          <w:rFonts w:cs="Tahoma"/>
          <w:bCs/>
          <w:i/>
          <w:iCs/>
          <w:szCs w:val="22"/>
        </w:rPr>
        <w:t>D</w:t>
      </w:r>
      <w:r w:rsidR="0008437D" w:rsidRPr="009A6D74">
        <w:rPr>
          <w:rFonts w:cs="Tahoma"/>
          <w:bCs/>
          <w:i/>
          <w:iCs/>
          <w:szCs w:val="22"/>
        </w:rPr>
        <w:t>elitos o violaciones de derechos humanos perpetrados en contra de personas migrantes, solicitantes de asilo y refugiados en el territorio mexicano</w:t>
      </w:r>
      <w:r w:rsidRPr="009A6D74">
        <w:rPr>
          <w:rFonts w:cs="Tahoma"/>
          <w:bCs/>
          <w:i/>
          <w:iCs/>
          <w:szCs w:val="22"/>
        </w:rPr>
        <w:t>.</w:t>
      </w:r>
    </w:p>
    <w:p w14:paraId="3A50FE80" w14:textId="44A7B1A2" w:rsidR="0042475F" w:rsidRPr="009A6D74" w:rsidRDefault="0042475F" w:rsidP="009A6D74">
      <w:pPr>
        <w:pStyle w:val="Prrafodelista"/>
        <w:numPr>
          <w:ilvl w:val="0"/>
          <w:numId w:val="5"/>
        </w:numPr>
        <w:tabs>
          <w:tab w:val="left" w:pos="4962"/>
        </w:tabs>
        <w:ind w:right="-312"/>
        <w:rPr>
          <w:rFonts w:cs="Tahoma"/>
          <w:bCs/>
          <w:i/>
          <w:iCs/>
          <w:szCs w:val="22"/>
        </w:rPr>
      </w:pPr>
      <w:r w:rsidRPr="009A6D74">
        <w:rPr>
          <w:rFonts w:cs="Tahoma"/>
          <w:bCs/>
          <w:i/>
          <w:iCs/>
          <w:szCs w:val="22"/>
        </w:rPr>
        <w:t>I</w:t>
      </w:r>
      <w:r w:rsidR="0008437D" w:rsidRPr="009A6D74">
        <w:rPr>
          <w:rFonts w:cs="Tahoma"/>
          <w:bCs/>
          <w:i/>
          <w:iCs/>
          <w:szCs w:val="22"/>
        </w:rPr>
        <w:t xml:space="preserve">nformación estadística relativa a las víctimas. </w:t>
      </w:r>
    </w:p>
    <w:p w14:paraId="4F8E3FD1" w14:textId="77777777" w:rsidR="0042475F" w:rsidRPr="009A6D74" w:rsidRDefault="0042475F" w:rsidP="009A6D74">
      <w:pPr>
        <w:tabs>
          <w:tab w:val="left" w:pos="4962"/>
        </w:tabs>
        <w:ind w:right="-312"/>
        <w:contextualSpacing/>
        <w:rPr>
          <w:rFonts w:cs="Tahoma"/>
          <w:bCs/>
          <w:i/>
          <w:iCs/>
          <w:szCs w:val="22"/>
        </w:rPr>
      </w:pPr>
    </w:p>
    <w:p w14:paraId="5C4AC800" w14:textId="77777777" w:rsidR="0042475F" w:rsidRPr="009A6D74" w:rsidRDefault="0042475F" w:rsidP="009A6D74">
      <w:pPr>
        <w:tabs>
          <w:tab w:val="left" w:pos="4962"/>
        </w:tabs>
        <w:ind w:right="-312"/>
        <w:contextualSpacing/>
        <w:rPr>
          <w:rFonts w:cs="Tahoma"/>
          <w:bCs/>
          <w:i/>
          <w:iCs/>
          <w:szCs w:val="22"/>
        </w:rPr>
      </w:pPr>
      <w:r w:rsidRPr="009A6D74">
        <w:rPr>
          <w:rFonts w:cs="Tahoma"/>
          <w:bCs/>
          <w:i/>
          <w:iCs/>
          <w:szCs w:val="22"/>
        </w:rPr>
        <w:t>D</w:t>
      </w:r>
      <w:r w:rsidR="0008437D" w:rsidRPr="009A6D74">
        <w:rPr>
          <w:rFonts w:cs="Tahoma"/>
          <w:bCs/>
          <w:i/>
          <w:iCs/>
          <w:szCs w:val="22"/>
        </w:rPr>
        <w:t xml:space="preserve">esglosada y particularizada por tipo de delito o violación a los derechos humanos, lugar donde se registró el incidente (dirección precisa o coordenadas), fecha y hora en la que se registró el incidente, así como raza, identidad de género, etnia, sexo, nacionalidad, discapacidad, </w:t>
      </w:r>
      <w:proofErr w:type="spellStart"/>
      <w:r w:rsidR="0008437D" w:rsidRPr="009A6D74">
        <w:rPr>
          <w:rFonts w:cs="Tahoma"/>
          <w:bCs/>
          <w:i/>
          <w:iCs/>
          <w:szCs w:val="22"/>
        </w:rPr>
        <w:t>pertenenencia</w:t>
      </w:r>
      <w:proofErr w:type="spellEnd"/>
      <w:r w:rsidR="0008437D" w:rsidRPr="009A6D74">
        <w:rPr>
          <w:rFonts w:cs="Tahoma"/>
          <w:bCs/>
          <w:i/>
          <w:iCs/>
          <w:szCs w:val="22"/>
        </w:rPr>
        <w:t xml:space="preserve"> a algún pueblo indígena, situación migratoria, </w:t>
      </w:r>
      <w:proofErr w:type="spellStart"/>
      <w:r w:rsidR="0008437D" w:rsidRPr="009A6D74">
        <w:rPr>
          <w:rFonts w:cs="Tahoma"/>
          <w:bCs/>
          <w:i/>
          <w:iCs/>
          <w:szCs w:val="22"/>
        </w:rPr>
        <w:t>condicion</w:t>
      </w:r>
      <w:proofErr w:type="spellEnd"/>
      <w:r w:rsidR="0008437D" w:rsidRPr="009A6D74">
        <w:rPr>
          <w:rFonts w:cs="Tahoma"/>
          <w:bCs/>
          <w:i/>
          <w:iCs/>
          <w:szCs w:val="22"/>
        </w:rPr>
        <w:t xml:space="preserve"> social y rango de edad de las personas víctimas. </w:t>
      </w:r>
    </w:p>
    <w:p w14:paraId="02AD2F9E" w14:textId="77777777" w:rsidR="0042475F" w:rsidRPr="009A6D74" w:rsidRDefault="0042475F" w:rsidP="009A6D74">
      <w:pPr>
        <w:tabs>
          <w:tab w:val="left" w:pos="4962"/>
        </w:tabs>
        <w:ind w:right="-312"/>
        <w:contextualSpacing/>
        <w:rPr>
          <w:rFonts w:eastAsiaTheme="minorHAnsi" w:cs="Tahoma"/>
          <w:bCs/>
          <w:iCs/>
          <w:szCs w:val="22"/>
          <w:lang w:eastAsia="en-US"/>
        </w:rPr>
      </w:pPr>
    </w:p>
    <w:p w14:paraId="264167C5" w14:textId="7DC63F44" w:rsidR="00D64B5C" w:rsidRPr="009A6D74" w:rsidRDefault="00664420" w:rsidP="009A6D74">
      <w:pPr>
        <w:tabs>
          <w:tab w:val="left" w:pos="4962"/>
        </w:tabs>
        <w:ind w:right="-312"/>
        <w:contextualSpacing/>
        <w:rPr>
          <w:rFonts w:eastAsiaTheme="minorHAnsi" w:cs="Tahoma"/>
          <w:bCs/>
          <w:iCs/>
          <w:szCs w:val="22"/>
          <w:lang w:eastAsia="en-US"/>
        </w:rPr>
      </w:pPr>
      <w:r w:rsidRPr="009A6D74">
        <w:rPr>
          <w:rFonts w:eastAsiaTheme="minorHAnsi" w:cs="Tahoma"/>
          <w:bCs/>
          <w:iCs/>
          <w:szCs w:val="22"/>
          <w:lang w:eastAsia="en-US"/>
        </w:rPr>
        <w:t>En respuesta,</w:t>
      </w:r>
      <w:r w:rsidR="000820ED" w:rsidRPr="009A6D74">
        <w:rPr>
          <w:rFonts w:eastAsiaTheme="minorHAnsi" w:cs="Tahoma"/>
          <w:bCs/>
          <w:iCs/>
          <w:szCs w:val="22"/>
          <w:lang w:eastAsia="en-US"/>
        </w:rPr>
        <w:t xml:space="preserve"> conforme a las constancias que obran en</w:t>
      </w:r>
      <w:r w:rsidR="00837517" w:rsidRPr="009A6D74">
        <w:rPr>
          <w:rFonts w:eastAsiaTheme="minorHAnsi" w:cs="Tahoma"/>
          <w:bCs/>
          <w:iCs/>
          <w:szCs w:val="22"/>
          <w:lang w:eastAsia="en-US"/>
        </w:rPr>
        <w:t xml:space="preserve"> el</w:t>
      </w:r>
      <w:r w:rsidR="000820ED" w:rsidRPr="009A6D74">
        <w:rPr>
          <w:rFonts w:eastAsiaTheme="minorHAnsi" w:cs="Tahoma"/>
          <w:bCs/>
          <w:iCs/>
          <w:szCs w:val="22"/>
          <w:lang w:eastAsia="en-US"/>
        </w:rPr>
        <w:t xml:space="preserve"> SAIMEX,</w:t>
      </w:r>
      <w:r w:rsidRPr="009A6D74">
        <w:rPr>
          <w:rFonts w:eastAsiaTheme="minorHAnsi" w:cs="Tahoma"/>
          <w:bCs/>
          <w:iCs/>
          <w:szCs w:val="22"/>
          <w:lang w:eastAsia="en-US"/>
        </w:rPr>
        <w:t xml:space="preserve"> </w:t>
      </w:r>
      <w:r w:rsidR="005D5A50" w:rsidRPr="009A6D74">
        <w:rPr>
          <w:rFonts w:eastAsiaTheme="minorHAnsi" w:cs="Tahoma"/>
          <w:b/>
          <w:iCs/>
          <w:szCs w:val="22"/>
          <w:lang w:eastAsia="en-US"/>
        </w:rPr>
        <w:t>EL SUJETO OBLIGADO</w:t>
      </w:r>
      <w:r w:rsidRPr="009A6D74">
        <w:rPr>
          <w:rFonts w:eastAsiaTheme="minorHAnsi" w:cs="Tahoma"/>
          <w:bCs/>
          <w:iCs/>
          <w:szCs w:val="22"/>
          <w:lang w:eastAsia="en-US"/>
        </w:rPr>
        <w:t xml:space="preserve"> se pronunció </w:t>
      </w:r>
      <w:r w:rsidR="000820ED" w:rsidRPr="009A6D74">
        <w:rPr>
          <w:rFonts w:eastAsiaTheme="minorHAnsi" w:cs="Tahoma"/>
          <w:bCs/>
          <w:iCs/>
          <w:szCs w:val="22"/>
          <w:lang w:eastAsia="en-US"/>
        </w:rPr>
        <w:t>a través de</w:t>
      </w:r>
      <w:r w:rsidR="005C4788" w:rsidRPr="009A6D74">
        <w:rPr>
          <w:rFonts w:eastAsiaTheme="minorHAnsi" w:cs="Tahoma"/>
          <w:bCs/>
          <w:iCs/>
          <w:szCs w:val="22"/>
          <w:lang w:eastAsia="en-US"/>
        </w:rPr>
        <w:t xml:space="preserve"> la Servidora Pública Habilitada de la Dirección General de Derechos Humanos e Igualdad de Género</w:t>
      </w:r>
      <w:r w:rsidR="002460B8" w:rsidRPr="009A6D74">
        <w:rPr>
          <w:rFonts w:eastAsiaTheme="minorHAnsi" w:cs="Tahoma"/>
          <w:bCs/>
          <w:iCs/>
          <w:szCs w:val="22"/>
          <w:lang w:eastAsia="en-US"/>
        </w:rPr>
        <w:t xml:space="preserve">, </w:t>
      </w:r>
      <w:r w:rsidR="000820ED" w:rsidRPr="009A6D74">
        <w:rPr>
          <w:rFonts w:eastAsiaTheme="minorHAnsi" w:cs="Tahoma"/>
          <w:bCs/>
          <w:iCs/>
          <w:szCs w:val="22"/>
          <w:lang w:eastAsia="en-US"/>
        </w:rPr>
        <w:t>quién</w:t>
      </w:r>
      <w:r w:rsidR="00D64B5C" w:rsidRPr="009A6D74">
        <w:rPr>
          <w:rFonts w:eastAsiaTheme="minorHAnsi" w:cs="Tahoma"/>
          <w:bCs/>
          <w:iCs/>
          <w:szCs w:val="22"/>
          <w:lang w:eastAsia="en-US"/>
        </w:rPr>
        <w:t xml:space="preserve"> refiri</w:t>
      </w:r>
      <w:r w:rsidR="000820ED" w:rsidRPr="009A6D74">
        <w:rPr>
          <w:rFonts w:eastAsiaTheme="minorHAnsi" w:cs="Tahoma"/>
          <w:bCs/>
          <w:iCs/>
          <w:szCs w:val="22"/>
          <w:lang w:eastAsia="en-US"/>
        </w:rPr>
        <w:t>ó</w:t>
      </w:r>
      <w:r w:rsidR="00D64B5C" w:rsidRPr="009A6D74">
        <w:rPr>
          <w:rFonts w:eastAsiaTheme="minorHAnsi" w:cs="Tahoma"/>
          <w:bCs/>
          <w:iCs/>
          <w:szCs w:val="22"/>
          <w:lang w:eastAsia="en-US"/>
        </w:rPr>
        <w:t xml:space="preserve"> </w:t>
      </w:r>
      <w:r w:rsidR="00802F6F" w:rsidRPr="009A6D74">
        <w:rPr>
          <w:rFonts w:eastAsiaTheme="minorHAnsi" w:cs="Tahoma"/>
          <w:bCs/>
          <w:iCs/>
          <w:szCs w:val="22"/>
          <w:lang w:eastAsia="en-US"/>
        </w:rPr>
        <w:t xml:space="preserve">que </w:t>
      </w:r>
      <w:r w:rsidR="005C4788" w:rsidRPr="009A6D74">
        <w:rPr>
          <w:rFonts w:eastAsiaTheme="minorHAnsi" w:cs="Tahoma"/>
          <w:bCs/>
          <w:iCs/>
          <w:szCs w:val="22"/>
          <w:lang w:eastAsia="en-US"/>
        </w:rPr>
        <w:t>se hizo una búsqueda en los archivos de esta Dirección General, no encontrándose información alguna relacionada con la petición en comento</w:t>
      </w:r>
      <w:r w:rsidR="00802F6F" w:rsidRPr="009A6D74">
        <w:rPr>
          <w:rFonts w:eastAsiaTheme="minorHAnsi" w:cs="Tahoma"/>
          <w:bCs/>
          <w:iCs/>
          <w:szCs w:val="22"/>
          <w:lang w:eastAsia="en-US"/>
        </w:rPr>
        <w:t xml:space="preserve"> y l</w:t>
      </w:r>
      <w:r w:rsidR="005C4788" w:rsidRPr="009A6D74">
        <w:rPr>
          <w:rFonts w:eastAsiaTheme="minorHAnsi" w:cs="Tahoma"/>
          <w:bCs/>
          <w:iCs/>
          <w:szCs w:val="22"/>
          <w:lang w:eastAsia="en-US"/>
        </w:rPr>
        <w:t>a orientó para que presentara su solicitud en la Secretaría de Gobernación</w:t>
      </w:r>
      <w:r w:rsidR="00174BAE" w:rsidRPr="009A6D74">
        <w:rPr>
          <w:rFonts w:eastAsiaTheme="minorHAnsi" w:cs="Tahoma"/>
          <w:bCs/>
          <w:iCs/>
          <w:szCs w:val="22"/>
          <w:lang w:eastAsia="en-US"/>
        </w:rPr>
        <w:t>.</w:t>
      </w:r>
      <w:r w:rsidR="005C4788" w:rsidRPr="009A6D74">
        <w:rPr>
          <w:rFonts w:eastAsiaTheme="minorHAnsi" w:cs="Tahoma"/>
          <w:bCs/>
          <w:iCs/>
          <w:szCs w:val="22"/>
          <w:lang w:eastAsia="en-US"/>
        </w:rPr>
        <w:t xml:space="preserve">   </w:t>
      </w:r>
    </w:p>
    <w:p w14:paraId="34D1D374" w14:textId="77777777" w:rsidR="00C61BE3" w:rsidRPr="009A6D74" w:rsidRDefault="00C61BE3" w:rsidP="009A6D74">
      <w:pPr>
        <w:tabs>
          <w:tab w:val="left" w:pos="4962"/>
        </w:tabs>
        <w:ind w:right="-312"/>
        <w:contextualSpacing/>
        <w:rPr>
          <w:rFonts w:eastAsiaTheme="minorHAnsi" w:cs="Tahoma"/>
          <w:bCs/>
          <w:iCs/>
          <w:szCs w:val="22"/>
          <w:lang w:eastAsia="en-US"/>
        </w:rPr>
      </w:pPr>
    </w:p>
    <w:p w14:paraId="31DD81D7" w14:textId="5A71AF81" w:rsidR="00664420" w:rsidRPr="009A6D74" w:rsidRDefault="00CF7586" w:rsidP="009A6D74">
      <w:pPr>
        <w:tabs>
          <w:tab w:val="left" w:pos="4962"/>
        </w:tabs>
        <w:ind w:right="-312"/>
        <w:contextualSpacing/>
        <w:rPr>
          <w:rFonts w:eastAsiaTheme="minorHAnsi" w:cs="Tahoma"/>
          <w:bCs/>
          <w:iCs/>
          <w:szCs w:val="22"/>
          <w:lang w:eastAsia="en-US"/>
        </w:rPr>
      </w:pPr>
      <w:r w:rsidRPr="009A6D74">
        <w:rPr>
          <w:rFonts w:eastAsiaTheme="minorHAnsi" w:cs="Tahoma"/>
          <w:bCs/>
          <w:iCs/>
          <w:szCs w:val="22"/>
          <w:lang w:eastAsia="en-US"/>
        </w:rPr>
        <w:t xml:space="preserve">Ahora bien, en la interposición del presente recurso </w:t>
      </w:r>
      <w:r w:rsidRPr="009A6D74">
        <w:rPr>
          <w:rFonts w:eastAsiaTheme="minorHAnsi" w:cs="Tahoma"/>
          <w:b/>
          <w:iCs/>
          <w:szCs w:val="22"/>
          <w:lang w:eastAsia="en-US"/>
        </w:rPr>
        <w:t>LA PARTE RECURRENTE</w:t>
      </w:r>
      <w:r w:rsidR="00664420" w:rsidRPr="009A6D74">
        <w:rPr>
          <w:rFonts w:eastAsiaTheme="minorHAnsi" w:cs="Tahoma"/>
          <w:bCs/>
          <w:iCs/>
          <w:szCs w:val="22"/>
          <w:lang w:eastAsia="en-US"/>
        </w:rPr>
        <w:t xml:space="preserve"> se inconformó </w:t>
      </w:r>
      <w:r w:rsidR="005C4788" w:rsidRPr="009A6D74">
        <w:rPr>
          <w:rFonts w:eastAsiaTheme="minorHAnsi" w:cs="Tahoma"/>
          <w:bCs/>
          <w:iCs/>
          <w:szCs w:val="22"/>
          <w:lang w:eastAsia="en-US"/>
        </w:rPr>
        <w:t>respecto de la declaratoria de inexistencia de la información.</w:t>
      </w:r>
    </w:p>
    <w:p w14:paraId="570E4E2F" w14:textId="77777777" w:rsidR="00BC67B0" w:rsidRPr="009A6D74" w:rsidRDefault="00BC67B0" w:rsidP="009A6D74">
      <w:pPr>
        <w:tabs>
          <w:tab w:val="left" w:pos="4962"/>
        </w:tabs>
        <w:ind w:right="-312"/>
        <w:contextualSpacing/>
        <w:rPr>
          <w:rFonts w:eastAsiaTheme="minorHAnsi" w:cs="Tahoma"/>
          <w:bCs/>
          <w:iCs/>
          <w:szCs w:val="22"/>
          <w:lang w:eastAsia="en-US"/>
        </w:rPr>
      </w:pPr>
    </w:p>
    <w:p w14:paraId="2C7A9299" w14:textId="169E4F55" w:rsidR="00BC67B0" w:rsidRPr="009A6D74" w:rsidRDefault="00BC67B0" w:rsidP="009A6D74">
      <w:pPr>
        <w:tabs>
          <w:tab w:val="left" w:pos="4962"/>
        </w:tabs>
        <w:ind w:right="-312"/>
        <w:rPr>
          <w:lang w:val="es-ES"/>
        </w:rPr>
      </w:pPr>
      <w:r w:rsidRPr="009A6D74">
        <w:rPr>
          <w:lang w:val="es-ES"/>
        </w:rPr>
        <w:t xml:space="preserve">Abierta la etapa de instrucción, </w:t>
      </w:r>
      <w:r w:rsidRPr="009A6D74">
        <w:rPr>
          <w:b/>
          <w:lang w:val="es-ES"/>
        </w:rPr>
        <w:t>EL SUJETO OBLIGADO</w:t>
      </w:r>
      <w:r w:rsidRPr="009A6D74">
        <w:rPr>
          <w:lang w:val="es-ES"/>
        </w:rPr>
        <w:t xml:space="preserve"> </w:t>
      </w:r>
      <w:r w:rsidR="005C4788" w:rsidRPr="009A6D74">
        <w:rPr>
          <w:lang w:val="es-ES"/>
        </w:rPr>
        <w:t xml:space="preserve">no </w:t>
      </w:r>
      <w:r w:rsidRPr="009A6D74">
        <w:rPr>
          <w:lang w:val="es-ES"/>
        </w:rPr>
        <w:t>rindió su Informe Justificado</w:t>
      </w:r>
      <w:r w:rsidR="00227FB3" w:rsidRPr="009A6D74">
        <w:rPr>
          <w:lang w:val="es-ES"/>
        </w:rPr>
        <w:t xml:space="preserve">; </w:t>
      </w:r>
      <w:r w:rsidRPr="009A6D74">
        <w:rPr>
          <w:lang w:val="es-ES"/>
        </w:rPr>
        <w:t>así como la parte recurrente</w:t>
      </w:r>
      <w:r w:rsidR="0094710D" w:rsidRPr="009A6D74">
        <w:rPr>
          <w:lang w:val="es-ES"/>
        </w:rPr>
        <w:t xml:space="preserve"> </w:t>
      </w:r>
      <w:r w:rsidR="00174BAE" w:rsidRPr="009A6D74">
        <w:rPr>
          <w:lang w:val="es-ES"/>
        </w:rPr>
        <w:t xml:space="preserve">no </w:t>
      </w:r>
      <w:r w:rsidRPr="009A6D74">
        <w:rPr>
          <w:lang w:val="es-ES"/>
        </w:rPr>
        <w:t xml:space="preserve">realizó las manifestaciones que a su derecho </w:t>
      </w:r>
      <w:r w:rsidR="00FF1BB7" w:rsidRPr="009A6D74">
        <w:rPr>
          <w:lang w:val="es-ES"/>
        </w:rPr>
        <w:t>conviniera</w:t>
      </w:r>
      <w:r w:rsidR="0094710D" w:rsidRPr="009A6D74">
        <w:rPr>
          <w:lang w:val="es-ES"/>
        </w:rPr>
        <w:t>.</w:t>
      </w:r>
    </w:p>
    <w:p w14:paraId="3E7B17AC" w14:textId="77777777" w:rsidR="0094710D" w:rsidRPr="009A6D74" w:rsidRDefault="0094710D" w:rsidP="009A6D74">
      <w:pPr>
        <w:tabs>
          <w:tab w:val="left" w:pos="4962"/>
        </w:tabs>
        <w:ind w:right="-312"/>
        <w:rPr>
          <w:lang w:val="es-ES"/>
        </w:rPr>
      </w:pPr>
    </w:p>
    <w:p w14:paraId="1435A67C" w14:textId="205AC48F" w:rsidR="001C1AE4" w:rsidRPr="009A6D74" w:rsidRDefault="001C1AE4" w:rsidP="009A6D74">
      <w:pPr>
        <w:ind w:right="-312"/>
        <w:rPr>
          <w:rFonts w:eastAsia="Palatino Linotype" w:cs="Palatino Linotype"/>
          <w:szCs w:val="22"/>
        </w:rPr>
      </w:pPr>
      <w:r w:rsidRPr="009A6D74">
        <w:rPr>
          <w:rFonts w:eastAsia="Palatino Linotype" w:cs="Palatino Linotype"/>
          <w:szCs w:val="22"/>
        </w:rPr>
        <w:t xml:space="preserve">Bajo las premisas anteriores, se concluye que la controversia a dilucidar en el presente medio de impugnación será </w:t>
      </w:r>
      <w:r w:rsidR="00EE1B1C" w:rsidRPr="009A6D74">
        <w:rPr>
          <w:rFonts w:eastAsia="Palatino Linotype" w:cs="Palatino Linotype"/>
          <w:b/>
        </w:rPr>
        <w:t xml:space="preserve">verificar si la </w:t>
      </w:r>
      <w:r w:rsidR="002B3577" w:rsidRPr="009A6D74">
        <w:rPr>
          <w:rFonts w:eastAsia="Palatino Linotype" w:cs="Palatino Linotype"/>
          <w:b/>
        </w:rPr>
        <w:t xml:space="preserve">información proporcionada en </w:t>
      </w:r>
      <w:r w:rsidR="00EE1B1C" w:rsidRPr="009A6D74">
        <w:rPr>
          <w:rFonts w:eastAsia="Palatino Linotype" w:cs="Palatino Linotype"/>
          <w:b/>
        </w:rPr>
        <w:t xml:space="preserve">respuesta </w:t>
      </w:r>
      <w:r w:rsidR="005C4788" w:rsidRPr="009A6D74">
        <w:rPr>
          <w:rFonts w:eastAsia="Palatino Linotype" w:cs="Palatino Linotype"/>
          <w:b/>
        </w:rPr>
        <w:t>por EL</w:t>
      </w:r>
      <w:r w:rsidR="002B3577" w:rsidRPr="009A6D74">
        <w:rPr>
          <w:rFonts w:eastAsia="Palatino Linotype" w:cs="Palatino Linotype"/>
          <w:b/>
        </w:rPr>
        <w:t xml:space="preserve"> SUJETO OBLIGADO </w:t>
      </w:r>
      <w:r w:rsidR="00EE1B1C" w:rsidRPr="009A6D74">
        <w:rPr>
          <w:rFonts w:eastAsia="Palatino Linotype" w:cs="Palatino Linotype"/>
          <w:b/>
        </w:rPr>
        <w:t xml:space="preserve">es adecuada y suficiente para satisfacer el derecho de acceso a la información pública </w:t>
      </w:r>
      <w:r w:rsidR="00EE1B1C" w:rsidRPr="009A6D74">
        <w:rPr>
          <w:rFonts w:eastAsia="Palatino Linotype" w:cs="Palatino Linotype"/>
        </w:rPr>
        <w:t xml:space="preserve">de </w:t>
      </w:r>
      <w:r w:rsidR="002B3577" w:rsidRPr="009A6D74">
        <w:rPr>
          <w:rFonts w:eastAsia="Palatino Linotype" w:cs="Palatino Linotype"/>
          <w:b/>
        </w:rPr>
        <w:t>LA PARTE RECURRENTE</w:t>
      </w:r>
      <w:r w:rsidRPr="009A6D74">
        <w:rPr>
          <w:rFonts w:eastAsia="Palatino Linotype" w:cs="Palatino Linotype"/>
          <w:szCs w:val="22"/>
        </w:rPr>
        <w:t>.</w:t>
      </w:r>
    </w:p>
    <w:p w14:paraId="2B9C19AB" w14:textId="77777777" w:rsidR="00EE1B1C" w:rsidRPr="009A6D74" w:rsidRDefault="00EE1B1C" w:rsidP="009A6D74">
      <w:pPr>
        <w:ind w:right="-312"/>
        <w:rPr>
          <w:rFonts w:eastAsia="Palatino Linotype" w:cs="Palatino Linotype"/>
          <w:szCs w:val="22"/>
        </w:rPr>
      </w:pPr>
    </w:p>
    <w:p w14:paraId="414FD2D5" w14:textId="4408E416" w:rsidR="00664420" w:rsidRPr="009A6D74" w:rsidRDefault="00A21A20" w:rsidP="009A6D74">
      <w:pPr>
        <w:pStyle w:val="Ttulo3"/>
        <w:ind w:right="-312"/>
        <w:rPr>
          <w:szCs w:val="22"/>
        </w:rPr>
      </w:pPr>
      <w:bookmarkStart w:id="27" w:name="_Toc172748422"/>
      <w:r w:rsidRPr="009A6D74">
        <w:rPr>
          <w:szCs w:val="22"/>
        </w:rPr>
        <w:lastRenderedPageBreak/>
        <w:t>c)</w:t>
      </w:r>
      <w:r w:rsidR="00664420" w:rsidRPr="009A6D74">
        <w:rPr>
          <w:szCs w:val="22"/>
        </w:rPr>
        <w:t xml:space="preserve"> </w:t>
      </w:r>
      <w:r w:rsidRPr="009A6D74">
        <w:rPr>
          <w:szCs w:val="22"/>
        </w:rPr>
        <w:t>Estudio de la controversia</w:t>
      </w:r>
      <w:bookmarkEnd w:id="27"/>
    </w:p>
    <w:p w14:paraId="658E5A14" w14:textId="77777777" w:rsidR="00062A1F" w:rsidRPr="009A6D74" w:rsidRDefault="00062A1F" w:rsidP="009A6D74">
      <w:pPr>
        <w:ind w:right="-93"/>
        <w:rPr>
          <w:rFonts w:eastAsia="Palatino Linotype" w:cs="Palatino Linotype"/>
          <w:lang w:val="es-ES"/>
        </w:rPr>
      </w:pPr>
      <w:r w:rsidRPr="009A6D74">
        <w:rPr>
          <w:rFonts w:eastAsia="Palatino Linotype" w:cs="Palatino Linotype"/>
          <w:lang w:val="es-ES"/>
        </w:rPr>
        <w:t>En primer término, se señala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122A807" w14:textId="77777777" w:rsidR="00062A1F" w:rsidRPr="009A6D74" w:rsidRDefault="00062A1F" w:rsidP="009A6D74">
      <w:pPr>
        <w:ind w:right="-93"/>
        <w:rPr>
          <w:rFonts w:eastAsia="Palatino Linotype" w:cs="Palatino Linotype"/>
          <w:lang w:val="es-ES"/>
        </w:rPr>
      </w:pPr>
    </w:p>
    <w:p w14:paraId="4994EA8F" w14:textId="77777777" w:rsidR="00062A1F" w:rsidRPr="009A6D74" w:rsidRDefault="00062A1F" w:rsidP="009A6D74">
      <w:pPr>
        <w:numPr>
          <w:ilvl w:val="0"/>
          <w:numId w:val="6"/>
        </w:numPr>
        <w:ind w:right="-93"/>
        <w:rPr>
          <w:rFonts w:eastAsia="Palatino Linotype" w:cs="Palatino Linotype"/>
          <w:lang w:val="es-ES"/>
        </w:rPr>
      </w:pPr>
      <w:r w:rsidRPr="009A6D74">
        <w:rPr>
          <w:rFonts w:eastAsia="Palatino Linotype" w:cs="Palatino Linotype"/>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70F75DDE" w14:textId="77777777" w:rsidR="00062A1F" w:rsidRPr="009A6D74" w:rsidRDefault="00062A1F" w:rsidP="009A6D74">
      <w:pPr>
        <w:ind w:left="720" w:right="-93"/>
        <w:rPr>
          <w:rFonts w:eastAsia="Palatino Linotype" w:cs="Palatino Linotype"/>
          <w:lang w:val="es-ES"/>
        </w:rPr>
      </w:pPr>
    </w:p>
    <w:p w14:paraId="5CD8F965" w14:textId="77777777" w:rsidR="00062A1F" w:rsidRPr="009A6D74" w:rsidRDefault="00062A1F" w:rsidP="009A6D74">
      <w:pPr>
        <w:numPr>
          <w:ilvl w:val="0"/>
          <w:numId w:val="6"/>
        </w:numPr>
        <w:ind w:right="-93"/>
        <w:rPr>
          <w:rFonts w:eastAsia="Palatino Linotype" w:cs="Palatino Linotype"/>
          <w:lang w:val="es-ES"/>
        </w:rPr>
      </w:pPr>
      <w:r w:rsidRPr="009A6D74">
        <w:rPr>
          <w:rFonts w:eastAsia="Palatino Linotype" w:cs="Palatino Linotype"/>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0AE47954" w14:textId="77777777" w:rsidR="00062A1F" w:rsidRPr="009A6D74" w:rsidRDefault="00062A1F" w:rsidP="009A6D74">
      <w:pPr>
        <w:pStyle w:val="Prrafodelista"/>
        <w:rPr>
          <w:rFonts w:eastAsia="Palatino Linotype" w:cs="Palatino Linotype"/>
          <w:lang w:val="es-ES"/>
        </w:rPr>
      </w:pPr>
    </w:p>
    <w:p w14:paraId="7A0F32A0" w14:textId="3C56118F" w:rsidR="00062A1F" w:rsidRPr="009A6D74" w:rsidRDefault="00062A1F" w:rsidP="009A6D74">
      <w:pPr>
        <w:rPr>
          <w:rFonts w:eastAsia="Palatino Linotype" w:cs="Palatino Linotype"/>
        </w:rPr>
      </w:pPr>
      <w:r w:rsidRPr="009A6D74">
        <w:rPr>
          <w:rFonts w:eastAsia="Palatino Linotype" w:cs="Palatino Linotype"/>
        </w:rPr>
        <w:t>Así las cosas, no obsta mencionar que de las constancias que obran en el expediente en el que se actúa, se advierte que, en observancia de lo previsto en los artículos 53</w:t>
      </w:r>
      <w:r w:rsidRPr="009A6D74">
        <w:rPr>
          <w:rFonts w:eastAsia="Palatino Linotype" w:cs="Palatino Linotype"/>
          <w:vertAlign w:val="superscript"/>
        </w:rPr>
        <w:footnoteReference w:id="1"/>
      </w:r>
      <w:r w:rsidRPr="009A6D74">
        <w:rPr>
          <w:rFonts w:eastAsia="Palatino Linotype" w:cs="Palatino Linotype"/>
        </w:rPr>
        <w:t xml:space="preserve"> fracciones II y IV y  162</w:t>
      </w:r>
      <w:r w:rsidRPr="009A6D74">
        <w:rPr>
          <w:rFonts w:eastAsia="Palatino Linotype" w:cs="Palatino Linotype"/>
          <w:vertAlign w:val="superscript"/>
        </w:rPr>
        <w:footnoteReference w:id="2"/>
      </w:r>
      <w:r w:rsidRPr="009A6D74">
        <w:rPr>
          <w:rFonts w:eastAsia="Palatino Linotype" w:cs="Palatino Linotype"/>
        </w:rPr>
        <w:t xml:space="preserve"> de la Ley de la Materia, la Unidad de Transparencia turnó la </w:t>
      </w:r>
      <w:r w:rsidRPr="009A6D74">
        <w:rPr>
          <w:rFonts w:eastAsia="Palatino Linotype" w:cs="Palatino Linotype"/>
        </w:rPr>
        <w:lastRenderedPageBreak/>
        <w:t xml:space="preserve">solicitud al área que, de acuerdo con sus facultades, competencias y funciones, pudieran contar con la información materia de misma, esto es a la </w:t>
      </w:r>
      <w:r w:rsidRPr="009A6D74">
        <w:rPr>
          <w:rFonts w:eastAsia="Palatino Linotype" w:cs="Palatino Linotype"/>
          <w:b/>
        </w:rPr>
        <w:t>Dirección General de Derechos Humanos e Igualdad de Género</w:t>
      </w:r>
      <w:r w:rsidRPr="009A6D74">
        <w:rPr>
          <w:rFonts w:eastAsia="Palatino Linotype" w:cs="Palatino Linotype"/>
        </w:rPr>
        <w:t>, que de conformidad con el Manual de Organización, tiene conferidas en su parte conducente</w:t>
      </w:r>
      <w:r w:rsidR="006A0FA7" w:rsidRPr="009A6D74">
        <w:rPr>
          <w:rFonts w:eastAsia="Palatino Linotype" w:cs="Palatino Linotype"/>
        </w:rPr>
        <w:t xml:space="preserve"> las atribuciones siguiente</w:t>
      </w:r>
      <w:r w:rsidRPr="009A6D74">
        <w:rPr>
          <w:rFonts w:eastAsia="Palatino Linotype" w:cs="Palatino Linotype"/>
        </w:rPr>
        <w:t xml:space="preserve">: </w:t>
      </w:r>
    </w:p>
    <w:p w14:paraId="34161D49" w14:textId="77777777" w:rsidR="00062A1F" w:rsidRPr="009A6D74" w:rsidRDefault="00062A1F" w:rsidP="009A6D74">
      <w:pPr>
        <w:rPr>
          <w:rFonts w:eastAsia="Palatino Linotype" w:cs="Palatino Linotype"/>
        </w:rPr>
      </w:pPr>
    </w:p>
    <w:p w14:paraId="28FC485B" w14:textId="77777777" w:rsidR="006A0FA7" w:rsidRPr="009A6D74" w:rsidRDefault="00062A1F" w:rsidP="009A6D74">
      <w:pPr>
        <w:spacing w:line="240" w:lineRule="auto"/>
        <w:ind w:left="567" w:right="539"/>
        <w:rPr>
          <w:rFonts w:eastAsia="Palatino Linotype" w:cs="Palatino Linotype"/>
          <w:i/>
        </w:rPr>
      </w:pPr>
      <w:r w:rsidRPr="009A6D74">
        <w:rPr>
          <w:rFonts w:eastAsia="Palatino Linotype" w:cs="Palatino Linotype"/>
          <w:b/>
          <w:i/>
          <w:szCs w:val="22"/>
        </w:rPr>
        <w:t xml:space="preserve"> </w:t>
      </w:r>
      <w:r w:rsidRPr="009A6D74">
        <w:rPr>
          <w:rFonts w:eastAsia="Palatino Linotype" w:cs="Palatino Linotype"/>
          <w:i/>
        </w:rPr>
        <w:t>“</w:t>
      </w:r>
      <w:r w:rsidR="006A0FA7" w:rsidRPr="009A6D74">
        <w:rPr>
          <w:rFonts w:eastAsia="Palatino Linotype" w:cs="Palatino Linotype"/>
          <w:b/>
          <w:i/>
        </w:rPr>
        <w:t>Artículo 15.</w:t>
      </w:r>
      <w:r w:rsidR="006A0FA7" w:rsidRPr="009A6D74">
        <w:rPr>
          <w:rFonts w:eastAsia="Palatino Linotype" w:cs="Palatino Linotype"/>
          <w:i/>
        </w:rPr>
        <w:t xml:space="preserve"> Corresponden a la Dirección General de Derechos Humanos e Igualdad de Género, las atribuciones siguientes:</w:t>
      </w:r>
    </w:p>
    <w:p w14:paraId="717090AA" w14:textId="77777777" w:rsidR="006A0FA7" w:rsidRPr="009A6D74" w:rsidRDefault="006A0FA7" w:rsidP="009A6D74">
      <w:pPr>
        <w:spacing w:line="240" w:lineRule="auto"/>
        <w:ind w:left="567" w:right="539"/>
        <w:rPr>
          <w:rFonts w:eastAsia="Palatino Linotype" w:cs="Palatino Linotype"/>
          <w:i/>
        </w:rPr>
      </w:pPr>
    </w:p>
    <w:p w14:paraId="066AC026"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Asesorar y orientar a las dependencias y organismos auxiliares del Poder Ejecutivo, así como las autoridades municipales, en materia de derechos humanos y en lo referente a las recomendaciones emitidas por órganos internacionales, nacionales y estatales no jurisdiccionales de derechos humanos;</w:t>
      </w:r>
    </w:p>
    <w:p w14:paraId="485A24FB"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Coadyuvar con autoridades, dependencias, organismos auxiliares u organismos constitucionales autónomos del Estado de México, para la atención y solución de conflictos en materia de derechos humanos;</w:t>
      </w:r>
    </w:p>
    <w:p w14:paraId="45498D58"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Proponer a la persona que sea su superior jerárquico el trámite de las solicitudes de indulto;</w:t>
      </w:r>
    </w:p>
    <w:p w14:paraId="31C052D8"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Proponer a la persona que sea su superior jerárquico políticas públicas, planes y programas orientados a promover el reconocimiento, defensa, protección y respeto a los derechos humanos al interior de las dependencias del Poder Ejecutivo;</w:t>
      </w:r>
    </w:p>
    <w:p w14:paraId="3A36F532"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Apoyar a la persona que sea su superior jerárquico, en la articulación de políticas públicas y en la implementación de medidas correctivas y preventivas en materia de derechos humanos;</w:t>
      </w:r>
    </w:p>
    <w:p w14:paraId="69695900"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Promover y fortalecer la política de igualdad entre hombres y mujeres, la igualdad laboral y la no discriminación al interior de la Consejería;</w:t>
      </w:r>
    </w:p>
    <w:p w14:paraId="09884D0A"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Formar parte del Mecanismo de Seguimiento y Evaluación del Programa de Derechos Humanos del Estado de México;</w:t>
      </w:r>
    </w:p>
    <w:p w14:paraId="4D002BA9"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Instrumentar las acciones necesarias para dar cumplimiento a lo establecido en la Ley de Acceso de las Mujeres a una Vida Libre de Violencia y en la Ley de Igualdad de Trato y Oportunidades entre Mujeres y Hombres, ambas del Estado de México y demás disposiciones relativas;</w:t>
      </w:r>
    </w:p>
    <w:p w14:paraId="1A97C09F"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lastRenderedPageBreak/>
        <w:t>Supervisar el seguimiento de los documentos emitidos por la Comisión Nacional de Derechos Humanos, la Comisión de Derechos Humanos del Estado de México y de los órganos internacionales en la materia, para su atención y cumplimiento;</w:t>
      </w:r>
    </w:p>
    <w:p w14:paraId="4AC55F84" w14:textId="77777777" w:rsidR="006A0FA7" w:rsidRPr="009A6D74" w:rsidRDefault="006A0FA7" w:rsidP="009A6D74">
      <w:pPr>
        <w:pStyle w:val="Prrafodelista"/>
        <w:numPr>
          <w:ilvl w:val="0"/>
          <w:numId w:val="7"/>
        </w:numPr>
        <w:spacing w:after="120" w:line="240" w:lineRule="auto"/>
        <w:ind w:left="567" w:right="539" w:firstLine="0"/>
        <w:contextualSpacing w:val="0"/>
        <w:rPr>
          <w:rFonts w:eastAsia="Palatino Linotype" w:cs="Palatino Linotype"/>
          <w:i/>
        </w:rPr>
      </w:pPr>
      <w:r w:rsidRPr="009A6D74">
        <w:rPr>
          <w:rFonts w:eastAsia="Palatino Linotype" w:cs="Palatino Linotype"/>
          <w:i/>
        </w:rPr>
        <w:t>Coordinar, previo acuerdo con la persona que sea su superior jerárquico, la implementación de cursos y talleres en las diferentes dependencias, con la finalidad de promover el reconocimiento, defensa, protección y respeto a los derechos humanos e igualdad de género, y</w:t>
      </w:r>
    </w:p>
    <w:p w14:paraId="1B1ACAEF" w14:textId="3A83A671" w:rsidR="00062A1F" w:rsidRPr="009A6D74" w:rsidRDefault="006A0FA7" w:rsidP="009A6D74">
      <w:pPr>
        <w:pStyle w:val="Prrafodelista"/>
        <w:numPr>
          <w:ilvl w:val="0"/>
          <w:numId w:val="7"/>
        </w:numPr>
        <w:spacing w:line="240" w:lineRule="auto"/>
        <w:ind w:left="567" w:right="539" w:firstLine="0"/>
        <w:contextualSpacing w:val="0"/>
        <w:rPr>
          <w:rFonts w:eastAsia="Palatino Linotype" w:cs="Palatino Linotype"/>
          <w:i/>
        </w:rPr>
      </w:pPr>
      <w:r w:rsidRPr="009A6D74">
        <w:rPr>
          <w:rFonts w:eastAsia="Palatino Linotype" w:cs="Palatino Linotype"/>
          <w:i/>
        </w:rPr>
        <w:t xml:space="preserve">Las demás que señalen las disposiciones jurídicas aplicables y las que le encomiende la persona titular de la Consejería o de la </w:t>
      </w:r>
      <w:proofErr w:type="spellStart"/>
      <w:r w:rsidRPr="009A6D74">
        <w:rPr>
          <w:rFonts w:eastAsia="Palatino Linotype" w:cs="Palatino Linotype"/>
          <w:i/>
        </w:rPr>
        <w:t>Subconsejería</w:t>
      </w:r>
      <w:proofErr w:type="spellEnd"/>
      <w:r w:rsidRPr="009A6D74">
        <w:rPr>
          <w:rFonts w:eastAsia="Palatino Linotype" w:cs="Palatino Linotype"/>
          <w:i/>
        </w:rPr>
        <w:t>.</w:t>
      </w:r>
      <w:r w:rsidR="00062A1F" w:rsidRPr="009A6D74">
        <w:rPr>
          <w:rFonts w:eastAsia="Palatino Linotype" w:cs="Palatino Linotype"/>
          <w:i/>
          <w:szCs w:val="22"/>
        </w:rPr>
        <w:t>” Sic.</w:t>
      </w:r>
    </w:p>
    <w:p w14:paraId="6DE7E074" w14:textId="77777777" w:rsidR="00062A1F" w:rsidRPr="009A6D74" w:rsidRDefault="00062A1F" w:rsidP="009A6D74">
      <w:pPr>
        <w:ind w:left="851" w:right="902"/>
        <w:rPr>
          <w:rFonts w:eastAsia="Palatino Linotype" w:cs="Palatino Linotype"/>
          <w:i/>
          <w:szCs w:val="22"/>
        </w:rPr>
      </w:pPr>
    </w:p>
    <w:p w14:paraId="739AB3BB" w14:textId="47790275" w:rsidR="00062A1F" w:rsidRPr="009A6D74" w:rsidRDefault="00062A1F" w:rsidP="009A6D74">
      <w:pPr>
        <w:ind w:right="51"/>
        <w:rPr>
          <w:rFonts w:eastAsia="Palatino Linotype" w:cs="Palatino Linotype"/>
        </w:rPr>
      </w:pPr>
      <w:r w:rsidRPr="009A6D74">
        <w:rPr>
          <w:rFonts w:eastAsia="Palatino Linotype" w:cs="Palatino Linotype"/>
          <w:szCs w:val="22"/>
        </w:rPr>
        <w:t xml:space="preserve">Del precepto citado se desprende que la </w:t>
      </w:r>
      <w:r w:rsidR="009952E4" w:rsidRPr="009A6D74">
        <w:rPr>
          <w:rFonts w:eastAsia="Palatino Linotype" w:cs="Palatino Linotype"/>
          <w:szCs w:val="22"/>
        </w:rPr>
        <w:t>referida unidad administrativa,</w:t>
      </w:r>
      <w:r w:rsidRPr="009A6D74">
        <w:rPr>
          <w:rFonts w:eastAsia="Palatino Linotype" w:cs="Palatino Linotype"/>
          <w:szCs w:val="22"/>
        </w:rPr>
        <w:t xml:space="preserve"> tiene a su cargo </w:t>
      </w:r>
      <w:r w:rsidR="009952E4" w:rsidRPr="009A6D74">
        <w:rPr>
          <w:rFonts w:eastAsia="Palatino Linotype" w:cs="Palatino Linotype"/>
          <w:szCs w:val="22"/>
        </w:rPr>
        <w:t>p</w:t>
      </w:r>
      <w:r w:rsidR="009952E4" w:rsidRPr="009A6D74">
        <w:rPr>
          <w:rFonts w:eastAsia="Palatino Linotype" w:cs="Palatino Linotype"/>
        </w:rPr>
        <w:t xml:space="preserve">roponer a la persona que sea su superior jerárquico políticas públicas, planes y programas orientados a promover el reconocimiento, defensa, protección y respeto a los derechos humanos al interior de las dependencias del Poder Ejecutivo; apoyar a la persona que sea su superior jerárquico, en la articulación de políticas públicas y en la implementación de medidas correctivas y preventivas en materia de derechos humanos; promover y fortalecer la política de igualdad entre hombres y mujeres, la igualdad laboral y la no discriminación al interior de la Consejería; formar parte del Mecanismo de Seguimiento y Evaluación del Programa de Derechos Humanos del Estado de México, instrumentar las acciones necesarias para dar cumplimiento a lo establecido en la Ley de Acceso de las Mujeres a una Vida Libre de Violencia y en la Ley de Igualdad de Trato y Oportunidades entre Mujeres y Hombres, ambas del Estado de México y demás disposiciones relativas; supervisar el seguimiento de los documentos emitidos por la Comisión Nacional de Derechos Humanos, la Comisión de Derechos Humanos del Estado de México y de los órganos internacionales en la materia, para su atención y cumplimiento; coordinar, previo acuerdo con la persona que sea su superior jerárquico, la implementación de cursos y talleres en las diferentes dependencias, con </w:t>
      </w:r>
      <w:r w:rsidR="009952E4" w:rsidRPr="009A6D74">
        <w:rPr>
          <w:rFonts w:eastAsia="Palatino Linotype" w:cs="Palatino Linotype"/>
        </w:rPr>
        <w:lastRenderedPageBreak/>
        <w:t>la finalidad de promover el reconocimiento, defensa, protección y respeto a los derechos humanos e igualdad de género, entre otras.</w:t>
      </w:r>
    </w:p>
    <w:p w14:paraId="08600C2A" w14:textId="77777777" w:rsidR="009952E4" w:rsidRPr="009A6D74" w:rsidRDefault="009952E4" w:rsidP="009A6D74">
      <w:pPr>
        <w:ind w:right="51"/>
        <w:rPr>
          <w:rFonts w:eastAsia="Palatino Linotype" w:cs="Palatino Linotype"/>
        </w:rPr>
      </w:pPr>
    </w:p>
    <w:p w14:paraId="46F5C099" w14:textId="77777777" w:rsidR="005F6453" w:rsidRPr="009A6D74" w:rsidRDefault="005F6453" w:rsidP="009A6D74">
      <w:pPr>
        <w:pBdr>
          <w:top w:val="nil"/>
          <w:left w:val="nil"/>
          <w:bottom w:val="nil"/>
          <w:right w:val="nil"/>
          <w:between w:val="nil"/>
        </w:pBdr>
        <w:spacing w:after="240"/>
        <w:ind w:right="-312"/>
        <w:contextualSpacing/>
        <w:rPr>
          <w:b/>
        </w:rPr>
      </w:pPr>
      <w:r w:rsidRPr="009A6D74">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9A6D74">
        <w:rPr>
          <w:b/>
        </w:rPr>
        <w:t xml:space="preserve"> </w:t>
      </w:r>
    </w:p>
    <w:p w14:paraId="5CEA9A27" w14:textId="77777777" w:rsidR="005F6453" w:rsidRPr="009A6D74" w:rsidRDefault="005F6453" w:rsidP="009A6D74">
      <w:pPr>
        <w:pStyle w:val="Puesto"/>
        <w:jc w:val="center"/>
        <w:rPr>
          <w:b/>
        </w:rPr>
      </w:pPr>
      <w:r w:rsidRPr="009A6D74">
        <w:t>“</w:t>
      </w:r>
      <w:r w:rsidRPr="009A6D74">
        <w:rPr>
          <w:b/>
        </w:rPr>
        <w:t>Ley de Transparencia y Acceso a la Información Pública del Estado de México y Municipios</w:t>
      </w:r>
    </w:p>
    <w:p w14:paraId="2F28AB93" w14:textId="79AC230D" w:rsidR="005F6453" w:rsidRPr="009A6D74" w:rsidRDefault="005F6453" w:rsidP="009A6D74">
      <w:pPr>
        <w:pStyle w:val="Puesto"/>
      </w:pPr>
      <w:r w:rsidRPr="009A6D74">
        <w:rPr>
          <w:b/>
        </w:rPr>
        <w:t>“Artículo 50. Los</w:t>
      </w:r>
      <w:r w:rsidRPr="009A6D74">
        <w:t xml:space="preserve"> sujetos obligados contarán con un área responsable para la atención de las solicitudes de información, a la que se le denominará Unidad de Transparencia.</w:t>
      </w:r>
    </w:p>
    <w:p w14:paraId="464B0556" w14:textId="77777777" w:rsidR="005F6453" w:rsidRPr="009A6D74" w:rsidRDefault="005F6453" w:rsidP="009A6D74">
      <w:pPr>
        <w:pStyle w:val="Puesto"/>
      </w:pPr>
      <w:r w:rsidRPr="009A6D74">
        <w:rPr>
          <w:b/>
        </w:rPr>
        <w:t>Artículo 51.</w:t>
      </w:r>
      <w:r w:rsidRPr="009A6D74">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7189367" w14:textId="77777777" w:rsidR="005F6453" w:rsidRPr="009A6D74" w:rsidRDefault="005F6453" w:rsidP="009A6D74">
      <w:pPr>
        <w:pStyle w:val="Puesto"/>
      </w:pPr>
      <w:r w:rsidRPr="009A6D74">
        <w:t>…</w:t>
      </w:r>
    </w:p>
    <w:p w14:paraId="14DBA41F" w14:textId="77777777" w:rsidR="005F6453" w:rsidRPr="009A6D74" w:rsidRDefault="005F6453" w:rsidP="009A6D74">
      <w:pPr>
        <w:pStyle w:val="Puesto"/>
      </w:pPr>
      <w:r w:rsidRPr="009A6D74">
        <w:rPr>
          <w:b/>
        </w:rPr>
        <w:t>Artículo 53.</w:t>
      </w:r>
      <w:r w:rsidRPr="009A6D74">
        <w:t xml:space="preserve"> Las Unidades de Transparencia tendrán las siguientes funciones:</w:t>
      </w:r>
    </w:p>
    <w:p w14:paraId="4933FA99" w14:textId="77777777" w:rsidR="005F6453" w:rsidRPr="009A6D74" w:rsidRDefault="005F6453" w:rsidP="009A6D74">
      <w:pPr>
        <w:pStyle w:val="Puesto"/>
      </w:pPr>
      <w:r w:rsidRPr="009A6D74">
        <w:t>…</w:t>
      </w:r>
    </w:p>
    <w:p w14:paraId="6A21A868" w14:textId="77777777" w:rsidR="005F6453" w:rsidRPr="009A6D74" w:rsidRDefault="005F6453" w:rsidP="009A6D74">
      <w:pPr>
        <w:pStyle w:val="Puesto"/>
      </w:pPr>
      <w:r w:rsidRPr="009A6D74">
        <w:rPr>
          <w:b/>
        </w:rPr>
        <w:t>II.</w:t>
      </w:r>
      <w:r w:rsidRPr="009A6D74">
        <w:t xml:space="preserve"> Recibir, tramitar y dar respuesta a las solicitudes de acceso a la información; </w:t>
      </w:r>
    </w:p>
    <w:p w14:paraId="28467C0B" w14:textId="77777777" w:rsidR="005F6453" w:rsidRPr="009A6D74" w:rsidRDefault="005F6453" w:rsidP="009A6D74">
      <w:pPr>
        <w:pStyle w:val="Puesto"/>
      </w:pPr>
      <w:r w:rsidRPr="009A6D74">
        <w:t>…</w:t>
      </w:r>
    </w:p>
    <w:p w14:paraId="331178CE" w14:textId="77777777" w:rsidR="005F6453" w:rsidRPr="009A6D74" w:rsidRDefault="005F6453" w:rsidP="009A6D74">
      <w:pPr>
        <w:pStyle w:val="Puesto"/>
      </w:pPr>
      <w:r w:rsidRPr="009A6D74">
        <w:rPr>
          <w:b/>
        </w:rPr>
        <w:t>IV.</w:t>
      </w:r>
      <w:r w:rsidRPr="009A6D74">
        <w:t xml:space="preserve"> Realizar, con efectividad, los trámites internos necesarios para la atención de las solicitudes de acceso a la información; </w:t>
      </w:r>
    </w:p>
    <w:p w14:paraId="40544343" w14:textId="77777777" w:rsidR="005F6453" w:rsidRPr="009A6D74" w:rsidRDefault="005F6453" w:rsidP="009A6D74">
      <w:pPr>
        <w:pStyle w:val="Puesto"/>
      </w:pPr>
      <w:r w:rsidRPr="009A6D74">
        <w:rPr>
          <w:b/>
        </w:rPr>
        <w:t>V.</w:t>
      </w:r>
      <w:r w:rsidRPr="009A6D74">
        <w:t xml:space="preserve"> Entregar, en su caso, a los particulares la información solicitada; </w:t>
      </w:r>
    </w:p>
    <w:p w14:paraId="7BA545AA" w14:textId="77777777" w:rsidR="005F6453" w:rsidRPr="009A6D74" w:rsidRDefault="005F6453" w:rsidP="009A6D74">
      <w:pPr>
        <w:pStyle w:val="Puesto"/>
      </w:pPr>
      <w:r w:rsidRPr="009A6D74">
        <w:rPr>
          <w:b/>
        </w:rPr>
        <w:t>VI.</w:t>
      </w:r>
      <w:r w:rsidRPr="009A6D74">
        <w:t xml:space="preserve"> Efectuar las notificaciones a los solicitantes;” (Sic)</w:t>
      </w:r>
    </w:p>
    <w:p w14:paraId="0E6E9348" w14:textId="77777777" w:rsidR="005F6453" w:rsidRPr="009A6D74" w:rsidRDefault="005F6453" w:rsidP="009A6D74">
      <w:pPr>
        <w:tabs>
          <w:tab w:val="left" w:pos="709"/>
        </w:tabs>
        <w:ind w:left="851" w:right="-312"/>
      </w:pPr>
    </w:p>
    <w:p w14:paraId="4314E2D5" w14:textId="77777777" w:rsidR="005F6453" w:rsidRPr="009A6D74" w:rsidRDefault="005F6453" w:rsidP="009A6D74">
      <w:pPr>
        <w:ind w:right="-312"/>
      </w:pPr>
      <w:r w:rsidRPr="009A6D74">
        <w:t xml:space="preserve">Aunado a lo anterior, se debe señalar que aunque la solicitud de información y la respuesta estén dirigidas y atendidas por un </w:t>
      </w:r>
      <w:r w:rsidRPr="009A6D74">
        <w:rPr>
          <w:b/>
        </w:rPr>
        <w:t>SUJETO OBLIGADO</w:t>
      </w:r>
      <w:r w:rsidRPr="009A6D74">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34EEFA1" w14:textId="77777777" w:rsidR="005F6453" w:rsidRPr="009A6D74" w:rsidRDefault="005F6453" w:rsidP="009A6D74">
      <w:pPr>
        <w:spacing w:line="276" w:lineRule="auto"/>
        <w:ind w:right="-312"/>
      </w:pPr>
    </w:p>
    <w:p w14:paraId="564BBCB1" w14:textId="77777777" w:rsidR="005F6453" w:rsidRPr="009A6D74" w:rsidRDefault="005F6453" w:rsidP="009A6D74">
      <w:pPr>
        <w:pStyle w:val="Puesto"/>
      </w:pPr>
      <w:r w:rsidRPr="009A6D74">
        <w:t>“</w:t>
      </w:r>
      <w:r w:rsidRPr="009A6D74">
        <w:rPr>
          <w:b/>
        </w:rPr>
        <w:t>Artículo 3.</w:t>
      </w:r>
      <w:r w:rsidRPr="009A6D74">
        <w:t xml:space="preserve"> Para los efectos de la presente Ley se entenderá por:</w:t>
      </w:r>
    </w:p>
    <w:p w14:paraId="3292BDE6" w14:textId="77777777" w:rsidR="005F6453" w:rsidRPr="009A6D74" w:rsidRDefault="005F6453" w:rsidP="009A6D74">
      <w:pPr>
        <w:pStyle w:val="Puesto"/>
      </w:pPr>
      <w:r w:rsidRPr="009A6D74">
        <w:t>…</w:t>
      </w:r>
    </w:p>
    <w:p w14:paraId="428BF41A" w14:textId="77777777" w:rsidR="005F6453" w:rsidRPr="009A6D74" w:rsidRDefault="005F6453" w:rsidP="009A6D74">
      <w:pPr>
        <w:pStyle w:val="Puesto"/>
      </w:pPr>
      <w:r w:rsidRPr="009A6D74">
        <w:rPr>
          <w:b/>
        </w:rPr>
        <w:t>XXXIX. Servidor público habilitado:</w:t>
      </w:r>
      <w:r w:rsidRPr="009A6D74">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E20513B" w14:textId="77777777" w:rsidR="005F6453" w:rsidRPr="009A6D74" w:rsidRDefault="005F6453" w:rsidP="009A6D74">
      <w:pPr>
        <w:pStyle w:val="Puesto"/>
      </w:pPr>
      <w:r w:rsidRPr="009A6D74">
        <w:t>…</w:t>
      </w:r>
    </w:p>
    <w:p w14:paraId="08D8F85D" w14:textId="77777777" w:rsidR="005F6453" w:rsidRPr="009A6D74" w:rsidRDefault="005F6453" w:rsidP="009A6D74">
      <w:pPr>
        <w:pStyle w:val="Puesto"/>
      </w:pPr>
      <w:r w:rsidRPr="009A6D74">
        <w:rPr>
          <w:b/>
        </w:rPr>
        <w:t>Artículo 58.</w:t>
      </w:r>
      <w:r w:rsidRPr="009A6D74">
        <w:t xml:space="preserve"> Los servidores públicos habilitados serán designados por el titular del sujeto obligado a propuesta del responsable de la Unidad de Transparencia.</w:t>
      </w:r>
    </w:p>
    <w:p w14:paraId="06BCB68B" w14:textId="77777777" w:rsidR="005F6453" w:rsidRPr="009A6D74" w:rsidRDefault="005F6453" w:rsidP="009A6D74">
      <w:pPr>
        <w:pStyle w:val="Puesto"/>
      </w:pPr>
      <w:r w:rsidRPr="009A6D74">
        <w:rPr>
          <w:b/>
        </w:rPr>
        <w:t>Artículo 59.</w:t>
      </w:r>
      <w:r w:rsidRPr="009A6D74">
        <w:t xml:space="preserve"> Los servidores públicos habilitados tendrán las funciones siguientes:</w:t>
      </w:r>
    </w:p>
    <w:p w14:paraId="10B3B32A" w14:textId="77777777" w:rsidR="005F6453" w:rsidRPr="009A6D74" w:rsidRDefault="005F6453" w:rsidP="009A6D74">
      <w:pPr>
        <w:pStyle w:val="Puesto"/>
      </w:pPr>
      <w:r w:rsidRPr="009A6D74">
        <w:rPr>
          <w:b/>
        </w:rPr>
        <w:t>I.</w:t>
      </w:r>
      <w:r w:rsidRPr="009A6D74">
        <w:t xml:space="preserve"> Localizar la información que le solicite la Unidad de Transparencia;</w:t>
      </w:r>
    </w:p>
    <w:p w14:paraId="58ECFC5E" w14:textId="77777777" w:rsidR="005F6453" w:rsidRPr="009A6D74" w:rsidRDefault="005F6453" w:rsidP="009A6D74">
      <w:pPr>
        <w:pStyle w:val="Puesto"/>
      </w:pPr>
      <w:r w:rsidRPr="009A6D74">
        <w:rPr>
          <w:b/>
        </w:rPr>
        <w:t>II.</w:t>
      </w:r>
      <w:r w:rsidRPr="009A6D74">
        <w:t xml:space="preserve"> Proporcionar la información que obre en los archivos y que le sea solicitada por la Unidad de Transparencia;</w:t>
      </w:r>
    </w:p>
    <w:p w14:paraId="169A7F23" w14:textId="77777777" w:rsidR="005F6453" w:rsidRPr="009A6D74" w:rsidRDefault="005F6453" w:rsidP="009A6D74">
      <w:pPr>
        <w:pStyle w:val="Puesto"/>
      </w:pPr>
      <w:r w:rsidRPr="009A6D74">
        <w:rPr>
          <w:b/>
        </w:rPr>
        <w:t>III.</w:t>
      </w:r>
      <w:r w:rsidRPr="009A6D74">
        <w:t xml:space="preserve"> Apoyar a la Unidad de Transparencia en lo que esta le solicite para el cumplimiento de sus funciones;</w:t>
      </w:r>
    </w:p>
    <w:p w14:paraId="400C2527" w14:textId="77777777" w:rsidR="005F6453" w:rsidRPr="009A6D74" w:rsidRDefault="005F6453" w:rsidP="009A6D74">
      <w:pPr>
        <w:pStyle w:val="Puesto"/>
      </w:pPr>
      <w:r w:rsidRPr="009A6D74">
        <w:rPr>
          <w:b/>
        </w:rPr>
        <w:t>IV.</w:t>
      </w:r>
      <w:r w:rsidRPr="009A6D74">
        <w:t xml:space="preserve"> Proporcionar a la Unidad de Transparencia, las modificaciones a la información pública de oficio que obre en su poder;</w:t>
      </w:r>
    </w:p>
    <w:p w14:paraId="2CFA0EED" w14:textId="77777777" w:rsidR="005F6453" w:rsidRPr="009A6D74" w:rsidRDefault="005F6453" w:rsidP="009A6D74">
      <w:pPr>
        <w:pStyle w:val="Puesto"/>
      </w:pPr>
      <w:r w:rsidRPr="009A6D74">
        <w:rPr>
          <w:b/>
        </w:rPr>
        <w:t>V.</w:t>
      </w:r>
      <w:r w:rsidRPr="009A6D74">
        <w:t xml:space="preserve"> Integrar y presentar al responsable de la Unidad de Transparencia la propuesta de clasificación de información, la cual tendrá los fundamentos y argumentos en que se basa dicha propuesta;</w:t>
      </w:r>
    </w:p>
    <w:p w14:paraId="101B7810" w14:textId="77777777" w:rsidR="005F6453" w:rsidRPr="009A6D74" w:rsidRDefault="005F6453" w:rsidP="009A6D74">
      <w:pPr>
        <w:pStyle w:val="Puesto"/>
      </w:pPr>
      <w:r w:rsidRPr="009A6D74">
        <w:rPr>
          <w:b/>
        </w:rPr>
        <w:lastRenderedPageBreak/>
        <w:t>VI.</w:t>
      </w:r>
      <w:r w:rsidRPr="009A6D74">
        <w:t xml:space="preserve"> Verificar, una vez analizado el contenido de la información, que no se encuentre en los supuestos de información clasificada; y</w:t>
      </w:r>
    </w:p>
    <w:p w14:paraId="08D9A8C0" w14:textId="77777777" w:rsidR="005F6453" w:rsidRPr="009A6D74" w:rsidRDefault="005F6453" w:rsidP="009A6D74">
      <w:pPr>
        <w:pStyle w:val="Puesto"/>
      </w:pPr>
      <w:r w:rsidRPr="009A6D74">
        <w:rPr>
          <w:b/>
        </w:rPr>
        <w:t>VII.</w:t>
      </w:r>
      <w:r w:rsidRPr="009A6D74">
        <w:t xml:space="preserve"> Dar cuenta a la Unidad de Transparencia del vencimiento de los plazos de reserva.” (Sic)</w:t>
      </w:r>
    </w:p>
    <w:p w14:paraId="212B844D" w14:textId="77777777" w:rsidR="005F6453" w:rsidRPr="009A6D74" w:rsidRDefault="005F6453" w:rsidP="009A6D74">
      <w:pPr>
        <w:spacing w:before="240" w:line="276" w:lineRule="auto"/>
        <w:ind w:left="567" w:right="-312"/>
        <w:contextualSpacing/>
        <w:rPr>
          <w:i/>
        </w:rPr>
      </w:pPr>
    </w:p>
    <w:p w14:paraId="1D7F3A71" w14:textId="77777777" w:rsidR="005F6453" w:rsidRPr="009A6D74" w:rsidRDefault="005F6453" w:rsidP="009A6D74">
      <w:pPr>
        <w:ind w:right="-312"/>
      </w:pPr>
      <w:r w:rsidRPr="009A6D74">
        <w:t>En otras palabras, no se cumplió con lo que, para tal efecto, dispone el artículo 162 de la Ley de Transparencia y Acceso a la Información Pública del Estado de México y Municipios, que índica:</w:t>
      </w:r>
    </w:p>
    <w:p w14:paraId="34F1CAEE" w14:textId="77777777" w:rsidR="005F6453" w:rsidRPr="009A6D74" w:rsidRDefault="005F6453" w:rsidP="009A6D74">
      <w:pPr>
        <w:ind w:right="-312"/>
      </w:pPr>
    </w:p>
    <w:p w14:paraId="3B02EA0C" w14:textId="77777777" w:rsidR="005F6453" w:rsidRPr="009A6D74" w:rsidRDefault="005F6453" w:rsidP="009A6D74">
      <w:pPr>
        <w:pStyle w:val="Puesto"/>
      </w:pPr>
      <w:r w:rsidRPr="009A6D74">
        <w:t>“</w:t>
      </w:r>
      <w:r w:rsidRPr="009A6D74">
        <w:rPr>
          <w:b/>
        </w:rPr>
        <w:t xml:space="preserve">Artículo </w:t>
      </w:r>
      <w:r w:rsidRPr="009A6D74">
        <w:rPr>
          <w:rStyle w:val="PuestoCar"/>
          <w:b/>
          <w:i/>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A6D74">
        <w:rPr>
          <w:rStyle w:val="PuestoCar"/>
          <w:i/>
        </w:rPr>
        <w:t>.” (Sic</w:t>
      </w:r>
      <w:r w:rsidRPr="009A6D74">
        <w:t>)</w:t>
      </w:r>
    </w:p>
    <w:p w14:paraId="79D9A32D" w14:textId="77777777" w:rsidR="005F6453" w:rsidRPr="009A6D74" w:rsidRDefault="005F6453" w:rsidP="009A6D74">
      <w:pPr>
        <w:spacing w:after="240"/>
        <w:ind w:left="567" w:right="-312"/>
        <w:contextualSpacing/>
      </w:pPr>
    </w:p>
    <w:p w14:paraId="2D55E6DE" w14:textId="77777777" w:rsidR="005F6453" w:rsidRPr="009A6D74" w:rsidRDefault="005F6453" w:rsidP="009A6D74">
      <w:pPr>
        <w:spacing w:before="240"/>
        <w:ind w:right="-312"/>
        <w:contextualSpacing/>
      </w:pPr>
      <w:r w:rsidRPr="009A6D74">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53868D51" w14:textId="77777777" w:rsidR="005F6453" w:rsidRPr="009A6D74" w:rsidRDefault="005F6453" w:rsidP="009A6D74">
      <w:pPr>
        <w:ind w:right="-312"/>
        <w:contextualSpacing/>
      </w:pPr>
    </w:p>
    <w:p w14:paraId="6BE83EE1" w14:textId="77777777" w:rsidR="005F6453" w:rsidRPr="009A6D74" w:rsidRDefault="005F6453" w:rsidP="009A6D74">
      <w:pPr>
        <w:ind w:right="-312"/>
        <w:contextualSpacing/>
      </w:pPr>
      <w:r w:rsidRPr="009A6D74">
        <w:t xml:space="preserve">De lo que se concluye, que no basta con que </w:t>
      </w:r>
      <w:r w:rsidRPr="009A6D74">
        <w:rPr>
          <w:b/>
        </w:rPr>
        <w:t>EL SUJETO OBLIGADO</w:t>
      </w:r>
      <w:r w:rsidRPr="009A6D74">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47C13181" w14:textId="77777777" w:rsidR="005F6453" w:rsidRPr="009A6D74" w:rsidRDefault="005F6453" w:rsidP="009A6D74">
      <w:pPr>
        <w:ind w:right="-312"/>
      </w:pPr>
    </w:p>
    <w:p w14:paraId="618A0E41" w14:textId="05A717E7" w:rsidR="005F6453" w:rsidRPr="009A6D74" w:rsidRDefault="005F6453" w:rsidP="009A6D74">
      <w:pPr>
        <w:ind w:right="-312"/>
      </w:pPr>
      <w:r w:rsidRPr="009A6D74">
        <w:rPr>
          <w:rFonts w:eastAsia="Palatino Linotype"/>
        </w:rPr>
        <w:t xml:space="preserve">Teniendo así, que, </w:t>
      </w:r>
      <w:r w:rsidRPr="009A6D74">
        <w:rPr>
          <w:b/>
          <w:bCs/>
        </w:rPr>
        <w:t>EL SUJETO OBLIGADO</w:t>
      </w:r>
      <w:r w:rsidRPr="009A6D74">
        <w:t xml:space="preserve"> no cumplió con el procedimiento de búsqueda exhaustiva y razonable, pues no gestionó la solicitud de información en las diversas </w:t>
      </w:r>
      <w:r w:rsidRPr="009A6D74">
        <w:lastRenderedPageBreak/>
        <w:t xml:space="preserve">unidades en donde pudiera obrar la citada información, la cual de manera enunciativa mas no limitativa, conforme al Reglamento Interior del </w:t>
      </w:r>
      <w:r w:rsidRPr="009A6D74">
        <w:rPr>
          <w:b/>
        </w:rPr>
        <w:t>SUJETO OBLIGADO</w:t>
      </w:r>
      <w:r w:rsidR="0031680C" w:rsidRPr="009A6D74">
        <w:rPr>
          <w:b/>
        </w:rPr>
        <w:t xml:space="preserve"> </w:t>
      </w:r>
      <w:r w:rsidR="0031680C" w:rsidRPr="009A6D74">
        <w:t>y la</w:t>
      </w:r>
      <w:r w:rsidR="0031680C" w:rsidRPr="009A6D74">
        <w:rPr>
          <w:b/>
        </w:rPr>
        <w:t xml:space="preserve"> Ley de Víctimas del Estado de México</w:t>
      </w:r>
      <w:r w:rsidRPr="009A6D74">
        <w:rPr>
          <w:b/>
        </w:rPr>
        <w:t xml:space="preserve">, </w:t>
      </w:r>
      <w:r w:rsidRPr="009A6D74">
        <w:t xml:space="preserve">puede ser la </w:t>
      </w:r>
      <w:proofErr w:type="spellStart"/>
      <w:r w:rsidR="000C7050" w:rsidRPr="009A6D74">
        <w:rPr>
          <w:b/>
          <w:i/>
        </w:rPr>
        <w:t>Subconsejería</w:t>
      </w:r>
      <w:proofErr w:type="spellEnd"/>
      <w:r w:rsidR="000C7050" w:rsidRPr="009A6D74">
        <w:rPr>
          <w:b/>
          <w:i/>
        </w:rPr>
        <w:t>, así como a la Comisión Ejecutiva de Atención a Víctimas del Estado de México</w:t>
      </w:r>
      <w:r w:rsidRPr="009A6D74">
        <w:t>; o cualquier área donde de acuerdo a sus facultades se cuente con la información solicitada, tal como puede advertirse en las facultades de las áreas citadas, mismas que se insertan a continuación:</w:t>
      </w:r>
    </w:p>
    <w:p w14:paraId="724D8A6B" w14:textId="77777777" w:rsidR="00174BAE" w:rsidRPr="009A6D74" w:rsidRDefault="00174BAE" w:rsidP="009A6D74">
      <w:pPr>
        <w:tabs>
          <w:tab w:val="left" w:pos="7938"/>
        </w:tabs>
        <w:ind w:right="-312"/>
        <w:contextualSpacing/>
        <w:rPr>
          <w:szCs w:val="22"/>
        </w:rPr>
      </w:pPr>
    </w:p>
    <w:p w14:paraId="3AF50537" w14:textId="39640536" w:rsidR="0031680C" w:rsidRPr="009A6D74" w:rsidRDefault="0031680C" w:rsidP="009A6D74">
      <w:pPr>
        <w:pStyle w:val="Puesto"/>
        <w:jc w:val="center"/>
        <w:rPr>
          <w:b/>
        </w:rPr>
      </w:pPr>
      <w:r w:rsidRPr="009A6D74">
        <w:rPr>
          <w:b/>
        </w:rPr>
        <w:t>Reglamento Interior</w:t>
      </w:r>
    </w:p>
    <w:p w14:paraId="4D28AE4D" w14:textId="77777777" w:rsidR="0031680C" w:rsidRPr="009A6D74" w:rsidRDefault="0031680C" w:rsidP="009A6D74">
      <w:pPr>
        <w:spacing w:line="240" w:lineRule="auto"/>
        <w:ind w:left="567" w:right="539"/>
        <w:rPr>
          <w:rFonts w:cs="Arial"/>
          <w:b/>
          <w:bCs/>
          <w:i/>
          <w:szCs w:val="22"/>
        </w:rPr>
      </w:pPr>
    </w:p>
    <w:p w14:paraId="7B010D8D" w14:textId="77777777" w:rsidR="000C7050" w:rsidRPr="009A6D74" w:rsidRDefault="000C7050" w:rsidP="009A6D74">
      <w:pPr>
        <w:pStyle w:val="Puesto"/>
      </w:pPr>
      <w:r w:rsidRPr="009A6D74">
        <w:rPr>
          <w:b/>
          <w:bCs/>
        </w:rPr>
        <w:t>Artículo 11.</w:t>
      </w:r>
      <w:r w:rsidRPr="009A6D74">
        <w:t xml:space="preserve"> Corresponden a la persona titular de la </w:t>
      </w:r>
      <w:proofErr w:type="spellStart"/>
      <w:r w:rsidRPr="009A6D74">
        <w:t>Subconsejería</w:t>
      </w:r>
      <w:proofErr w:type="spellEnd"/>
      <w:r w:rsidRPr="009A6D74">
        <w:t xml:space="preserve"> el ejercicio de las atribuciones siguientes:</w:t>
      </w:r>
    </w:p>
    <w:p w14:paraId="3A0EF307" w14:textId="77777777" w:rsidR="000C7050" w:rsidRPr="009A6D74" w:rsidRDefault="000C7050" w:rsidP="009A6D74">
      <w:pPr>
        <w:pStyle w:val="Puesto"/>
      </w:pPr>
    </w:p>
    <w:p w14:paraId="0403750E" w14:textId="738E6D95" w:rsidR="000C7050" w:rsidRPr="009A6D74" w:rsidRDefault="000C7050" w:rsidP="009A6D74">
      <w:pPr>
        <w:pStyle w:val="Puesto"/>
      </w:pPr>
      <w:r w:rsidRPr="009A6D74">
        <w:t>…</w:t>
      </w:r>
    </w:p>
    <w:p w14:paraId="4B6527BF" w14:textId="60175ABE" w:rsidR="00413B6C" w:rsidRPr="009A6D74" w:rsidRDefault="00413B6C" w:rsidP="009A6D74">
      <w:pPr>
        <w:pStyle w:val="Puesto"/>
      </w:pPr>
    </w:p>
    <w:p w14:paraId="311FC60C" w14:textId="03D53F38" w:rsidR="000C7050" w:rsidRPr="009A6D74" w:rsidRDefault="000C7050" w:rsidP="009A6D74">
      <w:pPr>
        <w:pStyle w:val="Puesto"/>
      </w:pPr>
      <w:r w:rsidRPr="009A6D74">
        <w:rPr>
          <w:b/>
        </w:rPr>
        <w:t>IV.</w:t>
      </w:r>
      <w:r w:rsidRPr="009A6D74">
        <w:t xml:space="preserve"> Supervisar y coordinar las acciones de asesoría jurídica, atención de consultas y formulación de opiniones en materia jurídica, derechos humanos, igualdad de género, registro civil y justicia cotidiana y temprana que soliciten a la Consejería las dependencias y organismos auxiliares del Poder Ejecutivo, así como las autoridades municipales, a excepción de la materia fiscal;</w:t>
      </w:r>
    </w:p>
    <w:p w14:paraId="6A8E1DCB" w14:textId="53D59431" w:rsidR="000C7050" w:rsidRPr="009A6D74" w:rsidRDefault="000C7050" w:rsidP="009A6D74">
      <w:pPr>
        <w:pStyle w:val="Puesto"/>
      </w:pPr>
      <w:r w:rsidRPr="009A6D74">
        <w:t>…</w:t>
      </w:r>
    </w:p>
    <w:p w14:paraId="523D2712" w14:textId="77777777" w:rsidR="000C7050" w:rsidRPr="009A6D74" w:rsidRDefault="000C7050" w:rsidP="009A6D74">
      <w:pPr>
        <w:pStyle w:val="Puesto"/>
      </w:pPr>
      <w:r w:rsidRPr="009A6D74">
        <w:rPr>
          <w:b/>
        </w:rPr>
        <w:t>XLVII.</w:t>
      </w:r>
      <w:r w:rsidRPr="009A6D74">
        <w:t xml:space="preserve"> Coordinar el seguimiento y vigilancia para la atención y cumplimiento de los documentos emitidos por la Comisión Nacional de Derechos Humanos, la Comisión de Derechos Humanos del Estado de México y los órganos internacionales en la materia;</w:t>
      </w:r>
    </w:p>
    <w:p w14:paraId="43A2F6D7" w14:textId="0F10BF06" w:rsidR="000C7050" w:rsidRPr="009A6D74" w:rsidRDefault="000C7050" w:rsidP="009A6D74">
      <w:pPr>
        <w:pStyle w:val="Puesto"/>
      </w:pPr>
      <w:r w:rsidRPr="009A6D74">
        <w:rPr>
          <w:b/>
        </w:rPr>
        <w:t>XLVIII.</w:t>
      </w:r>
      <w:r w:rsidRPr="009A6D74">
        <w:t xml:space="preserve"> Planear y supervisar la implementación de cursos y talleres para promover el reconocimiento, defensa, protección y respeto a los derechos humanos e igualdad de género;</w:t>
      </w:r>
    </w:p>
    <w:p w14:paraId="26E6EC49" w14:textId="77777777" w:rsidR="000C7050" w:rsidRPr="009A6D74" w:rsidRDefault="000C7050" w:rsidP="009A6D74">
      <w:pPr>
        <w:pStyle w:val="Puesto"/>
      </w:pPr>
    </w:p>
    <w:p w14:paraId="649D8B9C" w14:textId="41596707" w:rsidR="0031680C" w:rsidRPr="009A6D74" w:rsidRDefault="0031680C" w:rsidP="009A6D74">
      <w:pPr>
        <w:pStyle w:val="Puesto"/>
        <w:jc w:val="center"/>
        <w:rPr>
          <w:b/>
        </w:rPr>
      </w:pPr>
      <w:r w:rsidRPr="009A6D74">
        <w:rPr>
          <w:b/>
        </w:rPr>
        <w:t>Ley de Víctimas del Estado de México</w:t>
      </w:r>
    </w:p>
    <w:p w14:paraId="1DD25102" w14:textId="77777777" w:rsidR="0031680C" w:rsidRPr="009A6D74" w:rsidRDefault="0031680C" w:rsidP="009A6D74">
      <w:pPr>
        <w:ind w:left="567" w:right="539"/>
        <w:jc w:val="center"/>
        <w:rPr>
          <w:b/>
          <w:i/>
          <w:szCs w:val="22"/>
        </w:rPr>
      </w:pPr>
    </w:p>
    <w:p w14:paraId="01987F8D" w14:textId="09CB295C" w:rsidR="000C7050" w:rsidRPr="009A6D74" w:rsidRDefault="0031680C" w:rsidP="009A6D74">
      <w:pPr>
        <w:pStyle w:val="Puesto"/>
      </w:pPr>
      <w:r w:rsidRPr="009A6D74">
        <w:rPr>
          <w:b/>
        </w:rPr>
        <w:t>Artículo 38.</w:t>
      </w:r>
      <w:r w:rsidRPr="009A6D74">
        <w:t xml:space="preserve"> La Comisión Ejecutiva es un órgano desconcentrado de la Secretaría, con autonomía técnica y de gestión, que para el cumplimiento de sus funciones, se auxiliará de dos órganos colegiados, uno interno para la elaboración de los planes de atención y dictámenes de reparación integral denominado Comité Multidisciplinario Evaluador y un órgano externo denominado Consejo Consultivo encargado de </w:t>
      </w:r>
      <w:r w:rsidRPr="009A6D74">
        <w:lastRenderedPageBreak/>
        <w:t>observar y validar el funcionamiento de la Comisión Ejecutiva, la administración y operación del Fondo y la aprobación del Programa de Atención Integral a Víctimas.</w:t>
      </w:r>
    </w:p>
    <w:p w14:paraId="51FE656B" w14:textId="77777777" w:rsidR="0031680C" w:rsidRPr="009A6D74" w:rsidRDefault="0031680C" w:rsidP="009A6D74">
      <w:pPr>
        <w:ind w:left="567" w:right="539"/>
        <w:rPr>
          <w:i/>
          <w:szCs w:val="22"/>
        </w:rPr>
      </w:pPr>
    </w:p>
    <w:p w14:paraId="764CB11C" w14:textId="5ED0251F" w:rsidR="0031680C" w:rsidRPr="009A6D74" w:rsidRDefault="0031680C" w:rsidP="009A6D74">
      <w:pPr>
        <w:pStyle w:val="Puesto"/>
      </w:pPr>
      <w:r w:rsidRPr="009A6D74">
        <w:rPr>
          <w:b/>
        </w:rPr>
        <w:t>Artículo 39.</w:t>
      </w:r>
      <w:r w:rsidRPr="009A6D74">
        <w:t xml:space="preserve"> La Comisión Ejecutiva tiene por objeto permitir la representación y participación directa de las víctimas y ofendidos del delito en todas las instituciones del Sistema, propiciando su intervención en la gestión y la construcción de políticas gubernamentales, así como el ejercicio de labores de vigilancia, supervisión y evaluación de las instituciones integrantes del Sistema; con la finalidad de garantizar un ejercicio transparente de sus atribuciones, así como la prestación del servicio de asesoría jurídica.</w:t>
      </w:r>
    </w:p>
    <w:p w14:paraId="722CF844" w14:textId="77777777" w:rsidR="0031680C" w:rsidRPr="009A6D74" w:rsidRDefault="0031680C" w:rsidP="009A6D74">
      <w:pPr>
        <w:ind w:left="567" w:right="539"/>
        <w:rPr>
          <w:i/>
          <w:szCs w:val="22"/>
        </w:rPr>
      </w:pPr>
    </w:p>
    <w:p w14:paraId="423D3905" w14:textId="20904CE5" w:rsidR="0031680C" w:rsidRPr="009A6D74" w:rsidRDefault="0031680C" w:rsidP="009A6D74">
      <w:pPr>
        <w:pStyle w:val="Puesto"/>
      </w:pPr>
      <w:r w:rsidRPr="009A6D74">
        <w:rPr>
          <w:b/>
        </w:rPr>
        <w:t>Artículo 42.</w:t>
      </w:r>
      <w:r w:rsidRPr="009A6D74">
        <w:t xml:space="preserve"> La Comisión Ejecutiva tendrá las atribuciones siguientes:</w:t>
      </w:r>
    </w:p>
    <w:p w14:paraId="47A43EF8" w14:textId="61A41DF1" w:rsidR="0031680C" w:rsidRPr="009A6D74" w:rsidRDefault="0031680C" w:rsidP="009A6D74">
      <w:pPr>
        <w:pStyle w:val="Puesto"/>
      </w:pPr>
      <w:r w:rsidRPr="009A6D74">
        <w:t>…</w:t>
      </w:r>
    </w:p>
    <w:p w14:paraId="2785A026" w14:textId="116F9114" w:rsidR="0031680C" w:rsidRPr="009A6D74" w:rsidRDefault="0031680C" w:rsidP="009A6D74">
      <w:pPr>
        <w:pStyle w:val="Puesto"/>
      </w:pPr>
      <w:r w:rsidRPr="009A6D74">
        <w:rPr>
          <w:b/>
        </w:rPr>
        <w:t>II.</w:t>
      </w:r>
      <w:r w:rsidRPr="009A6D74">
        <w:t xml:space="preserve"> Garantizar el acceso a los servicios multidisciplinarios y especializados de primer contacto en psicología, trabajo social, orientación y atención jurídica que el Estado proporcionará a las víctimas y ofendidos de delitos y de violación a derechos humanos con motivo de la comisión de un hecho delictuoso, para lograr su reincorporación a la vida social.</w:t>
      </w:r>
    </w:p>
    <w:p w14:paraId="001D6DC2" w14:textId="5ED77881" w:rsidR="0031680C" w:rsidRPr="009A6D74" w:rsidRDefault="0031680C" w:rsidP="009A6D74">
      <w:pPr>
        <w:pStyle w:val="Puesto"/>
      </w:pPr>
      <w:r w:rsidRPr="009A6D74">
        <w:t>…</w:t>
      </w:r>
    </w:p>
    <w:p w14:paraId="0B36C4E8" w14:textId="0FB8CC74" w:rsidR="0031680C" w:rsidRPr="009A6D74" w:rsidRDefault="0031680C" w:rsidP="009A6D74">
      <w:pPr>
        <w:pStyle w:val="Puesto"/>
      </w:pPr>
      <w:r w:rsidRPr="009A6D74">
        <w:rPr>
          <w:b/>
        </w:rPr>
        <w:t>XXI.</w:t>
      </w:r>
      <w:r w:rsidRPr="009A6D74">
        <w:t xml:space="preserve"> Establecer programas integrales emergentes de ayuda, atención, asistencia, protección, acceso a la justicia, a la verdad y a la reparación subsidiaria, en casos de violaciones graves a derechos humanos o delitos graves cometidos contra un grupo de víctimas u ofendidos.</w:t>
      </w:r>
    </w:p>
    <w:p w14:paraId="1A9F2606" w14:textId="77777777" w:rsidR="0031680C" w:rsidRPr="009A6D74" w:rsidRDefault="0031680C" w:rsidP="009A6D74"/>
    <w:p w14:paraId="416A0CCD" w14:textId="2818BA03" w:rsidR="0039267F" w:rsidRPr="009A6D74" w:rsidRDefault="00413B6C" w:rsidP="009A6D74">
      <w:pPr>
        <w:ind w:right="-312"/>
        <w:rPr>
          <w:szCs w:val="22"/>
        </w:rPr>
      </w:pPr>
      <w:r w:rsidRPr="009A6D74">
        <w:t xml:space="preserve">Establecido lo anterior, </w:t>
      </w:r>
      <w:r w:rsidR="00597D3F" w:rsidRPr="009A6D74">
        <w:t>e</w:t>
      </w:r>
      <w:r w:rsidR="0039267F" w:rsidRPr="009A6D74">
        <w:rPr>
          <w:szCs w:val="22"/>
        </w:rPr>
        <w:t xml:space="preserve">n el presente asunto, se insiste y se advierte que es del interés de </w:t>
      </w:r>
      <w:r w:rsidR="0039267F" w:rsidRPr="009A6D74">
        <w:rPr>
          <w:b/>
          <w:bCs/>
          <w:szCs w:val="22"/>
        </w:rPr>
        <w:t xml:space="preserve">LA </w:t>
      </w:r>
      <w:r w:rsidR="00C860CD" w:rsidRPr="009A6D74">
        <w:rPr>
          <w:b/>
          <w:bCs/>
          <w:szCs w:val="22"/>
        </w:rPr>
        <w:t>PARTE</w:t>
      </w:r>
      <w:r w:rsidR="0039267F" w:rsidRPr="009A6D74">
        <w:rPr>
          <w:b/>
          <w:bCs/>
          <w:szCs w:val="22"/>
        </w:rPr>
        <w:t xml:space="preserve"> RECURRENTE </w:t>
      </w:r>
      <w:r w:rsidR="0039267F" w:rsidRPr="009A6D74">
        <w:rPr>
          <w:szCs w:val="22"/>
        </w:rPr>
        <w:t xml:space="preserve">conocer </w:t>
      </w:r>
      <w:r w:rsidR="0031680C" w:rsidRPr="009A6D74">
        <w:rPr>
          <w:szCs w:val="22"/>
        </w:rPr>
        <w:t>la información que se encuentre en su poder (en formato abierto) en la que se detallen delitos o violaciones de derechos humanos perpetrados en contra de personas migrantes, solicitantes de asilo y refugiados en el territorio mexicano, así como información estadística relativa a las víctimas</w:t>
      </w:r>
      <w:r w:rsidR="00597D3F" w:rsidRPr="009A6D74">
        <w:rPr>
          <w:szCs w:val="22"/>
        </w:rPr>
        <w:t>.</w:t>
      </w:r>
    </w:p>
    <w:p w14:paraId="1C79EFAA" w14:textId="77777777" w:rsidR="0039267F" w:rsidRPr="009A6D74" w:rsidRDefault="0039267F" w:rsidP="009A6D74">
      <w:pPr>
        <w:tabs>
          <w:tab w:val="left" w:pos="7938"/>
        </w:tabs>
        <w:ind w:right="-312"/>
        <w:contextualSpacing/>
        <w:rPr>
          <w:szCs w:val="22"/>
        </w:rPr>
      </w:pPr>
    </w:p>
    <w:p w14:paraId="28E02B34" w14:textId="6057D6AC" w:rsidR="00B00D01" w:rsidRPr="009A6D74" w:rsidRDefault="0039267F" w:rsidP="009A6D74">
      <w:pPr>
        <w:tabs>
          <w:tab w:val="left" w:pos="7938"/>
        </w:tabs>
        <w:ind w:right="-312"/>
        <w:contextualSpacing/>
        <w:rPr>
          <w:szCs w:val="22"/>
        </w:rPr>
      </w:pPr>
      <w:r w:rsidRPr="009A6D74">
        <w:rPr>
          <w:szCs w:val="22"/>
        </w:rPr>
        <w:t>En ese tenor, se trae a contexto el contenido de</w:t>
      </w:r>
      <w:r w:rsidR="0031680C" w:rsidRPr="009A6D74">
        <w:rPr>
          <w:szCs w:val="22"/>
        </w:rPr>
        <w:t xml:space="preserve"> la Ley de Víctimas del Estado de México, en la parte aplicable al respecto, que es del tenor siguiente:</w:t>
      </w:r>
    </w:p>
    <w:p w14:paraId="24D35E2D" w14:textId="77777777" w:rsidR="0031680C" w:rsidRPr="009A6D74" w:rsidRDefault="0031680C" w:rsidP="009A6D74">
      <w:pPr>
        <w:tabs>
          <w:tab w:val="left" w:pos="7938"/>
        </w:tabs>
        <w:ind w:right="-312"/>
        <w:contextualSpacing/>
        <w:rPr>
          <w:szCs w:val="22"/>
        </w:rPr>
      </w:pPr>
    </w:p>
    <w:p w14:paraId="4A352225" w14:textId="7D1AA2C4" w:rsidR="00486004" w:rsidRPr="009A6D74" w:rsidRDefault="00486004" w:rsidP="009A6D74">
      <w:pPr>
        <w:pStyle w:val="Puesto"/>
        <w:jc w:val="center"/>
        <w:rPr>
          <w:b/>
        </w:rPr>
      </w:pPr>
      <w:r w:rsidRPr="009A6D74">
        <w:rPr>
          <w:b/>
        </w:rPr>
        <w:lastRenderedPageBreak/>
        <w:t>CAPÍTULO V</w:t>
      </w:r>
    </w:p>
    <w:p w14:paraId="09002E89" w14:textId="01E325B4" w:rsidR="00486004" w:rsidRPr="009A6D74" w:rsidRDefault="00486004" w:rsidP="009A6D74">
      <w:pPr>
        <w:pStyle w:val="Puesto"/>
        <w:jc w:val="center"/>
        <w:rPr>
          <w:b/>
        </w:rPr>
      </w:pPr>
      <w:r w:rsidRPr="009A6D74">
        <w:rPr>
          <w:b/>
        </w:rPr>
        <w:t>REGISTRO ESTATAL DE VÍCTIMAS</w:t>
      </w:r>
    </w:p>
    <w:p w14:paraId="022A1E78" w14:textId="77777777" w:rsidR="00CE504E" w:rsidRPr="009A6D74" w:rsidRDefault="00CE504E" w:rsidP="009A6D74"/>
    <w:p w14:paraId="6C9FB18D" w14:textId="77777777" w:rsidR="00486004" w:rsidRPr="009A6D74" w:rsidRDefault="00486004" w:rsidP="009A6D74">
      <w:pPr>
        <w:pStyle w:val="Puesto"/>
      </w:pPr>
      <w:r w:rsidRPr="009A6D74">
        <w:rPr>
          <w:b/>
        </w:rPr>
        <w:t>Artículo 59.</w:t>
      </w:r>
      <w:r w:rsidRPr="009A6D74">
        <w:t xml:space="preserve"> </w:t>
      </w:r>
      <w:r w:rsidRPr="009A6D74">
        <w:rPr>
          <w:b/>
        </w:rPr>
        <w:t>El Registro</w:t>
      </w:r>
      <w:r w:rsidRPr="009A6D74">
        <w:t xml:space="preserve"> es la unidad administrativa y técnica encargada del proceso de ingreso y registro de las víctimas y ofendidos del delito </w:t>
      </w:r>
      <w:r w:rsidRPr="009A6D74">
        <w:rPr>
          <w:b/>
          <w:u w:val="single"/>
        </w:rPr>
        <w:t>y de violaciones de derechos humanos del fuero local,</w:t>
      </w:r>
      <w:r w:rsidRPr="009A6D74">
        <w:t xml:space="preserve"> siempre que deriven de la comisión de un hecho delictuoso. </w:t>
      </w:r>
    </w:p>
    <w:p w14:paraId="24DF9E4A" w14:textId="77777777" w:rsidR="00CE504E" w:rsidRPr="009A6D74" w:rsidRDefault="00CE504E" w:rsidP="009A6D74">
      <w:pPr>
        <w:pStyle w:val="Puesto"/>
      </w:pPr>
    </w:p>
    <w:p w14:paraId="45D9D8F3" w14:textId="77777777" w:rsidR="00486004" w:rsidRPr="009A6D74" w:rsidRDefault="00486004" w:rsidP="009A6D74">
      <w:pPr>
        <w:pStyle w:val="Puesto"/>
      </w:pPr>
      <w:r w:rsidRPr="009A6D74">
        <w:rPr>
          <w:b/>
        </w:rPr>
        <w:t>Artículo 60.</w:t>
      </w:r>
      <w:r w:rsidRPr="009A6D74">
        <w:t xml:space="preserve"> La operación y funcionamiento del Registro estará a cargo de la Comisión Ejecutiva. </w:t>
      </w:r>
    </w:p>
    <w:p w14:paraId="3E0DC9BB" w14:textId="77777777" w:rsidR="00CE504E" w:rsidRPr="009A6D74" w:rsidRDefault="00CE504E" w:rsidP="009A6D74">
      <w:pPr>
        <w:pStyle w:val="Puesto"/>
      </w:pPr>
    </w:p>
    <w:p w14:paraId="1DCB9C84" w14:textId="77777777" w:rsidR="00486004" w:rsidRPr="009A6D74" w:rsidRDefault="00486004" w:rsidP="009A6D74">
      <w:pPr>
        <w:pStyle w:val="Puesto"/>
      </w:pPr>
      <w:r w:rsidRPr="009A6D74">
        <w:rPr>
          <w:b/>
        </w:rPr>
        <w:t>Artículo 61.</w:t>
      </w:r>
      <w:r w:rsidRPr="009A6D74">
        <w:t xml:space="preserve"> El Registro será suministrado por las siguientes fuentes: </w:t>
      </w:r>
    </w:p>
    <w:p w14:paraId="6634F61A" w14:textId="77777777" w:rsidR="00486004" w:rsidRPr="009A6D74" w:rsidRDefault="00486004" w:rsidP="009A6D74">
      <w:pPr>
        <w:pStyle w:val="Puesto"/>
      </w:pPr>
      <w:r w:rsidRPr="009A6D74">
        <w:t xml:space="preserve">I. Las solicitudes de ingreso hechas directamente por la víctima u ofendido o a través de su representante legal o de algún familiar o de persona de confianza. </w:t>
      </w:r>
    </w:p>
    <w:p w14:paraId="517D96E3" w14:textId="77777777" w:rsidR="00486004" w:rsidRPr="009A6D74" w:rsidRDefault="00486004" w:rsidP="009A6D74">
      <w:pPr>
        <w:pStyle w:val="Puesto"/>
      </w:pPr>
      <w:r w:rsidRPr="009A6D74">
        <w:t xml:space="preserve">II. Las solicitudes de ingreso que presenten cualquier autoridad como responsables de ingresar el nombre de las víctimas del delito o de violación de derechos humanos al Sistema. </w:t>
      </w:r>
    </w:p>
    <w:p w14:paraId="0E2105DD" w14:textId="77777777" w:rsidR="00486004" w:rsidRPr="009A6D74" w:rsidRDefault="00486004" w:rsidP="009A6D74">
      <w:pPr>
        <w:pStyle w:val="Puesto"/>
      </w:pPr>
      <w:r w:rsidRPr="009A6D74">
        <w:t xml:space="preserve">III. Los registros de víctimas y ofendidos existentes que se encuentren en instituciones del ámbito estatal o municipal, así como de la Comisión en los casos que se hayan dictado recomendaciones, medidas precautorias o bien, se hayan celebrado acuerdos de conciliación. </w:t>
      </w:r>
    </w:p>
    <w:p w14:paraId="31C84C4E" w14:textId="77777777" w:rsidR="00CE504E" w:rsidRPr="009A6D74" w:rsidRDefault="00CE504E" w:rsidP="009A6D74">
      <w:pPr>
        <w:pStyle w:val="Puesto"/>
      </w:pPr>
    </w:p>
    <w:p w14:paraId="7CB7B5E5" w14:textId="77777777" w:rsidR="00486004" w:rsidRPr="009A6D74" w:rsidRDefault="00486004" w:rsidP="009A6D74">
      <w:pPr>
        <w:pStyle w:val="Puesto"/>
      </w:pPr>
      <w:r w:rsidRPr="009A6D74">
        <w:rPr>
          <w:b/>
        </w:rPr>
        <w:t>Artículo 62.</w:t>
      </w:r>
      <w:r w:rsidRPr="009A6D74">
        <w:t xml:space="preserve"> Las solicitudes de ingreso se realizarán en forma gratuita ante la Comisión Ejecutiva a través del Registro. </w:t>
      </w:r>
    </w:p>
    <w:p w14:paraId="6C240CD9" w14:textId="77777777" w:rsidR="00CE504E" w:rsidRPr="009A6D74" w:rsidRDefault="00CE504E" w:rsidP="009A6D74">
      <w:pPr>
        <w:pStyle w:val="Puesto"/>
      </w:pPr>
    </w:p>
    <w:p w14:paraId="18532879" w14:textId="77777777" w:rsidR="00486004" w:rsidRPr="009A6D74" w:rsidRDefault="00486004" w:rsidP="009A6D74">
      <w:pPr>
        <w:pStyle w:val="Puesto"/>
      </w:pPr>
      <w:r w:rsidRPr="009A6D74">
        <w:rPr>
          <w:b/>
        </w:rPr>
        <w:t>Artículo 63.</w:t>
      </w:r>
      <w:r w:rsidRPr="009A6D74">
        <w:t xml:space="preserve"> Para ser tramitada la incorporación de datos al Registro deberá como mínimo contener la siguiente información: </w:t>
      </w:r>
    </w:p>
    <w:p w14:paraId="625633BD" w14:textId="77777777" w:rsidR="00486004" w:rsidRPr="009A6D74" w:rsidRDefault="00486004" w:rsidP="009A6D74">
      <w:pPr>
        <w:pStyle w:val="Puesto"/>
      </w:pPr>
      <w:r w:rsidRPr="009A6D74">
        <w:t xml:space="preserve">I. Los datos de identificación de cada una de las víctimas y ofendidos que soliciten su ingreso. En caso de que la víctima u ofendido por cuestiones de seguridad solicite que sus datos personales no sean públicos, se deberá asegurar la confidencialidad de sus datos, debiendo mostrar una identificación oficial. </w:t>
      </w:r>
    </w:p>
    <w:p w14:paraId="0016B774" w14:textId="77777777" w:rsidR="00486004" w:rsidRPr="009A6D74" w:rsidRDefault="00486004" w:rsidP="009A6D74">
      <w:pPr>
        <w:pStyle w:val="Puesto"/>
      </w:pPr>
      <w:r w:rsidRPr="009A6D74">
        <w:t xml:space="preserve">II. El nombre completo, cargo y firma del servidor público de la Entidad que recibió la solicitud de inscripción de datos al Registro y el sello de la dependencia. </w:t>
      </w:r>
    </w:p>
    <w:p w14:paraId="4E2357EC" w14:textId="77777777" w:rsidR="00486004" w:rsidRPr="009A6D74" w:rsidRDefault="00486004" w:rsidP="009A6D74">
      <w:pPr>
        <w:pStyle w:val="Puesto"/>
      </w:pPr>
      <w:r w:rsidRPr="009A6D74">
        <w:t xml:space="preserve">III. La firma y huella dactilar de la persona que solicita el Registro, en los casos que la persona manifieste no poder o no saber firmar, se tomará como válida la huella dactilar. </w:t>
      </w:r>
    </w:p>
    <w:p w14:paraId="5BD0A815" w14:textId="3CF0D703" w:rsidR="0031680C" w:rsidRPr="009A6D74" w:rsidRDefault="00486004" w:rsidP="009A6D74">
      <w:pPr>
        <w:pStyle w:val="Puesto"/>
      </w:pPr>
      <w:r w:rsidRPr="009A6D74">
        <w:t>IV. Derogada</w:t>
      </w:r>
    </w:p>
    <w:p w14:paraId="42D462C1" w14:textId="77777777" w:rsidR="00CE504E" w:rsidRPr="009A6D74" w:rsidRDefault="00CE504E" w:rsidP="009A6D74">
      <w:pPr>
        <w:pStyle w:val="Puesto"/>
      </w:pPr>
      <w:r w:rsidRPr="009A6D74">
        <w:lastRenderedPageBreak/>
        <w:t xml:space="preserve">V. Las circunstancias de modo, tiempo y lugar previas, durante y posteriores a la ocurrencia de los hechos </w:t>
      </w:r>
      <w:proofErr w:type="spellStart"/>
      <w:r w:rsidRPr="009A6D74">
        <w:t>victimizantes</w:t>
      </w:r>
      <w:proofErr w:type="spellEnd"/>
      <w:r w:rsidRPr="009A6D74">
        <w:t xml:space="preserve">. </w:t>
      </w:r>
    </w:p>
    <w:p w14:paraId="0FE4E33F" w14:textId="77777777" w:rsidR="00CE504E" w:rsidRPr="009A6D74" w:rsidRDefault="00CE504E" w:rsidP="009A6D74">
      <w:pPr>
        <w:pStyle w:val="Puesto"/>
      </w:pPr>
      <w:r w:rsidRPr="009A6D74">
        <w:t xml:space="preserve">VI. El servidor público que recabe la declaración la asentará en forma textual, completa y detallada en los términos que sea emitida. </w:t>
      </w:r>
    </w:p>
    <w:p w14:paraId="1057BE9D" w14:textId="77777777" w:rsidR="00CE504E" w:rsidRPr="009A6D74" w:rsidRDefault="00CE504E" w:rsidP="009A6D74">
      <w:pPr>
        <w:pStyle w:val="Puesto"/>
      </w:pPr>
      <w:r w:rsidRPr="009A6D74">
        <w:t xml:space="preserve">VII. La información del parentesco o relación afectiva con la víctima u ofendido de la persona que solicita el Registro, cuando no es la víctima u ofendido quien lo hace. En caso que el ingreso lo solicite un servidor público deberá detallarse nombre, cargo y dependencia o institución a la que pertenece. </w:t>
      </w:r>
    </w:p>
    <w:p w14:paraId="7E757364" w14:textId="113846CF" w:rsidR="00486004" w:rsidRPr="009A6D74" w:rsidRDefault="00CE504E" w:rsidP="009A6D74">
      <w:pPr>
        <w:pStyle w:val="Puesto"/>
        <w:rPr>
          <w:szCs w:val="22"/>
        </w:rPr>
      </w:pPr>
      <w:r w:rsidRPr="009A6D74">
        <w:t>VIII. Los datos de contacto de la persona que solicitó el Registro. En caso de faltar información, la Comisión Ejecutiva solicitará a la Entidad que tramitó inicialmente la inscripción de datos, que complemente dicha información en un plazo no mayor de diez días hábiles. Lo anterior no afecta, en ningún sentido, la garantía de los derechos de las víctimas u ofendidos que solicitaron el ingreso al Registro o en cuyo nombre el ingreso fue solicitado.</w:t>
      </w:r>
    </w:p>
    <w:p w14:paraId="76389872" w14:textId="77777777" w:rsidR="0031680C" w:rsidRPr="009A6D74" w:rsidRDefault="0031680C" w:rsidP="009A6D74">
      <w:pPr>
        <w:tabs>
          <w:tab w:val="left" w:pos="7938"/>
        </w:tabs>
        <w:ind w:right="-312"/>
        <w:contextualSpacing/>
        <w:rPr>
          <w:i/>
        </w:rPr>
      </w:pPr>
    </w:p>
    <w:p w14:paraId="657E9C84" w14:textId="6811930F" w:rsidR="00970FAB" w:rsidRPr="009A6D74" w:rsidRDefault="00B00D01" w:rsidP="009A6D74">
      <w:pPr>
        <w:tabs>
          <w:tab w:val="left" w:pos="7938"/>
        </w:tabs>
        <w:ind w:right="-312"/>
        <w:contextualSpacing/>
      </w:pPr>
      <w:r w:rsidRPr="009A6D74">
        <w:t xml:space="preserve">De lo transcrito, se resalta que, </w:t>
      </w:r>
      <w:r w:rsidR="00970FAB" w:rsidRPr="009A6D74">
        <w:t xml:space="preserve">al </w:t>
      </w:r>
      <w:r w:rsidR="00970FAB" w:rsidRPr="009A6D74">
        <w:rPr>
          <w:b/>
        </w:rPr>
        <w:t xml:space="preserve">SUJETO OBLIGADO </w:t>
      </w:r>
      <w:r w:rsidR="00970FAB" w:rsidRPr="009A6D74">
        <w:t xml:space="preserve">le compete a través de la Comisión Ejecutiva de Atención a Víctimas del Estado de México, la operación y funcionamiento del Registro, del proceso de ingreso y registro de las víctimas y ofendidos del delito y de violaciones de derechos humanos del fuero local, siempre que deriven de la comisión de un hecho delictuoso. </w:t>
      </w:r>
    </w:p>
    <w:p w14:paraId="7F6F9727" w14:textId="77777777" w:rsidR="002E067C" w:rsidRPr="009A6D74" w:rsidRDefault="002E067C" w:rsidP="009A6D74">
      <w:pPr>
        <w:tabs>
          <w:tab w:val="left" w:pos="7938"/>
        </w:tabs>
        <w:ind w:right="-312"/>
        <w:contextualSpacing/>
      </w:pPr>
    </w:p>
    <w:p w14:paraId="39EEF975" w14:textId="390D4FCC" w:rsidR="00861953" w:rsidRPr="009A6D74" w:rsidRDefault="002E067C" w:rsidP="009A6D74">
      <w:pPr>
        <w:tabs>
          <w:tab w:val="left" w:pos="7938"/>
        </w:tabs>
        <w:ind w:right="-312"/>
        <w:contextualSpacing/>
      </w:pPr>
      <w:r w:rsidRPr="009A6D74">
        <w:t xml:space="preserve">Asimismo, se destaca que </w:t>
      </w:r>
      <w:r w:rsidR="00861953" w:rsidRPr="009A6D74">
        <w:t>en el Organigrama de dicho Órgano desconcentrado se aprecia a unidades administrativas a quien le compete el tema de promover, atender y resarcir las violaciones a los derechos humanos de las personas víctimas y ofendidas del delito, a quien le compete:</w:t>
      </w:r>
    </w:p>
    <w:p w14:paraId="2890A35E" w14:textId="77777777" w:rsidR="00861953" w:rsidRPr="009A6D74" w:rsidRDefault="00861953" w:rsidP="009A6D74">
      <w:pPr>
        <w:tabs>
          <w:tab w:val="left" w:pos="7938"/>
        </w:tabs>
        <w:ind w:right="-312"/>
        <w:contextualSpacing/>
      </w:pPr>
    </w:p>
    <w:p w14:paraId="70256D1E" w14:textId="77777777" w:rsidR="00861953" w:rsidRPr="009A6D74" w:rsidRDefault="00861953" w:rsidP="009A6D74">
      <w:pPr>
        <w:pStyle w:val="Puesto"/>
        <w:rPr>
          <w:b/>
        </w:rPr>
      </w:pPr>
      <w:r w:rsidRPr="009A6D74">
        <w:rPr>
          <w:b/>
        </w:rPr>
        <w:t xml:space="preserve">222B0210010003S UNIDAD DE GÉNERO Y DERECHOS HUMANOS </w:t>
      </w:r>
    </w:p>
    <w:p w14:paraId="0A74F6F5" w14:textId="77777777" w:rsidR="00861953" w:rsidRPr="009A6D74" w:rsidRDefault="00861953" w:rsidP="009A6D74">
      <w:pPr>
        <w:pStyle w:val="Puesto"/>
        <w:rPr>
          <w:b/>
        </w:rPr>
      </w:pPr>
      <w:r w:rsidRPr="009A6D74">
        <w:rPr>
          <w:b/>
        </w:rPr>
        <w:t xml:space="preserve">OBJETIVO: </w:t>
      </w:r>
    </w:p>
    <w:p w14:paraId="74BADAEC" w14:textId="77777777" w:rsidR="00861953" w:rsidRPr="009A6D74" w:rsidRDefault="00861953" w:rsidP="009A6D74">
      <w:pPr>
        <w:pStyle w:val="Puesto"/>
      </w:pPr>
      <w:r w:rsidRPr="009A6D74">
        <w:t xml:space="preserve">Coordinar e implementar acciones que aseguren la incorporación de la perspectiva de género en los programas, proyectos y acciones competencia de la Comisión Ejecutiva de Atención a Víctimas, así como coadyuvar a promover, atender y resarcir las violaciones a los derechos humanos de las personas víctimas u ofendidas del delito mediante el seguimiento a las recomendaciones emitidas por los organismos de </w:t>
      </w:r>
      <w:r w:rsidRPr="009A6D74">
        <w:lastRenderedPageBreak/>
        <w:t xml:space="preserve">derechos humanos, e impulsar una cultura de respeto, condiciones e igualdad entre mujeres y hombres. </w:t>
      </w:r>
    </w:p>
    <w:p w14:paraId="5B3C1F7D" w14:textId="3F6D89A5" w:rsidR="00861953" w:rsidRPr="009A6D74" w:rsidRDefault="00861953" w:rsidP="009A6D74">
      <w:pPr>
        <w:pStyle w:val="Puesto"/>
        <w:rPr>
          <w:b/>
        </w:rPr>
      </w:pPr>
      <w:r w:rsidRPr="009A6D74">
        <w:rPr>
          <w:b/>
        </w:rPr>
        <w:t>FUNCIONES:</w:t>
      </w:r>
    </w:p>
    <w:p w14:paraId="1E3D04E4" w14:textId="77777777" w:rsidR="00861953" w:rsidRPr="009A6D74" w:rsidRDefault="00861953" w:rsidP="009A6D74">
      <w:pPr>
        <w:pStyle w:val="Puesto"/>
      </w:pPr>
      <w:r w:rsidRPr="009A6D74">
        <w:t>-Analizar y ejecutar los procedimientos dentro de la Comisión Ejecutiva de Atención a Víctimas que contribuyan a garantizar la indemnización compensatoria y reparación integral del daño, en violaciones a derechos humanos y delitos vinculados al género.</w:t>
      </w:r>
    </w:p>
    <w:p w14:paraId="08301A73" w14:textId="77777777" w:rsidR="00861953" w:rsidRPr="009A6D74" w:rsidRDefault="00861953" w:rsidP="009A6D74">
      <w:pPr>
        <w:pStyle w:val="Puesto"/>
      </w:pPr>
      <w:r w:rsidRPr="009A6D74">
        <w:t xml:space="preserve">-Elaborar y proponer al Comité Multidisciplinario Evaluador, los dictámenes de reparación del daño para la compensación subsidiaria por delitos y violaciones a los derechos humanos. </w:t>
      </w:r>
    </w:p>
    <w:p w14:paraId="7706B324" w14:textId="3D24AF43" w:rsidR="002E067C" w:rsidRPr="009A6D74" w:rsidRDefault="00861953" w:rsidP="009A6D74">
      <w:pPr>
        <w:pStyle w:val="Puesto"/>
      </w:pPr>
      <w:r w:rsidRPr="009A6D74">
        <w:t>-Proponer a la persona titular de la Secretaría Técnica, acciones para la atención de violencia de género, derechos humanos y otros delitos que contribuyan a la atención integral.</w:t>
      </w:r>
    </w:p>
    <w:p w14:paraId="5C348B10" w14:textId="7F226AC1" w:rsidR="00861953" w:rsidRPr="009A6D74" w:rsidRDefault="00861953" w:rsidP="009A6D74">
      <w:pPr>
        <w:pStyle w:val="Puesto"/>
      </w:pPr>
      <w:r w:rsidRPr="009A6D74">
        <w:t>-…</w:t>
      </w:r>
    </w:p>
    <w:p w14:paraId="432F09ED" w14:textId="77777777" w:rsidR="00861953" w:rsidRPr="009A6D74" w:rsidRDefault="00861953" w:rsidP="009A6D74">
      <w:pPr>
        <w:pStyle w:val="Puesto"/>
        <w:rPr>
          <w:b/>
        </w:rPr>
      </w:pPr>
      <w:r w:rsidRPr="009A6D74">
        <w:rPr>
          <w:b/>
        </w:rPr>
        <w:t xml:space="preserve">222B0210010100S CENTRO DE ATENCIÓN E INFORMACIÓN </w:t>
      </w:r>
    </w:p>
    <w:p w14:paraId="66666878" w14:textId="77777777" w:rsidR="00861953" w:rsidRPr="009A6D74" w:rsidRDefault="00861953" w:rsidP="009A6D74">
      <w:pPr>
        <w:pStyle w:val="Puesto"/>
        <w:rPr>
          <w:b/>
        </w:rPr>
      </w:pPr>
      <w:r w:rsidRPr="009A6D74">
        <w:rPr>
          <w:b/>
        </w:rPr>
        <w:t xml:space="preserve">OBJETIVO: </w:t>
      </w:r>
    </w:p>
    <w:p w14:paraId="4364626D" w14:textId="01C2B544" w:rsidR="00861953" w:rsidRPr="009A6D74" w:rsidRDefault="00861953" w:rsidP="009A6D74">
      <w:pPr>
        <w:pStyle w:val="Puesto"/>
      </w:pPr>
      <w:r w:rsidRPr="009A6D74">
        <w:t>Diseñar, actualizar, coordinar y ejecutar la operación de los sistemas, programas y bases de datos relacionadas con el control, manejo y organización de la información necesaria con fines estadísticos, cuantitativos y cualitativos, orientados al seguimiento de los objetivos y metas institucionales contempladas en el Plan Operativo Anual de la Comisión Ejecutiva de Atención a Víctimas, así como coordinar los programas de capacitación y profesionalización de los servidores públicos de la Comisión y lo referente al seguimiento y actualización de la Página Web y las Redes Sociales Institucionales.</w:t>
      </w:r>
    </w:p>
    <w:p w14:paraId="4411A820" w14:textId="77777777" w:rsidR="00861953" w:rsidRPr="009A6D74" w:rsidRDefault="00861953" w:rsidP="009A6D74">
      <w:pPr>
        <w:pStyle w:val="Puesto"/>
        <w:rPr>
          <w:b/>
        </w:rPr>
      </w:pPr>
      <w:r w:rsidRPr="009A6D74">
        <w:rPr>
          <w:b/>
        </w:rPr>
        <w:t xml:space="preserve">FUNCIONES: </w:t>
      </w:r>
    </w:p>
    <w:p w14:paraId="25B093DF" w14:textId="12D5BAED" w:rsidR="00861953" w:rsidRPr="009A6D74" w:rsidRDefault="00861953" w:rsidP="009A6D74">
      <w:pPr>
        <w:pStyle w:val="Puesto"/>
      </w:pPr>
      <w:r w:rsidRPr="009A6D74">
        <w:t>– Planear, organizar y dirigir el control estadístico de los servicios que brinda la Comisión Ejecutiva de Atención a Víctimas, mediante la implementación y diseño de bases de datos que permitan generar los reportes que sean solicitados de manera interna o externa.</w:t>
      </w:r>
    </w:p>
    <w:p w14:paraId="613E07A9" w14:textId="77777777" w:rsidR="00861953" w:rsidRPr="009A6D74" w:rsidRDefault="00861953" w:rsidP="009A6D74">
      <w:pPr>
        <w:pStyle w:val="Puesto"/>
      </w:pPr>
    </w:p>
    <w:p w14:paraId="684646CC" w14:textId="77777777" w:rsidR="00861953" w:rsidRPr="009A6D74" w:rsidRDefault="00861953" w:rsidP="009A6D74">
      <w:pPr>
        <w:pStyle w:val="Puesto"/>
        <w:rPr>
          <w:b/>
        </w:rPr>
      </w:pPr>
      <w:r w:rsidRPr="009A6D74">
        <w:rPr>
          <w:b/>
        </w:rPr>
        <w:t xml:space="preserve">222B0211000000L UNIDAD DE ATENCIÓN INMEDIATA Y PRIMER CONTACTO </w:t>
      </w:r>
    </w:p>
    <w:p w14:paraId="2C70CC46" w14:textId="6B16E15D" w:rsidR="00861953" w:rsidRPr="009A6D74" w:rsidRDefault="00861953" w:rsidP="009A6D74">
      <w:pPr>
        <w:pStyle w:val="Puesto"/>
        <w:rPr>
          <w:b/>
        </w:rPr>
      </w:pPr>
      <w:r w:rsidRPr="009A6D74">
        <w:rPr>
          <w:b/>
        </w:rPr>
        <w:t xml:space="preserve">OBJETIVO: </w:t>
      </w:r>
    </w:p>
    <w:p w14:paraId="44C83C5B" w14:textId="77777777" w:rsidR="00861953" w:rsidRPr="009A6D74" w:rsidRDefault="00861953" w:rsidP="009A6D74">
      <w:pPr>
        <w:pStyle w:val="Puesto"/>
      </w:pPr>
      <w:r w:rsidRPr="009A6D74">
        <w:t xml:space="preserve">Coordinar la atención integral y oportuna de las personas víctimas y ofendidos del delito y de violación de sus derechos humanos, a través de las áreas especializadas de Trabajo Social, Psicología y Asesoría Jurídica, a fin de garantizar el acceso a los servicios multidisciplinarios que brinda la Comisión Ejecutiva de Atención a Víctimas, en el pleno ejercicio de sus derechos y la reincorporación a la vida cotidiana. </w:t>
      </w:r>
    </w:p>
    <w:p w14:paraId="7C042DDC" w14:textId="77777777" w:rsidR="00861953" w:rsidRPr="009A6D74" w:rsidRDefault="00861953" w:rsidP="009A6D74">
      <w:pPr>
        <w:tabs>
          <w:tab w:val="left" w:pos="7938"/>
        </w:tabs>
        <w:ind w:right="-312"/>
        <w:contextualSpacing/>
      </w:pPr>
    </w:p>
    <w:p w14:paraId="61C86690" w14:textId="56F76EB6" w:rsidR="0039267F" w:rsidRPr="009A6D74" w:rsidRDefault="0039267F" w:rsidP="009A6D74">
      <w:pPr>
        <w:ind w:right="-312"/>
        <w:rPr>
          <w:rFonts w:eastAsia="Palatino Linotype"/>
        </w:rPr>
      </w:pPr>
      <w:r w:rsidRPr="009A6D74">
        <w:rPr>
          <w:rFonts w:eastAsia="Palatino Linotype"/>
        </w:rPr>
        <w:t>Por lo que, se concluye que la información que es del interés de</w:t>
      </w:r>
      <w:r w:rsidRPr="009A6D74">
        <w:rPr>
          <w:rFonts w:eastAsia="Palatino Linotype"/>
          <w:b/>
          <w:bCs/>
        </w:rPr>
        <w:t xml:space="preserve"> LA </w:t>
      </w:r>
      <w:r w:rsidR="00C860CD" w:rsidRPr="009A6D74">
        <w:rPr>
          <w:rFonts w:eastAsia="Palatino Linotype"/>
          <w:b/>
          <w:bCs/>
        </w:rPr>
        <w:t>PARTE</w:t>
      </w:r>
      <w:r w:rsidRPr="009A6D74">
        <w:rPr>
          <w:rFonts w:eastAsia="Palatino Linotype"/>
          <w:b/>
          <w:bCs/>
        </w:rPr>
        <w:t xml:space="preserve"> RECURRENTE</w:t>
      </w:r>
      <w:r w:rsidRPr="009A6D74">
        <w:rPr>
          <w:rFonts w:eastAsia="Palatino Linotype"/>
        </w:rPr>
        <w:t xml:space="preserve"> corresponde con al ámbito de competencia del </w:t>
      </w:r>
      <w:r w:rsidRPr="009A6D74">
        <w:rPr>
          <w:rFonts w:eastAsia="Palatino Linotype"/>
          <w:b/>
          <w:bCs/>
        </w:rPr>
        <w:t xml:space="preserve">SUJETO OBLIGADO, </w:t>
      </w:r>
      <w:r w:rsidR="00A81179" w:rsidRPr="009A6D74">
        <w:rPr>
          <w:rFonts w:eastAsia="Palatino Linotype"/>
        </w:rPr>
        <w:t xml:space="preserve">por lo que se </w:t>
      </w:r>
      <w:r w:rsidRPr="009A6D74">
        <w:rPr>
          <w:rFonts w:eastAsia="Palatino Linotype"/>
        </w:rPr>
        <w:t xml:space="preserve">considera que la información peticionada por </w:t>
      </w:r>
      <w:r w:rsidRPr="009A6D74">
        <w:rPr>
          <w:rFonts w:eastAsia="Palatino Linotype"/>
          <w:b/>
          <w:bCs/>
        </w:rPr>
        <w:t xml:space="preserve">LA </w:t>
      </w:r>
      <w:r w:rsidR="00C860CD" w:rsidRPr="009A6D74">
        <w:rPr>
          <w:rFonts w:eastAsia="Palatino Linotype"/>
          <w:b/>
          <w:bCs/>
        </w:rPr>
        <w:t>PARTE</w:t>
      </w:r>
      <w:r w:rsidRPr="009A6D74">
        <w:rPr>
          <w:rFonts w:eastAsia="Palatino Linotype"/>
          <w:b/>
          <w:bCs/>
        </w:rPr>
        <w:t xml:space="preserve"> RECURRENTE </w:t>
      </w:r>
      <w:r w:rsidRPr="009A6D74">
        <w:rPr>
          <w:rFonts w:eastAsia="Palatino Linotype"/>
        </w:rPr>
        <w:t xml:space="preserve">debe de obrar en los archivos del </w:t>
      </w:r>
      <w:r w:rsidRPr="009A6D74">
        <w:rPr>
          <w:rFonts w:eastAsia="Palatino Linotype"/>
          <w:b/>
          <w:bCs/>
        </w:rPr>
        <w:t xml:space="preserve">SUJETO OBLIGADO, </w:t>
      </w:r>
      <w:r w:rsidRPr="009A6D74">
        <w:rPr>
          <w:rFonts w:eastAsia="Palatino Linotype"/>
        </w:rPr>
        <w:t>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60139DCB" w14:textId="77777777" w:rsidR="0039267F" w:rsidRPr="009A6D74" w:rsidRDefault="0039267F" w:rsidP="009A6D74">
      <w:pPr>
        <w:ind w:right="-312"/>
        <w:rPr>
          <w:rFonts w:eastAsia="Palatino Linotype"/>
        </w:rPr>
      </w:pPr>
    </w:p>
    <w:p w14:paraId="6B995BC5" w14:textId="77777777" w:rsidR="0039267F" w:rsidRPr="009A6D74" w:rsidRDefault="0039267F" w:rsidP="009A6D74">
      <w:pPr>
        <w:pStyle w:val="Puesto"/>
        <w:ind w:right="539"/>
        <w:rPr>
          <w:rFonts w:eastAsia="Palatino Linotype"/>
        </w:rPr>
      </w:pPr>
      <w:r w:rsidRPr="009A6D74">
        <w:rPr>
          <w:rFonts w:eastAsia="Palatino Linotype"/>
        </w:rPr>
        <w:t>“</w:t>
      </w:r>
      <w:r w:rsidRPr="009A6D74">
        <w:rPr>
          <w:rFonts w:eastAsia="Palatino Linotype"/>
          <w:b/>
        </w:rPr>
        <w:t>Artículo 18.</w:t>
      </w:r>
      <w:r w:rsidRPr="009A6D74">
        <w:rPr>
          <w:rFonts w:eastAsia="Palatino Linotype"/>
        </w:rPr>
        <w:t xml:space="preserve"> Los sujetos obligados </w:t>
      </w:r>
      <w:r w:rsidRPr="009A6D74">
        <w:rPr>
          <w:rFonts w:eastAsia="Palatino Linotype"/>
          <w:b/>
        </w:rPr>
        <w:t>deberán documentar todo acto</w:t>
      </w:r>
      <w:r w:rsidRPr="009A6D74">
        <w:rPr>
          <w:rFonts w:eastAsia="Palatino Linotype"/>
        </w:rPr>
        <w:t xml:space="preserve"> </w:t>
      </w:r>
      <w:r w:rsidRPr="009A6D74">
        <w:rPr>
          <w:rFonts w:eastAsia="Palatino Linotype"/>
          <w:b/>
        </w:rPr>
        <w:t>que derive del ejercicio de sus facultades, competencias o funciones</w:t>
      </w:r>
      <w:r w:rsidRPr="009A6D74">
        <w:rPr>
          <w:rFonts w:eastAsia="Palatino Linotype"/>
        </w:rPr>
        <w:t>, considerando desde su origen la eventual publicidad y reutilización de la información que generen.</w:t>
      </w:r>
    </w:p>
    <w:p w14:paraId="75628B66" w14:textId="77777777" w:rsidR="0039267F" w:rsidRPr="009A6D74" w:rsidRDefault="0039267F" w:rsidP="009A6D74">
      <w:pPr>
        <w:pStyle w:val="Puesto"/>
        <w:ind w:right="539"/>
        <w:rPr>
          <w:rFonts w:eastAsia="Palatino Linotype"/>
        </w:rPr>
      </w:pPr>
      <w:r w:rsidRPr="009A6D74">
        <w:rPr>
          <w:rFonts w:eastAsia="Palatino Linotype"/>
        </w:rPr>
        <w:t>(…)</w:t>
      </w:r>
    </w:p>
    <w:p w14:paraId="608ACB8D" w14:textId="77777777" w:rsidR="0039267F" w:rsidRPr="009A6D74" w:rsidRDefault="0039267F" w:rsidP="009A6D74">
      <w:pPr>
        <w:pStyle w:val="Puesto"/>
        <w:ind w:right="539"/>
        <w:rPr>
          <w:rFonts w:eastAsia="Palatino Linotype"/>
        </w:rPr>
      </w:pPr>
      <w:r w:rsidRPr="009A6D74">
        <w:rPr>
          <w:rFonts w:eastAsia="Palatino Linotype"/>
          <w:b/>
        </w:rPr>
        <w:t>Artículo 24.</w:t>
      </w:r>
      <w:r w:rsidRPr="009A6D74">
        <w:rPr>
          <w:rFonts w:eastAsia="Palatino Linotype"/>
        </w:rPr>
        <w:t xml:space="preserve"> Para el cumplimiento de los objetivos de esta Ley</w:t>
      </w:r>
      <w:r w:rsidRPr="009A6D74">
        <w:rPr>
          <w:rFonts w:eastAsia="Palatino Linotype"/>
          <w:b/>
        </w:rPr>
        <w:t>, los sujetos obligados deberán cumplir con las siguientes obligaciones</w:t>
      </w:r>
      <w:r w:rsidRPr="009A6D74">
        <w:rPr>
          <w:rFonts w:eastAsia="Palatino Linotype"/>
        </w:rPr>
        <w:t>, según corresponda, de acuerdo a su naturaleza:</w:t>
      </w:r>
    </w:p>
    <w:p w14:paraId="47AFD808" w14:textId="77777777" w:rsidR="0039267F" w:rsidRPr="009A6D74" w:rsidRDefault="0039267F" w:rsidP="009A6D74">
      <w:pPr>
        <w:pStyle w:val="Puesto"/>
        <w:ind w:right="539"/>
        <w:rPr>
          <w:rFonts w:eastAsia="Palatino Linotype"/>
        </w:rPr>
      </w:pPr>
      <w:r w:rsidRPr="009A6D74">
        <w:rPr>
          <w:rFonts w:eastAsia="Palatino Linotype"/>
        </w:rPr>
        <w:t>(…)</w:t>
      </w:r>
    </w:p>
    <w:p w14:paraId="3FFF95C1" w14:textId="77777777" w:rsidR="0039267F" w:rsidRPr="009A6D74" w:rsidRDefault="0039267F" w:rsidP="009A6D74">
      <w:pPr>
        <w:pStyle w:val="Puesto"/>
        <w:ind w:right="539"/>
        <w:rPr>
          <w:rFonts w:eastAsia="Palatino Linotype"/>
        </w:rPr>
      </w:pPr>
      <w:r w:rsidRPr="009A6D74">
        <w:rPr>
          <w:rFonts w:eastAsia="Palatino Linotype"/>
          <w:b/>
        </w:rPr>
        <w:t>XXII.</w:t>
      </w:r>
      <w:r w:rsidRPr="009A6D74">
        <w:rPr>
          <w:rFonts w:eastAsia="Palatino Linotype"/>
        </w:rPr>
        <w:t xml:space="preserve"> </w:t>
      </w:r>
      <w:r w:rsidRPr="009A6D74">
        <w:rPr>
          <w:rFonts w:eastAsia="Palatino Linotype"/>
          <w:b/>
        </w:rPr>
        <w:t>Documentar todo acto que derive del ejercicio de sus facultades, competencias o funciones</w:t>
      </w:r>
      <w:r w:rsidRPr="009A6D74">
        <w:rPr>
          <w:rFonts w:eastAsia="Palatino Linotype"/>
        </w:rPr>
        <w:t xml:space="preserve"> y abstenerse de destruirlos u ocultarlos, dentro de los que destacan los procesos deliberativos y de decisión definitiva;”</w:t>
      </w:r>
    </w:p>
    <w:p w14:paraId="2A42AD15" w14:textId="77777777" w:rsidR="00CE72DC" w:rsidRPr="009A6D74" w:rsidRDefault="00CE72DC" w:rsidP="009A6D74">
      <w:pPr>
        <w:ind w:right="-312"/>
        <w:rPr>
          <w:rFonts w:eastAsia="Palatino Linotype"/>
        </w:rPr>
      </w:pPr>
    </w:p>
    <w:p w14:paraId="7CFCC247" w14:textId="77777777" w:rsidR="00D7774A" w:rsidRPr="009A6D74" w:rsidRDefault="00D7774A" w:rsidP="009A6D74">
      <w:pPr>
        <w:pStyle w:val="Ttulo3"/>
      </w:pPr>
      <w:bookmarkStart w:id="28" w:name="_Toc165402882"/>
      <w:bookmarkStart w:id="29" w:name="_Toc171370491"/>
      <w:r w:rsidRPr="009A6D74">
        <w:t>d) Versión pública</w:t>
      </w:r>
      <w:bookmarkEnd w:id="28"/>
      <w:bookmarkEnd w:id="29"/>
    </w:p>
    <w:p w14:paraId="07B62797" w14:textId="77777777" w:rsidR="00D7774A" w:rsidRPr="009A6D74" w:rsidRDefault="00D7774A" w:rsidP="009A6D74">
      <w:pPr>
        <w:rPr>
          <w:bCs/>
        </w:rPr>
      </w:pPr>
      <w:r w:rsidRPr="009A6D74">
        <w:t xml:space="preserve">Para el caso de que el o los documentos de los cuales se ordena su entrega contengan datos personales susceptibles de ser testados, deberán ser entregados en </w:t>
      </w:r>
      <w:r w:rsidRPr="009A6D74">
        <w:rPr>
          <w:b/>
        </w:rPr>
        <w:t>versión pública</w:t>
      </w:r>
      <w:r w:rsidRPr="009A6D74">
        <w:t>, pues el</w:t>
      </w:r>
      <w:r w:rsidRPr="009A6D7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w:t>
      </w:r>
      <w:r w:rsidRPr="009A6D74">
        <w:rPr>
          <w:bCs/>
        </w:rPr>
        <w:lastRenderedPageBreak/>
        <w:t>armonía entre los principios constitucionales de máxima publicidad y de protección de datos personales, la ley permite la elaboración de versiones públicas en las que se suprima aquella información relacionada con la vida privada de los particulares.</w:t>
      </w:r>
    </w:p>
    <w:p w14:paraId="721980D4" w14:textId="77777777" w:rsidR="00D7774A" w:rsidRPr="009A6D74" w:rsidRDefault="00D7774A" w:rsidP="009A6D74">
      <w:pPr>
        <w:rPr>
          <w:rFonts w:eastAsia="Calibri"/>
          <w:bCs/>
          <w:lang w:eastAsia="en-US"/>
        </w:rPr>
      </w:pPr>
    </w:p>
    <w:p w14:paraId="57702EF7" w14:textId="77777777" w:rsidR="00D7774A" w:rsidRPr="009A6D74" w:rsidRDefault="00D7774A" w:rsidP="009A6D74">
      <w:pPr>
        <w:rPr>
          <w:bCs/>
        </w:rPr>
      </w:pPr>
      <w:r w:rsidRPr="009A6D74">
        <w:rPr>
          <w:bCs/>
        </w:rPr>
        <w:t>A este respecto, los artículos 3, fracciones IX, XX, XXI y XLV; 51 y 52 de la Ley de Transparencia y Acceso a la Información Pública del Estado de México y Municipios establecen:</w:t>
      </w:r>
    </w:p>
    <w:p w14:paraId="05C68D94" w14:textId="77777777" w:rsidR="00D7774A" w:rsidRPr="009A6D74" w:rsidRDefault="00D7774A" w:rsidP="009A6D74"/>
    <w:p w14:paraId="2D32240F" w14:textId="77777777" w:rsidR="00D7774A" w:rsidRPr="009A6D74" w:rsidRDefault="00D7774A" w:rsidP="009A6D74">
      <w:pPr>
        <w:pStyle w:val="Puesto"/>
      </w:pPr>
      <w:r w:rsidRPr="009A6D74">
        <w:rPr>
          <w:b/>
          <w:bCs/>
          <w:noProof/>
        </w:rPr>
        <w:t>“</w:t>
      </w:r>
      <w:r w:rsidRPr="009A6D74">
        <w:rPr>
          <w:b/>
          <w:bCs/>
        </w:rPr>
        <w:t xml:space="preserve">Artículo 3. </w:t>
      </w:r>
      <w:r w:rsidRPr="009A6D74">
        <w:t xml:space="preserve">Para los efectos de la presente Ley se entenderá por: </w:t>
      </w:r>
    </w:p>
    <w:p w14:paraId="779E1D40" w14:textId="77777777" w:rsidR="00D7774A" w:rsidRPr="009A6D74" w:rsidRDefault="00D7774A" w:rsidP="009A6D74">
      <w:pPr>
        <w:pStyle w:val="Puesto"/>
      </w:pPr>
      <w:r w:rsidRPr="009A6D74">
        <w:rPr>
          <w:b/>
        </w:rPr>
        <w:t>IX.</w:t>
      </w:r>
      <w:r w:rsidRPr="009A6D74">
        <w:t xml:space="preserve"> </w:t>
      </w:r>
      <w:r w:rsidRPr="009A6D74">
        <w:rPr>
          <w:b/>
        </w:rPr>
        <w:t xml:space="preserve">Datos personales: </w:t>
      </w:r>
      <w:r w:rsidRPr="009A6D74">
        <w:t xml:space="preserve">La información concerniente a una persona, identificada o identificable según lo dispuesto por la Ley de Protección de Datos Personales del Estado de México; </w:t>
      </w:r>
    </w:p>
    <w:p w14:paraId="07D51D3C" w14:textId="77777777" w:rsidR="00D7774A" w:rsidRPr="009A6D74" w:rsidRDefault="00D7774A" w:rsidP="009A6D74"/>
    <w:p w14:paraId="15CF3960" w14:textId="77777777" w:rsidR="00D7774A" w:rsidRPr="009A6D74" w:rsidRDefault="00D7774A" w:rsidP="009A6D74">
      <w:pPr>
        <w:pStyle w:val="Puesto"/>
      </w:pPr>
      <w:r w:rsidRPr="009A6D74">
        <w:rPr>
          <w:b/>
        </w:rPr>
        <w:t>XX.</w:t>
      </w:r>
      <w:r w:rsidRPr="009A6D74">
        <w:t xml:space="preserve"> </w:t>
      </w:r>
      <w:r w:rsidRPr="009A6D74">
        <w:rPr>
          <w:b/>
        </w:rPr>
        <w:t>Información clasificada:</w:t>
      </w:r>
      <w:r w:rsidRPr="009A6D74">
        <w:t xml:space="preserve"> Aquella considerada por la presente Ley como reservada o confidencial; </w:t>
      </w:r>
    </w:p>
    <w:p w14:paraId="49D8E2A7" w14:textId="77777777" w:rsidR="00D7774A" w:rsidRPr="009A6D74" w:rsidRDefault="00D7774A" w:rsidP="009A6D74"/>
    <w:p w14:paraId="207C0526" w14:textId="77777777" w:rsidR="00D7774A" w:rsidRPr="009A6D74" w:rsidRDefault="00D7774A" w:rsidP="009A6D74">
      <w:pPr>
        <w:pStyle w:val="Puesto"/>
      </w:pPr>
      <w:r w:rsidRPr="009A6D74">
        <w:rPr>
          <w:b/>
        </w:rPr>
        <w:t>XXI.</w:t>
      </w:r>
      <w:r w:rsidRPr="009A6D74">
        <w:t xml:space="preserve"> </w:t>
      </w:r>
      <w:r w:rsidRPr="009A6D74">
        <w:rPr>
          <w:b/>
        </w:rPr>
        <w:t>Información confidencial</w:t>
      </w:r>
      <w:r w:rsidRPr="009A6D7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0DE4C89" w14:textId="77777777" w:rsidR="00D7774A" w:rsidRPr="009A6D74" w:rsidRDefault="00D7774A" w:rsidP="009A6D74"/>
    <w:p w14:paraId="7B2AF36A" w14:textId="77777777" w:rsidR="00D7774A" w:rsidRPr="009A6D74" w:rsidRDefault="00D7774A" w:rsidP="009A6D74">
      <w:pPr>
        <w:pStyle w:val="Puesto"/>
      </w:pPr>
      <w:r w:rsidRPr="009A6D74">
        <w:rPr>
          <w:b/>
        </w:rPr>
        <w:t>XLV. Versión pública:</w:t>
      </w:r>
      <w:r w:rsidRPr="009A6D74">
        <w:t xml:space="preserve"> Documento en el que se elimine, suprime o borra la información clasificada como reservada o confidencial para permitir su acceso. </w:t>
      </w:r>
    </w:p>
    <w:p w14:paraId="39C92CEF" w14:textId="77777777" w:rsidR="00D7774A" w:rsidRPr="009A6D74" w:rsidRDefault="00D7774A" w:rsidP="009A6D74"/>
    <w:p w14:paraId="75CD9760" w14:textId="77777777" w:rsidR="00D7774A" w:rsidRPr="009A6D74" w:rsidRDefault="00D7774A" w:rsidP="009A6D74">
      <w:pPr>
        <w:pStyle w:val="Puesto"/>
      </w:pPr>
      <w:r w:rsidRPr="009A6D74">
        <w:rPr>
          <w:b/>
        </w:rPr>
        <w:t>Artículo 51.</w:t>
      </w:r>
      <w:r w:rsidRPr="009A6D74">
        <w:t xml:space="preserve"> Los sujetos obligados designaran a un responsable para atender la Unidad de Transparencia, quien fungirá como enlace entre éstos y los solicitantes. Dicha Unidad será la encargada de tramitar internamente la solicitud de información </w:t>
      </w:r>
      <w:r w:rsidRPr="009A6D74">
        <w:rPr>
          <w:b/>
        </w:rPr>
        <w:t xml:space="preserve">y tendrá la responsabilidad de verificar en cada caso que la misma no sea confidencial o reservada. </w:t>
      </w:r>
      <w:r w:rsidRPr="009A6D74">
        <w:t>Dicha Unidad contará con las facultades internas necesarias para gestionar la atención a las solicitudes de información en los términos de la Ley General y la presente Ley.</w:t>
      </w:r>
    </w:p>
    <w:p w14:paraId="6B3533CF" w14:textId="77777777" w:rsidR="00D7774A" w:rsidRPr="009A6D74" w:rsidRDefault="00D7774A" w:rsidP="009A6D74"/>
    <w:p w14:paraId="731188CD" w14:textId="77777777" w:rsidR="00D7774A" w:rsidRPr="009A6D74" w:rsidRDefault="00D7774A" w:rsidP="009A6D74">
      <w:pPr>
        <w:pStyle w:val="Puesto"/>
      </w:pPr>
      <w:r w:rsidRPr="009A6D74">
        <w:rPr>
          <w:b/>
        </w:rPr>
        <w:lastRenderedPageBreak/>
        <w:t>Artículo 52.</w:t>
      </w:r>
      <w:r w:rsidRPr="009A6D74">
        <w:t xml:space="preserve"> Las solicitudes de acceso a la información y las respuestas que se les dé, incluyendo, en su caso, </w:t>
      </w:r>
      <w:r w:rsidRPr="009A6D74">
        <w:rPr>
          <w:u w:val="single"/>
        </w:rPr>
        <w:t>la información entregada, así como las resoluciones a los recursos que en su caso se promuevan serán públicas, y de ser el caso que contenga datos personales que deban ser protegidos se podrá dar su acceso en su versión pública</w:t>
      </w:r>
      <w:r w:rsidRPr="009A6D74">
        <w:t>, siempre y cuando la resolución de referencia se someta a un proceso de disociación, es decir, no haga identificable al titular de tales datos personales.</w:t>
      </w:r>
      <w:r w:rsidRPr="009A6D74">
        <w:rPr>
          <w:bCs/>
          <w:noProof/>
        </w:rPr>
        <w:t xml:space="preserve">” </w:t>
      </w:r>
      <w:r w:rsidRPr="009A6D74">
        <w:rPr>
          <w:i w:val="0"/>
          <w:iCs/>
          <w:szCs w:val="22"/>
        </w:rPr>
        <w:t>(Énfasis añadido)</w:t>
      </w:r>
    </w:p>
    <w:p w14:paraId="02BA2360" w14:textId="77777777" w:rsidR="00D7774A" w:rsidRPr="009A6D74" w:rsidRDefault="00D7774A" w:rsidP="009A6D74"/>
    <w:p w14:paraId="39EBD9F0" w14:textId="77777777" w:rsidR="00D7774A" w:rsidRPr="009A6D74" w:rsidRDefault="00D7774A" w:rsidP="009A6D74">
      <w:r w:rsidRPr="009A6D7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814B1A5" w14:textId="77777777" w:rsidR="00D7774A" w:rsidRPr="009A6D74" w:rsidRDefault="00D7774A" w:rsidP="009A6D74"/>
    <w:p w14:paraId="3CEFCF2C" w14:textId="77777777" w:rsidR="00D7774A" w:rsidRPr="009A6D74" w:rsidRDefault="00D7774A" w:rsidP="009A6D74">
      <w:pPr>
        <w:pStyle w:val="Puesto"/>
        <w:rPr>
          <w:rFonts w:eastAsia="Arial Unicode MS"/>
        </w:rPr>
      </w:pPr>
      <w:r w:rsidRPr="009A6D74">
        <w:rPr>
          <w:rFonts w:eastAsia="Arial Unicode MS"/>
          <w:b/>
        </w:rPr>
        <w:t>“Artículo 22.</w:t>
      </w:r>
      <w:r w:rsidRPr="009A6D7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6EBA8B8" w14:textId="77777777" w:rsidR="00D7774A" w:rsidRPr="009A6D74" w:rsidRDefault="00D7774A" w:rsidP="009A6D74">
      <w:pPr>
        <w:rPr>
          <w:rFonts w:eastAsia="Arial Unicode MS"/>
        </w:rPr>
      </w:pPr>
    </w:p>
    <w:p w14:paraId="29B47D9A" w14:textId="77777777" w:rsidR="00D7774A" w:rsidRPr="009A6D74" w:rsidRDefault="00D7774A" w:rsidP="009A6D74">
      <w:pPr>
        <w:pStyle w:val="Puesto"/>
        <w:rPr>
          <w:rFonts w:eastAsia="Arial Unicode MS"/>
        </w:rPr>
      </w:pPr>
      <w:r w:rsidRPr="009A6D74">
        <w:rPr>
          <w:rFonts w:eastAsia="Arial Unicode MS"/>
          <w:b/>
        </w:rPr>
        <w:t>Artículo 38.</w:t>
      </w:r>
      <w:r w:rsidRPr="009A6D7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A6D74">
        <w:rPr>
          <w:rFonts w:eastAsia="Arial Unicode MS"/>
          <w:b/>
        </w:rPr>
        <w:t>”</w:t>
      </w:r>
      <w:r w:rsidRPr="009A6D74">
        <w:rPr>
          <w:rFonts w:eastAsia="Arial Unicode MS"/>
        </w:rPr>
        <w:t xml:space="preserve"> </w:t>
      </w:r>
    </w:p>
    <w:p w14:paraId="0C433FDC" w14:textId="77777777" w:rsidR="00D7774A" w:rsidRPr="009A6D74" w:rsidRDefault="00D7774A" w:rsidP="009A6D74">
      <w:pPr>
        <w:rPr>
          <w:rFonts w:eastAsia="Arial Unicode MS"/>
          <w:i/>
          <w:szCs w:val="22"/>
        </w:rPr>
      </w:pPr>
    </w:p>
    <w:p w14:paraId="0AF59645" w14:textId="77777777" w:rsidR="00D7774A" w:rsidRPr="009A6D74" w:rsidRDefault="00D7774A" w:rsidP="009A6D74">
      <w:r w:rsidRPr="009A6D74">
        <w:t xml:space="preserve">De este modo, en armonía entre los principios constitucionales de máxima publicidad y de protección de datos personales, la Ley de la materia permite la elaboración de </w:t>
      </w:r>
      <w:r w:rsidRPr="009A6D74">
        <w:lastRenderedPageBreak/>
        <w:t xml:space="preserve">versiones públicas en las que se suprima aquella información relacionada con la vida privada de los particulares toda vez que ésta tiene por objeto proteger datos personales, entendiéndose por tales, aquéllos que hacen identificable a una persona. </w:t>
      </w:r>
    </w:p>
    <w:p w14:paraId="0A928327" w14:textId="77777777" w:rsidR="00D7774A" w:rsidRPr="009A6D74" w:rsidRDefault="00D7774A" w:rsidP="009A6D74"/>
    <w:p w14:paraId="31BE177B" w14:textId="77777777" w:rsidR="00D7774A" w:rsidRPr="009A6D74" w:rsidRDefault="00D7774A" w:rsidP="009A6D74">
      <w:r w:rsidRPr="009A6D7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A6D74">
        <w:rPr>
          <w:rFonts w:eastAsia="Arial Unicode MS"/>
        </w:rPr>
        <w:t xml:space="preserve"> que debe ser protegida por </w:t>
      </w:r>
      <w:r w:rsidRPr="009A6D74">
        <w:rPr>
          <w:rFonts w:eastAsia="Arial Unicode MS"/>
          <w:b/>
        </w:rPr>
        <w:t>EL SUJETO OBLIGADO,</w:t>
      </w:r>
      <w:r w:rsidRPr="009A6D74">
        <w:rPr>
          <w:rFonts w:eastAsia="Arial Unicode MS"/>
        </w:rPr>
        <w:t xml:space="preserve"> por lo </w:t>
      </w:r>
      <w:r w:rsidRPr="009A6D74">
        <w:t>que, todo dato personal susceptible de clasificación debe ser protegido.</w:t>
      </w:r>
    </w:p>
    <w:p w14:paraId="649798E2" w14:textId="77777777" w:rsidR="00D7774A" w:rsidRPr="009A6D74" w:rsidRDefault="00D7774A" w:rsidP="009A6D74"/>
    <w:p w14:paraId="26D0EFB8" w14:textId="77777777" w:rsidR="00D7774A" w:rsidRPr="009A6D74" w:rsidRDefault="00D7774A" w:rsidP="009A6D74">
      <w:r w:rsidRPr="009A6D7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889229D" w14:textId="77777777" w:rsidR="00D7774A" w:rsidRPr="009A6D74" w:rsidRDefault="00D7774A" w:rsidP="009A6D74"/>
    <w:p w14:paraId="0001A06E" w14:textId="77777777" w:rsidR="00D7774A" w:rsidRPr="009A6D74" w:rsidRDefault="00D7774A" w:rsidP="009A6D74">
      <w:r w:rsidRPr="009A6D7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97442B3" w14:textId="77777777" w:rsidR="00D7774A" w:rsidRPr="009A6D74" w:rsidRDefault="00D7774A" w:rsidP="009A6D74"/>
    <w:p w14:paraId="5C2FA358" w14:textId="77777777" w:rsidR="00D7774A" w:rsidRPr="009A6D74" w:rsidRDefault="00D7774A" w:rsidP="009A6D74">
      <w:pPr>
        <w:jc w:val="center"/>
        <w:rPr>
          <w:b/>
          <w:i/>
          <w:szCs w:val="22"/>
        </w:rPr>
      </w:pPr>
      <w:r w:rsidRPr="009A6D74">
        <w:rPr>
          <w:b/>
          <w:i/>
          <w:szCs w:val="22"/>
          <w:lang w:val="es-ES_tradnl"/>
        </w:rPr>
        <w:lastRenderedPageBreak/>
        <w:t>Ley de Transparencia y Acceso a la Información Pública del Estado de México y Municipios</w:t>
      </w:r>
    </w:p>
    <w:p w14:paraId="2A9A5843" w14:textId="77777777" w:rsidR="00D7774A" w:rsidRPr="009A6D74" w:rsidRDefault="00D7774A" w:rsidP="009A6D74"/>
    <w:p w14:paraId="7E38CE63" w14:textId="77777777" w:rsidR="00D7774A" w:rsidRPr="009A6D74" w:rsidRDefault="00D7774A" w:rsidP="009A6D74">
      <w:pPr>
        <w:pStyle w:val="Puesto"/>
      </w:pPr>
      <w:r w:rsidRPr="009A6D74">
        <w:rPr>
          <w:b/>
        </w:rPr>
        <w:t xml:space="preserve">“Artículo 49. </w:t>
      </w:r>
      <w:r w:rsidRPr="009A6D74">
        <w:t>Los Comités de Transparencia tendrán las siguientes atribuciones:</w:t>
      </w:r>
    </w:p>
    <w:p w14:paraId="6452BA2D" w14:textId="77777777" w:rsidR="00D7774A" w:rsidRPr="009A6D74" w:rsidRDefault="00D7774A" w:rsidP="009A6D74">
      <w:pPr>
        <w:pStyle w:val="Puesto"/>
      </w:pPr>
      <w:r w:rsidRPr="009A6D74">
        <w:rPr>
          <w:b/>
        </w:rPr>
        <w:t>VIII.</w:t>
      </w:r>
      <w:r w:rsidRPr="009A6D74">
        <w:t xml:space="preserve"> Aprobar, modificar o revocar la clasificación de la información;</w:t>
      </w:r>
    </w:p>
    <w:p w14:paraId="54BD4742" w14:textId="77777777" w:rsidR="00D7774A" w:rsidRPr="009A6D74" w:rsidRDefault="00D7774A" w:rsidP="009A6D74"/>
    <w:p w14:paraId="7C6392ED" w14:textId="77777777" w:rsidR="00D7774A" w:rsidRPr="009A6D74" w:rsidRDefault="00D7774A" w:rsidP="009A6D74">
      <w:pPr>
        <w:pStyle w:val="Puesto"/>
      </w:pPr>
      <w:r w:rsidRPr="009A6D74">
        <w:rPr>
          <w:b/>
        </w:rPr>
        <w:t>Artículo 132.</w:t>
      </w:r>
      <w:r w:rsidRPr="009A6D74">
        <w:t xml:space="preserve"> La clasificación de la información se llevará a cabo en el momento en que:</w:t>
      </w:r>
    </w:p>
    <w:p w14:paraId="13089A24" w14:textId="77777777" w:rsidR="00D7774A" w:rsidRPr="009A6D74" w:rsidRDefault="00D7774A" w:rsidP="009A6D74">
      <w:pPr>
        <w:pStyle w:val="Puesto"/>
      </w:pPr>
      <w:r w:rsidRPr="009A6D74">
        <w:rPr>
          <w:b/>
        </w:rPr>
        <w:t>I.</w:t>
      </w:r>
      <w:r w:rsidRPr="009A6D74">
        <w:t xml:space="preserve"> Se reciba una solicitud de acceso a la información;</w:t>
      </w:r>
    </w:p>
    <w:p w14:paraId="4C0E1D49" w14:textId="77777777" w:rsidR="00D7774A" w:rsidRPr="009A6D74" w:rsidRDefault="00D7774A" w:rsidP="009A6D74">
      <w:pPr>
        <w:pStyle w:val="Puesto"/>
      </w:pPr>
      <w:r w:rsidRPr="009A6D74">
        <w:rPr>
          <w:b/>
        </w:rPr>
        <w:t>II.</w:t>
      </w:r>
      <w:r w:rsidRPr="009A6D74">
        <w:t xml:space="preserve"> Se determine mediante resolución de autoridad competente; o</w:t>
      </w:r>
    </w:p>
    <w:p w14:paraId="54865AED" w14:textId="77777777" w:rsidR="00D7774A" w:rsidRPr="009A6D74" w:rsidRDefault="00D7774A" w:rsidP="009A6D74">
      <w:pPr>
        <w:pStyle w:val="Puesto"/>
        <w:rPr>
          <w:b/>
        </w:rPr>
      </w:pPr>
      <w:r w:rsidRPr="009A6D74">
        <w:rPr>
          <w:b/>
          <w:bCs/>
        </w:rPr>
        <w:t>III.</w:t>
      </w:r>
      <w:r w:rsidRPr="009A6D74">
        <w:t xml:space="preserve"> Se generen versiones públicas para dar cumplimiento a las obligaciones de transparencia previstas en esta Ley.</w:t>
      </w:r>
      <w:r w:rsidRPr="009A6D74">
        <w:rPr>
          <w:b/>
        </w:rPr>
        <w:t>”</w:t>
      </w:r>
    </w:p>
    <w:p w14:paraId="415B1508" w14:textId="77777777" w:rsidR="00D7774A" w:rsidRPr="009A6D74" w:rsidRDefault="00D7774A" w:rsidP="009A6D74"/>
    <w:p w14:paraId="5E42B310" w14:textId="77777777" w:rsidR="00D7774A" w:rsidRPr="009A6D74" w:rsidRDefault="00D7774A" w:rsidP="009A6D74">
      <w:pPr>
        <w:pStyle w:val="Puesto"/>
      </w:pPr>
      <w:r w:rsidRPr="009A6D74">
        <w:rPr>
          <w:b/>
        </w:rPr>
        <w:t>“Segundo. -</w:t>
      </w:r>
      <w:r w:rsidRPr="009A6D74">
        <w:t xml:space="preserve"> Para efectos de los presentes Lineamientos Generales, se entenderá por:</w:t>
      </w:r>
    </w:p>
    <w:p w14:paraId="3FDC60E0" w14:textId="77777777" w:rsidR="00D7774A" w:rsidRPr="009A6D74" w:rsidRDefault="00D7774A" w:rsidP="009A6D74">
      <w:pPr>
        <w:pStyle w:val="Puesto"/>
      </w:pPr>
      <w:r w:rsidRPr="009A6D74">
        <w:rPr>
          <w:b/>
        </w:rPr>
        <w:t>XVIII.</w:t>
      </w:r>
      <w:r w:rsidRPr="009A6D74">
        <w:t xml:space="preserve">  </w:t>
      </w:r>
      <w:r w:rsidRPr="009A6D74">
        <w:rPr>
          <w:b/>
        </w:rPr>
        <w:t>Versión pública:</w:t>
      </w:r>
      <w:r w:rsidRPr="009A6D7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47D5914" w14:textId="77777777" w:rsidR="00D7774A" w:rsidRPr="009A6D74" w:rsidRDefault="00D7774A" w:rsidP="009A6D74">
      <w:pPr>
        <w:pStyle w:val="Puesto"/>
      </w:pPr>
    </w:p>
    <w:p w14:paraId="57CF16BA" w14:textId="77777777" w:rsidR="00D7774A" w:rsidRPr="009A6D74" w:rsidRDefault="00D7774A" w:rsidP="009A6D74">
      <w:pPr>
        <w:pStyle w:val="Puesto"/>
        <w:rPr>
          <w:b/>
          <w:lang w:val="es-ES_tradnl" w:eastAsia="es-MX"/>
        </w:rPr>
      </w:pPr>
      <w:r w:rsidRPr="009A6D74">
        <w:rPr>
          <w:b/>
          <w:lang w:val="es-ES_tradnl" w:eastAsia="es-MX"/>
        </w:rPr>
        <w:t xml:space="preserve">Lineamientos Generales en materia de Clasificación y Desclasificación de la </w:t>
      </w:r>
      <w:r w:rsidRPr="009A6D74">
        <w:rPr>
          <w:b/>
          <w:lang w:val="es-ES_tradnl"/>
        </w:rPr>
        <w:t>Información</w:t>
      </w:r>
    </w:p>
    <w:p w14:paraId="3EA7BBD5" w14:textId="77777777" w:rsidR="00D7774A" w:rsidRPr="009A6D74" w:rsidRDefault="00D7774A" w:rsidP="009A6D74">
      <w:pPr>
        <w:pStyle w:val="Puesto"/>
      </w:pPr>
    </w:p>
    <w:p w14:paraId="43DDA130" w14:textId="77777777" w:rsidR="00D7774A" w:rsidRPr="009A6D74" w:rsidRDefault="00D7774A" w:rsidP="009A6D74">
      <w:pPr>
        <w:pStyle w:val="Puesto"/>
      </w:pPr>
      <w:r w:rsidRPr="009A6D74">
        <w:rPr>
          <w:b/>
        </w:rPr>
        <w:t>Cuarto.</w:t>
      </w:r>
      <w:r w:rsidRPr="009A6D7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7D7ADE" w14:textId="77777777" w:rsidR="00D7774A" w:rsidRPr="009A6D74" w:rsidRDefault="00D7774A" w:rsidP="009A6D74">
      <w:pPr>
        <w:pStyle w:val="Puesto"/>
      </w:pPr>
      <w:r w:rsidRPr="009A6D74">
        <w:t>Los sujetos obligados deberán aplicar, de manera estricta, las excepciones al derecho de acceso a la información y sólo podrán invocarlas cuando acrediten su procedencia.</w:t>
      </w:r>
    </w:p>
    <w:p w14:paraId="70DF549D" w14:textId="77777777" w:rsidR="00D7774A" w:rsidRPr="009A6D74" w:rsidRDefault="00D7774A" w:rsidP="009A6D74"/>
    <w:p w14:paraId="42BDED31" w14:textId="77777777" w:rsidR="00D7774A" w:rsidRPr="009A6D74" w:rsidRDefault="00D7774A" w:rsidP="009A6D74">
      <w:pPr>
        <w:pStyle w:val="Puesto"/>
      </w:pPr>
      <w:r w:rsidRPr="009A6D74">
        <w:rPr>
          <w:b/>
        </w:rPr>
        <w:t>Quinto.</w:t>
      </w:r>
      <w:r w:rsidRPr="009A6D7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w:t>
      </w:r>
      <w:r w:rsidRPr="009A6D74">
        <w:lastRenderedPageBreak/>
        <w:t>información ante una solicitud de acceso o al momento en que generen versiones públicas para dar cumplimiento a las obligaciones de transparencia, observando lo dispuesto en la Ley General y las demás disposiciones aplicables en la materia.</w:t>
      </w:r>
    </w:p>
    <w:p w14:paraId="0B4148D8" w14:textId="77777777" w:rsidR="00D7774A" w:rsidRPr="009A6D74" w:rsidRDefault="00D7774A" w:rsidP="009A6D74"/>
    <w:p w14:paraId="62944A5A" w14:textId="77777777" w:rsidR="00D7774A" w:rsidRPr="009A6D74" w:rsidRDefault="00D7774A" w:rsidP="009A6D74">
      <w:pPr>
        <w:pStyle w:val="Puesto"/>
      </w:pPr>
      <w:r w:rsidRPr="009A6D74">
        <w:rPr>
          <w:b/>
        </w:rPr>
        <w:t>Sexto.</w:t>
      </w:r>
      <w:r w:rsidRPr="009A6D74">
        <w:t xml:space="preserve"> Se deroga.</w:t>
      </w:r>
    </w:p>
    <w:p w14:paraId="6DF54E43" w14:textId="77777777" w:rsidR="00D7774A" w:rsidRPr="009A6D74" w:rsidRDefault="00D7774A" w:rsidP="009A6D74"/>
    <w:p w14:paraId="76C84BEF" w14:textId="77777777" w:rsidR="00D7774A" w:rsidRPr="009A6D74" w:rsidRDefault="00D7774A" w:rsidP="009A6D74">
      <w:pPr>
        <w:pStyle w:val="Puesto"/>
      </w:pPr>
      <w:r w:rsidRPr="009A6D74">
        <w:rPr>
          <w:b/>
        </w:rPr>
        <w:t>Séptimo.</w:t>
      </w:r>
      <w:r w:rsidRPr="009A6D74">
        <w:t xml:space="preserve"> La clasificación de la información se llevará a cabo en el momento en que:</w:t>
      </w:r>
    </w:p>
    <w:p w14:paraId="7D1609BB" w14:textId="77777777" w:rsidR="00D7774A" w:rsidRPr="009A6D74" w:rsidRDefault="00D7774A" w:rsidP="009A6D74">
      <w:pPr>
        <w:pStyle w:val="Puesto"/>
      </w:pPr>
      <w:r w:rsidRPr="009A6D74">
        <w:rPr>
          <w:b/>
        </w:rPr>
        <w:t>I.</w:t>
      </w:r>
      <w:r w:rsidRPr="009A6D74">
        <w:t xml:space="preserve">        Se reciba una solicitud de acceso a la información;</w:t>
      </w:r>
    </w:p>
    <w:p w14:paraId="51803927" w14:textId="77777777" w:rsidR="00D7774A" w:rsidRPr="009A6D74" w:rsidRDefault="00D7774A" w:rsidP="009A6D74">
      <w:pPr>
        <w:pStyle w:val="Puesto"/>
      </w:pPr>
      <w:r w:rsidRPr="009A6D74">
        <w:rPr>
          <w:b/>
        </w:rPr>
        <w:t>II.</w:t>
      </w:r>
      <w:r w:rsidRPr="009A6D74">
        <w:t xml:space="preserve">       Se determine mediante resolución del Comité de Transparencia, el órgano garante competente, o en cumplimiento a una sentencia del Poder Judicial; o</w:t>
      </w:r>
    </w:p>
    <w:p w14:paraId="3F1D6E80" w14:textId="77777777" w:rsidR="00D7774A" w:rsidRPr="009A6D74" w:rsidRDefault="00D7774A" w:rsidP="009A6D74">
      <w:pPr>
        <w:pStyle w:val="Puesto"/>
      </w:pPr>
      <w:r w:rsidRPr="009A6D74">
        <w:rPr>
          <w:b/>
        </w:rPr>
        <w:t>III.</w:t>
      </w:r>
      <w:r w:rsidRPr="009A6D74">
        <w:t xml:space="preserve">      Se generen versiones públicas para dar cumplimiento a las obligaciones de transparencia previstas en la Ley General, la Ley Federal y las correspondientes de las entidades federativas.</w:t>
      </w:r>
    </w:p>
    <w:p w14:paraId="6724FC77" w14:textId="77777777" w:rsidR="00D7774A" w:rsidRPr="009A6D74" w:rsidRDefault="00D7774A" w:rsidP="009A6D74">
      <w:pPr>
        <w:pStyle w:val="Puesto"/>
      </w:pPr>
      <w:r w:rsidRPr="009A6D74">
        <w:t xml:space="preserve">Los titulares de las áreas deberán revisar la información requerida al momento de la recepción de una solicitud de acceso, para verificar, conforme a su naturaleza, si encuadra en una causal de reserva o de confidencialidad. </w:t>
      </w:r>
    </w:p>
    <w:p w14:paraId="10F64483" w14:textId="77777777" w:rsidR="00D7774A" w:rsidRPr="009A6D74" w:rsidRDefault="00D7774A" w:rsidP="009A6D74"/>
    <w:p w14:paraId="52AF22EA" w14:textId="77777777" w:rsidR="00D7774A" w:rsidRPr="009A6D74" w:rsidRDefault="00D7774A" w:rsidP="009A6D74">
      <w:pPr>
        <w:pStyle w:val="Puesto"/>
      </w:pPr>
      <w:r w:rsidRPr="009A6D74">
        <w:rPr>
          <w:b/>
        </w:rPr>
        <w:t>Octavo.</w:t>
      </w:r>
      <w:r w:rsidRPr="009A6D7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DB563B" w14:textId="77777777" w:rsidR="00D7774A" w:rsidRPr="009A6D74" w:rsidRDefault="00D7774A" w:rsidP="009A6D74">
      <w:pPr>
        <w:pStyle w:val="Puesto"/>
      </w:pPr>
      <w:r w:rsidRPr="009A6D74">
        <w:t>Para motivar la clasificación se deberán señalar las razones o circunstancias especiales que lo llevaron a concluir que el caso particular se ajusta al supuesto previsto por la norma legal invocada como fundamento.</w:t>
      </w:r>
    </w:p>
    <w:p w14:paraId="3087EC80" w14:textId="77777777" w:rsidR="00D7774A" w:rsidRPr="009A6D74" w:rsidRDefault="00D7774A" w:rsidP="009A6D74">
      <w:pPr>
        <w:pStyle w:val="Puesto"/>
      </w:pPr>
      <w:r w:rsidRPr="009A6D7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988C6E2" w14:textId="77777777" w:rsidR="00D7774A" w:rsidRPr="009A6D74" w:rsidRDefault="00D7774A" w:rsidP="009A6D74"/>
    <w:p w14:paraId="3F42CAE1" w14:textId="77777777" w:rsidR="00D7774A" w:rsidRPr="009A6D74" w:rsidRDefault="00D7774A" w:rsidP="009A6D74">
      <w:pPr>
        <w:pStyle w:val="Puesto"/>
      </w:pPr>
      <w:r w:rsidRPr="009A6D74">
        <w:rPr>
          <w:b/>
        </w:rPr>
        <w:t>Noveno.</w:t>
      </w:r>
      <w:r w:rsidRPr="009A6D7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06E0078" w14:textId="77777777" w:rsidR="00D7774A" w:rsidRPr="009A6D74" w:rsidRDefault="00D7774A" w:rsidP="009A6D74"/>
    <w:p w14:paraId="1714B032" w14:textId="77777777" w:rsidR="00D7774A" w:rsidRPr="009A6D74" w:rsidRDefault="00D7774A" w:rsidP="009A6D74">
      <w:pPr>
        <w:pStyle w:val="Puesto"/>
      </w:pPr>
      <w:r w:rsidRPr="009A6D74">
        <w:rPr>
          <w:b/>
        </w:rPr>
        <w:lastRenderedPageBreak/>
        <w:t>Décimo.</w:t>
      </w:r>
      <w:r w:rsidRPr="009A6D7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FB83547" w14:textId="77777777" w:rsidR="00D7774A" w:rsidRPr="009A6D74" w:rsidRDefault="00D7774A" w:rsidP="009A6D74">
      <w:pPr>
        <w:pStyle w:val="Puesto"/>
      </w:pPr>
      <w:r w:rsidRPr="009A6D74">
        <w:t>En ausencia de los titulares de las áreas, la información será clasificada o desclasificada por la persona que lo supla, en términos de la normativa que rija la actuación del sujeto obligado.</w:t>
      </w:r>
    </w:p>
    <w:p w14:paraId="28E08BDF" w14:textId="77777777" w:rsidR="00D7774A" w:rsidRPr="009A6D74" w:rsidRDefault="00D7774A" w:rsidP="009A6D74">
      <w:pPr>
        <w:pStyle w:val="Puesto"/>
        <w:rPr>
          <w:b/>
        </w:rPr>
      </w:pPr>
      <w:r w:rsidRPr="009A6D74">
        <w:rPr>
          <w:b/>
        </w:rPr>
        <w:t>Décimo primero.</w:t>
      </w:r>
      <w:r w:rsidRPr="009A6D7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A6D74">
        <w:rPr>
          <w:b/>
        </w:rPr>
        <w:t>”</w:t>
      </w:r>
    </w:p>
    <w:p w14:paraId="4962A624" w14:textId="77777777" w:rsidR="00D7774A" w:rsidRPr="009A6D74" w:rsidRDefault="00D7774A" w:rsidP="009A6D74"/>
    <w:p w14:paraId="688C9725" w14:textId="77777777" w:rsidR="00D7774A" w:rsidRPr="009A6D74" w:rsidRDefault="00D7774A" w:rsidP="009A6D74">
      <w:pPr>
        <w:rPr>
          <w:lang w:eastAsia="es-CO"/>
        </w:rPr>
      </w:pPr>
      <w:r w:rsidRPr="009A6D74">
        <w:t xml:space="preserve">Consecuentemente, se destaca que la versión pública que elabore </w:t>
      </w:r>
      <w:r w:rsidRPr="009A6D74">
        <w:rPr>
          <w:b/>
        </w:rPr>
        <w:t>EL SUJETO OBLIGADO</w:t>
      </w:r>
      <w:r w:rsidRPr="009A6D74">
        <w:t xml:space="preserve"> debe cumplir con las formalidades exigidas en la Ley, por lo que para tal efecto emitirá el </w:t>
      </w:r>
      <w:r w:rsidRPr="009A6D74">
        <w:rPr>
          <w:b/>
        </w:rPr>
        <w:t>Acuerdo del Comité de Transparencia</w:t>
      </w:r>
      <w:r w:rsidRPr="009A6D7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A6D7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48F4359" w14:textId="77777777" w:rsidR="00D7774A" w:rsidRPr="009A6D74" w:rsidRDefault="00D7774A" w:rsidP="009A6D74">
      <w:pPr>
        <w:rPr>
          <w:lang w:eastAsia="es-CO"/>
        </w:rPr>
      </w:pPr>
    </w:p>
    <w:p w14:paraId="23C22300" w14:textId="1831DF85" w:rsidR="00D7774A" w:rsidRPr="009A6D74" w:rsidRDefault="00D7774A" w:rsidP="009A6D74">
      <w:pPr>
        <w:rPr>
          <w:rFonts w:eastAsia="Calibri" w:cs="Tahoma"/>
          <w:bCs/>
          <w:szCs w:val="22"/>
          <w:lang w:val="es-ES" w:eastAsia="en-US"/>
        </w:rPr>
      </w:pPr>
      <w:r w:rsidRPr="009A6D74">
        <w:rPr>
          <w:lang w:eastAsia="es-CO"/>
        </w:rPr>
        <w:t xml:space="preserve">Es importante señalar que, para el caso en concreto, se deben tomar en consideración los siguientes criterios orientativos respecto a la información que debe ser, o no, clasificada </w:t>
      </w:r>
      <w:r w:rsidRPr="009A6D74">
        <w:rPr>
          <w:lang w:eastAsia="es-CO"/>
        </w:rPr>
        <w:lastRenderedPageBreak/>
        <w:t>como confidencial</w:t>
      </w:r>
      <w:r w:rsidR="000B4A40" w:rsidRPr="009A6D74">
        <w:rPr>
          <w:lang w:eastAsia="es-CO"/>
        </w:rPr>
        <w:t xml:space="preserve">, como es el caso de  la dirección precisa o coordenadas del incidente, raza, identidad de género, etnia, sexo, nacionalidad, discapacidad, pertenencia a algún pueblo indígena, situación migratoria, condición social y rango de edad de las personas víctimas, así como el nombre de personas que no son servidores públicos, al tratarse de </w:t>
      </w:r>
      <w:r w:rsidR="000B4A40" w:rsidRPr="009A6D74">
        <w:rPr>
          <w:rFonts w:eastAsia="Calibri" w:cs="Tahoma"/>
          <w:bCs/>
          <w:szCs w:val="22"/>
          <w:lang w:val="es-ES" w:eastAsia="en-US"/>
        </w:rPr>
        <w:t>datos personales en términos del artículo 143, fracción I de la Ley de Transparencia y Acceso a la Información Pública del Estado de México y Municipios.</w:t>
      </w:r>
    </w:p>
    <w:p w14:paraId="355D16DF" w14:textId="77777777" w:rsidR="000B4A40" w:rsidRPr="009A6D74" w:rsidRDefault="000B4A40" w:rsidP="009A6D74">
      <w:pPr>
        <w:rPr>
          <w:lang w:eastAsia="es-CO"/>
        </w:rPr>
      </w:pPr>
    </w:p>
    <w:p w14:paraId="69C57530" w14:textId="359A8CB1" w:rsidR="00D7774A" w:rsidRPr="009A6D74" w:rsidRDefault="00D7774A" w:rsidP="009A6D74">
      <w:pPr>
        <w:numPr>
          <w:ilvl w:val="0"/>
          <w:numId w:val="8"/>
        </w:numPr>
        <w:rPr>
          <w:rFonts w:eastAsia="Calibri" w:cs="Tahoma"/>
          <w:bCs/>
          <w:szCs w:val="22"/>
          <w:lang w:val="es-ES" w:eastAsia="en-US"/>
        </w:rPr>
      </w:pPr>
      <w:r w:rsidRPr="009A6D74">
        <w:rPr>
          <w:rFonts w:eastAsia="Calibri" w:cs="Tahoma"/>
          <w:b/>
          <w:bCs/>
          <w:szCs w:val="22"/>
          <w:lang w:eastAsia="en-US"/>
        </w:rPr>
        <w:t>Nombres de personas que no son servidores públicos</w:t>
      </w:r>
      <w:r w:rsidR="000B4A40" w:rsidRPr="009A6D74">
        <w:rPr>
          <w:rFonts w:eastAsia="Calibri" w:cs="Tahoma"/>
          <w:b/>
          <w:bCs/>
          <w:szCs w:val="22"/>
          <w:lang w:eastAsia="en-US"/>
        </w:rPr>
        <w:t>.</w:t>
      </w:r>
    </w:p>
    <w:p w14:paraId="572DA97F" w14:textId="77777777" w:rsidR="00D7774A" w:rsidRPr="009A6D74" w:rsidRDefault="00D7774A" w:rsidP="009A6D74">
      <w:pPr>
        <w:contextualSpacing/>
        <w:rPr>
          <w:rFonts w:eastAsia="Calibri" w:cs="Tahoma"/>
          <w:bCs/>
          <w:szCs w:val="22"/>
          <w:lang w:eastAsia="en-US"/>
        </w:rPr>
      </w:pPr>
    </w:p>
    <w:p w14:paraId="0DCC5F08" w14:textId="77777777" w:rsidR="00D7774A" w:rsidRPr="009A6D74" w:rsidRDefault="00D7774A" w:rsidP="009A6D74">
      <w:r w:rsidRPr="009A6D74">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74666CFA" w14:textId="77777777" w:rsidR="00D7774A" w:rsidRPr="009A6D74" w:rsidRDefault="00D7774A" w:rsidP="009A6D74"/>
    <w:p w14:paraId="186FA012" w14:textId="77777777" w:rsidR="00D7774A" w:rsidRPr="009A6D74" w:rsidRDefault="00D7774A" w:rsidP="009A6D74">
      <w:r w:rsidRPr="009A6D74">
        <w:t>Aunado a lo anterior debe mencionarse que los artículos 2.3 y 2.4 del Código Civil del Estado de México establecen lo siguiente:</w:t>
      </w:r>
      <w:r w:rsidRPr="009A6D74">
        <w:rPr>
          <w:b/>
        </w:rPr>
        <w:t xml:space="preserve"> </w:t>
      </w:r>
    </w:p>
    <w:p w14:paraId="0D5C7FB9" w14:textId="77777777" w:rsidR="00D7774A" w:rsidRPr="009A6D74" w:rsidRDefault="00D7774A" w:rsidP="009A6D74"/>
    <w:p w14:paraId="309CA3FD" w14:textId="77777777" w:rsidR="00D7774A" w:rsidRPr="009A6D74" w:rsidRDefault="00D7774A" w:rsidP="009A6D74">
      <w:pPr>
        <w:pStyle w:val="Puesto"/>
        <w:rPr>
          <w:b/>
        </w:rPr>
      </w:pPr>
      <w:r w:rsidRPr="009A6D74">
        <w:rPr>
          <w:b/>
        </w:rPr>
        <w:t xml:space="preserve">Atributos de la personalidad </w:t>
      </w:r>
    </w:p>
    <w:p w14:paraId="044BFB34" w14:textId="77777777" w:rsidR="00D7774A" w:rsidRPr="009A6D74" w:rsidRDefault="00D7774A" w:rsidP="009A6D74">
      <w:pPr>
        <w:pStyle w:val="Puesto"/>
      </w:pPr>
    </w:p>
    <w:p w14:paraId="71F0A8A5" w14:textId="6D5F2C22" w:rsidR="00D7774A" w:rsidRPr="009A6D74" w:rsidRDefault="00D7774A" w:rsidP="009A6D74">
      <w:pPr>
        <w:pStyle w:val="Puesto"/>
      </w:pPr>
      <w:r w:rsidRPr="009A6D74">
        <w:rPr>
          <w:b/>
        </w:rPr>
        <w:t>Artículo 2.3.-</w:t>
      </w:r>
      <w:r w:rsidRPr="009A6D74">
        <w:t xml:space="preserve"> Los </w:t>
      </w:r>
      <w:r w:rsidRPr="009A6D74">
        <w:rPr>
          <w:u w:val="single"/>
        </w:rPr>
        <w:t>atributos de la personalidad son el nombre</w:t>
      </w:r>
      <w:r w:rsidRPr="009A6D74">
        <w:t xml:space="preserve">, domicilio, estado civil y patrimonio. </w:t>
      </w:r>
    </w:p>
    <w:p w14:paraId="3882A8F8" w14:textId="77777777" w:rsidR="00D7774A" w:rsidRPr="009A6D74" w:rsidRDefault="00D7774A" w:rsidP="009A6D74">
      <w:pPr>
        <w:pStyle w:val="Puesto"/>
        <w:rPr>
          <w:b/>
        </w:rPr>
      </w:pPr>
    </w:p>
    <w:p w14:paraId="079902A5" w14:textId="77777777" w:rsidR="00D7774A" w:rsidRPr="009A6D74" w:rsidRDefault="00D7774A" w:rsidP="009A6D74">
      <w:pPr>
        <w:pStyle w:val="Puesto"/>
        <w:rPr>
          <w:b/>
        </w:rPr>
      </w:pPr>
      <w:r w:rsidRPr="009A6D74">
        <w:rPr>
          <w:b/>
        </w:rPr>
        <w:t xml:space="preserve">Concepto y naturaleza de los derechos </w:t>
      </w:r>
    </w:p>
    <w:p w14:paraId="14073189" w14:textId="77777777" w:rsidR="00D7774A" w:rsidRPr="009A6D74" w:rsidRDefault="00D7774A" w:rsidP="009A6D74">
      <w:pPr>
        <w:pStyle w:val="Puesto"/>
        <w:rPr>
          <w:b/>
        </w:rPr>
      </w:pPr>
    </w:p>
    <w:p w14:paraId="73041415" w14:textId="77777777" w:rsidR="00D7774A" w:rsidRPr="009A6D74" w:rsidRDefault="00D7774A" w:rsidP="009A6D74">
      <w:pPr>
        <w:pStyle w:val="Puesto"/>
      </w:pPr>
      <w:r w:rsidRPr="009A6D74">
        <w:rPr>
          <w:b/>
        </w:rPr>
        <w:t>“Artículo 2.4.-</w:t>
      </w:r>
      <w:r w:rsidRPr="009A6D74">
        <w:t xml:space="preserve"> </w:t>
      </w:r>
      <w:r w:rsidRPr="009A6D74">
        <w:rPr>
          <w:u w:val="single"/>
        </w:rPr>
        <w:t>Los derechos de la personalidad constituyen el patrimonio moral o afectivo de</w:t>
      </w:r>
      <w:r w:rsidRPr="009A6D74">
        <w:t xml:space="preserve"> las personas físicas. </w:t>
      </w:r>
      <w:r w:rsidRPr="009A6D74">
        <w:rPr>
          <w:u w:val="single"/>
        </w:rPr>
        <w:t xml:space="preserve">Son inalienables, imprescriptibles e irrenunciables, </w:t>
      </w:r>
      <w:r w:rsidRPr="009A6D74">
        <w:rPr>
          <w:u w:val="single"/>
        </w:rPr>
        <w:lastRenderedPageBreak/>
        <w:t>y goza de ellos también la persona jurídica colectiva en lo que sea compatible con su naturaleza</w:t>
      </w:r>
      <w:r w:rsidRPr="009A6D74">
        <w:t xml:space="preserve">. </w:t>
      </w:r>
    </w:p>
    <w:p w14:paraId="7E83561F" w14:textId="77777777" w:rsidR="00D7774A" w:rsidRPr="009A6D74" w:rsidRDefault="00D7774A" w:rsidP="009A6D74">
      <w:pPr>
        <w:pStyle w:val="Puesto"/>
      </w:pPr>
      <w:r w:rsidRPr="009A6D74">
        <w:rPr>
          <w:u w:val="single"/>
        </w:rPr>
        <w:t>Es deber del Estado proteger, fomentar y desarrollar estos derechos</w:t>
      </w:r>
      <w:r w:rsidRPr="009A6D74">
        <w:t>.</w:t>
      </w:r>
    </w:p>
    <w:p w14:paraId="0F8BE411" w14:textId="77777777" w:rsidR="00D7774A" w:rsidRPr="009A6D74" w:rsidRDefault="00D7774A" w:rsidP="009A6D74">
      <w:pPr>
        <w:pStyle w:val="Puesto"/>
        <w:rPr>
          <w:b/>
        </w:rPr>
      </w:pPr>
    </w:p>
    <w:p w14:paraId="04B91CF2" w14:textId="77777777" w:rsidR="00D7774A" w:rsidRPr="009A6D74" w:rsidRDefault="00D7774A" w:rsidP="009A6D74">
      <w:pPr>
        <w:ind w:left="567" w:right="539"/>
      </w:pPr>
      <w:r w:rsidRPr="009A6D74">
        <w:t>(Énfasis añadido)</w:t>
      </w:r>
    </w:p>
    <w:p w14:paraId="4C982F4E" w14:textId="77777777" w:rsidR="00D7774A" w:rsidRPr="009A6D74" w:rsidRDefault="00D7774A" w:rsidP="009A6D74"/>
    <w:p w14:paraId="055B9071" w14:textId="77777777" w:rsidR="00D7774A" w:rsidRPr="009A6D74" w:rsidRDefault="00D7774A" w:rsidP="009A6D74">
      <w:r w:rsidRPr="009A6D74">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24C0EF02" w14:textId="77777777" w:rsidR="00D7774A" w:rsidRPr="009A6D74" w:rsidRDefault="00D7774A" w:rsidP="009A6D74"/>
    <w:p w14:paraId="189DDCCC" w14:textId="77777777" w:rsidR="00D7774A" w:rsidRPr="009A6D74" w:rsidRDefault="00D7774A" w:rsidP="009A6D74">
      <w:pPr>
        <w:pStyle w:val="Puesto"/>
      </w:pPr>
      <w:r w:rsidRPr="009A6D74">
        <w:t>“</w:t>
      </w:r>
      <w:r w:rsidRPr="009A6D74">
        <w:rPr>
          <w:b/>
        </w:rPr>
        <w:t>Artículo 4.</w:t>
      </w:r>
      <w:r w:rsidRPr="009A6D74">
        <w:t xml:space="preserve"> Para los efectos de esta Ley se entenderá por:</w:t>
      </w:r>
    </w:p>
    <w:p w14:paraId="7B2C3301" w14:textId="77777777" w:rsidR="00D7774A" w:rsidRPr="009A6D74" w:rsidRDefault="00D7774A" w:rsidP="009A6D74">
      <w:pPr>
        <w:pStyle w:val="Puesto"/>
      </w:pPr>
      <w:r w:rsidRPr="009A6D74">
        <w:t>…</w:t>
      </w:r>
    </w:p>
    <w:p w14:paraId="69ADB6B4" w14:textId="77777777" w:rsidR="00D7774A" w:rsidRPr="009A6D74" w:rsidRDefault="00D7774A" w:rsidP="009A6D74">
      <w:pPr>
        <w:pStyle w:val="Puesto"/>
      </w:pPr>
      <w:r w:rsidRPr="009A6D74">
        <w:rPr>
          <w:b/>
        </w:rPr>
        <w:t>XI. Datos personales:</w:t>
      </w:r>
      <w:r w:rsidRPr="009A6D74">
        <w:t xml:space="preserve"> </w:t>
      </w:r>
      <w:r w:rsidRPr="009A6D74">
        <w:rPr>
          <w:b/>
          <w:u w:val="single"/>
        </w:rPr>
        <w:t>a la información concerniente a una persona física o</w:t>
      </w:r>
      <w:r w:rsidRPr="009A6D74">
        <w:t xml:space="preserve"> </w:t>
      </w:r>
      <w:r w:rsidRPr="009A6D74">
        <w:rPr>
          <w:b/>
          <w:u w:val="single"/>
        </w:rPr>
        <w:t>jurídica colectiva identificada o identificable</w:t>
      </w:r>
      <w:r w:rsidRPr="009A6D74">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84715A5" w14:textId="77777777" w:rsidR="00D7774A" w:rsidRPr="009A6D74" w:rsidRDefault="00D7774A" w:rsidP="009A6D74">
      <w:pPr>
        <w:pStyle w:val="Puesto"/>
      </w:pPr>
      <w:r w:rsidRPr="009A6D74">
        <w:t>…”</w:t>
      </w:r>
    </w:p>
    <w:p w14:paraId="6A163740" w14:textId="77777777" w:rsidR="00D7774A" w:rsidRPr="009A6D74" w:rsidRDefault="00D7774A" w:rsidP="009A6D74">
      <w:pPr>
        <w:contextualSpacing/>
        <w:rPr>
          <w:rFonts w:eastAsia="Calibri" w:cs="Tahoma"/>
          <w:bCs/>
          <w:szCs w:val="22"/>
          <w:lang w:eastAsia="en-US"/>
        </w:rPr>
      </w:pPr>
    </w:p>
    <w:p w14:paraId="71528A0F" w14:textId="77777777" w:rsidR="00D7774A" w:rsidRPr="009A6D74" w:rsidRDefault="00D7774A" w:rsidP="009A6D74">
      <w:pPr>
        <w:contextualSpacing/>
        <w:rPr>
          <w:rFonts w:eastAsia="Calibri" w:cs="Tahoma"/>
          <w:b/>
          <w:bCs/>
          <w:szCs w:val="22"/>
          <w:lang w:eastAsia="en-US"/>
        </w:rPr>
      </w:pPr>
      <w:r w:rsidRPr="009A6D74">
        <w:rPr>
          <w:rFonts w:eastAsia="Calibri"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9A6D74">
        <w:rPr>
          <w:rFonts w:eastAsia="Calibri" w:cs="Tahoma"/>
          <w:bCs/>
          <w:i/>
          <w:szCs w:val="22"/>
          <w:lang w:eastAsia="en-US"/>
        </w:rPr>
        <w:t>per se</w:t>
      </w:r>
      <w:r w:rsidRPr="009A6D74">
        <w:rPr>
          <w:rFonts w:eastAsia="Calibri" w:cs="Tahoma"/>
          <w:bCs/>
          <w:szCs w:val="22"/>
          <w:lang w:eastAsia="en-US"/>
        </w:rPr>
        <w:t xml:space="preserve"> es un elemento que hace a una persona física identificada o identificable, por lo que, </w:t>
      </w:r>
      <w:r w:rsidRPr="009A6D74">
        <w:rPr>
          <w:rFonts w:eastAsia="Calibri" w:cs="Tahoma"/>
          <w:b/>
          <w:bCs/>
          <w:szCs w:val="22"/>
          <w:lang w:eastAsia="en-US"/>
        </w:rPr>
        <w:t>se considera un dato personal.</w:t>
      </w:r>
    </w:p>
    <w:p w14:paraId="06874C4D" w14:textId="77777777" w:rsidR="00D7774A" w:rsidRPr="009A6D74" w:rsidRDefault="00D7774A" w:rsidP="009A6D74">
      <w:pPr>
        <w:contextualSpacing/>
        <w:rPr>
          <w:rFonts w:eastAsia="Calibri" w:cs="Tahoma"/>
          <w:b/>
          <w:bCs/>
          <w:szCs w:val="22"/>
          <w:lang w:eastAsia="en-US"/>
        </w:rPr>
      </w:pPr>
    </w:p>
    <w:p w14:paraId="0F86DA5A" w14:textId="77777777" w:rsidR="00D7774A" w:rsidRPr="009A6D74" w:rsidRDefault="00D7774A" w:rsidP="009A6D74">
      <w:pPr>
        <w:rPr>
          <w:rFonts w:eastAsia="Calibri" w:cs="Tahoma"/>
          <w:bCs/>
          <w:szCs w:val="22"/>
          <w:lang w:val="es-ES" w:eastAsia="en-US"/>
        </w:rPr>
      </w:pPr>
      <w:r w:rsidRPr="009A6D74">
        <w:rPr>
          <w:rFonts w:eastAsia="Calibri" w:cs="Tahoma"/>
          <w:bCs/>
          <w:szCs w:val="22"/>
          <w:lang w:eastAsia="en-US"/>
        </w:rPr>
        <w:lastRenderedPageBreak/>
        <w:t>Con base en lo anterior, procede su eliminación de las versiones públicas, pues</w:t>
      </w:r>
      <w:r w:rsidRPr="009A6D74">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437360E6" w14:textId="77777777" w:rsidR="00D7774A" w:rsidRPr="009A6D74" w:rsidRDefault="00D7774A" w:rsidP="009A6D74">
      <w:pPr>
        <w:rPr>
          <w:rFonts w:eastAsia="Calibri" w:cs="Tahoma"/>
          <w:bCs/>
          <w:szCs w:val="22"/>
          <w:lang w:val="es-ES" w:eastAsia="en-US"/>
        </w:rPr>
      </w:pPr>
    </w:p>
    <w:p w14:paraId="3C5925DB" w14:textId="77777777" w:rsidR="00D7774A" w:rsidRPr="009A6D74" w:rsidRDefault="00D7774A" w:rsidP="009A6D74">
      <w:pPr>
        <w:pStyle w:val="Prrafodelista"/>
        <w:numPr>
          <w:ilvl w:val="0"/>
          <w:numId w:val="8"/>
        </w:numPr>
        <w:rPr>
          <w:rFonts w:cs="Tahoma"/>
          <w:szCs w:val="22"/>
        </w:rPr>
      </w:pPr>
      <w:r w:rsidRPr="009A6D74">
        <w:rPr>
          <w:rFonts w:cs="Tahoma"/>
          <w:b/>
          <w:szCs w:val="22"/>
        </w:rPr>
        <w:t xml:space="preserve">Domicilio particular </w:t>
      </w:r>
    </w:p>
    <w:p w14:paraId="430E1548" w14:textId="77777777" w:rsidR="00D7774A" w:rsidRPr="009A6D74" w:rsidRDefault="00D7774A" w:rsidP="009A6D74">
      <w:pPr>
        <w:rPr>
          <w:rFonts w:cs="Tahoma"/>
          <w:szCs w:val="22"/>
        </w:rPr>
      </w:pPr>
    </w:p>
    <w:p w14:paraId="0E533304" w14:textId="77777777" w:rsidR="00D7774A" w:rsidRPr="009A6D74" w:rsidRDefault="00D7774A" w:rsidP="009A6D74">
      <w:pPr>
        <w:rPr>
          <w:rFonts w:cs="Tahoma"/>
          <w:szCs w:val="22"/>
          <w:lang w:val="es-ES"/>
        </w:rPr>
      </w:pPr>
      <w:r w:rsidRPr="009A6D74">
        <w:rPr>
          <w:rFonts w:cs="Tahoma"/>
          <w:szCs w:val="22"/>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9A6D74">
        <w:rPr>
          <w:rFonts w:cs="Tahoma"/>
          <w:b/>
          <w:szCs w:val="22"/>
          <w:lang w:val="es-ES"/>
        </w:rPr>
        <w:t>, e</w:t>
      </w:r>
      <w:r w:rsidRPr="009A6D74">
        <w:rPr>
          <w:rFonts w:cs="Tahoma"/>
          <w:szCs w:val="22"/>
          <w:lang w:val="es-ES"/>
        </w:rPr>
        <w:t>s el lugar donde residen habitualmente, el lugar del centro principal de sus negocios, donde residan o el lugar donde se encuentren.</w:t>
      </w:r>
    </w:p>
    <w:p w14:paraId="28D8DB59" w14:textId="77777777" w:rsidR="00D7774A" w:rsidRPr="009A6D74" w:rsidRDefault="00D7774A" w:rsidP="009A6D74">
      <w:pPr>
        <w:rPr>
          <w:rFonts w:cs="Tahoma"/>
          <w:b/>
          <w:szCs w:val="22"/>
          <w:lang w:val="es-ES"/>
        </w:rPr>
      </w:pPr>
    </w:p>
    <w:p w14:paraId="2263B655" w14:textId="77777777" w:rsidR="00D7774A" w:rsidRPr="009A6D74" w:rsidRDefault="00D7774A" w:rsidP="009A6D74">
      <w:pPr>
        <w:rPr>
          <w:rFonts w:cs="Tahoma"/>
          <w:szCs w:val="22"/>
          <w:lang w:val="es-ES"/>
        </w:rPr>
      </w:pPr>
      <w:r w:rsidRPr="009A6D74">
        <w:rPr>
          <w:rFonts w:cs="Tahoma"/>
          <w:szCs w:val="22"/>
          <w:lang w:val="es-ES"/>
        </w:rPr>
        <w:t>Además, respecto al domicilio particular se presume que corresponde al lugar donde reside habitualmente</w:t>
      </w:r>
      <w:r w:rsidRPr="009A6D74">
        <w:rPr>
          <w:rFonts w:cs="Tahoma"/>
          <w:b/>
          <w:szCs w:val="22"/>
          <w:lang w:val="es-ES"/>
        </w:rPr>
        <w:t>.</w:t>
      </w:r>
      <w:r w:rsidRPr="009A6D74">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6569BEA" w14:textId="77777777" w:rsidR="00D7774A" w:rsidRPr="009A6D74" w:rsidRDefault="00D7774A" w:rsidP="009A6D74">
      <w:pPr>
        <w:rPr>
          <w:rFonts w:cs="Tahoma"/>
          <w:szCs w:val="22"/>
          <w:lang w:val="es-ES"/>
        </w:rPr>
      </w:pPr>
    </w:p>
    <w:p w14:paraId="23A85353" w14:textId="77777777" w:rsidR="00D7774A" w:rsidRPr="009A6D74" w:rsidRDefault="00D7774A" w:rsidP="009A6D74">
      <w:pPr>
        <w:pStyle w:val="Prrafodelista"/>
        <w:numPr>
          <w:ilvl w:val="0"/>
          <w:numId w:val="11"/>
        </w:numPr>
        <w:rPr>
          <w:b/>
          <w:bCs/>
          <w:szCs w:val="22"/>
        </w:rPr>
      </w:pPr>
      <w:r w:rsidRPr="009A6D74">
        <w:rPr>
          <w:b/>
          <w:bCs/>
          <w:szCs w:val="22"/>
        </w:rPr>
        <w:lastRenderedPageBreak/>
        <w:t>Firmas de Servidores Públicos</w:t>
      </w:r>
    </w:p>
    <w:p w14:paraId="0B915F89" w14:textId="77777777" w:rsidR="00D7774A" w:rsidRPr="009A6D74" w:rsidRDefault="00D7774A" w:rsidP="009A6D74">
      <w:pPr>
        <w:rPr>
          <w:b/>
          <w:bCs/>
          <w:szCs w:val="22"/>
        </w:rPr>
      </w:pPr>
    </w:p>
    <w:p w14:paraId="630AD014" w14:textId="77777777" w:rsidR="00D7774A" w:rsidRPr="009A6D74" w:rsidRDefault="00D7774A" w:rsidP="009A6D74">
      <w:pPr>
        <w:rPr>
          <w:rFonts w:cs="Tahoma"/>
          <w:bCs/>
          <w:szCs w:val="22"/>
        </w:rPr>
      </w:pPr>
      <w:r w:rsidRPr="009A6D74">
        <w:rPr>
          <w:rFonts w:cs="Tahoma"/>
          <w:szCs w:val="22"/>
        </w:rPr>
        <w:t xml:space="preserve">Es de señalar que la </w:t>
      </w:r>
      <w:r w:rsidRPr="009A6D74">
        <w:rPr>
          <w:rFonts w:cs="Tahoma"/>
          <w:bCs/>
          <w:szCs w:val="22"/>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30DD69C8" w14:textId="77777777" w:rsidR="00D7774A" w:rsidRPr="009A6D74" w:rsidRDefault="00D7774A" w:rsidP="009A6D74">
      <w:pPr>
        <w:rPr>
          <w:rFonts w:cs="Tahoma"/>
          <w:szCs w:val="22"/>
          <w:lang w:val="es-ES"/>
        </w:rPr>
      </w:pPr>
    </w:p>
    <w:p w14:paraId="392FE151" w14:textId="77777777" w:rsidR="00D7774A" w:rsidRPr="009A6D74" w:rsidRDefault="00D7774A" w:rsidP="009A6D74">
      <w:pPr>
        <w:rPr>
          <w:rFonts w:cs="Tahoma"/>
          <w:bCs/>
          <w:szCs w:val="22"/>
          <w:lang w:val="es-ES_tradnl"/>
        </w:rPr>
      </w:pPr>
      <w:r w:rsidRPr="009A6D74">
        <w:rPr>
          <w:rFonts w:cs="Tahoma"/>
          <w:bCs/>
          <w:szCs w:val="22"/>
          <w:lang w:val="es-ES_tradnl"/>
        </w:rPr>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7CE3BB16" w14:textId="77777777" w:rsidR="00D7774A" w:rsidRPr="009A6D74" w:rsidRDefault="00D7774A" w:rsidP="009A6D74">
      <w:pPr>
        <w:rPr>
          <w:rFonts w:cs="Tahoma"/>
          <w:szCs w:val="22"/>
          <w:lang w:val="es-ES"/>
        </w:rPr>
      </w:pPr>
    </w:p>
    <w:p w14:paraId="478D32F4" w14:textId="77777777" w:rsidR="00D7774A" w:rsidRPr="009A6D74" w:rsidRDefault="00D7774A" w:rsidP="009A6D74">
      <w:pPr>
        <w:pStyle w:val="Puesto"/>
      </w:pPr>
      <w:r w:rsidRPr="009A6D74">
        <w:t>“</w:t>
      </w:r>
      <w:r w:rsidRPr="009A6D74">
        <w:rPr>
          <w:b/>
        </w:rPr>
        <w:t>Firma y rúbrica de servidores públicos</w:t>
      </w:r>
      <w:r w:rsidRPr="009A6D74">
        <w:t>. Si bien la firma y la rúbrica son datos personales confidenciales, c</w:t>
      </w:r>
      <w:r w:rsidRPr="009A6D74">
        <w:rPr>
          <w:rStyle w:val="PuestoCar"/>
          <w:i/>
        </w:rPr>
        <w:t>u</w:t>
      </w:r>
      <w:r w:rsidRPr="009A6D74">
        <w:t xml:space="preserve">ando un servidor </w:t>
      </w:r>
      <w:r w:rsidRPr="009A6D74">
        <w:rPr>
          <w:rStyle w:val="PuestoCar"/>
          <w:i/>
        </w:rPr>
        <w:t>público emite un acto como autoridad, en ejercicio de las funciones que tiene conferidas, la</w:t>
      </w:r>
      <w:r w:rsidRPr="009A6D74">
        <w:t xml:space="preserve"> firma o rúbrica mediante la cual se valida dicho acto es pública.”</w:t>
      </w:r>
    </w:p>
    <w:p w14:paraId="0EE88D24" w14:textId="77777777" w:rsidR="00D7774A" w:rsidRPr="009A6D74" w:rsidRDefault="00D7774A" w:rsidP="009A6D74">
      <w:pPr>
        <w:pStyle w:val="Puesto"/>
        <w:rPr>
          <w:szCs w:val="22"/>
          <w:lang w:val="es-ES"/>
        </w:rPr>
      </w:pPr>
    </w:p>
    <w:p w14:paraId="0A7B5108" w14:textId="77777777" w:rsidR="00D7774A" w:rsidRPr="009A6D74" w:rsidRDefault="00D7774A" w:rsidP="009A6D74">
      <w:pPr>
        <w:rPr>
          <w:rFonts w:cs="Tahoma"/>
          <w:szCs w:val="22"/>
          <w:lang w:val="es-ES"/>
        </w:rPr>
      </w:pPr>
      <w:r w:rsidRPr="009A6D74">
        <w:rPr>
          <w:rFonts w:cs="Tahoma"/>
          <w:szCs w:val="22"/>
          <w:lang w:val="es-ES"/>
        </w:rPr>
        <w:t>Conforme a lo expuesto, no procede la clasificación, en términos del artículo 143, fracción I de la Ley de Transparencia y Acceso a la Información Pública del Estado de México y Municipios.</w:t>
      </w:r>
    </w:p>
    <w:p w14:paraId="37E0672A" w14:textId="77777777" w:rsidR="00D7774A" w:rsidRPr="009A6D74" w:rsidRDefault="00D7774A" w:rsidP="009A6D74">
      <w:pPr>
        <w:rPr>
          <w:rFonts w:cs="Tahoma"/>
          <w:szCs w:val="22"/>
          <w:lang w:val="es-ES"/>
        </w:rPr>
      </w:pPr>
    </w:p>
    <w:p w14:paraId="36E28622" w14:textId="77777777" w:rsidR="00D7774A" w:rsidRPr="009A6D74" w:rsidRDefault="00D7774A" w:rsidP="009A6D74">
      <w:pPr>
        <w:numPr>
          <w:ilvl w:val="0"/>
          <w:numId w:val="12"/>
        </w:numPr>
        <w:rPr>
          <w:rFonts w:cs="Tahoma"/>
          <w:b/>
          <w:iCs/>
          <w:lang w:val="es-ES"/>
        </w:rPr>
      </w:pPr>
      <w:r w:rsidRPr="009A6D74">
        <w:rPr>
          <w:rFonts w:cs="Tahoma"/>
          <w:b/>
        </w:rPr>
        <w:t>Número</w:t>
      </w:r>
      <w:r w:rsidRPr="009A6D74">
        <w:rPr>
          <w:rFonts w:cs="Tahoma"/>
          <w:b/>
          <w:iCs/>
          <w:lang w:val="es-ES"/>
        </w:rPr>
        <w:t xml:space="preserve"> de expediente. </w:t>
      </w:r>
    </w:p>
    <w:p w14:paraId="2B4091F5" w14:textId="77777777" w:rsidR="00D7774A" w:rsidRPr="009A6D74" w:rsidRDefault="00D7774A" w:rsidP="009A6D74">
      <w:pPr>
        <w:rPr>
          <w:rFonts w:cs="Tahoma"/>
          <w:bCs/>
          <w:iCs/>
          <w:lang w:val="es-ES"/>
        </w:rPr>
      </w:pPr>
    </w:p>
    <w:p w14:paraId="672C220B" w14:textId="77777777" w:rsidR="00D7774A" w:rsidRPr="009A6D74" w:rsidRDefault="00D7774A" w:rsidP="009A6D74">
      <w:pPr>
        <w:rPr>
          <w:rFonts w:cs="Tahoma"/>
          <w:bCs/>
          <w:iCs/>
          <w:lang w:val="es-ES"/>
        </w:rPr>
      </w:pPr>
      <w:r w:rsidRPr="009A6D74">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322E91F" w14:textId="77777777" w:rsidR="00D7774A" w:rsidRPr="009A6D74" w:rsidRDefault="00D7774A" w:rsidP="009A6D74">
      <w:pPr>
        <w:rPr>
          <w:rFonts w:cs="Tahoma"/>
          <w:bCs/>
          <w:iCs/>
          <w:lang w:val="es-ES"/>
        </w:rPr>
      </w:pPr>
    </w:p>
    <w:p w14:paraId="0D561E09" w14:textId="77777777" w:rsidR="00D7774A" w:rsidRPr="009A6D74" w:rsidRDefault="00D7774A" w:rsidP="009A6D74">
      <w:pPr>
        <w:rPr>
          <w:rFonts w:cs="Tahoma"/>
          <w:bCs/>
          <w:iCs/>
          <w:lang w:val="es-ES"/>
        </w:rPr>
      </w:pPr>
      <w:r w:rsidRPr="009A6D74">
        <w:rPr>
          <w:rFonts w:cs="Tahoma"/>
          <w:bCs/>
          <w:iCs/>
          <w:lang w:val="es-ES"/>
        </w:rPr>
        <w:t xml:space="preserve">En ese orden de ideas, la Suprema Corte de Justicia de la Nación, al resolver la contradicción de tesis 14/2005-PS, una sentencia </w:t>
      </w:r>
      <w:r w:rsidRPr="009A6D74">
        <w:rPr>
          <w:rFonts w:cs="Tahoma"/>
          <w:b/>
          <w:bCs/>
          <w:iCs/>
          <w:lang w:val="es-ES"/>
        </w:rPr>
        <w:t>causa ejecutoria</w:t>
      </w:r>
      <w:r w:rsidRPr="009A6D74">
        <w:rPr>
          <w:rFonts w:cs="Tahoma"/>
          <w:bCs/>
          <w:iCs/>
          <w:lang w:val="es-ES"/>
        </w:rPr>
        <w:t xml:space="preserve"> cuando ya no puede ser impugnada por recurso ordinario alguno y, en consecuencia, </w:t>
      </w:r>
      <w:r w:rsidRPr="009A6D74">
        <w:rPr>
          <w:rFonts w:cs="Tahoma"/>
          <w:b/>
          <w:bCs/>
          <w:iCs/>
          <w:lang w:val="es-ES"/>
        </w:rPr>
        <w:t>constituye la cosa juzgada</w:t>
      </w:r>
      <w:r w:rsidRPr="009A6D74">
        <w:rPr>
          <w:rFonts w:cs="Tahoma"/>
          <w:bCs/>
          <w:iCs/>
          <w:lang w:val="es-ES"/>
        </w:rPr>
        <w:t>, pero tal circunstancia, debe entenderse en el sentido de que esas sentencias no admiten ningún recurso o medio de defensa establecido en la legislación ordinaria.</w:t>
      </w:r>
    </w:p>
    <w:p w14:paraId="3BCAF598" w14:textId="77777777" w:rsidR="00D7774A" w:rsidRPr="009A6D74" w:rsidRDefault="00D7774A" w:rsidP="009A6D74">
      <w:pPr>
        <w:rPr>
          <w:rFonts w:cs="Tahoma"/>
          <w:bCs/>
          <w:iCs/>
          <w:lang w:val="es-ES"/>
        </w:rPr>
      </w:pPr>
    </w:p>
    <w:p w14:paraId="743C9624" w14:textId="77777777" w:rsidR="00D7774A" w:rsidRPr="009A6D74" w:rsidRDefault="00D7774A" w:rsidP="009A6D74">
      <w:pPr>
        <w:rPr>
          <w:rFonts w:cs="Tahoma"/>
          <w:bCs/>
          <w:iCs/>
          <w:lang w:val="es-ES"/>
        </w:rPr>
      </w:pPr>
      <w:r w:rsidRPr="009A6D74">
        <w:rPr>
          <w:rFonts w:cs="Tahoma"/>
          <w:bCs/>
          <w:iCs/>
          <w:lang w:val="es-ES"/>
        </w:rPr>
        <w:t xml:space="preserve">En consecuente a lo anterior, </w:t>
      </w:r>
      <w:r w:rsidRPr="009A6D74">
        <w:rPr>
          <w:rFonts w:cs="Tahoma"/>
          <w:iCs/>
          <w:lang w:val="es-ES"/>
        </w:rPr>
        <w:t xml:space="preserve">el número de expediente no actualiza la causal de clasificación prevista en la fracción I del artículo 143 de </w:t>
      </w:r>
      <w:r w:rsidRPr="009A6D74">
        <w:rPr>
          <w:rFonts w:cs="Tahoma"/>
          <w:lang w:val="es-ES"/>
        </w:rPr>
        <w:t xml:space="preserve">la Ley de Transparencia y Acceso a la Información Pública del Estado de México y Municipios, cuando se </w:t>
      </w:r>
      <w:r w:rsidRPr="009A6D74">
        <w:rPr>
          <w:rFonts w:eastAsia="Calibri" w:cs="Tahoma"/>
        </w:rPr>
        <w:t>encuentren concluidos, y sean</w:t>
      </w:r>
      <w:r w:rsidRPr="009A6D74">
        <w:rPr>
          <w:rFonts w:cs="Tahoma"/>
          <w:b/>
          <w:bCs/>
          <w:iCs/>
          <w:lang w:val="es-ES"/>
        </w:rPr>
        <w:t xml:space="preserve"> cosa juzgada</w:t>
      </w:r>
      <w:r w:rsidRPr="009A6D74">
        <w:rPr>
          <w:rFonts w:cs="Tahoma"/>
          <w:lang w:val="es-ES"/>
        </w:rPr>
        <w:t>.</w:t>
      </w:r>
    </w:p>
    <w:p w14:paraId="5358DFAF" w14:textId="77777777" w:rsidR="00D7774A" w:rsidRPr="009A6D74" w:rsidRDefault="00D7774A" w:rsidP="009A6D74">
      <w:pPr>
        <w:autoSpaceDE w:val="0"/>
        <w:autoSpaceDN w:val="0"/>
        <w:adjustRightInd w:val="0"/>
        <w:rPr>
          <w:rFonts w:cs="Arial"/>
        </w:rPr>
      </w:pPr>
    </w:p>
    <w:p w14:paraId="610A2B6E" w14:textId="77777777" w:rsidR="00D7774A" w:rsidRPr="009A6D74" w:rsidRDefault="00D7774A" w:rsidP="009A6D74">
      <w:pPr>
        <w:autoSpaceDE w:val="0"/>
        <w:autoSpaceDN w:val="0"/>
        <w:adjustRightInd w:val="0"/>
        <w:rPr>
          <w:rFonts w:cs="Arial"/>
        </w:rPr>
      </w:pPr>
      <w:r w:rsidRPr="009A6D74">
        <w:rPr>
          <w:rFonts w:cs="Arial"/>
        </w:rPr>
        <w:t xml:space="preserve">Por otra parte, </w:t>
      </w:r>
      <w:r w:rsidRPr="009A6D74">
        <w:rPr>
          <w:rFonts w:eastAsia="Calibri"/>
          <w:szCs w:val="22"/>
          <w:lang w:eastAsia="en-US"/>
        </w:rPr>
        <w:t xml:space="preserve">este Órgano Garante </w:t>
      </w:r>
      <w:r w:rsidRPr="009A6D74">
        <w:rPr>
          <w:rFonts w:cs="Arial"/>
        </w:rPr>
        <w:t xml:space="preserve">no omite mencionar que, si </w:t>
      </w:r>
      <w:r w:rsidRPr="009A6D74">
        <w:rPr>
          <w:rFonts w:cs="Arial"/>
          <w:b/>
        </w:rPr>
        <w:t>EL SUJETO OBLIGADO</w:t>
      </w:r>
      <w:r w:rsidRPr="009A6D74">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5E3115D8" w14:textId="77777777" w:rsidR="00D7774A" w:rsidRPr="009A6D74" w:rsidRDefault="00D7774A" w:rsidP="009A6D74">
      <w:pPr>
        <w:autoSpaceDE w:val="0"/>
        <w:autoSpaceDN w:val="0"/>
        <w:adjustRightInd w:val="0"/>
        <w:rPr>
          <w:rFonts w:cs="Arial"/>
        </w:rPr>
      </w:pPr>
    </w:p>
    <w:p w14:paraId="1C1FD51D" w14:textId="77777777" w:rsidR="00D7774A" w:rsidRPr="009A6D74" w:rsidRDefault="00D7774A" w:rsidP="009A6D74">
      <w:pPr>
        <w:autoSpaceDE w:val="0"/>
        <w:autoSpaceDN w:val="0"/>
        <w:adjustRightInd w:val="0"/>
        <w:rPr>
          <w:rFonts w:cs="Arial"/>
        </w:rPr>
      </w:pPr>
      <w:r w:rsidRPr="009A6D74">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0C3F849E" w14:textId="77777777" w:rsidR="00D7774A" w:rsidRPr="009A6D74" w:rsidRDefault="00D7774A" w:rsidP="009A6D74">
      <w:pPr>
        <w:autoSpaceDE w:val="0"/>
        <w:autoSpaceDN w:val="0"/>
        <w:adjustRightInd w:val="0"/>
        <w:rPr>
          <w:rFonts w:cs="Arial"/>
        </w:rPr>
      </w:pPr>
    </w:p>
    <w:p w14:paraId="7BCF5505" w14:textId="77777777" w:rsidR="00D7774A" w:rsidRPr="009A6D74" w:rsidRDefault="00D7774A" w:rsidP="009A6D74">
      <w:pPr>
        <w:rPr>
          <w:rFonts w:cs="Arial"/>
        </w:rPr>
      </w:pPr>
      <w:r w:rsidRPr="009A6D74">
        <w:rPr>
          <w:rFonts w:cs="Arial"/>
        </w:rPr>
        <w:t xml:space="preserve">Lo anterior, sin perder de vista que la Constitución Política de los Estados Unidos Mexicanos otorga a </w:t>
      </w:r>
      <w:r w:rsidRPr="009A6D74">
        <w:rPr>
          <w:rFonts w:cs="Arial"/>
          <w:b/>
        </w:rPr>
        <w:t>todos los documentos</w:t>
      </w:r>
      <w:r w:rsidRPr="009A6D74">
        <w:rPr>
          <w:rFonts w:cs="Arial"/>
        </w:rPr>
        <w:t xml:space="preserve"> en posesión de las autoridades </w:t>
      </w:r>
      <w:r w:rsidRPr="009A6D74">
        <w:rPr>
          <w:rFonts w:cs="Arial"/>
          <w:b/>
        </w:rPr>
        <w:t>la calidad de públicos</w:t>
      </w:r>
      <w:r w:rsidRPr="009A6D7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BFDA6C9" w14:textId="77777777" w:rsidR="00D7774A" w:rsidRPr="009A6D74" w:rsidRDefault="00D7774A" w:rsidP="009A6D74">
      <w:pPr>
        <w:rPr>
          <w:rFonts w:cs="Arial"/>
        </w:rPr>
      </w:pPr>
    </w:p>
    <w:p w14:paraId="2CF46488" w14:textId="77777777" w:rsidR="00D7774A" w:rsidRPr="009A6D74" w:rsidRDefault="00D7774A" w:rsidP="009A6D74">
      <w:r w:rsidRPr="009A6D74">
        <w:t xml:space="preserve">Es pertinente aclarar que, la información que se clasifica bajo la premisa de reservada </w:t>
      </w:r>
      <w:r w:rsidRPr="009A6D74">
        <w:rPr>
          <w:b/>
        </w:rPr>
        <w:t>no pierde el carácter de pública</w:t>
      </w:r>
      <w:r w:rsidRPr="009A6D74">
        <w:t xml:space="preserve">, sino que </w:t>
      </w:r>
      <w:r w:rsidRPr="009A6D74">
        <w:rPr>
          <w:b/>
        </w:rPr>
        <w:t>se reserva temporalmente</w:t>
      </w:r>
      <w:r w:rsidRPr="009A6D74">
        <w:t xml:space="preserve"> </w:t>
      </w:r>
      <w:r w:rsidRPr="009A6D74">
        <w:rPr>
          <w:b/>
        </w:rPr>
        <w:t>del conocimiento público</w:t>
      </w:r>
      <w:r w:rsidRPr="009A6D74">
        <w:t xml:space="preserve">, es decir, que, </w:t>
      </w:r>
      <w:r w:rsidRPr="009A6D74">
        <w:rPr>
          <w:b/>
        </w:rPr>
        <w:t>por un tiempo determinado</w:t>
      </w:r>
      <w:r w:rsidRPr="009A6D74">
        <w:t>, se conservará y custodiará la información de manera especial, y una vez transcurrido el plazo de reserva, el documento podrá divulgarse.</w:t>
      </w:r>
    </w:p>
    <w:p w14:paraId="36C18462" w14:textId="77777777" w:rsidR="00D7774A" w:rsidRPr="009A6D74" w:rsidRDefault="00D7774A" w:rsidP="009A6D74"/>
    <w:p w14:paraId="39006850" w14:textId="77777777" w:rsidR="00D7774A" w:rsidRPr="009A6D74" w:rsidRDefault="00D7774A" w:rsidP="009A6D74">
      <w:pPr>
        <w:rPr>
          <w:rFonts w:eastAsia="Calibri" w:cs="Arial"/>
        </w:rPr>
      </w:pPr>
      <w:r w:rsidRPr="009A6D7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FAE8E31" w14:textId="77777777" w:rsidR="00D7774A" w:rsidRPr="009A6D74" w:rsidRDefault="00D7774A" w:rsidP="009A6D74">
      <w:pPr>
        <w:rPr>
          <w:rFonts w:eastAsia="Calibri" w:cs="Arial"/>
        </w:rPr>
      </w:pPr>
    </w:p>
    <w:p w14:paraId="4691D26E" w14:textId="77777777" w:rsidR="00D7774A" w:rsidRPr="009A6D74" w:rsidRDefault="00D7774A" w:rsidP="009A6D74">
      <w:pPr>
        <w:rPr>
          <w:rFonts w:eastAsia="Calibri" w:cs="Arial"/>
          <w:bCs/>
        </w:rPr>
      </w:pPr>
      <w:r w:rsidRPr="009A6D74">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9A6D74">
        <w:rPr>
          <w:rFonts w:eastAsia="Arial Unicode MS" w:cs="Arial"/>
        </w:rPr>
        <w:t>,</w:t>
      </w:r>
      <w:r w:rsidRPr="009A6D74">
        <w:rPr>
          <w:rFonts w:eastAsia="Calibri" w:cs="Arial"/>
          <w:bCs/>
        </w:rPr>
        <w:t xml:space="preserve"> que literalmente señala:</w:t>
      </w:r>
    </w:p>
    <w:p w14:paraId="63429DA0" w14:textId="77777777" w:rsidR="00D7774A" w:rsidRPr="009A6D74" w:rsidRDefault="00D7774A" w:rsidP="009A6D74">
      <w:pPr>
        <w:rPr>
          <w:rFonts w:eastAsia="Calibri" w:cs="Arial"/>
          <w:bCs/>
          <w:sz w:val="20"/>
        </w:rPr>
      </w:pPr>
    </w:p>
    <w:p w14:paraId="0DA5F0E6" w14:textId="77777777" w:rsidR="00D7774A" w:rsidRPr="009A6D74" w:rsidRDefault="00D7774A" w:rsidP="009A6D74">
      <w:pPr>
        <w:pStyle w:val="Puesto"/>
        <w:rPr>
          <w:rFonts w:eastAsia="Calibri"/>
        </w:rPr>
      </w:pPr>
      <w:r w:rsidRPr="009A6D74">
        <w:rPr>
          <w:rFonts w:eastAsia="Calibri"/>
        </w:rPr>
        <w:t>“</w:t>
      </w:r>
      <w:r w:rsidRPr="009A6D74">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9A6D74">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9A6D74">
        <w:rPr>
          <w:rFonts w:eastAsia="Calibri"/>
        </w:rPr>
        <w:t>officio</w:t>
      </w:r>
      <w:proofErr w:type="spellEnd"/>
      <w:r w:rsidRPr="009A6D74">
        <w:rPr>
          <w:rFonts w:eastAsia="Calibri"/>
        </w:rPr>
        <w:t>, con el propósito de obtener una versión que sea pública para la parte interesada.” (</w:t>
      </w:r>
      <w:proofErr w:type="gramStart"/>
      <w:r w:rsidRPr="009A6D74">
        <w:rPr>
          <w:rFonts w:eastAsia="Calibri"/>
        </w:rPr>
        <w:t>sic</w:t>
      </w:r>
      <w:proofErr w:type="gramEnd"/>
      <w:r w:rsidRPr="009A6D74">
        <w:rPr>
          <w:rFonts w:eastAsia="Calibri"/>
        </w:rPr>
        <w:t>)</w:t>
      </w:r>
    </w:p>
    <w:p w14:paraId="32175F01" w14:textId="77777777" w:rsidR="00D7774A" w:rsidRPr="009A6D74" w:rsidRDefault="00D7774A" w:rsidP="009A6D74">
      <w:pPr>
        <w:ind w:left="851" w:right="902"/>
        <w:rPr>
          <w:rFonts w:eastAsia="Calibri"/>
          <w:i/>
          <w:sz w:val="16"/>
          <w:szCs w:val="22"/>
        </w:rPr>
      </w:pPr>
    </w:p>
    <w:p w14:paraId="45A46CB9" w14:textId="77777777" w:rsidR="00D7774A" w:rsidRPr="009A6D74" w:rsidRDefault="00D7774A" w:rsidP="009A6D74">
      <w:pPr>
        <w:rPr>
          <w:bCs/>
        </w:rPr>
      </w:pPr>
      <w:r w:rsidRPr="009A6D74">
        <w:rPr>
          <w:bCs/>
        </w:rPr>
        <w:t xml:space="preserve">Lo que antecede, respecto de la reserva de la información implica una clasificación, que debe entenderse como el proceso mediante el cual </w:t>
      </w:r>
      <w:r w:rsidRPr="009A6D74">
        <w:rPr>
          <w:b/>
          <w:bCs/>
        </w:rPr>
        <w:t>EL SUJETO OBLIGADO</w:t>
      </w:r>
      <w:r w:rsidRPr="009A6D74">
        <w:rPr>
          <w:bCs/>
        </w:rPr>
        <w:t xml:space="preserve"> determina que la información en su poder </w:t>
      </w:r>
      <w:proofErr w:type="spellStart"/>
      <w:r w:rsidRPr="009A6D74">
        <w:rPr>
          <w:bCs/>
        </w:rPr>
        <w:t>actualiza</w:t>
      </w:r>
      <w:proofErr w:type="spellEnd"/>
      <w:r w:rsidRPr="009A6D74">
        <w:rPr>
          <w:bCs/>
        </w:rPr>
        <w:t xml:space="preserve"> alguno de los supuestos conforme a las normas aplicables.</w:t>
      </w:r>
    </w:p>
    <w:p w14:paraId="4FEBDA5C" w14:textId="77777777" w:rsidR="00D7774A" w:rsidRPr="009A6D74" w:rsidRDefault="00D7774A" w:rsidP="009A6D74">
      <w:pPr>
        <w:rPr>
          <w:bCs/>
          <w:sz w:val="18"/>
        </w:rPr>
      </w:pPr>
    </w:p>
    <w:p w14:paraId="2624DD81" w14:textId="77777777" w:rsidR="00D7774A" w:rsidRPr="009A6D74" w:rsidRDefault="00D7774A" w:rsidP="009A6D74">
      <w:r w:rsidRPr="009A6D74">
        <w:t xml:space="preserve">En tal virtud, conforme al artículo 49, fracción VIII de la </w:t>
      </w:r>
      <w:r w:rsidRPr="009A6D74">
        <w:rPr>
          <w:rFonts w:cs="Arial"/>
        </w:rPr>
        <w:t>Ley de Transparencia local</w:t>
      </w:r>
      <w:r w:rsidRPr="009A6D7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w:t>
      </w:r>
      <w:r w:rsidRPr="009A6D74">
        <w:lastRenderedPageBreak/>
        <w:t xml:space="preserve">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9A6D74">
        <w:rPr>
          <w:b/>
        </w:rPr>
        <w:t>SUJETO OBLIGADO</w:t>
      </w:r>
      <w:r w:rsidRPr="009A6D74">
        <w:t xml:space="preserve"> a concluir que el caso particular se ajusta al supuesto previsto por la norma legal invocada como fundamento; además, </w:t>
      </w:r>
      <w:r w:rsidRPr="009A6D74">
        <w:rPr>
          <w:b/>
        </w:rPr>
        <w:t>EL SUJETO OBLIGADO</w:t>
      </w:r>
      <w:r w:rsidRPr="009A6D74">
        <w:t xml:space="preserve"> en todo momento tiene que aplicar una prueba de daño.</w:t>
      </w:r>
    </w:p>
    <w:p w14:paraId="6F526EC9" w14:textId="77777777" w:rsidR="00D7774A" w:rsidRPr="009A6D74" w:rsidRDefault="00D7774A" w:rsidP="009A6D74">
      <w:pPr>
        <w:rPr>
          <w:sz w:val="20"/>
        </w:rPr>
      </w:pPr>
    </w:p>
    <w:p w14:paraId="4870F574" w14:textId="77777777" w:rsidR="00D7774A" w:rsidRPr="009A6D74" w:rsidRDefault="00D7774A" w:rsidP="009A6D74">
      <w:r w:rsidRPr="009A6D74">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085344A" w14:textId="77777777" w:rsidR="00D7774A" w:rsidRPr="009A6D74" w:rsidRDefault="00D7774A" w:rsidP="009A6D74">
      <w:pPr>
        <w:rPr>
          <w:sz w:val="20"/>
        </w:rPr>
      </w:pPr>
    </w:p>
    <w:p w14:paraId="0133C9DD" w14:textId="77777777" w:rsidR="00D7774A" w:rsidRPr="009A6D74" w:rsidRDefault="00D7774A" w:rsidP="009A6D74">
      <w:r w:rsidRPr="009A6D74">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AD3C1A2" w14:textId="77777777" w:rsidR="00D7774A" w:rsidRPr="009A6D74" w:rsidRDefault="00D7774A" w:rsidP="009A6D74">
      <w:pPr>
        <w:rPr>
          <w:sz w:val="20"/>
        </w:rPr>
      </w:pPr>
    </w:p>
    <w:p w14:paraId="68B82CFB" w14:textId="77777777" w:rsidR="00D7774A" w:rsidRPr="009A6D74" w:rsidRDefault="00D7774A" w:rsidP="009A6D74">
      <w:pPr>
        <w:numPr>
          <w:ilvl w:val="0"/>
          <w:numId w:val="9"/>
        </w:numPr>
        <w:ind w:left="1276" w:hanging="425"/>
      </w:pPr>
      <w:r w:rsidRPr="009A6D74">
        <w:t>Se reciba una solicitud de acceso a la información;</w:t>
      </w:r>
    </w:p>
    <w:p w14:paraId="7CA28946" w14:textId="77777777" w:rsidR="00D7774A" w:rsidRPr="009A6D74" w:rsidRDefault="00D7774A" w:rsidP="009A6D74">
      <w:pPr>
        <w:numPr>
          <w:ilvl w:val="0"/>
          <w:numId w:val="9"/>
        </w:numPr>
        <w:ind w:left="1276" w:hanging="425"/>
      </w:pPr>
      <w:r w:rsidRPr="009A6D74">
        <w:t>Se determine mediante resolución de autoridad competente; y/o</w:t>
      </w:r>
    </w:p>
    <w:p w14:paraId="02793872" w14:textId="77777777" w:rsidR="00D7774A" w:rsidRPr="009A6D74" w:rsidRDefault="00D7774A" w:rsidP="009A6D74">
      <w:pPr>
        <w:numPr>
          <w:ilvl w:val="0"/>
          <w:numId w:val="9"/>
        </w:numPr>
        <w:ind w:left="1276" w:hanging="425"/>
      </w:pPr>
      <w:r w:rsidRPr="009A6D74">
        <w:t>Se generen versiones públicas para dar cumplimiento a las obligaciones de transparencia previstas en la Ley.</w:t>
      </w:r>
    </w:p>
    <w:p w14:paraId="7F77242F" w14:textId="77777777" w:rsidR="00D7774A" w:rsidRPr="009A6D74" w:rsidRDefault="00D7774A" w:rsidP="009A6D74"/>
    <w:p w14:paraId="18B416D1" w14:textId="77777777" w:rsidR="00D7774A" w:rsidRPr="009A6D74" w:rsidRDefault="00D7774A" w:rsidP="009A6D74">
      <w:r w:rsidRPr="009A6D74">
        <w:lastRenderedPageBreak/>
        <w:t>Situación que se robustece con el artículo 141 de la misma Ley, que señala que las causales de reserva previstas se deberán fundar y motivar, a través de la aplicación de la prueba de daño.</w:t>
      </w:r>
    </w:p>
    <w:p w14:paraId="4FDBFE28" w14:textId="77777777" w:rsidR="00D7774A" w:rsidRPr="009A6D74" w:rsidRDefault="00D7774A" w:rsidP="009A6D74">
      <w:pPr>
        <w:rPr>
          <w:sz w:val="20"/>
        </w:rPr>
      </w:pPr>
    </w:p>
    <w:p w14:paraId="45B22125" w14:textId="77777777" w:rsidR="00D7774A" w:rsidRPr="009A6D74" w:rsidRDefault="00D7774A" w:rsidP="009A6D74">
      <w:r w:rsidRPr="009A6D7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5DAE4F66" w14:textId="77777777" w:rsidR="00D7774A" w:rsidRPr="009A6D74" w:rsidRDefault="00D7774A" w:rsidP="009A6D74">
      <w:pPr>
        <w:rPr>
          <w:sz w:val="18"/>
        </w:rPr>
      </w:pPr>
    </w:p>
    <w:p w14:paraId="0328D66C" w14:textId="77777777" w:rsidR="00D7774A" w:rsidRPr="009A6D74" w:rsidRDefault="00D7774A" w:rsidP="009A6D74">
      <w:pPr>
        <w:numPr>
          <w:ilvl w:val="0"/>
          <w:numId w:val="10"/>
        </w:numPr>
        <w:ind w:left="1134" w:hanging="283"/>
      </w:pPr>
      <w:r w:rsidRPr="009A6D74">
        <w:t xml:space="preserve">La divulgación de la información representa un </w:t>
      </w:r>
      <w:r w:rsidRPr="009A6D74">
        <w:rPr>
          <w:b/>
        </w:rPr>
        <w:t>riesgo real, demostrable e identificable del perjuicio significativo al interés público o a la seguridad pública</w:t>
      </w:r>
      <w:r w:rsidRPr="009A6D74">
        <w:t>;</w:t>
      </w:r>
    </w:p>
    <w:p w14:paraId="50B6A2F5" w14:textId="77777777" w:rsidR="00D7774A" w:rsidRPr="009A6D74" w:rsidRDefault="00D7774A" w:rsidP="009A6D74">
      <w:pPr>
        <w:numPr>
          <w:ilvl w:val="0"/>
          <w:numId w:val="10"/>
        </w:numPr>
        <w:ind w:left="1134" w:hanging="283"/>
      </w:pPr>
      <w:r w:rsidRPr="009A6D74">
        <w:t>El riesgo de perjuicio que supondría la divulgación supera el interés público general de que se difunda; y,</w:t>
      </w:r>
    </w:p>
    <w:p w14:paraId="099673EA" w14:textId="77777777" w:rsidR="00D7774A" w:rsidRPr="009A6D74" w:rsidRDefault="00D7774A" w:rsidP="009A6D74">
      <w:pPr>
        <w:numPr>
          <w:ilvl w:val="0"/>
          <w:numId w:val="10"/>
        </w:numPr>
        <w:ind w:left="1134" w:hanging="283"/>
      </w:pPr>
      <w:r w:rsidRPr="009A6D74">
        <w:t xml:space="preserve">La limitación se adecua al principio de proporcionalidad y representa el medio menos restrictivo disponible para evitar el perjuicio. </w:t>
      </w:r>
    </w:p>
    <w:p w14:paraId="6BE9997E" w14:textId="77777777" w:rsidR="00D7774A" w:rsidRPr="009A6D74" w:rsidRDefault="00D7774A" w:rsidP="009A6D74">
      <w:pPr>
        <w:widowControl w:val="0"/>
        <w:tabs>
          <w:tab w:val="left" w:pos="1276"/>
          <w:tab w:val="left" w:pos="1701"/>
          <w:tab w:val="left" w:pos="1843"/>
        </w:tabs>
        <w:autoSpaceDE w:val="0"/>
        <w:autoSpaceDN w:val="0"/>
        <w:adjustRightInd w:val="0"/>
        <w:ind w:right="49"/>
        <w:rPr>
          <w:bCs/>
          <w:sz w:val="18"/>
        </w:rPr>
      </w:pPr>
    </w:p>
    <w:p w14:paraId="7BB26D88" w14:textId="77777777" w:rsidR="00D7774A" w:rsidRPr="009A6D74" w:rsidRDefault="00D7774A" w:rsidP="009A6D74">
      <w:pPr>
        <w:widowControl w:val="0"/>
        <w:tabs>
          <w:tab w:val="left" w:pos="1276"/>
          <w:tab w:val="left" w:pos="1701"/>
          <w:tab w:val="left" w:pos="1843"/>
        </w:tabs>
        <w:autoSpaceDE w:val="0"/>
        <w:autoSpaceDN w:val="0"/>
        <w:adjustRightInd w:val="0"/>
        <w:ind w:right="49"/>
        <w:rPr>
          <w:rFonts w:cs="Arial"/>
        </w:rPr>
      </w:pPr>
      <w:r w:rsidRPr="009A6D74">
        <w:rPr>
          <w:bCs/>
        </w:rPr>
        <w:t xml:space="preserve">Atento a lo anterior, </w:t>
      </w:r>
      <w:r w:rsidRPr="009A6D74">
        <w:rPr>
          <w:rFonts w:cs="Arial"/>
        </w:rPr>
        <w:t xml:space="preserve">es necesario hacer hincapié que para el caso de que existan </w:t>
      </w:r>
      <w:r w:rsidRPr="009A6D74">
        <w:t xml:space="preserve">causas presentes que impiden la publicidad de la información durante cierto periodo de tiempo, </w:t>
      </w:r>
      <w:r w:rsidRPr="009A6D74">
        <w:rPr>
          <w:rFonts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0720F6DE" w14:textId="77777777" w:rsidR="00D7774A" w:rsidRPr="009A6D74" w:rsidRDefault="00D7774A" w:rsidP="009A6D74">
      <w:pPr>
        <w:widowControl w:val="0"/>
        <w:tabs>
          <w:tab w:val="left" w:pos="1276"/>
          <w:tab w:val="left" w:pos="1701"/>
          <w:tab w:val="left" w:pos="1843"/>
        </w:tabs>
        <w:autoSpaceDE w:val="0"/>
        <w:autoSpaceDN w:val="0"/>
        <w:adjustRightInd w:val="0"/>
        <w:ind w:right="49"/>
        <w:rPr>
          <w:rFonts w:cs="Arial"/>
        </w:rPr>
      </w:pPr>
    </w:p>
    <w:p w14:paraId="16AB4AE3" w14:textId="77777777" w:rsidR="00D7774A" w:rsidRPr="009A6D74" w:rsidRDefault="00D7774A" w:rsidP="009A6D74">
      <w:pPr>
        <w:rPr>
          <w:rFonts w:cs="Arial"/>
        </w:rPr>
      </w:pPr>
      <w:r w:rsidRPr="009A6D74">
        <w:rPr>
          <w:rFonts w:cs="Arial"/>
        </w:rPr>
        <w:lastRenderedPageBreak/>
        <w:t xml:space="preserve">Asimismo, este Órgano Garante de la Protección de Datos Personales no omite mencionar que, si dentro de la información que se ordena su entrega, </w:t>
      </w:r>
      <w:r w:rsidRPr="009A6D74">
        <w:rPr>
          <w:rFonts w:cs="Arial"/>
          <w:b/>
        </w:rPr>
        <w:t xml:space="preserve">EL SUJETO OBLIGADO </w:t>
      </w:r>
      <w:r w:rsidRPr="009A6D74">
        <w:rPr>
          <w:rFonts w:cs="Arial"/>
        </w:rPr>
        <w:t>advierte documentos que por su propia y especial naturaleza son privados, deberá efectuar el Acuerdo de Clasificación como confidencial, en términos de la legislación aplicable y en los términos abordados con antelación.</w:t>
      </w:r>
    </w:p>
    <w:p w14:paraId="4464AEB2" w14:textId="77777777" w:rsidR="00D7774A" w:rsidRPr="009A6D74" w:rsidRDefault="00D7774A" w:rsidP="009A6D74">
      <w:pPr>
        <w:rPr>
          <w:rFonts w:cs="Arial"/>
        </w:rPr>
      </w:pPr>
    </w:p>
    <w:p w14:paraId="658EC066" w14:textId="77777777" w:rsidR="00D7774A" w:rsidRPr="009A6D74" w:rsidRDefault="00D7774A" w:rsidP="009A6D74">
      <w:pPr>
        <w:rPr>
          <w:rFonts w:cs="Arial"/>
        </w:rPr>
      </w:pPr>
      <w:r w:rsidRPr="009A6D74">
        <w:rPr>
          <w:rFonts w:cs="Arial"/>
        </w:rPr>
        <w:t>Por lo tanto,</w:t>
      </w:r>
      <w:r w:rsidRPr="009A6D74">
        <w:t xml:space="preserve"> es importante referir que </w:t>
      </w:r>
      <w:r w:rsidRPr="009A6D74">
        <w:rPr>
          <w:b/>
        </w:rPr>
        <w:t>EL SUJETO OBLIGADO</w:t>
      </w:r>
      <w:r w:rsidRPr="009A6D74">
        <w:t xml:space="preserve"> deberá seguir el procedimiento legal establecido para su clasificación, esto es, que su Comité de</w:t>
      </w:r>
      <w:r w:rsidRPr="009A6D74">
        <w:rPr>
          <w:rFonts w:cs="Arial"/>
        </w:rPr>
        <w:t xml:space="preserve"> Transparencia emita un Acuerdo de Clasificación que cumpla con las formalidades antes citadas</w:t>
      </w:r>
      <w:r w:rsidRPr="009A6D74">
        <w:rPr>
          <w:rFonts w:cs="Arial"/>
          <w:b/>
        </w:rPr>
        <w:t xml:space="preserve"> </w:t>
      </w:r>
      <w:r w:rsidRPr="009A6D74">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B20E7B4" w14:textId="77777777" w:rsidR="0039267F" w:rsidRPr="009A6D74" w:rsidRDefault="0039267F" w:rsidP="009A6D74">
      <w:pPr>
        <w:ind w:right="-312"/>
        <w:rPr>
          <w:rFonts w:eastAsia="Palatino Linotype" w:cs="Palatino Linotype"/>
          <w:b/>
          <w:i/>
          <w:szCs w:val="22"/>
        </w:rPr>
      </w:pPr>
    </w:p>
    <w:p w14:paraId="4865AF05" w14:textId="47D8E7ED" w:rsidR="0039267F" w:rsidRPr="009A6D74" w:rsidRDefault="00CE72DC" w:rsidP="009A6D74">
      <w:pPr>
        <w:pStyle w:val="Ttulo3"/>
        <w:spacing w:line="360" w:lineRule="auto"/>
        <w:ind w:right="-312"/>
        <w:rPr>
          <w:szCs w:val="22"/>
        </w:rPr>
      </w:pPr>
      <w:bookmarkStart w:id="30" w:name="_Toc173835659"/>
      <w:bookmarkStart w:id="31" w:name="_Toc175213882"/>
      <w:r w:rsidRPr="009A6D74">
        <w:t>e</w:t>
      </w:r>
      <w:r w:rsidR="0039267F" w:rsidRPr="009A6D74">
        <w:t xml:space="preserve">) </w:t>
      </w:r>
      <w:bookmarkStart w:id="32" w:name="_Toc172203621"/>
      <w:bookmarkStart w:id="33" w:name="_Toc174614254"/>
      <w:bookmarkStart w:id="34" w:name="_Toc175213883"/>
      <w:bookmarkEnd w:id="30"/>
      <w:bookmarkEnd w:id="31"/>
      <w:r w:rsidR="0039267F" w:rsidRPr="009A6D74">
        <w:rPr>
          <w:szCs w:val="22"/>
        </w:rPr>
        <w:t>Conclusión</w:t>
      </w:r>
      <w:bookmarkEnd w:id="32"/>
      <w:bookmarkEnd w:id="33"/>
      <w:bookmarkEnd w:id="34"/>
    </w:p>
    <w:p w14:paraId="32F8B388" w14:textId="07F0F498" w:rsidR="00561B38" w:rsidRPr="009A6D74" w:rsidRDefault="0039267F" w:rsidP="009A6D74">
      <w:pPr>
        <w:ind w:right="-312"/>
        <w:rPr>
          <w:rFonts w:cs="Arial"/>
          <w:szCs w:val="22"/>
        </w:rPr>
      </w:pPr>
      <w:r w:rsidRPr="009A6D74">
        <w:rPr>
          <w:rFonts w:cs="Arial"/>
          <w:szCs w:val="22"/>
        </w:rPr>
        <w:t xml:space="preserve">Por lo </w:t>
      </w:r>
      <w:r w:rsidRPr="009A6D74">
        <w:rPr>
          <w:rFonts w:cs="Arial"/>
          <w:szCs w:val="22"/>
          <w:lang w:eastAsia="es-CO"/>
        </w:rPr>
        <w:t>anteriormente</w:t>
      </w:r>
      <w:r w:rsidRPr="009A6D74">
        <w:rPr>
          <w:rFonts w:cs="Arial"/>
          <w:szCs w:val="22"/>
        </w:rPr>
        <w:t xml:space="preserve"> expuesto, este Instituto estima que las razones o motivos de inconformidad hechos valer por </w:t>
      </w:r>
      <w:r w:rsidRPr="009A6D74">
        <w:rPr>
          <w:rFonts w:cs="Arial"/>
          <w:b/>
          <w:szCs w:val="22"/>
        </w:rPr>
        <w:t>LA PARTE RECURRENTE</w:t>
      </w:r>
      <w:r w:rsidRPr="009A6D74">
        <w:rPr>
          <w:rFonts w:cs="Arial"/>
          <w:szCs w:val="22"/>
        </w:rPr>
        <w:t xml:space="preserve"> devienen </w:t>
      </w:r>
      <w:r w:rsidRPr="009A6D74">
        <w:rPr>
          <w:rFonts w:cs="Arial"/>
          <w:b/>
          <w:szCs w:val="22"/>
        </w:rPr>
        <w:t>fundadas</w:t>
      </w:r>
      <w:r w:rsidRPr="009A6D74">
        <w:rPr>
          <w:rFonts w:cs="Arial"/>
          <w:szCs w:val="22"/>
        </w:rPr>
        <w:t xml:space="preserve"> y suficientes para </w:t>
      </w:r>
      <w:r w:rsidRPr="009A6D74">
        <w:rPr>
          <w:rFonts w:cs="Arial"/>
          <w:b/>
          <w:szCs w:val="22"/>
        </w:rPr>
        <w:t>REVOCAR</w:t>
      </w:r>
      <w:r w:rsidRPr="009A6D74">
        <w:rPr>
          <w:rFonts w:cs="Arial"/>
          <w:szCs w:val="22"/>
        </w:rPr>
        <w:t xml:space="preserve"> la respuesta del </w:t>
      </w:r>
      <w:r w:rsidRPr="009A6D74">
        <w:rPr>
          <w:rFonts w:cs="Arial"/>
          <w:b/>
          <w:szCs w:val="22"/>
        </w:rPr>
        <w:t>SUJETO OBLIGADO</w:t>
      </w:r>
      <w:r w:rsidRPr="009A6D74">
        <w:rPr>
          <w:rFonts w:cs="Arial"/>
          <w:szCs w:val="22"/>
        </w:rPr>
        <w:t xml:space="preserve"> y ordenarle haga entrega de la información </w:t>
      </w:r>
      <w:r w:rsidR="00561B38" w:rsidRPr="009A6D74">
        <w:rPr>
          <w:rFonts w:cs="Arial"/>
          <w:szCs w:val="22"/>
        </w:rPr>
        <w:t xml:space="preserve">estadística al mayor grado de desagregación de delitos o violaciones de derechos humanos perpetrados en contra de personas migrantes, solicitantes de asilo y refugiados en el territorio mexicano, en el que se advierta el tipo de delito o violación a los derechos humanos, lugar, fecha y hora en la que se registró el incidente. </w:t>
      </w:r>
    </w:p>
    <w:p w14:paraId="41E41627" w14:textId="77777777" w:rsidR="00561B38" w:rsidRPr="009A6D74" w:rsidRDefault="00561B38" w:rsidP="009A6D74">
      <w:pPr>
        <w:ind w:right="-312"/>
        <w:rPr>
          <w:rFonts w:cs="Arial"/>
          <w:szCs w:val="22"/>
        </w:rPr>
      </w:pPr>
    </w:p>
    <w:p w14:paraId="6FC56EC8" w14:textId="77777777" w:rsidR="00561B38" w:rsidRPr="009A6D74" w:rsidRDefault="00561B38" w:rsidP="009A6D74">
      <w:pPr>
        <w:tabs>
          <w:tab w:val="left" w:pos="7938"/>
        </w:tabs>
        <w:ind w:right="-312"/>
        <w:contextualSpacing/>
      </w:pPr>
      <w:r w:rsidRPr="009A6D74">
        <w:rPr>
          <w:szCs w:val="22"/>
          <w:lang w:eastAsia="es-MX"/>
        </w:rPr>
        <w:lastRenderedPageBreak/>
        <w:t xml:space="preserve">Resaltando, que para el caso de que después de realizar la búsqueda de la información y no se localizará bastará que </w:t>
      </w:r>
      <w:r w:rsidRPr="009A6D74">
        <w:rPr>
          <w:b/>
          <w:szCs w:val="22"/>
          <w:lang w:eastAsia="es-MX"/>
        </w:rPr>
        <w:t xml:space="preserve">EL SUJETO OBLIGADO </w:t>
      </w:r>
      <w:r w:rsidRPr="009A6D74">
        <w:rPr>
          <w:szCs w:val="22"/>
          <w:lang w:eastAsia="es-MX"/>
        </w:rPr>
        <w:t>lo haga del conocimiento del particular, para tener por colmado dichos requerimientos</w:t>
      </w:r>
      <w:r w:rsidRPr="009A6D74">
        <w:t>, atendiendo de manera supletoria a las formalidades que establece el artículo 19, párrafo segundo de la Ley de Transparencia y Acceso a la Información Pública del Estado de México y Municipios, que es del tenor literal siguiente:</w:t>
      </w:r>
    </w:p>
    <w:p w14:paraId="0437E6EC" w14:textId="77777777" w:rsidR="00561B38" w:rsidRPr="009A6D74" w:rsidRDefault="00561B38" w:rsidP="009A6D74">
      <w:pPr>
        <w:tabs>
          <w:tab w:val="left" w:pos="7938"/>
        </w:tabs>
        <w:ind w:right="-312"/>
        <w:contextualSpacing/>
      </w:pPr>
    </w:p>
    <w:p w14:paraId="6FA28D60" w14:textId="77777777" w:rsidR="00561B38" w:rsidRPr="009A6D74" w:rsidRDefault="00561B38" w:rsidP="009A6D74">
      <w:pPr>
        <w:pStyle w:val="Puesto"/>
        <w:rPr>
          <w:b/>
        </w:rPr>
      </w:pPr>
      <w:r w:rsidRPr="009A6D74">
        <w:t>“</w:t>
      </w:r>
      <w:r w:rsidRPr="009A6D74">
        <w:rPr>
          <w:b/>
        </w:rPr>
        <w:t>Artículo 19…</w:t>
      </w:r>
    </w:p>
    <w:p w14:paraId="4A168B11" w14:textId="77777777" w:rsidR="00561B38" w:rsidRPr="009A6D74" w:rsidRDefault="00561B38" w:rsidP="009A6D74">
      <w:pPr>
        <w:pStyle w:val="Puesto"/>
      </w:pPr>
      <w:r w:rsidRPr="009A6D74">
        <w:rPr>
          <w:b/>
        </w:rPr>
        <w:t>En los casos en que ciertas facultades, competencias o funciones no se hayan ejercido, se debe motivar la respuesta en función de las causas que motiven tal circunstancia</w:t>
      </w:r>
      <w:r w:rsidRPr="009A6D74">
        <w:t>.”</w:t>
      </w:r>
    </w:p>
    <w:p w14:paraId="5DE1FA4B" w14:textId="77777777" w:rsidR="00561B38" w:rsidRPr="009A6D74" w:rsidRDefault="00561B38" w:rsidP="009A6D74"/>
    <w:p w14:paraId="15249EC7" w14:textId="77777777" w:rsidR="00561B38" w:rsidRPr="009A6D74" w:rsidRDefault="00561B38" w:rsidP="009A6D74">
      <w:pPr>
        <w:ind w:right="-312"/>
        <w:rPr>
          <w:rFonts w:cs="Arial"/>
          <w:lang w:val="es-ES"/>
        </w:rPr>
      </w:pPr>
      <w:r w:rsidRPr="009A6D74">
        <w:t>Ahora bien, no se omite comentar que</w:t>
      </w:r>
      <w:r w:rsidRPr="009A6D74">
        <w:rPr>
          <w:rFonts w:cs="Arial"/>
        </w:rPr>
        <w:t xml:space="preserve"> del contenido de la solicitud, se advierte que el particular desea la información en </w:t>
      </w:r>
      <w:r w:rsidRPr="009A6D74">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Pr="009A6D74">
        <w:rPr>
          <w:rFonts w:cs="Arial"/>
          <w:i/>
          <w:lang w:val="es-ES"/>
        </w:rPr>
        <w:t xml:space="preserve">(Portable </w:t>
      </w:r>
      <w:proofErr w:type="spellStart"/>
      <w:r w:rsidRPr="009A6D74">
        <w:rPr>
          <w:rFonts w:cs="Arial"/>
          <w:i/>
          <w:lang w:val="es-ES"/>
        </w:rPr>
        <w:t>Document</w:t>
      </w:r>
      <w:proofErr w:type="spellEnd"/>
      <w:r w:rsidRPr="009A6D74">
        <w:rPr>
          <w:rFonts w:cs="Arial"/>
          <w:i/>
          <w:lang w:val="es-ES"/>
        </w:rPr>
        <w:t xml:space="preserve"> </w:t>
      </w:r>
      <w:proofErr w:type="spellStart"/>
      <w:r w:rsidRPr="009A6D74">
        <w:rPr>
          <w:rFonts w:cs="Arial"/>
          <w:i/>
          <w:lang w:val="es-ES"/>
        </w:rPr>
        <w:t>Format</w:t>
      </w:r>
      <w:proofErr w:type="spellEnd"/>
      <w:r w:rsidRPr="009A6D74">
        <w:rPr>
          <w:rFonts w:cs="Arial"/>
          <w:i/>
          <w:lang w:val="es-ES"/>
        </w:rPr>
        <w:t xml:space="preserve"> </w:t>
      </w:r>
      <w:r w:rsidRPr="009A6D74">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38EBED91" w14:textId="77777777" w:rsidR="00561B38" w:rsidRPr="009A6D74" w:rsidRDefault="00561B38" w:rsidP="009A6D74">
      <w:pPr>
        <w:pBdr>
          <w:top w:val="nil"/>
          <w:left w:val="nil"/>
          <w:bottom w:val="nil"/>
          <w:right w:val="nil"/>
          <w:between w:val="nil"/>
        </w:pBdr>
        <w:contextualSpacing/>
        <w:rPr>
          <w:rFonts w:cs="Arial"/>
          <w:lang w:val="es-ES"/>
        </w:rPr>
      </w:pPr>
    </w:p>
    <w:p w14:paraId="4E05B322" w14:textId="77777777" w:rsidR="00561B38" w:rsidRPr="009A6D74" w:rsidRDefault="00561B38" w:rsidP="009A6D74">
      <w:pPr>
        <w:ind w:right="-312"/>
        <w:rPr>
          <w:rFonts w:cs="Arial"/>
          <w:lang w:val="es-ES"/>
        </w:rPr>
      </w:pPr>
      <w:r w:rsidRPr="009A6D74">
        <w:rPr>
          <w:rFonts w:cs="Arial"/>
        </w:rPr>
        <w:t xml:space="preserve">No obstante, aun cuando </w:t>
      </w:r>
      <w:r w:rsidRPr="009A6D74">
        <w:rPr>
          <w:rFonts w:cs="Arial"/>
          <w:b/>
        </w:rPr>
        <w:t xml:space="preserve">EL SUJETO OBLIGADO </w:t>
      </w:r>
      <w:r w:rsidRPr="009A6D74">
        <w:rPr>
          <w:rFonts w:cs="Arial"/>
        </w:rPr>
        <w:t xml:space="preserve">pudiera hacer entrega de la información solicitada </w:t>
      </w:r>
      <w:r w:rsidRPr="009A6D74">
        <w:rPr>
          <w:rFonts w:cs="Arial"/>
          <w:lang w:val="es-ES"/>
        </w:rPr>
        <w:t xml:space="preserve">en dicho formato, lo cierto es que, de la normatividad que lo constriñe a generarla, poseerla y administrarla, no se advierte dato alguno que dé certeza jurídica acerca de que </w:t>
      </w:r>
      <w:r w:rsidRPr="009A6D74">
        <w:rPr>
          <w:rFonts w:cs="Arial"/>
          <w:lang w:val="es-ES"/>
        </w:rPr>
        <w:lastRenderedPageBreak/>
        <w:t>dicho formato sea de uso obligatorio; por ello, se determina ordenar la entrega de dicha información, en el formato en que éste la genere.</w:t>
      </w:r>
    </w:p>
    <w:p w14:paraId="6E578064" w14:textId="77777777" w:rsidR="0039267F" w:rsidRPr="009A6D74" w:rsidRDefault="0039267F" w:rsidP="009A6D74">
      <w:pPr>
        <w:ind w:right="-312"/>
        <w:rPr>
          <w:rFonts w:cs="Arial"/>
          <w:szCs w:val="22"/>
        </w:rPr>
      </w:pPr>
    </w:p>
    <w:p w14:paraId="2DE571BE" w14:textId="77777777" w:rsidR="0039267F" w:rsidRPr="009A6D74" w:rsidRDefault="0039267F" w:rsidP="009A6D74">
      <w:pPr>
        <w:ind w:right="-312"/>
        <w:rPr>
          <w:rFonts w:cs="Tahoma"/>
          <w:bCs/>
          <w:szCs w:val="22"/>
        </w:rPr>
      </w:pPr>
      <w:bookmarkStart w:id="35" w:name="_Hlk165381027"/>
      <w:r w:rsidRPr="009A6D7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14BF766" w14:textId="77777777" w:rsidR="00561B38" w:rsidRPr="009A6D74" w:rsidRDefault="00561B38" w:rsidP="009A6D74">
      <w:pPr>
        <w:ind w:right="-312"/>
        <w:rPr>
          <w:rFonts w:cs="Tahoma"/>
          <w:bCs/>
          <w:szCs w:val="22"/>
        </w:rPr>
      </w:pPr>
    </w:p>
    <w:p w14:paraId="564951C6" w14:textId="77777777" w:rsidR="0039267F" w:rsidRPr="009A6D74" w:rsidRDefault="0039267F" w:rsidP="009A6D74">
      <w:pPr>
        <w:pStyle w:val="Ttulo1"/>
        <w:ind w:right="-312"/>
        <w:rPr>
          <w:szCs w:val="22"/>
        </w:rPr>
      </w:pPr>
      <w:bookmarkStart w:id="36" w:name="_Toc172203622"/>
      <w:bookmarkStart w:id="37" w:name="_Toc174614255"/>
      <w:bookmarkStart w:id="38" w:name="_Toc175213884"/>
      <w:bookmarkEnd w:id="35"/>
      <w:r w:rsidRPr="009A6D74">
        <w:rPr>
          <w:szCs w:val="22"/>
        </w:rPr>
        <w:t>RESUELVE</w:t>
      </w:r>
      <w:bookmarkEnd w:id="36"/>
      <w:bookmarkEnd w:id="37"/>
      <w:bookmarkEnd w:id="38"/>
    </w:p>
    <w:p w14:paraId="55D30B45" w14:textId="77777777" w:rsidR="0039267F" w:rsidRPr="009A6D74" w:rsidRDefault="0039267F" w:rsidP="009A6D74">
      <w:pPr>
        <w:ind w:right="-312"/>
        <w:rPr>
          <w:rFonts w:cs="Arial"/>
          <w:b/>
          <w:szCs w:val="22"/>
        </w:rPr>
      </w:pPr>
    </w:p>
    <w:p w14:paraId="1C6436F4" w14:textId="64EBFA28" w:rsidR="0039267F" w:rsidRPr="009A6D74" w:rsidRDefault="0039267F" w:rsidP="009A6D74">
      <w:pPr>
        <w:widowControl w:val="0"/>
        <w:ind w:right="-312"/>
        <w:rPr>
          <w:rFonts w:eastAsia="Calibri" w:cs="Tahoma"/>
          <w:bCs/>
          <w:szCs w:val="22"/>
          <w:lang w:eastAsia="en-US"/>
        </w:rPr>
      </w:pPr>
      <w:r w:rsidRPr="009A6D74">
        <w:rPr>
          <w:b/>
          <w:bCs/>
          <w:szCs w:val="22"/>
        </w:rPr>
        <w:t>PRIMERO.</w:t>
      </w:r>
      <w:r w:rsidRPr="009A6D74">
        <w:rPr>
          <w:szCs w:val="22"/>
        </w:rPr>
        <w:t xml:space="preserve"> </w:t>
      </w:r>
      <w:r w:rsidRPr="009A6D74">
        <w:rPr>
          <w:rFonts w:cs="Tahoma"/>
          <w:szCs w:val="22"/>
        </w:rPr>
        <w:t xml:space="preserve">Se </w:t>
      </w:r>
      <w:r w:rsidRPr="009A6D74">
        <w:rPr>
          <w:rFonts w:cs="Tahoma"/>
          <w:b/>
          <w:bCs/>
          <w:szCs w:val="22"/>
        </w:rPr>
        <w:t>REVOCA</w:t>
      </w:r>
      <w:r w:rsidRPr="009A6D74">
        <w:rPr>
          <w:rFonts w:cs="Tahoma"/>
          <w:szCs w:val="22"/>
        </w:rPr>
        <w:t xml:space="preserve"> la respuesta entregada por el </w:t>
      </w:r>
      <w:r w:rsidRPr="009A6D74">
        <w:rPr>
          <w:rFonts w:cs="Tahoma"/>
          <w:b/>
          <w:bCs/>
          <w:szCs w:val="22"/>
        </w:rPr>
        <w:t>SUJETO OBLIGADO</w:t>
      </w:r>
      <w:r w:rsidRPr="009A6D74">
        <w:rPr>
          <w:rFonts w:cs="Tahoma"/>
          <w:szCs w:val="22"/>
        </w:rPr>
        <w:t xml:space="preserve"> en la solicitud de información </w:t>
      </w:r>
      <w:r w:rsidR="00FE5A03" w:rsidRPr="009A6D74">
        <w:rPr>
          <w:rFonts w:cs="Tahoma"/>
          <w:b/>
          <w:bCs/>
          <w:szCs w:val="22"/>
        </w:rPr>
        <w:t>00183/CJ/IP/2024</w:t>
      </w:r>
      <w:r w:rsidRPr="009A6D74">
        <w:rPr>
          <w:rFonts w:cs="Tahoma"/>
          <w:bCs/>
          <w:szCs w:val="22"/>
        </w:rPr>
        <w:t xml:space="preserve">, </w:t>
      </w:r>
      <w:r w:rsidRPr="009A6D74">
        <w:rPr>
          <w:rFonts w:eastAsia="Calibri" w:cs="Tahoma"/>
          <w:bCs/>
          <w:szCs w:val="22"/>
          <w:lang w:eastAsia="en-US"/>
        </w:rPr>
        <w:t xml:space="preserve">por resultar </w:t>
      </w:r>
      <w:r w:rsidRPr="009A6D74">
        <w:rPr>
          <w:rFonts w:eastAsia="Calibri" w:cs="Tahoma"/>
          <w:b/>
          <w:bCs/>
          <w:szCs w:val="22"/>
          <w:lang w:eastAsia="en-US"/>
        </w:rPr>
        <w:t>FUNDADAS</w:t>
      </w:r>
      <w:r w:rsidRPr="009A6D74">
        <w:rPr>
          <w:rFonts w:eastAsia="Calibri" w:cs="Tahoma"/>
          <w:bCs/>
          <w:szCs w:val="22"/>
          <w:lang w:eastAsia="en-US"/>
        </w:rPr>
        <w:t xml:space="preserve"> las razones o motivos de inconformidad hechos valer por </w:t>
      </w:r>
      <w:r w:rsidRPr="009A6D74">
        <w:rPr>
          <w:rFonts w:eastAsia="Calibri" w:cs="Tahoma"/>
          <w:b/>
          <w:szCs w:val="22"/>
          <w:lang w:eastAsia="en-US"/>
        </w:rPr>
        <w:t>LA PARTE RECURRENTE</w:t>
      </w:r>
      <w:r w:rsidRPr="009A6D74">
        <w:rPr>
          <w:rFonts w:eastAsia="Calibri" w:cs="Tahoma"/>
          <w:bCs/>
          <w:szCs w:val="22"/>
          <w:lang w:eastAsia="en-US"/>
        </w:rPr>
        <w:t xml:space="preserve"> en el Recurso de Revisión </w:t>
      </w:r>
      <w:r w:rsidR="00FE5A03" w:rsidRPr="009A6D74">
        <w:rPr>
          <w:rFonts w:eastAsiaTheme="minorHAnsi" w:cstheme="minorBidi"/>
          <w:b/>
          <w:bCs/>
          <w:szCs w:val="22"/>
          <w:lang w:eastAsia="en-US"/>
        </w:rPr>
        <w:t>05067/INFOEM/IP/RR/2024</w:t>
      </w:r>
      <w:r w:rsidRPr="009A6D74">
        <w:rPr>
          <w:rFonts w:eastAsiaTheme="minorHAnsi" w:cstheme="minorBidi"/>
          <w:szCs w:val="22"/>
          <w:lang w:eastAsia="en-US"/>
        </w:rPr>
        <w:t>,</w:t>
      </w:r>
      <w:r w:rsidRPr="009A6D74">
        <w:rPr>
          <w:rFonts w:cs="Tahoma"/>
          <w:b/>
          <w:szCs w:val="22"/>
        </w:rPr>
        <w:t xml:space="preserve"> </w:t>
      </w:r>
      <w:r w:rsidRPr="009A6D74">
        <w:rPr>
          <w:rFonts w:eastAsia="Calibri" w:cs="Tahoma"/>
          <w:bCs/>
          <w:szCs w:val="22"/>
          <w:lang w:eastAsia="en-US"/>
        </w:rPr>
        <w:t xml:space="preserve">en términos del considerando </w:t>
      </w:r>
      <w:r w:rsidRPr="009A6D74">
        <w:rPr>
          <w:rFonts w:eastAsia="Calibri" w:cs="Tahoma"/>
          <w:b/>
          <w:szCs w:val="22"/>
          <w:lang w:eastAsia="en-US"/>
        </w:rPr>
        <w:t>SEGUNDO</w:t>
      </w:r>
      <w:r w:rsidRPr="009A6D74">
        <w:rPr>
          <w:rFonts w:eastAsia="Calibri" w:cs="Tahoma"/>
          <w:bCs/>
          <w:szCs w:val="22"/>
          <w:lang w:eastAsia="en-US"/>
        </w:rPr>
        <w:t xml:space="preserve"> de la presente Resolución.</w:t>
      </w:r>
    </w:p>
    <w:p w14:paraId="4B9CDCCC" w14:textId="77777777" w:rsidR="0039267F" w:rsidRPr="009A6D74" w:rsidRDefault="0039267F" w:rsidP="009A6D74">
      <w:pPr>
        <w:widowControl w:val="0"/>
        <w:ind w:right="-312"/>
        <w:rPr>
          <w:rFonts w:eastAsia="Calibri" w:cs="Tahoma"/>
          <w:bCs/>
          <w:szCs w:val="22"/>
          <w:lang w:eastAsia="en-US"/>
        </w:rPr>
      </w:pPr>
    </w:p>
    <w:p w14:paraId="2457E83F" w14:textId="0041D6D9" w:rsidR="00C860CD" w:rsidRPr="009A6D74" w:rsidRDefault="0039267F" w:rsidP="009A6D74">
      <w:pPr>
        <w:ind w:right="-312"/>
        <w:rPr>
          <w:rFonts w:eastAsia="Calibri" w:cs="Tahoma"/>
          <w:bCs/>
          <w:szCs w:val="22"/>
          <w:lang w:eastAsia="en-US"/>
        </w:rPr>
      </w:pPr>
      <w:r w:rsidRPr="009A6D74">
        <w:rPr>
          <w:rFonts w:eastAsia="Calibri" w:cs="Tahoma"/>
          <w:b/>
          <w:bCs/>
          <w:szCs w:val="22"/>
          <w:lang w:eastAsia="en-US"/>
        </w:rPr>
        <w:t>SEGUNDO.</w:t>
      </w:r>
      <w:r w:rsidRPr="009A6D74">
        <w:rPr>
          <w:rFonts w:eastAsia="Calibri" w:cs="Tahoma"/>
          <w:szCs w:val="22"/>
        </w:rPr>
        <w:t xml:space="preserve"> Se </w:t>
      </w:r>
      <w:r w:rsidRPr="009A6D74">
        <w:rPr>
          <w:rFonts w:eastAsia="Calibri" w:cs="Tahoma"/>
          <w:b/>
          <w:szCs w:val="22"/>
        </w:rPr>
        <w:t xml:space="preserve">ORDENA </w:t>
      </w:r>
      <w:r w:rsidRPr="009A6D74">
        <w:rPr>
          <w:rFonts w:eastAsia="Calibri" w:cs="Tahoma"/>
          <w:szCs w:val="22"/>
        </w:rPr>
        <w:t xml:space="preserve">al </w:t>
      </w:r>
      <w:r w:rsidRPr="009A6D74">
        <w:rPr>
          <w:rFonts w:eastAsia="Calibri" w:cs="Tahoma"/>
          <w:b/>
          <w:bCs/>
          <w:szCs w:val="22"/>
        </w:rPr>
        <w:t>SUJETO OBLIGADO</w:t>
      </w:r>
      <w:r w:rsidRPr="009A6D74">
        <w:rPr>
          <w:rFonts w:eastAsia="Calibri" w:cs="Tahoma"/>
          <w:szCs w:val="22"/>
        </w:rPr>
        <w:t xml:space="preserve">, previa búsqueda exhaustiva y razonable </w:t>
      </w:r>
      <w:r w:rsidRPr="009A6D74">
        <w:rPr>
          <w:rFonts w:eastAsia="Calibri" w:cs="Tahoma"/>
          <w:bCs/>
          <w:szCs w:val="22"/>
          <w:lang w:eastAsia="en-US"/>
        </w:rPr>
        <w:t xml:space="preserve">a efecto de que entregue a través del </w:t>
      </w:r>
      <w:r w:rsidRPr="009A6D74">
        <w:rPr>
          <w:rFonts w:eastAsia="Calibri" w:cs="Tahoma"/>
          <w:b/>
          <w:bCs/>
          <w:szCs w:val="22"/>
          <w:lang w:eastAsia="en-US"/>
        </w:rPr>
        <w:t>SAIMEX</w:t>
      </w:r>
      <w:r w:rsidRPr="009A6D74">
        <w:rPr>
          <w:rFonts w:eastAsia="Calibri" w:cs="Tahoma"/>
          <w:bCs/>
          <w:szCs w:val="22"/>
          <w:lang w:eastAsia="en-US"/>
        </w:rPr>
        <w:t xml:space="preserve">, </w:t>
      </w:r>
      <w:r w:rsidR="00C860CD" w:rsidRPr="009A6D74">
        <w:rPr>
          <w:rFonts w:eastAsia="Calibri" w:cs="Tahoma"/>
          <w:bCs/>
          <w:szCs w:val="22"/>
          <w:lang w:eastAsia="en-US"/>
        </w:rPr>
        <w:t xml:space="preserve">de ser procedente </w:t>
      </w:r>
      <w:r w:rsidR="000969CF" w:rsidRPr="009A6D74">
        <w:rPr>
          <w:rFonts w:eastAsia="Calibri" w:cs="Tahoma"/>
          <w:bCs/>
          <w:szCs w:val="22"/>
          <w:lang w:eastAsia="en-US"/>
        </w:rPr>
        <w:t xml:space="preserve">en </w:t>
      </w:r>
      <w:r w:rsidR="000969CF" w:rsidRPr="009A6D74">
        <w:rPr>
          <w:rFonts w:eastAsia="Calibri" w:cs="Tahoma"/>
          <w:b/>
          <w:bCs/>
          <w:szCs w:val="22"/>
          <w:lang w:eastAsia="en-US"/>
        </w:rPr>
        <w:t>versión</w:t>
      </w:r>
      <w:r w:rsidR="000969CF" w:rsidRPr="009A6D74">
        <w:rPr>
          <w:rFonts w:eastAsia="Calibri" w:cs="Tahoma"/>
          <w:bCs/>
          <w:szCs w:val="22"/>
          <w:lang w:eastAsia="en-US"/>
        </w:rPr>
        <w:t xml:space="preserve"> </w:t>
      </w:r>
      <w:r w:rsidR="000969CF" w:rsidRPr="009A6D74">
        <w:rPr>
          <w:rFonts w:eastAsia="Calibri" w:cs="Tahoma"/>
          <w:b/>
          <w:bCs/>
          <w:szCs w:val="22"/>
          <w:lang w:eastAsia="en-US"/>
        </w:rPr>
        <w:t>pública</w:t>
      </w:r>
      <w:r w:rsidR="000969CF" w:rsidRPr="009A6D74">
        <w:rPr>
          <w:rFonts w:eastAsia="Calibri" w:cs="Tahoma"/>
          <w:bCs/>
          <w:szCs w:val="22"/>
          <w:lang w:eastAsia="en-US"/>
        </w:rPr>
        <w:t xml:space="preserve"> </w:t>
      </w:r>
      <w:r w:rsidR="000969CF" w:rsidRPr="009A6D74">
        <w:rPr>
          <w:rFonts w:eastAsia="Calibri" w:cs="Tahoma"/>
          <w:b/>
          <w:szCs w:val="22"/>
        </w:rPr>
        <w:t>del 1 de enero al 0</w:t>
      </w:r>
      <w:r w:rsidR="00D819DE" w:rsidRPr="009A6D74">
        <w:rPr>
          <w:rFonts w:eastAsia="Calibri" w:cs="Tahoma"/>
          <w:b/>
          <w:szCs w:val="22"/>
        </w:rPr>
        <w:t>6</w:t>
      </w:r>
      <w:r w:rsidR="000969CF" w:rsidRPr="009A6D74">
        <w:rPr>
          <w:rFonts w:eastAsia="Calibri" w:cs="Tahoma"/>
          <w:b/>
          <w:szCs w:val="22"/>
        </w:rPr>
        <w:t xml:space="preserve"> de agosto de 2024,</w:t>
      </w:r>
      <w:r w:rsidR="000969CF" w:rsidRPr="009A6D74">
        <w:rPr>
          <w:rFonts w:eastAsia="Calibri" w:cs="Tahoma"/>
          <w:bCs/>
          <w:szCs w:val="22"/>
          <w:lang w:eastAsia="en-US"/>
        </w:rPr>
        <w:t xml:space="preserve"> </w:t>
      </w:r>
      <w:r w:rsidRPr="009A6D74">
        <w:rPr>
          <w:rFonts w:eastAsia="Calibri" w:cs="Tahoma"/>
          <w:bCs/>
          <w:szCs w:val="22"/>
          <w:lang w:eastAsia="en-US"/>
        </w:rPr>
        <w:t>e</w:t>
      </w:r>
      <w:r w:rsidR="00C860CD" w:rsidRPr="009A6D74">
        <w:rPr>
          <w:rFonts w:eastAsia="Calibri" w:cs="Tahoma"/>
          <w:bCs/>
          <w:szCs w:val="22"/>
          <w:lang w:eastAsia="en-US"/>
        </w:rPr>
        <w:t xml:space="preserve">n formato PDF o en el que se haya generado, el o los documentos donde conste lo siguiente: </w:t>
      </w:r>
    </w:p>
    <w:p w14:paraId="47824724" w14:textId="77777777" w:rsidR="00C860CD" w:rsidRPr="009A6D74" w:rsidRDefault="00C860CD" w:rsidP="009A6D74">
      <w:pPr>
        <w:ind w:right="-312"/>
        <w:rPr>
          <w:rFonts w:eastAsia="Calibri" w:cs="Tahoma"/>
          <w:bCs/>
          <w:szCs w:val="22"/>
          <w:lang w:eastAsia="en-US"/>
        </w:rPr>
      </w:pPr>
    </w:p>
    <w:p w14:paraId="02ABE703" w14:textId="49FAE502" w:rsidR="0094535A" w:rsidRPr="009A6D74" w:rsidRDefault="00C860CD" w:rsidP="009A6D74">
      <w:pPr>
        <w:pStyle w:val="Prrafodelista"/>
        <w:tabs>
          <w:tab w:val="left" w:pos="4962"/>
        </w:tabs>
        <w:spacing w:line="240" w:lineRule="auto"/>
        <w:ind w:left="567" w:right="113"/>
        <w:rPr>
          <w:rFonts w:cs="Tahoma"/>
          <w:bCs/>
          <w:i/>
          <w:iCs/>
          <w:szCs w:val="22"/>
        </w:rPr>
      </w:pPr>
      <w:r w:rsidRPr="009A6D74">
        <w:rPr>
          <w:rFonts w:cs="Tahoma"/>
          <w:bCs/>
          <w:i/>
          <w:iCs/>
          <w:szCs w:val="22"/>
        </w:rPr>
        <w:t>La información estadística al mayor grado de desagregación de d</w:t>
      </w:r>
      <w:r w:rsidR="0094535A" w:rsidRPr="009A6D74">
        <w:rPr>
          <w:rFonts w:cs="Tahoma"/>
          <w:bCs/>
          <w:i/>
          <w:iCs/>
          <w:szCs w:val="22"/>
        </w:rPr>
        <w:t xml:space="preserve">elitos o violaciones de derechos humanos perpetrados en contra de personas migrantes, solicitantes de asilo y refugiados en el territorio mexicano, </w:t>
      </w:r>
      <w:r w:rsidRPr="009A6D74">
        <w:rPr>
          <w:rFonts w:cs="Tahoma"/>
          <w:bCs/>
          <w:i/>
          <w:iCs/>
          <w:szCs w:val="22"/>
        </w:rPr>
        <w:t>en el que se advierta el</w:t>
      </w:r>
      <w:r w:rsidR="0094535A" w:rsidRPr="009A6D74">
        <w:rPr>
          <w:rFonts w:cs="Tahoma"/>
          <w:bCs/>
          <w:i/>
          <w:iCs/>
          <w:szCs w:val="22"/>
        </w:rPr>
        <w:t xml:space="preserve"> tipo de delito o violación a los derechos humanos, lugar, fecha y hora en la que se registró el incidente.</w:t>
      </w:r>
    </w:p>
    <w:p w14:paraId="409D3BFE" w14:textId="77777777" w:rsidR="0094535A" w:rsidRPr="009A6D74" w:rsidRDefault="0094535A" w:rsidP="009A6D74">
      <w:pPr>
        <w:pStyle w:val="Prrafodelista"/>
        <w:tabs>
          <w:tab w:val="left" w:pos="4962"/>
        </w:tabs>
        <w:spacing w:line="240" w:lineRule="auto"/>
        <w:ind w:left="567" w:right="113"/>
        <w:rPr>
          <w:rFonts w:cs="Tahoma"/>
          <w:bCs/>
          <w:i/>
          <w:iCs/>
          <w:szCs w:val="22"/>
        </w:rPr>
      </w:pPr>
    </w:p>
    <w:p w14:paraId="32E20880" w14:textId="17CA2294" w:rsidR="0094535A" w:rsidRPr="009A6D74" w:rsidRDefault="0094535A" w:rsidP="009A6D74">
      <w:pPr>
        <w:pStyle w:val="Prrafodelista"/>
        <w:tabs>
          <w:tab w:val="left" w:pos="4962"/>
        </w:tabs>
        <w:spacing w:line="240" w:lineRule="auto"/>
        <w:ind w:left="567" w:right="113"/>
        <w:rPr>
          <w:rFonts w:cs="Tahoma"/>
          <w:bCs/>
          <w:i/>
          <w:iCs/>
          <w:szCs w:val="22"/>
        </w:rPr>
      </w:pPr>
      <w:r w:rsidRPr="009A6D74">
        <w:rPr>
          <w:rFonts w:eastAsia="Calibri"/>
          <w:i/>
          <w:lang w:eastAsia="en-US"/>
        </w:rPr>
        <w:lastRenderedPageBreak/>
        <w:t>De ser necesaria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4BFD6CF" w14:textId="77777777" w:rsidR="0094535A" w:rsidRPr="009A6D74" w:rsidRDefault="0094535A" w:rsidP="009A6D74">
      <w:pPr>
        <w:pStyle w:val="Prrafodelista"/>
        <w:tabs>
          <w:tab w:val="left" w:pos="4962"/>
        </w:tabs>
        <w:spacing w:line="240" w:lineRule="auto"/>
        <w:ind w:left="567" w:right="113"/>
        <w:rPr>
          <w:rFonts w:cs="Tahoma"/>
          <w:bCs/>
          <w:i/>
          <w:iCs/>
          <w:szCs w:val="22"/>
        </w:rPr>
      </w:pPr>
    </w:p>
    <w:p w14:paraId="26D7D581" w14:textId="574F02E1" w:rsidR="004B2FC4" w:rsidRPr="009A6D74" w:rsidRDefault="004B2FC4" w:rsidP="009A6D74">
      <w:pPr>
        <w:pStyle w:val="Prrafodelista"/>
        <w:tabs>
          <w:tab w:val="left" w:pos="4962"/>
        </w:tabs>
        <w:spacing w:line="240" w:lineRule="auto"/>
        <w:ind w:left="567" w:right="113"/>
        <w:rPr>
          <w:rFonts w:cs="Tahoma"/>
          <w:bCs/>
          <w:i/>
          <w:iCs/>
          <w:szCs w:val="22"/>
        </w:rPr>
      </w:pPr>
      <w:r w:rsidRPr="009A6D74">
        <w:rPr>
          <w:rFonts w:eastAsia="Palatino Linotype" w:cs="Palatino Linotype"/>
          <w:i/>
        </w:rPr>
        <w:t xml:space="preserve">En el supuesto que la información ordenada no obre en los archivos del </w:t>
      </w:r>
      <w:r w:rsidRPr="009A6D74">
        <w:rPr>
          <w:rFonts w:eastAsia="Palatino Linotype" w:cs="Palatino Linotype"/>
          <w:b/>
          <w:i/>
        </w:rPr>
        <w:t xml:space="preserve">SUJETO OBLIGADO, </w:t>
      </w:r>
      <w:r w:rsidRPr="009A6D74">
        <w:rPr>
          <w:rFonts w:eastAsia="Palatino Linotype" w:cs="Palatino Linotype"/>
          <w:i/>
        </w:rPr>
        <w:t xml:space="preserve">por no haberse generado, bastará con que así se haga del conocimiento de </w:t>
      </w:r>
      <w:r w:rsidRPr="009A6D74">
        <w:rPr>
          <w:rFonts w:eastAsia="Palatino Linotype" w:cs="Palatino Linotype"/>
          <w:b/>
          <w:i/>
        </w:rPr>
        <w:t>LA PARTE</w:t>
      </w:r>
      <w:r w:rsidRPr="009A6D74">
        <w:rPr>
          <w:rFonts w:eastAsia="Palatino Linotype" w:cs="Palatino Linotype"/>
          <w:i/>
        </w:rPr>
        <w:t xml:space="preserve"> </w:t>
      </w:r>
      <w:r w:rsidRPr="009A6D74">
        <w:rPr>
          <w:rFonts w:eastAsia="Palatino Linotype" w:cs="Palatino Linotype"/>
          <w:b/>
          <w:i/>
        </w:rPr>
        <w:t>RECURRENTE</w:t>
      </w:r>
      <w:r w:rsidRPr="009A6D74">
        <w:rPr>
          <w:rFonts w:eastAsia="Palatino Linotype" w:cs="Palatino Linotype"/>
          <w:i/>
        </w:rPr>
        <w:t>.</w:t>
      </w:r>
    </w:p>
    <w:p w14:paraId="3077EBD0" w14:textId="77777777" w:rsidR="00D7774A" w:rsidRPr="009A6D74" w:rsidRDefault="00D7774A" w:rsidP="009A6D74">
      <w:pPr>
        <w:tabs>
          <w:tab w:val="left" w:pos="8505"/>
        </w:tabs>
        <w:spacing w:line="240" w:lineRule="auto"/>
        <w:ind w:left="567" w:right="680"/>
        <w:rPr>
          <w:rFonts w:eastAsia="Palatino Linotype" w:cs="Palatino Linotype"/>
          <w:b/>
          <w:i/>
        </w:rPr>
      </w:pPr>
    </w:p>
    <w:p w14:paraId="4DAEC46C" w14:textId="77777777" w:rsidR="0039267F" w:rsidRPr="009A6D74" w:rsidRDefault="0039267F" w:rsidP="009A6D74">
      <w:pPr>
        <w:ind w:right="-312"/>
        <w:rPr>
          <w:szCs w:val="22"/>
        </w:rPr>
      </w:pPr>
      <w:r w:rsidRPr="009A6D74">
        <w:rPr>
          <w:b/>
          <w:bCs/>
          <w:szCs w:val="22"/>
        </w:rPr>
        <w:t>TERCERO.</w:t>
      </w:r>
      <w:r w:rsidRPr="009A6D74">
        <w:rPr>
          <w:szCs w:val="22"/>
        </w:rPr>
        <w:t xml:space="preserve"> Notifíquese vía Sistema de Acceso a la Información Mexiquense (</w:t>
      </w:r>
      <w:r w:rsidRPr="009A6D74">
        <w:rPr>
          <w:b/>
          <w:szCs w:val="22"/>
        </w:rPr>
        <w:t>SAIMEX</w:t>
      </w:r>
      <w:r w:rsidRPr="009A6D74">
        <w:rPr>
          <w:szCs w:val="22"/>
        </w:rPr>
        <w:t xml:space="preserve">) la presente resolución al Titular de la Unidad de Transparencia del </w:t>
      </w:r>
      <w:r w:rsidRPr="009A6D74">
        <w:rPr>
          <w:b/>
          <w:bCs/>
          <w:szCs w:val="22"/>
        </w:rPr>
        <w:t>SUJETO OBLIGADO</w:t>
      </w:r>
      <w:r w:rsidRPr="009A6D74">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9A6D74">
        <w:rPr>
          <w:b/>
          <w:bCs/>
          <w:szCs w:val="22"/>
        </w:rPr>
        <w:t>diez días hábiles</w:t>
      </w:r>
      <w:r w:rsidRPr="009A6D74">
        <w:rPr>
          <w:szCs w:val="22"/>
        </w:rPr>
        <w:t xml:space="preserve">, e informe a este Instituto en un plazo de </w:t>
      </w:r>
      <w:r w:rsidRPr="009A6D74">
        <w:rPr>
          <w:b/>
          <w:bCs/>
          <w:szCs w:val="22"/>
        </w:rPr>
        <w:t>tres días hábiles</w:t>
      </w:r>
      <w:r w:rsidRPr="009A6D74">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B23235" w14:textId="77777777" w:rsidR="0039267F" w:rsidRPr="009A6D74" w:rsidRDefault="0039267F" w:rsidP="009A6D74">
      <w:pPr>
        <w:ind w:right="-312"/>
        <w:rPr>
          <w:szCs w:val="22"/>
        </w:rPr>
      </w:pPr>
    </w:p>
    <w:p w14:paraId="033D0655" w14:textId="77777777" w:rsidR="0039267F" w:rsidRPr="009A6D74" w:rsidRDefault="0039267F" w:rsidP="009A6D74">
      <w:pPr>
        <w:ind w:right="-312"/>
        <w:rPr>
          <w:szCs w:val="22"/>
        </w:rPr>
      </w:pPr>
      <w:r w:rsidRPr="009A6D74">
        <w:rPr>
          <w:b/>
          <w:bCs/>
          <w:szCs w:val="22"/>
        </w:rPr>
        <w:t>CUARTO.</w:t>
      </w:r>
      <w:r w:rsidRPr="009A6D74">
        <w:rPr>
          <w:szCs w:val="22"/>
        </w:rPr>
        <w:t xml:space="preserve"> Notifíquese a </w:t>
      </w:r>
      <w:r w:rsidRPr="009A6D74">
        <w:rPr>
          <w:b/>
          <w:bCs/>
          <w:szCs w:val="22"/>
        </w:rPr>
        <w:t>LA PARTE RECURRENTE</w:t>
      </w:r>
      <w:r w:rsidRPr="009A6D74">
        <w:rPr>
          <w:szCs w:val="22"/>
        </w:rPr>
        <w:t xml:space="preserve"> la presente resolución vía Sistema de Acceso a la Información Mexiquense (</w:t>
      </w:r>
      <w:r w:rsidRPr="009A6D74">
        <w:rPr>
          <w:b/>
          <w:szCs w:val="22"/>
        </w:rPr>
        <w:t>SAIMEX</w:t>
      </w:r>
      <w:r w:rsidRPr="009A6D74">
        <w:rPr>
          <w:szCs w:val="22"/>
        </w:rPr>
        <w:t>).</w:t>
      </w:r>
    </w:p>
    <w:p w14:paraId="57288DA5" w14:textId="77777777" w:rsidR="0039267F" w:rsidRPr="009A6D74" w:rsidRDefault="0039267F" w:rsidP="009A6D74">
      <w:pPr>
        <w:ind w:right="-312"/>
        <w:rPr>
          <w:szCs w:val="22"/>
        </w:rPr>
      </w:pPr>
    </w:p>
    <w:p w14:paraId="49CED792" w14:textId="77777777" w:rsidR="0039267F" w:rsidRPr="009A6D74" w:rsidRDefault="0039267F" w:rsidP="009A6D74">
      <w:pPr>
        <w:ind w:right="-312"/>
        <w:rPr>
          <w:szCs w:val="22"/>
        </w:rPr>
      </w:pPr>
      <w:r w:rsidRPr="009A6D74">
        <w:rPr>
          <w:b/>
          <w:bCs/>
          <w:szCs w:val="22"/>
        </w:rPr>
        <w:t>QUINTO</w:t>
      </w:r>
      <w:r w:rsidRPr="009A6D74">
        <w:rPr>
          <w:szCs w:val="22"/>
        </w:rPr>
        <w:t xml:space="preserve">. Hágase del conocimiento a </w:t>
      </w:r>
      <w:r w:rsidRPr="009A6D74">
        <w:rPr>
          <w:b/>
          <w:bCs/>
          <w:szCs w:val="22"/>
        </w:rPr>
        <w:t>LA PARTE RECURRENTE</w:t>
      </w:r>
      <w:r w:rsidRPr="009A6D7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F30EAB6" w14:textId="77777777" w:rsidR="0039267F" w:rsidRPr="009A6D74" w:rsidRDefault="0039267F" w:rsidP="009A6D74">
      <w:pPr>
        <w:ind w:right="-312"/>
        <w:rPr>
          <w:szCs w:val="22"/>
        </w:rPr>
      </w:pPr>
    </w:p>
    <w:p w14:paraId="32A90675" w14:textId="77777777" w:rsidR="0039267F" w:rsidRPr="009A6D74" w:rsidRDefault="0039267F" w:rsidP="009A6D74">
      <w:pPr>
        <w:ind w:right="-312"/>
        <w:rPr>
          <w:szCs w:val="22"/>
        </w:rPr>
      </w:pPr>
      <w:r w:rsidRPr="009A6D74">
        <w:rPr>
          <w:b/>
          <w:bCs/>
          <w:szCs w:val="22"/>
        </w:rPr>
        <w:lastRenderedPageBreak/>
        <w:t>SEXTO.</w:t>
      </w:r>
      <w:r w:rsidRPr="009A6D74">
        <w:rPr>
          <w:szCs w:val="22"/>
        </w:rPr>
        <w:t xml:space="preserve"> De conformidad con el artículo 198 de la Ley de Transparencia y Acceso a la Información Pública del Estado de México y Municipios, el </w:t>
      </w:r>
      <w:r w:rsidRPr="009A6D74">
        <w:rPr>
          <w:b/>
          <w:bCs/>
          <w:szCs w:val="22"/>
        </w:rPr>
        <w:t>SUJETO OBLIGADO</w:t>
      </w:r>
      <w:r w:rsidRPr="009A6D74">
        <w:rPr>
          <w:szCs w:val="22"/>
        </w:rPr>
        <w:t xml:space="preserve"> podrá solicitar una ampliación de plazo de manera fundada y motivada, para el cumplimiento de la presente resolución.</w:t>
      </w:r>
    </w:p>
    <w:p w14:paraId="19699524" w14:textId="77777777" w:rsidR="0039267F" w:rsidRPr="009A6D74" w:rsidRDefault="0039267F" w:rsidP="009A6D74">
      <w:pPr>
        <w:ind w:right="-312"/>
        <w:rPr>
          <w:rFonts w:cs="Arial"/>
          <w:b/>
          <w:szCs w:val="22"/>
        </w:rPr>
      </w:pPr>
    </w:p>
    <w:p w14:paraId="028B495E" w14:textId="2491D40C" w:rsidR="0039267F" w:rsidRPr="009A6D74" w:rsidRDefault="0039267F" w:rsidP="009A6D74">
      <w:pPr>
        <w:ind w:right="-312"/>
        <w:rPr>
          <w:rFonts w:eastAsia="Palatino Linotype" w:cs="Palatino Linotype"/>
          <w:szCs w:val="22"/>
        </w:rPr>
      </w:pPr>
      <w:r w:rsidRPr="009A6D74">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w:t>
      </w:r>
      <w:r w:rsidR="00B420C5" w:rsidRPr="009A6D74">
        <w:rPr>
          <w:rFonts w:eastAsia="Palatino Linotype" w:cs="Palatino Linotype"/>
          <w:szCs w:val="22"/>
        </w:rPr>
        <w:t xml:space="preserve"> </w:t>
      </w:r>
      <w:r w:rsidR="00C12607" w:rsidRPr="009A6D74">
        <w:rPr>
          <w:rFonts w:eastAsia="Palatino Linotype" w:cs="Palatino Linotype"/>
          <w:szCs w:val="22"/>
        </w:rPr>
        <w:t>SEGUNDA</w:t>
      </w:r>
      <w:r w:rsidRPr="009A6D74">
        <w:rPr>
          <w:rFonts w:eastAsia="Palatino Linotype" w:cs="Palatino Linotype"/>
          <w:szCs w:val="22"/>
        </w:rPr>
        <w:t xml:space="preserve"> SESIÓN ORDINARIA, CELEBRADA EL </w:t>
      </w:r>
      <w:r w:rsidR="00C12607" w:rsidRPr="009A6D74">
        <w:rPr>
          <w:rFonts w:eastAsia="Palatino Linotype" w:cs="Palatino Linotype"/>
          <w:szCs w:val="22"/>
        </w:rPr>
        <w:t>ONCE</w:t>
      </w:r>
      <w:r w:rsidR="00B420C5" w:rsidRPr="009A6D74">
        <w:rPr>
          <w:rFonts w:eastAsia="Palatino Linotype" w:cs="Palatino Linotype"/>
          <w:szCs w:val="22"/>
        </w:rPr>
        <w:t xml:space="preserve"> DE SEPTIEMBRE</w:t>
      </w:r>
      <w:r w:rsidRPr="009A6D74">
        <w:rPr>
          <w:rFonts w:eastAsia="Palatino Linotype" w:cs="Palatino Linotype"/>
          <w:szCs w:val="22"/>
        </w:rPr>
        <w:t xml:space="preserve"> DE DOS MIL VEINTICUATRO, ANTE EL SECRETARIO TÉCNICO DEL PLENO, ALEXIS TAPIA RAMÍREZ.</w:t>
      </w:r>
    </w:p>
    <w:p w14:paraId="348A52F9" w14:textId="77777777" w:rsidR="0039267F" w:rsidRPr="009A6D74" w:rsidRDefault="0039267F" w:rsidP="009A6D74">
      <w:pPr>
        <w:ind w:right="-312"/>
        <w:rPr>
          <w:szCs w:val="22"/>
        </w:rPr>
      </w:pPr>
      <w:r w:rsidRPr="009A6D74">
        <w:rPr>
          <w:rFonts w:eastAsia="Palatino Linotype" w:cs="Palatino Linotype"/>
          <w:szCs w:val="22"/>
        </w:rPr>
        <w:t>SCMM/AGZ/DEMF/PAG</w:t>
      </w:r>
    </w:p>
    <w:p w14:paraId="49D72DA3" w14:textId="77777777" w:rsidR="00664420" w:rsidRPr="009A6D74" w:rsidRDefault="00664420" w:rsidP="009A6D74">
      <w:pPr>
        <w:ind w:right="-312"/>
        <w:rPr>
          <w:rFonts w:eastAsia="Calibri" w:cs="Tahoma"/>
          <w:bCs/>
          <w:szCs w:val="22"/>
          <w:lang w:eastAsia="en-US"/>
        </w:rPr>
      </w:pPr>
    </w:p>
    <w:p w14:paraId="5EFEA0CD" w14:textId="77777777" w:rsidR="00664420" w:rsidRPr="009A6D74" w:rsidRDefault="00664420" w:rsidP="009A6D74">
      <w:pPr>
        <w:ind w:right="-312"/>
        <w:rPr>
          <w:rFonts w:eastAsia="Calibri" w:cs="Tahoma"/>
          <w:szCs w:val="22"/>
          <w:lang w:val="es-ES"/>
        </w:rPr>
      </w:pPr>
    </w:p>
    <w:p w14:paraId="696BC976" w14:textId="77777777" w:rsidR="00664420" w:rsidRPr="009A6D74" w:rsidRDefault="00664420" w:rsidP="009A6D74">
      <w:pPr>
        <w:ind w:right="-312"/>
        <w:rPr>
          <w:rFonts w:eastAsia="Calibri" w:cs="Tahoma"/>
          <w:bCs/>
          <w:szCs w:val="22"/>
          <w:lang w:val="es-ES" w:eastAsia="en-US"/>
        </w:rPr>
      </w:pPr>
    </w:p>
    <w:p w14:paraId="671CB0C5" w14:textId="77777777" w:rsidR="00664420" w:rsidRPr="009A6D74" w:rsidRDefault="00664420" w:rsidP="009A6D74">
      <w:pPr>
        <w:ind w:right="-312"/>
        <w:rPr>
          <w:rFonts w:eastAsia="Calibri" w:cs="Tahoma"/>
          <w:bCs/>
          <w:szCs w:val="22"/>
          <w:lang w:val="es-ES_tradnl" w:eastAsia="en-US"/>
        </w:rPr>
      </w:pPr>
    </w:p>
    <w:p w14:paraId="52B66DE7" w14:textId="77777777" w:rsidR="00664420" w:rsidRPr="009A6D74" w:rsidRDefault="00664420" w:rsidP="009A6D74">
      <w:pPr>
        <w:ind w:right="-312"/>
        <w:rPr>
          <w:rFonts w:eastAsia="Calibri" w:cs="Tahoma"/>
          <w:bCs/>
          <w:szCs w:val="22"/>
          <w:lang w:val="es-ES_tradnl" w:eastAsia="en-US"/>
        </w:rPr>
      </w:pPr>
    </w:p>
    <w:p w14:paraId="3BA305D1" w14:textId="77777777" w:rsidR="00664420" w:rsidRPr="009A6D74" w:rsidRDefault="00664420" w:rsidP="009A6D74">
      <w:pPr>
        <w:ind w:right="-312"/>
        <w:rPr>
          <w:rFonts w:eastAsia="Calibri" w:cs="Tahoma"/>
          <w:bCs/>
          <w:szCs w:val="22"/>
          <w:lang w:val="es-ES_tradnl" w:eastAsia="en-US"/>
        </w:rPr>
      </w:pPr>
    </w:p>
    <w:p w14:paraId="78230707" w14:textId="77777777" w:rsidR="00664420" w:rsidRPr="009A6D74" w:rsidRDefault="00664420" w:rsidP="009A6D74">
      <w:pPr>
        <w:ind w:right="-312"/>
        <w:rPr>
          <w:rFonts w:eastAsia="Calibri" w:cs="Tahoma"/>
          <w:bCs/>
          <w:szCs w:val="22"/>
          <w:lang w:val="es-ES_tradnl" w:eastAsia="en-US"/>
        </w:rPr>
      </w:pPr>
    </w:p>
    <w:p w14:paraId="72D18B28" w14:textId="77777777" w:rsidR="00664420" w:rsidRPr="009A6D74" w:rsidRDefault="00664420" w:rsidP="009A6D74">
      <w:pPr>
        <w:ind w:right="-312"/>
        <w:rPr>
          <w:rFonts w:eastAsia="Calibri" w:cs="Tahoma"/>
          <w:bCs/>
          <w:szCs w:val="22"/>
          <w:lang w:val="es-ES_tradnl" w:eastAsia="en-US"/>
        </w:rPr>
      </w:pPr>
    </w:p>
    <w:p w14:paraId="6BD461DC" w14:textId="77777777" w:rsidR="00664420" w:rsidRPr="009A6D74" w:rsidRDefault="00664420" w:rsidP="009A6D74">
      <w:pPr>
        <w:tabs>
          <w:tab w:val="center" w:pos="4568"/>
        </w:tabs>
        <w:ind w:right="-312"/>
        <w:rPr>
          <w:rFonts w:eastAsia="Calibri" w:cs="Tahoma"/>
          <w:bCs/>
          <w:szCs w:val="22"/>
          <w:lang w:eastAsia="en-US"/>
        </w:rPr>
      </w:pPr>
    </w:p>
    <w:p w14:paraId="4DBB1727" w14:textId="77777777" w:rsidR="00664420" w:rsidRPr="009A6D74" w:rsidRDefault="00664420" w:rsidP="009A6D74">
      <w:pPr>
        <w:tabs>
          <w:tab w:val="center" w:pos="4568"/>
        </w:tabs>
        <w:ind w:right="-312"/>
        <w:rPr>
          <w:rFonts w:eastAsia="Calibri" w:cs="Tahoma"/>
          <w:bCs/>
          <w:szCs w:val="22"/>
          <w:lang w:eastAsia="en-US"/>
        </w:rPr>
      </w:pPr>
    </w:p>
    <w:p w14:paraId="1D74121B" w14:textId="77777777" w:rsidR="00664420" w:rsidRPr="009A6D74" w:rsidRDefault="00664420" w:rsidP="009A6D74">
      <w:pPr>
        <w:tabs>
          <w:tab w:val="center" w:pos="4568"/>
        </w:tabs>
        <w:ind w:right="-312"/>
        <w:rPr>
          <w:rFonts w:eastAsia="Calibri" w:cs="Tahoma"/>
          <w:bCs/>
          <w:szCs w:val="22"/>
          <w:lang w:eastAsia="en-US"/>
        </w:rPr>
      </w:pPr>
    </w:p>
    <w:p w14:paraId="08E74E9C" w14:textId="77777777" w:rsidR="00664420" w:rsidRPr="009A6D74" w:rsidRDefault="00664420" w:rsidP="009A6D74">
      <w:pPr>
        <w:tabs>
          <w:tab w:val="center" w:pos="4568"/>
        </w:tabs>
        <w:ind w:right="-312"/>
        <w:rPr>
          <w:rFonts w:eastAsia="Calibri" w:cs="Tahoma"/>
          <w:bCs/>
          <w:szCs w:val="22"/>
          <w:lang w:eastAsia="en-US"/>
        </w:rPr>
      </w:pPr>
    </w:p>
    <w:p w14:paraId="2CBF5E03" w14:textId="77777777" w:rsidR="00664420" w:rsidRPr="009A6D74" w:rsidRDefault="00664420" w:rsidP="009A6D74">
      <w:pPr>
        <w:tabs>
          <w:tab w:val="center" w:pos="4568"/>
        </w:tabs>
        <w:ind w:right="-312"/>
        <w:rPr>
          <w:rFonts w:eastAsia="Calibri" w:cs="Tahoma"/>
          <w:bCs/>
          <w:szCs w:val="22"/>
          <w:lang w:eastAsia="en-US"/>
        </w:rPr>
      </w:pPr>
    </w:p>
    <w:p w14:paraId="44865A6D" w14:textId="77777777" w:rsidR="00664420" w:rsidRPr="009A6D74" w:rsidRDefault="00664420" w:rsidP="009A6D74">
      <w:pPr>
        <w:tabs>
          <w:tab w:val="center" w:pos="4568"/>
        </w:tabs>
        <w:ind w:right="-312"/>
        <w:rPr>
          <w:rFonts w:eastAsia="Calibri" w:cs="Tahoma"/>
          <w:bCs/>
          <w:szCs w:val="22"/>
          <w:lang w:eastAsia="en-US"/>
        </w:rPr>
      </w:pPr>
    </w:p>
    <w:p w14:paraId="7147F06B" w14:textId="77777777" w:rsidR="00664420" w:rsidRPr="009A6D74" w:rsidRDefault="00664420" w:rsidP="009A6D74">
      <w:pPr>
        <w:tabs>
          <w:tab w:val="center" w:pos="4568"/>
        </w:tabs>
        <w:ind w:right="-312"/>
        <w:rPr>
          <w:rFonts w:eastAsia="Calibri" w:cs="Tahoma"/>
          <w:bCs/>
          <w:szCs w:val="22"/>
          <w:lang w:eastAsia="en-US"/>
        </w:rPr>
      </w:pPr>
    </w:p>
    <w:p w14:paraId="6FDF3D7E" w14:textId="77777777" w:rsidR="00664420" w:rsidRPr="009A6D74" w:rsidRDefault="00664420" w:rsidP="009A6D74">
      <w:pPr>
        <w:tabs>
          <w:tab w:val="center" w:pos="4568"/>
        </w:tabs>
        <w:ind w:right="-312"/>
        <w:rPr>
          <w:rFonts w:eastAsia="Calibri" w:cs="Tahoma"/>
          <w:bCs/>
          <w:szCs w:val="22"/>
          <w:lang w:eastAsia="en-US"/>
        </w:rPr>
      </w:pPr>
    </w:p>
    <w:p w14:paraId="6246F818" w14:textId="77777777" w:rsidR="00664420" w:rsidRPr="009A6D74" w:rsidRDefault="00664420" w:rsidP="009A6D74">
      <w:pPr>
        <w:tabs>
          <w:tab w:val="center" w:pos="4568"/>
        </w:tabs>
        <w:ind w:right="-312"/>
        <w:rPr>
          <w:rFonts w:eastAsia="Calibri" w:cs="Tahoma"/>
          <w:bCs/>
          <w:szCs w:val="22"/>
          <w:lang w:eastAsia="en-US"/>
        </w:rPr>
      </w:pPr>
    </w:p>
    <w:p w14:paraId="57A88B28" w14:textId="77777777" w:rsidR="00664420" w:rsidRPr="009A6D74" w:rsidRDefault="00664420" w:rsidP="009A6D74">
      <w:pPr>
        <w:tabs>
          <w:tab w:val="center" w:pos="4568"/>
        </w:tabs>
        <w:ind w:right="-312"/>
        <w:rPr>
          <w:rFonts w:eastAsia="Calibri" w:cs="Tahoma"/>
          <w:bCs/>
          <w:szCs w:val="22"/>
          <w:lang w:eastAsia="en-US"/>
        </w:rPr>
      </w:pPr>
    </w:p>
    <w:p w14:paraId="77EF6095" w14:textId="77777777" w:rsidR="00664420" w:rsidRPr="009A6D74" w:rsidRDefault="00664420" w:rsidP="009A6D74">
      <w:pPr>
        <w:tabs>
          <w:tab w:val="center" w:pos="4568"/>
        </w:tabs>
        <w:ind w:right="-312"/>
        <w:rPr>
          <w:rFonts w:eastAsia="Calibri" w:cs="Tahoma"/>
          <w:bCs/>
          <w:szCs w:val="22"/>
          <w:lang w:eastAsia="en-US"/>
        </w:rPr>
      </w:pPr>
    </w:p>
    <w:p w14:paraId="35593947" w14:textId="77777777" w:rsidR="00664420" w:rsidRPr="009A6D74" w:rsidRDefault="00664420" w:rsidP="009A6D74">
      <w:pPr>
        <w:tabs>
          <w:tab w:val="center" w:pos="4568"/>
        </w:tabs>
        <w:ind w:right="-312"/>
        <w:rPr>
          <w:rFonts w:eastAsia="Calibri" w:cs="Tahoma"/>
          <w:bCs/>
          <w:szCs w:val="22"/>
          <w:lang w:eastAsia="en-US"/>
        </w:rPr>
      </w:pPr>
    </w:p>
    <w:p w14:paraId="3AF72A17" w14:textId="77777777" w:rsidR="00664420" w:rsidRPr="009A6D74" w:rsidRDefault="00664420" w:rsidP="009A6D74">
      <w:pPr>
        <w:tabs>
          <w:tab w:val="center" w:pos="4568"/>
        </w:tabs>
        <w:ind w:right="-312"/>
        <w:rPr>
          <w:rFonts w:eastAsia="Calibri" w:cs="Tahoma"/>
          <w:bCs/>
          <w:szCs w:val="22"/>
          <w:lang w:eastAsia="en-US"/>
        </w:rPr>
      </w:pPr>
    </w:p>
    <w:p w14:paraId="37169144" w14:textId="77777777" w:rsidR="00664420" w:rsidRPr="009A6D74" w:rsidRDefault="00664420" w:rsidP="009A6D74">
      <w:pPr>
        <w:tabs>
          <w:tab w:val="center" w:pos="4568"/>
        </w:tabs>
        <w:ind w:right="-312"/>
        <w:rPr>
          <w:rFonts w:eastAsia="Calibri" w:cs="Tahoma"/>
          <w:bCs/>
          <w:szCs w:val="22"/>
          <w:lang w:eastAsia="en-US"/>
        </w:rPr>
      </w:pPr>
    </w:p>
    <w:p w14:paraId="77CFC088" w14:textId="77777777" w:rsidR="00664420" w:rsidRPr="009A6D74" w:rsidRDefault="00664420" w:rsidP="009A6D74">
      <w:pPr>
        <w:tabs>
          <w:tab w:val="center" w:pos="4568"/>
        </w:tabs>
        <w:ind w:right="-312"/>
        <w:rPr>
          <w:rFonts w:eastAsia="Calibri" w:cs="Tahoma"/>
          <w:bCs/>
          <w:szCs w:val="22"/>
          <w:lang w:eastAsia="en-US"/>
        </w:rPr>
      </w:pPr>
    </w:p>
    <w:p w14:paraId="781A11A5" w14:textId="77777777" w:rsidR="00664420" w:rsidRPr="009A6D74" w:rsidRDefault="00664420" w:rsidP="009A6D74">
      <w:pPr>
        <w:tabs>
          <w:tab w:val="center" w:pos="4568"/>
        </w:tabs>
        <w:ind w:right="-312"/>
        <w:rPr>
          <w:rFonts w:eastAsia="Calibri" w:cs="Tahoma"/>
          <w:bCs/>
          <w:szCs w:val="22"/>
          <w:lang w:eastAsia="en-US"/>
        </w:rPr>
      </w:pPr>
    </w:p>
    <w:p w14:paraId="5B4ADFF3" w14:textId="77777777" w:rsidR="00A131AC" w:rsidRPr="009A6D74" w:rsidRDefault="00A131AC" w:rsidP="009A6D74">
      <w:pPr>
        <w:ind w:right="-312"/>
      </w:pPr>
    </w:p>
    <w:sectPr w:rsidR="00A131AC" w:rsidRPr="009A6D74" w:rsidSect="008C6865">
      <w:footerReference w:type="default" r:id="rId14"/>
      <w:pgSz w:w="12240" w:h="15840"/>
      <w:pgMar w:top="2552" w:right="2175"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DA65" w14:textId="77777777" w:rsidR="00D413E4" w:rsidRDefault="00D413E4" w:rsidP="00664420">
      <w:pPr>
        <w:spacing w:line="240" w:lineRule="auto"/>
      </w:pPr>
      <w:r>
        <w:separator/>
      </w:r>
    </w:p>
  </w:endnote>
  <w:endnote w:type="continuationSeparator" w:id="0">
    <w:p w14:paraId="485EEB56" w14:textId="77777777" w:rsidR="00D413E4" w:rsidRDefault="00D413E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74261" w:rsidRDefault="00F74261">
    <w:pPr>
      <w:tabs>
        <w:tab w:val="center" w:pos="4550"/>
        <w:tab w:val="left" w:pos="5818"/>
      </w:tabs>
      <w:ind w:right="260"/>
      <w:jc w:val="right"/>
      <w:rPr>
        <w:color w:val="071320" w:themeColor="text2" w:themeShade="80"/>
        <w:sz w:val="24"/>
        <w:szCs w:val="24"/>
      </w:rPr>
    </w:pPr>
  </w:p>
  <w:p w14:paraId="1BCA7F23" w14:textId="77777777" w:rsidR="00F74261" w:rsidRDefault="00F742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74261" w:rsidRDefault="00F7426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61444" w:rsidRPr="00061444">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61444" w:rsidRPr="00061444">
      <w:rPr>
        <w:noProof/>
        <w:color w:val="0A1D30" w:themeColor="text2" w:themeShade="BF"/>
        <w:sz w:val="24"/>
        <w:szCs w:val="24"/>
        <w:lang w:val="es-ES"/>
      </w:rPr>
      <w:t>46</w:t>
    </w:r>
    <w:r>
      <w:rPr>
        <w:color w:val="0A1D30" w:themeColor="text2" w:themeShade="BF"/>
        <w:sz w:val="24"/>
        <w:szCs w:val="24"/>
      </w:rPr>
      <w:fldChar w:fldCharType="end"/>
    </w:r>
  </w:p>
  <w:p w14:paraId="310E15C0" w14:textId="77777777" w:rsidR="00F74261" w:rsidRDefault="00F742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DAB5" w14:textId="77777777" w:rsidR="00D413E4" w:rsidRDefault="00D413E4" w:rsidP="00664420">
      <w:pPr>
        <w:spacing w:line="240" w:lineRule="auto"/>
      </w:pPr>
      <w:r>
        <w:separator/>
      </w:r>
    </w:p>
  </w:footnote>
  <w:footnote w:type="continuationSeparator" w:id="0">
    <w:p w14:paraId="57C20938" w14:textId="77777777" w:rsidR="00D413E4" w:rsidRDefault="00D413E4" w:rsidP="00664420">
      <w:pPr>
        <w:spacing w:line="240" w:lineRule="auto"/>
      </w:pPr>
      <w:r>
        <w:continuationSeparator/>
      </w:r>
    </w:p>
  </w:footnote>
  <w:footnote w:id="1">
    <w:p w14:paraId="10EDF4DD" w14:textId="77777777" w:rsidR="00F74261" w:rsidRDefault="00F74261" w:rsidP="00062A1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13D7735E" w14:textId="77777777" w:rsidR="00F74261" w:rsidRDefault="00F74261" w:rsidP="00062A1F">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4B718FA6" w14:textId="77777777" w:rsidR="00F74261" w:rsidRDefault="00F74261" w:rsidP="00062A1F">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2">
    <w:p w14:paraId="5EA0BD7A" w14:textId="77777777" w:rsidR="00F74261" w:rsidRDefault="00F74261" w:rsidP="00062A1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74261" w:rsidRPr="00330DA7" w14:paraId="070A4B18" w14:textId="77777777" w:rsidTr="003F35FD">
      <w:trPr>
        <w:trHeight w:val="144"/>
        <w:jc w:val="right"/>
      </w:trPr>
      <w:tc>
        <w:tcPr>
          <w:tcW w:w="2727" w:type="dxa"/>
        </w:tcPr>
        <w:p w14:paraId="62B7493A" w14:textId="0B6256A5"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13A4B57" w:rsidR="00F74261" w:rsidRPr="00A90C72" w:rsidRDefault="00F74261" w:rsidP="000748DF">
          <w:pPr>
            <w:tabs>
              <w:tab w:val="right" w:pos="8838"/>
            </w:tabs>
            <w:ind w:left="-74" w:right="-105"/>
            <w:rPr>
              <w:rFonts w:eastAsia="Calibri" w:cs="Tahoma"/>
              <w:szCs w:val="22"/>
              <w:lang w:eastAsia="en-US"/>
            </w:rPr>
          </w:pPr>
          <w:r w:rsidRPr="00FE5A03">
            <w:rPr>
              <w:rFonts w:eastAsia="Calibri" w:cs="Tahoma"/>
              <w:szCs w:val="22"/>
              <w:lang w:eastAsia="en-US"/>
            </w:rPr>
            <w:t>05067/INFOEM/IP/RR/2024</w:t>
          </w:r>
        </w:p>
      </w:tc>
    </w:tr>
    <w:tr w:rsidR="00F74261" w:rsidRPr="00330DA7" w14:paraId="4521E058" w14:textId="77777777" w:rsidTr="003F35FD">
      <w:trPr>
        <w:trHeight w:val="283"/>
        <w:jc w:val="right"/>
      </w:trPr>
      <w:tc>
        <w:tcPr>
          <w:tcW w:w="2727" w:type="dxa"/>
        </w:tcPr>
        <w:p w14:paraId="0B68C086" w14:textId="77777777"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0AB7371" w:rsidR="00F74261" w:rsidRPr="00952DD0" w:rsidRDefault="00F74261" w:rsidP="003F35FD">
          <w:pPr>
            <w:tabs>
              <w:tab w:val="left" w:pos="2834"/>
              <w:tab w:val="right" w:pos="8838"/>
            </w:tabs>
            <w:ind w:left="-108" w:right="-105"/>
            <w:rPr>
              <w:rFonts w:eastAsia="Calibri" w:cs="Tahoma"/>
              <w:szCs w:val="22"/>
              <w:lang w:eastAsia="en-US"/>
            </w:rPr>
          </w:pPr>
          <w:r w:rsidRPr="008A30C1">
            <w:rPr>
              <w:rFonts w:eastAsia="Calibri" w:cs="Tahoma"/>
              <w:szCs w:val="22"/>
              <w:lang w:eastAsia="en-US"/>
            </w:rPr>
            <w:t>Consejería Jurídica</w:t>
          </w:r>
        </w:p>
      </w:tc>
    </w:tr>
    <w:tr w:rsidR="00F74261" w:rsidRPr="00330DA7" w14:paraId="6331D9B6" w14:textId="77777777" w:rsidTr="003F35FD">
      <w:trPr>
        <w:trHeight w:val="283"/>
        <w:jc w:val="right"/>
      </w:trPr>
      <w:tc>
        <w:tcPr>
          <w:tcW w:w="2727" w:type="dxa"/>
        </w:tcPr>
        <w:p w14:paraId="3FA86BAE" w14:textId="53D732B3"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74261" w:rsidRPr="00EA66FC" w:rsidRDefault="00F7426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74261" w:rsidRPr="00443C6B" w:rsidRDefault="00F7426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74261" w:rsidRPr="00330DA7" w14:paraId="29CFF901" w14:textId="77777777" w:rsidTr="004B56B4">
      <w:trPr>
        <w:trHeight w:val="1435"/>
      </w:trPr>
      <w:tc>
        <w:tcPr>
          <w:tcW w:w="283" w:type="dxa"/>
          <w:shd w:val="clear" w:color="auto" w:fill="auto"/>
        </w:tcPr>
        <w:p w14:paraId="046B9F8F" w14:textId="56D2D896" w:rsidR="00F74261" w:rsidRPr="00330DA7" w:rsidRDefault="00F7426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74261" w:rsidRPr="00330DA7" w14:paraId="04F272D2" w14:textId="77777777" w:rsidTr="004B56B4">
            <w:trPr>
              <w:trHeight w:val="144"/>
            </w:trPr>
            <w:tc>
              <w:tcPr>
                <w:tcW w:w="2727" w:type="dxa"/>
              </w:tcPr>
              <w:p w14:paraId="2FD4DBF6" w14:textId="77777777" w:rsidR="00F74261" w:rsidRPr="00330DA7" w:rsidRDefault="00F74261"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E1DFBC2" w:rsidR="00F74261" w:rsidRPr="00A90C72" w:rsidRDefault="00F74261" w:rsidP="000748DF">
                <w:pPr>
                  <w:tabs>
                    <w:tab w:val="right" w:pos="8838"/>
                  </w:tabs>
                  <w:ind w:left="-74" w:right="-105"/>
                  <w:rPr>
                    <w:rFonts w:eastAsia="Calibri" w:cs="Tahoma"/>
                    <w:szCs w:val="22"/>
                    <w:lang w:eastAsia="en-US"/>
                  </w:rPr>
                </w:pPr>
                <w:r w:rsidRPr="00FE5A03">
                  <w:rPr>
                    <w:rFonts w:eastAsia="Calibri" w:cs="Tahoma"/>
                    <w:szCs w:val="22"/>
                    <w:lang w:eastAsia="en-US"/>
                  </w:rPr>
                  <w:t>05067/INFOEM/IP/RR/2024</w:t>
                </w:r>
              </w:p>
            </w:tc>
            <w:tc>
              <w:tcPr>
                <w:tcW w:w="3402" w:type="dxa"/>
              </w:tcPr>
              <w:p w14:paraId="71DEA1CF" w14:textId="77777777" w:rsidR="00F74261" w:rsidRDefault="00F74261" w:rsidP="004B56B4">
                <w:pPr>
                  <w:tabs>
                    <w:tab w:val="right" w:pos="8838"/>
                  </w:tabs>
                  <w:ind w:left="-74" w:right="-105"/>
                  <w:rPr>
                    <w:rFonts w:eastAsia="Calibri" w:cs="Tahoma"/>
                    <w:szCs w:val="22"/>
                    <w:lang w:eastAsia="en-US"/>
                  </w:rPr>
                </w:pPr>
              </w:p>
            </w:tc>
          </w:tr>
          <w:tr w:rsidR="00F74261" w:rsidRPr="00330DA7" w14:paraId="05C58951" w14:textId="77777777" w:rsidTr="004B56B4">
            <w:trPr>
              <w:trHeight w:val="144"/>
            </w:trPr>
            <w:tc>
              <w:tcPr>
                <w:tcW w:w="2727" w:type="dxa"/>
              </w:tcPr>
              <w:p w14:paraId="642B9610" w14:textId="77777777" w:rsidR="00F74261" w:rsidRPr="00330DA7" w:rsidRDefault="00F74261"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44B0631" w:rsidR="00F74261" w:rsidRPr="005F19B1" w:rsidRDefault="00061444" w:rsidP="004B56B4">
                <w:pPr>
                  <w:tabs>
                    <w:tab w:val="left" w:pos="3122"/>
                    <w:tab w:val="right" w:pos="8838"/>
                  </w:tabs>
                  <w:ind w:left="-105" w:right="-105"/>
                  <w:rPr>
                    <w:rFonts w:eastAsia="Calibri" w:cs="Tahoma"/>
                    <w:szCs w:val="22"/>
                    <w:lang w:eastAsia="en-US"/>
                  </w:rPr>
                </w:pPr>
                <w:r>
                  <w:rPr>
                    <w:rFonts w:eastAsia="Calibri" w:cs="Tahoma"/>
                    <w:szCs w:val="22"/>
                    <w:lang w:eastAsia="en-US"/>
                  </w:rPr>
                  <w:t>XXX XXXXXX XXXXXXXXXX XXXXX</w:t>
                </w:r>
              </w:p>
            </w:tc>
            <w:tc>
              <w:tcPr>
                <w:tcW w:w="3402" w:type="dxa"/>
              </w:tcPr>
              <w:p w14:paraId="73F47F53" w14:textId="77777777" w:rsidR="00F74261" w:rsidRPr="005F19B1" w:rsidRDefault="00F74261" w:rsidP="004B56B4">
                <w:pPr>
                  <w:tabs>
                    <w:tab w:val="left" w:pos="3122"/>
                    <w:tab w:val="right" w:pos="8838"/>
                  </w:tabs>
                  <w:ind w:left="-105" w:right="-105"/>
                  <w:rPr>
                    <w:rFonts w:eastAsia="Calibri" w:cs="Tahoma"/>
                    <w:szCs w:val="22"/>
                    <w:lang w:eastAsia="en-US"/>
                  </w:rPr>
                </w:pPr>
              </w:p>
            </w:tc>
          </w:tr>
          <w:bookmarkEnd w:id="1"/>
          <w:tr w:rsidR="00F74261" w:rsidRPr="00330DA7" w14:paraId="00E6CDC1" w14:textId="77777777" w:rsidTr="004B56B4">
            <w:trPr>
              <w:trHeight w:val="283"/>
            </w:trPr>
            <w:tc>
              <w:tcPr>
                <w:tcW w:w="2727" w:type="dxa"/>
              </w:tcPr>
              <w:p w14:paraId="0631AD24" w14:textId="77777777" w:rsidR="00F74261" w:rsidRPr="00330DA7" w:rsidRDefault="00F7426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3D2800" w:rsidR="00F74261" w:rsidRPr="00952DD0" w:rsidRDefault="00F74261" w:rsidP="004B56B4">
                <w:pPr>
                  <w:tabs>
                    <w:tab w:val="left" w:pos="2834"/>
                    <w:tab w:val="right" w:pos="8838"/>
                  </w:tabs>
                  <w:ind w:left="-108" w:right="-105"/>
                  <w:rPr>
                    <w:rFonts w:eastAsia="Calibri" w:cs="Tahoma"/>
                    <w:szCs w:val="22"/>
                    <w:lang w:eastAsia="en-US"/>
                  </w:rPr>
                </w:pPr>
                <w:r w:rsidRPr="008A30C1">
                  <w:rPr>
                    <w:rFonts w:eastAsia="Calibri" w:cs="Tahoma"/>
                    <w:szCs w:val="22"/>
                    <w:lang w:eastAsia="en-US"/>
                  </w:rPr>
                  <w:t>Consejería Jurídica</w:t>
                </w:r>
              </w:p>
            </w:tc>
            <w:tc>
              <w:tcPr>
                <w:tcW w:w="3402" w:type="dxa"/>
              </w:tcPr>
              <w:p w14:paraId="3A7DA319" w14:textId="77777777" w:rsidR="00F74261" w:rsidRPr="00A90C72" w:rsidRDefault="00F74261" w:rsidP="004B56B4">
                <w:pPr>
                  <w:tabs>
                    <w:tab w:val="left" w:pos="2834"/>
                    <w:tab w:val="right" w:pos="8838"/>
                  </w:tabs>
                  <w:ind w:left="-108" w:right="-105"/>
                  <w:rPr>
                    <w:rFonts w:eastAsia="Calibri" w:cs="Tahoma"/>
                    <w:szCs w:val="22"/>
                    <w:lang w:eastAsia="en-US"/>
                  </w:rPr>
                </w:pPr>
              </w:p>
            </w:tc>
          </w:tr>
          <w:tr w:rsidR="00F74261" w:rsidRPr="00330DA7" w14:paraId="0F6CD8D2" w14:textId="77777777" w:rsidTr="004B56B4">
            <w:trPr>
              <w:trHeight w:val="283"/>
            </w:trPr>
            <w:tc>
              <w:tcPr>
                <w:tcW w:w="2727" w:type="dxa"/>
              </w:tcPr>
              <w:p w14:paraId="31700628" w14:textId="5D374F86" w:rsidR="00F74261" w:rsidRPr="00330DA7" w:rsidRDefault="00F7426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74261" w:rsidRPr="00EA66FC" w:rsidRDefault="00F7426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74261" w:rsidRPr="00330DA7" w:rsidRDefault="00F74261" w:rsidP="004B56B4">
                <w:pPr>
                  <w:tabs>
                    <w:tab w:val="right" w:pos="8838"/>
                  </w:tabs>
                  <w:ind w:left="-108" w:right="-105"/>
                  <w:rPr>
                    <w:rFonts w:eastAsia="Calibri" w:cs="Tahoma"/>
                    <w:szCs w:val="22"/>
                    <w:lang w:eastAsia="en-US"/>
                  </w:rPr>
                </w:pPr>
              </w:p>
            </w:tc>
          </w:tr>
        </w:tbl>
        <w:p w14:paraId="5DC6AC61" w14:textId="77777777" w:rsidR="00F74261" w:rsidRPr="00330DA7" w:rsidRDefault="00F74261" w:rsidP="004B56B4">
          <w:pPr>
            <w:tabs>
              <w:tab w:val="right" w:pos="8838"/>
            </w:tabs>
            <w:ind w:left="-28"/>
            <w:rPr>
              <w:rFonts w:ascii="Arial" w:eastAsia="Calibri" w:hAnsi="Arial" w:cs="Arial"/>
              <w:b/>
              <w:szCs w:val="22"/>
              <w:lang w:eastAsia="en-US"/>
            </w:rPr>
          </w:pPr>
        </w:p>
      </w:tc>
    </w:tr>
  </w:tbl>
  <w:p w14:paraId="2A906731" w14:textId="77777777" w:rsidR="00F74261" w:rsidRPr="00765661" w:rsidRDefault="00D413E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494"/>
    <w:multiLevelType w:val="hybridMultilevel"/>
    <w:tmpl w:val="2C46EA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17608F0"/>
    <w:multiLevelType w:val="hybridMultilevel"/>
    <w:tmpl w:val="A816BCAE"/>
    <w:lvl w:ilvl="0" w:tplc="4D58A7B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32731B"/>
    <w:multiLevelType w:val="hybridMultilevel"/>
    <w:tmpl w:val="2B6A0F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F12D12"/>
    <w:multiLevelType w:val="hybridMultilevel"/>
    <w:tmpl w:val="7D1C41B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D3A0D"/>
    <w:multiLevelType w:val="hybridMultilevel"/>
    <w:tmpl w:val="9612C7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6061A0"/>
    <w:multiLevelType w:val="hybridMultilevel"/>
    <w:tmpl w:val="2C46EA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DA2FAD"/>
    <w:multiLevelType w:val="hybridMultilevel"/>
    <w:tmpl w:val="9DA665A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4C6"/>
    <w:rsid w:val="00016F48"/>
    <w:rsid w:val="0002344E"/>
    <w:rsid w:val="000318BC"/>
    <w:rsid w:val="00036589"/>
    <w:rsid w:val="00040608"/>
    <w:rsid w:val="000410A8"/>
    <w:rsid w:val="000424A9"/>
    <w:rsid w:val="0004680B"/>
    <w:rsid w:val="00057B2D"/>
    <w:rsid w:val="00061444"/>
    <w:rsid w:val="00062A1F"/>
    <w:rsid w:val="000748DF"/>
    <w:rsid w:val="00076DD7"/>
    <w:rsid w:val="00080071"/>
    <w:rsid w:val="000820ED"/>
    <w:rsid w:val="00082A7D"/>
    <w:rsid w:val="0008437D"/>
    <w:rsid w:val="00086B1B"/>
    <w:rsid w:val="00087E47"/>
    <w:rsid w:val="000925BE"/>
    <w:rsid w:val="000931F8"/>
    <w:rsid w:val="0009597C"/>
    <w:rsid w:val="000969CF"/>
    <w:rsid w:val="0009706B"/>
    <w:rsid w:val="000A57F7"/>
    <w:rsid w:val="000B4A40"/>
    <w:rsid w:val="000C3C03"/>
    <w:rsid w:val="000C5109"/>
    <w:rsid w:val="000C7050"/>
    <w:rsid w:val="000D0D67"/>
    <w:rsid w:val="000E09C4"/>
    <w:rsid w:val="000E5D1F"/>
    <w:rsid w:val="00103867"/>
    <w:rsid w:val="001133EC"/>
    <w:rsid w:val="0011350D"/>
    <w:rsid w:val="00113CFA"/>
    <w:rsid w:val="00116778"/>
    <w:rsid w:val="00122332"/>
    <w:rsid w:val="00124714"/>
    <w:rsid w:val="001259D3"/>
    <w:rsid w:val="00126BAB"/>
    <w:rsid w:val="0013398A"/>
    <w:rsid w:val="00134ED3"/>
    <w:rsid w:val="00137F98"/>
    <w:rsid w:val="00141876"/>
    <w:rsid w:val="0014207B"/>
    <w:rsid w:val="00150C49"/>
    <w:rsid w:val="00174BAE"/>
    <w:rsid w:val="00174FBE"/>
    <w:rsid w:val="00177AE7"/>
    <w:rsid w:val="001A58B3"/>
    <w:rsid w:val="001B56C0"/>
    <w:rsid w:val="001C1234"/>
    <w:rsid w:val="001C1AE4"/>
    <w:rsid w:val="001C7688"/>
    <w:rsid w:val="001C7E98"/>
    <w:rsid w:val="001D0C50"/>
    <w:rsid w:val="001F3515"/>
    <w:rsid w:val="00207DEA"/>
    <w:rsid w:val="00224352"/>
    <w:rsid w:val="002268D4"/>
    <w:rsid w:val="00227FB3"/>
    <w:rsid w:val="002301CA"/>
    <w:rsid w:val="00233005"/>
    <w:rsid w:val="00233F17"/>
    <w:rsid w:val="00241ACF"/>
    <w:rsid w:val="00242B28"/>
    <w:rsid w:val="0024404B"/>
    <w:rsid w:val="002460B8"/>
    <w:rsid w:val="0024744C"/>
    <w:rsid w:val="0027446D"/>
    <w:rsid w:val="002807DD"/>
    <w:rsid w:val="00282F11"/>
    <w:rsid w:val="00293D2C"/>
    <w:rsid w:val="002A3601"/>
    <w:rsid w:val="002B1314"/>
    <w:rsid w:val="002B3577"/>
    <w:rsid w:val="002B7C6F"/>
    <w:rsid w:val="002D111C"/>
    <w:rsid w:val="002D2900"/>
    <w:rsid w:val="002D3509"/>
    <w:rsid w:val="002E067C"/>
    <w:rsid w:val="002E30AC"/>
    <w:rsid w:val="002E6DBB"/>
    <w:rsid w:val="002F3F8F"/>
    <w:rsid w:val="00302476"/>
    <w:rsid w:val="003038BE"/>
    <w:rsid w:val="00306316"/>
    <w:rsid w:val="0031680C"/>
    <w:rsid w:val="00331F35"/>
    <w:rsid w:val="0033442A"/>
    <w:rsid w:val="00335CDF"/>
    <w:rsid w:val="00336B4B"/>
    <w:rsid w:val="00337570"/>
    <w:rsid w:val="00351C3A"/>
    <w:rsid w:val="00362A11"/>
    <w:rsid w:val="00367D79"/>
    <w:rsid w:val="00375C6B"/>
    <w:rsid w:val="00391EDF"/>
    <w:rsid w:val="0039267F"/>
    <w:rsid w:val="003A36BE"/>
    <w:rsid w:val="003A38DC"/>
    <w:rsid w:val="003A40C1"/>
    <w:rsid w:val="003A7ED3"/>
    <w:rsid w:val="003B5D3E"/>
    <w:rsid w:val="003B62E6"/>
    <w:rsid w:val="003B6EB5"/>
    <w:rsid w:val="003C1E36"/>
    <w:rsid w:val="003C7000"/>
    <w:rsid w:val="003D37E4"/>
    <w:rsid w:val="003E6101"/>
    <w:rsid w:val="003E7B15"/>
    <w:rsid w:val="003F0772"/>
    <w:rsid w:val="003F35FD"/>
    <w:rsid w:val="003F5E69"/>
    <w:rsid w:val="00403199"/>
    <w:rsid w:val="00406F5A"/>
    <w:rsid w:val="00407FE2"/>
    <w:rsid w:val="00412A03"/>
    <w:rsid w:val="0041385B"/>
    <w:rsid w:val="00413B6C"/>
    <w:rsid w:val="004142C2"/>
    <w:rsid w:val="00415CF3"/>
    <w:rsid w:val="0041709A"/>
    <w:rsid w:val="0042475F"/>
    <w:rsid w:val="004252F1"/>
    <w:rsid w:val="004326C1"/>
    <w:rsid w:val="00435F18"/>
    <w:rsid w:val="00441BFA"/>
    <w:rsid w:val="004427CC"/>
    <w:rsid w:val="00453B6D"/>
    <w:rsid w:val="00454FBD"/>
    <w:rsid w:val="00456D52"/>
    <w:rsid w:val="00464F6A"/>
    <w:rsid w:val="00475583"/>
    <w:rsid w:val="00486004"/>
    <w:rsid w:val="00497BFA"/>
    <w:rsid w:val="004A5E28"/>
    <w:rsid w:val="004A7CF3"/>
    <w:rsid w:val="004B2FC4"/>
    <w:rsid w:val="004B56B4"/>
    <w:rsid w:val="004B70E5"/>
    <w:rsid w:val="004C1BD1"/>
    <w:rsid w:val="004C2719"/>
    <w:rsid w:val="004C629E"/>
    <w:rsid w:val="004D2AFF"/>
    <w:rsid w:val="004D7988"/>
    <w:rsid w:val="004D7CD8"/>
    <w:rsid w:val="004E10F6"/>
    <w:rsid w:val="004E3D6D"/>
    <w:rsid w:val="004E5068"/>
    <w:rsid w:val="004F05CE"/>
    <w:rsid w:val="004F6E7A"/>
    <w:rsid w:val="004F7A00"/>
    <w:rsid w:val="0050792D"/>
    <w:rsid w:val="00511F28"/>
    <w:rsid w:val="00513801"/>
    <w:rsid w:val="00516B72"/>
    <w:rsid w:val="00523F48"/>
    <w:rsid w:val="005365FA"/>
    <w:rsid w:val="00546D39"/>
    <w:rsid w:val="00561B38"/>
    <w:rsid w:val="00562CFB"/>
    <w:rsid w:val="00565088"/>
    <w:rsid w:val="005666D8"/>
    <w:rsid w:val="005723CB"/>
    <w:rsid w:val="00575400"/>
    <w:rsid w:val="0057766A"/>
    <w:rsid w:val="005776E3"/>
    <w:rsid w:val="005856CA"/>
    <w:rsid w:val="00590892"/>
    <w:rsid w:val="00590BE7"/>
    <w:rsid w:val="00597D3F"/>
    <w:rsid w:val="005B18AF"/>
    <w:rsid w:val="005C4788"/>
    <w:rsid w:val="005D0A98"/>
    <w:rsid w:val="005D3570"/>
    <w:rsid w:val="005D5A50"/>
    <w:rsid w:val="005F5301"/>
    <w:rsid w:val="005F5C51"/>
    <w:rsid w:val="005F6453"/>
    <w:rsid w:val="005F65B7"/>
    <w:rsid w:val="006067C7"/>
    <w:rsid w:val="006153F0"/>
    <w:rsid w:val="006159AD"/>
    <w:rsid w:val="00646436"/>
    <w:rsid w:val="0065172E"/>
    <w:rsid w:val="006518FC"/>
    <w:rsid w:val="00664420"/>
    <w:rsid w:val="006700AE"/>
    <w:rsid w:val="006844C7"/>
    <w:rsid w:val="006A0FA7"/>
    <w:rsid w:val="006A61F1"/>
    <w:rsid w:val="006A646A"/>
    <w:rsid w:val="006B10B0"/>
    <w:rsid w:val="006B1537"/>
    <w:rsid w:val="006D42B5"/>
    <w:rsid w:val="006E23FF"/>
    <w:rsid w:val="006E25BC"/>
    <w:rsid w:val="006E6BBC"/>
    <w:rsid w:val="006F64E7"/>
    <w:rsid w:val="006F7768"/>
    <w:rsid w:val="00702F96"/>
    <w:rsid w:val="00713B7F"/>
    <w:rsid w:val="00717E59"/>
    <w:rsid w:val="0074654D"/>
    <w:rsid w:val="0075086A"/>
    <w:rsid w:val="00760756"/>
    <w:rsid w:val="0077382A"/>
    <w:rsid w:val="00773E03"/>
    <w:rsid w:val="00775BFC"/>
    <w:rsid w:val="00780D69"/>
    <w:rsid w:val="007857F0"/>
    <w:rsid w:val="007900FC"/>
    <w:rsid w:val="0079432A"/>
    <w:rsid w:val="007A2AD8"/>
    <w:rsid w:val="007A3459"/>
    <w:rsid w:val="007A3C1A"/>
    <w:rsid w:val="007A6E94"/>
    <w:rsid w:val="007A7485"/>
    <w:rsid w:val="007B034E"/>
    <w:rsid w:val="007B6074"/>
    <w:rsid w:val="007C17CC"/>
    <w:rsid w:val="007C6519"/>
    <w:rsid w:val="007D103E"/>
    <w:rsid w:val="007D1C55"/>
    <w:rsid w:val="007D317F"/>
    <w:rsid w:val="007E7192"/>
    <w:rsid w:val="007F107E"/>
    <w:rsid w:val="007F2531"/>
    <w:rsid w:val="007F47DE"/>
    <w:rsid w:val="007F5D06"/>
    <w:rsid w:val="00802F6F"/>
    <w:rsid w:val="00803A08"/>
    <w:rsid w:val="00805A6E"/>
    <w:rsid w:val="00807778"/>
    <w:rsid w:val="0082247D"/>
    <w:rsid w:val="008242B6"/>
    <w:rsid w:val="00826371"/>
    <w:rsid w:val="00826A93"/>
    <w:rsid w:val="008363CB"/>
    <w:rsid w:val="00837517"/>
    <w:rsid w:val="008436D6"/>
    <w:rsid w:val="0085190E"/>
    <w:rsid w:val="00861953"/>
    <w:rsid w:val="008629A5"/>
    <w:rsid w:val="00865CF4"/>
    <w:rsid w:val="008669DA"/>
    <w:rsid w:val="00874176"/>
    <w:rsid w:val="0087567C"/>
    <w:rsid w:val="00876DBC"/>
    <w:rsid w:val="00877435"/>
    <w:rsid w:val="00887AE5"/>
    <w:rsid w:val="00890548"/>
    <w:rsid w:val="00893BA2"/>
    <w:rsid w:val="00896AF7"/>
    <w:rsid w:val="008A09B9"/>
    <w:rsid w:val="008A30C1"/>
    <w:rsid w:val="008A6003"/>
    <w:rsid w:val="008A6AB7"/>
    <w:rsid w:val="008A6F88"/>
    <w:rsid w:val="008B1E16"/>
    <w:rsid w:val="008B62FA"/>
    <w:rsid w:val="008C014C"/>
    <w:rsid w:val="008C1421"/>
    <w:rsid w:val="008C6865"/>
    <w:rsid w:val="008E1316"/>
    <w:rsid w:val="008E19A7"/>
    <w:rsid w:val="008E3EAD"/>
    <w:rsid w:val="008F6A6B"/>
    <w:rsid w:val="00910FD2"/>
    <w:rsid w:val="0091733B"/>
    <w:rsid w:val="00923307"/>
    <w:rsid w:val="00931437"/>
    <w:rsid w:val="009341B5"/>
    <w:rsid w:val="009358D9"/>
    <w:rsid w:val="0094535A"/>
    <w:rsid w:val="0094710D"/>
    <w:rsid w:val="00953430"/>
    <w:rsid w:val="00955DCC"/>
    <w:rsid w:val="00960996"/>
    <w:rsid w:val="00964368"/>
    <w:rsid w:val="0096663A"/>
    <w:rsid w:val="00966663"/>
    <w:rsid w:val="00970EB3"/>
    <w:rsid w:val="00970FAB"/>
    <w:rsid w:val="0097209B"/>
    <w:rsid w:val="00975CA6"/>
    <w:rsid w:val="00977BCC"/>
    <w:rsid w:val="00983EEF"/>
    <w:rsid w:val="009952E4"/>
    <w:rsid w:val="009A2D78"/>
    <w:rsid w:val="009A6D74"/>
    <w:rsid w:val="009A7C10"/>
    <w:rsid w:val="009B095F"/>
    <w:rsid w:val="009B2945"/>
    <w:rsid w:val="009B38F6"/>
    <w:rsid w:val="009D5B1F"/>
    <w:rsid w:val="009D69F6"/>
    <w:rsid w:val="009E2DEE"/>
    <w:rsid w:val="009E7B1B"/>
    <w:rsid w:val="009F797C"/>
    <w:rsid w:val="00A0449B"/>
    <w:rsid w:val="00A131AC"/>
    <w:rsid w:val="00A16D85"/>
    <w:rsid w:val="00A21A20"/>
    <w:rsid w:val="00A23938"/>
    <w:rsid w:val="00A24D6A"/>
    <w:rsid w:val="00A252C9"/>
    <w:rsid w:val="00A32CA5"/>
    <w:rsid w:val="00A33BDB"/>
    <w:rsid w:val="00A36A99"/>
    <w:rsid w:val="00A45D1C"/>
    <w:rsid w:val="00A51AE2"/>
    <w:rsid w:val="00A52974"/>
    <w:rsid w:val="00A53315"/>
    <w:rsid w:val="00A56723"/>
    <w:rsid w:val="00A570D7"/>
    <w:rsid w:val="00A60E92"/>
    <w:rsid w:val="00A64191"/>
    <w:rsid w:val="00A70EF0"/>
    <w:rsid w:val="00A71845"/>
    <w:rsid w:val="00A81179"/>
    <w:rsid w:val="00A81896"/>
    <w:rsid w:val="00A81DC8"/>
    <w:rsid w:val="00A9208D"/>
    <w:rsid w:val="00A96D88"/>
    <w:rsid w:val="00AA364B"/>
    <w:rsid w:val="00AA4FA7"/>
    <w:rsid w:val="00AA6EA9"/>
    <w:rsid w:val="00AB0B73"/>
    <w:rsid w:val="00AB1BE1"/>
    <w:rsid w:val="00AB497D"/>
    <w:rsid w:val="00AC2DB8"/>
    <w:rsid w:val="00AC3CA0"/>
    <w:rsid w:val="00AE0232"/>
    <w:rsid w:val="00AE3DA7"/>
    <w:rsid w:val="00AE6FFC"/>
    <w:rsid w:val="00AF03C4"/>
    <w:rsid w:val="00B00D01"/>
    <w:rsid w:val="00B03AB8"/>
    <w:rsid w:val="00B0531D"/>
    <w:rsid w:val="00B05F2B"/>
    <w:rsid w:val="00B179F5"/>
    <w:rsid w:val="00B20AFF"/>
    <w:rsid w:val="00B22A80"/>
    <w:rsid w:val="00B23C0A"/>
    <w:rsid w:val="00B416E8"/>
    <w:rsid w:val="00B420C5"/>
    <w:rsid w:val="00B50E12"/>
    <w:rsid w:val="00B540DC"/>
    <w:rsid w:val="00B55F8F"/>
    <w:rsid w:val="00B562C2"/>
    <w:rsid w:val="00B60169"/>
    <w:rsid w:val="00B60BFC"/>
    <w:rsid w:val="00B74F85"/>
    <w:rsid w:val="00B751A1"/>
    <w:rsid w:val="00B82086"/>
    <w:rsid w:val="00B83675"/>
    <w:rsid w:val="00BA55A8"/>
    <w:rsid w:val="00BB2ABF"/>
    <w:rsid w:val="00BB64F4"/>
    <w:rsid w:val="00BB7B48"/>
    <w:rsid w:val="00BC01BA"/>
    <w:rsid w:val="00BC1D12"/>
    <w:rsid w:val="00BC2617"/>
    <w:rsid w:val="00BC67B0"/>
    <w:rsid w:val="00BC7CDB"/>
    <w:rsid w:val="00BD0200"/>
    <w:rsid w:val="00BD07ED"/>
    <w:rsid w:val="00BD3F4F"/>
    <w:rsid w:val="00BD5A7C"/>
    <w:rsid w:val="00BE413E"/>
    <w:rsid w:val="00BE5FAE"/>
    <w:rsid w:val="00BE7A1B"/>
    <w:rsid w:val="00BF0221"/>
    <w:rsid w:val="00BF091A"/>
    <w:rsid w:val="00BF4236"/>
    <w:rsid w:val="00BF4EAD"/>
    <w:rsid w:val="00C049E2"/>
    <w:rsid w:val="00C05AB7"/>
    <w:rsid w:val="00C12607"/>
    <w:rsid w:val="00C219BE"/>
    <w:rsid w:val="00C36795"/>
    <w:rsid w:val="00C461EC"/>
    <w:rsid w:val="00C507D4"/>
    <w:rsid w:val="00C61BE3"/>
    <w:rsid w:val="00C67A70"/>
    <w:rsid w:val="00C70B3F"/>
    <w:rsid w:val="00C71CEF"/>
    <w:rsid w:val="00C72DAA"/>
    <w:rsid w:val="00C75036"/>
    <w:rsid w:val="00C76678"/>
    <w:rsid w:val="00C80B14"/>
    <w:rsid w:val="00C860CD"/>
    <w:rsid w:val="00CA0426"/>
    <w:rsid w:val="00CB7E9A"/>
    <w:rsid w:val="00CC29E8"/>
    <w:rsid w:val="00CD0B92"/>
    <w:rsid w:val="00CD0C68"/>
    <w:rsid w:val="00CD22FC"/>
    <w:rsid w:val="00CD3D41"/>
    <w:rsid w:val="00CD633E"/>
    <w:rsid w:val="00CE037C"/>
    <w:rsid w:val="00CE29D3"/>
    <w:rsid w:val="00CE3C62"/>
    <w:rsid w:val="00CE504E"/>
    <w:rsid w:val="00CE62BD"/>
    <w:rsid w:val="00CE72DC"/>
    <w:rsid w:val="00CF2D8B"/>
    <w:rsid w:val="00CF3C01"/>
    <w:rsid w:val="00CF4DA6"/>
    <w:rsid w:val="00CF63D9"/>
    <w:rsid w:val="00CF7586"/>
    <w:rsid w:val="00D036D3"/>
    <w:rsid w:val="00D0696F"/>
    <w:rsid w:val="00D13782"/>
    <w:rsid w:val="00D1509A"/>
    <w:rsid w:val="00D1732B"/>
    <w:rsid w:val="00D201B7"/>
    <w:rsid w:val="00D27906"/>
    <w:rsid w:val="00D2790D"/>
    <w:rsid w:val="00D359BF"/>
    <w:rsid w:val="00D35BCA"/>
    <w:rsid w:val="00D413E4"/>
    <w:rsid w:val="00D51ECD"/>
    <w:rsid w:val="00D568DC"/>
    <w:rsid w:val="00D571D4"/>
    <w:rsid w:val="00D6170E"/>
    <w:rsid w:val="00D64B5C"/>
    <w:rsid w:val="00D713EE"/>
    <w:rsid w:val="00D75EE6"/>
    <w:rsid w:val="00D7774A"/>
    <w:rsid w:val="00D819DE"/>
    <w:rsid w:val="00D867B3"/>
    <w:rsid w:val="00D91CB4"/>
    <w:rsid w:val="00D937AE"/>
    <w:rsid w:val="00D9769C"/>
    <w:rsid w:val="00DA4324"/>
    <w:rsid w:val="00DB024D"/>
    <w:rsid w:val="00DB1C09"/>
    <w:rsid w:val="00DB28CE"/>
    <w:rsid w:val="00DB3D87"/>
    <w:rsid w:val="00DB63C0"/>
    <w:rsid w:val="00DC47E6"/>
    <w:rsid w:val="00DD1A53"/>
    <w:rsid w:val="00DD43D8"/>
    <w:rsid w:val="00DE1133"/>
    <w:rsid w:val="00DE285A"/>
    <w:rsid w:val="00DE656C"/>
    <w:rsid w:val="00DF039B"/>
    <w:rsid w:val="00E00DF5"/>
    <w:rsid w:val="00E0205F"/>
    <w:rsid w:val="00E0279E"/>
    <w:rsid w:val="00E04AE3"/>
    <w:rsid w:val="00E16BF5"/>
    <w:rsid w:val="00E222B9"/>
    <w:rsid w:val="00E26F48"/>
    <w:rsid w:val="00E33714"/>
    <w:rsid w:val="00E36B05"/>
    <w:rsid w:val="00E37A3F"/>
    <w:rsid w:val="00E37CF0"/>
    <w:rsid w:val="00E37D3C"/>
    <w:rsid w:val="00E415FE"/>
    <w:rsid w:val="00E62E6A"/>
    <w:rsid w:val="00E727BA"/>
    <w:rsid w:val="00E810F7"/>
    <w:rsid w:val="00E835A3"/>
    <w:rsid w:val="00E83EF5"/>
    <w:rsid w:val="00E9137B"/>
    <w:rsid w:val="00E9335C"/>
    <w:rsid w:val="00EA27F7"/>
    <w:rsid w:val="00EC7E8F"/>
    <w:rsid w:val="00EC7F09"/>
    <w:rsid w:val="00ED1788"/>
    <w:rsid w:val="00ED1C1E"/>
    <w:rsid w:val="00ED7170"/>
    <w:rsid w:val="00EE1B1C"/>
    <w:rsid w:val="00EE2AF2"/>
    <w:rsid w:val="00EE44F7"/>
    <w:rsid w:val="00EE69EA"/>
    <w:rsid w:val="00EE78BF"/>
    <w:rsid w:val="00EF1CA6"/>
    <w:rsid w:val="00F0679F"/>
    <w:rsid w:val="00F07EE6"/>
    <w:rsid w:val="00F33CC8"/>
    <w:rsid w:val="00F37432"/>
    <w:rsid w:val="00F4124A"/>
    <w:rsid w:val="00F4481C"/>
    <w:rsid w:val="00F51674"/>
    <w:rsid w:val="00F529B2"/>
    <w:rsid w:val="00F53E56"/>
    <w:rsid w:val="00F57C01"/>
    <w:rsid w:val="00F616E2"/>
    <w:rsid w:val="00F74261"/>
    <w:rsid w:val="00F75A01"/>
    <w:rsid w:val="00F75D23"/>
    <w:rsid w:val="00FA3684"/>
    <w:rsid w:val="00FA3C3D"/>
    <w:rsid w:val="00FA5957"/>
    <w:rsid w:val="00FB1AF5"/>
    <w:rsid w:val="00FB5587"/>
    <w:rsid w:val="00FC14B3"/>
    <w:rsid w:val="00FC1EAB"/>
    <w:rsid w:val="00FC3CE0"/>
    <w:rsid w:val="00FC406D"/>
    <w:rsid w:val="00FD06A8"/>
    <w:rsid w:val="00FD4F13"/>
    <w:rsid w:val="00FE23C1"/>
    <w:rsid w:val="00FE5A03"/>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9606019">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7769494">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10150682">
      <w:bodyDiv w:val="1"/>
      <w:marLeft w:val="0"/>
      <w:marRight w:val="0"/>
      <w:marTop w:val="0"/>
      <w:marBottom w:val="0"/>
      <w:divBdr>
        <w:top w:val="none" w:sz="0" w:space="0" w:color="auto"/>
        <w:left w:val="none" w:sz="0" w:space="0" w:color="auto"/>
        <w:bottom w:val="none" w:sz="0" w:space="0" w:color="auto"/>
        <w:right w:val="none" w:sz="0" w:space="0" w:color="auto"/>
      </w:divBdr>
      <w:divsChild>
        <w:div w:id="19596055">
          <w:marLeft w:val="0"/>
          <w:marRight w:val="0"/>
          <w:marTop w:val="0"/>
          <w:marBottom w:val="0"/>
          <w:divBdr>
            <w:top w:val="none" w:sz="0" w:space="0" w:color="auto"/>
            <w:left w:val="none" w:sz="0" w:space="0" w:color="auto"/>
            <w:bottom w:val="none" w:sz="0" w:space="0" w:color="auto"/>
            <w:right w:val="none" w:sz="0" w:space="0" w:color="auto"/>
          </w:divBdr>
        </w:div>
      </w:divsChild>
    </w:div>
    <w:div w:id="732242150">
      <w:bodyDiv w:val="1"/>
      <w:marLeft w:val="0"/>
      <w:marRight w:val="0"/>
      <w:marTop w:val="0"/>
      <w:marBottom w:val="0"/>
      <w:divBdr>
        <w:top w:val="none" w:sz="0" w:space="0" w:color="auto"/>
        <w:left w:val="none" w:sz="0" w:space="0" w:color="auto"/>
        <w:bottom w:val="none" w:sz="0" w:space="0" w:color="auto"/>
        <w:right w:val="none" w:sz="0" w:space="0" w:color="auto"/>
      </w:divBdr>
      <w:divsChild>
        <w:div w:id="550045643">
          <w:marLeft w:val="0"/>
          <w:marRight w:val="0"/>
          <w:marTop w:val="0"/>
          <w:marBottom w:val="0"/>
          <w:divBdr>
            <w:top w:val="none" w:sz="0" w:space="0" w:color="auto"/>
            <w:left w:val="none" w:sz="0" w:space="0" w:color="auto"/>
            <w:bottom w:val="none" w:sz="0" w:space="0" w:color="auto"/>
            <w:right w:val="none" w:sz="0" w:space="0" w:color="auto"/>
          </w:divBdr>
        </w:div>
      </w:divsChild>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283514">
      <w:bodyDiv w:val="1"/>
      <w:marLeft w:val="0"/>
      <w:marRight w:val="0"/>
      <w:marTop w:val="0"/>
      <w:marBottom w:val="0"/>
      <w:divBdr>
        <w:top w:val="none" w:sz="0" w:space="0" w:color="auto"/>
        <w:left w:val="none" w:sz="0" w:space="0" w:color="auto"/>
        <w:bottom w:val="none" w:sz="0" w:space="0" w:color="auto"/>
        <w:right w:val="none" w:sz="0" w:space="0" w:color="auto"/>
      </w:divBdr>
      <w:divsChild>
        <w:div w:id="105197410">
          <w:marLeft w:val="0"/>
          <w:marRight w:val="0"/>
          <w:marTop w:val="0"/>
          <w:marBottom w:val="0"/>
          <w:divBdr>
            <w:top w:val="none" w:sz="0" w:space="0" w:color="auto"/>
            <w:left w:val="none" w:sz="0" w:space="0" w:color="auto"/>
            <w:bottom w:val="none" w:sz="0" w:space="0" w:color="auto"/>
            <w:right w:val="none" w:sz="0" w:space="0" w:color="auto"/>
          </w:divBdr>
        </w:div>
      </w:divsChild>
    </w:div>
    <w:div w:id="866523211">
      <w:bodyDiv w:val="1"/>
      <w:marLeft w:val="0"/>
      <w:marRight w:val="0"/>
      <w:marTop w:val="0"/>
      <w:marBottom w:val="0"/>
      <w:divBdr>
        <w:top w:val="none" w:sz="0" w:space="0" w:color="auto"/>
        <w:left w:val="none" w:sz="0" w:space="0" w:color="auto"/>
        <w:bottom w:val="none" w:sz="0" w:space="0" w:color="auto"/>
        <w:right w:val="none" w:sz="0" w:space="0" w:color="auto"/>
      </w:divBdr>
      <w:divsChild>
        <w:div w:id="368652824">
          <w:marLeft w:val="0"/>
          <w:marRight w:val="0"/>
          <w:marTop w:val="0"/>
          <w:marBottom w:val="0"/>
          <w:divBdr>
            <w:top w:val="none" w:sz="0" w:space="0" w:color="auto"/>
            <w:left w:val="none" w:sz="0" w:space="0" w:color="auto"/>
            <w:bottom w:val="none" w:sz="0" w:space="0" w:color="auto"/>
            <w:right w:val="none" w:sz="0" w:space="0" w:color="auto"/>
          </w:divBdr>
        </w:div>
      </w:divsChild>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22525417">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67158772">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4194635">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0812886">
      <w:bodyDiv w:val="1"/>
      <w:marLeft w:val="0"/>
      <w:marRight w:val="0"/>
      <w:marTop w:val="0"/>
      <w:marBottom w:val="0"/>
      <w:divBdr>
        <w:top w:val="none" w:sz="0" w:space="0" w:color="auto"/>
        <w:left w:val="none" w:sz="0" w:space="0" w:color="auto"/>
        <w:bottom w:val="none" w:sz="0" w:space="0" w:color="auto"/>
        <w:right w:val="none" w:sz="0" w:space="0" w:color="auto"/>
      </w:divBdr>
    </w:div>
    <w:div w:id="1797675643">
      <w:bodyDiv w:val="1"/>
      <w:marLeft w:val="0"/>
      <w:marRight w:val="0"/>
      <w:marTop w:val="0"/>
      <w:marBottom w:val="0"/>
      <w:divBdr>
        <w:top w:val="none" w:sz="0" w:space="0" w:color="auto"/>
        <w:left w:val="none" w:sz="0" w:space="0" w:color="auto"/>
        <w:bottom w:val="none" w:sz="0" w:space="0" w:color="auto"/>
        <w:right w:val="none" w:sz="0" w:space="0" w:color="auto"/>
      </w:divBdr>
    </w:div>
    <w:div w:id="1834486962">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AF0B8-35FD-4B0B-B306-3C99EC03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12091</Words>
  <Characters>66502</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2024-09-12T19:29:00Z</cp:lastPrinted>
  <dcterms:created xsi:type="dcterms:W3CDTF">2024-09-09T22:57:00Z</dcterms:created>
  <dcterms:modified xsi:type="dcterms:W3CDTF">2024-10-24T00:43:00Z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