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8521"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veintiocho de febrero </w:t>
      </w:r>
      <w:r w:rsidRPr="00DB6E06">
        <w:rPr>
          <w:rFonts w:ascii="Palatino Linotype" w:eastAsia="Times New Roman" w:hAnsi="Palatino Linotype" w:cs="Arial"/>
          <w:color w:val="000000"/>
          <w:sz w:val="24"/>
          <w:szCs w:val="24"/>
          <w:lang w:eastAsia="es-MX"/>
        </w:rPr>
        <w:t>de dos mil veinticuatro.</w:t>
      </w:r>
    </w:p>
    <w:p w14:paraId="11620FF1"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
          <w:szCs w:val="24"/>
          <w:lang w:eastAsia="es-MX"/>
        </w:rPr>
      </w:pPr>
    </w:p>
    <w:p w14:paraId="7A0A58EE" w14:textId="77777777" w:rsidR="0051753E" w:rsidRPr="00DB6E06" w:rsidRDefault="0051753E" w:rsidP="0051753E">
      <w:pPr>
        <w:tabs>
          <w:tab w:val="left" w:pos="1701"/>
        </w:tabs>
        <w:spacing w:after="0" w:line="360" w:lineRule="auto"/>
        <w:jc w:val="both"/>
        <w:rPr>
          <w:rFonts w:ascii="Palatino Linotype" w:eastAsia="Times New Roman" w:hAnsi="Palatino Linotype" w:cs="Arial"/>
          <w:b/>
          <w:sz w:val="24"/>
        </w:rPr>
      </w:pPr>
    </w:p>
    <w:p w14:paraId="7A028E21" w14:textId="47675BBA"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r>
        <w:rPr>
          <w:rFonts w:ascii="Palatino Linotype" w:eastAsia="Times New Roman" w:hAnsi="Palatino Linotype" w:cs="Arial"/>
          <w:b/>
          <w:sz w:val="24"/>
        </w:rPr>
        <w:t>0</w:t>
      </w:r>
      <w:r w:rsidR="00EA501D">
        <w:rPr>
          <w:rFonts w:ascii="Palatino Linotype" w:eastAsia="Times New Roman" w:hAnsi="Palatino Linotype" w:cs="Arial"/>
          <w:b/>
          <w:sz w:val="24"/>
        </w:rPr>
        <w:t>0510</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Pr>
          <w:rFonts w:ascii="Palatino Linotype" w:eastAsia="Times New Roman" w:hAnsi="Palatino Linotype" w:cs="Arial"/>
          <w:sz w:val="24"/>
          <w:szCs w:val="24"/>
        </w:rPr>
        <w:t xml:space="preserve"> “</w:t>
      </w:r>
      <w:proofErr w:type="spellStart"/>
      <w:r w:rsidR="00243196">
        <w:rPr>
          <w:rFonts w:ascii="Palatino Linotype" w:eastAsia="Times New Roman" w:hAnsi="Palatino Linotype" w:cs="Arial"/>
          <w:b/>
          <w:sz w:val="24"/>
          <w:szCs w:val="24"/>
        </w:rPr>
        <w:t>XXXXXXXXXXX</w:t>
      </w:r>
      <w:proofErr w:type="spellEnd"/>
      <w:r>
        <w:rPr>
          <w:rFonts w:ascii="Palatino Linotype" w:eastAsia="Times New Roman" w:hAnsi="Palatino Linotype" w:cs="Arial"/>
          <w:sz w:val="24"/>
          <w:szCs w:val="24"/>
        </w:rPr>
        <w:t xml:space="preserve">”,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en contra de la falta de respuesta del</w:t>
      </w:r>
      <w:r>
        <w:rPr>
          <w:rFonts w:ascii="Palatino Linotype" w:hAnsi="Palatino Linotype"/>
          <w:b/>
          <w:bCs/>
          <w:color w:val="000000"/>
          <w:sz w:val="24"/>
          <w:szCs w:val="24"/>
        </w:rPr>
        <w:t xml:space="preserve"> Ayuntamiento de Ixtapaluca</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4F1388F0" w14:textId="7777777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p>
    <w:p w14:paraId="3B795041" w14:textId="77777777" w:rsidR="0051753E" w:rsidRPr="00DB6E06" w:rsidRDefault="0051753E" w:rsidP="0051753E">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3808AB20" w14:textId="77777777" w:rsidR="0051753E" w:rsidRPr="00DB6E06" w:rsidRDefault="0051753E" w:rsidP="0051753E">
      <w:pPr>
        <w:spacing w:after="0" w:line="360" w:lineRule="auto"/>
        <w:jc w:val="center"/>
        <w:rPr>
          <w:rFonts w:ascii="Palatino Linotype" w:eastAsia="Times New Roman" w:hAnsi="Palatino Linotype" w:cs="Times New Roman"/>
          <w:b/>
          <w:sz w:val="24"/>
        </w:rPr>
      </w:pPr>
    </w:p>
    <w:p w14:paraId="3F99B87A" w14:textId="77777777" w:rsidR="0051753E" w:rsidRPr="00DB6E06" w:rsidRDefault="0051753E" w:rsidP="0051753E">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0746EF99" w14:textId="77777777" w:rsidR="0051753E" w:rsidRPr="00DB6E06" w:rsidRDefault="0051753E" w:rsidP="0051753E">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Pr>
          <w:rFonts w:ascii="Palatino Linotype" w:eastAsia="Times New Roman" w:hAnsi="Palatino Linotype" w:cs="Arial"/>
          <w:sz w:val="24"/>
        </w:rPr>
        <w:t>once de enero de dos mil veinticuatro</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Pr="0051753E">
        <w:rPr>
          <w:rFonts w:ascii="Palatino Linotype" w:hAnsi="Palatino Linotype"/>
          <w:b/>
          <w:bCs/>
          <w:sz w:val="24"/>
          <w:szCs w:val="24"/>
        </w:rPr>
        <w:t>00052/IXTAPALU/IP/2024</w:t>
      </w:r>
      <w:r w:rsidRPr="0051753E">
        <w:rPr>
          <w:rFonts w:ascii="Verdana" w:hAnsi="Verdana"/>
          <w:b/>
          <w:bCs/>
        </w:rPr>
        <w:t xml:space="preserve"> </w:t>
      </w:r>
      <w:r w:rsidRPr="00DB6E06">
        <w:rPr>
          <w:rFonts w:ascii="Palatino Linotype" w:eastAsia="Times New Roman" w:hAnsi="Palatino Linotype" w:cs="Arial"/>
          <w:sz w:val="24"/>
        </w:rPr>
        <w:t>mediante la cual solicitó lo siguiente:</w:t>
      </w:r>
    </w:p>
    <w:p w14:paraId="47627ACD" w14:textId="77777777" w:rsidR="0051753E" w:rsidRPr="00DB6E06" w:rsidRDefault="0051753E" w:rsidP="0051753E">
      <w:pPr>
        <w:spacing w:after="0" w:line="360" w:lineRule="auto"/>
        <w:jc w:val="both"/>
        <w:rPr>
          <w:rFonts w:ascii="Palatino Linotype" w:eastAsia="Times New Roman" w:hAnsi="Palatino Linotype" w:cs="Arial"/>
          <w:i/>
          <w:sz w:val="24"/>
          <w:szCs w:val="24"/>
        </w:rPr>
      </w:pPr>
    </w:p>
    <w:p w14:paraId="280DE97C" w14:textId="77777777" w:rsidR="0051753E" w:rsidRPr="00DB6E06" w:rsidRDefault="0051753E" w:rsidP="0051753E">
      <w:pPr>
        <w:spacing w:line="360" w:lineRule="auto"/>
        <w:ind w:left="567"/>
        <w:jc w:val="both"/>
        <w:rPr>
          <w:rFonts w:ascii="Palatino Linotype" w:eastAsia="Times New Roman" w:hAnsi="Palatino Linotype" w:cs="Arial"/>
          <w:sz w:val="24"/>
        </w:rPr>
      </w:pPr>
      <w:bookmarkStart w:id="0" w:name="_Hlk82038186"/>
      <w:r w:rsidRPr="0051753E">
        <w:rPr>
          <w:rFonts w:ascii="Palatino Linotype" w:eastAsia="Times New Roman" w:hAnsi="Palatino Linotype" w:cs="Times New Roman"/>
          <w:color w:val="000000"/>
          <w:sz w:val="24"/>
          <w:szCs w:val="24"/>
        </w:rPr>
        <w:t>“</w:t>
      </w:r>
      <w:r w:rsidRPr="0051753E">
        <w:rPr>
          <w:rFonts w:ascii="Palatino Linotype" w:hAnsi="Palatino Linotype"/>
          <w:i/>
          <w:color w:val="000000"/>
          <w:sz w:val="24"/>
          <w:szCs w:val="24"/>
        </w:rPr>
        <w:t xml:space="preserve">Solicito copias de todas y cada una de las actas de las sesiones de cabildo del primero de enero a diciembre 2022, cabe mencionar que solícito las actas de cabildo en formato PDF y por vía </w:t>
      </w:r>
      <w:proofErr w:type="spellStart"/>
      <w:r w:rsidRPr="0051753E">
        <w:rPr>
          <w:rFonts w:ascii="Palatino Linotype" w:hAnsi="Palatino Linotype"/>
          <w:i/>
          <w:color w:val="000000"/>
          <w:sz w:val="24"/>
          <w:szCs w:val="24"/>
        </w:rPr>
        <w:t>saimex</w:t>
      </w:r>
      <w:proofErr w:type="spellEnd"/>
      <w:r w:rsidRPr="0051753E">
        <w:rPr>
          <w:rFonts w:ascii="Palatino Linotype" w:hAnsi="Palatino Linotype"/>
          <w:i/>
          <w:color w:val="000000"/>
          <w:sz w:val="24"/>
          <w:szCs w:val="24"/>
        </w:rPr>
        <w:t>.</w:t>
      </w:r>
      <w:r w:rsidRPr="0051753E">
        <w:rPr>
          <w:rFonts w:ascii="Palatino Linotype" w:eastAsia="Times New Roman" w:hAnsi="Palatino Linotype" w:cs="Arial"/>
          <w:i/>
          <w:sz w:val="24"/>
          <w:szCs w:val="24"/>
        </w:rPr>
        <w:t>”</w:t>
      </w:r>
      <w:r w:rsidRPr="00DB6E06">
        <w:rPr>
          <w:rFonts w:ascii="Palatino Linotype" w:eastAsia="Times New Roman" w:hAnsi="Palatino Linotype" w:cs="Arial"/>
          <w:i/>
          <w:sz w:val="24"/>
        </w:rPr>
        <w:t xml:space="preserve"> (Sic</w:t>
      </w:r>
      <w:r w:rsidRPr="00DB6E06">
        <w:rPr>
          <w:rFonts w:ascii="Palatino Linotype" w:eastAsia="Times New Roman" w:hAnsi="Palatino Linotype" w:cs="Arial"/>
          <w:sz w:val="24"/>
        </w:rPr>
        <w:t>).</w:t>
      </w:r>
    </w:p>
    <w:bookmarkEnd w:id="0"/>
    <w:p w14:paraId="38C2F9D0"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AF66A25"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4A52CF27"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5E1F078"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7D31B9D"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8D71EB7"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1FC233AA" w14:textId="77777777" w:rsidR="0051753E" w:rsidRPr="00DB6E06" w:rsidRDefault="0051753E" w:rsidP="0051753E">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7844CAC9" w14:textId="77777777" w:rsidR="0051753E" w:rsidRPr="00DB6E06" w:rsidRDefault="0051753E" w:rsidP="0051753E">
      <w:pPr>
        <w:spacing w:after="0" w:line="360" w:lineRule="auto"/>
        <w:jc w:val="both"/>
        <w:rPr>
          <w:rFonts w:ascii="Palatino Linotype" w:eastAsia="Times New Roman" w:hAnsi="Palatino Linotype" w:cs="Arial"/>
          <w:sz w:val="24"/>
        </w:rPr>
      </w:pPr>
    </w:p>
    <w:p w14:paraId="02246C8C" w14:textId="77777777" w:rsidR="0051753E" w:rsidRPr="00DB6E06" w:rsidRDefault="0051753E" w:rsidP="0051753E">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4A64DD26" w14:textId="77777777" w:rsidR="0051753E" w:rsidRPr="00DB6E06" w:rsidRDefault="0051753E" w:rsidP="0051753E">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1A84CDAE" w14:textId="77777777" w:rsidR="0051753E" w:rsidRPr="00DB6E06" w:rsidRDefault="0051753E" w:rsidP="0051753E">
      <w:pPr>
        <w:spacing w:after="0" w:line="360" w:lineRule="auto"/>
        <w:jc w:val="both"/>
        <w:rPr>
          <w:rFonts w:ascii="Palatino Linotype" w:eastAsia="Times New Roman" w:hAnsi="Palatino Linotype" w:cs="Arial"/>
          <w:sz w:val="24"/>
        </w:rPr>
      </w:pPr>
    </w:p>
    <w:p w14:paraId="73D352A4" w14:textId="77777777" w:rsidR="0051753E" w:rsidRPr="00DB6E06" w:rsidRDefault="0051753E" w:rsidP="0051753E">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0D1653E5"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Pr>
          <w:rFonts w:ascii="Palatino Linotype" w:eastAsia="Times New Roman" w:hAnsi="Palatino Linotype" w:cs="Times New Roman"/>
          <w:b/>
          <w:bCs/>
          <w:sz w:val="24"/>
        </w:rPr>
        <w:t xml:space="preserve">seis de febrero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Pr>
          <w:rFonts w:ascii="Palatino Linotype" w:eastAsia="Times New Roman" w:hAnsi="Palatino Linotype" w:cs="Arial"/>
          <w:b/>
          <w:sz w:val="24"/>
          <w:szCs w:val="24"/>
        </w:rPr>
        <w:t>00510</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2C9D247A" w14:textId="77777777" w:rsidR="0051753E" w:rsidRPr="00DB6E06" w:rsidRDefault="0051753E" w:rsidP="0051753E">
      <w:pPr>
        <w:spacing w:after="0" w:line="360" w:lineRule="auto"/>
        <w:jc w:val="both"/>
        <w:rPr>
          <w:rFonts w:ascii="Palatino Linotype" w:eastAsia="Times New Roman" w:hAnsi="Palatino Linotype" w:cs="Arial"/>
          <w:sz w:val="24"/>
        </w:rPr>
      </w:pPr>
    </w:p>
    <w:p w14:paraId="238D1D36" w14:textId="77777777" w:rsidR="0051753E" w:rsidRPr="00DB6E06" w:rsidRDefault="0051753E" w:rsidP="0051753E">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77A65FA1"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w:t>
      </w:r>
      <w:r w:rsidRPr="0051753E">
        <w:rPr>
          <w:rFonts w:ascii="Palatino Linotype" w:hAnsi="Palatino Linotype"/>
          <w:i/>
          <w:color w:val="000000"/>
        </w:rPr>
        <w:t xml:space="preserve">Solicito copias de todas y cada una de las actas de las sesiones de cabildo del primero de enero a diciembre 2022, cabe mencionar que solícito las actas de cabildo en formato PDF y por vía </w:t>
      </w:r>
      <w:proofErr w:type="spellStart"/>
      <w:r w:rsidRPr="0051753E">
        <w:rPr>
          <w:rFonts w:ascii="Palatino Linotype" w:hAnsi="Palatino Linotype"/>
          <w:i/>
          <w:color w:val="000000"/>
        </w:rPr>
        <w:t>saimex</w:t>
      </w:r>
      <w:proofErr w:type="spellEnd"/>
      <w:r w:rsidRPr="0051753E">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44AF9A79"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p>
    <w:p w14:paraId="1FC5FEE2" w14:textId="77777777" w:rsidR="0051753E" w:rsidRPr="00DB6E06" w:rsidRDefault="0051753E" w:rsidP="0051753E">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09CFDF4C" w14:textId="77777777" w:rsidR="0051753E" w:rsidRPr="0051753E" w:rsidRDefault="0051753E" w:rsidP="0051753E">
      <w:pPr>
        <w:spacing w:after="0" w:line="240" w:lineRule="auto"/>
        <w:ind w:left="720"/>
        <w:jc w:val="both"/>
        <w:rPr>
          <w:rFonts w:ascii="Palatino Linotype" w:eastAsia="Times New Roman" w:hAnsi="Palatino Linotype" w:cs="Times New Roman"/>
          <w:color w:val="000000"/>
          <w:lang w:val="es-ES" w:eastAsia="es-ES"/>
        </w:rPr>
      </w:pPr>
      <w:r w:rsidRPr="0051753E">
        <w:rPr>
          <w:rFonts w:ascii="Palatino Linotype" w:eastAsia="Times New Roman" w:hAnsi="Palatino Linotype" w:cs="Times New Roman"/>
          <w:color w:val="000000"/>
          <w:lang w:val="es-ES" w:eastAsia="es-ES"/>
        </w:rPr>
        <w:t>“</w:t>
      </w:r>
      <w:r w:rsidRPr="0051753E">
        <w:rPr>
          <w:rFonts w:ascii="Palatino Linotype" w:hAnsi="Palatino Linotype"/>
          <w:i/>
          <w:color w:val="000000"/>
        </w:rPr>
        <w:t>Negativa del sujeto obligado al no entregar la información solicitada</w:t>
      </w:r>
      <w:r w:rsidRPr="0051753E">
        <w:rPr>
          <w:rFonts w:ascii="Palatino Linotype" w:eastAsia="Times New Roman" w:hAnsi="Palatino Linotype" w:cs="Times New Roman"/>
          <w:iCs/>
          <w:color w:val="000000"/>
          <w:lang w:val="es-ES" w:eastAsia="es-ES"/>
        </w:rPr>
        <w:t>"(</w:t>
      </w:r>
      <w:r w:rsidRPr="0051753E">
        <w:rPr>
          <w:rFonts w:ascii="Palatino Linotype" w:eastAsia="Times New Roman" w:hAnsi="Palatino Linotype" w:cs="Times New Roman"/>
          <w:color w:val="000000"/>
          <w:lang w:val="es-ES" w:eastAsia="es-ES"/>
        </w:rPr>
        <w:t>sic)</w:t>
      </w:r>
    </w:p>
    <w:p w14:paraId="06B62D1F" w14:textId="77777777" w:rsidR="0051753E" w:rsidRPr="00DB6E06" w:rsidRDefault="0051753E" w:rsidP="0051753E">
      <w:pPr>
        <w:spacing w:after="0" w:line="240" w:lineRule="auto"/>
        <w:jc w:val="both"/>
        <w:rPr>
          <w:rFonts w:ascii="Palatino Linotype" w:eastAsia="Times New Roman" w:hAnsi="Palatino Linotype" w:cs="Times New Roman"/>
          <w:i/>
          <w:lang w:eastAsia="es-ES"/>
        </w:rPr>
      </w:pPr>
    </w:p>
    <w:p w14:paraId="15EDAED1"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5A585660" w14:textId="77777777" w:rsidR="0051753E" w:rsidRPr="00DB6E06" w:rsidRDefault="0051753E" w:rsidP="0051753E">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09F68189"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w:t>
      </w:r>
      <w:proofErr w:type="gramStart"/>
      <w:r w:rsidRPr="00DB6E06">
        <w:rPr>
          <w:rFonts w:ascii="Palatino Linotype" w:eastAsia="Times New Roman" w:hAnsi="Palatino Linotype" w:cs="Arial"/>
          <w:sz w:val="24"/>
          <w:szCs w:val="24"/>
        </w:rPr>
        <w:t>Presidente</w:t>
      </w:r>
      <w:proofErr w:type="gramEnd"/>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w:t>
      </w:r>
      <w:r w:rsidRPr="00DB6E06">
        <w:rPr>
          <w:rFonts w:ascii="Palatino Linotype" w:eastAsia="Times New Roman" w:hAnsi="Palatino Linotype" w:cs="Arial"/>
          <w:sz w:val="24"/>
          <w:szCs w:val="24"/>
        </w:rPr>
        <w:lastRenderedPageBreak/>
        <w:t xml:space="preserve">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Pr>
          <w:rFonts w:ascii="Palatino Linotype" w:eastAsia="Times New Roman" w:hAnsi="Palatino Linotype" w:cs="Times New Roman"/>
          <w:sz w:val="24"/>
        </w:rPr>
        <w:t xml:space="preserve">seis de febrero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50D42462"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7584A59B"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7CD21B9F"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237AADC1" w14:textId="77777777" w:rsidR="0051753E" w:rsidRPr="00DB6E06" w:rsidRDefault="0051753E" w:rsidP="0051753E">
      <w:pPr>
        <w:spacing w:after="0" w:line="360" w:lineRule="auto"/>
        <w:rPr>
          <w:rFonts w:ascii="Palatino Linotype" w:eastAsia="Times New Roman" w:hAnsi="Palatino Linotype" w:cs="Arial"/>
          <w:sz w:val="24"/>
          <w:szCs w:val="24"/>
        </w:rPr>
      </w:pPr>
    </w:p>
    <w:p w14:paraId="34689CDB"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2C564BEF"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05ABE984"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2F2A30B1"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Pr>
          <w:rFonts w:ascii="Palatino Linotype" w:eastAsia="Times New Roman" w:hAnsi="Palatino Linotype" w:cs="Arial"/>
          <w:b/>
          <w:bCs/>
          <w:sz w:val="24"/>
          <w:szCs w:val="24"/>
        </w:rPr>
        <w:t xml:space="preserve">dieciséis de febrero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09AB193"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499AFB84" w14:textId="77777777" w:rsidR="0051753E" w:rsidRPr="00DB6E06" w:rsidRDefault="0051753E" w:rsidP="0051753E">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59AFC9C0" w14:textId="77777777" w:rsidR="0051753E" w:rsidRPr="00DB6E06" w:rsidRDefault="0051753E" w:rsidP="0051753E">
      <w:pPr>
        <w:spacing w:after="0" w:line="360" w:lineRule="auto"/>
        <w:jc w:val="center"/>
        <w:rPr>
          <w:rFonts w:ascii="Palatino Linotype" w:eastAsia="Times New Roman" w:hAnsi="Palatino Linotype" w:cs="Arial"/>
          <w:b/>
          <w:sz w:val="28"/>
        </w:rPr>
      </w:pPr>
    </w:p>
    <w:p w14:paraId="47DBA50A"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505745C0"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3F1BBDC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264C4BC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58037B3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1899CA3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F04BE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39D545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05B9122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7FB2543"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68D137CE"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D56CA14"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45933ED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CDF060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52F6929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5863254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E997D30" w14:textId="77777777" w:rsidR="0051753E" w:rsidRPr="00DB6E06" w:rsidRDefault="0051753E" w:rsidP="0051753E">
      <w:pPr>
        <w:spacing w:after="0" w:line="240" w:lineRule="auto"/>
        <w:rPr>
          <w:rFonts w:ascii="Palatino Linotype" w:eastAsia="Times New Roman" w:hAnsi="Palatino Linotype" w:cs="Times New Roman"/>
        </w:rPr>
      </w:pPr>
    </w:p>
    <w:p w14:paraId="11649253"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4E459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7D121C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7D099A4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47128A1"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34308C3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5801131"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5D205E4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DCD2BE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319DE3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126DA3CB" w14:textId="77777777" w:rsidR="0051753E" w:rsidRPr="0051753E" w:rsidRDefault="0051753E" w:rsidP="0051753E">
      <w:pPr>
        <w:autoSpaceDE w:val="0"/>
        <w:autoSpaceDN w:val="0"/>
        <w:adjustRightInd w:val="0"/>
        <w:spacing w:before="240" w:line="240" w:lineRule="auto"/>
        <w:rPr>
          <w:rFonts w:ascii="Times New Roman" w:eastAsia="Times New Roman" w:hAnsi="Times New Roman" w:cs="Arial"/>
          <w:b/>
          <w:sz w:val="28"/>
          <w:szCs w:val="24"/>
          <w:lang w:val="es-ES" w:eastAsia="es-ES"/>
        </w:rPr>
      </w:pPr>
      <w:r w:rsidRPr="00DB6E06">
        <w:rPr>
          <w:rFonts w:ascii="Palatino Linotype" w:eastAsia="Times New Roman" w:hAnsi="Palatino Linotype" w:cs="Arial"/>
          <w:b/>
          <w:sz w:val="28"/>
          <w:szCs w:val="24"/>
          <w:lang w:val="es-ES" w:eastAsia="es-ES"/>
        </w:rPr>
        <w:t>TERCERO.</w:t>
      </w:r>
      <w:r>
        <w:rPr>
          <w:rFonts w:ascii="Times New Roman" w:eastAsia="Times New Roman" w:hAnsi="Times New Roman" w:cs="Arial"/>
          <w:b/>
          <w:sz w:val="28"/>
          <w:szCs w:val="24"/>
          <w:lang w:val="es-ES" w:eastAsia="es-ES"/>
        </w:rPr>
        <w:t xml:space="preserve"> </w:t>
      </w:r>
      <w:r w:rsidRPr="00DB6E06">
        <w:rPr>
          <w:rFonts w:ascii="Palatino Linotype" w:eastAsia="Times New Roman" w:hAnsi="Palatino Linotype" w:cs="Arial"/>
          <w:b/>
          <w:sz w:val="28"/>
          <w:szCs w:val="24"/>
          <w:lang w:val="es-ES" w:eastAsia="es-ES"/>
        </w:rPr>
        <w:t>De las causas de improcedencia.</w:t>
      </w:r>
    </w:p>
    <w:p w14:paraId="133159C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procedibilidad, los cuales deben estudiarse con la finalidad de dar cumplimiento a los principios de legalidad y objetividad </w:t>
      </w:r>
      <w:r w:rsidRPr="00DB6E06">
        <w:rPr>
          <w:rFonts w:ascii="Palatino Linotype" w:eastAsia="Times New Roman" w:hAnsi="Palatino Linotype" w:cs="Arial"/>
          <w:sz w:val="24"/>
          <w:szCs w:val="24"/>
          <w:lang w:val="es-ES" w:eastAsia="es-ES"/>
        </w:rPr>
        <w:lastRenderedPageBreak/>
        <w:t>inmersos en el artículo 9, de Ley de Transparencia y Acceso a la Información Pública del Estado de México y Municipios, en correlación con la seguridad jurídica que debe generar lo actuado ante este Organismo garante.</w:t>
      </w:r>
    </w:p>
    <w:p w14:paraId="674CCB4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8203DC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57EF28A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F85AD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2EC132A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4C1475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t>CUAR</w:t>
      </w:r>
      <w:r w:rsidRPr="00DB6E06">
        <w:rPr>
          <w:rFonts w:ascii="Palatino Linotype" w:eastAsia="Times New Roman" w:hAnsi="Palatino Linotype" w:cs="Arial"/>
          <w:b/>
          <w:sz w:val="28"/>
          <w:szCs w:val="24"/>
          <w:lang w:val="es-ES" w:eastAsia="es-ES"/>
        </w:rPr>
        <w:t>TO. Estudio y resolución del asunto.</w:t>
      </w:r>
    </w:p>
    <w:p w14:paraId="45DB05E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E7DA62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5C64C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93507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 xml:space="preserve">Ley de Transparencia y Acceso a la Información Pública del Estado de México y </w:t>
      </w:r>
      <w:r w:rsidRPr="00DB6E06">
        <w:rPr>
          <w:rFonts w:ascii="Palatino Linotype" w:eastAsia="Times New Roman" w:hAnsi="Palatino Linotype" w:cs="Arial"/>
          <w:b/>
          <w:color w:val="000000" w:themeColor="text1"/>
          <w:sz w:val="24"/>
          <w:szCs w:val="24"/>
          <w:lang w:val="es-ES" w:eastAsia="es-ES"/>
        </w:rPr>
        <w:lastRenderedPageBreak/>
        <w:t>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12825F6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E922C5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38BCA5A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2AF405"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t xml:space="preserve">De tal manera que se hace patente que </w:t>
      </w:r>
      <w:proofErr w:type="gramStart"/>
      <w:r w:rsidRPr="00DB6E06">
        <w:rPr>
          <w:rFonts w:ascii="Palatino Linotype" w:eastAsia="Times New Roman" w:hAnsi="Palatino Linotype" w:cs="Times New Roman"/>
          <w:sz w:val="24"/>
          <w:szCs w:val="24"/>
          <w:lang w:val="es-ES" w:eastAsia="es-MX"/>
        </w:rPr>
        <w:t xml:space="preserve">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w:t>
      </w:r>
      <w:proofErr w:type="gramEnd"/>
      <w:r w:rsidRPr="00DB6E06">
        <w:rPr>
          <w:rFonts w:ascii="Palatino Linotype" w:eastAsia="Times New Roman" w:hAnsi="Palatino Linotype" w:cs="Times New Roman"/>
          <w:sz w:val="24"/>
          <w:szCs w:val="24"/>
          <w:lang w:val="es-ES" w:eastAsia="es-MX"/>
        </w:rPr>
        <w:t xml:space="preserve">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2E0382F"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4ED85125"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5BADCBC3"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6ED115"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757D2EA"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7F43555D"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lastRenderedPageBreak/>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552EC273"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DE6A4BE"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144B0D9A"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1E559B19"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552BD2DE"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0D455EC0"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3950A5E5" w14:textId="77777777" w:rsidR="0051753E" w:rsidRPr="00DB6E06" w:rsidRDefault="0051753E" w:rsidP="0051753E">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65F91A3B"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07033A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0B7B89C8"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1D6182E4"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40E73860"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6A82A9"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6E234151" w14:textId="77777777" w:rsidR="0051753E" w:rsidRPr="00DB6E06" w:rsidRDefault="0051753E" w:rsidP="0051753E">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598DBBE8"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2D6EA5D9"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color w:val="000000"/>
          <w:sz w:val="24"/>
          <w:szCs w:val="24"/>
          <w:lang w:val="es-ES_tradnl" w:eastAsia="es-ES"/>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08DD4542"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p>
    <w:p w14:paraId="2BB6BD22"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C82981F"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59129DC6"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3A3B9DD4"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1C22B33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7A433A92"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AE63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8CE39C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8B357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w:t>
      </w:r>
      <w:r w:rsidRPr="00DB6E06">
        <w:rPr>
          <w:rFonts w:ascii="Palatino Linotype" w:eastAsia="Times New Roman" w:hAnsi="Palatino Linotype" w:cs="Times New Roman"/>
          <w:sz w:val="24"/>
          <w:szCs w:val="24"/>
          <w:lang w:val="es-ES" w:eastAsia="es-ES"/>
        </w:rPr>
        <w:lastRenderedPageBreak/>
        <w:t xml:space="preserve">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798E60C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66244F78"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w:t>
      </w:r>
      <w:proofErr w:type="gramStart"/>
      <w:r w:rsidRPr="00DB6E06">
        <w:rPr>
          <w:rFonts w:ascii="Palatino Linotype" w:eastAsia="Times New Roman" w:hAnsi="Palatino Linotype" w:cs="Arial"/>
          <w:sz w:val="24"/>
          <w:szCs w:val="24"/>
          <w:lang w:val="es-ES" w:eastAsia="es-ES"/>
        </w:rPr>
        <w:t>que</w:t>
      </w:r>
      <w:proofErr w:type="gramEnd"/>
      <w:r w:rsidRPr="00DB6E06">
        <w:rPr>
          <w:rFonts w:ascii="Palatino Linotype" w:eastAsia="Times New Roman" w:hAnsi="Palatino Linotype" w:cs="Arial"/>
          <w:sz w:val="24"/>
          <w:szCs w:val="24"/>
          <w:lang w:val="es-ES" w:eastAsia="es-ES"/>
        </w:rPr>
        <w:t xml:space="preserv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A099506" w14:textId="77777777" w:rsidR="0051753E" w:rsidRPr="00DB6E06" w:rsidRDefault="0051753E" w:rsidP="0051753E">
      <w:pPr>
        <w:spacing w:after="0" w:line="360" w:lineRule="auto"/>
        <w:jc w:val="both"/>
        <w:rPr>
          <w:rFonts w:ascii="Palatino Linotype" w:eastAsia="Times New Roman" w:hAnsi="Palatino Linotype" w:cs="Times New Roman"/>
          <w:b/>
          <w:bCs/>
          <w:sz w:val="24"/>
          <w:szCs w:val="24"/>
        </w:rPr>
      </w:pPr>
    </w:p>
    <w:p w14:paraId="7CA6C644" w14:textId="77777777" w:rsidR="0051753E" w:rsidRPr="00DB6E06" w:rsidRDefault="0051753E" w:rsidP="0051753E">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25111CA9" w14:textId="77777777" w:rsidR="0051753E"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1C853FE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EF1902E" w14:textId="77777777" w:rsidR="0051753E" w:rsidRPr="00902954" w:rsidRDefault="0051753E" w:rsidP="0051753E">
      <w:pPr>
        <w:spacing w:after="0" w:line="360" w:lineRule="auto"/>
        <w:jc w:val="both"/>
        <w:rPr>
          <w:rFonts w:ascii="Palatino Linotype" w:eastAsia="Times New Roman" w:hAnsi="Palatino Linotype" w:cs="Times New Roman"/>
          <w:b/>
          <w:bCs/>
          <w:i/>
          <w:noProof/>
          <w:sz w:val="24"/>
          <w:szCs w:val="24"/>
          <w:lang w:eastAsia="es-ES"/>
        </w:rPr>
      </w:pPr>
    </w:p>
    <w:p w14:paraId="543519F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1430F53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353CF1F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7E1B4B2C"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781FCAE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76B7B364"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0069FB71"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CDFD81E"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lastRenderedPageBreak/>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3272EE5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7E2E2FA2"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4CE64440"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38D52264" w14:textId="77777777" w:rsidR="0051753E" w:rsidRPr="00902954" w:rsidRDefault="0051753E" w:rsidP="0051753E">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639539A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6ED2C2DE" w14:textId="77777777" w:rsidR="0051753E" w:rsidRPr="00902954" w:rsidRDefault="0051753E" w:rsidP="0051753E">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proofErr w:type="gramStart"/>
      <w:r w:rsidRPr="00902954">
        <w:rPr>
          <w:rFonts w:ascii="Palatino Linotype" w:eastAsia="Times New Roman" w:hAnsi="Palatino Linotype" w:cs="Times New Roman"/>
          <w:sz w:val="24"/>
          <w:szCs w:val="24"/>
          <w:lang w:eastAsia="es-ES"/>
        </w:rPr>
        <w:t>considerando</w:t>
      </w:r>
      <w:proofErr w:type="gramEnd"/>
      <w:r w:rsidRPr="00902954">
        <w:rPr>
          <w:rFonts w:ascii="Palatino Linotype" w:eastAsia="Times New Roman" w:hAnsi="Palatino Linotype" w:cs="Times New Roman"/>
          <w:sz w:val="24"/>
          <w:szCs w:val="24"/>
          <w:lang w:eastAsia="es-ES"/>
        </w:rPr>
        <w:t xml:space="preserve"> además, que conforme al principio de finalidad, todo tratamiento de datos personales que efectúen deberá estar justificado en la Ley. </w:t>
      </w:r>
    </w:p>
    <w:p w14:paraId="268AA5C0" w14:textId="77777777" w:rsidR="0051753E" w:rsidRPr="00902954" w:rsidRDefault="0051753E" w:rsidP="0051753E">
      <w:pPr>
        <w:spacing w:after="0" w:line="360" w:lineRule="auto"/>
        <w:jc w:val="both"/>
        <w:rPr>
          <w:rFonts w:ascii="Palatino Linotype" w:eastAsia="Arial Unicode MS" w:hAnsi="Palatino Linotype"/>
        </w:rPr>
      </w:pPr>
    </w:p>
    <w:p w14:paraId="30058E31" w14:textId="77777777" w:rsidR="0051753E" w:rsidRPr="00902954" w:rsidRDefault="0051753E" w:rsidP="0051753E">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602CC6AA" w14:textId="77777777" w:rsidR="0051753E" w:rsidRPr="00902954" w:rsidRDefault="0051753E" w:rsidP="0051753E">
      <w:pPr>
        <w:spacing w:after="0" w:line="360" w:lineRule="auto"/>
        <w:jc w:val="both"/>
        <w:rPr>
          <w:rFonts w:ascii="Palatino Linotype" w:hAnsi="Palatino Linotype"/>
          <w:sz w:val="24"/>
        </w:rPr>
      </w:pPr>
    </w:p>
    <w:p w14:paraId="30CE51EF" w14:textId="77777777" w:rsidR="0051753E" w:rsidRPr="00083C92" w:rsidRDefault="0051753E" w:rsidP="0051753E">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762A000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4512F2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p>
    <w:p w14:paraId="798B57D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proofErr w:type="gramStart"/>
      <w:r w:rsidRPr="00902954">
        <w:rPr>
          <w:rFonts w:ascii="Palatino Linotype" w:eastAsia="Times New Roman" w:hAnsi="Palatino Linotype" w:cs="Times New Roman"/>
          <w:sz w:val="24"/>
          <w:szCs w:val="24"/>
          <w:lang w:val="es-ES" w:eastAsia="es-ES"/>
        </w:rPr>
        <w:t>)</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roofErr w:type="gramEnd"/>
    </w:p>
    <w:p w14:paraId="71B6B1EB" w14:textId="77777777" w:rsidR="0051753E" w:rsidRPr="00902954" w:rsidRDefault="0051753E" w:rsidP="0051753E">
      <w:pPr>
        <w:spacing w:after="0" w:line="360" w:lineRule="auto"/>
        <w:jc w:val="both"/>
        <w:rPr>
          <w:rFonts w:ascii="Palatino Linotype" w:eastAsia="Times New Roman" w:hAnsi="Palatino Linotype" w:cs="Times New Roman"/>
          <w:sz w:val="24"/>
          <w:szCs w:val="24"/>
        </w:rPr>
      </w:pPr>
    </w:p>
    <w:p w14:paraId="08D46F4C"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lastRenderedPageBreak/>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58BE71E0"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1D239237"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78AD1AC6"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p>
    <w:p w14:paraId="23E9131F" w14:textId="77777777" w:rsidR="0051753E" w:rsidRPr="00902954" w:rsidRDefault="0051753E" w:rsidP="0051753E">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3F8F4309"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760B81A4"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32795475"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73A9EB49" w14:textId="77777777" w:rsidR="0051753E" w:rsidRPr="00902954" w:rsidRDefault="0051753E" w:rsidP="0051753E">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58B4471B"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1718ACC1"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28A828B4"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562E4AE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lastRenderedPageBreak/>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8FC144C"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09A3910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62FFCF8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0ACA206E"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74AC507" w14:textId="77777777" w:rsidR="0051753E" w:rsidRPr="00902954" w:rsidRDefault="0051753E" w:rsidP="0051753E">
      <w:pPr>
        <w:spacing w:after="0"/>
        <w:ind w:left="567" w:right="567"/>
        <w:jc w:val="both"/>
        <w:rPr>
          <w:rFonts w:ascii="Palatino Linotype" w:hAnsi="Palatino Linotype" w:cs="Arial"/>
          <w:i/>
          <w:lang w:val="es-ES" w:eastAsia="es-MX"/>
        </w:rPr>
      </w:pPr>
    </w:p>
    <w:p w14:paraId="5A753F56"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5F0B9D02"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5B933C9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A88C8D8"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2C8DEBB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lastRenderedPageBreak/>
        <w:t>Al respecto, el Instituto Nacional de Transparencia, Acceso a la Información y Protección de Datos Personales (INAI) a través del Criterio 18/17, señala literalmente lo siguiente:</w:t>
      </w:r>
    </w:p>
    <w:p w14:paraId="5B97F4B6" w14:textId="77777777" w:rsidR="0051753E" w:rsidRPr="00902954" w:rsidRDefault="0051753E" w:rsidP="0051753E">
      <w:pPr>
        <w:spacing w:after="0" w:line="360" w:lineRule="auto"/>
        <w:jc w:val="both"/>
        <w:rPr>
          <w:rFonts w:ascii="Palatino Linotype" w:hAnsi="Palatino Linotype" w:cs="Arial"/>
          <w:lang w:val="es-ES" w:eastAsia="es-MX"/>
        </w:rPr>
      </w:pPr>
    </w:p>
    <w:p w14:paraId="6F93DD48" w14:textId="77777777" w:rsidR="0051753E" w:rsidRDefault="0051753E" w:rsidP="0051753E">
      <w:pPr>
        <w:spacing w:after="0" w:line="240" w:lineRule="auto"/>
        <w:ind w:left="567" w:right="567"/>
        <w:jc w:val="both"/>
        <w:rPr>
          <w:rFonts w:ascii="Palatino Linotype" w:eastAsia="Times New Roman" w:hAnsi="Palatino Linotype" w:cs="Times New Roman"/>
          <w:b/>
          <w:i/>
          <w:lang w:val="es-ES" w:eastAsia="es-MX"/>
        </w:rPr>
      </w:pPr>
    </w:p>
    <w:p w14:paraId="169CF3F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E481849" w14:textId="77777777" w:rsidR="0051753E" w:rsidRPr="00902954" w:rsidRDefault="0051753E" w:rsidP="0051753E">
      <w:pPr>
        <w:spacing w:after="0" w:line="360" w:lineRule="auto"/>
        <w:ind w:right="616"/>
        <w:jc w:val="both"/>
        <w:rPr>
          <w:rFonts w:ascii="Palatino Linotype" w:hAnsi="Palatino Linotype" w:cs="Arial"/>
          <w:bCs/>
          <w:lang w:val="es-ES" w:eastAsia="es-MX"/>
        </w:rPr>
      </w:pPr>
    </w:p>
    <w:p w14:paraId="4ED85BE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D4B3770" w14:textId="77777777" w:rsidR="0051753E" w:rsidRDefault="0051753E" w:rsidP="0051753E">
      <w:pPr>
        <w:spacing w:after="0" w:line="360" w:lineRule="auto"/>
        <w:jc w:val="both"/>
        <w:rPr>
          <w:rFonts w:ascii="Palatino Linotype" w:eastAsia="Arial Unicode MS" w:hAnsi="Palatino Linotype" w:cs="Times New Roman"/>
          <w:sz w:val="24"/>
          <w:szCs w:val="24"/>
          <w:lang w:eastAsia="es-ES"/>
        </w:rPr>
      </w:pPr>
    </w:p>
    <w:p w14:paraId="299AA13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 xml:space="preserve">cuando clasifique un documento, ya sea en todo o en parte, debe atender lo dispuesto por la Ley de la materia, siendo que dicha clasificación es un trabajo en conjunto tanto de los Servidores Públicos Habilitados, de las Unidades </w:t>
      </w:r>
      <w:r w:rsidRPr="00902954">
        <w:rPr>
          <w:rFonts w:ascii="Palatino Linotype" w:eastAsia="Times New Roman" w:hAnsi="Palatino Linotype" w:cs="Times New Roman"/>
          <w:sz w:val="24"/>
          <w:szCs w:val="24"/>
          <w:lang w:eastAsia="es-MX"/>
        </w:rPr>
        <w:lastRenderedPageBreak/>
        <w:t>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C26EF6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p>
    <w:p w14:paraId="6CBA2B83"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D24212C"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p>
    <w:p w14:paraId="2E197412"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902954">
        <w:rPr>
          <w:rFonts w:ascii="Palatino Linotype" w:eastAsia="Times New Roman" w:hAnsi="Palatino Linotype" w:cs="Times New Roman"/>
          <w:sz w:val="24"/>
          <w:szCs w:val="24"/>
          <w:lang w:eastAsia="es-ES"/>
        </w:rPr>
        <w:lastRenderedPageBreak/>
        <w:t>Desclasificación de la Información, así como para la elaboración de Versiones Públicas, que literalmente expresan:</w:t>
      </w:r>
    </w:p>
    <w:p w14:paraId="21869D46"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444C4BE3"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3E082BE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5A8991C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6AAACDC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35A5D5A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602AA5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1F4D54F9"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74C1A2FB"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43965ECF"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7AC00D2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w:t>
      </w:r>
      <w:proofErr w:type="gramStart"/>
      <w:r w:rsidRPr="00902954">
        <w:rPr>
          <w:rFonts w:ascii="Palatino Linotype" w:eastAsia="Times New Roman" w:hAnsi="Palatino Linotype" w:cs="Times New Roman"/>
          <w:b/>
          <w:i/>
          <w:lang w:eastAsia="es-MX"/>
        </w:rPr>
        <w:t>Segundo.-</w:t>
      </w:r>
      <w:proofErr w:type="gramEnd"/>
      <w:r w:rsidRPr="00902954">
        <w:rPr>
          <w:rFonts w:ascii="Palatino Linotype" w:eastAsia="Times New Roman" w:hAnsi="Palatino Linotype" w:cs="Times New Roman"/>
          <w:i/>
          <w:lang w:eastAsia="es-MX"/>
        </w:rPr>
        <w:t xml:space="preserve"> Para efectos de los presentes Lineamientos Generales, se entenderá por:</w:t>
      </w:r>
    </w:p>
    <w:p w14:paraId="34C4945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747B901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352BA70"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57C721A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D62914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96D396D"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0E40C72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2480EC"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2172DD9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EAAB28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058EECD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5721804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B42DAC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0ED05DA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6AA5F3E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7B8B1179"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212A5B6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10034A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2FF024FC"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2AC7B46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4A5FEF7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D72763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0B2E92A6"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4BC9C4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C455EB"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120D11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902954">
        <w:rPr>
          <w:rFonts w:ascii="Palatino Linotype" w:eastAsia="Times New Roman" w:hAnsi="Palatino Linotype" w:cs="Times New Roman"/>
          <w:i/>
          <w:lang w:eastAsia="es-MX"/>
        </w:rPr>
        <w:lastRenderedPageBreak/>
        <w:t>clasificada, en los términos de los Lineamientos para la Organización y Conservación de Archivos.</w:t>
      </w:r>
    </w:p>
    <w:p w14:paraId="43024C7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4A3BC39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71CBAD08"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2DB9EDB0" w14:textId="77777777" w:rsidR="0051753E" w:rsidRPr="00902954" w:rsidRDefault="0051753E" w:rsidP="0051753E">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50E0546D" w14:textId="77777777" w:rsidR="0051753E" w:rsidRPr="00902954" w:rsidRDefault="0051753E" w:rsidP="0051753E">
      <w:pPr>
        <w:spacing w:after="0" w:line="360" w:lineRule="auto"/>
        <w:jc w:val="both"/>
        <w:rPr>
          <w:rFonts w:ascii="Palatino Linotype" w:hAnsi="Palatino Linotype" w:cs="Arial"/>
          <w:i/>
          <w:lang w:eastAsia="es-MX"/>
        </w:rPr>
      </w:pPr>
    </w:p>
    <w:p w14:paraId="4913AB1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2988FB8"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01CE35F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5EF87647"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7CDE7B2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Al respecto, el máximo tribunal del país ha establecido jurisprudencia respecto a qué debe entenderse por fundamentación y motivación, en los siguientes términos:</w:t>
      </w:r>
    </w:p>
    <w:p w14:paraId="7E28681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F2DB57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4798376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5915C48"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248DFA0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5BE413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1ED82D20" w14:textId="77777777" w:rsidR="0051753E"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w:t>
      </w:r>
      <w:r w:rsidRPr="00902954">
        <w:rPr>
          <w:rFonts w:ascii="Palatino Linotype" w:eastAsia="Times New Roman" w:hAnsi="Palatino Linotype" w:cs="Times New Roman"/>
          <w:i/>
          <w:lang w:eastAsia="es-ES"/>
        </w:rPr>
        <w:lastRenderedPageBreak/>
        <w:t>citando la norma habilitante y un argumento mínimo pero suficiente para acreditar el razonamiento del que se deduzca la relación de pertenencia lógica de los hechos al derecho invocado, que es la subsunción.</w:t>
      </w:r>
    </w:p>
    <w:p w14:paraId="6647F82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720877C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En consecuencia, la fundamentación y motivación implica </w:t>
      </w:r>
      <w:proofErr w:type="gramStart"/>
      <w:r w:rsidRPr="00902954">
        <w:rPr>
          <w:rFonts w:ascii="Palatino Linotype" w:eastAsia="Times New Roman" w:hAnsi="Palatino Linotype" w:cs="Times New Roman"/>
          <w:sz w:val="24"/>
          <w:szCs w:val="24"/>
          <w:lang w:eastAsia="es-ES"/>
        </w:rPr>
        <w:t>que</w:t>
      </w:r>
      <w:proofErr w:type="gramEnd"/>
      <w:r w:rsidRPr="00902954">
        <w:rPr>
          <w:rFonts w:ascii="Palatino Linotype" w:eastAsia="Times New Roman" w:hAnsi="Palatino Linotype" w:cs="Times New Roman"/>
          <w:sz w:val="24"/>
          <w:szCs w:val="24"/>
          <w:lang w:eastAsia="es-ES"/>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9E7747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4F6CDAF7" w14:textId="77777777" w:rsidR="0051753E" w:rsidRPr="00081E3E"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E1923BA" w14:textId="77777777" w:rsidR="0051753E" w:rsidRPr="00DB6E06"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457C62EC" w14:textId="34A26258" w:rsidR="0051753E" w:rsidRPr="00DB6E06" w:rsidRDefault="0051753E" w:rsidP="0051753E">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Vista a los órganos interno</w:t>
      </w:r>
      <w:r w:rsidR="00411360">
        <w:rPr>
          <w:rFonts w:ascii="Palatino Linotype" w:eastAsia="Times New Roman" w:hAnsi="Palatino Linotype" w:cs="Times New Roman"/>
          <w:b/>
          <w:i/>
          <w:sz w:val="28"/>
          <w:szCs w:val="28"/>
          <w:lang w:val="es-ES" w:eastAsia="es-ES"/>
        </w:rPr>
        <w:t>s</w:t>
      </w:r>
      <w:r w:rsidRPr="00DB6E06">
        <w:rPr>
          <w:rFonts w:ascii="Palatino Linotype" w:eastAsia="Times New Roman" w:hAnsi="Palatino Linotype" w:cs="Times New Roman"/>
          <w:b/>
          <w:i/>
          <w:sz w:val="28"/>
          <w:szCs w:val="28"/>
          <w:lang w:val="es-ES" w:eastAsia="es-ES"/>
        </w:rPr>
        <w:t xml:space="preserve"> </w:t>
      </w:r>
      <w:r w:rsidR="00411360"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4FEBD518"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255ADFFF"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w:t>
      </w:r>
      <w:r w:rsidRPr="00DB6E06">
        <w:rPr>
          <w:rFonts w:ascii="Palatino Linotype" w:eastAsia="Times New Roman" w:hAnsi="Palatino Linotype" w:cs="Times New Roman"/>
          <w:sz w:val="24"/>
          <w:szCs w:val="24"/>
          <w:lang w:val="es-ES" w:eastAsia="es-ES"/>
        </w:rPr>
        <w:lastRenderedPageBreak/>
        <w:t xml:space="preserve">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2A501128"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CAEE500"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3C94170E"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184536B3"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325036DD"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4A557ADA"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4C56CA5F"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389E7BCC"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lastRenderedPageBreak/>
        <w:t>I. Cualquier acto u omisión que provoque la suspensión o deficiencia en la atención de las solicitudes de información;</w:t>
      </w:r>
    </w:p>
    <w:p w14:paraId="3300206B"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26E88483"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41304EAF"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75477925"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51FF7E05"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1927024"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79E4E540"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5D3BAFB9"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55D14690"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88CF3E7" w14:textId="2F413443" w:rsidR="0051753E" w:rsidRPr="00DB6E06" w:rsidRDefault="0051753E" w:rsidP="0051753E">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411360"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w:t>
      </w:r>
      <w:r w:rsidRPr="00DB6E06">
        <w:rPr>
          <w:rFonts w:ascii="Palatino Linotype" w:eastAsia="Times New Roman" w:hAnsi="Palatino Linotype" w:cs="Times New Roman"/>
          <w:sz w:val="24"/>
          <w:szCs w:val="24"/>
          <w:lang w:val="es-ES" w:eastAsia="es-ES"/>
        </w:rPr>
        <w:lastRenderedPageBreak/>
        <w:t xml:space="preserve">hacerlo del conocimiento del órgano interno </w:t>
      </w:r>
      <w:r w:rsidR="00411360"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3275CCD8" w14:textId="77777777" w:rsidR="0051753E" w:rsidRPr="00DB6E06" w:rsidRDefault="0051753E" w:rsidP="0051753E">
      <w:pPr>
        <w:spacing w:after="0" w:line="360" w:lineRule="auto"/>
        <w:jc w:val="both"/>
        <w:rPr>
          <w:rFonts w:ascii="Palatino Linotype" w:eastAsia="Times New Roman" w:hAnsi="Palatino Linotype" w:cs="Arial"/>
          <w:sz w:val="24"/>
          <w:szCs w:val="24"/>
          <w:lang w:eastAsia="es-MX"/>
        </w:rPr>
      </w:pPr>
    </w:p>
    <w:p w14:paraId="6C4051D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 solicitud</w:t>
      </w:r>
      <w:r w:rsidRPr="00DB6E06">
        <w:rPr>
          <w:rFonts w:ascii="Palatino Linotype" w:eastAsia="Times New Roman" w:hAnsi="Palatino Linotype" w:cs="Arial"/>
          <w:sz w:val="24"/>
          <w:szCs w:val="24"/>
        </w:rPr>
        <w:t xml:space="preserve"> de información</w:t>
      </w:r>
      <w:r>
        <w:rPr>
          <w:rFonts w:ascii="Palatino Linotype" w:eastAsia="Times New Roman" w:hAnsi="Palatino Linotype" w:cs="Arial"/>
          <w:sz w:val="24"/>
          <w:szCs w:val="24"/>
        </w:rPr>
        <w:t xml:space="preserve"> </w:t>
      </w:r>
      <w:r w:rsidRPr="0051753E">
        <w:rPr>
          <w:rFonts w:ascii="Palatino Linotype" w:hAnsi="Palatino Linotype"/>
          <w:b/>
          <w:bCs/>
          <w:sz w:val="24"/>
          <w:szCs w:val="24"/>
        </w:rPr>
        <w:t>00052/IXTAPALU/IP/2024</w:t>
      </w:r>
      <w:r w:rsidRPr="00DB6E06">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7A9050A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0D726B9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Por lo antes expuesto y fundado es de resolverse y,</w:t>
      </w:r>
    </w:p>
    <w:p w14:paraId="7996226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0FB272C8" w14:textId="77777777" w:rsidR="0051753E" w:rsidRPr="00DB6E06" w:rsidRDefault="0051753E" w:rsidP="0051753E">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4BEA2052"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6FE6D66F"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Pr>
          <w:rFonts w:ascii="Palatino Linotype" w:eastAsia="Times New Roman" w:hAnsi="Palatino Linotype" w:cs="Arial"/>
          <w:b/>
          <w:sz w:val="24"/>
          <w:szCs w:val="24"/>
        </w:rPr>
        <w:t>CUARTO</w:t>
      </w:r>
      <w:r w:rsidRPr="00DB6E06">
        <w:rPr>
          <w:rFonts w:ascii="Palatino Linotype" w:eastAsia="Times New Roman" w:hAnsi="Palatino Linotype" w:cs="Arial"/>
          <w:sz w:val="24"/>
          <w:szCs w:val="24"/>
        </w:rPr>
        <w:t>, de la presente resolución.</w:t>
      </w:r>
    </w:p>
    <w:p w14:paraId="05BD48B4"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499AD5EA" w14:textId="77777777" w:rsidR="0051753E" w:rsidRPr="00DB6E06" w:rsidRDefault="0051753E" w:rsidP="0051753E">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Pr>
          <w:rFonts w:ascii="Palatino Linotype" w:eastAsia="Times New Roman" w:hAnsi="Palatino Linotype" w:cs="Times New Roman"/>
          <w:bCs/>
          <w:sz w:val="24"/>
          <w:lang w:eastAsia="es-MX"/>
        </w:rPr>
        <w:t xml:space="preserve">solicitud de información número </w:t>
      </w:r>
      <w:r w:rsidR="00E64942" w:rsidRPr="0051753E">
        <w:rPr>
          <w:rFonts w:ascii="Palatino Linotype" w:hAnsi="Palatino Linotype"/>
          <w:b/>
          <w:bCs/>
          <w:sz w:val="24"/>
          <w:szCs w:val="24"/>
        </w:rPr>
        <w:t>00052/IXTAPALU/IP/2024</w:t>
      </w:r>
      <w:r w:rsidR="00E64942">
        <w:rPr>
          <w:rFonts w:ascii="Palatino Linotype" w:hAnsi="Palatino Linotype"/>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00E64942">
        <w:rPr>
          <w:rFonts w:ascii="Palatino Linotype" w:eastAsia="Times New Roman" w:hAnsi="Palatino Linotype" w:cs="Times New Roman"/>
          <w:b/>
          <w:bCs/>
          <w:sz w:val="24"/>
          <w:szCs w:val="24"/>
          <w:lang w:eastAsia="es-MX"/>
        </w:rPr>
        <w:t>CUAR</w:t>
      </w:r>
      <w:r>
        <w:rPr>
          <w:rFonts w:ascii="Palatino Linotype" w:eastAsia="Times New Roman" w:hAnsi="Palatino Linotype" w:cs="Times New Roman"/>
          <w:b/>
          <w:bCs/>
          <w:sz w:val="24"/>
          <w:szCs w:val="24"/>
          <w:lang w:eastAsia="es-MX"/>
        </w:rPr>
        <w:t>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540D5882" w14:textId="77777777" w:rsidR="0051753E" w:rsidRPr="00DB6E06" w:rsidRDefault="0051753E" w:rsidP="0051753E">
      <w:pPr>
        <w:spacing w:after="0" w:line="360" w:lineRule="auto"/>
        <w:jc w:val="both"/>
        <w:rPr>
          <w:rFonts w:ascii="Palatino Linotype" w:eastAsia="Times New Roman" w:hAnsi="Palatino Linotype" w:cs="Times New Roman"/>
          <w:b/>
          <w:bCs/>
          <w:color w:val="222222"/>
          <w:sz w:val="24"/>
          <w:szCs w:val="24"/>
          <w:lang w:eastAsia="es-MX"/>
        </w:rPr>
      </w:pPr>
    </w:p>
    <w:p w14:paraId="1F095FA6"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w:t>
      </w:r>
      <w:r w:rsidRPr="00DB6E06">
        <w:rPr>
          <w:rFonts w:ascii="Palatino Linotype" w:eastAsia="Times New Roman" w:hAnsi="Palatino Linotype" w:cs="Arial"/>
          <w:sz w:val="24"/>
          <w:szCs w:val="24"/>
        </w:rPr>
        <w:lastRenderedPageBreak/>
        <w:t xml:space="preserve">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A736C6"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3AED311B" w14:textId="77777777" w:rsidR="0051753E" w:rsidRPr="00DB6E06" w:rsidRDefault="0051753E" w:rsidP="0051753E">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 xml:space="preserve">al </w:t>
      </w:r>
      <w:proofErr w:type="gramStart"/>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por</w:t>
      </w:r>
      <w:proofErr w:type="gramEnd"/>
      <w:r w:rsidRPr="00DB6E06">
        <w:rPr>
          <w:rFonts w:ascii="Palatino Linotype" w:eastAsia="Times New Roman" w:hAnsi="Palatino Linotype" w:cs="Arial"/>
          <w:sz w:val="24"/>
          <w:szCs w:val="24"/>
          <w:lang w:val="es-ES" w:eastAsia="es-ES"/>
        </w:rPr>
        <w:t xml:space="preserve">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3881B738"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635EB416"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432F9A8A"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14488537"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w:t>
      </w:r>
      <w:r w:rsidRPr="00DB6E06">
        <w:rPr>
          <w:rFonts w:ascii="Palatino Linotype" w:eastAsia="Times New Roman" w:hAnsi="Palatino Linotype" w:cs="Times New Roman"/>
          <w:sz w:val="24"/>
          <w:szCs w:val="24"/>
          <w:lang w:eastAsia="es-ES_tradnl"/>
        </w:rPr>
        <w:lastRenderedPageBreak/>
        <w:t xml:space="preserve">Información Pública del Estado de México y Municipios se determine lo conducente, en términos de lo señalado en el Considerando </w:t>
      </w:r>
      <w:r w:rsidR="00E64942">
        <w:rPr>
          <w:rFonts w:ascii="Palatino Linotype" w:eastAsia="Times New Roman" w:hAnsi="Palatino Linotype" w:cs="Times New Roman"/>
          <w:b/>
          <w:bCs/>
          <w:sz w:val="24"/>
          <w:szCs w:val="24"/>
          <w:lang w:eastAsia="es-ES_tradnl"/>
        </w:rPr>
        <w:t>CUAR</w:t>
      </w:r>
      <w:r>
        <w:rPr>
          <w:rFonts w:ascii="Palatino Linotype" w:eastAsia="Times New Roman" w:hAnsi="Palatino Linotype" w:cs="Times New Roman"/>
          <w:b/>
          <w:bCs/>
          <w:sz w:val="24"/>
          <w:szCs w:val="24"/>
          <w:lang w:eastAsia="es-ES_tradnl"/>
        </w:rPr>
        <w:t>TO</w:t>
      </w:r>
      <w:r w:rsidRPr="00DB6E06">
        <w:rPr>
          <w:rFonts w:ascii="Palatino Linotype" w:eastAsia="Times New Roman" w:hAnsi="Palatino Linotype" w:cs="Times New Roman"/>
          <w:sz w:val="24"/>
          <w:szCs w:val="24"/>
          <w:lang w:eastAsia="es-ES_tradnl"/>
        </w:rPr>
        <w:t xml:space="preserve"> de la presente resolución.</w:t>
      </w:r>
    </w:p>
    <w:p w14:paraId="3D2B43BB"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3FD231FA" w14:textId="77777777" w:rsidR="0051753E" w:rsidRPr="00DB6E06" w:rsidRDefault="0051753E" w:rsidP="0051753E">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DD423E0" w14:textId="07B7FF23"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64942">
        <w:rPr>
          <w:rFonts w:ascii="Palatino Linotype" w:eastAsiaTheme="minorEastAsia" w:hAnsi="Palatino Linotype" w:cs="Times New Roman"/>
          <w:color w:val="000000" w:themeColor="text1"/>
          <w:sz w:val="24"/>
          <w:szCs w:val="24"/>
          <w:lang w:val="es-ES_tradnl" w:eastAsia="es-ES"/>
        </w:rPr>
        <w:t xml:space="preserve">SÉPTIMA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sidR="00E64942">
        <w:rPr>
          <w:rFonts w:ascii="Palatino Linotype" w:eastAsiaTheme="minorEastAsia" w:hAnsi="Palatino Linotype" w:cs="Times New Roman"/>
          <w:color w:val="000000" w:themeColor="text1"/>
          <w:sz w:val="24"/>
          <w:szCs w:val="24"/>
          <w:lang w:val="es-ES_tradnl" w:eastAsia="es-ES"/>
        </w:rPr>
        <w:t>VEINTIOCHO</w:t>
      </w:r>
      <w:r>
        <w:rPr>
          <w:rFonts w:ascii="Palatino Linotype" w:eastAsiaTheme="minorEastAsia" w:hAnsi="Palatino Linotype" w:cs="Times New Roman"/>
          <w:color w:val="000000" w:themeColor="text1"/>
          <w:sz w:val="24"/>
          <w:szCs w:val="24"/>
          <w:lang w:val="es-ES_tradnl" w:eastAsia="es-ES"/>
        </w:rPr>
        <w:t xml:space="preserve"> DE FEBRERO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 ALEXIS TAPIA RAMÍREZ.------------------------------------------------------------------------------------------------------------------------------------------------------------------------------------------------------------------------------------------------------------------------------------------------------------------------------------------------------------------------------------------------------------------------------------------------------------------------------------------------------------------------------------------------------------------------------------------------------------------------------------</w:t>
      </w:r>
      <w:r w:rsidR="00411360">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w:t>
      </w:r>
      <w:r w:rsidR="00411360" w:rsidRPr="00F444C4">
        <w:rPr>
          <w:rFonts w:ascii="Palatino Linotype" w:eastAsia="Times New Roman" w:hAnsi="Palatino Linotype" w:cs="Arial"/>
          <w:sz w:val="24"/>
          <w:szCs w:val="24"/>
          <w:lang w:val="es-ES_tradnl" w:eastAsia="es-MX"/>
        </w:rPr>
        <w:t>---------------------------------------------------------------------------------------------------------------------------------------------------------------------------------------------------------------------------------------------------------------------------------------------------------------------------------------------------------</w:t>
      </w:r>
    </w:p>
    <w:p w14:paraId="4E714355" w14:textId="77777777"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6A30F090" w14:textId="77777777" w:rsidR="0051753E" w:rsidRPr="00DB6E06" w:rsidRDefault="0051753E" w:rsidP="0051753E">
      <w:pPr>
        <w:rPr>
          <w:rFonts w:eastAsia="Times New Roman" w:cs="Times New Roman"/>
        </w:rPr>
      </w:pPr>
    </w:p>
    <w:p w14:paraId="7289B899" w14:textId="77777777" w:rsidR="0051753E" w:rsidRPr="00DB6E06" w:rsidRDefault="0051753E" w:rsidP="0051753E">
      <w:pPr>
        <w:rPr>
          <w:rFonts w:eastAsia="Times New Roman" w:cs="Times New Roman"/>
        </w:rPr>
      </w:pPr>
    </w:p>
    <w:p w14:paraId="287BC231" w14:textId="77777777" w:rsidR="0051753E" w:rsidRPr="00DB6E06" w:rsidRDefault="0051753E" w:rsidP="0051753E">
      <w:pPr>
        <w:rPr>
          <w:rFonts w:eastAsia="Times New Roman" w:cs="Times New Roman"/>
        </w:rPr>
      </w:pPr>
    </w:p>
    <w:p w14:paraId="2ED587FA" w14:textId="77777777" w:rsidR="0051753E" w:rsidRPr="00DB6E06" w:rsidRDefault="0051753E" w:rsidP="0051753E">
      <w:pPr>
        <w:rPr>
          <w:rFonts w:eastAsia="Times New Roman" w:cs="Times New Roman"/>
        </w:rPr>
      </w:pPr>
    </w:p>
    <w:p w14:paraId="50CE41CF" w14:textId="77777777" w:rsidR="0051753E" w:rsidRPr="00DB6E06" w:rsidRDefault="0051753E" w:rsidP="0051753E">
      <w:pPr>
        <w:rPr>
          <w:rFonts w:eastAsia="Times New Roman" w:cs="Times New Roman"/>
        </w:rPr>
      </w:pPr>
    </w:p>
    <w:p w14:paraId="13BF80B0" w14:textId="77777777" w:rsidR="0051753E" w:rsidRPr="00DB6E06" w:rsidRDefault="0051753E" w:rsidP="0051753E">
      <w:pPr>
        <w:rPr>
          <w:rFonts w:eastAsia="Times New Roman" w:cs="Times New Roman"/>
        </w:rPr>
      </w:pPr>
    </w:p>
    <w:p w14:paraId="34B8954A" w14:textId="77777777" w:rsidR="0051753E" w:rsidRPr="00DB6E06" w:rsidRDefault="0051753E" w:rsidP="0051753E">
      <w:pPr>
        <w:rPr>
          <w:rFonts w:eastAsia="Times New Roman" w:cs="Times New Roman"/>
        </w:rPr>
      </w:pPr>
    </w:p>
    <w:p w14:paraId="2843F7F3" w14:textId="77777777" w:rsidR="0051753E" w:rsidRPr="00DB6E06" w:rsidRDefault="0051753E" w:rsidP="0051753E">
      <w:pPr>
        <w:rPr>
          <w:rFonts w:eastAsia="Times New Roman" w:cs="Times New Roman"/>
        </w:rPr>
      </w:pPr>
    </w:p>
    <w:p w14:paraId="528BE45E" w14:textId="77777777" w:rsidR="0051753E" w:rsidRPr="00DB6E06" w:rsidRDefault="0051753E" w:rsidP="0051753E">
      <w:pPr>
        <w:rPr>
          <w:rFonts w:eastAsia="Times New Roman" w:cs="Times New Roman"/>
        </w:rPr>
      </w:pPr>
    </w:p>
    <w:p w14:paraId="5BC4C1BD" w14:textId="77777777" w:rsidR="0051753E" w:rsidRPr="00DB6E06" w:rsidRDefault="0051753E" w:rsidP="0051753E">
      <w:pPr>
        <w:rPr>
          <w:rFonts w:eastAsia="Times New Roman" w:cs="Times New Roman"/>
        </w:rPr>
      </w:pPr>
    </w:p>
    <w:p w14:paraId="26495677" w14:textId="77777777" w:rsidR="0051753E" w:rsidRPr="00DB6E06" w:rsidRDefault="0051753E" w:rsidP="0051753E">
      <w:pPr>
        <w:rPr>
          <w:rFonts w:eastAsia="Times New Roman" w:cs="Times New Roman"/>
        </w:rPr>
      </w:pPr>
    </w:p>
    <w:p w14:paraId="6686CECC" w14:textId="77777777" w:rsidR="0051753E" w:rsidRPr="00DB6E06" w:rsidRDefault="0051753E" w:rsidP="0051753E">
      <w:pPr>
        <w:rPr>
          <w:rFonts w:eastAsia="Times New Roman" w:cs="Times New Roman"/>
        </w:rPr>
      </w:pPr>
    </w:p>
    <w:p w14:paraId="5CB85175" w14:textId="77777777" w:rsidR="0051753E" w:rsidRPr="00DB6E06" w:rsidRDefault="0051753E" w:rsidP="0051753E">
      <w:pPr>
        <w:rPr>
          <w:rFonts w:eastAsia="Times New Roman" w:cs="Times New Roman"/>
        </w:rPr>
      </w:pPr>
    </w:p>
    <w:p w14:paraId="2619DE2E" w14:textId="77777777" w:rsidR="0051753E" w:rsidRPr="00DB6E06" w:rsidRDefault="0051753E" w:rsidP="0051753E">
      <w:pPr>
        <w:rPr>
          <w:rFonts w:eastAsia="Times New Roman" w:cs="Times New Roman"/>
        </w:rPr>
      </w:pPr>
    </w:p>
    <w:p w14:paraId="496D5B09" w14:textId="77777777" w:rsidR="0051753E" w:rsidRPr="00DB6E06" w:rsidRDefault="0051753E" w:rsidP="0051753E">
      <w:pPr>
        <w:rPr>
          <w:rFonts w:eastAsia="Times New Roman" w:cs="Times New Roman"/>
        </w:rPr>
      </w:pPr>
    </w:p>
    <w:p w14:paraId="034A3753" w14:textId="77777777" w:rsidR="0051753E" w:rsidRPr="00DB6E06" w:rsidRDefault="0051753E" w:rsidP="0051753E">
      <w:pPr>
        <w:rPr>
          <w:rFonts w:eastAsia="Times New Roman" w:cs="Times New Roman"/>
        </w:rPr>
      </w:pPr>
    </w:p>
    <w:p w14:paraId="51391077" w14:textId="77777777" w:rsidR="0051753E" w:rsidRPr="00DB6E06" w:rsidRDefault="0051753E" w:rsidP="0051753E">
      <w:pPr>
        <w:rPr>
          <w:rFonts w:eastAsia="Times New Roman" w:cs="Times New Roman"/>
        </w:rPr>
      </w:pPr>
    </w:p>
    <w:p w14:paraId="1539909C" w14:textId="77777777" w:rsidR="0051753E" w:rsidRPr="00DB6E06" w:rsidRDefault="0051753E" w:rsidP="0051753E">
      <w:pPr>
        <w:rPr>
          <w:rFonts w:eastAsia="Times New Roman" w:cs="Times New Roman"/>
        </w:rPr>
      </w:pPr>
    </w:p>
    <w:p w14:paraId="5C6D5FF3" w14:textId="77777777" w:rsidR="0051753E" w:rsidRPr="00DB6E06" w:rsidRDefault="0051753E" w:rsidP="0051753E">
      <w:pPr>
        <w:rPr>
          <w:rFonts w:eastAsia="Times New Roman" w:cs="Times New Roman"/>
        </w:rPr>
      </w:pPr>
    </w:p>
    <w:p w14:paraId="6B06DEB7" w14:textId="77777777" w:rsidR="0051753E" w:rsidRPr="00DB6E06" w:rsidRDefault="0051753E" w:rsidP="0051753E">
      <w:pPr>
        <w:rPr>
          <w:rFonts w:eastAsia="Times New Roman" w:cs="Times New Roman"/>
        </w:rPr>
      </w:pPr>
    </w:p>
    <w:p w14:paraId="019B12D6" w14:textId="77777777" w:rsidR="0051753E" w:rsidRPr="00DB6E06" w:rsidRDefault="0051753E" w:rsidP="0051753E">
      <w:pPr>
        <w:rPr>
          <w:rFonts w:eastAsia="Times New Roman" w:cs="Times New Roman"/>
        </w:rPr>
      </w:pPr>
    </w:p>
    <w:p w14:paraId="352E5510" w14:textId="77777777" w:rsidR="0051753E" w:rsidRPr="00DB6E06" w:rsidRDefault="0051753E" w:rsidP="0051753E">
      <w:pPr>
        <w:rPr>
          <w:rFonts w:eastAsia="Times New Roman" w:cs="Times New Roman"/>
        </w:rPr>
      </w:pPr>
    </w:p>
    <w:p w14:paraId="4D821EEE" w14:textId="77777777" w:rsidR="0051753E" w:rsidRPr="00DB6E06" w:rsidRDefault="0051753E" w:rsidP="0051753E">
      <w:pPr>
        <w:rPr>
          <w:rFonts w:eastAsia="Times New Roman" w:cs="Times New Roman"/>
        </w:rPr>
      </w:pPr>
    </w:p>
    <w:p w14:paraId="13E966D2" w14:textId="77777777" w:rsidR="0051753E" w:rsidRPr="00DB6E06" w:rsidRDefault="0051753E" w:rsidP="0051753E">
      <w:pPr>
        <w:rPr>
          <w:rFonts w:eastAsia="Times New Roman" w:cs="Times New Roman"/>
        </w:rPr>
      </w:pPr>
    </w:p>
    <w:p w14:paraId="7C1A33B1" w14:textId="77777777" w:rsidR="0051753E" w:rsidRPr="00DB6E06" w:rsidRDefault="0051753E" w:rsidP="0051753E">
      <w:pPr>
        <w:rPr>
          <w:rFonts w:eastAsia="Times New Roman" w:cs="Times New Roman"/>
        </w:rPr>
      </w:pPr>
    </w:p>
    <w:p w14:paraId="143E105A" w14:textId="77777777" w:rsidR="0051753E" w:rsidRDefault="0051753E" w:rsidP="0051753E"/>
    <w:p w14:paraId="2C061AB2" w14:textId="77777777" w:rsidR="00DF613E" w:rsidRDefault="00DF613E"/>
    <w:sectPr w:rsidR="00DF613E"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CC7F" w14:textId="77777777" w:rsidR="00541833" w:rsidRDefault="00541833" w:rsidP="0051753E">
      <w:pPr>
        <w:spacing w:after="0" w:line="240" w:lineRule="auto"/>
      </w:pPr>
      <w:r>
        <w:separator/>
      </w:r>
    </w:p>
  </w:endnote>
  <w:endnote w:type="continuationSeparator" w:id="0">
    <w:p w14:paraId="37D87BFC" w14:textId="77777777" w:rsidR="00541833" w:rsidRDefault="00541833" w:rsidP="005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5170" w14:textId="77777777" w:rsidR="00411360"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387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387A">
      <w:rPr>
        <w:rFonts w:ascii="Palatino Linotype" w:hAnsi="Palatino Linotype"/>
        <w:bCs/>
        <w:noProof/>
        <w:sz w:val="20"/>
      </w:rPr>
      <w:t>30</w:t>
    </w:r>
    <w:r>
      <w:rPr>
        <w:rFonts w:ascii="Palatino Linotype" w:hAnsi="Palatino Linotype"/>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BC34" w14:textId="77777777" w:rsidR="00411360"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38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387A">
      <w:rPr>
        <w:rFonts w:ascii="Palatino Linotype" w:hAnsi="Palatino Linotype"/>
        <w:bCs/>
        <w:noProof/>
        <w:sz w:val="20"/>
      </w:rPr>
      <w:t>30</w:t>
    </w:r>
    <w:r>
      <w:rPr>
        <w:rFonts w:ascii="Palatino Linotype" w:hAnsi="Palatino Linotype"/>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98B7" w14:textId="77777777" w:rsidR="00541833" w:rsidRDefault="00541833" w:rsidP="0051753E">
      <w:pPr>
        <w:spacing w:after="0" w:line="240" w:lineRule="auto"/>
      </w:pPr>
      <w:r>
        <w:separator/>
      </w:r>
    </w:p>
  </w:footnote>
  <w:footnote w:type="continuationSeparator" w:id="0">
    <w:p w14:paraId="613602B5" w14:textId="77777777" w:rsidR="00541833" w:rsidRDefault="00541833" w:rsidP="0051753E">
      <w:pPr>
        <w:spacing w:after="0" w:line="240" w:lineRule="auto"/>
      </w:pPr>
      <w:r>
        <w:continuationSeparator/>
      </w:r>
    </w:p>
  </w:footnote>
  <w:footnote w:id="1">
    <w:p w14:paraId="074BE126" w14:textId="77777777" w:rsidR="0051753E" w:rsidRPr="00481AAF" w:rsidRDefault="0051753E" w:rsidP="0051753E">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5092DF9" w14:textId="77777777" w:rsidR="0051753E" w:rsidRDefault="0051753E" w:rsidP="0051753E">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CB0" w14:textId="77777777" w:rsidR="00411360" w:rsidRDefault="00243196">
    <w:pPr>
      <w:pStyle w:val="Encabezado"/>
    </w:pPr>
    <w:r>
      <w:rPr>
        <w:noProof/>
        <w:lang w:val="es-MX" w:eastAsia="es-MX"/>
      </w:rPr>
      <w:pict w14:anchorId="6A3E7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236A" w14:textId="77777777" w:rsidR="00411360" w:rsidRDefault="00243196">
    <w:pPr>
      <w:pStyle w:val="Encabezado"/>
    </w:pPr>
    <w:r>
      <w:rPr>
        <w:noProof/>
        <w:lang w:val="es-MX" w:eastAsia="es-MX"/>
      </w:rPr>
      <w:pict w14:anchorId="7A7BC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9776;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5A70730B" w14:textId="77777777" w:rsidTr="00F45B4A">
      <w:trPr>
        <w:trHeight w:val="227"/>
      </w:trPr>
      <w:tc>
        <w:tcPr>
          <w:tcW w:w="5949" w:type="dxa"/>
          <w:hideMark/>
        </w:tcPr>
        <w:p w14:paraId="4F9F7C90" w14:textId="77777777" w:rsidR="00411360" w:rsidRDefault="00541833"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47A7F3F" w14:textId="77777777" w:rsidR="00411360" w:rsidRPr="00B4142F" w:rsidRDefault="0051753E"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00510</w:t>
          </w:r>
          <w:r w:rsidR="00541833">
            <w:rPr>
              <w:rFonts w:ascii="Palatino Linotype" w:hAnsi="Palatino Linotype" w:cs="Arial"/>
              <w:bCs/>
              <w:sz w:val="24"/>
              <w:lang w:eastAsia="es-MX"/>
            </w:rPr>
            <w:t>/INFOEM/IP/RR/2024</w:t>
          </w:r>
        </w:p>
      </w:tc>
    </w:tr>
    <w:tr w:rsidR="0051753E" w14:paraId="0290EEA2" w14:textId="77777777" w:rsidTr="00F45B4A">
      <w:trPr>
        <w:trHeight w:val="242"/>
      </w:trPr>
      <w:tc>
        <w:tcPr>
          <w:tcW w:w="5949" w:type="dxa"/>
          <w:hideMark/>
        </w:tcPr>
        <w:p w14:paraId="26FA6110" w14:textId="77777777" w:rsidR="0051753E" w:rsidRDefault="0051753E"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6E6A6426" w14:textId="77777777" w:rsidR="0051753E" w:rsidRPr="005B65B0" w:rsidRDefault="0051753E" w:rsidP="0051753E">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Ixtapaluca</w:t>
          </w:r>
        </w:p>
      </w:tc>
    </w:tr>
    <w:tr w:rsidR="0051753E" w14:paraId="249EAB43" w14:textId="77777777" w:rsidTr="00F45B4A">
      <w:trPr>
        <w:trHeight w:val="342"/>
      </w:trPr>
      <w:tc>
        <w:tcPr>
          <w:tcW w:w="5949" w:type="dxa"/>
          <w:hideMark/>
        </w:tcPr>
        <w:p w14:paraId="0D1F74D4" w14:textId="77777777" w:rsidR="0051753E" w:rsidRDefault="0051753E"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AD1906F" w14:textId="77777777" w:rsidR="0051753E" w:rsidRDefault="0051753E"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61CF5B8" w14:textId="77777777" w:rsidR="00411360" w:rsidRDefault="004113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3F83" w14:textId="77777777" w:rsidR="00411360" w:rsidRDefault="00243196">
    <w:pPr>
      <w:pStyle w:val="Encabezado"/>
    </w:pPr>
    <w:r>
      <w:rPr>
        <w:noProof/>
        <w:lang w:val="es-MX" w:eastAsia="es-MX"/>
      </w:rPr>
      <w:pict w14:anchorId="7A6E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8752;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3035C7CB" w14:textId="77777777" w:rsidTr="006B2F74">
      <w:trPr>
        <w:trHeight w:val="227"/>
      </w:trPr>
      <w:tc>
        <w:tcPr>
          <w:tcW w:w="5103" w:type="dxa"/>
          <w:hideMark/>
        </w:tcPr>
        <w:p w14:paraId="533167A5" w14:textId="77777777" w:rsidR="00411360"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296203BA" w14:textId="77777777" w:rsidR="00411360" w:rsidRPr="00303CFF" w:rsidRDefault="00541833"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51753E">
            <w:rPr>
              <w:rFonts w:ascii="Palatino Linotype" w:hAnsi="Palatino Linotype" w:cs="Arial"/>
              <w:b/>
              <w:bCs/>
              <w:sz w:val="24"/>
              <w:szCs w:val="24"/>
            </w:rPr>
            <w:t>0510</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094F4E56" w14:textId="77777777" w:rsidTr="006B2F74">
      <w:trPr>
        <w:trHeight w:val="227"/>
      </w:trPr>
      <w:tc>
        <w:tcPr>
          <w:tcW w:w="5103" w:type="dxa"/>
        </w:tcPr>
        <w:p w14:paraId="1A3E8CB1" w14:textId="77777777" w:rsidR="0051753E" w:rsidRPr="00303CFF" w:rsidRDefault="0051753E"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6CA822E3" w14:textId="7341A956" w:rsidR="0051753E" w:rsidRDefault="00243196" w:rsidP="00303CFF">
          <w:pPr>
            <w:spacing w:after="120" w:line="240" w:lineRule="auto"/>
            <w:ind w:left="-486" w:right="68" w:firstLine="558"/>
            <w:jc w:val="right"/>
            <w:rPr>
              <w:rFonts w:ascii="Palatino Linotype" w:hAnsi="Palatino Linotype" w:cs="Arial"/>
              <w:b/>
              <w:bCs/>
              <w:sz w:val="24"/>
              <w:szCs w:val="24"/>
            </w:rPr>
          </w:pPr>
          <w:proofErr w:type="spellStart"/>
          <w:r>
            <w:rPr>
              <w:rFonts w:ascii="Palatino Linotype" w:hAnsi="Palatino Linotype" w:cs="Arial"/>
              <w:b/>
              <w:bCs/>
              <w:sz w:val="24"/>
              <w:szCs w:val="24"/>
            </w:rPr>
            <w:t>XXXXXXXXXXX</w:t>
          </w:r>
          <w:proofErr w:type="spellEnd"/>
        </w:p>
      </w:tc>
    </w:tr>
    <w:tr w:rsidR="0067758B" w:rsidRPr="00303CFF" w14:paraId="30EACAA1" w14:textId="77777777" w:rsidTr="006B2F74">
      <w:trPr>
        <w:trHeight w:val="242"/>
      </w:trPr>
      <w:tc>
        <w:tcPr>
          <w:tcW w:w="5103" w:type="dxa"/>
          <w:hideMark/>
        </w:tcPr>
        <w:p w14:paraId="427CF410" w14:textId="77777777" w:rsidR="00411360"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4EABD3D7" w14:textId="77777777" w:rsidR="00411360" w:rsidRPr="005B65B0" w:rsidRDefault="0051753E" w:rsidP="00303CFF">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Ixtapaluca</w:t>
          </w:r>
        </w:p>
      </w:tc>
    </w:tr>
    <w:tr w:rsidR="0067758B" w:rsidRPr="00303CFF" w14:paraId="7D0FD82D" w14:textId="77777777" w:rsidTr="006B2F74">
      <w:trPr>
        <w:trHeight w:val="342"/>
      </w:trPr>
      <w:tc>
        <w:tcPr>
          <w:tcW w:w="5103" w:type="dxa"/>
          <w:hideMark/>
        </w:tcPr>
        <w:p w14:paraId="3A6C4F11" w14:textId="77777777" w:rsidR="00411360" w:rsidRPr="00303CFF" w:rsidRDefault="00541833"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68220B13" w14:textId="77777777" w:rsidR="00411360" w:rsidRPr="00303CFF" w:rsidRDefault="00541833"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63E53559" w14:textId="77777777" w:rsidR="00411360" w:rsidRDefault="004113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767508">
    <w:abstractNumId w:val="2"/>
  </w:num>
  <w:num w:numId="2" w16cid:durableId="1108623724">
    <w:abstractNumId w:val="0"/>
  </w:num>
  <w:num w:numId="3" w16cid:durableId="144542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E"/>
    <w:rsid w:val="00243196"/>
    <w:rsid w:val="00411360"/>
    <w:rsid w:val="0051753E"/>
    <w:rsid w:val="00541833"/>
    <w:rsid w:val="0094387A"/>
    <w:rsid w:val="00DF613E"/>
    <w:rsid w:val="00E64942"/>
    <w:rsid w:val="00EA5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C06A4"/>
  <w15:chartTrackingRefBased/>
  <w15:docId w15:val="{98EF4313-BF35-4E08-A962-A71D2B1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17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753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1753E"/>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1753E"/>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753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7871</Words>
  <Characters>43292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Arturo Estanislao Macedo Albarrán</cp:lastModifiedBy>
  <cp:revision>5</cp:revision>
  <dcterms:created xsi:type="dcterms:W3CDTF">2024-02-19T16:03:00Z</dcterms:created>
  <dcterms:modified xsi:type="dcterms:W3CDTF">2024-03-12T15:33:00Z</dcterms:modified>
</cp:coreProperties>
</file>