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B7405"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BC1FA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BC1FAD">
        <w:rPr>
          <w:rFonts w:ascii="Palatino Linotype" w:eastAsia="Palatino Linotype" w:hAnsi="Palatino Linotype" w:cs="Palatino Linotype"/>
          <w:b/>
          <w:sz w:val="22"/>
          <w:szCs w:val="22"/>
        </w:rPr>
        <w:t>catorce de agosto de dos mil veinticuatro</w:t>
      </w:r>
      <w:r w:rsidRPr="00BC1FAD">
        <w:rPr>
          <w:rFonts w:ascii="Palatino Linotype" w:eastAsia="Palatino Linotype" w:hAnsi="Palatino Linotype" w:cs="Palatino Linotype"/>
          <w:sz w:val="22"/>
          <w:szCs w:val="22"/>
        </w:rPr>
        <w:t xml:space="preserve">. </w:t>
      </w:r>
    </w:p>
    <w:p w14:paraId="74BED88D" w14:textId="28B08119"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Visto</w:t>
      </w:r>
      <w:r w:rsidRPr="00BC1FAD">
        <w:rPr>
          <w:rFonts w:ascii="Palatino Linotype" w:eastAsia="Palatino Linotype" w:hAnsi="Palatino Linotype" w:cs="Palatino Linotype"/>
          <w:sz w:val="22"/>
          <w:szCs w:val="22"/>
        </w:rPr>
        <w:t xml:space="preserve"> el expediente formado con motivo del recurso de revisión </w:t>
      </w:r>
      <w:r w:rsidRPr="00BC1FAD">
        <w:rPr>
          <w:rFonts w:ascii="Palatino Linotype" w:eastAsia="Palatino Linotype" w:hAnsi="Palatino Linotype" w:cs="Palatino Linotype"/>
          <w:b/>
          <w:sz w:val="22"/>
          <w:szCs w:val="22"/>
        </w:rPr>
        <w:t>02369/INFOEM/IP/RR/2024</w:t>
      </w:r>
      <w:r w:rsidRPr="00BC1FAD">
        <w:rPr>
          <w:rFonts w:ascii="Palatino Linotype" w:eastAsia="Palatino Linotype" w:hAnsi="Palatino Linotype" w:cs="Palatino Linotype"/>
          <w:sz w:val="22"/>
          <w:szCs w:val="22"/>
        </w:rPr>
        <w:t>, interpuesto por</w:t>
      </w:r>
      <w:r w:rsidRPr="00BC1FAD">
        <w:rPr>
          <w:rFonts w:ascii="Palatino Linotype" w:eastAsia="Palatino Linotype" w:hAnsi="Palatino Linotype" w:cs="Palatino Linotype"/>
          <w:b/>
          <w:sz w:val="22"/>
          <w:szCs w:val="22"/>
        </w:rPr>
        <w:t xml:space="preserve"> </w:t>
      </w:r>
      <w:r w:rsidR="00546E29">
        <w:rPr>
          <w:rFonts w:ascii="Palatino Linotype" w:eastAsia="Palatino Linotype" w:hAnsi="Palatino Linotype" w:cs="Palatino Linotype"/>
          <w:b/>
          <w:sz w:val="22"/>
          <w:szCs w:val="22"/>
        </w:rPr>
        <w:t>XXXXXXXX XXXXXX</w:t>
      </w:r>
      <w:r w:rsidRPr="00BC1FAD">
        <w:rPr>
          <w:rFonts w:ascii="Palatino Linotype" w:eastAsia="Palatino Linotype" w:hAnsi="Palatino Linotype" w:cs="Palatino Linotype"/>
          <w:b/>
          <w:sz w:val="22"/>
          <w:szCs w:val="22"/>
        </w:rPr>
        <w:t>,</w:t>
      </w:r>
      <w:r w:rsidRPr="00BC1FAD">
        <w:rPr>
          <w:rFonts w:ascii="Palatino Linotype" w:eastAsia="Palatino Linotype" w:hAnsi="Palatino Linotype" w:cs="Palatino Linotype"/>
          <w:sz w:val="22"/>
          <w:szCs w:val="22"/>
        </w:rPr>
        <w:t xml:space="preserve"> en lo sucesivo</w:t>
      </w:r>
      <w:r w:rsidRPr="00BC1FAD">
        <w:rPr>
          <w:rFonts w:ascii="Palatino Linotype" w:eastAsia="Palatino Linotype" w:hAnsi="Palatino Linotype" w:cs="Palatino Linotype"/>
          <w:b/>
          <w:sz w:val="22"/>
          <w:szCs w:val="22"/>
        </w:rPr>
        <w:t xml:space="preserve"> 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en contra de la respuesta a su solicitud por parte del</w:t>
      </w:r>
      <w:r w:rsidRPr="00BC1FAD">
        <w:rPr>
          <w:rFonts w:ascii="Palatino Linotype" w:eastAsia="Palatino Linotype" w:hAnsi="Palatino Linotype" w:cs="Palatino Linotype"/>
          <w:b/>
          <w:sz w:val="22"/>
          <w:szCs w:val="22"/>
        </w:rPr>
        <w:t xml:space="preserve"> Ayuntamiento de Tlalnepantla de Baz, </w:t>
      </w:r>
      <w:r w:rsidRPr="00BC1FAD">
        <w:rPr>
          <w:rFonts w:ascii="Palatino Linotype" w:eastAsia="Palatino Linotype" w:hAnsi="Palatino Linotype" w:cs="Palatino Linotype"/>
          <w:sz w:val="22"/>
          <w:szCs w:val="22"/>
        </w:rPr>
        <w:t xml:space="preserve">en lo sucesivo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 xml:space="preserve">se procede a dictar la presente resolución con base en los siguientes: </w:t>
      </w:r>
    </w:p>
    <w:p w14:paraId="58869946" w14:textId="77777777" w:rsidR="00191DBD" w:rsidRPr="00BC1FAD" w:rsidRDefault="005029AE">
      <w:pPr>
        <w:spacing w:before="240" w:after="240" w:line="360" w:lineRule="auto"/>
        <w:jc w:val="center"/>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I. A N T E C E D E N T E S</w:t>
      </w:r>
    </w:p>
    <w:p w14:paraId="3EB2FC9A"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1. Solicitud de acceso a la información.</w:t>
      </w:r>
      <w:r w:rsidRPr="00BC1FAD">
        <w:rPr>
          <w:rFonts w:ascii="Palatino Linotype" w:eastAsia="Palatino Linotype" w:hAnsi="Palatino Linotype" w:cs="Palatino Linotype"/>
          <w:sz w:val="22"/>
          <w:szCs w:val="22"/>
        </w:rPr>
        <w:t xml:space="preserve"> El </w:t>
      </w:r>
      <w:r w:rsidRPr="00BC1FAD">
        <w:rPr>
          <w:rFonts w:ascii="Palatino Linotype" w:eastAsia="Palatino Linotype" w:hAnsi="Palatino Linotype" w:cs="Palatino Linotype"/>
          <w:b/>
          <w:sz w:val="22"/>
          <w:szCs w:val="22"/>
        </w:rPr>
        <w:t>ocho de abril de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dos mil veinticuatro,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 xml:space="preserve">Recurrente </w:t>
      </w:r>
      <w:r w:rsidRPr="00BC1FAD">
        <w:rPr>
          <w:rFonts w:ascii="Palatino Linotype" w:eastAsia="Palatino Linotype" w:hAnsi="Palatino Linotype" w:cs="Palatino Linotype"/>
          <w:sz w:val="22"/>
          <w:szCs w:val="22"/>
        </w:rPr>
        <w:t xml:space="preserve">presentó, a través del Sistema de Acceso a la Información Mexiquense, en lo subsecuente el </w:t>
      </w:r>
      <w:r w:rsidRPr="00BC1FAD">
        <w:rPr>
          <w:rFonts w:ascii="Palatino Linotype" w:eastAsia="Palatino Linotype" w:hAnsi="Palatino Linotype" w:cs="Palatino Linotype"/>
          <w:b/>
          <w:sz w:val="22"/>
          <w:szCs w:val="22"/>
        </w:rPr>
        <w:t>SAIMEX,</w:t>
      </w:r>
      <w:r w:rsidRPr="00BC1FAD">
        <w:rPr>
          <w:rFonts w:ascii="Palatino Linotype" w:eastAsia="Palatino Linotype" w:hAnsi="Palatino Linotype" w:cs="Palatino Linotype"/>
          <w:sz w:val="22"/>
          <w:szCs w:val="22"/>
        </w:rPr>
        <w:t xml:space="preserve"> ante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la solicitud de acceso a la información pública, a la que se le asignó el número</w:t>
      </w:r>
      <w:r w:rsidRPr="00BC1FAD">
        <w:rPr>
          <w:rFonts w:ascii="Palatino Linotype" w:eastAsia="Palatino Linotype" w:hAnsi="Palatino Linotype" w:cs="Palatino Linotype"/>
          <w:b/>
          <w:sz w:val="22"/>
          <w:szCs w:val="22"/>
        </w:rPr>
        <w:t xml:space="preserve"> 00425/TLALNEPA/IP/2024, </w:t>
      </w:r>
      <w:r w:rsidRPr="00BC1FAD">
        <w:rPr>
          <w:rFonts w:ascii="Palatino Linotype" w:eastAsia="Palatino Linotype" w:hAnsi="Palatino Linotype" w:cs="Palatino Linotype"/>
          <w:sz w:val="22"/>
          <w:szCs w:val="22"/>
        </w:rPr>
        <w:t xml:space="preserve">mediante la cual requirió la información siguiente: </w:t>
      </w:r>
    </w:p>
    <w:p w14:paraId="7391888B" w14:textId="77777777" w:rsidR="00191DBD" w:rsidRPr="00BC1FAD" w:rsidRDefault="005029AE">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BC1FAD">
        <w:rPr>
          <w:rFonts w:ascii="Palatino Linotype" w:eastAsia="Palatino Linotype" w:hAnsi="Palatino Linotype" w:cs="Palatino Linotype"/>
          <w:i/>
          <w:sz w:val="22"/>
          <w:szCs w:val="22"/>
        </w:rPr>
        <w:t xml:space="preserve">“Solicito copias de todos los contratos establecidos por el Ayuntamiento de Tlalnepantla de Baz del arrendamiento de equipos de cómputo, impresoras y consumibles en la administración 2022-2024” (Sic) </w:t>
      </w:r>
    </w:p>
    <w:p w14:paraId="31302C37" w14:textId="77777777" w:rsidR="00191DBD" w:rsidRPr="00BC1FAD" w:rsidRDefault="005029AE">
      <w:pPr>
        <w:spacing w:before="240" w:after="240" w:line="360" w:lineRule="auto"/>
        <w:ind w:right="902"/>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Modalidad de Entrega:</w:t>
      </w:r>
      <w:r w:rsidRPr="00BC1FAD">
        <w:rPr>
          <w:rFonts w:ascii="Palatino Linotype" w:eastAsia="Palatino Linotype" w:hAnsi="Palatino Linotype" w:cs="Palatino Linotype"/>
          <w:sz w:val="22"/>
          <w:szCs w:val="22"/>
        </w:rPr>
        <w:t xml:space="preserve"> a través </w:t>
      </w:r>
      <w:r w:rsidRPr="00BC1FAD">
        <w:rPr>
          <w:rFonts w:ascii="Palatino Linotype" w:eastAsia="Palatino Linotype" w:hAnsi="Palatino Linotype" w:cs="Palatino Linotype"/>
          <w:b/>
          <w:sz w:val="22"/>
          <w:szCs w:val="22"/>
        </w:rPr>
        <w:t>de SAIMEX.</w:t>
      </w:r>
    </w:p>
    <w:p w14:paraId="201D0D3A" w14:textId="77777777" w:rsidR="00191DBD" w:rsidRPr="00BC1FAD" w:rsidRDefault="005029AE">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BC1FAD">
        <w:rPr>
          <w:rFonts w:ascii="Palatino Linotype" w:eastAsia="Palatino Linotype" w:hAnsi="Palatino Linotype" w:cs="Palatino Linotype"/>
          <w:b/>
          <w:sz w:val="22"/>
          <w:szCs w:val="22"/>
        </w:rPr>
        <w:t xml:space="preserve">2. Respuesta. </w:t>
      </w:r>
      <w:r w:rsidRPr="00BC1FAD">
        <w:rPr>
          <w:rFonts w:ascii="Palatino Linotype" w:eastAsia="Palatino Linotype" w:hAnsi="Palatino Linotype" w:cs="Palatino Linotype"/>
          <w:sz w:val="22"/>
          <w:szCs w:val="22"/>
        </w:rPr>
        <w:t xml:space="preserve">El </w:t>
      </w:r>
      <w:r w:rsidRPr="00BC1FAD">
        <w:rPr>
          <w:rFonts w:ascii="Palatino Linotype" w:eastAsia="Palatino Linotype" w:hAnsi="Palatino Linotype" w:cs="Palatino Linotype"/>
          <w:b/>
          <w:sz w:val="22"/>
          <w:szCs w:val="22"/>
        </w:rPr>
        <w:t>veintinueve de abril de dos mil veinticuatro</w:t>
      </w:r>
      <w:r w:rsidRPr="00BC1FAD">
        <w:rPr>
          <w:rFonts w:ascii="Palatino Linotype" w:eastAsia="Palatino Linotype" w:hAnsi="Palatino Linotype" w:cs="Palatino Linotype"/>
          <w:sz w:val="22"/>
          <w:szCs w:val="22"/>
        </w:rPr>
        <w:t xml:space="preserve">,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5913C58" w14:textId="77777777" w:rsidR="00191DBD" w:rsidRPr="00BC1FAD" w:rsidRDefault="005029AE">
      <w:pPr>
        <w:spacing w:before="240" w:after="24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“…ENVIO ARCHIVO ELETRONICO CON RESPUESTA CON NUMERO DE FOLIO SAIMEX 00425/TLALNEPA/IP/2024</w:t>
      </w:r>
    </w:p>
    <w:p w14:paraId="7FC4C060" w14:textId="77777777" w:rsidR="00191DBD" w:rsidRPr="00BC1FAD" w:rsidRDefault="005029AE">
      <w:pPr>
        <w:spacing w:before="240" w:after="24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lastRenderedPageBreak/>
        <w:t>ATENTAMENTE</w:t>
      </w:r>
    </w:p>
    <w:p w14:paraId="3A151CDC" w14:textId="77777777" w:rsidR="00191DBD" w:rsidRPr="00BC1FAD" w:rsidRDefault="005029AE">
      <w:pPr>
        <w:spacing w:before="240" w:after="24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D.A.P. SALVADOR ALEJANDRO SALDÍVAR VÉLEZ” (Sic)</w:t>
      </w:r>
    </w:p>
    <w:p w14:paraId="5700F2AC" w14:textId="77777777" w:rsidR="00191DBD" w:rsidRPr="00BC1FAD" w:rsidRDefault="005029AE">
      <w:pPr>
        <w:spacing w:before="240" w:after="240"/>
        <w:ind w:left="567" w:right="902"/>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Archivos adjuntos:</w:t>
      </w:r>
    </w:p>
    <w:p w14:paraId="5A6A86A7" w14:textId="77777777" w:rsidR="00191DBD" w:rsidRPr="00BC1FAD" w:rsidRDefault="005029AE">
      <w:pPr>
        <w:spacing w:before="240" w:after="240" w:line="360" w:lineRule="auto"/>
        <w:ind w:left="567" w:right="902"/>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 xml:space="preserve">“RESPUESTA SAIMEX 00425.zip”: </w:t>
      </w:r>
      <w:r w:rsidRPr="00BC1FAD">
        <w:rPr>
          <w:rFonts w:ascii="Palatino Linotype" w:eastAsia="Palatino Linotype" w:hAnsi="Palatino Linotype" w:cs="Palatino Linotype"/>
          <w:sz w:val="22"/>
          <w:szCs w:val="22"/>
        </w:rPr>
        <w:t>Carpeta comprimida que contiene los siguientes archivos electrónicos:</w:t>
      </w:r>
    </w:p>
    <w:p w14:paraId="43BC8A29" w14:textId="77777777" w:rsidR="00191DBD" w:rsidRPr="00BC1FAD" w:rsidRDefault="005029AE">
      <w:pPr>
        <w:spacing w:before="240" w:after="240" w:line="360" w:lineRule="auto"/>
        <w:ind w:left="567" w:right="902"/>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 xml:space="preserve">“05 ACUERDO 15 ORD RESERVA.pdf”: </w:t>
      </w:r>
      <w:r w:rsidRPr="00BC1FAD">
        <w:rPr>
          <w:rFonts w:ascii="Palatino Linotype" w:eastAsia="Palatino Linotype" w:hAnsi="Palatino Linotype" w:cs="Palatino Linotype"/>
          <w:sz w:val="22"/>
          <w:szCs w:val="22"/>
        </w:rPr>
        <w:t xml:space="preserve">Acuerdo de Reserva de Información 05/CT/15-ORD-2024, de la Décima Quinta Sesión Ordinaria por el que se aprueba la clasificación de la información como reservada, debido a que la documentación generada del periodo comprendido del primero de enero al treinta y uno de diciembre de dos mil veintitrés, correspondiente al Ejercicio Fiscal 2023, está siendo fiscalizada por el Órgano Superior de Fiscalización del Estado de México, por lo tanto su divulgación puede obstruir las actividades de fiscalización, verificación, inspección y auditoría que lleva a cabo el OSFEM en el cumplimiento de las leyes aplicables. </w:t>
      </w:r>
    </w:p>
    <w:p w14:paraId="330D2A67" w14:textId="77777777" w:rsidR="00191DBD" w:rsidRPr="00BC1FAD" w:rsidRDefault="005029AE">
      <w:pPr>
        <w:spacing w:before="240" w:after="240" w:line="360" w:lineRule="auto"/>
        <w:ind w:left="567" w:right="902"/>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 xml:space="preserve">“RESP. DA_1727_2024.pdf”: </w:t>
      </w:r>
      <w:r w:rsidRPr="00BC1FAD">
        <w:rPr>
          <w:rFonts w:ascii="Palatino Linotype" w:eastAsia="Palatino Linotype" w:hAnsi="Palatino Linotype" w:cs="Palatino Linotype"/>
          <w:sz w:val="22"/>
          <w:szCs w:val="22"/>
        </w:rPr>
        <w:t xml:space="preserve">Oficio DA/1727/2024, suscrito por el </w:t>
      </w:r>
      <w:proofErr w:type="gramStart"/>
      <w:r w:rsidRPr="00BC1FAD">
        <w:rPr>
          <w:rFonts w:ascii="Palatino Linotype" w:eastAsia="Palatino Linotype" w:hAnsi="Palatino Linotype" w:cs="Palatino Linotype"/>
          <w:sz w:val="22"/>
          <w:szCs w:val="22"/>
        </w:rPr>
        <w:t>Director</w:t>
      </w:r>
      <w:proofErr w:type="gramEnd"/>
      <w:r w:rsidRPr="00BC1FAD">
        <w:rPr>
          <w:rFonts w:ascii="Palatino Linotype" w:eastAsia="Palatino Linotype" w:hAnsi="Palatino Linotype" w:cs="Palatino Linotype"/>
          <w:sz w:val="22"/>
          <w:szCs w:val="22"/>
        </w:rPr>
        <w:t xml:space="preserve"> de Administración, por el cual refiere que la información requerida se encuentra en etapa de fiscalización correspondientes a la Auditoría No. AIF-058, Auditoría de Inversión Física, practicada al municipio de Tlalnepantla de Baz, Estado de México, por el periodo comprendido del primero de enero al treinta y uno de diciembre de dos mil veintitrés, es por ello que dicha información se encuentra en los supuestos de información reservada.</w:t>
      </w:r>
    </w:p>
    <w:p w14:paraId="1B206D4A" w14:textId="77777777" w:rsidR="00191DBD" w:rsidRPr="00BC1FAD" w:rsidRDefault="005029AE">
      <w:pPr>
        <w:spacing w:before="240" w:after="240" w:line="360" w:lineRule="auto"/>
        <w:ind w:right="49"/>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 xml:space="preserve">3. Interposición del recurso de revisión. </w:t>
      </w:r>
      <w:r w:rsidRPr="00BC1FAD">
        <w:rPr>
          <w:rFonts w:ascii="Palatino Linotype" w:eastAsia="Palatino Linotype" w:hAnsi="Palatino Linotype" w:cs="Palatino Linotype"/>
          <w:sz w:val="22"/>
          <w:szCs w:val="22"/>
        </w:rPr>
        <w:t xml:space="preserve">Inconforme con los términos de la respuesta emitida por parte del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el</w:t>
      </w:r>
      <w:r w:rsidRPr="00BC1FAD">
        <w:rPr>
          <w:rFonts w:ascii="Palatino Linotype" w:eastAsia="Palatino Linotype" w:hAnsi="Palatino Linotype" w:cs="Palatino Linotype"/>
          <w:b/>
          <w:sz w:val="22"/>
          <w:szCs w:val="22"/>
        </w:rPr>
        <w:t xml:space="preserve"> veintinueve de abril de dos mil veinticuatro,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interpuso el recurso de revisión a través de </w:t>
      </w:r>
      <w:r w:rsidRPr="00BC1FAD">
        <w:rPr>
          <w:rFonts w:ascii="Palatino Linotype" w:eastAsia="Palatino Linotype" w:hAnsi="Palatino Linotype" w:cs="Palatino Linotype"/>
          <w:b/>
          <w:sz w:val="22"/>
          <w:szCs w:val="22"/>
        </w:rPr>
        <w:t xml:space="preserve">SAIMEX, </w:t>
      </w:r>
      <w:r w:rsidRPr="00BC1FAD">
        <w:rPr>
          <w:rFonts w:ascii="Palatino Linotype" w:eastAsia="Palatino Linotype" w:hAnsi="Palatino Linotype" w:cs="Palatino Linotype"/>
          <w:sz w:val="22"/>
          <w:szCs w:val="22"/>
        </w:rPr>
        <w:t>en donde se manifestó de la siguiente manera:</w:t>
      </w:r>
    </w:p>
    <w:p w14:paraId="460D6861" w14:textId="77777777" w:rsidR="00191DBD" w:rsidRPr="00BC1FAD" w:rsidRDefault="005029AE">
      <w:pPr>
        <w:tabs>
          <w:tab w:val="left" w:pos="2745"/>
        </w:tabs>
        <w:spacing w:before="240" w:after="240" w:line="360" w:lineRule="auto"/>
        <w:ind w:left="567" w:right="900"/>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lastRenderedPageBreak/>
        <w:t xml:space="preserve">a) Acto impugnado: </w:t>
      </w:r>
    </w:p>
    <w:p w14:paraId="0B6A296F" w14:textId="77777777" w:rsidR="00191DBD" w:rsidRPr="00BC1FAD" w:rsidRDefault="005029AE">
      <w:pPr>
        <w:tabs>
          <w:tab w:val="left" w:pos="2745"/>
        </w:tabs>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“la </w:t>
      </w:r>
      <w:proofErr w:type="spellStart"/>
      <w:r w:rsidRPr="00BC1FAD">
        <w:rPr>
          <w:rFonts w:ascii="Palatino Linotype" w:eastAsia="Palatino Linotype" w:hAnsi="Palatino Linotype" w:cs="Palatino Linotype"/>
          <w:i/>
          <w:sz w:val="22"/>
          <w:szCs w:val="22"/>
        </w:rPr>
        <w:t>informacion</w:t>
      </w:r>
      <w:proofErr w:type="spellEnd"/>
      <w:r w:rsidRPr="00BC1FAD">
        <w:rPr>
          <w:rFonts w:ascii="Palatino Linotype" w:eastAsia="Palatino Linotype" w:hAnsi="Palatino Linotype" w:cs="Palatino Linotype"/>
          <w:i/>
          <w:sz w:val="22"/>
          <w:szCs w:val="22"/>
        </w:rPr>
        <w:t xml:space="preserve"> referente a los contratos realizados por el Ayuntamiento son de </w:t>
      </w:r>
      <w:proofErr w:type="spellStart"/>
      <w:r w:rsidRPr="00BC1FAD">
        <w:rPr>
          <w:rFonts w:ascii="Palatino Linotype" w:eastAsia="Palatino Linotype" w:hAnsi="Palatino Linotype" w:cs="Palatino Linotype"/>
          <w:i/>
          <w:sz w:val="22"/>
          <w:szCs w:val="22"/>
        </w:rPr>
        <w:t>caracter</w:t>
      </w:r>
      <w:proofErr w:type="spellEnd"/>
      <w:r w:rsidRPr="00BC1FAD">
        <w:rPr>
          <w:rFonts w:ascii="Palatino Linotype" w:eastAsia="Palatino Linotype" w:hAnsi="Palatino Linotype" w:cs="Palatino Linotype"/>
          <w:i/>
          <w:sz w:val="22"/>
          <w:szCs w:val="22"/>
        </w:rPr>
        <w:t xml:space="preserve"> público, por consecuencia </w:t>
      </w:r>
      <w:proofErr w:type="spellStart"/>
      <w:r w:rsidRPr="00BC1FAD">
        <w:rPr>
          <w:rFonts w:ascii="Palatino Linotype" w:eastAsia="Palatino Linotype" w:hAnsi="Palatino Linotype" w:cs="Palatino Linotype"/>
          <w:i/>
          <w:sz w:val="22"/>
          <w:szCs w:val="22"/>
        </w:rPr>
        <w:t>deberian</w:t>
      </w:r>
      <w:proofErr w:type="spellEnd"/>
      <w:r w:rsidRPr="00BC1FAD">
        <w:rPr>
          <w:rFonts w:ascii="Palatino Linotype" w:eastAsia="Palatino Linotype" w:hAnsi="Palatino Linotype" w:cs="Palatino Linotype"/>
          <w:i/>
          <w:sz w:val="22"/>
          <w:szCs w:val="22"/>
        </w:rPr>
        <w:t xml:space="preserve"> estar publicados mediante la plataforma de IPOMEX en la </w:t>
      </w:r>
      <w:proofErr w:type="spellStart"/>
      <w:r w:rsidRPr="00BC1FAD">
        <w:rPr>
          <w:rFonts w:ascii="Palatino Linotype" w:eastAsia="Palatino Linotype" w:hAnsi="Palatino Linotype" w:cs="Palatino Linotype"/>
          <w:i/>
          <w:sz w:val="22"/>
          <w:szCs w:val="22"/>
        </w:rPr>
        <w:t>fraccion</w:t>
      </w:r>
      <w:proofErr w:type="spellEnd"/>
      <w:r w:rsidRPr="00BC1FAD">
        <w:rPr>
          <w:rFonts w:ascii="Palatino Linotype" w:eastAsia="Palatino Linotype" w:hAnsi="Palatino Linotype" w:cs="Palatino Linotype"/>
          <w:i/>
          <w:sz w:val="22"/>
          <w:szCs w:val="22"/>
        </w:rPr>
        <w:t xml:space="preserve"> correspondiente y en los plazos establecidos, motivo por el cual recurro al instituto a efecto de que indique que sea entregada la </w:t>
      </w:r>
      <w:proofErr w:type="spellStart"/>
      <w:r w:rsidRPr="00BC1FAD">
        <w:rPr>
          <w:rFonts w:ascii="Palatino Linotype" w:eastAsia="Palatino Linotype" w:hAnsi="Palatino Linotype" w:cs="Palatino Linotype"/>
          <w:i/>
          <w:sz w:val="22"/>
          <w:szCs w:val="22"/>
        </w:rPr>
        <w:t>informacion</w:t>
      </w:r>
      <w:proofErr w:type="spellEnd"/>
      <w:r w:rsidRPr="00BC1FAD">
        <w:rPr>
          <w:rFonts w:ascii="Palatino Linotype" w:eastAsia="Palatino Linotype" w:hAnsi="Palatino Linotype" w:cs="Palatino Linotype"/>
          <w:i/>
          <w:sz w:val="22"/>
          <w:szCs w:val="22"/>
        </w:rPr>
        <w:t xml:space="preserve"> toda vez que no se debe clasificar como </w:t>
      </w:r>
      <w:proofErr w:type="spellStart"/>
      <w:r w:rsidRPr="00BC1FAD">
        <w:rPr>
          <w:rFonts w:ascii="Palatino Linotype" w:eastAsia="Palatino Linotype" w:hAnsi="Palatino Linotype" w:cs="Palatino Linotype"/>
          <w:i/>
          <w:sz w:val="22"/>
          <w:szCs w:val="22"/>
        </w:rPr>
        <w:t>informacion</w:t>
      </w:r>
      <w:proofErr w:type="spellEnd"/>
      <w:r w:rsidRPr="00BC1FAD">
        <w:rPr>
          <w:rFonts w:ascii="Palatino Linotype" w:eastAsia="Palatino Linotype" w:hAnsi="Palatino Linotype" w:cs="Palatino Linotype"/>
          <w:i/>
          <w:sz w:val="22"/>
          <w:szCs w:val="22"/>
        </w:rPr>
        <w:t xml:space="preserve"> reservada como lo ha realizado el </w:t>
      </w:r>
      <w:proofErr w:type="spellStart"/>
      <w:r w:rsidRPr="00BC1FAD">
        <w:rPr>
          <w:rFonts w:ascii="Palatino Linotype" w:eastAsia="Palatino Linotype" w:hAnsi="Palatino Linotype" w:cs="Palatino Linotype"/>
          <w:i/>
          <w:sz w:val="22"/>
          <w:szCs w:val="22"/>
        </w:rPr>
        <w:t>comite</w:t>
      </w:r>
      <w:proofErr w:type="spellEnd"/>
      <w:r w:rsidRPr="00BC1FAD">
        <w:rPr>
          <w:rFonts w:ascii="Palatino Linotype" w:eastAsia="Palatino Linotype" w:hAnsi="Palatino Linotype" w:cs="Palatino Linotype"/>
          <w:i/>
          <w:sz w:val="22"/>
          <w:szCs w:val="22"/>
        </w:rPr>
        <w:t xml:space="preserve"> de transparencia del sujeto obligado.” (Sic)</w:t>
      </w:r>
    </w:p>
    <w:p w14:paraId="02C432C9" w14:textId="77777777" w:rsidR="00191DBD" w:rsidRPr="00BC1FAD" w:rsidRDefault="005029AE">
      <w:pPr>
        <w:spacing w:line="360"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BC1FAD">
        <w:rPr>
          <w:rFonts w:ascii="Palatino Linotype" w:eastAsia="Palatino Linotype" w:hAnsi="Palatino Linotype" w:cs="Palatino Linotype"/>
          <w:b/>
          <w:sz w:val="22"/>
          <w:szCs w:val="22"/>
        </w:rPr>
        <w:t>b) Razones o motivos de inconformidad</w:t>
      </w:r>
      <w:r w:rsidRPr="00BC1FAD">
        <w:rPr>
          <w:rFonts w:ascii="Palatino Linotype" w:eastAsia="Palatino Linotype" w:hAnsi="Palatino Linotype" w:cs="Palatino Linotype"/>
          <w:sz w:val="22"/>
          <w:szCs w:val="22"/>
        </w:rPr>
        <w:t xml:space="preserve">: </w:t>
      </w:r>
    </w:p>
    <w:p w14:paraId="3BDD09FC" w14:textId="77777777" w:rsidR="00191DBD" w:rsidRPr="00BC1FAD" w:rsidRDefault="005029AE">
      <w:pPr>
        <w:tabs>
          <w:tab w:val="left" w:pos="2745"/>
        </w:tabs>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“ES NFORMACION QUE DEBERIA DE ESTAR PUBLICADA EN LA PLATAFORMA DE IPOMEX EN LAS FRACCIONES DESTINADAS PARA ELLO Y AL SOLICITARLOS A MANERA DE NO ENTREGARLOS ARGUMENTAN QUE ESTAN EN UN PROCESO DE AUDITORIA A MANERA DE CUADRAR CON ALGUNA CAUSAL DE CLASIFICACION QUE NO ENCUADRA EN LOS SUPUESTOS DE LA LEY EN MATERIA.” (Sic)</w:t>
      </w:r>
    </w:p>
    <w:p w14:paraId="29D4CE89" w14:textId="77777777" w:rsidR="00191DBD" w:rsidRPr="00BC1FAD" w:rsidRDefault="005029AE">
      <w:pPr>
        <w:spacing w:before="240" w:after="240"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 xml:space="preserve">4. Turno. </w:t>
      </w:r>
      <w:r w:rsidRPr="00BC1FA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C1FAD">
        <w:rPr>
          <w:rFonts w:ascii="Palatino Linotype" w:eastAsia="Palatino Linotype" w:hAnsi="Palatino Linotype" w:cs="Palatino Linotype"/>
          <w:b/>
          <w:sz w:val="22"/>
          <w:szCs w:val="22"/>
        </w:rPr>
        <w:t xml:space="preserve">Guadalupe Ramírez Peña, </w:t>
      </w:r>
      <w:r w:rsidRPr="00BC1FAD">
        <w:rPr>
          <w:rFonts w:ascii="Palatino Linotype" w:eastAsia="Palatino Linotype" w:hAnsi="Palatino Linotype" w:cs="Palatino Linotype"/>
          <w:sz w:val="22"/>
          <w:szCs w:val="22"/>
        </w:rPr>
        <w:t xml:space="preserve">a efecto de que analizara sobre su admisión o su </w:t>
      </w:r>
      <w:proofErr w:type="spellStart"/>
      <w:r w:rsidRPr="00BC1FAD">
        <w:rPr>
          <w:rFonts w:ascii="Palatino Linotype" w:eastAsia="Palatino Linotype" w:hAnsi="Palatino Linotype" w:cs="Palatino Linotype"/>
          <w:sz w:val="22"/>
          <w:szCs w:val="22"/>
        </w:rPr>
        <w:t>desechamiento</w:t>
      </w:r>
      <w:proofErr w:type="spellEnd"/>
      <w:r w:rsidRPr="00BC1FAD">
        <w:rPr>
          <w:rFonts w:ascii="Palatino Linotype" w:eastAsia="Palatino Linotype" w:hAnsi="Palatino Linotype" w:cs="Palatino Linotype"/>
          <w:sz w:val="22"/>
          <w:szCs w:val="22"/>
        </w:rPr>
        <w:t>.</w:t>
      </w:r>
    </w:p>
    <w:p w14:paraId="64041AE9"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5. Admisión del Recurso de revisión.</w:t>
      </w:r>
      <w:r w:rsidRPr="00BC1FAD">
        <w:rPr>
          <w:rFonts w:ascii="Palatino Linotype" w:eastAsia="Palatino Linotype" w:hAnsi="Palatino Linotype" w:cs="Palatino Linotype"/>
          <w:sz w:val="22"/>
          <w:szCs w:val="22"/>
        </w:rPr>
        <w:t xml:space="preserve"> El </w:t>
      </w:r>
      <w:r w:rsidRPr="00BC1FAD">
        <w:rPr>
          <w:rFonts w:ascii="Palatino Linotype" w:eastAsia="Palatino Linotype" w:hAnsi="Palatino Linotype" w:cs="Palatino Linotype"/>
          <w:b/>
          <w:sz w:val="22"/>
          <w:szCs w:val="22"/>
        </w:rPr>
        <w:t xml:space="preserve">tres de mayo de dos mil veinticuatro, </w:t>
      </w:r>
      <w:r w:rsidRPr="00BC1FA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presentara su informe justificado.</w:t>
      </w:r>
    </w:p>
    <w:p w14:paraId="0C893EE1"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BC1FAD">
        <w:rPr>
          <w:rFonts w:ascii="Palatino Linotype" w:eastAsia="Palatino Linotype" w:hAnsi="Palatino Linotype" w:cs="Palatino Linotype"/>
          <w:b/>
          <w:sz w:val="22"/>
          <w:szCs w:val="22"/>
        </w:rPr>
        <w:lastRenderedPageBreak/>
        <w:t>6. Manifestaciones e Informe Justificado</w:t>
      </w:r>
      <w:r w:rsidRPr="00BC1FAD">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adjuntó el </w:t>
      </w:r>
      <w:r w:rsidRPr="00BC1FAD">
        <w:rPr>
          <w:rFonts w:ascii="Palatino Linotype" w:eastAsia="Palatino Linotype" w:hAnsi="Palatino Linotype" w:cs="Palatino Linotype"/>
          <w:b/>
          <w:sz w:val="22"/>
          <w:szCs w:val="22"/>
        </w:rPr>
        <w:t>diez de mayo de dos mil veinticuatro</w:t>
      </w:r>
      <w:r w:rsidRPr="00BC1FAD">
        <w:rPr>
          <w:rFonts w:ascii="Palatino Linotype" w:eastAsia="Palatino Linotype" w:hAnsi="Palatino Linotype" w:cs="Palatino Linotype"/>
          <w:sz w:val="22"/>
          <w:szCs w:val="22"/>
        </w:rPr>
        <w:t xml:space="preserve">, la carpeta comprimida denominada </w:t>
      </w:r>
      <w:r w:rsidRPr="00BC1FAD">
        <w:rPr>
          <w:rFonts w:ascii="Palatino Linotype" w:eastAsia="Palatino Linotype" w:hAnsi="Palatino Linotype" w:cs="Palatino Linotype"/>
          <w:b/>
          <w:i/>
          <w:sz w:val="22"/>
          <w:szCs w:val="22"/>
        </w:rPr>
        <w:t>“MANIFESTACIONES.zip”</w:t>
      </w:r>
      <w:r w:rsidRPr="00BC1FAD">
        <w:rPr>
          <w:rFonts w:ascii="Palatino Linotype" w:eastAsia="Palatino Linotype" w:hAnsi="Palatino Linotype" w:cs="Palatino Linotype"/>
          <w:sz w:val="22"/>
          <w:szCs w:val="22"/>
        </w:rPr>
        <w:t>, en la cual obra el oficio del Director de Administración, quien medularmente ratifica los términos de su respuesta inicial.</w:t>
      </w:r>
    </w:p>
    <w:p w14:paraId="083DF63D"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C1C33FD"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Por cuanto hace a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se tiene que no expresó manifestación alguna en este apartado, por lo tanto se tiene precluido su derecho para tal efecto.</w:t>
      </w:r>
    </w:p>
    <w:p w14:paraId="710342BB"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523E743"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Una vez analizada esta documentación, la Comisionada Ponente determinó poner esta documentación a disposición de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xml:space="preserve"> mediante signado el </w:t>
      </w:r>
      <w:r w:rsidRPr="00BC1FAD">
        <w:rPr>
          <w:rFonts w:ascii="Palatino Linotype" w:eastAsia="Palatino Linotype" w:hAnsi="Palatino Linotype" w:cs="Palatino Linotype"/>
          <w:b/>
          <w:sz w:val="22"/>
          <w:szCs w:val="22"/>
        </w:rPr>
        <w:t>seis de agosto de dos mil veinticuatro</w:t>
      </w:r>
      <w:r w:rsidRPr="00BC1FAD">
        <w:rPr>
          <w:rFonts w:ascii="Palatino Linotype" w:eastAsia="Palatino Linotype" w:hAnsi="Palatino Linotype" w:cs="Palatino Linotype"/>
          <w:sz w:val="22"/>
          <w:szCs w:val="22"/>
        </w:rPr>
        <w:t>.</w:t>
      </w:r>
    </w:p>
    <w:p w14:paraId="6D6BBB65"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9010B86"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noProof/>
          <w:sz w:val="22"/>
          <w:szCs w:val="22"/>
        </w:rPr>
        <w:drawing>
          <wp:inline distT="0" distB="0" distL="0" distR="0" wp14:anchorId="3972A7A7" wp14:editId="7E969312">
            <wp:extent cx="5612130" cy="2391410"/>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2391410"/>
                    </a:xfrm>
                    <a:prstGeom prst="rect">
                      <a:avLst/>
                    </a:prstGeom>
                    <a:ln/>
                  </pic:spPr>
                </pic:pic>
              </a:graphicData>
            </a:graphic>
          </wp:inline>
        </w:drawing>
      </w:r>
    </w:p>
    <w:p w14:paraId="1823FB02"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76141B6" w14:textId="77777777" w:rsidR="00191DBD" w:rsidRPr="00BC1FAD" w:rsidRDefault="005029AE">
      <w:pPr>
        <w:spacing w:after="240" w:line="360" w:lineRule="auto"/>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7. Ampliación del término para resolver</w:t>
      </w:r>
      <w:r w:rsidRPr="00BC1FAD">
        <w:rPr>
          <w:rFonts w:ascii="Palatino Linotype" w:eastAsia="Palatino Linotype" w:hAnsi="Palatino Linotype" w:cs="Palatino Linotype"/>
          <w:sz w:val="22"/>
          <w:szCs w:val="22"/>
        </w:rPr>
        <w:t xml:space="preserve">. El </w:t>
      </w:r>
      <w:r w:rsidRPr="00BC1FAD">
        <w:rPr>
          <w:rFonts w:ascii="Palatino Linotype" w:eastAsia="Palatino Linotype" w:hAnsi="Palatino Linotype" w:cs="Palatino Linotype"/>
          <w:b/>
          <w:sz w:val="22"/>
          <w:szCs w:val="22"/>
        </w:rPr>
        <w:t>seis de agosto de dos mil veinticuatro</w:t>
      </w:r>
      <w:r w:rsidRPr="00BC1FA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922AF9F"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2B82BB2"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5E7129B3"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59904B"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01660A" w14:textId="77777777" w:rsidR="00191DBD" w:rsidRPr="00BC1FAD" w:rsidRDefault="005029AE">
      <w:pPr>
        <w:spacing w:before="240" w:after="240" w:line="360" w:lineRule="auto"/>
        <w:jc w:val="both"/>
        <w:rPr>
          <w:rFonts w:ascii="Palatino Linotype" w:eastAsia="Palatino Linotype" w:hAnsi="Palatino Linotype" w:cs="Palatino Linotype"/>
          <w:strike/>
          <w:sz w:val="22"/>
          <w:szCs w:val="22"/>
        </w:rPr>
      </w:pPr>
      <w:r w:rsidRPr="00BC1FA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1B44A7A" w14:textId="77777777" w:rsidR="00191DBD" w:rsidRPr="00BC1FAD" w:rsidRDefault="005029AE">
      <w:pPr>
        <w:numPr>
          <w:ilvl w:val="0"/>
          <w:numId w:val="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Complejidad del Asunto:</w:t>
      </w:r>
      <w:r w:rsidRPr="00BC1FA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C99F0AE" w14:textId="77777777" w:rsidR="00191DBD" w:rsidRPr="00BC1FAD" w:rsidRDefault="005029AE">
      <w:pPr>
        <w:numPr>
          <w:ilvl w:val="0"/>
          <w:numId w:val="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Actividad Procesal del interesado</w:t>
      </w:r>
      <w:r w:rsidRPr="00BC1FAD">
        <w:rPr>
          <w:rFonts w:ascii="Palatino Linotype" w:eastAsia="Palatino Linotype" w:hAnsi="Palatino Linotype" w:cs="Palatino Linotype"/>
          <w:sz w:val="22"/>
          <w:szCs w:val="22"/>
        </w:rPr>
        <w:t>. Acciones u omisiones del interesado.</w:t>
      </w:r>
    </w:p>
    <w:p w14:paraId="78B30C30" w14:textId="77777777" w:rsidR="00191DBD" w:rsidRPr="00BC1FAD" w:rsidRDefault="005029AE">
      <w:pPr>
        <w:numPr>
          <w:ilvl w:val="0"/>
          <w:numId w:val="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lastRenderedPageBreak/>
        <w:t>Conducta de la Autoridad:</w:t>
      </w:r>
      <w:r w:rsidRPr="00BC1FA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7E78A7F" w14:textId="77777777" w:rsidR="00191DBD" w:rsidRPr="00BC1FAD" w:rsidRDefault="005029AE">
      <w:pPr>
        <w:numPr>
          <w:ilvl w:val="0"/>
          <w:numId w:val="1"/>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La afectación generada en la situación jurídica de la persona involucrada en el proceso:</w:t>
      </w:r>
      <w:r w:rsidRPr="00BC1FAD">
        <w:rPr>
          <w:rFonts w:ascii="Palatino Linotype" w:eastAsia="Palatino Linotype" w:hAnsi="Palatino Linotype" w:cs="Palatino Linotype"/>
          <w:sz w:val="22"/>
          <w:szCs w:val="22"/>
        </w:rPr>
        <w:t xml:space="preserve"> Violación a sus derechos humanos.</w:t>
      </w:r>
    </w:p>
    <w:p w14:paraId="58B8E3C1"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06571A" w14:textId="77777777" w:rsidR="00191DBD" w:rsidRPr="00BC1FAD" w:rsidRDefault="005029AE">
      <w:pPr>
        <w:spacing w:before="240" w:after="240" w:line="360" w:lineRule="auto"/>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C1FA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C1FAD">
        <w:rPr>
          <w:rFonts w:ascii="Palatino Linotype" w:eastAsia="Palatino Linotype" w:hAnsi="Palatino Linotype" w:cs="Palatino Linotype"/>
          <w:sz w:val="22"/>
          <w:szCs w:val="22"/>
        </w:rPr>
        <w:t>, visible en la Gaceta del Seminario Judicial de la Federación con el registro digital 205635.</w:t>
      </w:r>
    </w:p>
    <w:p w14:paraId="3648612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C4E84C"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4A106322" w14:textId="77777777" w:rsidR="00191DBD" w:rsidRPr="00BC1FAD" w:rsidRDefault="005029AE">
      <w:pPr>
        <w:spacing w:before="240" w:after="240" w:line="360" w:lineRule="auto"/>
        <w:ind w:left="851"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i/>
          <w:sz w:val="22"/>
          <w:szCs w:val="22"/>
        </w:rPr>
        <w:t>“PLAZO RAZONABLE PARA RESOLVER. DIMENSIÓN Y EFECTOS DE ESTE CONCEPTO CUANDO SE ADUCE EXCESIVA CARGA DE TRABAJO</w:t>
      </w: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sz w:val="22"/>
          <w:szCs w:val="22"/>
        </w:rPr>
        <w:t xml:space="preserve"> consultable en el Seminario Judicial de la Federación y su gaceta, con el registro digital 2002351.</w:t>
      </w:r>
    </w:p>
    <w:p w14:paraId="71B7D9AD" w14:textId="77777777" w:rsidR="00191DBD" w:rsidRPr="00BC1FAD" w:rsidRDefault="005029AE">
      <w:pPr>
        <w:spacing w:before="240" w:after="240" w:line="360" w:lineRule="auto"/>
        <w:ind w:left="851"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C1FAD">
        <w:rPr>
          <w:rFonts w:ascii="Palatino Linotype" w:eastAsia="Palatino Linotype" w:hAnsi="Palatino Linotype" w:cs="Palatino Linotype"/>
          <w:sz w:val="22"/>
          <w:szCs w:val="22"/>
        </w:rPr>
        <w:t>, visible en el Seminario Judicial de la Federación y su gaceta, con el registro digital 2002350.</w:t>
      </w:r>
    </w:p>
    <w:p w14:paraId="3526C93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C03320E" w14:textId="77777777" w:rsidR="00191DBD" w:rsidRPr="00BC1FAD" w:rsidRDefault="005029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 xml:space="preserve">8. Cierre de instrucción. </w:t>
      </w:r>
      <w:r w:rsidRPr="00BC1FA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BC1FAD">
        <w:rPr>
          <w:rFonts w:ascii="Palatino Linotype" w:eastAsia="Palatino Linotype" w:hAnsi="Palatino Linotype" w:cs="Palatino Linotype"/>
          <w:b/>
          <w:sz w:val="22"/>
          <w:szCs w:val="22"/>
        </w:rPr>
        <w:t>doce de agosto de dos mil veinticuatro,</w:t>
      </w:r>
      <w:r w:rsidRPr="00BC1FA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A41775"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F24AB35" w14:textId="77777777" w:rsidR="00191DBD" w:rsidRPr="00BC1FAD" w:rsidRDefault="00191DBD">
      <w:pPr>
        <w:spacing w:before="240" w:after="240" w:line="360" w:lineRule="auto"/>
        <w:jc w:val="both"/>
        <w:rPr>
          <w:rFonts w:ascii="Palatino Linotype" w:eastAsia="Palatino Linotype" w:hAnsi="Palatino Linotype" w:cs="Palatino Linotype"/>
          <w:sz w:val="22"/>
          <w:szCs w:val="22"/>
        </w:rPr>
      </w:pPr>
    </w:p>
    <w:p w14:paraId="1CC909F1" w14:textId="77777777" w:rsidR="00191DBD" w:rsidRPr="00BC1FAD" w:rsidRDefault="005029AE">
      <w:pPr>
        <w:widowControl w:val="0"/>
        <w:spacing w:before="240" w:after="240" w:line="360" w:lineRule="auto"/>
        <w:jc w:val="center"/>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lastRenderedPageBreak/>
        <w:t>II. C O N S I D E R A N D O S</w:t>
      </w:r>
    </w:p>
    <w:p w14:paraId="678F156D"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Primero. Competencia.</w:t>
      </w:r>
      <w:r w:rsidRPr="00BC1FA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735DD3F"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BC1FAD">
        <w:rPr>
          <w:rFonts w:ascii="Palatino Linotype" w:eastAsia="Palatino Linotype" w:hAnsi="Palatino Linotype" w:cs="Palatino Linotype"/>
          <w:b/>
          <w:sz w:val="22"/>
          <w:szCs w:val="22"/>
        </w:rPr>
        <w:t>Segundo. Oportunidad y Procedibilidad del Recurso de Revisión</w:t>
      </w:r>
      <w:r w:rsidRPr="00BC1FA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875B43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 xml:space="preserve">remitió la respuesta a la solicitud de información el </w:t>
      </w:r>
      <w:r w:rsidRPr="00BC1FAD">
        <w:rPr>
          <w:rFonts w:ascii="Palatino Linotype" w:eastAsia="Palatino Linotype" w:hAnsi="Palatino Linotype" w:cs="Palatino Linotype"/>
          <w:b/>
          <w:sz w:val="22"/>
          <w:szCs w:val="22"/>
        </w:rPr>
        <w:t>veintinueve de abril</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 xml:space="preserve">de dos mil veinticuatro, </w:t>
      </w:r>
      <w:r w:rsidRPr="00BC1FAD">
        <w:rPr>
          <w:rFonts w:ascii="Palatino Linotype" w:eastAsia="Palatino Linotype" w:hAnsi="Palatino Linotype" w:cs="Palatino Linotype"/>
          <w:sz w:val="22"/>
          <w:szCs w:val="22"/>
        </w:rPr>
        <w:t xml:space="preserve">mientras que el recurso de revisión interpuesto por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se tuvo por presentado el día </w:t>
      </w:r>
      <w:r w:rsidRPr="00BC1FAD">
        <w:rPr>
          <w:rFonts w:ascii="Palatino Linotype" w:eastAsia="Palatino Linotype" w:hAnsi="Palatino Linotype" w:cs="Palatino Linotype"/>
          <w:b/>
          <w:sz w:val="22"/>
          <w:szCs w:val="22"/>
        </w:rPr>
        <w:t>veintinueve de abril</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 xml:space="preserve">de dos mil veinticuatro, </w:t>
      </w:r>
      <w:r w:rsidRPr="00BC1FAD">
        <w:rPr>
          <w:rFonts w:ascii="Palatino Linotype" w:eastAsia="Palatino Linotype" w:hAnsi="Palatino Linotype" w:cs="Palatino Linotype"/>
          <w:sz w:val="22"/>
          <w:szCs w:val="22"/>
        </w:rPr>
        <w:t xml:space="preserve">esto es, el </w:t>
      </w:r>
      <w:r w:rsidRPr="00BC1FAD">
        <w:rPr>
          <w:rFonts w:ascii="Palatino Linotype" w:eastAsia="Palatino Linotype" w:hAnsi="Palatino Linotype" w:cs="Palatino Linotype"/>
          <w:b/>
          <w:sz w:val="22"/>
          <w:szCs w:val="22"/>
        </w:rPr>
        <w:t>mismo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día hábil en el que tuvo conocimiento de la respuesta impugnada.</w:t>
      </w:r>
      <w:r w:rsidRPr="00BC1FAD">
        <w:rPr>
          <w:rFonts w:ascii="Palatino Linotype" w:eastAsia="Palatino Linotype" w:hAnsi="Palatino Linotype" w:cs="Palatino Linotype"/>
          <w:sz w:val="22"/>
          <w:szCs w:val="22"/>
        </w:rPr>
        <w:t xml:space="preserve"> </w:t>
      </w:r>
    </w:p>
    <w:p w14:paraId="0690A032" w14:textId="77777777" w:rsidR="00191DBD" w:rsidRPr="00BC1FAD" w:rsidRDefault="005029AE">
      <w:pPr>
        <w:spacing w:before="240" w:after="240" w:line="360" w:lineRule="auto"/>
        <w:jc w:val="both"/>
        <w:rPr>
          <w:sz w:val="22"/>
          <w:szCs w:val="22"/>
        </w:rPr>
      </w:pPr>
      <w:r w:rsidRPr="00BC1FAD">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w:t>
      </w:r>
      <w:r w:rsidRPr="00BC1FAD">
        <w:rPr>
          <w:rFonts w:ascii="Palatino Linotype" w:eastAsia="Palatino Linotype" w:hAnsi="Palatino Linotype" w:cs="Palatino Linotype"/>
          <w:sz w:val="22"/>
          <w:szCs w:val="22"/>
        </w:rPr>
        <w:lastRenderedPageBreak/>
        <w:t>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55E4054" w14:textId="77777777" w:rsidR="00191DBD" w:rsidRPr="00BC1FAD" w:rsidRDefault="005029AE">
      <w:pPr>
        <w:spacing w:before="120" w:after="120"/>
        <w:ind w:left="851" w:right="902"/>
        <w:jc w:val="both"/>
        <w:rPr>
          <w:sz w:val="22"/>
          <w:szCs w:val="22"/>
        </w:rPr>
      </w:pPr>
      <w:r w:rsidRPr="00BC1FAD">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BC1FAD">
        <w:rPr>
          <w:rFonts w:ascii="Palatino Linotype" w:eastAsia="Palatino Linotype" w:hAnsi="Palatino Linotype" w:cs="Palatino Linotype"/>
          <w:i/>
          <w:sz w:val="22"/>
          <w:szCs w:val="22"/>
        </w:rPr>
        <w:t>.</w:t>
      </w:r>
    </w:p>
    <w:p w14:paraId="3BD6D020" w14:textId="77777777" w:rsidR="00191DBD" w:rsidRPr="00BC1FAD" w:rsidRDefault="005029AE">
      <w:pPr>
        <w:spacing w:before="120" w:after="120"/>
        <w:ind w:left="851" w:right="902"/>
        <w:jc w:val="both"/>
        <w:rPr>
          <w:sz w:val="22"/>
          <w:szCs w:val="22"/>
        </w:rPr>
      </w:pPr>
      <w:r w:rsidRPr="00BC1FAD">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AFB2DF9"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11F74D6" w14:textId="77777777" w:rsidR="00191DBD" w:rsidRPr="00BC1FAD" w:rsidRDefault="005029AE">
      <w:pP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no proporcionó nombre completo con el cual desea ser identificado</w:t>
      </w:r>
      <w:r w:rsidRPr="00BC1FAD">
        <w:rPr>
          <w:rFonts w:ascii="Palatino Linotype" w:eastAsia="Palatino Linotype" w:hAnsi="Palatino Linotype" w:cs="Palatino Linotype"/>
          <w:b/>
          <w:sz w:val="22"/>
          <w:szCs w:val="22"/>
        </w:rPr>
        <w:t>,</w:t>
      </w:r>
      <w:r w:rsidRPr="00BC1FAD">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ED2053E" w14:textId="77777777" w:rsidR="00191DBD" w:rsidRPr="00BC1FAD" w:rsidRDefault="005029AE">
      <w:pPr>
        <w:spacing w:before="240" w:after="240" w:line="276" w:lineRule="auto"/>
        <w:ind w:left="851"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 xml:space="preserve">Las solicitudes </w:t>
      </w:r>
      <w:r w:rsidRPr="00BC1FAD">
        <w:rPr>
          <w:rFonts w:ascii="Palatino Linotype" w:eastAsia="Palatino Linotype" w:hAnsi="Palatino Linotype" w:cs="Palatino Linotype"/>
          <w:i/>
          <w:sz w:val="22"/>
          <w:szCs w:val="22"/>
        </w:rPr>
        <w:t xml:space="preserve">anónimas, con </w:t>
      </w:r>
      <w:r w:rsidRPr="00BC1FAD">
        <w:rPr>
          <w:rFonts w:ascii="Palatino Linotype" w:eastAsia="Palatino Linotype" w:hAnsi="Palatino Linotype" w:cs="Palatino Linotype"/>
          <w:b/>
          <w:i/>
          <w:sz w:val="22"/>
          <w:szCs w:val="22"/>
        </w:rPr>
        <w:t>nombre incompleto o seudónimo</w:t>
      </w:r>
      <w:r w:rsidRPr="00BC1FAD">
        <w:rPr>
          <w:rFonts w:ascii="Palatino Linotype" w:eastAsia="Palatino Linotype" w:hAnsi="Palatino Linotype" w:cs="Palatino Linotype"/>
          <w:i/>
          <w:sz w:val="22"/>
          <w:szCs w:val="22"/>
        </w:rPr>
        <w:t xml:space="preserve"> </w:t>
      </w:r>
      <w:r w:rsidRPr="00BC1FAD">
        <w:rPr>
          <w:rFonts w:ascii="Palatino Linotype" w:eastAsia="Palatino Linotype" w:hAnsi="Palatino Linotype" w:cs="Palatino Linotype"/>
          <w:b/>
          <w:i/>
          <w:sz w:val="22"/>
          <w:szCs w:val="22"/>
        </w:rPr>
        <w:t xml:space="preserve">serán procedentes para su trámite por parte del sujeto obligado ante quien se </w:t>
      </w:r>
      <w:r w:rsidRPr="00BC1FAD">
        <w:rPr>
          <w:rFonts w:ascii="Palatino Linotype" w:eastAsia="Palatino Linotype" w:hAnsi="Palatino Linotype" w:cs="Palatino Linotype"/>
          <w:b/>
          <w:i/>
          <w:sz w:val="22"/>
          <w:szCs w:val="22"/>
        </w:rPr>
        <w:lastRenderedPageBreak/>
        <w:t>presente</w:t>
      </w:r>
      <w:r w:rsidRPr="00BC1FAD">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1A1FEAA6" w14:textId="77777777" w:rsidR="00191DBD" w:rsidRPr="00BC1FAD" w:rsidRDefault="005029AE">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BC1FA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579B4F3"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en sus motivos de inconformidad, de acuerdo al artículo 179, fracción II del ordenamiento legal citado, que a la letra dice: </w:t>
      </w:r>
    </w:p>
    <w:p w14:paraId="391FB587"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179.</w:t>
      </w:r>
      <w:r w:rsidRPr="00BC1FA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83E16D"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2E6BBCDC" w14:textId="77777777" w:rsidR="00191DBD" w:rsidRPr="00BC1FAD" w:rsidRDefault="005029AE">
      <w:pPr>
        <w:spacing w:before="120" w:after="120"/>
        <w:ind w:left="567"/>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 xml:space="preserve">II. La clasificación de la información;” </w:t>
      </w:r>
      <w:r w:rsidRPr="00BC1FAD">
        <w:rPr>
          <w:rFonts w:ascii="Palatino Linotype" w:eastAsia="Palatino Linotype" w:hAnsi="Palatino Linotype" w:cs="Palatino Linotype"/>
          <w:i/>
          <w:sz w:val="22"/>
          <w:szCs w:val="22"/>
        </w:rPr>
        <w:t>(Énfasis añadido)</w:t>
      </w:r>
    </w:p>
    <w:p w14:paraId="7639087A" w14:textId="77777777" w:rsidR="00191DBD" w:rsidRPr="00BC1FAD" w:rsidRDefault="005029AE">
      <w:pPr>
        <w:spacing w:before="240" w:after="240" w:line="360" w:lineRule="auto"/>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 xml:space="preserve">Tercero. Materia de la revisión. </w:t>
      </w:r>
      <w:r w:rsidRPr="00BC1FA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C1FAD">
        <w:rPr>
          <w:rFonts w:ascii="Palatino Linotype" w:eastAsia="Palatino Linotype" w:hAnsi="Palatino Linotype" w:cs="Palatino Linotype"/>
          <w:b/>
          <w:sz w:val="22"/>
          <w:szCs w:val="22"/>
        </w:rPr>
        <w:t xml:space="preserve">verificar si la respuesta e informe justificado otorgados por el Sujeto Obligado son adecuadas y suficientes para satisfacer el derecho de acceso a la información pública </w:t>
      </w:r>
      <w:r w:rsidRPr="00BC1FAD">
        <w:rPr>
          <w:rFonts w:ascii="Palatino Linotype" w:eastAsia="Palatino Linotype" w:hAnsi="Palatino Linotype" w:cs="Palatino Linotype"/>
          <w:sz w:val="22"/>
          <w:szCs w:val="22"/>
        </w:rPr>
        <w:t xml:space="preserve">de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o en su defecto, en caso de ser procedente, ordenar la entrega de información.</w:t>
      </w:r>
    </w:p>
    <w:p w14:paraId="0507383F" w14:textId="77777777" w:rsidR="00191DBD" w:rsidRPr="00BC1FAD" w:rsidRDefault="005029AE">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BC1FAD">
        <w:rPr>
          <w:rFonts w:ascii="Palatino Linotype" w:eastAsia="Palatino Linotype" w:hAnsi="Palatino Linotype" w:cs="Palatino Linotype"/>
          <w:b/>
          <w:sz w:val="22"/>
          <w:szCs w:val="22"/>
        </w:rPr>
        <w:t xml:space="preserve">Cuarto. Estudio del asunto </w:t>
      </w:r>
      <w:r w:rsidRPr="00BC1FAD">
        <w:rPr>
          <w:rFonts w:ascii="Palatino Linotype" w:eastAsia="Palatino Linotype" w:hAnsi="Palatino Linotype" w:cs="Palatino Linotype"/>
          <w:sz w:val="22"/>
          <w:szCs w:val="22"/>
        </w:rPr>
        <w:t xml:space="preserve">Antes de entrar al análisis de los pronunciamientos del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BC1FAD">
        <w:rPr>
          <w:rFonts w:ascii="Palatino Linotype" w:eastAsia="Palatino Linotype" w:hAnsi="Palatino Linotype" w:cs="Palatino Linotype"/>
          <w:sz w:val="22"/>
          <w:szCs w:val="22"/>
        </w:rPr>
        <w:lastRenderedPageBreak/>
        <w:t>lo prevén los arábigos 1 párrafos primero, segundo y tercero y 6 apartado A fracciones I, II, III, IV, V, VI y VII que a la letra señalan:</w:t>
      </w:r>
    </w:p>
    <w:p w14:paraId="0105692F" w14:textId="77777777" w:rsidR="00191DBD" w:rsidRPr="00BC1FAD" w:rsidRDefault="005029AE">
      <w:pPr>
        <w:pBdr>
          <w:top w:val="nil"/>
          <w:left w:val="nil"/>
          <w:bottom w:val="nil"/>
          <w:right w:val="nil"/>
          <w:between w:val="nil"/>
        </w:pBdr>
        <w:spacing w:before="240" w:after="240"/>
        <w:ind w:left="851" w:right="850"/>
        <w:jc w:val="both"/>
        <w:rPr>
          <w:sz w:val="22"/>
          <w:szCs w:val="22"/>
        </w:rPr>
      </w:pPr>
      <w:r w:rsidRPr="00BC1FA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C1FA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7A0EE90" w14:textId="77777777" w:rsidR="00191DBD" w:rsidRPr="00BC1FAD" w:rsidRDefault="005029AE">
      <w:pPr>
        <w:pBdr>
          <w:top w:val="nil"/>
          <w:left w:val="nil"/>
          <w:bottom w:val="nil"/>
          <w:right w:val="nil"/>
          <w:between w:val="nil"/>
        </w:pBdr>
        <w:spacing w:before="240" w:after="240"/>
        <w:ind w:left="851" w:right="850"/>
        <w:jc w:val="both"/>
        <w:rPr>
          <w:sz w:val="22"/>
          <w:szCs w:val="22"/>
        </w:rPr>
      </w:pPr>
      <w:r w:rsidRPr="00BC1FA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3ECF6E4" w14:textId="77777777" w:rsidR="00191DBD" w:rsidRPr="00BC1FAD" w:rsidRDefault="005029AE">
      <w:pPr>
        <w:pBdr>
          <w:top w:val="nil"/>
          <w:left w:val="nil"/>
          <w:bottom w:val="nil"/>
          <w:right w:val="nil"/>
          <w:between w:val="nil"/>
        </w:pBdr>
        <w:spacing w:before="240" w:after="240"/>
        <w:ind w:left="851" w:right="850"/>
        <w:jc w:val="both"/>
        <w:rPr>
          <w:sz w:val="22"/>
          <w:szCs w:val="22"/>
        </w:rPr>
      </w:pPr>
      <w:r w:rsidRPr="00BC1FA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C1FA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4C828F9" w14:textId="77777777" w:rsidR="00191DBD" w:rsidRPr="00BC1FAD" w:rsidRDefault="005029AE">
      <w:pPr>
        <w:pBdr>
          <w:top w:val="nil"/>
          <w:left w:val="nil"/>
          <w:bottom w:val="nil"/>
          <w:right w:val="nil"/>
          <w:between w:val="nil"/>
        </w:pBdr>
        <w:spacing w:before="240" w:after="240"/>
        <w:ind w:left="851" w:right="850"/>
        <w:jc w:val="both"/>
        <w:rPr>
          <w:sz w:val="22"/>
          <w:szCs w:val="22"/>
        </w:rPr>
      </w:pPr>
      <w:r w:rsidRPr="00BC1FAD">
        <w:rPr>
          <w:rFonts w:ascii="Palatino Linotype" w:eastAsia="Palatino Linotype" w:hAnsi="Palatino Linotype" w:cs="Palatino Linotype"/>
          <w:i/>
          <w:sz w:val="22"/>
          <w:szCs w:val="22"/>
        </w:rPr>
        <w:t>[…]</w:t>
      </w:r>
    </w:p>
    <w:p w14:paraId="7DD8AF5F" w14:textId="77777777" w:rsidR="00191DBD" w:rsidRPr="00BC1FAD" w:rsidRDefault="005029AE">
      <w:pPr>
        <w:pBdr>
          <w:top w:val="nil"/>
          <w:left w:val="nil"/>
          <w:bottom w:val="nil"/>
          <w:right w:val="nil"/>
          <w:between w:val="nil"/>
        </w:pBdr>
        <w:spacing w:before="240" w:after="240"/>
        <w:ind w:left="851" w:right="901"/>
        <w:jc w:val="both"/>
        <w:rPr>
          <w:sz w:val="22"/>
          <w:szCs w:val="22"/>
        </w:rPr>
      </w:pPr>
      <w:r w:rsidRPr="00BC1FAD">
        <w:rPr>
          <w:rFonts w:ascii="Palatino Linotype" w:eastAsia="Palatino Linotype" w:hAnsi="Palatino Linotype" w:cs="Palatino Linotype"/>
          <w:b/>
          <w:i/>
          <w:sz w:val="22"/>
          <w:szCs w:val="22"/>
        </w:rPr>
        <w:t>“Artículo 6o.</w:t>
      </w:r>
    </w:p>
    <w:p w14:paraId="7CCCC452" w14:textId="77777777" w:rsidR="00191DBD" w:rsidRPr="00BC1FAD" w:rsidRDefault="005029AE">
      <w:pPr>
        <w:pBdr>
          <w:top w:val="nil"/>
          <w:left w:val="nil"/>
          <w:bottom w:val="nil"/>
          <w:right w:val="nil"/>
          <w:between w:val="nil"/>
        </w:pBdr>
        <w:spacing w:before="240" w:after="240"/>
        <w:ind w:left="851" w:right="901"/>
        <w:jc w:val="both"/>
        <w:rPr>
          <w:sz w:val="22"/>
          <w:szCs w:val="22"/>
        </w:rPr>
      </w:pPr>
      <w:r w:rsidRPr="00BC1FAD">
        <w:rPr>
          <w:rFonts w:ascii="Palatino Linotype" w:eastAsia="Palatino Linotype" w:hAnsi="Palatino Linotype" w:cs="Palatino Linotype"/>
          <w:i/>
          <w:sz w:val="22"/>
          <w:szCs w:val="22"/>
        </w:rPr>
        <w:t>[...]</w:t>
      </w:r>
    </w:p>
    <w:p w14:paraId="569484E2"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b/>
          <w:i/>
          <w:sz w:val="22"/>
          <w:szCs w:val="22"/>
        </w:rPr>
        <w:t xml:space="preserve">A. Para el ejercicio del derecho de acceso a la información, la Federación y </w:t>
      </w:r>
      <w:r w:rsidRPr="00BC1FAD">
        <w:rPr>
          <w:rFonts w:ascii="Palatino Linotype" w:eastAsia="Palatino Linotype" w:hAnsi="Palatino Linotype" w:cs="Palatino Linotype"/>
          <w:b/>
          <w:i/>
          <w:sz w:val="22"/>
          <w:szCs w:val="22"/>
          <w:u w:val="single"/>
        </w:rPr>
        <w:t>las entidades federativas</w:t>
      </w:r>
      <w:r w:rsidRPr="00BC1FAD">
        <w:rPr>
          <w:rFonts w:ascii="Palatino Linotype" w:eastAsia="Palatino Linotype" w:hAnsi="Palatino Linotype" w:cs="Palatino Linotype"/>
          <w:b/>
          <w:i/>
          <w:sz w:val="22"/>
          <w:szCs w:val="22"/>
        </w:rPr>
        <w:t>,</w:t>
      </w:r>
      <w:r w:rsidRPr="00BC1FAD">
        <w:rPr>
          <w:rFonts w:ascii="Palatino Linotype" w:eastAsia="Palatino Linotype" w:hAnsi="Palatino Linotype" w:cs="Palatino Linotype"/>
          <w:i/>
          <w:sz w:val="22"/>
          <w:szCs w:val="22"/>
        </w:rPr>
        <w:t xml:space="preserve"> en el ámbito de sus respectivas competencias, se regirán por los siguientes principios y bases:</w:t>
      </w:r>
    </w:p>
    <w:p w14:paraId="1ABABF20"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I. </w:t>
      </w:r>
      <w:r w:rsidRPr="00BC1FA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C1FAD">
        <w:rPr>
          <w:rFonts w:ascii="Palatino Linotype" w:eastAsia="Palatino Linotype" w:hAnsi="Palatino Linotype" w:cs="Palatino Linotype"/>
          <w:i/>
          <w:sz w:val="22"/>
          <w:szCs w:val="22"/>
        </w:rPr>
        <w:t xml:space="preserve"> Ejecutivo, Legislativo </w:t>
      </w:r>
      <w:r w:rsidRPr="00BC1FAD">
        <w:rPr>
          <w:rFonts w:ascii="Palatino Linotype" w:eastAsia="Palatino Linotype" w:hAnsi="Palatino Linotype" w:cs="Palatino Linotype"/>
          <w:b/>
          <w:i/>
          <w:sz w:val="22"/>
          <w:szCs w:val="22"/>
          <w:u w:val="single"/>
        </w:rPr>
        <w:t>y Judicial</w:t>
      </w:r>
      <w:r w:rsidRPr="00BC1FA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C1FAD">
        <w:rPr>
          <w:rFonts w:ascii="Palatino Linotype" w:eastAsia="Palatino Linotype" w:hAnsi="Palatino Linotype" w:cs="Palatino Linotype"/>
          <w:b/>
          <w:i/>
          <w:sz w:val="22"/>
          <w:szCs w:val="22"/>
        </w:rPr>
        <w:t>es pública y sólo podrá ser reservada temporalmente por razones de interés público y seguridad nacional,</w:t>
      </w:r>
      <w:r w:rsidRPr="00BC1FA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sidRPr="00BC1FAD">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0942ED1E"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78F5E1B"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III. </w:t>
      </w:r>
      <w:r w:rsidRPr="00BC1FA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C1FAD">
        <w:rPr>
          <w:rFonts w:ascii="Palatino Linotype" w:eastAsia="Palatino Linotype" w:hAnsi="Palatino Linotype" w:cs="Palatino Linotype"/>
          <w:i/>
          <w:sz w:val="22"/>
          <w:szCs w:val="22"/>
        </w:rPr>
        <w:t xml:space="preserve"> a sus datos personales o a la rectificación de éstos.</w:t>
      </w:r>
    </w:p>
    <w:p w14:paraId="021A1338"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IV. </w:t>
      </w:r>
      <w:r w:rsidRPr="00BC1FA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D6003EA"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b/>
          <w:i/>
          <w:sz w:val="22"/>
          <w:szCs w:val="22"/>
        </w:rPr>
        <w:t xml:space="preserve">V. </w:t>
      </w:r>
      <w:r w:rsidRPr="00BC1FA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83072C"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VI. </w:t>
      </w:r>
      <w:r w:rsidRPr="00BC1FA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8B6E153" w14:textId="77777777" w:rsidR="00191DBD" w:rsidRPr="00BC1FAD" w:rsidRDefault="005029AE">
      <w:pPr>
        <w:pBdr>
          <w:top w:val="nil"/>
          <w:left w:val="nil"/>
          <w:bottom w:val="nil"/>
          <w:right w:val="nil"/>
          <w:between w:val="nil"/>
        </w:pBdr>
        <w:spacing w:before="240" w:after="240"/>
        <w:ind w:left="851" w:right="851"/>
        <w:jc w:val="both"/>
        <w:rPr>
          <w:sz w:val="22"/>
          <w:szCs w:val="22"/>
        </w:rPr>
      </w:pP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VII. </w:t>
      </w:r>
      <w:r w:rsidRPr="00BC1FA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AEF0BC9"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FA407AB" w14:textId="77777777" w:rsidR="00191DBD" w:rsidRPr="00BC1FAD" w:rsidRDefault="005029AE">
      <w:pPr>
        <w:pBdr>
          <w:top w:val="nil"/>
          <w:left w:val="nil"/>
          <w:bottom w:val="nil"/>
          <w:right w:val="nil"/>
          <w:between w:val="nil"/>
        </w:pBdr>
        <w:spacing w:before="240" w:after="240"/>
        <w:ind w:left="709" w:right="760"/>
        <w:jc w:val="both"/>
        <w:rPr>
          <w:sz w:val="22"/>
          <w:szCs w:val="22"/>
        </w:rPr>
      </w:pPr>
      <w:r w:rsidRPr="00BC1FAD">
        <w:rPr>
          <w:rFonts w:ascii="Palatino Linotype" w:eastAsia="Palatino Linotype" w:hAnsi="Palatino Linotype" w:cs="Palatino Linotype"/>
          <w:i/>
          <w:sz w:val="22"/>
          <w:szCs w:val="22"/>
        </w:rPr>
        <w:lastRenderedPageBreak/>
        <w:t>“</w:t>
      </w:r>
      <w:r w:rsidRPr="00BC1FAD">
        <w:rPr>
          <w:rFonts w:ascii="Palatino Linotype" w:eastAsia="Palatino Linotype" w:hAnsi="Palatino Linotype" w:cs="Palatino Linotype"/>
          <w:b/>
          <w:i/>
          <w:sz w:val="22"/>
          <w:szCs w:val="22"/>
        </w:rPr>
        <w:t>Artículo 4</w:t>
      </w:r>
      <w:r w:rsidRPr="00BC1FA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2C7094E" w14:textId="77777777" w:rsidR="00191DBD" w:rsidRPr="00BC1FAD" w:rsidRDefault="005029AE">
      <w:pPr>
        <w:pBdr>
          <w:top w:val="nil"/>
          <w:left w:val="nil"/>
          <w:bottom w:val="nil"/>
          <w:right w:val="nil"/>
          <w:between w:val="nil"/>
        </w:pBdr>
        <w:spacing w:before="240" w:after="240"/>
        <w:ind w:left="709" w:right="760"/>
        <w:jc w:val="both"/>
        <w:rPr>
          <w:sz w:val="22"/>
          <w:szCs w:val="22"/>
        </w:rPr>
      </w:pPr>
      <w:r w:rsidRPr="00BC1FA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BCDB8B" w14:textId="77777777" w:rsidR="00191DBD" w:rsidRPr="00BC1FAD" w:rsidRDefault="005029AE">
      <w:pPr>
        <w:pBdr>
          <w:top w:val="nil"/>
          <w:left w:val="nil"/>
          <w:bottom w:val="nil"/>
          <w:right w:val="nil"/>
          <w:between w:val="nil"/>
        </w:pBdr>
        <w:spacing w:before="240" w:after="240"/>
        <w:ind w:left="709" w:right="760"/>
        <w:jc w:val="both"/>
        <w:rPr>
          <w:sz w:val="22"/>
          <w:szCs w:val="22"/>
        </w:rPr>
      </w:pPr>
      <w:r w:rsidRPr="00BC1FA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03F0DAE"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DFCB02B" w14:textId="77777777" w:rsidR="00191DBD" w:rsidRPr="00BC1FAD" w:rsidRDefault="005029AE">
      <w:pPr>
        <w:pBdr>
          <w:top w:val="nil"/>
          <w:left w:val="nil"/>
          <w:bottom w:val="nil"/>
          <w:right w:val="nil"/>
          <w:between w:val="nil"/>
        </w:pBdr>
        <w:spacing w:before="240" w:after="240"/>
        <w:ind w:left="567" w:right="758"/>
        <w:jc w:val="both"/>
        <w:rPr>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12</w:t>
      </w:r>
      <w:r w:rsidRPr="00BC1FA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1FF20F1" w14:textId="77777777" w:rsidR="00191DBD" w:rsidRPr="00BC1FAD" w:rsidRDefault="005029AE">
      <w:pPr>
        <w:pBdr>
          <w:top w:val="nil"/>
          <w:left w:val="nil"/>
          <w:bottom w:val="nil"/>
          <w:right w:val="nil"/>
          <w:between w:val="nil"/>
        </w:pBdr>
        <w:spacing w:before="240" w:after="240"/>
        <w:ind w:left="567" w:right="758"/>
        <w:jc w:val="both"/>
        <w:rPr>
          <w:sz w:val="22"/>
          <w:szCs w:val="22"/>
        </w:rPr>
      </w:pPr>
      <w:r w:rsidRPr="00BC1FA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39F5D52"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 xml:space="preserve">Es decir, que el derecho de acceso a la información pública se satisface en aquellos casos en que se entregue documento en que conste la información requerida, toda vez que, los Sujetos </w:t>
      </w:r>
      <w:r w:rsidRPr="00BC1FAD">
        <w:rPr>
          <w:rFonts w:ascii="Palatino Linotype" w:eastAsia="Palatino Linotype" w:hAnsi="Palatino Linotype" w:cs="Palatino Linotype"/>
          <w:sz w:val="22"/>
          <w:szCs w:val="22"/>
        </w:rPr>
        <w:lastRenderedPageBreak/>
        <w:t>Obligados</w:t>
      </w:r>
      <w:r w:rsidRPr="00BC1FAD">
        <w:rPr>
          <w:rFonts w:ascii="Palatino Linotype" w:eastAsia="Palatino Linotype" w:hAnsi="Palatino Linotype" w:cs="Palatino Linotype"/>
          <w:b/>
          <w:sz w:val="22"/>
          <w:szCs w:val="22"/>
        </w:rPr>
        <w:t xml:space="preserve"> </w:t>
      </w:r>
      <w:r w:rsidRPr="00BC1FAD">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BC1FAD">
        <w:rPr>
          <w:rFonts w:ascii="Palatino Linotype" w:eastAsia="Palatino Linotype" w:hAnsi="Palatino Linotype" w:cs="Palatino Linotype"/>
          <w:i/>
          <w:sz w:val="22"/>
          <w:szCs w:val="22"/>
        </w:rPr>
        <w:t>ad hoc</w:t>
      </w:r>
      <w:r w:rsidRPr="00BC1FAD">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3CBED3C" w14:textId="77777777" w:rsidR="00191DBD" w:rsidRPr="00BC1FAD" w:rsidRDefault="005029AE">
      <w:pPr>
        <w:pBdr>
          <w:top w:val="nil"/>
          <w:left w:val="nil"/>
          <w:bottom w:val="nil"/>
          <w:right w:val="nil"/>
          <w:between w:val="nil"/>
        </w:pBdr>
        <w:spacing w:before="240" w:after="240"/>
        <w:ind w:left="567" w:right="900"/>
        <w:jc w:val="both"/>
        <w:rPr>
          <w:sz w:val="22"/>
          <w:szCs w:val="22"/>
        </w:rPr>
      </w:pPr>
      <w:r w:rsidRPr="00BC1FAD">
        <w:rPr>
          <w:rFonts w:ascii="Palatino Linotype" w:eastAsia="Palatino Linotype" w:hAnsi="Palatino Linotype" w:cs="Palatino Linotype"/>
          <w:b/>
          <w:i/>
          <w:sz w:val="22"/>
          <w:szCs w:val="22"/>
        </w:rPr>
        <w:t>03/17</w:t>
      </w:r>
    </w:p>
    <w:p w14:paraId="4158C421" w14:textId="77777777" w:rsidR="00191DBD" w:rsidRPr="00BC1FAD" w:rsidRDefault="005029AE">
      <w:pPr>
        <w:pBdr>
          <w:top w:val="nil"/>
          <w:left w:val="nil"/>
          <w:bottom w:val="nil"/>
          <w:right w:val="nil"/>
          <w:between w:val="nil"/>
        </w:pBdr>
        <w:spacing w:before="240" w:after="240"/>
        <w:ind w:left="567" w:right="900"/>
        <w:jc w:val="both"/>
        <w:rPr>
          <w:sz w:val="22"/>
          <w:szCs w:val="22"/>
        </w:rPr>
      </w:pPr>
      <w:r w:rsidRPr="00BC1FAD">
        <w:rPr>
          <w:rFonts w:ascii="Palatino Linotype" w:eastAsia="Palatino Linotype" w:hAnsi="Palatino Linotype" w:cs="Palatino Linotype"/>
          <w:b/>
          <w:i/>
          <w:sz w:val="22"/>
          <w:szCs w:val="22"/>
        </w:rPr>
        <w:t>“NO EXISTE OBLIGACIÓN DE ELABORAR DOCUMENTOS AD HOC PARA ATENDER LAS SOLICITUDES DE ACCESO A LA INFORMACIÓN.</w:t>
      </w:r>
    </w:p>
    <w:p w14:paraId="0568FBB6" w14:textId="77777777" w:rsidR="00191DBD" w:rsidRPr="00BC1FAD" w:rsidRDefault="005029AE">
      <w:pPr>
        <w:pBdr>
          <w:top w:val="nil"/>
          <w:left w:val="nil"/>
          <w:bottom w:val="nil"/>
          <w:right w:val="nil"/>
          <w:between w:val="nil"/>
        </w:pBdr>
        <w:spacing w:before="240" w:after="240"/>
        <w:ind w:left="567" w:right="900"/>
        <w:jc w:val="both"/>
        <w:rPr>
          <w:sz w:val="22"/>
          <w:szCs w:val="22"/>
        </w:rPr>
      </w:pPr>
      <w:r w:rsidRPr="00BC1FA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8D20CD"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302E57" w14:textId="77777777" w:rsidR="00191DBD" w:rsidRPr="00BC1FAD" w:rsidRDefault="005029AE">
      <w:pPr>
        <w:pBdr>
          <w:top w:val="nil"/>
          <w:left w:val="nil"/>
          <w:bottom w:val="nil"/>
          <w:right w:val="nil"/>
          <w:between w:val="nil"/>
        </w:pBdr>
        <w:spacing w:before="240" w:after="240" w:line="360" w:lineRule="auto"/>
        <w:ind w:right="49"/>
        <w:jc w:val="both"/>
        <w:rPr>
          <w:sz w:val="22"/>
          <w:szCs w:val="22"/>
        </w:rPr>
      </w:pPr>
      <w:r w:rsidRPr="00BC1FAD">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w:t>
      </w:r>
      <w:r w:rsidRPr="00BC1FAD">
        <w:rPr>
          <w:rFonts w:ascii="Palatino Linotype" w:eastAsia="Palatino Linotype" w:hAnsi="Palatino Linotype" w:cs="Palatino Linotype"/>
          <w:sz w:val="22"/>
          <w:szCs w:val="22"/>
        </w:rPr>
        <w:lastRenderedPageBreak/>
        <w:t>cada Sujeto Obligado; como así se establece en la Ley de Transparencia y Acceso a la Información Pública del Estado de México y Municipios.</w:t>
      </w:r>
    </w:p>
    <w:p w14:paraId="0F6E9F98"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ED318F"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 xml:space="preserve">Artículo 3. </w:t>
      </w:r>
      <w:r w:rsidRPr="00BC1FAD">
        <w:rPr>
          <w:rFonts w:ascii="Palatino Linotype" w:eastAsia="Palatino Linotype" w:hAnsi="Palatino Linotype" w:cs="Palatino Linotype"/>
          <w:i/>
          <w:sz w:val="22"/>
          <w:szCs w:val="22"/>
        </w:rPr>
        <w:t>Para los efectos de la presente Ley se entenderá por:</w:t>
      </w:r>
    </w:p>
    <w:p w14:paraId="2392FC4A"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i/>
          <w:sz w:val="22"/>
          <w:szCs w:val="22"/>
        </w:rPr>
        <w:t>…</w:t>
      </w:r>
    </w:p>
    <w:p w14:paraId="58E56558"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b/>
          <w:i/>
          <w:sz w:val="22"/>
          <w:szCs w:val="22"/>
        </w:rPr>
        <w:t>XI. Documento:</w:t>
      </w:r>
      <w:r w:rsidRPr="00BC1FA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C1FAD">
        <w:rPr>
          <w:rFonts w:ascii="Palatino Linotype" w:eastAsia="Palatino Linotype" w:hAnsi="Palatino Linotype" w:cs="Palatino Linotype"/>
          <w:b/>
          <w:i/>
          <w:sz w:val="22"/>
          <w:szCs w:val="22"/>
        </w:rPr>
        <w:t>…</w:t>
      </w:r>
      <w:r w:rsidRPr="00BC1FAD">
        <w:rPr>
          <w:rFonts w:ascii="Palatino Linotype" w:eastAsia="Palatino Linotype" w:hAnsi="Palatino Linotype" w:cs="Palatino Linotype"/>
          <w:i/>
          <w:sz w:val="22"/>
          <w:szCs w:val="22"/>
        </w:rPr>
        <w:t>”</w:t>
      </w:r>
    </w:p>
    <w:p w14:paraId="736DBF3A" w14:textId="77777777" w:rsidR="00191DBD" w:rsidRPr="00BC1FAD" w:rsidRDefault="005029AE">
      <w:pPr>
        <w:pBdr>
          <w:top w:val="nil"/>
          <w:left w:val="nil"/>
          <w:bottom w:val="nil"/>
          <w:right w:val="nil"/>
          <w:between w:val="nil"/>
        </w:pBdr>
        <w:spacing w:before="240" w:after="240" w:line="360" w:lineRule="auto"/>
        <w:jc w:val="both"/>
        <w:rPr>
          <w:sz w:val="22"/>
          <w:szCs w:val="22"/>
        </w:rPr>
      </w:pPr>
      <w:r w:rsidRPr="00BC1FA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4E013D"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b/>
          <w:sz w:val="22"/>
          <w:szCs w:val="22"/>
        </w:rPr>
        <w:t>“</w:t>
      </w:r>
      <w:r w:rsidRPr="00BC1FAD">
        <w:rPr>
          <w:rFonts w:ascii="Palatino Linotype" w:eastAsia="Palatino Linotype" w:hAnsi="Palatino Linotype" w:cs="Palatino Linotype"/>
          <w:b/>
          <w:i/>
          <w:sz w:val="22"/>
          <w:szCs w:val="22"/>
        </w:rPr>
        <w:t>CRITERIO 0002-11</w:t>
      </w:r>
    </w:p>
    <w:p w14:paraId="4F927406"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BC1FAD">
        <w:rPr>
          <w:rFonts w:ascii="Palatino Linotype" w:eastAsia="Palatino Linotype" w:hAnsi="Palatino Linotype" w:cs="Palatino Linotype"/>
          <w:b/>
          <w:i/>
          <w:sz w:val="22"/>
          <w:szCs w:val="22"/>
        </w:rPr>
        <w:lastRenderedPageBreak/>
        <w:t>ARTÍCULOS 2°, FRACCIÓN V, XV, Y XVI, 3°, 4°, 11 Y 41.</w:t>
      </w:r>
      <w:r w:rsidRPr="00BC1FA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79F57A" w14:textId="77777777" w:rsidR="00191DBD" w:rsidRPr="00BC1FAD" w:rsidRDefault="005029AE">
      <w:pPr>
        <w:pBdr>
          <w:top w:val="nil"/>
          <w:left w:val="nil"/>
          <w:bottom w:val="nil"/>
          <w:right w:val="nil"/>
          <w:between w:val="nil"/>
        </w:pBdr>
        <w:spacing w:before="240" w:after="240"/>
        <w:ind w:left="567" w:right="567"/>
        <w:jc w:val="both"/>
        <w:rPr>
          <w:sz w:val="22"/>
          <w:szCs w:val="22"/>
        </w:rPr>
      </w:pPr>
      <w:r w:rsidRPr="00BC1FA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CB275C" w14:textId="77777777" w:rsidR="00191DBD" w:rsidRPr="00BC1FAD" w:rsidRDefault="005029AE">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9B1A654" w14:textId="77777777" w:rsidR="00191DBD" w:rsidRPr="00BC1FAD" w:rsidRDefault="005029AE">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F4696F0" w14:textId="77777777" w:rsidR="00191DBD" w:rsidRPr="00BC1FAD" w:rsidRDefault="005029AE">
      <w:pPr>
        <w:pBdr>
          <w:top w:val="nil"/>
          <w:left w:val="nil"/>
          <w:bottom w:val="nil"/>
          <w:right w:val="nil"/>
          <w:between w:val="nil"/>
        </w:pBdr>
        <w:spacing w:before="240" w:after="240"/>
        <w:ind w:left="567" w:right="567" w:hanging="284"/>
        <w:jc w:val="both"/>
        <w:rPr>
          <w:sz w:val="22"/>
          <w:szCs w:val="22"/>
        </w:rPr>
      </w:pPr>
      <w:r w:rsidRPr="00BC1FAD">
        <w:rPr>
          <w:rFonts w:ascii="Palatino Linotype" w:eastAsia="Palatino Linotype" w:hAnsi="Palatino Linotype" w:cs="Palatino Linotype"/>
          <w:i/>
          <w:sz w:val="22"/>
          <w:szCs w:val="22"/>
        </w:rPr>
        <w:t xml:space="preserve">3. </w:t>
      </w:r>
      <w:r w:rsidRPr="00BC1FAD">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BC1FAD">
        <w:rPr>
          <w:rFonts w:ascii="Palatino Linotype" w:eastAsia="Palatino Linotype" w:hAnsi="Palatino Linotype" w:cs="Palatino Linotype"/>
          <w:i/>
          <w:sz w:val="22"/>
          <w:szCs w:val="22"/>
        </w:rPr>
        <w:t>(Énfasis añadido)</w:t>
      </w:r>
    </w:p>
    <w:p w14:paraId="52197EC1" w14:textId="77777777" w:rsidR="00191DBD" w:rsidRPr="00BC1FAD" w:rsidRDefault="005029A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ahí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7209ED6" w14:textId="77777777" w:rsidR="00191DBD" w:rsidRPr="00BC1FAD" w:rsidRDefault="005029A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le proporcionara lo siguiente:</w:t>
      </w:r>
    </w:p>
    <w:p w14:paraId="797A40B8" w14:textId="77777777" w:rsidR="00191DBD" w:rsidRPr="00BC1FAD" w:rsidRDefault="005029AE">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lastRenderedPageBreak/>
        <w:t>Copias de todos los contratos establecidos por el Ayuntamiento de Tlalnepantla de Baz del arrendamiento de equipos de cómputo, impresoras y consumibles en la administración 2022-2024.</w:t>
      </w:r>
    </w:p>
    <w:p w14:paraId="6211CFE6" w14:textId="77777777" w:rsidR="00191DBD" w:rsidRPr="00BC1FAD" w:rsidRDefault="005029A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respuesta,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se pronunció por conducto del Director de Administración, quien refiere que la información requerida se encuentra en etapa de fiscalización correspondiente a la Auditoría No. AIF-058, Auditoría de Inversión Física, practicada al municipio de Tlalnepantla de Baz, Estado de México, por el periodo comprendido del primero de enero al treinta y uno de diciembre de dos mil veintitrés, es por ello que dicha información se encuentra en los supuestos de información reservada.</w:t>
      </w:r>
    </w:p>
    <w:p w14:paraId="60618A89" w14:textId="77777777" w:rsidR="00191DBD" w:rsidRPr="00BC1FAD" w:rsidRDefault="005029AE">
      <w:pP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esta tesitura, una vez conocida la respuesta emitida por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al no estar conforme con los términos de la misma, interpuso el recurso de revisión que nos ocupa, inconformándose medularmente respecto de la clasificación de la información solicitada.</w:t>
      </w:r>
    </w:p>
    <w:p w14:paraId="190C9DC3"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Así las cosas, durante la etapa de manifestaciones e informe justificado, se tiene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ratificó los términos de su respuesta inicial, mientras que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xml:space="preserve"> fue omisa en pronunciarse en esta etapa, por lo tanto, se tuvo por precluido su prerrogativa para tal efecto y se procede en este acto a emitir la resolución que corresponda conforme a derecho.</w:t>
      </w:r>
    </w:p>
    <w:p w14:paraId="140CFC36"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1346A33" w14:textId="77777777" w:rsidR="00191DBD" w:rsidRPr="00BC1FAD" w:rsidRDefault="005029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Una vez expuestas las posturas de las partes, resulta importante señalar que la unidad administrativa que se pronunció desde la respuesta es la Dirección de Administración, la cual de conformidad con el Reglamento Interno de la Administración Pública Municipal de Tlalnepantla de Baz, Estado de México, cuenta con las siguientes atribuciones:</w:t>
      </w:r>
    </w:p>
    <w:p w14:paraId="62DB0469"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4520D7"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“CAPÍTULO VII.- DE LA DIRECCIÓN DE ADMINISTRACIÓN</w:t>
      </w:r>
    </w:p>
    <w:p w14:paraId="020992C7"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lastRenderedPageBreak/>
        <w:t>ARTÍCULO 210. Para el despacho de los asuntos de su competencia, la Dirección de</w:t>
      </w:r>
    </w:p>
    <w:p w14:paraId="44509863"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Administración, tendrá las siguientes facultades y obligaciones:</w:t>
      </w:r>
      <w:r w:rsidRPr="00BC1FAD">
        <w:rPr>
          <w:rFonts w:ascii="Palatino Linotype" w:eastAsia="Palatino Linotype" w:hAnsi="Palatino Linotype" w:cs="Palatino Linotype"/>
          <w:i/>
          <w:sz w:val="22"/>
          <w:szCs w:val="22"/>
        </w:rPr>
        <w:br/>
        <w:t>…</w:t>
      </w:r>
    </w:p>
    <w:p w14:paraId="62F2DB5E"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XII. Supervisar la adquisición de los bienes muebles y prestación de servicios, cuidando que los mismos cubran las necesidades para el buen funcionamiento del Ayuntamiento y sus dependencias; así como vigilar que el procedimiento de adquisición se apegue a la normatividad establecida;</w:t>
      </w:r>
    </w:p>
    <w:p w14:paraId="19D687FB"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562B7210"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ARTÍCULO 211. La Dirección de Administración, contará con un o una titular que será responsable de la conducción, supervisión y ejecución de las atribuciones a que se refiere el artículo que antecede, y para su auxilio, tendrá a su cargo las siguientes unidades administrativas:</w:t>
      </w:r>
    </w:p>
    <w:p w14:paraId="5BC3AD66"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7CDFF6DF"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IV. Subdirección de Recursos Materiales;</w:t>
      </w:r>
    </w:p>
    <w:p w14:paraId="370EBA87"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4B16AE13"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SECCIÓN IV</w:t>
      </w:r>
    </w:p>
    <w:p w14:paraId="4020F15C"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DE LA SUBDIRECCIÓN DE RECURSOS MATERIALES</w:t>
      </w:r>
    </w:p>
    <w:p w14:paraId="4AD823D3"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ARTÍCULO 222. Son facultades y obligaciones de la Subdirección de Recursos Materiales las siguientes:</w:t>
      </w:r>
    </w:p>
    <w:p w14:paraId="60E3217A"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04883EA2"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 Adquirir los bienes muebles y la contratación de los servicios que requieran las dependencias de la Administración Pública Municipal, sujetándose a lo que establezca la legislación correspondiente</w:t>
      </w:r>
      <w:r w:rsidRPr="00BC1FAD">
        <w:rPr>
          <w:rFonts w:ascii="Palatino Linotype" w:eastAsia="Palatino Linotype" w:hAnsi="Palatino Linotype" w:cs="Palatino Linotype"/>
          <w:i/>
          <w:sz w:val="22"/>
          <w:szCs w:val="22"/>
        </w:rPr>
        <w:t>;</w:t>
      </w:r>
    </w:p>
    <w:p w14:paraId="79D7833F" w14:textId="77777777" w:rsidR="00191DBD" w:rsidRPr="00BC1FAD" w:rsidRDefault="005029AE">
      <w:pPr>
        <w:pBdr>
          <w:top w:val="nil"/>
          <w:left w:val="nil"/>
          <w:bottom w:val="nil"/>
          <w:right w:val="nil"/>
          <w:between w:val="nil"/>
        </w:pBdr>
        <w:tabs>
          <w:tab w:val="left" w:pos="284"/>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u w:val="single"/>
        </w:rPr>
        <w:t xml:space="preserve">III. Realizar la adecuada programación, ejecución y control de las adquisiciones, enajenación y arrendamiento de bienes, y la contratación de servicios de cualquier naturaleza que se requieran para el funcionamiento de la Administración Pública Municipal apegándose a la legislación y normatividad vigente;” </w:t>
      </w:r>
      <w:r w:rsidRPr="00BC1FAD">
        <w:rPr>
          <w:rFonts w:ascii="Palatino Linotype" w:eastAsia="Palatino Linotype" w:hAnsi="Palatino Linotype" w:cs="Palatino Linotype"/>
          <w:i/>
          <w:sz w:val="22"/>
          <w:szCs w:val="22"/>
        </w:rPr>
        <w:t>(Énfasis añadido)</w:t>
      </w:r>
    </w:p>
    <w:p w14:paraId="5BD30324" w14:textId="77777777" w:rsidR="00191DBD" w:rsidRPr="00BC1FAD" w:rsidRDefault="00191D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92C74A3" w14:textId="77777777" w:rsidR="00191DBD" w:rsidRPr="00BC1FAD" w:rsidRDefault="005029AE">
      <w:pPr>
        <w:spacing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tal suerte que como se desprende de lo anteriormente citado, la Dirección de Administración es la encargada de la adquisición de bienes y contratación de servicios del Ayuntamiento, por ende, se determina que la respuesta fue proporcionada por la Unidad Administrativa Competente, siguiendo el procedimiento establecido por el artículo 162 de </w:t>
      </w:r>
      <w:r w:rsidRPr="00BC1FAD">
        <w:rPr>
          <w:rFonts w:ascii="Palatino Linotype" w:eastAsia="Palatino Linotype" w:hAnsi="Palatino Linotype" w:cs="Palatino Linotype"/>
          <w:sz w:val="22"/>
          <w:szCs w:val="22"/>
        </w:rPr>
        <w:lastRenderedPageBreak/>
        <w:t>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9837505" w14:textId="77777777" w:rsidR="00191DBD" w:rsidRPr="00BC1FAD" w:rsidRDefault="00191DBD">
      <w:pPr>
        <w:rPr>
          <w:sz w:val="22"/>
          <w:szCs w:val="22"/>
        </w:rPr>
      </w:pPr>
    </w:p>
    <w:p w14:paraId="532D188E" w14:textId="77777777" w:rsidR="00191DBD" w:rsidRPr="00BC1FAD" w:rsidRDefault="005029AE">
      <w:pPr>
        <w:ind w:left="864" w:right="864"/>
        <w:jc w:val="both"/>
        <w:rPr>
          <w:sz w:val="22"/>
          <w:szCs w:val="22"/>
        </w:rPr>
      </w:pPr>
      <w:r w:rsidRPr="00BC1FA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413F454" w14:textId="77777777" w:rsidR="00191DBD" w:rsidRPr="00BC1FAD" w:rsidRDefault="00191DBD">
      <w:pPr>
        <w:rPr>
          <w:sz w:val="22"/>
          <w:szCs w:val="22"/>
        </w:rPr>
      </w:pPr>
    </w:p>
    <w:p w14:paraId="0C90EDD8" w14:textId="77777777" w:rsidR="00191DBD" w:rsidRPr="00BC1FAD" w:rsidRDefault="005029AE">
      <w:pPr>
        <w:shd w:val="clear" w:color="auto" w:fill="FFFFFF"/>
        <w:spacing w:line="360" w:lineRule="auto"/>
        <w:jc w:val="both"/>
        <w:rPr>
          <w:sz w:val="22"/>
          <w:szCs w:val="22"/>
        </w:rPr>
      </w:pPr>
      <w:r w:rsidRPr="00BC1FAD">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F013B35" w14:textId="77777777" w:rsidR="00191DBD" w:rsidRPr="00BC1FAD" w:rsidRDefault="00191DBD">
      <w:pPr>
        <w:rPr>
          <w:sz w:val="22"/>
          <w:szCs w:val="22"/>
        </w:rPr>
      </w:pPr>
    </w:p>
    <w:p w14:paraId="5D491B85" w14:textId="77777777" w:rsidR="00191DBD" w:rsidRPr="00BC1FAD" w:rsidRDefault="005029AE">
      <w:pPr>
        <w:ind w:left="864" w:right="864"/>
        <w:jc w:val="both"/>
        <w:rPr>
          <w:sz w:val="22"/>
          <w:szCs w:val="22"/>
        </w:rPr>
      </w:pPr>
      <w:r w:rsidRPr="00BC1FAD">
        <w:rPr>
          <w:rFonts w:ascii="Palatino Linotype" w:eastAsia="Palatino Linotype" w:hAnsi="Palatino Linotype" w:cs="Palatino Linotype"/>
          <w:i/>
          <w:sz w:val="22"/>
          <w:szCs w:val="22"/>
        </w:rPr>
        <w:t xml:space="preserve">“Artículo 162. Las unidades de transparencia deberán garantizar que las solicitudes </w:t>
      </w:r>
      <w:r w:rsidRPr="00BC1FAD">
        <w:rPr>
          <w:rFonts w:ascii="Palatino Linotype" w:eastAsia="Palatino Linotype" w:hAnsi="Palatino Linotype" w:cs="Palatino Linotype"/>
          <w:b/>
          <w:i/>
          <w:sz w:val="22"/>
          <w:szCs w:val="22"/>
        </w:rPr>
        <w:t xml:space="preserve">se turnen a todas las Áreas competentes </w:t>
      </w:r>
      <w:r w:rsidRPr="00BC1FA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8B1B128"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Acotado lo anterior, se procede al análisis de la reserva realizada por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para ello resulta oportuno referir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33E61E54" w14:textId="77777777" w:rsidR="00191DBD" w:rsidRPr="00BC1FAD" w:rsidRDefault="005029AE">
      <w:pPr>
        <w:ind w:left="851"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lastRenderedPageBreak/>
        <w:t xml:space="preserve">“Artículo 91. </w:t>
      </w:r>
      <w:r w:rsidRPr="00BC1FA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E264B58"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3E2525B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Debe decirse que la Ley de Transparencia y Acceso a la Información Pública del Estado de México y Municipios, define como </w:t>
      </w:r>
      <w:r w:rsidRPr="00BC1FAD">
        <w:rPr>
          <w:rFonts w:ascii="Palatino Linotype" w:eastAsia="Palatino Linotype" w:hAnsi="Palatino Linotype" w:cs="Palatino Linotype"/>
          <w:b/>
          <w:sz w:val="22"/>
          <w:szCs w:val="22"/>
        </w:rPr>
        <w:t xml:space="preserve">información reservada </w:t>
      </w:r>
      <w:r w:rsidRPr="00BC1FAD">
        <w:rPr>
          <w:rFonts w:ascii="Palatino Linotype" w:eastAsia="Palatino Linotype" w:hAnsi="Palatino Linotype" w:cs="Palatino Linotype"/>
          <w:sz w:val="22"/>
          <w:szCs w:val="22"/>
        </w:rPr>
        <w:t xml:space="preserve">a la información pública clasificada con este carácter de manera temporal por las disposiciones de la Ley de la Materia, cuya divulgación puede causar daños a la seguridad pública, la que pueda menoscabar la conducción de las negociaciones y relaciones internacionales; ponga en riesgo la vida, la seguridad o la salud de una persona física; aquella cuya divulgación obstruya o pueda causar un serio perjuicio a las actividades de fiscalización, verificación, inspección, comprobación y auditoría sobre el cumplimiento de las Leyes; la recaudación de las contribuciones, aquella que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la que contengan las opiniones, recomendaciones o puntos de vista que formen parte del proceso deliberativo de los servidores públicos, hasta en tanto sea adoptada la decisión definitiva, la cual deberá estar documentada; vulnere la conducción de los expedientes judiciales o de los procedimientos administrativos seguidos en forma de juicio, en tanto no hayan quedado firmes, aquella que se encuentre contenida dentro de las investigaciones de hechos que la </w:t>
      </w:r>
      <w:r w:rsidRPr="00BC1FAD">
        <w:rPr>
          <w:rFonts w:ascii="Palatino Linotype" w:eastAsia="Palatino Linotype" w:hAnsi="Palatino Linotype" w:cs="Palatino Linotype"/>
          <w:sz w:val="22"/>
          <w:szCs w:val="22"/>
        </w:rPr>
        <w:lastRenderedPageBreak/>
        <w:t xml:space="preserve">Ley señale como delitos y se tramiten ante el Ministerio Público; aquella cuyo daño que pueda producirse con la publicación de la información sea mayor que el interés público de conocer la información de referencia, siempre que esté directamente relacionado con procesos o procedimientos administrativos o judiciales que no hayan quedado firmes  y las que por disposición expresa de una ley tengan tal carácter, siempre que sean acordes con las bases, principios y disposiciones establecidos en esta Ley y no la contravengan; así como las previstas en tratados internacionales, y como </w:t>
      </w:r>
      <w:r w:rsidRPr="00BC1FAD">
        <w:rPr>
          <w:rFonts w:ascii="Palatino Linotype" w:eastAsia="Palatino Linotype" w:hAnsi="Palatino Linotype" w:cs="Palatino Linotype"/>
          <w:b/>
          <w:sz w:val="22"/>
          <w:szCs w:val="22"/>
        </w:rPr>
        <w:t>información confidencial</w:t>
      </w:r>
      <w:r w:rsidRPr="00BC1FAD">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3225BB66" w14:textId="77777777" w:rsidR="00191DBD" w:rsidRPr="00BC1FAD" w:rsidRDefault="005029AE">
      <w:pPr>
        <w:spacing w:before="240" w:after="240" w:line="360" w:lineRule="auto"/>
        <w:ind w:right="13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relación con las implicaciones anteriores, cabe considerar que los titulares de las áreas son los responsables de clasificar la información mediante el Comité de Transparencia por ser la autoridad máxima al interior de los Sujetos Obligados, al ser este un Cuerpo Colegiado que se integra para resolver sobre la información que debe clasificarse, así como para atender y resolver los requerimientos de las Unidades de Transparencia y del Instituto.</w:t>
      </w:r>
    </w:p>
    <w:p w14:paraId="6C92F592"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5CE3C0BF"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113.</w:t>
      </w:r>
      <w:r w:rsidRPr="00BC1FAD">
        <w:rPr>
          <w:rFonts w:ascii="Palatino Linotype" w:eastAsia="Palatino Linotype" w:hAnsi="Palatino Linotype" w:cs="Palatino Linotype"/>
          <w:i/>
          <w:sz w:val="22"/>
          <w:szCs w:val="22"/>
        </w:rPr>
        <w:t xml:space="preserve"> Como información reservada podrá clasificarse aquella cuya publicación:</w:t>
      </w:r>
    </w:p>
    <w:p w14:paraId="28665001"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lastRenderedPageBreak/>
        <w:t xml:space="preserve"> I.</w:t>
      </w:r>
      <w:r w:rsidRPr="00BC1FAD">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7818106D"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Pueda menoscabar la conducción de las negociaciones y relaciones internacionales; </w:t>
      </w:r>
      <w:r w:rsidRPr="00BC1FAD">
        <w:rPr>
          <w:rFonts w:ascii="Palatino Linotype" w:eastAsia="Palatino Linotype" w:hAnsi="Palatino Linotype" w:cs="Palatino Linotype"/>
          <w:i/>
          <w:sz w:val="22"/>
          <w:szCs w:val="22"/>
        </w:rPr>
        <w:br/>
      </w: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4E3B0C2D"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IV.</w:t>
      </w:r>
      <w:r w:rsidRPr="00BC1FAD">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4A4EE773"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w:t>
      </w:r>
      <w:r w:rsidRPr="00BC1FAD">
        <w:rPr>
          <w:rFonts w:ascii="Palatino Linotype" w:eastAsia="Palatino Linotype" w:hAnsi="Palatino Linotype" w:cs="Palatino Linotype"/>
          <w:i/>
          <w:sz w:val="22"/>
          <w:szCs w:val="22"/>
        </w:rPr>
        <w:t xml:space="preserve"> Pueda poner en riesgo la vida, seguridad o salud de una persona física; </w:t>
      </w:r>
    </w:p>
    <w:p w14:paraId="5011FD18"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w:t>
      </w:r>
      <w:r w:rsidRPr="00BC1FAD">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5D276526"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VII.</w:t>
      </w:r>
      <w:r w:rsidRPr="00BC1FAD">
        <w:rPr>
          <w:rFonts w:ascii="Palatino Linotype" w:eastAsia="Palatino Linotype" w:hAnsi="Palatino Linotype" w:cs="Palatino Linotype"/>
          <w:i/>
          <w:sz w:val="22"/>
          <w:szCs w:val="22"/>
        </w:rPr>
        <w:t xml:space="preserve"> Obstruya la prevención o persecución de los delitos; </w:t>
      </w:r>
    </w:p>
    <w:p w14:paraId="4B603E11"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VIII.</w:t>
      </w:r>
      <w:r w:rsidRPr="00BC1FAD">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4639F528"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IX.</w:t>
      </w:r>
      <w:r w:rsidRPr="00BC1FAD">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387ED759"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w:t>
      </w:r>
      <w:r w:rsidRPr="00BC1FAD">
        <w:rPr>
          <w:rFonts w:ascii="Palatino Linotype" w:eastAsia="Palatino Linotype" w:hAnsi="Palatino Linotype" w:cs="Palatino Linotype"/>
          <w:i/>
          <w:sz w:val="22"/>
          <w:szCs w:val="22"/>
        </w:rPr>
        <w:t xml:space="preserve"> Afecte los derechos del debido proceso; </w:t>
      </w:r>
    </w:p>
    <w:p w14:paraId="751846AC"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XI.</w:t>
      </w:r>
      <w:r w:rsidRPr="00BC1FAD">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3F5C306B"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140</w:t>
      </w:r>
      <w:r w:rsidRPr="00BC1FAD">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4EBA3D21"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Comprometa la seguridad pública y cuente con un propósito genuino y un efecto demostrable; </w:t>
      </w:r>
    </w:p>
    <w:p w14:paraId="59C80709"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Pueda menoscabar la conducción de las negociaciones y relaciones internacionales; </w:t>
      </w:r>
    </w:p>
    <w:p w14:paraId="69C2BB42"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E96CEC1"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lastRenderedPageBreak/>
        <w:t>IV.</w:t>
      </w:r>
      <w:r w:rsidRPr="00BC1FAD">
        <w:rPr>
          <w:rFonts w:ascii="Palatino Linotype" w:eastAsia="Palatino Linotype" w:hAnsi="Palatino Linotype" w:cs="Palatino Linotype"/>
          <w:i/>
          <w:sz w:val="22"/>
          <w:szCs w:val="22"/>
        </w:rPr>
        <w:t xml:space="preserve"> Ponga en riesgo la vida, la seguridad o la salud de una persona física; </w:t>
      </w:r>
    </w:p>
    <w:p w14:paraId="2A86C504"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w:t>
      </w:r>
      <w:r w:rsidRPr="00BC1FAD">
        <w:rPr>
          <w:rFonts w:ascii="Palatino Linotype" w:eastAsia="Palatino Linotype" w:hAnsi="Palatino Linotype" w:cs="Palatino Linotype"/>
          <w:i/>
          <w:sz w:val="22"/>
          <w:szCs w:val="22"/>
        </w:rPr>
        <w:t xml:space="preserve">. Aquella cuya divulgación obstruya o pueda causar un serio perjuicio a: </w:t>
      </w:r>
    </w:p>
    <w:p w14:paraId="0F40EA85"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4871AF68"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2. La recaudación de las contribuciones. </w:t>
      </w:r>
    </w:p>
    <w:p w14:paraId="4C63005F"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w:t>
      </w:r>
      <w:r w:rsidRPr="00BC1FAD">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D122351"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VII.</w:t>
      </w:r>
      <w:r w:rsidRPr="00BC1FAD">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0BE195FF"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VIII.</w:t>
      </w:r>
      <w:r w:rsidRPr="00BC1FAD">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8441A9F"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IX</w:t>
      </w:r>
      <w:r w:rsidRPr="00BC1FAD">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17BE2E70"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w:t>
      </w:r>
      <w:r w:rsidRPr="00BC1FAD">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6084F02"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7CBF524" w14:textId="77777777" w:rsidR="00191DBD" w:rsidRPr="00BC1FAD" w:rsidRDefault="005029AE">
      <w:pPr>
        <w:spacing w:before="120" w:after="120"/>
        <w:ind w:left="567" w:right="85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XI.</w:t>
      </w:r>
      <w:r w:rsidRPr="00BC1FAD">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68831D5"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BC1FAD">
        <w:rPr>
          <w:rFonts w:ascii="Palatino Linotype" w:eastAsia="Palatino Linotype" w:hAnsi="Palatino Linotype" w:cs="Palatino Linotype"/>
          <w:b/>
          <w:sz w:val="22"/>
          <w:szCs w:val="22"/>
        </w:rPr>
        <w:t>Reservada</w:t>
      </w:r>
      <w:r w:rsidRPr="00BC1FAD">
        <w:rPr>
          <w:rFonts w:ascii="Palatino Linotype" w:eastAsia="Palatino Linotype" w:hAnsi="Palatino Linotype" w:cs="Palatino Linotype"/>
          <w:sz w:val="22"/>
          <w:szCs w:val="22"/>
        </w:rPr>
        <w:t xml:space="preserve">, delimitando una </w:t>
      </w:r>
      <w:r w:rsidRPr="00BC1FAD">
        <w:rPr>
          <w:rFonts w:ascii="Palatino Linotype" w:eastAsia="Palatino Linotype" w:hAnsi="Palatino Linotype" w:cs="Palatino Linotype"/>
          <w:sz w:val="22"/>
          <w:szCs w:val="22"/>
        </w:rPr>
        <w:lastRenderedPageBreak/>
        <w:t>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51EC845B"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799E77F0"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4F6C2D12"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Dicha valoración, debe realizarse caso por caso, a través de lo que se conoce como la llamada </w:t>
      </w:r>
      <w:r w:rsidRPr="00BC1FAD">
        <w:rPr>
          <w:rFonts w:ascii="Palatino Linotype" w:eastAsia="Palatino Linotype" w:hAnsi="Palatino Linotype" w:cs="Palatino Linotype"/>
          <w:i/>
          <w:sz w:val="22"/>
          <w:szCs w:val="22"/>
        </w:rPr>
        <w:t>“prueba de daño”</w:t>
      </w:r>
      <w:r w:rsidRPr="00BC1FAD">
        <w:rPr>
          <w:rFonts w:ascii="Palatino Linotype" w:eastAsia="Palatino Linotype" w:hAnsi="Palatino Linotype" w:cs="Palatino Linotype"/>
          <w:sz w:val="22"/>
          <w:szCs w:val="22"/>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w:t>
      </w:r>
      <w:r w:rsidRPr="00BC1FAD">
        <w:rPr>
          <w:rFonts w:ascii="Palatino Linotype" w:eastAsia="Palatino Linotype" w:hAnsi="Palatino Linotype" w:cs="Palatino Linotype"/>
          <w:sz w:val="22"/>
          <w:szCs w:val="22"/>
        </w:rPr>
        <w:lastRenderedPageBreak/>
        <w:t xml:space="preserve">esta no debe basarse en meras especulaciones o suposiciones, sino en elementos objetivos que deban evaluar que existe un riego actual e inminente. </w:t>
      </w:r>
    </w:p>
    <w:p w14:paraId="0409E130"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0A109328"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38EA1928"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07D3F325" w14:textId="77777777" w:rsidR="00191DBD" w:rsidRPr="00BC1FAD" w:rsidRDefault="005029AE">
      <w:pPr>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“Segundo.</w:t>
      </w:r>
      <w:r w:rsidRPr="00BC1FAD">
        <w:rPr>
          <w:rFonts w:ascii="Palatino Linotype" w:eastAsia="Palatino Linotype" w:hAnsi="Palatino Linotype" w:cs="Palatino Linotype"/>
          <w:i/>
          <w:sz w:val="22"/>
          <w:szCs w:val="22"/>
        </w:rPr>
        <w:t xml:space="preserve"> Para efectos de los presentes Lineamientos Generales, se entenderá por: </w:t>
      </w:r>
    </w:p>
    <w:p w14:paraId="69237D39" w14:textId="77777777" w:rsidR="00191DBD" w:rsidRPr="00BC1FAD" w:rsidRDefault="005029AE">
      <w:pPr>
        <w:ind w:left="567" w:right="902"/>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w:t>
      </w:r>
    </w:p>
    <w:p w14:paraId="1187E90C" w14:textId="77777777" w:rsidR="00191DBD" w:rsidRPr="00BC1FAD" w:rsidRDefault="005029AE">
      <w:pPr>
        <w:ind w:left="567" w:right="902"/>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XIII.    Prueba de daño</w:t>
      </w:r>
      <w:r w:rsidRPr="00BC1FAD">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BC1FAD">
        <w:rPr>
          <w:rFonts w:ascii="Palatino Linotype" w:eastAsia="Palatino Linotype" w:hAnsi="Palatino Linotype" w:cs="Palatino Linotype"/>
          <w:b/>
          <w:i/>
          <w:sz w:val="22"/>
          <w:szCs w:val="22"/>
        </w:rPr>
        <w:t>”</w:t>
      </w:r>
    </w:p>
    <w:p w14:paraId="26043612"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0A9B19AC"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7B3499BF"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w:t>
      </w:r>
      <w:r w:rsidRPr="00BC1FAD">
        <w:rPr>
          <w:rFonts w:ascii="Palatino Linotype" w:eastAsia="Palatino Linotype" w:hAnsi="Palatino Linotype" w:cs="Palatino Linotype"/>
          <w:sz w:val="22"/>
          <w:szCs w:val="22"/>
        </w:rPr>
        <w:lastRenderedPageBreak/>
        <w:t>acceso a la información y sólo podrán invocarlas cuando acrediten su procedencia, debiendo clasificar la información en el momento en que:</w:t>
      </w:r>
    </w:p>
    <w:p w14:paraId="2BFB326B" w14:textId="77777777" w:rsidR="00191DBD" w:rsidRPr="00BC1FAD" w:rsidRDefault="005029AE">
      <w:pPr>
        <w:numPr>
          <w:ilvl w:val="0"/>
          <w:numId w:val="2"/>
        </w:numPr>
        <w:spacing w:line="360" w:lineRule="auto"/>
        <w:ind w:left="8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Se reciba una solicitud de acceso a la información.</w:t>
      </w:r>
    </w:p>
    <w:p w14:paraId="5EC9FA6D" w14:textId="77777777" w:rsidR="00191DBD" w:rsidRPr="00BC1FAD" w:rsidRDefault="005029AE">
      <w:pPr>
        <w:numPr>
          <w:ilvl w:val="0"/>
          <w:numId w:val="2"/>
        </w:numPr>
        <w:spacing w:line="360" w:lineRule="auto"/>
        <w:ind w:left="8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Se determine mediante resolución de autoridad competente.</w:t>
      </w:r>
    </w:p>
    <w:p w14:paraId="05991359" w14:textId="77777777" w:rsidR="00191DBD" w:rsidRPr="00BC1FAD" w:rsidRDefault="005029AE">
      <w:pPr>
        <w:numPr>
          <w:ilvl w:val="0"/>
          <w:numId w:val="2"/>
        </w:numPr>
        <w:spacing w:line="360" w:lineRule="auto"/>
        <w:ind w:left="8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Se generen versiones públicas para dar cumplimiento a las obligaciones de transparencia previstas en la Ley.</w:t>
      </w:r>
    </w:p>
    <w:p w14:paraId="5C87F873"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675339AE"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7ED8A33F"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57FB9C53"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6AA9007B" w14:textId="77777777" w:rsidR="00191DBD" w:rsidRPr="00BC1FAD" w:rsidRDefault="005029AE">
      <w:pPr>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129</w:t>
      </w:r>
      <w:r w:rsidRPr="00BC1FAD">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708450D6" w14:textId="77777777" w:rsidR="00191DBD" w:rsidRPr="00BC1FAD" w:rsidRDefault="005029AE">
      <w:pPr>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1F1E2000" w14:textId="77777777" w:rsidR="00191DBD" w:rsidRPr="00BC1FAD" w:rsidRDefault="005029AE">
      <w:pPr>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61BE5606" w14:textId="77777777" w:rsidR="00191DBD" w:rsidRPr="00BC1FAD" w:rsidRDefault="005029AE">
      <w:pPr>
        <w:spacing w:before="240" w:after="240"/>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5DF6FC98"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Al respecto, debe entenderse que la primera fracción consiste en verificar que existe un riesgo de publicar determinada información para el interés público o la seguridad pública, </w:t>
      </w:r>
      <w:r w:rsidRPr="00BC1FAD">
        <w:rPr>
          <w:rFonts w:ascii="Palatino Linotype" w:eastAsia="Palatino Linotype" w:hAnsi="Palatino Linotype" w:cs="Palatino Linotype"/>
          <w:sz w:val="22"/>
          <w:szCs w:val="22"/>
        </w:rPr>
        <w:lastRenderedPageBreak/>
        <w:t>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674539F2"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el mismo tenor el Lineamiento Trigésimo Tercero, de los Lineamientos Generales en Materia de Clasificación y Desclasificación de la Información, dispone lo siguiente:</w:t>
      </w:r>
    </w:p>
    <w:p w14:paraId="65CCD3E0" w14:textId="77777777" w:rsidR="00191DBD" w:rsidRPr="00BC1FAD" w:rsidRDefault="005029AE">
      <w:pPr>
        <w:spacing w:before="120" w:after="120"/>
        <w:ind w:left="567" w:right="758"/>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Trigésimo tercero</w:t>
      </w:r>
      <w:r w:rsidRPr="00BC1FAD">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7DE925D7"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 xml:space="preserve">I. </w:t>
      </w:r>
      <w:r w:rsidRPr="00BC1FAD">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745DB7C4"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4A5FD469"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5964A3DF"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IV.</w:t>
      </w:r>
      <w:r w:rsidRPr="00BC1FAD">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w:t>
      </w:r>
      <w:r w:rsidRPr="00BC1FAD">
        <w:rPr>
          <w:rFonts w:ascii="Palatino Linotype" w:eastAsia="Palatino Linotype" w:hAnsi="Palatino Linotype" w:cs="Palatino Linotype"/>
          <w:i/>
          <w:sz w:val="22"/>
          <w:szCs w:val="22"/>
        </w:rPr>
        <w:lastRenderedPageBreak/>
        <w:t>generaría un riesgo de perjuicio que supera al interés público de que la información se difunda;</w:t>
      </w:r>
      <w:r w:rsidRPr="00BC1FAD">
        <w:rPr>
          <w:rFonts w:ascii="Palatino Linotype" w:eastAsia="Palatino Linotype" w:hAnsi="Palatino Linotype" w:cs="Palatino Linotype"/>
          <w:b/>
          <w:i/>
          <w:sz w:val="22"/>
          <w:szCs w:val="22"/>
        </w:rPr>
        <w:t xml:space="preserve"> </w:t>
      </w:r>
    </w:p>
    <w:p w14:paraId="04EF9927"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V</w:t>
      </w:r>
      <w:r w:rsidRPr="00BC1FAD">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BC1FAD">
        <w:rPr>
          <w:rFonts w:ascii="Palatino Linotype" w:eastAsia="Palatino Linotype" w:hAnsi="Palatino Linotype" w:cs="Palatino Linotype"/>
          <w:b/>
          <w:i/>
          <w:sz w:val="22"/>
          <w:szCs w:val="22"/>
        </w:rPr>
        <w:t xml:space="preserve"> </w:t>
      </w:r>
    </w:p>
    <w:p w14:paraId="76D3194C" w14:textId="77777777" w:rsidR="00191DBD" w:rsidRPr="00BC1FAD" w:rsidRDefault="005029AE">
      <w:pPr>
        <w:tabs>
          <w:tab w:val="left" w:pos="1701"/>
        </w:tabs>
        <w:spacing w:before="120" w:after="120"/>
        <w:ind w:left="567" w:right="76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w:t>
      </w:r>
      <w:r w:rsidRPr="00BC1FAD">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1B7E784A"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5DD97623"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7A9612F3" w14:textId="77777777" w:rsidR="00191DBD" w:rsidRPr="00BC1FAD" w:rsidRDefault="005029AE">
      <w:pPr>
        <w:ind w:left="851"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BC1FAD">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w:t>
      </w:r>
      <w:r w:rsidRPr="00BC1FAD">
        <w:rPr>
          <w:rFonts w:ascii="Palatino Linotype" w:eastAsia="Palatino Linotype" w:hAnsi="Palatino Linotype" w:cs="Palatino Linotype"/>
          <w:i/>
          <w:sz w:val="22"/>
          <w:szCs w:val="22"/>
        </w:rPr>
        <w:lastRenderedPageBreak/>
        <w:t xml:space="preserve">ex </w:t>
      </w:r>
      <w:proofErr w:type="spellStart"/>
      <w:r w:rsidRPr="00BC1FAD">
        <w:rPr>
          <w:rFonts w:ascii="Palatino Linotype" w:eastAsia="Palatino Linotype" w:hAnsi="Palatino Linotype" w:cs="Palatino Linotype"/>
          <w:i/>
          <w:sz w:val="22"/>
          <w:szCs w:val="22"/>
        </w:rPr>
        <w:t>officio</w:t>
      </w:r>
      <w:proofErr w:type="spellEnd"/>
      <w:r w:rsidRPr="00BC1FAD">
        <w:rPr>
          <w:rFonts w:ascii="Palatino Linotype" w:eastAsia="Palatino Linotype" w:hAnsi="Palatino Linotype" w:cs="Palatino Linotype"/>
          <w:i/>
          <w:sz w:val="22"/>
          <w:szCs w:val="22"/>
        </w:rPr>
        <w:t>, con el propósito de obtener una versión que sea pública para la parte interesada.”</w:t>
      </w:r>
    </w:p>
    <w:p w14:paraId="6A61E63E"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48CABD01"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Prueba de daño, que cobra relevancia puesto que sí esta no arroja resultados contundentes sobre un posible peligro, deberá de publicarse o difundirse la información.</w:t>
      </w:r>
    </w:p>
    <w:p w14:paraId="24C19918"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321AFD5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este modo, es necesario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076DC35"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w:t>
      </w:r>
      <w:r w:rsidRPr="00BC1FAD">
        <w:rPr>
          <w:rFonts w:ascii="Palatino Linotype" w:eastAsia="Palatino Linotype" w:hAnsi="Palatino Linotype" w:cs="Palatino Linotype"/>
          <w:sz w:val="22"/>
          <w:szCs w:val="22"/>
        </w:rPr>
        <w:lastRenderedPageBreak/>
        <w:t>las razones o circunstancias especiales que lo llevaron a concluir que el caso particular se ajusta al supuesto previsto por la norma legal invocada como fundamento</w:t>
      </w:r>
      <w:r w:rsidRPr="00BC1FAD">
        <w:rPr>
          <w:rFonts w:ascii="Arial" w:eastAsia="Arial" w:hAnsi="Arial" w:cs="Arial"/>
          <w:sz w:val="22"/>
          <w:szCs w:val="22"/>
        </w:rPr>
        <w:t xml:space="preserve">, </w:t>
      </w:r>
      <w:r w:rsidRPr="00BC1FAD">
        <w:rPr>
          <w:rFonts w:ascii="Palatino Linotype" w:eastAsia="Palatino Linotype" w:hAnsi="Palatino Linotype" w:cs="Palatino Linotype"/>
          <w:sz w:val="22"/>
          <w:szCs w:val="22"/>
        </w:rPr>
        <w:t>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7AEACE05"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Sirve de sustento a lo anterior, la Tesis jurisprudencial número I.4º.A. J/43, publicada en el Semanario Judicial de la Federación y su Gaceta, bajo el número de registro 175,082; que a la letra dice:</w:t>
      </w:r>
    </w:p>
    <w:p w14:paraId="1CEE7DD2" w14:textId="77777777" w:rsidR="00191DBD" w:rsidRPr="00BC1FAD" w:rsidRDefault="005029AE">
      <w:pPr>
        <w:ind w:left="851"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BC1FAD">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BC1FAD">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C1FAD">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BC1FAD">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BC1FAD">
        <w:rPr>
          <w:rFonts w:ascii="Palatino Linotype" w:eastAsia="Palatino Linotype" w:hAnsi="Palatino Linotype" w:cs="Palatino Linotype"/>
          <w:i/>
          <w:sz w:val="22"/>
          <w:szCs w:val="22"/>
        </w:rPr>
        <w:t> del que se deduzca la relación de pertenencia lógica de los hechos al derecho invocado, que es la subsunción.”</w:t>
      </w:r>
    </w:p>
    <w:p w14:paraId="045D9944"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En el caso particular, el Comité de Transparencia aprobó el Acuerdo de Reserva de Información 05/CT/15-ORD-2024, de la Décima Quinta Sesión Ordinaria por el que se aprueba la clasificación de la información como reservada, debido a que la documentación generada del periodo comprendido del primero de enero al treinta y uno de diciembre de dos mil veintitrés, correspondiente al Ejercicio Fiscal 2023, está siendo fiscalizada por el Órgano Superior de Fiscalización del Estado de México, por lo tanto su divulgación puede obstruir las actividades de fiscalización, verificación, inspección y auditoría que lleva a cabo el OSFEM en el cumplimiento de las leyes aplicables.</w:t>
      </w:r>
    </w:p>
    <w:p w14:paraId="15CD6D1E"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Dicho acuerdo fue analizado por este Organismo Garante a la luz de las consideraciones expuestas a lo largo del presente estudio, así como del Lineamiento Quincuagésimo primero de los Lineamientos Generales en Materia de Clasificación y Desclasificación de la Información, que es del tenor literal siguiente:</w:t>
      </w:r>
    </w:p>
    <w:p w14:paraId="04DFE035"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Quincuagésimo primero.</w:t>
      </w:r>
      <w:r w:rsidRPr="00BC1FAD">
        <w:rPr>
          <w:rFonts w:ascii="Palatino Linotype" w:eastAsia="Palatino Linotype" w:hAnsi="Palatino Linotype" w:cs="Palatino Linotype"/>
          <w:i/>
          <w:sz w:val="22"/>
          <w:szCs w:val="22"/>
        </w:rPr>
        <w:t xml:space="preserve"> Toda acta del Comité de Transparencia deberá contener:</w:t>
      </w:r>
    </w:p>
    <w:p w14:paraId="1BA90F99"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El número de sesión y fecha;</w:t>
      </w:r>
    </w:p>
    <w:p w14:paraId="3FC818DB"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El nombre del área que solicitó la clasificación de información;</w:t>
      </w:r>
    </w:p>
    <w:p w14:paraId="7A6E4CD7"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La fundamentación legal y motivación correspondiente;</w:t>
      </w:r>
    </w:p>
    <w:p w14:paraId="7486D8A7"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IV</w:t>
      </w:r>
      <w:r w:rsidRPr="00BC1FAD">
        <w:rPr>
          <w:rFonts w:ascii="Palatino Linotype" w:eastAsia="Palatino Linotype" w:hAnsi="Palatino Linotype" w:cs="Palatino Linotype"/>
          <w:i/>
          <w:sz w:val="22"/>
          <w:szCs w:val="22"/>
        </w:rPr>
        <w:t xml:space="preserve">. La resolución o resoluciones aprobadas; y </w:t>
      </w:r>
    </w:p>
    <w:p w14:paraId="743264F1"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w:t>
      </w:r>
      <w:r w:rsidRPr="00BC1FAD">
        <w:rPr>
          <w:rFonts w:ascii="Palatino Linotype" w:eastAsia="Palatino Linotype" w:hAnsi="Palatino Linotype" w:cs="Palatino Linotype"/>
          <w:i/>
          <w:sz w:val="22"/>
          <w:szCs w:val="22"/>
        </w:rPr>
        <w:t xml:space="preserve"> La rúbrica o firma digital de cada integrante del Comité de Transparencia.</w:t>
      </w:r>
    </w:p>
    <w:p w14:paraId="4C576F81"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15D8EBD"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D39D190"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Descripción de las partes o secciones reservadas, en caso de clasificación parcial; </w:t>
      </w:r>
    </w:p>
    <w:p w14:paraId="7E29402D"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El periodo por el que mantendrá su clasificación y fecha de expiración; y</w:t>
      </w:r>
    </w:p>
    <w:p w14:paraId="0F8FE767"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IV</w:t>
      </w:r>
      <w:r w:rsidRPr="00BC1FAD">
        <w:rPr>
          <w:rFonts w:ascii="Palatino Linotype" w:eastAsia="Palatino Linotype" w:hAnsi="Palatino Linotype" w:cs="Palatino Linotype"/>
          <w:i/>
          <w:sz w:val="22"/>
          <w:szCs w:val="22"/>
        </w:rPr>
        <w:t>. El nombre del titular y área encargada de realizar la versión pública del documento, en su caso.</w:t>
      </w:r>
    </w:p>
    <w:p w14:paraId="1EAD0102"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lastRenderedPageBreak/>
        <w:t>En los casos en que se clasifique la información como reservada siempre se entregará o anexará la prueba de daño con la respuesta al solicitante.</w:t>
      </w:r>
    </w:p>
    <w:p w14:paraId="6E0C721B" w14:textId="77777777" w:rsidR="00191DBD" w:rsidRPr="00BC1FAD" w:rsidRDefault="005029AE">
      <w:pPr>
        <w:spacing w:before="120" w:after="120"/>
        <w:ind w:left="567" w:right="90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6E82617A"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Derivado de dicho análisis se concluyó que el mismo no cumple con las formalidades y elementos que la normativa establece, tal y como se expone a continuación para un mejor entendimiento:</w:t>
      </w:r>
    </w:p>
    <w:tbl>
      <w:tblPr>
        <w:tblStyle w:val="af"/>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BC1FAD" w:rsidRPr="00BC1FAD" w14:paraId="399E1323" w14:textId="77777777">
        <w:tc>
          <w:tcPr>
            <w:tcW w:w="1838" w:type="dxa"/>
            <w:tcBorders>
              <w:top w:val="single" w:sz="4" w:space="0" w:color="000000"/>
              <w:left w:val="single" w:sz="4" w:space="0" w:color="000000"/>
              <w:bottom w:val="single" w:sz="4" w:space="0" w:color="000000"/>
              <w:right w:val="single" w:sz="4" w:space="0" w:color="000000"/>
            </w:tcBorders>
            <w:shd w:val="clear" w:color="auto" w:fill="FCEFC0"/>
            <w:vAlign w:val="center"/>
          </w:tcPr>
          <w:p w14:paraId="1AE28646" w14:textId="77777777" w:rsidR="00191DBD" w:rsidRPr="00BC1FAD" w:rsidRDefault="005029AE">
            <w:pPr>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REQUISITOS</w:t>
            </w:r>
          </w:p>
        </w:tc>
        <w:tc>
          <w:tcPr>
            <w:tcW w:w="5245" w:type="dxa"/>
            <w:tcBorders>
              <w:top w:val="single" w:sz="4" w:space="0" w:color="000000"/>
              <w:left w:val="single" w:sz="4" w:space="0" w:color="000000"/>
              <w:bottom w:val="single" w:sz="4" w:space="0" w:color="000000"/>
              <w:right w:val="single" w:sz="4" w:space="0" w:color="000000"/>
            </w:tcBorders>
            <w:shd w:val="clear" w:color="auto" w:fill="FCEFC0"/>
            <w:vAlign w:val="center"/>
          </w:tcPr>
          <w:p w14:paraId="7F45F621" w14:textId="77777777" w:rsidR="00191DBD" w:rsidRPr="00BC1FAD" w:rsidRDefault="005029AE">
            <w:pPr>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ACUERDO</w:t>
            </w:r>
          </w:p>
        </w:tc>
        <w:tc>
          <w:tcPr>
            <w:tcW w:w="1752" w:type="dxa"/>
            <w:tcBorders>
              <w:top w:val="single" w:sz="4" w:space="0" w:color="000000"/>
              <w:left w:val="single" w:sz="4" w:space="0" w:color="000000"/>
              <w:bottom w:val="single" w:sz="4" w:space="0" w:color="000000"/>
              <w:right w:val="single" w:sz="4" w:space="0" w:color="000000"/>
            </w:tcBorders>
            <w:shd w:val="clear" w:color="auto" w:fill="FCEFC0"/>
            <w:vAlign w:val="center"/>
          </w:tcPr>
          <w:p w14:paraId="3A0053DD" w14:textId="77777777" w:rsidR="00191DBD" w:rsidRPr="00BC1FAD" w:rsidRDefault="005029AE">
            <w:pPr>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¿CUMPLE?</w:t>
            </w:r>
          </w:p>
        </w:tc>
      </w:tr>
      <w:tr w:rsidR="00BC1FAD" w:rsidRPr="00BC1FAD" w14:paraId="186B0B2C" w14:textId="77777777">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14:paraId="0050F4FE"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Número de Sesión y fecha.</w:t>
            </w:r>
          </w:p>
        </w:tc>
        <w:tc>
          <w:tcPr>
            <w:tcW w:w="5245" w:type="dxa"/>
            <w:tcBorders>
              <w:top w:val="single" w:sz="4" w:space="0" w:color="000000"/>
              <w:left w:val="single" w:sz="4" w:space="0" w:color="000000"/>
              <w:bottom w:val="single" w:sz="4" w:space="0" w:color="000000"/>
              <w:right w:val="single" w:sz="4" w:space="0" w:color="000000"/>
            </w:tcBorders>
            <w:vAlign w:val="center"/>
          </w:tcPr>
          <w:p w14:paraId="3CD36E7E" w14:textId="77777777" w:rsidR="00191DBD" w:rsidRPr="00BC1FAD" w:rsidRDefault="005029AE">
            <w:pPr>
              <w:spacing w:before="240" w:after="240" w:line="360" w:lineRule="auto"/>
              <w:rPr>
                <w:rFonts w:ascii="Palatino Linotype" w:eastAsia="Palatino Linotype" w:hAnsi="Palatino Linotype" w:cs="Palatino Linotype"/>
                <w:sz w:val="20"/>
                <w:szCs w:val="20"/>
              </w:rPr>
            </w:pPr>
            <w:r w:rsidRPr="00BC1FAD">
              <w:rPr>
                <w:rFonts w:ascii="Palatino Linotype" w:eastAsia="Palatino Linotype" w:hAnsi="Palatino Linotype" w:cs="Palatino Linotype"/>
                <w:noProof/>
                <w:sz w:val="20"/>
                <w:szCs w:val="20"/>
              </w:rPr>
              <w:drawing>
                <wp:inline distT="0" distB="0" distL="0" distR="0" wp14:anchorId="71951ED5" wp14:editId="00CCD6FB">
                  <wp:extent cx="3184525" cy="428625"/>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184525" cy="428625"/>
                          </a:xfrm>
                          <a:prstGeom prst="rect">
                            <a:avLst/>
                          </a:prstGeom>
                          <a:ln/>
                        </pic:spPr>
                      </pic:pic>
                    </a:graphicData>
                  </a:graphic>
                </wp:inline>
              </w:drawing>
            </w:r>
            <w:r w:rsidRPr="00BC1FAD">
              <w:rPr>
                <w:noProof/>
              </w:rPr>
              <w:drawing>
                <wp:anchor distT="0" distB="0" distL="114300" distR="114300" simplePos="0" relativeHeight="251658240" behindDoc="0" locked="0" layoutInCell="1" hidden="0" allowOverlap="1" wp14:anchorId="4D600990" wp14:editId="785BC3DC">
                  <wp:simplePos x="0" y="0"/>
                  <wp:positionH relativeFrom="column">
                    <wp:posOffset>-67944</wp:posOffset>
                  </wp:positionH>
                  <wp:positionV relativeFrom="paragraph">
                    <wp:posOffset>-267969</wp:posOffset>
                  </wp:positionV>
                  <wp:extent cx="3184525" cy="567690"/>
                  <wp:effectExtent l="0" t="0" r="0" b="0"/>
                  <wp:wrapTopAndBottom distT="0" dist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84525" cy="567690"/>
                          </a:xfrm>
                          <a:prstGeom prst="rect">
                            <a:avLst/>
                          </a:prstGeom>
                          <a:ln/>
                        </pic:spPr>
                      </pic:pic>
                    </a:graphicData>
                  </a:graphic>
                </wp:anchor>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642B6C9" w14:textId="77777777" w:rsidR="00191DBD" w:rsidRPr="00BC1FAD" w:rsidRDefault="005029AE">
            <w:pPr>
              <w:spacing w:before="240" w:after="240" w:line="360" w:lineRule="auto"/>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SI</w:t>
            </w:r>
          </w:p>
        </w:tc>
      </w:tr>
      <w:tr w:rsidR="00BC1FAD" w:rsidRPr="00BC1FAD" w14:paraId="05713EBF" w14:textId="77777777">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14:paraId="5D985BC4"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14:paraId="390564AA" w14:textId="77777777" w:rsidR="00191DBD" w:rsidRPr="00BC1FAD" w:rsidRDefault="005029AE">
            <w:pPr>
              <w:spacing w:before="240" w:after="240" w:line="360" w:lineRule="auto"/>
              <w:rPr>
                <w:rFonts w:ascii="Palatino Linotype" w:eastAsia="Palatino Linotype" w:hAnsi="Palatino Linotype" w:cs="Palatino Linotype"/>
                <w:sz w:val="20"/>
                <w:szCs w:val="20"/>
              </w:rPr>
            </w:pPr>
            <w:r w:rsidRPr="00BC1FAD">
              <w:rPr>
                <w:rFonts w:ascii="Palatino Linotype" w:eastAsia="Palatino Linotype" w:hAnsi="Palatino Linotype" w:cs="Palatino Linotype"/>
                <w:noProof/>
                <w:sz w:val="20"/>
                <w:szCs w:val="20"/>
              </w:rPr>
              <w:drawing>
                <wp:inline distT="0" distB="0" distL="0" distR="0" wp14:anchorId="7375BF76" wp14:editId="073F0B7B">
                  <wp:extent cx="3184525" cy="717550"/>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84525" cy="717550"/>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EF3AE45" w14:textId="77777777" w:rsidR="00191DBD" w:rsidRPr="00BC1FAD" w:rsidRDefault="005029AE">
            <w:pPr>
              <w:spacing w:before="240" w:after="240" w:line="360" w:lineRule="auto"/>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SI</w:t>
            </w:r>
          </w:p>
        </w:tc>
      </w:tr>
      <w:tr w:rsidR="00BC1FAD" w:rsidRPr="00BC1FAD" w14:paraId="628DBC52"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6480E945"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Nombre del área que solicitó la clasificación de la información, e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14:paraId="4081EBA3" w14:textId="77777777" w:rsidR="00191DBD" w:rsidRPr="00BC1FAD" w:rsidRDefault="005029AE">
            <w:pPr>
              <w:spacing w:before="240" w:after="240"/>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noProof/>
                <w:sz w:val="20"/>
                <w:szCs w:val="20"/>
              </w:rPr>
              <w:drawing>
                <wp:inline distT="0" distB="0" distL="0" distR="0" wp14:anchorId="18A819AB" wp14:editId="03ED8081">
                  <wp:extent cx="3184525" cy="1218565"/>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84525" cy="121856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53399173" w14:textId="77777777" w:rsidR="00191DBD" w:rsidRPr="00BC1FAD" w:rsidRDefault="005029AE">
            <w:pPr>
              <w:spacing w:before="240" w:after="240" w:line="360" w:lineRule="auto"/>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SI</w:t>
            </w:r>
          </w:p>
        </w:tc>
      </w:tr>
      <w:tr w:rsidR="00BC1FAD" w:rsidRPr="00BC1FAD" w14:paraId="47A47EE6"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727E83EE" w14:textId="77777777" w:rsidR="00191DBD" w:rsidRPr="00BC1FAD" w:rsidRDefault="005029AE">
            <w:pPr>
              <w:widowControl w:val="0"/>
              <w:jc w:val="center"/>
              <w:rPr>
                <w:rFonts w:ascii="Palatino Linotype" w:eastAsia="Palatino Linotype" w:hAnsi="Palatino Linotype" w:cs="Palatino Linotype"/>
                <w:sz w:val="20"/>
                <w:szCs w:val="20"/>
              </w:rPr>
            </w:pPr>
            <w:r w:rsidRPr="00BC1FAD">
              <w:rPr>
                <w:rFonts w:ascii="Palatino Linotype" w:eastAsia="Palatino Linotype" w:hAnsi="Palatino Linotype" w:cs="Palatino Linotype"/>
                <w:b/>
                <w:sz w:val="20"/>
                <w:szCs w:val="20"/>
              </w:rPr>
              <w:lastRenderedPageBreak/>
              <w:t>Fundamento de la clasificación</w:t>
            </w:r>
            <w:r w:rsidRPr="00BC1FAD">
              <w:rPr>
                <w:rFonts w:ascii="Palatino Linotype" w:eastAsia="Palatino Linotype" w:hAnsi="Palatino Linotype" w:cs="Palatino Linotype"/>
                <w:sz w:val="20"/>
                <w:szCs w:val="20"/>
              </w:rPr>
              <w:t>.</w:t>
            </w:r>
          </w:p>
          <w:p w14:paraId="7A98421C" w14:textId="77777777" w:rsidR="00191DBD" w:rsidRPr="00BC1FAD" w:rsidRDefault="005029AE">
            <w:pPr>
              <w:widowControl w:val="0"/>
              <w:jc w:val="center"/>
              <w:rPr>
                <w:rFonts w:ascii="Palatino Linotype" w:eastAsia="Palatino Linotype" w:hAnsi="Palatino Linotype" w:cs="Palatino Linotype"/>
                <w:sz w:val="20"/>
                <w:szCs w:val="20"/>
              </w:rPr>
            </w:pPr>
            <w:r w:rsidRPr="00BC1FAD">
              <w:rPr>
                <w:rFonts w:ascii="Palatino Linotype" w:eastAsia="Palatino Linotype" w:hAnsi="Palatino Linotype" w:cs="Palatino Linotype"/>
                <w:sz w:val="20"/>
                <w:szCs w:val="20"/>
              </w:rPr>
              <w:t xml:space="preserve">De conformidad con el párrafo primero del Lineamiento octavo de los Lineamientos de Clasificación y Desclasificación de la Información. </w:t>
            </w:r>
          </w:p>
        </w:tc>
        <w:tc>
          <w:tcPr>
            <w:tcW w:w="5245" w:type="dxa"/>
            <w:tcBorders>
              <w:top w:val="single" w:sz="4" w:space="0" w:color="000000"/>
              <w:left w:val="single" w:sz="4" w:space="0" w:color="000000"/>
              <w:bottom w:val="single" w:sz="4" w:space="0" w:color="000000"/>
              <w:right w:val="single" w:sz="4" w:space="0" w:color="000000"/>
            </w:tcBorders>
            <w:vAlign w:val="center"/>
          </w:tcPr>
          <w:p w14:paraId="3E2D27BB" w14:textId="77777777" w:rsidR="00191DBD" w:rsidRPr="00BC1FAD" w:rsidRDefault="005029AE">
            <w:pPr>
              <w:spacing w:before="240" w:after="240" w:line="360" w:lineRule="auto"/>
            </w:pPr>
            <w:r w:rsidRPr="00BC1FAD">
              <w:rPr>
                <w:noProof/>
              </w:rPr>
              <w:drawing>
                <wp:inline distT="0" distB="0" distL="0" distR="0" wp14:anchorId="49677E00" wp14:editId="22599520">
                  <wp:extent cx="3184525" cy="952500"/>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184525" cy="952500"/>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559F8A3" w14:textId="77777777" w:rsidR="00191DBD" w:rsidRPr="00BC1FAD" w:rsidRDefault="005029AE">
            <w:pPr>
              <w:spacing w:before="120" w:after="120"/>
              <w:jc w:val="center"/>
              <w:rPr>
                <w:rFonts w:ascii="Palatino Linotype" w:eastAsia="Palatino Linotype" w:hAnsi="Palatino Linotype" w:cs="Palatino Linotype"/>
                <w:b/>
                <w:sz w:val="14"/>
                <w:szCs w:val="14"/>
              </w:rPr>
            </w:pPr>
            <w:r w:rsidRPr="00BC1FAD">
              <w:rPr>
                <w:rFonts w:ascii="Palatino Linotype" w:eastAsia="Palatino Linotype" w:hAnsi="Palatino Linotype" w:cs="Palatino Linotype"/>
                <w:b/>
                <w:sz w:val="20"/>
                <w:szCs w:val="20"/>
              </w:rPr>
              <w:t>SI</w:t>
            </w:r>
          </w:p>
        </w:tc>
      </w:tr>
      <w:tr w:rsidR="00BC1FAD" w:rsidRPr="00BC1FAD" w14:paraId="52782C8F"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0CA516CC" w14:textId="77777777" w:rsidR="00191DBD" w:rsidRPr="00BC1FAD" w:rsidRDefault="005029AE">
            <w:pPr>
              <w:widowControl w:val="0"/>
              <w:jc w:val="center"/>
              <w:rPr>
                <w:rFonts w:ascii="Palatino Linotype" w:eastAsia="Palatino Linotype" w:hAnsi="Palatino Linotype" w:cs="Palatino Linotype"/>
                <w:sz w:val="20"/>
                <w:szCs w:val="20"/>
              </w:rPr>
            </w:pPr>
            <w:r w:rsidRPr="00BC1FAD">
              <w:rPr>
                <w:rFonts w:ascii="Palatino Linotype" w:eastAsia="Palatino Linotype" w:hAnsi="Palatino Linotype" w:cs="Palatino Linotype"/>
                <w:b/>
                <w:sz w:val="20"/>
                <w:szCs w:val="20"/>
              </w:rPr>
              <w:t>Motivación de la clasificación</w:t>
            </w:r>
            <w:r w:rsidRPr="00BC1FAD">
              <w:rPr>
                <w:rFonts w:ascii="Palatino Linotype" w:eastAsia="Palatino Linotype" w:hAnsi="Palatino Linotype" w:cs="Palatino Linotype"/>
                <w:sz w:val="20"/>
                <w:szCs w:val="20"/>
              </w:rPr>
              <w:t>.</w:t>
            </w:r>
          </w:p>
          <w:p w14:paraId="34685066" w14:textId="77777777" w:rsidR="00191DBD" w:rsidRPr="00BC1FAD" w:rsidRDefault="005029AE">
            <w:pPr>
              <w:widowControl w:val="0"/>
              <w:jc w:val="center"/>
              <w:rPr>
                <w:rFonts w:ascii="Palatino Linotype" w:eastAsia="Palatino Linotype" w:hAnsi="Palatino Linotype" w:cs="Palatino Linotype"/>
                <w:sz w:val="20"/>
                <w:szCs w:val="20"/>
              </w:rPr>
            </w:pPr>
            <w:r w:rsidRPr="00BC1FAD">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20E12D0D" w14:textId="77777777" w:rsidR="00191DBD" w:rsidRPr="00BC1FAD" w:rsidRDefault="005029AE">
            <w:pPr>
              <w:spacing w:before="240" w:after="240"/>
            </w:pPr>
            <w:r w:rsidRPr="00BC1FAD">
              <w:rPr>
                <w:noProof/>
              </w:rPr>
              <w:drawing>
                <wp:inline distT="0" distB="0" distL="0" distR="0" wp14:anchorId="61BABF45" wp14:editId="5448A151">
                  <wp:extent cx="3184525" cy="263588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184525" cy="2635885"/>
                          </a:xfrm>
                          <a:prstGeom prst="rect">
                            <a:avLst/>
                          </a:prstGeom>
                          <a:ln/>
                        </pic:spPr>
                      </pic:pic>
                    </a:graphicData>
                  </a:graphic>
                </wp:inline>
              </w:drawing>
            </w:r>
          </w:p>
          <w:p w14:paraId="798A16F3" w14:textId="77777777" w:rsidR="00191DBD" w:rsidRPr="00BC1FAD" w:rsidRDefault="005029AE">
            <w:pPr>
              <w:spacing w:before="240" w:after="240"/>
            </w:pPr>
            <w:r w:rsidRPr="00BC1FAD">
              <w:rPr>
                <w:noProof/>
              </w:rPr>
              <w:lastRenderedPageBreak/>
              <w:drawing>
                <wp:inline distT="0" distB="0" distL="0" distR="0" wp14:anchorId="016185CF" wp14:editId="15570076">
                  <wp:extent cx="3184525" cy="346202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84525" cy="3462020"/>
                          </a:xfrm>
                          <a:prstGeom prst="rect">
                            <a:avLst/>
                          </a:prstGeom>
                          <a:ln/>
                        </pic:spPr>
                      </pic:pic>
                    </a:graphicData>
                  </a:graphic>
                </wp:inline>
              </w:drawing>
            </w:r>
          </w:p>
          <w:p w14:paraId="419F5034" w14:textId="77777777" w:rsidR="00191DBD" w:rsidRPr="00BC1FAD" w:rsidRDefault="005029AE">
            <w:pPr>
              <w:spacing w:before="240" w:after="240"/>
            </w:pPr>
            <w:r w:rsidRPr="00BC1FAD">
              <w:rPr>
                <w:noProof/>
              </w:rPr>
              <w:drawing>
                <wp:inline distT="0" distB="0" distL="0" distR="0" wp14:anchorId="45B9736D" wp14:editId="768E09A7">
                  <wp:extent cx="3184525" cy="2324735"/>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84525" cy="232473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7D4B256" w14:textId="77777777" w:rsidR="00191DBD" w:rsidRPr="00BC1FAD" w:rsidRDefault="00191DBD">
            <w:pPr>
              <w:spacing w:before="240" w:after="240"/>
              <w:jc w:val="center"/>
              <w:rPr>
                <w:rFonts w:ascii="Palatino Linotype" w:eastAsia="Palatino Linotype" w:hAnsi="Palatino Linotype" w:cs="Palatino Linotype"/>
                <w:b/>
                <w:sz w:val="20"/>
                <w:szCs w:val="20"/>
              </w:rPr>
            </w:pPr>
          </w:p>
          <w:p w14:paraId="55CA3FBE" w14:textId="77777777" w:rsidR="00191DBD" w:rsidRPr="00BC1FAD" w:rsidRDefault="005029AE">
            <w:pPr>
              <w:spacing w:before="240" w:after="240"/>
              <w:jc w:val="center"/>
              <w:rPr>
                <w:rFonts w:ascii="Palatino Linotype" w:eastAsia="Palatino Linotype" w:hAnsi="Palatino Linotype" w:cs="Palatino Linotype"/>
                <w:b/>
                <w:sz w:val="18"/>
                <w:szCs w:val="18"/>
              </w:rPr>
            </w:pPr>
            <w:r w:rsidRPr="00BC1FAD">
              <w:rPr>
                <w:rFonts w:ascii="Palatino Linotype" w:eastAsia="Palatino Linotype" w:hAnsi="Palatino Linotype" w:cs="Palatino Linotype"/>
                <w:b/>
                <w:sz w:val="18"/>
                <w:szCs w:val="18"/>
              </w:rPr>
              <w:t>PARCIALMENTE</w:t>
            </w:r>
          </w:p>
          <w:p w14:paraId="4AFC4632" w14:textId="77777777" w:rsidR="00191DBD" w:rsidRPr="00BC1FAD" w:rsidRDefault="005029AE">
            <w:pPr>
              <w:spacing w:before="240" w:after="240"/>
              <w:jc w:val="both"/>
              <w:rPr>
                <w:rFonts w:ascii="Palatino Linotype" w:eastAsia="Palatino Linotype" w:hAnsi="Palatino Linotype" w:cs="Palatino Linotype"/>
                <w:sz w:val="18"/>
                <w:szCs w:val="18"/>
              </w:rPr>
            </w:pPr>
            <w:r w:rsidRPr="00BC1FAD">
              <w:rPr>
                <w:rFonts w:ascii="Palatino Linotype" w:eastAsia="Palatino Linotype" w:hAnsi="Palatino Linotype" w:cs="Palatino Linotype"/>
                <w:b/>
                <w:sz w:val="18"/>
                <w:szCs w:val="18"/>
              </w:rPr>
              <w:t xml:space="preserve">Observaciones: </w:t>
            </w:r>
            <w:r w:rsidRPr="00BC1FAD">
              <w:rPr>
                <w:rFonts w:ascii="Palatino Linotype" w:eastAsia="Palatino Linotype" w:hAnsi="Palatino Linotype" w:cs="Palatino Linotype"/>
                <w:sz w:val="18"/>
                <w:szCs w:val="18"/>
              </w:rPr>
              <w:t>Dentro de la motivación no se acredita que la difusión de la información solicitada guarde relación directa con las actividades que realiza la autoridad en el en proceso de fiscalización.</w:t>
            </w:r>
          </w:p>
          <w:p w14:paraId="4B1DD4C3" w14:textId="77777777" w:rsidR="00191DBD" w:rsidRPr="00BC1FAD" w:rsidRDefault="00191DBD">
            <w:pPr>
              <w:spacing w:before="240" w:after="240"/>
              <w:jc w:val="both"/>
              <w:rPr>
                <w:rFonts w:ascii="Palatino Linotype" w:eastAsia="Palatino Linotype" w:hAnsi="Palatino Linotype" w:cs="Palatino Linotype"/>
                <w:sz w:val="14"/>
                <w:szCs w:val="14"/>
              </w:rPr>
            </w:pPr>
          </w:p>
        </w:tc>
      </w:tr>
      <w:tr w:rsidR="00BC1FAD" w:rsidRPr="00BC1FAD" w14:paraId="51B47C80"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67523D1E"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lastRenderedPageBreak/>
              <w:t>Resolución o resoluciones aprobadas</w:t>
            </w:r>
          </w:p>
        </w:tc>
        <w:tc>
          <w:tcPr>
            <w:tcW w:w="5245" w:type="dxa"/>
            <w:tcBorders>
              <w:top w:val="single" w:sz="4" w:space="0" w:color="000000"/>
              <w:left w:val="single" w:sz="4" w:space="0" w:color="000000"/>
              <w:bottom w:val="single" w:sz="4" w:space="0" w:color="000000"/>
              <w:right w:val="single" w:sz="4" w:space="0" w:color="000000"/>
            </w:tcBorders>
            <w:vAlign w:val="center"/>
          </w:tcPr>
          <w:p w14:paraId="58FF9990" w14:textId="77777777" w:rsidR="00191DBD" w:rsidRPr="00BC1FAD" w:rsidRDefault="005029AE">
            <w:pPr>
              <w:spacing w:before="240" w:after="240"/>
              <w:rPr>
                <w:rFonts w:ascii="Palatino Linotype" w:eastAsia="Palatino Linotype" w:hAnsi="Palatino Linotype" w:cs="Palatino Linotype"/>
                <w:b/>
              </w:rPr>
            </w:pPr>
            <w:r w:rsidRPr="00BC1FAD">
              <w:rPr>
                <w:rFonts w:ascii="Palatino Linotype" w:eastAsia="Palatino Linotype" w:hAnsi="Palatino Linotype" w:cs="Palatino Linotype"/>
                <w:b/>
                <w:noProof/>
              </w:rPr>
              <w:drawing>
                <wp:inline distT="0" distB="0" distL="0" distR="0" wp14:anchorId="42154726" wp14:editId="455763D5">
                  <wp:extent cx="3184525" cy="2662555"/>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84525" cy="266255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0B31834" w14:textId="77777777" w:rsidR="00191DBD" w:rsidRPr="00BC1FAD" w:rsidRDefault="005029AE">
            <w:pPr>
              <w:spacing w:before="240" w:after="240"/>
              <w:jc w:val="center"/>
              <w:rPr>
                <w:rFonts w:ascii="Palatino Linotype" w:eastAsia="Palatino Linotype" w:hAnsi="Palatino Linotype" w:cs="Palatino Linotype"/>
                <w:sz w:val="18"/>
                <w:szCs w:val="18"/>
              </w:rPr>
            </w:pPr>
            <w:r w:rsidRPr="00BC1FAD">
              <w:rPr>
                <w:rFonts w:ascii="Palatino Linotype" w:eastAsia="Palatino Linotype" w:hAnsi="Palatino Linotype" w:cs="Palatino Linotype"/>
                <w:b/>
                <w:sz w:val="20"/>
                <w:szCs w:val="20"/>
              </w:rPr>
              <w:t>SI</w:t>
            </w:r>
          </w:p>
        </w:tc>
      </w:tr>
      <w:tr w:rsidR="00BC1FAD" w:rsidRPr="00BC1FAD" w14:paraId="5D27F4D2"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14190CC6"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16"/>
                <w:szCs w:val="16"/>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200BCC57" w14:textId="77777777" w:rsidR="00191DBD" w:rsidRPr="00BC1FAD" w:rsidRDefault="005029AE">
            <w:pPr>
              <w:spacing w:before="240" w:after="240"/>
              <w:jc w:val="center"/>
              <w:rPr>
                <w:rFonts w:ascii="Palatino Linotype" w:eastAsia="Palatino Linotype" w:hAnsi="Palatino Linotype" w:cs="Palatino Linotype"/>
                <w:b/>
              </w:rPr>
            </w:pPr>
            <w:r w:rsidRPr="00BC1FAD">
              <w:rPr>
                <w:rFonts w:ascii="Palatino Linotype" w:eastAsia="Palatino Linotype" w:hAnsi="Palatino Linotype" w:cs="Palatino Linotype"/>
                <w:b/>
                <w:noProof/>
                <w:sz w:val="18"/>
                <w:szCs w:val="18"/>
              </w:rPr>
              <w:drawing>
                <wp:inline distT="0" distB="0" distL="0" distR="0" wp14:anchorId="449DB2DA" wp14:editId="70E3322E">
                  <wp:extent cx="3184525" cy="191135"/>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184525" cy="19113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7FAAF939" w14:textId="77777777" w:rsidR="00191DBD" w:rsidRPr="00BC1FAD" w:rsidRDefault="005029AE">
            <w:pPr>
              <w:spacing w:before="240" w:after="240"/>
              <w:jc w:val="center"/>
              <w:rPr>
                <w:rFonts w:ascii="Palatino Linotype" w:eastAsia="Palatino Linotype" w:hAnsi="Palatino Linotype" w:cs="Palatino Linotype"/>
                <w:b/>
                <w:sz w:val="18"/>
                <w:szCs w:val="18"/>
              </w:rPr>
            </w:pPr>
            <w:r w:rsidRPr="00BC1FAD">
              <w:rPr>
                <w:rFonts w:ascii="Palatino Linotype" w:eastAsia="Palatino Linotype" w:hAnsi="Palatino Linotype" w:cs="Palatino Linotype"/>
                <w:b/>
                <w:sz w:val="18"/>
                <w:szCs w:val="18"/>
              </w:rPr>
              <w:t>SI</w:t>
            </w:r>
          </w:p>
        </w:tc>
      </w:tr>
      <w:tr w:rsidR="00BC1FAD" w:rsidRPr="00BC1FAD" w14:paraId="403324EE"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60E7F288" w14:textId="77777777" w:rsidR="00191DBD" w:rsidRPr="00BC1FAD" w:rsidRDefault="005029AE">
            <w:pPr>
              <w:widowControl w:val="0"/>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Nombre y firma de los integrantes del Comité</w:t>
            </w:r>
          </w:p>
        </w:tc>
        <w:tc>
          <w:tcPr>
            <w:tcW w:w="5245" w:type="dxa"/>
            <w:tcBorders>
              <w:top w:val="single" w:sz="4" w:space="0" w:color="000000"/>
              <w:left w:val="single" w:sz="4" w:space="0" w:color="000000"/>
              <w:bottom w:val="single" w:sz="4" w:space="0" w:color="000000"/>
              <w:right w:val="single" w:sz="4" w:space="0" w:color="000000"/>
            </w:tcBorders>
            <w:vAlign w:val="center"/>
          </w:tcPr>
          <w:p w14:paraId="3D5027DE" w14:textId="77777777" w:rsidR="00191DBD" w:rsidRPr="00BC1FAD" w:rsidRDefault="00191DBD">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p w14:paraId="47164F08" w14:textId="77777777" w:rsidR="00191DBD" w:rsidRPr="00BC1FAD" w:rsidRDefault="005029AE">
            <w:pPr>
              <w:spacing w:before="240" w:after="240" w:line="360" w:lineRule="auto"/>
            </w:pPr>
            <w:r w:rsidRPr="00BC1FAD">
              <w:rPr>
                <w:noProof/>
              </w:rPr>
              <w:drawing>
                <wp:inline distT="0" distB="0" distL="0" distR="0" wp14:anchorId="5708F882" wp14:editId="0E327F5A">
                  <wp:extent cx="3184525" cy="258889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184525" cy="258889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3DE2C883" w14:textId="77777777" w:rsidR="00191DBD" w:rsidRPr="00BC1FAD" w:rsidRDefault="005029AE">
            <w:pPr>
              <w:spacing w:before="240" w:after="240" w:line="360" w:lineRule="auto"/>
              <w:jc w:val="center"/>
              <w:rPr>
                <w:rFonts w:ascii="Palatino Linotype" w:eastAsia="Palatino Linotype" w:hAnsi="Palatino Linotype" w:cs="Palatino Linotype"/>
                <w:b/>
                <w:sz w:val="20"/>
                <w:szCs w:val="20"/>
              </w:rPr>
            </w:pPr>
            <w:r w:rsidRPr="00BC1FAD">
              <w:rPr>
                <w:rFonts w:ascii="Palatino Linotype" w:eastAsia="Palatino Linotype" w:hAnsi="Palatino Linotype" w:cs="Palatino Linotype"/>
                <w:b/>
                <w:sz w:val="20"/>
                <w:szCs w:val="20"/>
              </w:rPr>
              <w:t>SI</w:t>
            </w:r>
          </w:p>
        </w:tc>
      </w:tr>
      <w:tr w:rsidR="00BC1FAD" w:rsidRPr="00BC1FAD" w14:paraId="31B5DA0E" w14:textId="77777777">
        <w:tc>
          <w:tcPr>
            <w:tcW w:w="8835" w:type="dxa"/>
            <w:gridSpan w:val="3"/>
            <w:tcBorders>
              <w:top w:val="single" w:sz="4" w:space="0" w:color="000000"/>
              <w:left w:val="single" w:sz="4" w:space="0" w:color="000000"/>
              <w:bottom w:val="single" w:sz="4" w:space="0" w:color="000000"/>
              <w:right w:val="single" w:sz="4" w:space="0" w:color="000000"/>
            </w:tcBorders>
            <w:shd w:val="clear" w:color="auto" w:fill="FCEFC0"/>
            <w:vAlign w:val="center"/>
          </w:tcPr>
          <w:p w14:paraId="051C820D" w14:textId="77777777" w:rsidR="00191DBD" w:rsidRPr="00BC1FAD" w:rsidRDefault="005029AE">
            <w:pPr>
              <w:widowControl w:val="0"/>
              <w:shd w:val="clear" w:color="auto" w:fill="BFBFBF"/>
              <w:spacing w:before="120" w:after="120"/>
              <w:jc w:val="center"/>
              <w:rPr>
                <w:rFonts w:ascii="Palatino Linotype" w:eastAsia="Palatino Linotype" w:hAnsi="Palatino Linotype" w:cs="Palatino Linotype"/>
                <w:b/>
                <w:sz w:val="12"/>
                <w:szCs w:val="12"/>
              </w:rPr>
            </w:pPr>
            <w:r w:rsidRPr="00BC1FAD">
              <w:rPr>
                <w:rFonts w:ascii="Palatino Linotype" w:eastAsia="Palatino Linotype" w:hAnsi="Palatino Linotype" w:cs="Palatino Linotype"/>
                <w:b/>
                <w:sz w:val="20"/>
                <w:szCs w:val="20"/>
              </w:rPr>
              <w:t>Análisis de la prueba de daño.</w:t>
            </w:r>
          </w:p>
        </w:tc>
      </w:tr>
      <w:tr w:rsidR="00BC1FAD" w:rsidRPr="00BC1FAD" w14:paraId="4785EAE5" w14:textId="77777777">
        <w:tc>
          <w:tcPr>
            <w:tcW w:w="1838" w:type="dxa"/>
            <w:tcBorders>
              <w:top w:val="single" w:sz="4" w:space="0" w:color="000000"/>
              <w:left w:val="single" w:sz="4" w:space="0" w:color="000000"/>
              <w:bottom w:val="single" w:sz="4" w:space="0" w:color="000000"/>
              <w:right w:val="single" w:sz="4" w:space="0" w:color="000000"/>
            </w:tcBorders>
            <w:vAlign w:val="center"/>
          </w:tcPr>
          <w:p w14:paraId="287B20CE" w14:textId="77777777" w:rsidR="00191DBD" w:rsidRPr="00BC1FAD" w:rsidRDefault="005029AE">
            <w:pPr>
              <w:spacing w:after="120" w:line="256" w:lineRule="auto"/>
              <w:jc w:val="center"/>
              <w:rPr>
                <w:rFonts w:ascii="Palatino Linotype" w:eastAsia="Palatino Linotype" w:hAnsi="Palatino Linotype" w:cs="Palatino Linotype"/>
                <w:b/>
                <w:sz w:val="16"/>
                <w:szCs w:val="16"/>
              </w:rPr>
            </w:pPr>
            <w:r w:rsidRPr="00BC1FAD">
              <w:rPr>
                <w:rFonts w:ascii="Palatino Linotype" w:eastAsia="Palatino Linotype" w:hAnsi="Palatino Linotype" w:cs="Palatino Linotype"/>
                <w:b/>
                <w:sz w:val="16"/>
                <w:szCs w:val="16"/>
              </w:rPr>
              <w:lastRenderedPageBreak/>
              <w:t>Riesgo Real, Demostrable e Identificable</w:t>
            </w:r>
          </w:p>
          <w:p w14:paraId="16A650E3" w14:textId="77777777" w:rsidR="00191DBD" w:rsidRPr="00BC1FAD" w:rsidRDefault="005029AE">
            <w:pPr>
              <w:spacing w:before="100" w:after="200" w:line="276" w:lineRule="auto"/>
              <w:jc w:val="center"/>
              <w:rPr>
                <w:rFonts w:ascii="Palatino Linotype" w:eastAsia="Palatino Linotype" w:hAnsi="Palatino Linotype" w:cs="Palatino Linotype"/>
                <w:b/>
                <w:sz w:val="16"/>
                <w:szCs w:val="16"/>
              </w:rPr>
            </w:pPr>
            <w:r w:rsidRPr="00BC1FAD">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vAlign w:val="center"/>
          </w:tcPr>
          <w:p w14:paraId="0579C3F9" w14:textId="77777777" w:rsidR="00191DBD" w:rsidRPr="00BC1FAD" w:rsidRDefault="005029AE">
            <w:pPr>
              <w:spacing w:before="240" w:after="240" w:line="360" w:lineRule="auto"/>
              <w:jc w:val="both"/>
            </w:pPr>
            <w:r w:rsidRPr="00BC1FAD">
              <w:rPr>
                <w:noProof/>
              </w:rPr>
              <w:drawing>
                <wp:inline distT="0" distB="0" distL="0" distR="0" wp14:anchorId="424C574B" wp14:editId="05BDA98C">
                  <wp:extent cx="3184525" cy="4074795"/>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184525" cy="4074795"/>
                          </a:xfrm>
                          <a:prstGeom prst="rect">
                            <a:avLst/>
                          </a:prstGeom>
                          <a:ln/>
                        </pic:spPr>
                      </pic:pic>
                    </a:graphicData>
                  </a:graphic>
                </wp:inline>
              </w:drawing>
            </w:r>
          </w:p>
          <w:p w14:paraId="2B5FE114" w14:textId="77777777" w:rsidR="00191DBD" w:rsidRPr="00BC1FAD" w:rsidRDefault="005029AE">
            <w:pPr>
              <w:spacing w:before="240" w:after="240" w:line="360" w:lineRule="auto"/>
              <w:jc w:val="both"/>
            </w:pPr>
            <w:r w:rsidRPr="00BC1FAD">
              <w:rPr>
                <w:noProof/>
              </w:rPr>
              <w:drawing>
                <wp:inline distT="0" distB="0" distL="0" distR="0" wp14:anchorId="581E1668" wp14:editId="154E769D">
                  <wp:extent cx="3184525" cy="2058035"/>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184525" cy="205803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84A89E5" w14:textId="77777777" w:rsidR="00191DBD" w:rsidRPr="00BC1FAD" w:rsidRDefault="005029AE">
            <w:pPr>
              <w:spacing w:before="240" w:after="240"/>
              <w:jc w:val="center"/>
              <w:rPr>
                <w:rFonts w:ascii="Palatino Linotype" w:eastAsia="Palatino Linotype" w:hAnsi="Palatino Linotype" w:cs="Palatino Linotype"/>
                <w:b/>
                <w:sz w:val="18"/>
                <w:szCs w:val="18"/>
              </w:rPr>
            </w:pPr>
            <w:r w:rsidRPr="00BC1FAD">
              <w:rPr>
                <w:rFonts w:ascii="Palatino Linotype" w:eastAsia="Palatino Linotype" w:hAnsi="Palatino Linotype" w:cs="Palatino Linotype"/>
                <w:b/>
                <w:sz w:val="18"/>
                <w:szCs w:val="18"/>
              </w:rPr>
              <w:t>NO</w:t>
            </w:r>
          </w:p>
          <w:p w14:paraId="7E98D08F" w14:textId="77777777" w:rsidR="00191DBD" w:rsidRPr="00BC1FAD" w:rsidRDefault="005029AE">
            <w:pPr>
              <w:spacing w:before="240" w:after="240"/>
              <w:jc w:val="both"/>
              <w:rPr>
                <w:rFonts w:ascii="Palatino Linotype" w:eastAsia="Palatino Linotype" w:hAnsi="Palatino Linotype" w:cs="Palatino Linotype"/>
                <w:sz w:val="14"/>
                <w:szCs w:val="14"/>
              </w:rPr>
            </w:pPr>
            <w:r w:rsidRPr="00BC1FAD">
              <w:rPr>
                <w:rFonts w:ascii="Palatino Linotype" w:eastAsia="Palatino Linotype" w:hAnsi="Palatino Linotype" w:cs="Palatino Linotype"/>
                <w:b/>
                <w:sz w:val="18"/>
                <w:szCs w:val="18"/>
              </w:rPr>
              <w:t>Observaciones:</w:t>
            </w:r>
            <w:r w:rsidRPr="00BC1FAD">
              <w:rPr>
                <w:rFonts w:ascii="Palatino Linotype" w:eastAsia="Palatino Linotype" w:hAnsi="Palatino Linotype" w:cs="Palatino Linotype"/>
                <w:sz w:val="18"/>
                <w:szCs w:val="18"/>
              </w:rPr>
              <w:t xml:space="preserve"> No se acredita el riesgo real, demostrable e identificable.</w:t>
            </w:r>
          </w:p>
        </w:tc>
      </w:tr>
    </w:tbl>
    <w:p w14:paraId="77913139" w14:textId="77777777" w:rsidR="00191DBD" w:rsidRPr="00BC1FAD" w:rsidRDefault="005029AE">
      <w:pPr>
        <w:tabs>
          <w:tab w:val="left" w:pos="567"/>
        </w:tabs>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este sentido, se concluye que el acuerdo remitido no se encuentra debidamente motivado, aunado a que del análisis a la prueba de daño realizada por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sz w:val="22"/>
          <w:szCs w:val="22"/>
        </w:rPr>
        <w:lastRenderedPageBreak/>
        <w:t xml:space="preserve">no se advierten las circunstancias de modo, tiempo y lugar, ni el riesgo real, demostrable e identificable mediante las cuales se acredite que la divulgación de la información que específicamente se solicita puede representar un riesgo. </w:t>
      </w:r>
    </w:p>
    <w:p w14:paraId="181A5657" w14:textId="77777777" w:rsidR="00191DBD" w:rsidRPr="00BC1FAD" w:rsidRDefault="005029AE">
      <w:pPr>
        <w:tabs>
          <w:tab w:val="left" w:pos="567"/>
        </w:tabs>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No escapa de la óptica de este Organismo Garante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asevera contar con un contrato de arrendamiento de impresoras del año 2022, el cual refiere que se encuentra reservado por encontrarse en auditoría de Inversión Física AIF-083, por el periodo comprendido del 01 de enero al 31 de diciembre de 2022, dicha reserva se asentó en el Acuerdo 06/CT/03-ORD-2024, aprobado en la Tercera Sesión Ordinaria del Comité de la Unidad de Transparencia del Municipio de Tlalnepantla de Baz, sin que obre constancia de dicho acuerdo en el expediente electrónico que en este acto se resuelve, por lo que dicha reserva no es posible validarla.</w:t>
      </w:r>
    </w:p>
    <w:p w14:paraId="456EFA2F"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Por otra parte, debemos recordar que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señaló que</w:t>
      </w:r>
      <w:r w:rsidRPr="00BC1FAD">
        <w:rPr>
          <w:rFonts w:ascii="Palatino Linotype" w:eastAsia="Palatino Linotype" w:hAnsi="Palatino Linotype" w:cs="Palatino Linotype"/>
          <w:b/>
          <w:sz w:val="22"/>
          <w:szCs w:val="22"/>
        </w:rPr>
        <w:t xml:space="preserve"> </w:t>
      </w:r>
      <w:r w:rsidRPr="00BC1FAD">
        <w:rPr>
          <w:rFonts w:ascii="Palatino Linotype" w:eastAsia="Palatino Linotype" w:hAnsi="Palatino Linotype" w:cs="Palatino Linotype"/>
          <w:sz w:val="22"/>
          <w:szCs w:val="22"/>
        </w:rPr>
        <w:t>la reserva de la información actualizaba lo dispuesto por la fracción V, numeral 1, del artículo 140 de  la Ley de Transparencia y Acceso a la Información Pública del Estado de México y Municipios, (homólogo del artículo 113, fracción VI, de la Ley General de Transparencia y Acceso a la Información Pública), prevé lo siguiente:</w:t>
      </w:r>
    </w:p>
    <w:p w14:paraId="4D80A7DA" w14:textId="77777777" w:rsidR="00191DBD" w:rsidRPr="00BC1FAD" w:rsidRDefault="005029AE">
      <w:pPr>
        <w:tabs>
          <w:tab w:val="left" w:pos="4962"/>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140.</w:t>
      </w:r>
      <w:r w:rsidRPr="00BC1FAD">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BB43AAC" w14:textId="77777777" w:rsidR="00191DBD" w:rsidRPr="00BC1FAD" w:rsidRDefault="005029AE">
      <w:pPr>
        <w:tabs>
          <w:tab w:val="left" w:pos="4962"/>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2C3BC894" w14:textId="77777777" w:rsidR="00191DBD" w:rsidRPr="00BC1FAD" w:rsidRDefault="005029AE">
      <w:pPr>
        <w:tabs>
          <w:tab w:val="left" w:pos="4962"/>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V. Aquella cuya divulgación obstruya o pueda causar un serio perjuicio a:</w:t>
      </w:r>
    </w:p>
    <w:p w14:paraId="0C8AA56B" w14:textId="77777777" w:rsidR="00191DBD" w:rsidRPr="00BC1FAD" w:rsidRDefault="00191DBD">
      <w:pPr>
        <w:tabs>
          <w:tab w:val="left" w:pos="4962"/>
        </w:tabs>
        <w:spacing w:line="276" w:lineRule="auto"/>
        <w:ind w:left="567" w:right="900"/>
        <w:jc w:val="both"/>
        <w:rPr>
          <w:rFonts w:ascii="Palatino Linotype" w:eastAsia="Palatino Linotype" w:hAnsi="Palatino Linotype" w:cs="Palatino Linotype"/>
          <w:i/>
          <w:sz w:val="22"/>
          <w:szCs w:val="22"/>
        </w:rPr>
      </w:pPr>
    </w:p>
    <w:p w14:paraId="3DF8B092" w14:textId="77777777" w:rsidR="00191DBD" w:rsidRPr="00BC1FAD" w:rsidRDefault="005029AE">
      <w:pPr>
        <w:tabs>
          <w:tab w:val="left" w:pos="4962"/>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1. Las actividades de fiscalización, verificación, inspección, comprobación y auditoría sobre el cumplimiento de las Leyes; o</w:t>
      </w:r>
    </w:p>
    <w:p w14:paraId="089A9B72" w14:textId="77777777" w:rsidR="00191DBD" w:rsidRPr="00BC1FAD" w:rsidRDefault="005029AE">
      <w:pPr>
        <w:tabs>
          <w:tab w:val="left" w:pos="4962"/>
        </w:tabs>
        <w:spacing w:line="276" w:lineRule="auto"/>
        <w:ind w:left="567" w:right="900"/>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p>
    <w:p w14:paraId="2E4A260D" w14:textId="77777777" w:rsidR="00191DBD" w:rsidRPr="00BC1FAD" w:rsidRDefault="00191DBD">
      <w:pPr>
        <w:spacing w:line="360" w:lineRule="auto"/>
        <w:ind w:right="-93"/>
        <w:jc w:val="both"/>
        <w:rPr>
          <w:rFonts w:ascii="Palatino Linotype" w:eastAsia="Palatino Linotype" w:hAnsi="Palatino Linotype" w:cs="Palatino Linotype"/>
          <w:sz w:val="22"/>
          <w:szCs w:val="22"/>
        </w:rPr>
      </w:pPr>
    </w:p>
    <w:p w14:paraId="6DA29F0E" w14:textId="77777777" w:rsidR="00191DBD" w:rsidRPr="00BC1FAD" w:rsidRDefault="005029AE">
      <w:pPr>
        <w:spacing w:line="360" w:lineRule="auto"/>
        <w:ind w:right="-9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dicho precepto normativo se desprende que podrá clasificarse como información reservada aquella cuya publicación obstruya o cause perjuicio en las actividades de </w:t>
      </w:r>
      <w:r w:rsidRPr="00BC1FAD">
        <w:rPr>
          <w:rFonts w:ascii="Palatino Linotype" w:eastAsia="Palatino Linotype" w:hAnsi="Palatino Linotype" w:cs="Palatino Linotype"/>
          <w:sz w:val="22"/>
          <w:szCs w:val="22"/>
        </w:rPr>
        <w:lastRenderedPageBreak/>
        <w:t>fiscalización, verificación, inspección, comprobación y auditoría sobre el cumplimiento de leyes.</w:t>
      </w:r>
    </w:p>
    <w:p w14:paraId="12BCD03A" w14:textId="77777777" w:rsidR="00191DBD" w:rsidRPr="00BC1FAD" w:rsidRDefault="00191DBD">
      <w:pPr>
        <w:spacing w:line="360" w:lineRule="auto"/>
        <w:ind w:right="-93"/>
        <w:jc w:val="both"/>
        <w:rPr>
          <w:rFonts w:ascii="Palatino Linotype" w:eastAsia="Palatino Linotype" w:hAnsi="Palatino Linotype" w:cs="Palatino Linotype"/>
          <w:sz w:val="22"/>
          <w:szCs w:val="22"/>
        </w:rPr>
      </w:pPr>
    </w:p>
    <w:p w14:paraId="708D0986" w14:textId="77777777" w:rsidR="00191DBD" w:rsidRPr="00BC1FAD" w:rsidRDefault="005029AE">
      <w:pPr>
        <w:tabs>
          <w:tab w:val="left" w:pos="4962"/>
        </w:tabs>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Por su parte, los Lineamientos Generales en Materia de Clasificación y desclasificación de la información, así como para la elaboración de versiones públicas -en adelante Lineamientos Generales- disponen:</w:t>
      </w:r>
    </w:p>
    <w:p w14:paraId="6DB34C51" w14:textId="77777777" w:rsidR="00191DBD" w:rsidRPr="00BC1FAD" w:rsidRDefault="00191DBD">
      <w:pPr>
        <w:spacing w:line="360" w:lineRule="auto"/>
        <w:ind w:right="-93"/>
        <w:jc w:val="both"/>
        <w:rPr>
          <w:rFonts w:ascii="Palatino Linotype" w:eastAsia="Palatino Linotype" w:hAnsi="Palatino Linotype" w:cs="Palatino Linotype"/>
          <w:sz w:val="22"/>
          <w:szCs w:val="22"/>
        </w:rPr>
      </w:pPr>
    </w:p>
    <w:p w14:paraId="1283BC56" w14:textId="77777777" w:rsidR="00191DBD" w:rsidRPr="00BC1FAD" w:rsidRDefault="005029AE">
      <w:pPr>
        <w:spacing w:line="276" w:lineRule="auto"/>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“Vigésimo cuarto. </w:t>
      </w:r>
      <w:r w:rsidRPr="00BC1FAD">
        <w:rPr>
          <w:rFonts w:ascii="Palatino Linotype" w:eastAsia="Palatino Linotype" w:hAnsi="Palatino Linotype" w:cs="Palatino Linotype"/>
          <w:i/>
          <w:sz w:val="22"/>
          <w:szCs w:val="22"/>
        </w:rPr>
        <w:t xml:space="preserve">De conformidad con el artículo 113, fracción VI de la Ley General, podrá considerarse como </w:t>
      </w:r>
      <w:r w:rsidRPr="00BC1FAD">
        <w:rPr>
          <w:rFonts w:ascii="Palatino Linotype" w:eastAsia="Palatino Linotype" w:hAnsi="Palatino Linotype" w:cs="Palatino Linotype"/>
          <w:b/>
          <w:i/>
          <w:sz w:val="22"/>
          <w:szCs w:val="22"/>
        </w:rPr>
        <w:t>reservada, aquella información que obstruya las actividades de verificación, inspección y auditoría relativas al cumplimiento de las leyes</w:t>
      </w:r>
      <w:r w:rsidRPr="00BC1FAD">
        <w:rPr>
          <w:rFonts w:ascii="Palatino Linotype" w:eastAsia="Palatino Linotype" w:hAnsi="Palatino Linotype" w:cs="Palatino Linotype"/>
          <w:i/>
          <w:sz w:val="22"/>
          <w:szCs w:val="22"/>
        </w:rPr>
        <w:t>, cuando se actualicen los siguientes elementos:</w:t>
      </w:r>
    </w:p>
    <w:p w14:paraId="62DCDAEC" w14:textId="77777777" w:rsidR="00191DBD" w:rsidRPr="00BC1FAD" w:rsidRDefault="00191DBD">
      <w:pPr>
        <w:spacing w:line="276" w:lineRule="auto"/>
        <w:ind w:left="567" w:right="567"/>
        <w:jc w:val="both"/>
        <w:rPr>
          <w:rFonts w:ascii="Palatino Linotype" w:eastAsia="Palatino Linotype" w:hAnsi="Palatino Linotype" w:cs="Palatino Linotype"/>
          <w:i/>
          <w:sz w:val="22"/>
          <w:szCs w:val="22"/>
        </w:rPr>
      </w:pPr>
    </w:p>
    <w:p w14:paraId="4DC78BF7" w14:textId="77777777" w:rsidR="00191DBD" w:rsidRPr="00BC1FAD" w:rsidRDefault="005029AE">
      <w:pPr>
        <w:spacing w:line="276" w:lineRule="auto"/>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La existencia de un procedimiento de verificación del cumplimiento de las leyes;</w:t>
      </w:r>
    </w:p>
    <w:p w14:paraId="7B5162B6" w14:textId="77777777" w:rsidR="00191DBD" w:rsidRPr="00BC1FAD" w:rsidRDefault="00191DBD">
      <w:pPr>
        <w:spacing w:line="276" w:lineRule="auto"/>
        <w:ind w:left="567" w:right="567"/>
        <w:jc w:val="both"/>
        <w:rPr>
          <w:rFonts w:ascii="Palatino Linotype" w:eastAsia="Palatino Linotype" w:hAnsi="Palatino Linotype" w:cs="Palatino Linotype"/>
          <w:i/>
          <w:sz w:val="22"/>
          <w:szCs w:val="22"/>
        </w:rPr>
      </w:pPr>
    </w:p>
    <w:p w14:paraId="7C44D41A" w14:textId="77777777" w:rsidR="00191DBD" w:rsidRPr="00BC1FAD" w:rsidRDefault="005029AE">
      <w:pPr>
        <w:spacing w:line="276" w:lineRule="auto"/>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Que el procedimiento se encuentre en trámite;</w:t>
      </w:r>
    </w:p>
    <w:p w14:paraId="7789F08A" w14:textId="77777777" w:rsidR="00191DBD" w:rsidRPr="00BC1FAD" w:rsidRDefault="00191DBD">
      <w:pPr>
        <w:spacing w:line="276" w:lineRule="auto"/>
        <w:ind w:left="567" w:right="567"/>
        <w:jc w:val="both"/>
        <w:rPr>
          <w:rFonts w:ascii="Palatino Linotype" w:eastAsia="Palatino Linotype" w:hAnsi="Palatino Linotype" w:cs="Palatino Linotype"/>
          <w:i/>
          <w:sz w:val="22"/>
          <w:szCs w:val="22"/>
        </w:rPr>
      </w:pPr>
    </w:p>
    <w:p w14:paraId="01DDCB28" w14:textId="77777777" w:rsidR="00191DBD" w:rsidRPr="00BC1FAD" w:rsidRDefault="005029AE">
      <w:pPr>
        <w:spacing w:line="276" w:lineRule="auto"/>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La vinculación directa con las actividades que realiza la autoridad en el procedimiento de verificación del cumplimiento de las leyes, y</w:t>
      </w:r>
    </w:p>
    <w:p w14:paraId="34C77C19" w14:textId="77777777" w:rsidR="00191DBD" w:rsidRPr="00BC1FAD" w:rsidRDefault="00191DBD">
      <w:pPr>
        <w:spacing w:line="276" w:lineRule="auto"/>
        <w:ind w:left="567" w:right="567"/>
        <w:jc w:val="both"/>
        <w:rPr>
          <w:rFonts w:ascii="Palatino Linotype" w:eastAsia="Palatino Linotype" w:hAnsi="Palatino Linotype" w:cs="Palatino Linotype"/>
          <w:i/>
          <w:sz w:val="22"/>
          <w:szCs w:val="22"/>
        </w:rPr>
      </w:pPr>
    </w:p>
    <w:p w14:paraId="63F09842" w14:textId="77777777" w:rsidR="00191DBD" w:rsidRPr="00BC1FAD" w:rsidRDefault="005029AE">
      <w:pPr>
        <w:spacing w:line="276" w:lineRule="auto"/>
        <w:ind w:left="567" w:right="567"/>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IV.</w:t>
      </w:r>
      <w:r w:rsidRPr="00BC1FAD">
        <w:rPr>
          <w:rFonts w:ascii="Palatino Linotype" w:eastAsia="Palatino Linotype" w:hAnsi="Palatino Linotype" w:cs="Palatino Linotype"/>
          <w:i/>
          <w:sz w:val="22"/>
          <w:szCs w:val="22"/>
        </w:rPr>
        <w:t> Que la difusión de la información impida u obstaculice las actividades de inspección, supervisión o vigilancia que realicen las autoridades en el procedimiento de verificación del cumplimiento de las leyes.”</w:t>
      </w:r>
    </w:p>
    <w:p w14:paraId="200E1044" w14:textId="77777777" w:rsidR="00191DBD" w:rsidRPr="00BC1FAD" w:rsidRDefault="00191DBD">
      <w:pPr>
        <w:spacing w:line="360" w:lineRule="auto"/>
        <w:jc w:val="both"/>
        <w:rPr>
          <w:rFonts w:ascii="Palatino Linotype" w:eastAsia="Palatino Linotype" w:hAnsi="Palatino Linotype" w:cs="Palatino Linotype"/>
          <w:b/>
          <w:i/>
          <w:sz w:val="22"/>
          <w:szCs w:val="22"/>
        </w:rPr>
      </w:pPr>
    </w:p>
    <w:p w14:paraId="5692D6F2"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Del lineamiento en cita, se colige que se trata de información reservada aquella que </w:t>
      </w:r>
      <w:r w:rsidRPr="00BC1FAD">
        <w:rPr>
          <w:rFonts w:ascii="Palatino Linotype" w:eastAsia="Palatino Linotype" w:hAnsi="Palatino Linotype" w:cs="Palatino Linotype"/>
          <w:b/>
          <w:sz w:val="22"/>
          <w:szCs w:val="22"/>
        </w:rPr>
        <w:t xml:space="preserve">obstruya las actividades </w:t>
      </w:r>
      <w:r w:rsidRPr="00BC1FAD">
        <w:rPr>
          <w:rFonts w:ascii="Palatino Linotype" w:eastAsia="Palatino Linotype" w:hAnsi="Palatino Linotype" w:cs="Palatino Linotype"/>
          <w:sz w:val="22"/>
          <w:szCs w:val="22"/>
        </w:rPr>
        <w:t xml:space="preserve">de verificación, inspección y </w:t>
      </w:r>
      <w:r w:rsidRPr="00BC1FAD">
        <w:rPr>
          <w:rFonts w:ascii="Palatino Linotype" w:eastAsia="Palatino Linotype" w:hAnsi="Palatino Linotype" w:cs="Palatino Linotype"/>
          <w:b/>
          <w:sz w:val="22"/>
          <w:szCs w:val="22"/>
        </w:rPr>
        <w:t>auditoría relativas al cumplimiento de las leyes,</w:t>
      </w:r>
      <w:r w:rsidRPr="00BC1FAD">
        <w:rPr>
          <w:rFonts w:ascii="Palatino Linotype" w:eastAsia="Palatino Linotype" w:hAnsi="Palatino Linotype" w:cs="Palatino Linotype"/>
          <w:sz w:val="22"/>
          <w:szCs w:val="22"/>
        </w:rPr>
        <w:t xml:space="preserve"> cuando se actualicen los siguientes elementos:</w:t>
      </w:r>
    </w:p>
    <w:p w14:paraId="5A4CDE60"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51FBE842" w14:textId="77777777" w:rsidR="00191DBD" w:rsidRPr="00BC1FAD" w:rsidRDefault="005029AE">
      <w:pPr>
        <w:numPr>
          <w:ilvl w:val="0"/>
          <w:numId w:val="3"/>
        </w:numPr>
        <w:spacing w:after="160" w:line="360" w:lineRule="auto"/>
        <w:ind w:left="567" w:right="900" w:hanging="28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La existencia de un proceso de fiscalización del cumplimiento de las leyes. </w:t>
      </w:r>
    </w:p>
    <w:p w14:paraId="480A0E95" w14:textId="77777777" w:rsidR="00191DBD" w:rsidRPr="00BC1FAD" w:rsidRDefault="005029AE">
      <w:pPr>
        <w:numPr>
          <w:ilvl w:val="0"/>
          <w:numId w:val="3"/>
        </w:numPr>
        <w:spacing w:after="160" w:line="360" w:lineRule="auto"/>
        <w:ind w:left="567" w:right="900" w:hanging="28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Que ese procedimiento se encuentre en trámite.</w:t>
      </w:r>
    </w:p>
    <w:p w14:paraId="44DE4577" w14:textId="77777777" w:rsidR="00191DBD" w:rsidRPr="00BC1FAD" w:rsidRDefault="005029AE">
      <w:pPr>
        <w:numPr>
          <w:ilvl w:val="0"/>
          <w:numId w:val="3"/>
        </w:numPr>
        <w:spacing w:line="360" w:lineRule="auto"/>
        <w:ind w:left="567" w:right="900" w:hanging="28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La vinculación directa con las actividades que realiza la autoridad en el procedimiento de fiscalización.</w:t>
      </w:r>
    </w:p>
    <w:p w14:paraId="1E1BD02E" w14:textId="77777777" w:rsidR="00191DBD" w:rsidRPr="00BC1FAD" w:rsidRDefault="005029AE">
      <w:pPr>
        <w:numPr>
          <w:ilvl w:val="0"/>
          <w:numId w:val="3"/>
        </w:numPr>
        <w:spacing w:line="360" w:lineRule="auto"/>
        <w:ind w:left="567" w:right="900" w:hanging="28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Que la difusión de la información impida u obstaculice las actividades de inspección, supervisión o vigilancia que realicen las autoridades en el proceso de fiscalización.</w:t>
      </w:r>
    </w:p>
    <w:p w14:paraId="2C0E4868"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3AFC9380"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w:t>
      </w:r>
    </w:p>
    <w:p w14:paraId="06B3678D"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2B983BBB"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0A382E8F"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285ECB37"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Así las cosas, a continuación, se analizarán cada uno de los requisitos señalados anteriormente, con la finalidad de verificar si se configura la hipótesis de reserva en estudio:</w:t>
      </w:r>
    </w:p>
    <w:p w14:paraId="57A6B759"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31D4BE47" w14:textId="77777777" w:rsidR="00191DBD" w:rsidRPr="00BC1FAD" w:rsidRDefault="005029AE">
      <w:pPr>
        <w:numPr>
          <w:ilvl w:val="0"/>
          <w:numId w:val="5"/>
        </w:numPr>
        <w:spacing w:line="360" w:lineRule="auto"/>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 xml:space="preserve">La existencia de un procedimiento de fiscalización </w:t>
      </w:r>
    </w:p>
    <w:p w14:paraId="499487AE"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ese contexto, el Ayuntamiento de Tlalnepantla de Baz, clasificó la información requerida, al considerar que su difusión podría obstruir las actividades de verificación, inspección y auditoría relativa al cumplimiento de leyes por parte de servidores públicos, al señalar la existencia de un proceso de autoría llevada a cabo por el Órgano Superior de Fiscalización del Estado de México, por lo que, se advierte que se acredita dicho requisito.</w:t>
      </w:r>
    </w:p>
    <w:p w14:paraId="6225E88A"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6356D72A" w14:textId="77777777" w:rsidR="00191DBD" w:rsidRPr="00BC1FAD" w:rsidRDefault="005029AE">
      <w:pPr>
        <w:numPr>
          <w:ilvl w:val="0"/>
          <w:numId w:val="5"/>
        </w:numPr>
        <w:spacing w:line="360" w:lineRule="auto"/>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Que el procedimiento de fiscalización se encuentre en trámite</w:t>
      </w:r>
    </w:p>
    <w:p w14:paraId="158948B7" w14:textId="77777777" w:rsidR="00191DBD" w:rsidRPr="00BC1FAD" w:rsidRDefault="00191DBD">
      <w:pPr>
        <w:spacing w:line="360" w:lineRule="auto"/>
        <w:ind w:left="720"/>
        <w:jc w:val="both"/>
        <w:rPr>
          <w:rFonts w:ascii="Palatino Linotype" w:eastAsia="Palatino Linotype" w:hAnsi="Palatino Linotype" w:cs="Palatino Linotype"/>
          <w:b/>
          <w:sz w:val="22"/>
          <w:szCs w:val="22"/>
        </w:rPr>
      </w:pPr>
    </w:p>
    <w:p w14:paraId="4EB761E1"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Ahora bien, el </w:t>
      </w:r>
      <w:r w:rsidRPr="00BC1FAD">
        <w:rPr>
          <w:rFonts w:ascii="Palatino Linotype" w:eastAsia="Palatino Linotype" w:hAnsi="Palatino Linotype" w:cs="Palatino Linotype"/>
          <w:b/>
          <w:sz w:val="22"/>
          <w:szCs w:val="22"/>
        </w:rPr>
        <w:t xml:space="preserve">Sujeto Obligado </w:t>
      </w:r>
      <w:r w:rsidRPr="00BC1FAD">
        <w:rPr>
          <w:rFonts w:ascii="Palatino Linotype" w:eastAsia="Palatino Linotype" w:hAnsi="Palatino Linotype" w:cs="Palatino Linotype"/>
          <w:sz w:val="22"/>
          <w:szCs w:val="22"/>
        </w:rPr>
        <w:t>refirió que la auditoría se encontraba en proceso y no se habían emitido resultados, es decir, refirió que esta se encontraba en trámite y no había concluido, por lo que, se logra vislumbrar que acreditó el segundo de los requisitos establecidos en los Lineamientos Generales.</w:t>
      </w:r>
    </w:p>
    <w:p w14:paraId="6C32E6ED" w14:textId="77777777" w:rsidR="00191DBD" w:rsidRPr="00BC1FAD" w:rsidRDefault="00191DBD">
      <w:pPr>
        <w:spacing w:line="360" w:lineRule="auto"/>
        <w:jc w:val="both"/>
        <w:rPr>
          <w:rFonts w:ascii="Palatino Linotype" w:eastAsia="Palatino Linotype" w:hAnsi="Palatino Linotype" w:cs="Palatino Linotype"/>
        </w:rPr>
      </w:pPr>
    </w:p>
    <w:p w14:paraId="77D20B67" w14:textId="77777777" w:rsidR="00191DBD" w:rsidRPr="00BC1FAD" w:rsidRDefault="005029AE">
      <w:pPr>
        <w:numPr>
          <w:ilvl w:val="0"/>
          <w:numId w:val="5"/>
        </w:numPr>
        <w:spacing w:line="360" w:lineRule="auto"/>
        <w:ind w:left="567" w:right="900" w:hanging="283"/>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La vinculación directa con las actividades que realiza la autoridad en el proceso de fiscalización</w:t>
      </w:r>
    </w:p>
    <w:p w14:paraId="500C719E" w14:textId="77777777" w:rsidR="00191DBD" w:rsidRPr="00BC1FAD" w:rsidRDefault="00191DBD">
      <w:pPr>
        <w:spacing w:line="360" w:lineRule="auto"/>
        <w:jc w:val="both"/>
        <w:rPr>
          <w:rFonts w:ascii="Palatino Linotype" w:eastAsia="Palatino Linotype" w:hAnsi="Palatino Linotype" w:cs="Palatino Linotype"/>
          <w:b/>
          <w:sz w:val="22"/>
          <w:szCs w:val="22"/>
        </w:rPr>
      </w:pPr>
    </w:p>
    <w:p w14:paraId="086F9657"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el presente caso, caber señalar,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refirió que la información solicitada se encontraba dentro de una Auditoría, sin embargo, omitió señalar porque la información solicitada tenía una vinculación directa con las actividades que realizaba la autoridad en el procedimiento.</w:t>
      </w:r>
    </w:p>
    <w:p w14:paraId="3BE73636" w14:textId="77777777" w:rsidR="00191DBD" w:rsidRPr="00BC1FAD" w:rsidRDefault="00191DBD">
      <w:pPr>
        <w:spacing w:line="360" w:lineRule="auto"/>
        <w:jc w:val="both"/>
        <w:rPr>
          <w:rFonts w:ascii="Palatino Linotype" w:eastAsia="Palatino Linotype" w:hAnsi="Palatino Linotype" w:cs="Palatino Linotype"/>
        </w:rPr>
      </w:pPr>
    </w:p>
    <w:p w14:paraId="30178EB5"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Conforme a lo anterior, se logra observar que el Ayuntamiento de Tlalnepantla de Baz no proporcionó todos elementos necesarios para determinar si la información solicitada, se encontraba vinculada de manera directa con las actividades de realizadas por el Ente Auditor, al no saber que está inspeccionando dicho ente y, por lo tanto, no se acredita el tercero de los requisitos establecidos en los Lineamientos Generales; situación que se robustece, con el hecho de que la información no impide u obstaculiza las actividades realizadas por el Órgano Auditor, tal como se analizará a continuación.</w:t>
      </w:r>
    </w:p>
    <w:p w14:paraId="12CA8E79"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7FC86DD4" w14:textId="77777777" w:rsidR="00191DBD" w:rsidRPr="00BC1FAD" w:rsidRDefault="005029AE">
      <w:pPr>
        <w:numPr>
          <w:ilvl w:val="0"/>
          <w:numId w:val="5"/>
        </w:numPr>
        <w:spacing w:line="360" w:lineRule="auto"/>
        <w:ind w:left="142" w:hanging="284"/>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Que la difusión de la información impida u obstaculice las actividades de auditoría</w:t>
      </w:r>
    </w:p>
    <w:p w14:paraId="472A4EDC"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3D2016AE"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En principio, resulta indispensable precisar que los sujetos obligados deben distinguir claramente la información que documenta el proceso de auditoría; esto es, aquellas expresiones documentales, que reflejen las actividades de inspección y fiscalización </w:t>
      </w:r>
      <w:r w:rsidRPr="00BC1FAD">
        <w:rPr>
          <w:rFonts w:ascii="Palatino Linotype" w:eastAsia="Palatino Linotype" w:hAnsi="Palatino Linotype" w:cs="Palatino Linotype"/>
          <w:sz w:val="22"/>
          <w:szCs w:val="22"/>
        </w:rPr>
        <w:lastRenderedPageBreak/>
        <w:t xml:space="preserve">realizadas por el Órgano Auditor, así como, que contengan el estudio, el análisis realizadas y las inconsistencias encontradas, por las autoridades auditoras; </w:t>
      </w:r>
      <w:r w:rsidRPr="00BC1FAD">
        <w:rPr>
          <w:rFonts w:ascii="Palatino Linotype" w:eastAsia="Palatino Linotype" w:hAnsi="Palatino Linotype" w:cs="Palatino Linotype"/>
          <w:b/>
          <w:sz w:val="22"/>
          <w:szCs w:val="22"/>
        </w:rPr>
        <w:t xml:space="preserve">de aquellas otras, que corresponden a la generada por los auditados, en el presente caso, el Ayuntamiento de Tlalnepantla de Baz durante un ejercicio fiscal; esto es, la información generada por el Sujeto Obligado, durante un determinado tiempo, y que analizará la autoridad, </w:t>
      </w:r>
      <w:r w:rsidRPr="00BC1FAD">
        <w:rPr>
          <w:rFonts w:ascii="Palatino Linotype" w:eastAsia="Palatino Linotype" w:hAnsi="Palatino Linotype" w:cs="Palatino Linotype"/>
          <w:sz w:val="22"/>
          <w:szCs w:val="22"/>
        </w:rPr>
        <w:t>lo cual corresponde a un insumo informativo o de apoyo, en el proceso de fiscalización.</w:t>
      </w:r>
    </w:p>
    <w:p w14:paraId="1312D300" w14:textId="77777777" w:rsidR="00191DBD" w:rsidRPr="00BC1FAD" w:rsidRDefault="00191D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356CE8" w14:textId="77777777" w:rsidR="00191DBD" w:rsidRPr="00BC1FAD" w:rsidRDefault="005029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Es por lo expuesto que se colige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no acreditó los supuestos de reserva invocados pues únicamente se limitó a referir los fundamentos de manera parcial, ello sin que obre la debida fundamentación sobre las causales que encuadren en algún supuesto de reserva.</w:t>
      </w:r>
    </w:p>
    <w:p w14:paraId="209FEC2E" w14:textId="77777777" w:rsidR="00191DBD" w:rsidRPr="00BC1FAD" w:rsidRDefault="00191D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3469C4" w14:textId="77777777" w:rsidR="00191DBD" w:rsidRPr="00BC1FAD" w:rsidRDefault="005029AE">
      <w:pPr>
        <w:pBdr>
          <w:top w:val="nil"/>
          <w:left w:val="nil"/>
          <w:bottom w:val="nil"/>
          <w:right w:val="nil"/>
          <w:between w:val="nil"/>
        </w:pBdr>
        <w:spacing w:line="360" w:lineRule="auto"/>
        <w:jc w:val="both"/>
        <w:rPr>
          <w:sz w:val="22"/>
          <w:szCs w:val="22"/>
        </w:rPr>
      </w:pPr>
      <w:r w:rsidRPr="00BC1FAD">
        <w:rPr>
          <w:rFonts w:ascii="Palatino Linotype" w:eastAsia="Palatino Linotype" w:hAnsi="Palatino Linotype" w:cs="Palatino Linotype"/>
          <w:sz w:val="22"/>
          <w:szCs w:val="22"/>
        </w:rPr>
        <w:t xml:space="preserve">Aunado a todo lo anteriormente expuesto, debe señalarse que en materia de transparencia, para que resulte procedente la entrega de la información que se solicite, es necesario que esta obre en cualquier documento que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genere, posea o administre, en consecuencia, los documentos como ya ha quedado establecido y como el mismo lo refirió en respuesta obran en sus archivos, lo que significa que ello no implica la generación de un documento sino solo la entrega del que ya obre en su poder y que contenga la información que el Particular desea conocer; por lo que resulta poco garante reservar la información solicitada, pues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cuenta en sus archivos con diversos documentos que son públicos, por lo que solo se dilata la atención del derecho de acceso a la información pública de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xml:space="preserve">; y lo procedente es proporcionar los documentos que no sufren modificación alguna, además de que en caso de sufrir alguna modificación se debe generar otro documento, pero el primer contrato al haber sido suscrito por el Ayuntamiento en ejercicio de sus funciones resulta ser público, ahora bien, resulta prudente tomar en consideración lo plasmado en el criterio 09/2004 emitido por la Suprema Corte de Justicia </w:t>
      </w:r>
      <w:r w:rsidRPr="00BC1FAD">
        <w:rPr>
          <w:rFonts w:ascii="Palatino Linotype" w:eastAsia="Palatino Linotype" w:hAnsi="Palatino Linotype" w:cs="Palatino Linotype"/>
          <w:sz w:val="22"/>
          <w:szCs w:val="22"/>
        </w:rPr>
        <w:lastRenderedPageBreak/>
        <w:t>de la Nación, e incluso referido por el Particular en sus motivos de inconformidad cuya literalidad es la siguiente:</w:t>
      </w:r>
    </w:p>
    <w:p w14:paraId="1FCA61DE" w14:textId="77777777" w:rsidR="00191DBD" w:rsidRPr="00BC1FAD" w:rsidRDefault="00191DBD">
      <w:pPr>
        <w:rPr>
          <w:sz w:val="22"/>
          <w:szCs w:val="22"/>
        </w:rPr>
      </w:pPr>
    </w:p>
    <w:p w14:paraId="32193713" w14:textId="77777777" w:rsidR="00191DBD" w:rsidRPr="00BC1FAD" w:rsidRDefault="005029AE">
      <w:pPr>
        <w:pBdr>
          <w:top w:val="nil"/>
          <w:left w:val="nil"/>
          <w:bottom w:val="nil"/>
          <w:right w:val="nil"/>
          <w:between w:val="nil"/>
        </w:pBdr>
        <w:spacing w:line="276" w:lineRule="auto"/>
        <w:ind w:left="567" w:right="539"/>
        <w:jc w:val="both"/>
        <w:rPr>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INFORMACIÓN SUJETA A REVISIÓN. SI YA CONSTA EN UN DOCUMENTO DEFINITIVO, DEBE PERMITIRSE EL ACCESO A ÉSTE</w:t>
      </w:r>
      <w:r w:rsidRPr="00BC1FAD">
        <w:rPr>
          <w:rFonts w:ascii="Palatino Linotype" w:eastAsia="Palatino Linotype" w:hAnsi="Palatino Linotype" w:cs="Palatino Linotype"/>
          <w:i/>
          <w:sz w:val="22"/>
          <w:szCs w:val="22"/>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0C629AF0" w14:textId="77777777" w:rsidR="00191DBD" w:rsidRPr="00BC1FAD" w:rsidRDefault="005029AE">
      <w:pPr>
        <w:pBdr>
          <w:top w:val="nil"/>
          <w:left w:val="nil"/>
          <w:bottom w:val="nil"/>
          <w:right w:val="nil"/>
          <w:between w:val="nil"/>
        </w:pBdr>
        <w:spacing w:line="276" w:lineRule="auto"/>
        <w:ind w:left="567" w:right="539"/>
        <w:jc w:val="both"/>
        <w:rPr>
          <w:sz w:val="22"/>
          <w:szCs w:val="22"/>
        </w:rPr>
      </w:pPr>
      <w:r w:rsidRPr="00BC1FAD">
        <w:rPr>
          <w:rFonts w:ascii="Palatino Linotype" w:eastAsia="Palatino Linotype" w:hAnsi="Palatino Linotype" w:cs="Palatino Linotype"/>
          <w:i/>
          <w:sz w:val="22"/>
          <w:szCs w:val="22"/>
        </w:rPr>
        <w:t>Clasificación de la información 10/2004-J, 19 de mayo de 2004.</w:t>
      </w:r>
    </w:p>
    <w:p w14:paraId="3DDEA428" w14:textId="77777777" w:rsidR="00191DBD" w:rsidRPr="00BC1FAD" w:rsidRDefault="005029AE">
      <w:pPr>
        <w:pBdr>
          <w:top w:val="nil"/>
          <w:left w:val="nil"/>
          <w:bottom w:val="nil"/>
          <w:right w:val="nil"/>
          <w:between w:val="nil"/>
        </w:pBdr>
        <w:spacing w:line="276" w:lineRule="auto"/>
        <w:ind w:left="567" w:right="539"/>
        <w:jc w:val="both"/>
        <w:rPr>
          <w:sz w:val="22"/>
          <w:szCs w:val="22"/>
        </w:rPr>
      </w:pPr>
      <w:r w:rsidRPr="00BC1FAD">
        <w:rPr>
          <w:rFonts w:ascii="Palatino Linotype" w:eastAsia="Palatino Linotype" w:hAnsi="Palatino Linotype" w:cs="Palatino Linotype"/>
          <w:i/>
          <w:sz w:val="22"/>
          <w:szCs w:val="22"/>
        </w:rPr>
        <w:t>Unanimidad de votos"</w:t>
      </w:r>
    </w:p>
    <w:p w14:paraId="214C6A80" w14:textId="77777777" w:rsidR="00191DBD" w:rsidRPr="00BC1FAD" w:rsidRDefault="00191DBD">
      <w:pPr>
        <w:rPr>
          <w:sz w:val="22"/>
          <w:szCs w:val="22"/>
        </w:rPr>
      </w:pPr>
    </w:p>
    <w:p w14:paraId="0B9E6D6C" w14:textId="77777777" w:rsidR="00191DBD" w:rsidRPr="00BC1FAD" w:rsidRDefault="005029AE">
      <w:pPr>
        <w:pBdr>
          <w:top w:val="nil"/>
          <w:left w:val="nil"/>
          <w:bottom w:val="nil"/>
          <w:right w:val="nil"/>
          <w:between w:val="nil"/>
        </w:pBdr>
        <w:spacing w:line="360" w:lineRule="auto"/>
        <w:jc w:val="both"/>
        <w:rPr>
          <w:sz w:val="22"/>
          <w:szCs w:val="22"/>
        </w:rPr>
      </w:pPr>
      <w:r w:rsidRPr="00BC1FAD">
        <w:rPr>
          <w:rFonts w:ascii="Palatino Linotype" w:eastAsia="Palatino Linotype" w:hAnsi="Palatino Linotype" w:cs="Palatino Linotype"/>
          <w:sz w:val="22"/>
          <w:szCs w:val="22"/>
        </w:rPr>
        <w:t xml:space="preserve">Del anterior criterio se puede deducir que para el caso de acceso sobre documentos que se encuentren en un proceso de revisión deberá permitirse el acceso a los mismos. </w:t>
      </w:r>
    </w:p>
    <w:p w14:paraId="57D86F32" w14:textId="77777777" w:rsidR="00191DBD" w:rsidRPr="00BC1FAD" w:rsidRDefault="005029A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Asimismo, no pasa desapercibido para este Organismo Garante mencionar que </w:t>
      </w:r>
      <w:r w:rsidRPr="00BC1FAD">
        <w:rPr>
          <w:rFonts w:ascii="Palatino Linotype" w:eastAsia="Palatino Linotype" w:hAnsi="Palatino Linotype" w:cs="Palatino Linotype"/>
          <w:b/>
          <w:sz w:val="22"/>
          <w:szCs w:val="22"/>
          <w:u w:val="single"/>
        </w:rPr>
        <w:t>los contratos, son considerados como una de las obligaciones de transparencias comunes que los Sujetos Obligados tienen el deber de poner a disposición del público de manera permanente y actualizada de forma sencilla, precisa y entendible</w:t>
      </w:r>
      <w:r w:rsidRPr="00BC1FAD">
        <w:rPr>
          <w:rFonts w:ascii="Palatino Linotype" w:eastAsia="Palatino Linotype" w:hAnsi="Palatino Linotype" w:cs="Palatino Linotype"/>
          <w:sz w:val="22"/>
          <w:szCs w:val="22"/>
        </w:rPr>
        <w:t>,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252EBC63"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“Artículo 92. </w:t>
      </w:r>
      <w:r w:rsidRPr="00BC1FAD">
        <w:rPr>
          <w:rFonts w:ascii="Palatino Linotype" w:eastAsia="Palatino Linotype" w:hAnsi="Palatino Linotype" w:cs="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BC1FAD">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0CFDF909"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i/>
          <w:sz w:val="22"/>
          <w:szCs w:val="22"/>
        </w:rPr>
        <w:t>[…]</w:t>
      </w:r>
    </w:p>
    <w:p w14:paraId="0647844C"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XXIX. </w:t>
      </w:r>
      <w:r w:rsidRPr="00BC1FAD">
        <w:rPr>
          <w:rFonts w:ascii="Palatino Linotype" w:eastAsia="Palatino Linotype" w:hAnsi="Palatino Linotype" w:cs="Palatino Linotype"/>
          <w:b/>
          <w:i/>
          <w:sz w:val="22"/>
          <w:szCs w:val="22"/>
          <w:u w:val="single"/>
        </w:rPr>
        <w:t>La información sobre los procesos y resultados sobre procedimientos de adjudicación directa, invitación restringida y licitación de cualquier naturaleza,</w:t>
      </w: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u w:val="single"/>
        </w:rPr>
        <w:t>incluyendo la versión pública del expediente respectivo y de los contratos</w:t>
      </w:r>
      <w:r w:rsidRPr="00BC1FAD">
        <w:rPr>
          <w:rFonts w:ascii="Palatino Linotype" w:eastAsia="Palatino Linotype" w:hAnsi="Palatino Linotype" w:cs="Palatino Linotype"/>
          <w:i/>
          <w:sz w:val="22"/>
          <w:szCs w:val="22"/>
        </w:rPr>
        <w:t> celebrados, que deberán contener, por los menos, lo siguiente:</w:t>
      </w:r>
    </w:p>
    <w:p w14:paraId="00AB09A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i/>
          <w:sz w:val="22"/>
          <w:szCs w:val="22"/>
        </w:rPr>
        <w:t>a) De licitaciones públicas o procedimientos de invitación restringida:</w:t>
      </w:r>
    </w:p>
    <w:p w14:paraId="3C9E7F1F"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w:t>
      </w:r>
      <w:r w:rsidRPr="00BC1FAD">
        <w:rPr>
          <w:rFonts w:ascii="Palatino Linotype" w:eastAsia="Palatino Linotype" w:hAnsi="Palatino Linotype" w:cs="Palatino Linotype"/>
          <w:i/>
          <w:sz w:val="22"/>
          <w:szCs w:val="22"/>
        </w:rPr>
        <w:t> La convocatoria o invitación emitida, así como los fundamentos legales aplicados para llevarla a cabo;</w:t>
      </w:r>
    </w:p>
    <w:p w14:paraId="277FA33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2) </w:t>
      </w:r>
      <w:r w:rsidRPr="00BC1FAD">
        <w:rPr>
          <w:rFonts w:ascii="Palatino Linotype" w:eastAsia="Palatino Linotype" w:hAnsi="Palatino Linotype" w:cs="Palatino Linotype"/>
          <w:i/>
          <w:sz w:val="22"/>
          <w:szCs w:val="22"/>
        </w:rPr>
        <w:t>Los nombres de los participantes o invitados;</w:t>
      </w:r>
    </w:p>
    <w:p w14:paraId="66A5BAA4"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3</w:t>
      </w:r>
      <w:r w:rsidRPr="00BC1FAD">
        <w:rPr>
          <w:rFonts w:ascii="Palatino Linotype" w:eastAsia="Palatino Linotype" w:hAnsi="Palatino Linotype" w:cs="Palatino Linotype"/>
          <w:i/>
          <w:sz w:val="22"/>
          <w:szCs w:val="22"/>
        </w:rPr>
        <w:t>) El nombre del ganador y las razones que lo justifican;</w:t>
      </w:r>
    </w:p>
    <w:p w14:paraId="7EF605DC"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4) </w:t>
      </w:r>
      <w:r w:rsidRPr="00BC1FAD">
        <w:rPr>
          <w:rFonts w:ascii="Palatino Linotype" w:eastAsia="Palatino Linotype" w:hAnsi="Palatino Linotype" w:cs="Palatino Linotype"/>
          <w:i/>
          <w:sz w:val="22"/>
          <w:szCs w:val="22"/>
        </w:rPr>
        <w:t>El área solicitante y la responsable de su ejecución;</w:t>
      </w:r>
    </w:p>
    <w:p w14:paraId="3F4BB26C"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5) </w:t>
      </w:r>
      <w:r w:rsidRPr="00BC1FAD">
        <w:rPr>
          <w:rFonts w:ascii="Palatino Linotype" w:eastAsia="Palatino Linotype" w:hAnsi="Palatino Linotype" w:cs="Palatino Linotype"/>
          <w:i/>
          <w:sz w:val="22"/>
          <w:szCs w:val="22"/>
        </w:rPr>
        <w:t>Las convocatorias e invitaciones emitidas;</w:t>
      </w:r>
    </w:p>
    <w:p w14:paraId="5608A97B" w14:textId="77777777" w:rsidR="00191DBD" w:rsidRPr="00BC1FAD" w:rsidRDefault="005029AE">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6)</w:t>
      </w:r>
      <w:r w:rsidRPr="00BC1FAD">
        <w:rPr>
          <w:rFonts w:ascii="Palatino Linotype" w:eastAsia="Palatino Linotype" w:hAnsi="Palatino Linotype" w:cs="Palatino Linotype"/>
          <w:i/>
          <w:sz w:val="22"/>
          <w:szCs w:val="22"/>
        </w:rPr>
        <w:t> Los dictámenes y fallo de adjudicación;</w:t>
      </w:r>
    </w:p>
    <w:p w14:paraId="255AC221" w14:textId="77777777" w:rsidR="00191DBD" w:rsidRPr="00BC1FAD" w:rsidRDefault="005029AE">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u w:val="single"/>
        </w:rPr>
        <w:t>7) El contrato y, en su caso, sus anexos</w:t>
      </w:r>
      <w:r w:rsidRPr="00BC1FAD">
        <w:rPr>
          <w:rFonts w:ascii="Palatino Linotype" w:eastAsia="Palatino Linotype" w:hAnsi="Palatino Linotype" w:cs="Palatino Linotype"/>
          <w:i/>
          <w:sz w:val="22"/>
          <w:szCs w:val="22"/>
        </w:rPr>
        <w:t>;</w:t>
      </w:r>
    </w:p>
    <w:p w14:paraId="25D63BC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8) </w:t>
      </w:r>
      <w:r w:rsidRPr="00BC1FAD">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26C07905"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9) </w:t>
      </w:r>
      <w:r w:rsidRPr="00BC1FAD">
        <w:rPr>
          <w:rFonts w:ascii="Palatino Linotype" w:eastAsia="Palatino Linotype" w:hAnsi="Palatino Linotype" w:cs="Palatino Linotype"/>
          <w:i/>
          <w:sz w:val="22"/>
          <w:szCs w:val="22"/>
        </w:rPr>
        <w:t>La partida presupuestal, de conformidad con el clasificador por objeto del gasto, en el caso de ser aplicable;</w:t>
      </w:r>
    </w:p>
    <w:p w14:paraId="40EF76F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10) </w:t>
      </w:r>
      <w:r w:rsidRPr="00BC1FAD">
        <w:rPr>
          <w:rFonts w:ascii="Palatino Linotype" w:eastAsia="Palatino Linotype" w:hAnsi="Palatino Linotype" w:cs="Palatino Linotype"/>
          <w:i/>
          <w:sz w:val="22"/>
          <w:szCs w:val="22"/>
        </w:rPr>
        <w:t>Origen de los recursos especificando si son federales, estatales o municipales, así como el tipo de fondo de participación o aportación respectiva;</w:t>
      </w:r>
    </w:p>
    <w:p w14:paraId="3DB43D92"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11) </w:t>
      </w:r>
      <w:r w:rsidRPr="00BC1FAD">
        <w:rPr>
          <w:rFonts w:ascii="Palatino Linotype" w:eastAsia="Palatino Linotype" w:hAnsi="Palatino Linotype" w:cs="Palatino Linotype"/>
          <w:i/>
          <w:sz w:val="22"/>
          <w:szCs w:val="22"/>
        </w:rPr>
        <w:t>Los convenios modificatorios que, en su caso, sean firmados, precisando el objeto y la fecha de celebración;</w:t>
      </w:r>
    </w:p>
    <w:p w14:paraId="46AAE155"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lastRenderedPageBreak/>
        <w:t>12) </w:t>
      </w:r>
      <w:r w:rsidRPr="00BC1FAD">
        <w:rPr>
          <w:rFonts w:ascii="Palatino Linotype" w:eastAsia="Palatino Linotype" w:hAnsi="Palatino Linotype" w:cs="Palatino Linotype"/>
          <w:i/>
          <w:sz w:val="22"/>
          <w:szCs w:val="22"/>
        </w:rPr>
        <w:t>Los informes de avance físico y financiero sobre las obras o servicios contratados;</w:t>
      </w:r>
    </w:p>
    <w:p w14:paraId="249344CF"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13) </w:t>
      </w:r>
      <w:r w:rsidRPr="00BC1FAD">
        <w:rPr>
          <w:rFonts w:ascii="Palatino Linotype" w:eastAsia="Palatino Linotype" w:hAnsi="Palatino Linotype" w:cs="Palatino Linotype"/>
          <w:i/>
          <w:sz w:val="22"/>
          <w:szCs w:val="22"/>
        </w:rPr>
        <w:t>El convenio de terminación; y</w:t>
      </w:r>
    </w:p>
    <w:p w14:paraId="40C38540"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14) </w:t>
      </w:r>
      <w:r w:rsidRPr="00BC1FAD">
        <w:rPr>
          <w:rFonts w:ascii="Palatino Linotype" w:eastAsia="Palatino Linotype" w:hAnsi="Palatino Linotype" w:cs="Palatino Linotype"/>
          <w:i/>
          <w:sz w:val="22"/>
          <w:szCs w:val="22"/>
        </w:rPr>
        <w:t>El finiquito;</w:t>
      </w:r>
    </w:p>
    <w:p w14:paraId="27DBD01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b) De las adjudicaciones directas;</w:t>
      </w:r>
    </w:p>
    <w:p w14:paraId="36CB45D8"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 </w:t>
      </w:r>
      <w:r w:rsidRPr="00BC1FAD">
        <w:rPr>
          <w:rFonts w:ascii="Palatino Linotype" w:eastAsia="Palatino Linotype" w:hAnsi="Palatino Linotype" w:cs="Palatino Linotype"/>
          <w:i/>
          <w:sz w:val="22"/>
          <w:szCs w:val="22"/>
        </w:rPr>
        <w:t>La propuesta enviada por el participante;</w:t>
      </w:r>
    </w:p>
    <w:p w14:paraId="2F43457D"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2) </w:t>
      </w:r>
      <w:r w:rsidRPr="00BC1FAD">
        <w:rPr>
          <w:rFonts w:ascii="Palatino Linotype" w:eastAsia="Palatino Linotype" w:hAnsi="Palatino Linotype" w:cs="Palatino Linotype"/>
          <w:i/>
          <w:sz w:val="22"/>
          <w:szCs w:val="22"/>
        </w:rPr>
        <w:t>Los motivos y fundamentos legales aplicados para llevarla a cabo;</w:t>
      </w:r>
    </w:p>
    <w:p w14:paraId="42CD93F8"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3) </w:t>
      </w:r>
      <w:r w:rsidRPr="00BC1FAD">
        <w:rPr>
          <w:rFonts w:ascii="Palatino Linotype" w:eastAsia="Palatino Linotype" w:hAnsi="Palatino Linotype" w:cs="Palatino Linotype"/>
          <w:i/>
          <w:sz w:val="22"/>
          <w:szCs w:val="22"/>
        </w:rPr>
        <w:t>La autorización del ejercicio de la opción;</w:t>
      </w:r>
    </w:p>
    <w:p w14:paraId="63B2567A"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4)</w:t>
      </w: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En su caso, las cotizaciones consideradas, especificando los nombres de los proveedores y sus montos;</w:t>
      </w:r>
    </w:p>
    <w:p w14:paraId="4BAC67CD"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5) </w:t>
      </w:r>
      <w:r w:rsidRPr="00BC1FAD">
        <w:rPr>
          <w:rFonts w:ascii="Palatino Linotype" w:eastAsia="Palatino Linotype" w:hAnsi="Palatino Linotype" w:cs="Palatino Linotype"/>
          <w:i/>
          <w:sz w:val="22"/>
          <w:szCs w:val="22"/>
        </w:rPr>
        <w:t>El nombre de la persona física o jurídica colectiva adjudicada;</w:t>
      </w:r>
    </w:p>
    <w:p w14:paraId="30170960"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6) </w:t>
      </w:r>
      <w:r w:rsidRPr="00BC1FAD">
        <w:rPr>
          <w:rFonts w:ascii="Palatino Linotype" w:eastAsia="Palatino Linotype" w:hAnsi="Palatino Linotype" w:cs="Palatino Linotype"/>
          <w:i/>
          <w:sz w:val="22"/>
          <w:szCs w:val="22"/>
        </w:rPr>
        <w:t>La unidad administrativa solicitante y la responsable de su ejecución;</w:t>
      </w:r>
    </w:p>
    <w:p w14:paraId="7ECF82E9"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7)</w:t>
      </w:r>
      <w:r w:rsidRPr="00BC1FAD">
        <w:rPr>
          <w:rFonts w:ascii="Palatino Linotype" w:eastAsia="Palatino Linotype" w:hAnsi="Palatino Linotype" w:cs="Palatino Linotype"/>
          <w:i/>
          <w:sz w:val="22"/>
          <w:szCs w:val="22"/>
        </w:rPr>
        <w:t> </w:t>
      </w:r>
      <w:r w:rsidRPr="00BC1FAD">
        <w:rPr>
          <w:rFonts w:ascii="Palatino Linotype" w:eastAsia="Palatino Linotype" w:hAnsi="Palatino Linotype" w:cs="Palatino Linotype"/>
          <w:b/>
          <w:i/>
          <w:sz w:val="22"/>
          <w:szCs w:val="22"/>
        </w:rPr>
        <w:t xml:space="preserve">El número, fecha, </w:t>
      </w:r>
      <w:r w:rsidRPr="00BC1FAD">
        <w:rPr>
          <w:rFonts w:ascii="Palatino Linotype" w:eastAsia="Palatino Linotype" w:hAnsi="Palatino Linotype" w:cs="Palatino Linotype"/>
          <w:b/>
          <w:i/>
          <w:sz w:val="22"/>
          <w:szCs w:val="22"/>
          <w:u w:val="single"/>
        </w:rPr>
        <w:t>el monto del contrato</w:t>
      </w:r>
      <w:r w:rsidRPr="00BC1FAD">
        <w:rPr>
          <w:rFonts w:ascii="Palatino Linotype" w:eastAsia="Palatino Linotype" w:hAnsi="Palatino Linotype" w:cs="Palatino Linotype"/>
          <w:b/>
          <w:i/>
          <w:sz w:val="22"/>
          <w:szCs w:val="22"/>
        </w:rPr>
        <w:t xml:space="preserve"> y el plazo de entrega o de ejecución de los servicios u obra;</w:t>
      </w:r>
    </w:p>
    <w:p w14:paraId="79DE1914" w14:textId="77777777" w:rsidR="00191DBD" w:rsidRPr="00BC1FAD" w:rsidRDefault="005029AE">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0"/>
          <w:szCs w:val="20"/>
        </w:rPr>
      </w:pPr>
      <w:r w:rsidRPr="00BC1FAD">
        <w:rPr>
          <w:b/>
          <w:i/>
        </w:rPr>
        <w:t>8</w:t>
      </w:r>
      <w:r w:rsidRPr="00BC1FAD">
        <w:rPr>
          <w:rFonts w:ascii="Palatino Linotype" w:eastAsia="Palatino Linotype" w:hAnsi="Palatino Linotype" w:cs="Palatino Linotype"/>
          <w:b/>
          <w:i/>
          <w:sz w:val="22"/>
          <w:szCs w:val="22"/>
        </w:rPr>
        <w:t>) </w:t>
      </w:r>
      <w:r w:rsidRPr="00BC1FAD">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58751EF5" w14:textId="77777777" w:rsidR="00191DBD" w:rsidRPr="00BC1FAD" w:rsidRDefault="005029AE">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9) </w:t>
      </w:r>
      <w:r w:rsidRPr="00BC1FAD">
        <w:rPr>
          <w:rFonts w:ascii="Palatino Linotype" w:eastAsia="Palatino Linotype" w:hAnsi="Palatino Linotype" w:cs="Palatino Linotype"/>
          <w:i/>
          <w:sz w:val="22"/>
          <w:szCs w:val="22"/>
        </w:rPr>
        <w:t>Los informes de avance sobre las obras o servicios contratados;</w:t>
      </w:r>
    </w:p>
    <w:p w14:paraId="20317F3D" w14:textId="77777777" w:rsidR="00191DBD" w:rsidRPr="00BC1FAD" w:rsidRDefault="005029AE">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10) </w:t>
      </w:r>
      <w:r w:rsidRPr="00BC1FAD">
        <w:rPr>
          <w:rFonts w:ascii="Palatino Linotype" w:eastAsia="Palatino Linotype" w:hAnsi="Palatino Linotype" w:cs="Palatino Linotype"/>
          <w:i/>
          <w:sz w:val="22"/>
          <w:szCs w:val="22"/>
        </w:rPr>
        <w:t>El convenio de terminación; y</w:t>
      </w:r>
    </w:p>
    <w:p w14:paraId="25EAFFA8" w14:textId="77777777" w:rsidR="00191DBD" w:rsidRPr="00BC1FAD" w:rsidRDefault="005029AE">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i/>
          <w:sz w:val="22"/>
          <w:szCs w:val="22"/>
        </w:rPr>
        <w:t>11) </w:t>
      </w:r>
      <w:r w:rsidRPr="00BC1FAD">
        <w:rPr>
          <w:rFonts w:ascii="Palatino Linotype" w:eastAsia="Palatino Linotype" w:hAnsi="Palatino Linotype" w:cs="Palatino Linotype"/>
          <w:i/>
          <w:sz w:val="22"/>
          <w:szCs w:val="22"/>
        </w:rPr>
        <w:t>El finiquito.</w:t>
      </w:r>
      <w:r w:rsidRPr="00BC1FAD">
        <w:rPr>
          <w:rFonts w:ascii="Palatino Linotype" w:eastAsia="Palatino Linotype" w:hAnsi="Palatino Linotype" w:cs="Palatino Linotype"/>
          <w:b/>
          <w:i/>
          <w:sz w:val="22"/>
          <w:szCs w:val="22"/>
        </w:rPr>
        <w:t>”</w:t>
      </w:r>
    </w:p>
    <w:p w14:paraId="435EA839" w14:textId="77777777" w:rsidR="00191DBD" w:rsidRPr="00BC1FAD" w:rsidRDefault="005029A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del contrato, por lo </w:t>
      </w:r>
      <w:r w:rsidRPr="00BC1FAD">
        <w:rPr>
          <w:rFonts w:ascii="Palatino Linotype" w:eastAsia="Palatino Linotype" w:hAnsi="Palatino Linotype" w:cs="Palatino Linotype"/>
          <w:sz w:val="22"/>
          <w:szCs w:val="22"/>
        </w:rPr>
        <w:lastRenderedPageBreak/>
        <w:t xml:space="preserve">tanto, no es susceptible de considerarse como reservado y por el contrario, procede su entrega en versión pública. </w:t>
      </w:r>
    </w:p>
    <w:p w14:paraId="21686488" w14:textId="77777777" w:rsidR="00191DBD" w:rsidRPr="00BC1FAD" w:rsidRDefault="005029AE">
      <w:pP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Es por todo lo anterior que esta autoridad estima que las razones o motivos de inconformidad hechos valer por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devienen </w:t>
      </w:r>
      <w:r w:rsidRPr="00BC1FAD">
        <w:rPr>
          <w:rFonts w:ascii="Palatino Linotype" w:eastAsia="Palatino Linotype" w:hAnsi="Palatino Linotype" w:cs="Palatino Linotype"/>
          <w:b/>
          <w:sz w:val="22"/>
          <w:szCs w:val="22"/>
        </w:rPr>
        <w:t>fundados</w:t>
      </w:r>
      <w:r w:rsidRPr="00BC1FAD">
        <w:rPr>
          <w:rFonts w:ascii="Palatino Linotype" w:eastAsia="Palatino Linotype" w:hAnsi="Palatino Linotype" w:cs="Palatino Linotype"/>
          <w:sz w:val="22"/>
          <w:szCs w:val="22"/>
        </w:rPr>
        <w:t>; por lo que, lo procedente es </w:t>
      </w:r>
      <w:r w:rsidRPr="00BC1FAD">
        <w:rPr>
          <w:rFonts w:ascii="Palatino Linotype" w:eastAsia="Palatino Linotype" w:hAnsi="Palatino Linotype" w:cs="Palatino Linotype"/>
          <w:b/>
          <w:sz w:val="22"/>
          <w:szCs w:val="22"/>
        </w:rPr>
        <w:t>REVOCAR</w:t>
      </w:r>
      <w:r w:rsidRPr="00BC1FAD">
        <w:rPr>
          <w:rFonts w:ascii="Palatino Linotype" w:eastAsia="Palatino Linotype" w:hAnsi="Palatino Linotype" w:cs="Palatino Linotype"/>
          <w:sz w:val="22"/>
          <w:szCs w:val="22"/>
        </w:rPr>
        <w:t xml:space="preserve"> la respuesta del </w:t>
      </w:r>
      <w:r w:rsidRPr="00BC1FAD">
        <w:rPr>
          <w:rFonts w:ascii="Palatino Linotype" w:eastAsia="Palatino Linotype" w:hAnsi="Palatino Linotype" w:cs="Palatino Linotype"/>
          <w:b/>
          <w:sz w:val="22"/>
          <w:szCs w:val="22"/>
        </w:rPr>
        <w:t xml:space="preserve">Sujeto Obligado y ordenar la entrega </w:t>
      </w:r>
      <w:r w:rsidRPr="00BC1FAD">
        <w:rPr>
          <w:rFonts w:ascii="Palatino Linotype" w:eastAsia="Palatino Linotype" w:hAnsi="Palatino Linotype" w:cs="Palatino Linotype"/>
          <w:sz w:val="22"/>
          <w:szCs w:val="22"/>
        </w:rPr>
        <w:t xml:space="preserve">de lo siguiente, en versión pública de ser procedente, conforme al considerando quinto, el documento o documentos donde conste o se pueda advertir la siguiente información: </w:t>
      </w:r>
    </w:p>
    <w:p w14:paraId="3CE5765F" w14:textId="77777777" w:rsidR="00191DBD" w:rsidRPr="00BC1FAD" w:rsidRDefault="005029AE">
      <w:pPr>
        <w:spacing w:before="240" w:after="240" w:line="276" w:lineRule="auto"/>
        <w:ind w:left="567" w:right="90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 xml:space="preserve">1. Contratos celebrados por el Ayuntamiento de Tlalnepantla de Baz para el  arrendamiento de equipos de cómputo, impresoras y consumibles, del 01 de enero de 2022 al 08 de abril de 2024. </w:t>
      </w:r>
    </w:p>
    <w:p w14:paraId="49FAE07F" w14:textId="77777777" w:rsidR="00191DBD" w:rsidRPr="00BC1FAD" w:rsidRDefault="005029AE">
      <w:pPr>
        <w:spacing w:before="240" w:after="240" w:line="360" w:lineRule="auto"/>
        <w:ind w:right="49"/>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sz w:val="22"/>
          <w:szCs w:val="22"/>
        </w:rPr>
        <w:t xml:space="preserve">Por otro lado, no pasa por desapercibido que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xml:space="preserve"> requirió la información indicada en</w:t>
      </w:r>
      <w:r w:rsidRPr="00BC1FAD">
        <w:rPr>
          <w:rFonts w:ascii="Palatino Linotype" w:eastAsia="Palatino Linotype" w:hAnsi="Palatino Linotype" w:cs="Palatino Linotype"/>
          <w:b/>
          <w:sz w:val="22"/>
          <w:szCs w:val="22"/>
        </w:rPr>
        <w:t xml:space="preserve"> “copia”, </w:t>
      </w:r>
      <w:r w:rsidRPr="00BC1FAD">
        <w:rPr>
          <w:rFonts w:ascii="Palatino Linotype" w:eastAsia="Palatino Linotype" w:hAnsi="Palatino Linotype" w:cs="Palatino Linotype"/>
          <w:sz w:val="22"/>
          <w:szCs w:val="22"/>
        </w:rPr>
        <w:t>en este sentido, lo idóneo es ordenar la entrega de la información, a través del SAIMEX,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sea impreso, lo que se configura como copia simple; de lo anterior, tenemos que, al ser entregado de forma digital o electrónica a través del SAIMEX, como es el caso,</w:t>
      </w:r>
      <w:r w:rsidRPr="00BC1FAD">
        <w:rPr>
          <w:rFonts w:ascii="Palatino Linotype" w:eastAsia="Palatino Linotype" w:hAnsi="Palatino Linotype" w:cs="Palatino Linotype"/>
          <w:b/>
          <w:sz w:val="22"/>
          <w:szCs w:val="22"/>
        </w:rPr>
        <w:t xml:space="preserve"> la hoy parte Recurrente </w:t>
      </w:r>
      <w:r w:rsidRPr="00BC1FAD">
        <w:rPr>
          <w:rFonts w:ascii="Palatino Linotype" w:eastAsia="Palatino Linotype" w:hAnsi="Palatino Linotype" w:cs="Palatino Linotype"/>
          <w:sz w:val="22"/>
          <w:szCs w:val="22"/>
        </w:rPr>
        <w:t>puede hacer uso de la información a su libre elección.</w:t>
      </w:r>
    </w:p>
    <w:p w14:paraId="388334A4" w14:textId="77777777" w:rsidR="00191DBD" w:rsidRPr="00BC1FAD" w:rsidRDefault="005029AE">
      <w:pP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 xml:space="preserve">Quinto. Versión Pública. </w:t>
      </w:r>
      <w:r w:rsidRPr="00BC1FA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w:t>
      </w:r>
      <w:r w:rsidRPr="00BC1FAD">
        <w:rPr>
          <w:rFonts w:ascii="Palatino Linotype" w:eastAsia="Palatino Linotype" w:hAnsi="Palatino Linotype" w:cs="Palatino Linotype"/>
          <w:sz w:val="22"/>
          <w:szCs w:val="22"/>
        </w:rPr>
        <w:lastRenderedPageBreak/>
        <w:t xml:space="preserve">tendrá que hacer la elaboración de una versión pública de los documentos que vaya entregar para dar cumplimiento a esta resolución, a fin de satisfacer el derecho de acceso a la información pública de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xml:space="preserve"> sin menoscabar el derecho a la protección de los datos personales de terceros.</w:t>
      </w:r>
    </w:p>
    <w:p w14:paraId="1C873C84" w14:textId="77777777" w:rsidR="00191DBD" w:rsidRPr="00BC1FAD" w:rsidRDefault="005029AE">
      <w:pPr>
        <w:spacing w:before="240" w:after="240" w:line="360" w:lineRule="auto"/>
        <w:ind w:right="49"/>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0B294BA1" w14:textId="77777777" w:rsidR="00191DBD" w:rsidRPr="00BC1FAD" w:rsidRDefault="005029AE">
      <w:pPr>
        <w:ind w:left="993" w:right="1041"/>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 xml:space="preserve"> “Artículo 3. Para los efectos de la presente Ley se entenderá por:</w:t>
      </w:r>
    </w:p>
    <w:p w14:paraId="4A471164"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IX. Datos personales:</w:t>
      </w:r>
      <w:r w:rsidRPr="00BC1FAD">
        <w:rPr>
          <w:rFonts w:ascii="Palatino Linotype" w:eastAsia="Palatino Linotype" w:hAnsi="Palatino Linotype" w:cs="Palatino Linotype"/>
          <w:i/>
          <w:sz w:val="22"/>
          <w:szCs w:val="22"/>
        </w:rPr>
        <w:t xml:space="preserve"> </w:t>
      </w:r>
      <w:r w:rsidRPr="00BC1FAD">
        <w:rPr>
          <w:rFonts w:ascii="Palatino Linotype" w:eastAsia="Palatino Linotype" w:hAnsi="Palatino Linotype" w:cs="Palatino Linotype"/>
          <w:b/>
          <w:i/>
          <w:sz w:val="22"/>
          <w:szCs w:val="22"/>
        </w:rPr>
        <w:t>La información concerniente a una persona, identificada o identificable</w:t>
      </w:r>
      <w:r w:rsidRPr="00BC1FAD">
        <w:rPr>
          <w:rFonts w:ascii="Palatino Linotype" w:eastAsia="Palatino Linotype" w:hAnsi="Palatino Linotype" w:cs="Palatino Linotype"/>
          <w:i/>
          <w:sz w:val="22"/>
          <w:szCs w:val="22"/>
        </w:rPr>
        <w:t xml:space="preserve"> según lo dispuesto por la Ley de Protección de Datos Personales del Estado de México;</w:t>
      </w:r>
    </w:p>
    <w:p w14:paraId="2373021F"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XX. Información clasificada:</w:t>
      </w:r>
      <w:r w:rsidRPr="00BC1FAD">
        <w:rPr>
          <w:rFonts w:ascii="Palatino Linotype" w:eastAsia="Palatino Linotype" w:hAnsi="Palatino Linotype" w:cs="Palatino Linotype"/>
          <w:i/>
          <w:sz w:val="22"/>
          <w:szCs w:val="22"/>
        </w:rPr>
        <w:t xml:space="preserve"> Aquella considerada por la presente Ley como reservada o confidencial;</w:t>
      </w:r>
    </w:p>
    <w:p w14:paraId="0E251C1B"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XXXII. Protección de Datos Personales:</w:t>
      </w:r>
      <w:r w:rsidRPr="00BC1FA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0B3FE2B"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XLV. Versión pública</w:t>
      </w:r>
      <w:r w:rsidRPr="00BC1FA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42A809A" w14:textId="77777777" w:rsidR="00191DBD" w:rsidRPr="00BC1FAD" w:rsidRDefault="00191DBD">
      <w:pPr>
        <w:ind w:left="993" w:right="1041"/>
        <w:jc w:val="both"/>
        <w:rPr>
          <w:rFonts w:ascii="Palatino Linotype" w:eastAsia="Palatino Linotype" w:hAnsi="Palatino Linotype" w:cs="Palatino Linotype"/>
          <w:i/>
          <w:sz w:val="22"/>
          <w:szCs w:val="22"/>
        </w:rPr>
      </w:pPr>
    </w:p>
    <w:p w14:paraId="7D946AA2"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6.</w:t>
      </w:r>
      <w:r w:rsidRPr="00BC1FA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1CBCF20" w14:textId="77777777" w:rsidR="00191DBD" w:rsidRPr="00BC1FAD" w:rsidRDefault="00191DBD">
      <w:pPr>
        <w:ind w:left="993" w:right="1041"/>
        <w:jc w:val="both"/>
        <w:rPr>
          <w:rFonts w:ascii="Palatino Linotype" w:eastAsia="Palatino Linotype" w:hAnsi="Palatino Linotype" w:cs="Palatino Linotype"/>
          <w:i/>
          <w:sz w:val="22"/>
          <w:szCs w:val="22"/>
        </w:rPr>
      </w:pPr>
    </w:p>
    <w:p w14:paraId="42D5C548" w14:textId="77777777" w:rsidR="00191DBD" w:rsidRPr="00BC1FAD" w:rsidRDefault="005029AE">
      <w:pPr>
        <w:ind w:left="993" w:right="1041"/>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“Artículo 137.</w:t>
      </w:r>
      <w:r w:rsidRPr="00BC1FA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FE4003" w14:textId="77777777" w:rsidR="00191DBD" w:rsidRPr="00BC1FAD" w:rsidRDefault="00191DBD">
      <w:pPr>
        <w:ind w:left="993" w:right="1041"/>
        <w:jc w:val="both"/>
        <w:rPr>
          <w:rFonts w:ascii="Palatino Linotype" w:eastAsia="Palatino Linotype" w:hAnsi="Palatino Linotype" w:cs="Palatino Linotype"/>
          <w:b/>
          <w:i/>
          <w:sz w:val="22"/>
          <w:szCs w:val="22"/>
        </w:rPr>
      </w:pPr>
    </w:p>
    <w:p w14:paraId="3DEA794C"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lastRenderedPageBreak/>
        <w:t>“Artículo 143</w:t>
      </w:r>
      <w:r w:rsidRPr="00BC1FA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3C3A04"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C8A8A64"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9EBD720" w14:textId="77777777" w:rsidR="00191DBD" w:rsidRPr="00BC1FAD" w:rsidRDefault="005029AE">
      <w:pPr>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27A8B454" w14:textId="77777777" w:rsidR="00191DBD" w:rsidRPr="00BC1FAD" w:rsidRDefault="00191DBD">
      <w:pPr>
        <w:ind w:left="993" w:right="1041"/>
        <w:jc w:val="both"/>
        <w:rPr>
          <w:rFonts w:ascii="Palatino Linotype" w:eastAsia="Palatino Linotype" w:hAnsi="Palatino Linotype" w:cs="Palatino Linotype"/>
          <w:i/>
          <w:sz w:val="22"/>
          <w:szCs w:val="22"/>
        </w:rPr>
      </w:pPr>
    </w:p>
    <w:p w14:paraId="0E1ABBDB" w14:textId="77777777" w:rsidR="00191DBD" w:rsidRPr="00BC1FAD" w:rsidRDefault="005029AE">
      <w:pPr>
        <w:spacing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2A58305" w14:textId="77777777" w:rsidR="00191DBD" w:rsidRPr="00BC1FAD" w:rsidRDefault="00191DBD">
      <w:pPr>
        <w:spacing w:line="360" w:lineRule="auto"/>
        <w:ind w:right="51"/>
        <w:jc w:val="both"/>
        <w:rPr>
          <w:rFonts w:ascii="Palatino Linotype" w:eastAsia="Palatino Linotype" w:hAnsi="Palatino Linotype" w:cs="Palatino Linotype"/>
          <w:sz w:val="22"/>
          <w:szCs w:val="22"/>
        </w:rPr>
      </w:pPr>
    </w:p>
    <w:p w14:paraId="12A03514" w14:textId="77777777" w:rsidR="00191DBD" w:rsidRPr="00BC1FAD" w:rsidRDefault="005029AE">
      <w:pPr>
        <w:spacing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210713" w14:textId="77777777" w:rsidR="00191DBD" w:rsidRPr="00BC1FAD" w:rsidRDefault="00191DBD">
      <w:pPr>
        <w:spacing w:line="360" w:lineRule="auto"/>
        <w:ind w:right="51"/>
        <w:jc w:val="both"/>
        <w:rPr>
          <w:rFonts w:ascii="Palatino Linotype" w:eastAsia="Palatino Linotype" w:hAnsi="Palatino Linotype" w:cs="Palatino Linotype"/>
          <w:sz w:val="22"/>
          <w:szCs w:val="22"/>
        </w:rPr>
      </w:pPr>
    </w:p>
    <w:p w14:paraId="39193054" w14:textId="77777777" w:rsidR="00191DBD" w:rsidRPr="00BC1FAD" w:rsidRDefault="005029AE">
      <w:pPr>
        <w:spacing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165FEAD9" w14:textId="77777777" w:rsidR="00191DBD" w:rsidRPr="00BC1FAD" w:rsidRDefault="00191DBD">
      <w:pPr>
        <w:spacing w:line="360" w:lineRule="auto"/>
        <w:ind w:right="51"/>
        <w:jc w:val="both"/>
        <w:rPr>
          <w:rFonts w:ascii="Palatino Linotype" w:eastAsia="Palatino Linotype" w:hAnsi="Palatino Linotype" w:cs="Palatino Linotype"/>
          <w:sz w:val="22"/>
          <w:szCs w:val="22"/>
        </w:rPr>
      </w:pPr>
    </w:p>
    <w:p w14:paraId="78C1429F"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49.</w:t>
      </w:r>
      <w:r w:rsidRPr="00BC1FAD">
        <w:rPr>
          <w:rFonts w:ascii="Palatino Linotype" w:eastAsia="Palatino Linotype" w:hAnsi="Palatino Linotype" w:cs="Palatino Linotype"/>
          <w:i/>
          <w:sz w:val="22"/>
          <w:szCs w:val="22"/>
        </w:rPr>
        <w:t xml:space="preserve"> </w:t>
      </w:r>
      <w:r w:rsidRPr="00BC1FAD">
        <w:rPr>
          <w:rFonts w:ascii="Palatino Linotype" w:eastAsia="Palatino Linotype" w:hAnsi="Palatino Linotype" w:cs="Palatino Linotype"/>
          <w:b/>
          <w:i/>
          <w:sz w:val="22"/>
          <w:szCs w:val="22"/>
        </w:rPr>
        <w:t>Los Comités de Transparencia</w:t>
      </w:r>
      <w:r w:rsidRPr="00BC1FAD">
        <w:rPr>
          <w:rFonts w:ascii="Palatino Linotype" w:eastAsia="Palatino Linotype" w:hAnsi="Palatino Linotype" w:cs="Palatino Linotype"/>
          <w:i/>
          <w:sz w:val="22"/>
          <w:szCs w:val="22"/>
        </w:rPr>
        <w:t xml:space="preserve"> tendrán las siguientes atribuciones:</w:t>
      </w:r>
    </w:p>
    <w:p w14:paraId="2925CC05"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VIII. Aprobar, modificar o revocar la clasificación de la información</w:t>
      </w:r>
      <w:r w:rsidRPr="00BC1FAD">
        <w:rPr>
          <w:rFonts w:ascii="Palatino Linotype" w:eastAsia="Palatino Linotype" w:hAnsi="Palatino Linotype" w:cs="Palatino Linotype"/>
          <w:i/>
          <w:sz w:val="22"/>
          <w:szCs w:val="22"/>
        </w:rPr>
        <w:t>…”</w:t>
      </w:r>
    </w:p>
    <w:p w14:paraId="2A1091D7"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53.</w:t>
      </w:r>
      <w:r w:rsidRPr="00BC1FAD">
        <w:rPr>
          <w:rFonts w:ascii="Palatino Linotype" w:eastAsia="Palatino Linotype" w:hAnsi="Palatino Linotype" w:cs="Palatino Linotype"/>
          <w:i/>
          <w:sz w:val="22"/>
          <w:szCs w:val="22"/>
        </w:rPr>
        <w:t xml:space="preserve"> Las </w:t>
      </w:r>
      <w:r w:rsidRPr="00BC1FAD">
        <w:rPr>
          <w:rFonts w:ascii="Palatino Linotype" w:eastAsia="Palatino Linotype" w:hAnsi="Palatino Linotype" w:cs="Palatino Linotype"/>
          <w:b/>
          <w:i/>
          <w:sz w:val="22"/>
          <w:szCs w:val="22"/>
        </w:rPr>
        <w:t>Unidades de Transparencia</w:t>
      </w:r>
      <w:r w:rsidRPr="00BC1FAD">
        <w:rPr>
          <w:rFonts w:ascii="Palatino Linotype" w:eastAsia="Palatino Linotype" w:hAnsi="Palatino Linotype" w:cs="Palatino Linotype"/>
          <w:i/>
          <w:sz w:val="22"/>
          <w:szCs w:val="22"/>
        </w:rPr>
        <w:t xml:space="preserve"> tendrán las siguientes </w:t>
      </w:r>
      <w:r w:rsidRPr="00BC1FAD">
        <w:rPr>
          <w:rFonts w:ascii="Palatino Linotype" w:eastAsia="Palatino Linotype" w:hAnsi="Palatino Linotype" w:cs="Palatino Linotype"/>
          <w:b/>
          <w:i/>
          <w:sz w:val="22"/>
          <w:szCs w:val="22"/>
        </w:rPr>
        <w:t>funciones</w:t>
      </w:r>
      <w:r w:rsidRPr="00BC1FAD">
        <w:rPr>
          <w:rFonts w:ascii="Palatino Linotype" w:eastAsia="Palatino Linotype" w:hAnsi="Palatino Linotype" w:cs="Palatino Linotype"/>
          <w:i/>
          <w:sz w:val="22"/>
          <w:szCs w:val="22"/>
        </w:rPr>
        <w:t>:</w:t>
      </w:r>
    </w:p>
    <w:p w14:paraId="58B7BD85"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X. Presentar ante el Comité, el proyecto de clasificación de información</w:t>
      </w:r>
      <w:r w:rsidRPr="00BC1FAD">
        <w:rPr>
          <w:rFonts w:ascii="Palatino Linotype" w:eastAsia="Palatino Linotype" w:hAnsi="Palatino Linotype" w:cs="Palatino Linotype"/>
          <w:i/>
          <w:sz w:val="22"/>
          <w:szCs w:val="22"/>
        </w:rPr>
        <w:t xml:space="preserve">…” </w:t>
      </w:r>
    </w:p>
    <w:p w14:paraId="1BEE7E0C"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“Artículo 59.</w:t>
      </w:r>
      <w:r w:rsidRPr="00BC1FAD">
        <w:rPr>
          <w:rFonts w:ascii="Palatino Linotype" w:eastAsia="Palatino Linotype" w:hAnsi="Palatino Linotype" w:cs="Palatino Linotype"/>
          <w:i/>
          <w:sz w:val="22"/>
          <w:szCs w:val="22"/>
        </w:rPr>
        <w:t xml:space="preserve"> Los </w:t>
      </w:r>
      <w:r w:rsidRPr="00BC1FAD">
        <w:rPr>
          <w:rFonts w:ascii="Palatino Linotype" w:eastAsia="Palatino Linotype" w:hAnsi="Palatino Linotype" w:cs="Palatino Linotype"/>
          <w:b/>
          <w:i/>
          <w:sz w:val="22"/>
          <w:szCs w:val="22"/>
        </w:rPr>
        <w:t>servidores públicos habilitados</w:t>
      </w:r>
      <w:r w:rsidRPr="00BC1FAD">
        <w:rPr>
          <w:rFonts w:ascii="Palatino Linotype" w:eastAsia="Palatino Linotype" w:hAnsi="Palatino Linotype" w:cs="Palatino Linotype"/>
          <w:i/>
          <w:sz w:val="22"/>
          <w:szCs w:val="22"/>
        </w:rPr>
        <w:t xml:space="preserve"> tendrán las </w:t>
      </w:r>
      <w:r w:rsidRPr="00BC1FAD">
        <w:rPr>
          <w:rFonts w:ascii="Palatino Linotype" w:eastAsia="Palatino Linotype" w:hAnsi="Palatino Linotype" w:cs="Palatino Linotype"/>
          <w:b/>
          <w:i/>
          <w:sz w:val="22"/>
          <w:szCs w:val="22"/>
        </w:rPr>
        <w:t>funciones</w:t>
      </w:r>
      <w:r w:rsidRPr="00BC1FAD">
        <w:rPr>
          <w:rFonts w:ascii="Palatino Linotype" w:eastAsia="Palatino Linotype" w:hAnsi="Palatino Linotype" w:cs="Palatino Linotype"/>
          <w:i/>
          <w:sz w:val="22"/>
          <w:szCs w:val="22"/>
        </w:rPr>
        <w:t xml:space="preserve"> siguientes:</w:t>
      </w:r>
    </w:p>
    <w:p w14:paraId="276646F6" w14:textId="77777777" w:rsidR="00191DBD" w:rsidRPr="00BC1FAD" w:rsidRDefault="005029AE">
      <w:pPr>
        <w:ind w:left="992" w:right="1043"/>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C1FAD">
        <w:rPr>
          <w:rFonts w:ascii="Palatino Linotype" w:eastAsia="Palatino Linotype" w:hAnsi="Palatino Linotype" w:cs="Palatino Linotype"/>
          <w:i/>
          <w:sz w:val="22"/>
          <w:szCs w:val="22"/>
        </w:rPr>
        <w:t xml:space="preserve">, la cual tendrá los fundamentos y argumentos en que se basa dicha propuesta…” </w:t>
      </w:r>
    </w:p>
    <w:p w14:paraId="19BD127A" w14:textId="77777777" w:rsidR="00191DBD" w:rsidRPr="00BC1FAD" w:rsidRDefault="00191DBD">
      <w:pPr>
        <w:ind w:left="992" w:right="1043"/>
        <w:jc w:val="both"/>
        <w:rPr>
          <w:rFonts w:ascii="Palatino Linotype" w:eastAsia="Palatino Linotype" w:hAnsi="Palatino Linotype" w:cs="Palatino Linotype"/>
          <w:i/>
          <w:sz w:val="22"/>
          <w:szCs w:val="22"/>
        </w:rPr>
      </w:pPr>
    </w:p>
    <w:p w14:paraId="057A9443"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A967BD2"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0A190AF3"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DC5AFB7"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23F2FC77" w14:textId="77777777" w:rsidR="00191DBD" w:rsidRPr="00BC1FAD" w:rsidRDefault="005029AE">
      <w:pPr>
        <w:spacing w:after="240"/>
        <w:ind w:left="993" w:right="1041"/>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149.</w:t>
      </w:r>
      <w:r w:rsidRPr="00BC1FAD">
        <w:rPr>
          <w:rFonts w:ascii="Palatino Linotype" w:eastAsia="Palatino Linotype" w:hAnsi="Palatino Linotype" w:cs="Palatino Linotype"/>
          <w:i/>
          <w:sz w:val="22"/>
          <w:szCs w:val="22"/>
        </w:rPr>
        <w:t xml:space="preserve"> El </w:t>
      </w:r>
      <w:r w:rsidRPr="00BC1FAD">
        <w:rPr>
          <w:rFonts w:ascii="Palatino Linotype" w:eastAsia="Palatino Linotype" w:hAnsi="Palatino Linotype" w:cs="Palatino Linotype"/>
          <w:b/>
          <w:i/>
          <w:sz w:val="22"/>
          <w:szCs w:val="22"/>
        </w:rPr>
        <w:t>acuerdo que clasifique la información como confidencial</w:t>
      </w:r>
      <w:r w:rsidRPr="00BC1FA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3BCC13CF" w14:textId="77777777" w:rsidR="00191DBD" w:rsidRPr="00BC1FAD" w:rsidRDefault="00191DBD">
      <w:pPr>
        <w:spacing w:before="240" w:line="360" w:lineRule="auto"/>
        <w:ind w:right="51"/>
        <w:jc w:val="both"/>
        <w:rPr>
          <w:rFonts w:ascii="Palatino Linotype" w:eastAsia="Palatino Linotype" w:hAnsi="Palatino Linotype" w:cs="Palatino Linotype"/>
          <w:i/>
          <w:sz w:val="22"/>
          <w:szCs w:val="22"/>
        </w:rPr>
      </w:pPr>
    </w:p>
    <w:p w14:paraId="1F20B6FB" w14:textId="77777777" w:rsidR="00191DBD" w:rsidRPr="00BC1FAD" w:rsidRDefault="005029AE">
      <w:pPr>
        <w:spacing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Es decir,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18794D" w14:textId="77777777" w:rsidR="00191DBD" w:rsidRPr="00BC1FAD" w:rsidRDefault="00191DBD">
      <w:pPr>
        <w:spacing w:line="360" w:lineRule="auto"/>
        <w:ind w:right="51"/>
        <w:jc w:val="both"/>
        <w:rPr>
          <w:rFonts w:ascii="Palatino Linotype" w:eastAsia="Palatino Linotype" w:hAnsi="Palatino Linotype" w:cs="Palatino Linotype"/>
          <w:sz w:val="22"/>
          <w:szCs w:val="22"/>
        </w:rPr>
      </w:pPr>
    </w:p>
    <w:p w14:paraId="56F248B3" w14:textId="77777777" w:rsidR="00191DBD" w:rsidRPr="00BC1FAD" w:rsidRDefault="005029AE">
      <w:pPr>
        <w:spacing w:line="360" w:lineRule="auto"/>
        <w:ind w:right="-9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27DBF10B" w14:textId="77777777" w:rsidR="00191DBD" w:rsidRPr="00BC1FAD" w:rsidRDefault="00191DBD">
      <w:pPr>
        <w:pBdr>
          <w:top w:val="nil"/>
          <w:left w:val="nil"/>
          <w:bottom w:val="nil"/>
          <w:right w:val="nil"/>
          <w:between w:val="nil"/>
        </w:pBdr>
        <w:ind w:left="720"/>
        <w:jc w:val="both"/>
        <w:rPr>
          <w:rFonts w:ascii="Palatino Linotype" w:eastAsia="Palatino Linotype" w:hAnsi="Palatino Linotype" w:cs="Palatino Linotype"/>
          <w:sz w:val="22"/>
          <w:szCs w:val="22"/>
        </w:rPr>
      </w:pPr>
    </w:p>
    <w:p w14:paraId="3BBAE9B2" w14:textId="77777777" w:rsidR="00191DBD" w:rsidRPr="00BC1FAD" w:rsidRDefault="005029AE">
      <w:pPr>
        <w:spacing w:line="360" w:lineRule="auto"/>
        <w:ind w:right="-9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Ahora bien, tratándose de servidores públicos el Criterio SO/002/2019, emitido por el Instituto Nacional de Transparencia, Acceso a la Información y Protección de Datos Personales, establece lo siguiente:</w:t>
      </w:r>
    </w:p>
    <w:p w14:paraId="0CA41C12" w14:textId="77777777" w:rsidR="00191DBD" w:rsidRPr="00BC1FAD" w:rsidRDefault="00191DBD">
      <w:pPr>
        <w:spacing w:line="360" w:lineRule="auto"/>
        <w:ind w:right="49"/>
        <w:jc w:val="both"/>
        <w:rPr>
          <w:rFonts w:ascii="Palatino Linotype" w:eastAsia="Palatino Linotype" w:hAnsi="Palatino Linotype" w:cs="Palatino Linotype"/>
          <w:sz w:val="22"/>
          <w:szCs w:val="22"/>
        </w:rPr>
      </w:pPr>
    </w:p>
    <w:p w14:paraId="0ED5A02E" w14:textId="77777777" w:rsidR="00191DBD" w:rsidRPr="00BC1FAD" w:rsidRDefault="005029AE">
      <w:pPr>
        <w:ind w:left="851" w:right="822"/>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Firma y rúbrica de servidores públicos</w:t>
      </w:r>
      <w:r w:rsidRPr="00BC1FAD">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346EBCAF" w14:textId="77777777" w:rsidR="00191DBD" w:rsidRPr="00BC1FAD" w:rsidRDefault="00191DBD">
      <w:pPr>
        <w:spacing w:line="360" w:lineRule="auto"/>
        <w:ind w:right="49"/>
        <w:jc w:val="both"/>
        <w:rPr>
          <w:rFonts w:ascii="Palatino Linotype" w:eastAsia="Palatino Linotype" w:hAnsi="Palatino Linotype" w:cs="Palatino Linotype"/>
          <w:sz w:val="22"/>
          <w:szCs w:val="22"/>
        </w:rPr>
      </w:pPr>
    </w:p>
    <w:p w14:paraId="1749535A" w14:textId="77777777" w:rsidR="00191DBD" w:rsidRPr="00BC1FAD" w:rsidRDefault="005029AE">
      <w:pPr>
        <w:spacing w:line="360" w:lineRule="auto"/>
        <w:ind w:right="-93"/>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 xml:space="preserve">Como ya lo refiere el Criterio señalado, la firma es un dato personal confidencial y solo será pública para el caso de los servidores públicos en el ejercicio de sus funciones. </w:t>
      </w:r>
    </w:p>
    <w:p w14:paraId="730F6C00" w14:textId="77777777" w:rsidR="00191DBD" w:rsidRPr="00BC1FAD" w:rsidRDefault="005029AE">
      <w:pPr>
        <w:pBdr>
          <w:top w:val="nil"/>
          <w:left w:val="nil"/>
          <w:bottom w:val="nil"/>
          <w:right w:val="nil"/>
          <w:between w:val="nil"/>
        </w:pBdr>
        <w:spacing w:before="240" w:after="240" w:line="360" w:lineRule="auto"/>
        <w:ind w:right="50"/>
        <w:jc w:val="both"/>
        <w:rPr>
          <w:sz w:val="22"/>
          <w:szCs w:val="22"/>
        </w:rPr>
      </w:pPr>
      <w:r w:rsidRPr="00BC1FAD">
        <w:rPr>
          <w:rFonts w:ascii="Palatino Linotype" w:eastAsia="Palatino Linotype" w:hAnsi="Palatino Linotype" w:cs="Palatino Linotype"/>
          <w:sz w:val="22"/>
          <w:szCs w:val="22"/>
        </w:rPr>
        <w:t xml:space="preserve">Respecto del </w:t>
      </w:r>
      <w:r w:rsidRPr="00BC1FAD">
        <w:rPr>
          <w:rFonts w:ascii="Palatino Linotype" w:eastAsia="Palatino Linotype" w:hAnsi="Palatino Linotype" w:cs="Palatino Linotype"/>
          <w:b/>
          <w:sz w:val="22"/>
          <w:szCs w:val="22"/>
        </w:rPr>
        <w:t>nombre de las personas físicas</w:t>
      </w:r>
      <w:r w:rsidRPr="00BC1FAD">
        <w:rPr>
          <w:rFonts w:ascii="Palatino Linotype" w:eastAsia="Palatino Linotype" w:hAnsi="Palatino Linotype" w:cs="Palatino Linotype"/>
          <w:sz w:val="22"/>
          <w:szCs w:val="22"/>
        </w:rPr>
        <w:t xml:space="preserve"> o los </w:t>
      </w:r>
      <w:r w:rsidRPr="00BC1FAD">
        <w:rPr>
          <w:rFonts w:ascii="Palatino Linotype" w:eastAsia="Palatino Linotype" w:hAnsi="Palatino Linotype" w:cs="Palatino Linotype"/>
          <w:b/>
          <w:sz w:val="22"/>
          <w:szCs w:val="22"/>
        </w:rPr>
        <w:t>representantes legales de las personas morales</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en su calidad de proveedores, contratistas o prestadores de servicios, y la firma y rúbrica de estos</w:t>
      </w:r>
      <w:r w:rsidRPr="00BC1FAD">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1AF20B4" w14:textId="77777777" w:rsidR="00191DBD" w:rsidRPr="00BC1FAD" w:rsidRDefault="005029AE">
      <w:pPr>
        <w:pBdr>
          <w:top w:val="nil"/>
          <w:left w:val="nil"/>
          <w:bottom w:val="nil"/>
          <w:right w:val="nil"/>
          <w:between w:val="nil"/>
        </w:pBdr>
        <w:spacing w:before="240" w:after="240" w:line="360" w:lineRule="auto"/>
        <w:ind w:right="50"/>
        <w:jc w:val="both"/>
        <w:rPr>
          <w:sz w:val="22"/>
          <w:szCs w:val="22"/>
        </w:rPr>
      </w:pPr>
      <w:r w:rsidRPr="00BC1FAD">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26867807" w14:textId="77777777" w:rsidR="00191DBD" w:rsidRPr="00BC1FAD" w:rsidRDefault="005029AE">
      <w:pPr>
        <w:pBdr>
          <w:top w:val="nil"/>
          <w:left w:val="nil"/>
          <w:bottom w:val="nil"/>
          <w:right w:val="nil"/>
          <w:between w:val="nil"/>
        </w:pBdr>
        <w:spacing w:before="120" w:after="120"/>
        <w:ind w:left="851" w:right="902"/>
        <w:jc w:val="both"/>
        <w:rPr>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Artículo 23.</w:t>
      </w:r>
      <w:r w:rsidRPr="00BC1FAD">
        <w:rPr>
          <w:rFonts w:ascii="Palatino Linotype" w:eastAsia="Palatino Linotype" w:hAnsi="Palatino Linotype" w:cs="Palatino Linotype"/>
          <w:i/>
          <w:sz w:val="22"/>
          <w:szCs w:val="22"/>
        </w:rPr>
        <w:t xml:space="preserve"> (…)</w:t>
      </w:r>
    </w:p>
    <w:p w14:paraId="0FB767D5" w14:textId="77777777" w:rsidR="00191DBD" w:rsidRPr="00BC1FAD" w:rsidRDefault="005029AE">
      <w:pPr>
        <w:pBdr>
          <w:top w:val="nil"/>
          <w:left w:val="nil"/>
          <w:bottom w:val="nil"/>
          <w:right w:val="nil"/>
          <w:between w:val="nil"/>
        </w:pBdr>
        <w:spacing w:before="120" w:after="120"/>
        <w:ind w:left="851" w:right="902"/>
        <w:jc w:val="both"/>
        <w:rPr>
          <w:sz w:val="22"/>
          <w:szCs w:val="22"/>
        </w:rPr>
      </w:pPr>
      <w:r w:rsidRPr="00BC1FAD">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A170E34" w14:textId="77777777" w:rsidR="00191DBD" w:rsidRPr="00BC1FAD" w:rsidRDefault="005029AE">
      <w:pPr>
        <w:pBdr>
          <w:top w:val="nil"/>
          <w:left w:val="nil"/>
          <w:bottom w:val="nil"/>
          <w:right w:val="nil"/>
          <w:between w:val="nil"/>
        </w:pBdr>
        <w:spacing w:before="280" w:after="280" w:line="360" w:lineRule="auto"/>
        <w:jc w:val="both"/>
        <w:rPr>
          <w:sz w:val="22"/>
          <w:szCs w:val="22"/>
        </w:rPr>
      </w:pPr>
      <w:r w:rsidRPr="00BC1FAD">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3188A0BB" w14:textId="77777777" w:rsidR="00191DBD" w:rsidRPr="00BC1FAD" w:rsidRDefault="005029AE">
      <w:pPr>
        <w:pBdr>
          <w:top w:val="nil"/>
          <w:left w:val="nil"/>
          <w:bottom w:val="nil"/>
          <w:right w:val="nil"/>
          <w:between w:val="nil"/>
        </w:pBdr>
        <w:ind w:left="851" w:right="900"/>
        <w:jc w:val="both"/>
        <w:rPr>
          <w:sz w:val="22"/>
          <w:szCs w:val="22"/>
        </w:rPr>
      </w:pPr>
      <w:r w:rsidRPr="00BC1FAD">
        <w:rPr>
          <w:rFonts w:ascii="Palatino Linotype" w:eastAsia="Palatino Linotype" w:hAnsi="Palatino Linotype" w:cs="Palatino Linotype"/>
          <w:b/>
          <w:i/>
          <w:sz w:val="22"/>
          <w:szCs w:val="22"/>
        </w:rPr>
        <w:t>“Datos de identificación del representante o apoderado legal.</w:t>
      </w:r>
      <w:r w:rsidRPr="00BC1FAD">
        <w:rPr>
          <w:rFonts w:ascii="Palatino Linotype" w:eastAsia="Palatino Linotype" w:hAnsi="Palatino Linotype" w:cs="Palatino Linotype"/>
          <w:i/>
          <w:sz w:val="22"/>
          <w:szCs w:val="22"/>
        </w:rPr>
        <w:t xml:space="preserve"> </w:t>
      </w:r>
      <w:r w:rsidRPr="00BC1FAD">
        <w:rPr>
          <w:rFonts w:ascii="Palatino Linotype" w:eastAsia="Palatino Linotype" w:hAnsi="Palatino Linotype" w:cs="Palatino Linotype"/>
          <w:b/>
          <w:i/>
          <w:sz w:val="22"/>
          <w:szCs w:val="22"/>
        </w:rPr>
        <w:t xml:space="preserve">Naturaleza jurídica. El nombre, la </w:t>
      </w:r>
      <w:r w:rsidRPr="00BC1FAD">
        <w:rPr>
          <w:rFonts w:ascii="Palatino Linotype" w:eastAsia="Palatino Linotype" w:hAnsi="Palatino Linotype" w:cs="Palatino Linotype"/>
          <w:b/>
          <w:i/>
          <w:sz w:val="22"/>
          <w:szCs w:val="22"/>
          <w:u w:val="single"/>
        </w:rPr>
        <w:t>firma y la rúbrica</w:t>
      </w:r>
      <w:r w:rsidRPr="00BC1FAD">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BC1FAD">
        <w:rPr>
          <w:rFonts w:ascii="Palatino Linotype" w:eastAsia="Palatino Linotype" w:hAnsi="Palatino Linotype" w:cs="Palatino Linotype"/>
          <w:b/>
          <w:i/>
          <w:sz w:val="22"/>
          <w:szCs w:val="22"/>
          <w:u w:val="single"/>
        </w:rPr>
        <w:t>es información pública</w:t>
      </w:r>
      <w:r w:rsidRPr="00BC1FAD">
        <w:rPr>
          <w:rFonts w:ascii="Palatino Linotype" w:eastAsia="Palatino Linotype" w:hAnsi="Palatino Linotype" w:cs="Palatino Linotype"/>
          <w:b/>
          <w:i/>
          <w:sz w:val="22"/>
          <w:szCs w:val="22"/>
        </w:rPr>
        <w:t xml:space="preserve">, en razón de que tales datos fueron proporcionados con el objeto de expresar el </w:t>
      </w:r>
      <w:r w:rsidRPr="00BC1FAD">
        <w:rPr>
          <w:rFonts w:ascii="Palatino Linotype" w:eastAsia="Palatino Linotype" w:hAnsi="Palatino Linotype" w:cs="Palatino Linotype"/>
          <w:b/>
          <w:i/>
          <w:sz w:val="22"/>
          <w:szCs w:val="22"/>
        </w:rPr>
        <w:lastRenderedPageBreak/>
        <w:t>consentimiento obligacional del tercero y otorgar validez a dicho instrumento jurídico</w:t>
      </w:r>
      <w:r w:rsidRPr="00BC1FAD">
        <w:rPr>
          <w:rFonts w:ascii="Palatino Linotype" w:eastAsia="Palatino Linotype" w:hAnsi="Palatino Linotype" w:cs="Palatino Linotype"/>
          <w:i/>
          <w:sz w:val="22"/>
          <w:szCs w:val="22"/>
        </w:rPr>
        <w:t>.”</w:t>
      </w:r>
    </w:p>
    <w:p w14:paraId="618AF67B" w14:textId="77777777" w:rsidR="00191DBD" w:rsidRPr="00BC1FAD" w:rsidRDefault="00191DBD">
      <w:pPr>
        <w:spacing w:line="360" w:lineRule="auto"/>
        <w:jc w:val="both"/>
        <w:rPr>
          <w:rFonts w:ascii="Palatino Linotype" w:eastAsia="Palatino Linotype" w:hAnsi="Palatino Linotype" w:cs="Palatino Linotype"/>
          <w:sz w:val="22"/>
          <w:szCs w:val="22"/>
        </w:rPr>
      </w:pPr>
    </w:p>
    <w:p w14:paraId="2B1EB0A4"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536B42E4" w14:textId="77777777" w:rsidR="00191DBD" w:rsidRPr="00BC1FAD" w:rsidRDefault="00191DBD">
      <w:pPr>
        <w:spacing w:line="360" w:lineRule="auto"/>
        <w:ind w:right="50"/>
        <w:jc w:val="both"/>
        <w:rPr>
          <w:rFonts w:ascii="Palatino Linotype" w:eastAsia="Palatino Linotype" w:hAnsi="Palatino Linotype" w:cs="Palatino Linotype"/>
          <w:sz w:val="22"/>
          <w:szCs w:val="22"/>
        </w:rPr>
      </w:pPr>
    </w:p>
    <w:p w14:paraId="54F21153" w14:textId="77777777" w:rsidR="00191DBD" w:rsidRPr="00BC1FAD" w:rsidRDefault="005029AE">
      <w:pPr>
        <w:spacing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58F7797" w14:textId="77777777" w:rsidR="00191DBD" w:rsidRPr="00BC1FAD" w:rsidRDefault="00191DBD">
      <w:pPr>
        <w:spacing w:line="360" w:lineRule="auto"/>
        <w:ind w:right="51"/>
        <w:jc w:val="both"/>
        <w:rPr>
          <w:rFonts w:ascii="Palatino Linotype" w:eastAsia="Palatino Linotype" w:hAnsi="Palatino Linotype" w:cs="Palatino Linotype"/>
          <w:sz w:val="22"/>
          <w:szCs w:val="22"/>
        </w:rPr>
      </w:pPr>
    </w:p>
    <w:p w14:paraId="4BEBBEE9" w14:textId="77777777" w:rsidR="00191DBD" w:rsidRPr="00BC1FAD" w:rsidRDefault="005029AE">
      <w:pPr>
        <w:spacing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2E07CF6E" w14:textId="77777777" w:rsidR="00191DBD" w:rsidRPr="00BC1FAD" w:rsidRDefault="00191DBD">
      <w:pPr>
        <w:ind w:right="50"/>
        <w:jc w:val="both"/>
        <w:rPr>
          <w:rFonts w:ascii="Palatino Linotype" w:eastAsia="Palatino Linotype" w:hAnsi="Palatino Linotype" w:cs="Palatino Linotype"/>
          <w:sz w:val="22"/>
          <w:szCs w:val="22"/>
        </w:rPr>
      </w:pPr>
    </w:p>
    <w:p w14:paraId="7CAD802E" w14:textId="77777777" w:rsidR="00191DBD" w:rsidRPr="00BC1FAD" w:rsidRDefault="005029AE">
      <w:pPr>
        <w:ind w:left="851" w:right="1134"/>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“Cuentas bancarias y/o CLABE interbancaria de personas físicas y morales privadas.</w:t>
      </w:r>
      <w:r w:rsidRPr="00BC1FAD">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71B6105" w14:textId="77777777" w:rsidR="00191DBD" w:rsidRPr="00BC1FAD" w:rsidRDefault="00191DBD">
      <w:pPr>
        <w:ind w:left="851" w:right="899"/>
        <w:jc w:val="center"/>
        <w:rPr>
          <w:rFonts w:ascii="Palatino Linotype" w:eastAsia="Palatino Linotype" w:hAnsi="Palatino Linotype" w:cs="Palatino Linotype"/>
          <w:b/>
          <w:i/>
          <w:sz w:val="22"/>
          <w:szCs w:val="22"/>
        </w:rPr>
      </w:pPr>
    </w:p>
    <w:p w14:paraId="6065BD7A" w14:textId="77777777" w:rsidR="00191DBD" w:rsidRPr="00BC1FAD" w:rsidRDefault="005029AE">
      <w:pPr>
        <w:spacing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lastRenderedPageBreak/>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3A22E828" w14:textId="77777777" w:rsidR="00191DBD" w:rsidRPr="00BC1FAD" w:rsidRDefault="00191DBD">
      <w:pPr>
        <w:ind w:right="50"/>
        <w:jc w:val="both"/>
        <w:rPr>
          <w:rFonts w:ascii="Palatino Linotype" w:eastAsia="Palatino Linotype" w:hAnsi="Palatino Linotype" w:cs="Palatino Linotype"/>
          <w:sz w:val="22"/>
          <w:szCs w:val="22"/>
        </w:rPr>
      </w:pPr>
    </w:p>
    <w:p w14:paraId="68312384" w14:textId="77777777" w:rsidR="00191DBD" w:rsidRPr="00BC1FAD" w:rsidRDefault="005029AE">
      <w:pPr>
        <w:ind w:left="851" w:right="1134"/>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C1FA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02C68C1" w14:textId="77777777" w:rsidR="00191DBD" w:rsidRPr="00BC1FAD" w:rsidRDefault="005029AE">
      <w:pPr>
        <w:spacing w:before="240" w:after="240"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Sobre el </w:t>
      </w:r>
      <w:r w:rsidRPr="00BC1FAD">
        <w:rPr>
          <w:rFonts w:ascii="Palatino Linotype" w:eastAsia="Palatino Linotype" w:hAnsi="Palatino Linotype" w:cs="Palatino Linotype"/>
          <w:b/>
          <w:sz w:val="22"/>
          <w:szCs w:val="22"/>
        </w:rPr>
        <w:t>RFC</w:t>
      </w:r>
      <w:r w:rsidRPr="00BC1FAD">
        <w:rPr>
          <w:rFonts w:ascii="Palatino Linotype" w:eastAsia="Palatino Linotype" w:hAnsi="Palatino Linotype" w:cs="Palatino Linotype"/>
          <w:sz w:val="22"/>
          <w:szCs w:val="22"/>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2BB79E0" w14:textId="77777777" w:rsidR="00191DBD" w:rsidRPr="00BC1FAD" w:rsidRDefault="005029AE">
      <w:pPr>
        <w:spacing w:before="240" w:after="240"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D3F3DF8" w14:textId="77777777" w:rsidR="00191DBD" w:rsidRPr="00BC1FAD" w:rsidRDefault="005029AE">
      <w:pPr>
        <w:spacing w:before="240" w:after="240" w:line="360" w:lineRule="auto"/>
        <w:ind w:right="50"/>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w:t>
      </w:r>
      <w:r w:rsidRPr="00BC1FAD">
        <w:rPr>
          <w:rFonts w:ascii="Palatino Linotype" w:eastAsia="Palatino Linotype" w:hAnsi="Palatino Linotype" w:cs="Palatino Linotype"/>
          <w:sz w:val="22"/>
          <w:szCs w:val="22"/>
        </w:rPr>
        <w:lastRenderedPageBreak/>
        <w:t>como información clasificada lo relativo a su nombre, registro federal de contribuyentes y domicilio fiscal, atento a que dicha información es la que puede generar certeza en los gobernados en que se está ejerciendo debidamente el presupuesto.</w:t>
      </w:r>
    </w:p>
    <w:p w14:paraId="2E394AC2"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Al respecto, se destaca que la versión pública que elabore el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C1FA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BC1FAD">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6F5C206" w14:textId="77777777" w:rsidR="00191DBD" w:rsidRPr="00BC1FAD" w:rsidRDefault="00191DBD">
      <w:pPr>
        <w:ind w:left="709" w:right="709"/>
        <w:jc w:val="both"/>
        <w:rPr>
          <w:rFonts w:ascii="Palatino Linotype" w:eastAsia="Palatino Linotype" w:hAnsi="Palatino Linotype" w:cs="Palatino Linotype"/>
          <w:b/>
          <w:i/>
          <w:sz w:val="22"/>
          <w:szCs w:val="22"/>
        </w:rPr>
      </w:pPr>
    </w:p>
    <w:p w14:paraId="7D21604E"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4788168"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w:t>
      </w:r>
      <w:r w:rsidRPr="00BC1FAD">
        <w:rPr>
          <w:rFonts w:ascii="Palatino Linotype" w:eastAsia="Palatino Linotype" w:hAnsi="Palatino Linotype" w:cs="Palatino Linotype"/>
          <w:b/>
          <w:i/>
          <w:sz w:val="22"/>
          <w:szCs w:val="22"/>
        </w:rPr>
        <w:t>Segundo.-</w:t>
      </w:r>
      <w:r w:rsidRPr="00BC1FAD">
        <w:rPr>
          <w:rFonts w:ascii="Palatino Linotype" w:eastAsia="Palatino Linotype" w:hAnsi="Palatino Linotype" w:cs="Palatino Linotype"/>
          <w:i/>
          <w:sz w:val="22"/>
          <w:szCs w:val="22"/>
        </w:rPr>
        <w:t xml:space="preserve"> Para efectos de los presentes Lineamientos Generales, se entenderá por:</w:t>
      </w:r>
    </w:p>
    <w:p w14:paraId="1E092A01"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XVIII.</w:t>
      </w:r>
      <w:r w:rsidRPr="00BC1FAD">
        <w:rPr>
          <w:rFonts w:ascii="Palatino Linotype" w:eastAsia="Palatino Linotype" w:hAnsi="Palatino Linotype" w:cs="Palatino Linotype"/>
          <w:i/>
          <w:sz w:val="22"/>
          <w:szCs w:val="22"/>
        </w:rPr>
        <w:t xml:space="preserve"> </w:t>
      </w:r>
      <w:r w:rsidRPr="00BC1FAD">
        <w:rPr>
          <w:rFonts w:ascii="Palatino Linotype" w:eastAsia="Palatino Linotype" w:hAnsi="Palatino Linotype" w:cs="Palatino Linotype"/>
          <w:b/>
          <w:i/>
          <w:sz w:val="22"/>
          <w:szCs w:val="22"/>
        </w:rPr>
        <w:t>Versión pública:</w:t>
      </w:r>
      <w:r w:rsidRPr="00BC1FA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C1FAD">
        <w:rPr>
          <w:rFonts w:ascii="Palatino Linotype" w:eastAsia="Palatino Linotype" w:hAnsi="Palatino Linotype" w:cs="Palatino Linotype"/>
          <w:b/>
          <w:i/>
          <w:sz w:val="22"/>
          <w:szCs w:val="22"/>
          <w:u w:val="single"/>
        </w:rPr>
        <w:t>fundando y motivando la</w:t>
      </w:r>
      <w:r w:rsidRPr="00BC1FAD">
        <w:rPr>
          <w:rFonts w:ascii="Palatino Linotype" w:eastAsia="Palatino Linotype" w:hAnsi="Palatino Linotype" w:cs="Palatino Linotype"/>
          <w:i/>
          <w:sz w:val="22"/>
          <w:szCs w:val="22"/>
        </w:rPr>
        <w:t xml:space="preserve"> reserva o </w:t>
      </w:r>
      <w:r w:rsidRPr="00BC1FAD">
        <w:rPr>
          <w:rFonts w:ascii="Palatino Linotype" w:eastAsia="Palatino Linotype" w:hAnsi="Palatino Linotype" w:cs="Palatino Linotype"/>
          <w:b/>
          <w:i/>
          <w:sz w:val="22"/>
          <w:szCs w:val="22"/>
          <w:u w:val="single"/>
        </w:rPr>
        <w:t>confidencialidad</w:t>
      </w:r>
      <w:r w:rsidRPr="00BC1FAD">
        <w:rPr>
          <w:rFonts w:ascii="Palatino Linotype" w:eastAsia="Palatino Linotype" w:hAnsi="Palatino Linotype" w:cs="Palatino Linotype"/>
          <w:i/>
          <w:sz w:val="22"/>
          <w:szCs w:val="22"/>
        </w:rPr>
        <w:t>, a través de la resolución que para tal efecto emita el Comité de Transparencia.</w:t>
      </w:r>
    </w:p>
    <w:p w14:paraId="609D3D2E"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Cuarto.</w:t>
      </w:r>
      <w:r w:rsidRPr="00BC1FA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40FF3B"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8C3507"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lastRenderedPageBreak/>
        <w:t>Quinto.</w:t>
      </w:r>
      <w:r w:rsidRPr="00BC1FA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DB2908"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w:t>
      </w:r>
    </w:p>
    <w:p w14:paraId="4AC1E96E"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Séptimo.</w:t>
      </w:r>
      <w:r w:rsidRPr="00BC1FAD">
        <w:rPr>
          <w:rFonts w:ascii="Palatino Linotype" w:eastAsia="Palatino Linotype" w:hAnsi="Palatino Linotype" w:cs="Palatino Linotype"/>
          <w:i/>
          <w:sz w:val="22"/>
          <w:szCs w:val="22"/>
        </w:rPr>
        <w:t xml:space="preserve"> La clasificación de la información se llevará a cabo en el momento en que:</w:t>
      </w:r>
    </w:p>
    <w:p w14:paraId="0C24EC6B"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I.</w:t>
      </w:r>
      <w:r w:rsidRPr="00BC1FAD">
        <w:rPr>
          <w:rFonts w:ascii="Palatino Linotype" w:eastAsia="Palatino Linotype" w:hAnsi="Palatino Linotype" w:cs="Palatino Linotype"/>
          <w:i/>
          <w:sz w:val="22"/>
          <w:szCs w:val="22"/>
        </w:rPr>
        <w:t xml:space="preserve"> Se reciba una solicitud de acceso a la información;</w:t>
      </w:r>
    </w:p>
    <w:p w14:paraId="7F8E74F9" w14:textId="77777777" w:rsidR="00191DBD" w:rsidRPr="00BC1FAD" w:rsidRDefault="005029A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II.</w:t>
      </w:r>
      <w:r w:rsidRPr="00BC1FAD">
        <w:rPr>
          <w:rFonts w:ascii="Palatino Linotype" w:eastAsia="Palatino Linotype" w:hAnsi="Palatino Linotype" w:cs="Palatino Linotype"/>
          <w:i/>
          <w:sz w:val="22"/>
          <w:szCs w:val="22"/>
        </w:rPr>
        <w:t xml:space="preserve"> Se  determine mediante resolución del Comité de Transparencia, el órgano garante </w:t>
      </w:r>
    </w:p>
    <w:p w14:paraId="172A65D4"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competente, o en cumplimiento a una sentencia del Poder Judicial; o</w:t>
      </w:r>
    </w:p>
    <w:p w14:paraId="509122BF"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III.</w:t>
      </w:r>
      <w:r w:rsidRPr="00BC1FA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AEEE415"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9B0ECA4"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Octavo.</w:t>
      </w:r>
      <w:r w:rsidRPr="00BC1FA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7348E3"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8C0093A" w14:textId="77777777" w:rsidR="00191DBD" w:rsidRPr="00BC1FAD" w:rsidRDefault="005029A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A2ECAF7"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Noveno.</w:t>
      </w:r>
      <w:r w:rsidRPr="00BC1FA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2D37DA"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b/>
          <w:i/>
          <w:sz w:val="22"/>
          <w:szCs w:val="22"/>
        </w:rPr>
        <w:t>Décimo.</w:t>
      </w:r>
      <w:r w:rsidRPr="00BC1FA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1C48308"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7AE3A5C4" w14:textId="77777777" w:rsidR="00191DBD" w:rsidRPr="00BC1FAD" w:rsidRDefault="005029A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Décimo primero.</w:t>
      </w:r>
      <w:r w:rsidRPr="00BC1FA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A5B4492" w14:textId="77777777" w:rsidR="00191DBD" w:rsidRPr="00BC1FAD" w:rsidRDefault="00191DBD">
      <w:pPr>
        <w:pBdr>
          <w:top w:val="nil"/>
          <w:left w:val="nil"/>
          <w:bottom w:val="nil"/>
          <w:right w:val="nil"/>
          <w:between w:val="nil"/>
        </w:pBdr>
        <w:ind w:right="709"/>
        <w:jc w:val="both"/>
        <w:rPr>
          <w:sz w:val="22"/>
          <w:szCs w:val="22"/>
        </w:rPr>
      </w:pPr>
    </w:p>
    <w:p w14:paraId="6A624BF6" w14:textId="77777777" w:rsidR="00191DBD" w:rsidRPr="00BC1FAD" w:rsidRDefault="005029AE">
      <w:pPr>
        <w:pBdr>
          <w:top w:val="nil"/>
          <w:left w:val="nil"/>
          <w:bottom w:val="nil"/>
          <w:right w:val="nil"/>
          <w:between w:val="nil"/>
        </w:pBdr>
        <w:ind w:left="709" w:right="709"/>
        <w:jc w:val="both"/>
        <w:rPr>
          <w:sz w:val="22"/>
          <w:szCs w:val="22"/>
        </w:rPr>
      </w:pPr>
      <w:r w:rsidRPr="00BC1FAD">
        <w:rPr>
          <w:rFonts w:ascii="Palatino Linotype" w:eastAsia="Palatino Linotype" w:hAnsi="Palatino Linotype" w:cs="Palatino Linotype"/>
          <w:i/>
          <w:sz w:val="22"/>
          <w:szCs w:val="22"/>
        </w:rPr>
        <w:t>[…]</w:t>
      </w:r>
    </w:p>
    <w:p w14:paraId="5808FBAD" w14:textId="77777777" w:rsidR="00191DBD" w:rsidRPr="00BC1FAD" w:rsidRDefault="005029AE">
      <w:pPr>
        <w:pBdr>
          <w:top w:val="nil"/>
          <w:left w:val="nil"/>
          <w:bottom w:val="nil"/>
          <w:right w:val="nil"/>
          <w:between w:val="nil"/>
        </w:pBdr>
        <w:ind w:left="709" w:right="709"/>
        <w:jc w:val="center"/>
        <w:rPr>
          <w:sz w:val="22"/>
          <w:szCs w:val="22"/>
        </w:rPr>
      </w:pPr>
      <w:r w:rsidRPr="00BC1FAD">
        <w:rPr>
          <w:rFonts w:ascii="Palatino Linotype" w:eastAsia="Palatino Linotype" w:hAnsi="Palatino Linotype" w:cs="Palatino Linotype"/>
          <w:b/>
          <w:i/>
          <w:sz w:val="22"/>
          <w:szCs w:val="22"/>
        </w:rPr>
        <w:t>CAPÍTULO VIII</w:t>
      </w:r>
    </w:p>
    <w:p w14:paraId="6BABF77C" w14:textId="77777777" w:rsidR="00191DBD" w:rsidRPr="00BC1FAD" w:rsidRDefault="005029AE">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DE LOS ELEMENTOS PARA LA CLASIFICACIÓN</w:t>
      </w:r>
    </w:p>
    <w:p w14:paraId="3F422F82"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Quincuagésimo</w:t>
      </w:r>
      <w:r w:rsidRPr="00BC1FA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9255196"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Quincuagésimo primero</w:t>
      </w:r>
      <w:r w:rsidRPr="00BC1FAD">
        <w:rPr>
          <w:rFonts w:ascii="Palatino Linotype" w:eastAsia="Palatino Linotype" w:hAnsi="Palatino Linotype" w:cs="Palatino Linotype"/>
          <w:i/>
          <w:sz w:val="22"/>
          <w:szCs w:val="22"/>
        </w:rPr>
        <w:t>. Toda acta del Comité de Transparencia deberá contener:</w:t>
      </w:r>
    </w:p>
    <w:p w14:paraId="57B7CCA5"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I. El número de sesión y fecha; </w:t>
      </w:r>
    </w:p>
    <w:p w14:paraId="4132B806"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 El nombre del área que solicitó la clasificación de información;</w:t>
      </w:r>
    </w:p>
    <w:p w14:paraId="51CA8F1A"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III. La fundamentación legal y motivación correspondiente;</w:t>
      </w:r>
    </w:p>
    <w:p w14:paraId="62E0B8E0"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IV. La resolución o resoluciones aprobadas; y</w:t>
      </w:r>
    </w:p>
    <w:p w14:paraId="622160CF"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V. La rúbrica o firma digital de cada integrante del Comité de Transparencia. </w:t>
      </w:r>
    </w:p>
    <w:p w14:paraId="358BD392"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04050DE"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 Los motivos y razonamientos que sustenten la confirmación o modificación de la prueba de daño;</w:t>
      </w:r>
    </w:p>
    <w:p w14:paraId="4E6B43C4"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 Descripción de las partes o secciones reservadas, en caso de clasificación parcial;</w:t>
      </w:r>
    </w:p>
    <w:p w14:paraId="04139E5C"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III. El periodo por el que mantendrá su clasificación y fecha de expiración; y</w:t>
      </w:r>
    </w:p>
    <w:p w14:paraId="7FAECEF7"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IV. El nombre del titular y área encargada de realizar la versión pública del documento, en su caso.</w:t>
      </w:r>
    </w:p>
    <w:p w14:paraId="7046C5A0"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6187A8B"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5422043B"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b/>
          <w:i/>
          <w:sz w:val="22"/>
          <w:szCs w:val="22"/>
        </w:rPr>
        <w:t>Quincuagésimo segundo</w:t>
      </w:r>
      <w:r w:rsidRPr="00BC1FA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8092E31"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33DD0B6"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57CB7D4"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CA4EE19"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III. Señalar las personas o instancias autorizadas a acceder a la información clasificada.</w:t>
      </w:r>
    </w:p>
    <w:p w14:paraId="7E4F03C1"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84FF8AD" w14:textId="77777777" w:rsidR="00191DBD" w:rsidRPr="00BC1FAD" w:rsidRDefault="005029AE">
      <w:pPr>
        <w:pBdr>
          <w:top w:val="nil"/>
          <w:left w:val="nil"/>
          <w:bottom w:val="nil"/>
          <w:right w:val="nil"/>
          <w:between w:val="nil"/>
        </w:pBdr>
        <w:spacing w:after="160"/>
        <w:ind w:left="709" w:right="709"/>
        <w:jc w:val="both"/>
        <w:rPr>
          <w:sz w:val="22"/>
          <w:szCs w:val="22"/>
        </w:rPr>
      </w:pPr>
      <w:r w:rsidRPr="00BC1FAD">
        <w:rPr>
          <w:rFonts w:ascii="Palatino Linotype" w:eastAsia="Palatino Linotype" w:hAnsi="Palatino Linotype" w:cs="Palatino Linotype"/>
          <w:b/>
          <w:i/>
          <w:sz w:val="22"/>
          <w:szCs w:val="22"/>
        </w:rPr>
        <w:t xml:space="preserve">Quincuagésimo tercero. </w:t>
      </w:r>
      <w:r w:rsidRPr="00BC1FAD">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BC1FAD">
        <w:rPr>
          <w:rFonts w:ascii="Palatino Linotype" w:eastAsia="Palatino Linotype" w:hAnsi="Palatino Linotype" w:cs="Palatino Linotype"/>
          <w:b/>
          <w:i/>
          <w:sz w:val="22"/>
          <w:szCs w:val="22"/>
          <w:u w:val="single"/>
        </w:rPr>
        <w:t>siguiente:</w:t>
      </w:r>
      <w:r w:rsidRPr="00BC1FAD">
        <w:rPr>
          <w:rFonts w:ascii="Palatino Linotype" w:eastAsia="Palatino Linotype" w:hAnsi="Palatino Linotype" w:cs="Palatino Linotype"/>
          <w:i/>
          <w:sz w:val="22"/>
          <w:szCs w:val="22"/>
        </w:rPr>
        <w:t>:</w:t>
      </w:r>
      <w:proofErr w:type="gramEnd"/>
    </w:p>
    <w:tbl>
      <w:tblPr>
        <w:tblStyle w:val="af0"/>
        <w:tblW w:w="8833" w:type="dxa"/>
        <w:jc w:val="center"/>
        <w:tblInd w:w="0" w:type="dxa"/>
        <w:tblLayout w:type="fixed"/>
        <w:tblLook w:val="0400" w:firstRow="0" w:lastRow="0" w:firstColumn="0" w:lastColumn="0" w:noHBand="0" w:noVBand="1"/>
      </w:tblPr>
      <w:tblGrid>
        <w:gridCol w:w="1660"/>
        <w:gridCol w:w="1980"/>
        <w:gridCol w:w="5193"/>
      </w:tblGrid>
      <w:tr w:rsidR="00BC1FAD" w:rsidRPr="00BC1FAD" w14:paraId="4BB174A2"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F03DE89" w14:textId="77777777" w:rsidR="00191DBD" w:rsidRPr="00BC1FAD" w:rsidRDefault="00191DBD">
            <w:pPr>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D17DF"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b/>
                <w:i/>
                <w:sz w:val="22"/>
                <w:szCs w:val="22"/>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98148"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b/>
                <w:i/>
                <w:sz w:val="22"/>
                <w:szCs w:val="22"/>
              </w:rPr>
              <w:t>Dónde:</w:t>
            </w:r>
          </w:p>
        </w:tc>
      </w:tr>
      <w:tr w:rsidR="00BC1FAD" w:rsidRPr="00BC1FAD" w14:paraId="0D617632"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D454A6"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b/>
                <w:i/>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0506C"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A43A2"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anotará la fecha en la que el Comité de Transparencia confirmó la clasificación del documento o expediente, en su caso.</w:t>
            </w:r>
          </w:p>
        </w:tc>
      </w:tr>
      <w:tr w:rsidR="00BC1FAD" w:rsidRPr="00BC1FAD" w14:paraId="262149C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0158E"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7EE08"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39613"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señalará el nombre del área del cual es titular quien clasifica.</w:t>
            </w:r>
          </w:p>
        </w:tc>
      </w:tr>
      <w:tr w:rsidR="00BC1FAD" w:rsidRPr="00BC1FAD" w14:paraId="0BEED94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17CF93"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31F68"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8ACED"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indicarán las partes o páginas del documento que se clasifican como reservadas, o, en su caso, se precisará que se ha reservado el documento o expediente en su totalidad.</w:t>
            </w:r>
          </w:p>
        </w:tc>
      </w:tr>
      <w:tr w:rsidR="00BC1FAD" w:rsidRPr="00BC1FAD" w14:paraId="725C396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11BF05"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A214B"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C2B76"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anotará el número de años o meses por los que se mantendrá reservado el documento, el expediente o, en su caso, las partes o secciones reservadas.</w:t>
            </w:r>
          </w:p>
        </w:tc>
      </w:tr>
      <w:tr w:rsidR="00BC1FAD" w:rsidRPr="00BC1FAD" w14:paraId="6883D1C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27DFB"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7D920"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1A3C0"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BC1FAD" w:rsidRPr="00BC1FAD" w14:paraId="1D77695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1438CE"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40B6E"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75792"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BC1FAD" w:rsidRPr="00BC1FAD" w14:paraId="3595FE8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1C8DD"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382FB"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48F9B"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Rúbrica autógrafa o firma digital de quien clasifica.</w:t>
            </w:r>
          </w:p>
        </w:tc>
      </w:tr>
      <w:tr w:rsidR="00BC1FAD" w:rsidRPr="00BC1FAD" w14:paraId="4A2FAF4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27D59"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FA649"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B0806"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Se anotará la fecha en que se desclasifica el documento.</w:t>
            </w:r>
          </w:p>
        </w:tc>
      </w:tr>
      <w:tr w:rsidR="00BC1FAD" w:rsidRPr="00BC1FAD" w14:paraId="5BE8189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46CF2" w14:textId="77777777" w:rsidR="00191DBD" w:rsidRPr="00BC1FAD" w:rsidRDefault="00191DBD">
            <w:pPr>
              <w:widowControl w:val="0"/>
              <w:pBdr>
                <w:top w:val="nil"/>
                <w:left w:val="nil"/>
                <w:bottom w:val="nil"/>
                <w:right w:val="nil"/>
                <w:between w:val="nil"/>
              </w:pBdr>
              <w:spacing w:line="276" w:lineRule="auto"/>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B44933" w14:textId="77777777" w:rsidR="00191DBD" w:rsidRPr="00BC1FAD" w:rsidRDefault="005029AE">
            <w:pPr>
              <w:pBdr>
                <w:top w:val="nil"/>
                <w:left w:val="nil"/>
                <w:bottom w:val="nil"/>
                <w:right w:val="nil"/>
                <w:between w:val="nil"/>
              </w:pBdr>
              <w:jc w:val="center"/>
              <w:rPr>
                <w:sz w:val="22"/>
                <w:szCs w:val="22"/>
              </w:rPr>
            </w:pPr>
            <w:r w:rsidRPr="00BC1FAD">
              <w:rPr>
                <w:rFonts w:ascii="Palatino Linotype" w:eastAsia="Palatino Linotype" w:hAnsi="Palatino Linotype" w:cs="Palatino Linotype"/>
                <w:i/>
                <w:sz w:val="22"/>
                <w:szCs w:val="22"/>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8CF5D" w14:textId="77777777" w:rsidR="00191DBD" w:rsidRPr="00BC1FAD" w:rsidRDefault="005029AE">
            <w:pPr>
              <w:pBdr>
                <w:top w:val="nil"/>
                <w:left w:val="nil"/>
                <w:bottom w:val="nil"/>
                <w:right w:val="nil"/>
                <w:between w:val="nil"/>
              </w:pBdr>
              <w:jc w:val="both"/>
              <w:rPr>
                <w:sz w:val="22"/>
                <w:szCs w:val="22"/>
              </w:rPr>
            </w:pPr>
            <w:r w:rsidRPr="00BC1FAD">
              <w:rPr>
                <w:rFonts w:ascii="Palatino Linotype" w:eastAsia="Palatino Linotype" w:hAnsi="Palatino Linotype" w:cs="Palatino Linotype"/>
                <w:i/>
                <w:sz w:val="22"/>
                <w:szCs w:val="22"/>
              </w:rPr>
              <w:t>Rúbrica autógrafa o firma digital de quien desclasifica.</w:t>
            </w:r>
          </w:p>
        </w:tc>
      </w:tr>
      <w:tr w:rsidR="00BC1FAD" w:rsidRPr="00BC1FAD" w14:paraId="0FE9A7E3"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039EA2" w14:textId="77777777" w:rsidR="00191DBD" w:rsidRPr="00BC1FAD" w:rsidRDefault="00191DBD">
            <w:pPr>
              <w:widowControl w:val="0"/>
              <w:pBdr>
                <w:top w:val="nil"/>
                <w:left w:val="nil"/>
                <w:bottom w:val="nil"/>
                <w:right w:val="nil"/>
                <w:between w:val="nil"/>
              </w:pBdr>
              <w:spacing w:line="276" w:lineRule="auto"/>
              <w:rPr>
                <w:sz w:val="22"/>
                <w:szCs w:val="22"/>
              </w:rPr>
            </w:pPr>
          </w:p>
        </w:tc>
      </w:tr>
    </w:tbl>
    <w:p w14:paraId="11DA6CD6" w14:textId="77777777" w:rsidR="00191DBD" w:rsidRPr="00BC1FAD" w:rsidRDefault="005029A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C1FA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38DF828" w14:textId="77777777" w:rsidR="00191DBD" w:rsidRPr="00BC1FAD" w:rsidRDefault="005029AE">
      <w:pPr>
        <w:pBdr>
          <w:top w:val="nil"/>
          <w:left w:val="nil"/>
          <w:bottom w:val="nil"/>
          <w:right w:val="nil"/>
          <w:between w:val="nil"/>
        </w:pBdr>
        <w:spacing w:after="160"/>
        <w:ind w:left="709" w:right="709"/>
        <w:jc w:val="both"/>
        <w:rPr>
          <w:sz w:val="22"/>
          <w:szCs w:val="22"/>
        </w:rPr>
      </w:pPr>
      <w:r w:rsidRPr="00BC1FA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BC1FAD">
        <w:rPr>
          <w:rFonts w:ascii="Palatino Linotype" w:eastAsia="Palatino Linotype" w:hAnsi="Palatino Linotype" w:cs="Palatino Linotype"/>
          <w:i/>
          <w:sz w:val="22"/>
          <w:szCs w:val="22"/>
        </w:rPr>
        <w:t>testado</w:t>
      </w:r>
      <w:proofErr w:type="spellEnd"/>
      <w:r w:rsidRPr="00BC1FAD">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7875C2A9" w14:textId="77777777" w:rsidR="00191DBD" w:rsidRPr="00BC1FAD" w:rsidRDefault="00191DBD">
      <w:pPr>
        <w:rPr>
          <w:sz w:val="22"/>
          <w:szCs w:val="22"/>
        </w:rPr>
      </w:pPr>
    </w:p>
    <w:p w14:paraId="58B9CD12" w14:textId="77777777" w:rsidR="00191DBD" w:rsidRPr="00BC1FAD" w:rsidRDefault="005029AE">
      <w:pPr>
        <w:spacing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6AFD1928" w14:textId="77777777" w:rsidR="00191DBD" w:rsidRPr="00BC1FAD" w:rsidRDefault="00191DBD">
      <w:pPr>
        <w:spacing w:line="360" w:lineRule="auto"/>
        <w:jc w:val="both"/>
        <w:rPr>
          <w:rFonts w:ascii="Palatino Linotype" w:eastAsia="Palatino Linotype" w:hAnsi="Palatino Linotype" w:cs="Palatino Linotype"/>
          <w:sz w:val="22"/>
          <w:szCs w:val="22"/>
        </w:rPr>
      </w:pPr>
      <w:bookmarkStart w:id="8" w:name="_heading=h.4d34og8" w:colFirst="0" w:colLast="0"/>
      <w:bookmarkEnd w:id="8"/>
    </w:p>
    <w:p w14:paraId="0ABB09C6" w14:textId="77777777" w:rsidR="00191DBD" w:rsidRPr="00BC1FAD" w:rsidRDefault="005029AE">
      <w:pPr>
        <w:shd w:val="clear" w:color="auto" w:fill="FFFFFF"/>
        <w:spacing w:line="360" w:lineRule="auto"/>
        <w:ind w:right="51"/>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w:t>
      </w:r>
      <w:r w:rsidRPr="00BC1FAD">
        <w:rPr>
          <w:rFonts w:ascii="Palatino Linotype" w:eastAsia="Palatino Linotype" w:hAnsi="Palatino Linotype" w:cs="Palatino Linotype"/>
          <w:sz w:val="22"/>
          <w:szCs w:val="22"/>
        </w:rPr>
        <w:lastRenderedPageBreak/>
        <w:t xml:space="preserve">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BC1FAD">
        <w:rPr>
          <w:rFonts w:ascii="Palatino Linotype" w:eastAsia="Palatino Linotype" w:hAnsi="Palatino Linotype" w:cs="Palatino Linotype"/>
          <w:b/>
          <w:sz w:val="22"/>
          <w:szCs w:val="22"/>
        </w:rPr>
        <w:t>la parte</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Recurrente</w:t>
      </w:r>
      <w:r w:rsidRPr="00BC1FAD">
        <w:rPr>
          <w:rFonts w:ascii="Palatino Linotype" w:eastAsia="Palatino Linotype" w:hAnsi="Palatino Linotype" w:cs="Palatino Linotype"/>
          <w:sz w:val="22"/>
          <w:szCs w:val="22"/>
        </w:rPr>
        <w:t>.</w:t>
      </w:r>
    </w:p>
    <w:p w14:paraId="44729652"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D1AA715" w14:textId="3FFED913" w:rsidR="00191DBD" w:rsidRPr="00BC1FAD" w:rsidRDefault="005029AE">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BC1FAD">
        <w:rPr>
          <w:rFonts w:ascii="Palatino Linotype" w:eastAsia="Palatino Linotype" w:hAnsi="Palatino Linotype" w:cs="Palatino Linotype"/>
          <w:b/>
          <w:sz w:val="22"/>
          <w:szCs w:val="22"/>
        </w:rPr>
        <w:t>III. R E S U E L V E</w:t>
      </w:r>
    </w:p>
    <w:p w14:paraId="3288CB96" w14:textId="7C614FCC" w:rsidR="00191DBD" w:rsidRPr="00BC1FAD" w:rsidRDefault="005029AE">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BC1FAD">
        <w:rPr>
          <w:rFonts w:ascii="Palatino Linotype" w:eastAsia="Palatino Linotype" w:hAnsi="Palatino Linotype" w:cs="Palatino Linotype"/>
          <w:b/>
          <w:sz w:val="22"/>
          <w:szCs w:val="22"/>
        </w:rPr>
        <w:t xml:space="preserve">Primero. </w:t>
      </w:r>
      <w:r w:rsidRPr="00BC1FAD">
        <w:rPr>
          <w:rFonts w:ascii="Palatino Linotype" w:eastAsia="Palatino Linotype" w:hAnsi="Palatino Linotype" w:cs="Palatino Linotype"/>
          <w:sz w:val="22"/>
          <w:szCs w:val="22"/>
        </w:rPr>
        <w:t xml:space="preserve">Resultan </w:t>
      </w:r>
      <w:r w:rsidRPr="00BC1FAD">
        <w:rPr>
          <w:rFonts w:ascii="Palatino Linotype" w:eastAsia="Palatino Linotype" w:hAnsi="Palatino Linotype" w:cs="Palatino Linotype"/>
          <w:b/>
          <w:sz w:val="22"/>
          <w:szCs w:val="22"/>
        </w:rPr>
        <w:t>fundadas</w:t>
      </w:r>
      <w:r w:rsidRPr="00BC1FAD">
        <w:rPr>
          <w:rFonts w:ascii="Palatino Linotype" w:eastAsia="Palatino Linotype" w:hAnsi="Palatino Linotype" w:cs="Palatino Linotype"/>
          <w:sz w:val="22"/>
          <w:szCs w:val="22"/>
        </w:rPr>
        <w:t xml:space="preserve"> las razones o motivos de inconformidad hechos valer por </w:t>
      </w:r>
      <w:r w:rsidRPr="00BC1FAD">
        <w:rPr>
          <w:rFonts w:ascii="Palatino Linotype" w:eastAsia="Palatino Linotype" w:hAnsi="Palatino Linotype" w:cs="Palatino Linotype"/>
          <w:b/>
          <w:sz w:val="22"/>
          <w:szCs w:val="22"/>
        </w:rPr>
        <w:t>la parte Recurrente</w:t>
      </w:r>
      <w:r w:rsidRPr="00BC1FAD">
        <w:rPr>
          <w:rFonts w:ascii="Palatino Linotype" w:eastAsia="Palatino Linotype" w:hAnsi="Palatino Linotype" w:cs="Palatino Linotype"/>
          <w:sz w:val="22"/>
          <w:szCs w:val="22"/>
        </w:rPr>
        <w:t xml:space="preserve"> en el recurso de revisión </w:t>
      </w:r>
      <w:r w:rsidRPr="00BC1FAD">
        <w:rPr>
          <w:rFonts w:ascii="Palatino Linotype" w:eastAsia="Palatino Linotype" w:hAnsi="Palatino Linotype" w:cs="Palatino Linotype"/>
          <w:b/>
          <w:sz w:val="22"/>
          <w:szCs w:val="22"/>
        </w:rPr>
        <w:t>02369/INFOEM/IP/RR/2024</w:t>
      </w:r>
      <w:r w:rsidRPr="00BC1FAD">
        <w:rPr>
          <w:rFonts w:ascii="Palatino Linotype" w:eastAsia="Palatino Linotype" w:hAnsi="Palatino Linotype" w:cs="Palatino Linotype"/>
          <w:sz w:val="22"/>
          <w:szCs w:val="22"/>
        </w:rPr>
        <w:t xml:space="preserve">; por lo que, en términos del </w:t>
      </w:r>
      <w:r w:rsidRPr="00BC1FAD">
        <w:rPr>
          <w:rFonts w:ascii="Palatino Linotype" w:eastAsia="Palatino Linotype" w:hAnsi="Palatino Linotype" w:cs="Palatino Linotype"/>
          <w:b/>
          <w:sz w:val="22"/>
          <w:szCs w:val="22"/>
        </w:rPr>
        <w:t>Considerando</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 xml:space="preserve">Cuarto </w:t>
      </w:r>
      <w:r w:rsidRPr="00BC1FAD">
        <w:rPr>
          <w:rFonts w:ascii="Palatino Linotype" w:eastAsia="Palatino Linotype" w:hAnsi="Palatino Linotype" w:cs="Palatino Linotype"/>
          <w:sz w:val="22"/>
          <w:szCs w:val="22"/>
        </w:rPr>
        <w:t xml:space="preserve">de esta resolución, se </w:t>
      </w:r>
      <w:r w:rsidRPr="00BC1FAD">
        <w:rPr>
          <w:rFonts w:ascii="Palatino Linotype" w:eastAsia="Palatino Linotype" w:hAnsi="Palatino Linotype" w:cs="Palatino Linotype"/>
          <w:b/>
          <w:sz w:val="22"/>
          <w:szCs w:val="22"/>
        </w:rPr>
        <w:t xml:space="preserve">REVOCA </w:t>
      </w:r>
      <w:r w:rsidRPr="00BC1FAD">
        <w:rPr>
          <w:rFonts w:ascii="Palatino Linotype" w:eastAsia="Palatino Linotype" w:hAnsi="Palatino Linotype" w:cs="Palatino Linotype"/>
          <w:sz w:val="22"/>
          <w:szCs w:val="22"/>
        </w:rPr>
        <w:t xml:space="preserve">la respuesta emitida por el </w:t>
      </w:r>
      <w:r w:rsidRPr="00BC1FAD">
        <w:rPr>
          <w:rFonts w:ascii="Palatino Linotype" w:eastAsia="Palatino Linotype" w:hAnsi="Palatino Linotype" w:cs="Palatino Linotype"/>
          <w:b/>
          <w:sz w:val="22"/>
          <w:szCs w:val="22"/>
        </w:rPr>
        <w:t xml:space="preserve">Sujeto Obligado. </w:t>
      </w:r>
    </w:p>
    <w:p w14:paraId="44F7162E" w14:textId="77777777" w:rsidR="00191DBD" w:rsidRPr="00BC1FAD" w:rsidRDefault="005029AE">
      <w:pPr>
        <w:spacing w:before="240" w:after="240" w:line="360" w:lineRule="auto"/>
        <w:ind w:right="49"/>
        <w:jc w:val="both"/>
        <w:rPr>
          <w:rFonts w:ascii="Palatino Linotype" w:eastAsia="Palatino Linotype" w:hAnsi="Palatino Linotype" w:cs="Palatino Linotype"/>
          <w:b/>
          <w:sz w:val="22"/>
          <w:szCs w:val="22"/>
        </w:rPr>
      </w:pPr>
      <w:r w:rsidRPr="00BC1FAD">
        <w:rPr>
          <w:rFonts w:ascii="Palatino Linotype" w:eastAsia="Palatino Linotype" w:hAnsi="Palatino Linotype" w:cs="Palatino Linotype"/>
          <w:b/>
          <w:sz w:val="22"/>
          <w:szCs w:val="22"/>
        </w:rPr>
        <w:t xml:space="preserve">Segundo. </w:t>
      </w:r>
      <w:r w:rsidRPr="00BC1FAD">
        <w:rPr>
          <w:rFonts w:ascii="Palatino Linotype" w:eastAsia="Palatino Linotype" w:hAnsi="Palatino Linotype" w:cs="Palatino Linotype"/>
          <w:sz w:val="22"/>
          <w:szCs w:val="22"/>
        </w:rPr>
        <w:t xml:space="preserve">Se </w:t>
      </w:r>
      <w:r w:rsidRPr="00BC1FAD">
        <w:rPr>
          <w:rFonts w:ascii="Palatino Linotype" w:eastAsia="Palatino Linotype" w:hAnsi="Palatino Linotype" w:cs="Palatino Linotype"/>
          <w:b/>
          <w:sz w:val="22"/>
          <w:szCs w:val="22"/>
        </w:rPr>
        <w:t xml:space="preserve">Ordena </w:t>
      </w:r>
      <w:r w:rsidRPr="00BC1FAD">
        <w:rPr>
          <w:rFonts w:ascii="Palatino Linotype" w:eastAsia="Palatino Linotype" w:hAnsi="Palatino Linotype" w:cs="Palatino Linotype"/>
          <w:sz w:val="22"/>
          <w:szCs w:val="22"/>
        </w:rPr>
        <w:t xml:space="preserve">al </w:t>
      </w:r>
      <w:r w:rsidRPr="00BC1FAD">
        <w:rPr>
          <w:rFonts w:ascii="Palatino Linotype" w:eastAsia="Palatino Linotype" w:hAnsi="Palatino Linotype" w:cs="Palatino Linotype"/>
          <w:b/>
          <w:sz w:val="22"/>
          <w:szCs w:val="22"/>
        </w:rPr>
        <w:t>Sujeto Obligado</w:t>
      </w:r>
      <w:r w:rsidRPr="00BC1FAD">
        <w:rPr>
          <w:rFonts w:ascii="Palatino Linotype" w:eastAsia="Palatino Linotype" w:hAnsi="Palatino Linotype" w:cs="Palatino Linotype"/>
          <w:sz w:val="22"/>
          <w:szCs w:val="22"/>
        </w:rPr>
        <w:t xml:space="preserve"> haga entrega, en </w:t>
      </w:r>
      <w:r w:rsidRPr="00BC1FAD">
        <w:rPr>
          <w:rFonts w:ascii="Palatino Linotype" w:eastAsia="Palatino Linotype" w:hAnsi="Palatino Linotype" w:cs="Palatino Linotype"/>
          <w:b/>
          <w:sz w:val="22"/>
          <w:szCs w:val="22"/>
        </w:rPr>
        <w:t>versión pública de ser procedente,</w:t>
      </w:r>
      <w:r w:rsidRPr="00BC1FAD">
        <w:rPr>
          <w:rFonts w:ascii="Palatino Linotype" w:eastAsia="Palatino Linotype" w:hAnsi="Palatino Linotype" w:cs="Palatino Linotype"/>
          <w:sz w:val="22"/>
          <w:szCs w:val="22"/>
        </w:rPr>
        <w:t xml:space="preserve"> a</w:t>
      </w:r>
      <w:r w:rsidRPr="00BC1FAD">
        <w:rPr>
          <w:rFonts w:ascii="Palatino Linotype" w:eastAsia="Palatino Linotype" w:hAnsi="Palatino Linotype" w:cs="Palatino Linotype"/>
          <w:b/>
          <w:sz w:val="22"/>
          <w:szCs w:val="22"/>
        </w:rPr>
        <w:t xml:space="preserve"> la parte Recurrente,</w:t>
      </w:r>
      <w:r w:rsidRPr="00BC1FAD">
        <w:rPr>
          <w:rFonts w:ascii="Palatino Linotype" w:eastAsia="Palatino Linotype" w:hAnsi="Palatino Linotype" w:cs="Palatino Linotype"/>
          <w:sz w:val="22"/>
          <w:szCs w:val="22"/>
        </w:rPr>
        <w:t xml:space="preserve"> vía </w:t>
      </w:r>
      <w:r w:rsidRPr="00BC1FAD">
        <w:rPr>
          <w:rFonts w:ascii="Palatino Linotype" w:eastAsia="Palatino Linotype" w:hAnsi="Palatino Linotype" w:cs="Palatino Linotype"/>
          <w:b/>
          <w:sz w:val="22"/>
          <w:szCs w:val="22"/>
        </w:rPr>
        <w:t xml:space="preserve">SAIMEX, </w:t>
      </w:r>
      <w:r w:rsidRPr="00BC1FAD">
        <w:rPr>
          <w:rFonts w:ascii="Palatino Linotype" w:eastAsia="Palatino Linotype" w:hAnsi="Palatino Linotype" w:cs="Palatino Linotype"/>
          <w:sz w:val="22"/>
          <w:szCs w:val="22"/>
        </w:rPr>
        <w:t xml:space="preserve">en términos de los </w:t>
      </w:r>
      <w:r w:rsidRPr="00BC1FAD">
        <w:rPr>
          <w:rFonts w:ascii="Palatino Linotype" w:eastAsia="Palatino Linotype" w:hAnsi="Palatino Linotype" w:cs="Palatino Linotype"/>
          <w:b/>
          <w:sz w:val="22"/>
          <w:szCs w:val="22"/>
        </w:rPr>
        <w:t>Considerandos</w:t>
      </w:r>
      <w:r w:rsidRPr="00BC1FAD">
        <w:rPr>
          <w:rFonts w:ascii="Palatino Linotype" w:eastAsia="Palatino Linotype" w:hAnsi="Palatino Linotype" w:cs="Palatino Linotype"/>
          <w:sz w:val="22"/>
          <w:szCs w:val="22"/>
        </w:rPr>
        <w:t xml:space="preserve"> </w:t>
      </w:r>
      <w:r w:rsidRPr="00BC1FAD">
        <w:rPr>
          <w:rFonts w:ascii="Palatino Linotype" w:eastAsia="Palatino Linotype" w:hAnsi="Palatino Linotype" w:cs="Palatino Linotype"/>
          <w:b/>
          <w:sz w:val="22"/>
          <w:szCs w:val="22"/>
        </w:rPr>
        <w:t xml:space="preserve">Cuarto y Quinto </w:t>
      </w:r>
      <w:r w:rsidRPr="00BC1FAD">
        <w:rPr>
          <w:rFonts w:ascii="Palatino Linotype" w:eastAsia="Palatino Linotype" w:hAnsi="Palatino Linotype" w:cs="Palatino Linotype"/>
          <w:sz w:val="22"/>
          <w:szCs w:val="22"/>
        </w:rPr>
        <w:t>de la presente resolución, de lo siguiente:</w:t>
      </w:r>
      <w:r w:rsidRPr="00BC1FAD">
        <w:rPr>
          <w:rFonts w:ascii="Palatino Linotype" w:eastAsia="Palatino Linotype" w:hAnsi="Palatino Linotype" w:cs="Palatino Linotype"/>
          <w:b/>
          <w:sz w:val="22"/>
          <w:szCs w:val="22"/>
        </w:rPr>
        <w:t xml:space="preserve"> </w:t>
      </w:r>
    </w:p>
    <w:p w14:paraId="561AB0A3" w14:textId="77777777" w:rsidR="00191DBD" w:rsidRPr="00BC1FAD" w:rsidRDefault="005029AE" w:rsidP="009B12E0">
      <w:pPr>
        <w:numPr>
          <w:ilvl w:val="0"/>
          <w:numId w:val="4"/>
        </w:numPr>
        <w:pBdr>
          <w:top w:val="nil"/>
          <w:left w:val="nil"/>
          <w:bottom w:val="nil"/>
          <w:right w:val="nil"/>
          <w:between w:val="nil"/>
        </w:pBdr>
        <w:spacing w:before="240" w:after="240" w:line="276" w:lineRule="auto"/>
        <w:ind w:left="142" w:right="49" w:firstLine="0"/>
        <w:jc w:val="both"/>
        <w:rPr>
          <w:rFonts w:ascii="Palatino Linotype" w:eastAsia="Palatino Linotype" w:hAnsi="Palatino Linotype" w:cs="Palatino Linotype"/>
          <w:b/>
          <w:i/>
          <w:sz w:val="22"/>
          <w:szCs w:val="22"/>
        </w:rPr>
      </w:pPr>
      <w:r w:rsidRPr="00BC1FAD">
        <w:rPr>
          <w:rFonts w:ascii="Palatino Linotype" w:eastAsia="Palatino Linotype" w:hAnsi="Palatino Linotype" w:cs="Palatino Linotype"/>
          <w:b/>
          <w:i/>
          <w:sz w:val="22"/>
          <w:szCs w:val="22"/>
        </w:rPr>
        <w:t>Contratos celebrados por el Ayuntamiento de Tlalnepantla de Baz para el  arrendamiento de equipos de cómputo, impresoras y consumibles, del 01 de enero de 2022 al 08 de abril de 2024.</w:t>
      </w:r>
    </w:p>
    <w:p w14:paraId="58F73375" w14:textId="77777777" w:rsidR="00191DBD" w:rsidRPr="00BC1FAD" w:rsidRDefault="005029AE" w:rsidP="009B12E0">
      <w:pPr>
        <w:pBdr>
          <w:top w:val="nil"/>
          <w:left w:val="nil"/>
          <w:bottom w:val="nil"/>
          <w:right w:val="nil"/>
          <w:between w:val="nil"/>
        </w:pBdr>
        <w:spacing w:after="240" w:line="276" w:lineRule="auto"/>
        <w:ind w:left="142" w:right="49"/>
        <w:jc w:val="both"/>
        <w:rPr>
          <w:rFonts w:ascii="Palatino Linotype" w:eastAsia="Palatino Linotype" w:hAnsi="Palatino Linotype" w:cs="Palatino Linotype"/>
          <w:i/>
          <w:sz w:val="22"/>
          <w:szCs w:val="22"/>
        </w:rPr>
      </w:pPr>
      <w:bookmarkStart w:id="11" w:name="_heading=h.lnxbz9" w:colFirst="0" w:colLast="0"/>
      <w:bookmarkEnd w:id="11"/>
      <w:r w:rsidRPr="00BC1FAD">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BC1FAD">
        <w:rPr>
          <w:rFonts w:ascii="Palatino Linotype" w:eastAsia="Palatino Linotype" w:hAnsi="Palatino Linotype" w:cs="Palatino Linotype"/>
          <w:b/>
          <w:i/>
          <w:sz w:val="22"/>
          <w:szCs w:val="22"/>
        </w:rPr>
        <w:t>la parte Recurrente</w:t>
      </w:r>
      <w:r w:rsidRPr="00BC1FAD">
        <w:rPr>
          <w:rFonts w:ascii="Palatino Linotype" w:eastAsia="Palatino Linotype" w:hAnsi="Palatino Linotype" w:cs="Palatino Linotype"/>
          <w:i/>
          <w:sz w:val="22"/>
          <w:szCs w:val="22"/>
        </w:rPr>
        <w:t>.</w:t>
      </w:r>
    </w:p>
    <w:p w14:paraId="1E7DEBF8"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lastRenderedPageBreak/>
        <w:t xml:space="preserve">Tercero.  Notifíquese vía SAIMEX, </w:t>
      </w:r>
      <w:r w:rsidRPr="00BC1FA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D2421D"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r w:rsidRPr="00BC1FAD">
        <w:rPr>
          <w:rFonts w:ascii="Palatino Linotype" w:eastAsia="Palatino Linotype" w:hAnsi="Palatino Linotype" w:cs="Palatino Linotype"/>
          <w:b/>
          <w:sz w:val="22"/>
          <w:szCs w:val="22"/>
        </w:rPr>
        <w:t xml:space="preserve">Cuarto. </w:t>
      </w:r>
      <w:r w:rsidRPr="00BC1FAD">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3F3525" w14:textId="77777777" w:rsidR="00191DBD" w:rsidRPr="00BC1FAD" w:rsidRDefault="005029AE">
      <w:pPr>
        <w:spacing w:before="240" w:after="240" w:line="360" w:lineRule="auto"/>
        <w:jc w:val="both"/>
        <w:rPr>
          <w:rFonts w:ascii="Palatino Linotype" w:eastAsia="Palatino Linotype" w:hAnsi="Palatino Linotype" w:cs="Palatino Linotype"/>
          <w:sz w:val="22"/>
          <w:szCs w:val="22"/>
        </w:rPr>
      </w:pPr>
      <w:bookmarkStart w:id="12" w:name="_heading=h.17dp8vu" w:colFirst="0" w:colLast="0"/>
      <w:bookmarkEnd w:id="12"/>
      <w:r w:rsidRPr="00BC1FAD">
        <w:rPr>
          <w:rFonts w:ascii="Palatino Linotype" w:eastAsia="Palatino Linotype" w:hAnsi="Palatino Linotype" w:cs="Palatino Linotype"/>
          <w:b/>
          <w:sz w:val="22"/>
          <w:szCs w:val="22"/>
        </w:rPr>
        <w:t xml:space="preserve">Quinto. Notifíquese vía SAIMEX, </w:t>
      </w:r>
      <w:r w:rsidRPr="00BC1FAD">
        <w:rPr>
          <w:rFonts w:ascii="Palatino Linotype" w:eastAsia="Palatino Linotype" w:hAnsi="Palatino Linotype" w:cs="Palatino Linotype"/>
          <w:sz w:val="22"/>
          <w:szCs w:val="22"/>
        </w:rPr>
        <w:t>a</w:t>
      </w:r>
      <w:r w:rsidRPr="00BC1FAD">
        <w:rPr>
          <w:rFonts w:ascii="Palatino Linotype" w:eastAsia="Palatino Linotype" w:hAnsi="Palatino Linotype" w:cs="Palatino Linotype"/>
          <w:b/>
          <w:sz w:val="22"/>
          <w:szCs w:val="22"/>
        </w:rPr>
        <w:t xml:space="preserve"> la parte Recurrente</w:t>
      </w:r>
      <w:r w:rsidRPr="00BC1FAD">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3E6816B" w14:textId="77777777" w:rsidR="00191DBD" w:rsidRPr="00BC1FAD" w:rsidRDefault="005029AE">
      <w:pPr>
        <w:spacing w:line="360" w:lineRule="auto"/>
        <w:jc w:val="both"/>
        <w:rPr>
          <w:rFonts w:ascii="Palatino Linotype" w:eastAsia="Palatino Linotype" w:hAnsi="Palatino Linotype" w:cs="Palatino Linotype"/>
        </w:rPr>
      </w:pPr>
      <w:r w:rsidRPr="00BC1FA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w:t>
      </w:r>
      <w:r w:rsidRPr="00BC1FAD">
        <w:rPr>
          <w:rFonts w:ascii="Palatino Linotype" w:eastAsia="Palatino Linotype" w:hAnsi="Palatino Linotype" w:cs="Palatino Linotype"/>
        </w:rPr>
        <w:lastRenderedPageBreak/>
        <w:t xml:space="preserve">CELEBRADA EL CATORCE DE AGOSTO DE DOS MIL VEINTICUATRO, ANTE EL SECRETARIO TÉCNICO DEL PLENO ALEXIS TAPIA RAMÍREZ. </w:t>
      </w:r>
    </w:p>
    <w:p w14:paraId="2CFFA975" w14:textId="77777777" w:rsidR="00191DBD" w:rsidRPr="00BC1FAD" w:rsidRDefault="00191DBD">
      <w:pPr>
        <w:rPr>
          <w:rFonts w:ascii="Palatino Linotype" w:eastAsia="Palatino Linotype" w:hAnsi="Palatino Linotype" w:cs="Palatino Linotype"/>
        </w:rPr>
      </w:pPr>
    </w:p>
    <w:p w14:paraId="6714C132" w14:textId="77777777" w:rsidR="00191DBD" w:rsidRPr="00BC1FAD" w:rsidRDefault="00191DBD">
      <w:pPr>
        <w:rPr>
          <w:rFonts w:ascii="Palatino Linotype" w:eastAsia="Palatino Linotype" w:hAnsi="Palatino Linotype" w:cs="Palatino Linotype"/>
        </w:rPr>
      </w:pPr>
    </w:p>
    <w:p w14:paraId="2244973F" w14:textId="77777777" w:rsidR="00191DBD" w:rsidRPr="00BC1FAD" w:rsidRDefault="00191DBD">
      <w:pPr>
        <w:spacing w:line="360" w:lineRule="auto"/>
        <w:jc w:val="both"/>
        <w:rPr>
          <w:rFonts w:ascii="Palatino Linotype" w:eastAsia="Palatino Linotype" w:hAnsi="Palatino Linotype" w:cs="Palatino Linotype"/>
        </w:rPr>
      </w:pPr>
      <w:bookmarkStart w:id="13" w:name="_heading=h.3rdcrjn" w:colFirst="0" w:colLast="0"/>
      <w:bookmarkEnd w:id="13"/>
    </w:p>
    <w:p w14:paraId="3C6B1DEF" w14:textId="77777777" w:rsidR="00191DBD" w:rsidRPr="00BC1FAD" w:rsidRDefault="00191DBD">
      <w:pPr>
        <w:spacing w:line="360" w:lineRule="auto"/>
        <w:jc w:val="both"/>
        <w:rPr>
          <w:rFonts w:ascii="Palatino Linotype" w:eastAsia="Palatino Linotype" w:hAnsi="Palatino Linotype" w:cs="Palatino Linotype"/>
        </w:rPr>
      </w:pPr>
    </w:p>
    <w:p w14:paraId="74682FB0" w14:textId="77777777" w:rsidR="00191DBD" w:rsidRPr="00BC1FAD" w:rsidRDefault="00191DBD">
      <w:pPr>
        <w:spacing w:line="360" w:lineRule="auto"/>
        <w:jc w:val="both"/>
        <w:rPr>
          <w:rFonts w:ascii="Palatino Linotype" w:eastAsia="Palatino Linotype" w:hAnsi="Palatino Linotype" w:cs="Palatino Linotype"/>
        </w:rPr>
      </w:pPr>
    </w:p>
    <w:p w14:paraId="5BFA7948" w14:textId="77777777" w:rsidR="00191DBD" w:rsidRPr="00BC1FAD" w:rsidRDefault="00191DBD">
      <w:pPr>
        <w:spacing w:line="360" w:lineRule="auto"/>
        <w:jc w:val="both"/>
        <w:rPr>
          <w:rFonts w:ascii="Palatino Linotype" w:eastAsia="Palatino Linotype" w:hAnsi="Palatino Linotype" w:cs="Palatino Linotype"/>
        </w:rPr>
      </w:pPr>
      <w:bookmarkStart w:id="14" w:name="_heading=h.1t3h5sf" w:colFirst="0" w:colLast="0"/>
      <w:bookmarkEnd w:id="14"/>
    </w:p>
    <w:p w14:paraId="330BB339" w14:textId="77777777" w:rsidR="00191DBD" w:rsidRPr="00BC1FAD" w:rsidRDefault="00191DBD">
      <w:pPr>
        <w:spacing w:line="360" w:lineRule="auto"/>
        <w:jc w:val="both"/>
        <w:rPr>
          <w:rFonts w:ascii="Palatino Linotype" w:eastAsia="Palatino Linotype" w:hAnsi="Palatino Linotype" w:cs="Palatino Linotype"/>
        </w:rPr>
      </w:pPr>
    </w:p>
    <w:p w14:paraId="62E7530B" w14:textId="77777777" w:rsidR="00191DBD" w:rsidRPr="00BC1FAD" w:rsidRDefault="00191DBD">
      <w:pPr>
        <w:spacing w:line="360" w:lineRule="auto"/>
        <w:jc w:val="both"/>
        <w:rPr>
          <w:rFonts w:ascii="Palatino Linotype" w:eastAsia="Palatino Linotype" w:hAnsi="Palatino Linotype" w:cs="Palatino Linotype"/>
        </w:rPr>
      </w:pPr>
    </w:p>
    <w:p w14:paraId="5F69B5D2" w14:textId="77777777" w:rsidR="00191DBD" w:rsidRPr="00BC1FAD" w:rsidRDefault="00191DBD">
      <w:pPr>
        <w:spacing w:line="360" w:lineRule="auto"/>
        <w:jc w:val="both"/>
        <w:rPr>
          <w:rFonts w:ascii="Palatino Linotype" w:eastAsia="Palatino Linotype" w:hAnsi="Palatino Linotype" w:cs="Palatino Linotype"/>
        </w:rPr>
      </w:pPr>
    </w:p>
    <w:p w14:paraId="7571178C" w14:textId="77777777" w:rsidR="00191DBD" w:rsidRPr="00BC1FAD" w:rsidRDefault="00191DBD">
      <w:pPr>
        <w:spacing w:line="360" w:lineRule="auto"/>
        <w:jc w:val="both"/>
        <w:rPr>
          <w:rFonts w:ascii="Palatino Linotype" w:eastAsia="Palatino Linotype" w:hAnsi="Palatino Linotype" w:cs="Palatino Linotype"/>
        </w:rPr>
      </w:pPr>
    </w:p>
    <w:p w14:paraId="0EA14309" w14:textId="77777777" w:rsidR="00191DBD" w:rsidRPr="00BC1FAD" w:rsidRDefault="00191DBD">
      <w:pPr>
        <w:spacing w:line="360" w:lineRule="auto"/>
        <w:jc w:val="both"/>
        <w:rPr>
          <w:rFonts w:ascii="Palatino Linotype" w:eastAsia="Palatino Linotype" w:hAnsi="Palatino Linotype" w:cs="Palatino Linotype"/>
        </w:rPr>
      </w:pPr>
    </w:p>
    <w:p w14:paraId="5B955668" w14:textId="77777777" w:rsidR="00191DBD" w:rsidRPr="00BC1FAD" w:rsidRDefault="00191DBD">
      <w:pPr>
        <w:spacing w:line="360" w:lineRule="auto"/>
        <w:jc w:val="both"/>
        <w:rPr>
          <w:rFonts w:ascii="Palatino Linotype" w:eastAsia="Palatino Linotype" w:hAnsi="Palatino Linotype" w:cs="Palatino Linotype"/>
        </w:rPr>
      </w:pPr>
    </w:p>
    <w:p w14:paraId="0B20BF15" w14:textId="77777777" w:rsidR="00191DBD" w:rsidRPr="00BC1FAD" w:rsidRDefault="00191DBD">
      <w:pPr>
        <w:spacing w:line="360" w:lineRule="auto"/>
        <w:jc w:val="both"/>
        <w:rPr>
          <w:rFonts w:ascii="Palatino Linotype" w:eastAsia="Palatino Linotype" w:hAnsi="Palatino Linotype" w:cs="Palatino Linotype"/>
        </w:rPr>
      </w:pPr>
    </w:p>
    <w:p w14:paraId="024F404E" w14:textId="77777777" w:rsidR="00191DBD" w:rsidRPr="00BC1FAD" w:rsidRDefault="00191DBD">
      <w:pPr>
        <w:spacing w:line="360" w:lineRule="auto"/>
        <w:jc w:val="both"/>
        <w:rPr>
          <w:rFonts w:ascii="Palatino Linotype" w:eastAsia="Palatino Linotype" w:hAnsi="Palatino Linotype" w:cs="Palatino Linotype"/>
        </w:rPr>
      </w:pPr>
    </w:p>
    <w:p w14:paraId="3562A23D" w14:textId="77777777" w:rsidR="00191DBD" w:rsidRPr="00BC1FAD" w:rsidRDefault="00191DBD">
      <w:pPr>
        <w:spacing w:line="360" w:lineRule="auto"/>
        <w:jc w:val="both"/>
        <w:rPr>
          <w:rFonts w:ascii="Palatino Linotype" w:eastAsia="Palatino Linotype" w:hAnsi="Palatino Linotype" w:cs="Palatino Linotype"/>
        </w:rPr>
      </w:pPr>
    </w:p>
    <w:p w14:paraId="23F6D6F4" w14:textId="77777777" w:rsidR="00191DBD" w:rsidRPr="00BC1FAD" w:rsidRDefault="00191DBD">
      <w:pPr>
        <w:spacing w:line="360" w:lineRule="auto"/>
        <w:jc w:val="both"/>
        <w:rPr>
          <w:rFonts w:ascii="Palatino Linotype" w:eastAsia="Palatino Linotype" w:hAnsi="Palatino Linotype" w:cs="Palatino Linotype"/>
        </w:rPr>
      </w:pPr>
    </w:p>
    <w:p w14:paraId="4FA1227C" w14:textId="77777777" w:rsidR="00191DBD" w:rsidRPr="00BC1FAD" w:rsidRDefault="00191DBD">
      <w:pPr>
        <w:spacing w:line="360" w:lineRule="auto"/>
        <w:jc w:val="both"/>
        <w:rPr>
          <w:rFonts w:ascii="Palatino Linotype" w:eastAsia="Palatino Linotype" w:hAnsi="Palatino Linotype" w:cs="Palatino Linotype"/>
        </w:rPr>
      </w:pPr>
    </w:p>
    <w:p w14:paraId="73B4D2B3" w14:textId="77777777" w:rsidR="00191DBD" w:rsidRPr="00BC1FAD" w:rsidRDefault="00191DBD">
      <w:pPr>
        <w:spacing w:line="360" w:lineRule="auto"/>
        <w:jc w:val="both"/>
        <w:rPr>
          <w:rFonts w:ascii="Palatino Linotype" w:eastAsia="Palatino Linotype" w:hAnsi="Palatino Linotype" w:cs="Palatino Linotype"/>
        </w:rPr>
      </w:pPr>
    </w:p>
    <w:p w14:paraId="7B040D31" w14:textId="77777777" w:rsidR="00191DBD" w:rsidRPr="00BC1FAD" w:rsidRDefault="00191DBD">
      <w:pPr>
        <w:spacing w:line="360" w:lineRule="auto"/>
        <w:jc w:val="both"/>
        <w:rPr>
          <w:rFonts w:ascii="Palatino Linotype" w:eastAsia="Palatino Linotype" w:hAnsi="Palatino Linotype" w:cs="Palatino Linotype"/>
        </w:rPr>
      </w:pPr>
    </w:p>
    <w:p w14:paraId="657B0DDB" w14:textId="77777777" w:rsidR="00191DBD" w:rsidRPr="00BC1FAD" w:rsidRDefault="00191DBD">
      <w:pPr>
        <w:spacing w:line="360" w:lineRule="auto"/>
        <w:jc w:val="both"/>
        <w:rPr>
          <w:rFonts w:ascii="Palatino Linotype" w:eastAsia="Palatino Linotype" w:hAnsi="Palatino Linotype" w:cs="Palatino Linotype"/>
        </w:rPr>
      </w:pPr>
    </w:p>
    <w:p w14:paraId="3CCF6A8B" w14:textId="77777777" w:rsidR="00191DBD" w:rsidRPr="00BC1FAD" w:rsidRDefault="00191DBD">
      <w:pPr>
        <w:spacing w:line="360" w:lineRule="auto"/>
        <w:jc w:val="both"/>
        <w:rPr>
          <w:rFonts w:ascii="Palatino Linotype" w:eastAsia="Palatino Linotype" w:hAnsi="Palatino Linotype" w:cs="Palatino Linotype"/>
        </w:rPr>
      </w:pPr>
    </w:p>
    <w:p w14:paraId="7C37241E" w14:textId="77777777" w:rsidR="00191DBD" w:rsidRPr="00BC1FAD" w:rsidRDefault="00191DBD">
      <w:pPr>
        <w:spacing w:line="360" w:lineRule="auto"/>
        <w:jc w:val="both"/>
        <w:rPr>
          <w:rFonts w:ascii="Palatino Linotype" w:eastAsia="Palatino Linotype" w:hAnsi="Palatino Linotype" w:cs="Palatino Linotype"/>
        </w:rPr>
      </w:pPr>
    </w:p>
    <w:p w14:paraId="6A7199FE" w14:textId="77777777" w:rsidR="00191DBD" w:rsidRPr="00BC1FAD" w:rsidRDefault="00191DBD">
      <w:pPr>
        <w:spacing w:line="360" w:lineRule="auto"/>
        <w:jc w:val="both"/>
        <w:rPr>
          <w:rFonts w:ascii="Palatino Linotype" w:eastAsia="Palatino Linotype" w:hAnsi="Palatino Linotype" w:cs="Palatino Linotype"/>
        </w:rPr>
      </w:pPr>
    </w:p>
    <w:p w14:paraId="232D924C" w14:textId="77777777" w:rsidR="00191DBD" w:rsidRPr="00BC1FAD" w:rsidRDefault="00191DBD">
      <w:pPr>
        <w:spacing w:line="360" w:lineRule="auto"/>
        <w:jc w:val="both"/>
        <w:rPr>
          <w:rFonts w:ascii="Palatino Linotype" w:eastAsia="Palatino Linotype" w:hAnsi="Palatino Linotype" w:cs="Palatino Linotype"/>
        </w:rPr>
      </w:pPr>
    </w:p>
    <w:p w14:paraId="26522C1A" w14:textId="77777777" w:rsidR="00191DBD" w:rsidRPr="00BC1FAD" w:rsidRDefault="00191DBD">
      <w:pPr>
        <w:spacing w:line="360" w:lineRule="auto"/>
        <w:jc w:val="both"/>
        <w:rPr>
          <w:rFonts w:ascii="Palatino Linotype" w:eastAsia="Palatino Linotype" w:hAnsi="Palatino Linotype" w:cs="Palatino Linotype"/>
        </w:rPr>
      </w:pPr>
    </w:p>
    <w:sectPr w:rsidR="00191DBD" w:rsidRPr="00BC1FAD">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F818C" w14:textId="77777777" w:rsidR="00641F46" w:rsidRDefault="00641F46">
      <w:r>
        <w:separator/>
      </w:r>
    </w:p>
  </w:endnote>
  <w:endnote w:type="continuationSeparator" w:id="0">
    <w:p w14:paraId="239F3A2E" w14:textId="77777777" w:rsidR="00641F46" w:rsidRDefault="0064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B016" w14:textId="77777777" w:rsidR="00191DBD" w:rsidRDefault="005029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6FAE">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6FAE">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0F3D39CD" w14:textId="77777777" w:rsidR="00191DBD" w:rsidRDefault="00191DB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2E6F" w14:textId="77777777" w:rsidR="00191DBD" w:rsidRDefault="005029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6FA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6FAE">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140357EE" w14:textId="77777777" w:rsidR="00191DBD" w:rsidRDefault="00191DB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9F4D" w14:textId="77777777" w:rsidR="00641F46" w:rsidRDefault="00641F46">
      <w:r>
        <w:separator/>
      </w:r>
    </w:p>
  </w:footnote>
  <w:footnote w:type="continuationSeparator" w:id="0">
    <w:p w14:paraId="2442E653" w14:textId="77777777" w:rsidR="00641F46" w:rsidRDefault="00641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B04D" w14:textId="77777777" w:rsidR="00191DBD" w:rsidRDefault="005029AE">
    <w:pPr>
      <w:rPr>
        <w:rFonts w:ascii="Cambria" w:eastAsia="Cambria" w:hAnsi="Cambria" w:cs="Cambria"/>
        <w:color w:val="000000"/>
      </w:rPr>
    </w:pPr>
    <w:r>
      <w:rPr>
        <w:noProof/>
      </w:rPr>
      <w:drawing>
        <wp:anchor distT="0" distB="0" distL="0" distR="0" simplePos="0" relativeHeight="251658240" behindDoc="1" locked="0" layoutInCell="1" hidden="0" allowOverlap="1" wp14:anchorId="76905681" wp14:editId="1A537B2B">
          <wp:simplePos x="0" y="0"/>
          <wp:positionH relativeFrom="column">
            <wp:posOffset>-1080112</wp:posOffset>
          </wp:positionH>
          <wp:positionV relativeFrom="paragraph">
            <wp:posOffset>-488288</wp:posOffset>
          </wp:positionV>
          <wp:extent cx="7809865" cy="10165715"/>
          <wp:effectExtent l="0" t="0" r="0" b="0"/>
          <wp:wrapNone/>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191DBD" w14:paraId="1F3BF383" w14:textId="77777777">
      <w:tc>
        <w:tcPr>
          <w:tcW w:w="2489" w:type="dxa"/>
          <w:shd w:val="clear" w:color="auto" w:fill="auto"/>
        </w:tcPr>
        <w:p w14:paraId="7CFE341D"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F223AF1" w14:textId="77777777" w:rsidR="00191DBD" w:rsidRDefault="005029A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02369/INFOEM/IP/RR/2024</w:t>
          </w:r>
        </w:p>
      </w:tc>
    </w:tr>
    <w:tr w:rsidR="00191DBD" w14:paraId="04100F59" w14:textId="77777777">
      <w:trPr>
        <w:trHeight w:val="228"/>
      </w:trPr>
      <w:tc>
        <w:tcPr>
          <w:tcW w:w="2489" w:type="dxa"/>
          <w:shd w:val="clear" w:color="auto" w:fill="auto"/>
          <w:vAlign w:val="center"/>
        </w:tcPr>
        <w:p w14:paraId="59F9B8C3"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C31F850" w14:textId="77777777" w:rsidR="00191DBD" w:rsidRDefault="005029AE">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191DBD" w14:paraId="2D9A0610" w14:textId="77777777">
      <w:tc>
        <w:tcPr>
          <w:tcW w:w="2489" w:type="dxa"/>
          <w:shd w:val="clear" w:color="auto" w:fill="auto"/>
          <w:vAlign w:val="center"/>
        </w:tcPr>
        <w:p w14:paraId="77298D97" w14:textId="77777777" w:rsidR="00191DBD" w:rsidRDefault="005029A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029C5E8" w14:textId="77777777" w:rsidR="00191DBD" w:rsidRDefault="005029A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E750CF" w14:textId="77777777" w:rsidR="00191DBD" w:rsidRDefault="005029A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7DA2" w14:textId="77777777" w:rsidR="00191DBD" w:rsidRDefault="005029A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FA8CE1B" wp14:editId="59F79F19">
          <wp:simplePos x="0" y="0"/>
          <wp:positionH relativeFrom="column">
            <wp:posOffset>-1079490</wp:posOffset>
          </wp:positionH>
          <wp:positionV relativeFrom="paragraph">
            <wp:posOffset>-328920</wp:posOffset>
          </wp:positionV>
          <wp:extent cx="7809865" cy="10165715"/>
          <wp:effectExtent l="0" t="0" r="0" b="0"/>
          <wp:wrapNone/>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191DBD" w14:paraId="00750A4B" w14:textId="77777777">
      <w:tc>
        <w:tcPr>
          <w:tcW w:w="2551" w:type="dxa"/>
          <w:shd w:val="clear" w:color="auto" w:fill="auto"/>
          <w:vAlign w:val="center"/>
        </w:tcPr>
        <w:p w14:paraId="05127218"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2FAFA5B6" w14:textId="77777777" w:rsidR="00191DBD" w:rsidRDefault="005029A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02369/INFOEM/IP/RR/2024</w:t>
          </w:r>
        </w:p>
      </w:tc>
    </w:tr>
    <w:tr w:rsidR="00191DBD" w14:paraId="1E1D21D8" w14:textId="77777777">
      <w:trPr>
        <w:trHeight w:val="130"/>
      </w:trPr>
      <w:tc>
        <w:tcPr>
          <w:tcW w:w="2551" w:type="dxa"/>
          <w:shd w:val="clear" w:color="auto" w:fill="auto"/>
          <w:vAlign w:val="center"/>
        </w:tcPr>
        <w:p w14:paraId="25188430"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893EDF8" w14:textId="286DE5CD" w:rsidR="00191DBD" w:rsidRDefault="00546E2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w:t>
          </w:r>
        </w:p>
      </w:tc>
    </w:tr>
    <w:tr w:rsidR="00191DBD" w14:paraId="07803E80" w14:textId="77777777">
      <w:trPr>
        <w:trHeight w:val="228"/>
      </w:trPr>
      <w:tc>
        <w:tcPr>
          <w:tcW w:w="2551" w:type="dxa"/>
          <w:shd w:val="clear" w:color="auto" w:fill="auto"/>
          <w:vAlign w:val="center"/>
        </w:tcPr>
        <w:p w14:paraId="5EA81610"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1633F4C" w14:textId="77777777" w:rsidR="00191DBD" w:rsidRDefault="005029AE">
          <w:pPr>
            <w:ind w:left="-45" w:right="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191DBD" w14:paraId="625A5727" w14:textId="77777777">
      <w:tc>
        <w:tcPr>
          <w:tcW w:w="2551" w:type="dxa"/>
          <w:shd w:val="clear" w:color="auto" w:fill="auto"/>
          <w:vAlign w:val="center"/>
        </w:tcPr>
        <w:p w14:paraId="5DEA5997" w14:textId="77777777" w:rsidR="00191DBD" w:rsidRDefault="005029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027BCC54" w14:textId="77777777" w:rsidR="00191DBD" w:rsidRDefault="005029A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ECE6C8E" w14:textId="77777777" w:rsidR="00191DBD" w:rsidRDefault="00191DBD">
    <w:pPr>
      <w:pBdr>
        <w:top w:val="nil"/>
        <w:left w:val="nil"/>
        <w:bottom w:val="nil"/>
        <w:right w:val="nil"/>
        <w:between w:val="nil"/>
      </w:pBdr>
      <w:tabs>
        <w:tab w:val="center" w:pos="4252"/>
        <w:tab w:val="right" w:pos="8504"/>
      </w:tabs>
      <w:rPr>
        <w:rFonts w:ascii="Cambria" w:eastAsia="Cambria" w:hAnsi="Cambria" w:cs="Cambria"/>
        <w:color w:val="000000"/>
      </w:rPr>
    </w:pPr>
  </w:p>
  <w:p w14:paraId="102757F5" w14:textId="77777777" w:rsidR="00191DBD" w:rsidRDefault="00191D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34C"/>
    <w:multiLevelType w:val="multilevel"/>
    <w:tmpl w:val="D7FEE35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0AC26979"/>
    <w:multiLevelType w:val="multilevel"/>
    <w:tmpl w:val="0E0E9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A80AB9"/>
    <w:multiLevelType w:val="multilevel"/>
    <w:tmpl w:val="24AEA9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A2596E"/>
    <w:multiLevelType w:val="multilevel"/>
    <w:tmpl w:val="247CF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A62F23"/>
    <w:multiLevelType w:val="multilevel"/>
    <w:tmpl w:val="38B4D7FA"/>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EB631B"/>
    <w:multiLevelType w:val="multilevel"/>
    <w:tmpl w:val="7CECE8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BD"/>
    <w:rsid w:val="00191DBD"/>
    <w:rsid w:val="00313078"/>
    <w:rsid w:val="004E6FAE"/>
    <w:rsid w:val="005029AE"/>
    <w:rsid w:val="00546E29"/>
    <w:rsid w:val="00641F46"/>
    <w:rsid w:val="0076666F"/>
    <w:rsid w:val="009B12E0"/>
    <w:rsid w:val="00BC1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ED7DD"/>
  <w15:docId w15:val="{76021E79-40C5-40FD-8587-94C2C58D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ZvFJKy8J4bHuWbewGadgApGgXQ==">CgMxLjAyCWguMWZvYjl0ZTIIaC5namRneHMyCWguM2R5NnZrbTIJaC4zMGowemxsMgloLjJzOGV5bzEyCGgudHlqY3d0MgloLjN6bnlzaDcyCWguMmV0OTJwMDIJaC40ZDM0b2c4Mg5oLmlqdjk4cG50Y2Q1czIJaC4yNmluMXJnMghoLmxueGJ6OTIJaC4xN2RwOHZ1MgloLjNyZGNyam4yCWguMXQzaDVzZjgAciExVnItV0ZUTXJZMDB2VVFNeDh0Mm1ET2g0QkJXYjgxN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16659</Words>
  <Characters>91626</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2024-08-16T16:29:00Z</cp:lastPrinted>
  <dcterms:created xsi:type="dcterms:W3CDTF">2024-08-21T17:49:00Z</dcterms:created>
  <dcterms:modified xsi:type="dcterms:W3CDTF">2024-08-21T17:49:00Z</dcterms:modified>
</cp:coreProperties>
</file>