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65" w:rsidRPr="00C25030" w:rsidRDefault="00031D9D">
      <w:pPr>
        <w:spacing w:before="240" w:after="240" w:line="360" w:lineRule="auto"/>
        <w:jc w:val="both"/>
        <w:rPr>
          <w:rFonts w:ascii="Palatino Linotype" w:hAnsi="Palatino Linotype"/>
          <w:sz w:val="22"/>
          <w:szCs w:val="22"/>
        </w:rPr>
      </w:pPr>
      <w:r w:rsidRPr="00C25030">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dieciocho (18) de diciembre de dos mil veinticuatro.</w:t>
      </w:r>
    </w:p>
    <w:p w:rsidR="00056B65" w:rsidRPr="00C25030" w:rsidRDefault="00031D9D">
      <w:pPr>
        <w:pStyle w:val="Encabezado"/>
        <w:spacing w:line="360" w:lineRule="auto"/>
        <w:jc w:val="both"/>
        <w:rPr>
          <w:rFonts w:ascii="Palatino Linotype" w:hAnsi="Palatino Linotype"/>
          <w:sz w:val="22"/>
          <w:szCs w:val="22"/>
        </w:rPr>
      </w:pPr>
      <w:r w:rsidRPr="00C25030">
        <w:rPr>
          <w:rFonts w:ascii="Palatino Linotype" w:hAnsi="Palatino Linotype"/>
          <w:b/>
          <w:sz w:val="22"/>
          <w:szCs w:val="22"/>
        </w:rPr>
        <w:t>VISTO el</w:t>
      </w:r>
      <w:r w:rsidRPr="00C25030">
        <w:rPr>
          <w:rFonts w:ascii="Palatino Linotype" w:hAnsi="Palatino Linotype"/>
          <w:sz w:val="22"/>
          <w:szCs w:val="22"/>
        </w:rPr>
        <w:t xml:space="preserve"> expediente electrónico formado con motivo del recurso de revisión </w:t>
      </w:r>
      <w:r w:rsidRPr="00C25030">
        <w:rPr>
          <w:rFonts w:ascii="Palatino Linotype" w:eastAsia="Calibri" w:hAnsi="Palatino Linotype" w:cs="Tahoma"/>
          <w:b/>
          <w:sz w:val="22"/>
          <w:szCs w:val="22"/>
          <w:lang w:eastAsia="en-US"/>
        </w:rPr>
        <w:t>05178/INFOEM/IP/RR/2024</w:t>
      </w:r>
      <w:r w:rsidRPr="00C25030">
        <w:rPr>
          <w:rFonts w:ascii="Palatino Linotype" w:hAnsi="Palatino Linotype"/>
          <w:b/>
          <w:sz w:val="22"/>
          <w:szCs w:val="22"/>
        </w:rPr>
        <w:t xml:space="preserve">, </w:t>
      </w:r>
      <w:r w:rsidRPr="00C25030">
        <w:rPr>
          <w:rFonts w:ascii="Palatino Linotype" w:hAnsi="Palatino Linotype"/>
          <w:sz w:val="22"/>
          <w:szCs w:val="22"/>
        </w:rPr>
        <w:t xml:space="preserve">promovido por un usuario que no proporcionó nombre, en su calidad de </w:t>
      </w:r>
      <w:r w:rsidRPr="00C25030">
        <w:rPr>
          <w:rFonts w:ascii="Palatino Linotype" w:hAnsi="Palatino Linotype"/>
          <w:b/>
          <w:sz w:val="22"/>
          <w:szCs w:val="22"/>
        </w:rPr>
        <w:t>RECURRENTE</w:t>
      </w:r>
      <w:r w:rsidRPr="00C25030">
        <w:rPr>
          <w:rFonts w:ascii="Palatino Linotype" w:hAnsi="Palatino Linotype" w:cs="Arial"/>
          <w:sz w:val="22"/>
          <w:szCs w:val="22"/>
        </w:rPr>
        <w:t xml:space="preserve">, en contra de la respuesta de la </w:t>
      </w:r>
      <w:r w:rsidRPr="00C25030">
        <w:rPr>
          <w:rFonts w:ascii="Palatino Linotype" w:eastAsia="Calibri" w:hAnsi="Palatino Linotype" w:cs="Arial"/>
          <w:b/>
          <w:bCs/>
          <w:sz w:val="22"/>
          <w:szCs w:val="22"/>
        </w:rPr>
        <w:t>Gubernatura</w:t>
      </w:r>
      <w:r w:rsidRPr="00C25030">
        <w:rPr>
          <w:rFonts w:ascii="Palatino Linotype" w:hAnsi="Palatino Linotype" w:cs="Arial"/>
          <w:sz w:val="22"/>
          <w:szCs w:val="22"/>
        </w:rPr>
        <w:t>,</w:t>
      </w:r>
      <w:r w:rsidRPr="00C25030">
        <w:rPr>
          <w:rFonts w:ascii="Palatino Linotype" w:hAnsi="Palatino Linotype"/>
          <w:b/>
          <w:sz w:val="22"/>
          <w:szCs w:val="22"/>
        </w:rPr>
        <w:t xml:space="preserve"> </w:t>
      </w:r>
      <w:r w:rsidRPr="00C25030">
        <w:rPr>
          <w:rFonts w:ascii="Palatino Linotype" w:hAnsi="Palatino Linotype"/>
          <w:sz w:val="22"/>
          <w:szCs w:val="22"/>
        </w:rPr>
        <w:t>en lo sucesivo el</w:t>
      </w:r>
      <w:r w:rsidRPr="00C25030">
        <w:rPr>
          <w:rFonts w:ascii="Palatino Linotype" w:hAnsi="Palatino Linotype"/>
          <w:b/>
          <w:sz w:val="22"/>
          <w:szCs w:val="22"/>
        </w:rPr>
        <w:t xml:space="preserve"> SUJETO OBLIGADO, </w:t>
      </w:r>
      <w:r w:rsidRPr="00C25030">
        <w:rPr>
          <w:rFonts w:ascii="Palatino Linotype" w:hAnsi="Palatino Linotype"/>
          <w:sz w:val="22"/>
          <w:szCs w:val="22"/>
        </w:rPr>
        <w:t>se procede a dictar la presente resolución, con base en los siguientes:</w:t>
      </w:r>
    </w:p>
    <w:p w:rsidR="00056B65" w:rsidRPr="00C25030" w:rsidRDefault="00031D9D">
      <w:pPr>
        <w:pStyle w:val="Ttulo1"/>
        <w:jc w:val="center"/>
        <w:rPr>
          <w:rFonts w:ascii="Palatino Linotype" w:hAnsi="Palatino Linotype"/>
          <w:b/>
          <w:color w:val="auto"/>
          <w:sz w:val="22"/>
          <w:szCs w:val="22"/>
        </w:rPr>
      </w:pPr>
      <w:bookmarkStart w:id="0" w:name="_Toc87549671"/>
      <w:r w:rsidRPr="00C25030">
        <w:rPr>
          <w:rFonts w:ascii="Palatino Linotype" w:hAnsi="Palatino Linotype"/>
          <w:b/>
          <w:color w:val="auto"/>
          <w:sz w:val="22"/>
          <w:szCs w:val="22"/>
        </w:rPr>
        <w:t>ANTECEDENTES</w:t>
      </w:r>
      <w:bookmarkEnd w:id="0"/>
    </w:p>
    <w:p w:rsidR="00056B65" w:rsidRPr="00C25030" w:rsidRDefault="00056B65">
      <w:pPr>
        <w:rPr>
          <w:rFonts w:ascii="Palatino Linotype" w:hAnsi="Palatino Linotype"/>
          <w:sz w:val="22"/>
          <w:szCs w:val="22"/>
          <w:lang w:eastAsia="en-US"/>
        </w:rPr>
      </w:pPr>
    </w:p>
    <w:p w:rsidR="00056B65" w:rsidRPr="00C25030" w:rsidRDefault="00031D9D">
      <w:pPr>
        <w:pStyle w:val="Prrafodelista"/>
        <w:numPr>
          <w:ilvl w:val="0"/>
          <w:numId w:val="1"/>
        </w:numPr>
        <w:spacing w:line="360" w:lineRule="auto"/>
        <w:ind w:left="0" w:firstLine="0"/>
        <w:jc w:val="both"/>
        <w:rPr>
          <w:rFonts w:ascii="Palatino Linotype" w:hAnsi="Palatino Linotype" w:cs="Arial"/>
          <w:szCs w:val="22"/>
          <w:lang w:val="es-ES"/>
        </w:rPr>
      </w:pPr>
      <w:r w:rsidRPr="00C25030">
        <w:rPr>
          <w:rFonts w:ascii="Palatino Linotype" w:eastAsia="Calibri" w:hAnsi="Palatino Linotype" w:cs="Arial"/>
          <w:szCs w:val="22"/>
          <w:lang w:val="es-ES"/>
        </w:rPr>
        <w:t>El veintiuno (21) de agosto</w:t>
      </w:r>
      <w:r w:rsidRPr="00C25030">
        <w:rPr>
          <w:rFonts w:ascii="Palatino Linotype" w:eastAsia="Calibri" w:hAnsi="Palatino Linotype"/>
          <w:szCs w:val="22"/>
          <w:lang w:val="es-ES"/>
        </w:rPr>
        <w:t xml:space="preserve"> de dos mil veinticuatro</w:t>
      </w:r>
      <w:r w:rsidRPr="00C25030">
        <w:rPr>
          <w:rFonts w:ascii="Palatino Linotype" w:eastAsia="Calibri" w:hAnsi="Palatino Linotype" w:cs="Arial"/>
          <w:szCs w:val="22"/>
          <w:lang w:val="es-ES"/>
        </w:rPr>
        <w:t>,</w:t>
      </w:r>
      <w:r w:rsidRPr="00C25030">
        <w:rPr>
          <w:rFonts w:ascii="Palatino Linotype" w:eastAsia="Calibri" w:hAnsi="Palatino Linotype"/>
          <w:szCs w:val="22"/>
          <w:lang w:val="es-ES"/>
        </w:rPr>
        <w:t xml:space="preserve"> </w:t>
      </w:r>
      <w:r w:rsidRPr="00C25030">
        <w:rPr>
          <w:rFonts w:ascii="Palatino Linotype" w:eastAsia="Calibri" w:hAnsi="Palatino Linotype"/>
          <w:b/>
          <w:szCs w:val="22"/>
          <w:lang w:val="es-ES"/>
        </w:rPr>
        <w:t xml:space="preserve">EL RECURRENTE </w:t>
      </w:r>
      <w:r w:rsidRPr="00C25030">
        <w:rPr>
          <w:rFonts w:ascii="Palatino Linotype" w:eastAsia="Calibri" w:hAnsi="Palatino Linotype"/>
          <w:bCs/>
          <w:szCs w:val="22"/>
          <w:lang w:val="es-ES"/>
        </w:rPr>
        <w:t>presentó</w:t>
      </w:r>
      <w:r w:rsidRPr="00C25030">
        <w:rPr>
          <w:rFonts w:ascii="Palatino Linotype" w:hAnsi="Palatino Linotype"/>
          <w:b/>
          <w:szCs w:val="22"/>
        </w:rPr>
        <w:t>,</w:t>
      </w:r>
      <w:r w:rsidRPr="00C25030">
        <w:rPr>
          <w:rFonts w:ascii="Palatino Linotype" w:eastAsia="Calibri" w:hAnsi="Palatino Linotype" w:cs="Arial"/>
          <w:szCs w:val="22"/>
          <w:lang w:val="es-ES"/>
        </w:rPr>
        <w:t xml:space="preserve"> ante el </w:t>
      </w:r>
      <w:r w:rsidRPr="00C25030">
        <w:rPr>
          <w:rFonts w:ascii="Palatino Linotype" w:eastAsia="Calibri" w:hAnsi="Palatino Linotype" w:cs="Arial"/>
          <w:b/>
          <w:szCs w:val="22"/>
          <w:lang w:val="es-ES"/>
        </w:rPr>
        <w:t>SUJETO OBLIGADO</w:t>
      </w:r>
      <w:r w:rsidRPr="00C25030">
        <w:rPr>
          <w:rFonts w:ascii="Palatino Linotype" w:eastAsia="Calibri" w:hAnsi="Palatino Linotype" w:cs="Arial"/>
          <w:szCs w:val="22"/>
        </w:rPr>
        <w:t>, a través del Sistema de Acceso a la Información Mexiquense (SAIMEX)</w:t>
      </w:r>
      <w:r w:rsidRPr="00C25030">
        <w:rPr>
          <w:rFonts w:ascii="Palatino Linotype" w:eastAsia="Calibri" w:hAnsi="Palatino Linotype" w:cs="Arial"/>
          <w:szCs w:val="22"/>
          <w:lang w:val="es-ES"/>
        </w:rPr>
        <w:t xml:space="preserve">, la solicitud de información pública registrada con el número </w:t>
      </w:r>
      <w:r w:rsidRPr="00C25030">
        <w:rPr>
          <w:rFonts w:ascii="Palatino Linotype" w:hAnsi="Palatino Linotype" w:cs="Arial"/>
          <w:b/>
          <w:bCs/>
          <w:szCs w:val="22"/>
        </w:rPr>
        <w:t xml:space="preserve">00229/GUBERNA/IP/2024, </w:t>
      </w:r>
      <w:r w:rsidRPr="00C25030">
        <w:rPr>
          <w:rFonts w:ascii="Palatino Linotype" w:eastAsia="Calibri" w:hAnsi="Palatino Linotype" w:cs="Arial"/>
          <w:szCs w:val="22"/>
          <w:lang w:val="es-ES"/>
        </w:rPr>
        <w:t>mediante la cual solicitó lo siguiente:</w:t>
      </w:r>
    </w:p>
    <w:p w:rsidR="00056B65" w:rsidRPr="00C25030" w:rsidRDefault="00056B65">
      <w:pPr>
        <w:pStyle w:val="Prrafodelista"/>
        <w:spacing w:line="360" w:lineRule="auto"/>
        <w:ind w:left="0"/>
        <w:jc w:val="both"/>
        <w:rPr>
          <w:rFonts w:ascii="Palatino Linotype" w:hAnsi="Palatino Linotype" w:cs="Arial"/>
          <w:szCs w:val="22"/>
          <w:lang w:val="es-ES"/>
        </w:rPr>
      </w:pPr>
    </w:p>
    <w:p w:rsidR="00056B65" w:rsidRPr="00C25030" w:rsidRDefault="00031D9D">
      <w:pPr>
        <w:pStyle w:val="Prrafodelista"/>
        <w:spacing w:line="360" w:lineRule="auto"/>
        <w:ind w:left="567" w:right="539"/>
        <w:jc w:val="both"/>
        <w:rPr>
          <w:rFonts w:ascii="Palatino Linotype" w:hAnsi="Palatino Linotype"/>
          <w:i/>
          <w:szCs w:val="22"/>
        </w:rPr>
      </w:pPr>
      <w:r w:rsidRPr="00C25030">
        <w:rPr>
          <w:rFonts w:ascii="Palatino Linotype" w:hAnsi="Palatino Linotype"/>
          <w:i/>
          <w:szCs w:val="22"/>
        </w:rPr>
        <w:t xml:space="preserve">“solicito los Nombramientos que </w:t>
      </w:r>
      <w:proofErr w:type="spellStart"/>
      <w:r w:rsidRPr="00C25030">
        <w:rPr>
          <w:rFonts w:ascii="Palatino Linotype" w:hAnsi="Palatino Linotype"/>
          <w:i/>
          <w:szCs w:val="22"/>
        </w:rPr>
        <w:t>a</w:t>
      </w:r>
      <w:proofErr w:type="spellEnd"/>
      <w:r w:rsidRPr="00C25030">
        <w:rPr>
          <w:rFonts w:ascii="Palatino Linotype" w:hAnsi="Palatino Linotype"/>
          <w:i/>
          <w:szCs w:val="22"/>
        </w:rPr>
        <w:t xml:space="preserve"> Realizado la Gobernadora a la secretaria del Agua para Nombrar al Secretario y a sus Directores Generales y Coordinadores Generales de la misma Secretaria, a fin de dar cumplimiento de la reglamentos y leyes para el mejor </w:t>
      </w:r>
      <w:proofErr w:type="spellStart"/>
      <w:r w:rsidRPr="00C25030">
        <w:rPr>
          <w:rFonts w:ascii="Palatino Linotype" w:hAnsi="Palatino Linotype"/>
          <w:i/>
          <w:szCs w:val="22"/>
        </w:rPr>
        <w:t>desempleño</w:t>
      </w:r>
      <w:proofErr w:type="spellEnd"/>
      <w:r w:rsidRPr="00C25030">
        <w:rPr>
          <w:rFonts w:ascii="Palatino Linotype" w:hAnsi="Palatino Linotype"/>
          <w:i/>
          <w:szCs w:val="22"/>
        </w:rPr>
        <w:t xml:space="preserve"> de la </w:t>
      </w:r>
      <w:proofErr w:type="spellStart"/>
      <w:r w:rsidRPr="00C25030">
        <w:rPr>
          <w:rFonts w:ascii="Palatino Linotype" w:hAnsi="Palatino Linotype"/>
          <w:i/>
          <w:szCs w:val="22"/>
        </w:rPr>
        <w:t>secreataria</w:t>
      </w:r>
      <w:proofErr w:type="spellEnd"/>
      <w:r w:rsidRPr="00C25030">
        <w:rPr>
          <w:rFonts w:ascii="Palatino Linotype" w:hAnsi="Palatino Linotype"/>
          <w:i/>
          <w:szCs w:val="22"/>
        </w:rPr>
        <w:t xml:space="preserve"> del agua de nueva creación, ya que cuando realizamos </w:t>
      </w:r>
      <w:proofErr w:type="spellStart"/>
      <w:r w:rsidRPr="00C25030">
        <w:rPr>
          <w:rFonts w:ascii="Palatino Linotype" w:hAnsi="Palatino Linotype"/>
          <w:i/>
          <w:szCs w:val="22"/>
        </w:rPr>
        <w:t>asercamientos</w:t>
      </w:r>
      <w:proofErr w:type="spellEnd"/>
      <w:r w:rsidRPr="00C25030">
        <w:rPr>
          <w:rFonts w:ascii="Palatino Linotype" w:hAnsi="Palatino Linotype"/>
          <w:i/>
          <w:szCs w:val="22"/>
        </w:rPr>
        <w:t xml:space="preserve"> con ellos </w:t>
      </w:r>
      <w:proofErr w:type="spellStart"/>
      <w:r w:rsidRPr="00C25030">
        <w:rPr>
          <w:rFonts w:ascii="Palatino Linotype" w:hAnsi="Palatino Linotype"/>
          <w:i/>
          <w:szCs w:val="22"/>
        </w:rPr>
        <w:t>maniefiestan</w:t>
      </w:r>
      <w:proofErr w:type="spellEnd"/>
      <w:r w:rsidRPr="00C25030">
        <w:rPr>
          <w:rFonts w:ascii="Palatino Linotype" w:hAnsi="Palatino Linotype"/>
          <w:i/>
          <w:szCs w:val="22"/>
        </w:rPr>
        <w:t xml:space="preserve"> </w:t>
      </w:r>
      <w:proofErr w:type="spellStart"/>
      <w:r w:rsidRPr="00C25030">
        <w:rPr>
          <w:rFonts w:ascii="Palatino Linotype" w:hAnsi="Palatino Linotype"/>
          <w:i/>
          <w:szCs w:val="22"/>
        </w:rPr>
        <w:t>aun</w:t>
      </w:r>
      <w:proofErr w:type="spellEnd"/>
      <w:r w:rsidRPr="00C25030">
        <w:rPr>
          <w:rFonts w:ascii="Palatino Linotype" w:hAnsi="Palatino Linotype"/>
          <w:i/>
          <w:szCs w:val="22"/>
        </w:rPr>
        <w:t xml:space="preserve"> no tener estructura y ya va para un año y </w:t>
      </w:r>
      <w:proofErr w:type="spellStart"/>
      <w:r w:rsidRPr="00C25030">
        <w:rPr>
          <w:rFonts w:ascii="Palatino Linotype" w:hAnsi="Palatino Linotype"/>
          <w:i/>
          <w:szCs w:val="22"/>
        </w:rPr>
        <w:t>deberia</w:t>
      </w:r>
      <w:proofErr w:type="spellEnd"/>
      <w:r w:rsidRPr="00C25030">
        <w:rPr>
          <w:rFonts w:ascii="Palatino Linotype" w:hAnsi="Palatino Linotype"/>
          <w:i/>
          <w:szCs w:val="22"/>
        </w:rPr>
        <w:t xml:space="preserve"> de estar en funcionamiento y realizando las funciones y </w:t>
      </w:r>
      <w:proofErr w:type="spellStart"/>
      <w:r w:rsidRPr="00C25030">
        <w:rPr>
          <w:rFonts w:ascii="Palatino Linotype" w:hAnsi="Palatino Linotype"/>
          <w:i/>
          <w:szCs w:val="22"/>
        </w:rPr>
        <w:t>atrubuciones</w:t>
      </w:r>
      <w:proofErr w:type="spellEnd"/>
      <w:r w:rsidRPr="00C25030">
        <w:rPr>
          <w:rFonts w:ascii="Palatino Linotype" w:hAnsi="Palatino Linotype"/>
          <w:i/>
          <w:szCs w:val="22"/>
        </w:rPr>
        <w:t xml:space="preserve"> que marca la ley, </w:t>
      </w:r>
      <w:proofErr w:type="spellStart"/>
      <w:r w:rsidRPr="00C25030">
        <w:rPr>
          <w:rFonts w:ascii="Palatino Linotype" w:hAnsi="Palatino Linotype"/>
          <w:i/>
          <w:szCs w:val="22"/>
        </w:rPr>
        <w:t>asi</w:t>
      </w:r>
      <w:proofErr w:type="spellEnd"/>
      <w:r w:rsidRPr="00C25030">
        <w:rPr>
          <w:rFonts w:ascii="Palatino Linotype" w:hAnsi="Palatino Linotype"/>
          <w:i/>
          <w:szCs w:val="22"/>
        </w:rPr>
        <w:t xml:space="preserve"> como solicito no me marquen </w:t>
      </w:r>
      <w:proofErr w:type="spellStart"/>
      <w:r w:rsidRPr="00C25030">
        <w:rPr>
          <w:rFonts w:ascii="Palatino Linotype" w:hAnsi="Palatino Linotype"/>
          <w:i/>
          <w:szCs w:val="22"/>
        </w:rPr>
        <w:t>incomepetencia</w:t>
      </w:r>
      <w:proofErr w:type="spellEnd"/>
      <w:r w:rsidRPr="00C25030">
        <w:rPr>
          <w:rFonts w:ascii="Palatino Linotype" w:hAnsi="Palatino Linotype"/>
          <w:i/>
          <w:szCs w:val="22"/>
        </w:rPr>
        <w:t xml:space="preserve"> </w:t>
      </w:r>
      <w:proofErr w:type="spellStart"/>
      <w:r w:rsidRPr="00C25030">
        <w:rPr>
          <w:rFonts w:ascii="Palatino Linotype" w:hAnsi="Palatino Linotype"/>
          <w:i/>
          <w:szCs w:val="22"/>
        </w:rPr>
        <w:t>yta</w:t>
      </w:r>
      <w:proofErr w:type="spellEnd"/>
      <w:r w:rsidRPr="00C25030">
        <w:rPr>
          <w:rFonts w:ascii="Palatino Linotype" w:hAnsi="Palatino Linotype"/>
          <w:i/>
          <w:szCs w:val="22"/>
        </w:rPr>
        <w:t xml:space="preserve"> que es una </w:t>
      </w:r>
      <w:proofErr w:type="spellStart"/>
      <w:r w:rsidRPr="00C25030">
        <w:rPr>
          <w:rFonts w:ascii="Palatino Linotype" w:hAnsi="Palatino Linotype"/>
          <w:i/>
          <w:szCs w:val="22"/>
        </w:rPr>
        <w:t>atrubucion</w:t>
      </w:r>
      <w:proofErr w:type="spellEnd"/>
      <w:r w:rsidRPr="00C25030">
        <w:rPr>
          <w:rFonts w:ascii="Palatino Linotype" w:hAnsi="Palatino Linotype"/>
          <w:i/>
          <w:szCs w:val="22"/>
        </w:rPr>
        <w:t xml:space="preserve"> de la Gobernadora </w:t>
      </w:r>
      <w:proofErr w:type="spellStart"/>
      <w:r w:rsidRPr="00C25030">
        <w:rPr>
          <w:rFonts w:ascii="Palatino Linotype" w:hAnsi="Palatino Linotype"/>
          <w:i/>
          <w:szCs w:val="22"/>
        </w:rPr>
        <w:t>nombralos</w:t>
      </w:r>
      <w:proofErr w:type="spellEnd"/>
      <w:r w:rsidRPr="00C25030">
        <w:rPr>
          <w:rFonts w:ascii="Palatino Linotype" w:hAnsi="Palatino Linotype"/>
          <w:i/>
          <w:szCs w:val="22"/>
        </w:rPr>
        <w:t xml:space="preserve"> o el motivo de </w:t>
      </w:r>
      <w:proofErr w:type="spellStart"/>
      <w:r w:rsidRPr="00C25030">
        <w:rPr>
          <w:rFonts w:ascii="Palatino Linotype" w:hAnsi="Palatino Linotype"/>
          <w:i/>
          <w:szCs w:val="22"/>
        </w:rPr>
        <w:t>por que</w:t>
      </w:r>
      <w:proofErr w:type="spellEnd"/>
      <w:r w:rsidRPr="00C25030">
        <w:rPr>
          <w:rFonts w:ascii="Palatino Linotype" w:hAnsi="Palatino Linotype"/>
          <w:i/>
          <w:szCs w:val="22"/>
        </w:rPr>
        <w:t xml:space="preserve"> no se han nombrado”</w:t>
      </w:r>
    </w:p>
    <w:p w:rsidR="00056B65" w:rsidRPr="00C25030" w:rsidRDefault="00056B65">
      <w:pPr>
        <w:pStyle w:val="Prrafodelista"/>
        <w:spacing w:line="360" w:lineRule="auto"/>
        <w:ind w:left="0"/>
        <w:jc w:val="both"/>
        <w:rPr>
          <w:rFonts w:ascii="Palatino Linotype" w:hAnsi="Palatino Linotype" w:cs="Arial"/>
          <w:szCs w:val="22"/>
          <w:lang w:val="es-ES"/>
        </w:rPr>
      </w:pPr>
    </w:p>
    <w:p w:rsidR="00056B65" w:rsidRPr="00C25030" w:rsidRDefault="00031D9D">
      <w:pPr>
        <w:pStyle w:val="Prrafodelista"/>
        <w:numPr>
          <w:ilvl w:val="0"/>
          <w:numId w:val="1"/>
        </w:numPr>
        <w:spacing w:line="360" w:lineRule="auto"/>
        <w:ind w:left="0" w:firstLine="0"/>
        <w:jc w:val="both"/>
        <w:rPr>
          <w:rFonts w:ascii="Palatino Linotype" w:hAnsi="Palatino Linotype" w:cs="Arial"/>
          <w:szCs w:val="22"/>
          <w:lang w:val="es-ES"/>
        </w:rPr>
      </w:pPr>
      <w:r w:rsidRPr="00C25030">
        <w:rPr>
          <w:rFonts w:ascii="Palatino Linotype" w:hAnsi="Palatino Linotype" w:cs="Arial"/>
          <w:szCs w:val="22"/>
          <w:lang w:val="es-ES"/>
        </w:rPr>
        <w:lastRenderedPageBreak/>
        <w:t xml:space="preserve">Señaló como modalidad de entrega de la información a través del Sistema de Acceso a la Información Mexiquense (SAIMEX). </w:t>
      </w:r>
    </w:p>
    <w:p w:rsidR="00056B65" w:rsidRPr="00C25030" w:rsidRDefault="00056B65">
      <w:pPr>
        <w:pStyle w:val="Prrafodelista"/>
        <w:rPr>
          <w:rFonts w:ascii="Palatino Linotype" w:hAnsi="Palatino Linotype" w:cs="Arial"/>
          <w:szCs w:val="22"/>
          <w:lang w:val="es-ES"/>
        </w:rPr>
      </w:pPr>
    </w:p>
    <w:p w:rsidR="00056B65" w:rsidRPr="00C25030" w:rsidRDefault="00031D9D">
      <w:pPr>
        <w:pStyle w:val="Prrafodelista"/>
        <w:numPr>
          <w:ilvl w:val="0"/>
          <w:numId w:val="1"/>
        </w:numPr>
        <w:spacing w:line="360" w:lineRule="auto"/>
        <w:ind w:left="0" w:firstLine="0"/>
        <w:jc w:val="both"/>
        <w:rPr>
          <w:rFonts w:ascii="Palatino Linotype" w:hAnsi="Palatino Linotype" w:cs="Arial"/>
          <w:szCs w:val="22"/>
          <w:lang w:val="es-ES"/>
        </w:rPr>
      </w:pPr>
      <w:r w:rsidRPr="00C25030">
        <w:rPr>
          <w:rFonts w:ascii="Palatino Linotype" w:hAnsi="Palatino Linotype" w:cs="Arial"/>
          <w:szCs w:val="22"/>
          <w:lang w:val="es-ES"/>
        </w:rPr>
        <w:t>El veintiséis (26) de agosto de dos mil veinticuatro, el Sujeto Obligado dio respuesta a la solicitud, en los siguientes términos:</w:t>
      </w:r>
    </w:p>
    <w:p w:rsidR="00056B65" w:rsidRPr="00C25030" w:rsidRDefault="00056B65">
      <w:pPr>
        <w:pStyle w:val="Prrafodelista"/>
        <w:rPr>
          <w:rFonts w:ascii="Palatino Linotype" w:hAnsi="Palatino Linotype" w:cs="Arial"/>
          <w:szCs w:val="22"/>
          <w:lang w:val="es-ES"/>
        </w:rPr>
      </w:pPr>
    </w:p>
    <w:tbl>
      <w:tblPr>
        <w:tblW w:w="7631" w:type="dxa"/>
        <w:jc w:val="center"/>
        <w:tblCellSpacing w:w="0" w:type="dxa"/>
        <w:tblCellMar>
          <w:left w:w="0" w:type="dxa"/>
          <w:right w:w="0" w:type="dxa"/>
        </w:tblCellMar>
        <w:tblLook w:val="04A0" w:firstRow="1" w:lastRow="0" w:firstColumn="1" w:lastColumn="0" w:noHBand="0" w:noVBand="1"/>
      </w:tblPr>
      <w:tblGrid>
        <w:gridCol w:w="7631"/>
      </w:tblGrid>
      <w:tr w:rsidR="00056B65" w:rsidRPr="00C25030">
        <w:trPr>
          <w:trHeight w:val="317"/>
          <w:tblCellSpacing w:w="0" w:type="dxa"/>
          <w:jc w:val="center"/>
        </w:trPr>
        <w:tc>
          <w:tcPr>
            <w:tcW w:w="0" w:type="auto"/>
            <w:vAlign w:val="center"/>
          </w:tcPr>
          <w:p w:rsidR="00056B65" w:rsidRPr="00C25030" w:rsidRDefault="00031D9D">
            <w:pPr>
              <w:jc w:val="right"/>
              <w:rPr>
                <w:rFonts w:ascii="Palatino Linotype" w:hAnsi="Palatino Linotype"/>
                <w:i/>
                <w:sz w:val="22"/>
                <w:szCs w:val="22"/>
                <w:lang w:eastAsia="es-MX"/>
              </w:rPr>
            </w:pPr>
            <w:r w:rsidRPr="00C25030">
              <w:rPr>
                <w:rFonts w:ascii="Palatino Linotype" w:hAnsi="Palatino Linotype"/>
                <w:i/>
                <w:sz w:val="22"/>
                <w:szCs w:val="22"/>
                <w:lang w:eastAsia="es-MX"/>
              </w:rPr>
              <w:t>Metepec, México a 26 de Agosto de 2024</w:t>
            </w:r>
          </w:p>
        </w:tc>
      </w:tr>
      <w:tr w:rsidR="00056B65" w:rsidRPr="00C25030">
        <w:trPr>
          <w:trHeight w:val="317"/>
          <w:tblCellSpacing w:w="0" w:type="dxa"/>
          <w:jc w:val="center"/>
        </w:trPr>
        <w:tc>
          <w:tcPr>
            <w:tcW w:w="0" w:type="auto"/>
            <w:vAlign w:val="center"/>
          </w:tcPr>
          <w:p w:rsidR="00056B65" w:rsidRPr="00C25030" w:rsidRDefault="00031D9D">
            <w:pPr>
              <w:jc w:val="right"/>
              <w:rPr>
                <w:rFonts w:ascii="Palatino Linotype" w:hAnsi="Palatino Linotype"/>
                <w:i/>
                <w:sz w:val="22"/>
                <w:szCs w:val="22"/>
                <w:lang w:eastAsia="es-MX"/>
              </w:rPr>
            </w:pPr>
            <w:r w:rsidRPr="00C25030">
              <w:rPr>
                <w:rFonts w:ascii="Palatino Linotype" w:hAnsi="Palatino Linotype"/>
                <w:i/>
                <w:sz w:val="22"/>
                <w:szCs w:val="22"/>
                <w:lang w:eastAsia="es-MX"/>
              </w:rPr>
              <w:t>Nombre del solicitante: C. Solicitante</w:t>
            </w:r>
          </w:p>
        </w:tc>
      </w:tr>
      <w:tr w:rsidR="00056B65" w:rsidRPr="00C25030">
        <w:trPr>
          <w:trHeight w:val="317"/>
          <w:tblCellSpacing w:w="0" w:type="dxa"/>
          <w:jc w:val="center"/>
        </w:trPr>
        <w:tc>
          <w:tcPr>
            <w:tcW w:w="0" w:type="auto"/>
            <w:vAlign w:val="center"/>
          </w:tcPr>
          <w:p w:rsidR="00056B65" w:rsidRPr="00C25030" w:rsidRDefault="00031D9D">
            <w:pPr>
              <w:jc w:val="right"/>
              <w:rPr>
                <w:rFonts w:ascii="Palatino Linotype" w:hAnsi="Palatino Linotype"/>
                <w:i/>
                <w:sz w:val="22"/>
                <w:szCs w:val="22"/>
                <w:lang w:eastAsia="es-MX"/>
              </w:rPr>
            </w:pPr>
            <w:r w:rsidRPr="00C25030">
              <w:rPr>
                <w:rFonts w:ascii="Palatino Linotype" w:hAnsi="Palatino Linotype"/>
                <w:i/>
                <w:sz w:val="22"/>
                <w:szCs w:val="22"/>
                <w:lang w:eastAsia="es-MX"/>
              </w:rPr>
              <w:t>Folio de la solicitud: 00229/GUBERNA/IP/2024</w:t>
            </w:r>
          </w:p>
        </w:tc>
      </w:tr>
      <w:tr w:rsidR="00056B65" w:rsidRPr="00C25030">
        <w:trPr>
          <w:trHeight w:val="158"/>
          <w:tblCellSpacing w:w="0" w:type="dxa"/>
          <w:jc w:val="center"/>
        </w:trPr>
        <w:tc>
          <w:tcPr>
            <w:tcW w:w="0" w:type="auto"/>
            <w:vAlign w:val="center"/>
          </w:tcPr>
          <w:p w:rsidR="00056B65" w:rsidRPr="00C25030" w:rsidRDefault="00056B65">
            <w:pPr>
              <w:jc w:val="center"/>
              <w:rPr>
                <w:rFonts w:ascii="Palatino Linotype" w:hAnsi="Palatino Linotype"/>
                <w:i/>
                <w:sz w:val="22"/>
                <w:szCs w:val="22"/>
                <w:lang w:eastAsia="es-MX"/>
              </w:rPr>
            </w:pPr>
          </w:p>
        </w:tc>
      </w:tr>
      <w:tr w:rsidR="00056B65" w:rsidRPr="00C25030">
        <w:trPr>
          <w:trHeight w:val="396"/>
          <w:tblCellSpacing w:w="0" w:type="dxa"/>
          <w:jc w:val="center"/>
        </w:trPr>
        <w:tc>
          <w:tcPr>
            <w:tcW w:w="0" w:type="auto"/>
            <w:vAlign w:val="center"/>
          </w:tcPr>
          <w:p w:rsidR="00056B65" w:rsidRPr="00C25030" w:rsidRDefault="00056B65">
            <w:pPr>
              <w:rPr>
                <w:rFonts w:ascii="Palatino Linotype" w:hAnsi="Palatino Linotype"/>
                <w:i/>
                <w:sz w:val="22"/>
                <w:szCs w:val="22"/>
                <w:lang w:eastAsia="es-MX"/>
              </w:rPr>
            </w:pPr>
          </w:p>
        </w:tc>
      </w:tr>
      <w:tr w:rsidR="00056B65" w:rsidRPr="00C25030">
        <w:trPr>
          <w:trHeight w:val="158"/>
          <w:tblCellSpacing w:w="0" w:type="dxa"/>
          <w:jc w:val="center"/>
        </w:trPr>
        <w:tc>
          <w:tcPr>
            <w:tcW w:w="0" w:type="auto"/>
            <w:vAlign w:val="center"/>
          </w:tcPr>
          <w:p w:rsidR="00056B65" w:rsidRPr="00C25030" w:rsidRDefault="00031D9D">
            <w:pPr>
              <w:rPr>
                <w:rFonts w:ascii="Palatino Linotype" w:hAnsi="Palatino Linotype"/>
                <w:i/>
                <w:sz w:val="22"/>
                <w:szCs w:val="22"/>
                <w:lang w:eastAsia="es-MX"/>
              </w:rPr>
            </w:pPr>
            <w:r w:rsidRPr="00C25030">
              <w:rPr>
                <w:rFonts w:ascii="Palatino Linotype" w:hAnsi="Palatino Linotype"/>
                <w:i/>
                <w:sz w:val="22"/>
                <w:szCs w:val="22"/>
                <w:lang w:eastAsia="es-MX"/>
              </w:rPr>
              <w:t>Se anexa documento.</w:t>
            </w:r>
          </w:p>
        </w:tc>
      </w:tr>
      <w:tr w:rsidR="00056B65" w:rsidRPr="00C25030">
        <w:trPr>
          <w:trHeight w:val="396"/>
          <w:tblCellSpacing w:w="0" w:type="dxa"/>
          <w:jc w:val="center"/>
        </w:trPr>
        <w:tc>
          <w:tcPr>
            <w:tcW w:w="0" w:type="auto"/>
            <w:vAlign w:val="center"/>
          </w:tcPr>
          <w:p w:rsidR="00056B65" w:rsidRPr="00C25030" w:rsidRDefault="00056B65">
            <w:pPr>
              <w:rPr>
                <w:rFonts w:ascii="Palatino Linotype" w:hAnsi="Palatino Linotype"/>
                <w:i/>
                <w:sz w:val="22"/>
                <w:szCs w:val="22"/>
                <w:lang w:eastAsia="es-MX"/>
              </w:rPr>
            </w:pPr>
          </w:p>
        </w:tc>
      </w:tr>
      <w:tr w:rsidR="00056B65" w:rsidRPr="00C25030">
        <w:trPr>
          <w:trHeight w:val="158"/>
          <w:tblCellSpacing w:w="0" w:type="dxa"/>
          <w:jc w:val="center"/>
        </w:trPr>
        <w:tc>
          <w:tcPr>
            <w:tcW w:w="0" w:type="auto"/>
            <w:vAlign w:val="center"/>
          </w:tcPr>
          <w:p w:rsidR="00056B65" w:rsidRPr="00C25030" w:rsidRDefault="00056B65">
            <w:pPr>
              <w:jc w:val="center"/>
              <w:rPr>
                <w:rFonts w:ascii="Palatino Linotype" w:hAnsi="Palatino Linotype"/>
                <w:i/>
                <w:sz w:val="22"/>
                <w:szCs w:val="22"/>
                <w:lang w:eastAsia="es-MX"/>
              </w:rPr>
            </w:pPr>
          </w:p>
        </w:tc>
      </w:tr>
      <w:tr w:rsidR="00056B65" w:rsidRPr="00C25030">
        <w:trPr>
          <w:trHeight w:val="158"/>
          <w:tblCellSpacing w:w="0" w:type="dxa"/>
          <w:jc w:val="center"/>
        </w:trPr>
        <w:tc>
          <w:tcPr>
            <w:tcW w:w="0" w:type="auto"/>
            <w:vAlign w:val="center"/>
          </w:tcPr>
          <w:p w:rsidR="00056B65" w:rsidRPr="00C25030" w:rsidRDefault="00056B65">
            <w:pPr>
              <w:rPr>
                <w:rFonts w:ascii="Palatino Linotype" w:hAnsi="Palatino Linotype"/>
                <w:i/>
                <w:sz w:val="22"/>
                <w:szCs w:val="22"/>
                <w:lang w:eastAsia="es-MX"/>
              </w:rPr>
            </w:pPr>
          </w:p>
        </w:tc>
      </w:tr>
      <w:tr w:rsidR="00056B65" w:rsidRPr="00C25030">
        <w:trPr>
          <w:trHeight w:val="158"/>
          <w:tblCellSpacing w:w="0" w:type="dxa"/>
          <w:jc w:val="center"/>
        </w:trPr>
        <w:tc>
          <w:tcPr>
            <w:tcW w:w="0" w:type="auto"/>
            <w:vAlign w:val="center"/>
          </w:tcPr>
          <w:p w:rsidR="00056B65" w:rsidRPr="00C25030" w:rsidRDefault="00031D9D">
            <w:pPr>
              <w:rPr>
                <w:rFonts w:ascii="Palatino Linotype" w:hAnsi="Palatino Linotype"/>
                <w:i/>
                <w:sz w:val="22"/>
                <w:szCs w:val="22"/>
                <w:lang w:eastAsia="es-MX"/>
              </w:rPr>
            </w:pPr>
            <w:r w:rsidRPr="00C25030">
              <w:rPr>
                <w:rFonts w:ascii="Palatino Linotype" w:hAnsi="Palatino Linotype"/>
                <w:i/>
                <w:sz w:val="22"/>
                <w:szCs w:val="22"/>
                <w:lang w:eastAsia="es-MX"/>
              </w:rPr>
              <w:t>ATENTAMENTE</w:t>
            </w:r>
          </w:p>
        </w:tc>
      </w:tr>
      <w:tr w:rsidR="00056B65" w:rsidRPr="00C25030">
        <w:trPr>
          <w:trHeight w:val="238"/>
          <w:tblCellSpacing w:w="0" w:type="dxa"/>
          <w:jc w:val="center"/>
        </w:trPr>
        <w:tc>
          <w:tcPr>
            <w:tcW w:w="0" w:type="auto"/>
            <w:vAlign w:val="center"/>
          </w:tcPr>
          <w:p w:rsidR="00056B65" w:rsidRPr="00C25030" w:rsidRDefault="00056B65">
            <w:pPr>
              <w:rPr>
                <w:rFonts w:ascii="Palatino Linotype" w:hAnsi="Palatino Linotype"/>
                <w:i/>
                <w:sz w:val="22"/>
                <w:szCs w:val="22"/>
                <w:lang w:eastAsia="es-MX"/>
              </w:rPr>
            </w:pPr>
          </w:p>
        </w:tc>
      </w:tr>
      <w:tr w:rsidR="00056B65" w:rsidRPr="00C25030">
        <w:trPr>
          <w:trHeight w:val="158"/>
          <w:tblCellSpacing w:w="0" w:type="dxa"/>
          <w:jc w:val="center"/>
        </w:trPr>
        <w:tc>
          <w:tcPr>
            <w:tcW w:w="0" w:type="auto"/>
            <w:vAlign w:val="center"/>
          </w:tcPr>
          <w:p w:rsidR="00056B65" w:rsidRPr="00C25030" w:rsidRDefault="00031D9D">
            <w:pPr>
              <w:rPr>
                <w:rFonts w:ascii="Palatino Linotype" w:hAnsi="Palatino Linotype"/>
                <w:i/>
                <w:sz w:val="22"/>
                <w:szCs w:val="22"/>
                <w:lang w:eastAsia="es-MX"/>
              </w:rPr>
            </w:pPr>
            <w:r w:rsidRPr="00C25030">
              <w:rPr>
                <w:rFonts w:ascii="Palatino Linotype" w:hAnsi="Palatino Linotype"/>
                <w:i/>
                <w:sz w:val="22"/>
                <w:szCs w:val="22"/>
                <w:lang w:eastAsia="es-MX"/>
              </w:rPr>
              <w:t>Licenciado en Contaduría Rodolfo García Muñoz</w:t>
            </w:r>
          </w:p>
        </w:tc>
      </w:tr>
    </w:tbl>
    <w:p w:rsidR="00056B65" w:rsidRPr="00C25030" w:rsidRDefault="00056B65">
      <w:pPr>
        <w:spacing w:line="360" w:lineRule="auto"/>
        <w:jc w:val="both"/>
        <w:rPr>
          <w:rStyle w:val="Hipervnculo"/>
          <w:rFonts w:ascii="Palatino Linotype" w:hAnsi="Palatino Linotype" w:cs="Arial"/>
          <w:bCs/>
          <w:sz w:val="22"/>
          <w:szCs w:val="22"/>
        </w:rPr>
      </w:pPr>
    </w:p>
    <w:p w:rsidR="00056B65" w:rsidRPr="00C25030" w:rsidRDefault="00031D9D">
      <w:pPr>
        <w:pStyle w:val="Prrafodelista"/>
        <w:numPr>
          <w:ilvl w:val="0"/>
          <w:numId w:val="2"/>
        </w:numPr>
        <w:spacing w:line="360" w:lineRule="auto"/>
        <w:jc w:val="both"/>
        <w:rPr>
          <w:rFonts w:ascii="Palatino Linotype" w:hAnsi="Palatino Linotype" w:cs="Arial"/>
          <w:bCs/>
          <w:i/>
          <w:szCs w:val="22"/>
        </w:rPr>
      </w:pPr>
      <w:r w:rsidRPr="00C25030">
        <w:rPr>
          <w:rStyle w:val="Hipervnculo"/>
          <w:rFonts w:ascii="Palatino Linotype" w:hAnsi="Palatino Linotype" w:cs="Arial"/>
          <w:bCs/>
          <w:color w:val="auto"/>
          <w:szCs w:val="22"/>
          <w:u w:val="none"/>
        </w:rPr>
        <w:t xml:space="preserve">A la respuesta se adjuntó el archivo </w:t>
      </w:r>
      <w:hyperlink r:id="rId8" w:tgtFrame="_blank" w:history="1">
        <w:r w:rsidRPr="00C25030">
          <w:rPr>
            <w:rStyle w:val="Hipervnculo"/>
            <w:rFonts w:ascii="Palatino Linotype" w:eastAsiaTheme="majorEastAsia" w:hAnsi="Palatino Linotype" w:cs="Arial"/>
            <w:b/>
            <w:bCs/>
            <w:color w:val="auto"/>
            <w:szCs w:val="22"/>
          </w:rPr>
          <w:t>0229 respuesta 2024.pdf</w:t>
        </w:r>
      </w:hyperlink>
      <w:r w:rsidRPr="00C25030">
        <w:rPr>
          <w:rFonts w:ascii="Palatino Linotype" w:hAnsi="Palatino Linotype"/>
          <w:szCs w:val="22"/>
        </w:rPr>
        <w:t>, en el que se advierte el oficio UTG/00295/2024 de fecha veintiséis (26) de agosto de dos mil veinticuatro, suscrito por el Titular de la Unidad de Transparencia en el que señaló:</w:t>
      </w:r>
    </w:p>
    <w:p w:rsidR="00056B65" w:rsidRPr="00C25030" w:rsidRDefault="00056B65">
      <w:pPr>
        <w:pStyle w:val="Prrafodelista"/>
        <w:spacing w:line="360" w:lineRule="auto"/>
        <w:jc w:val="both"/>
        <w:rPr>
          <w:rFonts w:ascii="Palatino Linotype" w:hAnsi="Palatino Linotype" w:cs="Arial"/>
          <w:bCs/>
          <w:i/>
          <w:szCs w:val="22"/>
        </w:rPr>
      </w:pPr>
    </w:p>
    <w:p w:rsidR="00056B65" w:rsidRPr="00C25030" w:rsidRDefault="00031D9D">
      <w:pPr>
        <w:pStyle w:val="Prrafodelista"/>
        <w:spacing w:line="360" w:lineRule="auto"/>
        <w:jc w:val="both"/>
        <w:rPr>
          <w:rStyle w:val="Hipervnculo"/>
          <w:rFonts w:ascii="Palatino Linotype" w:hAnsi="Palatino Linotype" w:cs="Arial"/>
          <w:bCs/>
          <w:i/>
          <w:color w:val="auto"/>
          <w:szCs w:val="22"/>
          <w:u w:val="none"/>
        </w:rPr>
      </w:pPr>
      <w:r w:rsidRPr="00C25030">
        <w:rPr>
          <w:rStyle w:val="Hipervnculo"/>
          <w:rFonts w:ascii="Palatino Linotype" w:hAnsi="Palatino Linotype" w:cs="Arial"/>
          <w:bCs/>
          <w:i/>
          <w:color w:val="auto"/>
          <w:szCs w:val="22"/>
          <w:u w:val="none"/>
        </w:rPr>
        <w:t xml:space="preserve">“…me permito informarle, que se realizó una búsqueda exhaustiva dentro de los archivos de la Gubernatura y no se encontró antecedente relativo a lo solicitado, ya que las atribuciones y </w:t>
      </w:r>
      <w:proofErr w:type="gramStart"/>
      <w:r w:rsidRPr="00C25030">
        <w:rPr>
          <w:rStyle w:val="Hipervnculo"/>
          <w:rFonts w:ascii="Palatino Linotype" w:hAnsi="Palatino Linotype" w:cs="Arial"/>
          <w:bCs/>
          <w:i/>
          <w:color w:val="auto"/>
          <w:szCs w:val="22"/>
          <w:u w:val="none"/>
        </w:rPr>
        <w:t>competencias</w:t>
      </w:r>
      <w:proofErr w:type="gramEnd"/>
      <w:r w:rsidRPr="00C25030">
        <w:rPr>
          <w:rStyle w:val="Hipervnculo"/>
          <w:rFonts w:ascii="Palatino Linotype" w:hAnsi="Palatino Linotype" w:cs="Arial"/>
          <w:bCs/>
          <w:i/>
          <w:color w:val="auto"/>
          <w:szCs w:val="22"/>
          <w:u w:val="none"/>
        </w:rPr>
        <w:t xml:space="preserve"> de esta dependencia no son generar información sobre el particular.</w:t>
      </w:r>
    </w:p>
    <w:p w:rsidR="00056B65" w:rsidRPr="00C25030" w:rsidRDefault="00031D9D">
      <w:pPr>
        <w:pStyle w:val="Prrafodelista"/>
        <w:spacing w:line="360" w:lineRule="auto"/>
        <w:jc w:val="both"/>
        <w:rPr>
          <w:rStyle w:val="Hipervnculo"/>
          <w:rFonts w:ascii="Palatino Linotype" w:hAnsi="Palatino Linotype" w:cs="Arial"/>
          <w:bCs/>
          <w:i/>
          <w:color w:val="auto"/>
          <w:szCs w:val="22"/>
          <w:u w:val="none"/>
        </w:rPr>
      </w:pPr>
      <w:r w:rsidRPr="00C25030">
        <w:rPr>
          <w:rStyle w:val="Hipervnculo"/>
          <w:rFonts w:ascii="Palatino Linotype" w:hAnsi="Palatino Linotype" w:cs="Arial"/>
          <w:bCs/>
          <w:i/>
          <w:color w:val="auto"/>
          <w:szCs w:val="22"/>
          <w:u w:val="none"/>
        </w:rPr>
        <w:t>…</w:t>
      </w:r>
    </w:p>
    <w:p w:rsidR="00056B65" w:rsidRPr="00C25030" w:rsidRDefault="00031D9D">
      <w:pPr>
        <w:pStyle w:val="Prrafodelista"/>
        <w:spacing w:line="360" w:lineRule="auto"/>
        <w:jc w:val="both"/>
        <w:rPr>
          <w:rStyle w:val="Hipervnculo"/>
          <w:rFonts w:ascii="Palatino Linotype" w:hAnsi="Palatino Linotype" w:cs="Arial"/>
          <w:bCs/>
          <w:i/>
          <w:color w:val="auto"/>
          <w:szCs w:val="22"/>
          <w:u w:val="none"/>
        </w:rPr>
      </w:pPr>
      <w:r w:rsidRPr="00C25030">
        <w:rPr>
          <w:rStyle w:val="Hipervnculo"/>
          <w:rFonts w:ascii="Palatino Linotype" w:hAnsi="Palatino Linotype" w:cs="Arial"/>
          <w:bCs/>
          <w:i/>
          <w:color w:val="auto"/>
          <w:szCs w:val="22"/>
          <w:u w:val="none"/>
        </w:rPr>
        <w:lastRenderedPageBreak/>
        <w:t>Ahora bien, es verdad que la designación del Titular de las Secretarías de Gobierno lo realiza el Gobernador o Gobernadora en turno, pero no así el documento denominado Nombramiento el cual para su obtención se realiza ante la Oficialía Mayor de Gobierno del Estado de México, y la gestión del documento la realiza la dependencia interesada en este caso la Secretaría del Agua, de conformidad en la Ley Orgánica de la Administración Pública del Estado de México.</w:t>
      </w:r>
    </w:p>
    <w:p w:rsidR="00056B65" w:rsidRPr="00C25030" w:rsidRDefault="00031D9D">
      <w:pPr>
        <w:pStyle w:val="Prrafodelista"/>
        <w:spacing w:line="360" w:lineRule="auto"/>
        <w:jc w:val="both"/>
        <w:rPr>
          <w:rStyle w:val="Hipervnculo"/>
          <w:rFonts w:ascii="Palatino Linotype" w:hAnsi="Palatino Linotype" w:cs="Arial"/>
          <w:bCs/>
          <w:i/>
          <w:color w:val="auto"/>
          <w:szCs w:val="22"/>
          <w:u w:val="none"/>
        </w:rPr>
      </w:pPr>
      <w:r w:rsidRPr="00C25030">
        <w:rPr>
          <w:rStyle w:val="Hipervnculo"/>
          <w:rFonts w:ascii="Palatino Linotype" w:hAnsi="Palatino Linotype" w:cs="Arial"/>
          <w:bCs/>
          <w:i/>
          <w:color w:val="auto"/>
          <w:szCs w:val="22"/>
          <w:u w:val="none"/>
        </w:rPr>
        <w:t>…</w:t>
      </w:r>
    </w:p>
    <w:p w:rsidR="00056B65" w:rsidRPr="00C25030" w:rsidRDefault="00031D9D">
      <w:pPr>
        <w:pStyle w:val="Prrafodelista"/>
        <w:spacing w:line="360" w:lineRule="auto"/>
        <w:jc w:val="both"/>
        <w:rPr>
          <w:rStyle w:val="Hipervnculo"/>
          <w:rFonts w:ascii="Palatino Linotype" w:hAnsi="Palatino Linotype" w:cs="Arial"/>
          <w:bCs/>
          <w:i/>
          <w:color w:val="auto"/>
          <w:szCs w:val="22"/>
          <w:u w:val="none"/>
        </w:rPr>
      </w:pPr>
      <w:r w:rsidRPr="00C25030">
        <w:rPr>
          <w:rStyle w:val="Hipervnculo"/>
          <w:rFonts w:ascii="Palatino Linotype" w:hAnsi="Palatino Linotype" w:cs="Arial"/>
          <w:bCs/>
          <w:i/>
          <w:color w:val="auto"/>
          <w:szCs w:val="22"/>
          <w:u w:val="none"/>
        </w:rPr>
        <w:t xml:space="preserve">Por lo tanto, se le sugiere que, envié su solicitud de información a las Unidades de Transparencia de la Secretaría del Agua y en su caso a la Oficialía Mayor, a través del Sistema de Acceso a la Información Mexiquense (SAIMEX), posiblemente estos Sujetos Obligados cuenten con la información de referencia. </w:t>
      </w:r>
    </w:p>
    <w:p w:rsidR="00056B65" w:rsidRPr="00C25030" w:rsidRDefault="00031D9D">
      <w:pPr>
        <w:pStyle w:val="Prrafodelista"/>
        <w:spacing w:line="360" w:lineRule="auto"/>
        <w:jc w:val="both"/>
        <w:rPr>
          <w:rStyle w:val="Hipervnculo"/>
          <w:rFonts w:ascii="Palatino Linotype" w:hAnsi="Palatino Linotype" w:cs="Arial"/>
          <w:bCs/>
          <w:i/>
          <w:color w:val="auto"/>
          <w:szCs w:val="22"/>
          <w:u w:val="none"/>
        </w:rPr>
      </w:pPr>
      <w:r w:rsidRPr="00C25030">
        <w:rPr>
          <w:rStyle w:val="Hipervnculo"/>
          <w:rFonts w:ascii="Palatino Linotype" w:hAnsi="Palatino Linotype" w:cs="Arial"/>
          <w:bCs/>
          <w:i/>
          <w:color w:val="auto"/>
          <w:szCs w:val="22"/>
          <w:u w:val="none"/>
        </w:rPr>
        <w:t>…”</w:t>
      </w:r>
    </w:p>
    <w:p w:rsidR="00056B65" w:rsidRPr="00C25030" w:rsidRDefault="00056B65">
      <w:pPr>
        <w:pStyle w:val="Prrafodelista"/>
        <w:spacing w:line="360" w:lineRule="auto"/>
        <w:jc w:val="both"/>
        <w:rPr>
          <w:rStyle w:val="Hipervnculo"/>
          <w:rFonts w:ascii="Palatino Linotype" w:hAnsi="Palatino Linotype" w:cs="Arial"/>
          <w:bCs/>
          <w:i/>
          <w:color w:val="auto"/>
          <w:szCs w:val="22"/>
          <w:u w:val="none"/>
        </w:rPr>
      </w:pPr>
    </w:p>
    <w:p w:rsidR="00056B65" w:rsidRPr="00C25030" w:rsidRDefault="00031D9D">
      <w:pPr>
        <w:pStyle w:val="Prrafodelista"/>
        <w:numPr>
          <w:ilvl w:val="0"/>
          <w:numId w:val="1"/>
        </w:numPr>
        <w:spacing w:before="240" w:after="240" w:line="360" w:lineRule="auto"/>
        <w:ind w:left="0" w:firstLine="0"/>
        <w:jc w:val="both"/>
        <w:rPr>
          <w:rFonts w:ascii="Palatino Linotype" w:hAnsi="Palatino Linotype" w:cs="Arial"/>
          <w:i/>
          <w:szCs w:val="22"/>
        </w:rPr>
      </w:pPr>
      <w:r w:rsidRPr="00C25030">
        <w:rPr>
          <w:rFonts w:ascii="Palatino Linotype" w:eastAsia="Calibri" w:hAnsi="Palatino Linotype" w:cs="Arial"/>
          <w:szCs w:val="22"/>
          <w:lang w:val="es-AR"/>
        </w:rPr>
        <w:t>El veintisiete (27) de agosto de dos mil veinticuatro</w:t>
      </w:r>
      <w:r w:rsidRPr="00C25030">
        <w:rPr>
          <w:rFonts w:ascii="Palatino Linotype" w:hAnsi="Palatino Linotype" w:cs="Arial"/>
          <w:szCs w:val="22"/>
          <w:lang w:val="es-ES"/>
        </w:rPr>
        <w:t xml:space="preserve">, </w:t>
      </w:r>
      <w:r w:rsidRPr="00C25030">
        <w:rPr>
          <w:rFonts w:ascii="Palatino Linotype" w:hAnsi="Palatino Linotype"/>
          <w:b/>
          <w:szCs w:val="22"/>
        </w:rPr>
        <w:t>EL RECURRENTE</w:t>
      </w:r>
      <w:r w:rsidRPr="00C25030">
        <w:rPr>
          <w:rFonts w:ascii="Palatino Linotype" w:hAnsi="Palatino Linotype" w:cs="Arial"/>
          <w:szCs w:val="22"/>
          <w:lang w:val="es-ES"/>
        </w:rPr>
        <w:t xml:space="preserve"> interpuso el recurso de revisión, en contra de la respuesta y señaló como:</w:t>
      </w:r>
      <w:bookmarkStart w:id="1" w:name="_Toc472427085"/>
      <w:bookmarkStart w:id="2" w:name="_Toc472500652"/>
      <w:bookmarkStart w:id="3" w:name="_Toc462307683"/>
    </w:p>
    <w:p w:rsidR="00056B65" w:rsidRPr="00C25030" w:rsidRDefault="00056B65">
      <w:pPr>
        <w:pStyle w:val="Prrafodelista"/>
        <w:rPr>
          <w:rFonts w:ascii="Palatino Linotype" w:eastAsia="Calibri" w:hAnsi="Palatino Linotype" w:cs="Tahoma"/>
          <w:b/>
          <w:szCs w:val="22"/>
          <w:lang w:eastAsia="en-US"/>
        </w:rPr>
      </w:pPr>
    </w:p>
    <w:p w:rsidR="00056B65" w:rsidRPr="00C25030" w:rsidRDefault="00031D9D">
      <w:pPr>
        <w:pStyle w:val="Prrafodelista"/>
        <w:spacing w:line="360" w:lineRule="auto"/>
        <w:jc w:val="both"/>
        <w:rPr>
          <w:rFonts w:ascii="Palatino Linotype" w:hAnsi="Palatino Linotype"/>
          <w:bCs/>
          <w:i/>
          <w:iCs/>
          <w:szCs w:val="22"/>
        </w:rPr>
      </w:pPr>
      <w:r w:rsidRPr="00C25030">
        <w:rPr>
          <w:rFonts w:ascii="Palatino Linotype" w:hAnsi="Palatino Linotype"/>
          <w:b/>
          <w:szCs w:val="22"/>
        </w:rPr>
        <w:t xml:space="preserve">Acto impugnado: </w:t>
      </w:r>
      <w:r w:rsidRPr="00C25030">
        <w:rPr>
          <w:rFonts w:ascii="Palatino Linotype" w:hAnsi="Palatino Linotype"/>
          <w:bCs/>
          <w:i/>
          <w:iCs/>
          <w:szCs w:val="22"/>
        </w:rPr>
        <w:t>“Se niega a enviar los documentos firmado por la Gobernadora de la nombramientos o designaciones de los Coordinadores Generales y Directores Generales y del Secretario del Agua, de la Secretaria del Agua” (sic)</w:t>
      </w:r>
    </w:p>
    <w:p w:rsidR="00056B65" w:rsidRPr="00C25030" w:rsidRDefault="00056B65">
      <w:pPr>
        <w:pStyle w:val="Prrafodelista"/>
        <w:spacing w:line="360" w:lineRule="auto"/>
        <w:jc w:val="both"/>
        <w:rPr>
          <w:rFonts w:ascii="Palatino Linotype" w:hAnsi="Palatino Linotype"/>
          <w:bCs/>
          <w:i/>
          <w:iCs/>
          <w:szCs w:val="22"/>
        </w:rPr>
      </w:pPr>
    </w:p>
    <w:p w:rsidR="00056B65" w:rsidRPr="00C25030" w:rsidRDefault="00031D9D">
      <w:pPr>
        <w:pStyle w:val="Prrafodelista"/>
        <w:spacing w:line="360" w:lineRule="auto"/>
        <w:jc w:val="both"/>
        <w:rPr>
          <w:rFonts w:ascii="Palatino Linotype" w:hAnsi="Palatino Linotype"/>
          <w:b/>
          <w:szCs w:val="22"/>
        </w:rPr>
      </w:pPr>
      <w:r w:rsidRPr="00C25030">
        <w:rPr>
          <w:rFonts w:ascii="Palatino Linotype" w:hAnsi="Palatino Linotype"/>
          <w:b/>
          <w:szCs w:val="22"/>
        </w:rPr>
        <w:t>Motivos o razones de inconformidad</w:t>
      </w:r>
      <w:bookmarkEnd w:id="1"/>
      <w:bookmarkEnd w:id="2"/>
      <w:bookmarkEnd w:id="3"/>
      <w:r w:rsidRPr="00C25030">
        <w:rPr>
          <w:rFonts w:ascii="Palatino Linotype" w:hAnsi="Palatino Linotype"/>
          <w:b/>
          <w:szCs w:val="22"/>
        </w:rPr>
        <w:t xml:space="preserve">: </w:t>
      </w:r>
      <w:r w:rsidRPr="00C25030">
        <w:rPr>
          <w:rFonts w:ascii="Palatino Linotype" w:hAnsi="Palatino Linotype"/>
          <w:bCs/>
          <w:i/>
          <w:iCs/>
          <w:szCs w:val="22"/>
        </w:rPr>
        <w:t>“Se niega a enviar los documentos firmado por la Gobernadora de la nombramientos o designaciones de los Coordinadores Generales y Directores Generales y del Secretario del Agua, de la Secretaria del Agua” (sic)</w:t>
      </w:r>
    </w:p>
    <w:p w:rsidR="00056B65" w:rsidRPr="00C25030" w:rsidRDefault="00056B65">
      <w:pPr>
        <w:pStyle w:val="Prrafodelista"/>
        <w:spacing w:before="240" w:after="240" w:line="360" w:lineRule="auto"/>
        <w:ind w:left="0"/>
        <w:jc w:val="both"/>
        <w:rPr>
          <w:rFonts w:ascii="Palatino Linotype" w:eastAsia="Calibri" w:hAnsi="Palatino Linotype" w:cs="Arial"/>
          <w:b/>
          <w:i/>
          <w:szCs w:val="22"/>
          <w:lang w:val="es-AR"/>
        </w:rPr>
      </w:pPr>
    </w:p>
    <w:p w:rsidR="00056B65" w:rsidRPr="00C25030" w:rsidRDefault="00031D9D">
      <w:pPr>
        <w:pStyle w:val="Prrafodelista"/>
        <w:numPr>
          <w:ilvl w:val="0"/>
          <w:numId w:val="1"/>
        </w:numPr>
        <w:spacing w:before="240" w:after="240" w:line="360" w:lineRule="auto"/>
        <w:ind w:left="0" w:firstLine="0"/>
        <w:jc w:val="both"/>
        <w:rPr>
          <w:rFonts w:ascii="Palatino Linotype" w:eastAsia="Calibri" w:hAnsi="Palatino Linotype" w:cs="Arial"/>
          <w:szCs w:val="22"/>
          <w:lang w:val="es-AR"/>
        </w:rPr>
      </w:pPr>
      <w:r w:rsidRPr="00C25030">
        <w:rPr>
          <w:rFonts w:ascii="Palatino Linotype" w:hAnsi="Palatino Linotype" w:cs="Arial"/>
          <w:szCs w:val="22"/>
          <w:lang w:val="es-ES"/>
        </w:rPr>
        <w:lastRenderedPageBreak/>
        <w:t xml:space="preserve">Se registró el recurso de revisión bajo el número de expediente </w:t>
      </w:r>
      <w:r w:rsidRPr="00C25030">
        <w:rPr>
          <w:rFonts w:ascii="Palatino Linotype" w:hAnsi="Palatino Linotype" w:cs="Arial"/>
          <w:bCs/>
          <w:szCs w:val="22"/>
        </w:rPr>
        <w:t xml:space="preserve">al rubro indicado, asimismo con fundamento en lo dispuesto por el </w:t>
      </w:r>
      <w:r w:rsidRPr="00C25030">
        <w:rPr>
          <w:rFonts w:ascii="Palatino Linotype" w:eastAsia="Calibri" w:hAnsi="Palatino Linotype" w:cs="Arial"/>
          <w:szCs w:val="22"/>
          <w:lang w:val="es-ES"/>
        </w:rPr>
        <w:t xml:space="preserve">artículo 185 fracción I de la </w:t>
      </w:r>
      <w:r w:rsidRPr="00C25030">
        <w:rPr>
          <w:rFonts w:ascii="Palatino Linotype" w:eastAsia="Calibri" w:hAnsi="Palatino Linotype" w:cs="Arial"/>
          <w:b/>
          <w:szCs w:val="22"/>
          <w:lang w:val="es-ES"/>
        </w:rPr>
        <w:t xml:space="preserve">Ley de Transparencia y Acceso a la Información Pública del Estado de México y Municipios </w:t>
      </w:r>
      <w:r w:rsidRPr="00C25030">
        <w:rPr>
          <w:rFonts w:ascii="Palatino Linotype" w:hAnsi="Palatino Linotype" w:cs="Arial"/>
          <w:szCs w:val="22"/>
          <w:lang w:val="es-ES"/>
        </w:rPr>
        <w:t xml:space="preserve">se turnó a la </w:t>
      </w:r>
      <w:r w:rsidRPr="00C25030">
        <w:rPr>
          <w:rFonts w:ascii="Palatino Linotype" w:hAnsi="Palatino Linotype" w:cs="Arial"/>
          <w:b/>
          <w:szCs w:val="22"/>
          <w:lang w:val="es-ES"/>
        </w:rPr>
        <w:t xml:space="preserve">Comisionada María del Rosario Mejía Ayala, </w:t>
      </w:r>
      <w:r w:rsidRPr="00C25030">
        <w:rPr>
          <w:rFonts w:ascii="Palatino Linotype" w:hAnsi="Palatino Linotype" w:cs="Arial"/>
          <w:szCs w:val="22"/>
          <w:lang w:val="es-ES"/>
        </w:rPr>
        <w:t xml:space="preserve">con el objeto de </w:t>
      </w:r>
      <w:r w:rsidRPr="00C25030">
        <w:rPr>
          <w:rFonts w:ascii="Palatino Linotype" w:hAnsi="Palatino Linotype" w:cs="Arial"/>
          <w:szCs w:val="22"/>
        </w:rPr>
        <w:t>su análisis.</w:t>
      </w:r>
    </w:p>
    <w:p w:rsidR="00056B65" w:rsidRPr="00C25030" w:rsidRDefault="00056B65">
      <w:pPr>
        <w:pStyle w:val="Prrafodelista"/>
        <w:spacing w:before="240" w:after="240" w:line="360" w:lineRule="auto"/>
        <w:ind w:left="0"/>
        <w:jc w:val="both"/>
        <w:rPr>
          <w:rFonts w:ascii="Palatino Linotype" w:eastAsia="Calibri" w:hAnsi="Palatino Linotype" w:cs="Arial"/>
          <w:szCs w:val="22"/>
          <w:lang w:val="es-AR"/>
        </w:rPr>
      </w:pPr>
    </w:p>
    <w:p w:rsidR="00056B65" w:rsidRPr="00C25030" w:rsidRDefault="00031D9D">
      <w:pPr>
        <w:pStyle w:val="Prrafodelista"/>
        <w:numPr>
          <w:ilvl w:val="0"/>
          <w:numId w:val="1"/>
        </w:numPr>
        <w:spacing w:before="240" w:after="240" w:line="360" w:lineRule="auto"/>
        <w:ind w:left="0" w:firstLine="0"/>
        <w:jc w:val="both"/>
        <w:rPr>
          <w:rFonts w:ascii="Palatino Linotype" w:eastAsiaTheme="minorEastAsia" w:hAnsi="Palatino Linotype" w:cstheme="minorBidi"/>
          <w:i/>
          <w:color w:val="000000"/>
          <w:szCs w:val="22"/>
        </w:rPr>
      </w:pPr>
      <w:r w:rsidRPr="00C25030">
        <w:rPr>
          <w:rFonts w:ascii="Palatino Linotype" w:eastAsia="Calibri" w:hAnsi="Palatino Linotype" w:cs="Arial"/>
          <w:szCs w:val="22"/>
          <w:lang w:val="es-ES"/>
        </w:rPr>
        <w:t xml:space="preserve">La Comisionada Ponente con fundamento en lo dispuesto por el artículo 185 fracción II de la ley de la materia, a través del acuerdo de admisión de fecha dos (02) de septiembre  de dos mil veinticuatro, puso a disposición de las partes el expediente electrónico </w:t>
      </w:r>
      <w:r w:rsidRPr="00C25030">
        <w:rPr>
          <w:rFonts w:ascii="Palatino Linotype" w:eastAsia="Calibri" w:hAnsi="Palatino Linotype" w:cs="Arial"/>
          <w:szCs w:val="22"/>
        </w:rPr>
        <w:t xml:space="preserve">vía </w:t>
      </w:r>
      <w:r w:rsidRPr="00C25030">
        <w:rPr>
          <w:rFonts w:ascii="Palatino Linotype" w:eastAsia="Calibri" w:hAnsi="Palatino Linotype" w:cs="Arial"/>
          <w:b/>
          <w:szCs w:val="22"/>
          <w:lang w:val="es-ES"/>
        </w:rPr>
        <w:t xml:space="preserve">SAIMEX </w:t>
      </w:r>
      <w:r w:rsidRPr="00C25030">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C25030">
        <w:rPr>
          <w:rFonts w:ascii="Palatino Linotype" w:eastAsia="Calibri" w:hAnsi="Palatino Linotype" w:cs="Arial"/>
          <w:b/>
          <w:szCs w:val="22"/>
          <w:lang w:val="es-ES"/>
        </w:rPr>
        <w:t>SUJETO OBLIGADO</w:t>
      </w:r>
      <w:r w:rsidRPr="00C25030">
        <w:rPr>
          <w:rFonts w:ascii="Palatino Linotype" w:eastAsia="Calibri" w:hAnsi="Palatino Linotype" w:cs="Arial"/>
          <w:szCs w:val="22"/>
          <w:lang w:val="es-ES"/>
        </w:rPr>
        <w:t xml:space="preserve"> presentara el informe justificado procedente.</w:t>
      </w:r>
    </w:p>
    <w:p w:rsidR="00056B65" w:rsidRPr="00C25030" w:rsidRDefault="00031D9D">
      <w:pPr>
        <w:numPr>
          <w:ilvl w:val="0"/>
          <w:numId w:val="3"/>
        </w:numPr>
        <w:tabs>
          <w:tab w:val="left" w:pos="284"/>
        </w:tabs>
        <w:spacing w:before="240" w:after="240" w:line="360" w:lineRule="auto"/>
        <w:ind w:left="0" w:firstLine="0"/>
        <w:contextualSpacing/>
        <w:jc w:val="both"/>
        <w:rPr>
          <w:rFonts w:ascii="Palatino Linotype" w:hAnsi="Palatino Linotype" w:cs="Tahoma"/>
          <w:sz w:val="22"/>
          <w:szCs w:val="22"/>
        </w:rPr>
      </w:pPr>
      <w:r w:rsidRPr="00C25030">
        <w:rPr>
          <w:rFonts w:ascii="Palatino Linotype" w:hAnsi="Palatino Linotype"/>
          <w:color w:val="000000"/>
          <w:sz w:val="22"/>
          <w:szCs w:val="22"/>
        </w:rPr>
        <w:t xml:space="preserve">El </w:t>
      </w:r>
      <w:r w:rsidRPr="00C25030">
        <w:rPr>
          <w:rFonts w:ascii="Palatino Linotype" w:hAnsi="Palatino Linotype"/>
          <w:b/>
          <w:color w:val="000000"/>
          <w:sz w:val="22"/>
          <w:szCs w:val="22"/>
        </w:rPr>
        <w:t xml:space="preserve">SUJETO OBLIGADO </w:t>
      </w:r>
      <w:r w:rsidRPr="00C25030">
        <w:rPr>
          <w:rFonts w:ascii="Palatino Linotype" w:hAnsi="Palatino Linotype"/>
          <w:color w:val="000000"/>
          <w:sz w:val="22"/>
          <w:szCs w:val="22"/>
        </w:rPr>
        <w:t xml:space="preserve">rindió su informe justificado el once (11) de septiembre de dos mil veinticuatro y se puso a la vista del particular el once (11) de diciembre del mismo año, a través del archivo </w:t>
      </w:r>
      <w:hyperlink r:id="rId9" w:history="1">
        <w:r w:rsidRPr="00C25030">
          <w:rPr>
            <w:rStyle w:val="Hipervnculo"/>
            <w:rFonts w:ascii="Palatino Linotype" w:hAnsi="Palatino Linotype"/>
            <w:b/>
            <w:bCs/>
            <w:color w:val="auto"/>
            <w:sz w:val="22"/>
            <w:szCs w:val="22"/>
          </w:rPr>
          <w:t>0229 informe justificado 2024.pdf</w:t>
        </w:r>
      </w:hyperlink>
      <w:r w:rsidRPr="00C25030">
        <w:rPr>
          <w:rFonts w:ascii="Palatino Linotype" w:hAnsi="Palatino Linotype"/>
          <w:sz w:val="22"/>
          <w:szCs w:val="22"/>
        </w:rPr>
        <w:t xml:space="preserve">, </w:t>
      </w:r>
      <w:r w:rsidRPr="00C25030">
        <w:rPr>
          <w:rFonts w:ascii="Palatino Linotype" w:hAnsi="Palatino Linotype"/>
          <w:color w:val="000000"/>
          <w:sz w:val="22"/>
          <w:szCs w:val="22"/>
        </w:rPr>
        <w:t xml:space="preserve">en el que, de forma medular, se ratificó la respuesta. Por su parte, el Recurrente no realizó manifestaciones. </w:t>
      </w:r>
    </w:p>
    <w:p w:rsidR="00056B65" w:rsidRPr="00C25030" w:rsidRDefault="00031D9D">
      <w:pPr>
        <w:pStyle w:val="Prrafodelista"/>
        <w:numPr>
          <w:ilvl w:val="0"/>
          <w:numId w:val="1"/>
        </w:numPr>
        <w:spacing w:line="360" w:lineRule="auto"/>
        <w:ind w:left="0" w:firstLine="0"/>
        <w:jc w:val="both"/>
        <w:rPr>
          <w:rFonts w:ascii="Palatino Linotype" w:hAnsi="Palatino Linotype" w:cs="Tahoma"/>
          <w:szCs w:val="22"/>
        </w:rPr>
      </w:pPr>
      <w:r w:rsidRPr="00C25030">
        <w:rPr>
          <w:rFonts w:ascii="Palatino Linotype" w:hAnsi="Palatino Linotype" w:cs="Arial"/>
          <w:szCs w:val="22"/>
        </w:rPr>
        <w:t>El once (11) de diciembre de dos mil veinticuatro, la Comisionada Ponente notificó el acuerdo mediante el cual se amplió el plazo para emitir resolución.</w:t>
      </w:r>
    </w:p>
    <w:p w:rsidR="00056B65" w:rsidRPr="00C25030" w:rsidRDefault="00056B65">
      <w:pPr>
        <w:pStyle w:val="Prrafodelista"/>
        <w:spacing w:line="360" w:lineRule="auto"/>
        <w:ind w:left="0"/>
        <w:jc w:val="both"/>
        <w:rPr>
          <w:rFonts w:ascii="Palatino Linotype" w:hAnsi="Palatino Linotype" w:cs="Tahoma"/>
          <w:szCs w:val="22"/>
        </w:rPr>
      </w:pPr>
    </w:p>
    <w:p w:rsidR="00056B65" w:rsidRPr="00C25030" w:rsidRDefault="00031D9D">
      <w:pPr>
        <w:pStyle w:val="Prrafodelista"/>
        <w:numPr>
          <w:ilvl w:val="0"/>
          <w:numId w:val="3"/>
        </w:numPr>
        <w:spacing w:before="240" w:after="240" w:line="360" w:lineRule="auto"/>
        <w:ind w:left="0" w:hanging="11"/>
        <w:jc w:val="both"/>
        <w:rPr>
          <w:rFonts w:ascii="Palatino Linotype" w:hAnsi="Palatino Linotype"/>
          <w:b/>
          <w:szCs w:val="22"/>
          <w:u w:val="single"/>
        </w:rPr>
      </w:pPr>
      <w:r w:rsidRPr="00C25030">
        <w:rPr>
          <w:rFonts w:ascii="Palatino Linotype" w:hAnsi="Palatino Linotype"/>
          <w:szCs w:val="22"/>
        </w:rPr>
        <w:t xml:space="preserve">Este organismo garante no pasa por alto justificar, que el plazo para emitir resolución en el presente asunto encuentra justificación en el alto número de recursos de revisión recibidos dentro del primer semestre del año dos mil </w:t>
      </w:r>
      <w:r w:rsidRPr="00C25030">
        <w:rPr>
          <w:rFonts w:ascii="Palatino Linotype" w:eastAsia="Calibri" w:hAnsi="Palatino Linotype"/>
          <w:szCs w:val="22"/>
          <w:lang w:val="es-ES"/>
        </w:rPr>
        <w:t>veintitrés</w:t>
      </w:r>
      <w:r w:rsidRPr="00C25030">
        <w:rPr>
          <w:rFonts w:ascii="Palatino Linotype" w:hAnsi="Palatino Linotype"/>
          <w:szCs w:val="22"/>
        </w:rPr>
        <w:t xml:space="preserve">, que, en comparación con los recibidos el año pasado dentro del mismo periodo, se ha incrementado aproximadamente un </w:t>
      </w:r>
      <w:r w:rsidRPr="00C25030">
        <w:rPr>
          <w:rFonts w:ascii="Palatino Linotype" w:hAnsi="Palatino Linotype"/>
          <w:szCs w:val="22"/>
        </w:rPr>
        <w:lastRenderedPageBreak/>
        <w:t>400%, circunstancia atípica que ha rebasado las capacidades técnicas y humanas del personal encargado de la proyección de las resoluciones a dichos medios de impugnación.</w:t>
      </w:r>
    </w:p>
    <w:p w:rsidR="00056B65" w:rsidRPr="00C25030" w:rsidRDefault="00056B65">
      <w:pPr>
        <w:pStyle w:val="Prrafodelista"/>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056B65" w:rsidRPr="00C25030" w:rsidRDefault="00056B65">
      <w:pPr>
        <w:pStyle w:val="Prrafodelista"/>
        <w:spacing w:before="240" w:after="240" w:line="360" w:lineRule="auto"/>
        <w:ind w:left="0"/>
        <w:jc w:val="both"/>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56B65" w:rsidRPr="00C25030" w:rsidRDefault="00056B65">
      <w:pPr>
        <w:pStyle w:val="Prrafodelista"/>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56B65" w:rsidRPr="00C25030" w:rsidRDefault="00056B65">
      <w:pPr>
        <w:pStyle w:val="Prrafodelista"/>
        <w:spacing w:before="240" w:after="240" w:line="360" w:lineRule="auto"/>
        <w:ind w:left="0"/>
        <w:jc w:val="both"/>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 xml:space="preserve">Por ello, excepcionalmente, si un asunto es resuelto con posterioridad a los plazos señalados por la norma debe analizarse la razonabilidad del tiempo necesario para su resolución, atentos a los siguientes criterios:   </w:t>
      </w:r>
    </w:p>
    <w:p w:rsidR="00056B65" w:rsidRPr="00C25030" w:rsidRDefault="00056B65">
      <w:pPr>
        <w:pStyle w:val="Prrafodelista"/>
        <w:spacing w:before="240" w:after="240" w:line="360" w:lineRule="auto"/>
        <w:ind w:left="0"/>
        <w:jc w:val="both"/>
        <w:rPr>
          <w:rFonts w:ascii="Palatino Linotype" w:hAnsi="Palatino Linotype"/>
          <w:szCs w:val="22"/>
        </w:rPr>
      </w:pPr>
    </w:p>
    <w:p w:rsidR="00056B65" w:rsidRPr="00C25030" w:rsidRDefault="00031D9D">
      <w:pPr>
        <w:pStyle w:val="Prrafodelista"/>
        <w:spacing w:before="240" w:after="240" w:line="360" w:lineRule="auto"/>
        <w:ind w:left="284"/>
        <w:jc w:val="both"/>
        <w:rPr>
          <w:rFonts w:ascii="Palatino Linotype" w:hAnsi="Palatino Linotype"/>
          <w:szCs w:val="22"/>
        </w:rPr>
      </w:pPr>
      <w:r w:rsidRPr="00C25030">
        <w:rPr>
          <w:rFonts w:ascii="Palatino Linotype" w:hAnsi="Palatino Linotype"/>
          <w:szCs w:val="22"/>
        </w:rPr>
        <w:lastRenderedPageBreak/>
        <w:t>a)      Complejidad del asunto: La complejidad de la prueba, la pluralidad de sujetos procesales, el tiempo transcurrido, las características y contexto del recurso.</w:t>
      </w:r>
    </w:p>
    <w:p w:rsidR="00056B65" w:rsidRPr="00C25030" w:rsidRDefault="00031D9D">
      <w:pPr>
        <w:pStyle w:val="Prrafodelista"/>
        <w:spacing w:before="240" w:after="240" w:line="360" w:lineRule="auto"/>
        <w:ind w:left="284"/>
        <w:jc w:val="both"/>
        <w:rPr>
          <w:rFonts w:ascii="Palatino Linotype" w:hAnsi="Palatino Linotype"/>
          <w:szCs w:val="22"/>
        </w:rPr>
      </w:pPr>
      <w:r w:rsidRPr="00C25030">
        <w:rPr>
          <w:rFonts w:ascii="Palatino Linotype" w:hAnsi="Palatino Linotype"/>
          <w:szCs w:val="22"/>
        </w:rPr>
        <w:t>b)     Actividad Procesal del interesado: Acciones u omisiones del interesado.</w:t>
      </w:r>
    </w:p>
    <w:p w:rsidR="00056B65" w:rsidRPr="00C25030" w:rsidRDefault="00031D9D">
      <w:pPr>
        <w:pStyle w:val="Prrafodelista"/>
        <w:spacing w:before="240" w:after="240" w:line="360" w:lineRule="auto"/>
        <w:ind w:left="284"/>
        <w:jc w:val="both"/>
        <w:rPr>
          <w:rFonts w:ascii="Palatino Linotype" w:hAnsi="Palatino Linotype"/>
          <w:szCs w:val="22"/>
        </w:rPr>
      </w:pPr>
      <w:r w:rsidRPr="00C25030">
        <w:rPr>
          <w:rFonts w:ascii="Palatino Linotype" w:hAnsi="Palatino Linotype"/>
          <w:szCs w:val="22"/>
        </w:rPr>
        <w:t>c)      Conducta de la Autoridad: Las Acciones u omisiones realizadas en el procedimiento. Así como si la autoridad actuó con la debida diligencia.</w:t>
      </w:r>
    </w:p>
    <w:p w:rsidR="00056B65" w:rsidRPr="00C25030" w:rsidRDefault="00031D9D">
      <w:pPr>
        <w:pStyle w:val="Prrafodelista"/>
        <w:spacing w:before="240" w:after="240" w:line="360" w:lineRule="auto"/>
        <w:ind w:left="284"/>
        <w:jc w:val="both"/>
        <w:rPr>
          <w:rFonts w:ascii="Palatino Linotype" w:hAnsi="Palatino Linotype"/>
          <w:szCs w:val="22"/>
        </w:rPr>
      </w:pPr>
      <w:r w:rsidRPr="00C25030">
        <w:rPr>
          <w:rFonts w:ascii="Palatino Linotype" w:hAnsi="Palatino Linotype"/>
          <w:szCs w:val="22"/>
        </w:rPr>
        <w:t>d) La afectación generada en la situación jurídica de la persona involucrada en el proceso: Violación a sus derechos humanos.</w:t>
      </w:r>
    </w:p>
    <w:p w:rsidR="00056B65" w:rsidRPr="00C25030" w:rsidRDefault="00056B65">
      <w:pPr>
        <w:pStyle w:val="Prrafodelista"/>
        <w:spacing w:before="240" w:after="240" w:line="360" w:lineRule="auto"/>
        <w:ind w:left="0"/>
        <w:jc w:val="both"/>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56B65" w:rsidRPr="00C25030" w:rsidRDefault="00056B65">
      <w:pPr>
        <w:pStyle w:val="Prrafodelista"/>
        <w:spacing w:before="240" w:after="240" w:line="360" w:lineRule="auto"/>
        <w:ind w:left="0"/>
        <w:jc w:val="both"/>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Argumento que encuentra sustento en la jurisprudencia P</w:t>
      </w:r>
      <w:proofErr w:type="gramStart"/>
      <w:r w:rsidRPr="00C25030">
        <w:rPr>
          <w:rFonts w:ascii="Palatino Linotype" w:hAnsi="Palatino Linotype"/>
          <w:szCs w:val="22"/>
        </w:rPr>
        <w:t>./</w:t>
      </w:r>
      <w:proofErr w:type="gramEnd"/>
      <w:r w:rsidRPr="00C25030">
        <w:rPr>
          <w:rFonts w:ascii="Palatino Linotype" w:hAnsi="Palatino Linotype"/>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056B65" w:rsidRPr="00C25030" w:rsidRDefault="00056B65">
      <w:pPr>
        <w:pStyle w:val="Prrafodelista"/>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w:t>
      </w:r>
      <w:r w:rsidRPr="00C25030">
        <w:rPr>
          <w:rFonts w:ascii="Palatino Linotype" w:hAnsi="Palatino Linotype"/>
          <w:szCs w:val="22"/>
        </w:rPr>
        <w:lastRenderedPageBreak/>
        <w:t>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56B65" w:rsidRPr="00C25030" w:rsidRDefault="00056B65">
      <w:pPr>
        <w:pStyle w:val="Prrafodelista"/>
        <w:spacing w:before="240" w:after="240" w:line="360" w:lineRule="auto"/>
        <w:ind w:left="0"/>
        <w:jc w:val="both"/>
        <w:rPr>
          <w:rFonts w:ascii="Palatino Linotype" w:hAnsi="Palatino Linotype"/>
          <w:szCs w:val="22"/>
        </w:rPr>
      </w:pPr>
    </w:p>
    <w:p w:rsidR="00056B65" w:rsidRPr="00C25030" w:rsidRDefault="00031D9D">
      <w:pPr>
        <w:pStyle w:val="Prrafodelista"/>
        <w:numPr>
          <w:ilvl w:val="0"/>
          <w:numId w:val="3"/>
        </w:numPr>
        <w:spacing w:before="240" w:after="240" w:line="360" w:lineRule="auto"/>
        <w:ind w:left="0" w:firstLine="0"/>
        <w:jc w:val="both"/>
        <w:rPr>
          <w:rFonts w:ascii="Palatino Linotype" w:hAnsi="Palatino Linotype"/>
          <w:szCs w:val="22"/>
        </w:rPr>
      </w:pPr>
      <w:r w:rsidRPr="00C25030">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rsidR="00056B65" w:rsidRPr="00C25030" w:rsidRDefault="00056B65">
      <w:pPr>
        <w:pStyle w:val="Prrafodelista"/>
        <w:rPr>
          <w:rFonts w:ascii="Palatino Linotype" w:hAnsi="Palatino Linotype"/>
          <w:szCs w:val="22"/>
        </w:rPr>
      </w:pPr>
    </w:p>
    <w:p w:rsidR="00056B65" w:rsidRPr="00C25030" w:rsidRDefault="00031D9D">
      <w:pPr>
        <w:pStyle w:val="Prrafodelista"/>
        <w:spacing w:before="240" w:after="240" w:line="360" w:lineRule="auto"/>
        <w:ind w:left="567"/>
        <w:jc w:val="both"/>
        <w:rPr>
          <w:rFonts w:ascii="Palatino Linotype" w:hAnsi="Palatino Linotype"/>
          <w:szCs w:val="22"/>
        </w:rPr>
      </w:pPr>
      <w:r w:rsidRPr="00C25030">
        <w:rPr>
          <w:rFonts w:ascii="Palatino Linotype" w:hAnsi="Palatino Linotype"/>
          <w:szCs w:val="22"/>
        </w:rPr>
        <w:t>“PLAZO RAZONABLE PARA RESOLVER. DIMENSIÓN Y EFECTOS DE ESTE CONCEPTO CUANDO SE ADUCE EXCESIVA CARGA DE TRABAJO.” consultable en el Seminario Judicial de la Federación y su gaceta, con el registro digital 2002351.</w:t>
      </w:r>
    </w:p>
    <w:p w:rsidR="00056B65" w:rsidRPr="00C25030" w:rsidRDefault="00031D9D">
      <w:pPr>
        <w:pStyle w:val="Prrafodelista"/>
        <w:spacing w:before="240" w:after="240" w:line="360" w:lineRule="auto"/>
        <w:ind w:left="567"/>
        <w:jc w:val="both"/>
        <w:rPr>
          <w:rFonts w:ascii="Palatino Linotype" w:hAnsi="Palatino Linotype"/>
          <w:szCs w:val="22"/>
        </w:rPr>
      </w:pPr>
      <w:r w:rsidRPr="00C25030">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rsidR="00056B65" w:rsidRPr="00C25030" w:rsidRDefault="00056B65">
      <w:pPr>
        <w:pStyle w:val="Prrafodelista"/>
        <w:spacing w:before="240" w:after="240" w:line="360" w:lineRule="auto"/>
        <w:ind w:left="708"/>
        <w:jc w:val="both"/>
        <w:rPr>
          <w:rFonts w:ascii="Palatino Linotype" w:hAnsi="Palatino Linotype"/>
          <w:szCs w:val="22"/>
        </w:rPr>
      </w:pPr>
    </w:p>
    <w:p w:rsidR="00056B65" w:rsidRPr="00C25030" w:rsidRDefault="00031D9D">
      <w:pPr>
        <w:pStyle w:val="Prrafodelista"/>
        <w:numPr>
          <w:ilvl w:val="0"/>
          <w:numId w:val="3"/>
        </w:numPr>
        <w:tabs>
          <w:tab w:val="left" w:pos="426"/>
        </w:tabs>
        <w:spacing w:line="360" w:lineRule="auto"/>
        <w:ind w:left="0" w:firstLine="0"/>
        <w:jc w:val="both"/>
        <w:rPr>
          <w:rFonts w:ascii="Palatino Linotype" w:hAnsi="Palatino Linotype"/>
          <w:color w:val="000000" w:themeColor="text1"/>
          <w:szCs w:val="22"/>
        </w:rPr>
      </w:pPr>
      <w:r w:rsidRPr="00C25030">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056B65" w:rsidRPr="00C25030" w:rsidRDefault="00056B65">
      <w:pPr>
        <w:pStyle w:val="Prrafodelista"/>
        <w:tabs>
          <w:tab w:val="left" w:pos="426"/>
        </w:tabs>
        <w:spacing w:line="360" w:lineRule="auto"/>
        <w:ind w:left="0"/>
        <w:jc w:val="both"/>
        <w:rPr>
          <w:rFonts w:ascii="Palatino Linotype" w:hAnsi="Palatino Linotype"/>
          <w:color w:val="000000" w:themeColor="text1"/>
          <w:szCs w:val="22"/>
        </w:rPr>
      </w:pPr>
    </w:p>
    <w:p w:rsidR="00056B65" w:rsidRPr="00C25030" w:rsidRDefault="00031D9D">
      <w:pPr>
        <w:pStyle w:val="Prrafodelista"/>
        <w:numPr>
          <w:ilvl w:val="0"/>
          <w:numId w:val="3"/>
        </w:numPr>
        <w:tabs>
          <w:tab w:val="left" w:pos="426"/>
        </w:tabs>
        <w:spacing w:line="360" w:lineRule="auto"/>
        <w:ind w:left="0" w:firstLine="0"/>
        <w:jc w:val="both"/>
        <w:rPr>
          <w:rFonts w:ascii="Palatino Linotype" w:hAnsi="Palatino Linotype"/>
          <w:color w:val="000000" w:themeColor="text1"/>
          <w:szCs w:val="22"/>
        </w:rPr>
      </w:pPr>
      <w:r w:rsidRPr="00C25030">
        <w:rPr>
          <w:rFonts w:ascii="Palatino Linotype" w:hAnsi="Palatino Linotype" w:cs="Arial"/>
          <w:szCs w:val="22"/>
        </w:rPr>
        <w:lastRenderedPageBreak/>
        <w:t>El diecisiete (17) de diciembre de dos mil veinticuatro, la Comisionada Ponente, decretó el cierre de instrucción, p</w:t>
      </w:r>
      <w:r w:rsidRPr="00C25030">
        <w:rPr>
          <w:rFonts w:ascii="Palatino Linotype" w:hAnsi="Palatino Linotype" w:cs="Tahoma"/>
          <w:szCs w:val="22"/>
        </w:rPr>
        <w:t>or lo que turnó la presente resolución para su aprobación.</w:t>
      </w:r>
    </w:p>
    <w:p w:rsidR="00056B65" w:rsidRPr="00C25030" w:rsidRDefault="00056B65">
      <w:pPr>
        <w:pStyle w:val="Prrafodelista"/>
        <w:tabs>
          <w:tab w:val="left" w:pos="426"/>
        </w:tabs>
        <w:spacing w:line="360" w:lineRule="auto"/>
        <w:ind w:left="0"/>
        <w:jc w:val="both"/>
        <w:rPr>
          <w:rFonts w:ascii="Palatino Linotype" w:hAnsi="Palatino Linotype"/>
          <w:color w:val="000000" w:themeColor="text1"/>
          <w:szCs w:val="22"/>
        </w:rPr>
      </w:pPr>
    </w:p>
    <w:p w:rsidR="00056B65" w:rsidRPr="00C25030" w:rsidRDefault="00031D9D">
      <w:pPr>
        <w:pStyle w:val="Ttulo1"/>
        <w:jc w:val="center"/>
        <w:rPr>
          <w:rFonts w:ascii="Palatino Linotype" w:hAnsi="Palatino Linotype"/>
          <w:b/>
          <w:color w:val="auto"/>
          <w:sz w:val="22"/>
          <w:szCs w:val="22"/>
        </w:rPr>
      </w:pPr>
      <w:bookmarkStart w:id="4" w:name="_Toc87549672"/>
      <w:r w:rsidRPr="00C25030">
        <w:rPr>
          <w:rFonts w:ascii="Palatino Linotype" w:hAnsi="Palatino Linotype"/>
          <w:b/>
          <w:color w:val="auto"/>
          <w:sz w:val="22"/>
          <w:szCs w:val="22"/>
        </w:rPr>
        <w:t>CONSIDERANDO</w:t>
      </w:r>
      <w:bookmarkEnd w:id="4"/>
      <w:r w:rsidRPr="00C25030">
        <w:rPr>
          <w:rFonts w:ascii="Palatino Linotype" w:hAnsi="Palatino Linotype"/>
          <w:b/>
          <w:color w:val="auto"/>
          <w:sz w:val="22"/>
          <w:szCs w:val="22"/>
        </w:rPr>
        <w:t xml:space="preserve"> </w:t>
      </w:r>
    </w:p>
    <w:p w:rsidR="00056B65" w:rsidRPr="00C25030" w:rsidRDefault="00056B65">
      <w:pPr>
        <w:rPr>
          <w:rFonts w:ascii="Palatino Linotype" w:hAnsi="Palatino Linotype"/>
          <w:sz w:val="22"/>
          <w:szCs w:val="22"/>
          <w:lang w:eastAsia="en-US"/>
        </w:rPr>
      </w:pPr>
    </w:p>
    <w:p w:rsidR="00056B65" w:rsidRPr="00C25030" w:rsidRDefault="00031D9D">
      <w:pPr>
        <w:pStyle w:val="Ttulo2"/>
        <w:rPr>
          <w:rFonts w:ascii="Palatino Linotype" w:hAnsi="Palatino Linotype"/>
          <w:b/>
          <w:bCs/>
          <w:color w:val="auto"/>
          <w:spacing w:val="60"/>
          <w:sz w:val="22"/>
          <w:szCs w:val="22"/>
          <w:lang w:eastAsia="en-US"/>
        </w:rPr>
      </w:pPr>
      <w:bookmarkStart w:id="5" w:name="_Toc87549673"/>
      <w:r w:rsidRPr="00C25030">
        <w:rPr>
          <w:rFonts w:ascii="Palatino Linotype" w:hAnsi="Palatino Linotype"/>
          <w:b/>
          <w:color w:val="auto"/>
          <w:sz w:val="22"/>
          <w:szCs w:val="22"/>
        </w:rPr>
        <w:t>PRIMERO. De la competencia</w:t>
      </w:r>
      <w:bookmarkEnd w:id="5"/>
    </w:p>
    <w:p w:rsidR="00056B65" w:rsidRPr="00C25030" w:rsidRDefault="00031D9D">
      <w:pPr>
        <w:pStyle w:val="Prrafodelista"/>
        <w:numPr>
          <w:ilvl w:val="0"/>
          <w:numId w:val="1"/>
        </w:numPr>
        <w:spacing w:before="240" w:after="240" w:line="360" w:lineRule="auto"/>
        <w:ind w:left="0" w:firstLine="0"/>
        <w:jc w:val="both"/>
        <w:rPr>
          <w:rFonts w:ascii="Palatino Linotype" w:hAnsi="Palatino Linotype"/>
          <w:szCs w:val="22"/>
        </w:rPr>
      </w:pPr>
      <w:r w:rsidRPr="00C25030">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C25030">
        <w:rPr>
          <w:rFonts w:ascii="Palatino Linotype" w:eastAsia="Calibri" w:hAnsi="Palatino Linotype"/>
          <w:b/>
          <w:szCs w:val="22"/>
          <w:lang w:val="es-ES"/>
        </w:rPr>
        <w:t>Constitución Política de los Estados Unidos Mexicanos</w:t>
      </w:r>
      <w:r w:rsidRPr="00C25030">
        <w:rPr>
          <w:rFonts w:ascii="Palatino Linotype" w:eastAsia="Calibri" w:hAnsi="Palatino Linotype"/>
          <w:szCs w:val="22"/>
          <w:lang w:val="es-ES"/>
        </w:rPr>
        <w:t xml:space="preserve">; 5, párrafos </w:t>
      </w:r>
      <w:r w:rsidRPr="00C25030">
        <w:rPr>
          <w:rFonts w:ascii="Palatino Linotype" w:hAnsi="Palatino Linotype" w:cs="Arial"/>
          <w:bCs/>
          <w:color w:val="222222"/>
          <w:szCs w:val="22"/>
          <w:lang w:val="es-ES"/>
        </w:rPr>
        <w:t>trigésimo segundo, trigésimo tercero y trigésimo cuarto fracciones</w:t>
      </w:r>
      <w:r w:rsidRPr="00C25030">
        <w:rPr>
          <w:rFonts w:ascii="Palatino Linotype" w:eastAsia="Calibri" w:hAnsi="Palatino Linotype"/>
          <w:szCs w:val="22"/>
          <w:lang w:val="es-ES"/>
        </w:rPr>
        <w:t xml:space="preserve"> IV y V de la </w:t>
      </w:r>
      <w:r w:rsidRPr="00C25030">
        <w:rPr>
          <w:rFonts w:ascii="Palatino Linotype" w:eastAsia="Calibri" w:hAnsi="Palatino Linotype"/>
          <w:b/>
          <w:szCs w:val="22"/>
          <w:lang w:val="es-ES"/>
        </w:rPr>
        <w:t>Constitución Política del Estado Libre y Soberano de México</w:t>
      </w:r>
      <w:r w:rsidRPr="00C25030">
        <w:rPr>
          <w:rFonts w:ascii="Palatino Linotype" w:eastAsia="Calibri" w:hAnsi="Palatino Linotype"/>
          <w:szCs w:val="22"/>
          <w:lang w:val="es-ES"/>
        </w:rPr>
        <w:t xml:space="preserve">; artículos 1, 2 fracción II, 13, 29, 36 fracciones I y II, 176, 178, 179, 181 párrafo tercero y 185 </w:t>
      </w:r>
      <w:r w:rsidRPr="00C25030">
        <w:rPr>
          <w:rFonts w:ascii="Palatino Linotype" w:eastAsia="Calibri" w:hAnsi="Palatino Linotype" w:cs="Arial"/>
          <w:szCs w:val="22"/>
          <w:lang w:val="es-ES"/>
        </w:rPr>
        <w:t xml:space="preserve">de la </w:t>
      </w:r>
      <w:r w:rsidRPr="00C25030">
        <w:rPr>
          <w:rFonts w:ascii="Palatino Linotype" w:eastAsia="Calibri" w:hAnsi="Palatino Linotype" w:cs="Arial"/>
          <w:b/>
          <w:szCs w:val="22"/>
          <w:lang w:val="es-ES"/>
        </w:rPr>
        <w:t>Ley de Transparencia y Acceso a la Información Pública del Estado de México y Municipios</w:t>
      </w:r>
      <w:r w:rsidRPr="00C25030">
        <w:rPr>
          <w:rFonts w:ascii="Palatino Linotype" w:eastAsia="Calibri" w:hAnsi="Palatino Linotype" w:cs="Arial"/>
          <w:szCs w:val="22"/>
          <w:lang w:val="es-ES"/>
        </w:rPr>
        <w:t xml:space="preserve">; y 7, 9 fracciones I y XXIII, y 11 del </w:t>
      </w:r>
      <w:r w:rsidRPr="00C25030">
        <w:rPr>
          <w:rFonts w:ascii="Palatino Linotype" w:eastAsia="Calibri" w:hAnsi="Palatino Linotype" w:cs="Arial"/>
          <w:b/>
          <w:szCs w:val="22"/>
          <w:lang w:val="es-ES"/>
        </w:rPr>
        <w:t>Reglamento Interior del Instituto de Transparencia, Acceso a la Información Pública y Protección de Datos Personales del Estado de México y Municipios</w:t>
      </w:r>
      <w:r w:rsidRPr="00C25030">
        <w:rPr>
          <w:rFonts w:ascii="Palatino Linotype" w:hAnsi="Palatino Linotype"/>
          <w:szCs w:val="22"/>
        </w:rPr>
        <w:t>.</w:t>
      </w:r>
    </w:p>
    <w:p w:rsidR="00056B65" w:rsidRPr="00C25030" w:rsidRDefault="00031D9D">
      <w:pPr>
        <w:pStyle w:val="Ttulo2"/>
        <w:rPr>
          <w:rFonts w:ascii="Palatino Linotype" w:hAnsi="Palatino Linotype"/>
          <w:b/>
          <w:color w:val="auto"/>
          <w:sz w:val="22"/>
          <w:szCs w:val="22"/>
        </w:rPr>
      </w:pPr>
      <w:bookmarkStart w:id="6" w:name="_Toc87549674"/>
      <w:r w:rsidRPr="00C25030">
        <w:rPr>
          <w:rFonts w:ascii="Palatino Linotype" w:hAnsi="Palatino Linotype"/>
          <w:b/>
          <w:color w:val="auto"/>
          <w:sz w:val="22"/>
          <w:szCs w:val="22"/>
        </w:rPr>
        <w:t>SEGUNDO. De la oportunidad y procedencia.</w:t>
      </w:r>
      <w:bookmarkEnd w:id="6"/>
    </w:p>
    <w:p w:rsidR="00056B65" w:rsidRPr="00C25030" w:rsidRDefault="00056B65">
      <w:pPr>
        <w:rPr>
          <w:rFonts w:ascii="Palatino Linotype" w:hAnsi="Palatino Linotype"/>
          <w:sz w:val="22"/>
          <w:szCs w:val="22"/>
        </w:rPr>
      </w:pPr>
    </w:p>
    <w:p w:rsidR="00056B65" w:rsidRPr="00C25030" w:rsidRDefault="00031D9D">
      <w:pPr>
        <w:pStyle w:val="Prrafodelista"/>
        <w:numPr>
          <w:ilvl w:val="0"/>
          <w:numId w:val="3"/>
        </w:numPr>
        <w:tabs>
          <w:tab w:val="left" w:pos="426"/>
        </w:tabs>
        <w:spacing w:line="360" w:lineRule="auto"/>
        <w:ind w:left="0" w:right="49" w:firstLine="0"/>
        <w:jc w:val="both"/>
        <w:rPr>
          <w:rFonts w:ascii="Palatino Linotype" w:hAnsi="Palatino Linotype" w:cs="Arial"/>
          <w:bCs/>
          <w:color w:val="000000" w:themeColor="text1"/>
          <w:szCs w:val="22"/>
          <w:lang w:eastAsia="es-MX"/>
        </w:rPr>
      </w:pPr>
      <w:bookmarkStart w:id="7" w:name="_Toc87549675"/>
      <w:r w:rsidRPr="00C25030">
        <w:rPr>
          <w:rFonts w:ascii="Palatino Linotype" w:eastAsia="Calibri" w:hAnsi="Palatino Linotype" w:cs="Arial"/>
          <w:color w:val="000000" w:themeColor="text1"/>
          <w:szCs w:val="22"/>
        </w:rPr>
        <w:t xml:space="preserve">El medio de impugnación fue presentado a través del </w:t>
      </w:r>
      <w:r w:rsidRPr="00C25030">
        <w:rPr>
          <w:rFonts w:ascii="Palatino Linotype" w:eastAsia="Calibri" w:hAnsi="Palatino Linotype" w:cs="Arial"/>
          <w:bCs/>
          <w:iCs/>
          <w:color w:val="000000" w:themeColor="text1"/>
          <w:szCs w:val="22"/>
        </w:rPr>
        <w:t>SAIMEX</w:t>
      </w:r>
      <w:r w:rsidRPr="00C25030">
        <w:rPr>
          <w:rFonts w:ascii="Palatino Linotype" w:eastAsia="Calibri" w:hAnsi="Palatino Linotype" w:cs="Arial"/>
          <w:color w:val="000000" w:themeColor="text1"/>
          <w:szCs w:val="22"/>
        </w:rPr>
        <w:t xml:space="preserve"> en el formato previamente aprobado para tal efecto y dentro del plazo legal de quince días hábiles otorgados; siendo así que el </w:t>
      </w:r>
      <w:r w:rsidRPr="00C25030">
        <w:rPr>
          <w:rFonts w:ascii="Palatino Linotype" w:eastAsia="Calibri" w:hAnsi="Palatino Linotype" w:cs="Arial"/>
          <w:b/>
          <w:color w:val="000000" w:themeColor="text1"/>
          <w:szCs w:val="22"/>
        </w:rPr>
        <w:t>SUJETO OBLIGADO</w:t>
      </w:r>
      <w:r w:rsidRPr="00C25030">
        <w:rPr>
          <w:rFonts w:ascii="Palatino Linotype" w:eastAsia="Calibri" w:hAnsi="Palatino Linotype" w:cs="Arial"/>
          <w:color w:val="000000" w:themeColor="text1"/>
          <w:szCs w:val="22"/>
        </w:rPr>
        <w:t xml:space="preserve"> entregó respuesta el veintiséis (26) de agosto de dos mil veinticuatro, de tal forma que el plazo para interponer el recurso de revisión transcurrió del veintisiete (27) de agosto al diecisiete (17) de septiembre de dos mil veinticuatro. El recurso de revisión </w:t>
      </w:r>
      <w:r w:rsidRPr="00C25030">
        <w:rPr>
          <w:rFonts w:ascii="Palatino Linotype" w:hAnsi="Palatino Linotype"/>
          <w:color w:val="000000" w:themeColor="text1"/>
          <w:szCs w:val="22"/>
        </w:rPr>
        <w:t>fue interpuesto el veintisiete (27) de agosto de dos mil veinticuatro, éste</w:t>
      </w:r>
      <w:r w:rsidRPr="00C25030">
        <w:rPr>
          <w:rFonts w:ascii="Palatino Linotype" w:hAnsi="Palatino Linotype" w:cs="Arial"/>
          <w:color w:val="000000" w:themeColor="text1"/>
          <w:szCs w:val="22"/>
        </w:rPr>
        <w:t xml:space="preserve"> se </w:t>
      </w:r>
      <w:r w:rsidRPr="00C25030">
        <w:rPr>
          <w:rFonts w:ascii="Palatino Linotype" w:hAnsi="Palatino Linotype" w:cs="Arial"/>
          <w:color w:val="000000" w:themeColor="text1"/>
          <w:szCs w:val="22"/>
        </w:rPr>
        <w:lastRenderedPageBreak/>
        <w:t>encuentra dentro de los márgenes temporales previstos en el artículo 178 de la Ley de Transparencia y Acceso a la Información Pública del Estado de México y Municipios</w:t>
      </w:r>
      <w:r w:rsidRPr="00C25030">
        <w:rPr>
          <w:rFonts w:ascii="Palatino Linotype" w:hAnsi="Palatino Linotype" w:cs="Arial"/>
          <w:b/>
          <w:color w:val="000000" w:themeColor="text1"/>
          <w:szCs w:val="22"/>
        </w:rPr>
        <w:t xml:space="preserve"> </w:t>
      </w:r>
      <w:r w:rsidRPr="00C25030">
        <w:rPr>
          <w:rFonts w:ascii="Palatino Linotype" w:hAnsi="Palatino Linotype" w:cs="Arial"/>
          <w:color w:val="000000" w:themeColor="text1"/>
          <w:szCs w:val="22"/>
        </w:rPr>
        <w:t xml:space="preserve">vigente. </w:t>
      </w:r>
    </w:p>
    <w:p w:rsidR="00056B65" w:rsidRPr="00C25030" w:rsidRDefault="00031D9D">
      <w:pPr>
        <w:numPr>
          <w:ilvl w:val="0"/>
          <w:numId w:val="3"/>
        </w:numPr>
        <w:spacing w:line="360" w:lineRule="auto"/>
        <w:ind w:left="0" w:firstLine="0"/>
        <w:contextualSpacing/>
        <w:jc w:val="both"/>
        <w:rPr>
          <w:rFonts w:ascii="Palatino Linotype" w:eastAsia="Calibri" w:hAnsi="Palatino Linotype" w:cs="Arial"/>
          <w:sz w:val="22"/>
          <w:szCs w:val="22"/>
        </w:rPr>
      </w:pPr>
      <w:r w:rsidRPr="00C25030">
        <w:rPr>
          <w:rFonts w:ascii="Palatino Linotype" w:eastAsia="Calibri" w:hAnsi="Palatino Linotype" w:cs="Arial"/>
          <w:sz w:val="22"/>
          <w:szCs w:val="22"/>
        </w:rPr>
        <w:t xml:space="preserve">Por otra parte, de la revisión al expediente electrónico del </w:t>
      </w:r>
      <w:r w:rsidRPr="00C25030">
        <w:rPr>
          <w:rFonts w:ascii="Palatino Linotype" w:eastAsia="Calibri" w:hAnsi="Palatino Linotype" w:cs="Arial"/>
          <w:b/>
          <w:sz w:val="22"/>
          <w:szCs w:val="22"/>
        </w:rPr>
        <w:t>SAIMEX</w:t>
      </w:r>
      <w:r w:rsidRPr="00C25030">
        <w:rPr>
          <w:rFonts w:ascii="Palatino Linotype" w:eastAsia="Calibri" w:hAnsi="Palatino Linotype" w:cs="Arial"/>
          <w:sz w:val="22"/>
          <w:szCs w:val="22"/>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056B65" w:rsidRPr="00C25030" w:rsidRDefault="00056B65">
      <w:pPr>
        <w:pStyle w:val="Prrafodelista"/>
        <w:ind w:left="0"/>
        <w:rPr>
          <w:rFonts w:ascii="Palatino Linotype" w:eastAsia="Calibri" w:hAnsi="Palatino Linotype" w:cs="Arial"/>
          <w:szCs w:val="22"/>
        </w:rPr>
      </w:pPr>
    </w:p>
    <w:p w:rsidR="00056B65" w:rsidRPr="00C25030" w:rsidRDefault="00031D9D">
      <w:pPr>
        <w:numPr>
          <w:ilvl w:val="0"/>
          <w:numId w:val="3"/>
        </w:numPr>
        <w:spacing w:line="360" w:lineRule="auto"/>
        <w:ind w:left="0" w:firstLine="0"/>
        <w:contextualSpacing/>
        <w:jc w:val="both"/>
        <w:rPr>
          <w:rFonts w:ascii="Palatino Linotype" w:eastAsia="Calibri" w:hAnsi="Palatino Linotype" w:cs="Arial"/>
          <w:sz w:val="22"/>
          <w:szCs w:val="22"/>
        </w:rPr>
      </w:pPr>
      <w:r w:rsidRPr="00C25030">
        <w:rPr>
          <w:rFonts w:ascii="Palatino Linotype" w:eastAsia="Calibri" w:hAnsi="Palatino Linotype" w:cs="Arial"/>
          <w:sz w:val="22"/>
          <w:szCs w:val="22"/>
        </w:rPr>
        <w:t xml:space="preserve">Esto es así, ya que de conformidad con los artículos 6, Apartado A, fracciones III y IV de la Constitución Política de los Estados Unidos Mexicanos y </w:t>
      </w:r>
      <w:r w:rsidRPr="00C25030">
        <w:rPr>
          <w:rFonts w:ascii="Palatino Linotype" w:eastAsia="Calibri" w:hAnsi="Palatino Linotype" w:cs="Arial"/>
          <w:bCs/>
          <w:sz w:val="22"/>
          <w:szCs w:val="22"/>
          <w:lang w:val="es-ES"/>
        </w:rPr>
        <w:t>5, párrafos vigésimo, vigésimo primero y vigésimo segundo fracciones IV y V </w:t>
      </w:r>
      <w:r w:rsidRPr="00C25030">
        <w:rPr>
          <w:rFonts w:ascii="Palatino Linotype" w:eastAsia="Calibri" w:hAnsi="Palatino Linotype" w:cs="Arial"/>
          <w:sz w:val="22"/>
          <w:szCs w:val="22"/>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056B65" w:rsidRPr="00C25030" w:rsidRDefault="00056B65">
      <w:pPr>
        <w:pStyle w:val="Prrafodelista"/>
        <w:ind w:left="0"/>
        <w:rPr>
          <w:rFonts w:ascii="Palatino Linotype" w:eastAsia="Calibri" w:hAnsi="Palatino Linotype" w:cs="Arial"/>
          <w:szCs w:val="22"/>
        </w:rPr>
      </w:pPr>
    </w:p>
    <w:p w:rsidR="00056B65" w:rsidRPr="00C25030" w:rsidRDefault="00031D9D">
      <w:pPr>
        <w:numPr>
          <w:ilvl w:val="0"/>
          <w:numId w:val="3"/>
        </w:numPr>
        <w:spacing w:line="360" w:lineRule="auto"/>
        <w:ind w:left="0" w:firstLine="0"/>
        <w:contextualSpacing/>
        <w:jc w:val="both"/>
        <w:rPr>
          <w:rFonts w:ascii="Palatino Linotype" w:eastAsia="Calibri" w:hAnsi="Palatino Linotype" w:cs="Arial"/>
          <w:sz w:val="22"/>
          <w:szCs w:val="22"/>
        </w:rPr>
      </w:pPr>
      <w:r w:rsidRPr="00C25030">
        <w:rPr>
          <w:rFonts w:ascii="Palatino Linotype" w:eastAsia="Calibri" w:hAnsi="Palatino Linotype" w:cs="Arial"/>
          <w:sz w:val="22"/>
          <w:szCs w:val="22"/>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w:t>
      </w:r>
      <w:r w:rsidRPr="00C25030">
        <w:rPr>
          <w:rFonts w:ascii="Palatino Linotype" w:eastAsia="Calibri" w:hAnsi="Palatino Linotype" w:cs="Arial"/>
          <w:sz w:val="22"/>
          <w:szCs w:val="22"/>
        </w:rPr>
        <w:lastRenderedPageBreak/>
        <w:t>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056B65" w:rsidRPr="00C25030" w:rsidRDefault="00056B65">
      <w:pPr>
        <w:pStyle w:val="Prrafodelista"/>
        <w:ind w:left="0"/>
        <w:rPr>
          <w:rFonts w:ascii="Palatino Linotype" w:eastAsia="Calibri" w:hAnsi="Palatino Linotype" w:cs="Arial"/>
          <w:szCs w:val="22"/>
        </w:rPr>
      </w:pPr>
    </w:p>
    <w:p w:rsidR="00056B65" w:rsidRPr="00C25030" w:rsidRDefault="00031D9D">
      <w:pPr>
        <w:numPr>
          <w:ilvl w:val="0"/>
          <w:numId w:val="3"/>
        </w:numPr>
        <w:spacing w:line="360" w:lineRule="auto"/>
        <w:ind w:left="0" w:firstLine="0"/>
        <w:contextualSpacing/>
        <w:jc w:val="both"/>
        <w:rPr>
          <w:rFonts w:ascii="Palatino Linotype" w:eastAsia="Calibri" w:hAnsi="Palatino Linotype" w:cs="Arial"/>
          <w:sz w:val="22"/>
          <w:szCs w:val="22"/>
        </w:rPr>
      </w:pPr>
      <w:r w:rsidRPr="00C25030">
        <w:rPr>
          <w:rFonts w:ascii="Palatino Linotype" w:eastAsia="Calibri" w:hAnsi="Palatino Linotype" w:cs="Arial"/>
          <w:sz w:val="22"/>
          <w:szCs w:val="22"/>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056B65" w:rsidRPr="00C25030" w:rsidRDefault="00056B65">
      <w:pPr>
        <w:pStyle w:val="Prrafodelista"/>
        <w:ind w:left="0"/>
        <w:rPr>
          <w:rFonts w:ascii="Palatino Linotype" w:eastAsia="Calibri" w:hAnsi="Palatino Linotype" w:cs="Arial"/>
          <w:szCs w:val="22"/>
        </w:rPr>
      </w:pPr>
    </w:p>
    <w:p w:rsidR="00056B65" w:rsidRPr="00C25030" w:rsidRDefault="00031D9D">
      <w:pPr>
        <w:numPr>
          <w:ilvl w:val="0"/>
          <w:numId w:val="3"/>
        </w:numPr>
        <w:spacing w:line="360" w:lineRule="auto"/>
        <w:ind w:left="0" w:firstLine="0"/>
        <w:contextualSpacing/>
        <w:jc w:val="both"/>
        <w:rPr>
          <w:rFonts w:ascii="Palatino Linotype" w:eastAsia="Calibri" w:hAnsi="Palatino Linotype" w:cs="Arial"/>
          <w:sz w:val="22"/>
          <w:szCs w:val="22"/>
        </w:rPr>
      </w:pPr>
      <w:r w:rsidRPr="00C25030">
        <w:rPr>
          <w:rFonts w:ascii="Palatino Linotype" w:eastAsia="Calibri" w:hAnsi="Palatino Linotype" w:cs="Arial"/>
          <w:sz w:val="22"/>
          <w:szCs w:val="22"/>
        </w:rPr>
        <w:t xml:space="preserve">Por lo que el nombre del solicitando y recurrente no puede ser considerado un requisito indispensable de </w:t>
      </w:r>
      <w:proofErr w:type="spellStart"/>
      <w:r w:rsidRPr="00C25030">
        <w:rPr>
          <w:rFonts w:ascii="Palatino Linotype" w:eastAsia="Calibri" w:hAnsi="Palatino Linotype" w:cs="Arial"/>
          <w:sz w:val="22"/>
          <w:szCs w:val="22"/>
        </w:rPr>
        <w:t>procedibilidad</w:t>
      </w:r>
      <w:proofErr w:type="spellEnd"/>
      <w:r w:rsidRPr="00C25030">
        <w:rPr>
          <w:rFonts w:ascii="Palatino Linotype" w:eastAsia="Calibri" w:hAnsi="Palatino Linotype" w:cs="Arial"/>
          <w:sz w:val="22"/>
          <w:szCs w:val="22"/>
        </w:rPr>
        <w:t xml:space="preserve"> del recurso de revisión que nos ocupa, ya que el acceso a la información no está condicionado a acreditar algún interés ya sea jurídico o legítimo, máxime que es un elemento subsanable por este Órgano </w:t>
      </w:r>
      <w:proofErr w:type="spellStart"/>
      <w:r w:rsidRPr="00C25030">
        <w:rPr>
          <w:rFonts w:ascii="Palatino Linotype" w:eastAsia="Calibri" w:hAnsi="Palatino Linotype" w:cs="Arial"/>
          <w:sz w:val="22"/>
          <w:szCs w:val="22"/>
        </w:rPr>
        <w:t>Resolutor</w:t>
      </w:r>
      <w:proofErr w:type="spellEnd"/>
      <w:r w:rsidRPr="00C25030">
        <w:rPr>
          <w:rFonts w:ascii="Palatino Linotype" w:eastAsia="Calibri" w:hAnsi="Palatino Linotype" w:cs="Arial"/>
          <w:sz w:val="22"/>
          <w:szCs w:val="22"/>
        </w:rPr>
        <w:t>.</w:t>
      </w:r>
    </w:p>
    <w:p w:rsidR="00056B65" w:rsidRPr="00C25030" w:rsidRDefault="00056B65">
      <w:pPr>
        <w:tabs>
          <w:tab w:val="left" w:pos="426"/>
        </w:tabs>
        <w:spacing w:line="360" w:lineRule="auto"/>
        <w:ind w:right="49"/>
        <w:jc w:val="both"/>
        <w:rPr>
          <w:rFonts w:ascii="Palatino Linotype" w:hAnsi="Palatino Linotype" w:cs="Arial"/>
          <w:bCs/>
          <w:color w:val="000000" w:themeColor="text1"/>
          <w:sz w:val="22"/>
          <w:szCs w:val="22"/>
          <w:lang w:eastAsia="es-MX"/>
        </w:rPr>
      </w:pPr>
    </w:p>
    <w:p w:rsidR="00056B65" w:rsidRPr="00C25030" w:rsidRDefault="00031D9D">
      <w:pPr>
        <w:pStyle w:val="Prrafodelista"/>
        <w:numPr>
          <w:ilvl w:val="0"/>
          <w:numId w:val="3"/>
        </w:numPr>
        <w:tabs>
          <w:tab w:val="left" w:pos="426"/>
        </w:tabs>
        <w:spacing w:line="360" w:lineRule="auto"/>
        <w:ind w:left="0" w:right="49" w:firstLine="0"/>
        <w:jc w:val="both"/>
        <w:rPr>
          <w:rFonts w:ascii="Palatino Linotype" w:hAnsi="Palatino Linotype" w:cs="Arial"/>
          <w:bCs/>
          <w:color w:val="000000" w:themeColor="text1"/>
          <w:szCs w:val="22"/>
          <w:lang w:eastAsia="es-MX"/>
        </w:rPr>
      </w:pPr>
      <w:r w:rsidRPr="00C25030">
        <w:rPr>
          <w:rFonts w:ascii="Palatino Linotype" w:eastAsia="Calibri" w:hAnsi="Palatino Linotype" w:cs="Arial"/>
          <w:color w:val="000000" w:themeColor="text1"/>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056B65" w:rsidRPr="00C25030" w:rsidRDefault="00031D9D">
      <w:pPr>
        <w:pStyle w:val="Ttulo1"/>
        <w:rPr>
          <w:rFonts w:ascii="Palatino Linotype" w:eastAsia="MS Mincho" w:hAnsi="Palatino Linotype" w:cs="Times New Roman"/>
          <w:b/>
          <w:color w:val="auto"/>
          <w:sz w:val="22"/>
          <w:szCs w:val="22"/>
        </w:rPr>
      </w:pPr>
      <w:r w:rsidRPr="00C25030">
        <w:rPr>
          <w:rFonts w:ascii="Palatino Linotype" w:hAnsi="Palatino Linotype"/>
          <w:b/>
          <w:color w:val="auto"/>
          <w:sz w:val="22"/>
          <w:szCs w:val="22"/>
        </w:rPr>
        <w:t>TERCERO. Planteamiento de la Litis</w:t>
      </w:r>
      <w:bookmarkEnd w:id="7"/>
      <w:r w:rsidRPr="00C25030">
        <w:rPr>
          <w:rFonts w:ascii="Palatino Linotype" w:hAnsi="Palatino Linotype"/>
          <w:b/>
          <w:color w:val="auto"/>
          <w:sz w:val="22"/>
          <w:szCs w:val="22"/>
        </w:rPr>
        <w:t xml:space="preserve"> </w:t>
      </w:r>
    </w:p>
    <w:p w:rsidR="00056B65" w:rsidRPr="00C25030" w:rsidRDefault="00031D9D">
      <w:pPr>
        <w:pStyle w:val="Prrafodelista"/>
        <w:numPr>
          <w:ilvl w:val="0"/>
          <w:numId w:val="1"/>
        </w:numPr>
        <w:spacing w:before="240" w:after="240" w:line="360" w:lineRule="auto"/>
        <w:ind w:left="0" w:right="49" w:firstLine="0"/>
        <w:jc w:val="both"/>
        <w:rPr>
          <w:rFonts w:ascii="Palatino Linotype" w:hAnsi="Palatino Linotype"/>
          <w:i/>
          <w:szCs w:val="22"/>
          <w:lang w:eastAsia="es-MX"/>
        </w:rPr>
      </w:pPr>
      <w:r w:rsidRPr="00C25030">
        <w:rPr>
          <w:rFonts w:ascii="Palatino Linotype" w:hAnsi="Palatino Linotype"/>
          <w:bCs/>
          <w:szCs w:val="22"/>
        </w:rPr>
        <w:t xml:space="preserve">El recurrente solicitó los nombramientos del Secretario del Agua, sus Directores  y Coordinadores Generales realizados por la Gobernadora. </w:t>
      </w:r>
    </w:p>
    <w:p w:rsidR="00056B65" w:rsidRPr="00C25030" w:rsidRDefault="00056B65">
      <w:pPr>
        <w:pStyle w:val="Prrafodelista"/>
        <w:spacing w:before="240" w:after="240" w:line="360" w:lineRule="auto"/>
        <w:ind w:left="0" w:right="49"/>
        <w:jc w:val="both"/>
        <w:rPr>
          <w:rFonts w:ascii="Palatino Linotype" w:hAnsi="Palatino Linotype"/>
          <w:i/>
          <w:szCs w:val="22"/>
          <w:lang w:eastAsia="es-MX"/>
        </w:rPr>
      </w:pPr>
    </w:p>
    <w:p w:rsidR="00056B65" w:rsidRPr="00C25030" w:rsidRDefault="00031D9D">
      <w:pPr>
        <w:pStyle w:val="Prrafodelista"/>
        <w:numPr>
          <w:ilvl w:val="0"/>
          <w:numId w:val="3"/>
        </w:numPr>
        <w:tabs>
          <w:tab w:val="left" w:pos="284"/>
        </w:tabs>
        <w:spacing w:before="240" w:after="240" w:line="360" w:lineRule="auto"/>
        <w:ind w:left="0" w:firstLine="0"/>
        <w:jc w:val="both"/>
        <w:rPr>
          <w:rFonts w:ascii="Palatino Linotype" w:eastAsiaTheme="minorEastAsia" w:hAnsi="Palatino Linotype"/>
          <w:iCs/>
          <w:szCs w:val="22"/>
        </w:rPr>
      </w:pPr>
      <w:r w:rsidRPr="00C25030">
        <w:rPr>
          <w:rFonts w:ascii="Palatino Linotype" w:eastAsiaTheme="minorEastAsia" w:hAnsi="Palatino Linotype"/>
          <w:iCs/>
          <w:szCs w:val="22"/>
        </w:rPr>
        <w:lastRenderedPageBreak/>
        <w:t>El Sujeto Obligado se declaró incompetente para atender la solicitud, el</w:t>
      </w:r>
      <w:r w:rsidRPr="00C25030">
        <w:rPr>
          <w:rFonts w:ascii="Palatino Linotype" w:eastAsiaTheme="minorEastAsia" w:hAnsi="Palatino Linotype"/>
          <w:szCs w:val="22"/>
        </w:rPr>
        <w:t xml:space="preserve"> particular se inconformó por la declaración de incompetencia. </w:t>
      </w:r>
    </w:p>
    <w:p w:rsidR="00056B65" w:rsidRPr="00C25030" w:rsidRDefault="00031D9D">
      <w:pPr>
        <w:numPr>
          <w:ilvl w:val="0"/>
          <w:numId w:val="3"/>
        </w:numPr>
        <w:tabs>
          <w:tab w:val="left" w:pos="284"/>
        </w:tabs>
        <w:spacing w:before="240" w:after="240" w:line="360" w:lineRule="auto"/>
        <w:ind w:left="0" w:firstLine="0"/>
        <w:contextualSpacing/>
        <w:jc w:val="both"/>
        <w:rPr>
          <w:rFonts w:ascii="Palatino Linotype" w:eastAsiaTheme="minorEastAsia" w:hAnsi="Palatino Linotype"/>
          <w:i/>
          <w:sz w:val="22"/>
          <w:szCs w:val="22"/>
        </w:rPr>
      </w:pPr>
      <w:r w:rsidRPr="00C25030">
        <w:rPr>
          <w:rFonts w:ascii="Palatino Linotype" w:eastAsiaTheme="minorEastAsia" w:hAnsi="Palatino Linotype" w:cs="Arial"/>
          <w:sz w:val="22"/>
          <w:szCs w:val="22"/>
        </w:rPr>
        <w:t xml:space="preserve">Por lo tanto, el presente recurso de revisión se circunscribe en determinar si se </w:t>
      </w:r>
      <w:r w:rsidRPr="00C25030">
        <w:rPr>
          <w:rFonts w:ascii="Palatino Linotype" w:hAnsi="Palatino Linotype"/>
          <w:sz w:val="22"/>
          <w:szCs w:val="22"/>
        </w:rPr>
        <w:t>actualiza la causal de procedencia</w:t>
      </w:r>
      <w:r w:rsidRPr="00C25030">
        <w:rPr>
          <w:rFonts w:ascii="Palatino Linotype" w:hAnsi="Palatino Linotype"/>
          <w:b/>
          <w:sz w:val="22"/>
          <w:szCs w:val="22"/>
        </w:rPr>
        <w:t xml:space="preserve"> </w:t>
      </w:r>
      <w:r w:rsidRPr="00C25030">
        <w:rPr>
          <w:rFonts w:ascii="Palatino Linotype" w:hAnsi="Palatino Linotype" w:cs="Arial"/>
          <w:sz w:val="22"/>
          <w:szCs w:val="22"/>
          <w:lang w:eastAsia="es-MX"/>
        </w:rPr>
        <w:t xml:space="preserve">contenida en </w:t>
      </w:r>
      <w:r w:rsidRPr="00C25030">
        <w:rPr>
          <w:rFonts w:ascii="Palatino Linotype" w:hAnsi="Palatino Linotype" w:cs="Arial"/>
          <w:sz w:val="22"/>
          <w:szCs w:val="22"/>
          <w:lang w:val="es-ES" w:eastAsia="es-MX"/>
        </w:rPr>
        <w:t xml:space="preserve">el artículo 179 fracción  I, relativo a la negativa de la información, de la </w:t>
      </w:r>
      <w:r w:rsidRPr="00C25030">
        <w:rPr>
          <w:rFonts w:ascii="Palatino Linotype" w:eastAsia="Calibri" w:hAnsi="Palatino Linotype" w:cs="Arial"/>
          <w:b/>
          <w:sz w:val="22"/>
          <w:szCs w:val="22"/>
          <w:lang w:val="es-ES"/>
        </w:rPr>
        <w:t>Ley de Transparencia y Acceso a la Información Pública del Estado de México y Municipios</w:t>
      </w:r>
      <w:r w:rsidRPr="00C25030">
        <w:rPr>
          <w:rFonts w:ascii="Palatino Linotype" w:hAnsi="Palatino Linotype" w:cs="Arial"/>
          <w:sz w:val="22"/>
          <w:szCs w:val="22"/>
          <w:lang w:val="es-ES" w:eastAsia="es-MX"/>
        </w:rPr>
        <w:t>.</w:t>
      </w:r>
    </w:p>
    <w:p w:rsidR="00056B65" w:rsidRPr="00C25030" w:rsidRDefault="00056B65">
      <w:pPr>
        <w:tabs>
          <w:tab w:val="left" w:pos="426"/>
        </w:tabs>
        <w:spacing w:line="360" w:lineRule="auto"/>
        <w:ind w:left="567" w:right="616"/>
        <w:jc w:val="both"/>
        <w:rPr>
          <w:rFonts w:ascii="Palatino Linotype" w:hAnsi="Palatino Linotype" w:cs="Arial"/>
          <w:i/>
          <w:iCs/>
          <w:color w:val="000000" w:themeColor="text1"/>
          <w:sz w:val="22"/>
          <w:szCs w:val="22"/>
        </w:rPr>
      </w:pPr>
    </w:p>
    <w:p w:rsidR="00056B65" w:rsidRPr="00C25030" w:rsidRDefault="00031D9D">
      <w:pPr>
        <w:pStyle w:val="Ttulo2"/>
        <w:tabs>
          <w:tab w:val="left" w:pos="426"/>
        </w:tabs>
        <w:rPr>
          <w:rFonts w:ascii="Palatino Linotype" w:hAnsi="Palatino Linotype" w:cs="Arial"/>
          <w:b/>
          <w:color w:val="000000" w:themeColor="text1"/>
          <w:sz w:val="22"/>
          <w:szCs w:val="22"/>
        </w:rPr>
      </w:pPr>
      <w:bookmarkStart w:id="8" w:name="_Toc87456489"/>
      <w:bookmarkStart w:id="9" w:name="_Toc34911390"/>
      <w:r w:rsidRPr="00C25030">
        <w:rPr>
          <w:rFonts w:ascii="Palatino Linotype" w:hAnsi="Palatino Linotype" w:cs="Arial"/>
          <w:b/>
          <w:color w:val="000000" w:themeColor="text1"/>
          <w:sz w:val="22"/>
          <w:szCs w:val="22"/>
        </w:rPr>
        <w:t>CUARTO. Estudio y Resolución del asunto.</w:t>
      </w:r>
      <w:bookmarkEnd w:id="8"/>
    </w:p>
    <w:p w:rsidR="00056B65" w:rsidRPr="00C25030" w:rsidRDefault="00056B65">
      <w:pPr>
        <w:pStyle w:val="Prrafodelista"/>
        <w:spacing w:line="360" w:lineRule="auto"/>
        <w:ind w:left="0"/>
        <w:jc w:val="both"/>
        <w:rPr>
          <w:rFonts w:ascii="Palatino Linotype" w:eastAsia="MS Mincho" w:hAnsi="Palatino Linotype"/>
          <w:szCs w:val="22"/>
        </w:rPr>
      </w:pPr>
    </w:p>
    <w:p w:rsidR="00056B65" w:rsidRPr="00C25030" w:rsidRDefault="00031D9D">
      <w:pPr>
        <w:pStyle w:val="Prrafodelista"/>
        <w:numPr>
          <w:ilvl w:val="0"/>
          <w:numId w:val="3"/>
        </w:numPr>
        <w:spacing w:line="360" w:lineRule="auto"/>
        <w:ind w:left="0" w:firstLine="0"/>
        <w:jc w:val="both"/>
        <w:rPr>
          <w:rFonts w:ascii="Palatino Linotype" w:eastAsia="Calibri" w:hAnsi="Palatino Linotype" w:cs="Arial"/>
        </w:rPr>
      </w:pPr>
      <w:r w:rsidRPr="00C25030">
        <w:rPr>
          <w:rFonts w:ascii="Palatino Linotype" w:eastAsia="Calibri" w:hAnsi="Palatino Linotype" w:cs="Arial"/>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056B65" w:rsidRPr="00C25030" w:rsidRDefault="00056B65">
      <w:pPr>
        <w:pStyle w:val="Prrafodelista"/>
        <w:tabs>
          <w:tab w:val="left" w:pos="567"/>
        </w:tabs>
        <w:spacing w:line="360" w:lineRule="auto"/>
        <w:ind w:left="0"/>
        <w:jc w:val="both"/>
        <w:rPr>
          <w:rFonts w:ascii="Palatino Linotype" w:eastAsia="Calibri" w:hAnsi="Palatino Linotype" w:cs="Arial"/>
          <w:szCs w:val="22"/>
        </w:rPr>
      </w:pPr>
    </w:p>
    <w:p w:rsidR="00056B65" w:rsidRPr="00C25030" w:rsidRDefault="00031D9D">
      <w:pPr>
        <w:pStyle w:val="Prrafodelista"/>
        <w:numPr>
          <w:ilvl w:val="0"/>
          <w:numId w:val="3"/>
        </w:numPr>
        <w:tabs>
          <w:tab w:val="left" w:pos="567"/>
        </w:tabs>
        <w:spacing w:line="360" w:lineRule="auto"/>
        <w:ind w:left="0" w:firstLine="0"/>
        <w:jc w:val="both"/>
        <w:rPr>
          <w:rFonts w:ascii="Palatino Linotype" w:hAnsi="Palatino Linotype"/>
          <w:bCs/>
          <w:i/>
          <w:szCs w:val="22"/>
        </w:rPr>
      </w:pPr>
      <w:r w:rsidRPr="00C25030">
        <w:rPr>
          <w:rFonts w:ascii="Palatino Linotype" w:eastAsia="Calibri" w:hAnsi="Palatino Linotype" w:cs="Arial"/>
          <w:szCs w:val="22"/>
        </w:rPr>
        <w:t xml:space="preserve">El Particular solicitó </w:t>
      </w:r>
      <w:r w:rsidRPr="00C25030">
        <w:rPr>
          <w:rFonts w:ascii="Palatino Linotype" w:hAnsi="Palatino Linotype"/>
          <w:bCs/>
          <w:szCs w:val="22"/>
        </w:rPr>
        <w:t xml:space="preserve">los nombramientos del Secretario del Agua, sus Directores  y Coordinadores Generales realizados por la Gobernadora. </w:t>
      </w:r>
      <w:r w:rsidRPr="00C25030">
        <w:rPr>
          <w:rFonts w:ascii="Palatino Linotype" w:eastAsia="Calibri" w:hAnsi="Palatino Linotype" w:cs="Arial"/>
          <w:szCs w:val="22"/>
        </w:rPr>
        <w:t xml:space="preserve">El Sujeto Obligado tanto en respuesta como en informe justificado se declaró incompetente para generar, administrar o poseer la información requerida por el particular, orientando al mismo, para que formule una nueva solicitud ante Oficialía Mayor. </w:t>
      </w:r>
    </w:p>
    <w:p w:rsidR="00056B65" w:rsidRPr="00C25030" w:rsidRDefault="00056B65">
      <w:pPr>
        <w:pStyle w:val="Prrafodelista"/>
        <w:tabs>
          <w:tab w:val="left" w:pos="567"/>
        </w:tabs>
        <w:spacing w:line="360" w:lineRule="auto"/>
        <w:ind w:left="0"/>
        <w:jc w:val="both"/>
        <w:rPr>
          <w:rFonts w:ascii="Palatino Linotype" w:eastAsia="Calibri" w:hAnsi="Palatino Linotype" w:cs="Arial"/>
          <w:szCs w:val="22"/>
        </w:rPr>
      </w:pPr>
    </w:p>
    <w:p w:rsidR="00056B65" w:rsidRPr="00C25030" w:rsidRDefault="00031D9D">
      <w:pPr>
        <w:pStyle w:val="Prrafodelista"/>
        <w:numPr>
          <w:ilvl w:val="0"/>
          <w:numId w:val="3"/>
        </w:numPr>
        <w:tabs>
          <w:tab w:val="left" w:pos="426"/>
        </w:tabs>
        <w:spacing w:line="360" w:lineRule="auto"/>
        <w:ind w:left="0" w:right="49" w:firstLine="0"/>
        <w:jc w:val="both"/>
        <w:rPr>
          <w:rFonts w:ascii="Palatino Linotype" w:hAnsi="Palatino Linotype" w:cs="Arial"/>
          <w:color w:val="000000" w:themeColor="text1"/>
          <w:szCs w:val="22"/>
        </w:rPr>
      </w:pPr>
      <w:r w:rsidRPr="00C25030">
        <w:rPr>
          <w:rFonts w:ascii="Palatino Linotype" w:eastAsia="MS Mincho" w:hAnsi="Palatino Linotype"/>
          <w:szCs w:val="22"/>
        </w:rPr>
        <w:lastRenderedPageBreak/>
        <w:t xml:space="preserve">En ese sentido, es necesario mencionar que el acceso a la información es un derecho humano constitucional y convencionalmente reconocido y para tal efecto </w:t>
      </w:r>
      <w:r w:rsidRPr="00C25030">
        <w:rPr>
          <w:rFonts w:ascii="Palatino Linotype" w:eastAsia="Calibri" w:hAnsi="Palatino Linotype"/>
          <w:szCs w:val="22"/>
          <w:lang w:val="es-ES"/>
        </w:rPr>
        <w:t xml:space="preserve">el párrafo tercero del artículo primero de la Constitución Política de los Estados Unidos Mexicanos establece que el deber de todas las autoridades, </w:t>
      </w:r>
      <w:r w:rsidRPr="00C25030">
        <w:rPr>
          <w:rFonts w:ascii="Palatino Linotype" w:eastAsia="Calibri" w:hAnsi="Palatino Linotype"/>
          <w:i/>
          <w:szCs w:val="22"/>
          <w:lang w:val="es-ES"/>
        </w:rPr>
        <w:t xml:space="preserve">en el ámbito de sus atribuciones, de promover, respetar, proteger y </w:t>
      </w:r>
      <w:r w:rsidRPr="00C25030">
        <w:rPr>
          <w:rFonts w:ascii="Palatino Linotype" w:eastAsia="Calibri" w:hAnsi="Palatino Linotype"/>
          <w:b/>
          <w:i/>
          <w:szCs w:val="22"/>
          <w:lang w:val="es-ES"/>
        </w:rPr>
        <w:t>garantizar</w:t>
      </w:r>
      <w:r w:rsidRPr="00C25030">
        <w:rPr>
          <w:rFonts w:ascii="Palatino Linotype" w:eastAsia="Calibri" w:hAnsi="Palatino Linotype"/>
          <w:i/>
          <w:szCs w:val="22"/>
          <w:lang w:val="es-ES"/>
        </w:rPr>
        <w:t xml:space="preserve"> los derechos humanos. </w:t>
      </w:r>
      <w:r w:rsidRPr="00C25030">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C25030">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C25030">
        <w:rPr>
          <w:rStyle w:val="Refdenotaalpie"/>
          <w:rFonts w:ascii="Palatino Linotype" w:hAnsi="Palatino Linotype"/>
          <w:i/>
          <w:szCs w:val="22"/>
        </w:rPr>
        <w:footnoteReference w:id="1"/>
      </w:r>
      <w:r w:rsidRPr="00C25030">
        <w:rPr>
          <w:rFonts w:ascii="Palatino Linotype" w:hAnsi="Palatino Linotype"/>
          <w:i/>
          <w:szCs w:val="22"/>
        </w:rPr>
        <w:t xml:space="preserve">, </w:t>
      </w:r>
      <w:r w:rsidRPr="00C25030">
        <w:rPr>
          <w:rFonts w:ascii="Palatino Linotype" w:hAnsi="Palatino Linotype"/>
          <w:szCs w:val="22"/>
        </w:rPr>
        <w:t>asimismo establece</w:t>
      </w:r>
      <w:r w:rsidRPr="00C25030">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056B65" w:rsidRPr="00C25030" w:rsidRDefault="00056B65">
      <w:pPr>
        <w:pStyle w:val="Prrafodelista"/>
        <w:rPr>
          <w:rFonts w:ascii="Palatino Linotype" w:eastAsia="Calibri" w:hAnsi="Palatino Linotype" w:cs="Arial"/>
          <w:szCs w:val="22"/>
        </w:rPr>
      </w:pPr>
    </w:p>
    <w:p w:rsidR="00056B65" w:rsidRPr="00C25030" w:rsidRDefault="00031D9D">
      <w:pPr>
        <w:pStyle w:val="Prrafodelista"/>
        <w:numPr>
          <w:ilvl w:val="0"/>
          <w:numId w:val="3"/>
        </w:numPr>
        <w:spacing w:line="360" w:lineRule="auto"/>
        <w:ind w:left="0" w:firstLine="0"/>
        <w:jc w:val="both"/>
        <w:rPr>
          <w:rFonts w:ascii="Palatino Linotype" w:eastAsia="Calibri" w:hAnsi="Palatino Linotype" w:cs="Arial"/>
          <w:szCs w:val="22"/>
        </w:rPr>
      </w:pPr>
      <w:r w:rsidRPr="00C25030">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056B65" w:rsidRPr="00C25030" w:rsidRDefault="00056B65">
      <w:pPr>
        <w:pStyle w:val="Prrafodelista"/>
        <w:rPr>
          <w:rFonts w:ascii="Palatino Linotype" w:hAnsi="Palatino Linotype"/>
          <w:szCs w:val="22"/>
        </w:rPr>
      </w:pPr>
    </w:p>
    <w:p w:rsidR="00056B65" w:rsidRPr="00C25030" w:rsidRDefault="00031D9D">
      <w:pPr>
        <w:pStyle w:val="Prrafodelista"/>
        <w:numPr>
          <w:ilvl w:val="0"/>
          <w:numId w:val="3"/>
        </w:numPr>
        <w:spacing w:line="360" w:lineRule="auto"/>
        <w:ind w:left="0" w:firstLine="0"/>
        <w:jc w:val="both"/>
        <w:rPr>
          <w:rFonts w:ascii="Palatino Linotype" w:eastAsia="Calibri" w:hAnsi="Palatino Linotype" w:cs="Arial"/>
          <w:szCs w:val="22"/>
        </w:rPr>
      </w:pPr>
      <w:r w:rsidRPr="00C25030">
        <w:rPr>
          <w:rFonts w:ascii="Palatino Linotype" w:hAnsi="Palatino Linotype"/>
          <w:szCs w:val="22"/>
        </w:rPr>
        <w:lastRenderedPageBreak/>
        <w:t xml:space="preserve">Es así que, su obligación es </w:t>
      </w:r>
      <w:r w:rsidRPr="00C25030">
        <w:rPr>
          <w:rFonts w:ascii="Palatino Linotype" w:hAnsi="Palatino Linotype"/>
          <w:i/>
          <w:szCs w:val="22"/>
        </w:rPr>
        <w:t>realizar, con efectividad, los trámites internos necesarios para la atención de las solicitudes de información</w:t>
      </w:r>
      <w:r w:rsidRPr="00C25030">
        <w:rPr>
          <w:rStyle w:val="Refdenotaalpie"/>
          <w:rFonts w:ascii="Palatino Linotype" w:hAnsi="Palatino Linotype"/>
          <w:szCs w:val="22"/>
        </w:rPr>
        <w:footnoteReference w:id="2"/>
      </w:r>
      <w:r w:rsidRPr="00C25030">
        <w:rPr>
          <w:rFonts w:ascii="Palatino Linotype" w:hAnsi="Palatino Linotype"/>
          <w:szCs w:val="22"/>
        </w:rPr>
        <w:t>, es decir, deben otorgar respuestas concisas, contundentes y sobre todo que den la certeza de los actos que realizan.</w:t>
      </w:r>
    </w:p>
    <w:p w:rsidR="00056B65" w:rsidRPr="00C25030" w:rsidRDefault="00056B65">
      <w:pPr>
        <w:pStyle w:val="Prrafodelista"/>
        <w:spacing w:line="360" w:lineRule="auto"/>
        <w:ind w:left="0"/>
        <w:jc w:val="both"/>
        <w:rPr>
          <w:rFonts w:ascii="Palatino Linotype" w:eastAsia="Calibri" w:hAnsi="Palatino Linotype" w:cs="Arial"/>
          <w:szCs w:val="22"/>
        </w:rPr>
      </w:pPr>
    </w:p>
    <w:p w:rsidR="00056B65" w:rsidRPr="00C25030" w:rsidRDefault="00031D9D">
      <w:pPr>
        <w:pStyle w:val="Prrafodelista"/>
        <w:numPr>
          <w:ilvl w:val="0"/>
          <w:numId w:val="3"/>
        </w:numPr>
        <w:spacing w:line="360" w:lineRule="auto"/>
        <w:ind w:left="0" w:firstLine="0"/>
        <w:jc w:val="both"/>
        <w:rPr>
          <w:rFonts w:ascii="Palatino Linotype" w:eastAsia="Calibri" w:hAnsi="Palatino Linotype" w:cs="Arial"/>
          <w:szCs w:val="22"/>
        </w:rPr>
      </w:pPr>
      <w:r w:rsidRPr="00C25030">
        <w:rPr>
          <w:rFonts w:ascii="Palatino Linotype" w:hAnsi="Palatino Linotype" w:cs="Arial"/>
          <w:bCs/>
          <w:szCs w:val="22"/>
        </w:rPr>
        <w:t>Dicho lo anterior, es necesario traer a colación el artículo 167 de la Ley de Transparencia y Acceso a la Información Pública del Estado de México y Municipios, el cual establece lo siguiente:</w:t>
      </w:r>
    </w:p>
    <w:p w:rsidR="00056B65" w:rsidRPr="00C25030" w:rsidRDefault="00056B65">
      <w:pPr>
        <w:pStyle w:val="Prrafodelista"/>
        <w:spacing w:line="360" w:lineRule="auto"/>
        <w:ind w:left="0"/>
        <w:jc w:val="both"/>
        <w:rPr>
          <w:rFonts w:ascii="Palatino Linotype" w:eastAsia="Calibri" w:hAnsi="Palatino Linotype" w:cs="Arial"/>
          <w:szCs w:val="22"/>
        </w:rPr>
      </w:pPr>
    </w:p>
    <w:p w:rsidR="00056B65" w:rsidRPr="00C25030" w:rsidRDefault="00031D9D">
      <w:pPr>
        <w:autoSpaceDE w:val="0"/>
        <w:autoSpaceDN w:val="0"/>
        <w:adjustRightInd w:val="0"/>
        <w:spacing w:line="360" w:lineRule="auto"/>
        <w:ind w:left="567" w:right="567"/>
        <w:jc w:val="both"/>
        <w:rPr>
          <w:rFonts w:ascii="Palatino Linotype" w:hAnsi="Palatino Linotype" w:cs="Bookman Old Style"/>
          <w:i/>
          <w:sz w:val="22"/>
          <w:szCs w:val="22"/>
        </w:rPr>
      </w:pPr>
      <w:r w:rsidRPr="00C25030">
        <w:rPr>
          <w:rFonts w:ascii="Palatino Linotype" w:hAnsi="Palatino Linotype" w:cs="Bookman Old Style,Bold"/>
          <w:b/>
          <w:bCs/>
          <w:i/>
          <w:sz w:val="22"/>
          <w:szCs w:val="22"/>
        </w:rPr>
        <w:t xml:space="preserve">Artículo 167. </w:t>
      </w:r>
      <w:r w:rsidRPr="00C25030">
        <w:rPr>
          <w:rFonts w:ascii="Palatino Linotype" w:hAnsi="Palatino Linotype" w:cs="Bookman Old Style"/>
          <w:i/>
          <w:sz w:val="22"/>
          <w:szCs w:val="22"/>
        </w:rPr>
        <w:t xml:space="preserve">Cuando las </w:t>
      </w:r>
      <w:r w:rsidRPr="00C25030">
        <w:rPr>
          <w:rFonts w:ascii="Palatino Linotype" w:hAnsi="Palatino Linotype" w:cs="Bookman Old Style"/>
          <w:b/>
          <w:i/>
          <w:sz w:val="22"/>
          <w:szCs w:val="22"/>
        </w:rPr>
        <w:t>unidades de transparencia determinen la notoria incompetencia por parte de los sujetos obligado</w:t>
      </w:r>
      <w:r w:rsidRPr="00C25030">
        <w:rPr>
          <w:rFonts w:ascii="Palatino Linotype" w:hAnsi="Palatino Linotype" w:cs="Bookman Old Style"/>
          <w:i/>
          <w:sz w:val="22"/>
          <w:szCs w:val="22"/>
        </w:rPr>
        <w:t xml:space="preserve">s, dentro del ámbito de aplicación, para atender la solicitud de acceso a la información, deberán comunicarlo al solicitante, dentro de los </w:t>
      </w:r>
      <w:r w:rsidRPr="00C25030">
        <w:rPr>
          <w:rFonts w:ascii="Palatino Linotype" w:hAnsi="Palatino Linotype" w:cs="Bookman Old Style"/>
          <w:b/>
          <w:i/>
          <w:sz w:val="22"/>
          <w:szCs w:val="22"/>
        </w:rPr>
        <w:t>tres días hábiles posteriores a la recepción de la solicitud</w:t>
      </w:r>
      <w:r w:rsidRPr="00C25030">
        <w:rPr>
          <w:rFonts w:ascii="Palatino Linotype" w:hAnsi="Palatino Linotype" w:cs="Bookman Old Style"/>
          <w:i/>
          <w:sz w:val="22"/>
          <w:szCs w:val="22"/>
        </w:rPr>
        <w:t xml:space="preserve"> y, en su caso orientar al solicitante, el o los sujetos obligados competentes. </w:t>
      </w:r>
    </w:p>
    <w:p w:rsidR="00056B65" w:rsidRPr="00C25030" w:rsidRDefault="00056B65">
      <w:pPr>
        <w:pStyle w:val="Prrafodelista"/>
        <w:spacing w:line="360" w:lineRule="auto"/>
        <w:ind w:left="0"/>
        <w:jc w:val="both"/>
        <w:rPr>
          <w:rFonts w:ascii="Palatino Linotype" w:eastAsia="Calibri" w:hAnsi="Palatino Linotype" w:cs="Arial"/>
          <w:szCs w:val="22"/>
        </w:rPr>
      </w:pPr>
    </w:p>
    <w:p w:rsidR="00056B65" w:rsidRPr="00C25030" w:rsidRDefault="00031D9D">
      <w:pPr>
        <w:pStyle w:val="Prrafodelista"/>
        <w:numPr>
          <w:ilvl w:val="0"/>
          <w:numId w:val="3"/>
        </w:numPr>
        <w:spacing w:before="100" w:beforeAutospacing="1" w:after="100" w:afterAutospacing="1" w:line="360" w:lineRule="auto"/>
        <w:ind w:left="0" w:firstLine="0"/>
        <w:jc w:val="both"/>
        <w:rPr>
          <w:rFonts w:ascii="Palatino Linotype" w:eastAsia="Calibri" w:hAnsi="Palatino Linotype" w:cs="Arial"/>
          <w:szCs w:val="22"/>
        </w:rPr>
      </w:pPr>
      <w:r w:rsidRPr="00C25030">
        <w:rPr>
          <w:rFonts w:ascii="Palatino Linotype" w:eastAsia="Calibri" w:hAnsi="Palatino Linotype" w:cs="Arial"/>
          <w:szCs w:val="22"/>
        </w:rPr>
        <w:t xml:space="preserve">Tal y como se aprecia, los Sujetos Obligados al detectar qué una solicitud de acceso a la información </w:t>
      </w:r>
      <w:r w:rsidRPr="00C25030">
        <w:rPr>
          <w:rFonts w:ascii="Palatino Linotype" w:eastAsia="Calibri" w:hAnsi="Palatino Linotype" w:cs="Arial"/>
          <w:b/>
          <w:szCs w:val="22"/>
        </w:rPr>
        <w:t>NO</w:t>
      </w:r>
      <w:r w:rsidRPr="00C25030">
        <w:rPr>
          <w:rFonts w:ascii="Palatino Linotype" w:eastAsia="Calibri" w:hAnsi="Palatino Linotype" w:cs="Arial"/>
          <w:szCs w:val="22"/>
        </w:rPr>
        <w:t xml:space="preserve"> es de su competencia, dentro de los 3 días posteriores a su recepción, deberán de comunicar tal situación al recurrente y, en su caso orientarlo al Sujeto Obligado correspondiente.</w:t>
      </w:r>
    </w:p>
    <w:p w:rsidR="00056B65" w:rsidRPr="00C25030" w:rsidRDefault="00056B65">
      <w:pPr>
        <w:pStyle w:val="Prrafodelista"/>
        <w:spacing w:before="100" w:beforeAutospacing="1" w:after="100" w:afterAutospacing="1" w:line="360" w:lineRule="auto"/>
        <w:ind w:left="0"/>
        <w:jc w:val="both"/>
        <w:rPr>
          <w:rFonts w:ascii="Palatino Linotype" w:eastAsia="Calibri" w:hAnsi="Palatino Linotype" w:cs="Arial"/>
          <w:szCs w:val="22"/>
        </w:rPr>
      </w:pPr>
    </w:p>
    <w:p w:rsidR="00056B65" w:rsidRPr="00C25030" w:rsidRDefault="00031D9D">
      <w:pPr>
        <w:pStyle w:val="Prrafodelista"/>
        <w:numPr>
          <w:ilvl w:val="0"/>
          <w:numId w:val="3"/>
        </w:numPr>
        <w:spacing w:before="100" w:beforeAutospacing="1" w:after="100" w:afterAutospacing="1" w:line="360" w:lineRule="auto"/>
        <w:ind w:left="0" w:firstLine="0"/>
        <w:jc w:val="both"/>
        <w:rPr>
          <w:rFonts w:ascii="Palatino Linotype" w:eastAsia="Calibri" w:hAnsi="Palatino Linotype" w:cs="Arial"/>
          <w:szCs w:val="22"/>
        </w:rPr>
      </w:pPr>
      <w:r w:rsidRPr="00C25030">
        <w:rPr>
          <w:rFonts w:ascii="Palatino Linotype" w:eastAsia="Calibri" w:hAnsi="Palatino Linotype" w:cs="Arial"/>
          <w:szCs w:val="22"/>
        </w:rPr>
        <w:t xml:space="preserve">En el presente asunto en particular, la solicitud se presentó el día veintiuno (21) de agosto de dos mil veinticuatro, por lo que el plazo que refiere el artículo 167 antes citado, transcurrió del veintidós (22) al veintiséis (26) de agosto de la misma anualidad. Por su parte </w:t>
      </w:r>
      <w:r w:rsidRPr="00C25030">
        <w:rPr>
          <w:rFonts w:ascii="Palatino Linotype" w:eastAsia="Calibri" w:hAnsi="Palatino Linotype" w:cs="Arial"/>
          <w:szCs w:val="22"/>
        </w:rPr>
        <w:lastRenderedPageBreak/>
        <w:t>el Sujeto Obligado, declaró incompetencia total, el veintiséis (26) de agosto de dos mil veinticuatro, es decir, dentro del plazo establecido por la Ley; en consecuencia, se determina que el Sujeto Obligado actuó en tiempo conforme al contenido del precepto legal citado.</w:t>
      </w:r>
    </w:p>
    <w:p w:rsidR="00056B65" w:rsidRPr="00C25030" w:rsidRDefault="00056B65">
      <w:pPr>
        <w:pStyle w:val="Prrafodelista"/>
        <w:rPr>
          <w:rFonts w:ascii="Palatino Linotype" w:eastAsia="Calibri" w:hAnsi="Palatino Linotype" w:cs="Arial"/>
          <w:szCs w:val="22"/>
        </w:rPr>
      </w:pPr>
    </w:p>
    <w:p w:rsidR="00056B65" w:rsidRPr="00C25030" w:rsidRDefault="00031D9D">
      <w:pPr>
        <w:pStyle w:val="Prrafodelista"/>
        <w:numPr>
          <w:ilvl w:val="0"/>
          <w:numId w:val="3"/>
        </w:numPr>
        <w:spacing w:before="100" w:beforeAutospacing="1" w:after="100" w:afterAutospacing="1" w:line="360" w:lineRule="auto"/>
        <w:ind w:left="0" w:firstLine="0"/>
        <w:jc w:val="both"/>
        <w:rPr>
          <w:rFonts w:ascii="Palatino Linotype" w:eastAsia="Calibri" w:hAnsi="Palatino Linotype" w:cs="Arial"/>
          <w:szCs w:val="22"/>
        </w:rPr>
      </w:pPr>
      <w:r w:rsidRPr="00C25030">
        <w:rPr>
          <w:rFonts w:ascii="Palatino Linotype" w:eastAsia="Calibri" w:hAnsi="Palatino Linotype" w:cs="Arial"/>
          <w:szCs w:val="22"/>
        </w:rPr>
        <w:t xml:space="preserve">Ahora bien, de acuerdo a la establecido en el artículo de la Ley Orgánica de la Administración Pública del Estado de México, señala que para el despacho de los asuntos de su competencia, la persona titular del Poder Ejecutivo del Estado se auxiliará de las dependencias, unidades administrativas y organismos auxiliares que señalen la Constitución, esta Ley, el Presupuesto de Egresos y las demás disposiciones jurídicas vigentes en el Estado. </w:t>
      </w:r>
    </w:p>
    <w:p w:rsidR="00056B65" w:rsidRPr="00C25030" w:rsidRDefault="00056B65">
      <w:pPr>
        <w:pStyle w:val="Prrafodelista"/>
        <w:rPr>
          <w:rFonts w:ascii="Palatino Linotype" w:eastAsia="Calibri" w:hAnsi="Palatino Linotype" w:cs="Arial"/>
          <w:szCs w:val="22"/>
        </w:rPr>
      </w:pPr>
    </w:p>
    <w:p w:rsidR="00056B65" w:rsidRPr="00C25030" w:rsidRDefault="00031D9D">
      <w:pPr>
        <w:pStyle w:val="Prrafodelista"/>
        <w:numPr>
          <w:ilvl w:val="0"/>
          <w:numId w:val="3"/>
        </w:numPr>
        <w:spacing w:before="100" w:beforeAutospacing="1" w:after="100" w:afterAutospacing="1" w:line="360" w:lineRule="auto"/>
        <w:ind w:left="0" w:firstLine="0"/>
        <w:jc w:val="both"/>
        <w:rPr>
          <w:rFonts w:ascii="Palatino Linotype" w:eastAsia="Calibri" w:hAnsi="Palatino Linotype" w:cs="Arial"/>
          <w:szCs w:val="22"/>
        </w:rPr>
      </w:pPr>
      <w:r w:rsidRPr="00C25030">
        <w:rPr>
          <w:rFonts w:ascii="Palatino Linotype" w:eastAsia="Calibri" w:hAnsi="Palatino Linotype" w:cs="Arial"/>
          <w:szCs w:val="22"/>
        </w:rPr>
        <w:t xml:space="preserve">Por su parte, el artículo 50 de la normatividad señalada en el párrafo anterior, establece que la Secretaría del Agua es la dependencia encargada de planear, formular, conducir, coordinar, ejecutar, supervisar y evaluar las políticas, programas y acciones relacionadas con los recursos hídricos del Estado, así como los servicios y obras que se requieran para su explotación, uso, aprovechamiento, administración, control y suministro, al igual que su tratamiento, reúso y disposición final en el Estado. </w:t>
      </w:r>
    </w:p>
    <w:p w:rsidR="00056B65" w:rsidRPr="00C25030" w:rsidRDefault="00056B65">
      <w:pPr>
        <w:pStyle w:val="Prrafodelista"/>
        <w:rPr>
          <w:rFonts w:ascii="Palatino Linotype" w:eastAsia="Calibri" w:hAnsi="Palatino Linotype" w:cs="Arial"/>
          <w:szCs w:val="22"/>
        </w:rPr>
      </w:pPr>
    </w:p>
    <w:p w:rsidR="00056B65" w:rsidRPr="00C25030" w:rsidRDefault="00031D9D">
      <w:pPr>
        <w:pStyle w:val="Prrafodelista"/>
        <w:numPr>
          <w:ilvl w:val="0"/>
          <w:numId w:val="3"/>
        </w:numPr>
        <w:spacing w:before="100" w:beforeAutospacing="1" w:after="100" w:afterAutospacing="1" w:line="360" w:lineRule="auto"/>
        <w:ind w:left="0" w:firstLine="0"/>
        <w:jc w:val="both"/>
        <w:rPr>
          <w:rFonts w:ascii="Palatino Linotype" w:eastAsia="Calibri" w:hAnsi="Palatino Linotype" w:cs="Arial"/>
          <w:szCs w:val="22"/>
        </w:rPr>
      </w:pPr>
      <w:r w:rsidRPr="00C25030">
        <w:rPr>
          <w:rFonts w:ascii="Palatino Linotype" w:eastAsia="Calibri" w:hAnsi="Palatino Linotype" w:cs="Arial"/>
          <w:szCs w:val="22"/>
        </w:rPr>
        <w:t xml:space="preserve">El artículo 58 y 59 fracción XVI de la Ley Orgánica ya referida, establece que la Oficialía Mayor es la encargada de planear, organizar, normar y dirigir la administración y desarrollo de los recursos humanos, materiales y servicios para el apoyo administrativo y tecnológico que requieran las dependencias del Poder Ejecutivo del Estado, y tiene entre sus atribuciones gestionar los nombramientos de las personas servidoras públicas del Poder Ejecutivo del Estado, y en su caso de sus organismos auxiliares. </w:t>
      </w:r>
    </w:p>
    <w:p w:rsidR="00056B65" w:rsidRPr="00C25030" w:rsidRDefault="00056B65">
      <w:pPr>
        <w:pStyle w:val="Prrafodelista"/>
        <w:rPr>
          <w:rFonts w:ascii="Palatino Linotype" w:eastAsia="Calibri" w:hAnsi="Palatino Linotype" w:cs="Arial"/>
          <w:szCs w:val="22"/>
        </w:rPr>
      </w:pPr>
    </w:p>
    <w:p w:rsidR="00056B65" w:rsidRPr="00C25030" w:rsidRDefault="00031D9D">
      <w:pPr>
        <w:pStyle w:val="Prrafodelista"/>
        <w:numPr>
          <w:ilvl w:val="0"/>
          <w:numId w:val="3"/>
        </w:numPr>
        <w:spacing w:before="100" w:beforeAutospacing="1" w:after="100" w:afterAutospacing="1" w:line="360" w:lineRule="auto"/>
        <w:ind w:left="0" w:firstLine="0"/>
        <w:jc w:val="both"/>
        <w:rPr>
          <w:rFonts w:ascii="Palatino Linotype" w:eastAsia="Calibri" w:hAnsi="Palatino Linotype" w:cs="Arial"/>
          <w:szCs w:val="22"/>
        </w:rPr>
      </w:pPr>
      <w:r w:rsidRPr="00C25030">
        <w:rPr>
          <w:rFonts w:ascii="Palatino Linotype" w:eastAsia="Calibri" w:hAnsi="Palatino Linotype" w:cs="Arial"/>
          <w:szCs w:val="22"/>
        </w:rPr>
        <w:lastRenderedPageBreak/>
        <w:t xml:space="preserve">Por su parte,  el artículo 7 fracción III y XII del Reglamento Interior de la Secretaría del Agua establece que corresponde a la persona titular de la Secretaría del Agua proponer a la Oficialía Mayor la estructura de organización de la Secretaría y proponer a la persona titular del Poder Ejecutivo Estatal los nombramientos de las personas titulares de las unidades administrativas de mando superior adscritas a la dependencia. </w:t>
      </w:r>
    </w:p>
    <w:p w:rsidR="00056B65" w:rsidRPr="00C25030" w:rsidRDefault="00056B65">
      <w:pPr>
        <w:pStyle w:val="Prrafodelista"/>
        <w:spacing w:before="100" w:beforeAutospacing="1" w:after="100" w:afterAutospacing="1" w:line="360" w:lineRule="auto"/>
        <w:ind w:left="0"/>
        <w:jc w:val="both"/>
        <w:rPr>
          <w:rFonts w:ascii="Palatino Linotype" w:hAnsi="Palatino Linotype"/>
          <w:color w:val="000000"/>
          <w:szCs w:val="22"/>
        </w:rPr>
      </w:pPr>
    </w:p>
    <w:p w:rsidR="00056B65" w:rsidRPr="00C25030" w:rsidRDefault="00031D9D">
      <w:pPr>
        <w:pStyle w:val="Prrafodelista"/>
        <w:numPr>
          <w:ilvl w:val="0"/>
          <w:numId w:val="3"/>
        </w:numPr>
        <w:spacing w:line="360" w:lineRule="auto"/>
        <w:ind w:left="0" w:firstLine="0"/>
        <w:jc w:val="both"/>
        <w:rPr>
          <w:rFonts w:ascii="Palatino Linotype" w:eastAsia="Calibri" w:hAnsi="Palatino Linotype" w:cs="Arial"/>
          <w:szCs w:val="22"/>
        </w:rPr>
      </w:pPr>
      <w:r w:rsidRPr="00C25030">
        <w:rPr>
          <w:rFonts w:ascii="Palatino Linotype" w:eastAsia="Calibri" w:hAnsi="Palatino Linotype" w:cs="Arial"/>
          <w:szCs w:val="22"/>
        </w:rPr>
        <w:t xml:space="preserve">Derivado de lo expuesto en líneas anteriores, podemos concluir que el Sujeto Obligado es incompetente para conocer de la información solicitada y que corresponde a la Oficialía Mayor conocer de los nombramientos solicitados por el Recurrente; aunado a ello,   al haber existido un pronunciamiento por el Sujeto Obligado en cuanto a la ausencia de atribuciones, es que no se puede dudar de la veracidad. </w:t>
      </w:r>
    </w:p>
    <w:p w:rsidR="00056B65" w:rsidRPr="00C25030" w:rsidRDefault="00031D9D">
      <w:pPr>
        <w:pStyle w:val="Prrafodelista"/>
        <w:tabs>
          <w:tab w:val="left" w:pos="1740"/>
        </w:tabs>
        <w:rPr>
          <w:rFonts w:ascii="Palatino Linotype" w:hAnsi="Palatino Linotype"/>
          <w:szCs w:val="22"/>
        </w:rPr>
      </w:pPr>
      <w:r w:rsidRPr="00C25030">
        <w:rPr>
          <w:rFonts w:ascii="Palatino Linotype" w:hAnsi="Palatino Linotype"/>
          <w:szCs w:val="22"/>
        </w:rPr>
        <w:tab/>
      </w:r>
    </w:p>
    <w:p w:rsidR="00056B65" w:rsidRPr="00C25030" w:rsidRDefault="00031D9D">
      <w:pPr>
        <w:pStyle w:val="Default"/>
        <w:numPr>
          <w:ilvl w:val="0"/>
          <w:numId w:val="3"/>
        </w:numPr>
        <w:tabs>
          <w:tab w:val="left" w:pos="0"/>
        </w:tabs>
        <w:spacing w:before="240" w:after="360" w:line="360" w:lineRule="auto"/>
        <w:ind w:left="0" w:firstLine="0"/>
        <w:jc w:val="both"/>
        <w:rPr>
          <w:rFonts w:ascii="Palatino Linotype" w:hAnsi="Palatino Linotype"/>
          <w:sz w:val="22"/>
          <w:szCs w:val="22"/>
        </w:rPr>
      </w:pPr>
      <w:r w:rsidRPr="00C25030">
        <w:rPr>
          <w:rFonts w:ascii="Palatino Linotype" w:hAnsi="Palatino Linotype"/>
          <w:sz w:val="22"/>
          <w:szCs w:val="22"/>
        </w:rPr>
        <w:t xml:space="preserve">Asimismo, la </w:t>
      </w:r>
      <w:r w:rsidRPr="00C25030">
        <w:rPr>
          <w:rFonts w:ascii="Palatino Linotype" w:hAnsi="Palatino Linotype"/>
          <w:b/>
          <w:sz w:val="22"/>
          <w:szCs w:val="22"/>
        </w:rPr>
        <w:t>Ley de Transparencia y Acceso a la Información Pública del Estado de México y Municipios</w:t>
      </w:r>
      <w:r w:rsidRPr="00C25030">
        <w:rPr>
          <w:rFonts w:ascii="Palatino Linotype" w:hAnsi="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C25030">
        <w:rPr>
          <w:rFonts w:ascii="Palatino Linotype" w:hAnsi="Palatino Linotype"/>
          <w:b/>
          <w:sz w:val="22"/>
          <w:szCs w:val="22"/>
        </w:rPr>
        <w:t>veracidad</w:t>
      </w:r>
      <w:r w:rsidRPr="00C25030">
        <w:rPr>
          <w:rFonts w:ascii="Palatino Linotype" w:hAnsi="Palatino Linotype"/>
          <w:sz w:val="22"/>
          <w:szCs w:val="22"/>
        </w:rPr>
        <w:t>, oportunidad entre otros, numeral en comento que a la letra señala:</w:t>
      </w:r>
    </w:p>
    <w:p w:rsidR="00056B65" w:rsidRPr="00C25030" w:rsidRDefault="00031D9D">
      <w:pPr>
        <w:pStyle w:val="Prrafodelista"/>
        <w:spacing w:line="276" w:lineRule="auto"/>
        <w:ind w:right="902"/>
        <w:jc w:val="both"/>
        <w:rPr>
          <w:rFonts w:ascii="Palatino Linotype" w:hAnsi="Palatino Linotype" w:cs="Arial"/>
          <w:i/>
          <w:szCs w:val="22"/>
        </w:rPr>
      </w:pPr>
      <w:r w:rsidRPr="00C25030">
        <w:rPr>
          <w:rFonts w:ascii="Palatino Linotype" w:hAnsi="Palatino Linotype" w:cs="Arial"/>
          <w:i/>
          <w:szCs w:val="22"/>
        </w:rPr>
        <w:t xml:space="preserve">“Artículo 4.- </w:t>
      </w:r>
    </w:p>
    <w:p w:rsidR="00056B65" w:rsidRPr="00C25030" w:rsidRDefault="00031D9D">
      <w:pPr>
        <w:pStyle w:val="Prrafodelista"/>
        <w:spacing w:line="276" w:lineRule="auto"/>
        <w:ind w:right="902"/>
        <w:jc w:val="both"/>
        <w:rPr>
          <w:rFonts w:ascii="Palatino Linotype" w:hAnsi="Palatino Linotype" w:cs="Arial"/>
          <w:i/>
          <w:szCs w:val="22"/>
        </w:rPr>
      </w:pPr>
      <w:r w:rsidRPr="00C25030">
        <w:rPr>
          <w:rFonts w:ascii="Palatino Linotype" w:hAnsi="Palatino Linotype" w:cs="Arial"/>
          <w:i/>
          <w:szCs w:val="22"/>
        </w:rPr>
        <w:t>..</w:t>
      </w:r>
    </w:p>
    <w:p w:rsidR="00056B65" w:rsidRPr="00C25030" w:rsidRDefault="00031D9D">
      <w:pPr>
        <w:pStyle w:val="Prrafodelista"/>
        <w:spacing w:line="276" w:lineRule="auto"/>
        <w:ind w:right="902"/>
        <w:jc w:val="both"/>
        <w:rPr>
          <w:rFonts w:ascii="Palatino Linotype" w:hAnsi="Palatino Linotype" w:cs="Arial"/>
          <w:i/>
          <w:szCs w:val="22"/>
        </w:rPr>
      </w:pPr>
      <w:r w:rsidRPr="00C25030">
        <w:rPr>
          <w:rFonts w:ascii="Palatino Linotype" w:hAnsi="Palatino Linotype" w:cs="Arial"/>
          <w:i/>
          <w:szCs w:val="22"/>
        </w:rPr>
        <w:t>Los sujetos obligados deben poner en práctica, políticas y programas de acceso a la información que se apeguen a criterios de publicidad, veracidad, oportunidad, precisión y suficiencia en beneficio de los solicitantes.</w:t>
      </w:r>
    </w:p>
    <w:p w:rsidR="00056B65" w:rsidRPr="00C25030" w:rsidRDefault="00031D9D">
      <w:pPr>
        <w:pStyle w:val="Prrafodelista"/>
        <w:spacing w:line="276" w:lineRule="auto"/>
        <w:ind w:right="902"/>
        <w:jc w:val="both"/>
        <w:rPr>
          <w:rFonts w:ascii="Palatino Linotype" w:hAnsi="Palatino Linotype" w:cs="Arial"/>
          <w:b/>
          <w:i/>
          <w:szCs w:val="22"/>
        </w:rPr>
      </w:pPr>
      <w:r w:rsidRPr="00C25030">
        <w:rPr>
          <w:rFonts w:ascii="Palatino Linotype" w:hAnsi="Palatino Linotype" w:cs="Arial"/>
          <w:i/>
          <w:szCs w:val="22"/>
        </w:rPr>
        <w:t>…”</w:t>
      </w:r>
    </w:p>
    <w:p w:rsidR="00056B65" w:rsidRPr="00C25030" w:rsidRDefault="00056B65">
      <w:pPr>
        <w:pStyle w:val="Prrafodelista"/>
        <w:tabs>
          <w:tab w:val="left" w:pos="709"/>
        </w:tabs>
        <w:spacing w:line="360" w:lineRule="auto"/>
        <w:ind w:right="51"/>
        <w:jc w:val="both"/>
        <w:rPr>
          <w:rFonts w:ascii="Palatino Linotype" w:hAnsi="Palatino Linotype" w:cs="Arial"/>
          <w:szCs w:val="22"/>
        </w:rPr>
      </w:pPr>
    </w:p>
    <w:p w:rsidR="00056B65" w:rsidRPr="00C25030" w:rsidRDefault="00031D9D">
      <w:pPr>
        <w:pStyle w:val="Prrafodelista"/>
        <w:numPr>
          <w:ilvl w:val="0"/>
          <w:numId w:val="3"/>
        </w:numPr>
        <w:tabs>
          <w:tab w:val="left" w:pos="0"/>
        </w:tabs>
        <w:spacing w:line="360" w:lineRule="auto"/>
        <w:ind w:left="0" w:right="51" w:firstLine="0"/>
        <w:jc w:val="both"/>
        <w:rPr>
          <w:rFonts w:ascii="Palatino Linotype" w:hAnsi="Palatino Linotype" w:cs="Arial"/>
          <w:szCs w:val="22"/>
        </w:rPr>
      </w:pPr>
      <w:r w:rsidRPr="00C25030">
        <w:rPr>
          <w:rFonts w:ascii="Palatino Linotype" w:hAnsi="Palatino Linotype" w:cs="Arial"/>
          <w:szCs w:val="22"/>
        </w:rPr>
        <w:t xml:space="preserve">Numerales que compelen al </w:t>
      </w:r>
      <w:r w:rsidRPr="00C25030">
        <w:rPr>
          <w:rFonts w:ascii="Palatino Linotype" w:hAnsi="Palatino Linotype" w:cs="Arial"/>
          <w:b/>
          <w:szCs w:val="22"/>
        </w:rPr>
        <w:t>SUJETO OBLIGADO</w:t>
      </w:r>
      <w:r w:rsidRPr="00C25030">
        <w:rPr>
          <w:rFonts w:ascii="Palatino Linotype" w:hAnsi="Palatino Linotype" w:cs="Arial"/>
          <w:szCs w:val="22"/>
        </w:rPr>
        <w:t xml:space="preserve"> a apegarse en todo momento a los criterios ya expuestos, </w:t>
      </w:r>
      <w:proofErr w:type="spellStart"/>
      <w:r w:rsidRPr="00C25030">
        <w:rPr>
          <w:rFonts w:ascii="Palatino Linotype" w:hAnsi="Palatino Linotype" w:cs="Arial"/>
          <w:szCs w:val="22"/>
        </w:rPr>
        <w:t>imipidiendo</w:t>
      </w:r>
      <w:proofErr w:type="spellEnd"/>
      <w:r w:rsidRPr="00C25030">
        <w:rPr>
          <w:rFonts w:ascii="Palatino Linotype" w:hAnsi="Palatino Linotype" w:cs="Arial"/>
          <w:szCs w:val="22"/>
        </w:rPr>
        <w:t xml:space="preserve"> a este Órgano Colegiado cuestionar la veracidad de la información.</w:t>
      </w:r>
    </w:p>
    <w:p w:rsidR="00056B65" w:rsidRPr="00C25030" w:rsidRDefault="00056B65">
      <w:pPr>
        <w:pStyle w:val="Prrafodelista"/>
        <w:rPr>
          <w:rFonts w:ascii="Palatino Linotype" w:hAnsi="Palatino Linotype" w:cs="Arial"/>
          <w:color w:val="000000"/>
          <w:szCs w:val="22"/>
        </w:rPr>
      </w:pPr>
    </w:p>
    <w:p w:rsidR="00056B65" w:rsidRPr="00C25030" w:rsidRDefault="00056B65">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rPr>
      </w:pPr>
    </w:p>
    <w:p w:rsidR="00056B65" w:rsidRPr="00C25030" w:rsidRDefault="00031D9D">
      <w:pPr>
        <w:pStyle w:val="Prrafodelista"/>
        <w:numPr>
          <w:ilvl w:val="0"/>
          <w:numId w:val="3"/>
        </w:numPr>
        <w:shd w:val="clear" w:color="auto" w:fill="FFFFFF"/>
        <w:tabs>
          <w:tab w:val="left" w:pos="284"/>
        </w:tabs>
        <w:spacing w:before="240" w:after="240" w:line="360" w:lineRule="auto"/>
        <w:ind w:left="0" w:right="49" w:firstLine="0"/>
        <w:jc w:val="both"/>
        <w:rPr>
          <w:rFonts w:ascii="Palatino Linotype" w:hAnsi="Palatino Linotype" w:cs="Arial"/>
          <w:color w:val="000000"/>
          <w:szCs w:val="22"/>
        </w:rPr>
      </w:pPr>
      <w:r w:rsidRPr="00C25030">
        <w:rPr>
          <w:rFonts w:ascii="Palatino Linotype" w:hAnsi="Palatino Linotype" w:cs="Arial"/>
          <w:color w:val="000000"/>
          <w:szCs w:val="22"/>
        </w:rPr>
        <w:t xml:space="preserve">En consecuencia, al no existir más requerimientos, </w:t>
      </w:r>
      <w:r w:rsidRPr="00C25030">
        <w:rPr>
          <w:rFonts w:ascii="Palatino Linotype" w:hAnsi="Palatino Linotype" w:cs="Arial"/>
          <w:szCs w:val="22"/>
          <w:lang w:val="es-ES"/>
        </w:rPr>
        <w:t>es que resulta idóneo</w:t>
      </w:r>
      <w:r w:rsidRPr="00C25030">
        <w:rPr>
          <w:rFonts w:ascii="Palatino Linotype" w:hAnsi="Palatino Linotype" w:cs="Arial"/>
          <w:b/>
          <w:szCs w:val="22"/>
          <w:lang w:val="es-ES"/>
        </w:rPr>
        <w:t xml:space="preserve"> </w:t>
      </w:r>
      <w:r w:rsidRPr="00C25030">
        <w:rPr>
          <w:rFonts w:ascii="Palatino Linotype" w:hAnsi="Palatino Linotype" w:cs="Arial"/>
          <w:color w:val="000000"/>
          <w:szCs w:val="22"/>
        </w:rPr>
        <w:t>CONFIRMAR la respuesta del Sujeto Obligado. Dejando a salvo los derechos del particular, para que si así lo desea, formule una nueva solicitud.</w:t>
      </w:r>
    </w:p>
    <w:p w:rsidR="00056B65" w:rsidRPr="00C25030" w:rsidRDefault="00056B65">
      <w:pPr>
        <w:pStyle w:val="Prrafodelista"/>
        <w:shd w:val="clear" w:color="auto" w:fill="FFFFFF"/>
        <w:tabs>
          <w:tab w:val="left" w:pos="284"/>
        </w:tabs>
        <w:spacing w:before="240" w:after="240" w:line="360" w:lineRule="auto"/>
        <w:ind w:left="0" w:right="49"/>
        <w:jc w:val="both"/>
        <w:rPr>
          <w:rFonts w:ascii="Palatino Linotype" w:hAnsi="Palatino Linotype" w:cs="Arial"/>
          <w:color w:val="000000"/>
          <w:szCs w:val="22"/>
        </w:rPr>
      </w:pPr>
    </w:p>
    <w:bookmarkEnd w:id="9"/>
    <w:p w:rsidR="00056B65" w:rsidRPr="00C25030" w:rsidRDefault="00031D9D">
      <w:pPr>
        <w:pStyle w:val="Prrafodelista"/>
        <w:numPr>
          <w:ilvl w:val="0"/>
          <w:numId w:val="1"/>
        </w:numPr>
        <w:spacing w:before="240" w:after="240" w:line="360" w:lineRule="auto"/>
        <w:ind w:left="0" w:firstLine="0"/>
        <w:jc w:val="both"/>
        <w:rPr>
          <w:rFonts w:ascii="Palatino Linotype" w:hAnsi="Palatino Linotype" w:cs="Arial"/>
          <w:color w:val="000000"/>
          <w:szCs w:val="22"/>
        </w:rPr>
      </w:pPr>
      <w:r w:rsidRPr="00C25030">
        <w:rPr>
          <w:rFonts w:ascii="Palatino Linotype" w:hAnsi="Palatino Linotype" w:cs="Arial"/>
          <w:szCs w:val="22"/>
        </w:rPr>
        <w:t xml:space="preserve">En conclusión, </w:t>
      </w:r>
      <w:r w:rsidRPr="00C25030">
        <w:rPr>
          <w:rFonts w:ascii="Palatino Linotype" w:hAnsi="Palatino Linotype" w:cs="Arial"/>
          <w:color w:val="000000" w:themeColor="text1"/>
          <w:szCs w:val="22"/>
        </w:rPr>
        <w:t xml:space="preserve">el </w:t>
      </w:r>
      <w:r w:rsidRPr="00C25030">
        <w:rPr>
          <w:rFonts w:ascii="Palatino Linotype" w:hAnsi="Palatino Linotype" w:cs="Arial"/>
          <w:b/>
          <w:color w:val="000000" w:themeColor="text1"/>
          <w:szCs w:val="22"/>
        </w:rPr>
        <w:t xml:space="preserve">SUJETO OBLIGADO </w:t>
      </w:r>
      <w:r w:rsidRPr="00C25030">
        <w:rPr>
          <w:rFonts w:ascii="Palatino Linotype" w:hAnsi="Palatino Linotype" w:cs="Arial"/>
          <w:color w:val="000000" w:themeColor="text1"/>
          <w:szCs w:val="22"/>
        </w:rPr>
        <w:t>emitió</w:t>
      </w:r>
      <w:r w:rsidRPr="00C25030">
        <w:rPr>
          <w:rFonts w:ascii="Palatino Linotype" w:hAnsi="Palatino Linotype" w:cs="Arial"/>
          <w:b/>
          <w:color w:val="000000" w:themeColor="text1"/>
          <w:szCs w:val="22"/>
        </w:rPr>
        <w:t xml:space="preserve"> </w:t>
      </w:r>
      <w:r w:rsidRPr="00C25030">
        <w:rPr>
          <w:rFonts w:ascii="Palatino Linotype" w:hAnsi="Palatino Linotype" w:cs="Arial"/>
          <w:color w:val="000000" w:themeColor="text1"/>
          <w:szCs w:val="22"/>
        </w:rPr>
        <w:t xml:space="preserve">la respuesta correspondiente en tiempo y forma, por lo que la información remitida satisface el derecho de acceso a la información pública y lo procedente es </w:t>
      </w:r>
      <w:r w:rsidRPr="00C25030">
        <w:rPr>
          <w:rFonts w:ascii="Palatino Linotype" w:hAnsi="Palatino Linotype" w:cs="Arial"/>
          <w:b/>
          <w:color w:val="000000" w:themeColor="text1"/>
          <w:szCs w:val="22"/>
        </w:rPr>
        <w:t xml:space="preserve">CONFIRMAR </w:t>
      </w:r>
      <w:r w:rsidRPr="00C25030">
        <w:rPr>
          <w:rFonts w:ascii="Palatino Linotype" w:hAnsi="Palatino Linotype" w:cs="Arial"/>
          <w:color w:val="000000" w:themeColor="text1"/>
          <w:szCs w:val="22"/>
        </w:rPr>
        <w:t>la respuesta.</w:t>
      </w:r>
    </w:p>
    <w:p w:rsidR="00056B65" w:rsidRPr="00C25030" w:rsidRDefault="00056B65">
      <w:pPr>
        <w:pStyle w:val="Prrafodelista"/>
        <w:rPr>
          <w:rFonts w:ascii="Palatino Linotype" w:hAnsi="Palatino Linotype" w:cs="Arial"/>
          <w:color w:val="000000"/>
          <w:szCs w:val="22"/>
        </w:rPr>
      </w:pPr>
    </w:p>
    <w:p w:rsidR="00056B65" w:rsidRPr="00C25030" w:rsidRDefault="00031D9D">
      <w:pPr>
        <w:pStyle w:val="Prrafodelista"/>
        <w:numPr>
          <w:ilvl w:val="0"/>
          <w:numId w:val="1"/>
        </w:numPr>
        <w:tabs>
          <w:tab w:val="left" w:pos="567"/>
        </w:tabs>
        <w:spacing w:line="360" w:lineRule="auto"/>
        <w:ind w:left="0" w:firstLine="0"/>
        <w:jc w:val="both"/>
        <w:rPr>
          <w:rFonts w:ascii="Palatino Linotype" w:eastAsia="Calibri" w:hAnsi="Palatino Linotype" w:cs="Arial"/>
          <w:szCs w:val="22"/>
        </w:rPr>
      </w:pPr>
      <w:r w:rsidRPr="00C25030">
        <w:rPr>
          <w:rFonts w:ascii="Palatino Linotype" w:hAnsi="Palatino Linotype" w:cs="Arial"/>
          <w:color w:val="222222"/>
          <w:szCs w:val="22"/>
          <w:lang w:eastAsia="es-MX"/>
        </w:rPr>
        <w:t xml:space="preserve">Por lo anteriormente expuesto y fundado, este </w:t>
      </w:r>
      <w:r w:rsidRPr="00C25030">
        <w:rPr>
          <w:rFonts w:ascii="Palatino Linotype" w:hAnsi="Palatino Linotype" w:cs="Arial"/>
          <w:b/>
          <w:bCs/>
          <w:color w:val="222222"/>
          <w:szCs w:val="22"/>
          <w:lang w:eastAsia="es-MX"/>
        </w:rPr>
        <w:t>ÓRGANO GARANTE</w:t>
      </w:r>
      <w:r w:rsidRPr="00C25030">
        <w:rPr>
          <w:rFonts w:ascii="Palatino Linotype" w:hAnsi="Palatino Linotype" w:cs="Arial"/>
          <w:color w:val="222222"/>
          <w:szCs w:val="22"/>
          <w:lang w:eastAsia="es-MX"/>
        </w:rPr>
        <w:t xml:space="preserve"> emite los siguientes:</w:t>
      </w:r>
    </w:p>
    <w:p w:rsidR="00056B65" w:rsidRPr="00C25030" w:rsidRDefault="00031D9D">
      <w:pPr>
        <w:pStyle w:val="Ttulo1"/>
        <w:jc w:val="center"/>
        <w:rPr>
          <w:rFonts w:ascii="Palatino Linotype" w:hAnsi="Palatino Linotype"/>
          <w:b/>
          <w:color w:val="auto"/>
          <w:sz w:val="22"/>
          <w:szCs w:val="22"/>
        </w:rPr>
      </w:pPr>
      <w:bookmarkStart w:id="10" w:name="_Toc445745148"/>
      <w:bookmarkStart w:id="11" w:name="_Toc87549684"/>
      <w:bookmarkStart w:id="12" w:name="_Toc447699324"/>
      <w:bookmarkStart w:id="13" w:name="_Toc486525261"/>
      <w:bookmarkStart w:id="14" w:name="_Toc4061692"/>
      <w:r w:rsidRPr="00C25030">
        <w:rPr>
          <w:rFonts w:ascii="Palatino Linotype" w:hAnsi="Palatino Linotype"/>
          <w:b/>
          <w:color w:val="auto"/>
          <w:sz w:val="22"/>
          <w:szCs w:val="22"/>
        </w:rPr>
        <w:t>R E S O L U T I V O S</w:t>
      </w:r>
      <w:bookmarkEnd w:id="10"/>
      <w:bookmarkEnd w:id="11"/>
      <w:bookmarkEnd w:id="12"/>
      <w:bookmarkEnd w:id="13"/>
      <w:bookmarkEnd w:id="14"/>
    </w:p>
    <w:p w:rsidR="00056B65" w:rsidRPr="00C25030" w:rsidRDefault="00056B65">
      <w:pPr>
        <w:keepNext/>
        <w:keepLines/>
        <w:spacing w:line="360" w:lineRule="auto"/>
        <w:jc w:val="center"/>
        <w:outlineLvl w:val="0"/>
        <w:rPr>
          <w:rFonts w:ascii="Palatino Linotype" w:hAnsi="Palatino Linotype" w:cstheme="majorBidi"/>
          <w:b/>
          <w:bCs/>
          <w:sz w:val="22"/>
          <w:szCs w:val="22"/>
        </w:rPr>
      </w:pPr>
    </w:p>
    <w:p w:rsidR="00056B65" w:rsidRPr="00C25030" w:rsidRDefault="00031D9D">
      <w:pPr>
        <w:spacing w:line="360" w:lineRule="auto"/>
        <w:jc w:val="both"/>
        <w:rPr>
          <w:rFonts w:ascii="Palatino Linotype" w:hAnsi="Palatino Linotype"/>
          <w:sz w:val="22"/>
          <w:szCs w:val="22"/>
        </w:rPr>
      </w:pPr>
      <w:r w:rsidRPr="00C25030">
        <w:rPr>
          <w:rFonts w:ascii="Palatino Linotype" w:hAnsi="Palatino Linotype" w:cs="Arial"/>
          <w:b/>
          <w:sz w:val="22"/>
          <w:szCs w:val="22"/>
        </w:rPr>
        <w:t xml:space="preserve">PRIMERO. </w:t>
      </w:r>
      <w:r w:rsidRPr="00C25030">
        <w:rPr>
          <w:rFonts w:ascii="Palatino Linotype" w:hAnsi="Palatino Linotype" w:cs="Arial"/>
          <w:sz w:val="22"/>
          <w:szCs w:val="22"/>
        </w:rPr>
        <w:t>Resultan infundadas las</w:t>
      </w:r>
      <w:r w:rsidRPr="00C25030">
        <w:rPr>
          <w:rFonts w:ascii="Palatino Linotype" w:hAnsi="Palatino Linotype" w:cs="Arial"/>
          <w:b/>
          <w:sz w:val="22"/>
          <w:szCs w:val="22"/>
        </w:rPr>
        <w:t xml:space="preserve"> </w:t>
      </w:r>
      <w:r w:rsidRPr="00C25030">
        <w:rPr>
          <w:rFonts w:ascii="Palatino Linotype" w:hAnsi="Palatino Linotype" w:cs="Arial"/>
          <w:sz w:val="22"/>
          <w:szCs w:val="22"/>
          <w:lang w:val="es-ES"/>
        </w:rPr>
        <w:t xml:space="preserve">razones o motivos de inconformidad hechos valer </w:t>
      </w:r>
      <w:r w:rsidRPr="00C25030">
        <w:rPr>
          <w:rFonts w:ascii="Palatino Linotype" w:eastAsia="Calibri" w:hAnsi="Palatino Linotype" w:cs="Arial"/>
          <w:sz w:val="22"/>
          <w:szCs w:val="22"/>
          <w:lang w:val="es-ES"/>
        </w:rPr>
        <w:t xml:space="preserve">en el recurso de revisión </w:t>
      </w:r>
      <w:r w:rsidRPr="00C25030">
        <w:rPr>
          <w:rFonts w:ascii="Palatino Linotype" w:eastAsia="Calibri" w:hAnsi="Palatino Linotype" w:cs="Tahoma"/>
          <w:b/>
          <w:sz w:val="22"/>
          <w:szCs w:val="22"/>
          <w:lang w:eastAsia="en-US"/>
        </w:rPr>
        <w:t>05178/INFOEM/IP/RR/2024</w:t>
      </w:r>
      <w:r w:rsidRPr="00C25030">
        <w:rPr>
          <w:rFonts w:ascii="Palatino Linotype" w:hAnsi="Palatino Linotype"/>
          <w:b/>
          <w:sz w:val="22"/>
          <w:szCs w:val="22"/>
        </w:rPr>
        <w:t xml:space="preserve"> </w:t>
      </w:r>
      <w:r w:rsidRPr="00C25030">
        <w:rPr>
          <w:rFonts w:ascii="Palatino Linotype" w:hAnsi="Palatino Linotype"/>
          <w:sz w:val="22"/>
          <w:szCs w:val="22"/>
        </w:rPr>
        <w:t>en términos del</w:t>
      </w:r>
      <w:r w:rsidRPr="00C25030">
        <w:rPr>
          <w:rFonts w:ascii="Palatino Linotype" w:hAnsi="Palatino Linotype"/>
          <w:b/>
          <w:bCs/>
          <w:sz w:val="22"/>
          <w:szCs w:val="22"/>
        </w:rPr>
        <w:t xml:space="preserve"> Considerando</w:t>
      </w:r>
      <w:r w:rsidRPr="00C25030">
        <w:rPr>
          <w:rFonts w:ascii="Palatino Linotype" w:hAnsi="Palatino Linotype"/>
          <w:sz w:val="22"/>
          <w:szCs w:val="22"/>
        </w:rPr>
        <w:t xml:space="preserve"> </w:t>
      </w:r>
      <w:r w:rsidRPr="00C25030">
        <w:rPr>
          <w:rFonts w:ascii="Palatino Linotype" w:hAnsi="Palatino Linotype"/>
          <w:b/>
          <w:sz w:val="22"/>
          <w:szCs w:val="22"/>
        </w:rPr>
        <w:t>CUARTO</w:t>
      </w:r>
      <w:r w:rsidRPr="00C25030">
        <w:rPr>
          <w:rFonts w:ascii="Palatino Linotype" w:hAnsi="Palatino Linotype"/>
          <w:sz w:val="22"/>
          <w:szCs w:val="22"/>
        </w:rPr>
        <w:t xml:space="preserve"> de la presente resolución.</w:t>
      </w:r>
    </w:p>
    <w:p w:rsidR="00056B65" w:rsidRPr="00C25030" w:rsidRDefault="00056B65">
      <w:pPr>
        <w:spacing w:line="360" w:lineRule="auto"/>
        <w:contextualSpacing/>
        <w:jc w:val="both"/>
        <w:rPr>
          <w:rFonts w:ascii="Palatino Linotype" w:eastAsia="Calibri" w:hAnsi="Palatino Linotype" w:cs="Arial"/>
          <w:b/>
          <w:bCs/>
          <w:sz w:val="22"/>
          <w:szCs w:val="22"/>
          <w:lang w:val="es-ES"/>
        </w:rPr>
      </w:pPr>
    </w:p>
    <w:p w:rsidR="00056B65" w:rsidRPr="00C25030" w:rsidRDefault="00031D9D">
      <w:pPr>
        <w:spacing w:line="360" w:lineRule="auto"/>
        <w:contextualSpacing/>
        <w:jc w:val="both"/>
        <w:rPr>
          <w:rFonts w:ascii="Palatino Linotype" w:eastAsia="Calibri" w:hAnsi="Palatino Linotype" w:cs="Arial"/>
          <w:sz w:val="22"/>
          <w:szCs w:val="22"/>
        </w:rPr>
      </w:pPr>
      <w:r w:rsidRPr="00C25030">
        <w:rPr>
          <w:rFonts w:ascii="Palatino Linotype" w:eastAsia="Calibri" w:hAnsi="Palatino Linotype" w:cs="Arial"/>
          <w:b/>
          <w:bCs/>
          <w:sz w:val="22"/>
          <w:szCs w:val="22"/>
          <w:lang w:val="es-ES"/>
        </w:rPr>
        <w:t xml:space="preserve">SEGUNDO. </w:t>
      </w:r>
      <w:r w:rsidRPr="00C25030">
        <w:rPr>
          <w:rFonts w:ascii="Palatino Linotype" w:eastAsia="Calibri" w:hAnsi="Palatino Linotype" w:cs="Arial"/>
          <w:sz w:val="22"/>
          <w:szCs w:val="22"/>
          <w:lang w:val="es-ES"/>
        </w:rPr>
        <w:t xml:space="preserve">Se </w:t>
      </w:r>
      <w:r w:rsidRPr="00C25030">
        <w:rPr>
          <w:rFonts w:ascii="Palatino Linotype" w:eastAsia="Calibri" w:hAnsi="Palatino Linotype" w:cs="Arial"/>
          <w:b/>
          <w:sz w:val="22"/>
          <w:szCs w:val="22"/>
          <w:lang w:val="es-ES"/>
        </w:rPr>
        <w:t>CONFIRMA</w:t>
      </w:r>
      <w:r w:rsidRPr="00C25030">
        <w:rPr>
          <w:rFonts w:ascii="Palatino Linotype" w:eastAsia="Calibri" w:hAnsi="Palatino Linotype" w:cs="Arial"/>
          <w:sz w:val="22"/>
          <w:szCs w:val="22"/>
          <w:lang w:val="es-ES"/>
        </w:rPr>
        <w:t xml:space="preserve"> la respuesta emitida por </w:t>
      </w:r>
      <w:r w:rsidRPr="00C25030">
        <w:rPr>
          <w:rFonts w:ascii="Palatino Linotype" w:eastAsia="Calibri" w:hAnsi="Palatino Linotype" w:cs="Arial"/>
          <w:b/>
          <w:sz w:val="22"/>
          <w:szCs w:val="22"/>
          <w:lang w:val="es-ES"/>
        </w:rPr>
        <w:t>Gubernatura</w:t>
      </w:r>
      <w:r w:rsidRPr="00C25030">
        <w:rPr>
          <w:rFonts w:ascii="Palatino Linotype" w:eastAsia="Calibri" w:hAnsi="Palatino Linotype" w:cs="Arial"/>
          <w:bCs/>
          <w:sz w:val="22"/>
          <w:szCs w:val="22"/>
        </w:rPr>
        <w:t xml:space="preserve"> a la solicitud </w:t>
      </w:r>
      <w:bookmarkStart w:id="15" w:name="_Toc460947013"/>
      <w:r w:rsidRPr="00C25030">
        <w:rPr>
          <w:rFonts w:ascii="Palatino Linotype" w:hAnsi="Palatino Linotype" w:cs="Arial"/>
          <w:b/>
          <w:bCs/>
          <w:sz w:val="22"/>
          <w:szCs w:val="22"/>
        </w:rPr>
        <w:t>00229/GUBERNA/IP/2024</w:t>
      </w:r>
      <w:r w:rsidRPr="00C25030">
        <w:rPr>
          <w:rFonts w:ascii="Palatino Linotype" w:eastAsia="Calibri" w:hAnsi="Palatino Linotype" w:cs="Arial"/>
          <w:sz w:val="22"/>
          <w:szCs w:val="22"/>
        </w:rPr>
        <w:t>.</w:t>
      </w:r>
    </w:p>
    <w:p w:rsidR="00056B65" w:rsidRPr="00C25030" w:rsidRDefault="00056B65">
      <w:pPr>
        <w:tabs>
          <w:tab w:val="left" w:pos="993"/>
        </w:tabs>
        <w:spacing w:line="360" w:lineRule="auto"/>
        <w:ind w:right="567"/>
        <w:jc w:val="both"/>
        <w:rPr>
          <w:rFonts w:ascii="Palatino Linotype" w:eastAsia="Calibri" w:hAnsi="Palatino Linotype" w:cs="Arial"/>
          <w:sz w:val="22"/>
          <w:szCs w:val="22"/>
        </w:rPr>
      </w:pPr>
    </w:p>
    <w:p w:rsidR="00056B65" w:rsidRPr="00C25030" w:rsidRDefault="00031D9D">
      <w:pPr>
        <w:tabs>
          <w:tab w:val="left" w:pos="8080"/>
        </w:tabs>
        <w:spacing w:line="360" w:lineRule="auto"/>
        <w:ind w:right="49"/>
        <w:contextualSpacing/>
        <w:jc w:val="both"/>
        <w:rPr>
          <w:rFonts w:ascii="Palatino Linotype" w:eastAsia="Palatino Linotype" w:hAnsi="Palatino Linotype" w:cs="Palatino Linotype"/>
          <w:b/>
          <w:sz w:val="22"/>
          <w:szCs w:val="22"/>
        </w:rPr>
      </w:pPr>
      <w:r w:rsidRPr="00C25030">
        <w:rPr>
          <w:rFonts w:ascii="Palatino Linotype" w:eastAsia="MS Mincho" w:hAnsi="Palatino Linotype"/>
          <w:b/>
          <w:color w:val="000000"/>
          <w:sz w:val="22"/>
          <w:szCs w:val="22"/>
        </w:rPr>
        <w:t>TERCERO.</w:t>
      </w:r>
      <w:r w:rsidRPr="00C25030">
        <w:rPr>
          <w:rFonts w:ascii="Palatino Linotype" w:eastAsia="MS Mincho" w:hAnsi="Palatino Linotype"/>
          <w:color w:val="000000"/>
          <w:sz w:val="22"/>
          <w:szCs w:val="22"/>
        </w:rPr>
        <w:t xml:space="preserve"> </w:t>
      </w:r>
      <w:bookmarkEnd w:id="15"/>
      <w:r w:rsidRPr="00C25030">
        <w:rPr>
          <w:rFonts w:ascii="Palatino Linotype" w:eastAsia="Palatino Linotype" w:hAnsi="Palatino Linotype" w:cs="Palatino Linotype"/>
          <w:b/>
          <w:sz w:val="22"/>
          <w:szCs w:val="22"/>
        </w:rPr>
        <w:t xml:space="preserve">Notifíquese, </w:t>
      </w:r>
      <w:r w:rsidRPr="00C25030">
        <w:rPr>
          <w:rFonts w:ascii="Palatino Linotype" w:eastAsia="Palatino Linotype" w:hAnsi="Palatino Linotype" w:cs="Palatino Linotype"/>
          <w:sz w:val="22"/>
          <w:szCs w:val="22"/>
        </w:rPr>
        <w:t xml:space="preserve">vía Sistema de Acceso a la Información Mexiquense (SAIMEX), la presente resolución a la Titular de la Unidad de Transparencia del </w:t>
      </w:r>
      <w:r w:rsidRPr="00C25030">
        <w:rPr>
          <w:rFonts w:ascii="Palatino Linotype" w:eastAsia="Palatino Linotype" w:hAnsi="Palatino Linotype" w:cs="Palatino Linotype"/>
          <w:b/>
          <w:sz w:val="22"/>
          <w:szCs w:val="22"/>
        </w:rPr>
        <w:t>SUJETO OBLIGADO.</w:t>
      </w:r>
    </w:p>
    <w:p w:rsidR="00056B65" w:rsidRPr="00C25030" w:rsidRDefault="00056B65">
      <w:pPr>
        <w:tabs>
          <w:tab w:val="left" w:pos="8080"/>
        </w:tabs>
        <w:spacing w:line="360" w:lineRule="auto"/>
        <w:ind w:right="49"/>
        <w:contextualSpacing/>
        <w:jc w:val="both"/>
        <w:rPr>
          <w:rFonts w:ascii="Palatino Linotype" w:eastAsia="Palatino Linotype" w:hAnsi="Palatino Linotype" w:cs="Palatino Linotype"/>
          <w:b/>
          <w:sz w:val="22"/>
          <w:szCs w:val="22"/>
        </w:rPr>
      </w:pPr>
    </w:p>
    <w:p w:rsidR="00056B65" w:rsidRPr="00C25030" w:rsidRDefault="00031D9D">
      <w:pPr>
        <w:shd w:val="clear" w:color="auto" w:fill="FFFFFF"/>
        <w:spacing w:line="360" w:lineRule="auto"/>
        <w:jc w:val="both"/>
        <w:rPr>
          <w:rFonts w:ascii="Palatino Linotype" w:hAnsi="Palatino Linotype"/>
          <w:sz w:val="22"/>
          <w:szCs w:val="22"/>
        </w:rPr>
      </w:pPr>
      <w:r w:rsidRPr="00C25030">
        <w:rPr>
          <w:rFonts w:ascii="Palatino Linotype" w:hAnsi="Palatino Linotype" w:cs="Arial"/>
          <w:b/>
          <w:sz w:val="22"/>
          <w:szCs w:val="22"/>
        </w:rPr>
        <w:t xml:space="preserve">CUARTO. </w:t>
      </w:r>
      <w:r w:rsidRPr="00C25030">
        <w:rPr>
          <w:rFonts w:ascii="Palatino Linotype" w:hAnsi="Palatino Linotype"/>
          <w:b/>
          <w:bCs/>
          <w:color w:val="222222"/>
          <w:sz w:val="22"/>
          <w:szCs w:val="22"/>
          <w:lang w:val="es-ES"/>
        </w:rPr>
        <w:t>Notifíquese al</w:t>
      </w:r>
      <w:r w:rsidRPr="00C25030">
        <w:rPr>
          <w:rFonts w:ascii="Palatino Linotype" w:hAnsi="Palatino Linotype"/>
          <w:b/>
          <w:sz w:val="22"/>
          <w:szCs w:val="22"/>
        </w:rPr>
        <w:t xml:space="preserve"> RECURRENTE</w:t>
      </w:r>
      <w:r w:rsidRPr="00C25030">
        <w:rPr>
          <w:rFonts w:ascii="Palatino Linotype" w:hAnsi="Palatino Linotype"/>
          <w:sz w:val="22"/>
          <w:szCs w:val="22"/>
        </w:rPr>
        <w:t xml:space="preserve"> la presente resolución, </w:t>
      </w:r>
      <w:r w:rsidRPr="00C25030">
        <w:rPr>
          <w:rFonts w:ascii="Palatino Linotype" w:eastAsia="Palatino Linotype" w:hAnsi="Palatino Linotype" w:cs="Palatino Linotype"/>
          <w:sz w:val="22"/>
          <w:szCs w:val="22"/>
        </w:rPr>
        <w:t>vía Sistema de Acceso a la Información Mexiquense (SAIMEX).</w:t>
      </w:r>
    </w:p>
    <w:p w:rsidR="00056B65" w:rsidRPr="00C25030" w:rsidRDefault="00056B65">
      <w:pPr>
        <w:shd w:val="clear" w:color="auto" w:fill="FFFFFF"/>
        <w:spacing w:line="360" w:lineRule="auto"/>
        <w:jc w:val="both"/>
        <w:rPr>
          <w:rFonts w:ascii="Palatino Linotype" w:hAnsi="Palatino Linotype"/>
          <w:sz w:val="22"/>
          <w:szCs w:val="22"/>
        </w:rPr>
      </w:pPr>
    </w:p>
    <w:p w:rsidR="00056B65" w:rsidRPr="00C25030" w:rsidRDefault="00031D9D">
      <w:pPr>
        <w:spacing w:line="360" w:lineRule="auto"/>
        <w:jc w:val="both"/>
        <w:rPr>
          <w:rFonts w:ascii="Palatino Linotype" w:eastAsia="MS Mincho" w:hAnsi="Palatino Linotype"/>
          <w:sz w:val="22"/>
          <w:szCs w:val="22"/>
          <w:lang w:val="es-ES"/>
        </w:rPr>
      </w:pPr>
      <w:r w:rsidRPr="00C25030">
        <w:rPr>
          <w:rFonts w:ascii="Palatino Linotype" w:eastAsia="MS Mincho" w:hAnsi="Palatino Linotype"/>
          <w:b/>
          <w:sz w:val="22"/>
          <w:szCs w:val="22"/>
        </w:rPr>
        <w:t>QUINTO.</w:t>
      </w:r>
      <w:r w:rsidRPr="00C25030">
        <w:rPr>
          <w:rFonts w:ascii="Palatino Linotype" w:eastAsia="MS Mincho" w:hAnsi="Palatino Linotype"/>
          <w:sz w:val="22"/>
          <w:szCs w:val="22"/>
        </w:rPr>
        <w:t xml:space="preserve"> </w:t>
      </w:r>
      <w:r w:rsidRPr="00C25030">
        <w:rPr>
          <w:rFonts w:ascii="Palatino Linotype" w:eastAsia="MS Mincho" w:hAnsi="Palatino Linotype"/>
          <w:sz w:val="22"/>
          <w:szCs w:val="22"/>
          <w:lang w:val="es-ES"/>
        </w:rPr>
        <w:t xml:space="preserve">Se hace del conocimiento del </w:t>
      </w:r>
      <w:r w:rsidRPr="00C25030">
        <w:rPr>
          <w:rFonts w:ascii="Palatino Linotype" w:eastAsia="MS Mincho" w:hAnsi="Palatino Linotype"/>
          <w:b/>
          <w:sz w:val="22"/>
          <w:szCs w:val="22"/>
          <w:lang w:val="es-ES"/>
        </w:rPr>
        <w:t>RECURRENTE</w:t>
      </w:r>
      <w:r w:rsidRPr="00C25030">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C25030">
        <w:rPr>
          <w:rFonts w:ascii="Palatino Linotype" w:eastAsia="MS Mincho" w:hAnsi="Palatino Linotype"/>
          <w:bCs/>
          <w:sz w:val="22"/>
          <w:szCs w:val="22"/>
          <w:lang w:val="es-ES"/>
        </w:rPr>
        <w:t>vía juicio de amparo</w:t>
      </w:r>
      <w:r w:rsidRPr="00C25030">
        <w:rPr>
          <w:rFonts w:ascii="Palatino Linotype" w:eastAsia="MS Mincho" w:hAnsi="Palatino Linotype"/>
          <w:sz w:val="22"/>
          <w:szCs w:val="22"/>
          <w:lang w:val="es-ES"/>
        </w:rPr>
        <w:t xml:space="preserve"> en los términos de las leyes aplicables.</w:t>
      </w:r>
    </w:p>
    <w:p w:rsidR="008344CE" w:rsidRPr="00C25030" w:rsidRDefault="008344CE">
      <w:pPr>
        <w:spacing w:line="360" w:lineRule="auto"/>
        <w:jc w:val="both"/>
        <w:rPr>
          <w:rFonts w:ascii="Palatino Linotype" w:eastAsia="MS Mincho" w:hAnsi="Palatino Linotype"/>
          <w:sz w:val="22"/>
          <w:szCs w:val="22"/>
          <w:lang w:val="es-ES"/>
        </w:rPr>
      </w:pPr>
    </w:p>
    <w:p w:rsidR="008344CE" w:rsidRPr="008344CE" w:rsidRDefault="008344CE" w:rsidP="008344CE">
      <w:pPr>
        <w:spacing w:line="360" w:lineRule="auto"/>
        <w:ind w:left="-142" w:right="-234" w:firstLine="1"/>
        <w:jc w:val="both"/>
        <w:rPr>
          <w:rFonts w:ascii="Palatino Linotype" w:hAnsi="Palatino Linotype"/>
          <w:sz w:val="22"/>
        </w:rPr>
      </w:pPr>
      <w:r w:rsidRPr="00C25030">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6" w:name="_GoBack"/>
      <w:bookmarkEnd w:id="16"/>
      <w:r w:rsidRPr="008344CE">
        <w:rPr>
          <w:rFonts w:ascii="Palatino Linotype" w:hAnsi="Palatino Linotype"/>
          <w:sz w:val="22"/>
        </w:rPr>
        <w:t xml:space="preserve"> </w:t>
      </w:r>
    </w:p>
    <w:p w:rsidR="00056B65" w:rsidRDefault="00056B65">
      <w:pPr>
        <w:spacing w:before="240" w:after="360" w:line="360" w:lineRule="auto"/>
        <w:jc w:val="both"/>
        <w:rPr>
          <w:rFonts w:ascii="Palatino Linotype" w:hAnsi="Palatino Linotype"/>
          <w:color w:val="222222"/>
          <w:sz w:val="22"/>
          <w:szCs w:val="22"/>
          <w:lang w:val="es-ES" w:eastAsia="es-MX"/>
        </w:rPr>
      </w:pPr>
    </w:p>
    <w:p w:rsidR="00056B65" w:rsidRDefault="00056B65">
      <w:pPr>
        <w:spacing w:before="240" w:after="360" w:line="360" w:lineRule="auto"/>
        <w:jc w:val="both"/>
        <w:rPr>
          <w:rFonts w:ascii="Palatino Linotype" w:hAnsi="Palatino Linotype"/>
          <w:color w:val="222222"/>
          <w:sz w:val="22"/>
          <w:szCs w:val="22"/>
          <w:lang w:val="es-ES" w:eastAsia="es-MX"/>
        </w:rPr>
      </w:pPr>
    </w:p>
    <w:p w:rsidR="00056B65" w:rsidRDefault="00056B65">
      <w:pPr>
        <w:spacing w:before="240" w:after="360" w:line="360" w:lineRule="auto"/>
        <w:jc w:val="both"/>
        <w:rPr>
          <w:rFonts w:ascii="Palatino Linotype" w:hAnsi="Palatino Linotype"/>
          <w:color w:val="222222"/>
          <w:sz w:val="22"/>
          <w:szCs w:val="22"/>
          <w:lang w:val="es-ES" w:eastAsia="es-MX"/>
        </w:rPr>
      </w:pPr>
    </w:p>
    <w:p w:rsidR="00056B65" w:rsidRDefault="00056B65">
      <w:pPr>
        <w:spacing w:before="240" w:after="360" w:line="360" w:lineRule="auto"/>
        <w:jc w:val="both"/>
        <w:rPr>
          <w:rFonts w:ascii="Palatino Linotype" w:hAnsi="Palatino Linotype"/>
          <w:color w:val="222222"/>
          <w:sz w:val="22"/>
          <w:szCs w:val="22"/>
          <w:lang w:val="es-ES" w:eastAsia="es-MX"/>
        </w:rPr>
      </w:pPr>
    </w:p>
    <w:p w:rsidR="00056B65" w:rsidRDefault="00056B65">
      <w:pPr>
        <w:spacing w:before="240" w:after="360" w:line="360" w:lineRule="auto"/>
        <w:jc w:val="both"/>
        <w:rPr>
          <w:rFonts w:ascii="Palatino Linotype" w:hAnsi="Palatino Linotype"/>
          <w:color w:val="222222"/>
          <w:sz w:val="22"/>
          <w:szCs w:val="22"/>
          <w:lang w:val="es-ES" w:eastAsia="es-MX"/>
        </w:rPr>
      </w:pPr>
    </w:p>
    <w:p w:rsidR="00056B65" w:rsidRDefault="00056B65">
      <w:pPr>
        <w:rPr>
          <w:rFonts w:ascii="Palatino Linotype" w:hAnsi="Palatino Linotype"/>
          <w:sz w:val="22"/>
          <w:szCs w:val="22"/>
        </w:rPr>
      </w:pPr>
    </w:p>
    <w:p w:rsidR="00056B65" w:rsidRDefault="00056B65">
      <w:pPr>
        <w:rPr>
          <w:sz w:val="22"/>
          <w:szCs w:val="22"/>
        </w:rPr>
      </w:pPr>
    </w:p>
    <w:sectPr w:rsidR="00056B65">
      <w:headerReference w:type="even" r:id="rId10"/>
      <w:headerReference w:type="default" r:id="rId11"/>
      <w:footerReference w:type="default" r:id="rId12"/>
      <w:headerReference w:type="first" r:id="rId13"/>
      <w:footerReference w:type="first" r:id="rId14"/>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A0" w:rsidRDefault="00595EA0">
      <w:r>
        <w:separator/>
      </w:r>
    </w:p>
  </w:endnote>
  <w:endnote w:type="continuationSeparator" w:id="0">
    <w:p w:rsidR="00595EA0" w:rsidRDefault="0059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sdtPr>
    <w:sdtEndPr/>
    <w:sdtContent>
      <w:sdt>
        <w:sdtPr>
          <w:id w:val="935561987"/>
        </w:sdtPr>
        <w:sdtEndPr/>
        <w:sdtContent>
          <w:p w:rsidR="00056B65" w:rsidRDefault="00056B65">
            <w:pPr>
              <w:pStyle w:val="Piedepgina"/>
              <w:jc w:val="right"/>
            </w:pPr>
          </w:p>
          <w:p w:rsidR="00056B65" w:rsidRDefault="00031D9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5030">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5030">
              <w:rPr>
                <w:b/>
                <w:bCs/>
                <w:noProof/>
              </w:rPr>
              <w:t>18</w:t>
            </w:r>
            <w:r>
              <w:rPr>
                <w:b/>
                <w:bCs/>
                <w:sz w:val="24"/>
                <w:szCs w:val="24"/>
              </w:rPr>
              <w:fldChar w:fldCharType="end"/>
            </w:r>
          </w:p>
        </w:sdtContent>
      </w:sdt>
    </w:sdtContent>
  </w:sdt>
  <w:p w:rsidR="00056B65" w:rsidRDefault="00056B65">
    <w:pPr>
      <w:pStyle w:val="Piedepgina"/>
    </w:pPr>
  </w:p>
  <w:p w:rsidR="00056B65" w:rsidRDefault="00056B65"/>
  <w:p w:rsidR="00056B65" w:rsidRDefault="00056B65"/>
  <w:p w:rsidR="00056B65" w:rsidRDefault="00056B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sdtPr>
    <w:sdtEndPr/>
    <w:sdtContent>
      <w:sdt>
        <w:sdtPr>
          <w:id w:val="1068300638"/>
        </w:sdtPr>
        <w:sdtEndPr/>
        <w:sdtContent>
          <w:p w:rsidR="00056B65" w:rsidRDefault="00031D9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2503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25030">
              <w:rPr>
                <w:b/>
                <w:bCs/>
                <w:noProof/>
              </w:rPr>
              <w:t>18</w:t>
            </w:r>
            <w:r>
              <w:rPr>
                <w:b/>
                <w:bCs/>
                <w:sz w:val="24"/>
                <w:szCs w:val="24"/>
              </w:rPr>
              <w:fldChar w:fldCharType="end"/>
            </w:r>
          </w:p>
        </w:sdtContent>
      </w:sdt>
    </w:sdtContent>
  </w:sdt>
  <w:p w:rsidR="00056B65" w:rsidRDefault="00056B65">
    <w:pPr>
      <w:pStyle w:val="Piedepgina"/>
    </w:pPr>
  </w:p>
  <w:p w:rsidR="00056B65" w:rsidRDefault="00056B65"/>
  <w:p w:rsidR="00056B65" w:rsidRDefault="00056B65"/>
  <w:p w:rsidR="00056B65" w:rsidRDefault="00056B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A0" w:rsidRDefault="00595EA0">
      <w:r>
        <w:separator/>
      </w:r>
    </w:p>
  </w:footnote>
  <w:footnote w:type="continuationSeparator" w:id="0">
    <w:p w:rsidR="00595EA0" w:rsidRDefault="00595EA0">
      <w:r>
        <w:continuationSeparator/>
      </w:r>
    </w:p>
  </w:footnote>
  <w:footnote w:id="1">
    <w:p w:rsidR="00056B65" w:rsidRDefault="00031D9D">
      <w:pPr>
        <w:pStyle w:val="Textonotapie"/>
      </w:pPr>
      <w:r>
        <w:rPr>
          <w:rStyle w:val="Refdenotaalpie"/>
        </w:rPr>
        <w:footnoteRef/>
      </w:r>
      <w:r>
        <w:t xml:space="preserve"> Artículo 150. Ley de Transparencia y Acceso a la Información Pública del Estado de México y Municipios.</w:t>
      </w:r>
    </w:p>
    <w:p w:rsidR="00056B65" w:rsidRDefault="00031D9D">
      <w:pPr>
        <w:pStyle w:val="Textonotapie"/>
      </w:pPr>
      <w:r>
        <w:t>Artículo 151. Ibídem.</w:t>
      </w:r>
    </w:p>
  </w:footnote>
  <w:footnote w:id="2">
    <w:p w:rsidR="00056B65" w:rsidRDefault="00031D9D">
      <w:pPr>
        <w:pStyle w:val="Textonotapie"/>
      </w:pPr>
      <w:r>
        <w:rPr>
          <w:rStyle w:val="Refdenotaalpie"/>
        </w:rPr>
        <w:footnoteRef/>
      </w:r>
      <w:r>
        <w:t xml:space="preserve"> Fracción IV. Artículo 53. Ibídem.</w:t>
      </w:r>
    </w:p>
    <w:p w:rsidR="00056B65" w:rsidRDefault="00056B6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B65" w:rsidRDefault="00595EA0">
    <w:pPr>
      <w:pStyle w:val="Encabezado"/>
    </w:pPr>
    <w:r>
      <w:rPr>
        <w:lang w:eastAsia="es-MX"/>
      </w:rPr>
      <w:pict w14:anchorId="5ECC8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7728;mso-position-horizontal:center;mso-position-horizontal-relative:margin;mso-position-vertical:center;mso-position-vertical-relative:margin;mso-width-relative:page;mso-height-relative:page" o:allowincell="f">
          <v:imagedata r:id="rId1" o:title="marcaaguaINFOEM"/>
          <w10:wrap anchorx="margin" anchory="margin"/>
        </v:shape>
      </w:pict>
    </w:r>
  </w:p>
  <w:p w:rsidR="00056B65" w:rsidRDefault="00056B65"/>
  <w:p w:rsidR="00056B65" w:rsidRDefault="00056B65"/>
  <w:p w:rsidR="00056B65" w:rsidRDefault="00056B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056B65">
      <w:trPr>
        <w:trHeight w:val="1435"/>
      </w:trPr>
      <w:tc>
        <w:tcPr>
          <w:tcW w:w="1843" w:type="dxa"/>
          <w:shd w:val="clear" w:color="auto" w:fill="auto"/>
        </w:tcPr>
        <w:p w:rsidR="00056B65" w:rsidRDefault="00031D9D">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rsidR="00056B65" w:rsidRDefault="00056B65"/>
        <w:tbl>
          <w:tblPr>
            <w:tblStyle w:val="Tablaconcuadrcula"/>
            <w:tblW w:w="5528"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056B65">
            <w:trPr>
              <w:trHeight w:val="338"/>
            </w:trPr>
            <w:tc>
              <w:tcPr>
                <w:tcW w:w="2551" w:type="dxa"/>
              </w:tcPr>
              <w:p w:rsidR="00056B65" w:rsidRDefault="00056B65">
                <w:pPr>
                  <w:tabs>
                    <w:tab w:val="right" w:pos="8838"/>
                  </w:tabs>
                  <w:ind w:right="-105"/>
                  <w:rPr>
                    <w:rFonts w:ascii="Palatino Linotype" w:eastAsia="Calibri" w:hAnsi="Palatino Linotype" w:cs="Tahoma"/>
                    <w:b/>
                    <w:sz w:val="22"/>
                    <w:szCs w:val="22"/>
                    <w:lang w:eastAsia="en-US"/>
                  </w:rPr>
                </w:pPr>
              </w:p>
              <w:p w:rsidR="00056B65" w:rsidRDefault="00031D9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2977" w:type="dxa"/>
              </w:tcPr>
              <w:p w:rsidR="00056B65" w:rsidRDefault="00056B65">
                <w:pPr>
                  <w:tabs>
                    <w:tab w:val="right" w:pos="8838"/>
                  </w:tabs>
                  <w:ind w:right="-105" w:hanging="101"/>
                  <w:jc w:val="both"/>
                  <w:rPr>
                    <w:rFonts w:ascii="Palatino Linotype" w:eastAsia="Calibri" w:hAnsi="Palatino Linotype" w:cs="Tahoma"/>
                    <w:bCs/>
                    <w:sz w:val="22"/>
                    <w:szCs w:val="22"/>
                    <w:lang w:eastAsia="en-US"/>
                  </w:rPr>
                </w:pPr>
              </w:p>
              <w:p w:rsidR="00056B65" w:rsidRDefault="00031D9D">
                <w:pPr>
                  <w:tabs>
                    <w:tab w:val="right" w:pos="8838"/>
                  </w:tabs>
                  <w:ind w:right="-105" w:hanging="101"/>
                  <w:jc w:val="both"/>
                  <w:rPr>
                    <w:rFonts w:ascii="Palatino Linotype" w:eastAsia="Calibri" w:hAnsi="Palatino Linotype" w:cs="Tahoma"/>
                    <w:bCs/>
                    <w:sz w:val="22"/>
                    <w:szCs w:val="22"/>
                    <w:lang w:eastAsia="en-US"/>
                  </w:rPr>
                </w:pPr>
                <w:r>
                  <w:rPr>
                    <w:rFonts w:ascii="Palatino Linotype" w:eastAsia="Calibri" w:hAnsi="Palatino Linotype" w:cs="Tahoma"/>
                    <w:sz w:val="22"/>
                    <w:lang w:eastAsia="en-US"/>
                  </w:rPr>
                  <w:t>05178/INFOEM/IP/RR/2024</w:t>
                </w:r>
              </w:p>
            </w:tc>
          </w:tr>
          <w:tr w:rsidR="00056B65">
            <w:trPr>
              <w:trHeight w:val="283"/>
            </w:trPr>
            <w:tc>
              <w:tcPr>
                <w:tcW w:w="2551" w:type="dxa"/>
              </w:tcPr>
              <w:p w:rsidR="00056B65" w:rsidRDefault="00031D9D">
                <w:pPr>
                  <w:tabs>
                    <w:tab w:val="right" w:pos="8838"/>
                  </w:tabs>
                  <w:ind w:right="-105"/>
                  <w:rPr>
                    <w:rFonts w:ascii="Palatino Linotype" w:eastAsia="Calibri" w:hAnsi="Palatino Linotype" w:cs="Tahoma"/>
                    <w:b/>
                    <w:sz w:val="22"/>
                    <w:szCs w:val="22"/>
                    <w:lang w:eastAsia="en-US"/>
                  </w:rPr>
                </w:pPr>
                <w:bookmarkStart w:id="17" w:name="_Hlk33010189"/>
                <w:r>
                  <w:rPr>
                    <w:rFonts w:ascii="Palatino Linotype" w:eastAsia="Calibri" w:hAnsi="Palatino Linotype" w:cs="Tahoma"/>
                    <w:b/>
                    <w:sz w:val="22"/>
                    <w:szCs w:val="22"/>
                    <w:lang w:eastAsia="en-US"/>
                  </w:rPr>
                  <w:t>Sujeto Obligado:</w:t>
                </w:r>
              </w:p>
            </w:tc>
            <w:tc>
              <w:tcPr>
                <w:tcW w:w="2977" w:type="dxa"/>
              </w:tcPr>
              <w:p w:rsidR="00056B65" w:rsidRDefault="00031D9D">
                <w:pPr>
                  <w:tabs>
                    <w:tab w:val="left" w:pos="2834"/>
                    <w:tab w:val="right" w:pos="8838"/>
                  </w:tabs>
                  <w:ind w:left="-113" w:right="-107"/>
                  <w:jc w:val="both"/>
                  <w:rPr>
                    <w:rFonts w:ascii="Palatino Linotype" w:eastAsia="Calibri" w:hAnsi="Palatino Linotype" w:cs="Tahoma"/>
                    <w:sz w:val="22"/>
                    <w:szCs w:val="22"/>
                    <w:lang w:eastAsia="en-US"/>
                  </w:rPr>
                </w:pPr>
                <w:r>
                  <w:rPr>
                    <w:rFonts w:ascii="Palatino Linotype" w:eastAsia="Calibri" w:hAnsi="Palatino Linotype" w:cs="Arial"/>
                    <w:bCs/>
                    <w:sz w:val="22"/>
                  </w:rPr>
                  <w:t>Gubernatura</w:t>
                </w:r>
              </w:p>
            </w:tc>
          </w:tr>
          <w:bookmarkEnd w:id="17"/>
          <w:tr w:rsidR="00056B65">
            <w:trPr>
              <w:trHeight w:val="283"/>
            </w:trPr>
            <w:tc>
              <w:tcPr>
                <w:tcW w:w="2551" w:type="dxa"/>
              </w:tcPr>
              <w:p w:rsidR="00056B65" w:rsidRDefault="00031D9D">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2977" w:type="dxa"/>
              </w:tcPr>
              <w:p w:rsidR="00056B65" w:rsidRDefault="00031D9D">
                <w:pPr>
                  <w:tabs>
                    <w:tab w:val="right" w:pos="8838"/>
                  </w:tabs>
                  <w:ind w:left="-113" w:right="-105"/>
                  <w:jc w:val="both"/>
                  <w:rPr>
                    <w:rFonts w:ascii="Palatino Linotype" w:eastAsia="Calibri" w:hAnsi="Palatino Linotype" w:cs="Tahoma"/>
                    <w:b/>
                    <w:sz w:val="22"/>
                    <w:szCs w:val="22"/>
                    <w:lang w:eastAsia="en-US"/>
                  </w:rPr>
                </w:pPr>
                <w:r>
                  <w:rPr>
                    <w:rFonts w:ascii="Palatino Linotype" w:eastAsia="Calibri" w:hAnsi="Palatino Linotype" w:cs="Tahoma"/>
                    <w:sz w:val="22"/>
                    <w:szCs w:val="22"/>
                    <w:lang w:eastAsia="en-US"/>
                  </w:rPr>
                  <w:t>María del Rosario Mejía Ayala</w:t>
                </w:r>
              </w:p>
            </w:tc>
          </w:tr>
        </w:tbl>
        <w:p w:rsidR="00056B65" w:rsidRDefault="00056B65">
          <w:pPr>
            <w:tabs>
              <w:tab w:val="right" w:pos="8838"/>
            </w:tabs>
            <w:ind w:left="-28"/>
            <w:jc w:val="both"/>
            <w:rPr>
              <w:rFonts w:ascii="Arial" w:eastAsia="Calibri" w:hAnsi="Arial" w:cs="Arial"/>
              <w:b/>
              <w:sz w:val="22"/>
              <w:szCs w:val="22"/>
              <w:lang w:eastAsia="en-US"/>
            </w:rPr>
          </w:pPr>
        </w:p>
      </w:tc>
    </w:tr>
  </w:tbl>
  <w:p w:rsidR="00056B65" w:rsidRDefault="00595EA0">
    <w:pPr>
      <w:pStyle w:val="Encabezado"/>
      <w:rPr>
        <w:sz w:val="14"/>
      </w:rPr>
    </w:pPr>
    <w:r>
      <w:rPr>
        <w:sz w:val="14"/>
        <w:lang w:eastAsia="es-MX"/>
      </w:rPr>
      <w:pict w14:anchorId="09618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8752;mso-position-horizontal-relative:margin;mso-position-vertical-relative:margin;mso-width-relative:page;mso-height-relative:page" o:allowincell="f">
          <v:imagedata r:id="rId1" o:title="marcaaguaINFOEM"/>
          <w10:wrap anchorx="margin" anchory="margin"/>
        </v:shape>
      </w:pict>
    </w:r>
  </w:p>
  <w:p w:rsidR="00056B65" w:rsidRDefault="00056B65"/>
  <w:p w:rsidR="00056B65" w:rsidRDefault="00056B65"/>
  <w:p w:rsidR="00056B65" w:rsidRDefault="00056B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056B65">
      <w:trPr>
        <w:trHeight w:val="1435"/>
      </w:trPr>
      <w:tc>
        <w:tcPr>
          <w:tcW w:w="1560" w:type="dxa"/>
          <w:shd w:val="clear" w:color="auto" w:fill="auto"/>
        </w:tcPr>
        <w:p w:rsidR="00056B65" w:rsidRDefault="00056B65">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084"/>
            <w:gridCol w:w="3402"/>
          </w:tblGrid>
          <w:tr w:rsidR="00056B65">
            <w:trPr>
              <w:trHeight w:val="144"/>
            </w:trPr>
            <w:tc>
              <w:tcPr>
                <w:tcW w:w="2444" w:type="dxa"/>
              </w:tcPr>
              <w:p w:rsidR="00056B65" w:rsidRDefault="00031D9D">
                <w:pPr>
                  <w:tabs>
                    <w:tab w:val="right" w:pos="8838"/>
                  </w:tabs>
                  <w:ind w:left="-74" w:right="-105"/>
                  <w:rPr>
                    <w:rFonts w:ascii="Palatino Linotype" w:eastAsia="Calibri" w:hAnsi="Palatino Linotype" w:cs="Tahoma"/>
                    <w:b/>
                    <w:sz w:val="22"/>
                    <w:szCs w:val="22"/>
                    <w:lang w:eastAsia="en-US"/>
                  </w:rPr>
                </w:pPr>
                <w:bookmarkStart w:id="18" w:name="_Hlk12526980"/>
                <w:r>
                  <w:rPr>
                    <w:rFonts w:ascii="Palatino Linotype" w:eastAsia="Calibri" w:hAnsi="Palatino Linotype" w:cs="Tahoma"/>
                    <w:b/>
                    <w:sz w:val="22"/>
                    <w:szCs w:val="22"/>
                    <w:lang w:eastAsia="en-US"/>
                  </w:rPr>
                  <w:t>Recurso de Revisión:</w:t>
                </w:r>
              </w:p>
            </w:tc>
            <w:tc>
              <w:tcPr>
                <w:tcW w:w="3084" w:type="dxa"/>
              </w:tcPr>
              <w:p w:rsidR="00056B65" w:rsidRDefault="00031D9D">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lang w:eastAsia="en-US"/>
                  </w:rPr>
                  <w:t>05178/INFOEM/IP/RR/2024</w:t>
                </w:r>
                <w:r>
                  <w:rPr>
                    <w:rFonts w:ascii="Palatino Linotype" w:eastAsia="Calibri" w:hAnsi="Palatino Linotype" w:cs="Tahoma"/>
                    <w:sz w:val="18"/>
                    <w:lang w:eastAsia="en-US"/>
                  </w:rPr>
                  <w:t xml:space="preserve"> </w:t>
                </w:r>
              </w:p>
            </w:tc>
            <w:tc>
              <w:tcPr>
                <w:tcW w:w="3402" w:type="dxa"/>
              </w:tcPr>
              <w:p w:rsidR="00056B65" w:rsidRDefault="00056B65">
                <w:pPr>
                  <w:tabs>
                    <w:tab w:val="right" w:pos="8838"/>
                  </w:tabs>
                  <w:ind w:left="-74" w:right="-105"/>
                  <w:jc w:val="both"/>
                  <w:rPr>
                    <w:rFonts w:ascii="Palatino Linotype" w:eastAsia="Calibri" w:hAnsi="Palatino Linotype" w:cs="Tahoma"/>
                    <w:bCs/>
                    <w:sz w:val="22"/>
                    <w:szCs w:val="22"/>
                    <w:lang w:eastAsia="en-US"/>
                  </w:rPr>
                </w:pPr>
              </w:p>
            </w:tc>
          </w:tr>
          <w:tr w:rsidR="00056B65">
            <w:trPr>
              <w:trHeight w:val="144"/>
            </w:trPr>
            <w:tc>
              <w:tcPr>
                <w:tcW w:w="2444" w:type="dxa"/>
              </w:tcPr>
              <w:p w:rsidR="00056B65" w:rsidRDefault="00031D9D">
                <w:pPr>
                  <w:tabs>
                    <w:tab w:val="right" w:pos="8838"/>
                  </w:tabs>
                  <w:ind w:left="-74" w:right="-105"/>
                  <w:rPr>
                    <w:rFonts w:ascii="Palatino Linotype" w:eastAsia="Calibri" w:hAnsi="Palatino Linotype" w:cs="Tahoma"/>
                    <w:b/>
                    <w:sz w:val="22"/>
                    <w:szCs w:val="22"/>
                    <w:lang w:eastAsia="en-US"/>
                  </w:rPr>
                </w:pPr>
                <w:bookmarkStart w:id="19" w:name="_Hlk10641523"/>
                <w:bookmarkEnd w:id="18"/>
                <w:r>
                  <w:rPr>
                    <w:rFonts w:ascii="Palatino Linotype" w:eastAsia="Calibri" w:hAnsi="Palatino Linotype" w:cs="Tahoma"/>
                    <w:b/>
                    <w:sz w:val="22"/>
                    <w:szCs w:val="22"/>
                    <w:lang w:eastAsia="en-US"/>
                  </w:rPr>
                  <w:t>Recurrente:</w:t>
                </w:r>
              </w:p>
            </w:tc>
            <w:tc>
              <w:tcPr>
                <w:tcW w:w="3084" w:type="dxa"/>
              </w:tcPr>
              <w:p w:rsidR="00056B65" w:rsidRDefault="00056B65">
                <w:pPr>
                  <w:tabs>
                    <w:tab w:val="left" w:pos="3122"/>
                    <w:tab w:val="right" w:pos="8838"/>
                  </w:tabs>
                  <w:ind w:right="178"/>
                  <w:jc w:val="both"/>
                  <w:rPr>
                    <w:rFonts w:ascii="Palatino Linotype" w:eastAsia="Calibri" w:hAnsi="Palatino Linotype" w:cs="Tahoma"/>
                    <w:sz w:val="22"/>
                    <w:szCs w:val="22"/>
                    <w:lang w:eastAsia="en-US"/>
                  </w:rPr>
                </w:pPr>
              </w:p>
            </w:tc>
            <w:tc>
              <w:tcPr>
                <w:tcW w:w="3402" w:type="dxa"/>
              </w:tcPr>
              <w:p w:rsidR="00056B65" w:rsidRDefault="00056B65">
                <w:pPr>
                  <w:tabs>
                    <w:tab w:val="left" w:pos="3122"/>
                    <w:tab w:val="right" w:pos="8838"/>
                  </w:tabs>
                  <w:ind w:right="-105"/>
                  <w:jc w:val="both"/>
                  <w:rPr>
                    <w:rFonts w:ascii="Palatino Linotype" w:eastAsia="Calibri" w:hAnsi="Palatino Linotype" w:cs="Tahoma"/>
                    <w:sz w:val="22"/>
                    <w:szCs w:val="22"/>
                    <w:lang w:eastAsia="en-US"/>
                  </w:rPr>
                </w:pPr>
              </w:p>
            </w:tc>
          </w:tr>
          <w:bookmarkEnd w:id="19"/>
          <w:tr w:rsidR="00056B65">
            <w:trPr>
              <w:trHeight w:val="283"/>
            </w:trPr>
            <w:tc>
              <w:tcPr>
                <w:tcW w:w="2444" w:type="dxa"/>
              </w:tcPr>
              <w:p w:rsidR="00056B65" w:rsidRDefault="00031D9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3084" w:type="dxa"/>
              </w:tcPr>
              <w:p w:rsidR="00056B65" w:rsidRDefault="00031D9D">
                <w:pPr>
                  <w:tabs>
                    <w:tab w:val="left" w:pos="2834"/>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Arial"/>
                    <w:bCs/>
                    <w:sz w:val="22"/>
                  </w:rPr>
                  <w:t>Gubernatura</w:t>
                </w:r>
              </w:p>
            </w:tc>
            <w:tc>
              <w:tcPr>
                <w:tcW w:w="3402" w:type="dxa"/>
              </w:tcPr>
              <w:p w:rsidR="00056B65" w:rsidRDefault="00056B65">
                <w:pPr>
                  <w:tabs>
                    <w:tab w:val="left" w:pos="2834"/>
                    <w:tab w:val="right" w:pos="8838"/>
                  </w:tabs>
                  <w:ind w:left="-74" w:right="-105"/>
                  <w:jc w:val="both"/>
                  <w:rPr>
                    <w:rFonts w:ascii="Palatino Linotype" w:eastAsia="Calibri" w:hAnsi="Palatino Linotype" w:cs="Tahoma"/>
                    <w:sz w:val="22"/>
                    <w:szCs w:val="22"/>
                    <w:lang w:eastAsia="en-US"/>
                  </w:rPr>
                </w:pPr>
              </w:p>
            </w:tc>
          </w:tr>
          <w:tr w:rsidR="00056B65">
            <w:trPr>
              <w:trHeight w:val="283"/>
            </w:trPr>
            <w:tc>
              <w:tcPr>
                <w:tcW w:w="2444" w:type="dxa"/>
              </w:tcPr>
              <w:p w:rsidR="00056B65" w:rsidRDefault="00031D9D">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3084" w:type="dxa"/>
              </w:tcPr>
              <w:p w:rsidR="00056B65" w:rsidRDefault="00031D9D">
                <w:pPr>
                  <w:tabs>
                    <w:tab w:val="right" w:pos="8838"/>
                  </w:tabs>
                  <w:ind w:left="-3" w:right="-105"/>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María del Rosario Mejía Ayala</w:t>
                </w:r>
              </w:p>
            </w:tc>
            <w:tc>
              <w:tcPr>
                <w:tcW w:w="3402" w:type="dxa"/>
              </w:tcPr>
              <w:p w:rsidR="00056B65" w:rsidRDefault="00056B65">
                <w:pPr>
                  <w:tabs>
                    <w:tab w:val="right" w:pos="8838"/>
                  </w:tabs>
                  <w:ind w:left="-74" w:right="-105"/>
                  <w:jc w:val="both"/>
                  <w:rPr>
                    <w:rFonts w:ascii="Palatino Linotype" w:eastAsia="Calibri" w:hAnsi="Palatino Linotype" w:cs="Tahoma"/>
                    <w:sz w:val="22"/>
                    <w:szCs w:val="22"/>
                    <w:lang w:eastAsia="en-US"/>
                  </w:rPr>
                </w:pPr>
              </w:p>
            </w:tc>
          </w:tr>
        </w:tbl>
        <w:p w:rsidR="00056B65" w:rsidRDefault="00056B65">
          <w:pPr>
            <w:tabs>
              <w:tab w:val="right" w:pos="8838"/>
            </w:tabs>
            <w:ind w:left="-28"/>
            <w:jc w:val="both"/>
            <w:rPr>
              <w:rFonts w:ascii="Arial" w:eastAsia="Calibri" w:hAnsi="Arial" w:cs="Arial"/>
              <w:b/>
              <w:sz w:val="22"/>
              <w:szCs w:val="22"/>
              <w:lang w:eastAsia="en-US"/>
            </w:rPr>
          </w:pPr>
        </w:p>
      </w:tc>
    </w:tr>
  </w:tbl>
  <w:p w:rsidR="00056B65" w:rsidRDefault="00595EA0">
    <w:pPr>
      <w:pStyle w:val="Encabezado"/>
      <w:tabs>
        <w:tab w:val="clear" w:pos="4419"/>
        <w:tab w:val="clear" w:pos="8838"/>
        <w:tab w:val="center" w:pos="4522"/>
      </w:tabs>
    </w:pPr>
    <w:r>
      <w:rPr>
        <w:sz w:val="14"/>
        <w:szCs w:val="22"/>
        <w:lang w:eastAsia="es-MX"/>
      </w:rPr>
      <w:pict w14:anchorId="36E5A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9776;mso-position-horizontal-relative:margin;mso-position-vertical-relative:margin;mso-width-relative:page;mso-height-relative:page" o:allowincell="f">
          <v:imagedata r:id="rId1" o:title="marcaaguaINFOEM"/>
          <w10:wrap anchorx="margin" anchory="margin"/>
        </v:shape>
      </w:pict>
    </w:r>
  </w:p>
  <w:p w:rsidR="00056B65" w:rsidRDefault="00056B65"/>
  <w:p w:rsidR="00056B65" w:rsidRDefault="00056B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17490"/>
    <w:multiLevelType w:val="multilevel"/>
    <w:tmpl w:val="34317490"/>
    <w:lvl w:ilvl="0">
      <w:start w:val="1"/>
      <w:numFmt w:val="decimal"/>
      <w:lvlText w:val="%1."/>
      <w:lvlJc w:val="left"/>
      <w:pPr>
        <w:ind w:left="4613" w:hanging="360"/>
      </w:pPr>
      <w:rPr>
        <w:rFonts w:ascii="Palatino Linotype" w:hAnsi="Palatino Linotype" w:hint="default"/>
        <w:b/>
        <w:i w:val="0"/>
        <w:color w:val="auto"/>
        <w:sz w:val="24"/>
      </w:rPr>
    </w:lvl>
    <w:lvl w:ilvl="1">
      <w:start w:val="1"/>
      <w:numFmt w:val="upperRoman"/>
      <w:lvlText w:val="%2."/>
      <w:lvlJc w:val="left"/>
      <w:pPr>
        <w:ind w:left="1800" w:hanging="720"/>
      </w:pPr>
      <w:rPr>
        <w:rFonts w:ascii="Palatino Linotype" w:hAnsi="Palatino Linotype" w:hint="default"/>
        <w:b/>
        <w:color w:val="auto"/>
        <w:sz w:val="24"/>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8129A"/>
    <w:multiLevelType w:val="multilevel"/>
    <w:tmpl w:val="5F081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06"/>
    <w:rsid w:val="00031D9D"/>
    <w:rsid w:val="00056B65"/>
    <w:rsid w:val="00095A69"/>
    <w:rsid w:val="00120A67"/>
    <w:rsid w:val="00233E14"/>
    <w:rsid w:val="003A6C13"/>
    <w:rsid w:val="004D1506"/>
    <w:rsid w:val="005820D1"/>
    <w:rsid w:val="00595EA0"/>
    <w:rsid w:val="006757CD"/>
    <w:rsid w:val="008344CE"/>
    <w:rsid w:val="008D708F"/>
    <w:rsid w:val="009C4F72"/>
    <w:rsid w:val="009E7E4A"/>
    <w:rsid w:val="00B41E3A"/>
    <w:rsid w:val="00C25030"/>
    <w:rsid w:val="082D4EF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897C1E-0D4C-4247-8251-A244B117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unhideWhenUsed/>
    <w:qFormat/>
    <w:rPr>
      <w:rFonts w:ascii="Calibri" w:eastAsia="Calibri" w:hAnsi="Calibri"/>
      <w:lang w:eastAsia="en-US"/>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table" w:styleId="Tablaconcuadrcula">
    <w:name w:val="Table Grid"/>
    <w:basedOn w:val="Tablanormal"/>
    <w:uiPriority w:val="39"/>
    <w:qFormat/>
    <w:rPr>
      <w:rFonts w:ascii="Times New Roman" w:eastAsia="SimSun" w:hAnsi="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lang w:eastAsia="es-ES"/>
    </w:rPr>
  </w:style>
  <w:style w:type="character" w:customStyle="1" w:styleId="TextonotapieCar">
    <w:name w:val="Texto nota pie Car"/>
    <w:basedOn w:val="Fuentedeprrafopredeter"/>
    <w:link w:val="Textonotapie"/>
    <w:uiPriority w:val="99"/>
    <w:qFormat/>
    <w:rPr>
      <w:rFonts w:ascii="Calibri" w:eastAsia="Calibri" w:hAnsi="Calibri" w:cs="Times New Roman"/>
      <w:sz w:val="20"/>
      <w:szCs w:val="20"/>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basedOn w:val="Fuentedeprrafopredeter"/>
    <w:link w:val="Prrafodelista"/>
    <w:uiPriority w:val="34"/>
    <w:qFormat/>
    <w:rPr>
      <w:rFonts w:ascii="Century Gothic" w:eastAsia="Times New Roman" w:hAnsi="Century Gothic" w:cs="Times New Roman"/>
      <w:szCs w:val="24"/>
      <w:lang w:eastAsia="es-E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0150.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18117.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3901</Words>
  <Characters>21457</Characters>
  <Application>Microsoft Office Word</Application>
  <DocSecurity>0</DocSecurity>
  <Lines>178</Lines>
  <Paragraphs>50</Paragraphs>
  <ScaleCrop>false</ScaleCrop>
  <Company>HP Inc.</Company>
  <LinksUpToDate>false</LinksUpToDate>
  <CharactersWithSpaces>25308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3</cp:revision>
  <dcterms:created xsi:type="dcterms:W3CDTF">2024-12-11T23:25:00Z</dcterms:created>
  <dcterms:modified xsi:type="dcterms:W3CDTF">2025-01-24T00:29:00Z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490E8B2536C540C1B4303E0802C104CA_12</vt:lpwstr>
  </property>
</Properties>
</file>