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7FE3F" w14:textId="035FB516" w:rsidR="00397333" w:rsidRPr="000D4651" w:rsidRDefault="00B16908" w:rsidP="00FF2F15">
      <w:pPr>
        <w:spacing w:line="360" w:lineRule="auto"/>
        <w:jc w:val="both"/>
        <w:rPr>
          <w:rFonts w:ascii="Palatino Linotype" w:eastAsia="Palatino Linotype" w:hAnsi="Palatino Linotype" w:cs="Palatino Linotype"/>
          <w:sz w:val="22"/>
          <w:szCs w:val="22"/>
        </w:rPr>
      </w:pPr>
      <w:r w:rsidRPr="000D4651">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w:t>
      </w:r>
      <w:r w:rsidR="00104B28" w:rsidRPr="000D4651">
        <w:rPr>
          <w:rFonts w:ascii="Palatino Linotype" w:eastAsia="Palatino Linotype" w:hAnsi="Palatino Linotype" w:cs="Palatino Linotype"/>
          <w:sz w:val="22"/>
          <w:szCs w:val="22"/>
        </w:rPr>
        <w:t xml:space="preserve">fecha </w:t>
      </w:r>
      <w:r w:rsidR="00246B4C" w:rsidRPr="000D4651">
        <w:rPr>
          <w:rFonts w:ascii="Palatino Linotype" w:eastAsia="Palatino Linotype" w:hAnsi="Palatino Linotype" w:cs="Palatino Linotype"/>
          <w:sz w:val="22"/>
          <w:szCs w:val="22"/>
        </w:rPr>
        <w:t>veintiuno</w:t>
      </w:r>
      <w:r w:rsidR="00D60904" w:rsidRPr="000D4651">
        <w:rPr>
          <w:rFonts w:ascii="Palatino Linotype" w:eastAsia="Palatino Linotype" w:hAnsi="Palatino Linotype" w:cs="Palatino Linotype"/>
          <w:sz w:val="22"/>
          <w:szCs w:val="22"/>
        </w:rPr>
        <w:t xml:space="preserve"> de </w:t>
      </w:r>
      <w:r w:rsidR="000C2CC6" w:rsidRPr="000D4651">
        <w:rPr>
          <w:rFonts w:ascii="Palatino Linotype" w:eastAsia="Palatino Linotype" w:hAnsi="Palatino Linotype" w:cs="Palatino Linotype"/>
          <w:sz w:val="22"/>
          <w:szCs w:val="22"/>
        </w:rPr>
        <w:t>noviembre</w:t>
      </w:r>
      <w:r w:rsidR="002D5DCE" w:rsidRPr="000D4651">
        <w:rPr>
          <w:rFonts w:ascii="Palatino Linotype" w:eastAsia="Palatino Linotype" w:hAnsi="Palatino Linotype" w:cs="Palatino Linotype"/>
          <w:sz w:val="22"/>
          <w:szCs w:val="22"/>
        </w:rPr>
        <w:t xml:space="preserve"> de dos mil veinticuatro</w:t>
      </w:r>
      <w:r w:rsidR="00C33785" w:rsidRPr="000D4651">
        <w:rPr>
          <w:rFonts w:ascii="Palatino Linotype" w:eastAsia="Palatino Linotype" w:hAnsi="Palatino Linotype" w:cs="Palatino Linotype"/>
          <w:sz w:val="22"/>
          <w:szCs w:val="22"/>
        </w:rPr>
        <w:t xml:space="preserve">. </w:t>
      </w:r>
    </w:p>
    <w:p w14:paraId="5B717437" w14:textId="77777777" w:rsidR="00B91112" w:rsidRPr="000D4651" w:rsidRDefault="00B91112" w:rsidP="00FF2F15">
      <w:pPr>
        <w:spacing w:line="360" w:lineRule="auto"/>
        <w:jc w:val="both"/>
        <w:rPr>
          <w:rFonts w:ascii="Palatino Linotype" w:eastAsia="Palatino Linotype" w:hAnsi="Palatino Linotype" w:cs="Palatino Linotype"/>
          <w:sz w:val="22"/>
          <w:szCs w:val="22"/>
        </w:rPr>
      </w:pPr>
    </w:p>
    <w:p w14:paraId="2136A93F" w14:textId="62FB2EFA" w:rsidR="00397333" w:rsidRPr="000D4651" w:rsidRDefault="00B16908" w:rsidP="00FF2F15">
      <w:pPr>
        <w:spacing w:line="360" w:lineRule="auto"/>
        <w:jc w:val="both"/>
        <w:rPr>
          <w:rFonts w:ascii="Palatino Linotype" w:eastAsia="Palatino Linotype" w:hAnsi="Palatino Linotype" w:cs="Palatino Linotype"/>
          <w:b/>
          <w:sz w:val="22"/>
          <w:szCs w:val="22"/>
        </w:rPr>
      </w:pPr>
      <w:r w:rsidRPr="000D4651">
        <w:rPr>
          <w:rFonts w:ascii="Palatino Linotype" w:eastAsia="Palatino Linotype" w:hAnsi="Palatino Linotype" w:cs="Palatino Linotype"/>
          <w:b/>
          <w:sz w:val="22"/>
          <w:szCs w:val="22"/>
        </w:rPr>
        <w:t>Visto</w:t>
      </w:r>
      <w:r w:rsidRPr="000D4651">
        <w:rPr>
          <w:rFonts w:ascii="Palatino Linotype" w:eastAsia="Palatino Linotype" w:hAnsi="Palatino Linotype" w:cs="Palatino Linotype"/>
          <w:sz w:val="22"/>
          <w:szCs w:val="22"/>
        </w:rPr>
        <w:t xml:space="preserve"> el expediente relativo al recurso de revisión </w:t>
      </w:r>
      <w:r w:rsidR="00246B4C" w:rsidRPr="000D4651">
        <w:rPr>
          <w:rFonts w:ascii="Palatino Linotype" w:eastAsia="Palatino Linotype" w:hAnsi="Palatino Linotype" w:cs="Palatino Linotype"/>
          <w:b/>
          <w:sz w:val="22"/>
          <w:szCs w:val="22"/>
        </w:rPr>
        <w:t>06554/INFOEM/IP/RR/2024</w:t>
      </w:r>
      <w:r w:rsidRPr="000D4651">
        <w:rPr>
          <w:rFonts w:ascii="Palatino Linotype" w:eastAsia="Palatino Linotype" w:hAnsi="Palatino Linotype" w:cs="Palatino Linotype"/>
          <w:sz w:val="22"/>
          <w:szCs w:val="22"/>
        </w:rPr>
        <w:t xml:space="preserve">, interpuesto por </w:t>
      </w:r>
      <w:r w:rsidR="00D14848" w:rsidRPr="00D14848">
        <w:rPr>
          <w:rFonts w:ascii="Palatino Linotype" w:eastAsia="Palatino Linotype" w:hAnsi="Palatino Linotype" w:cs="Palatino Linotype"/>
          <w:b/>
          <w:sz w:val="22"/>
          <w:szCs w:val="22"/>
        </w:rPr>
        <w:t>XXXXXXX</w:t>
      </w:r>
      <w:r w:rsidR="00577C03" w:rsidRPr="000D4651">
        <w:rPr>
          <w:rFonts w:ascii="Palatino Linotype" w:eastAsia="Palatino Linotype" w:hAnsi="Palatino Linotype" w:cs="Palatino Linotype"/>
          <w:b/>
          <w:sz w:val="22"/>
          <w:szCs w:val="22"/>
        </w:rPr>
        <w:t>,</w:t>
      </w:r>
      <w:r w:rsidRPr="000D4651">
        <w:rPr>
          <w:rFonts w:ascii="Palatino Linotype" w:eastAsia="Palatino Linotype" w:hAnsi="Palatino Linotype" w:cs="Palatino Linotype"/>
          <w:sz w:val="22"/>
          <w:szCs w:val="22"/>
        </w:rPr>
        <w:t xml:space="preserve"> </w:t>
      </w:r>
      <w:r w:rsidR="00CA5E07" w:rsidRPr="000D4651">
        <w:rPr>
          <w:rFonts w:ascii="Palatino Linotype" w:eastAsia="Palatino Linotype" w:hAnsi="Palatino Linotype" w:cs="Palatino Linotype"/>
          <w:sz w:val="22"/>
          <w:szCs w:val="22"/>
        </w:rPr>
        <w:t xml:space="preserve">en </w:t>
      </w:r>
      <w:r w:rsidRPr="000D4651">
        <w:rPr>
          <w:rFonts w:ascii="Palatino Linotype" w:eastAsia="Palatino Linotype" w:hAnsi="Palatino Linotype" w:cs="Palatino Linotype"/>
          <w:sz w:val="22"/>
          <w:szCs w:val="22"/>
        </w:rPr>
        <w:t xml:space="preserve">lo sucesivo se le denominará </w:t>
      </w:r>
      <w:r w:rsidR="002B0818" w:rsidRPr="000D4651">
        <w:rPr>
          <w:rFonts w:ascii="Palatino Linotype" w:eastAsia="Palatino Linotype" w:hAnsi="Palatino Linotype" w:cs="Palatino Linotype"/>
          <w:sz w:val="22"/>
          <w:szCs w:val="22"/>
        </w:rPr>
        <w:t>la parte</w:t>
      </w:r>
      <w:r w:rsidRPr="000D4651">
        <w:rPr>
          <w:rFonts w:ascii="Palatino Linotype" w:eastAsia="Palatino Linotype" w:hAnsi="Palatino Linotype" w:cs="Palatino Linotype"/>
          <w:b/>
          <w:sz w:val="22"/>
          <w:szCs w:val="22"/>
        </w:rPr>
        <w:t xml:space="preserve"> RECURRENTE</w:t>
      </w:r>
      <w:r w:rsidRPr="000D4651">
        <w:rPr>
          <w:rFonts w:ascii="Palatino Linotype" w:eastAsia="Palatino Linotype" w:hAnsi="Palatino Linotype" w:cs="Palatino Linotype"/>
          <w:sz w:val="22"/>
          <w:szCs w:val="22"/>
        </w:rPr>
        <w:t>, en contra de la respuesta a su solicitud de información con número de folio</w:t>
      </w:r>
      <w:r w:rsidR="002D5DCE" w:rsidRPr="000D4651">
        <w:rPr>
          <w:rFonts w:ascii="Palatino Linotype" w:eastAsia="Palatino Linotype" w:hAnsi="Palatino Linotype" w:cs="Palatino Linotype"/>
          <w:b/>
          <w:sz w:val="22"/>
          <w:szCs w:val="22"/>
        </w:rPr>
        <w:t xml:space="preserve"> </w:t>
      </w:r>
      <w:r w:rsidR="002134D3" w:rsidRPr="000D4651">
        <w:rPr>
          <w:rFonts w:ascii="Palatino Linotype" w:eastAsia="Palatino Linotype" w:hAnsi="Palatino Linotype" w:cs="Palatino Linotype"/>
          <w:b/>
          <w:sz w:val="22"/>
          <w:szCs w:val="22"/>
        </w:rPr>
        <w:t>00</w:t>
      </w:r>
      <w:r w:rsidR="00246B4C" w:rsidRPr="000D4651">
        <w:rPr>
          <w:rFonts w:ascii="Palatino Linotype" w:eastAsia="Palatino Linotype" w:hAnsi="Palatino Linotype" w:cs="Palatino Linotype"/>
          <w:b/>
          <w:sz w:val="22"/>
          <w:szCs w:val="22"/>
        </w:rPr>
        <w:t>662</w:t>
      </w:r>
      <w:r w:rsidR="002134D3" w:rsidRPr="000D4651">
        <w:rPr>
          <w:rFonts w:ascii="Palatino Linotype" w:eastAsia="Palatino Linotype" w:hAnsi="Palatino Linotype" w:cs="Palatino Linotype"/>
          <w:b/>
          <w:sz w:val="22"/>
          <w:szCs w:val="22"/>
        </w:rPr>
        <w:t>/</w:t>
      </w:r>
      <w:r w:rsidR="00246B4C" w:rsidRPr="000D4651">
        <w:rPr>
          <w:rFonts w:ascii="Palatino Linotype" w:eastAsia="Palatino Linotype" w:hAnsi="Palatino Linotype" w:cs="Palatino Linotype"/>
          <w:b/>
          <w:sz w:val="22"/>
          <w:szCs w:val="22"/>
        </w:rPr>
        <w:t>SF/</w:t>
      </w:r>
      <w:r w:rsidR="002134D3" w:rsidRPr="000D4651">
        <w:rPr>
          <w:rFonts w:ascii="Palatino Linotype" w:eastAsia="Palatino Linotype" w:hAnsi="Palatino Linotype" w:cs="Palatino Linotype"/>
          <w:b/>
          <w:sz w:val="22"/>
          <w:szCs w:val="22"/>
        </w:rPr>
        <w:t>IP/2024</w:t>
      </w:r>
      <w:r w:rsidRPr="000D4651">
        <w:rPr>
          <w:rFonts w:ascii="Palatino Linotype" w:eastAsia="Palatino Linotype" w:hAnsi="Palatino Linotype" w:cs="Palatino Linotype"/>
          <w:sz w:val="22"/>
          <w:szCs w:val="22"/>
        </w:rPr>
        <w:t xml:space="preserve">, por parte </w:t>
      </w:r>
      <w:r w:rsidR="00B427D7" w:rsidRPr="000D4651">
        <w:rPr>
          <w:rFonts w:ascii="Palatino Linotype" w:eastAsia="Palatino Linotype" w:hAnsi="Palatino Linotype" w:cs="Palatino Linotype"/>
          <w:sz w:val="22"/>
          <w:szCs w:val="22"/>
        </w:rPr>
        <w:t>d</w:t>
      </w:r>
      <w:r w:rsidR="00246B4C" w:rsidRPr="000D4651">
        <w:rPr>
          <w:rFonts w:ascii="Palatino Linotype" w:eastAsia="Palatino Linotype" w:hAnsi="Palatino Linotype" w:cs="Palatino Linotype"/>
          <w:sz w:val="22"/>
          <w:szCs w:val="22"/>
        </w:rPr>
        <w:t>e la</w:t>
      </w:r>
      <w:r w:rsidR="00B427D7" w:rsidRPr="000D4651">
        <w:rPr>
          <w:rFonts w:ascii="Palatino Linotype" w:eastAsia="Palatino Linotype" w:hAnsi="Palatino Linotype" w:cs="Palatino Linotype"/>
          <w:sz w:val="22"/>
          <w:szCs w:val="22"/>
        </w:rPr>
        <w:t xml:space="preserve"> </w:t>
      </w:r>
      <w:r w:rsidR="00246B4C" w:rsidRPr="000D4651">
        <w:rPr>
          <w:rFonts w:ascii="Palatino Linotype" w:eastAsia="Palatino Linotype" w:hAnsi="Palatino Linotype" w:cs="Palatino Linotype"/>
          <w:b/>
          <w:sz w:val="22"/>
          <w:szCs w:val="22"/>
        </w:rPr>
        <w:t>Secretaría de Finanzas</w:t>
      </w:r>
      <w:r w:rsidR="005514B2" w:rsidRPr="000D4651">
        <w:rPr>
          <w:rFonts w:ascii="Palatino Linotype" w:eastAsia="Palatino Linotype" w:hAnsi="Palatino Linotype" w:cs="Palatino Linotype"/>
          <w:b/>
          <w:sz w:val="22"/>
          <w:szCs w:val="22"/>
        </w:rPr>
        <w:t xml:space="preserve"> </w:t>
      </w:r>
      <w:r w:rsidRPr="000D4651">
        <w:rPr>
          <w:rFonts w:ascii="Palatino Linotype" w:eastAsia="Palatino Linotype" w:hAnsi="Palatino Linotype" w:cs="Palatino Linotype"/>
          <w:sz w:val="22"/>
          <w:szCs w:val="22"/>
        </w:rPr>
        <w:t xml:space="preserve">en lo sucesivo el </w:t>
      </w:r>
      <w:r w:rsidRPr="000D4651">
        <w:rPr>
          <w:rFonts w:ascii="Palatino Linotype" w:eastAsia="Palatino Linotype" w:hAnsi="Palatino Linotype" w:cs="Palatino Linotype"/>
          <w:b/>
          <w:sz w:val="22"/>
          <w:szCs w:val="22"/>
        </w:rPr>
        <w:t>SUJETO OBLIGADO</w:t>
      </w:r>
      <w:r w:rsidRPr="000D4651">
        <w:rPr>
          <w:rFonts w:ascii="Palatino Linotype" w:eastAsia="Palatino Linotype" w:hAnsi="Palatino Linotype" w:cs="Palatino Linotype"/>
          <w:sz w:val="22"/>
          <w:szCs w:val="22"/>
        </w:rPr>
        <w:t>;</w:t>
      </w:r>
      <w:r w:rsidRPr="000D4651">
        <w:rPr>
          <w:rFonts w:ascii="Palatino Linotype" w:eastAsia="Palatino Linotype" w:hAnsi="Palatino Linotype" w:cs="Palatino Linotype"/>
          <w:b/>
          <w:sz w:val="22"/>
          <w:szCs w:val="22"/>
        </w:rPr>
        <w:t xml:space="preserve"> </w:t>
      </w:r>
      <w:r w:rsidRPr="000D4651">
        <w:rPr>
          <w:rFonts w:ascii="Palatino Linotype" w:eastAsia="Palatino Linotype" w:hAnsi="Palatino Linotype" w:cs="Palatino Linotype"/>
          <w:sz w:val="22"/>
          <w:szCs w:val="22"/>
        </w:rPr>
        <w:t>se procede a dictar la presente resolución, con base en los siguientes:</w:t>
      </w:r>
    </w:p>
    <w:p w14:paraId="3F31CC01" w14:textId="77777777" w:rsidR="00FD7323" w:rsidRPr="000D4651" w:rsidRDefault="00FD7323" w:rsidP="00FF2F15">
      <w:pPr>
        <w:spacing w:line="360" w:lineRule="auto"/>
        <w:jc w:val="both"/>
        <w:rPr>
          <w:rFonts w:ascii="Palatino Linotype" w:eastAsia="Palatino Linotype" w:hAnsi="Palatino Linotype" w:cs="Palatino Linotype"/>
          <w:sz w:val="22"/>
          <w:szCs w:val="22"/>
        </w:rPr>
      </w:pPr>
    </w:p>
    <w:p w14:paraId="43E80708" w14:textId="77777777" w:rsidR="00397333" w:rsidRPr="000D4651" w:rsidRDefault="00B16908" w:rsidP="00FF2F15">
      <w:pPr>
        <w:numPr>
          <w:ilvl w:val="0"/>
          <w:numId w:val="2"/>
        </w:numPr>
        <w:pBdr>
          <w:top w:val="nil"/>
          <w:left w:val="nil"/>
          <w:bottom w:val="nil"/>
          <w:right w:val="nil"/>
          <w:between w:val="nil"/>
        </w:pBdr>
        <w:spacing w:line="360" w:lineRule="auto"/>
        <w:ind w:left="993" w:hanging="276"/>
        <w:jc w:val="center"/>
        <w:rPr>
          <w:rFonts w:ascii="Palatino Linotype" w:eastAsia="Palatino Linotype" w:hAnsi="Palatino Linotype" w:cs="Palatino Linotype"/>
          <w:b/>
          <w:sz w:val="22"/>
          <w:szCs w:val="22"/>
        </w:rPr>
      </w:pPr>
      <w:r w:rsidRPr="000D4651">
        <w:rPr>
          <w:rFonts w:ascii="Palatino Linotype" w:eastAsia="Palatino Linotype" w:hAnsi="Palatino Linotype" w:cs="Palatino Linotype"/>
          <w:b/>
          <w:sz w:val="22"/>
          <w:szCs w:val="22"/>
        </w:rPr>
        <w:t>A N T E C E D E N T E S:</w:t>
      </w:r>
    </w:p>
    <w:p w14:paraId="37629353" w14:textId="77777777" w:rsidR="00397333" w:rsidRPr="000D4651" w:rsidRDefault="00397333" w:rsidP="00FF2F15">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lang w:val="es-419"/>
        </w:rPr>
      </w:pPr>
    </w:p>
    <w:p w14:paraId="5BBAB3B0" w14:textId="2E8D7371" w:rsidR="00397333" w:rsidRPr="000D4651" w:rsidRDefault="00B16908" w:rsidP="00FF2F15">
      <w:pPr>
        <w:numPr>
          <w:ilvl w:val="1"/>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sz w:val="22"/>
          <w:szCs w:val="22"/>
        </w:rPr>
      </w:pPr>
      <w:r w:rsidRPr="000D4651">
        <w:rPr>
          <w:rFonts w:ascii="Palatino Linotype" w:eastAsia="Palatino Linotype" w:hAnsi="Palatino Linotype" w:cs="Palatino Linotype"/>
          <w:b/>
          <w:sz w:val="22"/>
          <w:szCs w:val="22"/>
        </w:rPr>
        <w:t xml:space="preserve">Solicitud de acceso a la información. </w:t>
      </w:r>
      <w:r w:rsidRPr="000D4651">
        <w:rPr>
          <w:rFonts w:ascii="Palatino Linotype" w:eastAsia="Palatino Linotype" w:hAnsi="Palatino Linotype" w:cs="Palatino Linotype"/>
          <w:sz w:val="22"/>
          <w:szCs w:val="22"/>
        </w:rPr>
        <w:t xml:space="preserve">Con fecha </w:t>
      </w:r>
      <w:r w:rsidR="00246B4C" w:rsidRPr="000D4651">
        <w:rPr>
          <w:rFonts w:ascii="Palatino Linotype" w:eastAsia="Palatino Linotype" w:hAnsi="Palatino Linotype" w:cs="Palatino Linotype"/>
          <w:b/>
          <w:sz w:val="22"/>
          <w:szCs w:val="22"/>
        </w:rPr>
        <w:t>diecinueve</w:t>
      </w:r>
      <w:r w:rsidR="005514B2" w:rsidRPr="000D4651">
        <w:rPr>
          <w:rFonts w:ascii="Palatino Linotype" w:eastAsia="Palatino Linotype" w:hAnsi="Palatino Linotype" w:cs="Palatino Linotype"/>
          <w:b/>
          <w:sz w:val="22"/>
          <w:szCs w:val="22"/>
        </w:rPr>
        <w:t xml:space="preserve"> de </w:t>
      </w:r>
      <w:r w:rsidR="00246B4C" w:rsidRPr="000D4651">
        <w:rPr>
          <w:rFonts w:ascii="Palatino Linotype" w:eastAsia="Palatino Linotype" w:hAnsi="Palatino Linotype" w:cs="Palatino Linotype"/>
          <w:b/>
          <w:sz w:val="22"/>
          <w:szCs w:val="22"/>
        </w:rPr>
        <w:t>septiembre</w:t>
      </w:r>
      <w:r w:rsidR="005514B2" w:rsidRPr="000D4651">
        <w:rPr>
          <w:rFonts w:ascii="Palatino Linotype" w:eastAsia="Palatino Linotype" w:hAnsi="Palatino Linotype" w:cs="Palatino Linotype"/>
          <w:b/>
          <w:sz w:val="22"/>
          <w:szCs w:val="22"/>
        </w:rPr>
        <w:t xml:space="preserve"> de dos mil veinticuatro</w:t>
      </w:r>
      <w:r w:rsidRPr="000D4651">
        <w:rPr>
          <w:rFonts w:ascii="Palatino Linotype" w:eastAsia="Palatino Linotype" w:hAnsi="Palatino Linotype" w:cs="Palatino Linotype"/>
          <w:sz w:val="22"/>
          <w:szCs w:val="22"/>
        </w:rPr>
        <w:t xml:space="preserve">, la parte </w:t>
      </w:r>
      <w:r w:rsidRPr="000D4651">
        <w:rPr>
          <w:rFonts w:ascii="Palatino Linotype" w:eastAsia="Palatino Linotype" w:hAnsi="Palatino Linotype" w:cs="Palatino Linotype"/>
          <w:b/>
          <w:sz w:val="22"/>
          <w:szCs w:val="22"/>
        </w:rPr>
        <w:t>RECURRENTE</w:t>
      </w:r>
      <w:r w:rsidRPr="000D4651">
        <w:rPr>
          <w:rFonts w:ascii="Palatino Linotype" w:eastAsia="Palatino Linotype" w:hAnsi="Palatino Linotype" w:cs="Palatino Linotype"/>
          <w:sz w:val="22"/>
          <w:szCs w:val="22"/>
        </w:rPr>
        <w:t xml:space="preserve"> formuló solicitud de acceso a información pública al </w:t>
      </w:r>
      <w:r w:rsidRPr="000D4651">
        <w:rPr>
          <w:rFonts w:ascii="Palatino Linotype" w:eastAsia="Palatino Linotype" w:hAnsi="Palatino Linotype" w:cs="Palatino Linotype"/>
          <w:b/>
          <w:sz w:val="22"/>
          <w:szCs w:val="22"/>
        </w:rPr>
        <w:t>SUJETO OBLIGADO</w:t>
      </w:r>
      <w:r w:rsidRPr="000D4651">
        <w:rPr>
          <w:rFonts w:ascii="Palatino Linotype" w:eastAsia="Palatino Linotype" w:hAnsi="Palatino Linotype" w:cs="Palatino Linotype"/>
          <w:sz w:val="22"/>
          <w:szCs w:val="22"/>
        </w:rPr>
        <w:t xml:space="preserve"> a través de</w:t>
      </w:r>
      <w:r w:rsidR="002134D3" w:rsidRPr="000D4651">
        <w:rPr>
          <w:rFonts w:ascii="Palatino Linotype" w:eastAsia="Palatino Linotype" w:hAnsi="Palatino Linotype" w:cs="Palatino Linotype"/>
          <w:sz w:val="22"/>
          <w:szCs w:val="22"/>
        </w:rPr>
        <w:t>l</w:t>
      </w:r>
      <w:r w:rsidR="009F7E3B" w:rsidRPr="000D4651">
        <w:rPr>
          <w:rFonts w:ascii="Palatino Linotype" w:eastAsia="Palatino Linotype" w:hAnsi="Palatino Linotype" w:cs="Palatino Linotype"/>
          <w:sz w:val="22"/>
          <w:szCs w:val="22"/>
        </w:rPr>
        <w:t xml:space="preserve"> </w:t>
      </w:r>
      <w:r w:rsidRPr="000D4651">
        <w:rPr>
          <w:rFonts w:ascii="Palatino Linotype" w:eastAsia="Palatino Linotype" w:hAnsi="Palatino Linotype" w:cs="Palatino Linotype"/>
          <w:sz w:val="22"/>
          <w:szCs w:val="22"/>
        </w:rPr>
        <w:t xml:space="preserve">Sistema de Acceso a la Información Mexiquense, en adelante </w:t>
      </w:r>
      <w:r w:rsidRPr="000D4651">
        <w:rPr>
          <w:rFonts w:ascii="Palatino Linotype" w:eastAsia="Palatino Linotype" w:hAnsi="Palatino Linotype" w:cs="Palatino Linotype"/>
          <w:b/>
          <w:sz w:val="22"/>
          <w:szCs w:val="22"/>
        </w:rPr>
        <w:t>SAIMEX</w:t>
      </w:r>
      <w:r w:rsidR="00BF162C" w:rsidRPr="000D4651">
        <w:rPr>
          <w:rFonts w:ascii="Palatino Linotype" w:eastAsia="Palatino Linotype" w:hAnsi="Palatino Linotype" w:cs="Palatino Linotype"/>
          <w:sz w:val="22"/>
          <w:szCs w:val="22"/>
        </w:rPr>
        <w:t xml:space="preserve">, </w:t>
      </w:r>
      <w:r w:rsidR="00A76BA5" w:rsidRPr="000D4651">
        <w:rPr>
          <w:rFonts w:ascii="Palatino Linotype" w:eastAsia="Palatino Linotype" w:hAnsi="Palatino Linotype" w:cs="Palatino Linotype"/>
          <w:sz w:val="22"/>
          <w:szCs w:val="22"/>
        </w:rPr>
        <w:t xml:space="preserve">en la que requirió </w:t>
      </w:r>
      <w:r w:rsidRPr="000D4651">
        <w:rPr>
          <w:rFonts w:ascii="Palatino Linotype" w:eastAsia="Palatino Linotype" w:hAnsi="Palatino Linotype" w:cs="Palatino Linotype"/>
          <w:sz w:val="22"/>
          <w:szCs w:val="22"/>
        </w:rPr>
        <w:t>lo siguiente:</w:t>
      </w:r>
      <w:r w:rsidR="000D34E9" w:rsidRPr="000D4651">
        <w:rPr>
          <w:rFonts w:ascii="Palatino Linotype" w:eastAsia="Palatino Linotype" w:hAnsi="Palatino Linotype" w:cs="Palatino Linotype"/>
          <w:sz w:val="22"/>
          <w:szCs w:val="22"/>
        </w:rPr>
        <w:t xml:space="preserve"> </w:t>
      </w:r>
      <w:r w:rsidR="006233DF" w:rsidRPr="000D4651">
        <w:rPr>
          <w:rFonts w:ascii="Palatino Linotype" w:eastAsia="Palatino Linotype" w:hAnsi="Palatino Linotype" w:cs="Palatino Linotype"/>
          <w:sz w:val="22"/>
          <w:szCs w:val="22"/>
        </w:rPr>
        <w:t xml:space="preserve"> </w:t>
      </w:r>
    </w:p>
    <w:p w14:paraId="089781F1" w14:textId="77777777" w:rsidR="002134D3" w:rsidRPr="000D4651" w:rsidRDefault="002134D3" w:rsidP="002134D3">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357DEE5E" w14:textId="6AD75CC1" w:rsidR="00397333" w:rsidRPr="000D4651" w:rsidRDefault="00B427D7" w:rsidP="00FF2F15">
      <w:pPr>
        <w:spacing w:line="360" w:lineRule="auto"/>
        <w:ind w:left="567" w:right="616"/>
        <w:jc w:val="both"/>
        <w:rPr>
          <w:rFonts w:ascii="Palatino Linotype" w:hAnsi="Palatino Linotype"/>
          <w:i/>
          <w:sz w:val="22"/>
          <w:szCs w:val="22"/>
        </w:rPr>
      </w:pPr>
      <w:r w:rsidRPr="000D4651">
        <w:rPr>
          <w:rFonts w:ascii="Palatino Linotype" w:hAnsi="Palatino Linotype"/>
          <w:i/>
          <w:sz w:val="22"/>
          <w:szCs w:val="22"/>
        </w:rPr>
        <w:t>“</w:t>
      </w:r>
      <w:r w:rsidR="00246B4C" w:rsidRPr="000D4651">
        <w:rPr>
          <w:rFonts w:ascii="Palatino Linotype" w:hAnsi="Palatino Linotype"/>
          <w:i/>
          <w:sz w:val="22"/>
          <w:szCs w:val="22"/>
        </w:rPr>
        <w:t xml:space="preserve">Se solicita atentamente a la Secretaría de Finanzas que atienda los siguientes cuestionamientos: 1.- Numero de querellas formuladas por el delito de defraudación fiscal contemplado en el artículo 365 del Código Financiero del Estado De México y Municipios desde el 01 de enero de 2000 hasta el 01 de enero de 2024 2.- Número de sentencias condenatorias o absolutorias dictadas por el delito de defraudación fiscal contemplado en el artículo 365 del Código Financiero del Estado De México y Municipios desde el 01 de enero de 2000 hasta el 01 de enero de 2024. 3.-En relación con el numeral anterior, se solicita que se me proporcione la versión pública de las sentencias condenatorias o absolutorias que se hayan dictado por el delito de </w:t>
      </w:r>
      <w:r w:rsidR="00246B4C" w:rsidRPr="000D4651">
        <w:rPr>
          <w:rFonts w:ascii="Palatino Linotype" w:hAnsi="Palatino Linotype"/>
          <w:i/>
          <w:sz w:val="22"/>
          <w:szCs w:val="22"/>
        </w:rPr>
        <w:lastRenderedPageBreak/>
        <w:t>defraudación fiscal contemplado en el artículo 365 del Código Financiero del Estado De México y Municipios desde el 01 de enero de 2000 hasta el 01 de enero de 2024. 4.- Numero de querellas formuladas por el delito de defraudación fiscal equiparable contemplado en el artículo 367 del Código Financiero del Estado de México y Municipios desde el 01 de enero de 2000 hasta el 01 de enero de 2024 5.- Número de sentencias condenatorias o absolutorias dictadas por el delito de defraudación fiscal equiparable contemplado en el artículo 367 del Código Financiero del Estado de México y Municipios desde el 01 de enero de 2000 hasta el 01 de enero de 2024. 6.-En relación con el numeral anterior, se solicita que se me proporcione la versión pública de las sentencias condenatorias o absolutorias que se hayan dictado por el delito de defraudación fiscal equiparable contemplado en el artículo 367 del Código Financiero del Estado de México y Municipios desde el 01 de enero de 2000 hasta el 01 de enero de 2024. 7.- En los procesos penales instruidos por los delitos contemplados en los artículos 365 y 367 del Código Financiero Del Estado De México y Municipios, ¿la Secretaría de Finanzas y de Administración del Estado interviene como víctima u ofendido? 8.- En relación con la pregunta anterior, si la Secretaría de Finanzas y de Administración del Estado no interviene como víctima u ofendido, ¿en qué calidad interviene?</w:t>
      </w:r>
      <w:r w:rsidR="005532C7" w:rsidRPr="000D4651">
        <w:rPr>
          <w:rFonts w:ascii="Palatino Linotype" w:hAnsi="Palatino Linotype"/>
          <w:i/>
          <w:sz w:val="22"/>
          <w:szCs w:val="22"/>
        </w:rPr>
        <w:t>”</w:t>
      </w:r>
    </w:p>
    <w:p w14:paraId="3B2E67DC" w14:textId="77777777" w:rsidR="00C33785" w:rsidRPr="000D4651" w:rsidRDefault="00C33785" w:rsidP="00FF2F15">
      <w:pPr>
        <w:spacing w:line="360" w:lineRule="auto"/>
        <w:ind w:left="709" w:right="900"/>
        <w:jc w:val="both"/>
        <w:rPr>
          <w:rFonts w:ascii="Palatino Linotype" w:eastAsia="Palatino Linotype" w:hAnsi="Palatino Linotype" w:cs="Palatino Linotype"/>
          <w:b/>
          <w:i/>
          <w:sz w:val="22"/>
          <w:szCs w:val="22"/>
        </w:rPr>
      </w:pPr>
    </w:p>
    <w:p w14:paraId="19375510" w14:textId="1CEB45F4" w:rsidR="00B91112" w:rsidRPr="000D4651" w:rsidRDefault="00B16908" w:rsidP="00FF2F15">
      <w:pPr>
        <w:spacing w:line="360" w:lineRule="auto"/>
        <w:jc w:val="both"/>
        <w:rPr>
          <w:rFonts w:ascii="Palatino Linotype" w:eastAsia="Palatino Linotype" w:hAnsi="Palatino Linotype" w:cs="Palatino Linotype"/>
          <w:sz w:val="22"/>
          <w:szCs w:val="22"/>
        </w:rPr>
      </w:pPr>
      <w:r w:rsidRPr="000D4651">
        <w:rPr>
          <w:rFonts w:ascii="Palatino Linotype" w:eastAsia="Palatino Linotype" w:hAnsi="Palatino Linotype" w:cs="Palatino Linotype"/>
          <w:b/>
          <w:sz w:val="22"/>
          <w:szCs w:val="22"/>
        </w:rPr>
        <w:t xml:space="preserve">Modalidad elegida para la entrega de la información: </w:t>
      </w:r>
      <w:r w:rsidRPr="000D4651">
        <w:rPr>
          <w:rFonts w:ascii="Palatino Linotype" w:eastAsia="Palatino Linotype" w:hAnsi="Palatino Linotype" w:cs="Palatino Linotype"/>
          <w:sz w:val="22"/>
          <w:szCs w:val="22"/>
        </w:rPr>
        <w:t>a través del Sistema de Acce</w:t>
      </w:r>
      <w:r w:rsidR="009F7E3B" w:rsidRPr="000D4651">
        <w:rPr>
          <w:rFonts w:ascii="Palatino Linotype" w:eastAsia="Palatino Linotype" w:hAnsi="Palatino Linotype" w:cs="Palatino Linotype"/>
          <w:sz w:val="22"/>
          <w:szCs w:val="22"/>
        </w:rPr>
        <w:t xml:space="preserve">so a la Información </w:t>
      </w:r>
      <w:r w:rsidR="00D65B5A" w:rsidRPr="000D4651">
        <w:rPr>
          <w:rFonts w:ascii="Palatino Linotype" w:eastAsia="Palatino Linotype" w:hAnsi="Palatino Linotype" w:cs="Palatino Linotype"/>
          <w:sz w:val="22"/>
          <w:szCs w:val="22"/>
        </w:rPr>
        <w:t>Mexiquense.</w:t>
      </w:r>
    </w:p>
    <w:p w14:paraId="5F900448" w14:textId="77777777" w:rsidR="005514B2" w:rsidRPr="000D4651" w:rsidRDefault="005514B2" w:rsidP="00FF2F15">
      <w:pPr>
        <w:spacing w:line="360" w:lineRule="auto"/>
        <w:jc w:val="both"/>
        <w:rPr>
          <w:rFonts w:ascii="Palatino Linotype" w:eastAsia="Palatino Linotype" w:hAnsi="Palatino Linotype" w:cs="Palatino Linotype"/>
          <w:sz w:val="22"/>
          <w:szCs w:val="22"/>
        </w:rPr>
      </w:pPr>
    </w:p>
    <w:p w14:paraId="54DB59B6" w14:textId="79178C32" w:rsidR="005928AD" w:rsidRPr="000D4651" w:rsidRDefault="00B16908" w:rsidP="00FF2F1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sz w:val="22"/>
          <w:szCs w:val="22"/>
        </w:rPr>
      </w:pPr>
      <w:r w:rsidRPr="000D4651">
        <w:rPr>
          <w:rFonts w:ascii="Palatino Linotype" w:eastAsia="Palatino Linotype" w:hAnsi="Palatino Linotype" w:cs="Palatino Linotype"/>
          <w:b/>
          <w:sz w:val="22"/>
          <w:szCs w:val="22"/>
        </w:rPr>
        <w:t xml:space="preserve">Respuesta. </w:t>
      </w:r>
      <w:r w:rsidR="005514B2" w:rsidRPr="000D4651">
        <w:rPr>
          <w:rFonts w:ascii="Palatino Linotype" w:eastAsia="Palatino Linotype" w:hAnsi="Palatino Linotype" w:cs="Palatino Linotype"/>
          <w:sz w:val="22"/>
          <w:szCs w:val="22"/>
        </w:rPr>
        <w:t xml:space="preserve">En fecha </w:t>
      </w:r>
      <w:r w:rsidR="00246B4C" w:rsidRPr="000D4651">
        <w:rPr>
          <w:rFonts w:ascii="Palatino Linotype" w:eastAsia="Palatino Linotype" w:hAnsi="Palatino Linotype" w:cs="Palatino Linotype"/>
          <w:sz w:val="22"/>
          <w:szCs w:val="22"/>
        </w:rPr>
        <w:t>tres</w:t>
      </w:r>
      <w:r w:rsidR="004902A0" w:rsidRPr="000D4651">
        <w:rPr>
          <w:rFonts w:ascii="Palatino Linotype" w:eastAsia="Palatino Linotype" w:hAnsi="Palatino Linotype" w:cs="Palatino Linotype"/>
          <w:sz w:val="22"/>
          <w:szCs w:val="22"/>
        </w:rPr>
        <w:t xml:space="preserve"> de </w:t>
      </w:r>
      <w:r w:rsidR="00246B4C" w:rsidRPr="000D4651">
        <w:rPr>
          <w:rFonts w:ascii="Palatino Linotype" w:eastAsia="Palatino Linotype" w:hAnsi="Palatino Linotype" w:cs="Palatino Linotype"/>
          <w:sz w:val="22"/>
          <w:szCs w:val="22"/>
        </w:rPr>
        <w:t>octubre</w:t>
      </w:r>
      <w:r w:rsidR="004902A0" w:rsidRPr="000D4651">
        <w:rPr>
          <w:rFonts w:ascii="Palatino Linotype" w:eastAsia="Palatino Linotype" w:hAnsi="Palatino Linotype" w:cs="Palatino Linotype"/>
          <w:sz w:val="22"/>
          <w:szCs w:val="22"/>
        </w:rPr>
        <w:t xml:space="preserve"> de dos mil veinticuatro se tuvo por presentada</w:t>
      </w:r>
      <w:r w:rsidR="005538BD" w:rsidRPr="000D4651">
        <w:rPr>
          <w:rFonts w:ascii="Palatino Linotype" w:eastAsia="Palatino Linotype" w:hAnsi="Palatino Linotype" w:cs="Palatino Linotype"/>
          <w:sz w:val="22"/>
          <w:szCs w:val="22"/>
        </w:rPr>
        <w:t xml:space="preserve"> la respuesta,</w:t>
      </w:r>
      <w:r w:rsidR="005514B2" w:rsidRPr="000D4651">
        <w:rPr>
          <w:rFonts w:ascii="Palatino Linotype" w:eastAsia="Palatino Linotype" w:hAnsi="Palatino Linotype" w:cs="Palatino Linotype"/>
          <w:b/>
          <w:sz w:val="22"/>
          <w:szCs w:val="22"/>
        </w:rPr>
        <w:t xml:space="preserve"> </w:t>
      </w:r>
      <w:r w:rsidR="006D7FFB" w:rsidRPr="000D4651">
        <w:rPr>
          <w:rFonts w:ascii="Palatino Linotype" w:eastAsia="Palatino Linotype" w:hAnsi="Palatino Linotype" w:cs="Palatino Linotype"/>
          <w:sz w:val="22"/>
          <w:szCs w:val="22"/>
        </w:rPr>
        <w:t xml:space="preserve">mediante la cual </w:t>
      </w:r>
      <w:r w:rsidR="005514B2" w:rsidRPr="000D4651">
        <w:rPr>
          <w:rFonts w:ascii="Palatino Linotype" w:eastAsia="Palatino Linotype" w:hAnsi="Palatino Linotype" w:cs="Palatino Linotype"/>
          <w:sz w:val="22"/>
          <w:szCs w:val="22"/>
        </w:rPr>
        <w:t xml:space="preserve">el </w:t>
      </w:r>
      <w:r w:rsidR="005514B2" w:rsidRPr="000D4651">
        <w:rPr>
          <w:rFonts w:ascii="Palatino Linotype" w:eastAsia="Palatino Linotype" w:hAnsi="Palatino Linotype" w:cs="Palatino Linotype"/>
          <w:b/>
          <w:sz w:val="22"/>
          <w:szCs w:val="22"/>
        </w:rPr>
        <w:t xml:space="preserve">SUJETO OBLIGADO </w:t>
      </w:r>
      <w:r w:rsidR="006D7FFB" w:rsidRPr="000D4651">
        <w:rPr>
          <w:rFonts w:ascii="Palatino Linotype" w:eastAsia="Palatino Linotype" w:hAnsi="Palatino Linotype" w:cs="Palatino Linotype"/>
          <w:sz w:val="22"/>
          <w:szCs w:val="22"/>
        </w:rPr>
        <w:t>señaló</w:t>
      </w:r>
      <w:r w:rsidR="005514B2" w:rsidRPr="000D4651">
        <w:rPr>
          <w:rFonts w:ascii="Palatino Linotype" w:eastAsia="Palatino Linotype" w:hAnsi="Palatino Linotype" w:cs="Palatino Linotype"/>
          <w:sz w:val="22"/>
          <w:szCs w:val="22"/>
        </w:rPr>
        <w:t xml:space="preserve"> de lo siguiente:</w:t>
      </w:r>
    </w:p>
    <w:p w14:paraId="6AD7DD98" w14:textId="77777777" w:rsidR="005514B2" w:rsidRPr="000D4651" w:rsidRDefault="005514B2" w:rsidP="00FF2F15">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7635EE01" w14:textId="77777777" w:rsidR="00246B4C" w:rsidRPr="000D4651" w:rsidRDefault="00246B4C" w:rsidP="00246B4C">
      <w:pPr>
        <w:pBdr>
          <w:top w:val="nil"/>
          <w:left w:val="nil"/>
          <w:bottom w:val="nil"/>
          <w:right w:val="nil"/>
          <w:between w:val="nil"/>
        </w:pBdr>
        <w:spacing w:line="360" w:lineRule="auto"/>
        <w:ind w:left="567" w:right="616"/>
        <w:rPr>
          <w:rFonts w:ascii="Palatino Linotype" w:eastAsia="Palatino Linotype" w:hAnsi="Palatino Linotype" w:cs="Palatino Linotype"/>
          <w:i/>
          <w:sz w:val="22"/>
          <w:szCs w:val="22"/>
        </w:rPr>
      </w:pPr>
      <w:r w:rsidRPr="000D4651">
        <w:rPr>
          <w:rFonts w:ascii="Palatino Linotype" w:eastAsia="Palatino Linotype" w:hAnsi="Palatino Linotype" w:cs="Palatino Linotype"/>
          <w:i/>
          <w:sz w:val="22"/>
          <w:szCs w:val="22"/>
        </w:rPr>
        <w:t xml:space="preserve">En respuesta a la solicitud recibida, nos permitimos hacer de su conocimiento que con fundamento en el artículo 53, Fracciones: II, V y VI de la Ley de Transparencia y </w:t>
      </w:r>
      <w:r w:rsidRPr="000D4651">
        <w:rPr>
          <w:rFonts w:ascii="Palatino Linotype" w:eastAsia="Palatino Linotype" w:hAnsi="Palatino Linotype" w:cs="Palatino Linotype"/>
          <w:i/>
          <w:sz w:val="22"/>
          <w:szCs w:val="22"/>
        </w:rPr>
        <w:lastRenderedPageBreak/>
        <w:t>Acceso a la Información Pública del Estado de México y Municipios, le contestamos que:</w:t>
      </w:r>
    </w:p>
    <w:p w14:paraId="0DF8997F" w14:textId="77777777" w:rsidR="00246B4C" w:rsidRPr="000D4651" w:rsidRDefault="00246B4C" w:rsidP="00246B4C">
      <w:pPr>
        <w:pBdr>
          <w:top w:val="nil"/>
          <w:left w:val="nil"/>
          <w:bottom w:val="nil"/>
          <w:right w:val="nil"/>
          <w:between w:val="nil"/>
        </w:pBdr>
        <w:spacing w:line="360" w:lineRule="auto"/>
        <w:ind w:left="567" w:right="616"/>
        <w:rPr>
          <w:rFonts w:ascii="Palatino Linotype" w:eastAsia="Palatino Linotype" w:hAnsi="Palatino Linotype" w:cs="Palatino Linotype"/>
          <w:i/>
          <w:sz w:val="22"/>
          <w:szCs w:val="22"/>
        </w:rPr>
      </w:pPr>
      <w:r w:rsidRPr="000D4651">
        <w:rPr>
          <w:rFonts w:ascii="Palatino Linotype" w:eastAsia="Palatino Linotype" w:hAnsi="Palatino Linotype" w:cs="Palatino Linotype"/>
          <w:i/>
          <w:sz w:val="22"/>
          <w:szCs w:val="22"/>
        </w:rPr>
        <w:t>Sobre el particular, sírvase encontrar en archivo adjunto copia del oficio de notificación número 20700004S/UT-1881/2024, mediante el cual se detalla lo referente a su solicitud.</w:t>
      </w:r>
    </w:p>
    <w:p w14:paraId="15255DCE" w14:textId="77777777" w:rsidR="00246B4C" w:rsidRPr="000D4651" w:rsidRDefault="00246B4C" w:rsidP="00246B4C">
      <w:pPr>
        <w:pBdr>
          <w:top w:val="nil"/>
          <w:left w:val="nil"/>
          <w:bottom w:val="nil"/>
          <w:right w:val="nil"/>
          <w:between w:val="nil"/>
        </w:pBdr>
        <w:spacing w:line="360" w:lineRule="auto"/>
        <w:ind w:left="567" w:right="616"/>
        <w:rPr>
          <w:rFonts w:ascii="Palatino Linotype" w:eastAsia="Palatino Linotype" w:hAnsi="Palatino Linotype" w:cs="Palatino Linotype"/>
          <w:i/>
          <w:sz w:val="22"/>
          <w:szCs w:val="22"/>
        </w:rPr>
      </w:pPr>
      <w:r w:rsidRPr="000D4651">
        <w:rPr>
          <w:rFonts w:ascii="Palatino Linotype" w:eastAsia="Palatino Linotype" w:hAnsi="Palatino Linotype" w:cs="Palatino Linotype"/>
          <w:i/>
          <w:sz w:val="22"/>
          <w:szCs w:val="22"/>
        </w:rPr>
        <w:t>ATENTAMENTE</w:t>
      </w:r>
    </w:p>
    <w:p w14:paraId="249BB281" w14:textId="558C51F2" w:rsidR="00DD20B9" w:rsidRPr="000D4651" w:rsidRDefault="00246B4C" w:rsidP="00246B4C">
      <w:pPr>
        <w:pBdr>
          <w:top w:val="nil"/>
          <w:left w:val="nil"/>
          <w:bottom w:val="nil"/>
          <w:right w:val="nil"/>
          <w:between w:val="nil"/>
        </w:pBdr>
        <w:spacing w:line="360" w:lineRule="auto"/>
        <w:ind w:left="567" w:right="616"/>
        <w:rPr>
          <w:rFonts w:ascii="Palatino Linotype" w:eastAsia="Palatino Linotype" w:hAnsi="Palatino Linotype" w:cs="Palatino Linotype"/>
          <w:sz w:val="22"/>
          <w:szCs w:val="22"/>
        </w:rPr>
      </w:pPr>
      <w:r w:rsidRPr="000D4651">
        <w:rPr>
          <w:rFonts w:ascii="Palatino Linotype" w:eastAsia="Palatino Linotype" w:hAnsi="Palatino Linotype" w:cs="Palatino Linotype"/>
          <w:i/>
          <w:sz w:val="22"/>
          <w:szCs w:val="22"/>
        </w:rPr>
        <w:t>M. en D. Mario Reyes Santos</w:t>
      </w:r>
    </w:p>
    <w:p w14:paraId="2CFAE3D4" w14:textId="39F27B95" w:rsidR="005514B2" w:rsidRPr="000D4651" w:rsidRDefault="002D310A" w:rsidP="005538BD">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0D4651">
        <w:rPr>
          <w:rFonts w:ascii="Palatino Linotype" w:eastAsia="Palatino Linotype" w:hAnsi="Palatino Linotype" w:cs="Palatino Linotype"/>
          <w:sz w:val="22"/>
          <w:szCs w:val="22"/>
        </w:rPr>
        <w:t>Asimismo, adjuntó los documentos electrónicos siguientes:</w:t>
      </w:r>
    </w:p>
    <w:p w14:paraId="0913AE7B" w14:textId="77777777" w:rsidR="005514B2" w:rsidRPr="000D4651" w:rsidRDefault="005514B2" w:rsidP="00FF2F15">
      <w:pPr>
        <w:pBdr>
          <w:top w:val="nil"/>
          <w:left w:val="nil"/>
          <w:bottom w:val="nil"/>
          <w:right w:val="nil"/>
          <w:between w:val="nil"/>
        </w:pBdr>
        <w:spacing w:line="360" w:lineRule="auto"/>
        <w:ind w:right="49"/>
        <w:rPr>
          <w:rFonts w:ascii="Palatino Linotype" w:eastAsia="Palatino Linotype" w:hAnsi="Palatino Linotype" w:cs="Palatino Linotype"/>
          <w:sz w:val="22"/>
          <w:szCs w:val="22"/>
        </w:rPr>
      </w:pPr>
    </w:p>
    <w:p w14:paraId="68054CBC" w14:textId="761EF474" w:rsidR="00246B4C" w:rsidRPr="000D4651" w:rsidRDefault="00246B4C" w:rsidP="00246B4C">
      <w:pPr>
        <w:pStyle w:val="Prrafodelista"/>
        <w:numPr>
          <w:ilvl w:val="0"/>
          <w:numId w:val="4"/>
        </w:numPr>
        <w:pBdr>
          <w:top w:val="nil"/>
          <w:left w:val="nil"/>
          <w:bottom w:val="nil"/>
          <w:right w:val="nil"/>
          <w:between w:val="nil"/>
        </w:pBdr>
        <w:spacing w:line="360" w:lineRule="auto"/>
        <w:ind w:right="49"/>
        <w:jc w:val="both"/>
        <w:rPr>
          <w:rFonts w:ascii="Palatino Linotype" w:eastAsia="Palatino Linotype" w:hAnsi="Palatino Linotype" w:cs="Palatino Linotype"/>
          <w:b/>
        </w:rPr>
      </w:pPr>
      <w:r w:rsidRPr="000D4651">
        <w:rPr>
          <w:rFonts w:ascii="Palatino Linotype" w:eastAsia="Palatino Linotype" w:hAnsi="Palatino Linotype" w:cs="Palatino Linotype"/>
          <w:b/>
        </w:rPr>
        <w:t xml:space="preserve">00662 PROCURADURIA FISCAL.pdf: </w:t>
      </w:r>
      <w:r w:rsidRPr="000D4651">
        <w:rPr>
          <w:rFonts w:ascii="Palatino Linotype" w:eastAsia="Palatino Linotype" w:hAnsi="Palatino Linotype" w:cs="Palatino Linotype"/>
        </w:rPr>
        <w:t>Oficio 20700006010000S/065/2024 suscrito por la Coordinadora de Apoyo Técnico y Servidora Pública Habilitada de la Procuraduría Fiscal, en el que refiere que no genera, administra ni posee la información requerida en virtud de las competencias legales que le son atribuidas.</w:t>
      </w:r>
      <w:r w:rsidR="00D77BB1" w:rsidRPr="000D4651">
        <w:rPr>
          <w:rFonts w:ascii="Palatino Linotype" w:eastAsia="Palatino Linotype" w:hAnsi="Palatino Linotype" w:cs="Palatino Linotype"/>
        </w:rPr>
        <w:t xml:space="preserve"> </w:t>
      </w:r>
    </w:p>
    <w:p w14:paraId="57B79C63" w14:textId="7B56A278" w:rsidR="00246B4C" w:rsidRPr="000D4651" w:rsidRDefault="00246B4C" w:rsidP="00246B4C">
      <w:pPr>
        <w:pStyle w:val="Prrafodelista"/>
        <w:numPr>
          <w:ilvl w:val="0"/>
          <w:numId w:val="4"/>
        </w:numPr>
        <w:pBdr>
          <w:top w:val="nil"/>
          <w:left w:val="nil"/>
          <w:bottom w:val="nil"/>
          <w:right w:val="nil"/>
          <w:between w:val="nil"/>
        </w:pBdr>
        <w:spacing w:line="360" w:lineRule="auto"/>
        <w:ind w:right="49"/>
        <w:jc w:val="both"/>
        <w:rPr>
          <w:rFonts w:ascii="Palatino Linotype" w:eastAsia="Palatino Linotype" w:hAnsi="Palatino Linotype" w:cs="Palatino Linotype"/>
          <w:b/>
        </w:rPr>
      </w:pPr>
      <w:r w:rsidRPr="000D4651">
        <w:rPr>
          <w:rFonts w:ascii="Palatino Linotype" w:eastAsia="Palatino Linotype" w:hAnsi="Palatino Linotype" w:cs="Palatino Linotype"/>
          <w:b/>
        </w:rPr>
        <w:t>00662 SOLICITANTE.pdf:</w:t>
      </w:r>
      <w:r w:rsidR="009E785A" w:rsidRPr="000D4651">
        <w:rPr>
          <w:rFonts w:ascii="Palatino Linotype" w:eastAsia="Palatino Linotype" w:hAnsi="Palatino Linotype" w:cs="Palatino Linotype"/>
          <w:b/>
        </w:rPr>
        <w:t xml:space="preserve"> </w:t>
      </w:r>
      <w:r w:rsidR="009E785A" w:rsidRPr="000D4651">
        <w:rPr>
          <w:rFonts w:ascii="Palatino Linotype" w:eastAsia="Palatino Linotype" w:hAnsi="Palatino Linotype" w:cs="Palatino Linotype"/>
        </w:rPr>
        <w:t>Oficio 20700004S/UT-1881/2024 signado por el Jefe de la UIPPE y Titular de la Unidad de Transparencia</w:t>
      </w:r>
      <w:r w:rsidR="009E785A" w:rsidRPr="000D4651">
        <w:rPr>
          <w:rFonts w:ascii="Palatino Linotype" w:eastAsia="Palatino Linotype" w:hAnsi="Palatino Linotype" w:cs="Palatino Linotype"/>
          <w:b/>
        </w:rPr>
        <w:t xml:space="preserve"> </w:t>
      </w:r>
      <w:r w:rsidR="009E785A" w:rsidRPr="000D4651">
        <w:rPr>
          <w:rFonts w:ascii="Palatino Linotype" w:eastAsia="Palatino Linotype" w:hAnsi="Palatino Linotype" w:cs="Palatino Linotype"/>
        </w:rPr>
        <w:t>mediante el cual refiere que se emite la respuesta de la Subsecretaría de Planeación y Presupuesto.</w:t>
      </w:r>
    </w:p>
    <w:p w14:paraId="38613656" w14:textId="77777777" w:rsidR="007D44F9" w:rsidRPr="000D4651" w:rsidRDefault="007D44F9" w:rsidP="007D44F9">
      <w:pPr>
        <w:pStyle w:val="Prrafodelista"/>
        <w:pBdr>
          <w:top w:val="nil"/>
          <w:left w:val="nil"/>
          <w:bottom w:val="nil"/>
          <w:right w:val="nil"/>
          <w:between w:val="nil"/>
        </w:pBdr>
        <w:spacing w:line="360" w:lineRule="auto"/>
        <w:ind w:left="720" w:right="49"/>
        <w:jc w:val="both"/>
        <w:rPr>
          <w:rFonts w:ascii="Palatino Linotype" w:eastAsia="Palatino Linotype" w:hAnsi="Palatino Linotype" w:cs="Palatino Linotype"/>
          <w:b/>
        </w:rPr>
      </w:pPr>
    </w:p>
    <w:p w14:paraId="21A9007F" w14:textId="6A7EB89C" w:rsidR="00397333" w:rsidRPr="000D4651" w:rsidRDefault="00B16908" w:rsidP="00E82BBC">
      <w:pPr>
        <w:numPr>
          <w:ilvl w:val="0"/>
          <w:numId w:val="1"/>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sz w:val="22"/>
          <w:szCs w:val="22"/>
        </w:rPr>
      </w:pPr>
      <w:r w:rsidRPr="000D4651">
        <w:rPr>
          <w:rFonts w:ascii="Palatino Linotype" w:eastAsia="Palatino Linotype" w:hAnsi="Palatino Linotype" w:cs="Palatino Linotype"/>
          <w:b/>
          <w:sz w:val="22"/>
          <w:szCs w:val="22"/>
        </w:rPr>
        <w:t xml:space="preserve">Interposición del recurso de revisión. </w:t>
      </w:r>
      <w:r w:rsidRPr="000D4651">
        <w:rPr>
          <w:rFonts w:ascii="Palatino Linotype" w:eastAsia="Palatino Linotype" w:hAnsi="Palatino Linotype" w:cs="Palatino Linotype"/>
          <w:sz w:val="22"/>
          <w:szCs w:val="22"/>
        </w:rPr>
        <w:t xml:space="preserve">Inconforme con la respuesta del </w:t>
      </w:r>
      <w:r w:rsidRPr="000D4651">
        <w:rPr>
          <w:rFonts w:ascii="Palatino Linotype" w:eastAsia="Palatino Linotype" w:hAnsi="Palatino Linotype" w:cs="Palatino Linotype"/>
          <w:b/>
          <w:sz w:val="22"/>
          <w:szCs w:val="22"/>
        </w:rPr>
        <w:t>SUJETO OBLIGADO el ahora RECURRENTE</w:t>
      </w:r>
      <w:r w:rsidRPr="000D4651">
        <w:rPr>
          <w:rFonts w:ascii="Palatino Linotype" w:eastAsia="Palatino Linotype" w:hAnsi="Palatino Linotype" w:cs="Palatino Linotype"/>
          <w:sz w:val="22"/>
          <w:szCs w:val="22"/>
        </w:rPr>
        <w:t xml:space="preserve"> interpuso recurso de revisión a través del SAIMEX en fecha</w:t>
      </w:r>
      <w:r w:rsidR="002968E6" w:rsidRPr="000D4651">
        <w:rPr>
          <w:rFonts w:ascii="Palatino Linotype" w:eastAsia="Palatino Linotype" w:hAnsi="Palatino Linotype" w:cs="Palatino Linotype"/>
          <w:sz w:val="22"/>
          <w:szCs w:val="22"/>
        </w:rPr>
        <w:t xml:space="preserve"> </w:t>
      </w:r>
      <w:r w:rsidR="009E785A" w:rsidRPr="000D4651">
        <w:rPr>
          <w:rFonts w:ascii="Palatino Linotype" w:eastAsia="Palatino Linotype" w:hAnsi="Palatino Linotype" w:cs="Palatino Linotype"/>
          <w:b/>
          <w:sz w:val="22"/>
          <w:szCs w:val="22"/>
        </w:rPr>
        <w:t>veintiuno</w:t>
      </w:r>
      <w:r w:rsidR="00EF4301" w:rsidRPr="000D4651">
        <w:rPr>
          <w:rFonts w:ascii="Palatino Linotype" w:eastAsia="Palatino Linotype" w:hAnsi="Palatino Linotype" w:cs="Palatino Linotype"/>
          <w:sz w:val="22"/>
          <w:szCs w:val="22"/>
        </w:rPr>
        <w:t xml:space="preserve"> </w:t>
      </w:r>
      <w:r w:rsidR="005514B2" w:rsidRPr="000D4651">
        <w:rPr>
          <w:rFonts w:ascii="Palatino Linotype" w:eastAsia="Palatino Linotype" w:hAnsi="Palatino Linotype" w:cs="Palatino Linotype"/>
          <w:b/>
          <w:sz w:val="22"/>
          <w:szCs w:val="22"/>
        </w:rPr>
        <w:t xml:space="preserve">de </w:t>
      </w:r>
      <w:r w:rsidR="009E785A" w:rsidRPr="000D4651">
        <w:rPr>
          <w:rFonts w:ascii="Palatino Linotype" w:eastAsia="Palatino Linotype" w:hAnsi="Palatino Linotype" w:cs="Palatino Linotype"/>
          <w:b/>
          <w:sz w:val="22"/>
          <w:szCs w:val="22"/>
        </w:rPr>
        <w:t>octubre</w:t>
      </w:r>
      <w:r w:rsidR="005514B2" w:rsidRPr="000D4651">
        <w:rPr>
          <w:rFonts w:ascii="Palatino Linotype" w:eastAsia="Palatino Linotype" w:hAnsi="Palatino Linotype" w:cs="Palatino Linotype"/>
          <w:b/>
          <w:sz w:val="22"/>
          <w:szCs w:val="22"/>
        </w:rPr>
        <w:t xml:space="preserve"> de dos mil veinticuatro</w:t>
      </w:r>
      <w:r w:rsidRPr="000D4651">
        <w:rPr>
          <w:rFonts w:ascii="Palatino Linotype" w:eastAsia="Palatino Linotype" w:hAnsi="Palatino Linotype" w:cs="Palatino Linotype"/>
          <w:sz w:val="22"/>
          <w:szCs w:val="22"/>
        </w:rPr>
        <w:t>, a través del cual expresó lo siguiente:</w:t>
      </w:r>
    </w:p>
    <w:p w14:paraId="6B84D34A" w14:textId="77777777" w:rsidR="00397333" w:rsidRPr="000D4651" w:rsidRDefault="00397333" w:rsidP="00FF2F15">
      <w:pPr>
        <w:spacing w:line="360" w:lineRule="auto"/>
        <w:ind w:right="49"/>
        <w:jc w:val="both"/>
        <w:rPr>
          <w:rFonts w:ascii="Palatino Linotype" w:eastAsia="Palatino Linotype" w:hAnsi="Palatino Linotype" w:cs="Palatino Linotype"/>
          <w:sz w:val="22"/>
          <w:szCs w:val="22"/>
        </w:rPr>
      </w:pPr>
    </w:p>
    <w:p w14:paraId="41FB0D1C" w14:textId="5596C3C7" w:rsidR="00FD7323" w:rsidRPr="000D4651" w:rsidRDefault="00B16908" w:rsidP="00FF2F15">
      <w:pPr>
        <w:spacing w:line="360" w:lineRule="auto"/>
        <w:ind w:left="567" w:right="900"/>
        <w:jc w:val="both"/>
        <w:rPr>
          <w:rFonts w:ascii="Palatino Linotype" w:hAnsi="Palatino Linotype"/>
          <w:sz w:val="22"/>
          <w:szCs w:val="22"/>
          <w:lang w:eastAsia="es-MX"/>
        </w:rPr>
      </w:pPr>
      <w:r w:rsidRPr="000D4651">
        <w:rPr>
          <w:rFonts w:ascii="Palatino Linotype" w:eastAsia="Palatino Linotype" w:hAnsi="Palatino Linotype" w:cs="Palatino Linotype"/>
          <w:b/>
          <w:sz w:val="22"/>
          <w:szCs w:val="22"/>
        </w:rPr>
        <w:t xml:space="preserve">Acto impugnado. </w:t>
      </w:r>
      <w:r w:rsidR="0059136B" w:rsidRPr="000D4651">
        <w:rPr>
          <w:rFonts w:ascii="Palatino Linotype" w:eastAsia="Palatino Linotype" w:hAnsi="Palatino Linotype" w:cs="Palatino Linotype"/>
          <w:i/>
          <w:sz w:val="22"/>
          <w:szCs w:val="22"/>
        </w:rPr>
        <w:t>“</w:t>
      </w:r>
      <w:r w:rsidR="009E785A" w:rsidRPr="000D4651">
        <w:rPr>
          <w:rFonts w:ascii="Palatino Linotype" w:eastAsia="Palatino Linotype" w:hAnsi="Palatino Linotype" w:cs="Palatino Linotype"/>
          <w:i/>
          <w:sz w:val="22"/>
          <w:szCs w:val="22"/>
        </w:rPr>
        <w:t>Oficio 20700006010000S/062/2024 de fecha 25 de septiembre de 2024, elaborado por Jeny Aguirre Yáñez, Coordinadora de Apoyo Técnico y Servidora Pública Habilitada de la Procuraduría Fiscal de la Secretaría de Finanzas del Estado de México. Oficio mediante el cual se dio respuesta a la solicitud de información 0062/SF/IP/2024 formulada por el suscrito.</w:t>
      </w:r>
      <w:r w:rsidRPr="000D4651">
        <w:rPr>
          <w:rFonts w:ascii="Palatino Linotype" w:eastAsia="Palatino Linotype" w:hAnsi="Palatino Linotype" w:cs="Palatino Linotype"/>
          <w:i/>
          <w:sz w:val="22"/>
          <w:szCs w:val="22"/>
        </w:rPr>
        <w:t>”</w:t>
      </w:r>
      <w:r w:rsidR="00FD7323" w:rsidRPr="000D4651">
        <w:rPr>
          <w:rFonts w:ascii="Palatino Linotype" w:eastAsia="Palatino Linotype" w:hAnsi="Palatino Linotype" w:cs="Palatino Linotype"/>
          <w:i/>
          <w:sz w:val="22"/>
          <w:szCs w:val="22"/>
        </w:rPr>
        <w:t>.</w:t>
      </w:r>
      <w:r w:rsidRPr="000D4651">
        <w:rPr>
          <w:rFonts w:ascii="Palatino Linotype" w:eastAsia="Palatino Linotype" w:hAnsi="Palatino Linotype" w:cs="Palatino Linotype"/>
          <w:i/>
          <w:sz w:val="22"/>
          <w:szCs w:val="22"/>
        </w:rPr>
        <w:t xml:space="preserve"> </w:t>
      </w:r>
    </w:p>
    <w:p w14:paraId="5366429F" w14:textId="77777777" w:rsidR="00FD7323" w:rsidRPr="000D4651" w:rsidRDefault="00FD7323" w:rsidP="00FF2F15">
      <w:pPr>
        <w:spacing w:line="360" w:lineRule="auto"/>
        <w:ind w:left="567" w:right="900"/>
        <w:jc w:val="both"/>
        <w:rPr>
          <w:rFonts w:ascii="Palatino Linotype" w:eastAsia="Palatino Linotype" w:hAnsi="Palatino Linotype" w:cs="Palatino Linotype"/>
          <w:b/>
          <w:sz w:val="22"/>
          <w:szCs w:val="22"/>
        </w:rPr>
      </w:pPr>
    </w:p>
    <w:p w14:paraId="01DB01A0" w14:textId="68210175" w:rsidR="00D21E62" w:rsidRPr="000D4651" w:rsidRDefault="00B16908" w:rsidP="00FF2F15">
      <w:pPr>
        <w:spacing w:line="360" w:lineRule="auto"/>
        <w:ind w:left="567" w:right="900"/>
        <w:jc w:val="both"/>
        <w:rPr>
          <w:rFonts w:ascii="Palatino Linotype" w:eastAsia="Palatino Linotype" w:hAnsi="Palatino Linotype" w:cs="Palatino Linotype"/>
          <w:i/>
          <w:sz w:val="22"/>
          <w:szCs w:val="22"/>
        </w:rPr>
      </w:pPr>
      <w:r w:rsidRPr="000D4651">
        <w:rPr>
          <w:rFonts w:ascii="Palatino Linotype" w:eastAsia="Palatino Linotype" w:hAnsi="Palatino Linotype" w:cs="Palatino Linotype"/>
          <w:b/>
          <w:sz w:val="22"/>
          <w:szCs w:val="22"/>
        </w:rPr>
        <w:t xml:space="preserve">Motivos de inconformidad. </w:t>
      </w:r>
      <w:r w:rsidRPr="000D4651">
        <w:rPr>
          <w:rFonts w:ascii="Palatino Linotype" w:eastAsia="Palatino Linotype" w:hAnsi="Palatino Linotype" w:cs="Palatino Linotype"/>
          <w:i/>
          <w:sz w:val="22"/>
          <w:szCs w:val="22"/>
        </w:rPr>
        <w:t>“</w:t>
      </w:r>
      <w:r w:rsidR="009E785A" w:rsidRPr="000D4651">
        <w:rPr>
          <w:rFonts w:ascii="Palatino Linotype" w:eastAsia="Palatino Linotype" w:hAnsi="Palatino Linotype" w:cs="Palatino Linotype"/>
          <w:i/>
          <w:sz w:val="22"/>
          <w:szCs w:val="22"/>
        </w:rPr>
        <w:t xml:space="preserve">Mediante oficio 20700006010000S/065/2024 de fecha 25 de septiembre de 2024, la Procuraduría Fiscal de la Secretaría de Finanzas se negó a entregar la información solicitada por las siguientes razones: “La Secretaría de Finanzas no genera, posee, ni administra dicha información en virtud de las competencias legales que le son atribuidas.” Este razonamiento es incorrecto por las siguientes consideraciones: De acuerdo con el artículo 6, aparatado A, fracción I de la Constitución Política de los Estados Unidos Mexicanos, los sujetos obligados deberán documentar todo acto que derive del ejercicio de sus facultades, competencias o funciones. Por otro lado, de conformidad con el artículo 23, fracción de la Ley de Transparencia y Acceso a la Información Pública del Estado de México y Municipios, el Poder Ejecutivo del Estado de México y sus dependencias son sujetos obligados a transparentar y permitir el acceso a su información y proteger los datos personales que obren en su poder. En este sentido de acuerdo con el artículo 23, fracción III de la Ley Orgánica de la Administración Pública del Estado de México, la Secretaría de Finanzas es una deprecia de auxiliar a la persona titular del Poder Ejecutivo del Estado. En consecuencia, la Secretaría de Finanzas del Estado de México, en su carácter de sujeto obligado tiene la obligación de documentar todo acto que derive de sus facultades, competencias o funciones. Ahora bien, la solicitud del suscrito requiere diversa información que la Secretaría de Finanzas genera, posee y administra en virtud de sus facultades reglamentarias y legales, tal como se aprecia de los siguientes fundamentos normativos: Código Financiero del Estado de México y Municipios: Artículo 48.- Las autoridades fiscales, para determinar la existencia de créditos fiscales, dar las bases de su liquidación o cerciorarse del cumplimiento a las disposiciones de este Código, estarán facultadas para: (…) V. Reunir las pruebas necesarias para formular ante el Ministerio Público la querella por el delito de defraudación fiscal. Artículo 371.- Para proceder penalmente por los delitos fiscales </w:t>
      </w:r>
      <w:r w:rsidR="009E785A" w:rsidRPr="000D4651">
        <w:rPr>
          <w:rFonts w:ascii="Palatino Linotype" w:eastAsia="Palatino Linotype" w:hAnsi="Palatino Linotype" w:cs="Palatino Linotype"/>
          <w:i/>
          <w:sz w:val="22"/>
          <w:szCs w:val="22"/>
        </w:rPr>
        <w:lastRenderedPageBreak/>
        <w:t xml:space="preserve">previstos en este Código, será necesario que: I. Se formule la querella correspondiente por la autoridad facultada para ello Artículo 372.- En los casos de delitos fiscales en que el daño a la Hacienda Pública Estatal o Municipal sea cuantificable, la autoridad facultada acompañará la documentación que acredite su monto en la propia querella y declaratoria de perjuicio, en caso contrario hará la exposición del por qué no es posible determinar el monto de lo defraudado. Reglamento Interior de la </w:t>
      </w:r>
      <w:r w:rsidR="009E785A" w:rsidRPr="000D4651">
        <w:rPr>
          <w:rFonts w:ascii="Palatino Linotype" w:eastAsia="Palatino Linotype" w:hAnsi="Palatino Linotype" w:cs="Palatino Linotype"/>
          <w:b/>
          <w:i/>
          <w:sz w:val="22"/>
          <w:szCs w:val="22"/>
        </w:rPr>
        <w:t>Secretaría de Finanzas Publicado en el Periódico Oficial “Gaceta del Gobierno” el 20 de diciembre de 2023 Artículo 33.</w:t>
      </w:r>
      <w:r w:rsidR="009E785A" w:rsidRPr="000D4651">
        <w:rPr>
          <w:rFonts w:ascii="Palatino Linotype" w:eastAsia="Palatino Linotype" w:hAnsi="Palatino Linotype" w:cs="Palatino Linotype"/>
          <w:i/>
          <w:sz w:val="22"/>
          <w:szCs w:val="22"/>
        </w:rPr>
        <w:t xml:space="preserve"> Corresponde a la Procuraduría Fiscal el ejercicio de las siguientes atribuciones: I. Fungir como área de consejería jurídica de la Secretaría; (…) III. Representar a la Secretaría: (…) IV. Formular y presentar a nombre de la Secretaría, las denuncias y querellas cuando se afecten los intereses de la hacienda pública estatal, por la posible comisión de hechos delictuosos, ante el Ministerio Público, así como coadyuvar con éste; (…) XXVII. Dar seguimiento a los reportes que reciba de presunta comisión de delitos fiscales y de cualquier otra naturaleza, de los que tengan conocimiento las unidades administrativas de la Secretaría de Finanzas en el ejercicio de sus funciones, así como de las infracciones administrativas cometidas por las personas servidoras públicas, en el ámbito de su competencia. En conclusión, es incorrecto que la Secretaría de Finanzas del Estado de México se niegue a entregar la información solicitada argumentando que no genera, posee, ni administra dicha información en virtud de las competencias legales que le son atribuidas, ya que del Código Financiero del Estado de México y Municipios y el Reglamento Interior de la Secretaría de Finanzas se puede apreciar que efectivamente la Secretaría de Finanzas genera la información solicitada en virtud de sus funciones, competencias y facultades. Por todo lo anterior, se solicita respetuosamente lo siguiente: ÚNICO. Se revoque la respuesta del sujeto obligado y se entregue la información solicitada ya que la misma es generada por la Secretaría de Finanzas en virtud de sus facultades.</w:t>
      </w:r>
      <w:r w:rsidRPr="000D4651">
        <w:rPr>
          <w:rFonts w:ascii="Palatino Linotype" w:eastAsia="Palatino Linotype" w:hAnsi="Palatino Linotype" w:cs="Palatino Linotype"/>
          <w:i/>
          <w:sz w:val="22"/>
          <w:szCs w:val="22"/>
        </w:rPr>
        <w:t>”</w:t>
      </w:r>
      <w:r w:rsidR="003B195E" w:rsidRPr="000D4651">
        <w:rPr>
          <w:rFonts w:ascii="Palatino Linotype" w:eastAsia="Palatino Linotype" w:hAnsi="Palatino Linotype" w:cs="Palatino Linotype"/>
          <w:i/>
          <w:sz w:val="22"/>
          <w:szCs w:val="22"/>
        </w:rPr>
        <w:t>.</w:t>
      </w:r>
    </w:p>
    <w:p w14:paraId="52FB5139" w14:textId="4A0B3CE0" w:rsidR="004157F3" w:rsidRPr="000D4651" w:rsidRDefault="004157F3" w:rsidP="004157F3">
      <w:pPr>
        <w:spacing w:line="360" w:lineRule="auto"/>
        <w:ind w:right="49"/>
        <w:jc w:val="both"/>
        <w:rPr>
          <w:rFonts w:ascii="Palatino Linotype" w:eastAsia="Palatino Linotype" w:hAnsi="Palatino Linotype" w:cs="Palatino Linotype"/>
          <w:i/>
          <w:sz w:val="22"/>
          <w:szCs w:val="22"/>
        </w:rPr>
      </w:pPr>
      <w:r w:rsidRPr="000D4651">
        <w:rPr>
          <w:rFonts w:ascii="Palatino Linotype" w:eastAsia="Palatino Linotype" w:hAnsi="Palatino Linotype" w:cs="Palatino Linotype"/>
          <w:sz w:val="22"/>
          <w:szCs w:val="22"/>
        </w:rPr>
        <w:lastRenderedPageBreak/>
        <w:t>El Recurrente adjuntó el documento electrónico denominado 00662 PROCURADURIA FISCAL (2), el cual corresponde al documento que adjuntó el Sujeto Obligado en su respuesta.</w:t>
      </w:r>
    </w:p>
    <w:p w14:paraId="0365A609" w14:textId="77777777" w:rsidR="002968E6" w:rsidRPr="000D4651" w:rsidRDefault="002968E6" w:rsidP="00FF2F15">
      <w:pPr>
        <w:spacing w:line="360" w:lineRule="auto"/>
        <w:ind w:left="567" w:right="900"/>
        <w:jc w:val="both"/>
        <w:rPr>
          <w:rFonts w:ascii="Palatino Linotype" w:eastAsia="Palatino Linotype" w:hAnsi="Palatino Linotype" w:cs="Palatino Linotype"/>
          <w:i/>
          <w:sz w:val="22"/>
          <w:szCs w:val="22"/>
        </w:rPr>
      </w:pPr>
    </w:p>
    <w:p w14:paraId="32F74D7C" w14:textId="5E0F4FB8" w:rsidR="00397333" w:rsidRPr="000D4651" w:rsidRDefault="00B16908" w:rsidP="00FF2F15">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0D4651">
        <w:rPr>
          <w:rFonts w:ascii="Palatino Linotype" w:eastAsia="Palatino Linotype" w:hAnsi="Palatino Linotype" w:cs="Palatino Linotype"/>
          <w:b/>
          <w:sz w:val="22"/>
          <w:szCs w:val="22"/>
        </w:rPr>
        <w:t xml:space="preserve">Turno. </w:t>
      </w:r>
      <w:r w:rsidRPr="000D4651">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el recurso de revisión número </w:t>
      </w:r>
      <w:r w:rsidR="00246B4C" w:rsidRPr="000D4651">
        <w:rPr>
          <w:rFonts w:ascii="Palatino Linotype" w:eastAsia="Palatino Linotype" w:hAnsi="Palatino Linotype" w:cs="Palatino Linotype"/>
          <w:b/>
          <w:sz w:val="22"/>
          <w:szCs w:val="22"/>
        </w:rPr>
        <w:t>06554/INFOEM/IP/RR/2024</w:t>
      </w:r>
      <w:r w:rsidRPr="000D4651">
        <w:rPr>
          <w:rFonts w:ascii="Palatino Linotype" w:eastAsia="Palatino Linotype" w:hAnsi="Palatino Linotype" w:cs="Palatino Linotype"/>
          <w:sz w:val="22"/>
          <w:szCs w:val="22"/>
        </w:rPr>
        <w:t xml:space="preserve">, se turnó por el sistema electrónico del Instituto de Transparencia, Acceso a la Información Pública y Protección de Datos Personales del Estado de México y Municipios, a la Comisionada </w:t>
      </w:r>
      <w:r w:rsidRPr="000D4651">
        <w:rPr>
          <w:rFonts w:ascii="Palatino Linotype" w:eastAsia="Palatino Linotype" w:hAnsi="Palatino Linotype" w:cs="Palatino Linotype"/>
          <w:b/>
          <w:sz w:val="22"/>
          <w:szCs w:val="22"/>
        </w:rPr>
        <w:t>Guadalupe Ramírez Peña</w:t>
      </w:r>
      <w:r w:rsidRPr="000D4651">
        <w:rPr>
          <w:rFonts w:ascii="Palatino Linotype" w:eastAsia="Palatino Linotype" w:hAnsi="Palatino Linotype" w:cs="Palatino Linotype"/>
          <w:sz w:val="22"/>
          <w:szCs w:val="22"/>
        </w:rPr>
        <w:t>, para su análisis, estudio, elaboración del proyecto y presentación ante el Pleno de este Instituto.</w:t>
      </w:r>
    </w:p>
    <w:p w14:paraId="54645142" w14:textId="77777777" w:rsidR="00397333" w:rsidRPr="000D4651" w:rsidRDefault="00397333" w:rsidP="00FF2F15">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278E2832" w14:textId="54C2CDFD" w:rsidR="00397333" w:rsidRPr="000D4651" w:rsidRDefault="00B16908" w:rsidP="00FF2F15">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bookmarkStart w:id="0" w:name="_heading=h.gjdgxs" w:colFirst="0" w:colLast="0"/>
      <w:bookmarkEnd w:id="0"/>
      <w:r w:rsidRPr="000D4651">
        <w:rPr>
          <w:rFonts w:ascii="Palatino Linotype" w:eastAsia="Palatino Linotype" w:hAnsi="Palatino Linotype" w:cs="Palatino Linotype"/>
          <w:b/>
          <w:sz w:val="22"/>
          <w:szCs w:val="22"/>
        </w:rPr>
        <w:t xml:space="preserve">Admisión del recurso de revisión: </w:t>
      </w:r>
      <w:r w:rsidRPr="000D4651">
        <w:rPr>
          <w:rFonts w:ascii="Palatino Linotype" w:eastAsia="Palatino Linotype" w:hAnsi="Palatino Linotype" w:cs="Palatino Linotype"/>
          <w:sz w:val="22"/>
          <w:szCs w:val="22"/>
        </w:rPr>
        <w:t xml:space="preserve">En fecha </w:t>
      </w:r>
      <w:r w:rsidR="007D44F9" w:rsidRPr="000D4651">
        <w:rPr>
          <w:rFonts w:ascii="Palatino Linotype" w:eastAsia="Palatino Linotype" w:hAnsi="Palatino Linotype" w:cs="Palatino Linotype"/>
          <w:b/>
          <w:sz w:val="22"/>
          <w:szCs w:val="22"/>
        </w:rPr>
        <w:t>veinti</w:t>
      </w:r>
      <w:r w:rsidR="004157F3" w:rsidRPr="000D4651">
        <w:rPr>
          <w:rFonts w:ascii="Palatino Linotype" w:eastAsia="Palatino Linotype" w:hAnsi="Palatino Linotype" w:cs="Palatino Linotype"/>
          <w:b/>
          <w:sz w:val="22"/>
          <w:szCs w:val="22"/>
        </w:rPr>
        <w:t>cuatro</w:t>
      </w:r>
      <w:r w:rsidR="006E6D13" w:rsidRPr="000D4651">
        <w:rPr>
          <w:rFonts w:ascii="Palatino Linotype" w:eastAsia="Palatino Linotype" w:hAnsi="Palatino Linotype" w:cs="Palatino Linotype"/>
          <w:b/>
          <w:sz w:val="22"/>
          <w:szCs w:val="22"/>
        </w:rPr>
        <w:t xml:space="preserve"> </w:t>
      </w:r>
      <w:r w:rsidR="005514B2" w:rsidRPr="000D4651">
        <w:rPr>
          <w:rFonts w:ascii="Palatino Linotype" w:eastAsia="Palatino Linotype" w:hAnsi="Palatino Linotype" w:cs="Palatino Linotype"/>
          <w:b/>
          <w:sz w:val="22"/>
          <w:szCs w:val="22"/>
        </w:rPr>
        <w:t xml:space="preserve">de </w:t>
      </w:r>
      <w:r w:rsidR="004157F3" w:rsidRPr="000D4651">
        <w:rPr>
          <w:rFonts w:ascii="Palatino Linotype" w:eastAsia="Palatino Linotype" w:hAnsi="Palatino Linotype" w:cs="Palatino Linotype"/>
          <w:b/>
          <w:sz w:val="22"/>
          <w:szCs w:val="22"/>
        </w:rPr>
        <w:t>octubre</w:t>
      </w:r>
      <w:r w:rsidR="005514B2" w:rsidRPr="000D4651">
        <w:rPr>
          <w:rFonts w:ascii="Palatino Linotype" w:eastAsia="Palatino Linotype" w:hAnsi="Palatino Linotype" w:cs="Palatino Linotype"/>
          <w:b/>
          <w:sz w:val="22"/>
          <w:szCs w:val="22"/>
        </w:rPr>
        <w:t xml:space="preserve"> de dos mil veinticuatro</w:t>
      </w:r>
      <w:r w:rsidRPr="000D4651">
        <w:rPr>
          <w:rFonts w:ascii="Palatino Linotype" w:eastAsia="Palatino Linotype" w:hAnsi="Palatino Linotype" w:cs="Palatino Linotype"/>
          <w:sz w:val="22"/>
          <w:szCs w:val="22"/>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w:t>
      </w:r>
      <w:r w:rsidRPr="000D4651">
        <w:rPr>
          <w:rFonts w:ascii="Palatino Linotype" w:eastAsia="Palatino Linotype" w:hAnsi="Palatino Linotype" w:cs="Palatino Linotype"/>
          <w:b/>
          <w:sz w:val="22"/>
          <w:szCs w:val="22"/>
        </w:rPr>
        <w:t>SUJETO OBLIGADO</w:t>
      </w:r>
      <w:r w:rsidRPr="000D4651">
        <w:rPr>
          <w:rFonts w:ascii="Palatino Linotype" w:eastAsia="Palatino Linotype" w:hAnsi="Palatino Linotype" w:cs="Palatino Linotype"/>
          <w:sz w:val="22"/>
          <w:szCs w:val="22"/>
        </w:rPr>
        <w:t xml:space="preserve"> presentara su informe justificado.</w:t>
      </w:r>
    </w:p>
    <w:p w14:paraId="13A8CA21" w14:textId="77777777" w:rsidR="00397333" w:rsidRPr="000D4651" w:rsidRDefault="00397333" w:rsidP="00FF2F15">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25B4B0D8" w14:textId="11D80550" w:rsidR="00303C5A" w:rsidRPr="000D4651" w:rsidRDefault="005532C7" w:rsidP="00E87282">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0D4651">
        <w:rPr>
          <w:rFonts w:ascii="Palatino Linotype" w:eastAsia="Palatino Linotype" w:hAnsi="Palatino Linotype" w:cs="Palatino Linotype"/>
          <w:b/>
          <w:sz w:val="22"/>
          <w:szCs w:val="22"/>
        </w:rPr>
        <w:t>Manifestacione</w:t>
      </w:r>
      <w:r w:rsidR="00B16908" w:rsidRPr="000D4651">
        <w:rPr>
          <w:rFonts w:ascii="Palatino Linotype" w:eastAsia="Palatino Linotype" w:hAnsi="Palatino Linotype" w:cs="Palatino Linotype"/>
          <w:b/>
          <w:sz w:val="22"/>
          <w:szCs w:val="22"/>
        </w:rPr>
        <w:t>s</w:t>
      </w:r>
      <w:r w:rsidR="00B16908" w:rsidRPr="000D4651">
        <w:rPr>
          <w:rFonts w:ascii="Palatino Linotype" w:eastAsia="Palatino Linotype" w:hAnsi="Palatino Linotype" w:cs="Palatino Linotype"/>
          <w:sz w:val="22"/>
          <w:szCs w:val="22"/>
        </w:rPr>
        <w:t xml:space="preserve">: </w:t>
      </w:r>
      <w:r w:rsidR="00303C5A" w:rsidRPr="000D4651">
        <w:rPr>
          <w:rFonts w:ascii="Palatino Linotype" w:eastAsia="Palatino Linotype" w:hAnsi="Palatino Linotype" w:cs="Palatino Linotype"/>
          <w:sz w:val="22"/>
          <w:szCs w:val="22"/>
        </w:rPr>
        <w:t xml:space="preserve">El </w:t>
      </w:r>
      <w:r w:rsidR="004157F3" w:rsidRPr="000D4651">
        <w:rPr>
          <w:rFonts w:ascii="Palatino Linotype" w:eastAsia="Palatino Linotype" w:hAnsi="Palatino Linotype" w:cs="Palatino Linotype"/>
          <w:b/>
          <w:sz w:val="22"/>
          <w:szCs w:val="22"/>
        </w:rPr>
        <w:t>treinta</w:t>
      </w:r>
      <w:r w:rsidR="004157F3" w:rsidRPr="000D4651">
        <w:rPr>
          <w:rFonts w:ascii="Palatino Linotype" w:eastAsia="Palatino Linotype" w:hAnsi="Palatino Linotype" w:cs="Palatino Linotype"/>
          <w:sz w:val="22"/>
          <w:szCs w:val="22"/>
        </w:rPr>
        <w:t xml:space="preserve"> </w:t>
      </w:r>
      <w:r w:rsidR="00303C5A" w:rsidRPr="000D4651">
        <w:rPr>
          <w:rFonts w:ascii="Palatino Linotype" w:eastAsia="Palatino Linotype" w:hAnsi="Palatino Linotype" w:cs="Palatino Linotype"/>
          <w:sz w:val="22"/>
          <w:szCs w:val="22"/>
        </w:rPr>
        <w:t xml:space="preserve">de </w:t>
      </w:r>
      <w:r w:rsidR="004157F3" w:rsidRPr="000D4651">
        <w:rPr>
          <w:rFonts w:ascii="Palatino Linotype" w:eastAsia="Palatino Linotype" w:hAnsi="Palatino Linotype" w:cs="Palatino Linotype"/>
          <w:b/>
          <w:sz w:val="22"/>
          <w:szCs w:val="22"/>
        </w:rPr>
        <w:t>octubre</w:t>
      </w:r>
      <w:r w:rsidR="00303C5A" w:rsidRPr="000D4651">
        <w:rPr>
          <w:rFonts w:ascii="Palatino Linotype" w:eastAsia="Palatino Linotype" w:hAnsi="Palatino Linotype" w:cs="Palatino Linotype"/>
          <w:sz w:val="22"/>
          <w:szCs w:val="22"/>
        </w:rPr>
        <w:t xml:space="preserve"> de dos mil veinticuatro, el Sujeto Obligado rindió su informe justificado, el cual se puso a la vista de la parte Recurrente al </w:t>
      </w:r>
      <w:r w:rsidR="004157F3" w:rsidRPr="000D4651">
        <w:rPr>
          <w:rFonts w:ascii="Palatino Linotype" w:eastAsia="Palatino Linotype" w:hAnsi="Palatino Linotype" w:cs="Palatino Linotype"/>
          <w:b/>
          <w:sz w:val="22"/>
          <w:szCs w:val="22"/>
        </w:rPr>
        <w:t>siete de noviembre de dos mil veinticuatro</w:t>
      </w:r>
      <w:r w:rsidR="00303C5A" w:rsidRPr="000D4651">
        <w:rPr>
          <w:rFonts w:ascii="Palatino Linotype" w:eastAsia="Palatino Linotype" w:hAnsi="Palatino Linotype" w:cs="Palatino Linotype"/>
          <w:sz w:val="22"/>
          <w:szCs w:val="22"/>
        </w:rPr>
        <w:t>, dicho informe justificado consiste en los documentos electrónicos siguientes:</w:t>
      </w:r>
    </w:p>
    <w:p w14:paraId="1FF113EE" w14:textId="77777777" w:rsidR="00303C5A" w:rsidRPr="000D4651" w:rsidRDefault="00303C5A" w:rsidP="00303C5A">
      <w:pPr>
        <w:pStyle w:val="Prrafodelista"/>
        <w:rPr>
          <w:rFonts w:ascii="Palatino Linotype" w:eastAsia="Palatino Linotype" w:hAnsi="Palatino Linotype" w:cs="Palatino Linotype"/>
        </w:rPr>
      </w:pPr>
    </w:p>
    <w:p w14:paraId="51B2E52B" w14:textId="0788C890" w:rsidR="004157F3" w:rsidRPr="000D4651" w:rsidRDefault="004157F3" w:rsidP="004157F3">
      <w:pPr>
        <w:pStyle w:val="Prrafodelista"/>
        <w:numPr>
          <w:ilvl w:val="0"/>
          <w:numId w:val="17"/>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bCs/>
        </w:rPr>
      </w:pPr>
      <w:r w:rsidRPr="000D4651">
        <w:rPr>
          <w:rFonts w:ascii="Palatino Linotype" w:eastAsia="Palatino Linotype" w:hAnsi="Palatino Linotype" w:cs="Palatino Linotype"/>
          <w:b/>
          <w:bCs/>
        </w:rPr>
        <w:t>06554 INFOEM IP RR PROCURADURIA FISCAL .</w:t>
      </w:r>
      <w:proofErr w:type="spellStart"/>
      <w:r w:rsidRPr="000D4651">
        <w:rPr>
          <w:rFonts w:ascii="Palatino Linotype" w:eastAsia="Palatino Linotype" w:hAnsi="Palatino Linotype" w:cs="Palatino Linotype"/>
          <w:b/>
          <w:bCs/>
        </w:rPr>
        <w:t>pdf</w:t>
      </w:r>
      <w:proofErr w:type="spellEnd"/>
      <w:r w:rsidRPr="000D4651">
        <w:rPr>
          <w:rFonts w:ascii="Palatino Linotype" w:eastAsia="Palatino Linotype" w:hAnsi="Palatino Linotype" w:cs="Palatino Linotype"/>
          <w:b/>
          <w:bCs/>
        </w:rPr>
        <w:t xml:space="preserve">: </w:t>
      </w:r>
      <w:r w:rsidRPr="000D4651">
        <w:rPr>
          <w:rFonts w:ascii="Palatino Linotype" w:eastAsia="Palatino Linotype" w:hAnsi="Palatino Linotype" w:cs="Palatino Linotype"/>
          <w:bCs/>
        </w:rPr>
        <w:t>Oficio 20700006010000S/073/2024 suscrito por la Coordinadora de Apoyo Técnico y Servidora Pública Habilitada de la Procuraduría Fiscal, mediante el cual dio contestación a cada uno de los requerimientos, en el siguiente sentido:</w:t>
      </w:r>
    </w:p>
    <w:p w14:paraId="2582FB2E" w14:textId="77777777" w:rsidR="004157F3" w:rsidRPr="000D4651" w:rsidRDefault="004157F3" w:rsidP="004157F3">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bCs/>
        </w:rPr>
      </w:pPr>
    </w:p>
    <w:p w14:paraId="58B78A52" w14:textId="77777777" w:rsidR="004157F3" w:rsidRPr="000D4651" w:rsidRDefault="004157F3" w:rsidP="004157F3">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bCs/>
        </w:rPr>
      </w:pPr>
    </w:p>
    <w:p w14:paraId="1442452F" w14:textId="77777777" w:rsidR="004157F3" w:rsidRPr="000D4651" w:rsidRDefault="004157F3" w:rsidP="004157F3">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bCs/>
        </w:rPr>
      </w:pPr>
    </w:p>
    <w:p w14:paraId="340493C5" w14:textId="277D475F" w:rsidR="004157F3" w:rsidRPr="000D4651" w:rsidRDefault="004157F3" w:rsidP="004157F3">
      <w:pPr>
        <w:pBdr>
          <w:top w:val="nil"/>
          <w:left w:val="nil"/>
          <w:bottom w:val="nil"/>
          <w:right w:val="nil"/>
          <w:between w:val="nil"/>
        </w:pBdr>
        <w:tabs>
          <w:tab w:val="left" w:pos="284"/>
        </w:tabs>
        <w:spacing w:line="360" w:lineRule="auto"/>
        <w:ind w:left="567" w:right="616"/>
        <w:jc w:val="both"/>
        <w:rPr>
          <w:rFonts w:ascii="Palatino Linotype" w:eastAsia="Palatino Linotype" w:hAnsi="Palatino Linotype" w:cs="Palatino Linotype"/>
          <w:bCs/>
          <w:i/>
        </w:rPr>
      </w:pPr>
      <w:r w:rsidRPr="000D4651">
        <w:rPr>
          <w:rFonts w:ascii="Palatino Linotype" w:eastAsia="Palatino Linotype" w:hAnsi="Palatino Linotype" w:cs="Palatino Linotype"/>
          <w:bCs/>
          <w:i/>
        </w:rPr>
        <w:t>1.- Un número de querellas formuladas por el delito de defraudación fiscal contemplado en el artículo 365 del Código Financiero del Estado de México y Municipios desde el 01 de enero de 2000 hasta el 01 de enero de 2024:</w:t>
      </w:r>
    </w:p>
    <w:p w14:paraId="2EA5B639" w14:textId="77777777" w:rsidR="004157F3" w:rsidRPr="000D4651" w:rsidRDefault="004157F3" w:rsidP="004157F3">
      <w:pPr>
        <w:pBdr>
          <w:top w:val="nil"/>
          <w:left w:val="nil"/>
          <w:bottom w:val="nil"/>
          <w:right w:val="nil"/>
          <w:between w:val="nil"/>
        </w:pBdr>
        <w:tabs>
          <w:tab w:val="left" w:pos="284"/>
        </w:tabs>
        <w:spacing w:line="360" w:lineRule="auto"/>
        <w:ind w:left="567" w:right="616"/>
        <w:jc w:val="both"/>
        <w:rPr>
          <w:rFonts w:ascii="Palatino Linotype" w:eastAsia="Palatino Linotype" w:hAnsi="Palatino Linotype" w:cs="Palatino Linotype"/>
          <w:bCs/>
          <w:i/>
        </w:rPr>
      </w:pPr>
      <w:r w:rsidRPr="000D4651">
        <w:rPr>
          <w:rFonts w:ascii="Palatino Linotype" w:eastAsia="Palatino Linotype" w:hAnsi="Palatino Linotype" w:cs="Palatino Linotype"/>
          <w:bCs/>
          <w:i/>
        </w:rPr>
        <w:t>No se han presentado querellas por el delito de defraudación fiscal y/o en contra de persona alguna quien mediante el uso de engaños o aprovechamiento de errores, omita total o parcialmente el pago de alguna contribución a su cargo o en su carácter de retenedor y obtenga un beneficio indebido en perjuicio de la hacienda pública estatal o municipal.</w:t>
      </w:r>
    </w:p>
    <w:p w14:paraId="5DA6C425" w14:textId="6FAF9A5E" w:rsidR="004157F3" w:rsidRPr="000D4651" w:rsidRDefault="004157F3" w:rsidP="004157F3">
      <w:pPr>
        <w:pBdr>
          <w:top w:val="nil"/>
          <w:left w:val="nil"/>
          <w:bottom w:val="nil"/>
          <w:right w:val="nil"/>
          <w:between w:val="nil"/>
        </w:pBdr>
        <w:tabs>
          <w:tab w:val="left" w:pos="284"/>
        </w:tabs>
        <w:spacing w:line="360" w:lineRule="auto"/>
        <w:ind w:left="567" w:right="616"/>
        <w:jc w:val="both"/>
        <w:rPr>
          <w:rFonts w:ascii="Palatino Linotype" w:eastAsia="Palatino Linotype" w:hAnsi="Palatino Linotype" w:cs="Palatino Linotype"/>
          <w:bCs/>
          <w:i/>
        </w:rPr>
      </w:pPr>
      <w:r w:rsidRPr="000D4651">
        <w:rPr>
          <w:rFonts w:ascii="Palatino Linotype" w:eastAsia="Palatino Linotype" w:hAnsi="Palatino Linotype" w:cs="Palatino Linotype"/>
          <w:bCs/>
          <w:i/>
        </w:rPr>
        <w:t>2.- Número de sentencias condenatorias o absolutorias dictadas por el delito de defraudación fiscal contemplado en el artículo 365 del Código Financiero del Estado De México y Municipios desde el 01 de enero de 2000 hasta el 01 de enero de 2024.</w:t>
      </w:r>
    </w:p>
    <w:p w14:paraId="11C969E7" w14:textId="5F227EF6" w:rsidR="004157F3" w:rsidRPr="000D4651" w:rsidRDefault="004157F3" w:rsidP="004157F3">
      <w:pPr>
        <w:pBdr>
          <w:top w:val="nil"/>
          <w:left w:val="nil"/>
          <w:bottom w:val="nil"/>
          <w:right w:val="nil"/>
          <w:between w:val="nil"/>
        </w:pBdr>
        <w:tabs>
          <w:tab w:val="left" w:pos="284"/>
        </w:tabs>
        <w:spacing w:line="360" w:lineRule="auto"/>
        <w:ind w:left="567" w:right="616"/>
        <w:jc w:val="both"/>
        <w:rPr>
          <w:rFonts w:ascii="Palatino Linotype" w:eastAsia="Palatino Linotype" w:hAnsi="Palatino Linotype" w:cs="Palatino Linotype"/>
          <w:bCs/>
          <w:i/>
        </w:rPr>
      </w:pPr>
      <w:r w:rsidRPr="000D4651">
        <w:rPr>
          <w:rFonts w:ascii="Palatino Linotype" w:eastAsia="Palatino Linotype" w:hAnsi="Palatino Linotype" w:cs="Palatino Linotype"/>
          <w:bCs/>
          <w:i/>
        </w:rPr>
        <w:t>Dentro de los registros de esta autoridad no existen sentencias condenatorias o absolutorias dictadas por el delito de defraudación fiscal contemplado en el artículo 365 del Código Financiero del Estado de México y Municipios desde el 0l de enero de 2000 hasta el 0l de enero de 2024.</w:t>
      </w:r>
    </w:p>
    <w:p w14:paraId="4D64DAF0" w14:textId="76F08F7E" w:rsidR="004157F3" w:rsidRPr="000D4651" w:rsidRDefault="004157F3" w:rsidP="004157F3">
      <w:pPr>
        <w:pBdr>
          <w:top w:val="nil"/>
          <w:left w:val="nil"/>
          <w:bottom w:val="nil"/>
          <w:right w:val="nil"/>
          <w:between w:val="nil"/>
        </w:pBdr>
        <w:tabs>
          <w:tab w:val="left" w:pos="284"/>
        </w:tabs>
        <w:spacing w:line="360" w:lineRule="auto"/>
        <w:ind w:left="567" w:right="616"/>
        <w:jc w:val="both"/>
        <w:rPr>
          <w:rFonts w:ascii="Palatino Linotype" w:eastAsia="Palatino Linotype" w:hAnsi="Palatino Linotype" w:cs="Palatino Linotype"/>
          <w:bCs/>
          <w:i/>
        </w:rPr>
      </w:pPr>
      <w:r w:rsidRPr="000D4651">
        <w:rPr>
          <w:rFonts w:ascii="Palatino Linotype" w:eastAsia="Palatino Linotype" w:hAnsi="Palatino Linotype" w:cs="Palatino Linotype"/>
          <w:bCs/>
          <w:i/>
        </w:rPr>
        <w:t>3.- En relación con el numeral anterior, se solicita que se me proporcione la versión pública de las sentencias condenatorias o absolutorias que se hayan dictado por el delito de defraudación fiscal contemplado en el artículo 365 del Código Financiero del Estado de México y Municipios desde el 01 de enero de 2000 hasta el 01 de enero de 2024.</w:t>
      </w:r>
    </w:p>
    <w:p w14:paraId="490D692A" w14:textId="4047EEF5" w:rsidR="001420F3" w:rsidRPr="000D4651" w:rsidRDefault="001420F3" w:rsidP="001420F3">
      <w:pPr>
        <w:pBdr>
          <w:top w:val="nil"/>
          <w:left w:val="nil"/>
          <w:bottom w:val="nil"/>
          <w:right w:val="nil"/>
          <w:between w:val="nil"/>
        </w:pBdr>
        <w:tabs>
          <w:tab w:val="left" w:pos="284"/>
        </w:tabs>
        <w:spacing w:line="360" w:lineRule="auto"/>
        <w:ind w:left="567" w:right="616"/>
        <w:jc w:val="both"/>
        <w:rPr>
          <w:rFonts w:ascii="Palatino Linotype" w:eastAsia="Palatino Linotype" w:hAnsi="Palatino Linotype" w:cs="Palatino Linotype"/>
          <w:bCs/>
          <w:i/>
        </w:rPr>
      </w:pPr>
      <w:r w:rsidRPr="000D4651">
        <w:rPr>
          <w:rFonts w:ascii="Palatino Linotype" w:eastAsia="Palatino Linotype" w:hAnsi="Palatino Linotype" w:cs="Palatino Linotype"/>
          <w:bCs/>
          <w:i/>
        </w:rPr>
        <w:lastRenderedPageBreak/>
        <w:t>Dentro de los registros de esta autoridad no existen sentencias condenatorias o absolutorias dictadas por el delito de defraudación fiscal contemplado en el artículo 365 del Código Financiero del Estado de México y Municipios desde el 01 de enero de 2000 hasta el 01 de enero de 2024.</w:t>
      </w:r>
    </w:p>
    <w:p w14:paraId="22A6F7A3" w14:textId="77777777" w:rsidR="001420F3" w:rsidRPr="000D4651" w:rsidRDefault="001420F3" w:rsidP="001420F3">
      <w:pPr>
        <w:pBdr>
          <w:top w:val="nil"/>
          <w:left w:val="nil"/>
          <w:bottom w:val="nil"/>
          <w:right w:val="nil"/>
          <w:between w:val="nil"/>
        </w:pBdr>
        <w:tabs>
          <w:tab w:val="left" w:pos="284"/>
        </w:tabs>
        <w:spacing w:line="360" w:lineRule="auto"/>
        <w:ind w:left="567" w:right="616"/>
        <w:jc w:val="both"/>
        <w:rPr>
          <w:rFonts w:ascii="Palatino Linotype" w:eastAsia="Palatino Linotype" w:hAnsi="Palatino Linotype" w:cs="Palatino Linotype"/>
          <w:bCs/>
          <w:i/>
        </w:rPr>
      </w:pPr>
    </w:p>
    <w:p w14:paraId="460FAD44" w14:textId="77777777" w:rsidR="001420F3" w:rsidRPr="000D4651" w:rsidRDefault="001420F3" w:rsidP="001420F3">
      <w:pPr>
        <w:pBdr>
          <w:top w:val="nil"/>
          <w:left w:val="nil"/>
          <w:bottom w:val="nil"/>
          <w:right w:val="nil"/>
          <w:between w:val="nil"/>
        </w:pBdr>
        <w:tabs>
          <w:tab w:val="left" w:pos="284"/>
        </w:tabs>
        <w:spacing w:line="360" w:lineRule="auto"/>
        <w:ind w:left="567" w:right="616"/>
        <w:jc w:val="both"/>
        <w:rPr>
          <w:rFonts w:ascii="Palatino Linotype" w:eastAsia="Palatino Linotype" w:hAnsi="Palatino Linotype" w:cs="Palatino Linotype"/>
          <w:bCs/>
          <w:i/>
        </w:rPr>
      </w:pPr>
      <w:r w:rsidRPr="000D4651">
        <w:rPr>
          <w:rFonts w:ascii="Palatino Linotype" w:eastAsia="Palatino Linotype" w:hAnsi="Palatino Linotype" w:cs="Palatino Linotype"/>
          <w:bCs/>
          <w:i/>
        </w:rPr>
        <w:t>4.- Número de querellas formuladas por el delito de defraudación fiscal equiparable contemplado en el artículo 367 del Código Financiero del Estado de México y Municipios desde el 01 de enero de 2000</w:t>
      </w:r>
    </w:p>
    <w:p w14:paraId="6276D0E2" w14:textId="77777777" w:rsidR="001420F3" w:rsidRPr="000D4651" w:rsidRDefault="001420F3" w:rsidP="001420F3">
      <w:pPr>
        <w:pBdr>
          <w:top w:val="nil"/>
          <w:left w:val="nil"/>
          <w:bottom w:val="nil"/>
          <w:right w:val="nil"/>
          <w:between w:val="nil"/>
        </w:pBdr>
        <w:tabs>
          <w:tab w:val="left" w:pos="284"/>
        </w:tabs>
        <w:spacing w:line="360" w:lineRule="auto"/>
        <w:ind w:left="567" w:right="616"/>
        <w:jc w:val="both"/>
        <w:rPr>
          <w:rFonts w:ascii="Palatino Linotype" w:eastAsia="Palatino Linotype" w:hAnsi="Palatino Linotype" w:cs="Palatino Linotype"/>
          <w:bCs/>
          <w:i/>
        </w:rPr>
      </w:pPr>
      <w:r w:rsidRPr="000D4651">
        <w:rPr>
          <w:rFonts w:ascii="Palatino Linotype" w:eastAsia="Palatino Linotype" w:hAnsi="Palatino Linotype" w:cs="Palatino Linotype"/>
          <w:bCs/>
          <w:i/>
        </w:rPr>
        <w:t>hasta el 01 de enero de 2024.</w:t>
      </w:r>
    </w:p>
    <w:p w14:paraId="03385D60" w14:textId="77777777" w:rsidR="001420F3" w:rsidRPr="000D4651" w:rsidRDefault="001420F3" w:rsidP="001420F3">
      <w:pPr>
        <w:pBdr>
          <w:top w:val="nil"/>
          <w:left w:val="nil"/>
          <w:bottom w:val="nil"/>
          <w:right w:val="nil"/>
          <w:between w:val="nil"/>
        </w:pBdr>
        <w:tabs>
          <w:tab w:val="left" w:pos="284"/>
        </w:tabs>
        <w:spacing w:line="360" w:lineRule="auto"/>
        <w:ind w:left="567" w:right="616"/>
        <w:jc w:val="both"/>
        <w:rPr>
          <w:rFonts w:ascii="Palatino Linotype" w:eastAsia="Palatino Linotype" w:hAnsi="Palatino Linotype" w:cs="Palatino Linotype"/>
          <w:bCs/>
          <w:i/>
        </w:rPr>
      </w:pPr>
      <w:r w:rsidRPr="000D4651">
        <w:rPr>
          <w:rFonts w:ascii="Palatino Linotype" w:eastAsia="Palatino Linotype" w:hAnsi="Palatino Linotype" w:cs="Palatino Linotype"/>
          <w:bCs/>
          <w:i/>
        </w:rPr>
        <w:t>No se han presentado querellas por el delito de defraudación fiscal, y/o en contra de persona alguna quien mediante la simulación de actos jurídicos, omita total o parcialmente el pago de las contribuciones a su cargo; intencionalmente proporcione con falsedad a las autoridades fiscales, los datos que obren en su poder y que sean necesarios para determinar las contribuciones; no entreguen a las autoridades fiscales dentro del plazo del requerimiento que se le haga, las cantidades que haya retenido o recaudado de los contribuyentes por concepto de contribuciones; para registrar sus operaciones contables o fiscales, lleve dos o más registros contables con distintos asientos o datos; y asesoren al contribuyente sobre la forma de aprovechar errores o consumar engaños para omitir total o parcialmente el pago de una o más contribuciones, o realice las acciones en representación del contribuyente a efecto de consumar la defraudación fiscal.</w:t>
      </w:r>
    </w:p>
    <w:p w14:paraId="2462D53D" w14:textId="77777777" w:rsidR="001420F3" w:rsidRPr="000D4651" w:rsidRDefault="001420F3" w:rsidP="001420F3">
      <w:pPr>
        <w:pBdr>
          <w:top w:val="nil"/>
          <w:left w:val="nil"/>
          <w:bottom w:val="nil"/>
          <w:right w:val="nil"/>
          <w:between w:val="nil"/>
        </w:pBdr>
        <w:tabs>
          <w:tab w:val="left" w:pos="284"/>
        </w:tabs>
        <w:spacing w:line="360" w:lineRule="auto"/>
        <w:ind w:left="567" w:right="616"/>
        <w:jc w:val="both"/>
        <w:rPr>
          <w:rFonts w:ascii="Palatino Linotype" w:eastAsia="Palatino Linotype" w:hAnsi="Palatino Linotype" w:cs="Palatino Linotype"/>
          <w:bCs/>
          <w:i/>
        </w:rPr>
      </w:pPr>
      <w:r w:rsidRPr="000D4651">
        <w:rPr>
          <w:rFonts w:ascii="Palatino Linotype" w:eastAsia="Palatino Linotype" w:hAnsi="Palatino Linotype" w:cs="Palatino Linotype"/>
          <w:bCs/>
          <w:i/>
        </w:rPr>
        <w:lastRenderedPageBreak/>
        <w:t>5.- Número de sentencias condenatorias o absolutorias dictadas por el delito de defraudación fiscal equiparable contemplado en el artículo 367 del Código Financiero del Estado de México y Municipios</w:t>
      </w:r>
    </w:p>
    <w:p w14:paraId="7E9B42D3" w14:textId="77777777" w:rsidR="001420F3" w:rsidRPr="000D4651" w:rsidRDefault="001420F3" w:rsidP="001420F3">
      <w:pPr>
        <w:pBdr>
          <w:top w:val="nil"/>
          <w:left w:val="nil"/>
          <w:bottom w:val="nil"/>
          <w:right w:val="nil"/>
          <w:between w:val="nil"/>
        </w:pBdr>
        <w:tabs>
          <w:tab w:val="left" w:pos="284"/>
        </w:tabs>
        <w:spacing w:line="360" w:lineRule="auto"/>
        <w:ind w:left="567" w:right="616"/>
        <w:jc w:val="both"/>
        <w:rPr>
          <w:rFonts w:ascii="Palatino Linotype" w:eastAsia="Palatino Linotype" w:hAnsi="Palatino Linotype" w:cs="Palatino Linotype"/>
          <w:bCs/>
          <w:i/>
        </w:rPr>
      </w:pPr>
      <w:r w:rsidRPr="000D4651">
        <w:rPr>
          <w:rFonts w:ascii="Palatino Linotype" w:eastAsia="Palatino Linotype" w:hAnsi="Palatino Linotype" w:cs="Palatino Linotype"/>
          <w:bCs/>
          <w:i/>
        </w:rPr>
        <w:t>desde el 01 de enero de 2000 hasta el 01 de enero de 2024.</w:t>
      </w:r>
    </w:p>
    <w:p w14:paraId="255F9C4E" w14:textId="77777777" w:rsidR="001420F3" w:rsidRPr="000D4651" w:rsidRDefault="001420F3" w:rsidP="001420F3">
      <w:pPr>
        <w:pBdr>
          <w:top w:val="nil"/>
          <w:left w:val="nil"/>
          <w:bottom w:val="nil"/>
          <w:right w:val="nil"/>
          <w:between w:val="nil"/>
        </w:pBdr>
        <w:tabs>
          <w:tab w:val="left" w:pos="284"/>
        </w:tabs>
        <w:spacing w:line="360" w:lineRule="auto"/>
        <w:ind w:left="567" w:right="616"/>
        <w:jc w:val="both"/>
        <w:rPr>
          <w:rFonts w:ascii="Palatino Linotype" w:eastAsia="Palatino Linotype" w:hAnsi="Palatino Linotype" w:cs="Palatino Linotype"/>
          <w:bCs/>
          <w:i/>
        </w:rPr>
      </w:pPr>
      <w:r w:rsidRPr="000D4651">
        <w:rPr>
          <w:rFonts w:ascii="Palatino Linotype" w:eastAsia="Palatino Linotype" w:hAnsi="Palatino Linotype" w:cs="Palatino Linotype"/>
          <w:bCs/>
          <w:i/>
        </w:rPr>
        <w:t>Dentro de los registros de esta autoridad no existen sentencias condenatorias o absolutorias dictadas por el delito de defraudación fiscal equiparable contemplado en el artículo 367 del Código Financiero del</w:t>
      </w:r>
    </w:p>
    <w:p w14:paraId="5FFC155B" w14:textId="77777777" w:rsidR="001420F3" w:rsidRPr="000D4651" w:rsidRDefault="001420F3" w:rsidP="001420F3">
      <w:pPr>
        <w:pBdr>
          <w:top w:val="nil"/>
          <w:left w:val="nil"/>
          <w:bottom w:val="nil"/>
          <w:right w:val="nil"/>
          <w:between w:val="nil"/>
        </w:pBdr>
        <w:tabs>
          <w:tab w:val="left" w:pos="284"/>
        </w:tabs>
        <w:spacing w:line="360" w:lineRule="auto"/>
        <w:ind w:left="567" w:right="616"/>
        <w:jc w:val="both"/>
        <w:rPr>
          <w:rFonts w:ascii="Palatino Linotype" w:eastAsia="Palatino Linotype" w:hAnsi="Palatino Linotype" w:cs="Palatino Linotype"/>
          <w:bCs/>
          <w:i/>
        </w:rPr>
      </w:pPr>
      <w:r w:rsidRPr="000D4651">
        <w:rPr>
          <w:rFonts w:ascii="Palatino Linotype" w:eastAsia="Palatino Linotype" w:hAnsi="Palatino Linotype" w:cs="Palatino Linotype"/>
          <w:bCs/>
          <w:i/>
        </w:rPr>
        <w:t>Estado de México y Municipios desde el 01 de enero de 2000 hasta el 01 de enero de 2024.</w:t>
      </w:r>
    </w:p>
    <w:p w14:paraId="64CC26AA" w14:textId="77777777" w:rsidR="001420F3" w:rsidRPr="000D4651" w:rsidRDefault="001420F3" w:rsidP="001420F3">
      <w:pPr>
        <w:pBdr>
          <w:top w:val="nil"/>
          <w:left w:val="nil"/>
          <w:bottom w:val="nil"/>
          <w:right w:val="nil"/>
          <w:between w:val="nil"/>
        </w:pBdr>
        <w:tabs>
          <w:tab w:val="left" w:pos="284"/>
        </w:tabs>
        <w:spacing w:line="360" w:lineRule="auto"/>
        <w:ind w:left="567" w:right="616"/>
        <w:jc w:val="both"/>
        <w:rPr>
          <w:rFonts w:ascii="Palatino Linotype" w:eastAsia="Palatino Linotype" w:hAnsi="Palatino Linotype" w:cs="Palatino Linotype"/>
          <w:bCs/>
          <w:i/>
        </w:rPr>
      </w:pPr>
      <w:r w:rsidRPr="000D4651">
        <w:rPr>
          <w:rFonts w:ascii="Palatino Linotype" w:eastAsia="Palatino Linotype" w:hAnsi="Palatino Linotype" w:cs="Palatino Linotype"/>
          <w:bCs/>
          <w:i/>
        </w:rPr>
        <w:t>6.- En relación con el numeral anterior, se solicita que se me proporcione la versión pública de las sentencias condenatorias o absolutorias que se hayan dictado por el delito de defraudación fiscal equiparable contemplado en el artículo 367 del Código Financiero del Estado de México y Municipios</w:t>
      </w:r>
    </w:p>
    <w:p w14:paraId="06F42319" w14:textId="77777777" w:rsidR="001420F3" w:rsidRPr="000D4651" w:rsidRDefault="001420F3" w:rsidP="001420F3">
      <w:pPr>
        <w:pBdr>
          <w:top w:val="nil"/>
          <w:left w:val="nil"/>
          <w:bottom w:val="nil"/>
          <w:right w:val="nil"/>
          <w:between w:val="nil"/>
        </w:pBdr>
        <w:tabs>
          <w:tab w:val="left" w:pos="284"/>
        </w:tabs>
        <w:spacing w:line="360" w:lineRule="auto"/>
        <w:ind w:left="567" w:right="616"/>
        <w:jc w:val="both"/>
        <w:rPr>
          <w:rFonts w:ascii="Palatino Linotype" w:eastAsia="Palatino Linotype" w:hAnsi="Palatino Linotype" w:cs="Palatino Linotype"/>
          <w:bCs/>
          <w:i/>
        </w:rPr>
      </w:pPr>
      <w:r w:rsidRPr="000D4651">
        <w:rPr>
          <w:rFonts w:ascii="Palatino Linotype" w:eastAsia="Palatino Linotype" w:hAnsi="Palatino Linotype" w:cs="Palatino Linotype"/>
          <w:bCs/>
          <w:i/>
        </w:rPr>
        <w:t xml:space="preserve">desde el </w:t>
      </w:r>
      <w:proofErr w:type="spellStart"/>
      <w:r w:rsidRPr="000D4651">
        <w:rPr>
          <w:rFonts w:ascii="Palatino Linotype" w:eastAsia="Palatino Linotype" w:hAnsi="Palatino Linotype" w:cs="Palatino Linotype"/>
          <w:bCs/>
          <w:i/>
        </w:rPr>
        <w:t>Ol</w:t>
      </w:r>
      <w:proofErr w:type="spellEnd"/>
      <w:r w:rsidRPr="000D4651">
        <w:rPr>
          <w:rFonts w:ascii="Palatino Linotype" w:eastAsia="Palatino Linotype" w:hAnsi="Palatino Linotype" w:cs="Palatino Linotype"/>
          <w:bCs/>
          <w:i/>
        </w:rPr>
        <w:t xml:space="preserve"> de enero de 2000 hasta el 01 de enero de 2024.</w:t>
      </w:r>
    </w:p>
    <w:p w14:paraId="5EF339AA" w14:textId="77777777" w:rsidR="001420F3" w:rsidRPr="000D4651" w:rsidRDefault="001420F3" w:rsidP="001420F3">
      <w:pPr>
        <w:pBdr>
          <w:top w:val="nil"/>
          <w:left w:val="nil"/>
          <w:bottom w:val="nil"/>
          <w:right w:val="nil"/>
          <w:between w:val="nil"/>
        </w:pBdr>
        <w:tabs>
          <w:tab w:val="left" w:pos="284"/>
        </w:tabs>
        <w:spacing w:line="360" w:lineRule="auto"/>
        <w:ind w:left="567" w:right="616"/>
        <w:jc w:val="both"/>
        <w:rPr>
          <w:rFonts w:ascii="Palatino Linotype" w:eastAsia="Palatino Linotype" w:hAnsi="Palatino Linotype" w:cs="Palatino Linotype"/>
          <w:bCs/>
          <w:i/>
        </w:rPr>
      </w:pPr>
      <w:r w:rsidRPr="000D4651">
        <w:rPr>
          <w:rFonts w:ascii="Palatino Linotype" w:eastAsia="Palatino Linotype" w:hAnsi="Palatino Linotype" w:cs="Palatino Linotype"/>
          <w:bCs/>
          <w:i/>
        </w:rPr>
        <w:t>Dentro de los registros de esta autoridad no existen sentencias condenatorias o absolutorias dictadas por el delito de defraudación fiscal equiparable contemplado en el artículo 367 del Código Financiero del</w:t>
      </w:r>
    </w:p>
    <w:p w14:paraId="33F828D1" w14:textId="77777777" w:rsidR="001420F3" w:rsidRPr="000D4651" w:rsidRDefault="001420F3" w:rsidP="001420F3">
      <w:pPr>
        <w:pBdr>
          <w:top w:val="nil"/>
          <w:left w:val="nil"/>
          <w:bottom w:val="nil"/>
          <w:right w:val="nil"/>
          <w:between w:val="nil"/>
        </w:pBdr>
        <w:tabs>
          <w:tab w:val="left" w:pos="284"/>
        </w:tabs>
        <w:spacing w:line="360" w:lineRule="auto"/>
        <w:ind w:left="567" w:right="616"/>
        <w:jc w:val="both"/>
        <w:rPr>
          <w:rFonts w:ascii="Palatino Linotype" w:eastAsia="Palatino Linotype" w:hAnsi="Palatino Linotype" w:cs="Palatino Linotype"/>
          <w:bCs/>
          <w:i/>
        </w:rPr>
      </w:pPr>
      <w:r w:rsidRPr="000D4651">
        <w:rPr>
          <w:rFonts w:ascii="Palatino Linotype" w:eastAsia="Palatino Linotype" w:hAnsi="Palatino Linotype" w:cs="Palatino Linotype"/>
          <w:bCs/>
          <w:i/>
        </w:rPr>
        <w:t xml:space="preserve">Estado de México y Municipios desde el </w:t>
      </w:r>
      <w:proofErr w:type="spellStart"/>
      <w:r w:rsidRPr="000D4651">
        <w:rPr>
          <w:rFonts w:ascii="Palatino Linotype" w:eastAsia="Palatino Linotype" w:hAnsi="Palatino Linotype" w:cs="Palatino Linotype"/>
          <w:bCs/>
          <w:i/>
        </w:rPr>
        <w:t>Ol</w:t>
      </w:r>
      <w:proofErr w:type="spellEnd"/>
      <w:r w:rsidRPr="000D4651">
        <w:rPr>
          <w:rFonts w:ascii="Palatino Linotype" w:eastAsia="Palatino Linotype" w:hAnsi="Palatino Linotype" w:cs="Palatino Linotype"/>
          <w:bCs/>
          <w:i/>
        </w:rPr>
        <w:t xml:space="preserve"> de enero de 2000 hasta el 01 de enero de 2024.</w:t>
      </w:r>
    </w:p>
    <w:p w14:paraId="5242AFA5" w14:textId="77777777" w:rsidR="001420F3" w:rsidRPr="000D4651" w:rsidRDefault="001420F3" w:rsidP="001420F3">
      <w:pPr>
        <w:pBdr>
          <w:top w:val="nil"/>
          <w:left w:val="nil"/>
          <w:bottom w:val="nil"/>
          <w:right w:val="nil"/>
          <w:between w:val="nil"/>
        </w:pBdr>
        <w:tabs>
          <w:tab w:val="left" w:pos="284"/>
        </w:tabs>
        <w:spacing w:line="360" w:lineRule="auto"/>
        <w:ind w:left="567" w:right="616"/>
        <w:jc w:val="both"/>
        <w:rPr>
          <w:rFonts w:ascii="Palatino Linotype" w:eastAsia="Palatino Linotype" w:hAnsi="Palatino Linotype" w:cs="Palatino Linotype"/>
          <w:bCs/>
          <w:i/>
        </w:rPr>
      </w:pPr>
      <w:r w:rsidRPr="000D4651">
        <w:rPr>
          <w:rFonts w:ascii="Palatino Linotype" w:eastAsia="Palatino Linotype" w:hAnsi="Palatino Linotype" w:cs="Palatino Linotype"/>
          <w:bCs/>
          <w:i/>
        </w:rPr>
        <w:t xml:space="preserve">7.- En los procesos penales instruidos por los delitos contemplados en los artículos 365 y 367 del Código Financiero del Estado de México y Municipios, ¿la Secretaría de Finanzas y de Administración del Estado interviene como </w:t>
      </w:r>
      <w:proofErr w:type="spellStart"/>
      <w:r w:rsidRPr="000D4651">
        <w:rPr>
          <w:rFonts w:ascii="Palatino Linotype" w:eastAsia="Palatino Linotype" w:hAnsi="Palatino Linotype" w:cs="Palatino Linotype"/>
          <w:bCs/>
          <w:i/>
        </w:rPr>
        <w:t>victima</w:t>
      </w:r>
      <w:proofErr w:type="spellEnd"/>
      <w:r w:rsidRPr="000D4651">
        <w:rPr>
          <w:rFonts w:ascii="Palatino Linotype" w:eastAsia="Palatino Linotype" w:hAnsi="Palatino Linotype" w:cs="Palatino Linotype"/>
          <w:bCs/>
          <w:i/>
        </w:rPr>
        <w:t xml:space="preserve"> u ofendido?</w:t>
      </w:r>
    </w:p>
    <w:p w14:paraId="63591EFC" w14:textId="77777777" w:rsidR="001420F3" w:rsidRPr="000D4651" w:rsidRDefault="001420F3" w:rsidP="001420F3">
      <w:pPr>
        <w:pBdr>
          <w:top w:val="nil"/>
          <w:left w:val="nil"/>
          <w:bottom w:val="nil"/>
          <w:right w:val="nil"/>
          <w:between w:val="nil"/>
        </w:pBdr>
        <w:tabs>
          <w:tab w:val="left" w:pos="284"/>
        </w:tabs>
        <w:spacing w:line="360" w:lineRule="auto"/>
        <w:ind w:left="567" w:right="616"/>
        <w:jc w:val="both"/>
        <w:rPr>
          <w:rFonts w:ascii="Palatino Linotype" w:eastAsia="Palatino Linotype" w:hAnsi="Palatino Linotype" w:cs="Palatino Linotype"/>
          <w:bCs/>
          <w:i/>
        </w:rPr>
      </w:pPr>
      <w:r w:rsidRPr="000D4651">
        <w:rPr>
          <w:rFonts w:ascii="Palatino Linotype" w:eastAsia="Palatino Linotype" w:hAnsi="Palatino Linotype" w:cs="Palatino Linotype"/>
          <w:bCs/>
          <w:i/>
        </w:rPr>
        <w:lastRenderedPageBreak/>
        <w:t xml:space="preserve">Al no existir procesos penales instruidos por esta, autoridad, no se está en posibilidad de dar una respuesta en los </w:t>
      </w:r>
      <w:proofErr w:type="spellStart"/>
      <w:r w:rsidRPr="000D4651">
        <w:rPr>
          <w:rFonts w:ascii="Palatino Linotype" w:eastAsia="Palatino Linotype" w:hAnsi="Palatino Linotype" w:cs="Palatino Linotype"/>
          <w:bCs/>
          <w:i/>
        </w:rPr>
        <w:t>terminos</w:t>
      </w:r>
      <w:proofErr w:type="spellEnd"/>
      <w:r w:rsidRPr="000D4651">
        <w:rPr>
          <w:rFonts w:ascii="Palatino Linotype" w:eastAsia="Palatino Linotype" w:hAnsi="Palatino Linotype" w:cs="Palatino Linotype"/>
          <w:bCs/>
          <w:i/>
        </w:rPr>
        <w:t xml:space="preserve"> que la solicitud de información es planteada.</w:t>
      </w:r>
    </w:p>
    <w:p w14:paraId="6D06A5C7" w14:textId="77777777" w:rsidR="001420F3" w:rsidRPr="000D4651" w:rsidRDefault="001420F3" w:rsidP="001420F3">
      <w:pPr>
        <w:pBdr>
          <w:top w:val="nil"/>
          <w:left w:val="nil"/>
          <w:bottom w:val="nil"/>
          <w:right w:val="nil"/>
          <w:between w:val="nil"/>
        </w:pBdr>
        <w:tabs>
          <w:tab w:val="left" w:pos="284"/>
        </w:tabs>
        <w:spacing w:line="360" w:lineRule="auto"/>
        <w:ind w:left="567" w:right="616"/>
        <w:jc w:val="both"/>
        <w:rPr>
          <w:rFonts w:ascii="Palatino Linotype" w:eastAsia="Palatino Linotype" w:hAnsi="Palatino Linotype" w:cs="Palatino Linotype"/>
          <w:bCs/>
          <w:i/>
        </w:rPr>
      </w:pPr>
      <w:r w:rsidRPr="000D4651">
        <w:rPr>
          <w:rFonts w:ascii="Palatino Linotype" w:eastAsia="Palatino Linotype" w:hAnsi="Palatino Linotype" w:cs="Palatino Linotype"/>
          <w:bCs/>
          <w:i/>
        </w:rPr>
        <w:t>8.- En relación a la pregunta anterior, si la Secretaría de Finanzas y de la Administración del Estado no interviene como víctima u ofendido ¿en qué calidad interviene?"</w:t>
      </w:r>
    </w:p>
    <w:p w14:paraId="3312A347" w14:textId="77777777" w:rsidR="001420F3" w:rsidRPr="000D4651" w:rsidRDefault="001420F3" w:rsidP="001420F3">
      <w:pPr>
        <w:pBdr>
          <w:top w:val="nil"/>
          <w:left w:val="nil"/>
          <w:bottom w:val="nil"/>
          <w:right w:val="nil"/>
          <w:between w:val="nil"/>
        </w:pBdr>
        <w:tabs>
          <w:tab w:val="left" w:pos="284"/>
        </w:tabs>
        <w:spacing w:line="360" w:lineRule="auto"/>
        <w:ind w:left="567" w:right="616"/>
        <w:jc w:val="both"/>
        <w:rPr>
          <w:rFonts w:ascii="Palatino Linotype" w:eastAsia="Palatino Linotype" w:hAnsi="Palatino Linotype" w:cs="Palatino Linotype"/>
          <w:bCs/>
          <w:i/>
        </w:rPr>
      </w:pPr>
      <w:r w:rsidRPr="000D4651">
        <w:rPr>
          <w:rFonts w:ascii="Palatino Linotype" w:eastAsia="Palatino Linotype" w:hAnsi="Palatino Linotype" w:cs="Palatino Linotype"/>
          <w:bCs/>
          <w:i/>
        </w:rPr>
        <w:t>Respecto a la pregunta anterior, la misma es inatendible en los términos que es planteada, dado que no se trata de una solicitud de información, sino de un cuestionamiento en particular.</w:t>
      </w:r>
    </w:p>
    <w:p w14:paraId="5D545BE5" w14:textId="77777777" w:rsidR="004157F3" w:rsidRPr="000D4651" w:rsidRDefault="004157F3" w:rsidP="004157F3">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bCs/>
        </w:rPr>
      </w:pPr>
    </w:p>
    <w:p w14:paraId="58DF21C6" w14:textId="5760BC38" w:rsidR="004157F3" w:rsidRPr="000D4651" w:rsidRDefault="004157F3" w:rsidP="004157F3">
      <w:pPr>
        <w:pStyle w:val="Prrafodelista"/>
        <w:numPr>
          <w:ilvl w:val="0"/>
          <w:numId w:val="17"/>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bCs/>
        </w:rPr>
      </w:pPr>
      <w:r w:rsidRPr="000D4651">
        <w:rPr>
          <w:rFonts w:ascii="Palatino Linotype" w:eastAsia="Palatino Linotype" w:hAnsi="Palatino Linotype" w:cs="Palatino Linotype"/>
          <w:b/>
          <w:bCs/>
        </w:rPr>
        <w:t>RR 06554-2024 INFORME JUSTIFICADO.pdf</w:t>
      </w:r>
      <w:r w:rsidR="00066175" w:rsidRPr="000D4651">
        <w:rPr>
          <w:rFonts w:ascii="Palatino Linotype" w:eastAsia="Palatino Linotype" w:hAnsi="Palatino Linotype" w:cs="Palatino Linotype"/>
          <w:b/>
          <w:bCs/>
        </w:rPr>
        <w:t xml:space="preserve">: </w:t>
      </w:r>
      <w:r w:rsidR="00066175" w:rsidRPr="000D4651">
        <w:rPr>
          <w:rFonts w:ascii="Palatino Linotype" w:eastAsia="Palatino Linotype" w:hAnsi="Palatino Linotype" w:cs="Palatino Linotype"/>
          <w:bCs/>
        </w:rPr>
        <w:t>Documento suscrito por el Jefe de la UIPPE y Titular de la Unidad de Transparencia mediante el cual refiere que la información requerida corresponde a hechos negativos, porque no se ha ejercido la atribución, solicitando que el recurso de revisión sea sobreseído.</w:t>
      </w:r>
    </w:p>
    <w:p w14:paraId="72D812E7" w14:textId="77777777" w:rsidR="00303C5A" w:rsidRPr="000D4651" w:rsidRDefault="00303C5A" w:rsidP="00303C5A">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119B5810" w14:textId="0DE249D8" w:rsidR="00073834" w:rsidRPr="000D4651" w:rsidRDefault="00073834" w:rsidP="00073834">
      <w:pPr>
        <w:pStyle w:val="Prrafodelista"/>
        <w:numPr>
          <w:ilvl w:val="0"/>
          <w:numId w:val="1"/>
        </w:numPr>
        <w:pBdr>
          <w:top w:val="nil"/>
          <w:left w:val="nil"/>
          <w:bottom w:val="nil"/>
          <w:right w:val="nil"/>
          <w:between w:val="nil"/>
        </w:pBdr>
        <w:tabs>
          <w:tab w:val="left" w:pos="360"/>
        </w:tabs>
        <w:spacing w:line="360" w:lineRule="auto"/>
        <w:ind w:left="0" w:right="49" w:firstLine="0"/>
        <w:contextualSpacing/>
        <w:jc w:val="both"/>
        <w:rPr>
          <w:rFonts w:ascii="Palatino Linotype" w:eastAsia="Palatino Linotype" w:hAnsi="Palatino Linotype" w:cs="Palatino Linotype"/>
        </w:rPr>
      </w:pPr>
      <w:r w:rsidRPr="000D4651">
        <w:rPr>
          <w:rFonts w:ascii="Palatino Linotype" w:eastAsia="Palatino Linotype" w:hAnsi="Palatino Linotype" w:cs="Palatino Linotype"/>
          <w:b/>
        </w:rPr>
        <w:t xml:space="preserve">Cierre de instrucción. </w:t>
      </w:r>
      <w:r w:rsidRPr="000D4651">
        <w:rPr>
          <w:rFonts w:ascii="Palatino Linotype" w:eastAsia="Palatino Linotype" w:hAnsi="Palatino Linotype" w:cs="Palatino Linotype"/>
        </w:rPr>
        <w:t xml:space="preserve">El </w:t>
      </w:r>
      <w:r w:rsidR="00066175" w:rsidRPr="000D4651">
        <w:rPr>
          <w:rFonts w:ascii="Palatino Linotype" w:eastAsia="Palatino Linotype" w:hAnsi="Palatino Linotype" w:cs="Palatino Linotype"/>
          <w:b/>
        </w:rPr>
        <w:t>trece</w:t>
      </w:r>
      <w:r w:rsidRPr="000D4651">
        <w:rPr>
          <w:rFonts w:ascii="Palatino Linotype" w:eastAsia="Palatino Linotype" w:hAnsi="Palatino Linotype" w:cs="Palatino Linotype"/>
          <w:b/>
        </w:rPr>
        <w:t xml:space="preserve"> de </w:t>
      </w:r>
      <w:r w:rsidR="007D44F9" w:rsidRPr="000D4651">
        <w:rPr>
          <w:rFonts w:ascii="Palatino Linotype" w:eastAsia="Palatino Linotype" w:hAnsi="Palatino Linotype" w:cs="Palatino Linotype"/>
          <w:b/>
        </w:rPr>
        <w:t>noviembre</w:t>
      </w:r>
      <w:r w:rsidRPr="000D4651">
        <w:rPr>
          <w:rFonts w:ascii="Palatino Linotype" w:eastAsia="Palatino Linotype" w:hAnsi="Palatino Linotype" w:cs="Palatino Linotype"/>
          <w:b/>
        </w:rPr>
        <w:t xml:space="preserve"> de dos mil veinticuatro</w:t>
      </w:r>
      <w:r w:rsidRPr="000D4651">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47BA55F4" w14:textId="77777777" w:rsidR="009C1BF1" w:rsidRPr="000D4651" w:rsidRDefault="009C1BF1" w:rsidP="009C1BF1">
      <w:pPr>
        <w:pStyle w:val="Prrafodelista"/>
        <w:rPr>
          <w:rFonts w:ascii="Palatino Linotype" w:eastAsia="Palatino Linotype" w:hAnsi="Palatino Linotype" w:cs="Palatino Linotype"/>
        </w:rPr>
      </w:pPr>
    </w:p>
    <w:p w14:paraId="56D8F0AB" w14:textId="250E12C5" w:rsidR="002C14ED" w:rsidRPr="000D4651" w:rsidRDefault="00B16908" w:rsidP="00FF2F15">
      <w:pPr>
        <w:spacing w:line="360" w:lineRule="auto"/>
        <w:jc w:val="both"/>
        <w:rPr>
          <w:rFonts w:ascii="Palatino Linotype" w:eastAsia="Palatino Linotype" w:hAnsi="Palatino Linotype" w:cs="Palatino Linotype"/>
          <w:sz w:val="22"/>
          <w:szCs w:val="22"/>
        </w:rPr>
      </w:pPr>
      <w:r w:rsidRPr="000D4651">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7A11F2B8" w14:textId="77777777" w:rsidR="00BC6AFB" w:rsidRPr="000D4651" w:rsidRDefault="00BC6AFB" w:rsidP="00FF2F15">
      <w:pPr>
        <w:spacing w:line="360" w:lineRule="auto"/>
        <w:jc w:val="both"/>
        <w:rPr>
          <w:rFonts w:ascii="Palatino Linotype" w:eastAsia="Palatino Linotype" w:hAnsi="Palatino Linotype" w:cs="Palatino Linotype"/>
          <w:sz w:val="22"/>
          <w:szCs w:val="22"/>
        </w:rPr>
      </w:pPr>
    </w:p>
    <w:p w14:paraId="3D378CFB" w14:textId="77777777" w:rsidR="00066175" w:rsidRPr="000D4651" w:rsidRDefault="00066175" w:rsidP="00FF2F15">
      <w:pPr>
        <w:spacing w:line="360" w:lineRule="auto"/>
        <w:jc w:val="both"/>
        <w:rPr>
          <w:rFonts w:ascii="Palatino Linotype" w:eastAsia="Palatino Linotype" w:hAnsi="Palatino Linotype" w:cs="Palatino Linotype"/>
          <w:sz w:val="22"/>
          <w:szCs w:val="22"/>
        </w:rPr>
      </w:pPr>
    </w:p>
    <w:p w14:paraId="172844CA" w14:textId="77777777" w:rsidR="00066175" w:rsidRPr="000D4651" w:rsidRDefault="00066175" w:rsidP="00FF2F15">
      <w:pPr>
        <w:spacing w:line="360" w:lineRule="auto"/>
        <w:jc w:val="both"/>
        <w:rPr>
          <w:rFonts w:ascii="Palatino Linotype" w:eastAsia="Palatino Linotype" w:hAnsi="Palatino Linotype" w:cs="Palatino Linotype"/>
          <w:sz w:val="22"/>
          <w:szCs w:val="22"/>
        </w:rPr>
      </w:pPr>
    </w:p>
    <w:p w14:paraId="1A4B7790" w14:textId="77777777" w:rsidR="00397333" w:rsidRPr="000D4651" w:rsidRDefault="00B16908" w:rsidP="00FF2F15">
      <w:pPr>
        <w:numPr>
          <w:ilvl w:val="0"/>
          <w:numId w:val="2"/>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bookmarkStart w:id="1" w:name="_heading=h.30j0zll" w:colFirst="0" w:colLast="0"/>
      <w:bookmarkEnd w:id="1"/>
      <w:r w:rsidRPr="000D4651">
        <w:rPr>
          <w:rFonts w:ascii="Palatino Linotype" w:eastAsia="Palatino Linotype" w:hAnsi="Palatino Linotype" w:cs="Palatino Linotype"/>
          <w:b/>
          <w:sz w:val="22"/>
          <w:szCs w:val="22"/>
        </w:rPr>
        <w:lastRenderedPageBreak/>
        <w:t>C O N S I D E R A N D O:</w:t>
      </w:r>
    </w:p>
    <w:p w14:paraId="5C36930C" w14:textId="77777777" w:rsidR="00397333" w:rsidRPr="000D4651" w:rsidRDefault="00397333" w:rsidP="00FF2F15">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25BE5F4A" w14:textId="0BF1A19B" w:rsidR="00A37AA2" w:rsidRPr="000D4651" w:rsidRDefault="00B16908" w:rsidP="00FF2F15">
      <w:pPr>
        <w:spacing w:line="360" w:lineRule="auto"/>
        <w:jc w:val="both"/>
        <w:rPr>
          <w:rFonts w:ascii="Palatino Linotype" w:eastAsia="Palatino Linotype" w:hAnsi="Palatino Linotype" w:cs="Palatino Linotype"/>
          <w:sz w:val="22"/>
          <w:szCs w:val="22"/>
        </w:rPr>
      </w:pPr>
      <w:r w:rsidRPr="000D4651">
        <w:rPr>
          <w:rFonts w:ascii="Palatino Linotype" w:eastAsia="Palatino Linotype" w:hAnsi="Palatino Linotype" w:cs="Palatino Linotype"/>
          <w:b/>
          <w:sz w:val="22"/>
          <w:szCs w:val="22"/>
        </w:rPr>
        <w:t xml:space="preserve">Primero. Competencia. </w:t>
      </w:r>
      <w:r w:rsidR="00A37AA2" w:rsidRPr="000D4651">
        <w:rPr>
          <w:rFonts w:ascii="Palatino Linotype" w:eastAsia="Palatino Linotype" w:hAnsi="Palatino Linotype" w:cs="Palatino Linotype"/>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2F5E29E5" w14:textId="77777777" w:rsidR="0084408A" w:rsidRPr="000D4651" w:rsidRDefault="0084408A" w:rsidP="00FF2F15">
      <w:pPr>
        <w:spacing w:line="360" w:lineRule="auto"/>
        <w:jc w:val="both"/>
        <w:rPr>
          <w:rFonts w:ascii="Palatino Linotype" w:eastAsia="Palatino Linotype" w:hAnsi="Palatino Linotype" w:cs="Palatino Linotype"/>
          <w:b/>
          <w:sz w:val="22"/>
          <w:szCs w:val="22"/>
        </w:rPr>
      </w:pPr>
    </w:p>
    <w:p w14:paraId="304AFE54" w14:textId="538BA5A2" w:rsidR="00DB0880" w:rsidRPr="000D4651" w:rsidRDefault="00B16908" w:rsidP="00FF2F15">
      <w:pPr>
        <w:spacing w:line="360" w:lineRule="auto"/>
        <w:jc w:val="both"/>
        <w:rPr>
          <w:rFonts w:ascii="Palatino Linotype" w:eastAsia="Palatino Linotype" w:hAnsi="Palatino Linotype" w:cs="Palatino Linotype"/>
          <w:sz w:val="22"/>
          <w:szCs w:val="22"/>
        </w:rPr>
      </w:pPr>
      <w:r w:rsidRPr="000D4651">
        <w:rPr>
          <w:rFonts w:ascii="Palatino Linotype" w:eastAsia="Palatino Linotype" w:hAnsi="Palatino Linotype" w:cs="Palatino Linotype"/>
          <w:b/>
          <w:sz w:val="22"/>
          <w:szCs w:val="22"/>
        </w:rPr>
        <w:t>Segundo. Oportunidad y Procedibilidad del Recurso de Revisión</w:t>
      </w:r>
      <w:r w:rsidRPr="000D4651">
        <w:rPr>
          <w:rFonts w:ascii="Palatino Linotype" w:eastAsia="Palatino Linotype" w:hAnsi="Palatino Linotype" w:cs="Palatino Linotype"/>
          <w:sz w:val="22"/>
          <w:szCs w:val="22"/>
        </w:rPr>
        <w:t xml:space="preserve">. </w:t>
      </w:r>
      <w:r w:rsidR="00DB0880" w:rsidRPr="000D4651">
        <w:rPr>
          <w:rFonts w:ascii="Palatino Linotype" w:eastAsia="Palatino Linotype" w:hAnsi="Palatino Linotype" w:cs="Palatino Linotype"/>
          <w:sz w:val="22"/>
          <w:szCs w:val="22"/>
        </w:rPr>
        <w:t>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480BB72E" w14:textId="77777777" w:rsidR="00DB0880" w:rsidRPr="000D4651" w:rsidRDefault="00DB0880" w:rsidP="00FF2F15">
      <w:pPr>
        <w:spacing w:line="360" w:lineRule="auto"/>
        <w:jc w:val="both"/>
        <w:rPr>
          <w:rFonts w:ascii="Palatino Linotype" w:eastAsia="Palatino Linotype" w:hAnsi="Palatino Linotype" w:cs="Palatino Linotype"/>
          <w:sz w:val="22"/>
          <w:szCs w:val="22"/>
        </w:rPr>
      </w:pPr>
    </w:p>
    <w:p w14:paraId="047F3150" w14:textId="0AE2F8EB" w:rsidR="00DB0880" w:rsidRPr="000D4651" w:rsidRDefault="00DB0880" w:rsidP="00FF2F15">
      <w:pPr>
        <w:spacing w:line="360" w:lineRule="auto"/>
        <w:ind w:right="49"/>
        <w:jc w:val="both"/>
        <w:rPr>
          <w:rFonts w:ascii="Palatino Linotype" w:eastAsia="Palatino Linotype" w:hAnsi="Palatino Linotype" w:cs="Palatino Linotype"/>
          <w:sz w:val="22"/>
          <w:szCs w:val="22"/>
        </w:rPr>
      </w:pPr>
      <w:r w:rsidRPr="000D4651">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ya que el </w:t>
      </w:r>
      <w:r w:rsidRPr="000D4651">
        <w:rPr>
          <w:rFonts w:ascii="Palatino Linotype" w:eastAsia="Palatino Linotype" w:hAnsi="Palatino Linotype" w:cs="Palatino Linotype"/>
          <w:b/>
          <w:sz w:val="22"/>
          <w:szCs w:val="22"/>
        </w:rPr>
        <w:t>SUJETO OBLIGADO</w:t>
      </w:r>
      <w:r w:rsidRPr="000D4651">
        <w:rPr>
          <w:rFonts w:ascii="Palatino Linotype" w:eastAsia="Palatino Linotype" w:hAnsi="Palatino Linotype" w:cs="Palatino Linotype"/>
          <w:sz w:val="22"/>
          <w:szCs w:val="22"/>
        </w:rPr>
        <w:t xml:space="preserve"> proporcionó su respuesta a la solicitud de información el </w:t>
      </w:r>
      <w:r w:rsidR="00066175" w:rsidRPr="000D4651">
        <w:rPr>
          <w:rFonts w:ascii="Palatino Linotype" w:eastAsia="Palatino Linotype" w:hAnsi="Palatino Linotype" w:cs="Palatino Linotype"/>
          <w:b/>
          <w:sz w:val="22"/>
          <w:szCs w:val="22"/>
        </w:rPr>
        <w:t>tres</w:t>
      </w:r>
      <w:r w:rsidRPr="000D4651">
        <w:rPr>
          <w:rFonts w:ascii="Palatino Linotype" w:eastAsia="Palatino Linotype" w:hAnsi="Palatino Linotype" w:cs="Palatino Linotype"/>
          <w:b/>
          <w:sz w:val="22"/>
          <w:szCs w:val="22"/>
        </w:rPr>
        <w:t xml:space="preserve"> de </w:t>
      </w:r>
      <w:r w:rsidR="00066175" w:rsidRPr="000D4651">
        <w:rPr>
          <w:rFonts w:ascii="Palatino Linotype" w:eastAsia="Palatino Linotype" w:hAnsi="Palatino Linotype" w:cs="Palatino Linotype"/>
          <w:b/>
          <w:sz w:val="22"/>
          <w:szCs w:val="22"/>
        </w:rPr>
        <w:t>octubre</w:t>
      </w:r>
      <w:r w:rsidRPr="000D4651">
        <w:rPr>
          <w:rFonts w:ascii="Palatino Linotype" w:eastAsia="Palatino Linotype" w:hAnsi="Palatino Linotype" w:cs="Palatino Linotype"/>
          <w:b/>
          <w:sz w:val="22"/>
          <w:szCs w:val="22"/>
        </w:rPr>
        <w:t xml:space="preserve"> de dos mil veinticuatro</w:t>
      </w:r>
      <w:r w:rsidRPr="000D4651">
        <w:rPr>
          <w:rFonts w:ascii="Palatino Linotype" w:eastAsia="Palatino Linotype" w:hAnsi="Palatino Linotype" w:cs="Palatino Linotype"/>
          <w:sz w:val="22"/>
          <w:szCs w:val="22"/>
        </w:rPr>
        <w:t xml:space="preserve">, y la parte </w:t>
      </w:r>
      <w:r w:rsidRPr="000D4651">
        <w:rPr>
          <w:rFonts w:ascii="Palatino Linotype" w:eastAsia="Palatino Linotype" w:hAnsi="Palatino Linotype" w:cs="Palatino Linotype"/>
          <w:b/>
          <w:sz w:val="22"/>
          <w:szCs w:val="22"/>
        </w:rPr>
        <w:t>RECURRENTE</w:t>
      </w:r>
      <w:r w:rsidRPr="000D4651">
        <w:rPr>
          <w:rFonts w:ascii="Palatino Linotype" w:eastAsia="Palatino Linotype" w:hAnsi="Palatino Linotype" w:cs="Palatino Linotype"/>
          <w:sz w:val="22"/>
          <w:szCs w:val="22"/>
        </w:rPr>
        <w:t xml:space="preserve"> presentó su recurso de revisión el </w:t>
      </w:r>
      <w:r w:rsidR="00066175" w:rsidRPr="000D4651">
        <w:rPr>
          <w:rFonts w:ascii="Palatino Linotype" w:eastAsia="Palatino Linotype" w:hAnsi="Palatino Linotype" w:cs="Palatino Linotype"/>
          <w:b/>
          <w:sz w:val="22"/>
          <w:szCs w:val="22"/>
        </w:rPr>
        <w:t>veintiuno</w:t>
      </w:r>
      <w:r w:rsidRPr="000D4651">
        <w:rPr>
          <w:rFonts w:ascii="Palatino Linotype" w:eastAsia="Palatino Linotype" w:hAnsi="Palatino Linotype" w:cs="Palatino Linotype"/>
          <w:b/>
          <w:sz w:val="22"/>
          <w:szCs w:val="22"/>
        </w:rPr>
        <w:t xml:space="preserve"> de </w:t>
      </w:r>
      <w:r w:rsidR="00066175" w:rsidRPr="000D4651">
        <w:rPr>
          <w:rFonts w:ascii="Palatino Linotype" w:eastAsia="Palatino Linotype" w:hAnsi="Palatino Linotype" w:cs="Palatino Linotype"/>
          <w:b/>
          <w:sz w:val="22"/>
          <w:szCs w:val="22"/>
        </w:rPr>
        <w:t>octubre</w:t>
      </w:r>
      <w:r w:rsidRPr="000D4651">
        <w:rPr>
          <w:rFonts w:ascii="Palatino Linotype" w:eastAsia="Palatino Linotype" w:hAnsi="Palatino Linotype" w:cs="Palatino Linotype"/>
          <w:b/>
          <w:sz w:val="22"/>
          <w:szCs w:val="22"/>
        </w:rPr>
        <w:t xml:space="preserve"> de dos mil veinticuatro</w:t>
      </w:r>
      <w:r w:rsidRPr="000D4651">
        <w:rPr>
          <w:rFonts w:ascii="Palatino Linotype" w:eastAsia="Palatino Linotype" w:hAnsi="Palatino Linotype" w:cs="Palatino Linotype"/>
          <w:sz w:val="22"/>
          <w:szCs w:val="22"/>
        </w:rPr>
        <w:t xml:space="preserve">, </w:t>
      </w:r>
      <w:r w:rsidR="006D7FFB" w:rsidRPr="000D4651">
        <w:rPr>
          <w:rFonts w:ascii="Palatino Linotype" w:eastAsia="Palatino Linotype" w:hAnsi="Palatino Linotype" w:cs="Palatino Linotype"/>
          <w:sz w:val="22"/>
          <w:szCs w:val="22"/>
        </w:rPr>
        <w:t xml:space="preserve">es decir, </w:t>
      </w:r>
      <w:r w:rsidR="00EA18DF" w:rsidRPr="000D4651">
        <w:rPr>
          <w:rFonts w:ascii="Palatino Linotype" w:eastAsia="Palatino Linotype" w:hAnsi="Palatino Linotype" w:cs="Palatino Linotype"/>
          <w:sz w:val="22"/>
          <w:szCs w:val="22"/>
        </w:rPr>
        <w:t xml:space="preserve">al </w:t>
      </w:r>
      <w:r w:rsidR="00066175" w:rsidRPr="000D4651">
        <w:rPr>
          <w:rFonts w:ascii="Palatino Linotype" w:eastAsia="Palatino Linotype" w:hAnsi="Palatino Linotype" w:cs="Palatino Linotype"/>
          <w:sz w:val="22"/>
          <w:szCs w:val="22"/>
        </w:rPr>
        <w:t>décimo segundo</w:t>
      </w:r>
      <w:r w:rsidR="00EA18DF" w:rsidRPr="000D4651">
        <w:rPr>
          <w:rFonts w:ascii="Palatino Linotype" w:eastAsia="Palatino Linotype" w:hAnsi="Palatino Linotype" w:cs="Palatino Linotype"/>
          <w:sz w:val="22"/>
          <w:szCs w:val="22"/>
        </w:rPr>
        <w:t xml:space="preserve"> día hábil posterior a la fecha de la respuesta</w:t>
      </w:r>
      <w:r w:rsidR="006D7FFB" w:rsidRPr="000D4651">
        <w:rPr>
          <w:rFonts w:ascii="Palatino Linotype" w:eastAsia="Palatino Linotype" w:hAnsi="Palatino Linotype" w:cs="Palatino Linotype"/>
          <w:sz w:val="22"/>
          <w:szCs w:val="22"/>
        </w:rPr>
        <w:t xml:space="preserve">, </w:t>
      </w:r>
      <w:r w:rsidR="00DA484C" w:rsidRPr="000D4651">
        <w:rPr>
          <w:rFonts w:ascii="Palatino Linotype" w:eastAsia="Palatino Linotype" w:hAnsi="Palatino Linotype" w:cs="Palatino Linotype"/>
          <w:sz w:val="22"/>
          <w:szCs w:val="22"/>
        </w:rPr>
        <w:t>por lo que se encuentra dentro de los márgenes temporales previstos para tal efecto.</w:t>
      </w:r>
      <w:r w:rsidRPr="000D4651">
        <w:rPr>
          <w:rFonts w:ascii="Palatino Linotype" w:eastAsia="Palatino Linotype" w:hAnsi="Palatino Linotype" w:cs="Palatino Linotype"/>
          <w:sz w:val="22"/>
          <w:szCs w:val="22"/>
        </w:rPr>
        <w:t xml:space="preserve"> </w:t>
      </w:r>
    </w:p>
    <w:p w14:paraId="1E93761F" w14:textId="77777777" w:rsidR="00DB0880" w:rsidRPr="000D4651" w:rsidRDefault="00DB0880" w:rsidP="00FF2F15">
      <w:pPr>
        <w:spacing w:line="360" w:lineRule="auto"/>
        <w:ind w:right="49"/>
        <w:jc w:val="both"/>
        <w:rPr>
          <w:rFonts w:ascii="Palatino Linotype" w:eastAsia="Palatino Linotype" w:hAnsi="Palatino Linotype" w:cs="Palatino Linotype"/>
          <w:sz w:val="22"/>
          <w:szCs w:val="22"/>
        </w:rPr>
      </w:pPr>
    </w:p>
    <w:p w14:paraId="1A27559C" w14:textId="77777777" w:rsidR="00DB0880" w:rsidRPr="000D4651" w:rsidRDefault="00DB0880" w:rsidP="00FF2F15">
      <w:pPr>
        <w:spacing w:line="360" w:lineRule="auto"/>
        <w:jc w:val="both"/>
        <w:rPr>
          <w:rFonts w:ascii="Palatino Linotype" w:eastAsia="Palatino Linotype" w:hAnsi="Palatino Linotype" w:cs="Palatino Linotype"/>
          <w:sz w:val="22"/>
          <w:szCs w:val="22"/>
        </w:rPr>
      </w:pPr>
      <w:r w:rsidRPr="000D4651">
        <w:rPr>
          <w:rFonts w:ascii="Palatino Linotype" w:eastAsia="Palatino Linotype" w:hAnsi="Palatino Linotype" w:cs="Palatino Linotype"/>
          <w:sz w:val="22"/>
          <w:szCs w:val="22"/>
        </w:rPr>
        <w:lastRenderedPageBreak/>
        <w:t>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36192284" w14:textId="711B75EE" w:rsidR="009B4913" w:rsidRPr="000D4651" w:rsidRDefault="009B4913" w:rsidP="009B4913">
      <w:pPr>
        <w:spacing w:before="240" w:after="240" w:line="360" w:lineRule="auto"/>
        <w:jc w:val="both"/>
        <w:rPr>
          <w:rFonts w:ascii="Palatino Linotype" w:eastAsia="Palatino Linotype" w:hAnsi="Palatino Linotype" w:cs="Palatino Linotype"/>
          <w:sz w:val="22"/>
        </w:rPr>
      </w:pPr>
      <w:r w:rsidRPr="000D4651">
        <w:rPr>
          <w:rFonts w:ascii="Palatino Linotype" w:eastAsia="Palatino Linotype" w:hAnsi="Palatino Linotype" w:cs="Palatino Linotype"/>
          <w:sz w:val="22"/>
        </w:rPr>
        <w:t>A efecto de sustentar lo anterior, es de suma importancia mencionar que si bien la persona solicitante</w:t>
      </w:r>
      <w:r w:rsidRPr="000D4651">
        <w:rPr>
          <w:rFonts w:ascii="Palatino Linotype" w:eastAsia="Palatino Linotype" w:hAnsi="Palatino Linotype" w:cs="Palatino Linotype"/>
          <w:b/>
          <w:sz w:val="22"/>
        </w:rPr>
        <w:t xml:space="preserve"> no proporcionó nombre</w:t>
      </w:r>
      <w:r w:rsidR="00863A97" w:rsidRPr="000D4651">
        <w:rPr>
          <w:rFonts w:ascii="Palatino Linotype" w:eastAsia="Palatino Linotype" w:hAnsi="Palatino Linotype" w:cs="Palatino Linotype"/>
          <w:b/>
          <w:sz w:val="22"/>
        </w:rPr>
        <w:t xml:space="preserve"> completo</w:t>
      </w:r>
      <w:r w:rsidRPr="000D4651">
        <w:rPr>
          <w:rFonts w:ascii="Palatino Linotype" w:eastAsia="Palatino Linotype" w:hAnsi="Palatino Linotype" w:cs="Palatino Linotype"/>
          <w:b/>
          <w:sz w:val="22"/>
        </w:rPr>
        <w:t xml:space="preserve">, </w:t>
      </w:r>
      <w:r w:rsidRPr="000D4651">
        <w:rPr>
          <w:rFonts w:ascii="Palatino Linotype" w:eastAsia="Palatino Linotype" w:hAnsi="Palatino Linotype" w:cs="Palatino Linotype"/>
          <w:sz w:val="22"/>
        </w:rPr>
        <w:t>como se advierte en el detalle de seguimiento del SAIMEX, sin embargo,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7D4DFC17" w14:textId="77777777" w:rsidR="009B4913" w:rsidRPr="000D4651" w:rsidRDefault="009B4913" w:rsidP="009B4913">
      <w:pPr>
        <w:spacing w:before="120" w:after="120" w:line="360" w:lineRule="auto"/>
        <w:ind w:left="851" w:right="902"/>
        <w:jc w:val="both"/>
        <w:rPr>
          <w:rFonts w:ascii="Palatino Linotype" w:eastAsia="Palatino Linotype" w:hAnsi="Palatino Linotype" w:cs="Palatino Linotype"/>
          <w:sz w:val="22"/>
        </w:rPr>
      </w:pPr>
      <w:r w:rsidRPr="000D4651">
        <w:rPr>
          <w:rFonts w:ascii="Palatino Linotype" w:eastAsia="Palatino Linotype" w:hAnsi="Palatino Linotype" w:cs="Palatino Linotype"/>
          <w:i/>
          <w:sz w:val="22"/>
        </w:rPr>
        <w:t>"</w:t>
      </w:r>
      <w:r w:rsidRPr="000D4651">
        <w:rPr>
          <w:rFonts w:ascii="Palatino Linotype" w:eastAsia="Palatino Linotype" w:hAnsi="Palatino Linotype" w:cs="Palatino Linotype"/>
          <w:b/>
          <w:i/>
          <w:sz w:val="22"/>
        </w:rPr>
        <w:t xml:space="preserve">Las solicitudes </w:t>
      </w:r>
      <w:r w:rsidRPr="000D4651">
        <w:rPr>
          <w:rFonts w:ascii="Palatino Linotype" w:eastAsia="Palatino Linotype" w:hAnsi="Palatino Linotype" w:cs="Palatino Linotype"/>
          <w:i/>
          <w:sz w:val="22"/>
        </w:rPr>
        <w:t xml:space="preserve">anónimas, </w:t>
      </w:r>
      <w:r w:rsidRPr="000D4651">
        <w:rPr>
          <w:rFonts w:ascii="Palatino Linotype" w:eastAsia="Palatino Linotype" w:hAnsi="Palatino Linotype" w:cs="Palatino Linotype"/>
          <w:b/>
          <w:i/>
          <w:sz w:val="22"/>
        </w:rPr>
        <w:t>con nombre incompleto</w:t>
      </w:r>
      <w:r w:rsidRPr="000D4651">
        <w:rPr>
          <w:rFonts w:ascii="Palatino Linotype" w:eastAsia="Palatino Linotype" w:hAnsi="Palatino Linotype" w:cs="Palatino Linotype"/>
          <w:i/>
          <w:sz w:val="22"/>
        </w:rPr>
        <w:t xml:space="preserve"> o seudónimo </w:t>
      </w:r>
      <w:r w:rsidRPr="000D4651">
        <w:rPr>
          <w:rFonts w:ascii="Palatino Linotype" w:eastAsia="Palatino Linotype" w:hAnsi="Palatino Linotype" w:cs="Palatino Linotype"/>
          <w:b/>
          <w:i/>
          <w:sz w:val="22"/>
        </w:rPr>
        <w:t>serán procedentes para su trámite por parte del sujeto obligado ante quien se presente</w:t>
      </w:r>
      <w:r w:rsidRPr="000D4651">
        <w:rPr>
          <w:rFonts w:ascii="Palatino Linotype" w:eastAsia="Palatino Linotype" w:hAnsi="Palatino Linotype" w:cs="Palatino Linotype"/>
          <w:i/>
          <w:sz w:val="22"/>
        </w:rPr>
        <w:t>. No podrá requerirse información adicional con motivo del nombre proporcionado por el solicitante."</w:t>
      </w:r>
    </w:p>
    <w:p w14:paraId="33CCEBE7" w14:textId="30BF6B17" w:rsidR="009B4913" w:rsidRPr="000D4651" w:rsidRDefault="009B4913" w:rsidP="009B4913">
      <w:pPr>
        <w:spacing w:before="240" w:after="240" w:line="360" w:lineRule="auto"/>
        <w:jc w:val="both"/>
        <w:rPr>
          <w:rFonts w:ascii="Palatino Linotype" w:eastAsia="Palatino Linotype" w:hAnsi="Palatino Linotype" w:cs="Palatino Linotype"/>
          <w:sz w:val="20"/>
          <w:szCs w:val="22"/>
        </w:rPr>
      </w:pPr>
      <w:r w:rsidRPr="000D4651">
        <w:rPr>
          <w:rFonts w:ascii="Palatino Linotype" w:eastAsia="Palatino Linotype" w:hAnsi="Palatino Linotype" w:cs="Palatino Linotype"/>
          <w:sz w:val="22"/>
        </w:rPr>
        <w:t xml:space="preserve">En el mismo tenor, el propio artículo 180 de la Ley de Transparencia local citado, en su último párrafo establece que cuando el recurso se interponga de manera electrónica, no será indispensable que contenga determinados requisitos, entre ellos, el nombre </w:t>
      </w:r>
      <w:r w:rsidR="00863A97" w:rsidRPr="000D4651">
        <w:rPr>
          <w:rFonts w:ascii="Palatino Linotype" w:eastAsia="Palatino Linotype" w:hAnsi="Palatino Linotype" w:cs="Palatino Linotype"/>
          <w:sz w:val="22"/>
        </w:rPr>
        <w:t xml:space="preserve">completo </w:t>
      </w:r>
      <w:r w:rsidRPr="000D4651">
        <w:rPr>
          <w:rFonts w:ascii="Palatino Linotype" w:eastAsia="Palatino Linotype" w:hAnsi="Palatino Linotype" w:cs="Palatino Linotype"/>
          <w:sz w:val="22"/>
        </w:rPr>
        <w:t xml:space="preserve">de la parte </w:t>
      </w:r>
      <w:r w:rsidRPr="000D4651">
        <w:rPr>
          <w:rFonts w:ascii="Palatino Linotype" w:eastAsia="Palatino Linotype" w:hAnsi="Palatino Linotype" w:cs="Palatino Linotype"/>
          <w:b/>
          <w:sz w:val="22"/>
        </w:rPr>
        <w:t>Recurrente</w:t>
      </w:r>
      <w:r w:rsidRPr="000D4651">
        <w:rPr>
          <w:rFonts w:ascii="Palatino Linotype" w:eastAsia="Palatino Linotype" w:hAnsi="Palatino Linotype" w:cs="Palatino Linotype"/>
          <w:sz w:val="22"/>
        </w:rPr>
        <w:t>, por lo que, en el presente caso, al haber sido presentado el recurso de revisión de forma electrónica, dicho requisito no resulta indispensable.</w:t>
      </w:r>
    </w:p>
    <w:p w14:paraId="535D7B39" w14:textId="44C3FE57" w:rsidR="00DB0880" w:rsidRPr="000D4651" w:rsidRDefault="00DC6D7B" w:rsidP="00FF2F15">
      <w:pPr>
        <w:spacing w:line="360" w:lineRule="auto"/>
        <w:jc w:val="both"/>
        <w:rPr>
          <w:rFonts w:ascii="Palatino Linotype" w:eastAsia="Palatino Linotype" w:hAnsi="Palatino Linotype" w:cs="Palatino Linotype"/>
          <w:sz w:val="22"/>
          <w:szCs w:val="22"/>
        </w:rPr>
      </w:pPr>
      <w:r w:rsidRPr="000D4651">
        <w:rPr>
          <w:rFonts w:ascii="Palatino Linotype" w:eastAsia="Palatino Linotype" w:hAnsi="Palatino Linotype" w:cs="Palatino Linotype"/>
          <w:sz w:val="22"/>
          <w:szCs w:val="22"/>
        </w:rPr>
        <w:t>En ese sentido</w:t>
      </w:r>
      <w:r w:rsidR="00DB0880" w:rsidRPr="000D4651">
        <w:rPr>
          <w:rFonts w:ascii="Palatino Linotype" w:eastAsia="Palatino Linotype" w:hAnsi="Palatino Linotype" w:cs="Palatino Linotype"/>
          <w:sz w:val="22"/>
          <w:szCs w:val="22"/>
        </w:rPr>
        <w:t xml:space="preserve">, resulta procedente la interposición del recurso de revisión al rubro anotado, toda vez que se actualiza la hipótesis prevista en el artículo 179, fracción </w:t>
      </w:r>
      <w:r w:rsidR="00564737" w:rsidRPr="000D4651">
        <w:rPr>
          <w:rFonts w:ascii="Palatino Linotype" w:eastAsia="Palatino Linotype" w:hAnsi="Palatino Linotype" w:cs="Palatino Linotype"/>
          <w:sz w:val="22"/>
          <w:szCs w:val="22"/>
        </w:rPr>
        <w:t>V</w:t>
      </w:r>
      <w:r w:rsidR="002A5DCA" w:rsidRPr="000D4651">
        <w:rPr>
          <w:rFonts w:ascii="Palatino Linotype" w:eastAsia="Palatino Linotype" w:hAnsi="Palatino Linotype" w:cs="Palatino Linotype"/>
          <w:sz w:val="22"/>
          <w:szCs w:val="22"/>
        </w:rPr>
        <w:t xml:space="preserve"> </w:t>
      </w:r>
      <w:r w:rsidR="00DB0880" w:rsidRPr="000D4651">
        <w:rPr>
          <w:rFonts w:ascii="Palatino Linotype" w:eastAsia="Palatino Linotype" w:hAnsi="Palatino Linotype" w:cs="Palatino Linotype"/>
          <w:sz w:val="22"/>
          <w:szCs w:val="22"/>
        </w:rPr>
        <w:t>de la ley de la materia, que a la letra dice:</w:t>
      </w:r>
    </w:p>
    <w:p w14:paraId="44D1293C" w14:textId="77777777" w:rsidR="00DB0880" w:rsidRPr="000D4651" w:rsidRDefault="00DB0880" w:rsidP="00FF2F15">
      <w:pPr>
        <w:spacing w:line="360" w:lineRule="auto"/>
        <w:jc w:val="both"/>
        <w:rPr>
          <w:rFonts w:ascii="Palatino Linotype" w:eastAsia="Palatino Linotype" w:hAnsi="Palatino Linotype" w:cs="Palatino Linotype"/>
          <w:sz w:val="22"/>
          <w:szCs w:val="22"/>
        </w:rPr>
      </w:pPr>
    </w:p>
    <w:p w14:paraId="444D08E8" w14:textId="77777777" w:rsidR="00DB0880" w:rsidRPr="000D4651" w:rsidRDefault="00DB0880" w:rsidP="00FF2F15">
      <w:pPr>
        <w:spacing w:line="360" w:lineRule="auto"/>
        <w:ind w:left="567" w:right="616"/>
        <w:jc w:val="both"/>
        <w:rPr>
          <w:rFonts w:ascii="Palatino Linotype" w:eastAsia="Palatino Linotype" w:hAnsi="Palatino Linotype" w:cs="Palatino Linotype"/>
          <w:i/>
          <w:sz w:val="22"/>
          <w:szCs w:val="22"/>
        </w:rPr>
      </w:pPr>
      <w:r w:rsidRPr="000D4651">
        <w:rPr>
          <w:rFonts w:ascii="Palatino Linotype" w:eastAsia="Palatino Linotype" w:hAnsi="Palatino Linotype" w:cs="Palatino Linotype"/>
          <w:i/>
          <w:sz w:val="22"/>
          <w:szCs w:val="22"/>
        </w:rPr>
        <w:lastRenderedPageBreak/>
        <w:t>“</w:t>
      </w:r>
      <w:r w:rsidRPr="000D4651">
        <w:rPr>
          <w:rFonts w:ascii="Palatino Linotype" w:eastAsia="Palatino Linotype" w:hAnsi="Palatino Linotype" w:cs="Palatino Linotype"/>
          <w:b/>
          <w:i/>
          <w:sz w:val="22"/>
          <w:szCs w:val="22"/>
        </w:rPr>
        <w:t xml:space="preserve">Artículo 179. </w:t>
      </w:r>
      <w:r w:rsidRPr="000D4651">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648003B4" w14:textId="76660DDB" w:rsidR="00DB0880" w:rsidRPr="000D4651" w:rsidRDefault="00863A97" w:rsidP="00EC07B2">
      <w:pPr>
        <w:spacing w:line="360" w:lineRule="auto"/>
        <w:ind w:left="567" w:right="616"/>
        <w:jc w:val="both"/>
        <w:rPr>
          <w:rFonts w:ascii="Palatino Linotype" w:eastAsia="Palatino Linotype" w:hAnsi="Palatino Linotype" w:cs="Palatino Linotype"/>
          <w:i/>
          <w:sz w:val="22"/>
          <w:szCs w:val="22"/>
        </w:rPr>
      </w:pPr>
      <w:r w:rsidRPr="000D4651">
        <w:rPr>
          <w:rFonts w:ascii="Palatino Linotype" w:eastAsia="Palatino Linotype" w:hAnsi="Palatino Linotype" w:cs="Palatino Linotype"/>
          <w:i/>
          <w:sz w:val="22"/>
          <w:szCs w:val="22"/>
        </w:rPr>
        <w:t>I. negativa de la información solicitada</w:t>
      </w:r>
      <w:r w:rsidR="00564737" w:rsidRPr="000D4651">
        <w:rPr>
          <w:rFonts w:ascii="Palatino Linotype" w:eastAsia="Palatino Linotype" w:hAnsi="Palatino Linotype" w:cs="Palatino Linotype"/>
          <w:i/>
          <w:sz w:val="22"/>
          <w:szCs w:val="22"/>
          <w:lang w:eastAsia="en-US"/>
        </w:rPr>
        <w:cr/>
        <w:t xml:space="preserve"> </w:t>
      </w:r>
      <w:r w:rsidR="00EA18DF" w:rsidRPr="000D4651">
        <w:rPr>
          <w:rFonts w:ascii="Palatino Linotype" w:eastAsia="Palatino Linotype" w:hAnsi="Palatino Linotype" w:cs="Palatino Linotype"/>
          <w:i/>
          <w:sz w:val="22"/>
          <w:szCs w:val="22"/>
        </w:rPr>
        <w:t>…</w:t>
      </w:r>
      <w:r w:rsidR="00B72256" w:rsidRPr="000D4651">
        <w:rPr>
          <w:rFonts w:ascii="Palatino Linotype" w:eastAsia="Palatino Linotype" w:hAnsi="Palatino Linotype" w:cs="Palatino Linotype"/>
          <w:i/>
          <w:sz w:val="22"/>
          <w:szCs w:val="22"/>
        </w:rPr>
        <w:t xml:space="preserve"> </w:t>
      </w:r>
    </w:p>
    <w:p w14:paraId="7F1FAE53" w14:textId="77777777" w:rsidR="004C090F" w:rsidRPr="000D4651" w:rsidRDefault="004C090F" w:rsidP="004C090F">
      <w:pPr>
        <w:spacing w:before="240" w:after="240" w:line="360" w:lineRule="auto"/>
        <w:jc w:val="both"/>
        <w:rPr>
          <w:rFonts w:ascii="Palatino Linotype" w:eastAsia="Palatino Linotype" w:hAnsi="Palatino Linotype" w:cs="Palatino Linotype"/>
          <w:sz w:val="22"/>
          <w:szCs w:val="22"/>
        </w:rPr>
      </w:pPr>
      <w:r w:rsidRPr="000D4651">
        <w:rPr>
          <w:rFonts w:ascii="Palatino Linotype" w:eastAsia="Palatino Linotype" w:hAnsi="Palatino Linotype" w:cs="Palatino Linotype"/>
          <w:b/>
          <w:sz w:val="22"/>
          <w:szCs w:val="22"/>
        </w:rPr>
        <w:t>Tercero. Análisis de las causales de sobreseimiento del recurso de revisión.</w:t>
      </w:r>
      <w:r w:rsidRPr="000D4651">
        <w:rPr>
          <w:rFonts w:ascii="Palatino Linotype" w:eastAsia="Palatino Linotype" w:hAnsi="Palatino Linotype" w:cs="Palatino Linotype"/>
          <w:sz w:val="22"/>
          <w:szCs w:val="22"/>
        </w:rPr>
        <w:t xml:space="preserve"> En primera instancia, debe apuntarse que del análisis al recurso de revisión que ahora se resuelve, se tiene que se actualiza la causal de sobreseimiento del recurso de revisión establecido en la fracción III del artículo 192 en relación con el diverso 186 fracción I, ambos de la Ley de Transparencia y Acceso a la Información Pública del Estado de México y Municipios, derivado del contenido del informe justificado rendido por el </w:t>
      </w:r>
      <w:r w:rsidRPr="000D4651">
        <w:rPr>
          <w:rFonts w:ascii="Palatino Linotype" w:eastAsia="Palatino Linotype" w:hAnsi="Palatino Linotype" w:cs="Palatino Linotype"/>
          <w:b/>
          <w:sz w:val="22"/>
          <w:szCs w:val="22"/>
        </w:rPr>
        <w:t>Sujeto Obligado.</w:t>
      </w:r>
      <w:r w:rsidRPr="000D4651">
        <w:rPr>
          <w:rFonts w:ascii="Palatino Linotype" w:eastAsia="Palatino Linotype" w:hAnsi="Palatino Linotype" w:cs="Palatino Linotype"/>
          <w:sz w:val="22"/>
          <w:szCs w:val="22"/>
        </w:rPr>
        <w:t xml:space="preserve"> </w:t>
      </w:r>
    </w:p>
    <w:p w14:paraId="54B31744" w14:textId="4019D9B3" w:rsidR="00245609" w:rsidRPr="000D4651" w:rsidRDefault="00245609" w:rsidP="00FF2F15">
      <w:pPr>
        <w:spacing w:line="360" w:lineRule="auto"/>
        <w:jc w:val="both"/>
        <w:rPr>
          <w:rFonts w:ascii="Palatino Linotype" w:eastAsia="Palatino Linotype" w:hAnsi="Palatino Linotype" w:cs="Palatino Linotype"/>
          <w:sz w:val="22"/>
          <w:szCs w:val="22"/>
        </w:rPr>
      </w:pPr>
      <w:r w:rsidRPr="000D4651">
        <w:rPr>
          <w:rFonts w:ascii="Palatino Linotype" w:eastAsia="Palatino Linotype" w:hAnsi="Palatino Linotype" w:cs="Palatino Linotype"/>
          <w:sz w:val="22"/>
          <w:szCs w:val="22"/>
        </w:rPr>
        <w:t xml:space="preserve">En principio, es conveniente analizar si la respuesta del </w:t>
      </w:r>
      <w:r w:rsidRPr="000D4651">
        <w:rPr>
          <w:rFonts w:ascii="Palatino Linotype" w:eastAsia="Palatino Linotype" w:hAnsi="Palatino Linotype" w:cs="Palatino Linotype"/>
          <w:b/>
          <w:sz w:val="22"/>
          <w:szCs w:val="22"/>
        </w:rPr>
        <w:t>SUJETO OBLIGADO</w:t>
      </w:r>
      <w:r w:rsidRPr="000D4651">
        <w:rPr>
          <w:rFonts w:ascii="Palatino Linotype" w:eastAsia="Palatino Linotype" w:hAnsi="Palatino Linotype" w:cs="Palatino Linotype"/>
          <w:sz w:val="22"/>
          <w:szCs w:val="22"/>
        </w:rPr>
        <w:t xml:space="preserve"> 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784433A1" w14:textId="77777777" w:rsidR="002F1BBC" w:rsidRPr="000D4651" w:rsidRDefault="002F1BBC" w:rsidP="00FF2F15">
      <w:pPr>
        <w:spacing w:line="360" w:lineRule="auto"/>
        <w:jc w:val="both"/>
        <w:rPr>
          <w:rFonts w:ascii="Palatino Linotype" w:eastAsia="Palatino Linotype" w:hAnsi="Palatino Linotype" w:cs="Palatino Linotype"/>
          <w:sz w:val="22"/>
          <w:szCs w:val="22"/>
        </w:rPr>
      </w:pPr>
    </w:p>
    <w:p w14:paraId="75907AD2" w14:textId="77777777" w:rsidR="00245609" w:rsidRPr="000D4651" w:rsidRDefault="00245609" w:rsidP="00FF2F15">
      <w:pPr>
        <w:spacing w:line="360" w:lineRule="auto"/>
        <w:ind w:left="567" w:right="616"/>
        <w:jc w:val="both"/>
        <w:rPr>
          <w:rFonts w:ascii="Palatino Linotype" w:eastAsia="Palatino Linotype" w:hAnsi="Palatino Linotype" w:cs="Palatino Linotype"/>
          <w:i/>
          <w:sz w:val="22"/>
          <w:szCs w:val="22"/>
        </w:rPr>
      </w:pPr>
      <w:r w:rsidRPr="000D4651">
        <w:rPr>
          <w:rFonts w:ascii="Palatino Linotype" w:eastAsia="Palatino Linotype" w:hAnsi="Palatino Linotype" w:cs="Palatino Linotype"/>
          <w:i/>
          <w:sz w:val="22"/>
          <w:szCs w:val="22"/>
        </w:rPr>
        <w:t>“</w:t>
      </w:r>
      <w:r w:rsidRPr="000D4651">
        <w:rPr>
          <w:rFonts w:ascii="Palatino Linotype" w:eastAsia="Palatino Linotype" w:hAnsi="Palatino Linotype" w:cs="Palatino Linotype"/>
          <w:b/>
          <w:i/>
          <w:sz w:val="22"/>
          <w:szCs w:val="22"/>
        </w:rPr>
        <w:t>Artículo 4</w:t>
      </w:r>
      <w:r w:rsidRPr="000D4651">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42C4B271" w14:textId="77777777" w:rsidR="00245609" w:rsidRPr="000D4651" w:rsidRDefault="00245609" w:rsidP="00FF2F15">
      <w:pPr>
        <w:spacing w:line="360" w:lineRule="auto"/>
        <w:ind w:left="567" w:right="616"/>
        <w:jc w:val="both"/>
        <w:rPr>
          <w:rFonts w:ascii="Palatino Linotype" w:eastAsia="Palatino Linotype" w:hAnsi="Palatino Linotype" w:cs="Palatino Linotype"/>
          <w:i/>
          <w:sz w:val="22"/>
          <w:szCs w:val="22"/>
        </w:rPr>
      </w:pPr>
      <w:r w:rsidRPr="000D4651">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0D4651">
        <w:rPr>
          <w:rFonts w:ascii="Palatino Linotype" w:eastAsia="Palatino Linotype" w:hAnsi="Palatino Linotype" w:cs="Palatino Linotype"/>
          <w:i/>
          <w:sz w:val="22"/>
          <w:szCs w:val="22"/>
        </w:rPr>
        <w:t xml:space="preserve">, en los términos y condiciones que se </w:t>
      </w:r>
      <w:r w:rsidRPr="000D4651">
        <w:rPr>
          <w:rFonts w:ascii="Palatino Linotype" w:eastAsia="Palatino Linotype" w:hAnsi="Palatino Linotype" w:cs="Palatino Linotype"/>
          <w:i/>
          <w:sz w:val="22"/>
          <w:szCs w:val="22"/>
        </w:rPr>
        <w:lastRenderedPageBreak/>
        <w:t>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0EFE5F1D" w14:textId="77777777" w:rsidR="00245609" w:rsidRPr="000D4651" w:rsidRDefault="00245609" w:rsidP="00FF2F15">
      <w:pPr>
        <w:spacing w:line="360" w:lineRule="auto"/>
        <w:ind w:left="567" w:right="616"/>
        <w:jc w:val="both"/>
        <w:rPr>
          <w:rFonts w:ascii="Palatino Linotype" w:eastAsia="Palatino Linotype" w:hAnsi="Palatino Linotype" w:cs="Palatino Linotype"/>
          <w:i/>
          <w:sz w:val="22"/>
          <w:szCs w:val="22"/>
        </w:rPr>
      </w:pPr>
      <w:r w:rsidRPr="000D4651">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0D4651">
        <w:rPr>
          <w:rFonts w:ascii="Palatino Linotype" w:eastAsia="Palatino Linotype" w:hAnsi="Palatino Linotype" w:cs="Palatino Linotype"/>
          <w:i/>
          <w:sz w:val="22"/>
          <w:szCs w:val="22"/>
        </w:rPr>
        <w:t>.”</w:t>
      </w:r>
    </w:p>
    <w:p w14:paraId="4F9388A4" w14:textId="77777777" w:rsidR="00245609" w:rsidRPr="000D4651" w:rsidRDefault="00245609" w:rsidP="00FF2F15">
      <w:pPr>
        <w:spacing w:line="360" w:lineRule="auto"/>
        <w:jc w:val="both"/>
        <w:rPr>
          <w:rFonts w:ascii="Palatino Linotype" w:eastAsia="Palatino Linotype" w:hAnsi="Palatino Linotype" w:cs="Palatino Linotype"/>
          <w:sz w:val="22"/>
          <w:szCs w:val="22"/>
        </w:rPr>
      </w:pPr>
    </w:p>
    <w:p w14:paraId="69EDE2C1" w14:textId="77777777" w:rsidR="00245609" w:rsidRPr="000D4651" w:rsidRDefault="00245609" w:rsidP="00FF2F15">
      <w:pPr>
        <w:spacing w:line="360" w:lineRule="auto"/>
        <w:jc w:val="both"/>
        <w:rPr>
          <w:rFonts w:ascii="Palatino Linotype" w:eastAsia="Palatino Linotype" w:hAnsi="Palatino Linotype" w:cs="Palatino Linotype"/>
          <w:sz w:val="22"/>
          <w:szCs w:val="22"/>
        </w:rPr>
      </w:pPr>
      <w:r w:rsidRPr="000D4651">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6620E485" w14:textId="77777777" w:rsidR="00245609" w:rsidRPr="000D4651" w:rsidRDefault="00245609" w:rsidP="00FF2F15">
      <w:pPr>
        <w:spacing w:line="360" w:lineRule="auto"/>
        <w:jc w:val="both"/>
        <w:rPr>
          <w:rFonts w:ascii="Palatino Linotype" w:eastAsia="Palatino Linotype" w:hAnsi="Palatino Linotype" w:cs="Palatino Linotype"/>
          <w:sz w:val="22"/>
          <w:szCs w:val="22"/>
        </w:rPr>
      </w:pPr>
    </w:p>
    <w:p w14:paraId="16EBBD6D" w14:textId="77777777" w:rsidR="00245609" w:rsidRPr="000D4651" w:rsidRDefault="00245609" w:rsidP="00FF2F15">
      <w:pPr>
        <w:spacing w:line="360" w:lineRule="auto"/>
        <w:ind w:left="567" w:right="616"/>
        <w:jc w:val="both"/>
        <w:rPr>
          <w:rFonts w:ascii="Palatino Linotype" w:eastAsia="Palatino Linotype" w:hAnsi="Palatino Linotype" w:cs="Palatino Linotype"/>
          <w:i/>
          <w:sz w:val="22"/>
          <w:szCs w:val="22"/>
        </w:rPr>
      </w:pPr>
      <w:r w:rsidRPr="000D4651">
        <w:rPr>
          <w:rFonts w:ascii="Palatino Linotype" w:eastAsia="Palatino Linotype" w:hAnsi="Palatino Linotype" w:cs="Palatino Linotype"/>
          <w:b/>
          <w:i/>
          <w:sz w:val="22"/>
          <w:szCs w:val="22"/>
        </w:rPr>
        <w:t>“Artículo 12.-</w:t>
      </w:r>
      <w:r w:rsidRPr="000D4651">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6CCEC2C8" w14:textId="77777777" w:rsidR="00245609" w:rsidRPr="000D4651" w:rsidRDefault="00245609" w:rsidP="00FF2F15">
      <w:pPr>
        <w:spacing w:line="360" w:lineRule="auto"/>
        <w:ind w:left="567" w:right="616"/>
        <w:jc w:val="both"/>
        <w:rPr>
          <w:rFonts w:ascii="Palatino Linotype" w:eastAsia="Palatino Linotype" w:hAnsi="Palatino Linotype" w:cs="Palatino Linotype"/>
          <w:i/>
          <w:sz w:val="22"/>
          <w:szCs w:val="22"/>
        </w:rPr>
      </w:pPr>
    </w:p>
    <w:p w14:paraId="531357BC" w14:textId="785AB521" w:rsidR="00245609" w:rsidRPr="000D4651" w:rsidRDefault="00245609" w:rsidP="00FF2F15">
      <w:pPr>
        <w:spacing w:line="360" w:lineRule="auto"/>
        <w:ind w:left="567" w:right="616"/>
        <w:jc w:val="both"/>
        <w:rPr>
          <w:rFonts w:ascii="Palatino Linotype" w:eastAsia="Palatino Linotype" w:hAnsi="Palatino Linotype" w:cs="Palatino Linotype"/>
          <w:i/>
          <w:sz w:val="22"/>
          <w:szCs w:val="22"/>
        </w:rPr>
      </w:pPr>
      <w:r w:rsidRPr="000D4651">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0D4651">
        <w:rPr>
          <w:rFonts w:ascii="Palatino Linotype" w:eastAsia="Palatino Linotype" w:hAnsi="Palatino Linotype" w:cs="Palatino Linotype"/>
          <w:i/>
          <w:sz w:val="22"/>
          <w:szCs w:val="22"/>
        </w:rPr>
        <w:t xml:space="preserve">. </w:t>
      </w:r>
      <w:r w:rsidRPr="000D4651">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w:t>
      </w:r>
      <w:r w:rsidRPr="000D4651">
        <w:rPr>
          <w:rFonts w:ascii="Palatino Linotype" w:eastAsia="Palatino Linotype" w:hAnsi="Palatino Linotype" w:cs="Palatino Linotype"/>
          <w:b/>
          <w:i/>
          <w:sz w:val="22"/>
          <w:szCs w:val="22"/>
        </w:rPr>
        <w:lastRenderedPageBreak/>
        <w:t xml:space="preserve">obligados a generarla, resumirla, efectuar cálculos o practicar investigaciones.” </w:t>
      </w:r>
    </w:p>
    <w:p w14:paraId="2819A27D" w14:textId="77777777" w:rsidR="00245609" w:rsidRPr="000D4651" w:rsidRDefault="00245609" w:rsidP="00FF2F15">
      <w:pPr>
        <w:spacing w:line="360" w:lineRule="auto"/>
        <w:ind w:right="-93"/>
        <w:jc w:val="both"/>
        <w:rPr>
          <w:rFonts w:ascii="Palatino Linotype" w:eastAsia="Palatino Linotype" w:hAnsi="Palatino Linotype" w:cs="Palatino Linotype"/>
          <w:sz w:val="22"/>
          <w:szCs w:val="22"/>
        </w:rPr>
      </w:pPr>
    </w:p>
    <w:p w14:paraId="7A7B4B0E" w14:textId="77777777" w:rsidR="00245609" w:rsidRPr="000D4651" w:rsidRDefault="00245609" w:rsidP="00FF2F15">
      <w:pPr>
        <w:spacing w:line="360" w:lineRule="auto"/>
        <w:ind w:right="-93"/>
        <w:jc w:val="both"/>
        <w:rPr>
          <w:rFonts w:ascii="Palatino Linotype" w:eastAsia="Palatino Linotype" w:hAnsi="Palatino Linotype" w:cs="Palatino Linotype"/>
          <w:sz w:val="22"/>
          <w:szCs w:val="22"/>
        </w:rPr>
      </w:pPr>
      <w:r w:rsidRPr="000D4651">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66FB5A62" w14:textId="77777777" w:rsidR="00245609" w:rsidRPr="000D4651" w:rsidRDefault="00245609" w:rsidP="00FF2F15">
      <w:pPr>
        <w:spacing w:line="360" w:lineRule="auto"/>
        <w:ind w:right="-93"/>
        <w:jc w:val="both"/>
        <w:rPr>
          <w:rFonts w:ascii="Palatino Linotype" w:eastAsia="Palatino Linotype" w:hAnsi="Palatino Linotype" w:cs="Palatino Linotype"/>
          <w:sz w:val="22"/>
          <w:szCs w:val="22"/>
        </w:rPr>
      </w:pPr>
    </w:p>
    <w:p w14:paraId="53C75D02" w14:textId="77777777" w:rsidR="00245609" w:rsidRPr="000D4651" w:rsidRDefault="00245609" w:rsidP="00FF2F15">
      <w:pPr>
        <w:spacing w:line="360" w:lineRule="auto"/>
        <w:ind w:right="-93"/>
        <w:jc w:val="both"/>
        <w:rPr>
          <w:rFonts w:ascii="Palatino Linotype" w:eastAsia="Palatino Linotype" w:hAnsi="Palatino Linotype" w:cs="Palatino Linotype"/>
          <w:sz w:val="22"/>
          <w:szCs w:val="22"/>
        </w:rPr>
      </w:pPr>
      <w:r w:rsidRPr="000D4651">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0D4651">
        <w:rPr>
          <w:rFonts w:ascii="Palatino Linotype" w:eastAsia="Palatino Linotype" w:hAnsi="Palatino Linotype" w:cs="Palatino Linotype"/>
          <w:b/>
          <w:sz w:val="22"/>
          <w:szCs w:val="22"/>
        </w:rPr>
        <w:t xml:space="preserve"> </w:t>
      </w:r>
    </w:p>
    <w:p w14:paraId="2247F5C9" w14:textId="77777777" w:rsidR="00245609" w:rsidRPr="000D4651" w:rsidRDefault="00245609" w:rsidP="00FF2F15">
      <w:pPr>
        <w:spacing w:line="360" w:lineRule="auto"/>
        <w:jc w:val="both"/>
        <w:rPr>
          <w:rFonts w:ascii="Palatino Linotype" w:eastAsia="Palatino Linotype" w:hAnsi="Palatino Linotype" w:cs="Palatino Linotype"/>
          <w:b/>
          <w:sz w:val="22"/>
          <w:szCs w:val="22"/>
        </w:rPr>
      </w:pPr>
    </w:p>
    <w:p w14:paraId="3DACF49D" w14:textId="77777777" w:rsidR="00245609" w:rsidRPr="000D4651" w:rsidRDefault="00245609" w:rsidP="00FF2F15">
      <w:pPr>
        <w:spacing w:line="360" w:lineRule="auto"/>
        <w:ind w:left="567" w:right="616"/>
        <w:jc w:val="both"/>
        <w:rPr>
          <w:rFonts w:ascii="Palatino Linotype" w:eastAsia="Palatino Linotype" w:hAnsi="Palatino Linotype" w:cs="Palatino Linotype"/>
          <w:i/>
          <w:sz w:val="22"/>
          <w:szCs w:val="22"/>
        </w:rPr>
      </w:pPr>
      <w:r w:rsidRPr="000D4651">
        <w:rPr>
          <w:rFonts w:ascii="Palatino Linotype" w:eastAsia="Palatino Linotype" w:hAnsi="Palatino Linotype" w:cs="Palatino Linotype"/>
          <w:i/>
          <w:sz w:val="22"/>
          <w:szCs w:val="22"/>
        </w:rPr>
        <w:t>“</w:t>
      </w:r>
      <w:r w:rsidRPr="000D4651">
        <w:rPr>
          <w:rFonts w:ascii="Palatino Linotype" w:eastAsia="Palatino Linotype" w:hAnsi="Palatino Linotype" w:cs="Palatino Linotype"/>
          <w:b/>
          <w:i/>
          <w:sz w:val="22"/>
          <w:szCs w:val="22"/>
        </w:rPr>
        <w:t>No existe obligación de elaborar documentos ad hoc para atender las solicitudes de acceso a la información.</w:t>
      </w:r>
      <w:r w:rsidRPr="000D4651">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2F3107A6" w14:textId="77777777" w:rsidR="00245609" w:rsidRPr="000D4651" w:rsidRDefault="00245609" w:rsidP="00FF2F15">
      <w:pPr>
        <w:spacing w:line="360" w:lineRule="auto"/>
        <w:ind w:right="-93"/>
        <w:jc w:val="both"/>
        <w:rPr>
          <w:rFonts w:ascii="Palatino Linotype" w:eastAsia="Palatino Linotype" w:hAnsi="Palatino Linotype" w:cs="Palatino Linotype"/>
          <w:sz w:val="22"/>
          <w:szCs w:val="22"/>
        </w:rPr>
      </w:pPr>
    </w:p>
    <w:p w14:paraId="06FF3244" w14:textId="77777777" w:rsidR="00245609" w:rsidRPr="000D4651" w:rsidRDefault="00245609" w:rsidP="00FF2F15">
      <w:pPr>
        <w:spacing w:line="360" w:lineRule="auto"/>
        <w:jc w:val="both"/>
        <w:rPr>
          <w:rFonts w:ascii="Palatino Linotype" w:eastAsia="Palatino Linotype" w:hAnsi="Palatino Linotype" w:cs="Palatino Linotype"/>
          <w:sz w:val="22"/>
          <w:szCs w:val="22"/>
        </w:rPr>
      </w:pPr>
      <w:r w:rsidRPr="000D4651">
        <w:rPr>
          <w:rFonts w:ascii="Palatino Linotype" w:eastAsia="Palatino Linotype" w:hAnsi="Palatino Linotype" w:cs="Palatino Linotype"/>
          <w:sz w:val="22"/>
          <w:szCs w:val="22"/>
        </w:rPr>
        <w:lastRenderedPageBreak/>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07380EB5" w14:textId="77777777" w:rsidR="00245609" w:rsidRPr="000D4651" w:rsidRDefault="00245609" w:rsidP="00FF2F15">
      <w:pPr>
        <w:spacing w:line="360" w:lineRule="auto"/>
        <w:jc w:val="both"/>
        <w:rPr>
          <w:rFonts w:ascii="Palatino Linotype" w:eastAsia="Palatino Linotype" w:hAnsi="Palatino Linotype" w:cs="Palatino Linotype"/>
          <w:sz w:val="22"/>
          <w:szCs w:val="22"/>
        </w:rPr>
      </w:pPr>
    </w:p>
    <w:p w14:paraId="0C98EB7B" w14:textId="77777777" w:rsidR="00245609" w:rsidRPr="000D4651" w:rsidRDefault="00245609" w:rsidP="00FF2F15">
      <w:pPr>
        <w:spacing w:line="360" w:lineRule="auto"/>
        <w:ind w:right="49"/>
        <w:jc w:val="both"/>
        <w:rPr>
          <w:rFonts w:ascii="Palatino Linotype" w:eastAsia="Palatino Linotype" w:hAnsi="Palatino Linotype" w:cs="Palatino Linotype"/>
          <w:sz w:val="22"/>
          <w:szCs w:val="22"/>
        </w:rPr>
      </w:pPr>
      <w:r w:rsidRPr="000D4651">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618E8A39" w14:textId="77777777" w:rsidR="00245609" w:rsidRPr="000D4651" w:rsidRDefault="00245609" w:rsidP="00FF2F15">
      <w:pPr>
        <w:spacing w:line="360" w:lineRule="auto"/>
        <w:ind w:right="49"/>
        <w:jc w:val="both"/>
        <w:rPr>
          <w:rFonts w:ascii="Palatino Linotype" w:eastAsia="Palatino Linotype" w:hAnsi="Palatino Linotype" w:cs="Palatino Linotype"/>
          <w:sz w:val="22"/>
          <w:szCs w:val="22"/>
        </w:rPr>
      </w:pPr>
    </w:p>
    <w:p w14:paraId="6DF247D5" w14:textId="7881E776" w:rsidR="00245609" w:rsidRPr="000D4651" w:rsidRDefault="00245609" w:rsidP="00FF2F15">
      <w:pPr>
        <w:spacing w:line="360" w:lineRule="auto"/>
        <w:jc w:val="both"/>
        <w:rPr>
          <w:rFonts w:ascii="Palatino Linotype" w:eastAsia="Palatino Linotype" w:hAnsi="Palatino Linotype" w:cs="Palatino Linotype"/>
          <w:sz w:val="22"/>
          <w:szCs w:val="22"/>
        </w:rPr>
      </w:pPr>
      <w:r w:rsidRPr="000D4651">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1DA8C1C1" w14:textId="77777777" w:rsidR="00245609" w:rsidRPr="000D4651" w:rsidRDefault="00245609" w:rsidP="00FF2F15">
      <w:pPr>
        <w:spacing w:line="360" w:lineRule="auto"/>
        <w:ind w:left="567" w:right="616"/>
        <w:jc w:val="both"/>
        <w:rPr>
          <w:rFonts w:ascii="Palatino Linotype" w:eastAsia="Palatino Linotype" w:hAnsi="Palatino Linotype" w:cs="Palatino Linotype"/>
          <w:i/>
          <w:sz w:val="22"/>
          <w:szCs w:val="22"/>
        </w:rPr>
      </w:pPr>
    </w:p>
    <w:p w14:paraId="02BAB1F1" w14:textId="4AE3BBCF" w:rsidR="00245609" w:rsidRPr="000D4651" w:rsidRDefault="00245609" w:rsidP="00FF2F15">
      <w:pPr>
        <w:spacing w:line="360" w:lineRule="auto"/>
        <w:ind w:left="567" w:right="616"/>
        <w:jc w:val="both"/>
        <w:rPr>
          <w:rFonts w:ascii="Palatino Linotype" w:eastAsia="Palatino Linotype" w:hAnsi="Palatino Linotype" w:cs="Palatino Linotype"/>
          <w:i/>
          <w:sz w:val="22"/>
          <w:szCs w:val="22"/>
        </w:rPr>
      </w:pPr>
      <w:r w:rsidRPr="000D4651">
        <w:rPr>
          <w:rFonts w:ascii="Palatino Linotype" w:eastAsia="Palatino Linotype" w:hAnsi="Palatino Linotype" w:cs="Palatino Linotype"/>
          <w:i/>
          <w:sz w:val="22"/>
          <w:szCs w:val="22"/>
        </w:rPr>
        <w:t>“</w:t>
      </w:r>
      <w:r w:rsidRPr="000D4651">
        <w:rPr>
          <w:rFonts w:ascii="Palatino Linotype" w:eastAsia="Palatino Linotype" w:hAnsi="Palatino Linotype" w:cs="Palatino Linotype"/>
          <w:b/>
          <w:i/>
          <w:sz w:val="22"/>
          <w:szCs w:val="22"/>
        </w:rPr>
        <w:t xml:space="preserve">Artículo 3. </w:t>
      </w:r>
      <w:r w:rsidRPr="000D4651">
        <w:rPr>
          <w:rFonts w:ascii="Palatino Linotype" w:eastAsia="Palatino Linotype" w:hAnsi="Palatino Linotype" w:cs="Palatino Linotype"/>
          <w:i/>
          <w:sz w:val="22"/>
          <w:szCs w:val="22"/>
        </w:rPr>
        <w:t>Para los efectos de la presente Ley se entenderá por:</w:t>
      </w:r>
    </w:p>
    <w:p w14:paraId="4F490BE5" w14:textId="77777777" w:rsidR="00245609" w:rsidRPr="000D4651" w:rsidRDefault="00245609" w:rsidP="00FF2F15">
      <w:pPr>
        <w:spacing w:line="360" w:lineRule="auto"/>
        <w:ind w:left="567" w:right="616"/>
        <w:jc w:val="both"/>
        <w:rPr>
          <w:rFonts w:ascii="Palatino Linotype" w:eastAsia="Palatino Linotype" w:hAnsi="Palatino Linotype" w:cs="Palatino Linotype"/>
          <w:i/>
          <w:sz w:val="22"/>
          <w:szCs w:val="22"/>
        </w:rPr>
      </w:pPr>
      <w:r w:rsidRPr="000D4651">
        <w:rPr>
          <w:rFonts w:ascii="Palatino Linotype" w:eastAsia="Palatino Linotype" w:hAnsi="Palatino Linotype" w:cs="Palatino Linotype"/>
          <w:i/>
          <w:sz w:val="22"/>
          <w:szCs w:val="22"/>
        </w:rPr>
        <w:t>…</w:t>
      </w:r>
    </w:p>
    <w:p w14:paraId="405A2384" w14:textId="112CA350" w:rsidR="00245609" w:rsidRPr="000D4651" w:rsidRDefault="00245609" w:rsidP="00FF2F15">
      <w:pPr>
        <w:spacing w:line="360" w:lineRule="auto"/>
        <w:ind w:left="567" w:right="616"/>
        <w:jc w:val="both"/>
        <w:rPr>
          <w:rFonts w:ascii="Palatino Linotype" w:eastAsia="Palatino Linotype" w:hAnsi="Palatino Linotype" w:cs="Palatino Linotype"/>
          <w:i/>
          <w:sz w:val="22"/>
          <w:szCs w:val="22"/>
        </w:rPr>
      </w:pPr>
      <w:r w:rsidRPr="000D4651">
        <w:rPr>
          <w:rFonts w:ascii="Palatino Linotype" w:eastAsia="Palatino Linotype" w:hAnsi="Palatino Linotype" w:cs="Palatino Linotype"/>
          <w:b/>
          <w:i/>
          <w:sz w:val="22"/>
          <w:szCs w:val="22"/>
        </w:rPr>
        <w:t>XI. Documento:</w:t>
      </w:r>
      <w:r w:rsidRPr="000D4651">
        <w:rPr>
          <w:rFonts w:ascii="Palatino Linotype" w:eastAsia="Palatino Linotype" w:hAnsi="Palatino Linotype" w:cs="Palatino Linotype"/>
          <w:i/>
          <w:sz w:val="22"/>
          <w:szCs w:val="22"/>
        </w:rPr>
        <w:t xml:space="preserve"> Los expedientes, reportes, estudios, actas</w:t>
      </w:r>
      <w:r w:rsidRPr="000D4651">
        <w:rPr>
          <w:rFonts w:ascii="Palatino Linotype" w:eastAsia="Palatino Linotype" w:hAnsi="Palatino Linotype" w:cs="Palatino Linotype"/>
          <w:b/>
          <w:i/>
          <w:sz w:val="22"/>
          <w:szCs w:val="22"/>
        </w:rPr>
        <w:t>,</w:t>
      </w:r>
      <w:r w:rsidRPr="000D4651">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w:t>
      </w:r>
      <w:r w:rsidRPr="000D4651">
        <w:rPr>
          <w:rFonts w:ascii="Palatino Linotype" w:eastAsia="Palatino Linotype" w:hAnsi="Palatino Linotype" w:cs="Palatino Linotype"/>
          <w:i/>
          <w:sz w:val="22"/>
          <w:szCs w:val="22"/>
        </w:rPr>
        <w:lastRenderedPageBreak/>
        <w:t xml:space="preserve">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5D1148D5" w14:textId="77777777" w:rsidR="00245609" w:rsidRPr="000D4651" w:rsidRDefault="00245609" w:rsidP="00FF2F15">
      <w:pPr>
        <w:spacing w:line="360" w:lineRule="auto"/>
        <w:ind w:left="851" w:right="899"/>
        <w:jc w:val="both"/>
        <w:rPr>
          <w:rFonts w:ascii="Palatino Linotype" w:eastAsia="Palatino Linotype" w:hAnsi="Palatino Linotype" w:cs="Palatino Linotype"/>
          <w:sz w:val="22"/>
          <w:szCs w:val="22"/>
        </w:rPr>
      </w:pPr>
    </w:p>
    <w:p w14:paraId="7B23F0F6" w14:textId="77777777" w:rsidR="00245609" w:rsidRPr="000D4651" w:rsidRDefault="00245609" w:rsidP="00FF2F15">
      <w:pPr>
        <w:spacing w:line="360" w:lineRule="auto"/>
        <w:jc w:val="both"/>
        <w:rPr>
          <w:rFonts w:ascii="Palatino Linotype" w:eastAsia="Palatino Linotype" w:hAnsi="Palatino Linotype" w:cs="Palatino Linotype"/>
          <w:sz w:val="22"/>
          <w:szCs w:val="22"/>
        </w:rPr>
      </w:pPr>
      <w:r w:rsidRPr="000D4651">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2CE0088D" w14:textId="77777777" w:rsidR="00245609" w:rsidRPr="000D4651" w:rsidRDefault="00245609" w:rsidP="00FF2F15">
      <w:pPr>
        <w:spacing w:line="360" w:lineRule="auto"/>
        <w:jc w:val="both"/>
        <w:rPr>
          <w:rFonts w:ascii="Palatino Linotype" w:eastAsia="Palatino Linotype" w:hAnsi="Palatino Linotype" w:cs="Palatino Linotype"/>
          <w:sz w:val="22"/>
          <w:szCs w:val="22"/>
        </w:rPr>
      </w:pPr>
    </w:p>
    <w:p w14:paraId="29B4D461" w14:textId="77777777" w:rsidR="00245609" w:rsidRPr="000D4651" w:rsidRDefault="00245609" w:rsidP="00FF2F15">
      <w:pPr>
        <w:spacing w:line="360" w:lineRule="auto"/>
        <w:ind w:left="567" w:right="616"/>
        <w:jc w:val="both"/>
        <w:rPr>
          <w:rFonts w:ascii="Palatino Linotype" w:eastAsia="Palatino Linotype" w:hAnsi="Palatino Linotype" w:cs="Palatino Linotype"/>
          <w:b/>
          <w:i/>
          <w:sz w:val="22"/>
          <w:szCs w:val="22"/>
        </w:rPr>
      </w:pPr>
      <w:r w:rsidRPr="000D4651">
        <w:rPr>
          <w:rFonts w:ascii="Palatino Linotype" w:eastAsia="Palatino Linotype" w:hAnsi="Palatino Linotype" w:cs="Palatino Linotype"/>
          <w:b/>
          <w:sz w:val="22"/>
          <w:szCs w:val="22"/>
        </w:rPr>
        <w:t>“</w:t>
      </w:r>
      <w:r w:rsidRPr="000D4651">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0D4651">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94447D6" w14:textId="77777777" w:rsidR="00245609" w:rsidRPr="000D4651" w:rsidRDefault="00245609" w:rsidP="00FF2F15">
      <w:pPr>
        <w:spacing w:line="360" w:lineRule="auto"/>
        <w:ind w:left="567" w:right="616"/>
        <w:jc w:val="both"/>
        <w:rPr>
          <w:rFonts w:ascii="Palatino Linotype" w:eastAsia="Palatino Linotype" w:hAnsi="Palatino Linotype" w:cs="Palatino Linotype"/>
          <w:i/>
          <w:sz w:val="22"/>
          <w:szCs w:val="22"/>
        </w:rPr>
      </w:pPr>
      <w:r w:rsidRPr="000D4651">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6B8491DD" w14:textId="77777777" w:rsidR="00245609" w:rsidRPr="000D4651" w:rsidRDefault="00245609" w:rsidP="00FF2F15">
      <w:pPr>
        <w:spacing w:line="360" w:lineRule="auto"/>
        <w:ind w:left="567" w:right="616"/>
        <w:jc w:val="both"/>
        <w:rPr>
          <w:rFonts w:ascii="Palatino Linotype" w:eastAsia="Palatino Linotype" w:hAnsi="Palatino Linotype" w:cs="Palatino Linotype"/>
          <w:i/>
          <w:sz w:val="22"/>
          <w:szCs w:val="22"/>
        </w:rPr>
      </w:pPr>
      <w:r w:rsidRPr="000D4651">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57DCC32B" w14:textId="77777777" w:rsidR="00245609" w:rsidRPr="000D4651" w:rsidRDefault="00245609" w:rsidP="00FF2F15">
      <w:pPr>
        <w:spacing w:line="360" w:lineRule="auto"/>
        <w:ind w:left="567" w:right="616"/>
        <w:jc w:val="both"/>
        <w:rPr>
          <w:rFonts w:ascii="Palatino Linotype" w:eastAsia="Palatino Linotype" w:hAnsi="Palatino Linotype" w:cs="Palatino Linotype"/>
          <w:b/>
          <w:i/>
          <w:sz w:val="22"/>
          <w:szCs w:val="22"/>
        </w:rPr>
      </w:pPr>
      <w:r w:rsidRPr="000D4651">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4B383A70" w14:textId="77777777" w:rsidR="00245609" w:rsidRPr="000D4651" w:rsidRDefault="00245609" w:rsidP="00FF2F15">
      <w:pPr>
        <w:spacing w:line="360" w:lineRule="auto"/>
        <w:ind w:left="567" w:right="616"/>
        <w:jc w:val="both"/>
        <w:rPr>
          <w:rFonts w:ascii="Palatino Linotype" w:eastAsia="Palatino Linotype" w:hAnsi="Palatino Linotype" w:cs="Palatino Linotype"/>
          <w:b/>
          <w:i/>
          <w:sz w:val="22"/>
          <w:szCs w:val="22"/>
        </w:rPr>
      </w:pPr>
      <w:r w:rsidRPr="000D4651">
        <w:rPr>
          <w:rFonts w:ascii="Palatino Linotype" w:eastAsia="Palatino Linotype" w:hAnsi="Palatino Linotype" w:cs="Palatino Linotype"/>
          <w:b/>
          <w:i/>
          <w:sz w:val="22"/>
          <w:szCs w:val="22"/>
        </w:rPr>
        <w:lastRenderedPageBreak/>
        <w:t xml:space="preserve">3) Que se trate de información registrada en cualquier soporte documental, que en ejercicio de las atribuciones conferidas, se encuentre en posesión de los Sujetos Obligados.” </w:t>
      </w:r>
    </w:p>
    <w:p w14:paraId="4726B128" w14:textId="77777777" w:rsidR="00245609" w:rsidRPr="000D4651" w:rsidRDefault="00245609" w:rsidP="00FF2F15">
      <w:pPr>
        <w:spacing w:line="360" w:lineRule="auto"/>
        <w:ind w:right="-93"/>
        <w:jc w:val="both"/>
        <w:rPr>
          <w:rFonts w:ascii="Palatino Linotype" w:eastAsia="Palatino Linotype" w:hAnsi="Palatino Linotype" w:cs="Palatino Linotype"/>
          <w:sz w:val="22"/>
          <w:szCs w:val="22"/>
        </w:rPr>
      </w:pPr>
    </w:p>
    <w:p w14:paraId="32671689" w14:textId="7F69F7E3" w:rsidR="00245609" w:rsidRPr="000D4651" w:rsidRDefault="00245609" w:rsidP="00FF2F15">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0D4651">
        <w:rPr>
          <w:rFonts w:ascii="Palatino Linotype" w:eastAsia="Palatino Linotype" w:hAnsi="Palatino Linotype" w:cs="Palatino Linotype"/>
          <w:sz w:val="22"/>
          <w:szCs w:val="22"/>
        </w:rPr>
        <w:t xml:space="preserve">Dicho lo anterior, se procede al análisis de los agravios hechos valer por la parte Recurrente que actualizan la causal de procedencia prevista en la fracción </w:t>
      </w:r>
      <w:r w:rsidR="00863A97" w:rsidRPr="000D4651">
        <w:rPr>
          <w:rFonts w:ascii="Palatino Linotype" w:eastAsia="Palatino Linotype" w:hAnsi="Palatino Linotype" w:cs="Palatino Linotype"/>
          <w:sz w:val="22"/>
          <w:szCs w:val="22"/>
        </w:rPr>
        <w:t>I</w:t>
      </w:r>
      <w:r w:rsidR="002A5DCA" w:rsidRPr="000D4651">
        <w:rPr>
          <w:rFonts w:ascii="Palatino Linotype" w:eastAsia="Palatino Linotype" w:hAnsi="Palatino Linotype" w:cs="Palatino Linotype"/>
          <w:sz w:val="22"/>
          <w:szCs w:val="22"/>
        </w:rPr>
        <w:t xml:space="preserve"> </w:t>
      </w:r>
      <w:r w:rsidRPr="000D4651">
        <w:rPr>
          <w:rFonts w:ascii="Palatino Linotype" w:eastAsia="Palatino Linotype" w:hAnsi="Palatino Linotype" w:cs="Palatino Linotype"/>
          <w:sz w:val="22"/>
          <w:szCs w:val="22"/>
        </w:rPr>
        <w:t xml:space="preserve">del artículo 179 de la Ley de Transparencia y Acceso a la Información del Estado de </w:t>
      </w:r>
      <w:r w:rsidR="00DB0880" w:rsidRPr="000D4651">
        <w:rPr>
          <w:rFonts w:ascii="Palatino Linotype" w:eastAsia="Palatino Linotype" w:hAnsi="Palatino Linotype" w:cs="Palatino Linotype"/>
          <w:sz w:val="22"/>
          <w:szCs w:val="22"/>
        </w:rPr>
        <w:t>México y Municipios, relati</w:t>
      </w:r>
      <w:r w:rsidR="006F0F35" w:rsidRPr="000D4651">
        <w:rPr>
          <w:rFonts w:ascii="Palatino Linotype" w:eastAsia="Palatino Linotype" w:hAnsi="Palatino Linotype" w:cs="Palatino Linotype"/>
          <w:sz w:val="22"/>
          <w:szCs w:val="22"/>
        </w:rPr>
        <w:t xml:space="preserve">va </w:t>
      </w:r>
      <w:r w:rsidR="006A6733" w:rsidRPr="000D4651">
        <w:rPr>
          <w:rFonts w:ascii="Palatino Linotype" w:eastAsia="Palatino Linotype" w:hAnsi="Palatino Linotype" w:cs="Palatino Linotype"/>
          <w:sz w:val="22"/>
          <w:szCs w:val="22"/>
        </w:rPr>
        <w:t xml:space="preserve">a la </w:t>
      </w:r>
      <w:r w:rsidR="00863A97" w:rsidRPr="000D4651">
        <w:rPr>
          <w:rFonts w:ascii="Palatino Linotype" w:eastAsia="Palatino Linotype" w:hAnsi="Palatino Linotype" w:cs="Palatino Linotype"/>
          <w:sz w:val="22"/>
          <w:szCs w:val="22"/>
        </w:rPr>
        <w:t>negativa de la información solicitada.</w:t>
      </w:r>
    </w:p>
    <w:p w14:paraId="3A83D82D" w14:textId="77777777" w:rsidR="00BC6AFB" w:rsidRPr="000D4651" w:rsidRDefault="00BC6AFB" w:rsidP="00FF2F15">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7672DF5D" w14:textId="77777777" w:rsidR="00D22765" w:rsidRPr="000D4651" w:rsidRDefault="004E0B80" w:rsidP="00FF2F15">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0D4651">
        <w:rPr>
          <w:rFonts w:ascii="Palatino Linotype" w:eastAsia="Palatino Linotype" w:hAnsi="Palatino Linotype" w:cs="Palatino Linotype"/>
          <w:sz w:val="22"/>
          <w:szCs w:val="22"/>
        </w:rPr>
        <w:t>En principio, resulta conveniente recordar que la prete</w:t>
      </w:r>
      <w:r w:rsidR="00D22765" w:rsidRPr="000D4651">
        <w:rPr>
          <w:rFonts w:ascii="Palatino Linotype" w:eastAsia="Palatino Linotype" w:hAnsi="Palatino Linotype" w:cs="Palatino Linotype"/>
          <w:sz w:val="22"/>
          <w:szCs w:val="22"/>
        </w:rPr>
        <w:t>nsión del Recurrente es acceder a la siguiente información de la Comisionada María del Rosario Mejía Ayala desde su entrada al INFOEM:</w:t>
      </w:r>
    </w:p>
    <w:p w14:paraId="24019D62" w14:textId="77777777" w:rsidR="00D22765" w:rsidRPr="000D4651" w:rsidRDefault="00D22765" w:rsidP="00FF2F15">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21D6D116" w14:textId="77777777" w:rsidR="00863A97" w:rsidRPr="000D4651" w:rsidRDefault="00863A97" w:rsidP="00863A97">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0D4651">
        <w:rPr>
          <w:rFonts w:ascii="Palatino Linotype" w:eastAsia="Palatino Linotype" w:hAnsi="Palatino Linotype" w:cs="Palatino Linotype"/>
          <w:i/>
          <w:sz w:val="22"/>
          <w:szCs w:val="22"/>
        </w:rPr>
        <w:t xml:space="preserve">1.- Numero de querellas formuladas por el delito de defraudación fiscal contemplado en el artículo 365 del Código Financiero del Estado De México y Municipios desde el 01 de enero de 2000 hasta el 01 de enero de 2024 </w:t>
      </w:r>
    </w:p>
    <w:p w14:paraId="694F42CC" w14:textId="77777777" w:rsidR="00863A97" w:rsidRPr="000D4651" w:rsidRDefault="00863A97" w:rsidP="00863A97">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0D4651">
        <w:rPr>
          <w:rFonts w:ascii="Palatino Linotype" w:eastAsia="Palatino Linotype" w:hAnsi="Palatino Linotype" w:cs="Palatino Linotype"/>
          <w:i/>
          <w:sz w:val="22"/>
          <w:szCs w:val="22"/>
        </w:rPr>
        <w:t xml:space="preserve">2.- Número de sentencias condenatorias o absolutorias dictadas por el delito de defraudación fiscal contemplado en el artículo 365 del Código Financiero del Estado De México y Municipios desde el 01 de enero de 2000 hasta el 01 de enero de 2024. </w:t>
      </w:r>
    </w:p>
    <w:p w14:paraId="605A4415" w14:textId="77777777" w:rsidR="00863A97" w:rsidRPr="000D4651" w:rsidRDefault="00863A97" w:rsidP="00863A97">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0D4651">
        <w:rPr>
          <w:rFonts w:ascii="Palatino Linotype" w:eastAsia="Palatino Linotype" w:hAnsi="Palatino Linotype" w:cs="Palatino Linotype"/>
          <w:i/>
          <w:sz w:val="22"/>
          <w:szCs w:val="22"/>
        </w:rPr>
        <w:t xml:space="preserve">3.-En relación con el numeral anterior, se solicita que se me proporcione la versión pública de las sentencias condenatorias o absolutorias que se hayan dictado por el delito de defraudación fiscal contemplado en el artículo 365 del Código Financiero del Estado De México y Municipios desde el 01 de enero de 2000 hasta el 01 de enero de 2024. </w:t>
      </w:r>
    </w:p>
    <w:p w14:paraId="571B116B" w14:textId="77777777" w:rsidR="00863A97" w:rsidRPr="000D4651" w:rsidRDefault="00863A97" w:rsidP="00863A97">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0D4651">
        <w:rPr>
          <w:rFonts w:ascii="Palatino Linotype" w:eastAsia="Palatino Linotype" w:hAnsi="Palatino Linotype" w:cs="Palatino Linotype"/>
          <w:i/>
          <w:sz w:val="22"/>
          <w:szCs w:val="22"/>
        </w:rPr>
        <w:t xml:space="preserve">4.- Numero de querellas formuladas por el delito de defraudación fiscal equiparable contemplado en el artículo 367 del Código Financiero del Estado de México y Municipios desde el 01 de enero de 2000 hasta el 01 de enero de 2024 </w:t>
      </w:r>
    </w:p>
    <w:p w14:paraId="50977868" w14:textId="77777777" w:rsidR="00863A97" w:rsidRPr="000D4651" w:rsidRDefault="00863A97" w:rsidP="00863A97">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0D4651">
        <w:rPr>
          <w:rFonts w:ascii="Palatino Linotype" w:eastAsia="Palatino Linotype" w:hAnsi="Palatino Linotype" w:cs="Palatino Linotype"/>
          <w:i/>
          <w:sz w:val="22"/>
          <w:szCs w:val="22"/>
        </w:rPr>
        <w:lastRenderedPageBreak/>
        <w:t xml:space="preserve">5.- Número de sentencias condenatorias o absolutorias dictadas por el delito de defraudación fiscal equiparable contemplado en el artículo 367 del Código Financiero del Estado de México y Municipios desde el 01 de enero de 2000 hasta el 01 de enero de 2024. </w:t>
      </w:r>
    </w:p>
    <w:p w14:paraId="51A2F779" w14:textId="77777777" w:rsidR="00863A97" w:rsidRPr="000D4651" w:rsidRDefault="00863A97" w:rsidP="00863A97">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0D4651">
        <w:rPr>
          <w:rFonts w:ascii="Palatino Linotype" w:eastAsia="Palatino Linotype" w:hAnsi="Palatino Linotype" w:cs="Palatino Linotype"/>
          <w:i/>
          <w:sz w:val="22"/>
          <w:szCs w:val="22"/>
        </w:rPr>
        <w:t xml:space="preserve">6.-En relación con el numeral anterior, se solicita que se me proporcione la versión pública de las sentencias condenatorias o absolutorias que se hayan dictado por el delito de defraudación fiscal equiparable contemplado en el artículo 367 del Código Financiero del Estado de México y Municipios desde el 01 de enero de 2000 hasta el 01 de enero de 2024. </w:t>
      </w:r>
    </w:p>
    <w:p w14:paraId="427610D7" w14:textId="77777777" w:rsidR="00863A97" w:rsidRPr="000D4651" w:rsidRDefault="00863A97" w:rsidP="00863A97">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0D4651">
        <w:rPr>
          <w:rFonts w:ascii="Palatino Linotype" w:eastAsia="Palatino Linotype" w:hAnsi="Palatino Linotype" w:cs="Palatino Linotype"/>
          <w:i/>
          <w:sz w:val="22"/>
          <w:szCs w:val="22"/>
        </w:rPr>
        <w:t xml:space="preserve">7.- En los procesos penales instruidos por los delitos contemplados en los artículos 365 y 367 del Código Financiero Del Estado De México y Municipios, ¿la Secretaría de Finanzas y de Administración del Estado interviene como víctima u ofendido? </w:t>
      </w:r>
    </w:p>
    <w:p w14:paraId="1F57B854" w14:textId="4670DECC" w:rsidR="00863A97" w:rsidRPr="000D4651" w:rsidRDefault="00863A97" w:rsidP="00863A97">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0D4651">
        <w:rPr>
          <w:rFonts w:ascii="Palatino Linotype" w:eastAsia="Palatino Linotype" w:hAnsi="Palatino Linotype" w:cs="Palatino Linotype"/>
          <w:i/>
          <w:sz w:val="22"/>
          <w:szCs w:val="22"/>
        </w:rPr>
        <w:t>8.- En relación con la pregunta anterior, si la Secretaría de Finanzas y de Administración del Estado no interviene como víctima u ofendido, ¿en qué calidad interviene?</w:t>
      </w:r>
    </w:p>
    <w:p w14:paraId="0347218C" w14:textId="77777777" w:rsidR="00863A97" w:rsidRPr="000D4651" w:rsidRDefault="00863A97" w:rsidP="00FF2F15">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6E22945B" w14:textId="0BFE5CB4" w:rsidR="00863A97" w:rsidRPr="000D4651" w:rsidRDefault="00D22765" w:rsidP="00FF2F15">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0D4651">
        <w:rPr>
          <w:rFonts w:ascii="Palatino Linotype" w:eastAsia="Palatino Linotype" w:hAnsi="Palatino Linotype" w:cs="Palatino Linotype"/>
          <w:sz w:val="22"/>
          <w:szCs w:val="22"/>
        </w:rPr>
        <w:t>El Sujeto Obligado</w:t>
      </w:r>
      <w:r w:rsidR="00863A97" w:rsidRPr="000D4651">
        <w:rPr>
          <w:rFonts w:ascii="Palatino Linotype" w:eastAsia="Palatino Linotype" w:hAnsi="Palatino Linotype" w:cs="Palatino Linotype"/>
          <w:sz w:val="22"/>
          <w:szCs w:val="22"/>
        </w:rPr>
        <w:t xml:space="preserve"> mediante su respuesta </w:t>
      </w:r>
      <w:r w:rsidR="00F55BD5" w:rsidRPr="000D4651">
        <w:rPr>
          <w:rFonts w:ascii="Palatino Linotype" w:eastAsia="Palatino Linotype" w:hAnsi="Palatino Linotype" w:cs="Palatino Linotype"/>
          <w:sz w:val="22"/>
          <w:szCs w:val="22"/>
        </w:rPr>
        <w:t xml:space="preserve">emitida por la Procuraduría Fiscal refirió que no generar, administra ni posee la información requerida, en virtud de las competencias legales atribuidas. </w:t>
      </w:r>
    </w:p>
    <w:p w14:paraId="507AD3E3" w14:textId="77777777" w:rsidR="00863A97" w:rsidRPr="000D4651" w:rsidRDefault="00863A97" w:rsidP="00FF2F15">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38CE28B2" w14:textId="5FDA4E56" w:rsidR="003632E4" w:rsidRPr="000D4651" w:rsidRDefault="003632E4" w:rsidP="000A6EF0">
      <w:pPr>
        <w:spacing w:line="360" w:lineRule="auto"/>
        <w:jc w:val="both"/>
        <w:rPr>
          <w:rFonts w:ascii="Palatino Linotype" w:eastAsia="Palatino Linotype" w:hAnsi="Palatino Linotype" w:cs="Palatino Linotype"/>
          <w:sz w:val="22"/>
          <w:szCs w:val="22"/>
        </w:rPr>
      </w:pPr>
      <w:r w:rsidRPr="000D4651">
        <w:rPr>
          <w:rFonts w:ascii="Palatino Linotype" w:eastAsia="Palatino Linotype" w:hAnsi="Palatino Linotype" w:cs="Palatino Linotype"/>
          <w:sz w:val="22"/>
          <w:szCs w:val="22"/>
        </w:rPr>
        <w:t>El Recurrente interpuso recurso de revisión en contra de la respuesta emitida por el Sujeto Obligado, señalando que si cuenta con atribuciones, facultades y competencias, conforme lo dispone el Código Financiero del Estado de México y el Reglamento Interior de la Secretaría de Finanzas, por lo que la información debe existir y entregarse.</w:t>
      </w:r>
    </w:p>
    <w:p w14:paraId="5DA7FBA6" w14:textId="77777777" w:rsidR="000B4E4E" w:rsidRPr="000D4651" w:rsidRDefault="000B4E4E" w:rsidP="000A6EF0">
      <w:pPr>
        <w:spacing w:line="360" w:lineRule="auto"/>
        <w:jc w:val="both"/>
        <w:rPr>
          <w:rFonts w:ascii="Palatino Linotype" w:eastAsia="Palatino Linotype" w:hAnsi="Palatino Linotype" w:cs="Palatino Linotype"/>
          <w:sz w:val="22"/>
          <w:szCs w:val="22"/>
        </w:rPr>
      </w:pPr>
    </w:p>
    <w:p w14:paraId="67E4A23C" w14:textId="1B71E614" w:rsidR="003632E4" w:rsidRPr="000D4651" w:rsidRDefault="003632E4" w:rsidP="000A6EF0">
      <w:pPr>
        <w:spacing w:line="360" w:lineRule="auto"/>
        <w:jc w:val="both"/>
        <w:rPr>
          <w:rFonts w:ascii="Palatino Linotype" w:eastAsia="Palatino Linotype" w:hAnsi="Palatino Linotype" w:cs="Palatino Linotype"/>
          <w:sz w:val="22"/>
          <w:szCs w:val="22"/>
        </w:rPr>
      </w:pPr>
      <w:r w:rsidRPr="000D4651">
        <w:rPr>
          <w:rFonts w:ascii="Palatino Linotype" w:eastAsia="Palatino Linotype" w:hAnsi="Palatino Linotype" w:cs="Palatino Linotype"/>
          <w:sz w:val="22"/>
          <w:szCs w:val="22"/>
        </w:rPr>
        <w:t xml:space="preserve">No obstante, mediante su informe justificado, el Sujeto Obligado </w:t>
      </w:r>
      <w:r w:rsidR="009B354E" w:rsidRPr="000D4651">
        <w:rPr>
          <w:rFonts w:ascii="Palatino Linotype" w:eastAsia="Palatino Linotype" w:hAnsi="Palatino Linotype" w:cs="Palatino Linotype"/>
          <w:sz w:val="22"/>
          <w:szCs w:val="22"/>
        </w:rPr>
        <w:t>dio puntual contestación a cada uno de los cuestionamientos de la siguiente forma:</w:t>
      </w:r>
    </w:p>
    <w:p w14:paraId="13F48811" w14:textId="77777777" w:rsidR="009B354E" w:rsidRPr="000D4651" w:rsidRDefault="009B354E" w:rsidP="000A6EF0">
      <w:pPr>
        <w:spacing w:line="360" w:lineRule="auto"/>
        <w:jc w:val="both"/>
        <w:rPr>
          <w:rFonts w:ascii="Palatino Linotype" w:eastAsia="Palatino Linotype" w:hAnsi="Palatino Linotype" w:cs="Palatino Linotype"/>
          <w:sz w:val="22"/>
          <w:szCs w:val="22"/>
        </w:rPr>
      </w:pPr>
    </w:p>
    <w:tbl>
      <w:tblPr>
        <w:tblStyle w:val="Tablaconcuadrcula"/>
        <w:tblW w:w="8848" w:type="dxa"/>
        <w:tblLook w:val="04A0" w:firstRow="1" w:lastRow="0" w:firstColumn="1" w:lastColumn="0" w:noHBand="0" w:noVBand="1"/>
      </w:tblPr>
      <w:tblGrid>
        <w:gridCol w:w="2942"/>
        <w:gridCol w:w="4283"/>
        <w:gridCol w:w="1623"/>
      </w:tblGrid>
      <w:tr w:rsidR="000D4651" w:rsidRPr="000D4651" w14:paraId="4765EE44" w14:textId="77777777" w:rsidTr="000B4E4E">
        <w:tc>
          <w:tcPr>
            <w:tcW w:w="2942" w:type="dxa"/>
            <w:shd w:val="clear" w:color="auto" w:fill="E7E6E6" w:themeFill="background2"/>
          </w:tcPr>
          <w:p w14:paraId="48853EB7" w14:textId="6253A01D" w:rsidR="009B354E" w:rsidRPr="000D4651" w:rsidRDefault="009B354E" w:rsidP="009B354E">
            <w:pPr>
              <w:spacing w:line="360" w:lineRule="auto"/>
              <w:jc w:val="center"/>
              <w:rPr>
                <w:rFonts w:ascii="Palatino Linotype" w:eastAsia="Palatino Linotype" w:hAnsi="Palatino Linotype" w:cs="Palatino Linotype"/>
                <w:sz w:val="22"/>
                <w:szCs w:val="22"/>
              </w:rPr>
            </w:pPr>
            <w:r w:rsidRPr="000D4651">
              <w:rPr>
                <w:rFonts w:ascii="Palatino Linotype" w:eastAsia="Palatino Linotype" w:hAnsi="Palatino Linotype" w:cs="Palatino Linotype"/>
                <w:sz w:val="22"/>
                <w:szCs w:val="22"/>
              </w:rPr>
              <w:t>Información requerida</w:t>
            </w:r>
          </w:p>
        </w:tc>
        <w:tc>
          <w:tcPr>
            <w:tcW w:w="4283" w:type="dxa"/>
            <w:shd w:val="clear" w:color="auto" w:fill="E7E6E6" w:themeFill="background2"/>
          </w:tcPr>
          <w:p w14:paraId="3AC3DAB5" w14:textId="50A05282" w:rsidR="009B354E" w:rsidRPr="000D4651" w:rsidRDefault="009B354E" w:rsidP="009B354E">
            <w:pPr>
              <w:spacing w:line="360" w:lineRule="auto"/>
              <w:jc w:val="center"/>
              <w:rPr>
                <w:rFonts w:ascii="Palatino Linotype" w:eastAsia="Palatino Linotype" w:hAnsi="Palatino Linotype" w:cs="Palatino Linotype"/>
                <w:sz w:val="22"/>
                <w:szCs w:val="22"/>
              </w:rPr>
            </w:pPr>
            <w:r w:rsidRPr="000D4651">
              <w:rPr>
                <w:rFonts w:ascii="Palatino Linotype" w:eastAsia="Palatino Linotype" w:hAnsi="Palatino Linotype" w:cs="Palatino Linotype"/>
                <w:sz w:val="22"/>
                <w:szCs w:val="22"/>
              </w:rPr>
              <w:t>Información proporcionada</w:t>
            </w:r>
          </w:p>
        </w:tc>
        <w:tc>
          <w:tcPr>
            <w:tcW w:w="1623" w:type="dxa"/>
            <w:shd w:val="clear" w:color="auto" w:fill="E7E6E6" w:themeFill="background2"/>
          </w:tcPr>
          <w:p w14:paraId="06AA1EA2" w14:textId="0DED23D8" w:rsidR="009B354E" w:rsidRPr="000D4651" w:rsidRDefault="009B354E" w:rsidP="000B4E4E">
            <w:pPr>
              <w:spacing w:line="360" w:lineRule="auto"/>
              <w:jc w:val="center"/>
              <w:rPr>
                <w:rFonts w:ascii="Palatino Linotype" w:eastAsia="Palatino Linotype" w:hAnsi="Palatino Linotype" w:cs="Palatino Linotype"/>
                <w:sz w:val="22"/>
                <w:szCs w:val="22"/>
              </w:rPr>
            </w:pPr>
            <w:r w:rsidRPr="000D4651">
              <w:rPr>
                <w:rFonts w:ascii="Palatino Linotype" w:eastAsia="Palatino Linotype" w:hAnsi="Palatino Linotype" w:cs="Palatino Linotype"/>
                <w:sz w:val="22"/>
                <w:szCs w:val="22"/>
              </w:rPr>
              <w:t>¿Colma?</w:t>
            </w:r>
          </w:p>
        </w:tc>
      </w:tr>
      <w:tr w:rsidR="000D4651" w:rsidRPr="000D4651" w14:paraId="4D1EB9E9" w14:textId="77777777" w:rsidTr="000B4E4E">
        <w:tc>
          <w:tcPr>
            <w:tcW w:w="2942" w:type="dxa"/>
          </w:tcPr>
          <w:p w14:paraId="2C727022" w14:textId="47EBB2DC" w:rsidR="009B354E" w:rsidRPr="000D4651" w:rsidRDefault="009B354E" w:rsidP="009B354E">
            <w:pPr>
              <w:spacing w:line="360" w:lineRule="auto"/>
              <w:jc w:val="both"/>
              <w:rPr>
                <w:rFonts w:ascii="Palatino Linotype" w:eastAsia="Palatino Linotype" w:hAnsi="Palatino Linotype" w:cs="Palatino Linotype"/>
                <w:sz w:val="22"/>
                <w:szCs w:val="22"/>
              </w:rPr>
            </w:pPr>
            <w:r w:rsidRPr="000D4651">
              <w:rPr>
                <w:rFonts w:ascii="Palatino Linotype" w:eastAsia="Palatino Linotype" w:hAnsi="Palatino Linotype" w:cs="Palatino Linotype"/>
                <w:i/>
                <w:sz w:val="22"/>
                <w:szCs w:val="22"/>
              </w:rPr>
              <w:t xml:space="preserve">1.- Numero de querellas formuladas por el delito de defraudación fiscal contemplado en el artículo 365 del Código Financiero del Estado De México y Municipios desde el 01 de enero de 2000 hasta el 01 de enero de 2024 </w:t>
            </w:r>
          </w:p>
        </w:tc>
        <w:tc>
          <w:tcPr>
            <w:tcW w:w="4283" w:type="dxa"/>
          </w:tcPr>
          <w:p w14:paraId="5C9CEA74" w14:textId="77777777" w:rsidR="009B354E" w:rsidRPr="000D4651" w:rsidRDefault="009B354E" w:rsidP="009B354E">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Cs/>
                <w:i/>
              </w:rPr>
            </w:pPr>
            <w:r w:rsidRPr="000D4651">
              <w:rPr>
                <w:rFonts w:ascii="Palatino Linotype" w:eastAsia="Palatino Linotype" w:hAnsi="Palatino Linotype" w:cs="Palatino Linotype"/>
                <w:bCs/>
                <w:i/>
              </w:rPr>
              <w:t>No se han presentado querellas por el delito de defraudación fiscal y/o en contra de persona alguna quien mediante el uso de engaños o aprovechamiento de errores, omita total o parcialmente el pago de alguna contribución a su cargo o en su carácter de retenedor y obtenga un beneficio indebido en perjuicio de la hacienda pública estatal o municipal.</w:t>
            </w:r>
          </w:p>
          <w:p w14:paraId="3D44A27E" w14:textId="77777777" w:rsidR="009B354E" w:rsidRPr="000D4651" w:rsidRDefault="009B354E" w:rsidP="009B354E">
            <w:pPr>
              <w:spacing w:line="360" w:lineRule="auto"/>
              <w:jc w:val="both"/>
              <w:rPr>
                <w:rFonts w:ascii="Palatino Linotype" w:eastAsia="Palatino Linotype" w:hAnsi="Palatino Linotype" w:cs="Palatino Linotype"/>
                <w:sz w:val="22"/>
                <w:szCs w:val="22"/>
              </w:rPr>
            </w:pPr>
          </w:p>
        </w:tc>
        <w:tc>
          <w:tcPr>
            <w:tcW w:w="1623" w:type="dxa"/>
          </w:tcPr>
          <w:p w14:paraId="5854FFB7" w14:textId="77777777" w:rsidR="009B354E" w:rsidRPr="000D4651" w:rsidRDefault="009B354E" w:rsidP="000B4E4E">
            <w:pPr>
              <w:spacing w:line="360" w:lineRule="auto"/>
              <w:jc w:val="center"/>
              <w:rPr>
                <w:rFonts w:ascii="Palatino Linotype" w:eastAsia="Palatino Linotype" w:hAnsi="Palatino Linotype" w:cs="Palatino Linotype"/>
                <w:b/>
                <w:sz w:val="22"/>
                <w:szCs w:val="22"/>
              </w:rPr>
            </w:pPr>
            <w:r w:rsidRPr="000D4651">
              <w:rPr>
                <w:rFonts w:ascii="Palatino Linotype" w:eastAsia="Palatino Linotype" w:hAnsi="Palatino Linotype" w:cs="Palatino Linotype"/>
                <w:b/>
                <w:sz w:val="22"/>
                <w:szCs w:val="22"/>
              </w:rPr>
              <w:t>Si colma</w:t>
            </w:r>
          </w:p>
          <w:p w14:paraId="0D1A82F5" w14:textId="4E0E5140" w:rsidR="009B354E" w:rsidRPr="000D4651" w:rsidRDefault="009B354E" w:rsidP="000B4E4E">
            <w:pPr>
              <w:spacing w:line="360" w:lineRule="auto"/>
              <w:jc w:val="center"/>
              <w:rPr>
                <w:rFonts w:ascii="Palatino Linotype" w:eastAsia="Palatino Linotype" w:hAnsi="Palatino Linotype" w:cs="Palatino Linotype"/>
                <w:sz w:val="22"/>
                <w:szCs w:val="22"/>
              </w:rPr>
            </w:pPr>
            <w:r w:rsidRPr="000D4651">
              <w:rPr>
                <w:rFonts w:ascii="Palatino Linotype" w:eastAsia="Palatino Linotype" w:hAnsi="Palatino Linotype" w:cs="Palatino Linotype"/>
                <w:sz w:val="22"/>
                <w:szCs w:val="22"/>
              </w:rPr>
              <w:t>Hechos negativos.</w:t>
            </w:r>
          </w:p>
        </w:tc>
      </w:tr>
      <w:tr w:rsidR="000D4651" w:rsidRPr="000D4651" w14:paraId="2716AFA7" w14:textId="77777777" w:rsidTr="000B4E4E">
        <w:tc>
          <w:tcPr>
            <w:tcW w:w="2942" w:type="dxa"/>
          </w:tcPr>
          <w:p w14:paraId="2ECEEF5F" w14:textId="38398ABF" w:rsidR="009B354E" w:rsidRPr="000D4651" w:rsidRDefault="009B354E" w:rsidP="009B354E">
            <w:pPr>
              <w:spacing w:line="360" w:lineRule="auto"/>
              <w:jc w:val="both"/>
              <w:rPr>
                <w:rFonts w:ascii="Palatino Linotype" w:eastAsia="Palatino Linotype" w:hAnsi="Palatino Linotype" w:cs="Palatino Linotype"/>
                <w:sz w:val="22"/>
                <w:szCs w:val="22"/>
              </w:rPr>
            </w:pPr>
            <w:r w:rsidRPr="000D4651">
              <w:rPr>
                <w:rFonts w:ascii="Palatino Linotype" w:eastAsia="Palatino Linotype" w:hAnsi="Palatino Linotype" w:cs="Palatino Linotype"/>
                <w:i/>
                <w:sz w:val="22"/>
                <w:szCs w:val="22"/>
              </w:rPr>
              <w:t xml:space="preserve">2.- Número de sentencias condenatorias o absolutorias dictadas por el delito de defraudación fiscal contemplado en el artículo 365 del Código Financiero del Estado De México y Municipios desde el 01 de enero de 2000 hasta el 01 de enero de 2024. </w:t>
            </w:r>
          </w:p>
        </w:tc>
        <w:tc>
          <w:tcPr>
            <w:tcW w:w="4283" w:type="dxa"/>
          </w:tcPr>
          <w:p w14:paraId="6447A7F9" w14:textId="77777777" w:rsidR="009B354E" w:rsidRPr="000D4651" w:rsidRDefault="009B354E" w:rsidP="009B354E">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Cs/>
                <w:i/>
              </w:rPr>
            </w:pPr>
            <w:r w:rsidRPr="000D4651">
              <w:rPr>
                <w:rFonts w:ascii="Palatino Linotype" w:eastAsia="Palatino Linotype" w:hAnsi="Palatino Linotype" w:cs="Palatino Linotype"/>
                <w:bCs/>
                <w:i/>
              </w:rPr>
              <w:t>Dentro de los registros de esta autoridad no existen sentencias condenatorias o absolutorias dictadas por el delito de defraudación fiscal contemplado en el artículo 365 del Código Financiero del Estado de México y Municipios desde el 0l de enero de 2000 hasta el 0l de enero de 2024.</w:t>
            </w:r>
          </w:p>
          <w:p w14:paraId="53C1CD2D" w14:textId="77777777" w:rsidR="009B354E" w:rsidRPr="000D4651" w:rsidRDefault="009B354E" w:rsidP="009B354E">
            <w:pPr>
              <w:spacing w:line="360" w:lineRule="auto"/>
              <w:jc w:val="both"/>
              <w:rPr>
                <w:rFonts w:ascii="Palatino Linotype" w:eastAsia="Palatino Linotype" w:hAnsi="Palatino Linotype" w:cs="Palatino Linotype"/>
                <w:sz w:val="22"/>
                <w:szCs w:val="22"/>
              </w:rPr>
            </w:pPr>
          </w:p>
        </w:tc>
        <w:tc>
          <w:tcPr>
            <w:tcW w:w="1623" w:type="dxa"/>
          </w:tcPr>
          <w:p w14:paraId="453746F7" w14:textId="77777777" w:rsidR="003C685E" w:rsidRPr="000D4651" w:rsidRDefault="003C685E" w:rsidP="000B4E4E">
            <w:pPr>
              <w:spacing w:line="360" w:lineRule="auto"/>
              <w:jc w:val="center"/>
              <w:rPr>
                <w:rFonts w:ascii="Palatino Linotype" w:eastAsia="Palatino Linotype" w:hAnsi="Palatino Linotype" w:cs="Palatino Linotype"/>
                <w:b/>
                <w:sz w:val="22"/>
                <w:szCs w:val="22"/>
              </w:rPr>
            </w:pPr>
            <w:r w:rsidRPr="000D4651">
              <w:rPr>
                <w:rFonts w:ascii="Palatino Linotype" w:eastAsia="Palatino Linotype" w:hAnsi="Palatino Linotype" w:cs="Palatino Linotype"/>
                <w:b/>
                <w:sz w:val="22"/>
                <w:szCs w:val="22"/>
              </w:rPr>
              <w:t>Si colma</w:t>
            </w:r>
          </w:p>
          <w:p w14:paraId="4CE923FE" w14:textId="74AA3949" w:rsidR="009B354E" w:rsidRPr="000D4651" w:rsidRDefault="003C685E" w:rsidP="000B4E4E">
            <w:pPr>
              <w:spacing w:line="360" w:lineRule="auto"/>
              <w:jc w:val="center"/>
              <w:rPr>
                <w:rFonts w:ascii="Palatino Linotype" w:eastAsia="Palatino Linotype" w:hAnsi="Palatino Linotype" w:cs="Palatino Linotype"/>
                <w:sz w:val="22"/>
                <w:szCs w:val="22"/>
              </w:rPr>
            </w:pPr>
            <w:r w:rsidRPr="000D4651">
              <w:rPr>
                <w:rFonts w:ascii="Palatino Linotype" w:eastAsia="Palatino Linotype" w:hAnsi="Palatino Linotype" w:cs="Palatino Linotype"/>
                <w:sz w:val="22"/>
                <w:szCs w:val="22"/>
              </w:rPr>
              <w:t>Hechos negativos.</w:t>
            </w:r>
          </w:p>
        </w:tc>
      </w:tr>
      <w:tr w:rsidR="000D4651" w:rsidRPr="000D4651" w14:paraId="14A3B7F6" w14:textId="77777777" w:rsidTr="000B4E4E">
        <w:tc>
          <w:tcPr>
            <w:tcW w:w="2942" w:type="dxa"/>
          </w:tcPr>
          <w:p w14:paraId="2C5D4E1F" w14:textId="128C9FA6" w:rsidR="009B354E" w:rsidRPr="000D4651" w:rsidRDefault="009B354E" w:rsidP="009B354E">
            <w:pPr>
              <w:spacing w:line="360" w:lineRule="auto"/>
              <w:jc w:val="both"/>
              <w:rPr>
                <w:rFonts w:ascii="Palatino Linotype" w:eastAsia="Palatino Linotype" w:hAnsi="Palatino Linotype" w:cs="Palatino Linotype"/>
                <w:sz w:val="22"/>
                <w:szCs w:val="22"/>
              </w:rPr>
            </w:pPr>
            <w:r w:rsidRPr="000D4651">
              <w:rPr>
                <w:rFonts w:ascii="Palatino Linotype" w:eastAsia="Palatino Linotype" w:hAnsi="Palatino Linotype" w:cs="Palatino Linotype"/>
                <w:i/>
                <w:sz w:val="22"/>
                <w:szCs w:val="22"/>
              </w:rPr>
              <w:t xml:space="preserve">3.-En relación con el numeral anterior, se solicita que se me proporcione la versión pública </w:t>
            </w:r>
            <w:r w:rsidRPr="000D4651">
              <w:rPr>
                <w:rFonts w:ascii="Palatino Linotype" w:eastAsia="Palatino Linotype" w:hAnsi="Palatino Linotype" w:cs="Palatino Linotype"/>
                <w:i/>
                <w:sz w:val="22"/>
                <w:szCs w:val="22"/>
              </w:rPr>
              <w:lastRenderedPageBreak/>
              <w:t xml:space="preserve">de las sentencias condenatorias o absolutorias que se hayan dictado por el delito de defraudación fiscal contemplado en el artículo 365 del Código Financiero del Estado De México y Municipios desde el 01 de enero de 2000 hasta el 01 de enero de 2024. </w:t>
            </w:r>
          </w:p>
        </w:tc>
        <w:tc>
          <w:tcPr>
            <w:tcW w:w="4283" w:type="dxa"/>
          </w:tcPr>
          <w:p w14:paraId="61A3D61D" w14:textId="77777777" w:rsidR="009B354E" w:rsidRPr="000D4651" w:rsidRDefault="009B354E" w:rsidP="009B354E">
            <w:pPr>
              <w:pBdr>
                <w:top w:val="nil"/>
                <w:left w:val="nil"/>
                <w:bottom w:val="nil"/>
                <w:right w:val="nil"/>
                <w:between w:val="nil"/>
              </w:pBdr>
              <w:tabs>
                <w:tab w:val="left" w:pos="284"/>
              </w:tabs>
              <w:spacing w:line="360" w:lineRule="auto"/>
              <w:ind w:right="-30"/>
              <w:jc w:val="both"/>
              <w:rPr>
                <w:rFonts w:ascii="Palatino Linotype" w:eastAsia="Palatino Linotype" w:hAnsi="Palatino Linotype" w:cs="Palatino Linotype"/>
                <w:bCs/>
                <w:i/>
              </w:rPr>
            </w:pPr>
            <w:r w:rsidRPr="000D4651">
              <w:rPr>
                <w:rFonts w:ascii="Palatino Linotype" w:eastAsia="Palatino Linotype" w:hAnsi="Palatino Linotype" w:cs="Palatino Linotype"/>
                <w:bCs/>
                <w:i/>
              </w:rPr>
              <w:lastRenderedPageBreak/>
              <w:t xml:space="preserve">Dentro de los registros de esta autoridad no existen sentencias condenatorias o absolutorias dictadas por el delito de </w:t>
            </w:r>
            <w:r w:rsidRPr="000D4651">
              <w:rPr>
                <w:rFonts w:ascii="Palatino Linotype" w:eastAsia="Palatino Linotype" w:hAnsi="Palatino Linotype" w:cs="Palatino Linotype"/>
                <w:bCs/>
                <w:i/>
              </w:rPr>
              <w:lastRenderedPageBreak/>
              <w:t>defraudación fiscal contemplado en el artículo 365 del Código Financiero del Estado de México y Municipios desde el 01 de enero de 2000 hasta el 01 de enero de 2024.</w:t>
            </w:r>
          </w:p>
          <w:p w14:paraId="128AB46F" w14:textId="77777777" w:rsidR="009B354E" w:rsidRPr="000D4651" w:rsidRDefault="009B354E" w:rsidP="009B354E">
            <w:pPr>
              <w:spacing w:line="360" w:lineRule="auto"/>
              <w:jc w:val="both"/>
              <w:rPr>
                <w:rFonts w:ascii="Palatino Linotype" w:eastAsia="Palatino Linotype" w:hAnsi="Palatino Linotype" w:cs="Palatino Linotype"/>
                <w:sz w:val="22"/>
                <w:szCs w:val="22"/>
              </w:rPr>
            </w:pPr>
          </w:p>
        </w:tc>
        <w:tc>
          <w:tcPr>
            <w:tcW w:w="1623" w:type="dxa"/>
          </w:tcPr>
          <w:p w14:paraId="41649144" w14:textId="77777777" w:rsidR="003C685E" w:rsidRPr="000D4651" w:rsidRDefault="003C685E" w:rsidP="000B4E4E">
            <w:pPr>
              <w:spacing w:line="360" w:lineRule="auto"/>
              <w:jc w:val="center"/>
              <w:rPr>
                <w:rFonts w:ascii="Palatino Linotype" w:eastAsia="Palatino Linotype" w:hAnsi="Palatino Linotype" w:cs="Palatino Linotype"/>
                <w:b/>
                <w:sz w:val="22"/>
                <w:szCs w:val="22"/>
              </w:rPr>
            </w:pPr>
            <w:r w:rsidRPr="000D4651">
              <w:rPr>
                <w:rFonts w:ascii="Palatino Linotype" w:eastAsia="Palatino Linotype" w:hAnsi="Palatino Linotype" w:cs="Palatino Linotype"/>
                <w:b/>
                <w:sz w:val="22"/>
                <w:szCs w:val="22"/>
              </w:rPr>
              <w:lastRenderedPageBreak/>
              <w:t>Si colma</w:t>
            </w:r>
          </w:p>
          <w:p w14:paraId="6E38D080" w14:textId="4A25BF56" w:rsidR="009B354E" w:rsidRPr="000D4651" w:rsidRDefault="003C685E" w:rsidP="000B4E4E">
            <w:pPr>
              <w:spacing w:line="360" w:lineRule="auto"/>
              <w:jc w:val="center"/>
              <w:rPr>
                <w:rFonts w:ascii="Palatino Linotype" w:eastAsia="Palatino Linotype" w:hAnsi="Palatino Linotype" w:cs="Palatino Linotype"/>
                <w:sz w:val="22"/>
                <w:szCs w:val="22"/>
              </w:rPr>
            </w:pPr>
            <w:r w:rsidRPr="000D4651">
              <w:rPr>
                <w:rFonts w:ascii="Palatino Linotype" w:eastAsia="Palatino Linotype" w:hAnsi="Palatino Linotype" w:cs="Palatino Linotype"/>
                <w:sz w:val="22"/>
                <w:szCs w:val="22"/>
              </w:rPr>
              <w:t>Hechos negativos.</w:t>
            </w:r>
          </w:p>
        </w:tc>
      </w:tr>
      <w:tr w:rsidR="000D4651" w:rsidRPr="000D4651" w14:paraId="1AFE04B9" w14:textId="77777777" w:rsidTr="000B4E4E">
        <w:tc>
          <w:tcPr>
            <w:tcW w:w="2942" w:type="dxa"/>
          </w:tcPr>
          <w:p w14:paraId="67D51CC6" w14:textId="37D56A1D" w:rsidR="009B354E" w:rsidRPr="000D4651" w:rsidRDefault="009B354E" w:rsidP="009B354E">
            <w:pPr>
              <w:spacing w:line="360" w:lineRule="auto"/>
              <w:jc w:val="both"/>
              <w:rPr>
                <w:rFonts w:ascii="Palatino Linotype" w:eastAsia="Palatino Linotype" w:hAnsi="Palatino Linotype" w:cs="Palatino Linotype"/>
                <w:sz w:val="22"/>
                <w:szCs w:val="22"/>
              </w:rPr>
            </w:pPr>
            <w:r w:rsidRPr="000D4651">
              <w:rPr>
                <w:rFonts w:ascii="Palatino Linotype" w:eastAsia="Palatino Linotype" w:hAnsi="Palatino Linotype" w:cs="Palatino Linotype"/>
                <w:i/>
                <w:sz w:val="22"/>
                <w:szCs w:val="22"/>
              </w:rPr>
              <w:t xml:space="preserve">4.- Numero de querellas formuladas por el delito de defraudación fiscal equiparable contemplado en el artículo 367 del Código Financiero del Estado de México y Municipios desde el 01 de enero de 2000 hasta el 01 de enero de 2024 </w:t>
            </w:r>
          </w:p>
        </w:tc>
        <w:tc>
          <w:tcPr>
            <w:tcW w:w="4283" w:type="dxa"/>
          </w:tcPr>
          <w:p w14:paraId="75BDD1E9" w14:textId="4CD0FED7" w:rsidR="009B354E" w:rsidRPr="000D4651" w:rsidRDefault="009B354E" w:rsidP="009B354E">
            <w:pPr>
              <w:spacing w:line="360" w:lineRule="auto"/>
              <w:jc w:val="both"/>
              <w:rPr>
                <w:rFonts w:ascii="Palatino Linotype" w:eastAsia="Palatino Linotype" w:hAnsi="Palatino Linotype" w:cs="Palatino Linotype"/>
                <w:sz w:val="22"/>
                <w:szCs w:val="22"/>
              </w:rPr>
            </w:pPr>
            <w:r w:rsidRPr="000D4651">
              <w:rPr>
                <w:rFonts w:ascii="Palatino Linotype" w:eastAsia="Palatino Linotype" w:hAnsi="Palatino Linotype" w:cs="Palatino Linotype"/>
                <w:bCs/>
                <w:i/>
              </w:rPr>
              <w:t xml:space="preserve">No se han presentado querellas por el delito de defraudación fiscal, y/o en contra de persona alguna quien mediante la simulación de actos jurídicos, omita total o parcialmente el pago de las contribuciones a su cargo; intencionalmente proporcione con falsedad a las autoridades fiscales, los datos que obren en su poder y que sean necesarios para determinar las contribuciones; no entreguen a las autoridades fiscales dentro del plazo del requerimiento que se le haga, las cantidades que haya retenido o recaudado de los contribuyentes por concepto de contribuciones; para registrar sus </w:t>
            </w:r>
            <w:r w:rsidRPr="000D4651">
              <w:rPr>
                <w:rFonts w:ascii="Palatino Linotype" w:eastAsia="Palatino Linotype" w:hAnsi="Palatino Linotype" w:cs="Palatino Linotype"/>
                <w:bCs/>
                <w:i/>
              </w:rPr>
              <w:lastRenderedPageBreak/>
              <w:t>operaciones contables o fiscales, lleve dos o más registros contables con distintos asientos o datos; y asesoren al contribuyente sobre la forma de aprovechar errores o consumar engaños para omitir total o parcialmente el pago de una o más contribuciones, o realice las acciones en representación del contribuyente a efecto de consumar la defraudación fiscal.</w:t>
            </w:r>
          </w:p>
        </w:tc>
        <w:tc>
          <w:tcPr>
            <w:tcW w:w="1623" w:type="dxa"/>
          </w:tcPr>
          <w:p w14:paraId="252A13B8" w14:textId="77777777" w:rsidR="003C685E" w:rsidRPr="000D4651" w:rsidRDefault="003C685E" w:rsidP="000B4E4E">
            <w:pPr>
              <w:spacing w:line="360" w:lineRule="auto"/>
              <w:jc w:val="center"/>
              <w:rPr>
                <w:rFonts w:ascii="Palatino Linotype" w:eastAsia="Palatino Linotype" w:hAnsi="Palatino Linotype" w:cs="Palatino Linotype"/>
                <w:b/>
                <w:sz w:val="22"/>
                <w:szCs w:val="22"/>
              </w:rPr>
            </w:pPr>
            <w:r w:rsidRPr="000D4651">
              <w:rPr>
                <w:rFonts w:ascii="Palatino Linotype" w:eastAsia="Palatino Linotype" w:hAnsi="Palatino Linotype" w:cs="Palatino Linotype"/>
                <w:b/>
                <w:sz w:val="22"/>
                <w:szCs w:val="22"/>
              </w:rPr>
              <w:lastRenderedPageBreak/>
              <w:t>Si colma</w:t>
            </w:r>
          </w:p>
          <w:p w14:paraId="0E2ACCC3" w14:textId="5A434CA3" w:rsidR="009B354E" w:rsidRPr="000D4651" w:rsidRDefault="003C685E" w:rsidP="000B4E4E">
            <w:pPr>
              <w:spacing w:line="360" w:lineRule="auto"/>
              <w:jc w:val="center"/>
              <w:rPr>
                <w:rFonts w:ascii="Palatino Linotype" w:eastAsia="Palatino Linotype" w:hAnsi="Palatino Linotype" w:cs="Palatino Linotype"/>
                <w:sz w:val="22"/>
                <w:szCs w:val="22"/>
              </w:rPr>
            </w:pPr>
            <w:r w:rsidRPr="000D4651">
              <w:rPr>
                <w:rFonts w:ascii="Palatino Linotype" w:eastAsia="Palatino Linotype" w:hAnsi="Palatino Linotype" w:cs="Palatino Linotype"/>
                <w:sz w:val="22"/>
                <w:szCs w:val="22"/>
              </w:rPr>
              <w:t>Hechos negativos.</w:t>
            </w:r>
          </w:p>
        </w:tc>
      </w:tr>
      <w:tr w:rsidR="000D4651" w:rsidRPr="000D4651" w14:paraId="6B894E1D" w14:textId="77777777" w:rsidTr="000B4E4E">
        <w:tc>
          <w:tcPr>
            <w:tcW w:w="2942" w:type="dxa"/>
          </w:tcPr>
          <w:p w14:paraId="1E07E34F" w14:textId="1154A6F7" w:rsidR="009B354E" w:rsidRPr="000D4651" w:rsidRDefault="009B354E" w:rsidP="009B354E">
            <w:pPr>
              <w:spacing w:line="360" w:lineRule="auto"/>
              <w:jc w:val="both"/>
              <w:rPr>
                <w:rFonts w:ascii="Palatino Linotype" w:eastAsia="Palatino Linotype" w:hAnsi="Palatino Linotype" w:cs="Palatino Linotype"/>
                <w:sz w:val="22"/>
                <w:szCs w:val="22"/>
              </w:rPr>
            </w:pPr>
            <w:r w:rsidRPr="000D4651">
              <w:rPr>
                <w:rFonts w:ascii="Palatino Linotype" w:eastAsia="Palatino Linotype" w:hAnsi="Palatino Linotype" w:cs="Palatino Linotype"/>
                <w:i/>
                <w:sz w:val="22"/>
                <w:szCs w:val="22"/>
              </w:rPr>
              <w:t xml:space="preserve">5.- Número de sentencias condenatorias o absolutorias dictadas por el delito de defraudación fiscal equiparable contemplado en el artículo 367 del Código Financiero del Estado de México y Municipios desde el 01 de enero de 2000 hasta el 01 de enero de 2024. </w:t>
            </w:r>
          </w:p>
        </w:tc>
        <w:tc>
          <w:tcPr>
            <w:tcW w:w="4283" w:type="dxa"/>
          </w:tcPr>
          <w:p w14:paraId="5F709001" w14:textId="77777777" w:rsidR="009B354E" w:rsidRPr="000D4651" w:rsidRDefault="009B354E" w:rsidP="009B354E">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Cs/>
                <w:i/>
              </w:rPr>
            </w:pPr>
            <w:r w:rsidRPr="000D4651">
              <w:rPr>
                <w:rFonts w:ascii="Palatino Linotype" w:eastAsia="Palatino Linotype" w:hAnsi="Palatino Linotype" w:cs="Palatino Linotype"/>
                <w:bCs/>
                <w:i/>
              </w:rPr>
              <w:t>Dentro de los registros de esta autoridad no existen sentencias condenatorias o absolutorias dictadas por el delito de defraudación fiscal equiparable contemplado en el artículo 367 del Código Financiero del Estado de México y Municipios desde el 01 de enero de 2000 hasta el 01 de enero de 2024.</w:t>
            </w:r>
          </w:p>
          <w:p w14:paraId="2FA806B9" w14:textId="77777777" w:rsidR="009B354E" w:rsidRPr="000D4651" w:rsidRDefault="009B354E" w:rsidP="009B354E">
            <w:pPr>
              <w:pBdr>
                <w:top w:val="nil"/>
                <w:left w:val="nil"/>
                <w:bottom w:val="nil"/>
                <w:right w:val="nil"/>
                <w:between w:val="nil"/>
              </w:pBdr>
              <w:tabs>
                <w:tab w:val="left" w:pos="284"/>
              </w:tabs>
              <w:spacing w:line="360" w:lineRule="auto"/>
              <w:ind w:right="616"/>
              <w:jc w:val="both"/>
              <w:rPr>
                <w:rFonts w:ascii="Palatino Linotype" w:eastAsia="Palatino Linotype" w:hAnsi="Palatino Linotype" w:cs="Palatino Linotype"/>
                <w:sz w:val="22"/>
                <w:szCs w:val="22"/>
              </w:rPr>
            </w:pPr>
          </w:p>
        </w:tc>
        <w:tc>
          <w:tcPr>
            <w:tcW w:w="1623" w:type="dxa"/>
          </w:tcPr>
          <w:p w14:paraId="62DFFE67" w14:textId="77777777" w:rsidR="003C685E" w:rsidRPr="000D4651" w:rsidRDefault="003C685E" w:rsidP="000B4E4E">
            <w:pPr>
              <w:spacing w:line="360" w:lineRule="auto"/>
              <w:jc w:val="center"/>
              <w:rPr>
                <w:rFonts w:ascii="Palatino Linotype" w:eastAsia="Palatino Linotype" w:hAnsi="Palatino Linotype" w:cs="Palatino Linotype"/>
                <w:b/>
                <w:sz w:val="22"/>
                <w:szCs w:val="22"/>
              </w:rPr>
            </w:pPr>
            <w:r w:rsidRPr="000D4651">
              <w:rPr>
                <w:rFonts w:ascii="Palatino Linotype" w:eastAsia="Palatino Linotype" w:hAnsi="Palatino Linotype" w:cs="Palatino Linotype"/>
                <w:b/>
                <w:sz w:val="22"/>
                <w:szCs w:val="22"/>
              </w:rPr>
              <w:t>Si colma</w:t>
            </w:r>
          </w:p>
          <w:p w14:paraId="5C16A373" w14:textId="462F928E" w:rsidR="009B354E" w:rsidRPr="000D4651" w:rsidRDefault="003C685E" w:rsidP="000B4E4E">
            <w:pPr>
              <w:spacing w:line="360" w:lineRule="auto"/>
              <w:jc w:val="center"/>
              <w:rPr>
                <w:rFonts w:ascii="Palatino Linotype" w:eastAsia="Palatino Linotype" w:hAnsi="Palatino Linotype" w:cs="Palatino Linotype"/>
                <w:sz w:val="22"/>
                <w:szCs w:val="22"/>
              </w:rPr>
            </w:pPr>
            <w:r w:rsidRPr="000D4651">
              <w:rPr>
                <w:rFonts w:ascii="Palatino Linotype" w:eastAsia="Palatino Linotype" w:hAnsi="Palatino Linotype" w:cs="Palatino Linotype"/>
                <w:sz w:val="22"/>
                <w:szCs w:val="22"/>
              </w:rPr>
              <w:t>Hechos negativos.</w:t>
            </w:r>
          </w:p>
        </w:tc>
      </w:tr>
      <w:tr w:rsidR="000D4651" w:rsidRPr="000D4651" w14:paraId="3D1D1500" w14:textId="77777777" w:rsidTr="000B4E4E">
        <w:tc>
          <w:tcPr>
            <w:tcW w:w="2942" w:type="dxa"/>
          </w:tcPr>
          <w:p w14:paraId="0D86987D" w14:textId="77960FB1" w:rsidR="009B354E" w:rsidRPr="000D4651" w:rsidRDefault="009B354E" w:rsidP="009B354E">
            <w:pPr>
              <w:spacing w:line="360" w:lineRule="auto"/>
              <w:jc w:val="both"/>
              <w:rPr>
                <w:rFonts w:ascii="Palatino Linotype" w:eastAsia="Palatino Linotype" w:hAnsi="Palatino Linotype" w:cs="Palatino Linotype"/>
                <w:sz w:val="22"/>
                <w:szCs w:val="22"/>
              </w:rPr>
            </w:pPr>
            <w:r w:rsidRPr="000D4651">
              <w:rPr>
                <w:rFonts w:ascii="Palatino Linotype" w:eastAsia="Palatino Linotype" w:hAnsi="Palatino Linotype" w:cs="Palatino Linotype"/>
                <w:i/>
                <w:sz w:val="22"/>
                <w:szCs w:val="22"/>
              </w:rPr>
              <w:t xml:space="preserve">6.-En relación con el numeral anterior, se solicita que se me proporcione la versión pública de las sentencias condenatorias o absolutorias que se hayan </w:t>
            </w:r>
            <w:r w:rsidRPr="000D4651">
              <w:rPr>
                <w:rFonts w:ascii="Palatino Linotype" w:eastAsia="Palatino Linotype" w:hAnsi="Palatino Linotype" w:cs="Palatino Linotype"/>
                <w:i/>
                <w:sz w:val="22"/>
                <w:szCs w:val="22"/>
              </w:rPr>
              <w:lastRenderedPageBreak/>
              <w:t xml:space="preserve">dictado por el delito de defraudación fiscal equiparable contemplado en el artículo 367 del Código Financiero del Estado de México y Municipios desde el 01 de enero de 2000 hasta el 01 de enero de 2024. </w:t>
            </w:r>
          </w:p>
        </w:tc>
        <w:tc>
          <w:tcPr>
            <w:tcW w:w="4283" w:type="dxa"/>
          </w:tcPr>
          <w:p w14:paraId="5F4C6AEB" w14:textId="482ACBA5" w:rsidR="009B354E" w:rsidRPr="000D4651" w:rsidRDefault="009B354E" w:rsidP="009B354E">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Cs/>
                <w:i/>
              </w:rPr>
            </w:pPr>
            <w:r w:rsidRPr="000D4651">
              <w:rPr>
                <w:rFonts w:ascii="Palatino Linotype" w:eastAsia="Palatino Linotype" w:hAnsi="Palatino Linotype" w:cs="Palatino Linotype"/>
                <w:bCs/>
                <w:i/>
              </w:rPr>
              <w:lastRenderedPageBreak/>
              <w:t xml:space="preserve">Dentro de los registros de esta autoridad no existen sentencias condenatorias o absolutorias dictadas por el delito de defraudación fiscal equiparable contemplado en el artículo 367 del Código </w:t>
            </w:r>
            <w:r w:rsidRPr="000D4651">
              <w:rPr>
                <w:rFonts w:ascii="Palatino Linotype" w:eastAsia="Palatino Linotype" w:hAnsi="Palatino Linotype" w:cs="Palatino Linotype"/>
                <w:bCs/>
                <w:i/>
              </w:rPr>
              <w:lastRenderedPageBreak/>
              <w:t>Financiero del Estado de México y Municipios desde el 01 de enero de 2000 hasta el 01 de enero de 2024.</w:t>
            </w:r>
          </w:p>
          <w:p w14:paraId="7F94A0E3" w14:textId="77777777" w:rsidR="009B354E" w:rsidRPr="000D4651" w:rsidRDefault="009B354E" w:rsidP="009B354E">
            <w:pPr>
              <w:spacing w:line="360" w:lineRule="auto"/>
              <w:jc w:val="both"/>
              <w:rPr>
                <w:rFonts w:ascii="Palatino Linotype" w:eastAsia="Palatino Linotype" w:hAnsi="Palatino Linotype" w:cs="Palatino Linotype"/>
                <w:sz w:val="22"/>
                <w:szCs w:val="22"/>
              </w:rPr>
            </w:pPr>
          </w:p>
        </w:tc>
        <w:tc>
          <w:tcPr>
            <w:tcW w:w="1623" w:type="dxa"/>
          </w:tcPr>
          <w:p w14:paraId="2A1622F6" w14:textId="77777777" w:rsidR="003C685E" w:rsidRPr="000D4651" w:rsidRDefault="003C685E" w:rsidP="000B4E4E">
            <w:pPr>
              <w:spacing w:line="360" w:lineRule="auto"/>
              <w:jc w:val="center"/>
              <w:rPr>
                <w:rFonts w:ascii="Palatino Linotype" w:eastAsia="Palatino Linotype" w:hAnsi="Palatino Linotype" w:cs="Palatino Linotype"/>
                <w:b/>
                <w:sz w:val="22"/>
                <w:szCs w:val="22"/>
              </w:rPr>
            </w:pPr>
            <w:r w:rsidRPr="000D4651">
              <w:rPr>
                <w:rFonts w:ascii="Palatino Linotype" w:eastAsia="Palatino Linotype" w:hAnsi="Palatino Linotype" w:cs="Palatino Linotype"/>
                <w:b/>
                <w:sz w:val="22"/>
                <w:szCs w:val="22"/>
              </w:rPr>
              <w:lastRenderedPageBreak/>
              <w:t>Si colma</w:t>
            </w:r>
          </w:p>
          <w:p w14:paraId="03ED2E7D" w14:textId="2E47F4E2" w:rsidR="009B354E" w:rsidRPr="000D4651" w:rsidRDefault="003C685E" w:rsidP="000B4E4E">
            <w:pPr>
              <w:spacing w:line="360" w:lineRule="auto"/>
              <w:jc w:val="center"/>
              <w:rPr>
                <w:rFonts w:ascii="Palatino Linotype" w:eastAsia="Palatino Linotype" w:hAnsi="Palatino Linotype" w:cs="Palatino Linotype"/>
                <w:sz w:val="22"/>
                <w:szCs w:val="22"/>
              </w:rPr>
            </w:pPr>
            <w:r w:rsidRPr="000D4651">
              <w:rPr>
                <w:rFonts w:ascii="Palatino Linotype" w:eastAsia="Palatino Linotype" w:hAnsi="Palatino Linotype" w:cs="Palatino Linotype"/>
                <w:sz w:val="22"/>
                <w:szCs w:val="22"/>
              </w:rPr>
              <w:t>Hechos negativos.</w:t>
            </w:r>
          </w:p>
        </w:tc>
      </w:tr>
      <w:tr w:rsidR="000D4651" w:rsidRPr="000D4651" w14:paraId="17A466CC" w14:textId="77777777" w:rsidTr="000B4E4E">
        <w:tc>
          <w:tcPr>
            <w:tcW w:w="2942" w:type="dxa"/>
          </w:tcPr>
          <w:p w14:paraId="1FBB858E" w14:textId="52E501D2" w:rsidR="009B354E" w:rsidRPr="000D4651" w:rsidRDefault="009B354E" w:rsidP="009B354E">
            <w:pPr>
              <w:spacing w:line="360" w:lineRule="auto"/>
              <w:jc w:val="both"/>
              <w:rPr>
                <w:rFonts w:ascii="Palatino Linotype" w:eastAsia="Palatino Linotype" w:hAnsi="Palatino Linotype" w:cs="Palatino Linotype"/>
                <w:sz w:val="22"/>
                <w:szCs w:val="22"/>
              </w:rPr>
            </w:pPr>
            <w:r w:rsidRPr="000D4651">
              <w:rPr>
                <w:rFonts w:ascii="Palatino Linotype" w:eastAsia="Palatino Linotype" w:hAnsi="Palatino Linotype" w:cs="Palatino Linotype"/>
                <w:i/>
                <w:sz w:val="22"/>
                <w:szCs w:val="22"/>
              </w:rPr>
              <w:t xml:space="preserve">7.- En los procesos penales instruidos por los delitos contemplados en los artículos 365 y 367 del Código Financiero Del Estado De México y Municipios, ¿la Secretaría de Finanzas y de Administración del Estado interviene como víctima u ofendido? </w:t>
            </w:r>
          </w:p>
        </w:tc>
        <w:tc>
          <w:tcPr>
            <w:tcW w:w="4283" w:type="dxa"/>
          </w:tcPr>
          <w:p w14:paraId="315DDA73" w14:textId="77777777" w:rsidR="009B354E" w:rsidRPr="000D4651" w:rsidRDefault="009B354E" w:rsidP="009B354E">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Cs/>
                <w:i/>
              </w:rPr>
            </w:pPr>
            <w:r w:rsidRPr="000D4651">
              <w:rPr>
                <w:rFonts w:ascii="Palatino Linotype" w:eastAsia="Palatino Linotype" w:hAnsi="Palatino Linotype" w:cs="Palatino Linotype"/>
                <w:bCs/>
                <w:i/>
              </w:rPr>
              <w:t xml:space="preserve">Al no existir procesos penales instruidos por esta, autoridad, no se está en posibilidad de dar una respuesta en los </w:t>
            </w:r>
            <w:proofErr w:type="spellStart"/>
            <w:r w:rsidRPr="000D4651">
              <w:rPr>
                <w:rFonts w:ascii="Palatino Linotype" w:eastAsia="Palatino Linotype" w:hAnsi="Palatino Linotype" w:cs="Palatino Linotype"/>
                <w:bCs/>
                <w:i/>
              </w:rPr>
              <w:t>terminos</w:t>
            </w:r>
            <w:proofErr w:type="spellEnd"/>
            <w:r w:rsidRPr="000D4651">
              <w:rPr>
                <w:rFonts w:ascii="Palatino Linotype" w:eastAsia="Palatino Linotype" w:hAnsi="Palatino Linotype" w:cs="Palatino Linotype"/>
                <w:bCs/>
                <w:i/>
              </w:rPr>
              <w:t xml:space="preserve"> que la solicitud de información es planteada.</w:t>
            </w:r>
          </w:p>
          <w:p w14:paraId="77FF6948" w14:textId="77777777" w:rsidR="009B354E" w:rsidRPr="000D4651" w:rsidRDefault="009B354E" w:rsidP="009B354E">
            <w:pPr>
              <w:spacing w:line="360" w:lineRule="auto"/>
              <w:jc w:val="both"/>
              <w:rPr>
                <w:rFonts w:ascii="Palatino Linotype" w:eastAsia="Palatino Linotype" w:hAnsi="Palatino Linotype" w:cs="Palatino Linotype"/>
                <w:sz w:val="22"/>
                <w:szCs w:val="22"/>
              </w:rPr>
            </w:pPr>
          </w:p>
        </w:tc>
        <w:tc>
          <w:tcPr>
            <w:tcW w:w="1623" w:type="dxa"/>
          </w:tcPr>
          <w:p w14:paraId="1E6153CB" w14:textId="77777777" w:rsidR="009B354E" w:rsidRPr="000D4651" w:rsidRDefault="003C685E" w:rsidP="000B4E4E">
            <w:pPr>
              <w:spacing w:line="360" w:lineRule="auto"/>
              <w:jc w:val="center"/>
              <w:rPr>
                <w:rFonts w:ascii="Palatino Linotype" w:eastAsia="Palatino Linotype" w:hAnsi="Palatino Linotype" w:cs="Palatino Linotype"/>
                <w:b/>
                <w:sz w:val="22"/>
                <w:szCs w:val="22"/>
              </w:rPr>
            </w:pPr>
            <w:r w:rsidRPr="000D4651">
              <w:rPr>
                <w:rFonts w:ascii="Palatino Linotype" w:eastAsia="Palatino Linotype" w:hAnsi="Palatino Linotype" w:cs="Palatino Linotype"/>
                <w:b/>
                <w:sz w:val="22"/>
                <w:szCs w:val="22"/>
              </w:rPr>
              <w:t>Si colma.</w:t>
            </w:r>
          </w:p>
          <w:p w14:paraId="1C76E10D" w14:textId="7A5222B9" w:rsidR="00240E05" w:rsidRPr="000D4651" w:rsidRDefault="00240E05" w:rsidP="000B4E4E">
            <w:pPr>
              <w:spacing w:line="360" w:lineRule="auto"/>
              <w:jc w:val="center"/>
              <w:rPr>
                <w:rFonts w:ascii="Palatino Linotype" w:eastAsia="Palatino Linotype" w:hAnsi="Palatino Linotype" w:cs="Palatino Linotype"/>
                <w:b/>
                <w:sz w:val="22"/>
                <w:szCs w:val="22"/>
              </w:rPr>
            </w:pPr>
          </w:p>
        </w:tc>
      </w:tr>
      <w:tr w:rsidR="009B354E" w:rsidRPr="000D4651" w14:paraId="4ABFE3F0" w14:textId="77777777" w:rsidTr="000B4E4E">
        <w:tc>
          <w:tcPr>
            <w:tcW w:w="2942" w:type="dxa"/>
          </w:tcPr>
          <w:p w14:paraId="177B320D" w14:textId="3683AD55" w:rsidR="009B354E" w:rsidRPr="000D4651" w:rsidRDefault="009B354E" w:rsidP="009B354E">
            <w:pPr>
              <w:spacing w:line="360" w:lineRule="auto"/>
              <w:jc w:val="both"/>
              <w:rPr>
                <w:rFonts w:ascii="Palatino Linotype" w:eastAsia="Palatino Linotype" w:hAnsi="Palatino Linotype" w:cs="Palatino Linotype"/>
                <w:sz w:val="22"/>
                <w:szCs w:val="22"/>
              </w:rPr>
            </w:pPr>
            <w:r w:rsidRPr="000D4651">
              <w:rPr>
                <w:rFonts w:ascii="Palatino Linotype" w:eastAsia="Palatino Linotype" w:hAnsi="Palatino Linotype" w:cs="Palatino Linotype"/>
                <w:i/>
                <w:sz w:val="22"/>
                <w:szCs w:val="22"/>
              </w:rPr>
              <w:t>8.- En relación con la pregunta anterior, si la Secretaría de Finanzas y de Administración del Estado no interviene como víctima u ofendido, ¿en qué calidad interviene?</w:t>
            </w:r>
          </w:p>
        </w:tc>
        <w:tc>
          <w:tcPr>
            <w:tcW w:w="4283" w:type="dxa"/>
          </w:tcPr>
          <w:p w14:paraId="6C3BCACD" w14:textId="322C23D8" w:rsidR="009B354E" w:rsidRPr="000D4651" w:rsidRDefault="003C685E" w:rsidP="009B354E">
            <w:pPr>
              <w:spacing w:line="360" w:lineRule="auto"/>
              <w:jc w:val="both"/>
              <w:rPr>
                <w:rFonts w:ascii="Palatino Linotype" w:eastAsia="Palatino Linotype" w:hAnsi="Palatino Linotype" w:cs="Palatino Linotype"/>
                <w:sz w:val="22"/>
                <w:szCs w:val="22"/>
              </w:rPr>
            </w:pPr>
            <w:r w:rsidRPr="000D4651">
              <w:rPr>
                <w:rFonts w:ascii="Palatino Linotype" w:eastAsia="Palatino Linotype" w:hAnsi="Palatino Linotype" w:cs="Palatino Linotype"/>
                <w:bCs/>
                <w:i/>
              </w:rPr>
              <w:t>Respecto a la pregunta anterior, la misma es inatendible en los términos que es planteada, dado que no se trata de una solicitud de información, sino de un cuestionamiento en particular.</w:t>
            </w:r>
          </w:p>
        </w:tc>
        <w:tc>
          <w:tcPr>
            <w:tcW w:w="1623" w:type="dxa"/>
          </w:tcPr>
          <w:p w14:paraId="4CE00F83" w14:textId="5E8E523C" w:rsidR="009B354E" w:rsidRPr="000D4651" w:rsidRDefault="00373E9F" w:rsidP="000B4E4E">
            <w:pPr>
              <w:pBdr>
                <w:top w:val="nil"/>
                <w:left w:val="nil"/>
                <w:bottom w:val="nil"/>
                <w:right w:val="nil"/>
                <w:between w:val="nil"/>
              </w:pBdr>
              <w:tabs>
                <w:tab w:val="left" w:pos="284"/>
              </w:tabs>
              <w:spacing w:line="360" w:lineRule="auto"/>
              <w:ind w:right="458"/>
              <w:jc w:val="center"/>
              <w:rPr>
                <w:rFonts w:ascii="Palatino Linotype" w:eastAsia="Palatino Linotype" w:hAnsi="Palatino Linotype" w:cs="Palatino Linotype"/>
                <w:sz w:val="22"/>
                <w:szCs w:val="22"/>
              </w:rPr>
            </w:pPr>
            <w:r w:rsidRPr="000D4651">
              <w:rPr>
                <w:rFonts w:ascii="Palatino Linotype" w:eastAsia="Palatino Linotype" w:hAnsi="Palatino Linotype" w:cs="Palatino Linotype"/>
                <w:bCs/>
                <w:i/>
              </w:rPr>
              <w:t>Si colma.</w:t>
            </w:r>
          </w:p>
        </w:tc>
      </w:tr>
    </w:tbl>
    <w:p w14:paraId="2714B391" w14:textId="77777777" w:rsidR="009B354E" w:rsidRPr="000D4651" w:rsidRDefault="009B354E" w:rsidP="000A6EF0">
      <w:pPr>
        <w:spacing w:line="360" w:lineRule="auto"/>
        <w:jc w:val="both"/>
        <w:rPr>
          <w:rFonts w:ascii="Palatino Linotype" w:eastAsia="Palatino Linotype" w:hAnsi="Palatino Linotype" w:cs="Palatino Linotype"/>
          <w:sz w:val="22"/>
          <w:szCs w:val="22"/>
        </w:rPr>
      </w:pPr>
    </w:p>
    <w:p w14:paraId="60398EC6" w14:textId="77777777" w:rsidR="009B354E" w:rsidRPr="000D4651" w:rsidRDefault="009B354E" w:rsidP="000A6EF0">
      <w:pPr>
        <w:spacing w:line="360" w:lineRule="auto"/>
        <w:jc w:val="both"/>
        <w:rPr>
          <w:rFonts w:ascii="Palatino Linotype" w:eastAsia="Palatino Linotype" w:hAnsi="Palatino Linotype" w:cs="Palatino Linotype"/>
          <w:sz w:val="22"/>
          <w:szCs w:val="22"/>
        </w:rPr>
      </w:pPr>
    </w:p>
    <w:p w14:paraId="7B94550C" w14:textId="77777777" w:rsidR="009B354E" w:rsidRPr="000D4651" w:rsidRDefault="009B354E" w:rsidP="000A6EF0">
      <w:pPr>
        <w:spacing w:line="360" w:lineRule="auto"/>
        <w:jc w:val="both"/>
        <w:rPr>
          <w:rFonts w:ascii="Palatino Linotype" w:eastAsia="Palatino Linotype" w:hAnsi="Palatino Linotype" w:cs="Palatino Linotype"/>
          <w:sz w:val="22"/>
          <w:szCs w:val="22"/>
        </w:rPr>
      </w:pPr>
    </w:p>
    <w:p w14:paraId="225035B3" w14:textId="2DAD9894" w:rsidR="003C685E" w:rsidRPr="000D4651" w:rsidRDefault="003C685E" w:rsidP="000A6EF0">
      <w:pPr>
        <w:spacing w:line="360" w:lineRule="auto"/>
        <w:jc w:val="both"/>
        <w:rPr>
          <w:rFonts w:ascii="Palatino Linotype" w:eastAsia="Palatino Linotype" w:hAnsi="Palatino Linotype" w:cs="Palatino Linotype"/>
          <w:sz w:val="22"/>
          <w:szCs w:val="22"/>
        </w:rPr>
      </w:pPr>
      <w:r w:rsidRPr="000D4651">
        <w:rPr>
          <w:rFonts w:ascii="Palatino Linotype" w:eastAsia="Palatino Linotype" w:hAnsi="Palatino Linotype" w:cs="Palatino Linotype"/>
          <w:sz w:val="22"/>
          <w:szCs w:val="22"/>
        </w:rPr>
        <w:t>Hasta este punto, se tiene que el Sujeto Obligado, a través de la Procuraduría Fiscal refirió que no se cuenta con la información requerida, porque no se ha ejercido la atribución</w:t>
      </w:r>
      <w:r w:rsidR="000C0724" w:rsidRPr="000D4651">
        <w:rPr>
          <w:rFonts w:ascii="Palatino Linotype" w:eastAsia="Palatino Linotype" w:hAnsi="Palatino Linotype" w:cs="Palatino Linotype"/>
          <w:sz w:val="22"/>
          <w:szCs w:val="22"/>
        </w:rPr>
        <w:t xml:space="preserve">. </w:t>
      </w:r>
    </w:p>
    <w:p w14:paraId="77C3333D" w14:textId="77777777" w:rsidR="000C0724" w:rsidRPr="000D4651" w:rsidRDefault="000C0724" w:rsidP="000A6EF0">
      <w:pPr>
        <w:spacing w:line="360" w:lineRule="auto"/>
        <w:jc w:val="both"/>
        <w:rPr>
          <w:rFonts w:ascii="Palatino Linotype" w:eastAsia="Palatino Linotype" w:hAnsi="Palatino Linotype" w:cs="Palatino Linotype"/>
          <w:sz w:val="22"/>
          <w:szCs w:val="22"/>
        </w:rPr>
      </w:pPr>
    </w:p>
    <w:p w14:paraId="1691A452" w14:textId="73DC5130" w:rsidR="000C0724" w:rsidRPr="000D4651" w:rsidRDefault="000C0724" w:rsidP="000A6EF0">
      <w:pPr>
        <w:spacing w:line="360" w:lineRule="auto"/>
        <w:jc w:val="both"/>
        <w:rPr>
          <w:rFonts w:ascii="Palatino Linotype" w:eastAsia="Palatino Linotype" w:hAnsi="Palatino Linotype" w:cs="Palatino Linotype"/>
          <w:sz w:val="22"/>
          <w:szCs w:val="22"/>
        </w:rPr>
      </w:pPr>
      <w:r w:rsidRPr="000D4651">
        <w:rPr>
          <w:rFonts w:ascii="Palatino Linotype" w:eastAsia="Palatino Linotype" w:hAnsi="Palatino Linotype" w:cs="Palatino Linotype"/>
          <w:sz w:val="22"/>
          <w:szCs w:val="22"/>
        </w:rPr>
        <w:t>Dicho lo anterior, es necesario puntualizar que el Recurrente desea tener acceso a la información relativa a querellas formuladas por la Secretaría de Finanzas por el delito de defraudación fiscal, conforme a los artícul</w:t>
      </w:r>
      <w:r w:rsidR="00946F49" w:rsidRPr="000D4651">
        <w:rPr>
          <w:rFonts w:ascii="Palatino Linotype" w:eastAsia="Palatino Linotype" w:hAnsi="Palatino Linotype" w:cs="Palatino Linotype"/>
          <w:sz w:val="22"/>
          <w:szCs w:val="22"/>
        </w:rPr>
        <w:t xml:space="preserve">os 365, </w:t>
      </w:r>
      <w:r w:rsidRPr="000D4651">
        <w:rPr>
          <w:rFonts w:ascii="Palatino Linotype" w:eastAsia="Palatino Linotype" w:hAnsi="Palatino Linotype" w:cs="Palatino Linotype"/>
          <w:sz w:val="22"/>
          <w:szCs w:val="22"/>
        </w:rPr>
        <w:t>367</w:t>
      </w:r>
      <w:r w:rsidR="00946F49" w:rsidRPr="000D4651">
        <w:rPr>
          <w:rFonts w:ascii="Palatino Linotype" w:eastAsia="Palatino Linotype" w:hAnsi="Palatino Linotype" w:cs="Palatino Linotype"/>
          <w:sz w:val="22"/>
          <w:szCs w:val="22"/>
        </w:rPr>
        <w:t xml:space="preserve"> y 371</w:t>
      </w:r>
      <w:r w:rsidRPr="000D4651">
        <w:rPr>
          <w:rFonts w:ascii="Palatino Linotype" w:eastAsia="Palatino Linotype" w:hAnsi="Palatino Linotype" w:cs="Palatino Linotype"/>
          <w:sz w:val="22"/>
          <w:szCs w:val="22"/>
        </w:rPr>
        <w:t xml:space="preserve"> del Código Financiero del Estado de México y</w:t>
      </w:r>
    </w:p>
    <w:p w14:paraId="7A28DE47" w14:textId="77777777" w:rsidR="003C685E" w:rsidRPr="000D4651" w:rsidRDefault="003C685E" w:rsidP="000A6EF0">
      <w:pPr>
        <w:spacing w:line="360" w:lineRule="auto"/>
        <w:jc w:val="both"/>
        <w:rPr>
          <w:rFonts w:ascii="Palatino Linotype" w:eastAsia="Palatino Linotype" w:hAnsi="Palatino Linotype" w:cs="Palatino Linotype"/>
          <w:sz w:val="22"/>
          <w:szCs w:val="22"/>
        </w:rPr>
      </w:pPr>
    </w:p>
    <w:p w14:paraId="6EFF8ABD" w14:textId="5EF68A12" w:rsidR="00DF476D" w:rsidRPr="000D4651" w:rsidRDefault="000C0724" w:rsidP="00DF476D">
      <w:pPr>
        <w:spacing w:line="360" w:lineRule="auto"/>
        <w:ind w:left="567" w:right="616"/>
        <w:jc w:val="center"/>
        <w:rPr>
          <w:rFonts w:ascii="Palatino Linotype" w:hAnsi="Palatino Linotype"/>
          <w:b/>
          <w:i/>
          <w:sz w:val="22"/>
        </w:rPr>
      </w:pPr>
      <w:r w:rsidRPr="000D4651">
        <w:rPr>
          <w:rFonts w:ascii="Palatino Linotype" w:hAnsi="Palatino Linotype"/>
          <w:b/>
          <w:i/>
          <w:sz w:val="22"/>
        </w:rPr>
        <w:t>CAPITULO TERCERO</w:t>
      </w:r>
    </w:p>
    <w:p w14:paraId="1B9ECFEF" w14:textId="5C7A680C" w:rsidR="000C0724" w:rsidRPr="000D4651" w:rsidRDefault="000C0724" w:rsidP="00DF476D">
      <w:pPr>
        <w:spacing w:line="360" w:lineRule="auto"/>
        <w:ind w:left="567" w:right="616"/>
        <w:jc w:val="center"/>
        <w:rPr>
          <w:rFonts w:ascii="Palatino Linotype" w:hAnsi="Palatino Linotype"/>
          <w:b/>
          <w:i/>
          <w:sz w:val="22"/>
        </w:rPr>
      </w:pPr>
      <w:r w:rsidRPr="000D4651">
        <w:rPr>
          <w:rFonts w:ascii="Palatino Linotype" w:hAnsi="Palatino Linotype"/>
          <w:b/>
          <w:i/>
          <w:sz w:val="22"/>
        </w:rPr>
        <w:t>DE LOS DELITOS FISCALES</w:t>
      </w:r>
    </w:p>
    <w:p w14:paraId="7DD75DB6" w14:textId="0FCB0B87" w:rsidR="000C0724" w:rsidRPr="000D4651" w:rsidRDefault="000C0724" w:rsidP="000C0724">
      <w:pPr>
        <w:spacing w:line="360" w:lineRule="auto"/>
        <w:ind w:left="567" w:right="616"/>
        <w:jc w:val="both"/>
        <w:rPr>
          <w:rFonts w:ascii="Palatino Linotype" w:hAnsi="Palatino Linotype"/>
          <w:i/>
          <w:sz w:val="22"/>
        </w:rPr>
      </w:pPr>
      <w:r w:rsidRPr="000D4651">
        <w:rPr>
          <w:rFonts w:ascii="Palatino Linotype" w:hAnsi="Palatino Linotype"/>
          <w:i/>
          <w:sz w:val="22"/>
        </w:rPr>
        <w:t>Artículo 365.- Comete el delito de defraudación fiscal quien mediante el uso de engaños o aprovechamiento de errores, omita total o parcialmente el pago de alguna contribución a su cargo o en su carácter de retenedor y obtenga un beneficio indebido en perjuicio de la hacienda pública estatal o municipal.</w:t>
      </w:r>
    </w:p>
    <w:p w14:paraId="7B85E3ED" w14:textId="77777777" w:rsidR="000C0724" w:rsidRPr="000D4651" w:rsidRDefault="000C0724" w:rsidP="000C0724">
      <w:pPr>
        <w:spacing w:line="360" w:lineRule="auto"/>
        <w:ind w:left="567" w:right="616"/>
        <w:jc w:val="both"/>
        <w:rPr>
          <w:rFonts w:ascii="Palatino Linotype" w:hAnsi="Palatino Linotype"/>
          <w:i/>
          <w:sz w:val="22"/>
        </w:rPr>
      </w:pPr>
    </w:p>
    <w:p w14:paraId="5C5CCF9A" w14:textId="77777777" w:rsidR="000C0724" w:rsidRPr="000D4651" w:rsidRDefault="000C0724" w:rsidP="000C0724">
      <w:pPr>
        <w:spacing w:line="360" w:lineRule="auto"/>
        <w:ind w:left="567" w:right="616"/>
        <w:jc w:val="both"/>
        <w:rPr>
          <w:rFonts w:ascii="Palatino Linotype" w:hAnsi="Palatino Linotype"/>
          <w:i/>
          <w:sz w:val="22"/>
        </w:rPr>
      </w:pPr>
      <w:r w:rsidRPr="000D4651">
        <w:rPr>
          <w:rFonts w:ascii="Palatino Linotype" w:hAnsi="Palatino Linotype"/>
          <w:i/>
          <w:sz w:val="22"/>
        </w:rPr>
        <w:t xml:space="preserve">Artículo 367.- Además comenten el delito de defraudación fiscal y se sancionará con las mismas penas a quienes: </w:t>
      </w:r>
    </w:p>
    <w:p w14:paraId="48D7FC84" w14:textId="77777777" w:rsidR="000C0724" w:rsidRPr="000D4651" w:rsidRDefault="000C0724" w:rsidP="000C0724">
      <w:pPr>
        <w:spacing w:line="360" w:lineRule="auto"/>
        <w:ind w:left="567" w:right="616"/>
        <w:jc w:val="both"/>
        <w:rPr>
          <w:rFonts w:ascii="Palatino Linotype" w:hAnsi="Palatino Linotype"/>
          <w:i/>
          <w:sz w:val="22"/>
        </w:rPr>
      </w:pPr>
      <w:r w:rsidRPr="000D4651">
        <w:rPr>
          <w:rFonts w:ascii="Palatino Linotype" w:hAnsi="Palatino Linotype"/>
          <w:i/>
          <w:sz w:val="22"/>
        </w:rPr>
        <w:t xml:space="preserve">I. Mediante la simulación de actos jurídicos, omita total o parcialmente el pago de las contribuciones a su cargo; </w:t>
      </w:r>
    </w:p>
    <w:p w14:paraId="0778C591" w14:textId="77777777" w:rsidR="000C0724" w:rsidRPr="000D4651" w:rsidRDefault="000C0724" w:rsidP="000C0724">
      <w:pPr>
        <w:spacing w:line="360" w:lineRule="auto"/>
        <w:ind w:left="567" w:right="616"/>
        <w:jc w:val="both"/>
        <w:rPr>
          <w:rFonts w:ascii="Palatino Linotype" w:hAnsi="Palatino Linotype"/>
          <w:i/>
          <w:sz w:val="22"/>
        </w:rPr>
      </w:pPr>
      <w:r w:rsidRPr="000D4651">
        <w:rPr>
          <w:rFonts w:ascii="Palatino Linotype" w:hAnsi="Palatino Linotype"/>
          <w:i/>
          <w:sz w:val="22"/>
        </w:rPr>
        <w:t xml:space="preserve">II. Intencionalmente proporcione con falsedad a las autoridades fiscales, los datos que obren en su poder y que sean necesarios para determinar las contribuciones; </w:t>
      </w:r>
    </w:p>
    <w:p w14:paraId="131E4482" w14:textId="77777777" w:rsidR="000C0724" w:rsidRPr="000D4651" w:rsidRDefault="000C0724" w:rsidP="000C0724">
      <w:pPr>
        <w:spacing w:line="360" w:lineRule="auto"/>
        <w:ind w:left="567" w:right="616"/>
        <w:jc w:val="both"/>
        <w:rPr>
          <w:rFonts w:ascii="Palatino Linotype" w:hAnsi="Palatino Linotype"/>
          <w:i/>
          <w:sz w:val="22"/>
        </w:rPr>
      </w:pPr>
      <w:r w:rsidRPr="000D4651">
        <w:rPr>
          <w:rFonts w:ascii="Palatino Linotype" w:hAnsi="Palatino Linotype"/>
          <w:i/>
          <w:sz w:val="22"/>
        </w:rPr>
        <w:t xml:space="preserve">III. No entreguen a las autoridades fiscales dentro del plazo del requerimiento que se le haga, las cantidades que haya retenido o recaudado de los contribuyentes por concepto de contribuciones; </w:t>
      </w:r>
    </w:p>
    <w:p w14:paraId="5A85E98A" w14:textId="0B36FB82" w:rsidR="000C0724" w:rsidRPr="000D4651" w:rsidRDefault="000C0724" w:rsidP="000C0724">
      <w:pPr>
        <w:spacing w:line="360" w:lineRule="auto"/>
        <w:ind w:left="567" w:right="616"/>
        <w:jc w:val="both"/>
        <w:rPr>
          <w:rFonts w:ascii="Palatino Linotype" w:hAnsi="Palatino Linotype"/>
          <w:i/>
          <w:sz w:val="22"/>
        </w:rPr>
      </w:pPr>
      <w:r w:rsidRPr="000D4651">
        <w:rPr>
          <w:rFonts w:ascii="Palatino Linotype" w:hAnsi="Palatino Linotype"/>
          <w:i/>
          <w:sz w:val="22"/>
        </w:rPr>
        <w:t>IV. Para registrar sus operaciones contables o fiscales, lleve dos o más registros contables con distintos asientos o datos;</w:t>
      </w:r>
    </w:p>
    <w:p w14:paraId="2140235B" w14:textId="287CF201" w:rsidR="000C0724" w:rsidRPr="000D4651" w:rsidRDefault="000C0724" w:rsidP="000C0724">
      <w:pPr>
        <w:spacing w:line="360" w:lineRule="auto"/>
        <w:ind w:left="567" w:right="616"/>
        <w:jc w:val="both"/>
        <w:rPr>
          <w:rFonts w:ascii="Palatino Linotype" w:eastAsia="Palatino Linotype" w:hAnsi="Palatino Linotype" w:cs="Palatino Linotype"/>
          <w:i/>
          <w:sz w:val="20"/>
          <w:szCs w:val="22"/>
        </w:rPr>
      </w:pPr>
      <w:r w:rsidRPr="000D4651">
        <w:rPr>
          <w:rFonts w:ascii="Palatino Linotype" w:hAnsi="Palatino Linotype"/>
          <w:i/>
          <w:sz w:val="22"/>
        </w:rPr>
        <w:lastRenderedPageBreak/>
        <w:t>V. Asesoren al contribuyente sobre la forma de aprovechar errores o consumar engaños para omitir total o parcialmente el pago de una o más contribuciones, o realice las acciones en representación del contribuyente a efecto de consumar la defraudación fiscal.</w:t>
      </w:r>
    </w:p>
    <w:p w14:paraId="0CE44A39" w14:textId="77777777" w:rsidR="003C685E" w:rsidRPr="000D4651" w:rsidRDefault="003C685E" w:rsidP="000A6EF0">
      <w:pPr>
        <w:spacing w:line="360" w:lineRule="auto"/>
        <w:jc w:val="both"/>
        <w:rPr>
          <w:rFonts w:ascii="Palatino Linotype" w:eastAsia="Palatino Linotype" w:hAnsi="Palatino Linotype" w:cs="Palatino Linotype"/>
          <w:sz w:val="22"/>
          <w:szCs w:val="22"/>
        </w:rPr>
      </w:pPr>
    </w:p>
    <w:p w14:paraId="43419D0A" w14:textId="77777777" w:rsidR="00946F49" w:rsidRPr="000D4651" w:rsidRDefault="00946F49" w:rsidP="00946F49">
      <w:pPr>
        <w:spacing w:line="360" w:lineRule="auto"/>
        <w:ind w:left="567" w:right="616"/>
        <w:jc w:val="both"/>
        <w:rPr>
          <w:rFonts w:ascii="Palatino Linotype" w:hAnsi="Palatino Linotype"/>
          <w:i/>
          <w:sz w:val="22"/>
        </w:rPr>
      </w:pPr>
      <w:r w:rsidRPr="000D4651">
        <w:rPr>
          <w:rFonts w:ascii="Palatino Linotype" w:hAnsi="Palatino Linotype"/>
          <w:i/>
          <w:sz w:val="22"/>
        </w:rPr>
        <w:t xml:space="preserve">Artículo 371.- Para proceder penalmente por los delitos fiscales previstos en este Código, será necesario que: </w:t>
      </w:r>
    </w:p>
    <w:p w14:paraId="716BDF79" w14:textId="77777777" w:rsidR="00946F49" w:rsidRPr="000D4651" w:rsidRDefault="00946F49" w:rsidP="00946F49">
      <w:pPr>
        <w:spacing w:line="360" w:lineRule="auto"/>
        <w:ind w:left="567" w:right="616"/>
        <w:jc w:val="both"/>
        <w:rPr>
          <w:rFonts w:ascii="Palatino Linotype" w:hAnsi="Palatino Linotype"/>
          <w:b/>
          <w:i/>
          <w:sz w:val="22"/>
        </w:rPr>
      </w:pPr>
      <w:r w:rsidRPr="000D4651">
        <w:rPr>
          <w:rFonts w:ascii="Palatino Linotype" w:hAnsi="Palatino Linotype"/>
          <w:b/>
          <w:i/>
          <w:sz w:val="22"/>
        </w:rPr>
        <w:t xml:space="preserve">I. Se formule la querella correspondiente por la autoridad facultada para ello; </w:t>
      </w:r>
    </w:p>
    <w:p w14:paraId="226FEFF0" w14:textId="77777777" w:rsidR="00946F49" w:rsidRPr="000D4651" w:rsidRDefault="00946F49" w:rsidP="00946F49">
      <w:pPr>
        <w:spacing w:line="360" w:lineRule="auto"/>
        <w:ind w:left="567" w:right="616"/>
        <w:jc w:val="both"/>
        <w:rPr>
          <w:rFonts w:ascii="Palatino Linotype" w:hAnsi="Palatino Linotype"/>
          <w:i/>
          <w:sz w:val="22"/>
        </w:rPr>
      </w:pPr>
      <w:r w:rsidRPr="000D4651">
        <w:rPr>
          <w:rFonts w:ascii="Palatino Linotype" w:hAnsi="Palatino Linotype"/>
          <w:i/>
          <w:sz w:val="22"/>
        </w:rPr>
        <w:t xml:space="preserve">I Bis. Cuando el delito de defraudación fiscal sea cometido por persona servidora pública que, en ejercicio de sus funciones, omita total o parcialmente el entero de las cuotas o aportaciones de seguridad social, siendo responsable de ello; presentará la querella correspondiente, la persona servidora pública del Instituto de Seguridad del Estado de México y Municipios facultada para ello. En caso de incumplimiento de dicha obligación, será sancionada en términos de las disposiciones jurídicas aplicables. </w:t>
      </w:r>
    </w:p>
    <w:p w14:paraId="37C10241" w14:textId="77777777" w:rsidR="00946F49" w:rsidRPr="000D4651" w:rsidRDefault="00946F49" w:rsidP="00946F49">
      <w:pPr>
        <w:spacing w:line="360" w:lineRule="auto"/>
        <w:ind w:left="567" w:right="616"/>
        <w:jc w:val="both"/>
        <w:rPr>
          <w:rFonts w:ascii="Palatino Linotype" w:hAnsi="Palatino Linotype"/>
          <w:i/>
          <w:sz w:val="22"/>
        </w:rPr>
      </w:pPr>
      <w:r w:rsidRPr="000D4651">
        <w:rPr>
          <w:rFonts w:ascii="Palatino Linotype" w:hAnsi="Palatino Linotype"/>
          <w:i/>
          <w:sz w:val="22"/>
        </w:rPr>
        <w:t xml:space="preserve">El Órgano Superior de Fiscalización del Estado de México, podrá formular la querella correspondiente, respecto de los hechos u omisiones a que se refiere esta fracción y que conozca con motivo del ejercicio de sus funciones, en términos de las disposiciones jurídicas aplicables. </w:t>
      </w:r>
    </w:p>
    <w:p w14:paraId="1B6CFFB4" w14:textId="028036EF" w:rsidR="00946F49" w:rsidRPr="000D4651" w:rsidRDefault="00946F49" w:rsidP="00946F49">
      <w:pPr>
        <w:spacing w:line="360" w:lineRule="auto"/>
        <w:ind w:left="567" w:right="616"/>
        <w:jc w:val="both"/>
        <w:rPr>
          <w:rFonts w:ascii="Palatino Linotype" w:hAnsi="Palatino Linotype"/>
          <w:i/>
          <w:sz w:val="22"/>
        </w:rPr>
      </w:pPr>
      <w:r w:rsidRPr="000D4651">
        <w:rPr>
          <w:rFonts w:ascii="Palatino Linotype" w:hAnsi="Palatino Linotype"/>
          <w:i/>
          <w:sz w:val="22"/>
        </w:rPr>
        <w:t>II. La autoridad fiscal facultada para ello declare que la Hacienda Pública Estatal o Municipal ha sufrido o pudo sufrir daño o perjuicio, mediante la declaratoria correspondiente, misma que podrá cuantificar o no el monto de la defraudación, según las circunstancias que prevalezcan sobre la contribución omitida.</w:t>
      </w:r>
    </w:p>
    <w:p w14:paraId="4EB91A6B" w14:textId="77777777" w:rsidR="00946F49" w:rsidRPr="000D4651" w:rsidRDefault="00946F49" w:rsidP="000A6EF0">
      <w:pPr>
        <w:spacing w:line="360" w:lineRule="auto"/>
        <w:jc w:val="both"/>
      </w:pPr>
    </w:p>
    <w:p w14:paraId="2A175E69" w14:textId="1D33A64A" w:rsidR="00946F49" w:rsidRPr="000D4651" w:rsidRDefault="00946F49" w:rsidP="00946F49">
      <w:pPr>
        <w:spacing w:line="360" w:lineRule="auto"/>
        <w:jc w:val="both"/>
        <w:rPr>
          <w:rFonts w:ascii="Palatino Linotype" w:eastAsia="Palatino Linotype" w:hAnsi="Palatino Linotype" w:cs="Palatino Linotype"/>
          <w:sz w:val="22"/>
          <w:szCs w:val="22"/>
        </w:rPr>
      </w:pPr>
      <w:r w:rsidRPr="000D4651">
        <w:rPr>
          <w:rFonts w:ascii="Palatino Linotype" w:eastAsia="Palatino Linotype" w:hAnsi="Palatino Linotype" w:cs="Palatino Linotype"/>
          <w:sz w:val="22"/>
          <w:szCs w:val="22"/>
        </w:rPr>
        <w:t>El Código Financiero del Estado de México y Municipios establece que los delitos fiscales son aquellos que causan algún perjuicio a la hacienda pública municipal y para proceder penalmente por dichos delitos, será necesario que la autoridad facultada formule la querella correspondiente.</w:t>
      </w:r>
    </w:p>
    <w:p w14:paraId="617F3534" w14:textId="77777777" w:rsidR="00946F49" w:rsidRPr="000D4651" w:rsidRDefault="00946F49" w:rsidP="00946F49">
      <w:pPr>
        <w:spacing w:line="360" w:lineRule="auto"/>
        <w:jc w:val="both"/>
        <w:rPr>
          <w:rFonts w:ascii="Palatino Linotype" w:eastAsia="Palatino Linotype" w:hAnsi="Palatino Linotype" w:cs="Palatino Linotype"/>
          <w:sz w:val="22"/>
          <w:szCs w:val="22"/>
        </w:rPr>
      </w:pPr>
    </w:p>
    <w:p w14:paraId="6829014D" w14:textId="1B865F33" w:rsidR="00946F49" w:rsidRPr="000D4651" w:rsidRDefault="00946F49" w:rsidP="00946F49">
      <w:pPr>
        <w:spacing w:line="360" w:lineRule="auto"/>
        <w:jc w:val="both"/>
        <w:rPr>
          <w:rFonts w:ascii="Palatino Linotype" w:eastAsia="Palatino Linotype" w:hAnsi="Palatino Linotype" w:cs="Palatino Linotype"/>
          <w:sz w:val="22"/>
          <w:szCs w:val="22"/>
        </w:rPr>
      </w:pPr>
      <w:r w:rsidRPr="000D4651">
        <w:rPr>
          <w:rFonts w:ascii="Palatino Linotype" w:eastAsia="Palatino Linotype" w:hAnsi="Palatino Linotype" w:cs="Palatino Linotype"/>
          <w:sz w:val="22"/>
          <w:szCs w:val="22"/>
        </w:rPr>
        <w:lastRenderedPageBreak/>
        <w:t>Dicho lo anterior, es necesario traer a contexto el artículo 33 del Reglamento Interno de la Secretaría de Finanzas, el cual establece lo siguiente:</w:t>
      </w:r>
    </w:p>
    <w:p w14:paraId="2A8E8B3B" w14:textId="77777777" w:rsidR="00946F49" w:rsidRPr="000D4651" w:rsidRDefault="00946F49" w:rsidP="00946F49">
      <w:pPr>
        <w:spacing w:line="360" w:lineRule="auto"/>
        <w:ind w:left="567" w:right="616"/>
        <w:jc w:val="both"/>
        <w:rPr>
          <w:rFonts w:ascii="Palatino Linotype" w:hAnsi="Palatino Linotype"/>
          <w:i/>
          <w:sz w:val="22"/>
        </w:rPr>
      </w:pPr>
    </w:p>
    <w:p w14:paraId="39802C27" w14:textId="58FE763F" w:rsidR="00946F49" w:rsidRPr="000D4651" w:rsidRDefault="00946F49" w:rsidP="00946F49">
      <w:pPr>
        <w:spacing w:line="360" w:lineRule="auto"/>
        <w:ind w:left="567" w:right="616"/>
        <w:jc w:val="both"/>
        <w:rPr>
          <w:rFonts w:ascii="Palatino Linotype" w:hAnsi="Palatino Linotype"/>
          <w:i/>
          <w:sz w:val="22"/>
        </w:rPr>
      </w:pPr>
      <w:r w:rsidRPr="000D4651">
        <w:rPr>
          <w:rFonts w:ascii="Palatino Linotype" w:hAnsi="Palatino Linotype"/>
          <w:i/>
          <w:sz w:val="22"/>
        </w:rPr>
        <w:t>Artículo 33. Corresponde a la Procuraduría Fiscal el ejercicio de las siguientes atribuciones:</w:t>
      </w:r>
    </w:p>
    <w:p w14:paraId="350B3B75" w14:textId="450B8A5F" w:rsidR="00946F49" w:rsidRPr="000D4651" w:rsidRDefault="00946F49" w:rsidP="00946F49">
      <w:pPr>
        <w:spacing w:line="360" w:lineRule="auto"/>
        <w:ind w:left="567" w:right="616"/>
        <w:jc w:val="both"/>
        <w:rPr>
          <w:rFonts w:ascii="Palatino Linotype" w:hAnsi="Palatino Linotype"/>
          <w:i/>
          <w:sz w:val="22"/>
        </w:rPr>
      </w:pPr>
      <w:r w:rsidRPr="000D4651">
        <w:rPr>
          <w:rFonts w:ascii="Palatino Linotype" w:hAnsi="Palatino Linotype"/>
          <w:i/>
          <w:sz w:val="22"/>
        </w:rPr>
        <w:t>…</w:t>
      </w:r>
    </w:p>
    <w:p w14:paraId="66C83F2B" w14:textId="57530ACA" w:rsidR="00946F49" w:rsidRPr="000D4651" w:rsidRDefault="00946F49" w:rsidP="00946F49">
      <w:pPr>
        <w:spacing w:line="360" w:lineRule="auto"/>
        <w:ind w:left="567" w:right="616"/>
        <w:jc w:val="both"/>
        <w:rPr>
          <w:rFonts w:ascii="Palatino Linotype" w:hAnsi="Palatino Linotype"/>
          <w:i/>
          <w:sz w:val="22"/>
        </w:rPr>
      </w:pPr>
      <w:r w:rsidRPr="000D4651">
        <w:rPr>
          <w:rFonts w:ascii="Palatino Linotype" w:hAnsi="Palatino Linotype"/>
          <w:b/>
          <w:i/>
          <w:sz w:val="22"/>
        </w:rPr>
        <w:t>IV. Formular y presentar a nombre de la Secretaría, las denuncias y querellas cuando se afecten los intereses de la hacienda pública estatal, por la posible comisión de hechos delictuosos, ante el Ministerio Público, así como coadyuvar con éste</w:t>
      </w:r>
      <w:r w:rsidRPr="000D4651">
        <w:rPr>
          <w:rFonts w:ascii="Palatino Linotype" w:hAnsi="Palatino Linotype"/>
          <w:i/>
          <w:sz w:val="22"/>
        </w:rPr>
        <w:t>;</w:t>
      </w:r>
    </w:p>
    <w:p w14:paraId="27D1D4A1" w14:textId="66CDD658" w:rsidR="00946F49" w:rsidRPr="000D4651" w:rsidRDefault="00946F49" w:rsidP="00946F49">
      <w:pPr>
        <w:spacing w:line="360" w:lineRule="auto"/>
        <w:ind w:left="567" w:right="616"/>
        <w:jc w:val="both"/>
        <w:rPr>
          <w:rFonts w:ascii="Palatino Linotype" w:hAnsi="Palatino Linotype"/>
          <w:i/>
          <w:sz w:val="22"/>
        </w:rPr>
      </w:pPr>
      <w:r w:rsidRPr="000D4651">
        <w:rPr>
          <w:rFonts w:ascii="Palatino Linotype" w:hAnsi="Palatino Linotype"/>
          <w:i/>
          <w:sz w:val="22"/>
        </w:rPr>
        <w:t>…</w:t>
      </w:r>
    </w:p>
    <w:p w14:paraId="01A4E316" w14:textId="77777777" w:rsidR="00946F49" w:rsidRPr="000D4651" w:rsidRDefault="00946F49" w:rsidP="00946F49">
      <w:pPr>
        <w:spacing w:line="360" w:lineRule="auto"/>
        <w:ind w:left="567" w:right="616"/>
        <w:jc w:val="both"/>
      </w:pPr>
    </w:p>
    <w:p w14:paraId="712B90C7" w14:textId="693C17A2" w:rsidR="00946F49" w:rsidRPr="000D4651" w:rsidRDefault="00946F49" w:rsidP="000A6EF0">
      <w:pPr>
        <w:spacing w:line="360" w:lineRule="auto"/>
        <w:jc w:val="both"/>
        <w:rPr>
          <w:rFonts w:ascii="Palatino Linotype" w:eastAsia="Palatino Linotype" w:hAnsi="Palatino Linotype" w:cs="Palatino Linotype"/>
          <w:sz w:val="22"/>
          <w:szCs w:val="22"/>
        </w:rPr>
      </w:pPr>
      <w:r w:rsidRPr="000D4651">
        <w:rPr>
          <w:rFonts w:ascii="Palatino Linotype" w:eastAsia="Palatino Linotype" w:hAnsi="Palatino Linotype" w:cs="Palatino Linotype"/>
          <w:sz w:val="22"/>
          <w:szCs w:val="22"/>
        </w:rPr>
        <w:t xml:space="preserve">Es así que, </w:t>
      </w:r>
      <w:r w:rsidR="008876C5" w:rsidRPr="000D4651">
        <w:rPr>
          <w:rFonts w:ascii="Palatino Linotype" w:eastAsia="Palatino Linotype" w:hAnsi="Palatino Linotype" w:cs="Palatino Linotype"/>
          <w:sz w:val="22"/>
          <w:szCs w:val="22"/>
        </w:rPr>
        <w:t>como se ha referido, para proceder penalmente por los delitos fiscales, es necesario que se presente una querella y, por lo que corresponde a la Secretaría de Finanzas, esta atribución está a cargo de la Procuraduría Fiscal, siendo en este caso el área que se pronunció en sentido de que no se ha generado la información.</w:t>
      </w:r>
    </w:p>
    <w:p w14:paraId="11DBDAD6" w14:textId="77777777" w:rsidR="008876C5" w:rsidRPr="000D4651" w:rsidRDefault="008876C5" w:rsidP="000A6EF0">
      <w:pPr>
        <w:spacing w:line="360" w:lineRule="auto"/>
        <w:jc w:val="both"/>
        <w:rPr>
          <w:rFonts w:ascii="Palatino Linotype" w:eastAsia="Palatino Linotype" w:hAnsi="Palatino Linotype" w:cs="Palatino Linotype"/>
          <w:sz w:val="22"/>
          <w:szCs w:val="22"/>
        </w:rPr>
      </w:pPr>
    </w:p>
    <w:p w14:paraId="25208DFE" w14:textId="48E3DAF1" w:rsidR="00F3043B" w:rsidRPr="000D4651" w:rsidRDefault="00F3043B" w:rsidP="00F3043B">
      <w:pPr>
        <w:spacing w:before="240" w:after="240" w:line="360" w:lineRule="auto"/>
        <w:jc w:val="both"/>
        <w:rPr>
          <w:rFonts w:ascii="Palatino Linotype" w:eastAsia="Palatino Linotype" w:hAnsi="Palatino Linotype" w:cs="Palatino Linotype"/>
          <w:sz w:val="22"/>
          <w:szCs w:val="22"/>
        </w:rPr>
      </w:pPr>
      <w:r w:rsidRPr="000D4651">
        <w:rPr>
          <w:rFonts w:ascii="Palatino Linotype" w:eastAsia="Palatino Linotype" w:hAnsi="Palatino Linotype" w:cs="Palatino Linotype"/>
          <w:sz w:val="22"/>
          <w:szCs w:val="22"/>
        </w:rPr>
        <w:t>En mérito de lo expuesto, resulta importante señalar que de la revisión al expediente electrónico se advierte que la unidad de transparencia turnó la solicitud a las siguientes áreas:</w:t>
      </w:r>
    </w:p>
    <w:p w14:paraId="6C448918" w14:textId="59CB312E" w:rsidR="00F3043B" w:rsidRPr="000D4651" w:rsidRDefault="008876C5" w:rsidP="00240E05">
      <w:pPr>
        <w:pStyle w:val="Prrafodelista"/>
        <w:numPr>
          <w:ilvl w:val="0"/>
          <w:numId w:val="4"/>
        </w:numPr>
        <w:pBdr>
          <w:top w:val="nil"/>
          <w:left w:val="nil"/>
          <w:bottom w:val="nil"/>
          <w:right w:val="nil"/>
          <w:between w:val="nil"/>
        </w:pBdr>
        <w:spacing w:line="360" w:lineRule="auto"/>
        <w:ind w:right="49"/>
        <w:jc w:val="both"/>
        <w:rPr>
          <w:rFonts w:ascii="Palatino Linotype" w:eastAsia="Palatino Linotype" w:hAnsi="Palatino Linotype" w:cs="Palatino Linotype"/>
          <w:b/>
          <w:bCs/>
          <w:lang w:eastAsia="es-MX"/>
        </w:rPr>
      </w:pPr>
      <w:r w:rsidRPr="000D4651">
        <w:rPr>
          <w:rFonts w:ascii="Palatino Linotype" w:eastAsia="Palatino Linotype" w:hAnsi="Palatino Linotype" w:cs="Palatino Linotype"/>
          <w:b/>
          <w:bCs/>
          <w:lang w:eastAsia="es-MX"/>
        </w:rPr>
        <w:t>Procuraduría Fiscal</w:t>
      </w:r>
      <w:r w:rsidR="00F3043B" w:rsidRPr="000D4651">
        <w:rPr>
          <w:rFonts w:ascii="Palatino Linotype" w:eastAsia="Palatino Linotype" w:hAnsi="Palatino Linotype" w:cs="Palatino Linotype"/>
          <w:b/>
          <w:bCs/>
          <w:lang w:eastAsia="es-MX"/>
        </w:rPr>
        <w:t>.</w:t>
      </w:r>
    </w:p>
    <w:p w14:paraId="1C4C4C64" w14:textId="77777777" w:rsidR="00F3043B" w:rsidRPr="000D4651" w:rsidRDefault="00F3043B" w:rsidP="00F3043B">
      <w:pPr>
        <w:spacing w:before="240" w:after="240" w:line="360" w:lineRule="auto"/>
        <w:jc w:val="both"/>
        <w:rPr>
          <w:rFonts w:ascii="Palatino Linotype" w:eastAsia="Palatino Linotype" w:hAnsi="Palatino Linotype" w:cs="Palatino Linotype"/>
          <w:sz w:val="22"/>
          <w:szCs w:val="22"/>
        </w:rPr>
      </w:pPr>
      <w:r w:rsidRPr="000D4651">
        <w:rPr>
          <w:rFonts w:ascii="Palatino Linotype" w:eastAsia="Palatino Linotype" w:hAnsi="Palatino Linotype" w:cs="Palatino Linotype"/>
          <w:sz w:val="22"/>
          <w:szCs w:val="22"/>
        </w:rPr>
        <w:t xml:space="preserve">Siguiendo con ello el procedimiento para la atención a las solicitudes de acceso a la información, establecido en los artículos 151, 160, 162, 163, 164, 165 y 166, de la Ley de Transparencia y Acceso a la Información Pública del Estado de México y Municipios: </w:t>
      </w:r>
    </w:p>
    <w:p w14:paraId="361B56BF" w14:textId="77777777" w:rsidR="00F3043B" w:rsidRPr="000D4651" w:rsidRDefault="00F3043B" w:rsidP="00F3043B">
      <w:pPr>
        <w:spacing w:after="240" w:line="360" w:lineRule="auto"/>
        <w:jc w:val="both"/>
        <w:rPr>
          <w:rFonts w:ascii="Palatino Linotype" w:eastAsia="Palatino Linotype" w:hAnsi="Palatino Linotype" w:cs="Palatino Linotype"/>
          <w:sz w:val="22"/>
          <w:szCs w:val="22"/>
        </w:rPr>
      </w:pPr>
      <w:r w:rsidRPr="000D4651">
        <w:rPr>
          <w:rFonts w:ascii="Palatino Linotype" w:eastAsia="Palatino Linotype" w:hAnsi="Palatino Linotype" w:cs="Palatino Linotype"/>
          <w:sz w:val="22"/>
          <w:szCs w:val="22"/>
        </w:rPr>
        <w:lastRenderedPageBreak/>
        <w:t xml:space="preserve">• Las Unidades de Transparencia de los sujetos obligados deben garantizar las medidas y condiciones de accesibilidad para que toda persona pueda ejercer el derecho de acceso a la información; por lo que, son las responsables de hacer las notificaciones correspondientes, además de llevar a cabo todas las gestiones necesarias para facilitar el acceso de la información; </w:t>
      </w:r>
    </w:p>
    <w:p w14:paraId="51DB9CA0" w14:textId="77777777" w:rsidR="00F3043B" w:rsidRPr="000D4651" w:rsidRDefault="00F3043B" w:rsidP="00F3043B">
      <w:pPr>
        <w:spacing w:after="240" w:line="360" w:lineRule="auto"/>
        <w:jc w:val="both"/>
        <w:rPr>
          <w:rFonts w:ascii="Palatino Linotype" w:eastAsia="Palatino Linotype" w:hAnsi="Palatino Linotype" w:cs="Palatino Linotype"/>
          <w:sz w:val="22"/>
          <w:szCs w:val="22"/>
        </w:rPr>
      </w:pPr>
      <w:r w:rsidRPr="000D4651">
        <w:rPr>
          <w:rFonts w:ascii="Palatino Linotype" w:eastAsia="Palatino Linotype" w:hAnsi="Palatino Linotype" w:cs="Palatino Linotype"/>
          <w:sz w:val="22"/>
          <w:szCs w:val="22"/>
        </w:rPr>
        <w:t xml:space="preserve">• La respuesta a los requerimientos informativos, deberá notificarse al interesado en el menor tiempo posible, que no podrá exceder de quince días hábiles, contados a partir del día siguiente a la presentación de esta. </w:t>
      </w:r>
    </w:p>
    <w:p w14:paraId="71148BA6" w14:textId="77777777" w:rsidR="00F3043B" w:rsidRPr="000D4651" w:rsidRDefault="00F3043B" w:rsidP="00F3043B">
      <w:pPr>
        <w:spacing w:after="240" w:line="360" w:lineRule="auto"/>
        <w:jc w:val="both"/>
        <w:rPr>
          <w:rFonts w:ascii="Palatino Linotype" w:eastAsia="Palatino Linotype" w:hAnsi="Palatino Linotype" w:cs="Palatino Linotype"/>
          <w:sz w:val="22"/>
          <w:szCs w:val="22"/>
        </w:rPr>
      </w:pPr>
      <w:r w:rsidRPr="000D4651">
        <w:rPr>
          <w:rFonts w:ascii="Palatino Linotype" w:eastAsia="Palatino Linotype" w:hAnsi="Palatino Linotype" w:cs="Palatino Linotype"/>
          <w:sz w:val="22"/>
          <w:szCs w:val="22"/>
        </w:rPr>
        <w:t xml:space="preserve">Excepcionalmente, el plazo referido podrá ampliarse por siete días hábiles más, cuando existan razones fundadas y motivadas, a través del Comité de Transparencia; </w:t>
      </w:r>
    </w:p>
    <w:p w14:paraId="3C3E643A" w14:textId="77777777" w:rsidR="00F3043B" w:rsidRPr="000D4651" w:rsidRDefault="00F3043B" w:rsidP="00F3043B">
      <w:pPr>
        <w:spacing w:after="240" w:line="360" w:lineRule="auto"/>
        <w:jc w:val="both"/>
        <w:rPr>
          <w:rFonts w:ascii="Palatino Linotype" w:eastAsia="Palatino Linotype" w:hAnsi="Palatino Linotype" w:cs="Palatino Linotype"/>
          <w:sz w:val="22"/>
          <w:szCs w:val="22"/>
        </w:rPr>
      </w:pPr>
      <w:r w:rsidRPr="000D4651">
        <w:rPr>
          <w:rFonts w:ascii="Palatino Linotype" w:eastAsia="Palatino Linotype" w:hAnsi="Palatino Linotype" w:cs="Palatino Linotype"/>
          <w:sz w:val="22"/>
          <w:szCs w:val="22"/>
        </w:rPr>
        <w:t xml:space="preserve">• 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 </w:t>
      </w:r>
    </w:p>
    <w:p w14:paraId="4097E7E7" w14:textId="77777777" w:rsidR="00F3043B" w:rsidRPr="000D4651" w:rsidRDefault="00F3043B" w:rsidP="00F3043B">
      <w:pPr>
        <w:spacing w:after="240" w:line="360" w:lineRule="auto"/>
        <w:jc w:val="both"/>
        <w:rPr>
          <w:rFonts w:ascii="Palatino Linotype" w:eastAsia="Palatino Linotype" w:hAnsi="Palatino Linotype" w:cs="Palatino Linotype"/>
          <w:sz w:val="22"/>
          <w:szCs w:val="22"/>
        </w:rPr>
      </w:pPr>
      <w:r w:rsidRPr="000D4651">
        <w:rPr>
          <w:rFonts w:ascii="Palatino Linotype" w:eastAsia="Palatino Linotype" w:hAnsi="Palatino Linotype" w:cs="Palatino Linotype"/>
          <w:sz w:val="22"/>
          <w:szCs w:val="22"/>
        </w:rPr>
        <w:t xml:space="preserve">• El acceso se dará en la modalidad de entrega y en su caso, de envío elegido por la solicitante, cuando no pueda entregarse en dicha modalidad, el Sujeto Obligado deberá ofrecer otras; por lo cual, deberá fundar y motivar la necesidad de modificar el medio de entrega; y </w:t>
      </w:r>
    </w:p>
    <w:p w14:paraId="1EA852CD" w14:textId="07C4A4A1" w:rsidR="00F3043B" w:rsidRPr="000D4651" w:rsidRDefault="00F3043B" w:rsidP="00F3043B">
      <w:pPr>
        <w:spacing w:after="240" w:line="360" w:lineRule="auto"/>
        <w:jc w:val="both"/>
        <w:rPr>
          <w:rFonts w:ascii="Palatino Linotype" w:eastAsia="Palatino Linotype" w:hAnsi="Palatino Linotype" w:cs="Palatino Linotype"/>
          <w:sz w:val="22"/>
          <w:szCs w:val="22"/>
        </w:rPr>
      </w:pPr>
      <w:r w:rsidRPr="000D4651">
        <w:rPr>
          <w:rFonts w:ascii="Palatino Linotype" w:eastAsia="Palatino Linotype" w:hAnsi="Palatino Linotype" w:cs="Palatino Linotype"/>
          <w:sz w:val="22"/>
          <w:szCs w:val="22"/>
        </w:rPr>
        <w:t xml:space="preserve">• Las Unidades de Transparencia, tendrán disponible la información requerida durante un plazo mínimo de sesenta días hábiles, contados a partir de que la solicitante hubiere realizado, en su caso, el pago respectivo, el cual deberá efectuarse en un plazo no mayor a treinta días hábiles; por lo que, una vez transcurrida dicha temporalidad, los Sujetos </w:t>
      </w:r>
      <w:r w:rsidRPr="000D4651">
        <w:rPr>
          <w:rFonts w:ascii="Palatino Linotype" w:eastAsia="Palatino Linotype" w:hAnsi="Palatino Linotype" w:cs="Palatino Linotype"/>
          <w:sz w:val="22"/>
          <w:szCs w:val="22"/>
        </w:rPr>
        <w:lastRenderedPageBreak/>
        <w:t>Obligados darán por concluida la solicitud y procederán de ser el caso, a la destrucción del material;</w:t>
      </w:r>
      <w:r w:rsidR="005159A0" w:rsidRPr="000D4651">
        <w:rPr>
          <w:rFonts w:ascii="Palatino Linotype" w:eastAsia="Palatino Linotype" w:hAnsi="Palatino Linotype" w:cs="Palatino Linotype"/>
          <w:sz w:val="22"/>
          <w:szCs w:val="22"/>
        </w:rPr>
        <w:t xml:space="preserve"> </w:t>
      </w:r>
    </w:p>
    <w:p w14:paraId="4B8157D4" w14:textId="5DB008E2" w:rsidR="00342439" w:rsidRPr="000D4651" w:rsidRDefault="00F3043B" w:rsidP="00F3043B">
      <w:pPr>
        <w:spacing w:line="360" w:lineRule="auto"/>
        <w:jc w:val="both"/>
        <w:rPr>
          <w:rFonts w:ascii="Palatino Linotype" w:eastAsia="Palatino Linotype" w:hAnsi="Palatino Linotype" w:cs="Palatino Linotype"/>
          <w:sz w:val="22"/>
          <w:szCs w:val="22"/>
        </w:rPr>
      </w:pPr>
      <w:r w:rsidRPr="000D4651">
        <w:rPr>
          <w:rFonts w:ascii="Palatino Linotype" w:eastAsia="Palatino Linotype" w:hAnsi="Palatino Linotype" w:cs="Palatino Linotype"/>
          <w:sz w:val="22"/>
          <w:szCs w:val="22"/>
        </w:rPr>
        <w:t xml:space="preserve">En este orden de ideas, se reitera que la Unidad de Transparencia turnó la solicitud de información a la </w:t>
      </w:r>
      <w:r w:rsidR="008876C5" w:rsidRPr="000D4651">
        <w:rPr>
          <w:rFonts w:ascii="Palatino Linotype" w:eastAsia="Palatino Linotype" w:hAnsi="Palatino Linotype" w:cs="Palatino Linotype"/>
          <w:sz w:val="22"/>
          <w:szCs w:val="22"/>
        </w:rPr>
        <w:t>Procuraduría Fiscal</w:t>
      </w:r>
      <w:r w:rsidRPr="000D4651">
        <w:rPr>
          <w:rFonts w:ascii="Palatino Linotype" w:eastAsia="Palatino Linotype" w:hAnsi="Palatino Linotype" w:cs="Palatino Linotype"/>
          <w:sz w:val="22"/>
          <w:szCs w:val="22"/>
        </w:rPr>
        <w:t xml:space="preserve">, la cual cuenta con atribuciones para generar, administrar o poseer la información requerida; conforme al </w:t>
      </w:r>
      <w:r w:rsidR="008876C5" w:rsidRPr="000D4651">
        <w:rPr>
          <w:rFonts w:ascii="Palatino Linotype" w:eastAsia="Palatino Linotype" w:hAnsi="Palatino Linotype" w:cs="Palatino Linotype"/>
          <w:sz w:val="22"/>
          <w:szCs w:val="22"/>
        </w:rPr>
        <w:t xml:space="preserve">artículo 33 del </w:t>
      </w:r>
      <w:r w:rsidRPr="000D4651">
        <w:rPr>
          <w:rFonts w:ascii="Palatino Linotype" w:eastAsia="Palatino Linotype" w:hAnsi="Palatino Linotype" w:cs="Palatino Linotype"/>
          <w:sz w:val="22"/>
          <w:szCs w:val="22"/>
        </w:rPr>
        <w:t>Reglamento Interior del Sujeto Obligado con lo que se acredita que se realizó una correcta búsqueda exhaustiva y razonable de la información.</w:t>
      </w:r>
      <w:r w:rsidR="008876C5" w:rsidRPr="000D4651">
        <w:rPr>
          <w:rFonts w:ascii="Palatino Linotype" w:eastAsia="Palatino Linotype" w:hAnsi="Palatino Linotype" w:cs="Palatino Linotype"/>
          <w:sz w:val="22"/>
          <w:szCs w:val="22"/>
        </w:rPr>
        <w:t xml:space="preserve"> </w:t>
      </w:r>
    </w:p>
    <w:p w14:paraId="0F2CB74B" w14:textId="77777777" w:rsidR="00240E05" w:rsidRPr="000D4651" w:rsidRDefault="00240E05" w:rsidP="00F3043B">
      <w:pPr>
        <w:spacing w:line="360" w:lineRule="auto"/>
        <w:jc w:val="both"/>
        <w:rPr>
          <w:rFonts w:ascii="Palatino Linotype" w:eastAsia="Palatino Linotype" w:hAnsi="Palatino Linotype" w:cs="Palatino Linotype"/>
          <w:sz w:val="22"/>
          <w:szCs w:val="22"/>
        </w:rPr>
      </w:pPr>
    </w:p>
    <w:p w14:paraId="04CB0E93" w14:textId="520A761C" w:rsidR="00240E05" w:rsidRPr="000D4651" w:rsidRDefault="00240E05" w:rsidP="00240E05">
      <w:pPr>
        <w:spacing w:line="360" w:lineRule="auto"/>
        <w:ind w:right="-7"/>
        <w:jc w:val="both"/>
        <w:rPr>
          <w:rFonts w:ascii="Palatino Linotype" w:hAnsi="Palatino Linotype"/>
          <w:sz w:val="22"/>
          <w:szCs w:val="22"/>
        </w:rPr>
      </w:pPr>
      <w:r w:rsidRPr="000D4651">
        <w:rPr>
          <w:rFonts w:ascii="Palatino Linotype" w:hAnsi="Palatino Linotype"/>
          <w:sz w:val="22"/>
          <w:szCs w:val="22"/>
        </w:rPr>
        <w:t>De lo anterior, se advierte que al haber manifestado que no se cuenta con la información porque no se han presentado querellas por los supuestos referidos por el Recurrente, en consecuencia no hay sentencias condenatorias ni absolutorias durante la temporalidad señalada, por lo que se tiene que la facultad no se ha ejercido, actualizando lo que se conoce como hechos negativos.</w:t>
      </w:r>
    </w:p>
    <w:p w14:paraId="3FEF3999" w14:textId="77777777" w:rsidR="00240E05" w:rsidRPr="000D4651" w:rsidRDefault="00240E05" w:rsidP="00240E05">
      <w:pPr>
        <w:spacing w:line="360" w:lineRule="auto"/>
        <w:ind w:right="-7"/>
        <w:jc w:val="both"/>
        <w:rPr>
          <w:rFonts w:ascii="Palatino Linotype" w:hAnsi="Palatino Linotype"/>
          <w:sz w:val="22"/>
          <w:szCs w:val="22"/>
        </w:rPr>
      </w:pPr>
    </w:p>
    <w:p w14:paraId="7B4F4ADA" w14:textId="77777777" w:rsidR="00240E05" w:rsidRPr="000D4651" w:rsidRDefault="00240E05" w:rsidP="00240E05">
      <w:pPr>
        <w:pStyle w:val="Prrafodelista"/>
        <w:spacing w:line="360" w:lineRule="auto"/>
        <w:ind w:left="0"/>
        <w:jc w:val="both"/>
        <w:rPr>
          <w:rFonts w:ascii="Palatino Linotype" w:hAnsi="Palatino Linotype" w:cs="Arial"/>
        </w:rPr>
      </w:pPr>
      <w:r w:rsidRPr="000D4651">
        <w:rPr>
          <w:rFonts w:ascii="Palatino Linotype" w:hAnsi="Palatino Linotype" w:cs="Arial"/>
        </w:rPr>
        <w:t>Lo anterior encuentra sustento con la Jurisprudencia 267,287 y el Criterio 10/2004 emitidos por el Máximo Juzgador del país, Tesis que determinan lo siguiente:</w:t>
      </w:r>
    </w:p>
    <w:p w14:paraId="2BF77460" w14:textId="77777777" w:rsidR="00240E05" w:rsidRPr="000D4651" w:rsidRDefault="00240E05" w:rsidP="00240E05">
      <w:pPr>
        <w:pStyle w:val="Prrafodelista"/>
        <w:rPr>
          <w:rFonts w:ascii="Palatino Linotype" w:hAnsi="Palatino Linotype"/>
          <w:i/>
          <w:iCs/>
        </w:rPr>
      </w:pPr>
    </w:p>
    <w:p w14:paraId="4F383EFF" w14:textId="77777777" w:rsidR="00240E05" w:rsidRPr="000D4651" w:rsidRDefault="00240E05" w:rsidP="00240E05">
      <w:pPr>
        <w:pStyle w:val="Prrafodelista"/>
        <w:tabs>
          <w:tab w:val="left" w:pos="426"/>
        </w:tabs>
        <w:spacing w:before="240" w:after="240"/>
        <w:ind w:left="567" w:right="567"/>
        <w:jc w:val="both"/>
        <w:rPr>
          <w:rFonts w:ascii="Palatino Linotype" w:hAnsi="Palatino Linotype" w:cs="Arial"/>
          <w:i/>
        </w:rPr>
      </w:pPr>
      <w:r w:rsidRPr="000D4651">
        <w:rPr>
          <w:rFonts w:ascii="Palatino Linotype" w:hAnsi="Palatino Linotype" w:cs="Arial"/>
          <w:i/>
        </w:rPr>
        <w:t>“</w:t>
      </w:r>
      <w:r w:rsidRPr="000D4651">
        <w:rPr>
          <w:rFonts w:ascii="Palatino Linotype" w:hAnsi="Palatino Linotype" w:cs="Arial"/>
          <w:b/>
          <w:i/>
        </w:rPr>
        <w:t>HECHOS NEGATIVOS, NO SON SUSCEPTIBLES DE DEMOSTRACION.</w:t>
      </w:r>
      <w:r w:rsidRPr="000D4651">
        <w:rPr>
          <w:rFonts w:ascii="Palatino Linotype" w:hAnsi="Palatino Linotype" w:cs="Arial"/>
          <w:i/>
        </w:rPr>
        <w:t xml:space="preserve"> </w:t>
      </w:r>
      <w:r w:rsidRPr="000D4651">
        <w:rPr>
          <w:rFonts w:ascii="Palatino Linotype" w:hAnsi="Palatino Linotype" w:cs="Arial"/>
          <w:b/>
          <w:i/>
        </w:rPr>
        <w:t xml:space="preserve">Tratándose de un hecho negativo, el Juez no tiene </w:t>
      </w:r>
      <w:proofErr w:type="spellStart"/>
      <w:r w:rsidRPr="000D4651">
        <w:rPr>
          <w:rFonts w:ascii="Palatino Linotype" w:hAnsi="Palatino Linotype" w:cs="Arial"/>
          <w:b/>
          <w:i/>
        </w:rPr>
        <w:t>por que</w:t>
      </w:r>
      <w:proofErr w:type="spellEnd"/>
      <w:r w:rsidRPr="000D4651">
        <w:rPr>
          <w:rFonts w:ascii="Palatino Linotype" w:hAnsi="Palatino Linotype" w:cs="Arial"/>
          <w:b/>
          <w:i/>
        </w:rPr>
        <w:t xml:space="preserve"> invocar prueba alguna de la que se desprenda</w:t>
      </w:r>
      <w:r w:rsidRPr="000D4651">
        <w:rPr>
          <w:rFonts w:ascii="Palatino Linotype" w:hAnsi="Palatino Linotype" w:cs="Arial"/>
          <w:i/>
        </w:rPr>
        <w:t>, ya que es bien sabido que esta clase de hechos no son susceptibles de demostración.”</w:t>
      </w:r>
    </w:p>
    <w:p w14:paraId="3BD59859" w14:textId="77777777" w:rsidR="00240E05" w:rsidRPr="000D4651" w:rsidRDefault="00240E05" w:rsidP="00240E05">
      <w:pPr>
        <w:pStyle w:val="Prrafodelista"/>
        <w:tabs>
          <w:tab w:val="left" w:pos="426"/>
        </w:tabs>
        <w:spacing w:before="240" w:after="240"/>
        <w:ind w:left="567" w:right="567"/>
        <w:jc w:val="both"/>
        <w:rPr>
          <w:rFonts w:ascii="Palatino Linotype" w:hAnsi="Palatino Linotype" w:cs="Arial"/>
          <w:i/>
        </w:rPr>
      </w:pPr>
      <w:r w:rsidRPr="000D4651">
        <w:rPr>
          <w:rFonts w:ascii="Palatino Linotype" w:hAnsi="Palatino Linotype" w:cs="Arial"/>
          <w:i/>
        </w:rPr>
        <w:t>“</w:t>
      </w:r>
      <w:r w:rsidRPr="000D4651">
        <w:rPr>
          <w:rFonts w:ascii="Palatino Linotype" w:hAnsi="Palatino Linotype" w:cs="Arial"/>
          <w:b/>
          <w:i/>
        </w:rPr>
        <w:t>INEXISTENCIA DE LA INFORMACIÓN. EL COMITÉ DE ACCESO A LA INFORMACIÓN PUEDE DECLARARLA ANTE SU EVIDENCIA, SIN NECESIDAD DE DICTAR MEDIDAS PARA SU LOCALIZACIÓN.</w:t>
      </w:r>
      <w:r w:rsidRPr="000D4651">
        <w:rPr>
          <w:rFonts w:ascii="Palatino Linotype" w:hAnsi="Palatino Linotype" w:cs="Arial"/>
          <w:i/>
        </w:rPr>
        <w:t xml:space="preserve"> Los artículos 46 de la Ley Federal de Transparencia y Acceso a la Información Pública Gubernamental y 30, segundo párrafo, del Reglamento de la Suprema Corte de Justicia de la Nación y del Consejo de la Judicatura Federal para la aplicación de la Ley Federal  de Transparencia y Acceso a la Información Pública Gubernamental, disponen que cuando los documentos no se encuentren en los archivos de la respectiva Unidad </w:t>
      </w:r>
      <w:r w:rsidRPr="000D4651">
        <w:rPr>
          <w:rFonts w:ascii="Palatino Linotype" w:hAnsi="Palatino Linotype" w:cs="Arial"/>
          <w:i/>
        </w:rPr>
        <w:lastRenderedPageBreak/>
        <w:t>Administrativa, se deberá remitir al Comité la solicitud de acceso y el oficio donde se manifieste tal circunstancia, para que éste analice el caso y tome las medidas pertinentes para localizar en la Unidad Administrativa correspondiente el documento solicitado y, de no encontrarlo, expida una resolución que confirme la inexistencia del mismo. Ello no obsta para concluir que cua</w:t>
      </w:r>
      <w:r w:rsidRPr="000D4651">
        <w:rPr>
          <w:rFonts w:ascii="Palatino Linotype" w:hAnsi="Palatino Linotype" w:cs="Arial"/>
          <w:b/>
          <w:i/>
        </w:rPr>
        <w:t>ndo la referida Unidad señala, o</w:t>
      </w:r>
      <w:r w:rsidRPr="000D4651">
        <w:rPr>
          <w:rFonts w:ascii="Palatino Linotype" w:hAnsi="Palatino Linotype" w:cs="Arial"/>
          <w:i/>
        </w:rPr>
        <w:t xml:space="preserve"> el mencionado Comité </w:t>
      </w:r>
      <w:r w:rsidRPr="000D4651">
        <w:rPr>
          <w:rFonts w:ascii="Palatino Linotype" w:hAnsi="Palatino Linotype" w:cs="Arial"/>
          <w:b/>
          <w:i/>
        </w:rPr>
        <w:t>advierte que el documento solicitado no existe en virtud de que no tuvo lugar el acto cuya realización supuestamente se reflejó en aquél, resulta innecesario dictar alguna medida para localizar la información respectiva, al evidenciarse su inexistencia.</w:t>
      </w:r>
      <w:r w:rsidRPr="000D4651">
        <w:rPr>
          <w:rFonts w:ascii="Palatino Linotype" w:hAnsi="Palatino Linotype" w:cs="Arial"/>
          <w:i/>
        </w:rPr>
        <w:t>”</w:t>
      </w:r>
    </w:p>
    <w:p w14:paraId="0C4274C3" w14:textId="77777777" w:rsidR="00240E05" w:rsidRPr="000D4651" w:rsidRDefault="00240E05" w:rsidP="00240E05">
      <w:pPr>
        <w:pStyle w:val="Prrafodelista"/>
        <w:tabs>
          <w:tab w:val="left" w:pos="426"/>
        </w:tabs>
        <w:ind w:left="567" w:right="567"/>
        <w:jc w:val="both"/>
        <w:rPr>
          <w:rFonts w:ascii="Palatino Linotype" w:hAnsi="Palatino Linotype" w:cs="Arial"/>
          <w:iCs/>
        </w:rPr>
      </w:pPr>
      <w:r w:rsidRPr="000D4651">
        <w:rPr>
          <w:rFonts w:ascii="Palatino Linotype" w:hAnsi="Palatino Linotype" w:cs="Arial"/>
          <w:iCs/>
        </w:rPr>
        <w:t>(Énfasis añadido)</w:t>
      </w:r>
    </w:p>
    <w:p w14:paraId="6C861BED" w14:textId="77777777" w:rsidR="00240E05" w:rsidRPr="000D4651" w:rsidRDefault="00240E05" w:rsidP="00240E05">
      <w:pPr>
        <w:pStyle w:val="Prrafodelista"/>
        <w:tabs>
          <w:tab w:val="left" w:pos="426"/>
        </w:tabs>
        <w:spacing w:line="360" w:lineRule="auto"/>
        <w:ind w:left="567" w:right="567"/>
        <w:jc w:val="both"/>
        <w:rPr>
          <w:rFonts w:ascii="Palatino Linotype" w:hAnsi="Palatino Linotype" w:cs="Arial"/>
          <w:iCs/>
        </w:rPr>
      </w:pPr>
    </w:p>
    <w:p w14:paraId="6FEA510D" w14:textId="254447CC" w:rsidR="00240E05" w:rsidRPr="000D4651" w:rsidRDefault="00240E05" w:rsidP="00240E05">
      <w:pPr>
        <w:pStyle w:val="Prrafodelista"/>
        <w:tabs>
          <w:tab w:val="left" w:pos="426"/>
        </w:tabs>
        <w:autoSpaceDE w:val="0"/>
        <w:autoSpaceDN w:val="0"/>
        <w:adjustRightInd w:val="0"/>
        <w:spacing w:line="360" w:lineRule="auto"/>
        <w:ind w:left="0" w:right="-28"/>
        <w:jc w:val="both"/>
        <w:rPr>
          <w:rFonts w:ascii="Palatino Linotype" w:hAnsi="Palatino Linotype" w:cs="Arial"/>
        </w:rPr>
      </w:pPr>
      <w:r w:rsidRPr="000D4651">
        <w:rPr>
          <w:rFonts w:ascii="Palatino Linotype" w:hAnsi="Palatino Linotype" w:cs="Arial"/>
          <w:b/>
        </w:rPr>
        <w:t>Razones por las que no ha lugar a ordenar un Acuerdo de Inexistencia</w:t>
      </w:r>
      <w:r w:rsidRPr="000D4651">
        <w:rPr>
          <w:rFonts w:ascii="Palatino Linotype" w:hAnsi="Palatino Linotype" w:cs="Arial"/>
        </w:rPr>
        <w:t>, ya que como lo señaló el Sujeto Obligado, no se cuenta con la información requerida por el particular por el hecho de no haberse generado.</w:t>
      </w:r>
    </w:p>
    <w:p w14:paraId="74C845C4" w14:textId="77777777" w:rsidR="00373E9F" w:rsidRPr="000D4651" w:rsidRDefault="00373E9F" w:rsidP="00240E05">
      <w:pPr>
        <w:pStyle w:val="Prrafodelista"/>
        <w:tabs>
          <w:tab w:val="left" w:pos="426"/>
        </w:tabs>
        <w:autoSpaceDE w:val="0"/>
        <w:autoSpaceDN w:val="0"/>
        <w:adjustRightInd w:val="0"/>
        <w:spacing w:line="360" w:lineRule="auto"/>
        <w:ind w:left="0" w:right="-28"/>
        <w:jc w:val="both"/>
        <w:rPr>
          <w:rFonts w:ascii="Palatino Linotype" w:hAnsi="Palatino Linotype" w:cs="Arial"/>
        </w:rPr>
      </w:pPr>
    </w:p>
    <w:p w14:paraId="6FFDB85F" w14:textId="02744EAA" w:rsidR="00F30EEE" w:rsidRPr="000D4651" w:rsidRDefault="00F30EEE" w:rsidP="00F30EEE">
      <w:pPr>
        <w:pStyle w:val="Prrafodelista"/>
        <w:spacing w:line="360" w:lineRule="auto"/>
        <w:ind w:left="0"/>
        <w:jc w:val="both"/>
        <w:rPr>
          <w:rFonts w:ascii="Palatino Linotype" w:eastAsia="Calibri" w:hAnsi="Palatino Linotype" w:cs="Arial"/>
        </w:rPr>
      </w:pPr>
      <w:r w:rsidRPr="000D4651">
        <w:rPr>
          <w:rFonts w:ascii="Palatino Linotype" w:eastAsia="Calibri" w:hAnsi="Palatino Linotype" w:cs="Arial"/>
        </w:rPr>
        <w:t>En consecuencia, al haber existido un pronunciamiento por el Sujeto Obligado a través de</w:t>
      </w:r>
      <w:r w:rsidR="00240E05" w:rsidRPr="000D4651">
        <w:rPr>
          <w:rFonts w:ascii="Palatino Linotype" w:eastAsia="Calibri" w:hAnsi="Palatino Linotype" w:cs="Arial"/>
        </w:rPr>
        <w:t>l</w:t>
      </w:r>
      <w:r w:rsidRPr="000D4651">
        <w:rPr>
          <w:rFonts w:ascii="Palatino Linotype" w:eastAsia="Calibri" w:hAnsi="Palatino Linotype" w:cs="Arial"/>
        </w:rPr>
        <w:t xml:space="preserve"> </w:t>
      </w:r>
      <w:r w:rsidR="00240E05" w:rsidRPr="000D4651">
        <w:rPr>
          <w:rFonts w:ascii="Palatino Linotype" w:eastAsia="Calibri" w:hAnsi="Palatino Linotype" w:cs="Arial"/>
        </w:rPr>
        <w:t>área competente</w:t>
      </w:r>
      <w:r w:rsidRPr="000D4651">
        <w:rPr>
          <w:rFonts w:ascii="Palatino Linotype" w:eastAsia="Calibri" w:hAnsi="Palatino Linotype" w:cs="Arial"/>
        </w:rPr>
        <w:t xml:space="preserve">,  es que no se puede dudar de la veracidad. </w:t>
      </w:r>
      <w:r w:rsidRPr="000D4651">
        <w:rPr>
          <w:rFonts w:ascii="Palatino Linotype" w:hAnsi="Palatino Linotype"/>
        </w:rPr>
        <w:t xml:space="preserve">Sirve de apoyo a lo anterior por analogía </w:t>
      </w:r>
      <w:r w:rsidRPr="000D4651">
        <w:rPr>
          <w:rFonts w:ascii="Palatino Linotype" w:hAnsi="Palatino Linotype"/>
          <w:b/>
        </w:rPr>
        <w:t xml:space="preserve">el criterio histórico 31-10 </w:t>
      </w:r>
      <w:r w:rsidRPr="000D4651">
        <w:rPr>
          <w:rFonts w:ascii="Palatino Linotype" w:hAnsi="Palatino Linotype"/>
        </w:rPr>
        <w:t xml:space="preserve">emitido por el entonces Instituto Federal de Acceso a la Información y Protección de Datos, que a la letra dice: </w:t>
      </w:r>
    </w:p>
    <w:p w14:paraId="73971815" w14:textId="77777777" w:rsidR="00F30EEE" w:rsidRPr="000D4651" w:rsidRDefault="00F30EEE" w:rsidP="00F30EEE">
      <w:pPr>
        <w:pStyle w:val="Prrafodelista"/>
        <w:tabs>
          <w:tab w:val="left" w:pos="1740"/>
        </w:tabs>
        <w:rPr>
          <w:rFonts w:ascii="Palatino Linotype" w:hAnsi="Palatino Linotype"/>
        </w:rPr>
      </w:pPr>
      <w:r w:rsidRPr="000D4651">
        <w:rPr>
          <w:rFonts w:ascii="Palatino Linotype" w:hAnsi="Palatino Linotype"/>
        </w:rPr>
        <w:tab/>
      </w:r>
    </w:p>
    <w:p w14:paraId="0683DC56" w14:textId="77777777" w:rsidR="00F30EEE" w:rsidRPr="000D4651" w:rsidRDefault="00F30EEE" w:rsidP="00F30EEE">
      <w:pPr>
        <w:autoSpaceDE w:val="0"/>
        <w:autoSpaceDN w:val="0"/>
        <w:adjustRightInd w:val="0"/>
        <w:ind w:left="567" w:right="567"/>
        <w:jc w:val="both"/>
        <w:rPr>
          <w:rFonts w:ascii="Palatino Linotype" w:hAnsi="Palatino Linotype"/>
          <w:i/>
          <w:iCs/>
          <w:sz w:val="22"/>
          <w:szCs w:val="22"/>
        </w:rPr>
      </w:pPr>
      <w:r w:rsidRPr="000D4651">
        <w:rPr>
          <w:rFonts w:ascii="Palatino Linotype" w:hAnsi="Palatino Linotype"/>
          <w:b/>
          <w:i/>
          <w:iCs/>
          <w:sz w:val="22"/>
          <w:szCs w:val="22"/>
        </w:rPr>
        <w:t>El Instituto Federal de Acceso a la Información y Protección de Datos </w:t>
      </w:r>
      <w:r w:rsidRPr="000D4651">
        <w:rPr>
          <w:rFonts w:ascii="Palatino Linotype" w:hAnsi="Palatino Linotype"/>
          <w:b/>
          <w:bCs/>
          <w:i/>
          <w:iCs/>
          <w:sz w:val="22"/>
          <w:szCs w:val="22"/>
        </w:rPr>
        <w:t>no cuenta con facultades para pronunciarse respecto de la veracidad de los documentos proporcionados por los sujetos obligados.</w:t>
      </w:r>
      <w:r w:rsidRPr="000D4651">
        <w:rPr>
          <w:rFonts w:ascii="Palatino Linotype" w:hAnsi="Palatino Linotype"/>
          <w:i/>
          <w:iCs/>
          <w:sz w:val="22"/>
          <w:szCs w:val="22"/>
        </w:rPr>
        <w:t>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0BA888B7" w14:textId="77777777" w:rsidR="00F30EEE" w:rsidRPr="000D4651" w:rsidRDefault="00F30EEE" w:rsidP="00F30EEE">
      <w:pPr>
        <w:pStyle w:val="Prrafodelista"/>
        <w:tabs>
          <w:tab w:val="left" w:pos="284"/>
        </w:tabs>
        <w:spacing w:before="240" w:after="240" w:line="360" w:lineRule="auto"/>
        <w:ind w:left="0" w:right="49"/>
        <w:jc w:val="both"/>
        <w:rPr>
          <w:rFonts w:ascii="Palatino Linotype" w:hAnsi="Palatino Linotype" w:cs="Arial"/>
        </w:rPr>
      </w:pPr>
      <w:r w:rsidRPr="000D4651">
        <w:rPr>
          <w:rFonts w:ascii="Palatino Linotype" w:hAnsi="Palatino Linotype" w:cs="Arial"/>
        </w:rPr>
        <w:lastRenderedPageBreak/>
        <w:t>Este Órgano Garante carece de facultades para dudar de la veracidad sobre la información proporcionada por el Sujeto Obligado, en consecuencia, deben declararse atendidos dichos requerimientos.</w:t>
      </w:r>
    </w:p>
    <w:p w14:paraId="0F4E744A" w14:textId="77777777" w:rsidR="004C090F" w:rsidRPr="000D4651" w:rsidRDefault="004C090F" w:rsidP="004C090F">
      <w:pPr>
        <w:spacing w:before="240" w:after="240" w:line="360" w:lineRule="auto"/>
        <w:jc w:val="both"/>
        <w:rPr>
          <w:rFonts w:ascii="Palatino Linotype" w:eastAsia="Palatino Linotype" w:hAnsi="Palatino Linotype" w:cs="Palatino Linotype"/>
          <w:sz w:val="22"/>
          <w:szCs w:val="22"/>
        </w:rPr>
      </w:pPr>
      <w:r w:rsidRPr="000D4651">
        <w:rPr>
          <w:rFonts w:ascii="Palatino Linotype" w:eastAsia="Palatino Linotype" w:hAnsi="Palatino Linotype" w:cs="Palatino Linotype"/>
          <w:sz w:val="22"/>
          <w:szCs w:val="22"/>
        </w:rPr>
        <w:t>Corolario a lo anterior, se estima que el presente caso actualiza el supuesto previsto en el artículo 192, fracción III de la Ley de Transparencia y Acceso a la Información Pública del Estado de México y Municipios vigente, a saber:</w:t>
      </w:r>
    </w:p>
    <w:p w14:paraId="4FCFFF24" w14:textId="77777777" w:rsidR="004C090F" w:rsidRPr="000D4651" w:rsidRDefault="004C090F" w:rsidP="004C090F">
      <w:pPr>
        <w:spacing w:before="240" w:after="240"/>
        <w:ind w:left="851" w:right="900"/>
        <w:jc w:val="both"/>
        <w:rPr>
          <w:rFonts w:ascii="Palatino Linotype" w:eastAsia="Palatino Linotype" w:hAnsi="Palatino Linotype" w:cs="Palatino Linotype"/>
          <w:i/>
          <w:sz w:val="22"/>
          <w:szCs w:val="22"/>
        </w:rPr>
      </w:pPr>
      <w:r w:rsidRPr="000D4651">
        <w:rPr>
          <w:rFonts w:ascii="Palatino Linotype" w:eastAsia="Palatino Linotype" w:hAnsi="Palatino Linotype" w:cs="Palatino Linotype"/>
          <w:i/>
          <w:sz w:val="22"/>
          <w:szCs w:val="22"/>
        </w:rPr>
        <w:t>“</w:t>
      </w:r>
      <w:r w:rsidRPr="000D4651">
        <w:rPr>
          <w:rFonts w:ascii="Palatino Linotype" w:eastAsia="Palatino Linotype" w:hAnsi="Palatino Linotype" w:cs="Palatino Linotype"/>
          <w:b/>
          <w:i/>
          <w:sz w:val="22"/>
          <w:szCs w:val="22"/>
        </w:rPr>
        <w:t>Artículo 192</w:t>
      </w:r>
      <w:r w:rsidRPr="000D4651">
        <w:rPr>
          <w:rFonts w:ascii="Palatino Linotype" w:eastAsia="Palatino Linotype" w:hAnsi="Palatino Linotype" w:cs="Palatino Linotype"/>
          <w:i/>
          <w:sz w:val="22"/>
          <w:szCs w:val="22"/>
        </w:rPr>
        <w:t xml:space="preserve">. </w:t>
      </w:r>
      <w:r w:rsidRPr="000D4651">
        <w:rPr>
          <w:rFonts w:ascii="Palatino Linotype" w:eastAsia="Palatino Linotype" w:hAnsi="Palatino Linotype" w:cs="Palatino Linotype"/>
          <w:b/>
          <w:i/>
          <w:sz w:val="22"/>
          <w:szCs w:val="22"/>
        </w:rPr>
        <w:t>El recurso será sobreseído</w:t>
      </w:r>
      <w:r w:rsidRPr="000D4651">
        <w:rPr>
          <w:rFonts w:ascii="Palatino Linotype" w:eastAsia="Palatino Linotype" w:hAnsi="Palatino Linotype" w:cs="Palatino Linotype"/>
          <w:i/>
          <w:sz w:val="22"/>
          <w:szCs w:val="22"/>
        </w:rPr>
        <w:t xml:space="preserve">, </w:t>
      </w:r>
      <w:r w:rsidRPr="000D4651">
        <w:rPr>
          <w:rFonts w:ascii="Palatino Linotype" w:eastAsia="Palatino Linotype" w:hAnsi="Palatino Linotype" w:cs="Palatino Linotype"/>
          <w:b/>
          <w:i/>
          <w:sz w:val="22"/>
          <w:szCs w:val="22"/>
        </w:rPr>
        <w:t>en todo o en parte,</w:t>
      </w:r>
      <w:r w:rsidRPr="000D4651">
        <w:rPr>
          <w:rFonts w:ascii="Palatino Linotype" w:eastAsia="Palatino Linotype" w:hAnsi="Palatino Linotype" w:cs="Palatino Linotype"/>
          <w:i/>
          <w:sz w:val="22"/>
          <w:szCs w:val="22"/>
        </w:rPr>
        <w:t xml:space="preserve"> </w:t>
      </w:r>
      <w:r w:rsidRPr="000D4651">
        <w:rPr>
          <w:rFonts w:ascii="Palatino Linotype" w:eastAsia="Palatino Linotype" w:hAnsi="Palatino Linotype" w:cs="Palatino Linotype"/>
          <w:b/>
          <w:i/>
          <w:sz w:val="22"/>
          <w:szCs w:val="22"/>
        </w:rPr>
        <w:t>cuando una vez admitido, se actualicen alguno de los siguientes supuestos</w:t>
      </w:r>
      <w:r w:rsidRPr="000D4651">
        <w:rPr>
          <w:rFonts w:ascii="Palatino Linotype" w:eastAsia="Palatino Linotype" w:hAnsi="Palatino Linotype" w:cs="Palatino Linotype"/>
          <w:i/>
          <w:sz w:val="22"/>
          <w:szCs w:val="22"/>
        </w:rPr>
        <w:t xml:space="preserve">: </w:t>
      </w:r>
    </w:p>
    <w:p w14:paraId="797BF41F" w14:textId="77777777" w:rsidR="004C090F" w:rsidRPr="000D4651" w:rsidRDefault="004C090F" w:rsidP="004C090F">
      <w:pPr>
        <w:spacing w:before="240" w:after="240"/>
        <w:ind w:left="1134" w:right="900"/>
        <w:jc w:val="both"/>
        <w:rPr>
          <w:rFonts w:ascii="Palatino Linotype" w:eastAsia="Palatino Linotype" w:hAnsi="Palatino Linotype" w:cs="Palatino Linotype"/>
          <w:i/>
          <w:sz w:val="22"/>
          <w:szCs w:val="22"/>
        </w:rPr>
      </w:pPr>
      <w:r w:rsidRPr="000D4651">
        <w:rPr>
          <w:rFonts w:ascii="Palatino Linotype" w:eastAsia="Palatino Linotype" w:hAnsi="Palatino Linotype" w:cs="Palatino Linotype"/>
          <w:i/>
          <w:sz w:val="22"/>
          <w:szCs w:val="22"/>
        </w:rPr>
        <w:t>(…)</w:t>
      </w:r>
    </w:p>
    <w:p w14:paraId="2351469E" w14:textId="77777777" w:rsidR="004C090F" w:rsidRPr="000D4651" w:rsidRDefault="004C090F" w:rsidP="004C090F">
      <w:pPr>
        <w:spacing w:before="240" w:after="240"/>
        <w:ind w:left="1134" w:right="900"/>
        <w:jc w:val="both"/>
        <w:rPr>
          <w:rFonts w:ascii="Palatino Linotype" w:eastAsia="Palatino Linotype" w:hAnsi="Palatino Linotype" w:cs="Palatino Linotype"/>
          <w:i/>
          <w:sz w:val="22"/>
          <w:szCs w:val="22"/>
        </w:rPr>
      </w:pPr>
      <w:r w:rsidRPr="000D4651">
        <w:rPr>
          <w:rFonts w:ascii="Palatino Linotype" w:eastAsia="Palatino Linotype" w:hAnsi="Palatino Linotype" w:cs="Palatino Linotype"/>
          <w:b/>
          <w:i/>
          <w:sz w:val="22"/>
          <w:szCs w:val="22"/>
        </w:rPr>
        <w:t>III. El sujeto obligado responsable del acto, lo modifique o revoque de tal manera que el recurso de revisión quede sin materia...</w:t>
      </w:r>
      <w:r w:rsidRPr="000D4651">
        <w:rPr>
          <w:rFonts w:ascii="Palatino Linotype" w:eastAsia="Palatino Linotype" w:hAnsi="Palatino Linotype" w:cs="Palatino Linotype"/>
          <w:i/>
          <w:sz w:val="22"/>
          <w:szCs w:val="22"/>
        </w:rPr>
        <w:t>”</w:t>
      </w:r>
    </w:p>
    <w:p w14:paraId="000EF0E5" w14:textId="77777777" w:rsidR="004C090F" w:rsidRPr="000D4651" w:rsidRDefault="004C090F" w:rsidP="004C090F">
      <w:pPr>
        <w:spacing w:before="240" w:after="240" w:line="360" w:lineRule="auto"/>
        <w:jc w:val="both"/>
        <w:rPr>
          <w:rFonts w:ascii="Palatino Linotype" w:eastAsia="Palatino Linotype" w:hAnsi="Palatino Linotype" w:cs="Palatino Linotype"/>
          <w:sz w:val="22"/>
          <w:szCs w:val="22"/>
        </w:rPr>
      </w:pPr>
      <w:r w:rsidRPr="000D4651">
        <w:rPr>
          <w:rFonts w:ascii="Palatino Linotype" w:eastAsia="Palatino Linotype" w:hAnsi="Palatino Linotype" w:cs="Palatino Linotype"/>
          <w:sz w:val="22"/>
          <w:szCs w:val="22"/>
        </w:rPr>
        <w:t>De lo establecido en el precepto legal citado se advierte que el sobreseimiento del recurso de revisión procede en los siguientes casos</w:t>
      </w:r>
    </w:p>
    <w:p w14:paraId="583C3E55" w14:textId="77777777" w:rsidR="004C090F" w:rsidRPr="000D4651" w:rsidRDefault="004C090F" w:rsidP="004C090F">
      <w:pPr>
        <w:spacing w:before="240" w:after="240" w:line="360" w:lineRule="auto"/>
        <w:ind w:left="284"/>
        <w:jc w:val="both"/>
        <w:rPr>
          <w:rFonts w:ascii="Palatino Linotype" w:eastAsia="Palatino Linotype" w:hAnsi="Palatino Linotype" w:cs="Palatino Linotype"/>
          <w:sz w:val="22"/>
          <w:szCs w:val="22"/>
        </w:rPr>
      </w:pPr>
      <w:r w:rsidRPr="000D4651">
        <w:rPr>
          <w:rFonts w:ascii="Palatino Linotype" w:eastAsia="Palatino Linotype" w:hAnsi="Palatino Linotype" w:cs="Palatino Linotype"/>
          <w:sz w:val="22"/>
          <w:szCs w:val="22"/>
        </w:rPr>
        <w:t xml:space="preserve">a) Cuando el sujeto obligado modifique el acto impugnado. </w:t>
      </w:r>
    </w:p>
    <w:p w14:paraId="1A30251D" w14:textId="77777777" w:rsidR="004C090F" w:rsidRPr="000D4651" w:rsidRDefault="004C090F" w:rsidP="004C090F">
      <w:pPr>
        <w:spacing w:before="240" w:after="240" w:line="360" w:lineRule="auto"/>
        <w:ind w:left="284"/>
        <w:jc w:val="both"/>
        <w:rPr>
          <w:rFonts w:ascii="Palatino Linotype" w:eastAsia="Palatino Linotype" w:hAnsi="Palatino Linotype" w:cs="Palatino Linotype"/>
          <w:sz w:val="22"/>
          <w:szCs w:val="22"/>
        </w:rPr>
      </w:pPr>
      <w:r w:rsidRPr="000D4651">
        <w:rPr>
          <w:rFonts w:ascii="Palatino Linotype" w:eastAsia="Palatino Linotype" w:hAnsi="Palatino Linotype" w:cs="Palatino Linotype"/>
          <w:sz w:val="22"/>
          <w:szCs w:val="22"/>
        </w:rPr>
        <w:t xml:space="preserve">b) Cuando el sujeto obligado revoque el acto impugnado; </w:t>
      </w:r>
    </w:p>
    <w:p w14:paraId="440C8FAB" w14:textId="77777777" w:rsidR="004C090F" w:rsidRPr="000D4651" w:rsidRDefault="004C090F" w:rsidP="004C090F">
      <w:pPr>
        <w:spacing w:before="240" w:after="240" w:line="360" w:lineRule="auto"/>
        <w:jc w:val="both"/>
        <w:rPr>
          <w:rFonts w:ascii="Palatino Linotype" w:eastAsia="Palatino Linotype" w:hAnsi="Palatino Linotype" w:cs="Palatino Linotype"/>
          <w:sz w:val="22"/>
          <w:szCs w:val="22"/>
        </w:rPr>
      </w:pPr>
      <w:r w:rsidRPr="000D4651">
        <w:rPr>
          <w:rFonts w:ascii="Palatino Linotype" w:eastAsia="Palatino Linotype" w:hAnsi="Palatino Linotype" w:cs="Palatino Linotype"/>
          <w:sz w:val="22"/>
          <w:szCs w:val="22"/>
        </w:rPr>
        <w:t>Quedando en ambos casos el acto combatido sin materia o sin efectos.</w:t>
      </w:r>
    </w:p>
    <w:p w14:paraId="30F06D90" w14:textId="77777777" w:rsidR="004C090F" w:rsidRPr="000D4651" w:rsidRDefault="004C090F" w:rsidP="004C090F">
      <w:pPr>
        <w:spacing w:before="240" w:after="240" w:line="360" w:lineRule="auto"/>
        <w:jc w:val="both"/>
        <w:rPr>
          <w:rFonts w:ascii="Palatino Linotype" w:eastAsia="Palatino Linotype" w:hAnsi="Palatino Linotype" w:cs="Palatino Linotype"/>
          <w:b/>
          <w:sz w:val="22"/>
          <w:szCs w:val="22"/>
        </w:rPr>
      </w:pPr>
      <w:r w:rsidRPr="000D4651">
        <w:rPr>
          <w:rFonts w:ascii="Palatino Linotype" w:eastAsia="Palatino Linotype" w:hAnsi="Palatino Linotype" w:cs="Palatino Linotype"/>
          <w:sz w:val="22"/>
          <w:szCs w:val="22"/>
        </w:rPr>
        <w:t>Como se observa de lo anterior, un acto impugnado es modificado en aquellos casos en los que el Sujeto Obligado después de haber otorgado una respuesta, o haber omitido hacerlo (acto de no hacer), emite una o una diversa de manera posterior y en esta subsana las deficiencias que hubiera tenido, quedando satisfecho el derecho subjetivo accionado por la parte Recurrente</w:t>
      </w:r>
      <w:r w:rsidRPr="000D4651">
        <w:rPr>
          <w:rFonts w:ascii="Palatino Linotype" w:eastAsia="Palatino Linotype" w:hAnsi="Palatino Linotype" w:cs="Palatino Linotype"/>
          <w:b/>
          <w:sz w:val="22"/>
          <w:szCs w:val="22"/>
        </w:rPr>
        <w:t>.</w:t>
      </w:r>
    </w:p>
    <w:p w14:paraId="12A7EA02" w14:textId="77777777" w:rsidR="004C090F" w:rsidRPr="000D4651" w:rsidRDefault="004C090F" w:rsidP="004C090F">
      <w:pPr>
        <w:spacing w:before="240" w:after="240" w:line="360" w:lineRule="auto"/>
        <w:jc w:val="both"/>
        <w:rPr>
          <w:rFonts w:ascii="Palatino Linotype" w:eastAsia="Palatino Linotype" w:hAnsi="Palatino Linotype" w:cs="Palatino Linotype"/>
          <w:sz w:val="22"/>
          <w:szCs w:val="22"/>
        </w:rPr>
      </w:pPr>
      <w:r w:rsidRPr="000D4651">
        <w:rPr>
          <w:rFonts w:ascii="Palatino Linotype" w:eastAsia="Palatino Linotype" w:hAnsi="Palatino Linotype" w:cs="Palatino Linotype"/>
          <w:sz w:val="22"/>
          <w:szCs w:val="22"/>
        </w:rPr>
        <w:t xml:space="preserve">Por lo que hace a la revocación, esta se actualiza cuando el Sujeto Obligado deja sin efectos la primera respuesta o su primer acto y en su lugar emite otro con las características y </w:t>
      </w:r>
      <w:r w:rsidRPr="000D4651">
        <w:rPr>
          <w:rFonts w:ascii="Palatino Linotype" w:eastAsia="Palatino Linotype" w:hAnsi="Palatino Linotype" w:cs="Palatino Linotype"/>
          <w:sz w:val="22"/>
          <w:szCs w:val="22"/>
        </w:rPr>
        <w:lastRenderedPageBreak/>
        <w:t>cualidades suficientes para dejar satisfecho el ejercicio del derecho al acceso a la información pública.</w:t>
      </w:r>
    </w:p>
    <w:p w14:paraId="4EC90726" w14:textId="77777777" w:rsidR="004C090F" w:rsidRPr="000D4651" w:rsidRDefault="004C090F" w:rsidP="004C090F">
      <w:pPr>
        <w:spacing w:before="240" w:after="240" w:line="360" w:lineRule="auto"/>
        <w:jc w:val="both"/>
        <w:rPr>
          <w:rFonts w:ascii="Palatino Linotype" w:eastAsia="Palatino Linotype" w:hAnsi="Palatino Linotype" w:cs="Palatino Linotype"/>
          <w:sz w:val="22"/>
          <w:szCs w:val="22"/>
        </w:rPr>
      </w:pPr>
      <w:r w:rsidRPr="000D4651">
        <w:rPr>
          <w:rFonts w:ascii="Palatino Linotype" w:eastAsia="Palatino Linotype" w:hAnsi="Palatino Linotype" w:cs="Palatino Linotype"/>
          <w:sz w:val="22"/>
          <w:szCs w:val="22"/>
        </w:rPr>
        <w:t>En este orden de ideas, un acto impugnado queda sin efectos, cuando aun existiendo jurídicamente (esto es, que no se ha modificado, ni revocado) ya no genera ninguna consecuencia legal.</w:t>
      </w:r>
    </w:p>
    <w:p w14:paraId="11240E08" w14:textId="77777777" w:rsidR="004C090F" w:rsidRPr="000D4651" w:rsidRDefault="004C090F" w:rsidP="004C090F">
      <w:pPr>
        <w:spacing w:before="240" w:after="240" w:line="360" w:lineRule="auto"/>
        <w:jc w:val="both"/>
        <w:rPr>
          <w:rFonts w:ascii="Palatino Linotype" w:eastAsia="Palatino Linotype" w:hAnsi="Palatino Linotype" w:cs="Palatino Linotype"/>
          <w:sz w:val="22"/>
          <w:szCs w:val="22"/>
        </w:rPr>
      </w:pPr>
      <w:r w:rsidRPr="000D4651">
        <w:rPr>
          <w:rFonts w:ascii="Palatino Linotype" w:eastAsia="Palatino Linotype" w:hAnsi="Palatino Linotype" w:cs="Palatino Linotype"/>
          <w:sz w:val="22"/>
          <w:szCs w:val="22"/>
        </w:rPr>
        <w:t>En tanto que, un acto impugnado queda sin materia, cuando ha sido satisfecha la pretensión de la parte Recurrente de manera que el Sujeto Obligado entrega una respuesta, aunque sea posterior a los términos previstos en la ley y mediante ésta concede la información solicitada.</w:t>
      </w:r>
    </w:p>
    <w:p w14:paraId="2F3AF87D" w14:textId="77777777" w:rsidR="004C090F" w:rsidRPr="000D4651" w:rsidRDefault="004C090F" w:rsidP="004C090F">
      <w:pPr>
        <w:spacing w:before="240" w:after="240" w:line="360" w:lineRule="auto"/>
        <w:jc w:val="both"/>
        <w:rPr>
          <w:rFonts w:ascii="Palatino Linotype" w:eastAsia="Palatino Linotype" w:hAnsi="Palatino Linotype" w:cs="Palatino Linotype"/>
          <w:sz w:val="22"/>
          <w:szCs w:val="22"/>
        </w:rPr>
      </w:pPr>
      <w:r w:rsidRPr="000D4651">
        <w:rPr>
          <w:rFonts w:ascii="Palatino Linotype" w:eastAsia="Palatino Linotype" w:hAnsi="Palatino Linotype" w:cs="Palatino Linotype"/>
          <w:sz w:val="22"/>
          <w:szCs w:val="22"/>
        </w:rPr>
        <w:t xml:space="preserve">Con base en los argumentos expuestos, resulta evidente que en el presente asunto, el </w:t>
      </w:r>
      <w:r w:rsidRPr="000D4651">
        <w:rPr>
          <w:rFonts w:ascii="Palatino Linotype" w:eastAsia="Palatino Linotype" w:hAnsi="Palatino Linotype" w:cs="Palatino Linotype"/>
          <w:b/>
          <w:sz w:val="22"/>
          <w:szCs w:val="22"/>
        </w:rPr>
        <w:t>Sujeto Obligado</w:t>
      </w:r>
      <w:r w:rsidRPr="000D4651">
        <w:rPr>
          <w:rFonts w:ascii="Palatino Linotype" w:eastAsia="Palatino Linotype" w:hAnsi="Palatino Linotype" w:cs="Palatino Linotype"/>
          <w:sz w:val="22"/>
          <w:szCs w:val="22"/>
        </w:rPr>
        <w:t xml:space="preserve"> modificó la respuesta a la solicitud de la persona solicitante, aunque ello haya sido de manera posterior a su respuesta inicial, información que se hizo su conocimiento con la finalidad de que manifestara lo que a su derecho estimara conveniente, sin que obre constancia en el expediente electrónico de que hubiera ejercido dicha prerrogativa hasta el momento de decretar el cierre de instrucción correspondiente. </w:t>
      </w:r>
    </w:p>
    <w:p w14:paraId="045B9401" w14:textId="77777777" w:rsidR="004C090F" w:rsidRPr="000D4651" w:rsidRDefault="004C090F" w:rsidP="004C090F">
      <w:pPr>
        <w:spacing w:before="240" w:after="240" w:line="360" w:lineRule="auto"/>
        <w:jc w:val="both"/>
        <w:rPr>
          <w:rFonts w:ascii="Palatino Linotype" w:eastAsia="Palatino Linotype" w:hAnsi="Palatino Linotype" w:cs="Palatino Linotype"/>
          <w:sz w:val="22"/>
          <w:szCs w:val="22"/>
        </w:rPr>
      </w:pPr>
      <w:r w:rsidRPr="000D4651">
        <w:rPr>
          <w:rFonts w:ascii="Palatino Linotype" w:eastAsia="Palatino Linotype" w:hAnsi="Palatino Linotype" w:cs="Palatino Linotype"/>
          <w:sz w:val="22"/>
          <w:szCs w:val="22"/>
        </w:rPr>
        <w:t xml:space="preserve">Es así que se concluye que la información remitida por el </w:t>
      </w:r>
      <w:r w:rsidRPr="000D4651">
        <w:rPr>
          <w:rFonts w:ascii="Palatino Linotype" w:eastAsia="Palatino Linotype" w:hAnsi="Palatino Linotype" w:cs="Palatino Linotype"/>
          <w:b/>
          <w:sz w:val="22"/>
          <w:szCs w:val="22"/>
        </w:rPr>
        <w:t xml:space="preserve">Sujeto Obligado </w:t>
      </w:r>
      <w:r w:rsidRPr="000D4651">
        <w:rPr>
          <w:rFonts w:ascii="Palatino Linotype" w:eastAsia="Palatino Linotype" w:hAnsi="Palatino Linotype" w:cs="Palatino Linotype"/>
          <w:sz w:val="22"/>
          <w:szCs w:val="22"/>
        </w:rPr>
        <w:t xml:space="preserve">en la etapa de manifestaciones satisface el requerimiento de información combatido, con lo cual quedó sin materia el presente recurso de revisión, actualizando entonces la causal prevista en la fracción III del artículo 192 de la Ley de la Materia vigente en la Entidad, antes transcrita. </w:t>
      </w:r>
    </w:p>
    <w:p w14:paraId="48498D81" w14:textId="77777777" w:rsidR="004C090F" w:rsidRPr="000D4651" w:rsidRDefault="004C090F" w:rsidP="004C090F">
      <w:pPr>
        <w:spacing w:before="240" w:after="240" w:line="360" w:lineRule="auto"/>
        <w:jc w:val="both"/>
        <w:rPr>
          <w:rFonts w:ascii="Palatino Linotype" w:eastAsia="Palatino Linotype" w:hAnsi="Palatino Linotype" w:cs="Palatino Linotype"/>
          <w:b/>
          <w:sz w:val="22"/>
          <w:szCs w:val="22"/>
        </w:rPr>
      </w:pPr>
      <w:r w:rsidRPr="000D4651">
        <w:rPr>
          <w:rFonts w:ascii="Palatino Linotype" w:eastAsia="Palatino Linotype" w:hAnsi="Palatino Linotype" w:cs="Palatino Linotype"/>
          <w:sz w:val="22"/>
          <w:szCs w:val="22"/>
        </w:rPr>
        <w:t xml:space="preserve">Siendo el </w:t>
      </w:r>
      <w:r w:rsidRPr="000D4651">
        <w:rPr>
          <w:rFonts w:ascii="Palatino Linotype" w:eastAsia="Palatino Linotype" w:hAnsi="Palatino Linotype" w:cs="Palatino Linotype"/>
          <w:i/>
          <w:sz w:val="22"/>
          <w:szCs w:val="22"/>
        </w:rPr>
        <w:t>sobreseimiento</w:t>
      </w:r>
      <w:r w:rsidRPr="000D4651">
        <w:rPr>
          <w:rFonts w:ascii="Palatino Linotype" w:eastAsia="Palatino Linotype" w:hAnsi="Palatino Linotype" w:cs="Palatino Linotype"/>
          <w:sz w:val="22"/>
          <w:szCs w:val="22"/>
        </w:rPr>
        <w:t xml:space="preserve"> un acto que da por terminado el procedimiento administrativo de impugnación por alguna causa sobreviniente en el juicio de que se trate, que impide a la autoridad referirse a lo sustancial de lo planteado por el recurrente teniendo como consecuencia dar por concluido el medio de impugnación, este Instituto se encuentra imposibilitado para entrar al estudio de fondo del recurso de revisión, lo anterior con apoyo </w:t>
      </w:r>
      <w:r w:rsidRPr="000D4651">
        <w:rPr>
          <w:rFonts w:ascii="Palatino Linotype" w:eastAsia="Palatino Linotype" w:hAnsi="Palatino Linotype" w:cs="Palatino Linotype"/>
          <w:sz w:val="22"/>
          <w:szCs w:val="22"/>
        </w:rPr>
        <w:lastRenderedPageBreak/>
        <w:t xml:space="preserve">en el criterio del Poder Judicial de la Federación con rubro: </w:t>
      </w:r>
      <w:r w:rsidRPr="000D4651">
        <w:rPr>
          <w:rFonts w:ascii="Palatino Linotype" w:eastAsia="Palatino Linotype" w:hAnsi="Palatino Linotype" w:cs="Palatino Linotype"/>
          <w:b/>
          <w:sz w:val="22"/>
          <w:szCs w:val="22"/>
        </w:rPr>
        <w:t>SOBRESEIMIENTO, NO PERMITE ENTRAR AL ESTUDIO DE LAS CUESTIONES DE FONDO</w:t>
      </w:r>
      <w:r w:rsidRPr="000D4651">
        <w:rPr>
          <w:rFonts w:ascii="Palatino Linotype" w:eastAsia="Palatino Linotype" w:hAnsi="Palatino Linotype" w:cs="Palatino Linotype"/>
          <w:b/>
          <w:sz w:val="22"/>
          <w:szCs w:val="22"/>
          <w:vertAlign w:val="superscript"/>
        </w:rPr>
        <w:footnoteReference w:id="1"/>
      </w:r>
      <w:r w:rsidRPr="000D4651">
        <w:rPr>
          <w:rFonts w:ascii="Palatino Linotype" w:eastAsia="Palatino Linotype" w:hAnsi="Palatino Linotype" w:cs="Palatino Linotype"/>
          <w:b/>
          <w:sz w:val="22"/>
          <w:szCs w:val="22"/>
        </w:rPr>
        <w:t>.</w:t>
      </w:r>
    </w:p>
    <w:p w14:paraId="2034E9CD" w14:textId="3A1758D1" w:rsidR="00373E9F" w:rsidRPr="000D4651" w:rsidRDefault="00373E9F" w:rsidP="00373E9F">
      <w:pPr>
        <w:spacing w:before="240" w:after="240" w:line="360" w:lineRule="auto"/>
        <w:jc w:val="both"/>
        <w:rPr>
          <w:rFonts w:ascii="Palatino Linotype" w:eastAsia="Palatino Linotype" w:hAnsi="Palatino Linotype" w:cs="Palatino Linotype"/>
          <w:b/>
          <w:sz w:val="22"/>
          <w:szCs w:val="22"/>
        </w:rPr>
      </w:pPr>
      <w:r w:rsidRPr="000D4651">
        <w:rPr>
          <w:rFonts w:ascii="Palatino Linotype" w:eastAsia="Palatino Linotype" w:hAnsi="Palatino Linotype" w:cs="Palatino Linotype"/>
          <w:sz w:val="22"/>
          <w:szCs w:val="22"/>
        </w:rPr>
        <w:t>Por último y no menos importante, es necesario realizar un pronunciamiento respecto a los puntos 7 y 8,</w:t>
      </w:r>
      <w:r w:rsidRPr="000D4651">
        <w:rPr>
          <w:rFonts w:ascii="Palatino Linotype" w:eastAsia="Palatino Linotype" w:hAnsi="Palatino Linotype" w:cs="Palatino Linotype"/>
          <w:b/>
          <w:sz w:val="22"/>
          <w:szCs w:val="22"/>
        </w:rPr>
        <w:t xml:space="preserve"> </w:t>
      </w:r>
      <w:r w:rsidRPr="000D4651">
        <w:rPr>
          <w:rFonts w:ascii="Palatino Linotype" w:hAnsi="Palatino Linotype" w:cs="Arial"/>
        </w:rPr>
        <w:t>los cuales refieren lo siguiente:</w:t>
      </w:r>
    </w:p>
    <w:p w14:paraId="208ADC5C" w14:textId="77777777" w:rsidR="00373E9F" w:rsidRPr="000D4651" w:rsidRDefault="00373E9F" w:rsidP="00373E9F">
      <w:pPr>
        <w:pStyle w:val="Prrafodelista"/>
        <w:numPr>
          <w:ilvl w:val="0"/>
          <w:numId w:val="17"/>
        </w:numPr>
        <w:tabs>
          <w:tab w:val="left" w:pos="426"/>
        </w:tabs>
        <w:autoSpaceDE w:val="0"/>
        <w:autoSpaceDN w:val="0"/>
        <w:adjustRightInd w:val="0"/>
        <w:spacing w:line="360" w:lineRule="auto"/>
        <w:ind w:right="-28"/>
        <w:jc w:val="both"/>
        <w:rPr>
          <w:rFonts w:ascii="Palatino Linotype" w:hAnsi="Palatino Linotype" w:cs="Arial"/>
        </w:rPr>
      </w:pPr>
      <w:r w:rsidRPr="000D4651">
        <w:rPr>
          <w:rFonts w:ascii="Palatino Linotype" w:hAnsi="Palatino Linotype" w:cs="Arial"/>
        </w:rPr>
        <w:t xml:space="preserve">7.- En los procesos penales instruidos por los delitos contemplados en los artículos 365 y 367 del Código Financiero Del Estado De México y Municipios, ¿la Secretaría de Finanzas y de Administración del Estado interviene como víctima u ofendido? </w:t>
      </w:r>
    </w:p>
    <w:p w14:paraId="0A347A6F" w14:textId="77777777" w:rsidR="00373E9F" w:rsidRPr="000D4651" w:rsidRDefault="00373E9F" w:rsidP="00373E9F">
      <w:pPr>
        <w:pStyle w:val="Prrafodelista"/>
        <w:numPr>
          <w:ilvl w:val="0"/>
          <w:numId w:val="17"/>
        </w:numPr>
        <w:tabs>
          <w:tab w:val="left" w:pos="426"/>
        </w:tabs>
        <w:autoSpaceDE w:val="0"/>
        <w:autoSpaceDN w:val="0"/>
        <w:adjustRightInd w:val="0"/>
        <w:spacing w:line="360" w:lineRule="auto"/>
        <w:ind w:right="-28"/>
        <w:jc w:val="both"/>
        <w:rPr>
          <w:rFonts w:ascii="Palatino Linotype" w:hAnsi="Palatino Linotype" w:cs="Arial"/>
        </w:rPr>
      </w:pPr>
      <w:r w:rsidRPr="000D4651">
        <w:rPr>
          <w:rFonts w:ascii="Palatino Linotype" w:hAnsi="Palatino Linotype" w:cs="Arial"/>
        </w:rPr>
        <w:t>8.- En relación con la pregunta anterior, si la Secretaría de Finanzas y de Administración del Estado no interviene como víctima u ofendido, ¿en qué calidad interviene?</w:t>
      </w:r>
    </w:p>
    <w:p w14:paraId="2CB7220B" w14:textId="77777777" w:rsidR="00373E9F" w:rsidRPr="000D4651" w:rsidRDefault="00373E9F" w:rsidP="00373E9F">
      <w:pPr>
        <w:pStyle w:val="Prrafodelista"/>
        <w:spacing w:line="360" w:lineRule="auto"/>
        <w:ind w:left="0"/>
        <w:jc w:val="both"/>
        <w:rPr>
          <w:rFonts w:ascii="Palatino Linotype" w:eastAsia="Calibri" w:hAnsi="Palatino Linotype" w:cs="Arial"/>
        </w:rPr>
      </w:pPr>
    </w:p>
    <w:p w14:paraId="6D079533" w14:textId="4BC61B2E" w:rsidR="00373E9F" w:rsidRPr="000D4651" w:rsidRDefault="00373E9F" w:rsidP="00373E9F">
      <w:pPr>
        <w:pStyle w:val="Prrafodelista"/>
        <w:spacing w:line="360" w:lineRule="auto"/>
        <w:ind w:left="0"/>
        <w:jc w:val="both"/>
        <w:rPr>
          <w:rFonts w:ascii="Palatino Linotype" w:eastAsia="Calibri" w:hAnsi="Palatino Linotype" w:cs="Arial"/>
        </w:rPr>
      </w:pPr>
      <w:r w:rsidRPr="000D4651">
        <w:rPr>
          <w:rFonts w:ascii="Palatino Linotype" w:eastAsia="Calibri" w:hAnsi="Palatino Linotype" w:cs="Arial"/>
        </w:rPr>
        <w:t>El Sujeto Obligado indicó que el punto 7 es inatendible ya que al no existir procesos penales la Secretaría de Finanzas no interviene en los mismos, correspondiendo de igual forma a un hecho negativo, mientras que del punto 8 refirió que es inatendible porque corresponde a un cuestionamiento.</w:t>
      </w:r>
    </w:p>
    <w:p w14:paraId="1D7BE7DE" w14:textId="77777777" w:rsidR="00F41978" w:rsidRPr="000D4651" w:rsidRDefault="00F41978" w:rsidP="00373E9F">
      <w:pPr>
        <w:pStyle w:val="Prrafodelista"/>
        <w:spacing w:line="360" w:lineRule="auto"/>
        <w:ind w:left="0"/>
        <w:jc w:val="both"/>
        <w:rPr>
          <w:rFonts w:ascii="Palatino Linotype" w:eastAsia="Calibri" w:hAnsi="Palatino Linotype" w:cs="Arial"/>
        </w:rPr>
      </w:pPr>
    </w:p>
    <w:p w14:paraId="2F2FBD73" w14:textId="3D33A873" w:rsidR="00F41978" w:rsidRPr="000D4651" w:rsidRDefault="00F41978" w:rsidP="00F41978">
      <w:pPr>
        <w:spacing w:line="360" w:lineRule="auto"/>
        <w:jc w:val="both"/>
        <w:rPr>
          <w:rFonts w:ascii="Palatino Linotype" w:eastAsia="Palatino Linotype" w:hAnsi="Palatino Linotype" w:cs="Palatino Linotype"/>
          <w:i/>
          <w:sz w:val="22"/>
          <w:szCs w:val="22"/>
        </w:rPr>
      </w:pPr>
      <w:r w:rsidRPr="000D4651">
        <w:rPr>
          <w:rFonts w:ascii="Palatino Linotype" w:eastAsia="Palatino Linotype" w:hAnsi="Palatino Linotype" w:cs="Palatino Linotype"/>
          <w:sz w:val="22"/>
          <w:szCs w:val="22"/>
        </w:rPr>
        <w:t xml:space="preserve">Este Organismo Garante determina que dichos requerimientos corresponden a un derecho de petición o una consulta. A efecto de sustentar lo anterior, es preciso mencionar que David Cienfuegos Salgado, concibe al derecho de petición como </w:t>
      </w:r>
      <w:r w:rsidRPr="000D4651">
        <w:rPr>
          <w:rFonts w:ascii="Palatino Linotype" w:eastAsia="Palatino Linotype" w:hAnsi="Palatino Linotype" w:cs="Palatino Linotype"/>
          <w:i/>
          <w:sz w:val="22"/>
          <w:szCs w:val="22"/>
        </w:rPr>
        <w:t>“</w:t>
      </w:r>
      <w:r w:rsidRPr="000D4651">
        <w:rPr>
          <w:rFonts w:ascii="Palatino Linotype" w:eastAsia="Palatino Linotype" w:hAnsi="Palatino Linotype" w:cs="Palatino Linotype"/>
          <w:b/>
          <w:i/>
          <w:sz w:val="22"/>
          <w:szCs w:val="22"/>
          <w:u w:val="single"/>
        </w:rPr>
        <w:t>el derecho de toda persona a ser escuchado por quienes ejercen el poder público</w:t>
      </w:r>
      <w:r w:rsidRPr="000D4651">
        <w:rPr>
          <w:rFonts w:ascii="Palatino Linotype" w:eastAsia="Palatino Linotype" w:hAnsi="Palatino Linotype" w:cs="Palatino Linotype"/>
          <w:i/>
          <w:sz w:val="22"/>
          <w:szCs w:val="22"/>
        </w:rPr>
        <w:t xml:space="preserve">”  </w:t>
      </w:r>
    </w:p>
    <w:p w14:paraId="55839E52" w14:textId="77777777" w:rsidR="00F41978" w:rsidRPr="000D4651" w:rsidRDefault="00F41978" w:rsidP="00F41978">
      <w:pPr>
        <w:spacing w:line="360" w:lineRule="auto"/>
        <w:jc w:val="both"/>
        <w:rPr>
          <w:rFonts w:ascii="Palatino Linotype" w:eastAsia="Palatino Linotype" w:hAnsi="Palatino Linotype" w:cs="Palatino Linotype"/>
          <w:i/>
          <w:sz w:val="22"/>
          <w:szCs w:val="22"/>
        </w:rPr>
      </w:pPr>
    </w:p>
    <w:p w14:paraId="355D9CD0" w14:textId="77777777" w:rsidR="00F41978" w:rsidRPr="000D4651" w:rsidRDefault="00F41978" w:rsidP="00F41978">
      <w:pPr>
        <w:spacing w:line="360" w:lineRule="auto"/>
        <w:jc w:val="both"/>
        <w:rPr>
          <w:rFonts w:ascii="Palatino Linotype" w:eastAsia="Palatino Linotype" w:hAnsi="Palatino Linotype" w:cs="Palatino Linotype"/>
          <w:sz w:val="22"/>
          <w:szCs w:val="22"/>
        </w:rPr>
      </w:pPr>
      <w:r w:rsidRPr="000D4651">
        <w:rPr>
          <w:rFonts w:ascii="Palatino Linotype" w:eastAsia="Palatino Linotype" w:hAnsi="Palatino Linotype" w:cs="Palatino Linotype"/>
          <w:sz w:val="22"/>
          <w:szCs w:val="22"/>
        </w:rPr>
        <w:lastRenderedPageBreak/>
        <w:t xml:space="preserve">De la misma manera, Miguel Carbonell en su libro </w:t>
      </w:r>
      <w:r w:rsidRPr="000D4651">
        <w:rPr>
          <w:rFonts w:ascii="Palatino Linotype" w:eastAsia="Palatino Linotype" w:hAnsi="Palatino Linotype" w:cs="Palatino Linotype"/>
          <w:i/>
          <w:sz w:val="22"/>
          <w:szCs w:val="22"/>
        </w:rPr>
        <w:t xml:space="preserve">“Los derechos fundamentales” </w:t>
      </w:r>
      <w:r w:rsidRPr="000D4651">
        <w:rPr>
          <w:rFonts w:ascii="Palatino Linotype" w:eastAsia="Palatino Linotype" w:hAnsi="Palatino Linotype" w:cs="Palatino Linotype"/>
          <w:sz w:val="22"/>
          <w:szCs w:val="22"/>
        </w:rPr>
        <w:t xml:space="preserve">refiere que el derecho de petición se ha entendido de dos distintitas maneras, a saber: como un derecho fundamental de participación política ya que permite a los particulares trasladar a las autoridades sus </w:t>
      </w:r>
      <w:r w:rsidRPr="000D4651">
        <w:rPr>
          <w:rFonts w:ascii="Palatino Linotype" w:eastAsia="Palatino Linotype" w:hAnsi="Palatino Linotype" w:cs="Palatino Linotype"/>
          <w:b/>
          <w:sz w:val="22"/>
          <w:szCs w:val="22"/>
        </w:rPr>
        <w:t>inquietudes, quejas</w:t>
      </w:r>
      <w:r w:rsidRPr="000D4651">
        <w:rPr>
          <w:rFonts w:ascii="Palatino Linotype" w:eastAsia="Palatino Linotype" w:hAnsi="Palatino Linotype" w:cs="Palatino Linotype"/>
          <w:sz w:val="22"/>
          <w:szCs w:val="22"/>
        </w:rPr>
        <w:t xml:space="preserve">, sugerencias y requerimientos en cualquier materia o asunto; y como una </w:t>
      </w:r>
      <w:r w:rsidRPr="000D4651">
        <w:rPr>
          <w:rFonts w:ascii="Palatino Linotype" w:eastAsia="Palatino Linotype" w:hAnsi="Palatino Linotype" w:cs="Palatino Linotype"/>
          <w:b/>
          <w:sz w:val="22"/>
          <w:szCs w:val="22"/>
        </w:rPr>
        <w:t>forma específica de la libertad de expresión</w:t>
      </w:r>
      <w:r w:rsidRPr="000D4651">
        <w:rPr>
          <w:rFonts w:ascii="Palatino Linotype" w:eastAsia="Palatino Linotype" w:hAnsi="Palatino Linotype" w:cs="Palatino Linotype"/>
          <w:sz w:val="22"/>
          <w:szCs w:val="22"/>
        </w:rPr>
        <w:t xml:space="preserve">, en tanto que permite expresarse frente a las autoridades. </w:t>
      </w:r>
    </w:p>
    <w:p w14:paraId="6355960D" w14:textId="77777777" w:rsidR="00F41978" w:rsidRPr="000D4651" w:rsidRDefault="00F41978" w:rsidP="00F41978">
      <w:pPr>
        <w:spacing w:line="360" w:lineRule="auto"/>
        <w:jc w:val="both"/>
        <w:rPr>
          <w:rFonts w:ascii="Palatino Linotype" w:eastAsia="Palatino Linotype" w:hAnsi="Palatino Linotype" w:cs="Palatino Linotype"/>
          <w:sz w:val="22"/>
          <w:szCs w:val="22"/>
        </w:rPr>
      </w:pPr>
    </w:p>
    <w:p w14:paraId="656A5D4B" w14:textId="77777777" w:rsidR="00F41978" w:rsidRPr="000D4651" w:rsidRDefault="00F41978" w:rsidP="00F41978">
      <w:pPr>
        <w:spacing w:line="360" w:lineRule="auto"/>
        <w:jc w:val="both"/>
        <w:rPr>
          <w:rFonts w:ascii="Palatino Linotype" w:eastAsia="Palatino Linotype" w:hAnsi="Palatino Linotype" w:cs="Palatino Linotype"/>
          <w:sz w:val="22"/>
          <w:szCs w:val="22"/>
        </w:rPr>
      </w:pPr>
      <w:r w:rsidRPr="000D4651">
        <w:rPr>
          <w:rFonts w:ascii="Palatino Linotype" w:eastAsia="Palatino Linotype" w:hAnsi="Palatino Linotype" w:cs="Palatino Linotype"/>
          <w:sz w:val="22"/>
          <w:szCs w:val="22"/>
        </w:rPr>
        <w:t>De igual manera que el derecho de petición se traduce en la obligación de todos los funcionarios y autoridades de permitir a los ciudadanos de dirigirse a ellos en demanda de lo que deseen expresar o solicitar y responder de dicha demanda por escrito, de forma congruente y en un plazo breve.</w:t>
      </w:r>
    </w:p>
    <w:p w14:paraId="3C89E7A7" w14:textId="77777777" w:rsidR="00F41978" w:rsidRPr="000D4651" w:rsidRDefault="00F41978" w:rsidP="00F41978">
      <w:pPr>
        <w:spacing w:line="360" w:lineRule="auto"/>
        <w:jc w:val="both"/>
        <w:rPr>
          <w:rFonts w:ascii="Palatino Linotype" w:eastAsia="Palatino Linotype" w:hAnsi="Palatino Linotype" w:cs="Palatino Linotype"/>
          <w:sz w:val="22"/>
          <w:szCs w:val="22"/>
          <w:vertAlign w:val="superscript"/>
        </w:rPr>
      </w:pPr>
    </w:p>
    <w:p w14:paraId="1188D09B" w14:textId="77777777" w:rsidR="00F41978" w:rsidRPr="000D4651" w:rsidRDefault="00F41978" w:rsidP="00F41978">
      <w:pPr>
        <w:spacing w:line="360" w:lineRule="auto"/>
        <w:jc w:val="both"/>
        <w:rPr>
          <w:rFonts w:ascii="Palatino Linotype" w:eastAsia="Palatino Linotype" w:hAnsi="Palatino Linotype" w:cs="Palatino Linotype"/>
          <w:sz w:val="22"/>
          <w:szCs w:val="22"/>
        </w:rPr>
      </w:pPr>
      <w:r w:rsidRPr="000D4651">
        <w:rPr>
          <w:rFonts w:ascii="Palatino Linotype" w:eastAsia="Palatino Linotype" w:hAnsi="Palatino Linotype" w:cs="Palatino Linotype"/>
          <w:sz w:val="22"/>
          <w:szCs w:val="22"/>
        </w:rPr>
        <w:t xml:space="preserve">Por otro lado, el autor anteriormente citado, indica que el </w:t>
      </w:r>
      <w:r w:rsidRPr="000D4651">
        <w:rPr>
          <w:rFonts w:ascii="Palatino Linotype" w:eastAsia="Palatino Linotype" w:hAnsi="Palatino Linotype" w:cs="Palatino Linotype"/>
          <w:b/>
          <w:sz w:val="22"/>
          <w:szCs w:val="22"/>
        </w:rPr>
        <w:t>derecho de acceso a la información pública</w:t>
      </w:r>
      <w:r w:rsidRPr="000D4651">
        <w:rPr>
          <w:rFonts w:ascii="Palatino Linotype" w:eastAsia="Palatino Linotype" w:hAnsi="Palatino Linotype" w:cs="Palatino Linotype"/>
          <w:sz w:val="22"/>
          <w:szCs w:val="22"/>
        </w:rPr>
        <w:t xml:space="preserve"> es el derecho de conocer la información de carácter público que se genera o está en posesión de los órganos del poder público o de los sujetos que utilizan o se benefician con recursos provenientes del Estado, es el derecho que tienen los ciudadanos para acceder a documentos y datos que obren en el poder del gobierno.</w:t>
      </w:r>
    </w:p>
    <w:p w14:paraId="48B7831B" w14:textId="77777777" w:rsidR="00F41978" w:rsidRPr="000D4651" w:rsidRDefault="00F41978" w:rsidP="00F41978">
      <w:pPr>
        <w:spacing w:line="360" w:lineRule="auto"/>
        <w:jc w:val="both"/>
        <w:rPr>
          <w:rFonts w:ascii="Palatino Linotype" w:eastAsia="Palatino Linotype" w:hAnsi="Palatino Linotype" w:cs="Palatino Linotype"/>
          <w:sz w:val="22"/>
          <w:szCs w:val="22"/>
        </w:rPr>
      </w:pPr>
    </w:p>
    <w:p w14:paraId="432D7082" w14:textId="77777777" w:rsidR="00F41978" w:rsidRPr="000D4651" w:rsidRDefault="00F41978" w:rsidP="00F41978">
      <w:pPr>
        <w:spacing w:line="360" w:lineRule="auto"/>
        <w:jc w:val="both"/>
        <w:rPr>
          <w:rFonts w:ascii="Palatino Linotype" w:eastAsia="Palatino Linotype" w:hAnsi="Palatino Linotype" w:cs="Palatino Linotype"/>
          <w:sz w:val="22"/>
          <w:szCs w:val="22"/>
        </w:rPr>
      </w:pPr>
      <w:r w:rsidRPr="000D4651">
        <w:rPr>
          <w:rFonts w:ascii="Palatino Linotype" w:eastAsia="Palatino Linotype" w:hAnsi="Palatino Linotype" w:cs="Palatino Linotype"/>
          <w:sz w:val="22"/>
          <w:szCs w:val="22"/>
        </w:rPr>
        <w:t>Por su parte Ernesto Villanueva define al derecho de acceso a la información pública como la prerrogativa de la persona para acceder a datos, registros y todo tipo de informaciones en poder de las entidades públicas y empresas privadas que ejercen gasto público o cumplen funciones de autoridad, con las excepciones taxativas que establezca la ley en una sociedad democrática.</w:t>
      </w:r>
    </w:p>
    <w:p w14:paraId="414212ED" w14:textId="77777777" w:rsidR="00F41978" w:rsidRPr="000D4651" w:rsidRDefault="00F41978" w:rsidP="00F41978">
      <w:pPr>
        <w:spacing w:line="360" w:lineRule="auto"/>
        <w:jc w:val="both"/>
        <w:rPr>
          <w:rFonts w:ascii="Palatino Linotype" w:eastAsia="Palatino Linotype" w:hAnsi="Palatino Linotype" w:cs="Palatino Linotype"/>
          <w:sz w:val="22"/>
          <w:szCs w:val="22"/>
        </w:rPr>
      </w:pPr>
    </w:p>
    <w:p w14:paraId="1EDCF6ED" w14:textId="77777777" w:rsidR="00F41978" w:rsidRPr="000D4651" w:rsidRDefault="00F41978" w:rsidP="00F41978">
      <w:pPr>
        <w:spacing w:line="360" w:lineRule="auto"/>
        <w:ind w:right="99"/>
        <w:jc w:val="both"/>
        <w:rPr>
          <w:rFonts w:ascii="Palatino Linotype" w:eastAsia="Palatino Linotype" w:hAnsi="Palatino Linotype" w:cs="Palatino Linotype"/>
          <w:sz w:val="22"/>
          <w:szCs w:val="22"/>
        </w:rPr>
      </w:pPr>
      <w:r w:rsidRPr="000D4651">
        <w:rPr>
          <w:rFonts w:ascii="Palatino Linotype" w:eastAsia="Palatino Linotype" w:hAnsi="Palatino Linotype" w:cs="Palatino Linotype"/>
          <w:sz w:val="22"/>
          <w:szCs w:val="22"/>
        </w:rPr>
        <w:t xml:space="preserve">De lo anterior se puede concluir que la distinción entre el </w:t>
      </w:r>
      <w:r w:rsidRPr="000D4651">
        <w:rPr>
          <w:rFonts w:ascii="Palatino Linotype" w:eastAsia="Palatino Linotype" w:hAnsi="Palatino Linotype" w:cs="Palatino Linotype"/>
          <w:b/>
          <w:sz w:val="22"/>
          <w:szCs w:val="22"/>
        </w:rPr>
        <w:t>derecho de petición</w:t>
      </w:r>
      <w:r w:rsidRPr="000D4651">
        <w:rPr>
          <w:rFonts w:ascii="Palatino Linotype" w:eastAsia="Palatino Linotype" w:hAnsi="Palatino Linotype" w:cs="Palatino Linotype"/>
          <w:sz w:val="22"/>
          <w:szCs w:val="22"/>
        </w:rPr>
        <w:t xml:space="preserve"> y el derecho de acceso a la información descansa, principalmente, en que la pretensión del peticionario consiste generalmente en obligar a la autoridad responsable a que actúe en el sentido de </w:t>
      </w:r>
      <w:r w:rsidRPr="000D4651">
        <w:rPr>
          <w:rFonts w:ascii="Palatino Linotype" w:eastAsia="Palatino Linotype" w:hAnsi="Palatino Linotype" w:cs="Palatino Linotype"/>
          <w:sz w:val="22"/>
          <w:szCs w:val="22"/>
        </w:rPr>
        <w:lastRenderedPageBreak/>
        <w:t>contestar lo solicitado, mientras que en el derecho de acceso a la información pública la pretensión radica en que se permita el acceso a datos y todo tipo de documentación que tenga el carácter de información pública, que sea generada, administrada o se encuentre en posesión de los considerados Sujetos Obligados por la Ley de la Materia.</w:t>
      </w:r>
    </w:p>
    <w:p w14:paraId="1DF999FF" w14:textId="77777777" w:rsidR="00F41978" w:rsidRPr="000D4651" w:rsidRDefault="00F41978" w:rsidP="00F41978">
      <w:pPr>
        <w:spacing w:line="360" w:lineRule="auto"/>
        <w:ind w:right="99"/>
        <w:jc w:val="both"/>
        <w:rPr>
          <w:rFonts w:ascii="Palatino Linotype" w:eastAsia="Palatino Linotype" w:hAnsi="Palatino Linotype" w:cs="Palatino Linotype"/>
          <w:sz w:val="22"/>
          <w:szCs w:val="22"/>
        </w:rPr>
      </w:pPr>
    </w:p>
    <w:p w14:paraId="0B959273" w14:textId="77777777" w:rsidR="00F41978" w:rsidRPr="000D4651" w:rsidRDefault="00F41978" w:rsidP="00F41978">
      <w:pPr>
        <w:spacing w:line="360" w:lineRule="auto"/>
        <w:jc w:val="both"/>
        <w:rPr>
          <w:rFonts w:ascii="Palatino Linotype" w:eastAsia="Palatino Linotype" w:hAnsi="Palatino Linotype" w:cs="Palatino Linotype"/>
          <w:sz w:val="22"/>
          <w:szCs w:val="22"/>
        </w:rPr>
      </w:pPr>
      <w:r w:rsidRPr="000D4651">
        <w:rPr>
          <w:rFonts w:ascii="Palatino Linotype" w:eastAsia="Palatino Linotype" w:hAnsi="Palatino Linotype" w:cs="Palatino Linotype"/>
          <w:sz w:val="22"/>
          <w:szCs w:val="22"/>
        </w:rPr>
        <w:t xml:space="preserve">Ante ello, de conformidad con lo que establece el artículo 12 de la Ley de Transparencia y Acceso a la Información Pública del Estado de México y Municipios, los sujetos obligados no se encuentran constreñidos a entregar información que no obra en sus archivos o generarla conforme al interés de los solicitantes, asimismo, el Criterio 03/17 emitido por el Instituto Nacional de Transparencia, Acceso a la Información y Protección de Datos Personales, establece lo siguiente: </w:t>
      </w:r>
    </w:p>
    <w:p w14:paraId="041FEBD8" w14:textId="77777777" w:rsidR="00F41978" w:rsidRPr="000D4651" w:rsidRDefault="00F41978" w:rsidP="00F41978">
      <w:pPr>
        <w:spacing w:line="360" w:lineRule="auto"/>
        <w:jc w:val="both"/>
        <w:rPr>
          <w:rFonts w:ascii="Palatino Linotype" w:eastAsia="Palatino Linotype" w:hAnsi="Palatino Linotype" w:cs="Palatino Linotype"/>
          <w:sz w:val="22"/>
          <w:szCs w:val="22"/>
        </w:rPr>
      </w:pPr>
    </w:p>
    <w:p w14:paraId="57A77B6F" w14:textId="77777777" w:rsidR="00F41978" w:rsidRPr="000D4651" w:rsidRDefault="00F41978" w:rsidP="00F41978">
      <w:pPr>
        <w:spacing w:line="276" w:lineRule="auto"/>
        <w:ind w:left="567" w:right="567"/>
        <w:jc w:val="both"/>
        <w:rPr>
          <w:rFonts w:ascii="Palatino Linotype" w:eastAsia="Arial" w:hAnsi="Palatino Linotype" w:cs="Arial"/>
          <w:i/>
          <w:sz w:val="22"/>
          <w:szCs w:val="22"/>
        </w:rPr>
      </w:pPr>
      <w:r w:rsidRPr="000D4651">
        <w:rPr>
          <w:rFonts w:ascii="Palatino Linotype" w:eastAsia="Arial" w:hAnsi="Palatino Linotype" w:cs="Arial"/>
          <w:b/>
          <w:i/>
          <w:sz w:val="22"/>
          <w:szCs w:val="22"/>
        </w:rPr>
        <w:t xml:space="preserve">No existe obligación de elaborar </w:t>
      </w:r>
      <w:r w:rsidRPr="000D4651">
        <w:rPr>
          <w:rFonts w:ascii="Palatino Linotype" w:eastAsia="Arial" w:hAnsi="Palatino Linotype" w:cs="Arial"/>
          <w:b/>
          <w:i/>
          <w:spacing w:val="-3"/>
          <w:sz w:val="22"/>
          <w:szCs w:val="22"/>
        </w:rPr>
        <w:t>d</w:t>
      </w:r>
      <w:r w:rsidRPr="000D4651">
        <w:rPr>
          <w:rFonts w:ascii="Palatino Linotype" w:eastAsia="Arial" w:hAnsi="Palatino Linotype" w:cs="Arial"/>
          <w:b/>
          <w:i/>
          <w:sz w:val="22"/>
          <w:szCs w:val="22"/>
        </w:rPr>
        <w:t>ocum</w:t>
      </w:r>
      <w:r w:rsidRPr="000D4651">
        <w:rPr>
          <w:rFonts w:ascii="Palatino Linotype" w:eastAsia="Arial" w:hAnsi="Palatino Linotype" w:cs="Arial"/>
          <w:b/>
          <w:i/>
          <w:spacing w:val="1"/>
          <w:sz w:val="22"/>
          <w:szCs w:val="22"/>
        </w:rPr>
        <w:t>e</w:t>
      </w:r>
      <w:r w:rsidRPr="000D4651">
        <w:rPr>
          <w:rFonts w:ascii="Palatino Linotype" w:eastAsia="Arial" w:hAnsi="Palatino Linotype" w:cs="Arial"/>
          <w:b/>
          <w:i/>
          <w:sz w:val="22"/>
          <w:szCs w:val="22"/>
        </w:rPr>
        <w:t>n</w:t>
      </w:r>
      <w:r w:rsidRPr="000D4651">
        <w:rPr>
          <w:rFonts w:ascii="Palatino Linotype" w:eastAsia="Arial" w:hAnsi="Palatino Linotype" w:cs="Arial"/>
          <w:b/>
          <w:i/>
          <w:spacing w:val="-1"/>
          <w:sz w:val="22"/>
          <w:szCs w:val="22"/>
        </w:rPr>
        <w:t>t</w:t>
      </w:r>
      <w:r w:rsidRPr="000D4651">
        <w:rPr>
          <w:rFonts w:ascii="Palatino Linotype" w:eastAsia="Arial" w:hAnsi="Palatino Linotype" w:cs="Arial"/>
          <w:b/>
          <w:i/>
          <w:sz w:val="22"/>
          <w:szCs w:val="22"/>
        </w:rPr>
        <w:t>os</w:t>
      </w:r>
      <w:r w:rsidRPr="000D4651">
        <w:rPr>
          <w:rFonts w:ascii="Palatino Linotype" w:eastAsia="Arial" w:hAnsi="Palatino Linotype" w:cs="Arial"/>
          <w:b/>
          <w:i/>
          <w:spacing w:val="14"/>
          <w:sz w:val="22"/>
          <w:szCs w:val="22"/>
        </w:rPr>
        <w:t xml:space="preserve"> </w:t>
      </w:r>
      <w:r w:rsidRPr="000D4651">
        <w:rPr>
          <w:rFonts w:ascii="Palatino Linotype" w:eastAsia="Arial" w:hAnsi="Palatino Linotype" w:cs="Arial"/>
          <w:b/>
          <w:i/>
          <w:spacing w:val="-1"/>
          <w:sz w:val="22"/>
          <w:szCs w:val="22"/>
        </w:rPr>
        <w:t xml:space="preserve">ad </w:t>
      </w:r>
      <w:r w:rsidRPr="000D4651">
        <w:rPr>
          <w:rFonts w:ascii="Palatino Linotype" w:eastAsia="Arial" w:hAnsi="Palatino Linotype" w:cs="Arial"/>
          <w:b/>
          <w:i/>
          <w:sz w:val="22"/>
          <w:szCs w:val="22"/>
        </w:rPr>
        <w:t>hoc</w:t>
      </w:r>
      <w:r w:rsidRPr="000D4651">
        <w:rPr>
          <w:rFonts w:ascii="Palatino Linotype" w:eastAsia="Arial" w:hAnsi="Palatino Linotype" w:cs="Arial"/>
          <w:b/>
          <w:i/>
          <w:spacing w:val="11"/>
          <w:sz w:val="22"/>
          <w:szCs w:val="22"/>
        </w:rPr>
        <w:t xml:space="preserve"> </w:t>
      </w:r>
      <w:r w:rsidRPr="000D4651">
        <w:rPr>
          <w:rFonts w:ascii="Palatino Linotype" w:eastAsia="Arial" w:hAnsi="Palatino Linotype" w:cs="Arial"/>
          <w:b/>
          <w:i/>
          <w:sz w:val="22"/>
          <w:szCs w:val="22"/>
        </w:rPr>
        <w:t>para</w:t>
      </w:r>
      <w:r w:rsidRPr="000D4651">
        <w:rPr>
          <w:rFonts w:ascii="Palatino Linotype" w:eastAsia="Arial" w:hAnsi="Palatino Linotype" w:cs="Arial"/>
          <w:b/>
          <w:i/>
          <w:spacing w:val="10"/>
          <w:sz w:val="22"/>
          <w:szCs w:val="22"/>
        </w:rPr>
        <w:t xml:space="preserve"> </w:t>
      </w:r>
      <w:r w:rsidRPr="000D4651">
        <w:rPr>
          <w:rFonts w:ascii="Palatino Linotype" w:eastAsia="Arial" w:hAnsi="Palatino Linotype" w:cs="Arial"/>
          <w:b/>
          <w:i/>
          <w:sz w:val="22"/>
          <w:szCs w:val="22"/>
        </w:rPr>
        <w:t>atender las sol</w:t>
      </w:r>
      <w:r w:rsidRPr="000D4651">
        <w:rPr>
          <w:rFonts w:ascii="Palatino Linotype" w:eastAsia="Arial" w:hAnsi="Palatino Linotype" w:cs="Arial"/>
          <w:b/>
          <w:i/>
          <w:spacing w:val="-2"/>
          <w:sz w:val="22"/>
          <w:szCs w:val="22"/>
        </w:rPr>
        <w:t>i</w:t>
      </w:r>
      <w:r w:rsidRPr="000D4651">
        <w:rPr>
          <w:rFonts w:ascii="Palatino Linotype" w:eastAsia="Arial" w:hAnsi="Palatino Linotype" w:cs="Arial"/>
          <w:b/>
          <w:i/>
          <w:spacing w:val="1"/>
          <w:sz w:val="22"/>
          <w:szCs w:val="22"/>
        </w:rPr>
        <w:t>c</w:t>
      </w:r>
      <w:r w:rsidRPr="000D4651">
        <w:rPr>
          <w:rFonts w:ascii="Palatino Linotype" w:eastAsia="Arial" w:hAnsi="Palatino Linotype" w:cs="Arial"/>
          <w:b/>
          <w:i/>
          <w:sz w:val="22"/>
          <w:szCs w:val="22"/>
        </w:rPr>
        <w:t>itudes</w:t>
      </w:r>
      <w:r w:rsidRPr="000D4651">
        <w:rPr>
          <w:rFonts w:ascii="Palatino Linotype" w:eastAsia="Arial" w:hAnsi="Palatino Linotype" w:cs="Arial"/>
          <w:b/>
          <w:i/>
          <w:spacing w:val="10"/>
          <w:sz w:val="22"/>
          <w:szCs w:val="22"/>
        </w:rPr>
        <w:t xml:space="preserve"> </w:t>
      </w:r>
      <w:r w:rsidRPr="000D4651">
        <w:rPr>
          <w:rFonts w:ascii="Palatino Linotype" w:eastAsia="Arial" w:hAnsi="Palatino Linotype" w:cs="Arial"/>
          <w:b/>
          <w:i/>
          <w:sz w:val="22"/>
          <w:szCs w:val="22"/>
        </w:rPr>
        <w:t>de</w:t>
      </w:r>
      <w:r w:rsidRPr="000D4651">
        <w:rPr>
          <w:rFonts w:ascii="Palatino Linotype" w:eastAsia="Arial" w:hAnsi="Palatino Linotype" w:cs="Arial"/>
          <w:b/>
          <w:i/>
          <w:spacing w:val="9"/>
          <w:sz w:val="22"/>
          <w:szCs w:val="22"/>
        </w:rPr>
        <w:t xml:space="preserve"> </w:t>
      </w:r>
      <w:r w:rsidRPr="000D4651">
        <w:rPr>
          <w:rFonts w:ascii="Palatino Linotype" w:eastAsia="Arial" w:hAnsi="Palatino Linotype" w:cs="Arial"/>
          <w:b/>
          <w:i/>
          <w:spacing w:val="1"/>
          <w:sz w:val="22"/>
          <w:szCs w:val="22"/>
        </w:rPr>
        <w:t>ac</w:t>
      </w:r>
      <w:r w:rsidRPr="000D4651">
        <w:rPr>
          <w:rFonts w:ascii="Palatino Linotype" w:eastAsia="Arial" w:hAnsi="Palatino Linotype" w:cs="Arial"/>
          <w:b/>
          <w:i/>
          <w:spacing w:val="-1"/>
          <w:sz w:val="22"/>
          <w:szCs w:val="22"/>
        </w:rPr>
        <w:t>c</w:t>
      </w:r>
      <w:r w:rsidRPr="000D4651">
        <w:rPr>
          <w:rFonts w:ascii="Palatino Linotype" w:eastAsia="Arial" w:hAnsi="Palatino Linotype" w:cs="Arial"/>
          <w:b/>
          <w:i/>
          <w:spacing w:val="1"/>
          <w:sz w:val="22"/>
          <w:szCs w:val="22"/>
        </w:rPr>
        <w:t>es</w:t>
      </w:r>
      <w:r w:rsidRPr="000D4651">
        <w:rPr>
          <w:rFonts w:ascii="Palatino Linotype" w:eastAsia="Arial" w:hAnsi="Palatino Linotype" w:cs="Arial"/>
          <w:b/>
          <w:i/>
          <w:sz w:val="22"/>
          <w:szCs w:val="22"/>
        </w:rPr>
        <w:t>o</w:t>
      </w:r>
      <w:r w:rsidRPr="000D4651">
        <w:rPr>
          <w:rFonts w:ascii="Palatino Linotype" w:eastAsia="Arial" w:hAnsi="Palatino Linotype" w:cs="Arial"/>
          <w:b/>
          <w:i/>
          <w:spacing w:val="11"/>
          <w:sz w:val="22"/>
          <w:szCs w:val="22"/>
        </w:rPr>
        <w:t xml:space="preserve"> </w:t>
      </w:r>
      <w:r w:rsidRPr="000D4651">
        <w:rPr>
          <w:rFonts w:ascii="Palatino Linotype" w:eastAsia="Arial" w:hAnsi="Palatino Linotype" w:cs="Arial"/>
          <w:b/>
          <w:i/>
          <w:sz w:val="22"/>
          <w:szCs w:val="22"/>
        </w:rPr>
        <w:t>a</w:t>
      </w:r>
      <w:r w:rsidRPr="000D4651">
        <w:rPr>
          <w:rFonts w:ascii="Palatino Linotype" w:eastAsia="Arial" w:hAnsi="Palatino Linotype" w:cs="Arial"/>
          <w:b/>
          <w:i/>
          <w:spacing w:val="9"/>
          <w:sz w:val="22"/>
          <w:szCs w:val="22"/>
        </w:rPr>
        <w:t xml:space="preserve"> </w:t>
      </w:r>
      <w:r w:rsidRPr="000D4651">
        <w:rPr>
          <w:rFonts w:ascii="Palatino Linotype" w:eastAsia="Arial" w:hAnsi="Palatino Linotype" w:cs="Arial"/>
          <w:b/>
          <w:i/>
          <w:sz w:val="22"/>
          <w:szCs w:val="22"/>
        </w:rPr>
        <w:t>la</w:t>
      </w:r>
      <w:r w:rsidRPr="000D4651">
        <w:rPr>
          <w:rFonts w:ascii="Palatino Linotype" w:eastAsia="Arial" w:hAnsi="Palatino Linotype" w:cs="Arial"/>
          <w:b/>
          <w:i/>
          <w:spacing w:val="10"/>
          <w:sz w:val="22"/>
          <w:szCs w:val="22"/>
        </w:rPr>
        <w:t xml:space="preserve"> </w:t>
      </w:r>
      <w:r w:rsidRPr="000D4651">
        <w:rPr>
          <w:rFonts w:ascii="Palatino Linotype" w:eastAsia="Arial" w:hAnsi="Palatino Linotype" w:cs="Arial"/>
          <w:b/>
          <w:i/>
          <w:sz w:val="22"/>
          <w:szCs w:val="22"/>
        </w:rPr>
        <w:t>informa</w:t>
      </w:r>
      <w:r w:rsidRPr="000D4651">
        <w:rPr>
          <w:rFonts w:ascii="Palatino Linotype" w:eastAsia="Arial" w:hAnsi="Palatino Linotype" w:cs="Arial"/>
          <w:b/>
          <w:i/>
          <w:spacing w:val="1"/>
          <w:sz w:val="22"/>
          <w:szCs w:val="22"/>
        </w:rPr>
        <w:t>c</w:t>
      </w:r>
      <w:r w:rsidRPr="000D4651">
        <w:rPr>
          <w:rFonts w:ascii="Palatino Linotype" w:eastAsia="Arial" w:hAnsi="Palatino Linotype" w:cs="Arial"/>
          <w:b/>
          <w:i/>
          <w:sz w:val="22"/>
          <w:szCs w:val="22"/>
        </w:rPr>
        <w:t>ió</w:t>
      </w:r>
      <w:r w:rsidRPr="000D4651">
        <w:rPr>
          <w:rFonts w:ascii="Palatino Linotype" w:eastAsia="Arial" w:hAnsi="Palatino Linotype" w:cs="Arial"/>
          <w:b/>
          <w:i/>
          <w:spacing w:val="-2"/>
          <w:sz w:val="22"/>
          <w:szCs w:val="22"/>
        </w:rPr>
        <w:t>n</w:t>
      </w:r>
      <w:r w:rsidRPr="000D4651">
        <w:rPr>
          <w:rFonts w:ascii="Palatino Linotype" w:eastAsia="Arial" w:hAnsi="Palatino Linotype" w:cs="Arial"/>
          <w:b/>
          <w:i/>
          <w:sz w:val="22"/>
          <w:szCs w:val="22"/>
        </w:rPr>
        <w:t>.</w:t>
      </w:r>
      <w:r w:rsidRPr="000D4651">
        <w:rPr>
          <w:rFonts w:ascii="Palatino Linotype" w:eastAsia="Arial" w:hAnsi="Palatino Linotype" w:cs="Arial"/>
          <w:b/>
          <w:i/>
          <w:spacing w:val="18"/>
          <w:sz w:val="22"/>
          <w:szCs w:val="22"/>
        </w:rPr>
        <w:t xml:space="preserve"> </w:t>
      </w:r>
      <w:r w:rsidRPr="000D4651">
        <w:rPr>
          <w:rFonts w:ascii="Palatino Linotype" w:eastAsia="Arial" w:hAnsi="Palatino Linotype" w:cs="Arial"/>
          <w:i/>
          <w:spacing w:val="18"/>
          <w:sz w:val="22"/>
          <w:szCs w:val="22"/>
        </w:rPr>
        <w:t>L</w:t>
      </w:r>
      <w:r w:rsidRPr="000D4651">
        <w:rPr>
          <w:rFonts w:ascii="Palatino Linotype" w:eastAsia="Arial" w:hAnsi="Palatino Linotype" w:cs="Arial"/>
          <w:i/>
          <w:spacing w:val="-1"/>
          <w:sz w:val="22"/>
          <w:szCs w:val="22"/>
        </w:rPr>
        <w:t xml:space="preserve">os </w:t>
      </w:r>
      <w:r w:rsidRPr="000D4651">
        <w:rPr>
          <w:rFonts w:ascii="Palatino Linotype" w:eastAsia="Arial" w:hAnsi="Palatino Linotype" w:cs="Arial"/>
          <w:i/>
          <w:spacing w:val="1"/>
          <w:sz w:val="22"/>
          <w:szCs w:val="22"/>
        </w:rPr>
        <w:t>a</w:t>
      </w:r>
      <w:r w:rsidRPr="000D4651">
        <w:rPr>
          <w:rFonts w:ascii="Palatino Linotype" w:eastAsia="Arial" w:hAnsi="Palatino Linotype" w:cs="Arial"/>
          <w:i/>
          <w:sz w:val="22"/>
          <w:szCs w:val="22"/>
        </w:rPr>
        <w:t>rt</w:t>
      </w:r>
      <w:r w:rsidRPr="000D4651">
        <w:rPr>
          <w:rFonts w:ascii="Palatino Linotype" w:eastAsia="Arial" w:hAnsi="Palatino Linotype" w:cs="Arial"/>
          <w:i/>
          <w:spacing w:val="-2"/>
          <w:sz w:val="22"/>
          <w:szCs w:val="22"/>
        </w:rPr>
        <w:t>í</w:t>
      </w:r>
      <w:r w:rsidRPr="000D4651">
        <w:rPr>
          <w:rFonts w:ascii="Palatino Linotype" w:eastAsia="Arial" w:hAnsi="Palatino Linotype" w:cs="Arial"/>
          <w:i/>
          <w:sz w:val="22"/>
          <w:szCs w:val="22"/>
        </w:rPr>
        <w:t>c</w:t>
      </w:r>
      <w:r w:rsidRPr="000D4651">
        <w:rPr>
          <w:rFonts w:ascii="Palatino Linotype" w:eastAsia="Arial" w:hAnsi="Palatino Linotype" w:cs="Arial"/>
          <w:i/>
          <w:spacing w:val="1"/>
          <w:sz w:val="22"/>
          <w:szCs w:val="22"/>
        </w:rPr>
        <w:t>u</w:t>
      </w:r>
      <w:r w:rsidRPr="000D4651">
        <w:rPr>
          <w:rFonts w:ascii="Palatino Linotype" w:eastAsia="Arial" w:hAnsi="Palatino Linotype" w:cs="Arial"/>
          <w:i/>
          <w:sz w:val="22"/>
          <w:szCs w:val="22"/>
        </w:rPr>
        <w:t>los</w:t>
      </w:r>
      <w:r w:rsidRPr="000D4651">
        <w:rPr>
          <w:rFonts w:ascii="Palatino Linotype" w:eastAsia="Arial" w:hAnsi="Palatino Linotype" w:cs="Arial"/>
          <w:i/>
          <w:spacing w:val="8"/>
          <w:sz w:val="22"/>
          <w:szCs w:val="22"/>
        </w:rPr>
        <w:t xml:space="preserve"> 129 </w:t>
      </w:r>
      <w:r w:rsidRPr="000D4651">
        <w:rPr>
          <w:rFonts w:ascii="Palatino Linotype" w:eastAsia="Arial" w:hAnsi="Palatino Linotype" w:cs="Arial"/>
          <w:i/>
          <w:spacing w:val="1"/>
          <w:sz w:val="22"/>
          <w:szCs w:val="22"/>
        </w:rPr>
        <w:t>d</w:t>
      </w:r>
      <w:r w:rsidRPr="000D4651">
        <w:rPr>
          <w:rFonts w:ascii="Palatino Linotype" w:eastAsia="Arial" w:hAnsi="Palatino Linotype" w:cs="Arial"/>
          <w:i/>
          <w:sz w:val="22"/>
          <w:szCs w:val="22"/>
        </w:rPr>
        <w:t>e</w:t>
      </w:r>
      <w:r w:rsidRPr="000D4651">
        <w:rPr>
          <w:rFonts w:ascii="Palatino Linotype" w:eastAsia="Arial" w:hAnsi="Palatino Linotype" w:cs="Arial"/>
          <w:i/>
          <w:spacing w:val="9"/>
          <w:sz w:val="22"/>
          <w:szCs w:val="22"/>
        </w:rPr>
        <w:t xml:space="preserve"> </w:t>
      </w:r>
      <w:r w:rsidRPr="000D4651">
        <w:rPr>
          <w:rFonts w:ascii="Palatino Linotype" w:eastAsia="Arial" w:hAnsi="Palatino Linotype" w:cs="Arial"/>
          <w:i/>
          <w:sz w:val="22"/>
          <w:szCs w:val="22"/>
        </w:rPr>
        <w:t>la</w:t>
      </w:r>
      <w:r w:rsidRPr="000D4651">
        <w:rPr>
          <w:rFonts w:ascii="Palatino Linotype" w:eastAsia="Arial" w:hAnsi="Palatino Linotype" w:cs="Arial"/>
          <w:i/>
          <w:spacing w:val="10"/>
          <w:sz w:val="22"/>
          <w:szCs w:val="22"/>
        </w:rPr>
        <w:t xml:space="preserve"> </w:t>
      </w:r>
      <w:r w:rsidRPr="000D4651">
        <w:rPr>
          <w:rFonts w:ascii="Palatino Linotype" w:eastAsia="Arial" w:hAnsi="Palatino Linotype" w:cs="Arial"/>
          <w:i/>
          <w:spacing w:val="-1"/>
          <w:sz w:val="22"/>
          <w:szCs w:val="22"/>
        </w:rPr>
        <w:t>L</w:t>
      </w:r>
      <w:r w:rsidRPr="000D4651">
        <w:rPr>
          <w:rFonts w:ascii="Palatino Linotype" w:eastAsia="Arial" w:hAnsi="Palatino Linotype" w:cs="Arial"/>
          <w:i/>
          <w:spacing w:val="1"/>
          <w:sz w:val="22"/>
          <w:szCs w:val="22"/>
        </w:rPr>
        <w:t>e</w:t>
      </w:r>
      <w:r w:rsidRPr="000D4651">
        <w:rPr>
          <w:rFonts w:ascii="Palatino Linotype" w:eastAsia="Arial" w:hAnsi="Palatino Linotype" w:cs="Arial"/>
          <w:i/>
          <w:sz w:val="22"/>
          <w:szCs w:val="22"/>
        </w:rPr>
        <w:t>y</w:t>
      </w:r>
      <w:r w:rsidRPr="000D4651">
        <w:rPr>
          <w:rFonts w:ascii="Palatino Linotype" w:eastAsia="Arial" w:hAnsi="Palatino Linotype" w:cs="Arial"/>
          <w:i/>
          <w:spacing w:val="8"/>
          <w:sz w:val="22"/>
          <w:szCs w:val="22"/>
        </w:rPr>
        <w:t xml:space="preserve"> </w:t>
      </w:r>
      <w:r w:rsidRPr="000D4651">
        <w:rPr>
          <w:rFonts w:ascii="Palatino Linotype" w:eastAsia="Arial" w:hAnsi="Palatino Linotype" w:cs="Arial"/>
          <w:i/>
          <w:sz w:val="22"/>
          <w:szCs w:val="22"/>
        </w:rPr>
        <w:t>General</w:t>
      </w:r>
      <w:r w:rsidRPr="000D4651">
        <w:rPr>
          <w:rFonts w:ascii="Palatino Linotype" w:eastAsia="Arial" w:hAnsi="Palatino Linotype" w:cs="Arial"/>
          <w:i/>
          <w:spacing w:val="10"/>
          <w:sz w:val="22"/>
          <w:szCs w:val="22"/>
        </w:rPr>
        <w:t xml:space="preserve"> </w:t>
      </w:r>
      <w:r w:rsidRPr="000D4651">
        <w:rPr>
          <w:rFonts w:ascii="Palatino Linotype" w:eastAsia="Arial" w:hAnsi="Palatino Linotype" w:cs="Arial"/>
          <w:i/>
          <w:spacing w:val="-1"/>
          <w:sz w:val="22"/>
          <w:szCs w:val="22"/>
        </w:rPr>
        <w:t>d</w:t>
      </w:r>
      <w:r w:rsidRPr="000D4651">
        <w:rPr>
          <w:rFonts w:ascii="Palatino Linotype" w:eastAsia="Arial" w:hAnsi="Palatino Linotype" w:cs="Arial"/>
          <w:i/>
          <w:sz w:val="22"/>
          <w:szCs w:val="22"/>
        </w:rPr>
        <w:t>e</w:t>
      </w:r>
      <w:r w:rsidRPr="000D4651">
        <w:rPr>
          <w:rFonts w:ascii="Palatino Linotype" w:eastAsia="Arial" w:hAnsi="Palatino Linotype" w:cs="Arial"/>
          <w:i/>
          <w:spacing w:val="9"/>
          <w:sz w:val="22"/>
          <w:szCs w:val="22"/>
        </w:rPr>
        <w:t xml:space="preserve"> </w:t>
      </w:r>
      <w:r w:rsidRPr="000D4651">
        <w:rPr>
          <w:rFonts w:ascii="Palatino Linotype" w:eastAsia="Arial" w:hAnsi="Palatino Linotype" w:cs="Arial"/>
          <w:i/>
          <w:spacing w:val="2"/>
          <w:sz w:val="22"/>
          <w:szCs w:val="22"/>
        </w:rPr>
        <w:t>T</w:t>
      </w:r>
      <w:r w:rsidRPr="000D4651">
        <w:rPr>
          <w:rFonts w:ascii="Palatino Linotype" w:eastAsia="Arial" w:hAnsi="Palatino Linotype" w:cs="Arial"/>
          <w:i/>
          <w:sz w:val="22"/>
          <w:szCs w:val="22"/>
        </w:rPr>
        <w:t>r</w:t>
      </w:r>
      <w:r w:rsidRPr="000D4651">
        <w:rPr>
          <w:rFonts w:ascii="Palatino Linotype" w:eastAsia="Arial" w:hAnsi="Palatino Linotype" w:cs="Arial"/>
          <w:i/>
          <w:spacing w:val="-2"/>
          <w:sz w:val="22"/>
          <w:szCs w:val="22"/>
        </w:rPr>
        <w:t>a</w:t>
      </w:r>
      <w:r w:rsidRPr="000D4651">
        <w:rPr>
          <w:rFonts w:ascii="Palatino Linotype" w:eastAsia="Arial" w:hAnsi="Palatino Linotype" w:cs="Arial"/>
          <w:i/>
          <w:spacing w:val="1"/>
          <w:sz w:val="22"/>
          <w:szCs w:val="22"/>
        </w:rPr>
        <w:t>n</w:t>
      </w:r>
      <w:r w:rsidRPr="000D4651">
        <w:rPr>
          <w:rFonts w:ascii="Palatino Linotype" w:eastAsia="Arial" w:hAnsi="Palatino Linotype" w:cs="Arial"/>
          <w:i/>
          <w:sz w:val="22"/>
          <w:szCs w:val="22"/>
        </w:rPr>
        <w:t>s</w:t>
      </w:r>
      <w:r w:rsidRPr="000D4651">
        <w:rPr>
          <w:rFonts w:ascii="Palatino Linotype" w:eastAsia="Arial" w:hAnsi="Palatino Linotype" w:cs="Arial"/>
          <w:i/>
          <w:spacing w:val="1"/>
          <w:sz w:val="22"/>
          <w:szCs w:val="22"/>
        </w:rPr>
        <w:t>pa</w:t>
      </w:r>
      <w:r w:rsidRPr="000D4651">
        <w:rPr>
          <w:rFonts w:ascii="Palatino Linotype" w:eastAsia="Arial" w:hAnsi="Palatino Linotype" w:cs="Arial"/>
          <w:i/>
          <w:sz w:val="22"/>
          <w:szCs w:val="22"/>
        </w:rPr>
        <w:t>r</w:t>
      </w:r>
      <w:r w:rsidRPr="000D4651">
        <w:rPr>
          <w:rFonts w:ascii="Palatino Linotype" w:eastAsia="Arial" w:hAnsi="Palatino Linotype" w:cs="Arial"/>
          <w:i/>
          <w:spacing w:val="-2"/>
          <w:sz w:val="22"/>
          <w:szCs w:val="22"/>
        </w:rPr>
        <w:t>e</w:t>
      </w:r>
      <w:r w:rsidRPr="000D4651">
        <w:rPr>
          <w:rFonts w:ascii="Palatino Linotype" w:eastAsia="Arial" w:hAnsi="Palatino Linotype" w:cs="Arial"/>
          <w:i/>
          <w:spacing w:val="1"/>
          <w:sz w:val="22"/>
          <w:szCs w:val="22"/>
        </w:rPr>
        <w:t>n</w:t>
      </w:r>
      <w:r w:rsidRPr="000D4651">
        <w:rPr>
          <w:rFonts w:ascii="Palatino Linotype" w:eastAsia="Arial" w:hAnsi="Palatino Linotype" w:cs="Arial"/>
          <w:i/>
          <w:sz w:val="22"/>
          <w:szCs w:val="22"/>
        </w:rPr>
        <w:t>cia y Acc</w:t>
      </w:r>
      <w:r w:rsidRPr="000D4651">
        <w:rPr>
          <w:rFonts w:ascii="Palatino Linotype" w:eastAsia="Arial" w:hAnsi="Palatino Linotype" w:cs="Arial"/>
          <w:i/>
          <w:spacing w:val="1"/>
          <w:sz w:val="22"/>
          <w:szCs w:val="22"/>
        </w:rPr>
        <w:t>e</w:t>
      </w:r>
      <w:r w:rsidRPr="000D4651">
        <w:rPr>
          <w:rFonts w:ascii="Palatino Linotype" w:eastAsia="Arial" w:hAnsi="Palatino Linotype" w:cs="Arial"/>
          <w:i/>
          <w:sz w:val="22"/>
          <w:szCs w:val="22"/>
        </w:rPr>
        <w:t>so</w:t>
      </w:r>
      <w:r w:rsidRPr="000D4651">
        <w:rPr>
          <w:rFonts w:ascii="Palatino Linotype" w:eastAsia="Arial" w:hAnsi="Palatino Linotype" w:cs="Arial"/>
          <w:i/>
          <w:spacing w:val="3"/>
          <w:sz w:val="22"/>
          <w:szCs w:val="22"/>
        </w:rPr>
        <w:t xml:space="preserve"> </w:t>
      </w:r>
      <w:r w:rsidRPr="000D4651">
        <w:rPr>
          <w:rFonts w:ascii="Palatino Linotype" w:eastAsia="Arial" w:hAnsi="Palatino Linotype" w:cs="Arial"/>
          <w:i/>
          <w:sz w:val="22"/>
          <w:szCs w:val="22"/>
        </w:rPr>
        <w:t>a</w:t>
      </w:r>
      <w:r w:rsidRPr="000D4651">
        <w:rPr>
          <w:rFonts w:ascii="Palatino Linotype" w:eastAsia="Arial" w:hAnsi="Palatino Linotype" w:cs="Arial"/>
          <w:i/>
          <w:spacing w:val="1"/>
          <w:sz w:val="22"/>
          <w:szCs w:val="22"/>
        </w:rPr>
        <w:t xml:space="preserve"> </w:t>
      </w:r>
      <w:r w:rsidRPr="000D4651">
        <w:rPr>
          <w:rFonts w:ascii="Palatino Linotype" w:eastAsia="Arial" w:hAnsi="Palatino Linotype" w:cs="Arial"/>
          <w:i/>
          <w:sz w:val="22"/>
          <w:szCs w:val="22"/>
        </w:rPr>
        <w:t>la I</w:t>
      </w:r>
      <w:r w:rsidRPr="000D4651">
        <w:rPr>
          <w:rFonts w:ascii="Palatino Linotype" w:eastAsia="Arial" w:hAnsi="Palatino Linotype" w:cs="Arial"/>
          <w:i/>
          <w:spacing w:val="-1"/>
          <w:sz w:val="22"/>
          <w:szCs w:val="22"/>
        </w:rPr>
        <w:t>n</w:t>
      </w:r>
      <w:r w:rsidRPr="000D4651">
        <w:rPr>
          <w:rFonts w:ascii="Palatino Linotype" w:eastAsia="Arial" w:hAnsi="Palatino Linotype" w:cs="Arial"/>
          <w:i/>
          <w:sz w:val="22"/>
          <w:szCs w:val="22"/>
        </w:rPr>
        <w:t>f</w:t>
      </w:r>
      <w:r w:rsidRPr="000D4651">
        <w:rPr>
          <w:rFonts w:ascii="Palatino Linotype" w:eastAsia="Arial" w:hAnsi="Palatino Linotype" w:cs="Arial"/>
          <w:i/>
          <w:spacing w:val="1"/>
          <w:sz w:val="22"/>
          <w:szCs w:val="22"/>
        </w:rPr>
        <w:t>o</w:t>
      </w:r>
      <w:r w:rsidRPr="000D4651">
        <w:rPr>
          <w:rFonts w:ascii="Palatino Linotype" w:eastAsia="Arial" w:hAnsi="Palatino Linotype" w:cs="Arial"/>
          <w:i/>
          <w:spacing w:val="-3"/>
          <w:sz w:val="22"/>
          <w:szCs w:val="22"/>
        </w:rPr>
        <w:t>r</w:t>
      </w:r>
      <w:r w:rsidRPr="000D4651">
        <w:rPr>
          <w:rFonts w:ascii="Palatino Linotype" w:eastAsia="Arial" w:hAnsi="Palatino Linotype" w:cs="Arial"/>
          <w:i/>
          <w:spacing w:val="1"/>
          <w:sz w:val="22"/>
          <w:szCs w:val="22"/>
        </w:rPr>
        <w:t>ma</w:t>
      </w:r>
      <w:r w:rsidRPr="000D4651">
        <w:rPr>
          <w:rFonts w:ascii="Palatino Linotype" w:eastAsia="Arial" w:hAnsi="Palatino Linotype" w:cs="Arial"/>
          <w:i/>
          <w:sz w:val="22"/>
          <w:szCs w:val="22"/>
        </w:rPr>
        <w:t>ci</w:t>
      </w:r>
      <w:r w:rsidRPr="000D4651">
        <w:rPr>
          <w:rFonts w:ascii="Palatino Linotype" w:eastAsia="Arial" w:hAnsi="Palatino Linotype" w:cs="Arial"/>
          <w:i/>
          <w:spacing w:val="-2"/>
          <w:sz w:val="22"/>
          <w:szCs w:val="22"/>
        </w:rPr>
        <w:t>ó</w:t>
      </w:r>
      <w:r w:rsidRPr="000D4651">
        <w:rPr>
          <w:rFonts w:ascii="Palatino Linotype" w:eastAsia="Arial" w:hAnsi="Palatino Linotype" w:cs="Arial"/>
          <w:i/>
          <w:sz w:val="22"/>
          <w:szCs w:val="22"/>
        </w:rPr>
        <w:t>n</w:t>
      </w:r>
      <w:r w:rsidRPr="000D4651">
        <w:rPr>
          <w:rFonts w:ascii="Palatino Linotype" w:eastAsia="Arial" w:hAnsi="Palatino Linotype" w:cs="Arial"/>
          <w:i/>
          <w:spacing w:val="6"/>
          <w:sz w:val="22"/>
          <w:szCs w:val="22"/>
        </w:rPr>
        <w:t xml:space="preserve"> </w:t>
      </w:r>
      <w:r w:rsidRPr="000D4651">
        <w:rPr>
          <w:rFonts w:ascii="Palatino Linotype" w:eastAsia="Arial" w:hAnsi="Palatino Linotype" w:cs="Arial"/>
          <w:i/>
          <w:spacing w:val="-2"/>
          <w:sz w:val="22"/>
          <w:szCs w:val="22"/>
        </w:rPr>
        <w:t>P</w:t>
      </w:r>
      <w:r w:rsidRPr="000D4651">
        <w:rPr>
          <w:rFonts w:ascii="Palatino Linotype" w:eastAsia="Arial" w:hAnsi="Palatino Linotype" w:cs="Arial"/>
          <w:i/>
          <w:spacing w:val="1"/>
          <w:sz w:val="22"/>
          <w:szCs w:val="22"/>
        </w:rPr>
        <w:t>úb</w:t>
      </w:r>
      <w:r w:rsidRPr="000D4651">
        <w:rPr>
          <w:rFonts w:ascii="Palatino Linotype" w:eastAsia="Arial" w:hAnsi="Palatino Linotype" w:cs="Arial"/>
          <w:i/>
          <w:sz w:val="22"/>
          <w:szCs w:val="22"/>
        </w:rPr>
        <w:t>l</w:t>
      </w:r>
      <w:r w:rsidRPr="000D4651">
        <w:rPr>
          <w:rFonts w:ascii="Palatino Linotype" w:eastAsia="Arial" w:hAnsi="Palatino Linotype" w:cs="Arial"/>
          <w:i/>
          <w:spacing w:val="-1"/>
          <w:sz w:val="22"/>
          <w:szCs w:val="22"/>
        </w:rPr>
        <w:t>i</w:t>
      </w:r>
      <w:r w:rsidRPr="000D4651">
        <w:rPr>
          <w:rFonts w:ascii="Palatino Linotype" w:eastAsia="Arial" w:hAnsi="Palatino Linotype" w:cs="Arial"/>
          <w:i/>
          <w:sz w:val="22"/>
          <w:szCs w:val="22"/>
        </w:rPr>
        <w:t xml:space="preserve">ca y </w:t>
      </w:r>
      <w:r w:rsidRPr="000D4651">
        <w:rPr>
          <w:rFonts w:ascii="Palatino Linotype" w:eastAsia="Arial" w:hAnsi="Palatino Linotype" w:cs="Arial"/>
          <w:i/>
          <w:spacing w:val="8"/>
          <w:sz w:val="22"/>
          <w:szCs w:val="22"/>
        </w:rPr>
        <w:t xml:space="preserve">130, párrafo cuarto, </w:t>
      </w:r>
      <w:r w:rsidRPr="000D4651">
        <w:rPr>
          <w:rFonts w:ascii="Palatino Linotype" w:eastAsia="Arial" w:hAnsi="Palatino Linotype" w:cs="Arial"/>
          <w:i/>
          <w:spacing w:val="1"/>
          <w:sz w:val="22"/>
          <w:szCs w:val="22"/>
        </w:rPr>
        <w:t>d</w:t>
      </w:r>
      <w:r w:rsidRPr="000D4651">
        <w:rPr>
          <w:rFonts w:ascii="Palatino Linotype" w:eastAsia="Arial" w:hAnsi="Palatino Linotype" w:cs="Arial"/>
          <w:i/>
          <w:sz w:val="22"/>
          <w:szCs w:val="22"/>
        </w:rPr>
        <w:t>e</w:t>
      </w:r>
      <w:r w:rsidRPr="000D4651">
        <w:rPr>
          <w:rFonts w:ascii="Palatino Linotype" w:eastAsia="Arial" w:hAnsi="Palatino Linotype" w:cs="Arial"/>
          <w:i/>
          <w:spacing w:val="9"/>
          <w:sz w:val="22"/>
          <w:szCs w:val="22"/>
        </w:rPr>
        <w:t xml:space="preserve"> </w:t>
      </w:r>
      <w:r w:rsidRPr="000D4651">
        <w:rPr>
          <w:rFonts w:ascii="Palatino Linotype" w:eastAsia="Arial" w:hAnsi="Palatino Linotype" w:cs="Arial"/>
          <w:i/>
          <w:sz w:val="22"/>
          <w:szCs w:val="22"/>
        </w:rPr>
        <w:t>la</w:t>
      </w:r>
      <w:r w:rsidRPr="000D4651">
        <w:rPr>
          <w:rFonts w:ascii="Palatino Linotype" w:eastAsia="Arial" w:hAnsi="Palatino Linotype" w:cs="Arial"/>
          <w:i/>
          <w:spacing w:val="10"/>
          <w:sz w:val="22"/>
          <w:szCs w:val="22"/>
        </w:rPr>
        <w:t xml:space="preserve"> </w:t>
      </w:r>
      <w:r w:rsidRPr="000D4651">
        <w:rPr>
          <w:rFonts w:ascii="Palatino Linotype" w:eastAsia="Arial" w:hAnsi="Palatino Linotype" w:cs="Arial"/>
          <w:i/>
          <w:spacing w:val="-1"/>
          <w:sz w:val="22"/>
          <w:szCs w:val="22"/>
        </w:rPr>
        <w:t>L</w:t>
      </w:r>
      <w:r w:rsidRPr="000D4651">
        <w:rPr>
          <w:rFonts w:ascii="Palatino Linotype" w:eastAsia="Arial" w:hAnsi="Palatino Linotype" w:cs="Arial"/>
          <w:i/>
          <w:spacing w:val="1"/>
          <w:sz w:val="22"/>
          <w:szCs w:val="22"/>
        </w:rPr>
        <w:t>e</w:t>
      </w:r>
      <w:r w:rsidRPr="000D4651">
        <w:rPr>
          <w:rFonts w:ascii="Palatino Linotype" w:eastAsia="Arial" w:hAnsi="Palatino Linotype" w:cs="Arial"/>
          <w:i/>
          <w:sz w:val="22"/>
          <w:szCs w:val="22"/>
        </w:rPr>
        <w:t>y</w:t>
      </w:r>
      <w:r w:rsidRPr="000D4651">
        <w:rPr>
          <w:rFonts w:ascii="Palatino Linotype" w:eastAsia="Arial" w:hAnsi="Palatino Linotype" w:cs="Arial"/>
          <w:i/>
          <w:spacing w:val="8"/>
          <w:sz w:val="22"/>
          <w:szCs w:val="22"/>
        </w:rPr>
        <w:t xml:space="preserve"> </w:t>
      </w:r>
      <w:r w:rsidRPr="000D4651">
        <w:rPr>
          <w:rFonts w:ascii="Palatino Linotype" w:eastAsia="Arial" w:hAnsi="Palatino Linotype" w:cs="Arial"/>
          <w:i/>
          <w:sz w:val="22"/>
          <w:szCs w:val="22"/>
        </w:rPr>
        <w:t>Fe</w:t>
      </w:r>
      <w:r w:rsidRPr="000D4651">
        <w:rPr>
          <w:rFonts w:ascii="Palatino Linotype" w:eastAsia="Arial" w:hAnsi="Palatino Linotype" w:cs="Arial"/>
          <w:i/>
          <w:spacing w:val="1"/>
          <w:sz w:val="22"/>
          <w:szCs w:val="22"/>
        </w:rPr>
        <w:t>de</w:t>
      </w:r>
      <w:r w:rsidRPr="000D4651">
        <w:rPr>
          <w:rFonts w:ascii="Palatino Linotype" w:eastAsia="Arial" w:hAnsi="Palatino Linotype" w:cs="Arial"/>
          <w:i/>
          <w:sz w:val="22"/>
          <w:szCs w:val="22"/>
        </w:rPr>
        <w:t>ral</w:t>
      </w:r>
      <w:r w:rsidRPr="000D4651">
        <w:rPr>
          <w:rFonts w:ascii="Palatino Linotype" w:eastAsia="Arial" w:hAnsi="Palatino Linotype" w:cs="Arial"/>
          <w:i/>
          <w:spacing w:val="10"/>
          <w:sz w:val="22"/>
          <w:szCs w:val="22"/>
        </w:rPr>
        <w:t xml:space="preserve"> </w:t>
      </w:r>
      <w:r w:rsidRPr="000D4651">
        <w:rPr>
          <w:rFonts w:ascii="Palatino Linotype" w:eastAsia="Arial" w:hAnsi="Palatino Linotype" w:cs="Arial"/>
          <w:i/>
          <w:spacing w:val="-1"/>
          <w:sz w:val="22"/>
          <w:szCs w:val="22"/>
        </w:rPr>
        <w:t>d</w:t>
      </w:r>
      <w:r w:rsidRPr="000D4651">
        <w:rPr>
          <w:rFonts w:ascii="Palatino Linotype" w:eastAsia="Arial" w:hAnsi="Palatino Linotype" w:cs="Arial"/>
          <w:i/>
          <w:sz w:val="22"/>
          <w:szCs w:val="22"/>
        </w:rPr>
        <w:t>e</w:t>
      </w:r>
      <w:r w:rsidRPr="000D4651">
        <w:rPr>
          <w:rFonts w:ascii="Palatino Linotype" w:eastAsia="Arial" w:hAnsi="Palatino Linotype" w:cs="Arial"/>
          <w:i/>
          <w:spacing w:val="9"/>
          <w:sz w:val="22"/>
          <w:szCs w:val="22"/>
        </w:rPr>
        <w:t xml:space="preserve"> </w:t>
      </w:r>
      <w:r w:rsidRPr="000D4651">
        <w:rPr>
          <w:rFonts w:ascii="Palatino Linotype" w:eastAsia="Arial" w:hAnsi="Palatino Linotype" w:cs="Arial"/>
          <w:i/>
          <w:spacing w:val="2"/>
          <w:sz w:val="22"/>
          <w:szCs w:val="22"/>
        </w:rPr>
        <w:t>T</w:t>
      </w:r>
      <w:r w:rsidRPr="000D4651">
        <w:rPr>
          <w:rFonts w:ascii="Palatino Linotype" w:eastAsia="Arial" w:hAnsi="Palatino Linotype" w:cs="Arial"/>
          <w:i/>
          <w:sz w:val="22"/>
          <w:szCs w:val="22"/>
        </w:rPr>
        <w:t>r</w:t>
      </w:r>
      <w:r w:rsidRPr="000D4651">
        <w:rPr>
          <w:rFonts w:ascii="Palatino Linotype" w:eastAsia="Arial" w:hAnsi="Palatino Linotype" w:cs="Arial"/>
          <w:i/>
          <w:spacing w:val="-2"/>
          <w:sz w:val="22"/>
          <w:szCs w:val="22"/>
        </w:rPr>
        <w:t>a</w:t>
      </w:r>
      <w:r w:rsidRPr="000D4651">
        <w:rPr>
          <w:rFonts w:ascii="Palatino Linotype" w:eastAsia="Arial" w:hAnsi="Palatino Linotype" w:cs="Arial"/>
          <w:i/>
          <w:spacing w:val="1"/>
          <w:sz w:val="22"/>
          <w:szCs w:val="22"/>
        </w:rPr>
        <w:t>n</w:t>
      </w:r>
      <w:r w:rsidRPr="000D4651">
        <w:rPr>
          <w:rFonts w:ascii="Palatino Linotype" w:eastAsia="Arial" w:hAnsi="Palatino Linotype" w:cs="Arial"/>
          <w:i/>
          <w:sz w:val="22"/>
          <w:szCs w:val="22"/>
        </w:rPr>
        <w:t>s</w:t>
      </w:r>
      <w:r w:rsidRPr="000D4651">
        <w:rPr>
          <w:rFonts w:ascii="Palatino Linotype" w:eastAsia="Arial" w:hAnsi="Palatino Linotype" w:cs="Arial"/>
          <w:i/>
          <w:spacing w:val="1"/>
          <w:sz w:val="22"/>
          <w:szCs w:val="22"/>
        </w:rPr>
        <w:t>pa</w:t>
      </w:r>
      <w:r w:rsidRPr="000D4651">
        <w:rPr>
          <w:rFonts w:ascii="Palatino Linotype" w:eastAsia="Arial" w:hAnsi="Palatino Linotype" w:cs="Arial"/>
          <w:i/>
          <w:sz w:val="22"/>
          <w:szCs w:val="22"/>
        </w:rPr>
        <w:t>r</w:t>
      </w:r>
      <w:r w:rsidRPr="000D4651">
        <w:rPr>
          <w:rFonts w:ascii="Palatino Linotype" w:eastAsia="Arial" w:hAnsi="Palatino Linotype" w:cs="Arial"/>
          <w:i/>
          <w:spacing w:val="-2"/>
          <w:sz w:val="22"/>
          <w:szCs w:val="22"/>
        </w:rPr>
        <w:t>e</w:t>
      </w:r>
      <w:r w:rsidRPr="000D4651">
        <w:rPr>
          <w:rFonts w:ascii="Palatino Linotype" w:eastAsia="Arial" w:hAnsi="Palatino Linotype" w:cs="Arial"/>
          <w:i/>
          <w:spacing w:val="1"/>
          <w:sz w:val="22"/>
          <w:szCs w:val="22"/>
        </w:rPr>
        <w:t>n</w:t>
      </w:r>
      <w:r w:rsidRPr="000D4651">
        <w:rPr>
          <w:rFonts w:ascii="Palatino Linotype" w:eastAsia="Arial" w:hAnsi="Palatino Linotype" w:cs="Arial"/>
          <w:i/>
          <w:sz w:val="22"/>
          <w:szCs w:val="22"/>
        </w:rPr>
        <w:t>cia y Acc</w:t>
      </w:r>
      <w:r w:rsidRPr="000D4651">
        <w:rPr>
          <w:rFonts w:ascii="Palatino Linotype" w:eastAsia="Arial" w:hAnsi="Palatino Linotype" w:cs="Arial"/>
          <w:i/>
          <w:spacing w:val="1"/>
          <w:sz w:val="22"/>
          <w:szCs w:val="22"/>
        </w:rPr>
        <w:t>e</w:t>
      </w:r>
      <w:r w:rsidRPr="000D4651">
        <w:rPr>
          <w:rFonts w:ascii="Palatino Linotype" w:eastAsia="Arial" w:hAnsi="Palatino Linotype" w:cs="Arial"/>
          <w:i/>
          <w:sz w:val="22"/>
          <w:szCs w:val="22"/>
        </w:rPr>
        <w:t>so</w:t>
      </w:r>
      <w:r w:rsidRPr="000D4651">
        <w:rPr>
          <w:rFonts w:ascii="Palatino Linotype" w:eastAsia="Arial" w:hAnsi="Palatino Linotype" w:cs="Arial"/>
          <w:i/>
          <w:spacing w:val="3"/>
          <w:sz w:val="22"/>
          <w:szCs w:val="22"/>
        </w:rPr>
        <w:t xml:space="preserve"> </w:t>
      </w:r>
      <w:r w:rsidRPr="000D4651">
        <w:rPr>
          <w:rFonts w:ascii="Palatino Linotype" w:eastAsia="Arial" w:hAnsi="Palatino Linotype" w:cs="Arial"/>
          <w:i/>
          <w:sz w:val="22"/>
          <w:szCs w:val="22"/>
        </w:rPr>
        <w:t>a</w:t>
      </w:r>
      <w:r w:rsidRPr="000D4651">
        <w:rPr>
          <w:rFonts w:ascii="Palatino Linotype" w:eastAsia="Arial" w:hAnsi="Palatino Linotype" w:cs="Arial"/>
          <w:i/>
          <w:spacing w:val="1"/>
          <w:sz w:val="22"/>
          <w:szCs w:val="22"/>
        </w:rPr>
        <w:t xml:space="preserve"> </w:t>
      </w:r>
      <w:r w:rsidRPr="000D4651">
        <w:rPr>
          <w:rFonts w:ascii="Palatino Linotype" w:eastAsia="Arial" w:hAnsi="Palatino Linotype" w:cs="Arial"/>
          <w:i/>
          <w:sz w:val="22"/>
          <w:szCs w:val="22"/>
        </w:rPr>
        <w:t>la I</w:t>
      </w:r>
      <w:r w:rsidRPr="000D4651">
        <w:rPr>
          <w:rFonts w:ascii="Palatino Linotype" w:eastAsia="Arial" w:hAnsi="Palatino Linotype" w:cs="Arial"/>
          <w:i/>
          <w:spacing w:val="-1"/>
          <w:sz w:val="22"/>
          <w:szCs w:val="22"/>
        </w:rPr>
        <w:t>n</w:t>
      </w:r>
      <w:r w:rsidRPr="000D4651">
        <w:rPr>
          <w:rFonts w:ascii="Palatino Linotype" w:eastAsia="Arial" w:hAnsi="Palatino Linotype" w:cs="Arial"/>
          <w:i/>
          <w:sz w:val="22"/>
          <w:szCs w:val="22"/>
        </w:rPr>
        <w:t>f</w:t>
      </w:r>
      <w:r w:rsidRPr="000D4651">
        <w:rPr>
          <w:rFonts w:ascii="Palatino Linotype" w:eastAsia="Arial" w:hAnsi="Palatino Linotype" w:cs="Arial"/>
          <w:i/>
          <w:spacing w:val="1"/>
          <w:sz w:val="22"/>
          <w:szCs w:val="22"/>
        </w:rPr>
        <w:t>o</w:t>
      </w:r>
      <w:r w:rsidRPr="000D4651">
        <w:rPr>
          <w:rFonts w:ascii="Palatino Linotype" w:eastAsia="Arial" w:hAnsi="Palatino Linotype" w:cs="Arial"/>
          <w:i/>
          <w:spacing w:val="-3"/>
          <w:sz w:val="22"/>
          <w:szCs w:val="22"/>
        </w:rPr>
        <w:t>r</w:t>
      </w:r>
      <w:r w:rsidRPr="000D4651">
        <w:rPr>
          <w:rFonts w:ascii="Palatino Linotype" w:eastAsia="Arial" w:hAnsi="Palatino Linotype" w:cs="Arial"/>
          <w:i/>
          <w:spacing w:val="1"/>
          <w:sz w:val="22"/>
          <w:szCs w:val="22"/>
        </w:rPr>
        <w:t>ma</w:t>
      </w:r>
      <w:r w:rsidRPr="000D4651">
        <w:rPr>
          <w:rFonts w:ascii="Palatino Linotype" w:eastAsia="Arial" w:hAnsi="Palatino Linotype" w:cs="Arial"/>
          <w:i/>
          <w:sz w:val="22"/>
          <w:szCs w:val="22"/>
        </w:rPr>
        <w:t>ci</w:t>
      </w:r>
      <w:r w:rsidRPr="000D4651">
        <w:rPr>
          <w:rFonts w:ascii="Palatino Linotype" w:eastAsia="Arial" w:hAnsi="Palatino Linotype" w:cs="Arial"/>
          <w:i/>
          <w:spacing w:val="-2"/>
          <w:sz w:val="22"/>
          <w:szCs w:val="22"/>
        </w:rPr>
        <w:t>ó</w:t>
      </w:r>
      <w:r w:rsidRPr="000D4651">
        <w:rPr>
          <w:rFonts w:ascii="Palatino Linotype" w:eastAsia="Arial" w:hAnsi="Palatino Linotype" w:cs="Arial"/>
          <w:i/>
          <w:sz w:val="22"/>
          <w:szCs w:val="22"/>
        </w:rPr>
        <w:t>n</w:t>
      </w:r>
      <w:r w:rsidRPr="000D4651">
        <w:rPr>
          <w:rFonts w:ascii="Palatino Linotype" w:eastAsia="Arial" w:hAnsi="Palatino Linotype" w:cs="Arial"/>
          <w:i/>
          <w:spacing w:val="6"/>
          <w:sz w:val="22"/>
          <w:szCs w:val="22"/>
        </w:rPr>
        <w:t xml:space="preserve"> </w:t>
      </w:r>
      <w:r w:rsidRPr="000D4651">
        <w:rPr>
          <w:rFonts w:ascii="Palatino Linotype" w:eastAsia="Arial" w:hAnsi="Palatino Linotype" w:cs="Arial"/>
          <w:i/>
          <w:spacing w:val="-2"/>
          <w:sz w:val="22"/>
          <w:szCs w:val="22"/>
        </w:rPr>
        <w:t>P</w:t>
      </w:r>
      <w:r w:rsidRPr="000D4651">
        <w:rPr>
          <w:rFonts w:ascii="Palatino Linotype" w:eastAsia="Arial" w:hAnsi="Palatino Linotype" w:cs="Arial"/>
          <w:i/>
          <w:spacing w:val="1"/>
          <w:sz w:val="22"/>
          <w:szCs w:val="22"/>
        </w:rPr>
        <w:t>úb</w:t>
      </w:r>
      <w:r w:rsidRPr="000D4651">
        <w:rPr>
          <w:rFonts w:ascii="Palatino Linotype" w:eastAsia="Arial" w:hAnsi="Palatino Linotype" w:cs="Arial"/>
          <w:i/>
          <w:sz w:val="22"/>
          <w:szCs w:val="22"/>
        </w:rPr>
        <w:t>l</w:t>
      </w:r>
      <w:r w:rsidRPr="000D4651">
        <w:rPr>
          <w:rFonts w:ascii="Palatino Linotype" w:eastAsia="Arial" w:hAnsi="Palatino Linotype" w:cs="Arial"/>
          <w:i/>
          <w:spacing w:val="-1"/>
          <w:sz w:val="22"/>
          <w:szCs w:val="22"/>
        </w:rPr>
        <w:t>i</w:t>
      </w:r>
      <w:r w:rsidRPr="000D4651">
        <w:rPr>
          <w:rFonts w:ascii="Palatino Linotype" w:eastAsia="Arial" w:hAnsi="Palatino Linotype" w:cs="Arial"/>
          <w:i/>
          <w:sz w:val="22"/>
          <w:szCs w:val="22"/>
        </w:rPr>
        <w:t xml:space="preserve">ca, </w:t>
      </w:r>
      <w:r w:rsidRPr="000D4651">
        <w:rPr>
          <w:rFonts w:ascii="Palatino Linotype" w:eastAsia="Arial" w:hAnsi="Palatino Linotype" w:cs="Arial"/>
          <w:i/>
          <w:spacing w:val="-1"/>
          <w:sz w:val="22"/>
          <w:szCs w:val="22"/>
        </w:rPr>
        <w:t>señalan</w:t>
      </w:r>
      <w:r w:rsidRPr="000D4651">
        <w:rPr>
          <w:rFonts w:ascii="Palatino Linotype" w:eastAsia="Arial" w:hAnsi="Palatino Linotype" w:cs="Arial"/>
          <w:i/>
          <w:spacing w:val="1"/>
          <w:sz w:val="22"/>
          <w:szCs w:val="22"/>
        </w:rPr>
        <w:t xml:space="preserve"> </w:t>
      </w:r>
      <w:r w:rsidRPr="000D4651">
        <w:rPr>
          <w:rFonts w:ascii="Palatino Linotype" w:eastAsia="Arial" w:hAnsi="Palatino Linotype" w:cs="Arial"/>
          <w:i/>
          <w:spacing w:val="-1"/>
          <w:sz w:val="22"/>
          <w:szCs w:val="22"/>
        </w:rPr>
        <w:t>q</w:t>
      </w:r>
      <w:r w:rsidRPr="000D4651">
        <w:rPr>
          <w:rFonts w:ascii="Palatino Linotype" w:eastAsia="Arial" w:hAnsi="Palatino Linotype" w:cs="Arial"/>
          <w:i/>
          <w:spacing w:val="1"/>
          <w:sz w:val="22"/>
          <w:szCs w:val="22"/>
        </w:rPr>
        <w:t>u</w:t>
      </w:r>
      <w:r w:rsidRPr="000D4651">
        <w:rPr>
          <w:rFonts w:ascii="Palatino Linotype" w:eastAsia="Arial" w:hAnsi="Palatino Linotype" w:cs="Arial"/>
          <w:i/>
          <w:sz w:val="22"/>
          <w:szCs w:val="22"/>
        </w:rPr>
        <w:t>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w:t>
      </w:r>
      <w:r w:rsidRPr="000D4651">
        <w:rPr>
          <w:rFonts w:ascii="Palatino Linotype" w:eastAsia="Arial" w:hAnsi="Palatino Linotype" w:cs="Arial"/>
          <w:i/>
          <w:spacing w:val="-1"/>
          <w:sz w:val="22"/>
          <w:szCs w:val="22"/>
        </w:rPr>
        <w:t xml:space="preserve"> sin necesidad de</w:t>
      </w:r>
      <w:r w:rsidRPr="000D4651">
        <w:rPr>
          <w:rFonts w:ascii="Palatino Linotype" w:eastAsia="Arial" w:hAnsi="Palatino Linotype" w:cs="Arial"/>
          <w:i/>
          <w:spacing w:val="1"/>
          <w:sz w:val="22"/>
          <w:szCs w:val="22"/>
        </w:rPr>
        <w:t xml:space="preserve"> e</w:t>
      </w:r>
      <w:r w:rsidRPr="000D4651">
        <w:rPr>
          <w:rFonts w:ascii="Palatino Linotype" w:eastAsia="Arial" w:hAnsi="Palatino Linotype" w:cs="Arial"/>
          <w:i/>
          <w:sz w:val="22"/>
          <w:szCs w:val="22"/>
        </w:rPr>
        <w:t>la</w:t>
      </w:r>
      <w:r w:rsidRPr="000D4651">
        <w:rPr>
          <w:rFonts w:ascii="Palatino Linotype" w:eastAsia="Arial" w:hAnsi="Palatino Linotype" w:cs="Arial"/>
          <w:i/>
          <w:spacing w:val="1"/>
          <w:sz w:val="22"/>
          <w:szCs w:val="22"/>
        </w:rPr>
        <w:t>bo</w:t>
      </w:r>
      <w:r w:rsidRPr="000D4651">
        <w:rPr>
          <w:rFonts w:ascii="Palatino Linotype" w:eastAsia="Arial" w:hAnsi="Palatino Linotype" w:cs="Arial"/>
          <w:i/>
          <w:sz w:val="22"/>
          <w:szCs w:val="22"/>
        </w:rPr>
        <w:t xml:space="preserve">rar </w:t>
      </w:r>
      <w:r w:rsidRPr="000D4651">
        <w:rPr>
          <w:rFonts w:ascii="Palatino Linotype" w:eastAsia="Arial" w:hAnsi="Palatino Linotype" w:cs="Arial"/>
          <w:i/>
          <w:spacing w:val="1"/>
          <w:sz w:val="22"/>
          <w:szCs w:val="22"/>
        </w:rPr>
        <w:t>do</w:t>
      </w:r>
      <w:r w:rsidRPr="000D4651">
        <w:rPr>
          <w:rFonts w:ascii="Palatino Linotype" w:eastAsia="Arial" w:hAnsi="Palatino Linotype" w:cs="Arial"/>
          <w:i/>
          <w:spacing w:val="-2"/>
          <w:sz w:val="22"/>
          <w:szCs w:val="22"/>
        </w:rPr>
        <w:t>c</w:t>
      </w:r>
      <w:r w:rsidRPr="000D4651">
        <w:rPr>
          <w:rFonts w:ascii="Palatino Linotype" w:eastAsia="Arial" w:hAnsi="Palatino Linotype" w:cs="Arial"/>
          <w:i/>
          <w:spacing w:val="1"/>
          <w:sz w:val="22"/>
          <w:szCs w:val="22"/>
        </w:rPr>
        <w:t>u</w:t>
      </w:r>
      <w:r w:rsidRPr="000D4651">
        <w:rPr>
          <w:rFonts w:ascii="Palatino Linotype" w:eastAsia="Arial" w:hAnsi="Palatino Linotype" w:cs="Arial"/>
          <w:i/>
          <w:spacing w:val="-1"/>
          <w:sz w:val="22"/>
          <w:szCs w:val="22"/>
        </w:rPr>
        <w:t>m</w:t>
      </w:r>
      <w:r w:rsidRPr="000D4651">
        <w:rPr>
          <w:rFonts w:ascii="Palatino Linotype" w:eastAsia="Arial" w:hAnsi="Palatino Linotype" w:cs="Arial"/>
          <w:i/>
          <w:spacing w:val="1"/>
          <w:sz w:val="22"/>
          <w:szCs w:val="22"/>
        </w:rPr>
        <w:t>en</w:t>
      </w:r>
      <w:r w:rsidRPr="000D4651">
        <w:rPr>
          <w:rFonts w:ascii="Palatino Linotype" w:eastAsia="Arial" w:hAnsi="Palatino Linotype" w:cs="Arial"/>
          <w:i/>
          <w:spacing w:val="-2"/>
          <w:sz w:val="22"/>
          <w:szCs w:val="22"/>
        </w:rPr>
        <w:t>t</w:t>
      </w:r>
      <w:r w:rsidRPr="000D4651">
        <w:rPr>
          <w:rFonts w:ascii="Palatino Linotype" w:eastAsia="Arial" w:hAnsi="Palatino Linotype" w:cs="Arial"/>
          <w:i/>
          <w:spacing w:val="1"/>
          <w:sz w:val="22"/>
          <w:szCs w:val="22"/>
        </w:rPr>
        <w:t>o</w:t>
      </w:r>
      <w:r w:rsidRPr="000D4651">
        <w:rPr>
          <w:rFonts w:ascii="Palatino Linotype" w:eastAsia="Arial" w:hAnsi="Palatino Linotype" w:cs="Arial"/>
          <w:i/>
          <w:sz w:val="22"/>
          <w:szCs w:val="22"/>
        </w:rPr>
        <w:t>s</w:t>
      </w:r>
      <w:r w:rsidRPr="000D4651">
        <w:rPr>
          <w:rFonts w:ascii="Palatino Linotype" w:eastAsia="Arial" w:hAnsi="Palatino Linotype" w:cs="Arial"/>
          <w:i/>
          <w:spacing w:val="3"/>
          <w:sz w:val="22"/>
          <w:szCs w:val="22"/>
        </w:rPr>
        <w:t xml:space="preserve"> </w:t>
      </w:r>
      <w:r w:rsidRPr="000D4651">
        <w:rPr>
          <w:rFonts w:ascii="Palatino Linotype" w:eastAsia="Arial" w:hAnsi="Palatino Linotype" w:cs="Arial"/>
          <w:i/>
          <w:spacing w:val="1"/>
          <w:sz w:val="22"/>
          <w:szCs w:val="22"/>
        </w:rPr>
        <w:t>a</w:t>
      </w:r>
      <w:r w:rsidRPr="000D4651">
        <w:rPr>
          <w:rFonts w:ascii="Palatino Linotype" w:eastAsia="Arial" w:hAnsi="Palatino Linotype" w:cs="Arial"/>
          <w:i/>
          <w:sz w:val="22"/>
          <w:szCs w:val="22"/>
        </w:rPr>
        <w:t>d</w:t>
      </w:r>
      <w:r w:rsidRPr="000D4651">
        <w:rPr>
          <w:rFonts w:ascii="Palatino Linotype" w:eastAsia="Arial" w:hAnsi="Palatino Linotype" w:cs="Arial"/>
          <w:i/>
          <w:spacing w:val="1"/>
          <w:sz w:val="22"/>
          <w:szCs w:val="22"/>
        </w:rPr>
        <w:t xml:space="preserve"> ho</w:t>
      </w:r>
      <w:r w:rsidRPr="000D4651">
        <w:rPr>
          <w:rFonts w:ascii="Palatino Linotype" w:eastAsia="Arial" w:hAnsi="Palatino Linotype" w:cs="Arial"/>
          <w:i/>
          <w:sz w:val="22"/>
          <w:szCs w:val="22"/>
        </w:rPr>
        <w:t>c</w:t>
      </w:r>
      <w:r w:rsidRPr="000D4651">
        <w:rPr>
          <w:rFonts w:ascii="Palatino Linotype" w:eastAsia="Arial" w:hAnsi="Palatino Linotype" w:cs="Arial"/>
          <w:i/>
          <w:spacing w:val="2"/>
          <w:sz w:val="22"/>
          <w:szCs w:val="22"/>
        </w:rPr>
        <w:t xml:space="preserve"> </w:t>
      </w:r>
      <w:r w:rsidRPr="000D4651">
        <w:rPr>
          <w:rFonts w:ascii="Palatino Linotype" w:eastAsia="Arial" w:hAnsi="Palatino Linotype" w:cs="Arial"/>
          <w:i/>
          <w:spacing w:val="1"/>
          <w:sz w:val="22"/>
          <w:szCs w:val="22"/>
        </w:rPr>
        <w:t>pa</w:t>
      </w:r>
      <w:r w:rsidRPr="000D4651">
        <w:rPr>
          <w:rFonts w:ascii="Palatino Linotype" w:eastAsia="Arial" w:hAnsi="Palatino Linotype" w:cs="Arial"/>
          <w:i/>
          <w:sz w:val="22"/>
          <w:szCs w:val="22"/>
        </w:rPr>
        <w:t xml:space="preserve">ra </w:t>
      </w:r>
      <w:r w:rsidRPr="000D4651">
        <w:rPr>
          <w:rFonts w:ascii="Palatino Linotype" w:eastAsia="Arial" w:hAnsi="Palatino Linotype" w:cs="Arial"/>
          <w:i/>
          <w:spacing w:val="1"/>
          <w:sz w:val="22"/>
          <w:szCs w:val="22"/>
        </w:rPr>
        <w:t>a</w:t>
      </w:r>
      <w:r w:rsidRPr="000D4651">
        <w:rPr>
          <w:rFonts w:ascii="Palatino Linotype" w:eastAsia="Arial" w:hAnsi="Palatino Linotype" w:cs="Arial"/>
          <w:i/>
          <w:sz w:val="22"/>
          <w:szCs w:val="22"/>
        </w:rPr>
        <w:t>t</w:t>
      </w:r>
      <w:r w:rsidRPr="000D4651">
        <w:rPr>
          <w:rFonts w:ascii="Palatino Linotype" w:eastAsia="Arial" w:hAnsi="Palatino Linotype" w:cs="Arial"/>
          <w:i/>
          <w:spacing w:val="-1"/>
          <w:sz w:val="22"/>
          <w:szCs w:val="22"/>
        </w:rPr>
        <w:t>e</w:t>
      </w:r>
      <w:r w:rsidRPr="000D4651">
        <w:rPr>
          <w:rFonts w:ascii="Palatino Linotype" w:eastAsia="Arial" w:hAnsi="Palatino Linotype" w:cs="Arial"/>
          <w:i/>
          <w:spacing w:val="1"/>
          <w:sz w:val="22"/>
          <w:szCs w:val="22"/>
        </w:rPr>
        <w:t>n</w:t>
      </w:r>
      <w:r w:rsidRPr="000D4651">
        <w:rPr>
          <w:rFonts w:ascii="Palatino Linotype" w:eastAsia="Arial" w:hAnsi="Palatino Linotype" w:cs="Arial"/>
          <w:i/>
          <w:spacing w:val="-1"/>
          <w:sz w:val="22"/>
          <w:szCs w:val="22"/>
        </w:rPr>
        <w:t>d</w:t>
      </w:r>
      <w:r w:rsidRPr="000D4651">
        <w:rPr>
          <w:rFonts w:ascii="Palatino Linotype" w:eastAsia="Arial" w:hAnsi="Palatino Linotype" w:cs="Arial"/>
          <w:i/>
          <w:spacing w:val="1"/>
          <w:sz w:val="22"/>
          <w:szCs w:val="22"/>
        </w:rPr>
        <w:t>e</w:t>
      </w:r>
      <w:r w:rsidRPr="000D4651">
        <w:rPr>
          <w:rFonts w:ascii="Palatino Linotype" w:eastAsia="Arial" w:hAnsi="Palatino Linotype" w:cs="Arial"/>
          <w:i/>
          <w:sz w:val="22"/>
          <w:szCs w:val="22"/>
        </w:rPr>
        <w:t>r</w:t>
      </w:r>
      <w:r w:rsidRPr="000D4651">
        <w:rPr>
          <w:rFonts w:ascii="Palatino Linotype" w:eastAsia="Arial" w:hAnsi="Palatino Linotype" w:cs="Arial"/>
          <w:i/>
          <w:spacing w:val="2"/>
          <w:sz w:val="22"/>
          <w:szCs w:val="22"/>
        </w:rPr>
        <w:t xml:space="preserve"> </w:t>
      </w:r>
      <w:r w:rsidRPr="000D4651">
        <w:rPr>
          <w:rFonts w:ascii="Palatino Linotype" w:eastAsia="Arial" w:hAnsi="Palatino Linotype" w:cs="Arial"/>
          <w:i/>
          <w:sz w:val="22"/>
          <w:szCs w:val="22"/>
        </w:rPr>
        <w:t>l</w:t>
      </w:r>
      <w:r w:rsidRPr="000D4651">
        <w:rPr>
          <w:rFonts w:ascii="Palatino Linotype" w:eastAsia="Arial" w:hAnsi="Palatino Linotype" w:cs="Arial"/>
          <w:i/>
          <w:spacing w:val="-2"/>
          <w:sz w:val="22"/>
          <w:szCs w:val="22"/>
        </w:rPr>
        <w:t>a</w:t>
      </w:r>
      <w:r w:rsidRPr="000D4651">
        <w:rPr>
          <w:rFonts w:ascii="Palatino Linotype" w:eastAsia="Arial" w:hAnsi="Palatino Linotype" w:cs="Arial"/>
          <w:i/>
          <w:sz w:val="22"/>
          <w:szCs w:val="22"/>
        </w:rPr>
        <w:t>s</w:t>
      </w:r>
      <w:r w:rsidRPr="000D4651">
        <w:rPr>
          <w:rFonts w:ascii="Palatino Linotype" w:eastAsia="Arial" w:hAnsi="Palatino Linotype" w:cs="Arial"/>
          <w:i/>
          <w:spacing w:val="2"/>
          <w:sz w:val="22"/>
          <w:szCs w:val="22"/>
        </w:rPr>
        <w:t xml:space="preserve"> </w:t>
      </w:r>
      <w:r w:rsidRPr="000D4651">
        <w:rPr>
          <w:rFonts w:ascii="Palatino Linotype" w:eastAsia="Arial" w:hAnsi="Palatino Linotype" w:cs="Arial"/>
          <w:i/>
          <w:sz w:val="22"/>
          <w:szCs w:val="22"/>
        </w:rPr>
        <w:t>s</w:t>
      </w:r>
      <w:r w:rsidRPr="000D4651">
        <w:rPr>
          <w:rFonts w:ascii="Palatino Linotype" w:eastAsia="Arial" w:hAnsi="Palatino Linotype" w:cs="Arial"/>
          <w:i/>
          <w:spacing w:val="1"/>
          <w:sz w:val="22"/>
          <w:szCs w:val="22"/>
        </w:rPr>
        <w:t>o</w:t>
      </w:r>
      <w:r w:rsidRPr="000D4651">
        <w:rPr>
          <w:rFonts w:ascii="Palatino Linotype" w:eastAsia="Arial" w:hAnsi="Palatino Linotype" w:cs="Arial"/>
          <w:i/>
          <w:sz w:val="22"/>
          <w:szCs w:val="22"/>
        </w:rPr>
        <w:t>l</w:t>
      </w:r>
      <w:r w:rsidRPr="000D4651">
        <w:rPr>
          <w:rFonts w:ascii="Palatino Linotype" w:eastAsia="Arial" w:hAnsi="Palatino Linotype" w:cs="Arial"/>
          <w:i/>
          <w:spacing w:val="-1"/>
          <w:sz w:val="22"/>
          <w:szCs w:val="22"/>
        </w:rPr>
        <w:t>i</w:t>
      </w:r>
      <w:r w:rsidRPr="000D4651">
        <w:rPr>
          <w:rFonts w:ascii="Palatino Linotype" w:eastAsia="Arial" w:hAnsi="Palatino Linotype" w:cs="Arial"/>
          <w:i/>
          <w:sz w:val="22"/>
          <w:szCs w:val="22"/>
        </w:rPr>
        <w:t>cit</w:t>
      </w:r>
      <w:r w:rsidRPr="000D4651">
        <w:rPr>
          <w:rFonts w:ascii="Palatino Linotype" w:eastAsia="Arial" w:hAnsi="Palatino Linotype" w:cs="Arial"/>
          <w:i/>
          <w:spacing w:val="1"/>
          <w:sz w:val="22"/>
          <w:szCs w:val="22"/>
        </w:rPr>
        <w:t>ude</w:t>
      </w:r>
      <w:r w:rsidRPr="000D4651">
        <w:rPr>
          <w:rFonts w:ascii="Palatino Linotype" w:eastAsia="Arial" w:hAnsi="Palatino Linotype" w:cs="Arial"/>
          <w:i/>
          <w:sz w:val="22"/>
          <w:szCs w:val="22"/>
        </w:rPr>
        <w:t>s</w:t>
      </w:r>
      <w:r w:rsidRPr="000D4651">
        <w:rPr>
          <w:rFonts w:ascii="Palatino Linotype" w:eastAsia="Arial" w:hAnsi="Palatino Linotype" w:cs="Arial"/>
          <w:i/>
          <w:spacing w:val="4"/>
          <w:sz w:val="22"/>
          <w:szCs w:val="22"/>
        </w:rPr>
        <w:t xml:space="preserve"> </w:t>
      </w:r>
      <w:r w:rsidRPr="000D4651">
        <w:rPr>
          <w:rFonts w:ascii="Palatino Linotype" w:eastAsia="Arial" w:hAnsi="Palatino Linotype" w:cs="Arial"/>
          <w:i/>
          <w:spacing w:val="-1"/>
          <w:sz w:val="22"/>
          <w:szCs w:val="22"/>
        </w:rPr>
        <w:t>d</w:t>
      </w:r>
      <w:r w:rsidRPr="000D4651">
        <w:rPr>
          <w:rFonts w:ascii="Palatino Linotype" w:eastAsia="Arial" w:hAnsi="Palatino Linotype" w:cs="Arial"/>
          <w:i/>
          <w:sz w:val="22"/>
          <w:szCs w:val="22"/>
        </w:rPr>
        <w:t>e</w:t>
      </w:r>
      <w:r w:rsidRPr="000D4651">
        <w:rPr>
          <w:rFonts w:ascii="Palatino Linotype" w:eastAsia="Arial" w:hAnsi="Palatino Linotype" w:cs="Arial"/>
          <w:i/>
          <w:spacing w:val="3"/>
          <w:sz w:val="22"/>
          <w:szCs w:val="22"/>
        </w:rPr>
        <w:t xml:space="preserve"> </w:t>
      </w:r>
      <w:r w:rsidRPr="000D4651">
        <w:rPr>
          <w:rFonts w:ascii="Palatino Linotype" w:eastAsia="Arial" w:hAnsi="Palatino Linotype" w:cs="Arial"/>
          <w:i/>
          <w:sz w:val="22"/>
          <w:szCs w:val="22"/>
        </w:rPr>
        <w:t>i</w:t>
      </w:r>
      <w:r w:rsidRPr="000D4651">
        <w:rPr>
          <w:rFonts w:ascii="Palatino Linotype" w:eastAsia="Arial" w:hAnsi="Palatino Linotype" w:cs="Arial"/>
          <w:i/>
          <w:spacing w:val="-2"/>
          <w:sz w:val="22"/>
          <w:szCs w:val="22"/>
        </w:rPr>
        <w:t>n</w:t>
      </w:r>
      <w:r w:rsidRPr="000D4651">
        <w:rPr>
          <w:rFonts w:ascii="Palatino Linotype" w:eastAsia="Arial" w:hAnsi="Palatino Linotype" w:cs="Arial"/>
          <w:i/>
          <w:sz w:val="22"/>
          <w:szCs w:val="22"/>
        </w:rPr>
        <w:t>f</w:t>
      </w:r>
      <w:r w:rsidRPr="000D4651">
        <w:rPr>
          <w:rFonts w:ascii="Palatino Linotype" w:eastAsia="Arial" w:hAnsi="Palatino Linotype" w:cs="Arial"/>
          <w:i/>
          <w:spacing w:val="1"/>
          <w:sz w:val="22"/>
          <w:szCs w:val="22"/>
        </w:rPr>
        <w:t>o</w:t>
      </w:r>
      <w:r w:rsidRPr="000D4651">
        <w:rPr>
          <w:rFonts w:ascii="Palatino Linotype" w:eastAsia="Arial" w:hAnsi="Palatino Linotype" w:cs="Arial"/>
          <w:i/>
          <w:sz w:val="22"/>
          <w:szCs w:val="22"/>
        </w:rPr>
        <w:t>r</w:t>
      </w:r>
      <w:r w:rsidRPr="000D4651">
        <w:rPr>
          <w:rFonts w:ascii="Palatino Linotype" w:eastAsia="Arial" w:hAnsi="Palatino Linotype" w:cs="Arial"/>
          <w:i/>
          <w:spacing w:val="-1"/>
          <w:sz w:val="22"/>
          <w:szCs w:val="22"/>
        </w:rPr>
        <w:t>m</w:t>
      </w:r>
      <w:r w:rsidRPr="000D4651">
        <w:rPr>
          <w:rFonts w:ascii="Palatino Linotype" w:eastAsia="Arial" w:hAnsi="Palatino Linotype" w:cs="Arial"/>
          <w:i/>
          <w:spacing w:val="1"/>
          <w:sz w:val="22"/>
          <w:szCs w:val="22"/>
        </w:rPr>
        <w:t>a</w:t>
      </w:r>
      <w:r w:rsidRPr="000D4651">
        <w:rPr>
          <w:rFonts w:ascii="Palatino Linotype" w:eastAsia="Arial" w:hAnsi="Palatino Linotype" w:cs="Arial"/>
          <w:i/>
          <w:sz w:val="22"/>
          <w:szCs w:val="22"/>
        </w:rPr>
        <w:t>ció</w:t>
      </w:r>
      <w:r w:rsidRPr="000D4651">
        <w:rPr>
          <w:rFonts w:ascii="Palatino Linotype" w:eastAsia="Arial" w:hAnsi="Palatino Linotype" w:cs="Arial"/>
          <w:i/>
          <w:spacing w:val="1"/>
          <w:sz w:val="22"/>
          <w:szCs w:val="22"/>
        </w:rPr>
        <w:t>n</w:t>
      </w:r>
      <w:r w:rsidRPr="000D4651">
        <w:rPr>
          <w:rFonts w:ascii="Palatino Linotype" w:eastAsia="Arial" w:hAnsi="Palatino Linotype" w:cs="Arial"/>
          <w:i/>
          <w:sz w:val="22"/>
          <w:szCs w:val="22"/>
        </w:rPr>
        <w:t>.</w:t>
      </w:r>
    </w:p>
    <w:p w14:paraId="4F37337B" w14:textId="77777777" w:rsidR="00F41978" w:rsidRPr="000D4651" w:rsidRDefault="00F41978" w:rsidP="00F41978">
      <w:pPr>
        <w:spacing w:line="360" w:lineRule="auto"/>
        <w:jc w:val="both"/>
        <w:rPr>
          <w:rFonts w:ascii="Palatino Linotype" w:eastAsia="Palatino Linotype" w:hAnsi="Palatino Linotype" w:cs="Palatino Linotype"/>
          <w:sz w:val="22"/>
          <w:szCs w:val="22"/>
        </w:rPr>
      </w:pPr>
    </w:p>
    <w:p w14:paraId="13BECD94" w14:textId="77777777" w:rsidR="00F41978" w:rsidRPr="000D4651" w:rsidRDefault="00F41978" w:rsidP="00F41978">
      <w:pPr>
        <w:spacing w:line="360" w:lineRule="auto"/>
        <w:jc w:val="both"/>
        <w:rPr>
          <w:rFonts w:ascii="Palatino Linotype" w:eastAsia="Palatino Linotype" w:hAnsi="Palatino Linotype" w:cs="Palatino Linotype"/>
          <w:sz w:val="22"/>
          <w:szCs w:val="22"/>
        </w:rPr>
      </w:pPr>
      <w:r w:rsidRPr="000D4651">
        <w:rPr>
          <w:rFonts w:ascii="Palatino Linotype" w:eastAsia="Palatino Linotype" w:hAnsi="Palatino Linotype" w:cs="Palatino Linotype"/>
          <w:sz w:val="22"/>
          <w:szCs w:val="22"/>
        </w:rPr>
        <w:t xml:space="preserve">En ese sentido, se tiene que, la solicitud de información y parte de lo vertido en el medio de impugnación, se relacionan con el ejercicio del derecho de petición, pues se tratan de expresiones y manifestaciones personales y particulares, de las cuales no se advierte  que se requiera acceder a un documento en posesión de la autoridad, situación que, no es factible atenderse vía acceso a la información pública. </w:t>
      </w:r>
    </w:p>
    <w:p w14:paraId="19E15CB7" w14:textId="77777777" w:rsidR="00F41978" w:rsidRPr="000D4651" w:rsidRDefault="00F41978" w:rsidP="00F41978">
      <w:pPr>
        <w:spacing w:line="360" w:lineRule="auto"/>
        <w:jc w:val="both"/>
        <w:rPr>
          <w:rFonts w:ascii="Palatino Linotype" w:eastAsia="Palatino Linotype" w:hAnsi="Palatino Linotype" w:cs="Palatino Linotype"/>
          <w:sz w:val="22"/>
          <w:szCs w:val="22"/>
        </w:rPr>
      </w:pPr>
    </w:p>
    <w:p w14:paraId="75AEA9ED" w14:textId="35C7F2AF" w:rsidR="00F41978" w:rsidRPr="000D4651" w:rsidRDefault="00F41978" w:rsidP="00F41978">
      <w:pPr>
        <w:spacing w:line="360" w:lineRule="auto"/>
        <w:jc w:val="both"/>
        <w:rPr>
          <w:rFonts w:ascii="Palatino Linotype" w:eastAsia="Palatino Linotype" w:hAnsi="Palatino Linotype" w:cs="Palatino Linotype"/>
          <w:sz w:val="22"/>
          <w:szCs w:val="22"/>
        </w:rPr>
      </w:pPr>
      <w:r w:rsidRPr="000D4651">
        <w:rPr>
          <w:rFonts w:ascii="Palatino Linotype" w:eastAsia="Palatino Linotype" w:hAnsi="Palatino Linotype" w:cs="Palatino Linotype"/>
          <w:sz w:val="22"/>
          <w:szCs w:val="22"/>
        </w:rPr>
        <w:t>Asimismo, de la lectura a los requerimientos se advirtió que la parte Recurrente formuló cuestionamientos que corresponden de igual forma a cuestionamientos personales que no constituyen materia de acceso a la información pública, sino a una consulta.</w:t>
      </w:r>
    </w:p>
    <w:p w14:paraId="48B9D3F2" w14:textId="77777777" w:rsidR="00F41978" w:rsidRPr="000D4651" w:rsidRDefault="00F41978" w:rsidP="00F41978">
      <w:pPr>
        <w:spacing w:line="360" w:lineRule="auto"/>
        <w:jc w:val="both"/>
        <w:rPr>
          <w:rFonts w:ascii="Palatino Linotype" w:eastAsia="Palatino Linotype" w:hAnsi="Palatino Linotype" w:cs="Palatino Linotype"/>
          <w:b/>
          <w:sz w:val="22"/>
          <w:szCs w:val="22"/>
        </w:rPr>
      </w:pPr>
    </w:p>
    <w:p w14:paraId="617FADDD" w14:textId="77777777" w:rsidR="00F41978" w:rsidRPr="000D4651" w:rsidRDefault="00F41978" w:rsidP="00F41978">
      <w:pPr>
        <w:spacing w:line="360" w:lineRule="auto"/>
        <w:ind w:right="96"/>
        <w:jc w:val="both"/>
        <w:rPr>
          <w:rFonts w:ascii="Palatino Linotype" w:eastAsia="Palatino Linotype" w:hAnsi="Palatino Linotype" w:cs="Palatino Linotype"/>
          <w:sz w:val="22"/>
          <w:szCs w:val="22"/>
        </w:rPr>
      </w:pPr>
      <w:r w:rsidRPr="000D4651">
        <w:rPr>
          <w:rFonts w:ascii="Palatino Linotype" w:eastAsia="Palatino Linotype" w:hAnsi="Palatino Linotype" w:cs="Palatino Linotype"/>
          <w:sz w:val="22"/>
          <w:szCs w:val="22"/>
        </w:rPr>
        <w:t xml:space="preserve">Por ello, en virtud de los argumentos expuestos con anterioridad dichos requerimientos no son atendibles a través del ejercicio del derecho de acceso a la información pública. </w:t>
      </w:r>
    </w:p>
    <w:p w14:paraId="3332EBC7" w14:textId="77777777" w:rsidR="00F41978" w:rsidRPr="000D4651" w:rsidRDefault="00F41978" w:rsidP="00F41978">
      <w:pPr>
        <w:spacing w:line="360" w:lineRule="auto"/>
        <w:ind w:right="96"/>
        <w:jc w:val="both"/>
        <w:rPr>
          <w:rFonts w:ascii="Palatino Linotype" w:eastAsia="Palatino Linotype" w:hAnsi="Palatino Linotype" w:cs="Palatino Linotype"/>
          <w:sz w:val="22"/>
          <w:szCs w:val="22"/>
        </w:rPr>
      </w:pPr>
    </w:p>
    <w:p w14:paraId="48C66EF8" w14:textId="78C348AF" w:rsidR="004C090F" w:rsidRPr="000D4651" w:rsidRDefault="00F41978" w:rsidP="00F41978">
      <w:pPr>
        <w:spacing w:line="360" w:lineRule="auto"/>
        <w:ind w:right="96"/>
        <w:jc w:val="both"/>
        <w:rPr>
          <w:rFonts w:ascii="Palatino Linotype" w:eastAsia="Palatino Linotype" w:hAnsi="Palatino Linotype" w:cs="Palatino Linotype"/>
          <w:sz w:val="22"/>
          <w:szCs w:val="22"/>
        </w:rPr>
      </w:pPr>
      <w:r w:rsidRPr="000D4651">
        <w:rPr>
          <w:rFonts w:ascii="Palatino Linotype" w:eastAsia="Palatino Linotype" w:hAnsi="Palatino Linotype" w:cs="Palatino Linotype"/>
          <w:sz w:val="22"/>
          <w:szCs w:val="22"/>
        </w:rPr>
        <w:t xml:space="preserve"> </w:t>
      </w:r>
      <w:r w:rsidR="004C090F" w:rsidRPr="000D4651">
        <w:rPr>
          <w:rFonts w:ascii="Palatino Linotype" w:eastAsia="Palatino Linotype" w:hAnsi="Palatino Linotype" w:cs="Palatino Linotype"/>
          <w:sz w:val="22"/>
          <w:szCs w:val="22"/>
        </w:rPr>
        <w:t>Así, con fundamento en lo prescrito en los artículos 5 párrafos trigésimo tercero, trigésimo cuarto y trigésimo quinto de la Constitución Política del Estado Libre y Soberano de México; 2, fracción II; 29, 36 fracciones I y II; 176, 178, 181, 185 y 186 fracción II de la Ley de Transparencia y Acceso a la Información Pública del Estado de México y Municipios, este Pleno:</w:t>
      </w:r>
    </w:p>
    <w:p w14:paraId="7F9C0984" w14:textId="77777777" w:rsidR="004C090F" w:rsidRPr="000D4651" w:rsidRDefault="004C090F" w:rsidP="004C090F">
      <w:pPr>
        <w:pBdr>
          <w:top w:val="nil"/>
          <w:left w:val="nil"/>
          <w:bottom w:val="nil"/>
          <w:right w:val="nil"/>
          <w:between w:val="nil"/>
        </w:pBdr>
        <w:spacing w:before="240" w:after="240" w:line="360" w:lineRule="auto"/>
        <w:jc w:val="center"/>
        <w:rPr>
          <w:rFonts w:ascii="Palatino Linotype" w:eastAsia="Palatino Linotype" w:hAnsi="Palatino Linotype" w:cs="Palatino Linotype"/>
          <w:b/>
          <w:sz w:val="22"/>
          <w:szCs w:val="22"/>
        </w:rPr>
      </w:pPr>
      <w:bookmarkStart w:id="2" w:name="_heading=h.lnxbz9" w:colFirst="0" w:colLast="0"/>
      <w:bookmarkEnd w:id="2"/>
      <w:r w:rsidRPr="000D4651">
        <w:rPr>
          <w:rFonts w:ascii="Palatino Linotype" w:eastAsia="Palatino Linotype" w:hAnsi="Palatino Linotype" w:cs="Palatino Linotype"/>
          <w:b/>
          <w:sz w:val="22"/>
          <w:szCs w:val="22"/>
        </w:rPr>
        <w:t>III. R E S U E L V E</w:t>
      </w:r>
    </w:p>
    <w:p w14:paraId="2025FC99" w14:textId="113C0DFE" w:rsidR="004C090F" w:rsidRPr="000D4651" w:rsidRDefault="004C090F" w:rsidP="004C090F">
      <w:pPr>
        <w:spacing w:before="160" w:line="360" w:lineRule="auto"/>
        <w:jc w:val="both"/>
        <w:rPr>
          <w:rFonts w:ascii="Palatino Linotype" w:eastAsia="Palatino Linotype" w:hAnsi="Palatino Linotype" w:cs="Palatino Linotype"/>
          <w:sz w:val="22"/>
          <w:szCs w:val="22"/>
        </w:rPr>
      </w:pPr>
      <w:bookmarkStart w:id="3" w:name="_heading=h.1fob9te" w:colFirst="0" w:colLast="0"/>
      <w:bookmarkEnd w:id="3"/>
      <w:r w:rsidRPr="000D4651">
        <w:rPr>
          <w:rFonts w:ascii="Palatino Linotype" w:eastAsia="Palatino Linotype" w:hAnsi="Palatino Linotype" w:cs="Palatino Linotype"/>
          <w:b/>
          <w:sz w:val="22"/>
          <w:szCs w:val="22"/>
        </w:rPr>
        <w:t xml:space="preserve">Primero. </w:t>
      </w:r>
      <w:r w:rsidRPr="000D4651">
        <w:rPr>
          <w:rFonts w:ascii="Palatino Linotype" w:eastAsia="Palatino Linotype" w:hAnsi="Palatino Linotype" w:cs="Palatino Linotype"/>
          <w:sz w:val="22"/>
          <w:szCs w:val="22"/>
        </w:rPr>
        <w:t>Se</w:t>
      </w:r>
      <w:r w:rsidRPr="000D4651">
        <w:rPr>
          <w:rFonts w:ascii="Palatino Linotype" w:eastAsia="Palatino Linotype" w:hAnsi="Palatino Linotype" w:cs="Palatino Linotype"/>
          <w:b/>
          <w:sz w:val="22"/>
          <w:szCs w:val="22"/>
        </w:rPr>
        <w:t xml:space="preserve"> Sobresee </w:t>
      </w:r>
      <w:r w:rsidRPr="000D4651">
        <w:rPr>
          <w:rFonts w:ascii="Palatino Linotype" w:eastAsia="Palatino Linotype" w:hAnsi="Palatino Linotype" w:cs="Palatino Linotype"/>
          <w:sz w:val="22"/>
          <w:szCs w:val="22"/>
        </w:rPr>
        <w:t xml:space="preserve">el recurso de revisión número </w:t>
      </w:r>
      <w:r w:rsidR="00246B4C" w:rsidRPr="000D4651">
        <w:rPr>
          <w:rFonts w:ascii="Palatino Linotype" w:eastAsia="Palatino Linotype" w:hAnsi="Palatino Linotype" w:cs="Palatino Linotype"/>
          <w:b/>
          <w:sz w:val="22"/>
          <w:szCs w:val="22"/>
        </w:rPr>
        <w:t>06554/INFOEM/IP/RR/2024</w:t>
      </w:r>
      <w:r w:rsidRPr="000D4651">
        <w:rPr>
          <w:rFonts w:ascii="Palatino Linotype" w:eastAsia="Palatino Linotype" w:hAnsi="Palatino Linotype" w:cs="Palatino Linotype"/>
          <w:b/>
          <w:sz w:val="22"/>
          <w:szCs w:val="22"/>
        </w:rPr>
        <w:t xml:space="preserve">, </w:t>
      </w:r>
      <w:r w:rsidRPr="000D4651">
        <w:rPr>
          <w:rFonts w:ascii="Palatino Linotype" w:eastAsia="Palatino Linotype" w:hAnsi="Palatino Linotype" w:cs="Palatino Linotype"/>
          <w:sz w:val="22"/>
          <w:szCs w:val="22"/>
        </w:rPr>
        <w:t xml:space="preserve">porque al </w:t>
      </w:r>
      <w:r w:rsidRPr="000D4651">
        <w:rPr>
          <w:rFonts w:ascii="Palatino Linotype" w:eastAsia="Palatino Linotype" w:hAnsi="Palatino Linotype" w:cs="Palatino Linotype"/>
          <w:b/>
          <w:sz w:val="22"/>
          <w:szCs w:val="22"/>
        </w:rPr>
        <w:t>modificar la respuesta</w:t>
      </w:r>
      <w:r w:rsidRPr="000D4651">
        <w:rPr>
          <w:rFonts w:ascii="Palatino Linotype" w:eastAsia="Palatino Linotype" w:hAnsi="Palatino Linotype" w:cs="Palatino Linotype"/>
          <w:sz w:val="22"/>
          <w:szCs w:val="22"/>
        </w:rPr>
        <w:t xml:space="preserve"> se actualizó la causal prevista en el artículo 192, fracción III, de la Ley de Transparencia y Acceso a la Información Pública del Estado de México y Municipios, quedando sin materia en términos del considerando </w:t>
      </w:r>
      <w:r w:rsidRPr="000D4651">
        <w:rPr>
          <w:rFonts w:ascii="Palatino Linotype" w:eastAsia="Palatino Linotype" w:hAnsi="Palatino Linotype" w:cs="Palatino Linotype"/>
          <w:b/>
          <w:sz w:val="22"/>
          <w:szCs w:val="22"/>
        </w:rPr>
        <w:t xml:space="preserve">Tercero </w:t>
      </w:r>
      <w:r w:rsidRPr="000D4651">
        <w:rPr>
          <w:rFonts w:ascii="Palatino Linotype" w:eastAsia="Palatino Linotype" w:hAnsi="Palatino Linotype" w:cs="Palatino Linotype"/>
          <w:sz w:val="22"/>
          <w:szCs w:val="22"/>
        </w:rPr>
        <w:t>de la presente Resolución.</w:t>
      </w:r>
    </w:p>
    <w:p w14:paraId="6C5845EE" w14:textId="6ED58E40" w:rsidR="004C090F" w:rsidRPr="000D4651" w:rsidRDefault="004C090F" w:rsidP="004C090F">
      <w:pPr>
        <w:spacing w:before="240" w:after="240" w:line="360" w:lineRule="auto"/>
        <w:jc w:val="both"/>
        <w:rPr>
          <w:rFonts w:ascii="Palatino Linotype" w:eastAsia="Palatino Linotype" w:hAnsi="Palatino Linotype" w:cs="Palatino Linotype"/>
          <w:sz w:val="22"/>
          <w:szCs w:val="22"/>
        </w:rPr>
      </w:pPr>
      <w:r w:rsidRPr="000D4651">
        <w:rPr>
          <w:rFonts w:ascii="Palatino Linotype" w:eastAsia="Palatino Linotype" w:hAnsi="Palatino Linotype" w:cs="Palatino Linotype"/>
          <w:b/>
          <w:sz w:val="22"/>
          <w:szCs w:val="22"/>
        </w:rPr>
        <w:t xml:space="preserve">Segundo. Notifíquese, </w:t>
      </w:r>
      <w:r w:rsidRPr="000D4651">
        <w:rPr>
          <w:rFonts w:ascii="Palatino Linotype" w:eastAsia="Palatino Linotype" w:hAnsi="Palatino Linotype" w:cs="Palatino Linotype"/>
          <w:sz w:val="22"/>
          <w:szCs w:val="22"/>
        </w:rPr>
        <w:t>vía</w:t>
      </w:r>
      <w:r w:rsidRPr="000D4651">
        <w:rPr>
          <w:rFonts w:ascii="Palatino Linotype" w:eastAsia="Palatino Linotype" w:hAnsi="Palatino Linotype" w:cs="Palatino Linotype"/>
          <w:b/>
          <w:sz w:val="22"/>
          <w:szCs w:val="22"/>
        </w:rPr>
        <w:t xml:space="preserve"> SAIMEX</w:t>
      </w:r>
      <w:r w:rsidRPr="000D4651">
        <w:rPr>
          <w:rFonts w:ascii="Palatino Linotype" w:eastAsia="Palatino Linotype" w:hAnsi="Palatino Linotype" w:cs="Palatino Linotype"/>
          <w:b/>
          <w:i/>
          <w:sz w:val="22"/>
          <w:szCs w:val="22"/>
        </w:rPr>
        <w:t xml:space="preserve">, </w:t>
      </w:r>
      <w:r w:rsidRPr="000D4651">
        <w:rPr>
          <w:rFonts w:ascii="Palatino Linotype" w:eastAsia="Palatino Linotype" w:hAnsi="Palatino Linotype" w:cs="Palatino Linotype"/>
          <w:sz w:val="22"/>
          <w:szCs w:val="22"/>
        </w:rPr>
        <w:t xml:space="preserve">al Titular de la Unidad de Transparencia del </w:t>
      </w:r>
      <w:r w:rsidRPr="000D4651">
        <w:rPr>
          <w:rFonts w:ascii="Palatino Linotype" w:eastAsia="Palatino Linotype" w:hAnsi="Palatino Linotype" w:cs="Palatino Linotype"/>
          <w:b/>
          <w:sz w:val="22"/>
          <w:szCs w:val="22"/>
        </w:rPr>
        <w:t>Sujeto Obligado</w:t>
      </w:r>
      <w:r w:rsidRPr="000D4651">
        <w:rPr>
          <w:rFonts w:ascii="Palatino Linotype" w:eastAsia="Palatino Linotype" w:hAnsi="Palatino Linotype" w:cs="Palatino Linotype"/>
          <w:sz w:val="22"/>
          <w:szCs w:val="22"/>
        </w:rPr>
        <w:t xml:space="preserve"> la presente resolución, para su conocimiento.</w:t>
      </w:r>
      <w:r w:rsidR="002771B8" w:rsidRPr="000D4651">
        <w:rPr>
          <w:rFonts w:ascii="Palatino Linotype" w:eastAsia="Palatino Linotype" w:hAnsi="Palatino Linotype" w:cs="Palatino Linotype"/>
          <w:sz w:val="22"/>
          <w:szCs w:val="22"/>
        </w:rPr>
        <w:t xml:space="preserve"> </w:t>
      </w:r>
    </w:p>
    <w:p w14:paraId="117FBF30" w14:textId="77777777" w:rsidR="004C090F" w:rsidRPr="000D4651" w:rsidRDefault="004C090F" w:rsidP="004C090F">
      <w:pPr>
        <w:spacing w:before="240" w:after="240" w:line="360" w:lineRule="auto"/>
        <w:jc w:val="both"/>
        <w:rPr>
          <w:rFonts w:ascii="Palatino Linotype" w:eastAsia="Palatino Linotype" w:hAnsi="Palatino Linotype" w:cs="Palatino Linotype"/>
          <w:sz w:val="22"/>
          <w:szCs w:val="22"/>
        </w:rPr>
      </w:pPr>
      <w:bookmarkStart w:id="4" w:name="_heading=h.26in1rg" w:colFirst="0" w:colLast="0"/>
      <w:bookmarkEnd w:id="4"/>
      <w:r w:rsidRPr="000D4651">
        <w:rPr>
          <w:rFonts w:ascii="Palatino Linotype" w:eastAsia="Palatino Linotype" w:hAnsi="Palatino Linotype" w:cs="Palatino Linotype"/>
          <w:b/>
          <w:sz w:val="22"/>
          <w:szCs w:val="22"/>
        </w:rPr>
        <w:t xml:space="preserve">Tercero. Notifíquese, </w:t>
      </w:r>
      <w:r w:rsidRPr="000D4651">
        <w:rPr>
          <w:rFonts w:ascii="Palatino Linotype" w:eastAsia="Palatino Linotype" w:hAnsi="Palatino Linotype" w:cs="Palatino Linotype"/>
          <w:sz w:val="22"/>
          <w:szCs w:val="22"/>
        </w:rPr>
        <w:t>vía</w:t>
      </w:r>
      <w:r w:rsidRPr="000D4651">
        <w:rPr>
          <w:rFonts w:ascii="Palatino Linotype" w:eastAsia="Palatino Linotype" w:hAnsi="Palatino Linotype" w:cs="Palatino Linotype"/>
          <w:b/>
          <w:sz w:val="22"/>
          <w:szCs w:val="22"/>
        </w:rPr>
        <w:t xml:space="preserve"> SAIMEX</w:t>
      </w:r>
      <w:r w:rsidRPr="000D4651">
        <w:rPr>
          <w:rFonts w:ascii="Palatino Linotype" w:eastAsia="Palatino Linotype" w:hAnsi="Palatino Linotype" w:cs="Palatino Linotype"/>
          <w:sz w:val="22"/>
          <w:szCs w:val="22"/>
        </w:rPr>
        <w:t>, a</w:t>
      </w:r>
      <w:r w:rsidRPr="000D4651">
        <w:rPr>
          <w:rFonts w:ascii="Palatino Linotype" w:eastAsia="Palatino Linotype" w:hAnsi="Palatino Linotype" w:cs="Palatino Linotype"/>
          <w:b/>
          <w:sz w:val="22"/>
          <w:szCs w:val="22"/>
        </w:rPr>
        <w:t xml:space="preserve"> </w:t>
      </w:r>
      <w:r w:rsidRPr="000D4651">
        <w:rPr>
          <w:rFonts w:ascii="Palatino Linotype" w:eastAsia="Palatino Linotype" w:hAnsi="Palatino Linotype" w:cs="Palatino Linotype"/>
          <w:sz w:val="22"/>
          <w:szCs w:val="22"/>
        </w:rPr>
        <w:t xml:space="preserve">la parte </w:t>
      </w:r>
      <w:r w:rsidRPr="000D4651">
        <w:rPr>
          <w:rFonts w:ascii="Palatino Linotype" w:eastAsia="Palatino Linotype" w:hAnsi="Palatino Linotype" w:cs="Palatino Linotype"/>
          <w:b/>
          <w:sz w:val="22"/>
          <w:szCs w:val="22"/>
        </w:rPr>
        <w:t>Recurrente</w:t>
      </w:r>
      <w:r w:rsidRPr="000D4651">
        <w:rPr>
          <w:rFonts w:ascii="Palatino Linotype" w:eastAsia="Palatino Linotype" w:hAnsi="Palatino Linotype" w:cs="Palatino Linotype"/>
          <w:sz w:val="22"/>
          <w:szCs w:val="22"/>
        </w:rPr>
        <w:t xml:space="preserve"> la presente resolución, así como, que de conformidad con lo establecido en el artículo 196 de la Ley de Transparencia y Acceso a la Información Pública del Estado de México y Municipios, podrá impugnarla vía el Juicio de Amparo en los términos de las leyes aplicables.</w:t>
      </w:r>
    </w:p>
    <w:p w14:paraId="1A1357A5" w14:textId="7C7F6973" w:rsidR="00397333" w:rsidRPr="000D4651" w:rsidRDefault="00B16908" w:rsidP="00FF2F15">
      <w:pPr>
        <w:spacing w:line="360" w:lineRule="auto"/>
        <w:jc w:val="both"/>
        <w:rPr>
          <w:rFonts w:ascii="Palatino Linotype" w:eastAsia="Palatino Linotype" w:hAnsi="Palatino Linotype" w:cs="Palatino Linotype"/>
          <w:sz w:val="22"/>
          <w:szCs w:val="22"/>
        </w:rPr>
        <w:sectPr w:rsidR="00397333" w:rsidRPr="000D4651">
          <w:headerReference w:type="default" r:id="rId9"/>
          <w:footerReference w:type="default" r:id="rId10"/>
          <w:headerReference w:type="first" r:id="rId11"/>
          <w:footerReference w:type="first" r:id="rId12"/>
          <w:pgSz w:w="12240" w:h="15840"/>
          <w:pgMar w:top="2041" w:right="1701" w:bottom="1701" w:left="1701" w:header="709" w:footer="709" w:gutter="0"/>
          <w:pgNumType w:start="1"/>
          <w:cols w:space="720"/>
          <w:titlePg/>
        </w:sectPr>
      </w:pPr>
      <w:r w:rsidRPr="000D4651">
        <w:rPr>
          <w:rFonts w:ascii="Palatino Linotype" w:eastAsia="Palatino Linotype" w:hAnsi="Palatino Linotype" w:cs="Palatino Linotype"/>
          <w:sz w:val="22"/>
          <w:szCs w:val="22"/>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w:t>
      </w:r>
      <w:r w:rsidR="00E22C26" w:rsidRPr="000D4651">
        <w:rPr>
          <w:rFonts w:ascii="Palatino Linotype" w:eastAsia="Palatino Linotype" w:hAnsi="Palatino Linotype" w:cs="Palatino Linotype"/>
          <w:sz w:val="22"/>
          <w:szCs w:val="22"/>
        </w:rPr>
        <w:t xml:space="preserve"> GUADALUPE RAMÍREZ PEÑA; EN L</w:t>
      </w:r>
      <w:r w:rsidR="00BF44D5" w:rsidRPr="000D4651">
        <w:rPr>
          <w:rFonts w:ascii="Palatino Linotype" w:eastAsia="Palatino Linotype" w:hAnsi="Palatino Linotype" w:cs="Palatino Linotype"/>
          <w:sz w:val="22"/>
          <w:szCs w:val="22"/>
        </w:rPr>
        <w:t xml:space="preserve">A </w:t>
      </w:r>
      <w:r w:rsidR="00246B4C" w:rsidRPr="000D4651">
        <w:rPr>
          <w:rFonts w:ascii="Palatino Linotype" w:eastAsia="Palatino Linotype" w:hAnsi="Palatino Linotype" w:cs="Palatino Linotype"/>
          <w:sz w:val="22"/>
          <w:szCs w:val="22"/>
        </w:rPr>
        <w:t>CUADRAGÉSIMA</w:t>
      </w:r>
      <w:r w:rsidR="00BF44D5" w:rsidRPr="000D4651">
        <w:rPr>
          <w:rFonts w:ascii="Palatino Linotype" w:eastAsia="Palatino Linotype" w:hAnsi="Palatino Linotype" w:cs="Palatino Linotype"/>
          <w:sz w:val="22"/>
          <w:szCs w:val="22"/>
        </w:rPr>
        <w:t xml:space="preserve"> </w:t>
      </w:r>
      <w:r w:rsidRPr="000D4651">
        <w:rPr>
          <w:rFonts w:ascii="Palatino Linotype" w:eastAsia="Palatino Linotype" w:hAnsi="Palatino Linotype" w:cs="Palatino Linotype"/>
          <w:sz w:val="22"/>
          <w:szCs w:val="22"/>
        </w:rPr>
        <w:t xml:space="preserve">SESIÓN ORDINARIA CELEBRADA </w:t>
      </w:r>
      <w:r w:rsidR="00BF44D5" w:rsidRPr="000D4651">
        <w:rPr>
          <w:rFonts w:ascii="Palatino Linotype" w:eastAsia="Palatino Linotype" w:hAnsi="Palatino Linotype" w:cs="Palatino Linotype"/>
          <w:sz w:val="22"/>
          <w:szCs w:val="22"/>
        </w:rPr>
        <w:t xml:space="preserve">EL </w:t>
      </w:r>
      <w:r w:rsidR="00246B4C" w:rsidRPr="000D4651">
        <w:rPr>
          <w:rFonts w:ascii="Palatino Linotype" w:eastAsia="Palatino Linotype" w:hAnsi="Palatino Linotype" w:cs="Palatino Linotype"/>
          <w:sz w:val="22"/>
          <w:szCs w:val="22"/>
        </w:rPr>
        <w:t>VEINTIUNO</w:t>
      </w:r>
      <w:r w:rsidR="00CF0C63" w:rsidRPr="000D4651">
        <w:rPr>
          <w:rFonts w:ascii="Palatino Linotype" w:eastAsia="Palatino Linotype" w:hAnsi="Palatino Linotype" w:cs="Palatino Linotype"/>
          <w:sz w:val="22"/>
          <w:szCs w:val="22"/>
        </w:rPr>
        <w:t xml:space="preserve"> </w:t>
      </w:r>
      <w:r w:rsidR="00BF44D5" w:rsidRPr="000D4651">
        <w:rPr>
          <w:rFonts w:ascii="Palatino Linotype" w:eastAsia="Palatino Linotype" w:hAnsi="Palatino Linotype" w:cs="Palatino Linotype"/>
          <w:sz w:val="22"/>
          <w:szCs w:val="22"/>
        </w:rPr>
        <w:t xml:space="preserve">DE </w:t>
      </w:r>
      <w:r w:rsidR="00CF0C63" w:rsidRPr="000D4651">
        <w:rPr>
          <w:rFonts w:ascii="Palatino Linotype" w:eastAsia="Palatino Linotype" w:hAnsi="Palatino Linotype" w:cs="Palatino Linotype"/>
          <w:sz w:val="22"/>
          <w:szCs w:val="22"/>
        </w:rPr>
        <w:t>NOVIEMBRE</w:t>
      </w:r>
      <w:r w:rsidR="00BF44D5" w:rsidRPr="000D4651">
        <w:rPr>
          <w:rFonts w:ascii="Palatino Linotype" w:eastAsia="Palatino Linotype" w:hAnsi="Palatino Linotype" w:cs="Palatino Linotype"/>
          <w:sz w:val="22"/>
          <w:szCs w:val="22"/>
        </w:rPr>
        <w:t xml:space="preserve"> DE DOS MIL VEINTICUATRO </w:t>
      </w:r>
      <w:r w:rsidRPr="000D4651">
        <w:rPr>
          <w:rFonts w:ascii="Palatino Linotype" w:eastAsia="Palatino Linotype" w:hAnsi="Palatino Linotype" w:cs="Palatino Linotype"/>
          <w:sz w:val="22"/>
          <w:szCs w:val="22"/>
        </w:rPr>
        <w:t>ANTE EL SECRETARIO TÉCNICO DEL PLENO ALEXIS TAPIA RAMÍREZ</w:t>
      </w:r>
      <w:r w:rsidR="00E22C26" w:rsidRPr="000D4651">
        <w:rPr>
          <w:rFonts w:ascii="Palatino Linotype" w:eastAsia="Palatino Linotype" w:hAnsi="Palatino Linotype" w:cs="Palatino Linotype"/>
          <w:sz w:val="22"/>
          <w:szCs w:val="22"/>
        </w:rPr>
        <w:t xml:space="preserve">.                             </w:t>
      </w:r>
    </w:p>
    <w:p w14:paraId="731620FE" w14:textId="77777777" w:rsidR="00397333" w:rsidRPr="000D4651" w:rsidRDefault="00397333" w:rsidP="00FF2F15">
      <w:pPr>
        <w:spacing w:line="360" w:lineRule="auto"/>
        <w:jc w:val="both"/>
        <w:rPr>
          <w:rFonts w:ascii="Palatino Linotype" w:eastAsia="Palatino Linotype" w:hAnsi="Palatino Linotype" w:cs="Palatino Linotype"/>
          <w:sz w:val="22"/>
          <w:szCs w:val="22"/>
        </w:rPr>
      </w:pPr>
    </w:p>
    <w:p w14:paraId="1732653D" w14:textId="77777777" w:rsidR="00F61110" w:rsidRPr="000D4651" w:rsidRDefault="00F61110">
      <w:pPr>
        <w:spacing w:line="360" w:lineRule="auto"/>
        <w:jc w:val="both"/>
        <w:rPr>
          <w:rFonts w:ascii="Palatino Linotype" w:eastAsia="Palatino Linotype" w:hAnsi="Palatino Linotype" w:cs="Palatino Linotype"/>
          <w:sz w:val="22"/>
          <w:szCs w:val="22"/>
        </w:rPr>
      </w:pPr>
    </w:p>
    <w:sectPr w:rsidR="00F61110" w:rsidRPr="000D4651">
      <w:headerReference w:type="first" r:id="rId13"/>
      <w:pgSz w:w="12240" w:h="15840"/>
      <w:pgMar w:top="2041"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31DE1" w14:textId="77777777" w:rsidR="00E715F0" w:rsidRDefault="00E715F0">
      <w:r>
        <w:separator/>
      </w:r>
    </w:p>
  </w:endnote>
  <w:endnote w:type="continuationSeparator" w:id="0">
    <w:p w14:paraId="63F91945" w14:textId="77777777" w:rsidR="00E715F0" w:rsidRDefault="00E71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auto"/>
    <w:notTrueType/>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15CAD" w14:textId="77777777" w:rsidR="00240E05" w:rsidRDefault="00240E05">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19261A">
      <w:rPr>
        <w:rFonts w:ascii="Arial" w:eastAsia="Arial" w:hAnsi="Arial" w:cs="Arial"/>
        <w:b/>
        <w:noProof/>
        <w:color w:val="000000"/>
        <w:sz w:val="20"/>
        <w:szCs w:val="20"/>
      </w:rPr>
      <w:t>36</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19261A">
      <w:rPr>
        <w:rFonts w:ascii="Arial" w:eastAsia="Arial" w:hAnsi="Arial" w:cs="Arial"/>
        <w:b/>
        <w:noProof/>
        <w:color w:val="000000"/>
        <w:sz w:val="20"/>
        <w:szCs w:val="20"/>
      </w:rPr>
      <w:t>37</w:t>
    </w:r>
    <w:r>
      <w:rPr>
        <w:rFonts w:ascii="Arial" w:eastAsia="Arial" w:hAnsi="Arial" w:cs="Arial"/>
        <w:b/>
        <w:color w:val="000000"/>
        <w:sz w:val="20"/>
        <w:szCs w:val="20"/>
      </w:rPr>
      <w:fldChar w:fldCharType="end"/>
    </w:r>
  </w:p>
  <w:p w14:paraId="74FD0940" w14:textId="77777777" w:rsidR="00240E05" w:rsidRDefault="00240E05">
    <w:pPr>
      <w:pBdr>
        <w:top w:val="nil"/>
        <w:left w:val="nil"/>
        <w:bottom w:val="nil"/>
        <w:right w:val="nil"/>
        <w:between w:val="nil"/>
      </w:pBdr>
      <w:tabs>
        <w:tab w:val="center" w:pos="4252"/>
        <w:tab w:val="right" w:pos="8504"/>
      </w:tabs>
      <w:rPr>
        <w:color w:val="000000"/>
      </w:rPr>
    </w:pPr>
  </w:p>
  <w:p w14:paraId="2A58C321" w14:textId="77777777" w:rsidR="00240E05" w:rsidRDefault="00240E05">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B0492" w14:textId="77777777" w:rsidR="00240E05" w:rsidRDefault="00240E05">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19261A">
      <w:rPr>
        <w:rFonts w:ascii="Arial" w:eastAsia="Arial" w:hAnsi="Arial" w:cs="Arial"/>
        <w:b/>
        <w:noProof/>
        <w:color w:val="000000"/>
        <w:sz w:val="20"/>
        <w:szCs w:val="20"/>
      </w:rPr>
      <w:t>37</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19261A">
      <w:rPr>
        <w:rFonts w:ascii="Arial" w:eastAsia="Arial" w:hAnsi="Arial" w:cs="Arial"/>
        <w:b/>
        <w:noProof/>
        <w:color w:val="000000"/>
        <w:sz w:val="20"/>
        <w:szCs w:val="20"/>
      </w:rPr>
      <w:t>37</w:t>
    </w:r>
    <w:r>
      <w:rPr>
        <w:rFonts w:ascii="Arial" w:eastAsia="Arial" w:hAnsi="Arial" w:cs="Arial"/>
        <w:b/>
        <w:color w:val="000000"/>
        <w:sz w:val="20"/>
        <w:szCs w:val="20"/>
      </w:rPr>
      <w:fldChar w:fldCharType="end"/>
    </w:r>
  </w:p>
  <w:p w14:paraId="086B091E" w14:textId="77777777" w:rsidR="00240E05" w:rsidRDefault="00240E05">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EE9CC" w14:textId="77777777" w:rsidR="00E715F0" w:rsidRDefault="00E715F0">
      <w:r>
        <w:separator/>
      </w:r>
    </w:p>
  </w:footnote>
  <w:footnote w:type="continuationSeparator" w:id="0">
    <w:p w14:paraId="0C49E9D0" w14:textId="77777777" w:rsidR="00E715F0" w:rsidRDefault="00E715F0">
      <w:r>
        <w:continuationSeparator/>
      </w:r>
    </w:p>
  </w:footnote>
  <w:footnote w:id="1">
    <w:p w14:paraId="6CD65480" w14:textId="77777777" w:rsidR="00240E05" w:rsidRDefault="00240E05" w:rsidP="004C090F">
      <w:pP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Cuerpo de tesis:</w:t>
      </w:r>
      <w:r>
        <w:rPr>
          <w:rFonts w:ascii="Palatino Linotype" w:eastAsia="Palatino Linotype" w:hAnsi="Palatino Linotype" w:cs="Palatino Linotype"/>
          <w:color w:val="000000"/>
          <w:sz w:val="16"/>
          <w:szCs w:val="16"/>
        </w:rPr>
        <w:t xml:space="preserve"> No causa agravio la sentencia que no se ocupa de los razonamientos tendientes a demostrar la inconstitucionalidad de los actos reclamados de las autoridades responsables, que constituyen el problema de fondo, si se decreta el sobreseimiento del juicio.</w:t>
      </w:r>
    </w:p>
    <w:p w14:paraId="757497F3" w14:textId="77777777" w:rsidR="00240E05" w:rsidRDefault="00240E05" w:rsidP="004C090F">
      <w:pP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b/>
          <w:color w:val="000000"/>
          <w:sz w:val="16"/>
          <w:szCs w:val="16"/>
        </w:rPr>
        <w:t>Localización</w:t>
      </w:r>
      <w:r>
        <w:rPr>
          <w:rFonts w:ascii="Palatino Linotype" w:eastAsia="Palatino Linotype" w:hAnsi="Palatino Linotype" w:cs="Palatino Linotype"/>
          <w:color w:val="000000"/>
          <w:sz w:val="16"/>
          <w:szCs w:val="16"/>
        </w:rPr>
        <w:t>: 2</w:t>
      </w:r>
      <w:r>
        <w:rPr>
          <w:rFonts w:ascii="Palatino Linotype" w:eastAsia="Palatino Linotype" w:hAnsi="Palatino Linotype" w:cs="Palatino Linotype"/>
          <w:color w:val="000000"/>
          <w:sz w:val="16"/>
          <w:szCs w:val="16"/>
          <w:highlight w:val="white"/>
        </w:rPr>
        <w:t>13609. II.2o.183 K. Tribunales Colegiados de Circuito. Octava Época. Semanario Judicial de la Federación. Tomo XIII, Febrero de 1994, Pág. 420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5A884" w14:textId="00E0108E" w:rsidR="00240E05" w:rsidRDefault="00240E05">
    <w:pPr>
      <w:widowControl w:val="0"/>
      <w:pBdr>
        <w:top w:val="nil"/>
        <w:left w:val="nil"/>
        <w:bottom w:val="nil"/>
        <w:right w:val="nil"/>
        <w:between w:val="nil"/>
      </w:pBdr>
      <w:spacing w:line="276" w:lineRule="auto"/>
      <w:rPr>
        <w:rFonts w:ascii="Calibri" w:eastAsia="Calibri" w:hAnsi="Calibri" w:cs="Calibri"/>
        <w:color w:val="000000"/>
      </w:rPr>
    </w:pPr>
    <w:r>
      <w:rPr>
        <w:noProof/>
        <w:lang w:val="es-MX" w:eastAsia="es-MX"/>
      </w:rPr>
      <w:drawing>
        <wp:anchor distT="0" distB="0" distL="0" distR="0" simplePos="0" relativeHeight="251658240" behindDoc="1" locked="0" layoutInCell="1" hidden="0" allowOverlap="1" wp14:anchorId="6A6EFE51" wp14:editId="366663F9">
          <wp:simplePos x="0" y="0"/>
          <wp:positionH relativeFrom="column">
            <wp:posOffset>-781050</wp:posOffset>
          </wp:positionH>
          <wp:positionV relativeFrom="paragraph">
            <wp:posOffset>-316865</wp:posOffset>
          </wp:positionV>
          <wp:extent cx="7809876" cy="10165823"/>
          <wp:effectExtent l="0" t="0" r="0" b="0"/>
          <wp:wrapNone/>
          <wp:docPr id="3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0"/>
      <w:tblW w:w="5528" w:type="dxa"/>
      <w:tblInd w:w="3261" w:type="dxa"/>
      <w:tblLayout w:type="fixed"/>
      <w:tblLook w:val="0400" w:firstRow="0" w:lastRow="0" w:firstColumn="0" w:lastColumn="0" w:noHBand="0" w:noVBand="1"/>
    </w:tblPr>
    <w:tblGrid>
      <w:gridCol w:w="2551"/>
      <w:gridCol w:w="2977"/>
    </w:tblGrid>
    <w:tr w:rsidR="00240E05" w14:paraId="410F6866" w14:textId="77777777">
      <w:tc>
        <w:tcPr>
          <w:tcW w:w="2551" w:type="dxa"/>
          <w:vAlign w:val="center"/>
        </w:tcPr>
        <w:p w14:paraId="4F3EC25E" w14:textId="77777777" w:rsidR="00240E05" w:rsidRDefault="00240E0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vAlign w:val="center"/>
        </w:tcPr>
        <w:p w14:paraId="35B37800" w14:textId="0BB3219C" w:rsidR="00240E05" w:rsidRDefault="00240E05">
          <w:pPr>
            <w:jc w:val="both"/>
            <w:rPr>
              <w:rFonts w:ascii="Palatino Linotype" w:eastAsia="Palatino Linotype" w:hAnsi="Palatino Linotype" w:cs="Palatino Linotype"/>
              <w:b/>
              <w:sz w:val="22"/>
              <w:szCs w:val="22"/>
            </w:rPr>
          </w:pPr>
          <w:r w:rsidRPr="003E0630">
            <w:rPr>
              <w:rFonts w:ascii="Palatino Linotype" w:eastAsia="Palatino Linotype" w:hAnsi="Palatino Linotype" w:cs="Palatino Linotype"/>
              <w:b/>
              <w:sz w:val="22"/>
              <w:szCs w:val="22"/>
            </w:rPr>
            <w:t>0</w:t>
          </w:r>
          <w:r>
            <w:rPr>
              <w:rFonts w:ascii="Palatino Linotype" w:eastAsia="Palatino Linotype" w:hAnsi="Palatino Linotype" w:cs="Palatino Linotype"/>
              <w:b/>
              <w:sz w:val="22"/>
              <w:szCs w:val="22"/>
            </w:rPr>
            <w:t>6554</w:t>
          </w:r>
          <w:r w:rsidRPr="003E0630">
            <w:rPr>
              <w:rFonts w:ascii="Palatino Linotype" w:eastAsia="Palatino Linotype" w:hAnsi="Palatino Linotype" w:cs="Palatino Linotype"/>
              <w:b/>
              <w:sz w:val="22"/>
              <w:szCs w:val="22"/>
            </w:rPr>
            <w:t>/INFOEM/IP/RR/2024</w:t>
          </w:r>
        </w:p>
      </w:tc>
    </w:tr>
    <w:tr w:rsidR="00240E05" w14:paraId="7FF3BFBA" w14:textId="77777777">
      <w:trPr>
        <w:trHeight w:val="228"/>
      </w:trPr>
      <w:tc>
        <w:tcPr>
          <w:tcW w:w="2551" w:type="dxa"/>
          <w:vAlign w:val="center"/>
        </w:tcPr>
        <w:p w14:paraId="2DC18B76" w14:textId="23061242" w:rsidR="00240E05" w:rsidRDefault="00240E0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2977" w:type="dxa"/>
          <w:vAlign w:val="center"/>
        </w:tcPr>
        <w:p w14:paraId="750FF33F" w14:textId="142DC4E5" w:rsidR="00240E05" w:rsidRDefault="00240E05" w:rsidP="003F321D">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Secretaría de Finanzas</w:t>
          </w:r>
        </w:p>
      </w:tc>
    </w:tr>
    <w:tr w:rsidR="00240E05" w14:paraId="4B680A7E" w14:textId="77777777">
      <w:tc>
        <w:tcPr>
          <w:tcW w:w="2551" w:type="dxa"/>
          <w:vAlign w:val="center"/>
        </w:tcPr>
        <w:p w14:paraId="450F4EE9" w14:textId="77777777" w:rsidR="00240E05" w:rsidRDefault="00240E0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vAlign w:val="center"/>
        </w:tcPr>
        <w:p w14:paraId="775322B9" w14:textId="77777777" w:rsidR="00240E05" w:rsidRDefault="00240E05">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1676434" w14:textId="13F3891E" w:rsidR="00240E05" w:rsidRDefault="00240E05">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D04DC" w14:textId="77777777" w:rsidR="00240E05" w:rsidRDefault="00240E05">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59264" behindDoc="1" locked="0" layoutInCell="1" hidden="0" allowOverlap="1" wp14:anchorId="2EE867EB" wp14:editId="24E76882">
          <wp:simplePos x="0" y="0"/>
          <wp:positionH relativeFrom="column">
            <wp:posOffset>-798194</wp:posOffset>
          </wp:positionH>
          <wp:positionV relativeFrom="paragraph">
            <wp:posOffset>-399414</wp:posOffset>
          </wp:positionV>
          <wp:extent cx="7809876" cy="10165823"/>
          <wp:effectExtent l="0" t="0" r="0" b="0"/>
          <wp:wrapNone/>
          <wp:docPr id="3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
      <w:tblW w:w="5670" w:type="dxa"/>
      <w:tblInd w:w="3119" w:type="dxa"/>
      <w:tblLayout w:type="fixed"/>
      <w:tblLook w:val="0400" w:firstRow="0" w:lastRow="0" w:firstColumn="0" w:lastColumn="0" w:noHBand="0" w:noVBand="1"/>
    </w:tblPr>
    <w:tblGrid>
      <w:gridCol w:w="2551"/>
      <w:gridCol w:w="3119"/>
    </w:tblGrid>
    <w:tr w:rsidR="00240E05" w:rsidRPr="00924CBB" w14:paraId="0ABB4C37" w14:textId="77777777">
      <w:tc>
        <w:tcPr>
          <w:tcW w:w="2551" w:type="dxa"/>
          <w:vAlign w:val="center"/>
        </w:tcPr>
        <w:p w14:paraId="23A06263" w14:textId="77777777" w:rsidR="00240E05" w:rsidRPr="00924CBB" w:rsidRDefault="00240E05">
          <w:pPr>
            <w:rPr>
              <w:rFonts w:ascii="Palatino Linotype" w:eastAsia="Palatino Linotype" w:hAnsi="Palatino Linotype" w:cs="Palatino Linotype"/>
              <w:b/>
              <w:sz w:val="22"/>
              <w:szCs w:val="22"/>
            </w:rPr>
          </w:pPr>
          <w:r w:rsidRPr="00924CBB">
            <w:rPr>
              <w:rFonts w:ascii="Palatino Linotype" w:eastAsia="Palatino Linotype" w:hAnsi="Palatino Linotype" w:cs="Palatino Linotype"/>
              <w:b/>
              <w:sz w:val="22"/>
              <w:szCs w:val="22"/>
            </w:rPr>
            <w:t>Recurso de Revisión:</w:t>
          </w:r>
        </w:p>
      </w:tc>
      <w:tc>
        <w:tcPr>
          <w:tcW w:w="3119" w:type="dxa"/>
          <w:vAlign w:val="center"/>
        </w:tcPr>
        <w:p w14:paraId="5AEB2A1C" w14:textId="0BD4289F" w:rsidR="00240E05" w:rsidRPr="00924CBB" w:rsidRDefault="00240E05" w:rsidP="00246B4C">
          <w:pPr>
            <w:jc w:val="both"/>
            <w:rPr>
              <w:rFonts w:ascii="Palatino Linotype" w:eastAsia="Palatino Linotype" w:hAnsi="Palatino Linotype" w:cs="Palatino Linotype"/>
              <w:b/>
              <w:sz w:val="22"/>
              <w:szCs w:val="22"/>
            </w:rPr>
          </w:pPr>
          <w:r w:rsidRPr="003E0630">
            <w:rPr>
              <w:rFonts w:ascii="Palatino Linotype" w:eastAsia="Palatino Linotype" w:hAnsi="Palatino Linotype" w:cs="Palatino Linotype"/>
              <w:b/>
              <w:sz w:val="22"/>
              <w:szCs w:val="22"/>
            </w:rPr>
            <w:t>0</w:t>
          </w:r>
          <w:r>
            <w:rPr>
              <w:rFonts w:ascii="Palatino Linotype" w:eastAsia="Palatino Linotype" w:hAnsi="Palatino Linotype" w:cs="Palatino Linotype"/>
              <w:b/>
              <w:sz w:val="22"/>
              <w:szCs w:val="22"/>
            </w:rPr>
            <w:t>6554</w:t>
          </w:r>
          <w:r w:rsidRPr="003E0630">
            <w:rPr>
              <w:rFonts w:ascii="Palatino Linotype" w:eastAsia="Palatino Linotype" w:hAnsi="Palatino Linotype" w:cs="Palatino Linotype"/>
              <w:b/>
              <w:sz w:val="22"/>
              <w:szCs w:val="22"/>
            </w:rPr>
            <w:t>/INFOEM/IP/RR/2024</w:t>
          </w:r>
          <w:r w:rsidRPr="00924CBB">
            <w:rPr>
              <w:rFonts w:ascii="Palatino Linotype" w:eastAsia="Palatino Linotype" w:hAnsi="Palatino Linotype" w:cs="Palatino Linotype"/>
              <w:b/>
              <w:sz w:val="22"/>
              <w:szCs w:val="22"/>
            </w:rPr>
            <w:t xml:space="preserve"> </w:t>
          </w:r>
        </w:p>
      </w:tc>
    </w:tr>
    <w:tr w:rsidR="00240E05" w:rsidRPr="00924CBB" w14:paraId="021994CC" w14:textId="77777777">
      <w:tc>
        <w:tcPr>
          <w:tcW w:w="2551" w:type="dxa"/>
          <w:vAlign w:val="center"/>
        </w:tcPr>
        <w:p w14:paraId="4E679DDD" w14:textId="0280552C" w:rsidR="00240E05" w:rsidRPr="00924CBB" w:rsidRDefault="00240E05" w:rsidP="00A1575F">
          <w:pPr>
            <w:ind w:left="35" w:hanging="35"/>
            <w:rPr>
              <w:rFonts w:ascii="Palatino Linotype" w:eastAsia="Palatino Linotype" w:hAnsi="Palatino Linotype" w:cs="Palatino Linotype"/>
              <w:b/>
              <w:sz w:val="22"/>
              <w:szCs w:val="22"/>
            </w:rPr>
          </w:pPr>
          <w:r w:rsidRPr="00924CBB">
            <w:rPr>
              <w:rFonts w:ascii="Palatino Linotype" w:eastAsia="Palatino Linotype" w:hAnsi="Palatino Linotype" w:cs="Palatino Linotype"/>
              <w:b/>
              <w:sz w:val="22"/>
              <w:szCs w:val="22"/>
            </w:rPr>
            <w:t>Recurrente:</w:t>
          </w:r>
        </w:p>
      </w:tc>
      <w:tc>
        <w:tcPr>
          <w:tcW w:w="3119" w:type="dxa"/>
          <w:vAlign w:val="center"/>
        </w:tcPr>
        <w:p w14:paraId="782016DA" w14:textId="51321638" w:rsidR="00240E05" w:rsidRPr="00924CBB" w:rsidRDefault="00D14848" w:rsidP="00B91112">
          <w:pPr>
            <w:ind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XXXXXXX</w:t>
          </w:r>
        </w:p>
      </w:tc>
    </w:tr>
    <w:tr w:rsidR="00240E05" w:rsidRPr="00924CBB" w14:paraId="491D29D6" w14:textId="77777777">
      <w:trPr>
        <w:trHeight w:val="228"/>
      </w:trPr>
      <w:tc>
        <w:tcPr>
          <w:tcW w:w="2551" w:type="dxa"/>
          <w:vAlign w:val="center"/>
        </w:tcPr>
        <w:p w14:paraId="2A6E034B" w14:textId="2657B1D5" w:rsidR="00240E05" w:rsidRPr="00924CBB" w:rsidRDefault="00240E05">
          <w:pPr>
            <w:rPr>
              <w:rFonts w:ascii="Palatino Linotype" w:eastAsia="Palatino Linotype" w:hAnsi="Palatino Linotype" w:cs="Palatino Linotype"/>
              <w:b/>
              <w:sz w:val="22"/>
              <w:szCs w:val="22"/>
            </w:rPr>
          </w:pPr>
          <w:r w:rsidRPr="00924CBB">
            <w:rPr>
              <w:rFonts w:ascii="Palatino Linotype" w:eastAsia="Palatino Linotype" w:hAnsi="Palatino Linotype" w:cs="Palatino Linotype"/>
              <w:b/>
              <w:sz w:val="22"/>
              <w:szCs w:val="22"/>
            </w:rPr>
            <w:t>Sujeto obligado:</w:t>
          </w:r>
        </w:p>
      </w:tc>
      <w:tc>
        <w:tcPr>
          <w:tcW w:w="3119" w:type="dxa"/>
          <w:vAlign w:val="center"/>
        </w:tcPr>
        <w:p w14:paraId="59811C07" w14:textId="2E3C6BBC" w:rsidR="00240E05" w:rsidRPr="00924CBB" w:rsidRDefault="00240E05" w:rsidP="00BC5D8E">
          <w:pPr>
            <w:ind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Secretaría de Finanzas</w:t>
          </w:r>
        </w:p>
      </w:tc>
    </w:tr>
    <w:tr w:rsidR="00240E05" w:rsidRPr="00924CBB" w14:paraId="412F3721" w14:textId="77777777">
      <w:tc>
        <w:tcPr>
          <w:tcW w:w="2551" w:type="dxa"/>
          <w:vAlign w:val="center"/>
        </w:tcPr>
        <w:p w14:paraId="7EDAC2CA" w14:textId="77777777" w:rsidR="00240E05" w:rsidRPr="00924CBB" w:rsidRDefault="00240E05">
          <w:pPr>
            <w:rPr>
              <w:rFonts w:ascii="Palatino Linotype" w:eastAsia="Palatino Linotype" w:hAnsi="Palatino Linotype" w:cs="Palatino Linotype"/>
              <w:b/>
              <w:sz w:val="22"/>
              <w:szCs w:val="22"/>
            </w:rPr>
          </w:pPr>
          <w:r w:rsidRPr="00924CBB">
            <w:rPr>
              <w:rFonts w:ascii="Palatino Linotype" w:eastAsia="Palatino Linotype" w:hAnsi="Palatino Linotype" w:cs="Palatino Linotype"/>
              <w:b/>
              <w:sz w:val="22"/>
              <w:szCs w:val="22"/>
            </w:rPr>
            <w:t>Comisionada ponente:</w:t>
          </w:r>
        </w:p>
      </w:tc>
      <w:tc>
        <w:tcPr>
          <w:tcW w:w="3119" w:type="dxa"/>
          <w:vAlign w:val="center"/>
        </w:tcPr>
        <w:p w14:paraId="296FCD99" w14:textId="77777777" w:rsidR="00240E05" w:rsidRPr="00924CBB" w:rsidRDefault="00240E05">
          <w:pPr>
            <w:ind w:right="-533"/>
            <w:jc w:val="both"/>
            <w:rPr>
              <w:rFonts w:ascii="Palatino Linotype" w:eastAsia="Palatino Linotype" w:hAnsi="Palatino Linotype" w:cs="Palatino Linotype"/>
              <w:b/>
              <w:sz w:val="22"/>
              <w:szCs w:val="22"/>
            </w:rPr>
          </w:pPr>
          <w:r w:rsidRPr="00924CBB">
            <w:rPr>
              <w:rFonts w:ascii="Palatino Linotype" w:eastAsia="Palatino Linotype" w:hAnsi="Palatino Linotype" w:cs="Palatino Linotype"/>
              <w:b/>
              <w:sz w:val="22"/>
              <w:szCs w:val="22"/>
            </w:rPr>
            <w:t>Guadalupe Ramírez Peña</w:t>
          </w:r>
        </w:p>
      </w:tc>
    </w:tr>
  </w:tbl>
  <w:p w14:paraId="4B62D0F1" w14:textId="77777777" w:rsidR="00240E05" w:rsidRDefault="00240E05">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6FFA3" w14:textId="77777777" w:rsidR="00240E05" w:rsidRDefault="00240E05">
    <w:pPr>
      <w:pBdr>
        <w:top w:val="nil"/>
        <w:left w:val="nil"/>
        <w:bottom w:val="nil"/>
        <w:right w:val="nil"/>
        <w:between w:val="nil"/>
      </w:pBdr>
      <w:tabs>
        <w:tab w:val="center" w:pos="4252"/>
        <w:tab w:val="right" w:pos="8504"/>
      </w:tabs>
      <w:jc w:val="both"/>
      <w:rPr>
        <w:rFonts w:ascii="Calibri" w:eastAsia="Calibri" w:hAnsi="Calibri" w:cs="Calibri"/>
        <w:color w:val="000000"/>
      </w:rPr>
    </w:pPr>
  </w:p>
  <w:p w14:paraId="6E1A07CC" w14:textId="77777777" w:rsidR="00240E05" w:rsidRDefault="00240E05">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23F49"/>
    <w:multiLevelType w:val="hybridMultilevel"/>
    <w:tmpl w:val="05C23B26"/>
    <w:lvl w:ilvl="0" w:tplc="AFE804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B24785"/>
    <w:multiLevelType w:val="hybridMultilevel"/>
    <w:tmpl w:val="F8D6D13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 w15:restartNumberingAfterBreak="0">
    <w:nsid w:val="10C16791"/>
    <w:multiLevelType w:val="hybridMultilevel"/>
    <w:tmpl w:val="D68C74C4"/>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3" w15:restartNumberingAfterBreak="0">
    <w:nsid w:val="18A80C9D"/>
    <w:multiLevelType w:val="hybridMultilevel"/>
    <w:tmpl w:val="F79012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D017915"/>
    <w:multiLevelType w:val="hybridMultilevel"/>
    <w:tmpl w:val="DDD82F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621E8B"/>
    <w:multiLevelType w:val="hybridMultilevel"/>
    <w:tmpl w:val="D9DC44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4EC1DAB"/>
    <w:multiLevelType w:val="hybridMultilevel"/>
    <w:tmpl w:val="CA56C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4317490"/>
    <w:multiLevelType w:val="hybridMultilevel"/>
    <w:tmpl w:val="9244E622"/>
    <w:lvl w:ilvl="0" w:tplc="92BE0B36">
      <w:start w:val="1"/>
      <w:numFmt w:val="decimal"/>
      <w:lvlText w:val="%1."/>
      <w:lvlJc w:val="left"/>
      <w:pPr>
        <w:ind w:left="4613" w:hanging="360"/>
      </w:pPr>
      <w:rPr>
        <w:rFonts w:ascii="Palatino Linotype" w:hAnsi="Palatino Linotype" w:hint="default"/>
        <w:b/>
        <w:i w:val="0"/>
        <w:color w:val="auto"/>
        <w:sz w:val="24"/>
      </w:rPr>
    </w:lvl>
    <w:lvl w:ilvl="1" w:tplc="47FC0D3C">
      <w:start w:val="1"/>
      <w:numFmt w:val="upperRoman"/>
      <w:lvlText w:val="%2."/>
      <w:lvlJc w:val="left"/>
      <w:pPr>
        <w:ind w:left="1800" w:hanging="720"/>
      </w:pPr>
      <w:rPr>
        <w:rFonts w:ascii="Palatino Linotype" w:hAnsi="Palatino Linotype" w:hint="default"/>
        <w:b/>
        <w:color w:val="auto"/>
        <w:sz w:val="24"/>
      </w:rPr>
    </w:lvl>
    <w:lvl w:ilvl="2" w:tplc="080A001B">
      <w:start w:val="1"/>
      <w:numFmt w:val="lowerRoman"/>
      <w:lvlText w:val="%3."/>
      <w:lvlJc w:val="right"/>
      <w:pPr>
        <w:ind w:left="2160" w:hanging="180"/>
      </w:pPr>
    </w:lvl>
    <w:lvl w:ilvl="3" w:tplc="080A0017">
      <w:start w:val="1"/>
      <w:numFmt w:val="lowerLetter"/>
      <w:lvlText w:val="%4)"/>
      <w:lvlJc w:val="left"/>
      <w:pPr>
        <w:ind w:left="644"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1146482"/>
    <w:multiLevelType w:val="hybridMultilevel"/>
    <w:tmpl w:val="3CE4789C"/>
    <w:lvl w:ilvl="0" w:tplc="DF72C10A">
      <w:start w:val="3"/>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4DA291D"/>
    <w:multiLevelType w:val="hybridMultilevel"/>
    <w:tmpl w:val="881887B0"/>
    <w:lvl w:ilvl="0" w:tplc="A55420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CE40999"/>
    <w:multiLevelType w:val="hybridMultilevel"/>
    <w:tmpl w:val="ACD4B448"/>
    <w:lvl w:ilvl="0" w:tplc="080A0017">
      <w:start w:val="1"/>
      <w:numFmt w:val="lowerLetter"/>
      <w:lvlText w:val="%1)"/>
      <w:lvlJc w:val="left"/>
      <w:pPr>
        <w:ind w:left="1146" w:hanging="360"/>
      </w:pPr>
      <w:rPr>
        <w:rFont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1" w15:restartNumberingAfterBreak="0">
    <w:nsid w:val="50EA5A3C"/>
    <w:multiLevelType w:val="multilevel"/>
    <w:tmpl w:val="FAE004B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12B25A9"/>
    <w:multiLevelType w:val="hybridMultilevel"/>
    <w:tmpl w:val="386874C0"/>
    <w:lvl w:ilvl="0" w:tplc="404CED9C">
      <w:start w:val="1"/>
      <w:numFmt w:val="lowerLetter"/>
      <w:lvlText w:val="%1)"/>
      <w:lvlJc w:val="left"/>
      <w:pPr>
        <w:ind w:left="1443" w:hanging="735"/>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60B556CB"/>
    <w:multiLevelType w:val="hybridMultilevel"/>
    <w:tmpl w:val="F4922C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35D2BE2"/>
    <w:multiLevelType w:val="multilevel"/>
    <w:tmpl w:val="6FBABAF2"/>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6267B50"/>
    <w:multiLevelType w:val="multilevel"/>
    <w:tmpl w:val="17F688E2"/>
    <w:lvl w:ilvl="0">
      <w:start w:val="1"/>
      <w:numFmt w:val="upperRoman"/>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6" w15:restartNumberingAfterBreak="0">
    <w:nsid w:val="740A7F0C"/>
    <w:multiLevelType w:val="multilevel"/>
    <w:tmpl w:val="AAFABC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1"/>
  </w:num>
  <w:num w:numId="2">
    <w:abstractNumId w:val="15"/>
  </w:num>
  <w:num w:numId="3">
    <w:abstractNumId w:val="14"/>
  </w:num>
  <w:num w:numId="4">
    <w:abstractNumId w:val="8"/>
  </w:num>
  <w:num w:numId="5">
    <w:abstractNumId w:val="7"/>
  </w:num>
  <w:num w:numId="6">
    <w:abstractNumId w:val="2"/>
  </w:num>
  <w:num w:numId="7">
    <w:abstractNumId w:val="12"/>
  </w:num>
  <w:num w:numId="8">
    <w:abstractNumId w:val="9"/>
  </w:num>
  <w:num w:numId="9">
    <w:abstractNumId w:val="5"/>
  </w:num>
  <w:num w:numId="10">
    <w:abstractNumId w:val="16"/>
  </w:num>
  <w:num w:numId="11">
    <w:abstractNumId w:val="0"/>
  </w:num>
  <w:num w:numId="12">
    <w:abstractNumId w:val="13"/>
  </w:num>
  <w:num w:numId="13">
    <w:abstractNumId w:val="1"/>
  </w:num>
  <w:num w:numId="14">
    <w:abstractNumId w:val="10"/>
  </w:num>
  <w:num w:numId="15">
    <w:abstractNumId w:val="4"/>
  </w:num>
  <w:num w:numId="16">
    <w:abstractNumId w:val="6"/>
  </w:num>
  <w:num w:numId="17">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s-ES_tradnl" w:vendorID="64" w:dllVersion="6" w:nlCheck="1" w:checkStyle="1"/>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333"/>
    <w:rsid w:val="00003547"/>
    <w:rsid w:val="00005FDC"/>
    <w:rsid w:val="00006F34"/>
    <w:rsid w:val="00013AE3"/>
    <w:rsid w:val="00014F59"/>
    <w:rsid w:val="0001626F"/>
    <w:rsid w:val="00020712"/>
    <w:rsid w:val="0002514C"/>
    <w:rsid w:val="00025885"/>
    <w:rsid w:val="00025FCE"/>
    <w:rsid w:val="00030E80"/>
    <w:rsid w:val="000314B8"/>
    <w:rsid w:val="00032D4E"/>
    <w:rsid w:val="00035C66"/>
    <w:rsid w:val="00035E0B"/>
    <w:rsid w:val="00042637"/>
    <w:rsid w:val="00044829"/>
    <w:rsid w:val="00053A0B"/>
    <w:rsid w:val="00057328"/>
    <w:rsid w:val="00057E43"/>
    <w:rsid w:val="00061B7C"/>
    <w:rsid w:val="00062494"/>
    <w:rsid w:val="00063C4E"/>
    <w:rsid w:val="00064012"/>
    <w:rsid w:val="00066175"/>
    <w:rsid w:val="00071508"/>
    <w:rsid w:val="00073834"/>
    <w:rsid w:val="00082D86"/>
    <w:rsid w:val="000905CC"/>
    <w:rsid w:val="00090FC8"/>
    <w:rsid w:val="00092E12"/>
    <w:rsid w:val="0009304F"/>
    <w:rsid w:val="000A6EF0"/>
    <w:rsid w:val="000B14D4"/>
    <w:rsid w:val="000B4E4E"/>
    <w:rsid w:val="000C0724"/>
    <w:rsid w:val="000C07B6"/>
    <w:rsid w:val="000C08DF"/>
    <w:rsid w:val="000C2CC6"/>
    <w:rsid w:val="000C3455"/>
    <w:rsid w:val="000C3B20"/>
    <w:rsid w:val="000D34E9"/>
    <w:rsid w:val="000D394F"/>
    <w:rsid w:val="000D4651"/>
    <w:rsid w:val="000D4A9B"/>
    <w:rsid w:val="000E1FF8"/>
    <w:rsid w:val="000E3910"/>
    <w:rsid w:val="000E39B1"/>
    <w:rsid w:val="000E3AD1"/>
    <w:rsid w:val="000F02AD"/>
    <w:rsid w:val="00104B28"/>
    <w:rsid w:val="00106C8D"/>
    <w:rsid w:val="0011081E"/>
    <w:rsid w:val="00110D78"/>
    <w:rsid w:val="001254C5"/>
    <w:rsid w:val="001305A1"/>
    <w:rsid w:val="00131B56"/>
    <w:rsid w:val="00135383"/>
    <w:rsid w:val="0013696E"/>
    <w:rsid w:val="00140202"/>
    <w:rsid w:val="001420F3"/>
    <w:rsid w:val="00142F06"/>
    <w:rsid w:val="001511AD"/>
    <w:rsid w:val="0015352F"/>
    <w:rsid w:val="0015653A"/>
    <w:rsid w:val="00161013"/>
    <w:rsid w:val="0016391A"/>
    <w:rsid w:val="00164EE1"/>
    <w:rsid w:val="00182F33"/>
    <w:rsid w:val="00187898"/>
    <w:rsid w:val="0019261A"/>
    <w:rsid w:val="0019325E"/>
    <w:rsid w:val="00195EF7"/>
    <w:rsid w:val="001A1A53"/>
    <w:rsid w:val="001A2789"/>
    <w:rsid w:val="001B01F0"/>
    <w:rsid w:val="001C2B0C"/>
    <w:rsid w:val="001C3370"/>
    <w:rsid w:val="001D1072"/>
    <w:rsid w:val="001D186D"/>
    <w:rsid w:val="001D4818"/>
    <w:rsid w:val="001D4E53"/>
    <w:rsid w:val="001D5E2E"/>
    <w:rsid w:val="001D6CA0"/>
    <w:rsid w:val="001E00BA"/>
    <w:rsid w:val="001E261A"/>
    <w:rsid w:val="001E6FD0"/>
    <w:rsid w:val="001E7861"/>
    <w:rsid w:val="00201B90"/>
    <w:rsid w:val="00201F2B"/>
    <w:rsid w:val="0020566D"/>
    <w:rsid w:val="00211763"/>
    <w:rsid w:val="002134D3"/>
    <w:rsid w:val="0021432C"/>
    <w:rsid w:val="00215015"/>
    <w:rsid w:val="00215DEF"/>
    <w:rsid w:val="00216732"/>
    <w:rsid w:val="002260D1"/>
    <w:rsid w:val="00237493"/>
    <w:rsid w:val="00237EBD"/>
    <w:rsid w:val="00240E05"/>
    <w:rsid w:val="00241E82"/>
    <w:rsid w:val="002444BA"/>
    <w:rsid w:val="00245609"/>
    <w:rsid w:val="00245A64"/>
    <w:rsid w:val="00246B4C"/>
    <w:rsid w:val="00246FB2"/>
    <w:rsid w:val="00250736"/>
    <w:rsid w:val="0026040B"/>
    <w:rsid w:val="0026566C"/>
    <w:rsid w:val="00271743"/>
    <w:rsid w:val="002728A3"/>
    <w:rsid w:val="00272FE8"/>
    <w:rsid w:val="00273E89"/>
    <w:rsid w:val="002771B8"/>
    <w:rsid w:val="0029061A"/>
    <w:rsid w:val="002968E6"/>
    <w:rsid w:val="002A5DCA"/>
    <w:rsid w:val="002B0818"/>
    <w:rsid w:val="002B44D5"/>
    <w:rsid w:val="002B7A55"/>
    <w:rsid w:val="002C0955"/>
    <w:rsid w:val="002C14ED"/>
    <w:rsid w:val="002C59DD"/>
    <w:rsid w:val="002C620E"/>
    <w:rsid w:val="002D1879"/>
    <w:rsid w:val="002D310A"/>
    <w:rsid w:val="002D5DCE"/>
    <w:rsid w:val="002E0D9B"/>
    <w:rsid w:val="002E1458"/>
    <w:rsid w:val="002F1BBC"/>
    <w:rsid w:val="002F2321"/>
    <w:rsid w:val="002F4D42"/>
    <w:rsid w:val="002F5C3E"/>
    <w:rsid w:val="002F72FE"/>
    <w:rsid w:val="003032BE"/>
    <w:rsid w:val="00303C5A"/>
    <w:rsid w:val="00303E5C"/>
    <w:rsid w:val="00304BA7"/>
    <w:rsid w:val="00305738"/>
    <w:rsid w:val="00305A8D"/>
    <w:rsid w:val="00305F1C"/>
    <w:rsid w:val="00317A79"/>
    <w:rsid w:val="003258B6"/>
    <w:rsid w:val="00327424"/>
    <w:rsid w:val="0032796E"/>
    <w:rsid w:val="00327BFB"/>
    <w:rsid w:val="00332773"/>
    <w:rsid w:val="00334DC9"/>
    <w:rsid w:val="00342439"/>
    <w:rsid w:val="003466AD"/>
    <w:rsid w:val="003537BC"/>
    <w:rsid w:val="003551A3"/>
    <w:rsid w:val="00360B52"/>
    <w:rsid w:val="003620F6"/>
    <w:rsid w:val="003632E4"/>
    <w:rsid w:val="003658E9"/>
    <w:rsid w:val="00367F6D"/>
    <w:rsid w:val="00370980"/>
    <w:rsid w:val="003737B9"/>
    <w:rsid w:val="00373E9F"/>
    <w:rsid w:val="00374504"/>
    <w:rsid w:val="003804FB"/>
    <w:rsid w:val="0038176A"/>
    <w:rsid w:val="00381FBF"/>
    <w:rsid w:val="00392067"/>
    <w:rsid w:val="00397333"/>
    <w:rsid w:val="00397B6E"/>
    <w:rsid w:val="00397E53"/>
    <w:rsid w:val="003A4EEA"/>
    <w:rsid w:val="003A5002"/>
    <w:rsid w:val="003B0A92"/>
    <w:rsid w:val="003B195E"/>
    <w:rsid w:val="003B751B"/>
    <w:rsid w:val="003C0A84"/>
    <w:rsid w:val="003C446E"/>
    <w:rsid w:val="003C685E"/>
    <w:rsid w:val="003D13BF"/>
    <w:rsid w:val="003D234D"/>
    <w:rsid w:val="003E040C"/>
    <w:rsid w:val="003E0630"/>
    <w:rsid w:val="003E2E8D"/>
    <w:rsid w:val="003E3E0F"/>
    <w:rsid w:val="003E5370"/>
    <w:rsid w:val="003E71C9"/>
    <w:rsid w:val="003F207B"/>
    <w:rsid w:val="003F2D3A"/>
    <w:rsid w:val="003F321D"/>
    <w:rsid w:val="003F3F7D"/>
    <w:rsid w:val="003F4FDD"/>
    <w:rsid w:val="003F58DC"/>
    <w:rsid w:val="00404100"/>
    <w:rsid w:val="004061A7"/>
    <w:rsid w:val="00411EE2"/>
    <w:rsid w:val="0041223E"/>
    <w:rsid w:val="004157F3"/>
    <w:rsid w:val="004177AD"/>
    <w:rsid w:val="00423519"/>
    <w:rsid w:val="004326A4"/>
    <w:rsid w:val="00434A23"/>
    <w:rsid w:val="004379C4"/>
    <w:rsid w:val="0045248B"/>
    <w:rsid w:val="00452B2D"/>
    <w:rsid w:val="00473680"/>
    <w:rsid w:val="00477CB8"/>
    <w:rsid w:val="0048079E"/>
    <w:rsid w:val="004853AE"/>
    <w:rsid w:val="004902A0"/>
    <w:rsid w:val="00490DF0"/>
    <w:rsid w:val="004948E3"/>
    <w:rsid w:val="004953F1"/>
    <w:rsid w:val="004A6658"/>
    <w:rsid w:val="004B3A0A"/>
    <w:rsid w:val="004B5E08"/>
    <w:rsid w:val="004B720D"/>
    <w:rsid w:val="004C090F"/>
    <w:rsid w:val="004C12AA"/>
    <w:rsid w:val="004C61FF"/>
    <w:rsid w:val="004D2803"/>
    <w:rsid w:val="004E0B80"/>
    <w:rsid w:val="004E134A"/>
    <w:rsid w:val="004E1765"/>
    <w:rsid w:val="005015A7"/>
    <w:rsid w:val="00507AAF"/>
    <w:rsid w:val="005100F1"/>
    <w:rsid w:val="00511E46"/>
    <w:rsid w:val="0051423F"/>
    <w:rsid w:val="0051486A"/>
    <w:rsid w:val="005159A0"/>
    <w:rsid w:val="005210CB"/>
    <w:rsid w:val="005240C1"/>
    <w:rsid w:val="00525F06"/>
    <w:rsid w:val="00530576"/>
    <w:rsid w:val="005334C8"/>
    <w:rsid w:val="00534989"/>
    <w:rsid w:val="005375C7"/>
    <w:rsid w:val="00540E20"/>
    <w:rsid w:val="00550C9E"/>
    <w:rsid w:val="00550DDE"/>
    <w:rsid w:val="005514B2"/>
    <w:rsid w:val="005532C7"/>
    <w:rsid w:val="005538BD"/>
    <w:rsid w:val="00554294"/>
    <w:rsid w:val="005613B5"/>
    <w:rsid w:val="00564737"/>
    <w:rsid w:val="005647AC"/>
    <w:rsid w:val="00577C03"/>
    <w:rsid w:val="005808B8"/>
    <w:rsid w:val="00584402"/>
    <w:rsid w:val="00586E57"/>
    <w:rsid w:val="0059136B"/>
    <w:rsid w:val="005928AD"/>
    <w:rsid w:val="005A2264"/>
    <w:rsid w:val="005D01CC"/>
    <w:rsid w:val="005D55E9"/>
    <w:rsid w:val="005E21B7"/>
    <w:rsid w:val="005E228D"/>
    <w:rsid w:val="005E6772"/>
    <w:rsid w:val="005F1506"/>
    <w:rsid w:val="00600A69"/>
    <w:rsid w:val="006039B6"/>
    <w:rsid w:val="00603C3E"/>
    <w:rsid w:val="006066D9"/>
    <w:rsid w:val="00613B06"/>
    <w:rsid w:val="006200E1"/>
    <w:rsid w:val="006233DF"/>
    <w:rsid w:val="00626B0B"/>
    <w:rsid w:val="00633BEB"/>
    <w:rsid w:val="00634EF5"/>
    <w:rsid w:val="0064084E"/>
    <w:rsid w:val="006409A9"/>
    <w:rsid w:val="006419DA"/>
    <w:rsid w:val="0064524D"/>
    <w:rsid w:val="00652E02"/>
    <w:rsid w:val="00653E2F"/>
    <w:rsid w:val="00655336"/>
    <w:rsid w:val="00656B51"/>
    <w:rsid w:val="00656F51"/>
    <w:rsid w:val="00657C6A"/>
    <w:rsid w:val="0067442A"/>
    <w:rsid w:val="00674F78"/>
    <w:rsid w:val="00677029"/>
    <w:rsid w:val="00677A20"/>
    <w:rsid w:val="00677B4A"/>
    <w:rsid w:val="006853AC"/>
    <w:rsid w:val="00691682"/>
    <w:rsid w:val="00692884"/>
    <w:rsid w:val="00694745"/>
    <w:rsid w:val="006A0238"/>
    <w:rsid w:val="006A1243"/>
    <w:rsid w:val="006A6733"/>
    <w:rsid w:val="006B2C00"/>
    <w:rsid w:val="006C5043"/>
    <w:rsid w:val="006C65A5"/>
    <w:rsid w:val="006D75E6"/>
    <w:rsid w:val="006D7FFB"/>
    <w:rsid w:val="006E0822"/>
    <w:rsid w:val="006E3FFE"/>
    <w:rsid w:val="006E6D13"/>
    <w:rsid w:val="006F0F35"/>
    <w:rsid w:val="006F240F"/>
    <w:rsid w:val="006F25BF"/>
    <w:rsid w:val="006F5A27"/>
    <w:rsid w:val="006F77E3"/>
    <w:rsid w:val="00700F17"/>
    <w:rsid w:val="0070101B"/>
    <w:rsid w:val="007063C1"/>
    <w:rsid w:val="00710B84"/>
    <w:rsid w:val="00711477"/>
    <w:rsid w:val="00713BEC"/>
    <w:rsid w:val="007147A3"/>
    <w:rsid w:val="00714EEE"/>
    <w:rsid w:val="00720327"/>
    <w:rsid w:val="00724AF9"/>
    <w:rsid w:val="007252D2"/>
    <w:rsid w:val="00725A59"/>
    <w:rsid w:val="00730B78"/>
    <w:rsid w:val="007327B2"/>
    <w:rsid w:val="007336B3"/>
    <w:rsid w:val="0073647E"/>
    <w:rsid w:val="00741274"/>
    <w:rsid w:val="007508F2"/>
    <w:rsid w:val="00753FC8"/>
    <w:rsid w:val="007675EC"/>
    <w:rsid w:val="007722EF"/>
    <w:rsid w:val="007729C9"/>
    <w:rsid w:val="007805D9"/>
    <w:rsid w:val="00783730"/>
    <w:rsid w:val="00783E18"/>
    <w:rsid w:val="00784B7D"/>
    <w:rsid w:val="00790557"/>
    <w:rsid w:val="007948EC"/>
    <w:rsid w:val="00796ECA"/>
    <w:rsid w:val="007A1992"/>
    <w:rsid w:val="007A1B4D"/>
    <w:rsid w:val="007A489E"/>
    <w:rsid w:val="007B2993"/>
    <w:rsid w:val="007B2D03"/>
    <w:rsid w:val="007B337B"/>
    <w:rsid w:val="007B40FC"/>
    <w:rsid w:val="007B492E"/>
    <w:rsid w:val="007C3C56"/>
    <w:rsid w:val="007C7650"/>
    <w:rsid w:val="007D0D71"/>
    <w:rsid w:val="007D1C73"/>
    <w:rsid w:val="007D32CA"/>
    <w:rsid w:val="007D4336"/>
    <w:rsid w:val="007D44F9"/>
    <w:rsid w:val="007D5813"/>
    <w:rsid w:val="007D6B98"/>
    <w:rsid w:val="007D6C8F"/>
    <w:rsid w:val="007E585C"/>
    <w:rsid w:val="008014E6"/>
    <w:rsid w:val="00803FE4"/>
    <w:rsid w:val="00803FFB"/>
    <w:rsid w:val="00805857"/>
    <w:rsid w:val="00807FC5"/>
    <w:rsid w:val="008106B9"/>
    <w:rsid w:val="0081747E"/>
    <w:rsid w:val="00827AE6"/>
    <w:rsid w:val="00830B8E"/>
    <w:rsid w:val="00831675"/>
    <w:rsid w:val="008316EE"/>
    <w:rsid w:val="00836A8D"/>
    <w:rsid w:val="0084408A"/>
    <w:rsid w:val="00850B2A"/>
    <w:rsid w:val="00854062"/>
    <w:rsid w:val="00863A97"/>
    <w:rsid w:val="008708F7"/>
    <w:rsid w:val="0087513D"/>
    <w:rsid w:val="008773D8"/>
    <w:rsid w:val="0088060D"/>
    <w:rsid w:val="00882FB0"/>
    <w:rsid w:val="008833AD"/>
    <w:rsid w:val="008848CA"/>
    <w:rsid w:val="00886A01"/>
    <w:rsid w:val="008876C5"/>
    <w:rsid w:val="00894285"/>
    <w:rsid w:val="00896AFC"/>
    <w:rsid w:val="00897808"/>
    <w:rsid w:val="00897FD0"/>
    <w:rsid w:val="008A5003"/>
    <w:rsid w:val="008B276A"/>
    <w:rsid w:val="008B501A"/>
    <w:rsid w:val="008C56E4"/>
    <w:rsid w:val="008C5C02"/>
    <w:rsid w:val="008C702B"/>
    <w:rsid w:val="008D180A"/>
    <w:rsid w:val="008D3FAF"/>
    <w:rsid w:val="008D4AF5"/>
    <w:rsid w:val="008D4CDB"/>
    <w:rsid w:val="008D5541"/>
    <w:rsid w:val="008D62AC"/>
    <w:rsid w:val="008F07B2"/>
    <w:rsid w:val="008F0FA8"/>
    <w:rsid w:val="008F3A3B"/>
    <w:rsid w:val="008F6E9C"/>
    <w:rsid w:val="0090008F"/>
    <w:rsid w:val="00901032"/>
    <w:rsid w:val="00901543"/>
    <w:rsid w:val="00910736"/>
    <w:rsid w:val="009217D7"/>
    <w:rsid w:val="00922696"/>
    <w:rsid w:val="00924CBB"/>
    <w:rsid w:val="009337C0"/>
    <w:rsid w:val="009337E0"/>
    <w:rsid w:val="0093777A"/>
    <w:rsid w:val="00940713"/>
    <w:rsid w:val="0094563A"/>
    <w:rsid w:val="00946F49"/>
    <w:rsid w:val="00963859"/>
    <w:rsid w:val="00965FE0"/>
    <w:rsid w:val="009671B6"/>
    <w:rsid w:val="009720B6"/>
    <w:rsid w:val="009727CF"/>
    <w:rsid w:val="009734D4"/>
    <w:rsid w:val="00976A75"/>
    <w:rsid w:val="00977609"/>
    <w:rsid w:val="00977EEC"/>
    <w:rsid w:val="0098245D"/>
    <w:rsid w:val="00984F16"/>
    <w:rsid w:val="009860D0"/>
    <w:rsid w:val="009A026A"/>
    <w:rsid w:val="009A6315"/>
    <w:rsid w:val="009A793B"/>
    <w:rsid w:val="009A7984"/>
    <w:rsid w:val="009A7E2D"/>
    <w:rsid w:val="009B304A"/>
    <w:rsid w:val="009B3384"/>
    <w:rsid w:val="009B354E"/>
    <w:rsid w:val="009B4913"/>
    <w:rsid w:val="009B57A9"/>
    <w:rsid w:val="009B72E7"/>
    <w:rsid w:val="009B7661"/>
    <w:rsid w:val="009C1BF1"/>
    <w:rsid w:val="009C6AAC"/>
    <w:rsid w:val="009D0EEF"/>
    <w:rsid w:val="009D2026"/>
    <w:rsid w:val="009D45E2"/>
    <w:rsid w:val="009D50F3"/>
    <w:rsid w:val="009E35C8"/>
    <w:rsid w:val="009E536F"/>
    <w:rsid w:val="009E781B"/>
    <w:rsid w:val="009E785A"/>
    <w:rsid w:val="009F24A0"/>
    <w:rsid w:val="009F3E3D"/>
    <w:rsid w:val="009F6284"/>
    <w:rsid w:val="009F6292"/>
    <w:rsid w:val="009F7E3B"/>
    <w:rsid w:val="00A017CB"/>
    <w:rsid w:val="00A13517"/>
    <w:rsid w:val="00A13CAC"/>
    <w:rsid w:val="00A1575F"/>
    <w:rsid w:val="00A204A8"/>
    <w:rsid w:val="00A32347"/>
    <w:rsid w:val="00A37AA2"/>
    <w:rsid w:val="00A618F7"/>
    <w:rsid w:val="00A6555D"/>
    <w:rsid w:val="00A718B1"/>
    <w:rsid w:val="00A72E2D"/>
    <w:rsid w:val="00A738D1"/>
    <w:rsid w:val="00A74A95"/>
    <w:rsid w:val="00A76BA5"/>
    <w:rsid w:val="00A77378"/>
    <w:rsid w:val="00A82BD5"/>
    <w:rsid w:val="00A86253"/>
    <w:rsid w:val="00A87C1D"/>
    <w:rsid w:val="00A90BE6"/>
    <w:rsid w:val="00A90D86"/>
    <w:rsid w:val="00A91529"/>
    <w:rsid w:val="00A92B94"/>
    <w:rsid w:val="00A94A15"/>
    <w:rsid w:val="00AB5C35"/>
    <w:rsid w:val="00AB7801"/>
    <w:rsid w:val="00AD3D1D"/>
    <w:rsid w:val="00AD6E09"/>
    <w:rsid w:val="00AD7871"/>
    <w:rsid w:val="00AE1F06"/>
    <w:rsid w:val="00AE644A"/>
    <w:rsid w:val="00AE6FCE"/>
    <w:rsid w:val="00AF2709"/>
    <w:rsid w:val="00AF3F6D"/>
    <w:rsid w:val="00B0008F"/>
    <w:rsid w:val="00B1086A"/>
    <w:rsid w:val="00B14BA2"/>
    <w:rsid w:val="00B15AFE"/>
    <w:rsid w:val="00B16690"/>
    <w:rsid w:val="00B16908"/>
    <w:rsid w:val="00B26BBD"/>
    <w:rsid w:val="00B31ED9"/>
    <w:rsid w:val="00B41938"/>
    <w:rsid w:val="00B427D7"/>
    <w:rsid w:val="00B47776"/>
    <w:rsid w:val="00B61472"/>
    <w:rsid w:val="00B72256"/>
    <w:rsid w:val="00B74100"/>
    <w:rsid w:val="00B77123"/>
    <w:rsid w:val="00B8071F"/>
    <w:rsid w:val="00B80F47"/>
    <w:rsid w:val="00B82A38"/>
    <w:rsid w:val="00B85149"/>
    <w:rsid w:val="00B87BF2"/>
    <w:rsid w:val="00B91112"/>
    <w:rsid w:val="00B940DE"/>
    <w:rsid w:val="00BA0EC3"/>
    <w:rsid w:val="00BA124B"/>
    <w:rsid w:val="00BA6AE1"/>
    <w:rsid w:val="00BB0104"/>
    <w:rsid w:val="00BB3E37"/>
    <w:rsid w:val="00BB490F"/>
    <w:rsid w:val="00BB4AF2"/>
    <w:rsid w:val="00BC4FA4"/>
    <w:rsid w:val="00BC5D8E"/>
    <w:rsid w:val="00BC6AFB"/>
    <w:rsid w:val="00BC7F4D"/>
    <w:rsid w:val="00BE54CA"/>
    <w:rsid w:val="00BE6A12"/>
    <w:rsid w:val="00BF162C"/>
    <w:rsid w:val="00BF44D5"/>
    <w:rsid w:val="00C00C73"/>
    <w:rsid w:val="00C1417C"/>
    <w:rsid w:val="00C15C5F"/>
    <w:rsid w:val="00C161F7"/>
    <w:rsid w:val="00C268D4"/>
    <w:rsid w:val="00C30801"/>
    <w:rsid w:val="00C33785"/>
    <w:rsid w:val="00C37CC5"/>
    <w:rsid w:val="00C42377"/>
    <w:rsid w:val="00C44FDD"/>
    <w:rsid w:val="00C46631"/>
    <w:rsid w:val="00C50854"/>
    <w:rsid w:val="00C52506"/>
    <w:rsid w:val="00C55038"/>
    <w:rsid w:val="00C637B4"/>
    <w:rsid w:val="00C66AF3"/>
    <w:rsid w:val="00C709D8"/>
    <w:rsid w:val="00C759CC"/>
    <w:rsid w:val="00C81AB2"/>
    <w:rsid w:val="00C857F8"/>
    <w:rsid w:val="00C90B4B"/>
    <w:rsid w:val="00C963F2"/>
    <w:rsid w:val="00C96FD9"/>
    <w:rsid w:val="00CA5E07"/>
    <w:rsid w:val="00CA7BA8"/>
    <w:rsid w:val="00CA7F16"/>
    <w:rsid w:val="00CC10FA"/>
    <w:rsid w:val="00CC2068"/>
    <w:rsid w:val="00CC27DA"/>
    <w:rsid w:val="00CC64E9"/>
    <w:rsid w:val="00CD7D2C"/>
    <w:rsid w:val="00CE211E"/>
    <w:rsid w:val="00CE5140"/>
    <w:rsid w:val="00CF0C63"/>
    <w:rsid w:val="00CF23D9"/>
    <w:rsid w:val="00CF2C24"/>
    <w:rsid w:val="00D02185"/>
    <w:rsid w:val="00D0474E"/>
    <w:rsid w:val="00D052E1"/>
    <w:rsid w:val="00D06BB7"/>
    <w:rsid w:val="00D14848"/>
    <w:rsid w:val="00D156AA"/>
    <w:rsid w:val="00D21E62"/>
    <w:rsid w:val="00D22765"/>
    <w:rsid w:val="00D27BB8"/>
    <w:rsid w:val="00D32B81"/>
    <w:rsid w:val="00D339CA"/>
    <w:rsid w:val="00D34034"/>
    <w:rsid w:val="00D3523B"/>
    <w:rsid w:val="00D40671"/>
    <w:rsid w:val="00D40E18"/>
    <w:rsid w:val="00D41A25"/>
    <w:rsid w:val="00D5103B"/>
    <w:rsid w:val="00D57998"/>
    <w:rsid w:val="00D60904"/>
    <w:rsid w:val="00D65B5A"/>
    <w:rsid w:val="00D671DC"/>
    <w:rsid w:val="00D77BB1"/>
    <w:rsid w:val="00D818A0"/>
    <w:rsid w:val="00D9430C"/>
    <w:rsid w:val="00D97F81"/>
    <w:rsid w:val="00DA0A40"/>
    <w:rsid w:val="00DA484C"/>
    <w:rsid w:val="00DA5414"/>
    <w:rsid w:val="00DA55A9"/>
    <w:rsid w:val="00DB05F2"/>
    <w:rsid w:val="00DB0880"/>
    <w:rsid w:val="00DB1E20"/>
    <w:rsid w:val="00DB6C26"/>
    <w:rsid w:val="00DB7364"/>
    <w:rsid w:val="00DC66C4"/>
    <w:rsid w:val="00DC6D7B"/>
    <w:rsid w:val="00DD07CD"/>
    <w:rsid w:val="00DD20B9"/>
    <w:rsid w:val="00DE53F4"/>
    <w:rsid w:val="00DF2F41"/>
    <w:rsid w:val="00DF476D"/>
    <w:rsid w:val="00DF4E16"/>
    <w:rsid w:val="00DF6496"/>
    <w:rsid w:val="00E03554"/>
    <w:rsid w:val="00E06EA1"/>
    <w:rsid w:val="00E10A1F"/>
    <w:rsid w:val="00E213F1"/>
    <w:rsid w:val="00E22C26"/>
    <w:rsid w:val="00E23987"/>
    <w:rsid w:val="00E2430A"/>
    <w:rsid w:val="00E263A3"/>
    <w:rsid w:val="00E3078F"/>
    <w:rsid w:val="00E30EEF"/>
    <w:rsid w:val="00E3154F"/>
    <w:rsid w:val="00E34508"/>
    <w:rsid w:val="00E4450A"/>
    <w:rsid w:val="00E51870"/>
    <w:rsid w:val="00E52FB4"/>
    <w:rsid w:val="00E532D9"/>
    <w:rsid w:val="00E54663"/>
    <w:rsid w:val="00E567CE"/>
    <w:rsid w:val="00E57BE8"/>
    <w:rsid w:val="00E70D75"/>
    <w:rsid w:val="00E715F0"/>
    <w:rsid w:val="00E77807"/>
    <w:rsid w:val="00E82BBC"/>
    <w:rsid w:val="00E87282"/>
    <w:rsid w:val="00EA18DF"/>
    <w:rsid w:val="00EA4716"/>
    <w:rsid w:val="00EA5FE0"/>
    <w:rsid w:val="00EA68AE"/>
    <w:rsid w:val="00EA6CF8"/>
    <w:rsid w:val="00EB334D"/>
    <w:rsid w:val="00EC07B2"/>
    <w:rsid w:val="00EC1520"/>
    <w:rsid w:val="00EC1833"/>
    <w:rsid w:val="00EC4610"/>
    <w:rsid w:val="00EC7EA6"/>
    <w:rsid w:val="00ED124A"/>
    <w:rsid w:val="00ED5215"/>
    <w:rsid w:val="00ED7C36"/>
    <w:rsid w:val="00EE2728"/>
    <w:rsid w:val="00EE3467"/>
    <w:rsid w:val="00EE3C01"/>
    <w:rsid w:val="00EE6FB1"/>
    <w:rsid w:val="00EF3D3B"/>
    <w:rsid w:val="00EF4301"/>
    <w:rsid w:val="00EF4C76"/>
    <w:rsid w:val="00F21027"/>
    <w:rsid w:val="00F2342D"/>
    <w:rsid w:val="00F244FC"/>
    <w:rsid w:val="00F249DD"/>
    <w:rsid w:val="00F3043B"/>
    <w:rsid w:val="00F30EEE"/>
    <w:rsid w:val="00F3151D"/>
    <w:rsid w:val="00F3407D"/>
    <w:rsid w:val="00F40978"/>
    <w:rsid w:val="00F41978"/>
    <w:rsid w:val="00F41B7B"/>
    <w:rsid w:val="00F456F1"/>
    <w:rsid w:val="00F55BD5"/>
    <w:rsid w:val="00F61110"/>
    <w:rsid w:val="00F636B2"/>
    <w:rsid w:val="00F6419A"/>
    <w:rsid w:val="00F725D4"/>
    <w:rsid w:val="00F726FD"/>
    <w:rsid w:val="00F775D4"/>
    <w:rsid w:val="00F87F87"/>
    <w:rsid w:val="00FB553B"/>
    <w:rsid w:val="00FB753F"/>
    <w:rsid w:val="00FD0CF5"/>
    <w:rsid w:val="00FD43CA"/>
    <w:rsid w:val="00FD5BA7"/>
    <w:rsid w:val="00FD7323"/>
    <w:rsid w:val="00FE668A"/>
    <w:rsid w:val="00FE668D"/>
    <w:rsid w:val="00FE6AEC"/>
    <w:rsid w:val="00FF0F5A"/>
    <w:rsid w:val="00FF2F15"/>
    <w:rsid w:val="00FF3B2F"/>
    <w:rsid w:val="00FF78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C2808"/>
  <w15:docId w15:val="{36299130-6057-419E-A691-B35351238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C64"/>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link w:val="Ttulo3Car"/>
    <w:uiPriority w:val="9"/>
    <w:qFormat/>
    <w:rsid w:val="002D2EAC"/>
    <w:pPr>
      <w:spacing w:before="100" w:beforeAutospacing="1" w:after="100" w:afterAutospacing="1"/>
      <w:outlineLvl w:val="2"/>
    </w:pPr>
    <w:rPr>
      <w:b/>
      <w:bCs/>
      <w:sz w:val="27"/>
      <w:szCs w:val="27"/>
      <w:lang w:val="es-MX" w:eastAsia="es-MX"/>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C3C64"/>
    <w:rPr>
      <w:rFonts w:eastAsiaTheme="minorEastAsia"/>
      <w:sz w:val="24"/>
      <w:szCs w:val="24"/>
      <w:lang w:val="es-ES_tradnl" w:eastAsia="es-ES"/>
    </w:rPr>
  </w:style>
  <w:style w:type="paragraph" w:styleId="Piedepgina">
    <w:name w:val="footer"/>
    <w:basedOn w:val="Normal"/>
    <w:link w:val="Piedepgina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C3C64"/>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C3C6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C3C64"/>
    <w:pPr>
      <w:ind w:left="708"/>
    </w:pPr>
    <w:rPr>
      <w:sz w:val="22"/>
      <w:szCs w:val="22"/>
      <w:lang w:eastAsia="en-US"/>
    </w:rPr>
  </w:style>
  <w:style w:type="table" w:styleId="Tablaconcuadrcula">
    <w:name w:val="Table Grid"/>
    <w:basedOn w:val="Tablanormal"/>
    <w:uiPriority w:val="39"/>
    <w:rsid w:val="00AC3C64"/>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C3C64"/>
  </w:style>
  <w:style w:type="character" w:customStyle="1" w:styleId="apple-converted-space">
    <w:name w:val="apple-converted-space"/>
    <w:basedOn w:val="Fuentedeprrafopredeter"/>
    <w:rsid w:val="00AC3C64"/>
  </w:style>
  <w:style w:type="paragraph" w:customStyle="1" w:styleId="paragraph">
    <w:name w:val="paragraph"/>
    <w:basedOn w:val="Normal"/>
    <w:rsid w:val="00AC3C64"/>
    <w:pPr>
      <w:spacing w:before="100" w:beforeAutospacing="1" w:after="100" w:afterAutospacing="1"/>
    </w:pPr>
    <w:rPr>
      <w:lang w:val="es-MX" w:eastAsia="es-MX"/>
    </w:rPr>
  </w:style>
  <w:style w:type="character" w:customStyle="1" w:styleId="eop">
    <w:name w:val="eop"/>
    <w:basedOn w:val="Fuentedeprrafopredeter"/>
    <w:rsid w:val="00AC3C64"/>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C3C64"/>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AC3C64"/>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AC3C6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sid w:val="00AC3C64"/>
    <w:rPr>
      <w:color w:val="0563C1" w:themeColor="hyperlink"/>
      <w:u w:val="single"/>
    </w:rPr>
  </w:style>
  <w:style w:type="paragraph" w:styleId="NormalWeb">
    <w:name w:val="Normal (Web)"/>
    <w:basedOn w:val="Normal"/>
    <w:uiPriority w:val="99"/>
    <w:unhideWhenUsed/>
    <w:rsid w:val="00AC3C64"/>
    <w:pPr>
      <w:spacing w:before="100" w:beforeAutospacing="1" w:after="100" w:afterAutospacing="1"/>
    </w:pPr>
    <w:rPr>
      <w:lang w:val="es-MX" w:eastAsia="es-MX"/>
    </w:rPr>
  </w:style>
  <w:style w:type="character" w:customStyle="1" w:styleId="Ttulo3Car">
    <w:name w:val="Título 3 Car"/>
    <w:basedOn w:val="Fuentedeprrafopredeter"/>
    <w:link w:val="Ttulo3"/>
    <w:uiPriority w:val="9"/>
    <w:rsid w:val="002D2EAC"/>
    <w:rPr>
      <w:rFonts w:ascii="Times New Roman" w:eastAsia="Times New Roman" w:hAnsi="Times New Roman" w:cs="Times New Roman"/>
      <w:b/>
      <w:bCs/>
      <w:sz w:val="27"/>
      <w:szCs w:val="27"/>
      <w:lang w:eastAsia="es-MX"/>
    </w:rPr>
  </w:style>
  <w:style w:type="character" w:customStyle="1" w:styleId="titulorubro">
    <w:name w:val="titulorubro"/>
    <w:basedOn w:val="Fuentedeprrafopredeter"/>
    <w:rsid w:val="002D2EAC"/>
  </w:style>
  <w:style w:type="paragraph" w:styleId="Textoindependiente">
    <w:name w:val="Body Text"/>
    <w:basedOn w:val="Normal"/>
    <w:link w:val="TextoindependienteCar"/>
    <w:uiPriority w:val="1"/>
    <w:qFormat/>
    <w:rsid w:val="006F3C93"/>
    <w:pPr>
      <w:autoSpaceDE w:val="0"/>
      <w:autoSpaceDN w:val="0"/>
      <w:adjustRightInd w:val="0"/>
      <w:ind w:left="93"/>
    </w:pPr>
    <w:rPr>
      <w:rFonts w:eastAsiaTheme="minorHAnsi"/>
      <w:sz w:val="23"/>
      <w:szCs w:val="23"/>
      <w:lang w:val="es-MX" w:eastAsia="en-US"/>
    </w:rPr>
  </w:style>
  <w:style w:type="character" w:customStyle="1" w:styleId="TextoindependienteCar">
    <w:name w:val="Texto independiente Car"/>
    <w:basedOn w:val="Fuentedeprrafopredeter"/>
    <w:link w:val="Textoindependiente"/>
    <w:uiPriority w:val="1"/>
    <w:rsid w:val="006F3C93"/>
    <w:rPr>
      <w:rFonts w:ascii="Times New Roman" w:hAnsi="Times New Roman" w:cs="Times New Roman"/>
      <w:sz w:val="23"/>
      <w:szCs w:val="23"/>
    </w:rPr>
  </w:style>
  <w:style w:type="paragraph" w:styleId="Textodeglobo">
    <w:name w:val="Balloon Text"/>
    <w:basedOn w:val="Normal"/>
    <w:link w:val="TextodegloboCar"/>
    <w:uiPriority w:val="99"/>
    <w:semiHidden/>
    <w:unhideWhenUsed/>
    <w:rsid w:val="00A037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37B6"/>
    <w:rPr>
      <w:rFonts w:ascii="Segoe UI" w:eastAsia="Times New Roman" w:hAnsi="Segoe UI" w:cs="Segoe UI"/>
      <w:sz w:val="18"/>
      <w:szCs w:val="18"/>
      <w:lang w:val="es-ES" w:eastAsia="es-ES"/>
    </w:rPr>
  </w:style>
  <w:style w:type="paragraph" w:customStyle="1" w:styleId="Pa1">
    <w:name w:val="Pa1"/>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2">
    <w:name w:val="Pa2"/>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3">
    <w:name w:val="Pa3"/>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styleId="Sinespaciado">
    <w:name w:val="No Spacing"/>
    <w:aliases w:val="Francesa,INAI"/>
    <w:link w:val="SinespaciadoCar"/>
    <w:uiPriority w:val="1"/>
    <w:qFormat/>
    <w:rsid w:val="00CE2CFE"/>
  </w:style>
  <w:style w:type="character" w:customStyle="1" w:styleId="SinespaciadoCar">
    <w:name w:val="Sin espaciado Car"/>
    <w:aliases w:val="Francesa Car,INAI Car"/>
    <w:link w:val="Sinespaciado"/>
    <w:uiPriority w:val="1"/>
    <w:locked/>
    <w:rsid w:val="00CE2CFE"/>
  </w:style>
  <w:style w:type="table" w:styleId="Tabladelista1clara-nfasis1">
    <w:name w:val="List Table 1 Light Accent 1"/>
    <w:basedOn w:val="Tablanormal"/>
    <w:uiPriority w:val="46"/>
    <w:rsid w:val="00D30935"/>
    <w:rPr>
      <w:rFonts w:eastAsiaTheme="minorEastAsia"/>
      <w:lang w:val="es-ES_tradnl" w:eastAsia="es-ES"/>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B93218"/>
    <w:rPr>
      <w:color w:val="954F72" w:themeColor="followedHyperlink"/>
      <w:u w:val="single"/>
    </w:rPr>
  </w:style>
  <w:style w:type="table" w:customStyle="1" w:styleId="a2">
    <w:basedOn w:val="TableNormal2"/>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108" w:type="dxa"/>
        <w:right w:w="108" w:type="dxa"/>
      </w:tblCellMar>
    </w:tblPr>
  </w:style>
  <w:style w:type="table" w:customStyle="1" w:styleId="a5">
    <w:basedOn w:val="TableNormal2"/>
    <w:tblPr>
      <w:tblStyleRowBandSize w:val="1"/>
      <w:tblStyleColBandSize w:val="1"/>
      <w:tblCellMar>
        <w:left w:w="108" w:type="dxa"/>
        <w:right w:w="108" w:type="dxa"/>
      </w:tblCellMar>
    </w:tblPr>
  </w:style>
  <w:style w:type="table" w:customStyle="1" w:styleId="a6">
    <w:basedOn w:val="TableNormal2"/>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108" w:type="dxa"/>
        <w:right w:w="108" w:type="dxa"/>
      </w:tblCellMar>
    </w:tblPr>
  </w:style>
  <w:style w:type="table" w:customStyle="1" w:styleId="a8">
    <w:basedOn w:val="TableNormal2"/>
    <w:tblPr>
      <w:tblStyleRowBandSize w:val="1"/>
      <w:tblStyleColBandSize w:val="1"/>
      <w:tblCellMar>
        <w:left w:w="108" w:type="dxa"/>
        <w:right w:w="108"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character" w:styleId="Textoennegrita">
    <w:name w:val="Strong"/>
    <w:uiPriority w:val="22"/>
    <w:qFormat/>
    <w:rsid w:val="002B3D0A"/>
    <w:rPr>
      <w:b/>
      <w:bCs/>
    </w:rPr>
  </w:style>
  <w:style w:type="paragraph" w:customStyle="1" w:styleId="Texto">
    <w:name w:val="Texto"/>
    <w:basedOn w:val="Normal"/>
    <w:link w:val="TextoCar"/>
    <w:qFormat/>
    <w:rsid w:val="002B3D0A"/>
    <w:pPr>
      <w:spacing w:after="101" w:line="216" w:lineRule="exact"/>
      <w:ind w:firstLine="288"/>
      <w:jc w:val="both"/>
    </w:pPr>
    <w:rPr>
      <w:rFonts w:ascii="Arial" w:hAnsi="Arial" w:cs="Arial"/>
      <w:sz w:val="18"/>
      <w:szCs w:val="18"/>
      <w:lang w:val="es-MX"/>
    </w:rPr>
  </w:style>
  <w:style w:type="character" w:customStyle="1" w:styleId="apple-style-span">
    <w:name w:val="apple-style-span"/>
    <w:rsid w:val="002B3D0A"/>
  </w:style>
  <w:style w:type="character" w:customStyle="1" w:styleId="TextoCar">
    <w:name w:val="Texto Car"/>
    <w:link w:val="Texto"/>
    <w:locked/>
    <w:rsid w:val="002B3D0A"/>
    <w:rPr>
      <w:rFonts w:ascii="Arial" w:hAnsi="Arial" w:cs="Arial"/>
      <w:sz w:val="18"/>
      <w:szCs w:val="18"/>
      <w:lang w:val="es-MX" w:eastAsia="es-ES"/>
    </w:rPr>
  </w:style>
  <w:style w:type="paragraph" w:customStyle="1" w:styleId="Citas">
    <w:name w:val="Citas"/>
    <w:basedOn w:val="Normal"/>
    <w:qFormat/>
    <w:rsid w:val="009D3D69"/>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Listaconvietas3">
    <w:name w:val="List Bullet 3"/>
    <w:basedOn w:val="Normal"/>
    <w:uiPriority w:val="99"/>
    <w:unhideWhenUsed/>
    <w:rsid w:val="009E0405"/>
    <w:pPr>
      <w:numPr>
        <w:numId w:val="3"/>
      </w:numPr>
      <w:contextualSpacing/>
    </w:pPr>
    <w:rPr>
      <w:lang w:val="es-MX" w:eastAsia="es-MX"/>
    </w:rPr>
  </w:style>
  <w:style w:type="paragraph" w:styleId="Listaconvietas">
    <w:name w:val="List Bullet"/>
    <w:basedOn w:val="Normal"/>
    <w:uiPriority w:val="99"/>
    <w:unhideWhenUsed/>
    <w:rsid w:val="00E6231A"/>
    <w:pPr>
      <w:tabs>
        <w:tab w:val="num" w:pos="720"/>
      </w:tabs>
      <w:ind w:left="720" w:hanging="720"/>
      <w:contextualSpacing/>
    </w:pPr>
    <w:rPr>
      <w:lang w:val="es-MX" w:eastAsia="es-MX"/>
    </w:rPr>
  </w:style>
  <w:style w:type="character" w:customStyle="1" w:styleId="Mencinsinresolver1">
    <w:name w:val="Mención sin resolver1"/>
    <w:basedOn w:val="Fuentedeprrafopredeter"/>
    <w:uiPriority w:val="99"/>
    <w:semiHidden/>
    <w:unhideWhenUsed/>
    <w:rsid w:val="00582A33"/>
    <w:rPr>
      <w:color w:val="605E5C"/>
      <w:shd w:val="clear" w:color="auto" w:fill="E1DFDD"/>
    </w:r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836A8D"/>
    <w:rPr>
      <w:color w:val="605E5C"/>
      <w:shd w:val="clear" w:color="auto" w:fill="E1DFDD"/>
    </w:rPr>
  </w:style>
  <w:style w:type="character" w:customStyle="1" w:styleId="Mencinsinresolver3">
    <w:name w:val="Mención sin resolver3"/>
    <w:basedOn w:val="Fuentedeprrafopredeter"/>
    <w:uiPriority w:val="99"/>
    <w:semiHidden/>
    <w:unhideWhenUsed/>
    <w:rsid w:val="00D21E62"/>
    <w:rPr>
      <w:color w:val="605E5C"/>
      <w:shd w:val="clear" w:color="auto" w:fill="E1DFDD"/>
    </w:rPr>
  </w:style>
  <w:style w:type="paragraph" w:customStyle="1" w:styleId="INFOEM">
    <w:name w:val="INFOEM"/>
    <w:basedOn w:val="Normal"/>
    <w:qFormat/>
    <w:rsid w:val="00A87C1D"/>
    <w:pPr>
      <w:spacing w:before="240" w:after="160" w:line="360" w:lineRule="auto"/>
      <w:ind w:left="851" w:right="851"/>
      <w:jc w:val="both"/>
    </w:pPr>
    <w:rPr>
      <w:rFonts w:ascii="Palatino Linotype" w:eastAsiaTheme="minorHAnsi" w:hAnsi="Palatino Linotype" w:cstheme="minorBidi"/>
      <w:i/>
      <w:sz w:val="22"/>
      <w:szCs w:val="14"/>
      <w:lang w:val="es-MX" w:eastAsia="en-US"/>
    </w:rPr>
  </w:style>
  <w:style w:type="paragraph" w:customStyle="1" w:styleId="Default">
    <w:name w:val="Default"/>
    <w:rsid w:val="005E228D"/>
    <w:pPr>
      <w:autoSpaceDE w:val="0"/>
      <w:autoSpaceDN w:val="0"/>
      <w:adjustRightInd w:val="0"/>
    </w:pPr>
    <w:rPr>
      <w:rFonts w:ascii="Palatino Linotype" w:eastAsiaTheme="minorEastAsia" w:hAnsi="Palatino Linotype" w:cs="Palatino Linotype"/>
      <w:color w:val="000000"/>
      <w:lang w:val="es-MX" w:eastAsia="es-ES"/>
    </w:rPr>
  </w:style>
  <w:style w:type="character" w:customStyle="1" w:styleId="Mencinsinresolver4">
    <w:name w:val="Mención sin resolver4"/>
    <w:basedOn w:val="Fuentedeprrafopredeter"/>
    <w:uiPriority w:val="99"/>
    <w:semiHidden/>
    <w:unhideWhenUsed/>
    <w:rsid w:val="00577C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5060">
      <w:bodyDiv w:val="1"/>
      <w:marLeft w:val="0"/>
      <w:marRight w:val="0"/>
      <w:marTop w:val="0"/>
      <w:marBottom w:val="0"/>
      <w:divBdr>
        <w:top w:val="none" w:sz="0" w:space="0" w:color="auto"/>
        <w:left w:val="none" w:sz="0" w:space="0" w:color="auto"/>
        <w:bottom w:val="none" w:sz="0" w:space="0" w:color="auto"/>
        <w:right w:val="none" w:sz="0" w:space="0" w:color="auto"/>
      </w:divBdr>
    </w:div>
    <w:div w:id="50151628">
      <w:bodyDiv w:val="1"/>
      <w:marLeft w:val="0"/>
      <w:marRight w:val="0"/>
      <w:marTop w:val="0"/>
      <w:marBottom w:val="0"/>
      <w:divBdr>
        <w:top w:val="none" w:sz="0" w:space="0" w:color="auto"/>
        <w:left w:val="none" w:sz="0" w:space="0" w:color="auto"/>
        <w:bottom w:val="none" w:sz="0" w:space="0" w:color="auto"/>
        <w:right w:val="none" w:sz="0" w:space="0" w:color="auto"/>
      </w:divBdr>
    </w:div>
    <w:div w:id="58594699">
      <w:bodyDiv w:val="1"/>
      <w:marLeft w:val="0"/>
      <w:marRight w:val="0"/>
      <w:marTop w:val="0"/>
      <w:marBottom w:val="0"/>
      <w:divBdr>
        <w:top w:val="none" w:sz="0" w:space="0" w:color="auto"/>
        <w:left w:val="none" w:sz="0" w:space="0" w:color="auto"/>
        <w:bottom w:val="none" w:sz="0" w:space="0" w:color="auto"/>
        <w:right w:val="none" w:sz="0" w:space="0" w:color="auto"/>
      </w:divBdr>
    </w:div>
    <w:div w:id="64107954">
      <w:bodyDiv w:val="1"/>
      <w:marLeft w:val="0"/>
      <w:marRight w:val="0"/>
      <w:marTop w:val="0"/>
      <w:marBottom w:val="0"/>
      <w:divBdr>
        <w:top w:val="none" w:sz="0" w:space="0" w:color="auto"/>
        <w:left w:val="none" w:sz="0" w:space="0" w:color="auto"/>
        <w:bottom w:val="none" w:sz="0" w:space="0" w:color="auto"/>
        <w:right w:val="none" w:sz="0" w:space="0" w:color="auto"/>
      </w:divBdr>
    </w:div>
    <w:div w:id="70809557">
      <w:bodyDiv w:val="1"/>
      <w:marLeft w:val="0"/>
      <w:marRight w:val="0"/>
      <w:marTop w:val="0"/>
      <w:marBottom w:val="0"/>
      <w:divBdr>
        <w:top w:val="none" w:sz="0" w:space="0" w:color="auto"/>
        <w:left w:val="none" w:sz="0" w:space="0" w:color="auto"/>
        <w:bottom w:val="none" w:sz="0" w:space="0" w:color="auto"/>
        <w:right w:val="none" w:sz="0" w:space="0" w:color="auto"/>
      </w:divBdr>
    </w:div>
    <w:div w:id="79957242">
      <w:bodyDiv w:val="1"/>
      <w:marLeft w:val="0"/>
      <w:marRight w:val="0"/>
      <w:marTop w:val="0"/>
      <w:marBottom w:val="0"/>
      <w:divBdr>
        <w:top w:val="none" w:sz="0" w:space="0" w:color="auto"/>
        <w:left w:val="none" w:sz="0" w:space="0" w:color="auto"/>
        <w:bottom w:val="none" w:sz="0" w:space="0" w:color="auto"/>
        <w:right w:val="none" w:sz="0" w:space="0" w:color="auto"/>
      </w:divBdr>
    </w:div>
    <w:div w:id="92555224">
      <w:bodyDiv w:val="1"/>
      <w:marLeft w:val="0"/>
      <w:marRight w:val="0"/>
      <w:marTop w:val="0"/>
      <w:marBottom w:val="0"/>
      <w:divBdr>
        <w:top w:val="none" w:sz="0" w:space="0" w:color="auto"/>
        <w:left w:val="none" w:sz="0" w:space="0" w:color="auto"/>
        <w:bottom w:val="none" w:sz="0" w:space="0" w:color="auto"/>
        <w:right w:val="none" w:sz="0" w:space="0" w:color="auto"/>
      </w:divBdr>
    </w:div>
    <w:div w:id="93323805">
      <w:bodyDiv w:val="1"/>
      <w:marLeft w:val="0"/>
      <w:marRight w:val="0"/>
      <w:marTop w:val="0"/>
      <w:marBottom w:val="0"/>
      <w:divBdr>
        <w:top w:val="none" w:sz="0" w:space="0" w:color="auto"/>
        <w:left w:val="none" w:sz="0" w:space="0" w:color="auto"/>
        <w:bottom w:val="none" w:sz="0" w:space="0" w:color="auto"/>
        <w:right w:val="none" w:sz="0" w:space="0" w:color="auto"/>
      </w:divBdr>
    </w:div>
    <w:div w:id="139813658">
      <w:bodyDiv w:val="1"/>
      <w:marLeft w:val="0"/>
      <w:marRight w:val="0"/>
      <w:marTop w:val="0"/>
      <w:marBottom w:val="0"/>
      <w:divBdr>
        <w:top w:val="none" w:sz="0" w:space="0" w:color="auto"/>
        <w:left w:val="none" w:sz="0" w:space="0" w:color="auto"/>
        <w:bottom w:val="none" w:sz="0" w:space="0" w:color="auto"/>
        <w:right w:val="none" w:sz="0" w:space="0" w:color="auto"/>
      </w:divBdr>
    </w:div>
    <w:div w:id="140192463">
      <w:bodyDiv w:val="1"/>
      <w:marLeft w:val="0"/>
      <w:marRight w:val="0"/>
      <w:marTop w:val="0"/>
      <w:marBottom w:val="0"/>
      <w:divBdr>
        <w:top w:val="none" w:sz="0" w:space="0" w:color="auto"/>
        <w:left w:val="none" w:sz="0" w:space="0" w:color="auto"/>
        <w:bottom w:val="none" w:sz="0" w:space="0" w:color="auto"/>
        <w:right w:val="none" w:sz="0" w:space="0" w:color="auto"/>
      </w:divBdr>
    </w:div>
    <w:div w:id="168065096">
      <w:bodyDiv w:val="1"/>
      <w:marLeft w:val="0"/>
      <w:marRight w:val="0"/>
      <w:marTop w:val="0"/>
      <w:marBottom w:val="0"/>
      <w:divBdr>
        <w:top w:val="none" w:sz="0" w:space="0" w:color="auto"/>
        <w:left w:val="none" w:sz="0" w:space="0" w:color="auto"/>
        <w:bottom w:val="none" w:sz="0" w:space="0" w:color="auto"/>
        <w:right w:val="none" w:sz="0" w:space="0" w:color="auto"/>
      </w:divBdr>
    </w:div>
    <w:div w:id="169223281">
      <w:bodyDiv w:val="1"/>
      <w:marLeft w:val="0"/>
      <w:marRight w:val="0"/>
      <w:marTop w:val="0"/>
      <w:marBottom w:val="0"/>
      <w:divBdr>
        <w:top w:val="none" w:sz="0" w:space="0" w:color="auto"/>
        <w:left w:val="none" w:sz="0" w:space="0" w:color="auto"/>
        <w:bottom w:val="none" w:sz="0" w:space="0" w:color="auto"/>
        <w:right w:val="none" w:sz="0" w:space="0" w:color="auto"/>
      </w:divBdr>
    </w:div>
    <w:div w:id="190073297">
      <w:bodyDiv w:val="1"/>
      <w:marLeft w:val="0"/>
      <w:marRight w:val="0"/>
      <w:marTop w:val="0"/>
      <w:marBottom w:val="0"/>
      <w:divBdr>
        <w:top w:val="none" w:sz="0" w:space="0" w:color="auto"/>
        <w:left w:val="none" w:sz="0" w:space="0" w:color="auto"/>
        <w:bottom w:val="none" w:sz="0" w:space="0" w:color="auto"/>
        <w:right w:val="none" w:sz="0" w:space="0" w:color="auto"/>
      </w:divBdr>
    </w:div>
    <w:div w:id="199443953">
      <w:bodyDiv w:val="1"/>
      <w:marLeft w:val="0"/>
      <w:marRight w:val="0"/>
      <w:marTop w:val="0"/>
      <w:marBottom w:val="0"/>
      <w:divBdr>
        <w:top w:val="none" w:sz="0" w:space="0" w:color="auto"/>
        <w:left w:val="none" w:sz="0" w:space="0" w:color="auto"/>
        <w:bottom w:val="none" w:sz="0" w:space="0" w:color="auto"/>
        <w:right w:val="none" w:sz="0" w:space="0" w:color="auto"/>
      </w:divBdr>
    </w:div>
    <w:div w:id="201015061">
      <w:bodyDiv w:val="1"/>
      <w:marLeft w:val="0"/>
      <w:marRight w:val="0"/>
      <w:marTop w:val="0"/>
      <w:marBottom w:val="0"/>
      <w:divBdr>
        <w:top w:val="none" w:sz="0" w:space="0" w:color="auto"/>
        <w:left w:val="none" w:sz="0" w:space="0" w:color="auto"/>
        <w:bottom w:val="none" w:sz="0" w:space="0" w:color="auto"/>
        <w:right w:val="none" w:sz="0" w:space="0" w:color="auto"/>
      </w:divBdr>
      <w:divsChild>
        <w:div w:id="1892420772">
          <w:marLeft w:val="0"/>
          <w:marRight w:val="0"/>
          <w:marTop w:val="0"/>
          <w:marBottom w:val="0"/>
          <w:divBdr>
            <w:top w:val="single" w:sz="6" w:space="4" w:color="DDDDDD"/>
            <w:left w:val="single" w:sz="6" w:space="4" w:color="DDDDDD"/>
            <w:bottom w:val="none" w:sz="0" w:space="0" w:color="auto"/>
            <w:right w:val="single" w:sz="6" w:space="4" w:color="DDDDDD"/>
          </w:divBdr>
        </w:div>
      </w:divsChild>
    </w:div>
    <w:div w:id="212810256">
      <w:bodyDiv w:val="1"/>
      <w:marLeft w:val="0"/>
      <w:marRight w:val="0"/>
      <w:marTop w:val="0"/>
      <w:marBottom w:val="0"/>
      <w:divBdr>
        <w:top w:val="none" w:sz="0" w:space="0" w:color="auto"/>
        <w:left w:val="none" w:sz="0" w:space="0" w:color="auto"/>
        <w:bottom w:val="none" w:sz="0" w:space="0" w:color="auto"/>
        <w:right w:val="none" w:sz="0" w:space="0" w:color="auto"/>
      </w:divBdr>
    </w:div>
    <w:div w:id="216934193">
      <w:bodyDiv w:val="1"/>
      <w:marLeft w:val="0"/>
      <w:marRight w:val="0"/>
      <w:marTop w:val="0"/>
      <w:marBottom w:val="0"/>
      <w:divBdr>
        <w:top w:val="none" w:sz="0" w:space="0" w:color="auto"/>
        <w:left w:val="none" w:sz="0" w:space="0" w:color="auto"/>
        <w:bottom w:val="none" w:sz="0" w:space="0" w:color="auto"/>
        <w:right w:val="none" w:sz="0" w:space="0" w:color="auto"/>
      </w:divBdr>
    </w:div>
    <w:div w:id="264460817">
      <w:bodyDiv w:val="1"/>
      <w:marLeft w:val="0"/>
      <w:marRight w:val="0"/>
      <w:marTop w:val="0"/>
      <w:marBottom w:val="0"/>
      <w:divBdr>
        <w:top w:val="none" w:sz="0" w:space="0" w:color="auto"/>
        <w:left w:val="none" w:sz="0" w:space="0" w:color="auto"/>
        <w:bottom w:val="none" w:sz="0" w:space="0" w:color="auto"/>
        <w:right w:val="none" w:sz="0" w:space="0" w:color="auto"/>
      </w:divBdr>
    </w:div>
    <w:div w:id="308706047">
      <w:bodyDiv w:val="1"/>
      <w:marLeft w:val="0"/>
      <w:marRight w:val="0"/>
      <w:marTop w:val="0"/>
      <w:marBottom w:val="0"/>
      <w:divBdr>
        <w:top w:val="none" w:sz="0" w:space="0" w:color="auto"/>
        <w:left w:val="none" w:sz="0" w:space="0" w:color="auto"/>
        <w:bottom w:val="none" w:sz="0" w:space="0" w:color="auto"/>
        <w:right w:val="none" w:sz="0" w:space="0" w:color="auto"/>
      </w:divBdr>
    </w:div>
    <w:div w:id="325131346">
      <w:bodyDiv w:val="1"/>
      <w:marLeft w:val="0"/>
      <w:marRight w:val="0"/>
      <w:marTop w:val="0"/>
      <w:marBottom w:val="0"/>
      <w:divBdr>
        <w:top w:val="none" w:sz="0" w:space="0" w:color="auto"/>
        <w:left w:val="none" w:sz="0" w:space="0" w:color="auto"/>
        <w:bottom w:val="none" w:sz="0" w:space="0" w:color="auto"/>
        <w:right w:val="none" w:sz="0" w:space="0" w:color="auto"/>
      </w:divBdr>
    </w:div>
    <w:div w:id="334961442">
      <w:bodyDiv w:val="1"/>
      <w:marLeft w:val="0"/>
      <w:marRight w:val="0"/>
      <w:marTop w:val="0"/>
      <w:marBottom w:val="0"/>
      <w:divBdr>
        <w:top w:val="none" w:sz="0" w:space="0" w:color="auto"/>
        <w:left w:val="none" w:sz="0" w:space="0" w:color="auto"/>
        <w:bottom w:val="none" w:sz="0" w:space="0" w:color="auto"/>
        <w:right w:val="none" w:sz="0" w:space="0" w:color="auto"/>
      </w:divBdr>
    </w:div>
    <w:div w:id="338654130">
      <w:bodyDiv w:val="1"/>
      <w:marLeft w:val="0"/>
      <w:marRight w:val="0"/>
      <w:marTop w:val="0"/>
      <w:marBottom w:val="0"/>
      <w:divBdr>
        <w:top w:val="none" w:sz="0" w:space="0" w:color="auto"/>
        <w:left w:val="none" w:sz="0" w:space="0" w:color="auto"/>
        <w:bottom w:val="none" w:sz="0" w:space="0" w:color="auto"/>
        <w:right w:val="none" w:sz="0" w:space="0" w:color="auto"/>
      </w:divBdr>
    </w:div>
    <w:div w:id="390272707">
      <w:bodyDiv w:val="1"/>
      <w:marLeft w:val="0"/>
      <w:marRight w:val="0"/>
      <w:marTop w:val="0"/>
      <w:marBottom w:val="0"/>
      <w:divBdr>
        <w:top w:val="none" w:sz="0" w:space="0" w:color="auto"/>
        <w:left w:val="none" w:sz="0" w:space="0" w:color="auto"/>
        <w:bottom w:val="none" w:sz="0" w:space="0" w:color="auto"/>
        <w:right w:val="none" w:sz="0" w:space="0" w:color="auto"/>
      </w:divBdr>
    </w:div>
    <w:div w:id="394819913">
      <w:bodyDiv w:val="1"/>
      <w:marLeft w:val="0"/>
      <w:marRight w:val="0"/>
      <w:marTop w:val="0"/>
      <w:marBottom w:val="0"/>
      <w:divBdr>
        <w:top w:val="none" w:sz="0" w:space="0" w:color="auto"/>
        <w:left w:val="none" w:sz="0" w:space="0" w:color="auto"/>
        <w:bottom w:val="none" w:sz="0" w:space="0" w:color="auto"/>
        <w:right w:val="none" w:sz="0" w:space="0" w:color="auto"/>
      </w:divBdr>
    </w:div>
    <w:div w:id="406417014">
      <w:bodyDiv w:val="1"/>
      <w:marLeft w:val="0"/>
      <w:marRight w:val="0"/>
      <w:marTop w:val="0"/>
      <w:marBottom w:val="0"/>
      <w:divBdr>
        <w:top w:val="none" w:sz="0" w:space="0" w:color="auto"/>
        <w:left w:val="none" w:sz="0" w:space="0" w:color="auto"/>
        <w:bottom w:val="none" w:sz="0" w:space="0" w:color="auto"/>
        <w:right w:val="none" w:sz="0" w:space="0" w:color="auto"/>
      </w:divBdr>
    </w:div>
    <w:div w:id="407264645">
      <w:bodyDiv w:val="1"/>
      <w:marLeft w:val="0"/>
      <w:marRight w:val="0"/>
      <w:marTop w:val="0"/>
      <w:marBottom w:val="0"/>
      <w:divBdr>
        <w:top w:val="none" w:sz="0" w:space="0" w:color="auto"/>
        <w:left w:val="none" w:sz="0" w:space="0" w:color="auto"/>
        <w:bottom w:val="none" w:sz="0" w:space="0" w:color="auto"/>
        <w:right w:val="none" w:sz="0" w:space="0" w:color="auto"/>
      </w:divBdr>
    </w:div>
    <w:div w:id="424419746">
      <w:bodyDiv w:val="1"/>
      <w:marLeft w:val="0"/>
      <w:marRight w:val="0"/>
      <w:marTop w:val="0"/>
      <w:marBottom w:val="0"/>
      <w:divBdr>
        <w:top w:val="none" w:sz="0" w:space="0" w:color="auto"/>
        <w:left w:val="none" w:sz="0" w:space="0" w:color="auto"/>
        <w:bottom w:val="none" w:sz="0" w:space="0" w:color="auto"/>
        <w:right w:val="none" w:sz="0" w:space="0" w:color="auto"/>
      </w:divBdr>
    </w:div>
    <w:div w:id="442698840">
      <w:bodyDiv w:val="1"/>
      <w:marLeft w:val="0"/>
      <w:marRight w:val="0"/>
      <w:marTop w:val="0"/>
      <w:marBottom w:val="0"/>
      <w:divBdr>
        <w:top w:val="none" w:sz="0" w:space="0" w:color="auto"/>
        <w:left w:val="none" w:sz="0" w:space="0" w:color="auto"/>
        <w:bottom w:val="none" w:sz="0" w:space="0" w:color="auto"/>
        <w:right w:val="none" w:sz="0" w:space="0" w:color="auto"/>
      </w:divBdr>
    </w:div>
    <w:div w:id="473646226">
      <w:bodyDiv w:val="1"/>
      <w:marLeft w:val="0"/>
      <w:marRight w:val="0"/>
      <w:marTop w:val="0"/>
      <w:marBottom w:val="0"/>
      <w:divBdr>
        <w:top w:val="none" w:sz="0" w:space="0" w:color="auto"/>
        <w:left w:val="none" w:sz="0" w:space="0" w:color="auto"/>
        <w:bottom w:val="none" w:sz="0" w:space="0" w:color="auto"/>
        <w:right w:val="none" w:sz="0" w:space="0" w:color="auto"/>
      </w:divBdr>
    </w:div>
    <w:div w:id="494225618">
      <w:bodyDiv w:val="1"/>
      <w:marLeft w:val="0"/>
      <w:marRight w:val="0"/>
      <w:marTop w:val="0"/>
      <w:marBottom w:val="0"/>
      <w:divBdr>
        <w:top w:val="none" w:sz="0" w:space="0" w:color="auto"/>
        <w:left w:val="none" w:sz="0" w:space="0" w:color="auto"/>
        <w:bottom w:val="none" w:sz="0" w:space="0" w:color="auto"/>
        <w:right w:val="none" w:sz="0" w:space="0" w:color="auto"/>
      </w:divBdr>
    </w:div>
    <w:div w:id="526917553">
      <w:bodyDiv w:val="1"/>
      <w:marLeft w:val="0"/>
      <w:marRight w:val="0"/>
      <w:marTop w:val="0"/>
      <w:marBottom w:val="0"/>
      <w:divBdr>
        <w:top w:val="none" w:sz="0" w:space="0" w:color="auto"/>
        <w:left w:val="none" w:sz="0" w:space="0" w:color="auto"/>
        <w:bottom w:val="none" w:sz="0" w:space="0" w:color="auto"/>
        <w:right w:val="none" w:sz="0" w:space="0" w:color="auto"/>
      </w:divBdr>
    </w:div>
    <w:div w:id="550074365">
      <w:bodyDiv w:val="1"/>
      <w:marLeft w:val="0"/>
      <w:marRight w:val="0"/>
      <w:marTop w:val="0"/>
      <w:marBottom w:val="0"/>
      <w:divBdr>
        <w:top w:val="none" w:sz="0" w:space="0" w:color="auto"/>
        <w:left w:val="none" w:sz="0" w:space="0" w:color="auto"/>
        <w:bottom w:val="none" w:sz="0" w:space="0" w:color="auto"/>
        <w:right w:val="none" w:sz="0" w:space="0" w:color="auto"/>
      </w:divBdr>
    </w:div>
    <w:div w:id="570434174">
      <w:bodyDiv w:val="1"/>
      <w:marLeft w:val="0"/>
      <w:marRight w:val="0"/>
      <w:marTop w:val="0"/>
      <w:marBottom w:val="0"/>
      <w:divBdr>
        <w:top w:val="none" w:sz="0" w:space="0" w:color="auto"/>
        <w:left w:val="none" w:sz="0" w:space="0" w:color="auto"/>
        <w:bottom w:val="none" w:sz="0" w:space="0" w:color="auto"/>
        <w:right w:val="none" w:sz="0" w:space="0" w:color="auto"/>
      </w:divBdr>
    </w:div>
    <w:div w:id="582303969">
      <w:bodyDiv w:val="1"/>
      <w:marLeft w:val="0"/>
      <w:marRight w:val="0"/>
      <w:marTop w:val="0"/>
      <w:marBottom w:val="0"/>
      <w:divBdr>
        <w:top w:val="none" w:sz="0" w:space="0" w:color="auto"/>
        <w:left w:val="none" w:sz="0" w:space="0" w:color="auto"/>
        <w:bottom w:val="none" w:sz="0" w:space="0" w:color="auto"/>
        <w:right w:val="none" w:sz="0" w:space="0" w:color="auto"/>
      </w:divBdr>
    </w:div>
    <w:div w:id="583342176">
      <w:bodyDiv w:val="1"/>
      <w:marLeft w:val="0"/>
      <w:marRight w:val="0"/>
      <w:marTop w:val="0"/>
      <w:marBottom w:val="0"/>
      <w:divBdr>
        <w:top w:val="none" w:sz="0" w:space="0" w:color="auto"/>
        <w:left w:val="none" w:sz="0" w:space="0" w:color="auto"/>
        <w:bottom w:val="none" w:sz="0" w:space="0" w:color="auto"/>
        <w:right w:val="none" w:sz="0" w:space="0" w:color="auto"/>
      </w:divBdr>
    </w:div>
    <w:div w:id="633754230">
      <w:bodyDiv w:val="1"/>
      <w:marLeft w:val="0"/>
      <w:marRight w:val="0"/>
      <w:marTop w:val="0"/>
      <w:marBottom w:val="0"/>
      <w:divBdr>
        <w:top w:val="none" w:sz="0" w:space="0" w:color="auto"/>
        <w:left w:val="none" w:sz="0" w:space="0" w:color="auto"/>
        <w:bottom w:val="none" w:sz="0" w:space="0" w:color="auto"/>
        <w:right w:val="none" w:sz="0" w:space="0" w:color="auto"/>
      </w:divBdr>
    </w:div>
    <w:div w:id="703016068">
      <w:bodyDiv w:val="1"/>
      <w:marLeft w:val="0"/>
      <w:marRight w:val="0"/>
      <w:marTop w:val="0"/>
      <w:marBottom w:val="0"/>
      <w:divBdr>
        <w:top w:val="none" w:sz="0" w:space="0" w:color="auto"/>
        <w:left w:val="none" w:sz="0" w:space="0" w:color="auto"/>
        <w:bottom w:val="none" w:sz="0" w:space="0" w:color="auto"/>
        <w:right w:val="none" w:sz="0" w:space="0" w:color="auto"/>
      </w:divBdr>
    </w:div>
    <w:div w:id="714548037">
      <w:bodyDiv w:val="1"/>
      <w:marLeft w:val="0"/>
      <w:marRight w:val="0"/>
      <w:marTop w:val="0"/>
      <w:marBottom w:val="0"/>
      <w:divBdr>
        <w:top w:val="none" w:sz="0" w:space="0" w:color="auto"/>
        <w:left w:val="none" w:sz="0" w:space="0" w:color="auto"/>
        <w:bottom w:val="none" w:sz="0" w:space="0" w:color="auto"/>
        <w:right w:val="none" w:sz="0" w:space="0" w:color="auto"/>
      </w:divBdr>
    </w:div>
    <w:div w:id="737215094">
      <w:bodyDiv w:val="1"/>
      <w:marLeft w:val="0"/>
      <w:marRight w:val="0"/>
      <w:marTop w:val="0"/>
      <w:marBottom w:val="0"/>
      <w:divBdr>
        <w:top w:val="none" w:sz="0" w:space="0" w:color="auto"/>
        <w:left w:val="none" w:sz="0" w:space="0" w:color="auto"/>
        <w:bottom w:val="none" w:sz="0" w:space="0" w:color="auto"/>
        <w:right w:val="none" w:sz="0" w:space="0" w:color="auto"/>
      </w:divBdr>
    </w:div>
    <w:div w:id="740831287">
      <w:bodyDiv w:val="1"/>
      <w:marLeft w:val="0"/>
      <w:marRight w:val="0"/>
      <w:marTop w:val="0"/>
      <w:marBottom w:val="0"/>
      <w:divBdr>
        <w:top w:val="none" w:sz="0" w:space="0" w:color="auto"/>
        <w:left w:val="none" w:sz="0" w:space="0" w:color="auto"/>
        <w:bottom w:val="none" w:sz="0" w:space="0" w:color="auto"/>
        <w:right w:val="none" w:sz="0" w:space="0" w:color="auto"/>
      </w:divBdr>
    </w:div>
    <w:div w:id="755370451">
      <w:bodyDiv w:val="1"/>
      <w:marLeft w:val="0"/>
      <w:marRight w:val="0"/>
      <w:marTop w:val="0"/>
      <w:marBottom w:val="0"/>
      <w:divBdr>
        <w:top w:val="none" w:sz="0" w:space="0" w:color="auto"/>
        <w:left w:val="none" w:sz="0" w:space="0" w:color="auto"/>
        <w:bottom w:val="none" w:sz="0" w:space="0" w:color="auto"/>
        <w:right w:val="none" w:sz="0" w:space="0" w:color="auto"/>
      </w:divBdr>
    </w:div>
    <w:div w:id="805781259">
      <w:bodyDiv w:val="1"/>
      <w:marLeft w:val="0"/>
      <w:marRight w:val="0"/>
      <w:marTop w:val="0"/>
      <w:marBottom w:val="0"/>
      <w:divBdr>
        <w:top w:val="none" w:sz="0" w:space="0" w:color="auto"/>
        <w:left w:val="none" w:sz="0" w:space="0" w:color="auto"/>
        <w:bottom w:val="none" w:sz="0" w:space="0" w:color="auto"/>
        <w:right w:val="none" w:sz="0" w:space="0" w:color="auto"/>
      </w:divBdr>
    </w:div>
    <w:div w:id="814570515">
      <w:bodyDiv w:val="1"/>
      <w:marLeft w:val="0"/>
      <w:marRight w:val="0"/>
      <w:marTop w:val="0"/>
      <w:marBottom w:val="0"/>
      <w:divBdr>
        <w:top w:val="none" w:sz="0" w:space="0" w:color="auto"/>
        <w:left w:val="none" w:sz="0" w:space="0" w:color="auto"/>
        <w:bottom w:val="none" w:sz="0" w:space="0" w:color="auto"/>
        <w:right w:val="none" w:sz="0" w:space="0" w:color="auto"/>
      </w:divBdr>
    </w:div>
    <w:div w:id="850484089">
      <w:bodyDiv w:val="1"/>
      <w:marLeft w:val="0"/>
      <w:marRight w:val="0"/>
      <w:marTop w:val="0"/>
      <w:marBottom w:val="0"/>
      <w:divBdr>
        <w:top w:val="none" w:sz="0" w:space="0" w:color="auto"/>
        <w:left w:val="none" w:sz="0" w:space="0" w:color="auto"/>
        <w:bottom w:val="none" w:sz="0" w:space="0" w:color="auto"/>
        <w:right w:val="none" w:sz="0" w:space="0" w:color="auto"/>
      </w:divBdr>
    </w:div>
    <w:div w:id="882794866">
      <w:bodyDiv w:val="1"/>
      <w:marLeft w:val="0"/>
      <w:marRight w:val="0"/>
      <w:marTop w:val="0"/>
      <w:marBottom w:val="0"/>
      <w:divBdr>
        <w:top w:val="none" w:sz="0" w:space="0" w:color="auto"/>
        <w:left w:val="none" w:sz="0" w:space="0" w:color="auto"/>
        <w:bottom w:val="none" w:sz="0" w:space="0" w:color="auto"/>
        <w:right w:val="none" w:sz="0" w:space="0" w:color="auto"/>
      </w:divBdr>
    </w:div>
    <w:div w:id="904220984">
      <w:bodyDiv w:val="1"/>
      <w:marLeft w:val="0"/>
      <w:marRight w:val="0"/>
      <w:marTop w:val="0"/>
      <w:marBottom w:val="0"/>
      <w:divBdr>
        <w:top w:val="none" w:sz="0" w:space="0" w:color="auto"/>
        <w:left w:val="none" w:sz="0" w:space="0" w:color="auto"/>
        <w:bottom w:val="none" w:sz="0" w:space="0" w:color="auto"/>
        <w:right w:val="none" w:sz="0" w:space="0" w:color="auto"/>
      </w:divBdr>
    </w:div>
    <w:div w:id="910039450">
      <w:bodyDiv w:val="1"/>
      <w:marLeft w:val="0"/>
      <w:marRight w:val="0"/>
      <w:marTop w:val="0"/>
      <w:marBottom w:val="0"/>
      <w:divBdr>
        <w:top w:val="none" w:sz="0" w:space="0" w:color="auto"/>
        <w:left w:val="none" w:sz="0" w:space="0" w:color="auto"/>
        <w:bottom w:val="none" w:sz="0" w:space="0" w:color="auto"/>
        <w:right w:val="none" w:sz="0" w:space="0" w:color="auto"/>
      </w:divBdr>
      <w:divsChild>
        <w:div w:id="827408180">
          <w:marLeft w:val="0"/>
          <w:marRight w:val="0"/>
          <w:marTop w:val="0"/>
          <w:marBottom w:val="0"/>
          <w:divBdr>
            <w:top w:val="none" w:sz="0" w:space="0" w:color="auto"/>
            <w:left w:val="none" w:sz="0" w:space="0" w:color="auto"/>
            <w:bottom w:val="none" w:sz="0" w:space="0" w:color="auto"/>
            <w:right w:val="none" w:sz="0" w:space="0" w:color="auto"/>
          </w:divBdr>
          <w:divsChild>
            <w:div w:id="1610963769">
              <w:marLeft w:val="0"/>
              <w:marRight w:val="0"/>
              <w:marTop w:val="0"/>
              <w:marBottom w:val="0"/>
              <w:divBdr>
                <w:top w:val="none" w:sz="0" w:space="0" w:color="auto"/>
                <w:left w:val="none" w:sz="0" w:space="0" w:color="auto"/>
                <w:bottom w:val="none" w:sz="0" w:space="0" w:color="auto"/>
                <w:right w:val="none" w:sz="0" w:space="0" w:color="auto"/>
              </w:divBdr>
              <w:divsChild>
                <w:div w:id="2072458086">
                  <w:marLeft w:val="0"/>
                  <w:marRight w:val="0"/>
                  <w:marTop w:val="0"/>
                  <w:marBottom w:val="0"/>
                  <w:divBdr>
                    <w:top w:val="none" w:sz="0" w:space="0" w:color="auto"/>
                    <w:left w:val="none" w:sz="0" w:space="0" w:color="auto"/>
                    <w:bottom w:val="none" w:sz="0" w:space="0" w:color="auto"/>
                    <w:right w:val="none" w:sz="0" w:space="0" w:color="auto"/>
                  </w:divBdr>
                </w:div>
                <w:div w:id="1464036802">
                  <w:marLeft w:val="0"/>
                  <w:marRight w:val="0"/>
                  <w:marTop w:val="0"/>
                  <w:marBottom w:val="0"/>
                  <w:divBdr>
                    <w:top w:val="none" w:sz="0" w:space="0" w:color="auto"/>
                    <w:left w:val="none" w:sz="0" w:space="0" w:color="auto"/>
                    <w:bottom w:val="none" w:sz="0" w:space="0" w:color="auto"/>
                    <w:right w:val="none" w:sz="0" w:space="0" w:color="auto"/>
                  </w:divBdr>
                </w:div>
                <w:div w:id="1265572698">
                  <w:marLeft w:val="0"/>
                  <w:marRight w:val="0"/>
                  <w:marTop w:val="0"/>
                  <w:marBottom w:val="0"/>
                  <w:divBdr>
                    <w:top w:val="none" w:sz="0" w:space="0" w:color="auto"/>
                    <w:left w:val="none" w:sz="0" w:space="0" w:color="auto"/>
                    <w:bottom w:val="none" w:sz="0" w:space="0" w:color="auto"/>
                    <w:right w:val="none" w:sz="0" w:space="0" w:color="auto"/>
                  </w:divBdr>
                </w:div>
                <w:div w:id="1478836257">
                  <w:marLeft w:val="0"/>
                  <w:marRight w:val="0"/>
                  <w:marTop w:val="0"/>
                  <w:marBottom w:val="0"/>
                  <w:divBdr>
                    <w:top w:val="none" w:sz="0" w:space="0" w:color="auto"/>
                    <w:left w:val="none" w:sz="0" w:space="0" w:color="auto"/>
                    <w:bottom w:val="none" w:sz="0" w:space="0" w:color="auto"/>
                    <w:right w:val="none" w:sz="0" w:space="0" w:color="auto"/>
                  </w:divBdr>
                </w:div>
                <w:div w:id="145012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19681">
      <w:bodyDiv w:val="1"/>
      <w:marLeft w:val="0"/>
      <w:marRight w:val="0"/>
      <w:marTop w:val="0"/>
      <w:marBottom w:val="0"/>
      <w:divBdr>
        <w:top w:val="none" w:sz="0" w:space="0" w:color="auto"/>
        <w:left w:val="none" w:sz="0" w:space="0" w:color="auto"/>
        <w:bottom w:val="none" w:sz="0" w:space="0" w:color="auto"/>
        <w:right w:val="none" w:sz="0" w:space="0" w:color="auto"/>
      </w:divBdr>
    </w:div>
    <w:div w:id="1027871792">
      <w:bodyDiv w:val="1"/>
      <w:marLeft w:val="0"/>
      <w:marRight w:val="0"/>
      <w:marTop w:val="0"/>
      <w:marBottom w:val="0"/>
      <w:divBdr>
        <w:top w:val="none" w:sz="0" w:space="0" w:color="auto"/>
        <w:left w:val="none" w:sz="0" w:space="0" w:color="auto"/>
        <w:bottom w:val="none" w:sz="0" w:space="0" w:color="auto"/>
        <w:right w:val="none" w:sz="0" w:space="0" w:color="auto"/>
      </w:divBdr>
    </w:div>
    <w:div w:id="1044676513">
      <w:bodyDiv w:val="1"/>
      <w:marLeft w:val="0"/>
      <w:marRight w:val="0"/>
      <w:marTop w:val="0"/>
      <w:marBottom w:val="0"/>
      <w:divBdr>
        <w:top w:val="none" w:sz="0" w:space="0" w:color="auto"/>
        <w:left w:val="none" w:sz="0" w:space="0" w:color="auto"/>
        <w:bottom w:val="none" w:sz="0" w:space="0" w:color="auto"/>
        <w:right w:val="none" w:sz="0" w:space="0" w:color="auto"/>
      </w:divBdr>
    </w:div>
    <w:div w:id="1058360948">
      <w:bodyDiv w:val="1"/>
      <w:marLeft w:val="0"/>
      <w:marRight w:val="0"/>
      <w:marTop w:val="0"/>
      <w:marBottom w:val="0"/>
      <w:divBdr>
        <w:top w:val="none" w:sz="0" w:space="0" w:color="auto"/>
        <w:left w:val="none" w:sz="0" w:space="0" w:color="auto"/>
        <w:bottom w:val="none" w:sz="0" w:space="0" w:color="auto"/>
        <w:right w:val="none" w:sz="0" w:space="0" w:color="auto"/>
      </w:divBdr>
    </w:div>
    <w:div w:id="1063597826">
      <w:bodyDiv w:val="1"/>
      <w:marLeft w:val="0"/>
      <w:marRight w:val="0"/>
      <w:marTop w:val="0"/>
      <w:marBottom w:val="0"/>
      <w:divBdr>
        <w:top w:val="none" w:sz="0" w:space="0" w:color="auto"/>
        <w:left w:val="none" w:sz="0" w:space="0" w:color="auto"/>
        <w:bottom w:val="none" w:sz="0" w:space="0" w:color="auto"/>
        <w:right w:val="none" w:sz="0" w:space="0" w:color="auto"/>
      </w:divBdr>
    </w:div>
    <w:div w:id="1085800791">
      <w:bodyDiv w:val="1"/>
      <w:marLeft w:val="0"/>
      <w:marRight w:val="0"/>
      <w:marTop w:val="0"/>
      <w:marBottom w:val="0"/>
      <w:divBdr>
        <w:top w:val="none" w:sz="0" w:space="0" w:color="auto"/>
        <w:left w:val="none" w:sz="0" w:space="0" w:color="auto"/>
        <w:bottom w:val="none" w:sz="0" w:space="0" w:color="auto"/>
        <w:right w:val="none" w:sz="0" w:space="0" w:color="auto"/>
      </w:divBdr>
    </w:div>
    <w:div w:id="1093430404">
      <w:bodyDiv w:val="1"/>
      <w:marLeft w:val="0"/>
      <w:marRight w:val="0"/>
      <w:marTop w:val="0"/>
      <w:marBottom w:val="0"/>
      <w:divBdr>
        <w:top w:val="none" w:sz="0" w:space="0" w:color="auto"/>
        <w:left w:val="none" w:sz="0" w:space="0" w:color="auto"/>
        <w:bottom w:val="none" w:sz="0" w:space="0" w:color="auto"/>
        <w:right w:val="none" w:sz="0" w:space="0" w:color="auto"/>
      </w:divBdr>
    </w:div>
    <w:div w:id="1122504985">
      <w:bodyDiv w:val="1"/>
      <w:marLeft w:val="0"/>
      <w:marRight w:val="0"/>
      <w:marTop w:val="0"/>
      <w:marBottom w:val="0"/>
      <w:divBdr>
        <w:top w:val="none" w:sz="0" w:space="0" w:color="auto"/>
        <w:left w:val="none" w:sz="0" w:space="0" w:color="auto"/>
        <w:bottom w:val="none" w:sz="0" w:space="0" w:color="auto"/>
        <w:right w:val="none" w:sz="0" w:space="0" w:color="auto"/>
      </w:divBdr>
    </w:div>
    <w:div w:id="1130511315">
      <w:bodyDiv w:val="1"/>
      <w:marLeft w:val="0"/>
      <w:marRight w:val="0"/>
      <w:marTop w:val="0"/>
      <w:marBottom w:val="0"/>
      <w:divBdr>
        <w:top w:val="none" w:sz="0" w:space="0" w:color="auto"/>
        <w:left w:val="none" w:sz="0" w:space="0" w:color="auto"/>
        <w:bottom w:val="none" w:sz="0" w:space="0" w:color="auto"/>
        <w:right w:val="none" w:sz="0" w:space="0" w:color="auto"/>
      </w:divBdr>
    </w:div>
    <w:div w:id="1139228604">
      <w:bodyDiv w:val="1"/>
      <w:marLeft w:val="0"/>
      <w:marRight w:val="0"/>
      <w:marTop w:val="0"/>
      <w:marBottom w:val="0"/>
      <w:divBdr>
        <w:top w:val="none" w:sz="0" w:space="0" w:color="auto"/>
        <w:left w:val="none" w:sz="0" w:space="0" w:color="auto"/>
        <w:bottom w:val="none" w:sz="0" w:space="0" w:color="auto"/>
        <w:right w:val="none" w:sz="0" w:space="0" w:color="auto"/>
      </w:divBdr>
    </w:div>
    <w:div w:id="1139614875">
      <w:bodyDiv w:val="1"/>
      <w:marLeft w:val="0"/>
      <w:marRight w:val="0"/>
      <w:marTop w:val="0"/>
      <w:marBottom w:val="0"/>
      <w:divBdr>
        <w:top w:val="none" w:sz="0" w:space="0" w:color="auto"/>
        <w:left w:val="none" w:sz="0" w:space="0" w:color="auto"/>
        <w:bottom w:val="none" w:sz="0" w:space="0" w:color="auto"/>
        <w:right w:val="none" w:sz="0" w:space="0" w:color="auto"/>
      </w:divBdr>
    </w:div>
    <w:div w:id="1149246574">
      <w:bodyDiv w:val="1"/>
      <w:marLeft w:val="0"/>
      <w:marRight w:val="0"/>
      <w:marTop w:val="0"/>
      <w:marBottom w:val="0"/>
      <w:divBdr>
        <w:top w:val="none" w:sz="0" w:space="0" w:color="auto"/>
        <w:left w:val="none" w:sz="0" w:space="0" w:color="auto"/>
        <w:bottom w:val="none" w:sz="0" w:space="0" w:color="auto"/>
        <w:right w:val="none" w:sz="0" w:space="0" w:color="auto"/>
      </w:divBdr>
    </w:div>
    <w:div w:id="1149519528">
      <w:bodyDiv w:val="1"/>
      <w:marLeft w:val="0"/>
      <w:marRight w:val="0"/>
      <w:marTop w:val="0"/>
      <w:marBottom w:val="0"/>
      <w:divBdr>
        <w:top w:val="none" w:sz="0" w:space="0" w:color="auto"/>
        <w:left w:val="none" w:sz="0" w:space="0" w:color="auto"/>
        <w:bottom w:val="none" w:sz="0" w:space="0" w:color="auto"/>
        <w:right w:val="none" w:sz="0" w:space="0" w:color="auto"/>
      </w:divBdr>
    </w:div>
    <w:div w:id="1173379594">
      <w:bodyDiv w:val="1"/>
      <w:marLeft w:val="0"/>
      <w:marRight w:val="0"/>
      <w:marTop w:val="0"/>
      <w:marBottom w:val="0"/>
      <w:divBdr>
        <w:top w:val="none" w:sz="0" w:space="0" w:color="auto"/>
        <w:left w:val="none" w:sz="0" w:space="0" w:color="auto"/>
        <w:bottom w:val="none" w:sz="0" w:space="0" w:color="auto"/>
        <w:right w:val="none" w:sz="0" w:space="0" w:color="auto"/>
      </w:divBdr>
    </w:div>
    <w:div w:id="1223247348">
      <w:bodyDiv w:val="1"/>
      <w:marLeft w:val="0"/>
      <w:marRight w:val="0"/>
      <w:marTop w:val="0"/>
      <w:marBottom w:val="0"/>
      <w:divBdr>
        <w:top w:val="none" w:sz="0" w:space="0" w:color="auto"/>
        <w:left w:val="none" w:sz="0" w:space="0" w:color="auto"/>
        <w:bottom w:val="none" w:sz="0" w:space="0" w:color="auto"/>
        <w:right w:val="none" w:sz="0" w:space="0" w:color="auto"/>
      </w:divBdr>
    </w:div>
    <w:div w:id="1277906830">
      <w:bodyDiv w:val="1"/>
      <w:marLeft w:val="0"/>
      <w:marRight w:val="0"/>
      <w:marTop w:val="0"/>
      <w:marBottom w:val="0"/>
      <w:divBdr>
        <w:top w:val="none" w:sz="0" w:space="0" w:color="auto"/>
        <w:left w:val="none" w:sz="0" w:space="0" w:color="auto"/>
        <w:bottom w:val="none" w:sz="0" w:space="0" w:color="auto"/>
        <w:right w:val="none" w:sz="0" w:space="0" w:color="auto"/>
      </w:divBdr>
    </w:div>
    <w:div w:id="1295134180">
      <w:bodyDiv w:val="1"/>
      <w:marLeft w:val="0"/>
      <w:marRight w:val="0"/>
      <w:marTop w:val="0"/>
      <w:marBottom w:val="0"/>
      <w:divBdr>
        <w:top w:val="none" w:sz="0" w:space="0" w:color="auto"/>
        <w:left w:val="none" w:sz="0" w:space="0" w:color="auto"/>
        <w:bottom w:val="none" w:sz="0" w:space="0" w:color="auto"/>
        <w:right w:val="none" w:sz="0" w:space="0" w:color="auto"/>
      </w:divBdr>
    </w:div>
    <w:div w:id="1296444062">
      <w:bodyDiv w:val="1"/>
      <w:marLeft w:val="0"/>
      <w:marRight w:val="0"/>
      <w:marTop w:val="0"/>
      <w:marBottom w:val="0"/>
      <w:divBdr>
        <w:top w:val="none" w:sz="0" w:space="0" w:color="auto"/>
        <w:left w:val="none" w:sz="0" w:space="0" w:color="auto"/>
        <w:bottom w:val="none" w:sz="0" w:space="0" w:color="auto"/>
        <w:right w:val="none" w:sz="0" w:space="0" w:color="auto"/>
      </w:divBdr>
    </w:div>
    <w:div w:id="1326743063">
      <w:bodyDiv w:val="1"/>
      <w:marLeft w:val="0"/>
      <w:marRight w:val="0"/>
      <w:marTop w:val="0"/>
      <w:marBottom w:val="0"/>
      <w:divBdr>
        <w:top w:val="none" w:sz="0" w:space="0" w:color="auto"/>
        <w:left w:val="none" w:sz="0" w:space="0" w:color="auto"/>
        <w:bottom w:val="none" w:sz="0" w:space="0" w:color="auto"/>
        <w:right w:val="none" w:sz="0" w:space="0" w:color="auto"/>
      </w:divBdr>
    </w:div>
    <w:div w:id="1330601541">
      <w:bodyDiv w:val="1"/>
      <w:marLeft w:val="0"/>
      <w:marRight w:val="0"/>
      <w:marTop w:val="0"/>
      <w:marBottom w:val="0"/>
      <w:divBdr>
        <w:top w:val="none" w:sz="0" w:space="0" w:color="auto"/>
        <w:left w:val="none" w:sz="0" w:space="0" w:color="auto"/>
        <w:bottom w:val="none" w:sz="0" w:space="0" w:color="auto"/>
        <w:right w:val="none" w:sz="0" w:space="0" w:color="auto"/>
      </w:divBdr>
    </w:div>
    <w:div w:id="1335379067">
      <w:bodyDiv w:val="1"/>
      <w:marLeft w:val="0"/>
      <w:marRight w:val="0"/>
      <w:marTop w:val="0"/>
      <w:marBottom w:val="0"/>
      <w:divBdr>
        <w:top w:val="none" w:sz="0" w:space="0" w:color="auto"/>
        <w:left w:val="none" w:sz="0" w:space="0" w:color="auto"/>
        <w:bottom w:val="none" w:sz="0" w:space="0" w:color="auto"/>
        <w:right w:val="none" w:sz="0" w:space="0" w:color="auto"/>
      </w:divBdr>
    </w:div>
    <w:div w:id="1341465557">
      <w:bodyDiv w:val="1"/>
      <w:marLeft w:val="0"/>
      <w:marRight w:val="0"/>
      <w:marTop w:val="0"/>
      <w:marBottom w:val="0"/>
      <w:divBdr>
        <w:top w:val="none" w:sz="0" w:space="0" w:color="auto"/>
        <w:left w:val="none" w:sz="0" w:space="0" w:color="auto"/>
        <w:bottom w:val="none" w:sz="0" w:space="0" w:color="auto"/>
        <w:right w:val="none" w:sz="0" w:space="0" w:color="auto"/>
      </w:divBdr>
    </w:div>
    <w:div w:id="1357848739">
      <w:bodyDiv w:val="1"/>
      <w:marLeft w:val="0"/>
      <w:marRight w:val="0"/>
      <w:marTop w:val="0"/>
      <w:marBottom w:val="0"/>
      <w:divBdr>
        <w:top w:val="none" w:sz="0" w:space="0" w:color="auto"/>
        <w:left w:val="none" w:sz="0" w:space="0" w:color="auto"/>
        <w:bottom w:val="none" w:sz="0" w:space="0" w:color="auto"/>
        <w:right w:val="none" w:sz="0" w:space="0" w:color="auto"/>
      </w:divBdr>
    </w:div>
    <w:div w:id="1362363289">
      <w:bodyDiv w:val="1"/>
      <w:marLeft w:val="0"/>
      <w:marRight w:val="0"/>
      <w:marTop w:val="0"/>
      <w:marBottom w:val="0"/>
      <w:divBdr>
        <w:top w:val="none" w:sz="0" w:space="0" w:color="auto"/>
        <w:left w:val="none" w:sz="0" w:space="0" w:color="auto"/>
        <w:bottom w:val="none" w:sz="0" w:space="0" w:color="auto"/>
        <w:right w:val="none" w:sz="0" w:space="0" w:color="auto"/>
      </w:divBdr>
    </w:div>
    <w:div w:id="1402022065">
      <w:bodyDiv w:val="1"/>
      <w:marLeft w:val="0"/>
      <w:marRight w:val="0"/>
      <w:marTop w:val="0"/>
      <w:marBottom w:val="0"/>
      <w:divBdr>
        <w:top w:val="none" w:sz="0" w:space="0" w:color="auto"/>
        <w:left w:val="none" w:sz="0" w:space="0" w:color="auto"/>
        <w:bottom w:val="none" w:sz="0" w:space="0" w:color="auto"/>
        <w:right w:val="none" w:sz="0" w:space="0" w:color="auto"/>
      </w:divBdr>
    </w:div>
    <w:div w:id="1410929908">
      <w:bodyDiv w:val="1"/>
      <w:marLeft w:val="0"/>
      <w:marRight w:val="0"/>
      <w:marTop w:val="0"/>
      <w:marBottom w:val="0"/>
      <w:divBdr>
        <w:top w:val="none" w:sz="0" w:space="0" w:color="auto"/>
        <w:left w:val="none" w:sz="0" w:space="0" w:color="auto"/>
        <w:bottom w:val="none" w:sz="0" w:space="0" w:color="auto"/>
        <w:right w:val="none" w:sz="0" w:space="0" w:color="auto"/>
      </w:divBdr>
    </w:div>
    <w:div w:id="1496729713">
      <w:bodyDiv w:val="1"/>
      <w:marLeft w:val="0"/>
      <w:marRight w:val="0"/>
      <w:marTop w:val="0"/>
      <w:marBottom w:val="0"/>
      <w:divBdr>
        <w:top w:val="none" w:sz="0" w:space="0" w:color="auto"/>
        <w:left w:val="none" w:sz="0" w:space="0" w:color="auto"/>
        <w:bottom w:val="none" w:sz="0" w:space="0" w:color="auto"/>
        <w:right w:val="none" w:sz="0" w:space="0" w:color="auto"/>
      </w:divBdr>
    </w:div>
    <w:div w:id="1500461199">
      <w:bodyDiv w:val="1"/>
      <w:marLeft w:val="0"/>
      <w:marRight w:val="0"/>
      <w:marTop w:val="0"/>
      <w:marBottom w:val="0"/>
      <w:divBdr>
        <w:top w:val="none" w:sz="0" w:space="0" w:color="auto"/>
        <w:left w:val="none" w:sz="0" w:space="0" w:color="auto"/>
        <w:bottom w:val="none" w:sz="0" w:space="0" w:color="auto"/>
        <w:right w:val="none" w:sz="0" w:space="0" w:color="auto"/>
      </w:divBdr>
    </w:div>
    <w:div w:id="1542475816">
      <w:bodyDiv w:val="1"/>
      <w:marLeft w:val="0"/>
      <w:marRight w:val="0"/>
      <w:marTop w:val="0"/>
      <w:marBottom w:val="0"/>
      <w:divBdr>
        <w:top w:val="none" w:sz="0" w:space="0" w:color="auto"/>
        <w:left w:val="none" w:sz="0" w:space="0" w:color="auto"/>
        <w:bottom w:val="none" w:sz="0" w:space="0" w:color="auto"/>
        <w:right w:val="none" w:sz="0" w:space="0" w:color="auto"/>
      </w:divBdr>
    </w:div>
    <w:div w:id="1572890643">
      <w:bodyDiv w:val="1"/>
      <w:marLeft w:val="0"/>
      <w:marRight w:val="0"/>
      <w:marTop w:val="0"/>
      <w:marBottom w:val="0"/>
      <w:divBdr>
        <w:top w:val="none" w:sz="0" w:space="0" w:color="auto"/>
        <w:left w:val="none" w:sz="0" w:space="0" w:color="auto"/>
        <w:bottom w:val="none" w:sz="0" w:space="0" w:color="auto"/>
        <w:right w:val="none" w:sz="0" w:space="0" w:color="auto"/>
      </w:divBdr>
    </w:div>
    <w:div w:id="1577862321">
      <w:bodyDiv w:val="1"/>
      <w:marLeft w:val="0"/>
      <w:marRight w:val="0"/>
      <w:marTop w:val="0"/>
      <w:marBottom w:val="0"/>
      <w:divBdr>
        <w:top w:val="none" w:sz="0" w:space="0" w:color="auto"/>
        <w:left w:val="none" w:sz="0" w:space="0" w:color="auto"/>
        <w:bottom w:val="none" w:sz="0" w:space="0" w:color="auto"/>
        <w:right w:val="none" w:sz="0" w:space="0" w:color="auto"/>
      </w:divBdr>
    </w:div>
    <w:div w:id="1610314061">
      <w:bodyDiv w:val="1"/>
      <w:marLeft w:val="0"/>
      <w:marRight w:val="0"/>
      <w:marTop w:val="0"/>
      <w:marBottom w:val="0"/>
      <w:divBdr>
        <w:top w:val="none" w:sz="0" w:space="0" w:color="auto"/>
        <w:left w:val="none" w:sz="0" w:space="0" w:color="auto"/>
        <w:bottom w:val="none" w:sz="0" w:space="0" w:color="auto"/>
        <w:right w:val="none" w:sz="0" w:space="0" w:color="auto"/>
      </w:divBdr>
    </w:div>
    <w:div w:id="1621299083">
      <w:bodyDiv w:val="1"/>
      <w:marLeft w:val="0"/>
      <w:marRight w:val="0"/>
      <w:marTop w:val="0"/>
      <w:marBottom w:val="0"/>
      <w:divBdr>
        <w:top w:val="none" w:sz="0" w:space="0" w:color="auto"/>
        <w:left w:val="none" w:sz="0" w:space="0" w:color="auto"/>
        <w:bottom w:val="none" w:sz="0" w:space="0" w:color="auto"/>
        <w:right w:val="none" w:sz="0" w:space="0" w:color="auto"/>
      </w:divBdr>
    </w:div>
    <w:div w:id="1624997191">
      <w:bodyDiv w:val="1"/>
      <w:marLeft w:val="0"/>
      <w:marRight w:val="0"/>
      <w:marTop w:val="0"/>
      <w:marBottom w:val="0"/>
      <w:divBdr>
        <w:top w:val="none" w:sz="0" w:space="0" w:color="auto"/>
        <w:left w:val="none" w:sz="0" w:space="0" w:color="auto"/>
        <w:bottom w:val="none" w:sz="0" w:space="0" w:color="auto"/>
        <w:right w:val="none" w:sz="0" w:space="0" w:color="auto"/>
      </w:divBdr>
    </w:div>
    <w:div w:id="1627153955">
      <w:bodyDiv w:val="1"/>
      <w:marLeft w:val="0"/>
      <w:marRight w:val="0"/>
      <w:marTop w:val="0"/>
      <w:marBottom w:val="0"/>
      <w:divBdr>
        <w:top w:val="none" w:sz="0" w:space="0" w:color="auto"/>
        <w:left w:val="none" w:sz="0" w:space="0" w:color="auto"/>
        <w:bottom w:val="none" w:sz="0" w:space="0" w:color="auto"/>
        <w:right w:val="none" w:sz="0" w:space="0" w:color="auto"/>
      </w:divBdr>
    </w:div>
    <w:div w:id="1662926857">
      <w:bodyDiv w:val="1"/>
      <w:marLeft w:val="0"/>
      <w:marRight w:val="0"/>
      <w:marTop w:val="0"/>
      <w:marBottom w:val="0"/>
      <w:divBdr>
        <w:top w:val="none" w:sz="0" w:space="0" w:color="auto"/>
        <w:left w:val="none" w:sz="0" w:space="0" w:color="auto"/>
        <w:bottom w:val="none" w:sz="0" w:space="0" w:color="auto"/>
        <w:right w:val="none" w:sz="0" w:space="0" w:color="auto"/>
      </w:divBdr>
    </w:div>
    <w:div w:id="1674068289">
      <w:bodyDiv w:val="1"/>
      <w:marLeft w:val="0"/>
      <w:marRight w:val="0"/>
      <w:marTop w:val="0"/>
      <w:marBottom w:val="0"/>
      <w:divBdr>
        <w:top w:val="none" w:sz="0" w:space="0" w:color="auto"/>
        <w:left w:val="none" w:sz="0" w:space="0" w:color="auto"/>
        <w:bottom w:val="none" w:sz="0" w:space="0" w:color="auto"/>
        <w:right w:val="none" w:sz="0" w:space="0" w:color="auto"/>
      </w:divBdr>
    </w:div>
    <w:div w:id="1706248576">
      <w:bodyDiv w:val="1"/>
      <w:marLeft w:val="0"/>
      <w:marRight w:val="0"/>
      <w:marTop w:val="0"/>
      <w:marBottom w:val="0"/>
      <w:divBdr>
        <w:top w:val="none" w:sz="0" w:space="0" w:color="auto"/>
        <w:left w:val="none" w:sz="0" w:space="0" w:color="auto"/>
        <w:bottom w:val="none" w:sz="0" w:space="0" w:color="auto"/>
        <w:right w:val="none" w:sz="0" w:space="0" w:color="auto"/>
      </w:divBdr>
    </w:div>
    <w:div w:id="1718234074">
      <w:bodyDiv w:val="1"/>
      <w:marLeft w:val="0"/>
      <w:marRight w:val="0"/>
      <w:marTop w:val="0"/>
      <w:marBottom w:val="0"/>
      <w:divBdr>
        <w:top w:val="none" w:sz="0" w:space="0" w:color="auto"/>
        <w:left w:val="none" w:sz="0" w:space="0" w:color="auto"/>
        <w:bottom w:val="none" w:sz="0" w:space="0" w:color="auto"/>
        <w:right w:val="none" w:sz="0" w:space="0" w:color="auto"/>
      </w:divBdr>
    </w:div>
    <w:div w:id="1733576428">
      <w:bodyDiv w:val="1"/>
      <w:marLeft w:val="0"/>
      <w:marRight w:val="0"/>
      <w:marTop w:val="0"/>
      <w:marBottom w:val="0"/>
      <w:divBdr>
        <w:top w:val="none" w:sz="0" w:space="0" w:color="auto"/>
        <w:left w:val="none" w:sz="0" w:space="0" w:color="auto"/>
        <w:bottom w:val="none" w:sz="0" w:space="0" w:color="auto"/>
        <w:right w:val="none" w:sz="0" w:space="0" w:color="auto"/>
      </w:divBdr>
    </w:div>
    <w:div w:id="1747610962">
      <w:bodyDiv w:val="1"/>
      <w:marLeft w:val="0"/>
      <w:marRight w:val="0"/>
      <w:marTop w:val="0"/>
      <w:marBottom w:val="0"/>
      <w:divBdr>
        <w:top w:val="none" w:sz="0" w:space="0" w:color="auto"/>
        <w:left w:val="none" w:sz="0" w:space="0" w:color="auto"/>
        <w:bottom w:val="none" w:sz="0" w:space="0" w:color="auto"/>
        <w:right w:val="none" w:sz="0" w:space="0" w:color="auto"/>
      </w:divBdr>
    </w:div>
    <w:div w:id="1760713046">
      <w:bodyDiv w:val="1"/>
      <w:marLeft w:val="0"/>
      <w:marRight w:val="0"/>
      <w:marTop w:val="0"/>
      <w:marBottom w:val="0"/>
      <w:divBdr>
        <w:top w:val="none" w:sz="0" w:space="0" w:color="auto"/>
        <w:left w:val="none" w:sz="0" w:space="0" w:color="auto"/>
        <w:bottom w:val="none" w:sz="0" w:space="0" w:color="auto"/>
        <w:right w:val="none" w:sz="0" w:space="0" w:color="auto"/>
      </w:divBdr>
    </w:div>
    <w:div w:id="1769350556">
      <w:bodyDiv w:val="1"/>
      <w:marLeft w:val="0"/>
      <w:marRight w:val="0"/>
      <w:marTop w:val="0"/>
      <w:marBottom w:val="0"/>
      <w:divBdr>
        <w:top w:val="none" w:sz="0" w:space="0" w:color="auto"/>
        <w:left w:val="none" w:sz="0" w:space="0" w:color="auto"/>
        <w:bottom w:val="none" w:sz="0" w:space="0" w:color="auto"/>
        <w:right w:val="none" w:sz="0" w:space="0" w:color="auto"/>
      </w:divBdr>
    </w:div>
    <w:div w:id="1782070958">
      <w:bodyDiv w:val="1"/>
      <w:marLeft w:val="0"/>
      <w:marRight w:val="0"/>
      <w:marTop w:val="0"/>
      <w:marBottom w:val="0"/>
      <w:divBdr>
        <w:top w:val="none" w:sz="0" w:space="0" w:color="auto"/>
        <w:left w:val="none" w:sz="0" w:space="0" w:color="auto"/>
        <w:bottom w:val="none" w:sz="0" w:space="0" w:color="auto"/>
        <w:right w:val="none" w:sz="0" w:space="0" w:color="auto"/>
      </w:divBdr>
    </w:div>
    <w:div w:id="1783068397">
      <w:bodyDiv w:val="1"/>
      <w:marLeft w:val="0"/>
      <w:marRight w:val="0"/>
      <w:marTop w:val="0"/>
      <w:marBottom w:val="0"/>
      <w:divBdr>
        <w:top w:val="none" w:sz="0" w:space="0" w:color="auto"/>
        <w:left w:val="none" w:sz="0" w:space="0" w:color="auto"/>
        <w:bottom w:val="none" w:sz="0" w:space="0" w:color="auto"/>
        <w:right w:val="none" w:sz="0" w:space="0" w:color="auto"/>
      </w:divBdr>
    </w:div>
    <w:div w:id="1801722506">
      <w:bodyDiv w:val="1"/>
      <w:marLeft w:val="0"/>
      <w:marRight w:val="0"/>
      <w:marTop w:val="0"/>
      <w:marBottom w:val="0"/>
      <w:divBdr>
        <w:top w:val="none" w:sz="0" w:space="0" w:color="auto"/>
        <w:left w:val="none" w:sz="0" w:space="0" w:color="auto"/>
        <w:bottom w:val="none" w:sz="0" w:space="0" w:color="auto"/>
        <w:right w:val="none" w:sz="0" w:space="0" w:color="auto"/>
      </w:divBdr>
    </w:div>
    <w:div w:id="1806658777">
      <w:bodyDiv w:val="1"/>
      <w:marLeft w:val="0"/>
      <w:marRight w:val="0"/>
      <w:marTop w:val="0"/>
      <w:marBottom w:val="0"/>
      <w:divBdr>
        <w:top w:val="none" w:sz="0" w:space="0" w:color="auto"/>
        <w:left w:val="none" w:sz="0" w:space="0" w:color="auto"/>
        <w:bottom w:val="none" w:sz="0" w:space="0" w:color="auto"/>
        <w:right w:val="none" w:sz="0" w:space="0" w:color="auto"/>
      </w:divBdr>
    </w:div>
    <w:div w:id="1809979475">
      <w:bodyDiv w:val="1"/>
      <w:marLeft w:val="0"/>
      <w:marRight w:val="0"/>
      <w:marTop w:val="0"/>
      <w:marBottom w:val="0"/>
      <w:divBdr>
        <w:top w:val="none" w:sz="0" w:space="0" w:color="auto"/>
        <w:left w:val="none" w:sz="0" w:space="0" w:color="auto"/>
        <w:bottom w:val="none" w:sz="0" w:space="0" w:color="auto"/>
        <w:right w:val="none" w:sz="0" w:space="0" w:color="auto"/>
      </w:divBdr>
    </w:div>
    <w:div w:id="1818259399">
      <w:bodyDiv w:val="1"/>
      <w:marLeft w:val="0"/>
      <w:marRight w:val="0"/>
      <w:marTop w:val="0"/>
      <w:marBottom w:val="0"/>
      <w:divBdr>
        <w:top w:val="none" w:sz="0" w:space="0" w:color="auto"/>
        <w:left w:val="none" w:sz="0" w:space="0" w:color="auto"/>
        <w:bottom w:val="none" w:sz="0" w:space="0" w:color="auto"/>
        <w:right w:val="none" w:sz="0" w:space="0" w:color="auto"/>
      </w:divBdr>
    </w:div>
    <w:div w:id="1843398578">
      <w:bodyDiv w:val="1"/>
      <w:marLeft w:val="0"/>
      <w:marRight w:val="0"/>
      <w:marTop w:val="0"/>
      <w:marBottom w:val="0"/>
      <w:divBdr>
        <w:top w:val="none" w:sz="0" w:space="0" w:color="auto"/>
        <w:left w:val="none" w:sz="0" w:space="0" w:color="auto"/>
        <w:bottom w:val="none" w:sz="0" w:space="0" w:color="auto"/>
        <w:right w:val="none" w:sz="0" w:space="0" w:color="auto"/>
      </w:divBdr>
    </w:div>
    <w:div w:id="1863396184">
      <w:bodyDiv w:val="1"/>
      <w:marLeft w:val="0"/>
      <w:marRight w:val="0"/>
      <w:marTop w:val="0"/>
      <w:marBottom w:val="0"/>
      <w:divBdr>
        <w:top w:val="none" w:sz="0" w:space="0" w:color="auto"/>
        <w:left w:val="none" w:sz="0" w:space="0" w:color="auto"/>
        <w:bottom w:val="none" w:sz="0" w:space="0" w:color="auto"/>
        <w:right w:val="none" w:sz="0" w:space="0" w:color="auto"/>
      </w:divBdr>
    </w:div>
    <w:div w:id="1893884182">
      <w:bodyDiv w:val="1"/>
      <w:marLeft w:val="0"/>
      <w:marRight w:val="0"/>
      <w:marTop w:val="0"/>
      <w:marBottom w:val="0"/>
      <w:divBdr>
        <w:top w:val="none" w:sz="0" w:space="0" w:color="auto"/>
        <w:left w:val="none" w:sz="0" w:space="0" w:color="auto"/>
        <w:bottom w:val="none" w:sz="0" w:space="0" w:color="auto"/>
        <w:right w:val="none" w:sz="0" w:space="0" w:color="auto"/>
      </w:divBdr>
    </w:div>
    <w:div w:id="1925260697">
      <w:bodyDiv w:val="1"/>
      <w:marLeft w:val="0"/>
      <w:marRight w:val="0"/>
      <w:marTop w:val="0"/>
      <w:marBottom w:val="0"/>
      <w:divBdr>
        <w:top w:val="none" w:sz="0" w:space="0" w:color="auto"/>
        <w:left w:val="none" w:sz="0" w:space="0" w:color="auto"/>
        <w:bottom w:val="none" w:sz="0" w:space="0" w:color="auto"/>
        <w:right w:val="none" w:sz="0" w:space="0" w:color="auto"/>
      </w:divBdr>
    </w:div>
    <w:div w:id="1929658387">
      <w:bodyDiv w:val="1"/>
      <w:marLeft w:val="0"/>
      <w:marRight w:val="0"/>
      <w:marTop w:val="0"/>
      <w:marBottom w:val="0"/>
      <w:divBdr>
        <w:top w:val="none" w:sz="0" w:space="0" w:color="auto"/>
        <w:left w:val="none" w:sz="0" w:space="0" w:color="auto"/>
        <w:bottom w:val="none" w:sz="0" w:space="0" w:color="auto"/>
        <w:right w:val="none" w:sz="0" w:space="0" w:color="auto"/>
      </w:divBdr>
    </w:div>
    <w:div w:id="1954939386">
      <w:bodyDiv w:val="1"/>
      <w:marLeft w:val="0"/>
      <w:marRight w:val="0"/>
      <w:marTop w:val="0"/>
      <w:marBottom w:val="0"/>
      <w:divBdr>
        <w:top w:val="none" w:sz="0" w:space="0" w:color="auto"/>
        <w:left w:val="none" w:sz="0" w:space="0" w:color="auto"/>
        <w:bottom w:val="none" w:sz="0" w:space="0" w:color="auto"/>
        <w:right w:val="none" w:sz="0" w:space="0" w:color="auto"/>
      </w:divBdr>
    </w:div>
    <w:div w:id="1955211221">
      <w:bodyDiv w:val="1"/>
      <w:marLeft w:val="0"/>
      <w:marRight w:val="0"/>
      <w:marTop w:val="0"/>
      <w:marBottom w:val="0"/>
      <w:divBdr>
        <w:top w:val="none" w:sz="0" w:space="0" w:color="auto"/>
        <w:left w:val="none" w:sz="0" w:space="0" w:color="auto"/>
        <w:bottom w:val="none" w:sz="0" w:space="0" w:color="auto"/>
        <w:right w:val="none" w:sz="0" w:space="0" w:color="auto"/>
      </w:divBdr>
    </w:div>
    <w:div w:id="2000503325">
      <w:bodyDiv w:val="1"/>
      <w:marLeft w:val="0"/>
      <w:marRight w:val="0"/>
      <w:marTop w:val="0"/>
      <w:marBottom w:val="0"/>
      <w:divBdr>
        <w:top w:val="none" w:sz="0" w:space="0" w:color="auto"/>
        <w:left w:val="none" w:sz="0" w:space="0" w:color="auto"/>
        <w:bottom w:val="none" w:sz="0" w:space="0" w:color="auto"/>
        <w:right w:val="none" w:sz="0" w:space="0" w:color="auto"/>
      </w:divBdr>
    </w:div>
    <w:div w:id="2019766110">
      <w:bodyDiv w:val="1"/>
      <w:marLeft w:val="0"/>
      <w:marRight w:val="0"/>
      <w:marTop w:val="0"/>
      <w:marBottom w:val="0"/>
      <w:divBdr>
        <w:top w:val="none" w:sz="0" w:space="0" w:color="auto"/>
        <w:left w:val="none" w:sz="0" w:space="0" w:color="auto"/>
        <w:bottom w:val="none" w:sz="0" w:space="0" w:color="auto"/>
        <w:right w:val="none" w:sz="0" w:space="0" w:color="auto"/>
      </w:divBdr>
    </w:div>
    <w:div w:id="2026898672">
      <w:bodyDiv w:val="1"/>
      <w:marLeft w:val="0"/>
      <w:marRight w:val="0"/>
      <w:marTop w:val="0"/>
      <w:marBottom w:val="0"/>
      <w:divBdr>
        <w:top w:val="none" w:sz="0" w:space="0" w:color="auto"/>
        <w:left w:val="none" w:sz="0" w:space="0" w:color="auto"/>
        <w:bottom w:val="none" w:sz="0" w:space="0" w:color="auto"/>
        <w:right w:val="none" w:sz="0" w:space="0" w:color="auto"/>
      </w:divBdr>
    </w:div>
    <w:div w:id="2046128388">
      <w:bodyDiv w:val="1"/>
      <w:marLeft w:val="0"/>
      <w:marRight w:val="0"/>
      <w:marTop w:val="0"/>
      <w:marBottom w:val="0"/>
      <w:divBdr>
        <w:top w:val="none" w:sz="0" w:space="0" w:color="auto"/>
        <w:left w:val="none" w:sz="0" w:space="0" w:color="auto"/>
        <w:bottom w:val="none" w:sz="0" w:space="0" w:color="auto"/>
        <w:right w:val="none" w:sz="0" w:space="0" w:color="auto"/>
      </w:divBdr>
    </w:div>
    <w:div w:id="20730009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ljYDFJOlflV5KCS2pAb63pvpijQ==">AMUW2mXa3FqXrKpXIzQUA3jEIb683JR1w6KpMzUNOBF30pez84Qr9ATzkAZsrGhNZP/8AlAEB8vdf3E1Cfp2a5rwqXqa83VH0Gcqmar5a1bivJBtWKiwScdV4viuvDvRwnTOAaoMxmbaAOUNCqr8VDxEd4kmVr3kg8irGyd9NJigMlStLPnqJSM=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Des95</b:Tag>
    <b:SourceType>Report</b:SourceType>
    <b:Guid>{8CF39635-3466-46BF-B622-0D274889218D}</b:Guid>
    <b:Title>Políticas básicas y procedimientos de adquisiciones del BID</b:Title>
    <b:Year>1995</b:Year>
    <b:Author>
      <b:Author>
        <b:NameList>
          <b:Person>
            <b:Last>Desarrollo</b:Last>
            <b:First>Banco</b:First>
            <b:Middle>Interamericano de</b:Middle>
          </b:Person>
        </b:NameList>
      </b:Author>
    </b:Author>
    <b:RefOrder>1</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FE7B7C0-D2D8-440C-BF0A-D37D8C4D8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37</Pages>
  <Words>9183</Words>
  <Characters>50508</Characters>
  <Application>Microsoft Office Word</Application>
  <DocSecurity>0</DocSecurity>
  <Lines>420</Lines>
  <Paragraphs>119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Maricela Villagómez Martínez</cp:lastModifiedBy>
  <cp:revision>2</cp:revision>
  <cp:lastPrinted>2024-11-25T18:42:00Z</cp:lastPrinted>
  <dcterms:created xsi:type="dcterms:W3CDTF">2024-12-06T17:15:00Z</dcterms:created>
  <dcterms:modified xsi:type="dcterms:W3CDTF">2024-12-06T17:15:00Z</dcterms:modified>
</cp:coreProperties>
</file>