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7C51" w14:textId="77777777" w:rsidR="000E405F" w:rsidRPr="00651DC7" w:rsidRDefault="00C47BCC">
      <w:p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rPr>
        <w:t>Resolución del Pleno del Instituto de Transparencia, Acceso a la Información Pú</w:t>
      </w:r>
      <w:bookmarkStart w:id="0" w:name="_GoBack"/>
      <w:bookmarkEnd w:id="0"/>
      <w:r w:rsidRPr="00651DC7">
        <w:rPr>
          <w:rFonts w:ascii="Palatino Linotype" w:eastAsia="Palatino Linotype" w:hAnsi="Palatino Linotype" w:cs="Palatino Linotype"/>
        </w:rPr>
        <w:t>blica y Protección de Datos Personales del Estado de México y Municipios, con domicilio en Metepec, Estado de México; de fecha cuatro</w:t>
      </w:r>
      <w:r w:rsidR="00B01F06" w:rsidRPr="00651DC7">
        <w:rPr>
          <w:rFonts w:ascii="Palatino Linotype" w:eastAsia="Palatino Linotype" w:hAnsi="Palatino Linotype" w:cs="Palatino Linotype"/>
        </w:rPr>
        <w:t xml:space="preserve"> (04)</w:t>
      </w:r>
      <w:r w:rsidRPr="00651DC7">
        <w:rPr>
          <w:rFonts w:ascii="Palatino Linotype" w:eastAsia="Palatino Linotype" w:hAnsi="Palatino Linotype" w:cs="Palatino Linotype"/>
        </w:rPr>
        <w:t xml:space="preserve"> de diciembre de dos mil veinticuatro.</w:t>
      </w:r>
    </w:p>
    <w:p w14:paraId="6F8B0C42" w14:textId="77777777" w:rsidR="000E405F" w:rsidRPr="00651DC7" w:rsidRDefault="000E405F">
      <w:pPr>
        <w:spacing w:line="360" w:lineRule="auto"/>
        <w:jc w:val="both"/>
        <w:rPr>
          <w:rFonts w:ascii="Palatino Linotype" w:eastAsia="Palatino Linotype" w:hAnsi="Palatino Linotype" w:cs="Palatino Linotype"/>
        </w:rPr>
      </w:pPr>
    </w:p>
    <w:p w14:paraId="44624234" w14:textId="77777777" w:rsidR="000E405F" w:rsidRPr="00651DC7" w:rsidRDefault="00C47BCC">
      <w:p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t>VISTOS</w:t>
      </w:r>
      <w:r w:rsidRPr="00651DC7">
        <w:rPr>
          <w:rFonts w:ascii="Palatino Linotype" w:eastAsia="Palatino Linotype" w:hAnsi="Palatino Linotype" w:cs="Palatino Linotype"/>
        </w:rPr>
        <w:t xml:space="preserve"> el expediente electrónico formado con motivo del recurso de revisión </w:t>
      </w:r>
      <w:r w:rsidRPr="00651DC7">
        <w:rPr>
          <w:rFonts w:ascii="Palatino Linotype" w:eastAsia="Palatino Linotype" w:hAnsi="Palatino Linotype" w:cs="Palatino Linotype"/>
          <w:b/>
        </w:rPr>
        <w:t>06588/INFOEM/IP/RR/2024</w:t>
      </w:r>
      <w:r w:rsidRPr="00651DC7">
        <w:rPr>
          <w:rFonts w:ascii="Palatino Linotype" w:eastAsia="Palatino Linotype" w:hAnsi="Palatino Linotype" w:cs="Palatino Linotype"/>
        </w:rPr>
        <w:t>,</w:t>
      </w:r>
      <w:r w:rsidRPr="00651DC7">
        <w:rPr>
          <w:rFonts w:ascii="Palatino Linotype" w:eastAsia="Palatino Linotype" w:hAnsi="Palatino Linotype" w:cs="Palatino Linotype"/>
          <w:b/>
        </w:rPr>
        <w:t xml:space="preserve"> </w:t>
      </w:r>
      <w:r w:rsidRPr="00651DC7">
        <w:rPr>
          <w:rFonts w:ascii="Palatino Linotype" w:eastAsia="Palatino Linotype" w:hAnsi="Palatino Linotype" w:cs="Palatino Linotype"/>
        </w:rPr>
        <w:t xml:space="preserve">promovido por </w:t>
      </w:r>
      <w:r w:rsidRPr="00651DC7">
        <w:rPr>
          <w:rFonts w:ascii="Palatino Linotype" w:eastAsia="Palatino Linotype" w:hAnsi="Palatino Linotype" w:cs="Palatino Linotype"/>
          <w:b/>
        </w:rPr>
        <w:t>un Usuario del Sistema de Acceso a la Información Mexiquense (SAIMEX)</w:t>
      </w:r>
      <w:r w:rsidRPr="00651DC7">
        <w:rPr>
          <w:rFonts w:ascii="Palatino Linotype" w:eastAsia="Palatino Linotype" w:hAnsi="Palatino Linotype" w:cs="Palatino Linotype"/>
        </w:rPr>
        <w:t xml:space="preserve">, a quien en lo sucesivo se la llamara </w:t>
      </w:r>
      <w:r w:rsidRPr="00651DC7">
        <w:rPr>
          <w:rFonts w:ascii="Palatino Linotype" w:eastAsia="Palatino Linotype" w:hAnsi="Palatino Linotype" w:cs="Palatino Linotype"/>
          <w:b/>
        </w:rPr>
        <w:t>RECURRENTE,</w:t>
      </w:r>
      <w:r w:rsidRPr="00651DC7">
        <w:rPr>
          <w:rFonts w:ascii="Palatino Linotype" w:eastAsia="Palatino Linotype" w:hAnsi="Palatino Linotype" w:cs="Palatino Linotype"/>
        </w:rPr>
        <w:t xml:space="preserve"> en contra de la respuesta del </w:t>
      </w:r>
      <w:r w:rsidRPr="00651DC7">
        <w:rPr>
          <w:rFonts w:ascii="Palatino Linotype" w:eastAsia="Palatino Linotype" w:hAnsi="Palatino Linotype" w:cs="Palatino Linotype"/>
          <w:b/>
        </w:rPr>
        <w:t xml:space="preserve">Ayuntamiento de Temamatla, </w:t>
      </w:r>
      <w:r w:rsidRPr="00651DC7">
        <w:rPr>
          <w:rFonts w:ascii="Palatino Linotype" w:eastAsia="Palatino Linotype" w:hAnsi="Palatino Linotype" w:cs="Palatino Linotype"/>
        </w:rPr>
        <w:t>en lo sucesivo el</w:t>
      </w:r>
      <w:r w:rsidRPr="00651DC7">
        <w:rPr>
          <w:rFonts w:ascii="Palatino Linotype" w:eastAsia="Palatino Linotype" w:hAnsi="Palatino Linotype" w:cs="Palatino Linotype"/>
          <w:b/>
        </w:rPr>
        <w:t xml:space="preserve"> SUJETO OBLIGADO</w:t>
      </w:r>
      <w:r w:rsidRPr="00651DC7">
        <w:rPr>
          <w:rFonts w:ascii="Palatino Linotype" w:eastAsia="Palatino Linotype" w:hAnsi="Palatino Linotype" w:cs="Palatino Linotype"/>
        </w:rPr>
        <w:t>, por lo que se procede a dictar la presente resolución, con base en los siguientes:</w:t>
      </w:r>
    </w:p>
    <w:p w14:paraId="0892930B" w14:textId="77777777" w:rsidR="000E405F" w:rsidRPr="00651DC7" w:rsidRDefault="000E405F">
      <w:pPr>
        <w:keepNext/>
        <w:keepLines/>
        <w:spacing w:line="360" w:lineRule="auto"/>
        <w:jc w:val="center"/>
        <w:rPr>
          <w:rFonts w:ascii="Palatino Linotype" w:eastAsia="Palatino Linotype" w:hAnsi="Palatino Linotype" w:cs="Palatino Linotype"/>
          <w:b/>
        </w:rPr>
      </w:pPr>
    </w:p>
    <w:p w14:paraId="7A1FD1C7" w14:textId="77777777" w:rsidR="000E405F" w:rsidRPr="00651DC7" w:rsidRDefault="00C47BCC">
      <w:pPr>
        <w:keepNext/>
        <w:keepLines/>
        <w:spacing w:line="360" w:lineRule="auto"/>
        <w:jc w:val="center"/>
        <w:rPr>
          <w:rFonts w:ascii="Palatino Linotype" w:eastAsia="Palatino Linotype" w:hAnsi="Palatino Linotype" w:cs="Palatino Linotype"/>
          <w:b/>
        </w:rPr>
      </w:pPr>
      <w:r w:rsidRPr="00651DC7">
        <w:rPr>
          <w:rFonts w:ascii="Palatino Linotype" w:eastAsia="Palatino Linotype" w:hAnsi="Palatino Linotype" w:cs="Palatino Linotype"/>
          <w:b/>
        </w:rPr>
        <w:t>A N T E C E D E N T E S</w:t>
      </w:r>
    </w:p>
    <w:p w14:paraId="31BFB5C1" w14:textId="77777777" w:rsidR="000E405F" w:rsidRPr="00651DC7" w:rsidRDefault="00C47BCC">
      <w:pPr>
        <w:numPr>
          <w:ilvl w:val="0"/>
          <w:numId w:val="2"/>
        </w:numPr>
        <w:pBdr>
          <w:top w:val="nil"/>
          <w:left w:val="nil"/>
          <w:bottom w:val="nil"/>
          <w:right w:val="nil"/>
          <w:between w:val="nil"/>
        </w:pBdr>
        <w:spacing w:line="360" w:lineRule="auto"/>
        <w:rPr>
          <w:rFonts w:ascii="Palatino Linotype" w:eastAsia="Palatino Linotype" w:hAnsi="Palatino Linotype" w:cs="Palatino Linotype"/>
          <w:color w:val="000000"/>
        </w:rPr>
      </w:pPr>
      <w:r w:rsidRPr="00651DC7">
        <w:rPr>
          <w:rFonts w:ascii="Palatino Linotype" w:eastAsia="Palatino Linotype" w:hAnsi="Palatino Linotype" w:cs="Palatino Linotype"/>
          <w:b/>
          <w:color w:val="000000"/>
          <w:u w:val="single"/>
        </w:rPr>
        <w:t>Solicitud de acceso a la información pública.</w:t>
      </w:r>
    </w:p>
    <w:p w14:paraId="22AC8DB3"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El </w:t>
      </w:r>
      <w:r w:rsidRPr="00651DC7">
        <w:rPr>
          <w:rFonts w:ascii="Palatino Linotype" w:eastAsia="Palatino Linotype" w:hAnsi="Palatino Linotype" w:cs="Palatino Linotype"/>
          <w:b/>
        </w:rPr>
        <w:t>veinticinco de septiembre de dos mil veinticuatro</w:t>
      </w:r>
      <w:r w:rsidRPr="00651DC7">
        <w:rPr>
          <w:rFonts w:ascii="Palatino Linotype" w:eastAsia="Palatino Linotype" w:hAnsi="Palatino Linotype" w:cs="Palatino Linotype"/>
        </w:rPr>
        <w:t xml:space="preserve">, </w:t>
      </w:r>
      <w:r w:rsidRPr="00651DC7">
        <w:rPr>
          <w:rFonts w:ascii="Palatino Linotype" w:eastAsia="Palatino Linotype" w:hAnsi="Palatino Linotype" w:cs="Palatino Linotype"/>
          <w:b/>
        </w:rPr>
        <w:t>EL RECURRENTE,</w:t>
      </w:r>
      <w:r w:rsidRPr="00651DC7">
        <w:rPr>
          <w:rFonts w:ascii="Palatino Linotype" w:eastAsia="Palatino Linotype" w:hAnsi="Palatino Linotype" w:cs="Palatino Linotype"/>
        </w:rPr>
        <w:t xml:space="preserve"> ante el </w:t>
      </w:r>
      <w:r w:rsidRPr="00651DC7">
        <w:rPr>
          <w:rFonts w:ascii="Palatino Linotype" w:eastAsia="Palatino Linotype" w:hAnsi="Palatino Linotype" w:cs="Palatino Linotype"/>
          <w:b/>
        </w:rPr>
        <w:t>SUJETO OBLIGADO</w:t>
      </w:r>
      <w:r w:rsidRPr="00651DC7">
        <w:rPr>
          <w:rFonts w:ascii="Palatino Linotype" w:eastAsia="Palatino Linotype" w:hAnsi="Palatino Linotype" w:cs="Palatino Linotype"/>
        </w:rPr>
        <w:t>, vía Sistema de Acceso a la Información Mexiquense (</w:t>
      </w:r>
      <w:r w:rsidRPr="00651DC7">
        <w:rPr>
          <w:rFonts w:ascii="Palatino Linotype" w:eastAsia="Palatino Linotype" w:hAnsi="Palatino Linotype" w:cs="Palatino Linotype"/>
          <w:b/>
        </w:rPr>
        <w:t>SAIMEX)</w:t>
      </w:r>
      <w:r w:rsidRPr="00651DC7">
        <w:rPr>
          <w:rFonts w:ascii="Palatino Linotype" w:eastAsia="Palatino Linotype" w:hAnsi="Palatino Linotype" w:cs="Palatino Linotype"/>
        </w:rPr>
        <w:t xml:space="preserve">, presentó la solicitud de información registrada con el número </w:t>
      </w:r>
      <w:r w:rsidRPr="00651DC7">
        <w:rPr>
          <w:rFonts w:ascii="Palatino Linotype" w:eastAsia="Palatino Linotype" w:hAnsi="Palatino Linotype" w:cs="Palatino Linotype"/>
          <w:b/>
        </w:rPr>
        <w:t>00306/TEMAMATL/IP/2024</w:t>
      </w:r>
      <w:r w:rsidRPr="00651DC7">
        <w:rPr>
          <w:rFonts w:ascii="Palatino Linotype" w:eastAsia="Palatino Linotype" w:hAnsi="Palatino Linotype" w:cs="Palatino Linotype"/>
        </w:rPr>
        <w:t>,</w:t>
      </w:r>
      <w:r w:rsidRPr="00651DC7">
        <w:rPr>
          <w:rFonts w:ascii="Palatino Linotype" w:eastAsia="Palatino Linotype" w:hAnsi="Palatino Linotype" w:cs="Palatino Linotype"/>
          <w:b/>
        </w:rPr>
        <w:t xml:space="preserve"> </w:t>
      </w:r>
      <w:r w:rsidRPr="00651DC7">
        <w:rPr>
          <w:rFonts w:ascii="Palatino Linotype" w:eastAsia="Palatino Linotype" w:hAnsi="Palatino Linotype" w:cs="Palatino Linotype"/>
        </w:rPr>
        <w:t>en la que se solicitó lo siguiente:</w:t>
      </w:r>
    </w:p>
    <w:p w14:paraId="50C4C4AC" w14:textId="77777777" w:rsidR="000E405F" w:rsidRPr="00651DC7" w:rsidRDefault="000E405F">
      <w:pPr>
        <w:spacing w:line="360" w:lineRule="auto"/>
        <w:jc w:val="both"/>
        <w:rPr>
          <w:rFonts w:ascii="Palatino Linotype" w:eastAsia="Palatino Linotype" w:hAnsi="Palatino Linotype" w:cs="Palatino Linotype"/>
        </w:rPr>
      </w:pPr>
    </w:p>
    <w:p w14:paraId="27B9E09D" w14:textId="77777777" w:rsidR="000E405F" w:rsidRPr="00651DC7" w:rsidRDefault="00C47BCC">
      <w:pPr>
        <w:spacing w:line="276" w:lineRule="auto"/>
        <w:ind w:left="567" w:right="538"/>
        <w:jc w:val="both"/>
        <w:rPr>
          <w:rFonts w:ascii="Palatino Linotype" w:eastAsia="Palatino Linotype" w:hAnsi="Palatino Linotype" w:cs="Palatino Linotype"/>
          <w:color w:val="000000"/>
          <w:sz w:val="22"/>
          <w:szCs w:val="22"/>
        </w:rPr>
      </w:pPr>
      <w:bookmarkStart w:id="1" w:name="_heading=h.gjdgxs" w:colFirst="0" w:colLast="0"/>
      <w:bookmarkEnd w:id="1"/>
      <w:r w:rsidRPr="00651DC7">
        <w:rPr>
          <w:rFonts w:ascii="Palatino Linotype" w:eastAsia="Palatino Linotype" w:hAnsi="Palatino Linotype" w:cs="Palatino Linotype"/>
          <w:i/>
          <w:color w:val="000000"/>
          <w:sz w:val="22"/>
          <w:szCs w:val="22"/>
        </w:rPr>
        <w:t>“</w:t>
      </w:r>
      <w:r w:rsidRPr="00651DC7">
        <w:rPr>
          <w:rFonts w:ascii="Palatino Linotype" w:eastAsia="Palatino Linotype" w:hAnsi="Palatino Linotype" w:cs="Palatino Linotype"/>
          <w:i/>
          <w:color w:val="000000"/>
        </w:rPr>
        <w:t xml:space="preserve">Cual </w:t>
      </w:r>
      <w:proofErr w:type="spellStart"/>
      <w:r w:rsidRPr="00651DC7">
        <w:rPr>
          <w:rFonts w:ascii="Palatino Linotype" w:eastAsia="Palatino Linotype" w:hAnsi="Palatino Linotype" w:cs="Palatino Linotype"/>
          <w:i/>
          <w:color w:val="000000"/>
        </w:rPr>
        <w:t>a</w:t>
      </w:r>
      <w:proofErr w:type="spellEnd"/>
      <w:r w:rsidRPr="00651DC7">
        <w:rPr>
          <w:rFonts w:ascii="Palatino Linotype" w:eastAsia="Palatino Linotype" w:hAnsi="Palatino Linotype" w:cs="Palatino Linotype"/>
          <w:i/>
          <w:color w:val="000000"/>
        </w:rPr>
        <w:t xml:space="preserve"> sido el monto mensual de gasto por concepto de compra de papelería, durante la administración 2022 2024, cual ha sido el proveedor proveedores, requiero la información desglosada por </w:t>
      </w:r>
      <w:proofErr w:type="gramStart"/>
      <w:r w:rsidRPr="00651DC7">
        <w:rPr>
          <w:rFonts w:ascii="Palatino Linotype" w:eastAsia="Palatino Linotype" w:hAnsi="Palatino Linotype" w:cs="Palatino Linotype"/>
          <w:i/>
          <w:color w:val="000000"/>
        </w:rPr>
        <w:t>mes ,</w:t>
      </w:r>
      <w:proofErr w:type="gramEnd"/>
      <w:r w:rsidRPr="00651DC7">
        <w:rPr>
          <w:rFonts w:ascii="Palatino Linotype" w:eastAsia="Palatino Linotype" w:hAnsi="Palatino Linotype" w:cs="Palatino Linotype"/>
          <w:i/>
          <w:color w:val="000000"/>
        </w:rPr>
        <w:t xml:space="preserve"> favor de adjuntar las pólizas de egresos por este concepto”</w:t>
      </w:r>
      <w:r w:rsidRPr="00651DC7">
        <w:rPr>
          <w:rFonts w:ascii="Palatino Linotype" w:eastAsia="Palatino Linotype" w:hAnsi="Palatino Linotype" w:cs="Palatino Linotype"/>
          <w:i/>
          <w:color w:val="000000"/>
          <w:sz w:val="22"/>
          <w:szCs w:val="22"/>
        </w:rPr>
        <w:t xml:space="preserve"> </w:t>
      </w:r>
      <w:r w:rsidRPr="00651DC7">
        <w:rPr>
          <w:rFonts w:ascii="Palatino Linotype" w:eastAsia="Palatino Linotype" w:hAnsi="Palatino Linotype" w:cs="Palatino Linotype"/>
          <w:color w:val="000000"/>
          <w:sz w:val="22"/>
          <w:szCs w:val="22"/>
        </w:rPr>
        <w:t>(Sic)</w:t>
      </w:r>
    </w:p>
    <w:p w14:paraId="20EAB09E" w14:textId="77777777" w:rsidR="000E405F" w:rsidRPr="00651DC7" w:rsidRDefault="000E405F">
      <w:pPr>
        <w:spacing w:line="276" w:lineRule="auto"/>
        <w:ind w:left="567" w:right="538"/>
        <w:jc w:val="both"/>
        <w:rPr>
          <w:rFonts w:ascii="Palatino Linotype" w:eastAsia="Palatino Linotype" w:hAnsi="Palatino Linotype" w:cs="Palatino Linotype"/>
          <w:sz w:val="22"/>
          <w:szCs w:val="22"/>
        </w:rPr>
      </w:pPr>
      <w:bookmarkStart w:id="2" w:name="_heading=h.mc29czks4pnp" w:colFirst="0" w:colLast="0"/>
      <w:bookmarkEnd w:id="2"/>
    </w:p>
    <w:p w14:paraId="66865F1C" w14:textId="77777777" w:rsidR="000E405F" w:rsidRPr="00651DC7" w:rsidRDefault="00C47BC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4BFB9A79" w14:textId="77777777" w:rsidR="000E405F" w:rsidRPr="00651DC7" w:rsidRDefault="000E405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0E6203FA" w14:textId="77777777" w:rsidR="000E405F" w:rsidRPr="00651DC7" w:rsidRDefault="00C47BC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b/>
          <w:color w:val="000000"/>
          <w:u w:val="single"/>
        </w:rPr>
        <w:t>Respuesta del Sujeto Obligado</w:t>
      </w:r>
    </w:p>
    <w:p w14:paraId="613F5680" w14:textId="77777777" w:rsidR="000E405F" w:rsidRPr="00651DC7" w:rsidRDefault="00C47BCC">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color w:val="000000"/>
        </w:rPr>
      </w:pPr>
      <w:bookmarkStart w:id="3" w:name="_heading=h.30j0zll" w:colFirst="0" w:colLast="0"/>
      <w:bookmarkEnd w:id="3"/>
      <w:r w:rsidRPr="00651DC7">
        <w:rPr>
          <w:rFonts w:ascii="Palatino Linotype" w:eastAsia="Palatino Linotype" w:hAnsi="Palatino Linotype" w:cs="Palatino Linotype"/>
          <w:color w:val="000000"/>
        </w:rPr>
        <w:t xml:space="preserve">En fecha </w:t>
      </w:r>
      <w:r w:rsidRPr="00651DC7">
        <w:rPr>
          <w:rFonts w:ascii="Palatino Linotype" w:eastAsia="Palatino Linotype" w:hAnsi="Palatino Linotype" w:cs="Palatino Linotype"/>
          <w:b/>
          <w:color w:val="000000"/>
        </w:rPr>
        <w:t>diecisiete de septiembre de dos mil veinticuatro</w:t>
      </w:r>
      <w:r w:rsidRPr="00651DC7">
        <w:rPr>
          <w:rFonts w:ascii="Palatino Linotype" w:eastAsia="Palatino Linotype" w:hAnsi="Palatino Linotype" w:cs="Palatino Linotype"/>
          <w:color w:val="000000"/>
        </w:rPr>
        <w:t xml:space="preserve">, el </w:t>
      </w:r>
      <w:r w:rsidRPr="00651DC7">
        <w:rPr>
          <w:rFonts w:ascii="Palatino Linotype" w:eastAsia="Palatino Linotype" w:hAnsi="Palatino Linotype" w:cs="Palatino Linotype"/>
          <w:b/>
          <w:color w:val="000000"/>
        </w:rPr>
        <w:t>SUJETO OBLIGADO</w:t>
      </w:r>
      <w:r w:rsidRPr="00651DC7">
        <w:rPr>
          <w:rFonts w:ascii="Palatino Linotype" w:eastAsia="Palatino Linotype" w:hAnsi="Palatino Linotype" w:cs="Palatino Linotype"/>
          <w:b/>
          <w:i/>
          <w:color w:val="000000"/>
        </w:rPr>
        <w:t xml:space="preserve"> </w:t>
      </w:r>
      <w:r w:rsidRPr="00651DC7">
        <w:rPr>
          <w:rFonts w:ascii="Palatino Linotype" w:eastAsia="Palatino Linotype" w:hAnsi="Palatino Linotype" w:cs="Palatino Linotype"/>
          <w:color w:val="000000"/>
        </w:rPr>
        <w:t>dio respuesta a través de los siguientes archivos electrónicos:</w:t>
      </w:r>
    </w:p>
    <w:p w14:paraId="55E64DAE" w14:textId="77777777" w:rsidR="000E405F" w:rsidRPr="00651DC7" w:rsidRDefault="000E405F">
      <w:pPr>
        <w:pBdr>
          <w:top w:val="nil"/>
          <w:left w:val="nil"/>
          <w:bottom w:val="nil"/>
          <w:right w:val="nil"/>
          <w:between w:val="nil"/>
        </w:pBdr>
        <w:spacing w:line="276" w:lineRule="auto"/>
        <w:ind w:left="501"/>
        <w:jc w:val="both"/>
        <w:rPr>
          <w:rFonts w:ascii="Palatino Linotype" w:eastAsia="Palatino Linotype" w:hAnsi="Palatino Linotype" w:cs="Palatino Linotype"/>
          <w:color w:val="000000"/>
        </w:rPr>
      </w:pPr>
      <w:bookmarkStart w:id="4" w:name="_heading=h.1fob9te" w:colFirst="0" w:colLast="0"/>
      <w:bookmarkEnd w:id="4"/>
    </w:p>
    <w:p w14:paraId="7F3EFC9A" w14:textId="77777777" w:rsidR="000E405F" w:rsidRPr="00651DC7" w:rsidRDefault="00C47BCC">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b/>
          <w:color w:val="000000"/>
        </w:rPr>
        <w:t xml:space="preserve">SOL_00306.pdf: </w:t>
      </w:r>
      <w:r w:rsidRPr="00651DC7">
        <w:rPr>
          <w:rFonts w:ascii="Palatino Linotype" w:eastAsia="Palatino Linotype" w:hAnsi="Palatino Linotype" w:cs="Palatino Linotype"/>
          <w:color w:val="000000"/>
        </w:rPr>
        <w:t xml:space="preserve">Oficio número MT/TESORERIAMPAL/OI/412/2024, de fecha </w:t>
      </w:r>
      <w:r w:rsidRPr="00651DC7">
        <w:rPr>
          <w:rFonts w:ascii="Palatino Linotype" w:eastAsia="Palatino Linotype" w:hAnsi="Palatino Linotype" w:cs="Palatino Linotype"/>
          <w:b/>
          <w:color w:val="000000"/>
        </w:rPr>
        <w:t>veintisiete de septiembre de dos mil veinticuatro</w:t>
      </w:r>
      <w:r w:rsidRPr="00651DC7">
        <w:rPr>
          <w:rFonts w:ascii="Palatino Linotype" w:eastAsia="Palatino Linotype" w:hAnsi="Palatino Linotype" w:cs="Palatino Linotype"/>
          <w:color w:val="000000"/>
        </w:rPr>
        <w:t xml:space="preserve">, firmado por la Tesorera Municipal, en el que entre otras cosas refiere: </w:t>
      </w:r>
      <w:r w:rsidRPr="00651DC7">
        <w:rPr>
          <w:rFonts w:ascii="Palatino Linotype" w:eastAsia="Palatino Linotype" w:hAnsi="Palatino Linotype" w:cs="Palatino Linotype"/>
          <w:i/>
          <w:color w:val="000000"/>
        </w:rPr>
        <w:t xml:space="preserve">“… mencionando que en la liga </w:t>
      </w:r>
      <w:hyperlink r:id="rId8">
        <w:r w:rsidRPr="00651DC7">
          <w:rPr>
            <w:rFonts w:ascii="Palatino Linotype" w:eastAsia="Palatino Linotype" w:hAnsi="Palatino Linotype" w:cs="Palatino Linotype"/>
            <w:i/>
            <w:color w:val="0563C1"/>
            <w:u w:val="single"/>
          </w:rPr>
          <w:t>https://temamatla-digital.com/conac2024.php</w:t>
        </w:r>
      </w:hyperlink>
      <w:r w:rsidRPr="00651DC7">
        <w:rPr>
          <w:rFonts w:ascii="Palatino Linotype" w:eastAsia="Palatino Linotype" w:hAnsi="Palatino Linotype" w:cs="Palatino Linotype"/>
          <w:i/>
          <w:color w:val="000000"/>
        </w:rPr>
        <w:t>, de la página oficial se encuentra la información solicitada en los estados comparativos de egresos…”</w:t>
      </w:r>
      <w:r w:rsidRPr="00651DC7">
        <w:rPr>
          <w:rFonts w:ascii="Palatino Linotype" w:eastAsia="Palatino Linotype" w:hAnsi="Palatino Linotype" w:cs="Palatino Linotype"/>
          <w:color w:val="000000"/>
        </w:rPr>
        <w:t xml:space="preserve"> (Sic)</w:t>
      </w:r>
    </w:p>
    <w:p w14:paraId="2E6D8B78" w14:textId="77777777" w:rsidR="000E405F" w:rsidRPr="00651DC7" w:rsidRDefault="000E405F">
      <w:pPr>
        <w:pBdr>
          <w:top w:val="nil"/>
          <w:left w:val="nil"/>
          <w:bottom w:val="nil"/>
          <w:right w:val="nil"/>
          <w:between w:val="nil"/>
        </w:pBdr>
        <w:spacing w:line="276" w:lineRule="auto"/>
        <w:ind w:left="1221"/>
        <w:jc w:val="both"/>
        <w:rPr>
          <w:rFonts w:ascii="Palatino Linotype" w:eastAsia="Palatino Linotype" w:hAnsi="Palatino Linotype" w:cs="Palatino Linotype"/>
          <w:color w:val="000000"/>
        </w:rPr>
      </w:pPr>
    </w:p>
    <w:p w14:paraId="3B8C473F" w14:textId="77777777" w:rsidR="000E405F" w:rsidRPr="00651DC7" w:rsidRDefault="00C47BCC">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b/>
          <w:color w:val="000000"/>
        </w:rPr>
        <w:t xml:space="preserve">ACTA.pdf: </w:t>
      </w:r>
      <w:r w:rsidRPr="00651DC7">
        <w:rPr>
          <w:rFonts w:ascii="Palatino Linotype" w:eastAsia="Palatino Linotype" w:hAnsi="Palatino Linotype" w:cs="Palatino Linotype"/>
          <w:color w:val="000000"/>
        </w:rPr>
        <w:t xml:space="preserve">Acta constante de 31 páginas, en las que se advierte el acta de la </w:t>
      </w:r>
      <w:proofErr w:type="spellStart"/>
      <w:r w:rsidRPr="00651DC7">
        <w:rPr>
          <w:rFonts w:ascii="Palatino Linotype" w:eastAsia="Palatino Linotype" w:hAnsi="Palatino Linotype" w:cs="Palatino Linotype"/>
          <w:color w:val="000000"/>
        </w:rPr>
        <w:t>Octagésima</w:t>
      </w:r>
      <w:proofErr w:type="spellEnd"/>
      <w:r w:rsidRPr="00651DC7">
        <w:rPr>
          <w:rFonts w:ascii="Palatino Linotype" w:eastAsia="Palatino Linotype" w:hAnsi="Palatino Linotype" w:cs="Palatino Linotype"/>
          <w:color w:val="000000"/>
        </w:rPr>
        <w:t xml:space="preserve"> Tercera Sesión Ordinaria del Comité de Transparencia del Ayuntamiento de Temamatla, de fecha diecisiete de octubre de dos mil veinticuatro.</w:t>
      </w:r>
    </w:p>
    <w:p w14:paraId="0F960EC3" w14:textId="77777777" w:rsidR="000E405F" w:rsidRPr="00651DC7" w:rsidRDefault="000E405F">
      <w:pPr>
        <w:spacing w:line="360" w:lineRule="auto"/>
        <w:ind w:left="709" w:right="538"/>
        <w:jc w:val="both"/>
        <w:rPr>
          <w:rFonts w:ascii="Palatino Linotype" w:eastAsia="Palatino Linotype" w:hAnsi="Palatino Linotype" w:cs="Palatino Linotype"/>
          <w:i/>
          <w:sz w:val="22"/>
          <w:szCs w:val="22"/>
        </w:rPr>
      </w:pPr>
    </w:p>
    <w:p w14:paraId="0AC0FE46" w14:textId="77777777" w:rsidR="000E405F" w:rsidRPr="00651DC7" w:rsidRDefault="00C47BCC">
      <w:pPr>
        <w:numPr>
          <w:ilvl w:val="0"/>
          <w:numId w:val="2"/>
        </w:numPr>
        <w:pBdr>
          <w:top w:val="nil"/>
          <w:left w:val="nil"/>
          <w:bottom w:val="nil"/>
          <w:right w:val="nil"/>
          <w:between w:val="nil"/>
        </w:pBdr>
        <w:spacing w:line="360" w:lineRule="auto"/>
        <w:ind w:right="538"/>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b/>
          <w:color w:val="000000"/>
          <w:u w:val="single"/>
        </w:rPr>
        <w:t>Recurso de Revisión (razones o motivos de inconformidad)</w:t>
      </w:r>
    </w:p>
    <w:p w14:paraId="28E77615" w14:textId="77777777" w:rsidR="000E405F" w:rsidRPr="00651DC7" w:rsidRDefault="00C47BC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651DC7">
        <w:rPr>
          <w:rFonts w:ascii="Palatino Linotype" w:eastAsia="Palatino Linotype" w:hAnsi="Palatino Linotype" w:cs="Palatino Linotype"/>
          <w:color w:val="000000"/>
        </w:rPr>
        <w:t>En fecha</w:t>
      </w:r>
      <w:r w:rsidRPr="00651DC7">
        <w:rPr>
          <w:rFonts w:ascii="Palatino Linotype" w:eastAsia="Palatino Linotype" w:hAnsi="Palatino Linotype" w:cs="Palatino Linotype"/>
          <w:b/>
          <w:color w:val="000000"/>
        </w:rPr>
        <w:t xml:space="preserve"> veintitrés de octubre de dos mil veinticuatro,</w:t>
      </w:r>
      <w:r w:rsidRPr="00651DC7">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14:paraId="52A9D560" w14:textId="77777777" w:rsidR="000E405F" w:rsidRPr="00651DC7" w:rsidRDefault="000E405F">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14:paraId="586BA43B" w14:textId="77777777" w:rsidR="000E405F" w:rsidRPr="00651DC7" w:rsidRDefault="00C47BCC">
      <w:pPr>
        <w:numPr>
          <w:ilvl w:val="0"/>
          <w:numId w:val="3"/>
        </w:numPr>
        <w:pBdr>
          <w:top w:val="nil"/>
          <w:left w:val="nil"/>
          <w:bottom w:val="nil"/>
          <w:right w:val="nil"/>
          <w:between w:val="nil"/>
        </w:pBdr>
        <w:jc w:val="both"/>
        <w:rPr>
          <w:rFonts w:ascii="Palatino Linotype" w:eastAsia="Palatino Linotype" w:hAnsi="Palatino Linotype" w:cs="Palatino Linotype"/>
          <w:color w:val="000000"/>
        </w:rPr>
      </w:pPr>
      <w:bookmarkStart w:id="5" w:name="_heading=h.3znysh7" w:colFirst="0" w:colLast="0"/>
      <w:bookmarkEnd w:id="5"/>
      <w:r w:rsidRPr="00651DC7">
        <w:rPr>
          <w:rFonts w:ascii="Palatino Linotype" w:eastAsia="Palatino Linotype" w:hAnsi="Palatino Linotype" w:cs="Palatino Linotype"/>
          <w:b/>
          <w:color w:val="000000"/>
        </w:rPr>
        <w:t>Acto impugnado</w:t>
      </w:r>
      <w:r w:rsidRPr="00651DC7">
        <w:rPr>
          <w:rFonts w:ascii="Palatino Linotype" w:eastAsia="Palatino Linotype" w:hAnsi="Palatino Linotype" w:cs="Palatino Linotype"/>
          <w:color w:val="000000"/>
        </w:rPr>
        <w:t xml:space="preserve">: </w:t>
      </w:r>
      <w:r w:rsidRPr="00651DC7">
        <w:rPr>
          <w:rFonts w:ascii="Palatino Linotype" w:eastAsia="Palatino Linotype" w:hAnsi="Palatino Linotype" w:cs="Palatino Linotype"/>
          <w:i/>
          <w:color w:val="000000"/>
        </w:rPr>
        <w:t>“RESPUESTA A SOLICITUD”</w:t>
      </w:r>
      <w:r w:rsidRPr="00651DC7">
        <w:rPr>
          <w:rFonts w:ascii="Palatino Linotype" w:eastAsia="Palatino Linotype" w:hAnsi="Palatino Linotype" w:cs="Palatino Linotype"/>
          <w:color w:val="000000"/>
        </w:rPr>
        <w:t xml:space="preserve"> (Sic)</w:t>
      </w:r>
    </w:p>
    <w:p w14:paraId="34885BE7" w14:textId="77777777" w:rsidR="000E405F" w:rsidRPr="00651DC7" w:rsidRDefault="000E405F">
      <w:pPr>
        <w:pBdr>
          <w:top w:val="nil"/>
          <w:left w:val="nil"/>
          <w:bottom w:val="nil"/>
          <w:right w:val="nil"/>
          <w:between w:val="nil"/>
        </w:pBdr>
        <w:spacing w:line="360" w:lineRule="auto"/>
        <w:ind w:right="49" w:firstLine="708"/>
        <w:jc w:val="both"/>
        <w:rPr>
          <w:rFonts w:ascii="Palatino Linotype" w:eastAsia="Palatino Linotype" w:hAnsi="Palatino Linotype" w:cs="Palatino Linotype"/>
          <w:i/>
          <w:color w:val="000000"/>
        </w:rPr>
      </w:pPr>
    </w:p>
    <w:p w14:paraId="6E3A790B" w14:textId="77777777" w:rsidR="000E405F" w:rsidRPr="00651DC7" w:rsidRDefault="00C47BCC">
      <w:pPr>
        <w:numPr>
          <w:ilvl w:val="0"/>
          <w:numId w:val="3"/>
        </w:numPr>
        <w:pBdr>
          <w:top w:val="nil"/>
          <w:left w:val="nil"/>
          <w:bottom w:val="nil"/>
          <w:right w:val="nil"/>
          <w:between w:val="nil"/>
        </w:pBdr>
        <w:spacing w:line="276" w:lineRule="auto"/>
        <w:jc w:val="both"/>
        <w:rPr>
          <w:rFonts w:ascii="Palatino Linotype" w:eastAsia="Palatino Linotype" w:hAnsi="Palatino Linotype" w:cs="Palatino Linotype"/>
          <w:i/>
          <w:color w:val="000000"/>
        </w:rPr>
      </w:pPr>
      <w:bookmarkStart w:id="6" w:name="_heading=h.2et92p0" w:colFirst="0" w:colLast="0"/>
      <w:bookmarkEnd w:id="6"/>
      <w:r w:rsidRPr="00651DC7">
        <w:rPr>
          <w:rFonts w:ascii="Palatino Linotype" w:eastAsia="Palatino Linotype" w:hAnsi="Palatino Linotype" w:cs="Palatino Linotype"/>
          <w:b/>
          <w:color w:val="000000"/>
        </w:rPr>
        <w:t xml:space="preserve">Razones o Motivos de inconformidad: </w:t>
      </w:r>
      <w:r w:rsidRPr="00651DC7">
        <w:rPr>
          <w:rFonts w:ascii="Palatino Linotype" w:eastAsia="Palatino Linotype" w:hAnsi="Palatino Linotype" w:cs="Palatino Linotype"/>
          <w:i/>
          <w:color w:val="000000"/>
        </w:rPr>
        <w:t>“EL SUJETO OBLIGADO REFIERE EN SU RESPUESTA UNA LIGA PARA LA CONSULTA DE LA INFORMACION SIN EMBARGO EN SU PLATAFORMA NO SE ENCUENTRA LA INFORMACION DE MANERA ESPECIFICA DEACUERDO A MI SOLICITUD LA INFORMACION ES GLOBAL Y GENERALIZADA, NO CONTIENE POLIZAS AL RESPECTO DE MI SOLICITUD.”</w:t>
      </w:r>
      <w:r w:rsidRPr="00651DC7">
        <w:rPr>
          <w:rFonts w:ascii="Palatino Linotype" w:eastAsia="Palatino Linotype" w:hAnsi="Palatino Linotype" w:cs="Palatino Linotype"/>
          <w:color w:val="000000"/>
        </w:rPr>
        <w:t xml:space="preserve"> (Sic)</w:t>
      </w:r>
    </w:p>
    <w:p w14:paraId="544289D0" w14:textId="77777777" w:rsidR="000E405F" w:rsidRPr="00651DC7" w:rsidRDefault="000E405F">
      <w:pPr>
        <w:spacing w:line="360" w:lineRule="auto"/>
        <w:jc w:val="both"/>
        <w:rPr>
          <w:rFonts w:ascii="Palatino Linotype" w:eastAsia="Palatino Linotype" w:hAnsi="Palatino Linotype" w:cs="Palatino Linotype"/>
          <w:b/>
        </w:rPr>
      </w:pPr>
    </w:p>
    <w:p w14:paraId="17ADE348" w14:textId="77777777" w:rsidR="000E405F" w:rsidRPr="00651DC7" w:rsidRDefault="00C47BCC">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b/>
          <w:color w:val="000000"/>
          <w:u w:val="single"/>
        </w:rPr>
        <w:t>De la admisión del recurso</w:t>
      </w:r>
    </w:p>
    <w:p w14:paraId="04F4F828"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651DC7">
        <w:rPr>
          <w:rFonts w:ascii="Palatino Linotype" w:eastAsia="Palatino Linotype" w:hAnsi="Palatino Linotype" w:cs="Palatino Linotype"/>
          <w:b/>
          <w:color w:val="000000"/>
        </w:rPr>
        <w:t>Ley de Transparencia y Acceso a la Información Pública del Estado de México y Municipios</w:t>
      </w:r>
      <w:r w:rsidRPr="00651DC7">
        <w:rPr>
          <w:rFonts w:ascii="Palatino Linotype" w:eastAsia="Palatino Linotype" w:hAnsi="Palatino Linotype" w:cs="Palatino Linotype"/>
          <w:color w:val="000000"/>
        </w:rPr>
        <w:t>,</w:t>
      </w:r>
      <w:r w:rsidRPr="00651DC7">
        <w:rPr>
          <w:rFonts w:ascii="Palatino Linotype" w:eastAsia="Palatino Linotype" w:hAnsi="Palatino Linotype" w:cs="Palatino Linotype"/>
          <w:b/>
          <w:color w:val="000000"/>
        </w:rPr>
        <w:t xml:space="preserve"> </w:t>
      </w:r>
      <w:r w:rsidRPr="00651DC7">
        <w:rPr>
          <w:rFonts w:ascii="Palatino Linotype" w:eastAsia="Palatino Linotype" w:hAnsi="Palatino Linotype" w:cs="Palatino Linotype"/>
          <w:color w:val="000000"/>
        </w:rPr>
        <w:t xml:space="preserve">se turnó a la </w:t>
      </w:r>
      <w:r w:rsidRPr="00651DC7">
        <w:rPr>
          <w:rFonts w:ascii="Palatino Linotype" w:eastAsia="Palatino Linotype" w:hAnsi="Palatino Linotype" w:cs="Palatino Linotype"/>
          <w:b/>
          <w:color w:val="000000"/>
        </w:rPr>
        <w:t xml:space="preserve">Comisionada María del Rosario Mejía Ayala, </w:t>
      </w:r>
      <w:r w:rsidRPr="00651DC7">
        <w:rPr>
          <w:rFonts w:ascii="Palatino Linotype" w:eastAsia="Palatino Linotype" w:hAnsi="Palatino Linotype" w:cs="Palatino Linotype"/>
          <w:color w:val="000000"/>
        </w:rPr>
        <w:t xml:space="preserve">para su análisis. </w:t>
      </w:r>
    </w:p>
    <w:p w14:paraId="44E0D672"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08FAAEF" w14:textId="77777777" w:rsidR="000E405F" w:rsidRPr="00651DC7" w:rsidRDefault="00C47BCC">
      <w:pPr>
        <w:numPr>
          <w:ilvl w:val="0"/>
          <w:numId w:val="1"/>
        </w:numPr>
        <w:spacing w:line="360" w:lineRule="auto"/>
        <w:ind w:left="0" w:hanging="76"/>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Pr="00651DC7">
        <w:rPr>
          <w:rFonts w:ascii="Palatino Linotype" w:eastAsia="Palatino Linotype" w:hAnsi="Palatino Linotype" w:cs="Palatino Linotype"/>
          <w:b/>
        </w:rPr>
        <w:t>veintinueve de octubre de dos mil veinticuatro</w:t>
      </w:r>
      <w:r w:rsidRPr="00651DC7">
        <w:rPr>
          <w:rFonts w:ascii="Palatino Linotype" w:eastAsia="Palatino Linotype" w:hAnsi="Palatino Linotype" w:cs="Palatino Linotype"/>
        </w:rPr>
        <w:t xml:space="preserve"> para el recurso de revisión con número de folio </w:t>
      </w:r>
      <w:r w:rsidRPr="00651DC7">
        <w:rPr>
          <w:rFonts w:ascii="Palatino Linotype" w:eastAsia="Palatino Linotype" w:hAnsi="Palatino Linotype" w:cs="Palatino Linotype"/>
          <w:b/>
        </w:rPr>
        <w:t>06588/INFOEM/IP/RR/2024</w:t>
      </w:r>
      <w:r w:rsidRPr="00651DC7">
        <w:rPr>
          <w:rFonts w:ascii="Palatino Linotype" w:eastAsia="Palatino Linotype" w:hAnsi="Palatino Linotype" w:cs="Palatino Linotype"/>
        </w:rPr>
        <w:t xml:space="preserve">, puso a disposición de las partes el expediente electrónico vía </w:t>
      </w:r>
      <w:r w:rsidRPr="00651DC7">
        <w:rPr>
          <w:rFonts w:ascii="Palatino Linotype" w:eastAsia="Palatino Linotype" w:hAnsi="Palatino Linotype" w:cs="Palatino Linotype"/>
          <w:b/>
        </w:rPr>
        <w:t>SAIMEX</w:t>
      </w:r>
      <w:r w:rsidRPr="00651DC7">
        <w:rPr>
          <w:rFonts w:ascii="Palatino Linotype" w:eastAsia="Palatino Linotype" w:hAnsi="Palatino Linotype" w:cs="Palatino Linotype"/>
        </w:rPr>
        <w:t>,</w:t>
      </w:r>
      <w:r w:rsidRPr="00651DC7">
        <w:rPr>
          <w:rFonts w:ascii="Palatino Linotype" w:eastAsia="Palatino Linotype" w:hAnsi="Palatino Linotype" w:cs="Palatino Linotype"/>
          <w:b/>
        </w:rPr>
        <w:t xml:space="preserve"> </w:t>
      </w:r>
      <w:r w:rsidRPr="00651DC7">
        <w:rPr>
          <w:rFonts w:ascii="Palatino Linotype" w:eastAsia="Palatino Linotype" w:hAnsi="Palatino Linotype" w:cs="Palatino Linotype"/>
        </w:rPr>
        <w:t xml:space="preserve">a efecto de que en un plazo máximo de siete días manifestaran lo que a derecho conviniera, ofreciera pruebas y alegatos según corresponda al caso concreto, de </w:t>
      </w:r>
      <w:r w:rsidRPr="00651DC7">
        <w:rPr>
          <w:rFonts w:ascii="Palatino Linotype" w:eastAsia="Palatino Linotype" w:hAnsi="Palatino Linotype" w:cs="Palatino Linotype"/>
        </w:rPr>
        <w:lastRenderedPageBreak/>
        <w:t xml:space="preserve">esta forma para que el </w:t>
      </w:r>
      <w:r w:rsidRPr="00651DC7">
        <w:rPr>
          <w:rFonts w:ascii="Palatino Linotype" w:eastAsia="Palatino Linotype" w:hAnsi="Palatino Linotype" w:cs="Palatino Linotype"/>
          <w:b/>
        </w:rPr>
        <w:t>SUJETO OBLIGADO</w:t>
      </w:r>
      <w:r w:rsidRPr="00651DC7">
        <w:rPr>
          <w:rFonts w:ascii="Palatino Linotype" w:eastAsia="Palatino Linotype" w:hAnsi="Palatino Linotype" w:cs="Palatino Linotype"/>
        </w:rPr>
        <w:t xml:space="preserve"> presentara el informe justificado procedente. </w:t>
      </w:r>
    </w:p>
    <w:p w14:paraId="229D4C4C" w14:textId="77777777" w:rsidR="000E405F" w:rsidRPr="00651DC7" w:rsidRDefault="000E405F">
      <w:pPr>
        <w:spacing w:line="360" w:lineRule="auto"/>
        <w:jc w:val="both"/>
        <w:rPr>
          <w:rFonts w:ascii="Palatino Linotype" w:eastAsia="Palatino Linotype" w:hAnsi="Palatino Linotype" w:cs="Palatino Linotype"/>
          <w:b/>
        </w:rPr>
      </w:pPr>
    </w:p>
    <w:p w14:paraId="0784BF4E" w14:textId="77777777" w:rsidR="000E405F" w:rsidRPr="00651DC7" w:rsidRDefault="00C47BC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651DC7">
        <w:rPr>
          <w:rFonts w:ascii="Palatino Linotype" w:eastAsia="Palatino Linotype" w:hAnsi="Palatino Linotype" w:cs="Palatino Linotype"/>
          <w:b/>
          <w:color w:val="000000"/>
          <w:u w:val="single"/>
        </w:rPr>
        <w:t>Manifestaciones, alegatos y respuesta complementaria.</w:t>
      </w:r>
    </w:p>
    <w:p w14:paraId="0AABBB17"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Con fundamento en lo dispuesto por el artículo 185 fracción III de la Ley de la materia, se acordó a las partes a efecto de que, en un plazo máximo de siete días, el Recurrente manifestara lo que a su derecho conviniera, ofrecieran pruebas y alegatos, y el Sujeto Obligado presentará el Informe Justificado.</w:t>
      </w:r>
    </w:p>
    <w:p w14:paraId="79350F78"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9F7A4D"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i/>
          <w:color w:val="000000"/>
        </w:rPr>
      </w:pPr>
      <w:r w:rsidRPr="00651DC7">
        <w:rPr>
          <w:rFonts w:ascii="Palatino Linotype" w:eastAsia="Palatino Linotype" w:hAnsi="Palatino Linotype" w:cs="Palatino Linotype"/>
        </w:rPr>
        <w:t>El Recurrente dejó de realizar manifestaciones que a su derecho conviniera y asistiera. Por su parte el Sujeto Obligado no rindió informe justificado.</w:t>
      </w:r>
    </w:p>
    <w:p w14:paraId="1823960B" w14:textId="77777777" w:rsidR="000E405F" w:rsidRPr="00651DC7" w:rsidRDefault="000E405F">
      <w:pPr>
        <w:spacing w:line="360" w:lineRule="auto"/>
        <w:jc w:val="both"/>
        <w:rPr>
          <w:rFonts w:ascii="Palatino Linotype" w:eastAsia="Palatino Linotype" w:hAnsi="Palatino Linotype" w:cs="Palatino Linotype"/>
          <w:color w:val="000000"/>
        </w:rPr>
      </w:pPr>
    </w:p>
    <w:p w14:paraId="283FF512" w14:textId="77777777" w:rsidR="000E405F" w:rsidRPr="00651DC7" w:rsidRDefault="00C47BCC">
      <w:pPr>
        <w:numPr>
          <w:ilvl w:val="0"/>
          <w:numId w:val="5"/>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651DC7">
        <w:rPr>
          <w:rFonts w:ascii="Palatino Linotype" w:eastAsia="Palatino Linotype" w:hAnsi="Palatino Linotype" w:cs="Palatino Linotype"/>
          <w:b/>
          <w:color w:val="000000"/>
          <w:u w:val="single"/>
        </w:rPr>
        <w:t>Ampliación para resolver y cierre de instrucción.</w:t>
      </w:r>
    </w:p>
    <w:p w14:paraId="38A97B8C"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8F572B0"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fecha </w:t>
      </w:r>
      <w:r w:rsidRPr="00651DC7">
        <w:rPr>
          <w:rFonts w:ascii="Palatino Linotype" w:eastAsia="Palatino Linotype" w:hAnsi="Palatino Linotype" w:cs="Palatino Linotype"/>
          <w:b/>
        </w:rPr>
        <w:t>veinticinco de noviembre de dos mil veinticuatro</w:t>
      </w:r>
      <w:r w:rsidRPr="00651DC7">
        <w:rPr>
          <w:rFonts w:ascii="Palatino Linotype" w:eastAsia="Palatino Linotype" w:hAnsi="Palatino Linotype" w:cs="Palatino Linotype"/>
        </w:rPr>
        <w:t xml:space="preserve">, la Comisionada Ponente dictó el </w:t>
      </w:r>
      <w:r w:rsidRPr="00651DC7">
        <w:rPr>
          <w:rFonts w:ascii="Palatino Linotype" w:eastAsia="Palatino Linotype" w:hAnsi="Palatino Linotype" w:cs="Palatino Linotype"/>
          <w:b/>
        </w:rPr>
        <w:t>cierre del periodo de instrucción</w:t>
      </w:r>
      <w:r w:rsidRPr="00651DC7">
        <w:rPr>
          <w:rFonts w:ascii="Palatino Linotype" w:eastAsia="Palatino Linotype" w:hAnsi="Palatino Linotype" w:cs="Palatino Linotype"/>
        </w:rPr>
        <w:t xml:space="preserve"> y, ordenó la resolución que conforme a Derecho Proceda, de acuerdo a las siguientes: </w:t>
      </w:r>
    </w:p>
    <w:p w14:paraId="5B3DB90E"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9F1363C" w14:textId="77777777" w:rsidR="000E405F" w:rsidRPr="00651DC7" w:rsidRDefault="00C47BCC">
      <w:pPr>
        <w:keepNext/>
        <w:keepLines/>
        <w:spacing w:line="360" w:lineRule="auto"/>
        <w:jc w:val="center"/>
        <w:rPr>
          <w:rFonts w:ascii="Palatino Linotype" w:eastAsia="Palatino Linotype" w:hAnsi="Palatino Linotype" w:cs="Palatino Linotype"/>
        </w:rPr>
      </w:pPr>
      <w:bookmarkStart w:id="7" w:name="_heading=h.tyjcwt" w:colFirst="0" w:colLast="0"/>
      <w:bookmarkEnd w:id="7"/>
      <w:r w:rsidRPr="00651DC7">
        <w:rPr>
          <w:rFonts w:ascii="Palatino Linotype" w:eastAsia="Palatino Linotype" w:hAnsi="Palatino Linotype" w:cs="Palatino Linotype"/>
          <w:b/>
        </w:rPr>
        <w:t>C O N S I D E R A N D O S</w:t>
      </w:r>
    </w:p>
    <w:p w14:paraId="65BA8811" w14:textId="77777777" w:rsidR="000E405F" w:rsidRPr="00651DC7" w:rsidRDefault="000E405F">
      <w:pPr>
        <w:spacing w:line="360" w:lineRule="auto"/>
        <w:rPr>
          <w:rFonts w:ascii="Palatino Linotype" w:eastAsia="Palatino Linotype" w:hAnsi="Palatino Linotype" w:cs="Palatino Linotype"/>
        </w:rPr>
      </w:pPr>
    </w:p>
    <w:p w14:paraId="4002E013" w14:textId="77777777" w:rsidR="000E405F" w:rsidRPr="00651DC7" w:rsidRDefault="00C47BCC">
      <w:pPr>
        <w:keepNext/>
        <w:keepLines/>
        <w:spacing w:line="360" w:lineRule="auto"/>
        <w:rPr>
          <w:rFonts w:ascii="Palatino Linotype" w:eastAsia="Palatino Linotype" w:hAnsi="Palatino Linotype" w:cs="Palatino Linotype"/>
          <w:b/>
        </w:rPr>
      </w:pPr>
      <w:bookmarkStart w:id="8" w:name="_heading=h.3dy6vkm" w:colFirst="0" w:colLast="0"/>
      <w:bookmarkEnd w:id="8"/>
      <w:r w:rsidRPr="00651DC7">
        <w:rPr>
          <w:rFonts w:ascii="Palatino Linotype" w:eastAsia="Palatino Linotype" w:hAnsi="Palatino Linotype" w:cs="Palatino Linotype"/>
          <w:b/>
        </w:rPr>
        <w:lastRenderedPageBreak/>
        <w:t>PRIMERO. De la competencia</w:t>
      </w:r>
    </w:p>
    <w:p w14:paraId="495B01F5"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366F1AA" w14:textId="77777777" w:rsidR="000E405F" w:rsidRPr="00651DC7" w:rsidRDefault="000E405F">
      <w:pPr>
        <w:spacing w:line="360" w:lineRule="auto"/>
        <w:jc w:val="both"/>
        <w:rPr>
          <w:rFonts w:ascii="Palatino Linotype" w:eastAsia="Palatino Linotype" w:hAnsi="Palatino Linotype" w:cs="Palatino Linotype"/>
        </w:rPr>
      </w:pPr>
    </w:p>
    <w:p w14:paraId="5F51E28B" w14:textId="77777777" w:rsidR="000E405F" w:rsidRPr="00651DC7" w:rsidRDefault="00C47BCC">
      <w:pPr>
        <w:keepNext/>
        <w:keepLines/>
        <w:spacing w:line="360" w:lineRule="auto"/>
        <w:rPr>
          <w:rFonts w:ascii="Palatino Linotype" w:eastAsia="Palatino Linotype" w:hAnsi="Palatino Linotype" w:cs="Palatino Linotype"/>
          <w:b/>
        </w:rPr>
      </w:pPr>
      <w:bookmarkStart w:id="9" w:name="_heading=h.1t3h5sf" w:colFirst="0" w:colLast="0"/>
      <w:bookmarkEnd w:id="9"/>
      <w:r w:rsidRPr="00651DC7">
        <w:rPr>
          <w:rFonts w:ascii="Palatino Linotype" w:eastAsia="Palatino Linotype" w:hAnsi="Palatino Linotype" w:cs="Palatino Linotype"/>
          <w:b/>
        </w:rPr>
        <w:t>SEGUNDO. Procedencia.</w:t>
      </w:r>
    </w:p>
    <w:p w14:paraId="636CDBE4"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623C9B29" w14:textId="77777777" w:rsidR="000E405F" w:rsidRPr="00651DC7" w:rsidRDefault="000E405F">
      <w:pPr>
        <w:spacing w:line="360" w:lineRule="auto"/>
        <w:jc w:val="both"/>
        <w:rPr>
          <w:rFonts w:ascii="Palatino Linotype" w:eastAsia="Palatino Linotype" w:hAnsi="Palatino Linotype" w:cs="Palatino Linotype"/>
          <w:color w:val="000000"/>
        </w:rPr>
      </w:pPr>
    </w:p>
    <w:p w14:paraId="4A194BDC"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Por otro lado, el escrito contiene las formalidades previstas por el artículo 180 último párrafo de la citada Ley de la materia, por lo que es procedente que este Instituto conozca y resuelva el presente recurso.</w:t>
      </w:r>
    </w:p>
    <w:p w14:paraId="47801A34" w14:textId="77777777" w:rsidR="000E405F" w:rsidRPr="00651DC7" w:rsidRDefault="000E405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87A0A38" w14:textId="77777777" w:rsidR="000E405F" w:rsidRPr="00651DC7" w:rsidRDefault="00C47BCC">
      <w:pPr>
        <w:pStyle w:val="Ttulo2"/>
        <w:tabs>
          <w:tab w:val="left" w:pos="0"/>
        </w:tabs>
        <w:spacing w:before="0" w:line="360" w:lineRule="auto"/>
        <w:rPr>
          <w:rFonts w:ascii="Palatino Linotype" w:eastAsia="Palatino Linotype" w:hAnsi="Palatino Linotype" w:cs="Palatino Linotype"/>
          <w:b/>
          <w:color w:val="000000"/>
          <w:sz w:val="24"/>
          <w:szCs w:val="24"/>
        </w:rPr>
      </w:pPr>
      <w:r w:rsidRPr="00651DC7">
        <w:rPr>
          <w:rFonts w:ascii="Palatino Linotype" w:eastAsia="Palatino Linotype" w:hAnsi="Palatino Linotype" w:cs="Palatino Linotype"/>
          <w:b/>
          <w:color w:val="000000"/>
          <w:sz w:val="24"/>
          <w:szCs w:val="24"/>
        </w:rPr>
        <w:t>TERCERO. Descripción de hechos y planteamiento de la controversia.</w:t>
      </w:r>
    </w:p>
    <w:p w14:paraId="1CE6CB35" w14:textId="77777777" w:rsidR="000E405F" w:rsidRPr="00651DC7" w:rsidRDefault="00C47BC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0" w:name="_heading=h.4d34og8" w:colFirst="0" w:colLast="0"/>
      <w:bookmarkEnd w:id="10"/>
      <w:r w:rsidRPr="00651DC7">
        <w:rPr>
          <w:rFonts w:ascii="Palatino Linotype" w:eastAsia="Palatino Linotype" w:hAnsi="Palatino Linotype" w:cs="Palatino Linotype"/>
        </w:rPr>
        <w:t>Se solicitó saber el monto mensual de gasto por concepto de papelería, durante la administración 2022-2024, así como saber cuál ha sido el proveedor o proveedores y se requirió adjuntar las pólizas de egresos por ese concepto.</w:t>
      </w:r>
    </w:p>
    <w:p w14:paraId="5D0E60F5" w14:textId="77777777" w:rsidR="000E405F" w:rsidRPr="00651DC7" w:rsidRDefault="000E405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BAA7365" w14:textId="77777777" w:rsidR="000E405F" w:rsidRPr="00651DC7" w:rsidRDefault="00C47BC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color w:val="000000"/>
        </w:rPr>
        <w:t xml:space="preserve">En respuesta, el </w:t>
      </w:r>
      <w:r w:rsidRPr="00651DC7">
        <w:rPr>
          <w:rFonts w:ascii="Palatino Linotype" w:eastAsia="Palatino Linotype" w:hAnsi="Palatino Linotype" w:cs="Palatino Linotype"/>
          <w:b/>
          <w:color w:val="000000"/>
        </w:rPr>
        <w:t xml:space="preserve">SUJETO OBLIGADO </w:t>
      </w:r>
      <w:r w:rsidRPr="00651DC7">
        <w:rPr>
          <w:rFonts w:ascii="Palatino Linotype" w:eastAsia="Palatino Linotype" w:hAnsi="Palatino Linotype" w:cs="Palatino Linotype"/>
          <w:color w:val="000000"/>
        </w:rPr>
        <w:t>remitió el archivo ya descrito en el anterior numeral 2. Inconforme con la respuesta, se interpuso recurso de revisión argumentando sustancialmente que no se entregó la información solicitada, por lo que no se dio respuesta a la solicitud de información planteada.</w:t>
      </w:r>
    </w:p>
    <w:p w14:paraId="25199BBF"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6278AEC0" w14:textId="77777777" w:rsidR="000E405F" w:rsidRPr="00651DC7" w:rsidRDefault="00C47BC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color w:val="000000"/>
        </w:rPr>
        <w:t xml:space="preserve">En dichas condiciones, la controversia a resolver en el presente proveído, corresponde a determinar si se actualiza la causal de procedencia prevista en el artículo 179, fracción I de la Ley de Transparencia y Acceso a la Información Pública del Estado de México y Municipios; fracción que determina la hipótesis de que no se dio respuesta a la solicitud de información; contexto del cual se dolió el Recurrente al momento de interponer su inconformidad. De modo tal que el presente recurso de revisión se abocara </w:t>
      </w:r>
      <w:r w:rsidRPr="00651DC7">
        <w:rPr>
          <w:rFonts w:ascii="Palatino Linotype" w:eastAsia="Palatino Linotype" w:hAnsi="Palatino Linotype" w:cs="Palatino Linotype"/>
          <w:color w:val="000000"/>
        </w:rPr>
        <w:lastRenderedPageBreak/>
        <w:t>en determinar si el Sujeto Obligado con su respuesta ciertamente actualiza la casual de procedencia señalada.</w:t>
      </w:r>
    </w:p>
    <w:p w14:paraId="4AD4D6B6"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623DF196" w14:textId="77777777" w:rsidR="000E405F" w:rsidRPr="00651DC7" w:rsidRDefault="00C47BCC">
      <w:pPr>
        <w:pStyle w:val="Ttulo1"/>
        <w:spacing w:before="0" w:line="360" w:lineRule="auto"/>
        <w:ind w:right="1"/>
        <w:rPr>
          <w:rFonts w:ascii="Palatino Linotype" w:eastAsia="Palatino Linotype" w:hAnsi="Palatino Linotype" w:cs="Palatino Linotype"/>
          <w:color w:val="000000"/>
          <w:sz w:val="24"/>
          <w:szCs w:val="24"/>
        </w:rPr>
      </w:pPr>
      <w:r w:rsidRPr="00651DC7">
        <w:rPr>
          <w:rFonts w:ascii="Palatino Linotype" w:eastAsia="Palatino Linotype" w:hAnsi="Palatino Linotype" w:cs="Palatino Linotype"/>
          <w:color w:val="000000"/>
          <w:sz w:val="24"/>
          <w:szCs w:val="24"/>
        </w:rPr>
        <w:t>CUARTO. Estudio de la Controversia.</w:t>
      </w:r>
    </w:p>
    <w:p w14:paraId="7D69EFCA"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Determinado lo anterior; revisaremos la atención otorgada por el Sujeto Obligado a la solicitud que dio origen a este recurso, considerando imprescindible establecer lo que la legislación determina, por ello, en primer lugar, vamos a revisar lo que mandata nuestra Ley de Transparencia local, en su artículo 12, el cual establece que quienes generen , recopilen, administren, 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4211297" w14:textId="77777777" w:rsidR="000E405F" w:rsidRPr="00651DC7" w:rsidRDefault="000E405F">
      <w:pPr>
        <w:spacing w:line="360" w:lineRule="auto"/>
        <w:jc w:val="both"/>
        <w:rPr>
          <w:rFonts w:ascii="Palatino Linotype" w:eastAsia="Palatino Linotype" w:hAnsi="Palatino Linotype" w:cs="Palatino Linotype"/>
        </w:rPr>
      </w:pPr>
    </w:p>
    <w:p w14:paraId="63D30E95"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2E36144"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58174033"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06BDD8"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10ADCEBB" w14:textId="77777777" w:rsidR="000E405F" w:rsidRPr="00651DC7" w:rsidRDefault="00C47BC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651DC7">
        <w:rPr>
          <w:rFonts w:ascii="Palatino Linotype" w:eastAsia="Palatino Linotype" w:hAnsi="Palatino Linotype" w:cs="Palatino Linotype"/>
          <w:b/>
          <w:color w:val="000000"/>
        </w:rPr>
        <w:t>De la respuesta inicial</w:t>
      </w:r>
    </w:p>
    <w:p w14:paraId="76E08571" w14:textId="77777777" w:rsidR="000E405F" w:rsidRPr="00651DC7" w:rsidRDefault="00C47BCC">
      <w:pPr>
        <w:numPr>
          <w:ilvl w:val="0"/>
          <w:numId w:val="1"/>
        </w:numPr>
        <w:pBdr>
          <w:top w:val="nil"/>
          <w:left w:val="nil"/>
          <w:bottom w:val="nil"/>
          <w:right w:val="nil"/>
          <w:between w:val="nil"/>
        </w:pBdr>
        <w:spacing w:line="360" w:lineRule="auto"/>
        <w:ind w:left="0" w:right="34" w:firstLine="0"/>
        <w:jc w:val="both"/>
        <w:rPr>
          <w:color w:val="000000"/>
        </w:rPr>
      </w:pPr>
      <w:r w:rsidRPr="00651DC7">
        <w:rPr>
          <w:rFonts w:ascii="Palatino Linotype" w:eastAsia="Palatino Linotype" w:hAnsi="Palatino Linotype" w:cs="Palatino Linotype"/>
          <w:color w:val="000000"/>
        </w:rPr>
        <w:t xml:space="preserve">Dicho lo anterior y atendiendo a que la controversia a resolver está estrictamente vinculada con la entrega de la información que no corresponde con la solicitada, es conveniente partir del análisis </w:t>
      </w:r>
      <w:r w:rsidRPr="00651DC7">
        <w:rPr>
          <w:rFonts w:ascii="Palatino Linotype" w:eastAsia="Palatino Linotype" w:hAnsi="Palatino Linotype" w:cs="Palatino Linotype"/>
        </w:rPr>
        <w:t xml:space="preserve">que </w:t>
      </w:r>
      <w:r w:rsidRPr="00651DC7">
        <w:rPr>
          <w:rFonts w:ascii="Palatino Linotype" w:eastAsia="Palatino Linotype" w:hAnsi="Palatino Linotype" w:cs="Palatino Linotype"/>
          <w:b/>
        </w:rPr>
        <w:t>LA PARTE RECURRENTE</w:t>
      </w:r>
      <w:r w:rsidRPr="00651DC7">
        <w:rPr>
          <w:rFonts w:ascii="Palatino Linotype" w:eastAsia="Palatino Linotype" w:hAnsi="Palatino Linotype" w:cs="Palatino Linotype"/>
        </w:rPr>
        <w:t xml:space="preserve"> solicitó el monto mensual de gasto por concepto de papelería, durante la administración 2022-2024, así como saber cuál ha sido el proveedor o proveedores y se requirió adjuntar las pólizas de egresos por ese concepto, dicha información desglosada por mes.</w:t>
      </w:r>
    </w:p>
    <w:p w14:paraId="1E6C3205" w14:textId="77777777" w:rsidR="000E405F" w:rsidRPr="00651DC7" w:rsidRDefault="000E405F">
      <w:pPr>
        <w:pBdr>
          <w:top w:val="nil"/>
          <w:left w:val="nil"/>
          <w:bottom w:val="nil"/>
          <w:right w:val="nil"/>
          <w:between w:val="nil"/>
        </w:pBdr>
        <w:spacing w:line="360" w:lineRule="auto"/>
        <w:ind w:right="34"/>
        <w:jc w:val="both"/>
        <w:rPr>
          <w:color w:val="000000"/>
        </w:rPr>
      </w:pPr>
    </w:p>
    <w:p w14:paraId="37C7A7EF"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 xml:space="preserve">En respuesta, </w:t>
      </w:r>
      <w:r w:rsidRPr="00651DC7">
        <w:rPr>
          <w:rFonts w:ascii="Palatino Linotype" w:eastAsia="Palatino Linotype" w:hAnsi="Palatino Linotype" w:cs="Palatino Linotype"/>
          <w:b/>
          <w:color w:val="000000"/>
        </w:rPr>
        <w:t>EL SUJETO OBLIGADO</w:t>
      </w:r>
      <w:r w:rsidRPr="00651DC7">
        <w:rPr>
          <w:rFonts w:ascii="Palatino Linotype" w:eastAsia="Palatino Linotype" w:hAnsi="Palatino Linotype" w:cs="Palatino Linotype"/>
          <w:color w:val="000000"/>
        </w:rPr>
        <w:t xml:space="preserve"> se pronunció por conducto de la Tesorera Municipal, quien le proporcionó un link, en donde puede consultar la información, así como remitió un acta.</w:t>
      </w:r>
    </w:p>
    <w:p w14:paraId="0182458F" w14:textId="77777777" w:rsidR="000E405F" w:rsidRPr="00651DC7" w:rsidRDefault="000E405F">
      <w:pPr>
        <w:tabs>
          <w:tab w:val="left" w:pos="4962"/>
        </w:tabs>
        <w:rPr>
          <w:color w:val="000000"/>
        </w:rPr>
      </w:pPr>
    </w:p>
    <w:p w14:paraId="7DB3283B"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Ahora bien, el </w:t>
      </w:r>
      <w:r w:rsidRPr="00651DC7">
        <w:rPr>
          <w:rFonts w:ascii="Palatino Linotype" w:eastAsia="Palatino Linotype" w:hAnsi="Palatino Linotype" w:cs="Palatino Linotype"/>
          <w:b/>
          <w:color w:val="000000"/>
        </w:rPr>
        <w:t>RECURRENTE</w:t>
      </w:r>
      <w:r w:rsidRPr="00651DC7">
        <w:rPr>
          <w:rFonts w:ascii="Palatino Linotype" w:eastAsia="Palatino Linotype" w:hAnsi="Palatino Linotype" w:cs="Palatino Linotype"/>
          <w:color w:val="000000"/>
        </w:rPr>
        <w:t xml:space="preserve"> interpuso el presente recurso inconformándose con la respuesta, aludiendo que en la liga electrónica proporcionada en respuesta contiene la información solicitada. </w:t>
      </w:r>
    </w:p>
    <w:p w14:paraId="5D1B62DC"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7EAC67DC" w14:textId="77777777" w:rsidR="000E405F" w:rsidRPr="00651DC7" w:rsidRDefault="00C47BCC">
      <w:pPr>
        <w:numPr>
          <w:ilvl w:val="0"/>
          <w:numId w:val="1"/>
        </w:numPr>
        <w:pBdr>
          <w:top w:val="nil"/>
          <w:left w:val="nil"/>
          <w:bottom w:val="nil"/>
          <w:right w:val="nil"/>
          <w:between w:val="nil"/>
        </w:pBdr>
        <w:spacing w:line="360" w:lineRule="auto"/>
        <w:ind w:left="0" w:right="113" w:firstLine="0"/>
        <w:jc w:val="both"/>
      </w:pPr>
      <w:r w:rsidRPr="00651DC7">
        <w:rPr>
          <w:rFonts w:ascii="Palatino Linotype" w:eastAsia="Palatino Linotype" w:hAnsi="Palatino Linotype" w:cs="Palatino Linotype"/>
          <w:color w:val="000000"/>
        </w:rPr>
        <w:t xml:space="preserve">Es importante manifestar que el </w:t>
      </w:r>
      <w:r w:rsidRPr="00651DC7">
        <w:rPr>
          <w:rFonts w:ascii="Palatino Linotype" w:eastAsia="Palatino Linotype" w:hAnsi="Palatino Linotype" w:cs="Palatino Linotype"/>
          <w:b/>
          <w:color w:val="000000"/>
        </w:rPr>
        <w:t xml:space="preserve">Sujeto Obligado </w:t>
      </w:r>
      <w:r w:rsidRPr="00651DC7">
        <w:rPr>
          <w:rFonts w:ascii="Palatino Linotype" w:eastAsia="Palatino Linotype" w:hAnsi="Palatino Linotype" w:cs="Palatino Linotype"/>
          <w:color w:val="000000"/>
        </w:rPr>
        <w:t xml:space="preserve">asumió poseer la información peticionada por el </w:t>
      </w:r>
      <w:r w:rsidRPr="00651DC7">
        <w:rPr>
          <w:rFonts w:ascii="Palatino Linotype" w:eastAsia="Palatino Linotype" w:hAnsi="Palatino Linotype" w:cs="Palatino Linotype"/>
          <w:b/>
          <w:color w:val="000000"/>
        </w:rPr>
        <w:t xml:space="preserve">RECURRENTE, </w:t>
      </w:r>
      <w:r w:rsidRPr="00651DC7">
        <w:rPr>
          <w:rFonts w:ascii="Palatino Linotype" w:eastAsia="Palatino Linotype" w:hAnsi="Palatino Linotype" w:cs="Palatino Linotype"/>
          <w:color w:val="000000"/>
        </w:rPr>
        <w:t>al señalar en la respuesta una liga electrónica en donde se podía consultar la información peticionada</w:t>
      </w:r>
      <w:r w:rsidRPr="00651DC7">
        <w:rPr>
          <w:rFonts w:ascii="Century Gothic" w:eastAsia="Century Gothic" w:hAnsi="Century Gothic" w:cs="Century Gothic"/>
          <w:color w:val="000000"/>
        </w:rPr>
        <w:t xml:space="preserve">. </w:t>
      </w:r>
    </w:p>
    <w:p w14:paraId="3719703D"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65F39DD0" w14:textId="77777777" w:rsidR="000E405F" w:rsidRPr="00651DC7" w:rsidRDefault="00C47BCC">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En relación a lo anterior, resulta innecesario el estudio de la naturaleza jurídica de la información peticionada por la persona solicitante, sin embargo, es importante señalar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4DFA239B"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1034D27E" w14:textId="77777777" w:rsidR="000E405F" w:rsidRPr="00651DC7" w:rsidRDefault="00C47BCC">
      <w:pPr>
        <w:pStyle w:val="Ttulo"/>
        <w:spacing w:line="276" w:lineRule="auto"/>
        <w:ind w:firstLine="567"/>
      </w:pPr>
      <w:r w:rsidRPr="00651DC7">
        <w:t>“</w:t>
      </w:r>
      <w:r w:rsidRPr="00651DC7">
        <w:rPr>
          <w:b/>
        </w:rPr>
        <w:t>Artículo 342.-</w:t>
      </w:r>
      <w:r w:rsidRPr="00651DC7">
        <w:t xml:space="preserve"> El registro contable del efecto patrimonial y presupuestal de las operaciones financieras, se realizará conforme al sistema y a las disposiciones que se </w:t>
      </w:r>
      <w:r w:rsidRPr="00651DC7">
        <w:lastRenderedPageBreak/>
        <w:t xml:space="preserve">aprueben en materia de planeación, programación, presupuestación, evaluación y contabilidad gubernamental. </w:t>
      </w:r>
    </w:p>
    <w:p w14:paraId="557BF5CD" w14:textId="77777777" w:rsidR="000E405F" w:rsidRPr="00651DC7" w:rsidRDefault="00C47BCC">
      <w:pPr>
        <w:pStyle w:val="Ttulo"/>
        <w:spacing w:line="276" w:lineRule="auto"/>
        <w:ind w:firstLine="567"/>
        <w:rPr>
          <w:b/>
        </w:rPr>
      </w:pPr>
      <w:r w:rsidRPr="00651DC7">
        <w:rPr>
          <w:b/>
        </w:rPr>
        <w:t>…</w:t>
      </w:r>
    </w:p>
    <w:p w14:paraId="0F91A4FF" w14:textId="77777777" w:rsidR="000E405F" w:rsidRPr="00651DC7" w:rsidRDefault="00C47BCC">
      <w:pPr>
        <w:pStyle w:val="Ttulo"/>
        <w:spacing w:line="276" w:lineRule="auto"/>
        <w:ind w:firstLine="567"/>
      </w:pPr>
      <w:r w:rsidRPr="00651DC7">
        <w:rPr>
          <w:b/>
        </w:rPr>
        <w:t>Artículo 343.-</w:t>
      </w:r>
      <w:r w:rsidRPr="00651DC7">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1739736" w14:textId="77777777" w:rsidR="000E405F" w:rsidRPr="00651DC7" w:rsidRDefault="00C47BCC">
      <w:pPr>
        <w:pStyle w:val="Ttulo"/>
        <w:spacing w:line="276" w:lineRule="auto"/>
        <w:ind w:firstLine="567"/>
      </w:pPr>
      <w:r w:rsidRPr="00651DC7">
        <w:t xml:space="preserve">El sistema de contabilidad sobre base acumulativa total se sustentará en los postulados básicos y el marco conceptual de la contabilidad gubernamental. </w:t>
      </w:r>
    </w:p>
    <w:p w14:paraId="2A7CE4E2" w14:textId="77777777" w:rsidR="000E405F" w:rsidRPr="00651DC7" w:rsidRDefault="00C47BCC">
      <w:pPr>
        <w:pStyle w:val="Ttulo"/>
        <w:spacing w:line="276" w:lineRule="auto"/>
        <w:ind w:firstLine="567"/>
        <w:rPr>
          <w:b/>
        </w:rPr>
      </w:pPr>
      <w:r w:rsidRPr="00651DC7">
        <w:rPr>
          <w:b/>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14658C05" w14:textId="77777777" w:rsidR="000E405F" w:rsidRPr="00651DC7" w:rsidRDefault="00C47BCC">
      <w:pPr>
        <w:pStyle w:val="Ttulo"/>
        <w:spacing w:line="276" w:lineRule="auto"/>
        <w:ind w:firstLine="567"/>
      </w:pPr>
      <w:r w:rsidRPr="00651DC7">
        <w:t xml:space="preserve">Derogado. </w:t>
      </w:r>
    </w:p>
    <w:p w14:paraId="16B94E19" w14:textId="77777777" w:rsidR="000E405F" w:rsidRPr="00651DC7" w:rsidRDefault="00C47BCC">
      <w:pPr>
        <w:pStyle w:val="Ttulo"/>
        <w:spacing w:line="276" w:lineRule="auto"/>
        <w:ind w:firstLine="567"/>
      </w:pPr>
      <w:r w:rsidRPr="00651DC7">
        <w:rPr>
          <w:b/>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651DC7">
        <w:t xml:space="preserve"> a partir del ejercicio presupuestal siguiente al que corresponda, en el caso de los municipios se hará por la Tesorería. </w:t>
      </w:r>
    </w:p>
    <w:p w14:paraId="5DF5C3FC" w14:textId="77777777" w:rsidR="000E405F" w:rsidRPr="00651DC7" w:rsidRDefault="00C47BCC">
      <w:pPr>
        <w:pStyle w:val="Ttulo"/>
        <w:spacing w:line="276" w:lineRule="auto"/>
        <w:ind w:firstLine="567"/>
      </w:pPr>
      <w:r w:rsidRPr="00651DC7">
        <w:t>…</w:t>
      </w:r>
    </w:p>
    <w:p w14:paraId="386C8F83" w14:textId="77777777" w:rsidR="000E405F" w:rsidRPr="00651DC7" w:rsidRDefault="00C47BCC">
      <w:pPr>
        <w:pStyle w:val="Ttulo"/>
        <w:spacing w:line="276" w:lineRule="auto"/>
        <w:ind w:firstLine="567"/>
        <w:rPr>
          <w:b/>
        </w:rPr>
      </w:pPr>
      <w:r w:rsidRPr="00651DC7">
        <w:rPr>
          <w:b/>
        </w:rPr>
        <w:t xml:space="preserve">Artículo 345.- Las Dependencias, Entidades Públicas y unidades administrativas deberán conservar la documentación contable del año en </w:t>
      </w:r>
      <w:r w:rsidRPr="00651DC7">
        <w:rPr>
          <w:b/>
        </w:rPr>
        <w:lastRenderedPageBreak/>
        <w:t xml:space="preserve">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37CA5CD2" w14:textId="77777777" w:rsidR="000E405F" w:rsidRPr="00651DC7" w:rsidRDefault="00C47BCC">
      <w:pPr>
        <w:pStyle w:val="Ttulo"/>
        <w:spacing w:line="276" w:lineRule="auto"/>
        <w:ind w:firstLine="567"/>
      </w:pPr>
      <w:r w:rsidRPr="00651DC7">
        <w:t xml:space="preserve">El plazo señalado en el párrafo anterior, empezará a contar a partir de la publicación en el Periódico Oficial, del decreto correspondiente. “(Sic) </w:t>
      </w:r>
    </w:p>
    <w:p w14:paraId="6957C206" w14:textId="77777777" w:rsidR="000E405F" w:rsidRPr="00651DC7" w:rsidRDefault="000E405F">
      <w:pPr>
        <w:spacing w:line="360" w:lineRule="auto"/>
      </w:pPr>
    </w:p>
    <w:p w14:paraId="66BB42EF"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Del contenido de los artículos plasmados, se desprende que el registro contable patrimonial y presupuestal de las operaciones financieras se realizará conforme al sistema y a las disposiciones que se aprueben en materia de planeación, programación, presupuestación, evaluación y contabilidad gubernamental.</w:t>
      </w:r>
    </w:p>
    <w:p w14:paraId="3903B419"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E2104C9" w14:textId="77777777" w:rsidR="000E405F" w:rsidRPr="00651DC7" w:rsidRDefault="00C47BCC">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Pr="00651DC7">
        <w:rPr>
          <w:rFonts w:ascii="Century Gothic" w:eastAsia="Century Gothic" w:hAnsi="Century Gothic" w:cs="Century Gothic"/>
          <w:color w:val="000000"/>
          <w:vertAlign w:val="superscript"/>
        </w:rPr>
        <w:footnoteReference w:id="1"/>
      </w:r>
      <w:r w:rsidRPr="00651DC7">
        <w:rPr>
          <w:rFonts w:ascii="Palatino Linotype" w:eastAsia="Palatino Linotype" w:hAnsi="Palatino Linotype" w:cs="Palatino Linotype"/>
          <w:color w:val="000000"/>
        </w:rPr>
        <w:t xml:space="preserve">, elaborado por el Grupo de Trabajo de Sistemas de Información Financiera, Contable y Presupuestal de la Comisión Permanente de </w:t>
      </w:r>
      <w:r w:rsidRPr="00651DC7">
        <w:rPr>
          <w:rFonts w:ascii="Palatino Linotype" w:eastAsia="Palatino Linotype" w:hAnsi="Palatino Linotype" w:cs="Palatino Linotype"/>
          <w:color w:val="000000"/>
        </w:rPr>
        <w:lastRenderedPageBreak/>
        <w:t>Funcionarios Fiscales del Instituto para el Desarrollo Técnico de las Haciendas Públicas, INDETEC, señalan las siguientes definiciones de las palabras registro contable y registro presupuestario:</w:t>
      </w:r>
    </w:p>
    <w:p w14:paraId="33C18DD4" w14:textId="77777777" w:rsidR="000E405F" w:rsidRPr="00651DC7" w:rsidRDefault="00C47BCC">
      <w:pPr>
        <w:pStyle w:val="Ttulo"/>
        <w:spacing w:line="276" w:lineRule="auto"/>
        <w:ind w:firstLine="567"/>
        <w:rPr>
          <w:b/>
        </w:rPr>
      </w:pPr>
      <w:r w:rsidRPr="00651DC7">
        <w:t>“</w:t>
      </w:r>
      <w:r w:rsidRPr="00651DC7">
        <w:rPr>
          <w:b/>
        </w:rPr>
        <w:t>REGISTRO CONTABLE</w:t>
      </w:r>
    </w:p>
    <w:p w14:paraId="236ACCB1" w14:textId="77777777" w:rsidR="000E405F" w:rsidRPr="00651DC7" w:rsidRDefault="00C47BCC">
      <w:pPr>
        <w:pStyle w:val="Ttulo"/>
        <w:spacing w:line="276" w:lineRule="auto"/>
        <w:ind w:firstLine="567"/>
      </w:pPr>
      <w:r w:rsidRPr="00651DC7">
        <w:t>Asiento que se realiza en los libros de contabilidad de las actividades relacionadas con el ingreso y egresos de un ente económico.”</w:t>
      </w:r>
    </w:p>
    <w:p w14:paraId="533B7180" w14:textId="77777777" w:rsidR="000E405F" w:rsidRPr="00651DC7" w:rsidRDefault="00C47BCC">
      <w:pPr>
        <w:pStyle w:val="Ttulo"/>
        <w:spacing w:line="276" w:lineRule="auto"/>
        <w:ind w:firstLine="567"/>
      </w:pPr>
      <w:r w:rsidRPr="00651DC7">
        <w:t>“</w:t>
      </w:r>
      <w:r w:rsidRPr="00651DC7">
        <w:rPr>
          <w:b/>
        </w:rPr>
        <w:t>REGISTRO PRESUPUESTARIO</w:t>
      </w:r>
    </w:p>
    <w:p w14:paraId="2A7E151E" w14:textId="77777777" w:rsidR="000E405F" w:rsidRPr="00651DC7" w:rsidRDefault="00C47BCC">
      <w:pPr>
        <w:pStyle w:val="Ttulo"/>
        <w:spacing w:line="276" w:lineRule="auto"/>
        <w:ind w:firstLine="567"/>
      </w:pPr>
      <w:r w:rsidRPr="00651DC7">
        <w:t>Asiento contable de las erogaciones realizadas por las dependencias y entidades con relación a la asignación, modificación y ejercicio de los recursos presupuestarios que se les hayan autorizado.”</w:t>
      </w:r>
    </w:p>
    <w:p w14:paraId="41FCDCAA" w14:textId="77777777" w:rsidR="000E405F" w:rsidRPr="00651DC7" w:rsidRDefault="000E405F">
      <w:pPr>
        <w:spacing w:line="360" w:lineRule="auto"/>
        <w:rPr>
          <w:rFonts w:ascii="Palatino Linotype" w:eastAsia="Palatino Linotype" w:hAnsi="Palatino Linotype" w:cs="Palatino Linotype"/>
        </w:rPr>
      </w:pPr>
    </w:p>
    <w:p w14:paraId="1CAA4B83"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Ahora bien, de las definiciones anteriores, se desprende los registros contables y presupuestarios son asientos o anotaciones contable que se realizan tanto de los ingresos como de los egresos, a decir se trata de un control financiero en el que se reconoce la obligación de llevar a cabo dicho registro.</w:t>
      </w:r>
    </w:p>
    <w:p w14:paraId="4C1FADB1"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657359D"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Por otra parte, se establece que el sistema de contabilidad sobre base acumulativa total se sustentará en los principios de contabilidad gubernamental. Igualmente, los preceptos legales citados mencionan que los Sujetos Obligados deben contar con una unidad administrativa que registra contablemente el efecto patrimonial y presupuestal </w:t>
      </w:r>
      <w:r w:rsidRPr="00651DC7">
        <w:rPr>
          <w:rFonts w:ascii="Palatino Linotype" w:eastAsia="Palatino Linotype" w:hAnsi="Palatino Linotype" w:cs="Palatino Linotype"/>
          <w:color w:val="000000"/>
        </w:rPr>
        <w:lastRenderedPageBreak/>
        <w:t>de las operaciones financieras que realizan, en el momento en que ocurran, con base en el sistema y políticas de registro establecidas.</w:t>
      </w:r>
    </w:p>
    <w:p w14:paraId="0AB0D1D5"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3C6E8D5B"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 En relación a lo anterior, resulta importante mencionar que una definición de </w:t>
      </w:r>
      <w:r w:rsidRPr="00651DC7">
        <w:rPr>
          <w:rFonts w:ascii="Palatino Linotype" w:eastAsia="Palatino Linotype" w:hAnsi="Palatino Linotype" w:cs="Palatino Linotype"/>
          <w:i/>
          <w:color w:val="000000"/>
        </w:rPr>
        <w:t>póliza contable,</w:t>
      </w:r>
      <w:r w:rsidRPr="00651DC7">
        <w:rPr>
          <w:rFonts w:ascii="Palatino Linotype" w:eastAsia="Palatino Linotype" w:hAnsi="Palatino Linotype" w:cs="Palatino Linotype"/>
          <w:b/>
          <w:i/>
          <w:color w:val="000000"/>
        </w:rPr>
        <w:t xml:space="preserve"> </w:t>
      </w:r>
      <w:r w:rsidRPr="00651DC7">
        <w:rPr>
          <w:rFonts w:ascii="Palatino Linotype" w:eastAsia="Palatino Linotype" w:hAnsi="Palatino Linotype" w:cs="Palatino Linotype"/>
          <w:color w:val="000000"/>
        </w:rPr>
        <w:t>la cual, no está definida en el Código Financiero del Estado de México y Municipios; no obstante, el ya mencionado Glosario establece:</w:t>
      </w:r>
    </w:p>
    <w:p w14:paraId="78319FA4" w14:textId="77777777" w:rsidR="000E405F" w:rsidRPr="00651DC7" w:rsidRDefault="00C47BCC">
      <w:pPr>
        <w:pStyle w:val="Ttulo"/>
        <w:spacing w:line="276" w:lineRule="auto"/>
        <w:ind w:left="501"/>
        <w:rPr>
          <w:b/>
        </w:rPr>
      </w:pPr>
      <w:r w:rsidRPr="00651DC7">
        <w:t>“</w:t>
      </w:r>
      <w:r w:rsidRPr="00651DC7">
        <w:rPr>
          <w:b/>
        </w:rPr>
        <w:t>PÓLIZA CONTABLE</w:t>
      </w:r>
    </w:p>
    <w:p w14:paraId="22C650A3" w14:textId="77777777" w:rsidR="000E405F" w:rsidRPr="00651DC7" w:rsidRDefault="00C47BCC">
      <w:pPr>
        <w:pStyle w:val="Ttulo"/>
        <w:spacing w:line="276" w:lineRule="auto"/>
        <w:ind w:left="501"/>
      </w:pPr>
      <w:r w:rsidRPr="00651DC7">
        <w:t>Documento en el cual se asientan en forma individual todas y cada una de las operaciones desarrolladas por una institución, así como la información necesaria para la identificación de dichas operaciones.” (sic)</w:t>
      </w:r>
    </w:p>
    <w:p w14:paraId="2D105302" w14:textId="77777777" w:rsidR="000E405F" w:rsidRPr="00651DC7" w:rsidRDefault="000E405F">
      <w:pPr>
        <w:pBdr>
          <w:top w:val="nil"/>
          <w:left w:val="nil"/>
          <w:bottom w:val="nil"/>
          <w:right w:val="nil"/>
          <w:between w:val="nil"/>
        </w:pBdr>
        <w:spacing w:line="276" w:lineRule="auto"/>
        <w:ind w:left="720"/>
        <w:rPr>
          <w:rFonts w:ascii="Palatino Linotype" w:eastAsia="Palatino Linotype" w:hAnsi="Palatino Linotype" w:cs="Palatino Linotype"/>
          <w:color w:val="000000"/>
        </w:rPr>
      </w:pPr>
    </w:p>
    <w:p w14:paraId="664D4CBD"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Por lo anterior se establece que la </w:t>
      </w:r>
      <w:r w:rsidRPr="00651DC7">
        <w:rPr>
          <w:rFonts w:ascii="Palatino Linotype" w:eastAsia="Palatino Linotype" w:hAnsi="Palatino Linotype" w:cs="Palatino Linotype"/>
          <w:i/>
          <w:color w:val="000000"/>
        </w:rPr>
        <w:t>póliza contable</w:t>
      </w:r>
      <w:r w:rsidRPr="00651DC7">
        <w:rPr>
          <w:rFonts w:ascii="Palatino Linotype" w:eastAsia="Palatino Linotype" w:hAnsi="Palatino Linotype" w:cs="Palatino Linotype"/>
          <w:color w:val="000000"/>
        </w:rPr>
        <w:t>,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3E85E6C5"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F2F3ED"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En ese sentido, existen diversos tipos de pólizas contables de acuerdo a las operaciones realizadas, dentro de las cuales, encontramos las llamadas </w:t>
      </w:r>
      <w:r w:rsidRPr="00651DC7">
        <w:rPr>
          <w:rFonts w:ascii="Palatino Linotype" w:eastAsia="Palatino Linotype" w:hAnsi="Palatino Linotype" w:cs="Palatino Linotype"/>
          <w:i/>
          <w:color w:val="000000"/>
        </w:rPr>
        <w:t>pólizas de egresos e ingresos</w:t>
      </w:r>
      <w:r w:rsidRPr="00651DC7">
        <w:rPr>
          <w:rFonts w:ascii="Palatino Linotype" w:eastAsia="Palatino Linotype" w:hAnsi="Palatino Linotype" w:cs="Palatino Linotype"/>
          <w:color w:val="000000"/>
        </w:rPr>
        <w:t xml:space="preserve">, las primeras son aquellas en las cuales se anotan diariamente las operaciones que representan gastos, es decir, salidas de dinero para el </w:t>
      </w:r>
      <w:r w:rsidRPr="00651DC7">
        <w:rPr>
          <w:rFonts w:ascii="Palatino Linotype" w:eastAsia="Palatino Linotype" w:hAnsi="Palatino Linotype" w:cs="Palatino Linotype"/>
          <w:b/>
          <w:color w:val="000000"/>
        </w:rPr>
        <w:t>Sujeto Obligado</w:t>
      </w:r>
      <w:r w:rsidRPr="00651DC7">
        <w:rPr>
          <w:rFonts w:ascii="Palatino Linotype" w:eastAsia="Palatino Linotype" w:hAnsi="Palatino Linotype" w:cs="Palatino Linotype"/>
          <w:color w:val="000000"/>
        </w:rPr>
        <w:t xml:space="preserve">, las que además, deben encontrarse acompañadas de las documentales que sirven de soporte de </w:t>
      </w:r>
      <w:r w:rsidRPr="00651DC7">
        <w:rPr>
          <w:rFonts w:ascii="Palatino Linotype" w:eastAsia="Palatino Linotype" w:hAnsi="Palatino Linotype" w:cs="Palatino Linotype"/>
          <w:color w:val="000000"/>
        </w:rPr>
        <w:lastRenderedPageBreak/>
        <w:t>dicho movimiento, en atención a las segundas, registran todas la entradas de dinero independientemente de la modalidad, ya sea en efectivo, transferencia, cheque o pagaré, mediante la expedición de facturas.</w:t>
      </w:r>
    </w:p>
    <w:p w14:paraId="50849533" w14:textId="77777777" w:rsidR="000E405F" w:rsidRPr="00651DC7" w:rsidRDefault="000E405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95CB805"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Century Gothic" w:eastAsia="Century Gothic" w:hAnsi="Century Gothic" w:cs="Century Gothic"/>
          <w:color w:val="000000"/>
        </w:rPr>
      </w:pPr>
      <w:r w:rsidRPr="00651DC7">
        <w:rPr>
          <w:rFonts w:ascii="Palatino Linotype" w:eastAsia="Palatino Linotype" w:hAnsi="Palatino Linotype" w:cs="Palatino Linotype"/>
          <w:color w:val="000000"/>
        </w:rPr>
        <w:t>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correspondientes y a disposición del Órgano Superior de Fiscalización del Estado de México; por un término de cinco años contados a partir del ejercicio presupuestal siguiente al que corresponda, tal y como se establece en el Código Financiero del Estado de México.</w:t>
      </w:r>
    </w:p>
    <w:p w14:paraId="450C6046" w14:textId="77777777" w:rsidR="000E405F" w:rsidRPr="00651DC7" w:rsidRDefault="000E405F">
      <w:pPr>
        <w:pBdr>
          <w:top w:val="nil"/>
          <w:left w:val="nil"/>
          <w:bottom w:val="nil"/>
          <w:right w:val="nil"/>
          <w:between w:val="nil"/>
        </w:pBdr>
        <w:ind w:left="720"/>
        <w:rPr>
          <w:rFonts w:ascii="Century Gothic" w:eastAsia="Century Gothic" w:hAnsi="Century Gothic" w:cs="Century Gothic"/>
          <w:color w:val="000000"/>
        </w:rPr>
      </w:pPr>
    </w:p>
    <w:p w14:paraId="06D629B6"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Así, se puede advertir que, los documentos que pueden satisfacer el requerimiento del particular serían precisamente los registros contables acompañados de los documentos o comprobantes que justifiquen las anotaciones y cantidades en ellas registradas.</w:t>
      </w:r>
    </w:p>
    <w:p w14:paraId="610ADB25"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788604D6" w14:textId="77777777" w:rsidR="000E405F" w:rsidRPr="00651DC7" w:rsidRDefault="00C47BCC">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Para robustecer lo plasmado líneas anteriores, se señala que la Ley de Fiscalización Superior del Estado de México, en su artículo 8, fracción XI, establece lo siguiente: </w:t>
      </w:r>
    </w:p>
    <w:p w14:paraId="4874833F" w14:textId="77777777" w:rsidR="000E405F" w:rsidRPr="00651DC7" w:rsidRDefault="00C47BCC">
      <w:pPr>
        <w:pStyle w:val="Ttulo"/>
        <w:spacing w:line="276" w:lineRule="auto"/>
        <w:ind w:firstLine="567"/>
      </w:pPr>
      <w:r w:rsidRPr="00651DC7">
        <w:rPr>
          <w:b/>
        </w:rPr>
        <w:lastRenderedPageBreak/>
        <w:t>“Artículo 8</w:t>
      </w:r>
      <w:r w:rsidRPr="00651DC7">
        <w:t>. El Órgano Superior tendrá las siguientes atribuciones:</w:t>
      </w:r>
    </w:p>
    <w:p w14:paraId="38DBEB51" w14:textId="77777777" w:rsidR="000E405F" w:rsidRPr="00651DC7" w:rsidRDefault="00C47BCC">
      <w:pPr>
        <w:pStyle w:val="Ttulo"/>
        <w:spacing w:line="276" w:lineRule="auto"/>
        <w:ind w:firstLine="567"/>
      </w:pPr>
      <w:r w:rsidRPr="00651DC7">
        <w:t>…</w:t>
      </w:r>
    </w:p>
    <w:p w14:paraId="67DF5DB0" w14:textId="77777777" w:rsidR="000E405F" w:rsidRPr="00651DC7" w:rsidRDefault="00C47BCC">
      <w:pPr>
        <w:pStyle w:val="Ttulo"/>
        <w:spacing w:line="276" w:lineRule="auto"/>
        <w:ind w:firstLine="567"/>
      </w:pPr>
      <w:r w:rsidRPr="00651DC7">
        <w:rPr>
          <w:b/>
        </w:rPr>
        <w:t>XI.</w:t>
      </w:r>
      <w:r w:rsidRPr="00651DC7">
        <w:t xml:space="preserve"> </w:t>
      </w:r>
      <w:r w:rsidRPr="00651DC7">
        <w:rPr>
          <w:b/>
        </w:rPr>
        <w:t>Establecer los lineamientos, criterios, procedimientos, métodos y sistemas para las acciones de control y evaluación, necesarios para la fiscalización de las cuentas públicas y los informes trimestrales</w:t>
      </w:r>
      <w:r w:rsidRPr="00651DC7">
        <w:t>…”</w:t>
      </w:r>
    </w:p>
    <w:p w14:paraId="7F1A0BEA" w14:textId="77777777" w:rsidR="000E405F" w:rsidRPr="00651DC7" w:rsidRDefault="000E405F">
      <w:pPr>
        <w:spacing w:line="360" w:lineRule="auto"/>
        <w:jc w:val="both"/>
        <w:rPr>
          <w:rFonts w:ascii="Palatino Linotype" w:eastAsia="Palatino Linotype" w:hAnsi="Palatino Linotype" w:cs="Palatino Linotype"/>
        </w:rPr>
      </w:pPr>
    </w:p>
    <w:p w14:paraId="25480E30"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En esta tesitura, los “Lineamientos para la integración y entrega del Informe Trimestral Municipal 2023”, emitidos por el Órgano Superior de Fiscalización del Estado de México, OSFEM, establecen los criterios, formatos y documentación necesaria para presentar los informes trimestrales por parte de los entes fiscalizables, integrando la información en cuatro Módulos que contienen la información que se detalla a continuación:</w:t>
      </w:r>
    </w:p>
    <w:p w14:paraId="58551CC8" w14:textId="77777777" w:rsidR="000E405F" w:rsidRPr="00651DC7" w:rsidRDefault="00C47BCC">
      <w:pPr>
        <w:spacing w:before="240"/>
        <w:jc w:val="center"/>
      </w:pPr>
      <w:r w:rsidRPr="00651DC7">
        <w:rPr>
          <w:noProof/>
        </w:rPr>
        <w:drawing>
          <wp:inline distT="0" distB="0" distL="0" distR="0" wp14:anchorId="5FEBFAD2" wp14:editId="7B022181">
            <wp:extent cx="4075195" cy="1780367"/>
            <wp:effectExtent l="0" t="0" r="0" b="0"/>
            <wp:docPr id="1477314935" name="image3.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Diagrama&#10;&#10;Descripción generada automáticamente"/>
                    <pic:cNvPicPr preferRelativeResize="0"/>
                  </pic:nvPicPr>
                  <pic:blipFill>
                    <a:blip r:embed="rId9"/>
                    <a:srcRect b="68628"/>
                    <a:stretch>
                      <a:fillRect/>
                    </a:stretch>
                  </pic:blipFill>
                  <pic:spPr>
                    <a:xfrm>
                      <a:off x="0" y="0"/>
                      <a:ext cx="4075195" cy="1780367"/>
                    </a:xfrm>
                    <a:prstGeom prst="rect">
                      <a:avLst/>
                    </a:prstGeom>
                    <a:ln/>
                  </pic:spPr>
                </pic:pic>
              </a:graphicData>
            </a:graphic>
          </wp:inline>
        </w:drawing>
      </w:r>
    </w:p>
    <w:p w14:paraId="543DFA39" w14:textId="77777777" w:rsidR="000E405F" w:rsidRPr="00651DC7" w:rsidRDefault="000E405F">
      <w:pPr>
        <w:spacing w:after="240"/>
      </w:pPr>
    </w:p>
    <w:p w14:paraId="68B5472E" w14:textId="77777777" w:rsidR="000E405F" w:rsidRPr="00651DC7" w:rsidRDefault="00C47BCC">
      <w:pPr>
        <w:pBdr>
          <w:top w:val="nil"/>
          <w:left w:val="nil"/>
          <w:bottom w:val="nil"/>
          <w:right w:val="nil"/>
          <w:between w:val="nil"/>
        </w:pBdr>
        <w:spacing w:before="240" w:after="240" w:line="276" w:lineRule="auto"/>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 su vez los Módulos se dividen en submódulos, de los que destaca, en relación con el análisis que nos ocupa, el submódulo relativo a “Pólizas”, del Módulo 1:</w:t>
      </w:r>
    </w:p>
    <w:p w14:paraId="0D788DD3" w14:textId="77777777" w:rsidR="000E405F" w:rsidRPr="00651DC7" w:rsidRDefault="00C47BCC">
      <w:pPr>
        <w:spacing w:before="240"/>
        <w:jc w:val="center"/>
      </w:pPr>
      <w:r w:rsidRPr="00651DC7">
        <w:rPr>
          <w:noProof/>
        </w:rPr>
        <w:lastRenderedPageBreak/>
        <w:drawing>
          <wp:inline distT="0" distB="0" distL="0" distR="0" wp14:anchorId="1BCC3C30" wp14:editId="052DCDB1">
            <wp:extent cx="4646850" cy="1615540"/>
            <wp:effectExtent l="0" t="0" r="0" b="0"/>
            <wp:docPr id="1477314937" name="image2.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Diagrama&#10;&#10;Descripción generada automáticamente"/>
                    <pic:cNvPicPr preferRelativeResize="0"/>
                  </pic:nvPicPr>
                  <pic:blipFill>
                    <a:blip r:embed="rId10"/>
                    <a:srcRect/>
                    <a:stretch>
                      <a:fillRect/>
                    </a:stretch>
                  </pic:blipFill>
                  <pic:spPr>
                    <a:xfrm>
                      <a:off x="0" y="0"/>
                      <a:ext cx="4646850" cy="1615540"/>
                    </a:xfrm>
                    <a:prstGeom prst="rect">
                      <a:avLst/>
                    </a:prstGeom>
                    <a:ln/>
                  </pic:spPr>
                </pic:pic>
              </a:graphicData>
            </a:graphic>
          </wp:inline>
        </w:drawing>
      </w:r>
      <w:r w:rsidRPr="00651DC7">
        <w:rPr>
          <w:noProof/>
        </w:rPr>
        <mc:AlternateContent>
          <mc:Choice Requires="wps">
            <w:drawing>
              <wp:anchor distT="0" distB="0" distL="114300" distR="114300" simplePos="0" relativeHeight="251658240" behindDoc="0" locked="0" layoutInCell="1" hidden="0" allowOverlap="1" wp14:anchorId="4938A105" wp14:editId="1C860C9E">
                <wp:simplePos x="0" y="0"/>
                <wp:positionH relativeFrom="column">
                  <wp:posOffset>1689100</wp:posOffset>
                </wp:positionH>
                <wp:positionV relativeFrom="paragraph">
                  <wp:posOffset>1193800</wp:posOffset>
                </wp:positionV>
                <wp:extent cx="1241654" cy="344856"/>
                <wp:effectExtent l="0" t="0" r="0" b="0"/>
                <wp:wrapNone/>
                <wp:docPr id="1477314934" name="Rectángulo 1477314934"/>
                <wp:cNvGraphicFramePr/>
                <a:graphic xmlns:a="http://schemas.openxmlformats.org/drawingml/2006/main">
                  <a:graphicData uri="http://schemas.microsoft.com/office/word/2010/wordprocessingShape">
                    <wps:wsp>
                      <wps:cNvSpPr/>
                      <wps:spPr>
                        <a:xfrm>
                          <a:off x="4731523" y="3613922"/>
                          <a:ext cx="1228954" cy="332156"/>
                        </a:xfrm>
                        <a:prstGeom prst="rect">
                          <a:avLst/>
                        </a:prstGeom>
                        <a:noFill/>
                        <a:ln w="12700" cap="flat" cmpd="sng">
                          <a:solidFill>
                            <a:srgbClr val="FF0000"/>
                          </a:solidFill>
                          <a:prstDash val="solid"/>
                          <a:miter lim="800000"/>
                          <a:headEnd type="none" w="sm" len="sm"/>
                          <a:tailEnd type="none" w="sm" len="sm"/>
                        </a:ln>
                      </wps:spPr>
                      <wps:txbx>
                        <w:txbxContent>
                          <w:p w14:paraId="6E189D80" w14:textId="77777777" w:rsidR="000E405F" w:rsidRDefault="000E405F">
                            <w:pPr>
                              <w:textDirection w:val="btLr"/>
                            </w:pPr>
                          </w:p>
                        </w:txbxContent>
                      </wps:txbx>
                      <wps:bodyPr spcFirstLastPara="1" wrap="square" lIns="91425" tIns="91425" rIns="91425" bIns="91425" anchor="ctr" anchorCtr="0">
                        <a:noAutofit/>
                      </wps:bodyPr>
                    </wps:wsp>
                  </a:graphicData>
                </a:graphic>
              </wp:anchor>
            </w:drawing>
          </mc:Choice>
          <mc:Fallback>
            <w:pict>
              <v:rect id="Rectángulo 1477314934" o:spid="_x0000_s1026" style="position:absolute;left:0;text-align:left;margin-left:133pt;margin-top:94pt;width:97.75pt;height:27.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" filled="f" strokecolor="red" strokeweight="1pt">
                <v:stroke startarrowwidth="narrow" startarrowlength="short" endarrowwidth="narrow" endarrowlength="short"/>
                <v:textbox inset="2.53958mm,2.53958mm,2.53958mm,2.53958mm">
                  <w:txbxContent>
                    <w:p w:rsidR="000E405F" w:rsidRDefault="000E405F">
                      <w:pPr>
                        <w:textDirection w:val="btLr"/>
                      </w:pPr>
                    </w:p>
                  </w:txbxContent>
                </v:textbox>
              </v:rect>
            </w:pict>
          </mc:Fallback>
        </mc:AlternateContent>
      </w:r>
    </w:p>
    <w:p w14:paraId="64E59085" w14:textId="77777777" w:rsidR="000E405F" w:rsidRPr="00651DC7" w:rsidRDefault="00C47BCC">
      <w:r w:rsidRPr="00651DC7">
        <w:rPr>
          <w:noProof/>
        </w:rPr>
        <w:drawing>
          <wp:inline distT="0" distB="0" distL="0" distR="0" wp14:anchorId="5D9ECE08" wp14:editId="3052F16F">
            <wp:extent cx="5618494" cy="1603846"/>
            <wp:effectExtent l="0" t="0" r="0" b="0"/>
            <wp:docPr id="1477314936"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abla&#10;&#10;Descripción generada automáticamente"/>
                    <pic:cNvPicPr preferRelativeResize="0"/>
                  </pic:nvPicPr>
                  <pic:blipFill>
                    <a:blip r:embed="rId11"/>
                    <a:srcRect/>
                    <a:stretch>
                      <a:fillRect/>
                    </a:stretch>
                  </pic:blipFill>
                  <pic:spPr>
                    <a:xfrm>
                      <a:off x="0" y="0"/>
                      <a:ext cx="5618494" cy="1603846"/>
                    </a:xfrm>
                    <a:prstGeom prst="rect">
                      <a:avLst/>
                    </a:prstGeom>
                    <a:ln/>
                  </pic:spPr>
                </pic:pic>
              </a:graphicData>
            </a:graphic>
          </wp:inline>
        </w:drawing>
      </w:r>
    </w:p>
    <w:p w14:paraId="55E63959" w14:textId="77777777" w:rsidR="000E405F" w:rsidRPr="00651DC7" w:rsidRDefault="000E405F">
      <w:pPr>
        <w:spacing w:after="240"/>
      </w:pPr>
    </w:p>
    <w:p w14:paraId="7C32EEE9" w14:textId="77777777" w:rsidR="000E405F" w:rsidRPr="00651DC7" w:rsidRDefault="00C47BCC">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Como se advierte en las imágenes anteriores, el submódulo “Pólizas”, se integra por las pólizas de ingresos, las pólizas de diario, las pólizas de egresos con los respectivos documentos comprobatorios, información que se debe proporcionar al ente regulador.</w:t>
      </w:r>
    </w:p>
    <w:p w14:paraId="490449D8"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491BE35"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651DC7">
        <w:rPr>
          <w:rFonts w:ascii="Palatino Linotype" w:eastAsia="Palatino Linotype" w:hAnsi="Palatino Linotype" w:cs="Palatino Linotype"/>
          <w:color w:val="000000"/>
        </w:rPr>
        <w:t xml:space="preserve">Una vez precisado lo anterior, se procede a analizar el pronunciamiento realizado por </w:t>
      </w:r>
      <w:r w:rsidRPr="00651DC7">
        <w:rPr>
          <w:rFonts w:ascii="Palatino Linotype" w:eastAsia="Palatino Linotype" w:hAnsi="Palatino Linotype" w:cs="Palatino Linotype"/>
          <w:b/>
          <w:color w:val="000000"/>
        </w:rPr>
        <w:t xml:space="preserve">EL SUJETO OBLIGADO </w:t>
      </w:r>
      <w:r w:rsidRPr="00651DC7">
        <w:rPr>
          <w:rFonts w:ascii="Palatino Linotype" w:eastAsia="Palatino Linotype" w:hAnsi="Palatino Linotype" w:cs="Palatino Linotype"/>
          <w:color w:val="000000"/>
        </w:rPr>
        <w:t xml:space="preserve">en respuesta para determinar si es suficiente para tener por colmado el derecho de acceso a la información de </w:t>
      </w:r>
      <w:r w:rsidRPr="00651DC7">
        <w:rPr>
          <w:rFonts w:ascii="Palatino Linotype" w:eastAsia="Palatino Linotype" w:hAnsi="Palatino Linotype" w:cs="Palatino Linotype"/>
          <w:b/>
          <w:color w:val="000000"/>
        </w:rPr>
        <w:t>LA</w:t>
      </w:r>
      <w:r w:rsidRPr="00651DC7">
        <w:rPr>
          <w:rFonts w:ascii="Palatino Linotype" w:eastAsia="Palatino Linotype" w:hAnsi="Palatino Linotype" w:cs="Palatino Linotype"/>
          <w:color w:val="000000"/>
        </w:rPr>
        <w:t xml:space="preserve"> </w:t>
      </w:r>
      <w:r w:rsidRPr="00651DC7">
        <w:rPr>
          <w:rFonts w:ascii="Palatino Linotype" w:eastAsia="Palatino Linotype" w:hAnsi="Palatino Linotype" w:cs="Palatino Linotype"/>
          <w:b/>
          <w:color w:val="000000"/>
        </w:rPr>
        <w:t>PARTE RECURRENTE.</w:t>
      </w:r>
    </w:p>
    <w:p w14:paraId="263ACFD2" w14:textId="77777777" w:rsidR="000E405F" w:rsidRPr="00651DC7" w:rsidRDefault="000E405F">
      <w:pPr>
        <w:spacing w:line="360" w:lineRule="auto"/>
        <w:jc w:val="both"/>
        <w:rPr>
          <w:rFonts w:ascii="Palatino Linotype" w:eastAsia="Palatino Linotype" w:hAnsi="Palatino Linotype" w:cs="Palatino Linotype"/>
        </w:rPr>
      </w:pPr>
    </w:p>
    <w:p w14:paraId="39437997"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 xml:space="preserve">Recordando que en la especie </w:t>
      </w:r>
      <w:r w:rsidRPr="00651DC7">
        <w:rPr>
          <w:rFonts w:ascii="Palatino Linotype" w:eastAsia="Palatino Linotype" w:hAnsi="Palatino Linotype" w:cs="Palatino Linotype"/>
          <w:b/>
          <w:color w:val="000000"/>
        </w:rPr>
        <w:t xml:space="preserve">EL SUJETO OBLIGADO </w:t>
      </w:r>
      <w:r w:rsidRPr="00651DC7">
        <w:rPr>
          <w:rFonts w:ascii="Palatino Linotype" w:eastAsia="Palatino Linotype" w:hAnsi="Palatino Linotype" w:cs="Palatino Linotype"/>
          <w:color w:val="000000"/>
        </w:rPr>
        <w:t>manifestó que la información requerida se encuentra en los estados comparativos que obran en el link siguiente:</w:t>
      </w:r>
    </w:p>
    <w:p w14:paraId="6C9C6893" w14:textId="77777777" w:rsidR="000E405F" w:rsidRPr="00651DC7" w:rsidRDefault="00C47BCC">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651DC7">
        <w:rPr>
          <w:rFonts w:ascii="Palatino Linotype" w:eastAsia="Palatino Linotype" w:hAnsi="Palatino Linotype" w:cs="Palatino Linotype"/>
          <w:noProof/>
          <w:color w:val="000000"/>
        </w:rPr>
        <w:drawing>
          <wp:inline distT="0" distB="0" distL="0" distR="0" wp14:anchorId="7904F1B5" wp14:editId="4DB9AA68">
            <wp:extent cx="5614268" cy="886852"/>
            <wp:effectExtent l="0" t="0" r="0" b="0"/>
            <wp:docPr id="14773149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4268" cy="886852"/>
                    </a:xfrm>
                    <a:prstGeom prst="rect">
                      <a:avLst/>
                    </a:prstGeom>
                    <a:ln/>
                  </pic:spPr>
                </pic:pic>
              </a:graphicData>
            </a:graphic>
          </wp:inline>
        </w:drawing>
      </w:r>
    </w:p>
    <w:p w14:paraId="4764BD9F" w14:textId="77777777" w:rsidR="000E405F" w:rsidRPr="00651DC7" w:rsidRDefault="00C47BCC">
      <w:r w:rsidRPr="00651DC7">
        <w:t xml:space="preserve"> </w:t>
      </w:r>
    </w:p>
    <w:p w14:paraId="7ECB5E17"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Por lo anterior se procedió a revisar el contenido de la liga electrónica ya señalada, encontrando la siguiente información:</w:t>
      </w:r>
    </w:p>
    <w:p w14:paraId="5AE596AF" w14:textId="77777777" w:rsidR="000E405F" w:rsidRPr="00651DC7" w:rsidRDefault="00C47BCC">
      <w:pPr>
        <w:jc w:val="center"/>
        <w:rPr>
          <w:color w:val="000000"/>
        </w:rPr>
      </w:pPr>
      <w:r w:rsidRPr="00651DC7">
        <w:rPr>
          <w:noProof/>
          <w:color w:val="000000"/>
        </w:rPr>
        <w:drawing>
          <wp:inline distT="0" distB="0" distL="0" distR="0" wp14:anchorId="66CB4925" wp14:editId="1FC209D4">
            <wp:extent cx="4015770" cy="3149066"/>
            <wp:effectExtent l="0" t="0" r="0" b="0"/>
            <wp:docPr id="14773149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015770" cy="3149066"/>
                    </a:xfrm>
                    <a:prstGeom prst="rect">
                      <a:avLst/>
                    </a:prstGeom>
                    <a:ln/>
                  </pic:spPr>
                </pic:pic>
              </a:graphicData>
            </a:graphic>
          </wp:inline>
        </w:drawing>
      </w:r>
    </w:p>
    <w:p w14:paraId="34D29B01" w14:textId="77777777" w:rsidR="000E405F" w:rsidRPr="00651DC7" w:rsidRDefault="000E405F">
      <w:pPr>
        <w:rPr>
          <w:color w:val="000000"/>
        </w:rPr>
      </w:pPr>
    </w:p>
    <w:p w14:paraId="0E9150A1" w14:textId="77777777" w:rsidR="000E405F" w:rsidRPr="00651DC7" w:rsidRDefault="000E405F">
      <w:pPr>
        <w:rPr>
          <w:color w:val="000000"/>
        </w:rPr>
      </w:pPr>
    </w:p>
    <w:p w14:paraId="77CEED1A" w14:textId="77777777" w:rsidR="000E405F" w:rsidRPr="00651DC7" w:rsidRDefault="000E405F">
      <w:pPr>
        <w:rPr>
          <w:color w:val="000000"/>
        </w:rPr>
      </w:pPr>
    </w:p>
    <w:p w14:paraId="586AFCA0"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De lo anterior se observa que la liga electrónica señalada en la respuesta del Sujeto Obligado, si bien remite a la página del Ayuntamiento de Temamatla, cierto es también, que en la página de referencia se observa diversa información, lo que implica una búsqueda en todo el portal para localizar la información solicitada, no obstante a ello, no se tiene la certeza que contenga la información requerida por el </w:t>
      </w:r>
      <w:r w:rsidRPr="00651DC7">
        <w:rPr>
          <w:rFonts w:ascii="Palatino Linotype" w:eastAsia="Palatino Linotype" w:hAnsi="Palatino Linotype" w:cs="Palatino Linotype"/>
          <w:b/>
          <w:color w:val="000000"/>
        </w:rPr>
        <w:t>Recurrente</w:t>
      </w:r>
      <w:r w:rsidRPr="00651DC7">
        <w:rPr>
          <w:rFonts w:ascii="Palatino Linotype" w:eastAsia="Palatino Linotype" w:hAnsi="Palatino Linotype" w:cs="Palatino Linotype"/>
          <w:color w:val="000000"/>
        </w:rPr>
        <w:t>, sin contar que en dicha página no se visualiza un apartado específico de “</w:t>
      </w:r>
      <w:r w:rsidRPr="00651DC7">
        <w:rPr>
          <w:rFonts w:ascii="Palatino Linotype" w:eastAsia="Palatino Linotype" w:hAnsi="Palatino Linotype" w:cs="Palatino Linotype"/>
          <w:i/>
          <w:color w:val="000000"/>
        </w:rPr>
        <w:t>estados comparativos de egresos</w:t>
      </w:r>
      <w:r w:rsidRPr="00651DC7">
        <w:rPr>
          <w:rFonts w:ascii="Palatino Linotype" w:eastAsia="Palatino Linotype" w:hAnsi="Palatino Linotype" w:cs="Palatino Linotype"/>
          <w:color w:val="000000"/>
        </w:rPr>
        <w:t xml:space="preserve">”. </w:t>
      </w:r>
    </w:p>
    <w:p w14:paraId="1B6A5B79" w14:textId="77777777" w:rsidR="000E405F" w:rsidRPr="00651DC7" w:rsidRDefault="000E405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43E029"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222222"/>
        </w:rPr>
      </w:pPr>
      <w:r w:rsidRPr="00651DC7">
        <w:rPr>
          <w:rFonts w:ascii="Palatino Linotype" w:eastAsia="Palatino Linotype" w:hAnsi="Palatino Linotype" w:cs="Palatino Linotype"/>
          <w:color w:val="000000"/>
        </w:rPr>
        <w:t xml:space="preserve">Ahora bien, se considera conveniente señalar lo plasmado en el artículo 161 de la Ley de Transparencia y Acceso a la Información Pública del Estado de México y Municipios, el cual dispone que cuando la información pública requerida por el solicitante ya esté a disposición para el público en formatos electrónicos disponibles en internet se deberá hacer del conocimiento del particular por el medio requerido la fuente, el lugar y la forma en que se puede consultar la información, dentro de un plazo no mayor a cinco días: </w:t>
      </w:r>
    </w:p>
    <w:p w14:paraId="78FB6F5D" w14:textId="77777777" w:rsidR="000E405F" w:rsidRPr="00651DC7" w:rsidRDefault="000E405F">
      <w:pPr>
        <w:ind w:left="720"/>
        <w:rPr>
          <w:i/>
        </w:rPr>
      </w:pPr>
    </w:p>
    <w:p w14:paraId="60EC4742" w14:textId="77777777" w:rsidR="000E405F" w:rsidRPr="00651DC7" w:rsidRDefault="00C47BCC">
      <w:pPr>
        <w:pStyle w:val="Ttulo"/>
        <w:spacing w:line="276" w:lineRule="auto"/>
        <w:ind w:firstLine="567"/>
      </w:pPr>
      <w:r w:rsidRPr="00651DC7">
        <w:t>“</w:t>
      </w:r>
      <w:r w:rsidRPr="00651DC7">
        <w:rPr>
          <w:b/>
        </w:rPr>
        <w:t>Artículo 161.</w:t>
      </w:r>
      <w:r w:rsidRPr="00651DC7">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651DC7">
        <w:rPr>
          <w:b/>
        </w:rPr>
        <w:t>la forma</w:t>
      </w:r>
      <w:r w:rsidRPr="00651DC7">
        <w:t xml:space="preserve"> en que puede consultar, reproducir o adquirir dicha información en un plazo </w:t>
      </w:r>
      <w:r w:rsidRPr="00651DC7">
        <w:lastRenderedPageBreak/>
        <w:t>no mayor a cinco días hábiles.</w:t>
      </w:r>
      <w:r w:rsidRPr="00651DC7">
        <w:rPr>
          <w:b/>
        </w:rPr>
        <w:t xml:space="preserve"> La fuente deberá ser precisa y </w:t>
      </w:r>
      <w:r w:rsidRPr="00651DC7">
        <w:rPr>
          <w:b/>
          <w:color w:val="222222"/>
        </w:rPr>
        <w:t>concreta</w:t>
      </w:r>
      <w:r w:rsidRPr="00651DC7">
        <w:rPr>
          <w:b/>
        </w:rPr>
        <w:t xml:space="preserve"> y no debe implicar que el solicitante realice una búsqueda en toda la información que se encuentre disponible.</w:t>
      </w:r>
      <w:r w:rsidRPr="00651DC7">
        <w:t>”</w:t>
      </w:r>
    </w:p>
    <w:p w14:paraId="63768E35" w14:textId="77777777" w:rsidR="000E405F" w:rsidRPr="00651DC7" w:rsidRDefault="000E405F">
      <w:pPr>
        <w:spacing w:line="360" w:lineRule="auto"/>
        <w:rPr>
          <w:rFonts w:ascii="Palatino Linotype" w:eastAsia="Palatino Linotype" w:hAnsi="Palatino Linotype" w:cs="Palatino Linotype"/>
        </w:rPr>
      </w:pPr>
    </w:p>
    <w:p w14:paraId="563A8249" w14:textId="77777777" w:rsidR="000E405F" w:rsidRPr="00651DC7" w:rsidRDefault="00C47BC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Por lo anterior, este Órgano Garante advierte que la información que pretendía entregar </w:t>
      </w:r>
      <w:r w:rsidRPr="00651DC7">
        <w:rPr>
          <w:rFonts w:ascii="Palatino Linotype" w:eastAsia="Palatino Linotype" w:hAnsi="Palatino Linotype" w:cs="Palatino Linotype"/>
          <w:b/>
          <w:color w:val="000000"/>
        </w:rPr>
        <w:t>EL</w:t>
      </w:r>
      <w:r w:rsidRPr="00651DC7">
        <w:rPr>
          <w:rFonts w:ascii="Palatino Linotype" w:eastAsia="Palatino Linotype" w:hAnsi="Palatino Linotype" w:cs="Palatino Linotype"/>
          <w:color w:val="000000"/>
        </w:rPr>
        <w:t xml:space="preserve"> </w:t>
      </w:r>
      <w:r w:rsidRPr="00651DC7">
        <w:rPr>
          <w:rFonts w:ascii="Palatino Linotype" w:eastAsia="Palatino Linotype" w:hAnsi="Palatino Linotype" w:cs="Palatino Linotype"/>
          <w:b/>
          <w:color w:val="000000"/>
        </w:rPr>
        <w:t xml:space="preserve">SUJETO OBLIGADO </w:t>
      </w:r>
      <w:r w:rsidRPr="00651DC7">
        <w:rPr>
          <w:rFonts w:ascii="Palatino Linotype" w:eastAsia="Palatino Linotype" w:hAnsi="Palatino Linotype" w:cs="Palatino Linotype"/>
          <w:color w:val="000000"/>
        </w:rPr>
        <w:t xml:space="preserve">mediante respuesta, no se encuentra acorde a lo que establece la Ley de la materia, pues en primer término no se realizó dentro de los primero cinco días; pues la solicitud fue recibida el </w:t>
      </w:r>
      <w:r w:rsidRPr="00651DC7">
        <w:rPr>
          <w:rFonts w:ascii="Palatino Linotype" w:eastAsia="Palatino Linotype" w:hAnsi="Palatino Linotype" w:cs="Palatino Linotype"/>
          <w:color w:val="000000"/>
          <w:u w:val="single"/>
        </w:rPr>
        <w:t>25 de septiembre de 2024</w:t>
      </w:r>
      <w:r w:rsidRPr="00651DC7">
        <w:rPr>
          <w:rFonts w:ascii="Palatino Linotype" w:eastAsia="Palatino Linotype" w:hAnsi="Palatino Linotype" w:cs="Palatino Linotype"/>
          <w:color w:val="000000"/>
        </w:rPr>
        <w:t xml:space="preserve"> y la respuesta fue proporcionada el </w:t>
      </w:r>
      <w:r w:rsidRPr="00651DC7">
        <w:rPr>
          <w:rFonts w:ascii="Palatino Linotype" w:eastAsia="Palatino Linotype" w:hAnsi="Palatino Linotype" w:cs="Palatino Linotype"/>
          <w:color w:val="000000"/>
          <w:u w:val="single"/>
        </w:rPr>
        <w:t>17 de octubre de dos mil 2024</w:t>
      </w:r>
      <w:r w:rsidRPr="00651DC7">
        <w:rPr>
          <w:rFonts w:ascii="Palatino Linotype" w:eastAsia="Palatino Linotype" w:hAnsi="Palatino Linotype" w:cs="Palatino Linotype"/>
          <w:color w:val="000000"/>
        </w:rPr>
        <w:t xml:space="preserve">; es decir al décimo quinto día hábil, cuando la solicitud debió ser atendida a más tardar el </w:t>
      </w:r>
      <w:r w:rsidRPr="00651DC7">
        <w:rPr>
          <w:rFonts w:ascii="Palatino Linotype" w:eastAsia="Palatino Linotype" w:hAnsi="Palatino Linotype" w:cs="Palatino Linotype"/>
          <w:color w:val="000000"/>
          <w:u w:val="single"/>
        </w:rPr>
        <w:t>03 de octubre del presente año</w:t>
      </w:r>
      <w:r w:rsidRPr="00651DC7">
        <w:rPr>
          <w:rFonts w:ascii="Palatino Linotype" w:eastAsia="Palatino Linotype" w:hAnsi="Palatino Linotype" w:cs="Palatino Linotype"/>
          <w:color w:val="000000"/>
        </w:rPr>
        <w:t xml:space="preserve">. </w:t>
      </w:r>
    </w:p>
    <w:p w14:paraId="1DA50E1A" w14:textId="77777777" w:rsidR="000E405F" w:rsidRPr="00651DC7" w:rsidRDefault="000E405F">
      <w:pPr>
        <w:spacing w:line="360" w:lineRule="auto"/>
        <w:ind w:right="49"/>
        <w:rPr>
          <w:rFonts w:ascii="Palatino Linotype" w:eastAsia="Palatino Linotype" w:hAnsi="Palatino Linotype" w:cs="Palatino Linotype"/>
        </w:rPr>
      </w:pPr>
    </w:p>
    <w:p w14:paraId="601ABE48" w14:textId="77777777" w:rsidR="000E405F" w:rsidRPr="00651DC7" w:rsidRDefault="00C47BC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Aunado a lo anterior, se destaca que el link electrónico proporcionados en respuesta se encuentran en formato cerrado; es decir, implica que la particular transcriba el mismo, acto que se infiere fue realizado por el particular, al señalar que no se encuentra lo peticionado y que la información es global y generalizada. </w:t>
      </w:r>
    </w:p>
    <w:p w14:paraId="7D02AAE4"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6A62EBC1" w14:textId="77777777" w:rsidR="000E405F" w:rsidRPr="00651DC7" w:rsidRDefault="00C47BCC">
      <w:pPr>
        <w:numPr>
          <w:ilvl w:val="0"/>
          <w:numId w:val="1"/>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No obstante a ello, se estima que la orientación no cumple con lo dispuesto en el artículo 161 de la Ley de Transparencia y Acceso a la Información Pública del Estado de México y Municipios</w:t>
      </w:r>
      <w:r w:rsidRPr="00651DC7">
        <w:rPr>
          <w:rFonts w:ascii="Palatino Linotype" w:eastAsia="Palatino Linotype" w:hAnsi="Palatino Linotype" w:cs="Palatino Linotype"/>
          <w:i/>
          <w:color w:val="000000"/>
        </w:rPr>
        <w:t xml:space="preserve">, </w:t>
      </w:r>
      <w:r w:rsidRPr="00651DC7">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como el procedimiento a seguir por los Sujetos Obligados para informar a los solicitantes sobre </w:t>
      </w:r>
      <w:r w:rsidRPr="00651DC7">
        <w:rPr>
          <w:rFonts w:ascii="Palatino Linotype" w:eastAsia="Palatino Linotype" w:hAnsi="Palatino Linotype" w:cs="Palatino Linotype"/>
          <w:color w:val="000000"/>
        </w:rPr>
        <w:lastRenderedPageBreak/>
        <w:t xml:space="preserve">información que se encuentre disponible en libros, compendios, formatos electrónicos, entre otros, haciéndole saber al solicitante como podrá consultar, reproducir o adquirir la información, en un plazo no mayor </w:t>
      </w:r>
      <w:r w:rsidRPr="00651DC7">
        <w:rPr>
          <w:rFonts w:ascii="Palatino Linotype" w:eastAsia="Palatino Linotype" w:hAnsi="Palatino Linotype" w:cs="Palatino Linotype"/>
          <w:b/>
          <w:color w:val="000000"/>
          <w:u w:val="single"/>
        </w:rPr>
        <w:t>a cinco días hábiles</w:t>
      </w:r>
      <w:r w:rsidRPr="00651DC7">
        <w:rPr>
          <w:rFonts w:ascii="Palatino Linotype" w:eastAsia="Palatino Linotype" w:hAnsi="Palatino Linotype" w:cs="Palatino Linotype"/>
          <w:color w:val="000000"/>
        </w:rPr>
        <w:t>, comprendiendo:</w:t>
      </w:r>
    </w:p>
    <w:p w14:paraId="6FFB3FED" w14:textId="77777777" w:rsidR="000E405F" w:rsidRPr="00651DC7" w:rsidRDefault="00C47BCC">
      <w:pPr>
        <w:spacing w:before="120" w:after="120" w:line="360" w:lineRule="auto"/>
        <w:ind w:left="284" w:right="51"/>
        <w:rPr>
          <w:rFonts w:ascii="Palatino Linotype" w:eastAsia="Palatino Linotype" w:hAnsi="Palatino Linotype" w:cs="Palatino Linotype"/>
        </w:rPr>
      </w:pPr>
      <w:r w:rsidRPr="00651DC7">
        <w:rPr>
          <w:rFonts w:ascii="Palatino Linotype" w:eastAsia="Palatino Linotype" w:hAnsi="Palatino Linotype" w:cs="Palatino Linotype"/>
        </w:rPr>
        <w:t>a) La fuente</w:t>
      </w:r>
    </w:p>
    <w:p w14:paraId="14D047C2" w14:textId="77777777" w:rsidR="000E405F" w:rsidRPr="00651DC7" w:rsidRDefault="00C47BCC">
      <w:pPr>
        <w:spacing w:before="120" w:after="120" w:line="360" w:lineRule="auto"/>
        <w:ind w:left="284" w:right="51"/>
        <w:rPr>
          <w:rFonts w:ascii="Palatino Linotype" w:eastAsia="Palatino Linotype" w:hAnsi="Palatino Linotype" w:cs="Palatino Linotype"/>
        </w:rPr>
      </w:pPr>
      <w:r w:rsidRPr="00651DC7">
        <w:rPr>
          <w:rFonts w:ascii="Palatino Linotype" w:eastAsia="Palatino Linotype" w:hAnsi="Palatino Linotype" w:cs="Palatino Linotype"/>
        </w:rPr>
        <w:t>b) El lugar y</w:t>
      </w:r>
    </w:p>
    <w:p w14:paraId="155D9D3E" w14:textId="77777777" w:rsidR="000E405F" w:rsidRPr="00651DC7" w:rsidRDefault="00C47BCC">
      <w:pPr>
        <w:spacing w:before="120" w:after="120" w:line="360" w:lineRule="auto"/>
        <w:ind w:left="284" w:right="51"/>
        <w:rPr>
          <w:rFonts w:ascii="Palatino Linotype" w:eastAsia="Palatino Linotype" w:hAnsi="Palatino Linotype" w:cs="Palatino Linotype"/>
        </w:rPr>
      </w:pPr>
      <w:r w:rsidRPr="00651DC7">
        <w:rPr>
          <w:rFonts w:ascii="Palatino Linotype" w:eastAsia="Palatino Linotype" w:hAnsi="Palatino Linotype" w:cs="Palatino Linotype"/>
        </w:rPr>
        <w:t>c) La forma</w:t>
      </w:r>
    </w:p>
    <w:p w14:paraId="43661D1A" w14:textId="77777777" w:rsidR="000E405F" w:rsidRPr="00651DC7" w:rsidRDefault="00C47BCC">
      <w:pPr>
        <w:spacing w:before="240" w:after="240" w:line="360" w:lineRule="auto"/>
        <w:ind w:right="49"/>
        <w:rPr>
          <w:rFonts w:ascii="Palatino Linotype" w:eastAsia="Palatino Linotype" w:hAnsi="Palatino Linotype" w:cs="Palatino Linotype"/>
        </w:rPr>
      </w:pPr>
      <w:r w:rsidRPr="00651DC7">
        <w:rPr>
          <w:rFonts w:ascii="Palatino Linotype" w:eastAsia="Palatino Linotype" w:hAnsi="Palatino Linotype" w:cs="Palatino Linotype"/>
        </w:rPr>
        <w:t>Asimismo, se establece que la fuente de la información deberá ser:</w:t>
      </w:r>
    </w:p>
    <w:p w14:paraId="3F775685" w14:textId="77777777" w:rsidR="000E405F" w:rsidRPr="00651DC7" w:rsidRDefault="00C47BCC">
      <w:pPr>
        <w:spacing w:before="120" w:after="120" w:line="360" w:lineRule="auto"/>
        <w:ind w:left="284" w:right="51"/>
        <w:rPr>
          <w:rFonts w:ascii="Palatino Linotype" w:eastAsia="Palatino Linotype" w:hAnsi="Palatino Linotype" w:cs="Palatino Linotype"/>
        </w:rPr>
      </w:pPr>
      <w:r w:rsidRPr="00651DC7">
        <w:rPr>
          <w:rFonts w:ascii="Palatino Linotype" w:eastAsia="Palatino Linotype" w:hAnsi="Palatino Linotype" w:cs="Palatino Linotype"/>
        </w:rPr>
        <w:t>a) Precisa</w:t>
      </w:r>
    </w:p>
    <w:p w14:paraId="603F119E" w14:textId="77777777" w:rsidR="000E405F" w:rsidRPr="00651DC7" w:rsidRDefault="00C47BCC">
      <w:pPr>
        <w:spacing w:before="120" w:after="120" w:line="360" w:lineRule="auto"/>
        <w:ind w:left="284" w:right="51"/>
        <w:rPr>
          <w:rFonts w:ascii="Palatino Linotype" w:eastAsia="Palatino Linotype" w:hAnsi="Palatino Linotype" w:cs="Palatino Linotype"/>
        </w:rPr>
      </w:pPr>
      <w:r w:rsidRPr="00651DC7">
        <w:rPr>
          <w:rFonts w:ascii="Palatino Linotype" w:eastAsia="Palatino Linotype" w:hAnsi="Palatino Linotype" w:cs="Palatino Linotype"/>
        </w:rPr>
        <w:t>b) Concreta</w:t>
      </w:r>
    </w:p>
    <w:p w14:paraId="6E93CA6A" w14:textId="77777777" w:rsidR="000E405F" w:rsidRPr="00651DC7" w:rsidRDefault="00C47BCC">
      <w:pPr>
        <w:spacing w:line="360" w:lineRule="auto"/>
        <w:ind w:left="284" w:right="51"/>
        <w:rPr>
          <w:rFonts w:ascii="Palatino Linotype" w:eastAsia="Palatino Linotype" w:hAnsi="Palatino Linotype" w:cs="Palatino Linotype"/>
        </w:rPr>
      </w:pPr>
      <w:r w:rsidRPr="00651DC7">
        <w:rPr>
          <w:rFonts w:ascii="Palatino Linotype" w:eastAsia="Palatino Linotype" w:hAnsi="Palatino Linotype" w:cs="Palatino Linotype"/>
        </w:rPr>
        <w:t>c) Y no debe implicar que el solicitante realice una búsqueda en toda la información que se encuentre disponible.</w:t>
      </w:r>
    </w:p>
    <w:p w14:paraId="36C9338D" w14:textId="77777777" w:rsidR="000E405F" w:rsidRPr="00651DC7" w:rsidRDefault="000E405F">
      <w:pPr>
        <w:spacing w:line="360" w:lineRule="auto"/>
        <w:ind w:left="284" w:right="51"/>
        <w:rPr>
          <w:rFonts w:ascii="Palatino Linotype" w:eastAsia="Palatino Linotype" w:hAnsi="Palatino Linotype" w:cs="Palatino Linotype"/>
        </w:rPr>
      </w:pPr>
    </w:p>
    <w:p w14:paraId="5FCB898E" w14:textId="77777777" w:rsidR="000E405F" w:rsidRPr="00651DC7" w:rsidRDefault="00C47BCC">
      <w:pPr>
        <w:numPr>
          <w:ilvl w:val="0"/>
          <w:numId w:val="1"/>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Imperativos legales que establecen el procedimiento a seguir por los Sujetos Obligados, para que pueda tomarse como válida su orientación sobre la forma en que puede consultar la información requerida. Lo cual no aconteció en el presente asunto, toda vez que, si bien el Sujeto Obligado proporcionó un link, también lo es que no señaló al particular el procedimiento a seguir para consultar la información peticionada.</w:t>
      </w:r>
    </w:p>
    <w:p w14:paraId="1E68E48E" w14:textId="77777777" w:rsidR="000E405F" w:rsidRPr="00651DC7" w:rsidRDefault="000E405F">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3914D881" w14:textId="77777777" w:rsidR="000E405F" w:rsidRPr="00651DC7" w:rsidRDefault="00C47BCC">
      <w:pPr>
        <w:numPr>
          <w:ilvl w:val="0"/>
          <w:numId w:val="1"/>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6FC29A30" w14:textId="77777777" w:rsidR="000E405F" w:rsidRPr="00651DC7" w:rsidRDefault="000E405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7A20EAA" w14:textId="77777777" w:rsidR="000E405F" w:rsidRPr="00651DC7" w:rsidRDefault="00C47BCC">
      <w:pPr>
        <w:numPr>
          <w:ilvl w:val="0"/>
          <w:numId w:val="1"/>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F194089"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46CDAB20" w14:textId="77777777" w:rsidR="000E405F" w:rsidRPr="00651DC7" w:rsidRDefault="00C47BCC">
      <w:pPr>
        <w:numPr>
          <w:ilvl w:val="0"/>
          <w:numId w:val="1"/>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i/>
          <w:color w:val="000000"/>
        </w:rPr>
      </w:pPr>
      <w:r w:rsidRPr="00651DC7">
        <w:rPr>
          <w:rFonts w:ascii="Palatino Linotype" w:eastAsia="Palatino Linotype" w:hAnsi="Palatino Linotype" w:cs="Palatino Linotype"/>
          <w:color w:val="000000"/>
        </w:rPr>
        <w:t>Derivado de lo anterior, se considera necesario precisar que datos abiertos, conforme a la Carta Internacional de Datos Abiertos</w:t>
      </w:r>
      <w:r w:rsidRPr="00651DC7">
        <w:rPr>
          <w:rFonts w:ascii="Palatino Linotype" w:eastAsia="Palatino Linotype" w:hAnsi="Palatino Linotype" w:cs="Palatino Linotype"/>
          <w:color w:val="000000"/>
          <w:vertAlign w:val="superscript"/>
        </w:rPr>
        <w:footnoteReference w:id="2"/>
      </w:r>
      <w:r w:rsidRPr="00651DC7">
        <w:rPr>
          <w:rFonts w:ascii="Palatino Linotype" w:eastAsia="Palatino Linotype" w:hAnsi="Palatino Linotype" w:cs="Palatino Linotype"/>
          <w:color w:val="000000"/>
        </w:rPr>
        <w:t xml:space="preserve"> </w:t>
      </w:r>
      <w:r w:rsidRPr="00651DC7">
        <w:rPr>
          <w:rFonts w:ascii="Palatino Linotype" w:eastAsia="Palatino Linotype" w:hAnsi="Palatino Linotype" w:cs="Palatino Linotype"/>
          <w:i/>
          <w:color w:val="000000"/>
        </w:rPr>
        <w:t xml:space="preserve">son datos digitales que son puestos a disposición con las características técnicas y jurídicas necesarias para que </w:t>
      </w:r>
      <w:r w:rsidRPr="00651DC7">
        <w:rPr>
          <w:rFonts w:ascii="Palatino Linotype" w:eastAsia="Palatino Linotype" w:hAnsi="Palatino Linotype" w:cs="Palatino Linotype"/>
          <w:b/>
          <w:i/>
          <w:color w:val="000000"/>
        </w:rPr>
        <w:t xml:space="preserve">puedan ser </w:t>
      </w:r>
      <w:r w:rsidRPr="00651DC7">
        <w:rPr>
          <w:rFonts w:ascii="Palatino Linotype" w:eastAsia="Palatino Linotype" w:hAnsi="Palatino Linotype" w:cs="Palatino Linotype"/>
          <w:b/>
          <w:i/>
          <w:color w:val="000000"/>
          <w:u w:val="single"/>
        </w:rPr>
        <w:t>usados, reutilizados y redistribuidos</w:t>
      </w:r>
      <w:r w:rsidRPr="00651DC7">
        <w:rPr>
          <w:rFonts w:ascii="Palatino Linotype" w:eastAsia="Palatino Linotype" w:hAnsi="Palatino Linotype" w:cs="Palatino Linotype"/>
          <w:b/>
          <w:i/>
          <w:color w:val="000000"/>
        </w:rPr>
        <w:t xml:space="preserve"> libremente por cualquier persona, en cualquier momento y en cualquier lugar.</w:t>
      </w:r>
    </w:p>
    <w:p w14:paraId="5B2ABEEB" w14:textId="77777777" w:rsidR="000E405F" w:rsidRPr="00651DC7" w:rsidRDefault="000E405F">
      <w:pPr>
        <w:spacing w:line="360" w:lineRule="auto"/>
        <w:jc w:val="both"/>
        <w:rPr>
          <w:rFonts w:ascii="Palatino Linotype" w:eastAsia="Palatino Linotype" w:hAnsi="Palatino Linotype" w:cs="Palatino Linotype"/>
        </w:rPr>
      </w:pPr>
    </w:p>
    <w:p w14:paraId="11EB247A"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4E30D67" w14:textId="77777777" w:rsidR="000E405F" w:rsidRPr="00651DC7" w:rsidRDefault="00C47BCC">
      <w:pPr>
        <w:spacing w:line="276" w:lineRule="auto"/>
        <w:jc w:val="both"/>
        <w:rPr>
          <w:rFonts w:ascii="Palatino Linotype" w:eastAsia="Palatino Linotype" w:hAnsi="Palatino Linotype" w:cs="Palatino Linotype"/>
        </w:rPr>
      </w:pPr>
      <w:r w:rsidRPr="00651DC7">
        <w:rPr>
          <w:rFonts w:ascii="Palatino Linotype" w:eastAsia="Palatino Linotype" w:hAnsi="Palatino Linotype" w:cs="Palatino Linotype"/>
        </w:rPr>
        <w:t> </w:t>
      </w:r>
    </w:p>
    <w:p w14:paraId="1585DAEC" w14:textId="77777777" w:rsidR="000E405F" w:rsidRPr="00651DC7" w:rsidRDefault="00C47BCC">
      <w:pPr>
        <w:spacing w:line="276" w:lineRule="auto"/>
        <w:ind w:left="72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         </w:t>
      </w:r>
      <w:r w:rsidRPr="00651DC7">
        <w:rPr>
          <w:rFonts w:ascii="Palatino Linotype" w:eastAsia="Palatino Linotype" w:hAnsi="Palatino Linotype" w:cs="Palatino Linotype"/>
          <w:b/>
        </w:rPr>
        <w:t xml:space="preserve">Dato abierto: </w:t>
      </w:r>
      <w:r w:rsidRPr="00651DC7">
        <w:rPr>
          <w:rFonts w:ascii="Palatino Linotype" w:eastAsia="Palatino Linotype" w:hAnsi="Palatino Linotype" w:cs="Palatino Linotype"/>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B2C538B" w14:textId="77777777" w:rsidR="000E405F" w:rsidRPr="00651DC7" w:rsidRDefault="00C47BCC">
      <w:pPr>
        <w:spacing w:line="276" w:lineRule="auto"/>
        <w:ind w:left="720"/>
        <w:jc w:val="both"/>
        <w:rPr>
          <w:rFonts w:ascii="Palatino Linotype" w:eastAsia="Palatino Linotype" w:hAnsi="Palatino Linotype" w:cs="Palatino Linotype"/>
        </w:rPr>
      </w:pPr>
      <w:r w:rsidRPr="00651DC7">
        <w:rPr>
          <w:rFonts w:ascii="Palatino Linotype" w:eastAsia="Palatino Linotype" w:hAnsi="Palatino Linotype" w:cs="Palatino Linotype"/>
          <w:b/>
        </w:rPr>
        <w:t> </w:t>
      </w:r>
    </w:p>
    <w:p w14:paraId="7E8DE418" w14:textId="77777777" w:rsidR="000E405F" w:rsidRPr="00651DC7" w:rsidRDefault="00C47BCC">
      <w:pPr>
        <w:spacing w:line="276" w:lineRule="auto"/>
        <w:ind w:left="72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         </w:t>
      </w:r>
      <w:r w:rsidRPr="00651DC7">
        <w:rPr>
          <w:rFonts w:ascii="Palatino Linotype" w:eastAsia="Palatino Linotype" w:hAnsi="Palatino Linotype" w:cs="Palatino Linotype"/>
          <w:b/>
        </w:rPr>
        <w:t xml:space="preserve">Formato accesible: </w:t>
      </w:r>
      <w:r w:rsidRPr="00651DC7">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4745C70" w14:textId="77777777" w:rsidR="000E405F" w:rsidRPr="00651DC7" w:rsidRDefault="000E405F">
      <w:pPr>
        <w:spacing w:line="360" w:lineRule="auto"/>
        <w:jc w:val="both"/>
        <w:rPr>
          <w:rFonts w:ascii="Palatino Linotype" w:eastAsia="Palatino Linotype" w:hAnsi="Palatino Linotype" w:cs="Palatino Linotype"/>
        </w:rPr>
      </w:pPr>
    </w:p>
    <w:p w14:paraId="1F0B07EF"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Es así que, los datos abiertos cumplen con la finalidad de poder ser utilizados, </w:t>
      </w:r>
      <w:r w:rsidRPr="00651DC7">
        <w:rPr>
          <w:rFonts w:ascii="Palatino Linotype" w:eastAsia="Palatino Linotype" w:hAnsi="Palatino Linotype" w:cs="Palatino Linotype"/>
          <w:b/>
          <w:color w:val="000000"/>
          <w:u w:val="single"/>
        </w:rPr>
        <w:t xml:space="preserve">reutilizados </w:t>
      </w:r>
      <w:r w:rsidRPr="00651DC7">
        <w:rPr>
          <w:rFonts w:ascii="Palatino Linotype" w:eastAsia="Palatino Linotype" w:hAnsi="Palatino Linotype" w:cs="Palatino Linotype"/>
          <w:color w:val="000000"/>
        </w:rPr>
        <w:t xml:space="preserve">y redistribuidos; y que el formato de datos abiertos, </w:t>
      </w:r>
      <w:r w:rsidRPr="00651DC7">
        <w:rPr>
          <w:rFonts w:ascii="Palatino Linotype" w:eastAsia="Palatino Linotype" w:hAnsi="Palatino Linotype" w:cs="Palatino Linotype"/>
          <w:b/>
          <w:color w:val="000000"/>
        </w:rPr>
        <w:t>debe permitir la aplicación y reproducción</w:t>
      </w:r>
      <w:r w:rsidRPr="00651DC7">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651DC7">
        <w:rPr>
          <w:rFonts w:ascii="Palatino Linotype" w:eastAsia="Palatino Linotype" w:hAnsi="Palatino Linotype" w:cs="Palatino Linotype"/>
          <w:color w:val="000000"/>
        </w:rPr>
        <w:t>pdf</w:t>
      </w:r>
      <w:proofErr w:type="spellEnd"/>
      <w:r w:rsidRPr="00651DC7">
        <w:rPr>
          <w:rFonts w:ascii="Palatino Linotype" w:eastAsia="Palatino Linotype" w:hAnsi="Palatino Linotype" w:cs="Palatino Linotype"/>
          <w:color w:val="000000"/>
        </w:rPr>
        <w:t>, no permite seleccionar texto, copiarlo y pegarlo; por tanto, tampoco permite que la información pueda ser utilizada, reutilizada o redistribuida.</w:t>
      </w:r>
    </w:p>
    <w:p w14:paraId="053C2E19" w14:textId="77777777" w:rsidR="000E405F" w:rsidRPr="00651DC7" w:rsidRDefault="00C47B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lastRenderedPageBreak/>
        <w:t xml:space="preserve">Conforme a lo anterior, se solicita al </w:t>
      </w:r>
      <w:r w:rsidRPr="00651DC7">
        <w:rPr>
          <w:rFonts w:ascii="Palatino Linotype" w:eastAsia="Palatino Linotype" w:hAnsi="Palatino Linotype" w:cs="Palatino Linotype"/>
          <w:b/>
          <w:color w:val="000000"/>
        </w:rPr>
        <w:t xml:space="preserve">SUJETO OBLIGADO </w:t>
      </w:r>
      <w:r w:rsidRPr="00651DC7">
        <w:rPr>
          <w:rFonts w:ascii="Palatino Linotype" w:eastAsia="Palatino Linotype" w:hAnsi="Palatino Linotype" w:cs="Palatino Linotype"/>
          <w:color w:val="000000"/>
        </w:rPr>
        <w:t>que en subsecuentes ocasiones haga entrega en datos abiertos, es decir, en un formato que permita la accesibilidad y facilidad a los Particulares, para obtener la información contenida estas.</w:t>
      </w:r>
    </w:p>
    <w:p w14:paraId="70C1397D" w14:textId="77777777" w:rsidR="000E405F" w:rsidRPr="00651DC7" w:rsidRDefault="000E405F">
      <w:pPr>
        <w:pBdr>
          <w:top w:val="nil"/>
          <w:left w:val="nil"/>
          <w:bottom w:val="nil"/>
          <w:right w:val="nil"/>
          <w:between w:val="nil"/>
        </w:pBdr>
        <w:ind w:left="720"/>
        <w:rPr>
          <w:rFonts w:ascii="Palatino Linotype" w:eastAsia="Palatino Linotype" w:hAnsi="Palatino Linotype" w:cs="Palatino Linotype"/>
          <w:color w:val="000000"/>
        </w:rPr>
      </w:pPr>
    </w:p>
    <w:p w14:paraId="3FC76A65" w14:textId="77777777" w:rsidR="000E405F" w:rsidRPr="00651DC7" w:rsidRDefault="00C47BCC">
      <w:pPr>
        <w:numPr>
          <w:ilvl w:val="0"/>
          <w:numId w:val="1"/>
        </w:numPr>
        <w:pBdr>
          <w:top w:val="nil"/>
          <w:left w:val="nil"/>
          <w:bottom w:val="nil"/>
          <w:right w:val="nil"/>
          <w:between w:val="nil"/>
        </w:pBdr>
        <w:spacing w:line="360" w:lineRule="auto"/>
        <w:ind w:left="0" w:right="51" w:firstLine="0"/>
        <w:jc w:val="both"/>
      </w:pPr>
      <w:r w:rsidRPr="00651DC7">
        <w:rPr>
          <w:rFonts w:ascii="Palatino Linotype" w:eastAsia="Palatino Linotype" w:hAnsi="Palatino Linotype" w:cs="Palatino Linotype"/>
          <w:color w:val="000000"/>
        </w:rPr>
        <w:t xml:space="preserve">En tal virtud, toda vez que </w:t>
      </w:r>
      <w:r w:rsidRPr="00651DC7">
        <w:rPr>
          <w:rFonts w:ascii="Palatino Linotype" w:eastAsia="Palatino Linotype" w:hAnsi="Palatino Linotype" w:cs="Palatino Linotype"/>
          <w:b/>
          <w:color w:val="000000"/>
        </w:rPr>
        <w:t xml:space="preserve">EL SUJETO OBLIGADO </w:t>
      </w:r>
      <w:r w:rsidRPr="00651DC7">
        <w:rPr>
          <w:rFonts w:ascii="Palatino Linotype" w:eastAsia="Palatino Linotype" w:hAnsi="Palatino Linotype" w:cs="Palatino Linotype"/>
          <w:color w:val="000000"/>
        </w:rPr>
        <w:t>acreditó la existencia de la información materia de la presente solicitud, este Organismo Garante estima procedente ordenar, previa revisión del soporte documental, se haga entrega de ser procedente en versión pública el soporte documental en donde conste el monto mensual de gasto por concepto de papelería, durante la administración 2022-2024, así como cuál ha sido el proveedor o proveedores y desglosar por mes las pólizas de egresos por este concepto.</w:t>
      </w:r>
    </w:p>
    <w:p w14:paraId="60497370" w14:textId="77777777" w:rsidR="00780DB1" w:rsidRPr="00651DC7" w:rsidRDefault="00780DB1">
      <w:pPr>
        <w:pBdr>
          <w:top w:val="nil"/>
          <w:left w:val="nil"/>
          <w:bottom w:val="nil"/>
          <w:right w:val="nil"/>
          <w:between w:val="nil"/>
        </w:pBdr>
        <w:ind w:left="720"/>
        <w:rPr>
          <w:rFonts w:ascii="Century Gothic" w:eastAsia="Century Gothic" w:hAnsi="Century Gothic" w:cs="Century Gothic"/>
          <w:color w:val="000000"/>
        </w:rPr>
      </w:pPr>
    </w:p>
    <w:p w14:paraId="7CDE8C37" w14:textId="77777777" w:rsidR="00780DB1" w:rsidRPr="00651DC7" w:rsidRDefault="00780DB1" w:rsidP="00780DB1">
      <w:pPr>
        <w:pStyle w:val="Prrafodelista"/>
        <w:numPr>
          <w:ilvl w:val="0"/>
          <w:numId w:val="1"/>
        </w:numPr>
        <w:spacing w:line="360" w:lineRule="auto"/>
        <w:ind w:left="0" w:firstLine="0"/>
        <w:contextualSpacing w:val="0"/>
        <w:jc w:val="both"/>
        <w:rPr>
          <w:rFonts w:ascii="Palatino Linotype" w:eastAsia="MS Mincho" w:hAnsi="Palatino Linotype" w:cs="Arial"/>
        </w:rPr>
      </w:pPr>
      <w:r w:rsidRPr="00651DC7">
        <w:rPr>
          <w:rFonts w:ascii="Palatino Linotype" w:eastAsia="MS Mincho" w:hAnsi="Palatino Linotype" w:cs="Arial"/>
        </w:rPr>
        <w:t>En esa línea, se debe de referir que al momento de ingresar la solicitud de información solo habían transcurrido los meses de enero, febrero, marzo, abril, mayo, junio, julio, agosto y la primer quincena de septiembre, por lo cual los meses de octubre, noviembre y diciembre se deben de tomar como hechos futuros.</w:t>
      </w:r>
    </w:p>
    <w:p w14:paraId="00B615D7" w14:textId="77777777" w:rsidR="00780DB1" w:rsidRPr="00651DC7" w:rsidRDefault="00780DB1" w:rsidP="00780DB1">
      <w:pPr>
        <w:pStyle w:val="Prrafodelista"/>
        <w:rPr>
          <w:rFonts w:ascii="Palatino Linotype" w:eastAsia="MS Mincho" w:hAnsi="Palatino Linotype" w:cs="Arial"/>
        </w:rPr>
      </w:pPr>
    </w:p>
    <w:p w14:paraId="64709652" w14:textId="77777777" w:rsidR="00780DB1" w:rsidRPr="00651DC7" w:rsidRDefault="00780DB1" w:rsidP="00780DB1">
      <w:pPr>
        <w:pStyle w:val="Prrafodelista"/>
        <w:numPr>
          <w:ilvl w:val="0"/>
          <w:numId w:val="1"/>
        </w:numPr>
        <w:spacing w:line="360" w:lineRule="auto"/>
        <w:ind w:left="0" w:firstLine="0"/>
        <w:contextualSpacing w:val="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Sirve como referencia la Jurisprudencia emitida por la Suprema Corte de Justicia de la Nación, que es del texto y rubro siguiente:</w:t>
      </w:r>
    </w:p>
    <w:p w14:paraId="4E43B0FD" w14:textId="77777777" w:rsidR="00780DB1" w:rsidRPr="00651DC7" w:rsidRDefault="00780DB1" w:rsidP="00780DB1">
      <w:pPr>
        <w:pStyle w:val="Prrafodelista"/>
        <w:ind w:left="1134" w:right="992"/>
        <w:jc w:val="both"/>
        <w:rPr>
          <w:rFonts w:ascii="Palatino Linotype" w:eastAsia="MS Mincho" w:hAnsi="Palatino Linotype" w:cs="Arial"/>
          <w:sz w:val="22"/>
        </w:rPr>
      </w:pPr>
      <w:r w:rsidRPr="00651DC7">
        <w:rPr>
          <w:rFonts w:ascii="Palatino Linotype" w:hAnsi="Palatino Linotype"/>
          <w:b/>
          <w:i/>
          <w:color w:val="000000"/>
          <w:sz w:val="22"/>
        </w:rPr>
        <w:t>“</w:t>
      </w:r>
      <w:r w:rsidRPr="00651DC7">
        <w:rPr>
          <w:rFonts w:ascii="Palatino Linotype" w:hAnsi="Palatino Linotype"/>
          <w:b/>
          <w:i/>
          <w:sz w:val="22"/>
        </w:rPr>
        <w:t xml:space="preserve">DEMANDA DE AMPARO. LA RECLAMACIÓN DE UN ACTO FUTURO O INCIERTO, DEL CUAL NO PUEDA SABERSE CON EXACTITUD SI ES INMINENTE O SI LLEGARÁ O NO A MATERIALIZARSE, NO CONSTITUYE UN MOTIVO MANIFIESTO E INDUDABLE DE IMPROCEDENCIA, POR LO QUE EL JUEZ DE DISTRITO DEBE </w:t>
      </w:r>
      <w:r w:rsidRPr="00651DC7">
        <w:rPr>
          <w:rFonts w:ascii="Palatino Linotype" w:hAnsi="Palatino Linotype"/>
          <w:b/>
          <w:i/>
          <w:sz w:val="22"/>
        </w:rPr>
        <w:lastRenderedPageBreak/>
        <w:t>ADMITIRLA A TRÁMITE.</w:t>
      </w:r>
      <w:r w:rsidRPr="00651DC7">
        <w:rPr>
          <w:rFonts w:ascii="Palatino Linotype" w:hAnsi="Palatino Linotype"/>
          <w:i/>
          <w:sz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w:t>
      </w:r>
      <w:proofErr w:type="spellStart"/>
      <w:r w:rsidRPr="00651DC7">
        <w:rPr>
          <w:rFonts w:ascii="Palatino Linotype" w:hAnsi="Palatino Linotype"/>
          <w:i/>
          <w:sz w:val="22"/>
        </w:rPr>
        <w:t>numeral.</w:t>
      </w:r>
      <w:r w:rsidRPr="00651DC7">
        <w:rPr>
          <w:rFonts w:ascii="Palatino Linotype" w:hAnsi="Palatino Linotype" w:cs="Arial"/>
          <w:i/>
          <w:sz w:val="22"/>
        </w:rPr>
        <w:t>No</w:t>
      </w:r>
      <w:proofErr w:type="spellEnd"/>
      <w:r w:rsidRPr="00651DC7">
        <w:rPr>
          <w:rFonts w:ascii="Palatino Linotype" w:hAnsi="Palatino Linotype" w:cs="Arial"/>
          <w:i/>
          <w:sz w:val="22"/>
        </w:rPr>
        <w:t xml:space="preserve"> obstante, en términos del </w:t>
      </w:r>
      <w:r w:rsidRPr="00651DC7">
        <w:rPr>
          <w:rFonts w:ascii="Palatino Linotype" w:hAnsi="Palatino Linotype"/>
          <w:i/>
          <w:sz w:val="22"/>
        </w:rPr>
        <w:t xml:space="preserve">artículo 6 de la Constitución Política de los Estados Unidos Mexicanos, toda persona sin necesidad de acreditar interés alguno, tendrá acceso gratuito a la información pública </w:t>
      </w:r>
      <w:r w:rsidRPr="00651DC7">
        <w:rPr>
          <w:rFonts w:ascii="Palatino Linotype" w:hAnsi="Palatino Linotype"/>
          <w:b/>
          <w:i/>
          <w:sz w:val="22"/>
        </w:rPr>
        <w:t>en posesión</w:t>
      </w:r>
      <w:r w:rsidRPr="00651DC7">
        <w:rPr>
          <w:rFonts w:ascii="Palatino Linotype" w:hAnsi="Palatino Linotype"/>
          <w:i/>
          <w:sz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15E9C01E" w14:textId="77777777" w:rsidR="00780DB1" w:rsidRPr="00651DC7" w:rsidRDefault="00780DB1" w:rsidP="00780DB1">
      <w:pPr>
        <w:pStyle w:val="Prrafodelista"/>
        <w:rPr>
          <w:rFonts w:ascii="Palatino Linotype" w:eastAsia="Palatino Linotype" w:hAnsi="Palatino Linotype" w:cs="Palatino Linotype"/>
          <w:color w:val="000000"/>
        </w:rPr>
      </w:pPr>
    </w:p>
    <w:p w14:paraId="437BE915" w14:textId="77777777" w:rsidR="00780DB1" w:rsidRPr="00651DC7" w:rsidRDefault="00780DB1" w:rsidP="00780DB1">
      <w:pPr>
        <w:pStyle w:val="Prrafodelista"/>
        <w:rPr>
          <w:rFonts w:ascii="Palatino Linotype" w:eastAsia="Palatino Linotype" w:hAnsi="Palatino Linotype" w:cs="Palatino Linotype"/>
          <w:color w:val="000000"/>
        </w:rPr>
      </w:pPr>
    </w:p>
    <w:p w14:paraId="03A9AE96" w14:textId="77777777" w:rsidR="00780DB1" w:rsidRPr="00651DC7" w:rsidRDefault="00780DB1">
      <w:pPr>
        <w:pBdr>
          <w:top w:val="nil"/>
          <w:left w:val="nil"/>
          <w:bottom w:val="nil"/>
          <w:right w:val="nil"/>
          <w:between w:val="nil"/>
        </w:pBdr>
        <w:ind w:left="720"/>
        <w:rPr>
          <w:rFonts w:ascii="Century Gothic" w:eastAsia="Century Gothic" w:hAnsi="Century Gothic" w:cs="Century Gothic"/>
          <w:color w:val="000000"/>
        </w:rPr>
      </w:pPr>
    </w:p>
    <w:p w14:paraId="1F9B6FCF" w14:textId="77777777" w:rsidR="000E405F" w:rsidRPr="00651DC7" w:rsidRDefault="00C47BCC">
      <w:pPr>
        <w:keepNext/>
        <w:keepLines/>
        <w:spacing w:line="360" w:lineRule="auto"/>
        <w:rPr>
          <w:rFonts w:ascii="Palatino Linotype" w:eastAsia="Palatino Linotype" w:hAnsi="Palatino Linotype" w:cs="Palatino Linotype"/>
          <w:b/>
          <w:color w:val="000000"/>
        </w:rPr>
      </w:pPr>
      <w:r w:rsidRPr="00651DC7">
        <w:rPr>
          <w:rFonts w:ascii="Palatino Linotype" w:eastAsia="Palatino Linotype" w:hAnsi="Palatino Linotype" w:cs="Palatino Linotype"/>
          <w:b/>
          <w:color w:val="000000"/>
        </w:rPr>
        <w:lastRenderedPageBreak/>
        <w:t>QUINTO.  De la versión pública.</w:t>
      </w:r>
    </w:p>
    <w:p w14:paraId="291D1E55" w14:textId="77777777" w:rsidR="000E405F" w:rsidRPr="00651DC7" w:rsidRDefault="00C47BCC">
      <w:pPr>
        <w:numPr>
          <w:ilvl w:val="0"/>
          <w:numId w:val="1"/>
        </w:numPr>
        <w:spacing w:line="360" w:lineRule="auto"/>
        <w:ind w:left="0" w:right="1" w:firstLine="0"/>
        <w:jc w:val="both"/>
        <w:rPr>
          <w:rFonts w:ascii="Palatino Linotype" w:eastAsia="Palatino Linotype" w:hAnsi="Palatino Linotype" w:cs="Palatino Linotype"/>
        </w:rPr>
      </w:pPr>
      <w:bookmarkStart w:id="11" w:name="_heading=h.17dp8vu" w:colFirst="0" w:colLast="0"/>
      <w:bookmarkEnd w:id="11"/>
      <w:r w:rsidRPr="00651DC7">
        <w:rPr>
          <w:rFonts w:ascii="Palatino Linotype" w:eastAsia="Palatino Linotype" w:hAnsi="Palatino Linotype" w:cs="Palatino Linotype"/>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D217D51" w14:textId="77777777" w:rsidR="000E405F" w:rsidRPr="00651DC7" w:rsidRDefault="000E405F">
      <w:pPr>
        <w:spacing w:line="360" w:lineRule="auto"/>
        <w:rPr>
          <w:rFonts w:ascii="Palatino Linotype" w:eastAsia="Palatino Linotype" w:hAnsi="Palatino Linotype" w:cs="Palatino Linotype"/>
        </w:rPr>
      </w:pPr>
    </w:p>
    <w:p w14:paraId="68D16F7B"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5AEA078" w14:textId="77777777" w:rsidR="000E405F" w:rsidRPr="00651DC7" w:rsidRDefault="000E405F">
      <w:pPr>
        <w:spacing w:line="360" w:lineRule="auto"/>
        <w:rPr>
          <w:rFonts w:ascii="Palatino Linotype" w:eastAsia="Palatino Linotype" w:hAnsi="Palatino Linotype" w:cs="Palatino Linotype"/>
        </w:rPr>
      </w:pPr>
    </w:p>
    <w:p w14:paraId="574EECD1"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9DFE3DF" w14:textId="77777777" w:rsidR="000E405F" w:rsidRPr="00651DC7" w:rsidRDefault="000E405F">
      <w:pPr>
        <w:spacing w:line="360" w:lineRule="auto"/>
        <w:rPr>
          <w:rFonts w:ascii="Palatino Linotype" w:eastAsia="Palatino Linotype" w:hAnsi="Palatino Linotype" w:cs="Palatino Linotype"/>
        </w:rPr>
      </w:pPr>
    </w:p>
    <w:p w14:paraId="6D35A299"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DABB773"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FA997F5" w14:textId="77777777" w:rsidR="000E405F" w:rsidRPr="00651DC7" w:rsidRDefault="000E405F">
      <w:pPr>
        <w:spacing w:line="360" w:lineRule="auto"/>
        <w:rPr>
          <w:rFonts w:ascii="Palatino Linotype" w:eastAsia="Palatino Linotype" w:hAnsi="Palatino Linotype" w:cs="Palatino Linotype"/>
        </w:rPr>
      </w:pPr>
    </w:p>
    <w:p w14:paraId="28378266"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lastRenderedPageBreak/>
        <w:t>En términos de lo expuesto, la documentación y aquellos datos que se consideren confidenciales, serán una limitante del derecho de acceso a la información, siempre y cuando:</w:t>
      </w:r>
    </w:p>
    <w:p w14:paraId="74924836" w14:textId="77777777" w:rsidR="000E405F" w:rsidRPr="00651DC7" w:rsidRDefault="000E405F">
      <w:pPr>
        <w:spacing w:line="360" w:lineRule="auto"/>
        <w:rPr>
          <w:rFonts w:ascii="Palatino Linotype" w:eastAsia="Palatino Linotype" w:hAnsi="Palatino Linotype" w:cs="Palatino Linotype"/>
          <w:sz w:val="22"/>
          <w:szCs w:val="22"/>
        </w:rPr>
      </w:pPr>
    </w:p>
    <w:p w14:paraId="2AE9328F" w14:textId="77777777" w:rsidR="000E405F" w:rsidRPr="00651DC7" w:rsidRDefault="00C47BCC">
      <w:pPr>
        <w:numPr>
          <w:ilvl w:val="0"/>
          <w:numId w:val="8"/>
        </w:numPr>
        <w:spacing w:line="360" w:lineRule="auto"/>
        <w:jc w:val="both"/>
        <w:rPr>
          <w:rFonts w:ascii="Palatino Linotype" w:eastAsia="Palatino Linotype" w:hAnsi="Palatino Linotype" w:cs="Palatino Linotype"/>
          <w:sz w:val="22"/>
          <w:szCs w:val="22"/>
        </w:rPr>
      </w:pPr>
      <w:r w:rsidRPr="00651DC7">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4F456400" w14:textId="77777777" w:rsidR="000E405F" w:rsidRPr="00651DC7" w:rsidRDefault="000E405F">
      <w:pPr>
        <w:spacing w:line="360" w:lineRule="auto"/>
        <w:rPr>
          <w:rFonts w:ascii="Palatino Linotype" w:eastAsia="Palatino Linotype" w:hAnsi="Palatino Linotype" w:cs="Palatino Linotype"/>
          <w:sz w:val="22"/>
          <w:szCs w:val="22"/>
        </w:rPr>
      </w:pPr>
    </w:p>
    <w:p w14:paraId="341A3BDA" w14:textId="77777777" w:rsidR="000E405F" w:rsidRPr="00651DC7" w:rsidRDefault="00C47BCC">
      <w:pPr>
        <w:numPr>
          <w:ilvl w:val="0"/>
          <w:numId w:val="8"/>
        </w:numPr>
        <w:spacing w:line="360" w:lineRule="auto"/>
        <w:jc w:val="both"/>
        <w:rPr>
          <w:rFonts w:ascii="Palatino Linotype" w:eastAsia="Palatino Linotype" w:hAnsi="Palatino Linotype" w:cs="Palatino Linotype"/>
          <w:sz w:val="22"/>
          <w:szCs w:val="22"/>
        </w:rPr>
      </w:pPr>
      <w:r w:rsidRPr="00651DC7">
        <w:rPr>
          <w:rFonts w:ascii="Palatino Linotype" w:eastAsia="Palatino Linotype" w:hAnsi="Palatino Linotype" w:cs="Palatino Linotype"/>
          <w:sz w:val="22"/>
          <w:szCs w:val="22"/>
        </w:rPr>
        <w:t xml:space="preserve">Para la difusión de los datos, se requiera el consentimiento del titular. </w:t>
      </w:r>
    </w:p>
    <w:p w14:paraId="6D76EA97" w14:textId="77777777" w:rsidR="000E405F" w:rsidRPr="00651DC7" w:rsidRDefault="000E405F">
      <w:pPr>
        <w:spacing w:line="360" w:lineRule="auto"/>
        <w:rPr>
          <w:rFonts w:ascii="Palatino Linotype" w:eastAsia="Palatino Linotype" w:hAnsi="Palatino Linotype" w:cs="Palatino Linotype"/>
        </w:rPr>
      </w:pPr>
    </w:p>
    <w:p w14:paraId="06129F3E"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373AEB8" w14:textId="77777777" w:rsidR="000E405F" w:rsidRPr="00651DC7" w:rsidRDefault="000E405F">
      <w:pPr>
        <w:spacing w:line="360" w:lineRule="auto"/>
        <w:rPr>
          <w:rFonts w:ascii="Palatino Linotype" w:eastAsia="Palatino Linotype" w:hAnsi="Palatino Linotype" w:cs="Palatino Linotype"/>
        </w:rPr>
      </w:pPr>
    </w:p>
    <w:p w14:paraId="58028E3A"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Además, en el artículo 5° de dicho ordenamiento jurídico, establece que es la Ley aplicable para todo tratamiento de datos personales.</w:t>
      </w:r>
    </w:p>
    <w:p w14:paraId="7517288D" w14:textId="77777777" w:rsidR="000E405F" w:rsidRPr="00651DC7" w:rsidRDefault="000E405F">
      <w:pPr>
        <w:spacing w:line="360" w:lineRule="auto"/>
        <w:rPr>
          <w:rFonts w:ascii="Palatino Linotype" w:eastAsia="Palatino Linotype" w:hAnsi="Palatino Linotype" w:cs="Palatino Linotype"/>
        </w:rPr>
      </w:pPr>
    </w:p>
    <w:p w14:paraId="147B8F21"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32E99A9" w14:textId="77777777" w:rsidR="000E405F" w:rsidRPr="00651DC7" w:rsidRDefault="000E405F">
      <w:pPr>
        <w:spacing w:line="360" w:lineRule="auto"/>
        <w:rPr>
          <w:rFonts w:ascii="Palatino Linotype" w:eastAsia="Palatino Linotype" w:hAnsi="Palatino Linotype" w:cs="Palatino Linotype"/>
        </w:rPr>
      </w:pPr>
    </w:p>
    <w:p w14:paraId="0DC9DCD6"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429BB90" w14:textId="77777777" w:rsidR="000E405F" w:rsidRPr="00651DC7" w:rsidRDefault="000E405F">
      <w:pPr>
        <w:spacing w:line="360" w:lineRule="auto"/>
        <w:rPr>
          <w:rFonts w:ascii="Palatino Linotype" w:eastAsia="Palatino Linotype" w:hAnsi="Palatino Linotype" w:cs="Palatino Linotype"/>
        </w:rPr>
      </w:pPr>
    </w:p>
    <w:p w14:paraId="200D312C"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w:t>
      </w:r>
      <w:r w:rsidRPr="00651DC7">
        <w:rPr>
          <w:rFonts w:ascii="Palatino Linotype" w:eastAsia="Palatino Linotype" w:hAnsi="Palatino Linotype" w:cs="Palatino Linotype"/>
        </w:rPr>
        <w:lastRenderedPageBreak/>
        <w:t>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5241EC1" w14:textId="77777777" w:rsidR="000E405F" w:rsidRPr="00651DC7" w:rsidRDefault="000E405F">
      <w:pPr>
        <w:spacing w:line="360" w:lineRule="auto"/>
        <w:rPr>
          <w:rFonts w:ascii="Palatino Linotype" w:eastAsia="Palatino Linotype" w:hAnsi="Palatino Linotype" w:cs="Palatino Linotype"/>
        </w:rPr>
      </w:pPr>
    </w:p>
    <w:p w14:paraId="45BCADAD"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725F9E56" w14:textId="77777777" w:rsidR="000E405F" w:rsidRPr="00651DC7" w:rsidRDefault="000E405F">
      <w:pPr>
        <w:spacing w:line="360" w:lineRule="auto"/>
        <w:rPr>
          <w:rFonts w:ascii="Palatino Linotype" w:eastAsia="Palatino Linotype" w:hAnsi="Palatino Linotype" w:cs="Palatino Linotype"/>
        </w:rPr>
      </w:pPr>
    </w:p>
    <w:p w14:paraId="594A36F0"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F2A6C08" w14:textId="77777777" w:rsidR="000E405F" w:rsidRPr="00651DC7" w:rsidRDefault="000E405F">
      <w:pPr>
        <w:spacing w:line="360" w:lineRule="auto"/>
        <w:rPr>
          <w:rFonts w:ascii="Palatino Linotype" w:eastAsia="Palatino Linotype" w:hAnsi="Palatino Linotype" w:cs="Palatino Linotype"/>
        </w:rPr>
      </w:pPr>
    </w:p>
    <w:p w14:paraId="697F3663"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Dada la complejidad de la información cuando involucra datos personales, pudiera pensarse que se trata de dos derechos en colisión; por un lado, la garantía </w:t>
      </w:r>
      <w:r w:rsidRPr="00651DC7">
        <w:rPr>
          <w:rFonts w:ascii="Palatino Linotype" w:eastAsia="Palatino Linotype" w:hAnsi="Palatino Linotype" w:cs="Palatino Linotype"/>
        </w:rPr>
        <w:lastRenderedPageBreak/>
        <w:t>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05658BE"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B9756A1" w14:textId="77777777" w:rsidR="000E405F" w:rsidRPr="00651DC7" w:rsidRDefault="000E405F">
      <w:pPr>
        <w:spacing w:line="360" w:lineRule="auto"/>
        <w:jc w:val="both"/>
        <w:rPr>
          <w:rFonts w:ascii="Palatino Linotype" w:eastAsia="Palatino Linotype" w:hAnsi="Palatino Linotype" w:cs="Palatino Linotype"/>
        </w:rPr>
      </w:pPr>
    </w:p>
    <w:p w14:paraId="17E31DA8" w14:textId="77777777" w:rsidR="000E405F" w:rsidRPr="00651DC7" w:rsidRDefault="00C47BCC">
      <w:pPr>
        <w:numPr>
          <w:ilvl w:val="0"/>
          <w:numId w:val="9"/>
        </w:num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t>Clave Única de Registro de Población (CURP)</w:t>
      </w:r>
    </w:p>
    <w:p w14:paraId="7EF56E39"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El artículo 36 de la Constitución Política de los Estados Unidos Mexicanos, dispone la obligación de los ciudadanos de inscribirse en el Registro Nacional de </w:t>
      </w:r>
      <w:r w:rsidRPr="00651DC7">
        <w:rPr>
          <w:rFonts w:ascii="Palatino Linotype" w:eastAsia="Palatino Linotype" w:hAnsi="Palatino Linotype" w:cs="Palatino Linotype"/>
        </w:rPr>
        <w:lastRenderedPageBreak/>
        <w:t>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89289C1" w14:textId="77777777" w:rsidR="000E405F" w:rsidRPr="00651DC7" w:rsidRDefault="000E405F">
      <w:pPr>
        <w:spacing w:line="360" w:lineRule="auto"/>
        <w:rPr>
          <w:rFonts w:ascii="Palatino Linotype" w:eastAsia="Palatino Linotype" w:hAnsi="Palatino Linotype" w:cs="Palatino Linotype"/>
        </w:rPr>
      </w:pPr>
    </w:p>
    <w:p w14:paraId="18BB6D22"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95677C8" w14:textId="77777777" w:rsidR="000E405F" w:rsidRPr="00651DC7" w:rsidRDefault="000E405F">
      <w:pPr>
        <w:spacing w:line="360" w:lineRule="auto"/>
        <w:jc w:val="both"/>
        <w:rPr>
          <w:rFonts w:ascii="Palatino Linotype" w:eastAsia="Palatino Linotype" w:hAnsi="Palatino Linotype" w:cs="Palatino Linotype"/>
        </w:rPr>
      </w:pPr>
    </w:p>
    <w:p w14:paraId="353E29F8"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ese orden de ideas, la Secretaría de Gobernación en las direcciones https://consultas.curp.gob.mx/CurpSP/html/informacionecurpPS.html y </w:t>
      </w:r>
      <w:hyperlink r:id="rId14">
        <w:r w:rsidRPr="00651DC7">
          <w:rPr>
            <w:rFonts w:ascii="Palatino Linotype" w:eastAsia="Palatino Linotype" w:hAnsi="Palatino Linotype" w:cs="Palatino Linotype"/>
            <w:color w:val="0563C1"/>
            <w:u w:val="single"/>
          </w:rPr>
          <w:t>https://www.gob.mx/segob/renapo/acciones-y-programas/clave-unica-de-registro-de-poblacion-curp-142226</w:t>
        </w:r>
      </w:hyperlink>
      <w:r w:rsidRPr="00651DC7">
        <w:rPr>
          <w:rFonts w:ascii="Palatino Linotype" w:eastAsia="Palatino Linotype" w:hAnsi="Palatino Linotype" w:cs="Palatino Linotype"/>
        </w:rPr>
        <w:t xml:space="preserve"> (consultadas el catorce de diciembre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2CDCE1AB" w14:textId="77777777" w:rsidR="000E405F" w:rsidRPr="00651DC7" w:rsidRDefault="000E405F">
      <w:pPr>
        <w:spacing w:line="360" w:lineRule="auto"/>
        <w:rPr>
          <w:rFonts w:ascii="Palatino Linotype" w:eastAsia="Palatino Linotype" w:hAnsi="Palatino Linotype" w:cs="Palatino Linotype"/>
        </w:rPr>
      </w:pPr>
    </w:p>
    <w:p w14:paraId="30CA170B" w14:textId="77777777" w:rsidR="000E405F" w:rsidRPr="00651DC7" w:rsidRDefault="00C47BCC">
      <w:pPr>
        <w:spacing w:line="360" w:lineRule="auto"/>
        <w:ind w:left="567"/>
        <w:rPr>
          <w:rFonts w:ascii="Palatino Linotype" w:eastAsia="Palatino Linotype" w:hAnsi="Palatino Linotype" w:cs="Palatino Linotype"/>
        </w:rPr>
      </w:pPr>
      <w:r w:rsidRPr="00651DC7">
        <w:rPr>
          <w:rFonts w:ascii="Palatino Linotype" w:eastAsia="Palatino Linotype" w:hAnsi="Palatino Linotype" w:cs="Palatino Linotype"/>
        </w:rPr>
        <w:t>•</w:t>
      </w:r>
      <w:r w:rsidRPr="00651DC7">
        <w:rPr>
          <w:rFonts w:ascii="Palatino Linotype" w:eastAsia="Palatino Linotype" w:hAnsi="Palatino Linotype" w:cs="Palatino Linotype"/>
        </w:rPr>
        <w:tab/>
        <w:t>El primero y segundo apellidos, así como al nombre de pila;</w:t>
      </w:r>
    </w:p>
    <w:p w14:paraId="53E2C422" w14:textId="77777777" w:rsidR="000E405F" w:rsidRPr="00651DC7" w:rsidRDefault="00C47BCC">
      <w:pPr>
        <w:spacing w:line="360" w:lineRule="auto"/>
        <w:ind w:left="567"/>
        <w:rPr>
          <w:rFonts w:ascii="Palatino Linotype" w:eastAsia="Palatino Linotype" w:hAnsi="Palatino Linotype" w:cs="Palatino Linotype"/>
        </w:rPr>
      </w:pPr>
      <w:r w:rsidRPr="00651DC7">
        <w:rPr>
          <w:rFonts w:ascii="Palatino Linotype" w:eastAsia="Palatino Linotype" w:hAnsi="Palatino Linotype" w:cs="Palatino Linotype"/>
        </w:rPr>
        <w:t>•</w:t>
      </w:r>
      <w:r w:rsidRPr="00651DC7">
        <w:rPr>
          <w:rFonts w:ascii="Palatino Linotype" w:eastAsia="Palatino Linotype" w:hAnsi="Palatino Linotype" w:cs="Palatino Linotype"/>
        </w:rPr>
        <w:tab/>
        <w:t>La fecha de nacimiento;</w:t>
      </w:r>
    </w:p>
    <w:p w14:paraId="3D8B1C9A" w14:textId="77777777" w:rsidR="000E405F" w:rsidRPr="00651DC7" w:rsidRDefault="00C47BCC">
      <w:pPr>
        <w:spacing w:line="360" w:lineRule="auto"/>
        <w:ind w:left="567"/>
        <w:rPr>
          <w:rFonts w:ascii="Palatino Linotype" w:eastAsia="Palatino Linotype" w:hAnsi="Palatino Linotype" w:cs="Palatino Linotype"/>
        </w:rPr>
      </w:pPr>
      <w:r w:rsidRPr="00651DC7">
        <w:rPr>
          <w:rFonts w:ascii="Palatino Linotype" w:eastAsia="Palatino Linotype" w:hAnsi="Palatino Linotype" w:cs="Palatino Linotype"/>
        </w:rPr>
        <w:t>•</w:t>
      </w:r>
      <w:r w:rsidRPr="00651DC7">
        <w:rPr>
          <w:rFonts w:ascii="Palatino Linotype" w:eastAsia="Palatino Linotype" w:hAnsi="Palatino Linotype" w:cs="Palatino Linotype"/>
        </w:rPr>
        <w:tab/>
        <w:t>El sexo, y</w:t>
      </w:r>
    </w:p>
    <w:p w14:paraId="1CD50807" w14:textId="77777777" w:rsidR="000E405F" w:rsidRPr="00651DC7" w:rsidRDefault="00C47BCC">
      <w:pPr>
        <w:spacing w:line="360" w:lineRule="auto"/>
        <w:ind w:left="567"/>
        <w:rPr>
          <w:rFonts w:ascii="Palatino Linotype" w:eastAsia="Palatino Linotype" w:hAnsi="Palatino Linotype" w:cs="Palatino Linotype"/>
          <w:b/>
        </w:rPr>
      </w:pPr>
      <w:r w:rsidRPr="00651DC7">
        <w:rPr>
          <w:rFonts w:ascii="Palatino Linotype" w:eastAsia="Palatino Linotype" w:hAnsi="Palatino Linotype" w:cs="Palatino Linotype"/>
        </w:rPr>
        <w:t>•</w:t>
      </w:r>
      <w:r w:rsidRPr="00651DC7">
        <w:rPr>
          <w:rFonts w:ascii="Palatino Linotype" w:eastAsia="Palatino Linotype" w:hAnsi="Palatino Linotype" w:cs="Palatino Linotype"/>
        </w:rPr>
        <w:tab/>
      </w:r>
      <w:r w:rsidRPr="00651DC7">
        <w:rPr>
          <w:rFonts w:ascii="Palatino Linotype" w:eastAsia="Palatino Linotype" w:hAnsi="Palatino Linotype" w:cs="Palatino Linotype"/>
          <w:b/>
        </w:rPr>
        <w:t>La entidad federativa de nacimiento.</w:t>
      </w:r>
    </w:p>
    <w:p w14:paraId="33A1C458" w14:textId="77777777" w:rsidR="000E405F" w:rsidRPr="00651DC7" w:rsidRDefault="000E405F">
      <w:pPr>
        <w:spacing w:line="360" w:lineRule="auto"/>
        <w:ind w:left="567"/>
        <w:rPr>
          <w:rFonts w:ascii="Palatino Linotype" w:eastAsia="Palatino Linotype" w:hAnsi="Palatino Linotype" w:cs="Palatino Linotype"/>
        </w:rPr>
      </w:pPr>
    </w:p>
    <w:p w14:paraId="5FF6289A"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1808479" w14:textId="77777777" w:rsidR="000E405F" w:rsidRPr="00651DC7" w:rsidRDefault="000E405F">
      <w:pPr>
        <w:spacing w:line="360" w:lineRule="auto"/>
        <w:rPr>
          <w:rFonts w:ascii="Palatino Linotype" w:eastAsia="Palatino Linotype" w:hAnsi="Palatino Linotype" w:cs="Palatino Linotype"/>
        </w:rPr>
      </w:pPr>
    </w:p>
    <w:p w14:paraId="3A66D858"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6867F44" w14:textId="77777777" w:rsidR="000E405F" w:rsidRPr="00651DC7" w:rsidRDefault="000E405F">
      <w:pPr>
        <w:spacing w:line="360" w:lineRule="auto"/>
        <w:rPr>
          <w:rFonts w:ascii="Palatino Linotype" w:eastAsia="Palatino Linotype" w:hAnsi="Palatino Linotype" w:cs="Palatino Linotype"/>
        </w:rPr>
      </w:pPr>
    </w:p>
    <w:p w14:paraId="40CD03BC" w14:textId="77777777" w:rsidR="000E405F" w:rsidRPr="00651DC7" w:rsidRDefault="00C47BCC">
      <w:pPr>
        <w:spacing w:line="360" w:lineRule="auto"/>
        <w:ind w:left="567" w:right="539"/>
        <w:rPr>
          <w:rFonts w:ascii="Palatino Linotype" w:eastAsia="Palatino Linotype" w:hAnsi="Palatino Linotype" w:cs="Palatino Linotype"/>
          <w:i/>
        </w:rPr>
      </w:pPr>
      <w:r w:rsidRPr="00651DC7">
        <w:rPr>
          <w:rFonts w:ascii="Palatino Linotype" w:eastAsia="Palatino Linotype" w:hAnsi="Palatino Linotype" w:cs="Palatino Linotype"/>
          <w:b/>
          <w:i/>
        </w:rPr>
        <w:lastRenderedPageBreak/>
        <w:t xml:space="preserve">“Clave Única de Registro de Población (CURP). </w:t>
      </w:r>
      <w:r w:rsidRPr="00651DC7">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4150756" w14:textId="77777777" w:rsidR="000E405F" w:rsidRPr="00651DC7" w:rsidRDefault="000E405F">
      <w:pPr>
        <w:spacing w:line="360" w:lineRule="auto"/>
        <w:rPr>
          <w:rFonts w:ascii="Palatino Linotype" w:eastAsia="Palatino Linotype" w:hAnsi="Palatino Linotype" w:cs="Palatino Linotype"/>
        </w:rPr>
      </w:pPr>
    </w:p>
    <w:p w14:paraId="05C71F06"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De acuerdo con lo anterior, resulta procedente la clasificación de </w:t>
      </w:r>
      <w:r w:rsidRPr="00651DC7">
        <w:rPr>
          <w:rFonts w:ascii="Palatino Linotype" w:eastAsia="Palatino Linotype" w:hAnsi="Palatino Linotype" w:cs="Palatino Linotype"/>
          <w:b/>
        </w:rPr>
        <w:t>la Clave Única de Registro de Población</w:t>
      </w:r>
      <w:r w:rsidRPr="00651DC7">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42FDE62C" w14:textId="77777777" w:rsidR="000E405F" w:rsidRPr="00651DC7" w:rsidRDefault="000E405F">
      <w:pPr>
        <w:spacing w:line="360" w:lineRule="auto"/>
        <w:jc w:val="both"/>
        <w:rPr>
          <w:rFonts w:ascii="Palatino Linotype" w:eastAsia="Palatino Linotype" w:hAnsi="Palatino Linotype" w:cs="Palatino Linotype"/>
        </w:rPr>
      </w:pPr>
    </w:p>
    <w:p w14:paraId="2173FA48" w14:textId="77777777" w:rsidR="000E405F" w:rsidRPr="00651DC7" w:rsidRDefault="00C47BCC">
      <w:pPr>
        <w:numPr>
          <w:ilvl w:val="0"/>
          <w:numId w:val="10"/>
        </w:numPr>
        <w:spacing w:line="360" w:lineRule="auto"/>
        <w:jc w:val="both"/>
        <w:rPr>
          <w:rFonts w:ascii="Palatino Linotype" w:eastAsia="Palatino Linotype" w:hAnsi="Palatino Linotype" w:cs="Palatino Linotype"/>
          <w:b/>
        </w:rPr>
      </w:pPr>
      <w:r w:rsidRPr="00651DC7">
        <w:rPr>
          <w:rFonts w:ascii="Palatino Linotype" w:eastAsia="Palatino Linotype" w:hAnsi="Palatino Linotype" w:cs="Palatino Linotype"/>
          <w:b/>
        </w:rPr>
        <w:t xml:space="preserve">Código bidimensional o </w:t>
      </w:r>
      <w:proofErr w:type="spellStart"/>
      <w:r w:rsidRPr="00651DC7">
        <w:rPr>
          <w:rFonts w:ascii="Palatino Linotype" w:eastAsia="Palatino Linotype" w:hAnsi="Palatino Linotype" w:cs="Palatino Linotype"/>
          <w:b/>
        </w:rPr>
        <w:t>Qr</w:t>
      </w:r>
      <w:proofErr w:type="spellEnd"/>
    </w:p>
    <w:p w14:paraId="79555CE4"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QR </w:t>
      </w:r>
      <w:proofErr w:type="spellStart"/>
      <w:r w:rsidRPr="00651DC7">
        <w:rPr>
          <w:rFonts w:ascii="Palatino Linotype" w:eastAsia="Palatino Linotype" w:hAnsi="Palatino Linotype" w:cs="Palatino Linotype"/>
        </w:rPr>
        <w:t>Code</w:t>
      </w:r>
      <w:proofErr w:type="spellEnd"/>
      <w:r w:rsidRPr="00651DC7">
        <w:rPr>
          <w:rFonts w:ascii="Palatino Linotype" w:eastAsia="Palatino Linotype" w:hAnsi="Palatino Linotype" w:cs="Palatino Linotype"/>
        </w:rPr>
        <w:t xml:space="preserve"> (Quick Response </w:t>
      </w:r>
      <w:proofErr w:type="spellStart"/>
      <w:r w:rsidRPr="00651DC7">
        <w:rPr>
          <w:rFonts w:ascii="Palatino Linotype" w:eastAsia="Palatino Linotype" w:hAnsi="Palatino Linotype" w:cs="Palatino Linotype"/>
        </w:rPr>
        <w:t>Code</w:t>
      </w:r>
      <w:proofErr w:type="spellEnd"/>
      <w:r w:rsidRPr="00651DC7">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http://dof.gob.mx/nota_detalle.php?codigo=5492254&amp;fecha=28/07/2017. Incluso con la captura de dicho código, a través de la aplicación móvil del Servicio de </w:t>
      </w:r>
      <w:r w:rsidRPr="00651DC7">
        <w:rPr>
          <w:rFonts w:ascii="Palatino Linotype" w:eastAsia="Palatino Linotype" w:hAnsi="Palatino Linotype" w:cs="Palatino Linotype"/>
        </w:rPr>
        <w:lastRenderedPageBreak/>
        <w:t>Administración Tributaria, permite el acceso al Registro Federal de Contribuyentes, como del Sujeto Obligado, como de los servidores públicos.</w:t>
      </w:r>
    </w:p>
    <w:p w14:paraId="5AD994A2" w14:textId="77777777" w:rsidR="000E405F" w:rsidRPr="00651DC7" w:rsidRDefault="000E405F">
      <w:pPr>
        <w:spacing w:line="360" w:lineRule="auto"/>
        <w:rPr>
          <w:rFonts w:ascii="Palatino Linotype" w:eastAsia="Palatino Linotype" w:hAnsi="Palatino Linotype" w:cs="Palatino Linotype"/>
        </w:rPr>
      </w:pPr>
    </w:p>
    <w:p w14:paraId="6827E3CA"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5D5AAD86" w14:textId="77777777" w:rsidR="000E405F" w:rsidRPr="00651DC7" w:rsidRDefault="000E405F">
      <w:pPr>
        <w:spacing w:line="360" w:lineRule="auto"/>
        <w:rPr>
          <w:rFonts w:ascii="Palatino Linotype" w:eastAsia="Palatino Linotype" w:hAnsi="Palatino Linotype" w:cs="Palatino Linotype"/>
        </w:rPr>
      </w:pPr>
    </w:p>
    <w:p w14:paraId="7ABFD228" w14:textId="77777777" w:rsidR="000E405F" w:rsidRPr="00651DC7" w:rsidRDefault="00C47BCC">
      <w:pPr>
        <w:numPr>
          <w:ilvl w:val="0"/>
          <w:numId w:val="11"/>
        </w:numPr>
        <w:spacing w:line="360" w:lineRule="auto"/>
        <w:jc w:val="both"/>
        <w:rPr>
          <w:rFonts w:ascii="Palatino Linotype" w:eastAsia="Palatino Linotype" w:hAnsi="Palatino Linotype" w:cs="Palatino Linotype"/>
          <w:b/>
        </w:rPr>
      </w:pPr>
      <w:r w:rsidRPr="00651DC7">
        <w:rPr>
          <w:rFonts w:ascii="Palatino Linotype" w:eastAsia="Palatino Linotype" w:hAnsi="Palatino Linotype" w:cs="Palatino Linotype"/>
          <w:b/>
        </w:rPr>
        <w:t>Número de seguridad social del Instituto de Seguridad Social del Estado de México y Municipios</w:t>
      </w:r>
    </w:p>
    <w:p w14:paraId="2BEE38A0" w14:textId="77777777" w:rsidR="000E405F" w:rsidRPr="00651DC7" w:rsidRDefault="000E405F">
      <w:pPr>
        <w:spacing w:line="360" w:lineRule="auto"/>
        <w:rPr>
          <w:rFonts w:ascii="Palatino Linotype" w:eastAsia="Palatino Linotype" w:hAnsi="Palatino Linotype" w:cs="Palatino Linotype"/>
        </w:rPr>
      </w:pPr>
    </w:p>
    <w:p w14:paraId="6CFF21C5"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12BF85FE" w14:textId="77777777" w:rsidR="000E405F" w:rsidRPr="00651DC7" w:rsidRDefault="000E405F">
      <w:pPr>
        <w:spacing w:line="360" w:lineRule="auto"/>
        <w:rPr>
          <w:rFonts w:ascii="Palatino Linotype" w:eastAsia="Palatino Linotype" w:hAnsi="Palatino Linotype" w:cs="Palatino Linotype"/>
        </w:rPr>
      </w:pPr>
    </w:p>
    <w:p w14:paraId="58842BD3"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w:t>
      </w:r>
      <w:r w:rsidRPr="00651DC7">
        <w:rPr>
          <w:rFonts w:ascii="Palatino Linotype" w:eastAsia="Palatino Linotype" w:hAnsi="Palatino Linotype" w:cs="Palatino Linotype"/>
        </w:rPr>
        <w:lastRenderedPageBreak/>
        <w:t>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61923396"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0D1FDF3" w14:textId="77777777" w:rsidR="000E405F" w:rsidRPr="00651DC7" w:rsidRDefault="000E405F">
      <w:pPr>
        <w:spacing w:line="360" w:lineRule="auto"/>
        <w:jc w:val="both"/>
        <w:rPr>
          <w:rFonts w:ascii="Palatino Linotype" w:eastAsia="Palatino Linotype" w:hAnsi="Palatino Linotype" w:cs="Palatino Linotype"/>
        </w:rPr>
      </w:pPr>
    </w:p>
    <w:p w14:paraId="530821CD"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w:t>
      </w:r>
      <w:r w:rsidRPr="00651DC7">
        <w:rPr>
          <w:rFonts w:ascii="Palatino Linotype" w:eastAsia="Palatino Linotype" w:hAnsi="Palatino Linotype" w:cs="Palatino Linotype"/>
        </w:rPr>
        <w:lastRenderedPageBreak/>
        <w:t>confidencialidad, establecido en el artículo 143, fracción I, de la Ley de Transparencia y Acceso a la Información Pública del Estado de México y Municipios.</w:t>
      </w:r>
    </w:p>
    <w:p w14:paraId="7A059D18" w14:textId="77777777" w:rsidR="000E405F" w:rsidRPr="00651DC7" w:rsidRDefault="000E405F">
      <w:pPr>
        <w:spacing w:line="360" w:lineRule="auto"/>
        <w:rPr>
          <w:rFonts w:ascii="Palatino Linotype" w:eastAsia="Palatino Linotype" w:hAnsi="Palatino Linotype" w:cs="Palatino Linotype"/>
        </w:rPr>
      </w:pPr>
    </w:p>
    <w:p w14:paraId="4468A9F0" w14:textId="77777777" w:rsidR="000E405F" w:rsidRPr="00651DC7" w:rsidRDefault="00C47BCC">
      <w:pPr>
        <w:numPr>
          <w:ilvl w:val="0"/>
          <w:numId w:val="12"/>
        </w:numPr>
        <w:spacing w:line="360" w:lineRule="auto"/>
        <w:jc w:val="both"/>
        <w:rPr>
          <w:rFonts w:ascii="Palatino Linotype" w:eastAsia="Palatino Linotype" w:hAnsi="Palatino Linotype" w:cs="Palatino Linotype"/>
          <w:b/>
        </w:rPr>
      </w:pPr>
      <w:r w:rsidRPr="00651DC7">
        <w:rPr>
          <w:rFonts w:ascii="Palatino Linotype" w:eastAsia="Palatino Linotype" w:hAnsi="Palatino Linotype" w:cs="Palatino Linotype"/>
          <w:b/>
        </w:rPr>
        <w:t>Descuentos personales</w:t>
      </w:r>
    </w:p>
    <w:p w14:paraId="7E4C3EB7"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4E0EED36" w14:textId="77777777" w:rsidR="000E405F" w:rsidRPr="00651DC7" w:rsidRDefault="000E405F">
      <w:pPr>
        <w:spacing w:line="360" w:lineRule="auto"/>
        <w:rPr>
          <w:rFonts w:ascii="Palatino Linotype" w:eastAsia="Palatino Linotype" w:hAnsi="Palatino Linotype" w:cs="Palatino Linotype"/>
        </w:rPr>
      </w:pPr>
    </w:p>
    <w:p w14:paraId="2DAF1ED7"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14:paraId="323ED900" w14:textId="77777777" w:rsidR="000E405F" w:rsidRPr="00651DC7" w:rsidRDefault="000E405F">
      <w:pPr>
        <w:spacing w:line="360" w:lineRule="auto"/>
        <w:ind w:left="720"/>
        <w:rPr>
          <w:rFonts w:ascii="Palatino Linotype" w:eastAsia="Palatino Linotype" w:hAnsi="Palatino Linotype" w:cs="Palatino Linotype"/>
          <w:color w:val="000000"/>
        </w:rPr>
      </w:pPr>
    </w:p>
    <w:p w14:paraId="3017A600"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16480F0A"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lastRenderedPageBreak/>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6575BF95" w14:textId="77777777" w:rsidR="000E405F" w:rsidRPr="00651DC7" w:rsidRDefault="000E405F">
      <w:pPr>
        <w:spacing w:line="360" w:lineRule="auto"/>
        <w:ind w:left="567" w:right="539"/>
        <w:rPr>
          <w:rFonts w:ascii="Palatino Linotype" w:eastAsia="Palatino Linotype" w:hAnsi="Palatino Linotype" w:cs="Palatino Linotype"/>
          <w:b/>
        </w:rPr>
      </w:pPr>
    </w:p>
    <w:p w14:paraId="7143A5DF" w14:textId="77777777" w:rsidR="000E405F" w:rsidRPr="00651DC7" w:rsidRDefault="00C47BCC">
      <w:pPr>
        <w:numPr>
          <w:ilvl w:val="0"/>
          <w:numId w:val="13"/>
        </w:numPr>
        <w:spacing w:line="360" w:lineRule="auto"/>
        <w:ind w:right="539"/>
        <w:jc w:val="both"/>
        <w:rPr>
          <w:rFonts w:ascii="Palatino Linotype" w:eastAsia="Palatino Linotype" w:hAnsi="Palatino Linotype" w:cs="Palatino Linotype"/>
          <w:b/>
        </w:rPr>
      </w:pPr>
      <w:r w:rsidRPr="00651DC7">
        <w:rPr>
          <w:rFonts w:ascii="Palatino Linotype" w:eastAsia="Palatino Linotype" w:hAnsi="Palatino Linotype" w:cs="Palatino Linotype"/>
          <w:b/>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4B3F47AF" w14:textId="77777777" w:rsidR="000E405F" w:rsidRPr="00651DC7" w:rsidRDefault="000E405F">
      <w:pPr>
        <w:spacing w:line="360" w:lineRule="auto"/>
        <w:rPr>
          <w:rFonts w:ascii="Palatino Linotype" w:eastAsia="Palatino Linotype" w:hAnsi="Palatino Linotype" w:cs="Palatino Linotype"/>
        </w:rPr>
      </w:pPr>
    </w:p>
    <w:p w14:paraId="55ADDF29"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w:t>
      </w:r>
      <w:r w:rsidRPr="00651DC7">
        <w:rPr>
          <w:rFonts w:ascii="Palatino Linotype" w:eastAsia="Palatino Linotype" w:hAnsi="Palatino Linotype" w:cs="Palatino Linotype"/>
        </w:rPr>
        <w:lastRenderedPageBreak/>
        <w:t>bien, dichas cadenas sí derivan de la información personal de los contribuyentes, esta se encuentra encriptada como se verá a continuación.</w:t>
      </w:r>
    </w:p>
    <w:p w14:paraId="0A5718E4" w14:textId="77777777" w:rsidR="000E405F" w:rsidRPr="00651DC7" w:rsidRDefault="000E405F">
      <w:pPr>
        <w:spacing w:line="360" w:lineRule="auto"/>
        <w:rPr>
          <w:rFonts w:ascii="Palatino Linotype" w:eastAsia="Palatino Linotype" w:hAnsi="Palatino Linotype" w:cs="Palatino Linotype"/>
        </w:rPr>
      </w:pPr>
    </w:p>
    <w:p w14:paraId="4A629302"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42AE85B3"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w:t>
      </w:r>
    </w:p>
    <w:p w14:paraId="3C4BF2ED"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Elementos utilizados en la generación de Sellos Digitales:</w:t>
      </w:r>
    </w:p>
    <w:p w14:paraId="48B35234"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w:t>
      </w:r>
      <w:r w:rsidRPr="00651DC7">
        <w:rPr>
          <w:rFonts w:ascii="Palatino Linotype" w:eastAsia="Palatino Linotype" w:hAnsi="Palatino Linotype" w:cs="Palatino Linotype"/>
          <w:i/>
        </w:rPr>
        <w:tab/>
        <w:t>Cadena Original, el elemento a sellar, en este caso de un comprobante fiscal digital a través de Internet.</w:t>
      </w:r>
    </w:p>
    <w:p w14:paraId="22656225"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w:t>
      </w:r>
      <w:r w:rsidRPr="00651DC7">
        <w:rPr>
          <w:rFonts w:ascii="Palatino Linotype" w:eastAsia="Palatino Linotype" w:hAnsi="Palatino Linotype" w:cs="Palatino Linotype"/>
          <w:i/>
        </w:rPr>
        <w:tab/>
        <w:t>Certificado de Sello Digital y su correspondiente clave privada.</w:t>
      </w:r>
    </w:p>
    <w:p w14:paraId="2672E356"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w:t>
      </w:r>
      <w:r w:rsidRPr="00651DC7">
        <w:rPr>
          <w:rFonts w:ascii="Palatino Linotype" w:eastAsia="Palatino Linotype" w:hAnsi="Palatino Linotype" w:cs="Palatino Linotype"/>
          <w:i/>
        </w:rPr>
        <w:tab/>
        <w:t>Algoritmos de criptografía de clave pública para firma electrónica avanzada.</w:t>
      </w:r>
    </w:p>
    <w:p w14:paraId="20880F12"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w:t>
      </w:r>
      <w:r w:rsidRPr="00651DC7">
        <w:rPr>
          <w:rFonts w:ascii="Palatino Linotype" w:eastAsia="Palatino Linotype" w:hAnsi="Palatino Linotype" w:cs="Palatino Linotype"/>
          <w:i/>
        </w:rPr>
        <w:tab/>
        <w:t>Especificaciones de conversión de la firma electrónica avanzada a Base 64.</w:t>
      </w:r>
    </w:p>
    <w:p w14:paraId="1EB6DB31"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Para la generación de sellos digitales se utiliza criptografía de clave pública aplicada a una cadena original.</w:t>
      </w:r>
    </w:p>
    <w:p w14:paraId="68039C5F"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t>Criptografía de la Clave Pública</w:t>
      </w:r>
    </w:p>
    <w:p w14:paraId="6D92E3D7" w14:textId="77777777" w:rsidR="000E405F" w:rsidRPr="00651DC7" w:rsidRDefault="00C47BCC">
      <w:pPr>
        <w:spacing w:line="360" w:lineRule="auto"/>
        <w:ind w:left="851" w:right="539"/>
        <w:rPr>
          <w:rFonts w:ascii="Palatino Linotype" w:eastAsia="Palatino Linotype" w:hAnsi="Palatino Linotype" w:cs="Palatino Linotype"/>
          <w:i/>
        </w:rPr>
      </w:pPr>
      <w:r w:rsidRPr="00651DC7">
        <w:rPr>
          <w:rFonts w:ascii="Palatino Linotype" w:eastAsia="Palatino Linotype" w:hAnsi="Palatino Linotype" w:cs="Palatino Linotype"/>
          <w:i/>
        </w:rPr>
        <w:lastRenderedPageBreak/>
        <w:t xml:space="preserve">La criptografía de Clave Pública se basa en la generación de una pareja de números muy grandes relacionados íntimamente entre sí, de tal manera que una operación de </w:t>
      </w:r>
      <w:proofErr w:type="spellStart"/>
      <w:r w:rsidRPr="00651DC7">
        <w:rPr>
          <w:rFonts w:ascii="Palatino Linotype" w:eastAsia="Palatino Linotype" w:hAnsi="Palatino Linotype" w:cs="Palatino Linotype"/>
          <w:i/>
        </w:rPr>
        <w:t>encripción</w:t>
      </w:r>
      <w:proofErr w:type="spellEnd"/>
      <w:r w:rsidRPr="00651DC7">
        <w:rPr>
          <w:rFonts w:ascii="Palatino Linotype" w:eastAsia="Palatino Linotype" w:hAnsi="Palatino Linotype" w:cs="Palatino Linotype"/>
          <w:i/>
        </w:rPr>
        <w:t xml:space="preserve"> sobre un mensaje tomando como clave de </w:t>
      </w:r>
      <w:proofErr w:type="spellStart"/>
      <w:r w:rsidRPr="00651DC7">
        <w:rPr>
          <w:rFonts w:ascii="Palatino Linotype" w:eastAsia="Palatino Linotype" w:hAnsi="Palatino Linotype" w:cs="Palatino Linotype"/>
          <w:i/>
        </w:rPr>
        <w:t>encripción</w:t>
      </w:r>
      <w:proofErr w:type="spellEnd"/>
      <w:r w:rsidRPr="00651DC7">
        <w:rPr>
          <w:rFonts w:ascii="Palatino Linotype" w:eastAsia="Palatino Linotype" w:hAnsi="Palatino Linotype" w:cs="Palatino Linotype"/>
          <w:i/>
        </w:rPr>
        <w:t xml:space="preserve"> a uno de los dos números, produce un mensaje alterado en su significado que solo puede ser devuelto a su estado original mediante la operación de </w:t>
      </w:r>
      <w:proofErr w:type="spellStart"/>
      <w:r w:rsidRPr="00651DC7">
        <w:rPr>
          <w:rFonts w:ascii="Palatino Linotype" w:eastAsia="Palatino Linotype" w:hAnsi="Palatino Linotype" w:cs="Palatino Linotype"/>
          <w:i/>
        </w:rPr>
        <w:t>desencripción</w:t>
      </w:r>
      <w:proofErr w:type="spellEnd"/>
      <w:r w:rsidRPr="00651DC7">
        <w:rPr>
          <w:rFonts w:ascii="Palatino Linotype" w:eastAsia="Palatino Linotype" w:hAnsi="Palatino Linotype" w:cs="Palatino Linotype"/>
          <w:i/>
        </w:rPr>
        <w:t xml:space="preserve"> correspondiente tomando como clave de </w:t>
      </w:r>
      <w:proofErr w:type="spellStart"/>
      <w:r w:rsidRPr="00651DC7">
        <w:rPr>
          <w:rFonts w:ascii="Palatino Linotype" w:eastAsia="Palatino Linotype" w:hAnsi="Palatino Linotype" w:cs="Palatino Linotype"/>
          <w:i/>
        </w:rPr>
        <w:t>desencripción</w:t>
      </w:r>
      <w:proofErr w:type="spellEnd"/>
      <w:r w:rsidRPr="00651DC7">
        <w:rPr>
          <w:rFonts w:ascii="Palatino Linotype" w:eastAsia="Palatino Linotype" w:hAnsi="Palatino Linotype" w:cs="Palatino Linotype"/>
          <w:i/>
        </w:rPr>
        <w:t xml:space="preserve"> al otro número de la pareja.</w:t>
      </w:r>
    </w:p>
    <w:p w14:paraId="373BAE8F" w14:textId="77777777" w:rsidR="000E405F" w:rsidRPr="00651DC7" w:rsidRDefault="00C47BCC">
      <w:pPr>
        <w:spacing w:line="360" w:lineRule="auto"/>
        <w:ind w:left="851"/>
        <w:rPr>
          <w:rFonts w:ascii="Palatino Linotype" w:eastAsia="Palatino Linotype" w:hAnsi="Palatino Linotype" w:cs="Palatino Linotype"/>
        </w:rPr>
      </w:pPr>
      <w:r w:rsidRPr="00651DC7">
        <w:rPr>
          <w:rFonts w:ascii="Palatino Linotype" w:eastAsia="Palatino Linotype" w:hAnsi="Palatino Linotype" w:cs="Palatino Linotype"/>
        </w:rPr>
        <w:t>…”</w:t>
      </w:r>
    </w:p>
    <w:p w14:paraId="07A47CBE" w14:textId="77777777" w:rsidR="000E405F" w:rsidRPr="00651DC7" w:rsidRDefault="00C47BCC">
      <w:pPr>
        <w:spacing w:line="360" w:lineRule="auto"/>
        <w:rPr>
          <w:rFonts w:ascii="Palatino Linotype" w:eastAsia="Palatino Linotype" w:hAnsi="Palatino Linotype" w:cs="Palatino Linotype"/>
        </w:rPr>
      </w:pPr>
      <w:r w:rsidRPr="00651DC7">
        <w:rPr>
          <w:rFonts w:ascii="Palatino Linotype" w:eastAsia="Palatino Linotype" w:hAnsi="Palatino Linotype" w:cs="Palatino Linotype"/>
        </w:rPr>
        <w:t xml:space="preserve"> </w:t>
      </w:r>
    </w:p>
    <w:p w14:paraId="4C5241DD"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0AB5A802" w14:textId="77777777" w:rsidR="000E405F" w:rsidRPr="00651DC7" w:rsidRDefault="000E405F">
      <w:pPr>
        <w:spacing w:line="360" w:lineRule="auto"/>
        <w:rPr>
          <w:rFonts w:ascii="Palatino Linotype" w:eastAsia="Palatino Linotype" w:hAnsi="Palatino Linotype" w:cs="Palatino Linotype"/>
        </w:rPr>
      </w:pPr>
    </w:p>
    <w:p w14:paraId="75FB1DB4"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como ya quedo establecido en el estudio del presente proveído.</w:t>
      </w:r>
    </w:p>
    <w:p w14:paraId="3DAF7F72" w14:textId="77777777" w:rsidR="000E405F" w:rsidRPr="00651DC7" w:rsidRDefault="000E405F">
      <w:pPr>
        <w:spacing w:line="360" w:lineRule="auto"/>
        <w:ind w:left="720"/>
        <w:rPr>
          <w:rFonts w:ascii="Palatino Linotype" w:eastAsia="Palatino Linotype" w:hAnsi="Palatino Linotype" w:cs="Palatino Linotype"/>
          <w:color w:val="000000"/>
        </w:rPr>
      </w:pPr>
    </w:p>
    <w:p w14:paraId="10B91867"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27E9CEAF" w14:textId="77777777" w:rsidR="000E405F" w:rsidRPr="00651DC7" w:rsidRDefault="00C47BCC">
      <w:pPr>
        <w:spacing w:line="360" w:lineRule="auto"/>
        <w:rPr>
          <w:rFonts w:ascii="Palatino Linotype" w:eastAsia="Palatino Linotype" w:hAnsi="Palatino Linotype" w:cs="Palatino Linotype"/>
        </w:rPr>
      </w:pPr>
      <w:r w:rsidRPr="00651DC7">
        <w:rPr>
          <w:rFonts w:ascii="Palatino Linotype" w:eastAsia="Palatino Linotype" w:hAnsi="Palatino Linotype" w:cs="Palatino Linotype"/>
        </w:rPr>
        <w:t xml:space="preserve"> </w:t>
      </w:r>
    </w:p>
    <w:p w14:paraId="4FAAC9F1"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mostró en el estudio del presente proveído.</w:t>
      </w:r>
    </w:p>
    <w:p w14:paraId="66120F7F" w14:textId="77777777" w:rsidR="000E405F" w:rsidRPr="00651DC7" w:rsidRDefault="000E405F">
      <w:pPr>
        <w:spacing w:line="360" w:lineRule="auto"/>
        <w:jc w:val="center"/>
        <w:rPr>
          <w:rFonts w:ascii="Palatino Linotype" w:eastAsia="Palatino Linotype" w:hAnsi="Palatino Linotype" w:cs="Palatino Linotype"/>
        </w:rPr>
      </w:pPr>
    </w:p>
    <w:p w14:paraId="5DE95905"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 xml:space="preserve">En ese contexto, de la misma manera que en los casos previamente analizados, el folio fiscal, no contiene datos personales del emisor y tampoco se puede obtener </w:t>
      </w:r>
      <w:r w:rsidRPr="00651DC7">
        <w:rPr>
          <w:rFonts w:ascii="Palatino Linotype" w:eastAsia="Palatino Linotype" w:hAnsi="Palatino Linotype" w:cs="Palatino Linotype"/>
        </w:rPr>
        <w:lastRenderedPageBreak/>
        <w:t>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C090582" w14:textId="77777777" w:rsidR="000E405F" w:rsidRPr="00651DC7" w:rsidRDefault="000E405F">
      <w:pPr>
        <w:spacing w:line="360" w:lineRule="auto"/>
        <w:rPr>
          <w:rFonts w:ascii="Palatino Linotype" w:eastAsia="Palatino Linotype" w:hAnsi="Palatino Linotype" w:cs="Palatino Linotype"/>
        </w:rPr>
      </w:pPr>
    </w:p>
    <w:p w14:paraId="61252D42"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rPr>
      </w:pPr>
      <w:r w:rsidRPr="00651DC7">
        <w:rPr>
          <w:rFonts w:ascii="Palatino Linotype" w:eastAsia="Palatino Linotype" w:hAnsi="Palatino Linotype" w:cs="Palatino Linotype"/>
        </w:rPr>
        <w:t>Ahora bien, cabe señalar que, en algunos casos, las cadenas originales y sellos digitales, el folio fiscal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serán públicos.</w:t>
      </w:r>
    </w:p>
    <w:p w14:paraId="6A461F6E" w14:textId="77777777" w:rsidR="000E405F" w:rsidRPr="00651DC7" w:rsidRDefault="000E405F">
      <w:pPr>
        <w:tabs>
          <w:tab w:val="left" w:pos="0"/>
          <w:tab w:val="left" w:pos="284"/>
        </w:tabs>
        <w:spacing w:line="360" w:lineRule="auto"/>
        <w:ind w:right="49"/>
        <w:jc w:val="both"/>
        <w:rPr>
          <w:rFonts w:ascii="Palatino Linotype" w:eastAsia="Palatino Linotype" w:hAnsi="Palatino Linotype" w:cs="Palatino Linotype"/>
        </w:rPr>
      </w:pPr>
    </w:p>
    <w:p w14:paraId="1F30B2BA"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No pasa desapercibido para este Órgano Garante que los sujetos obligados</w:t>
      </w:r>
      <w:r w:rsidRPr="00651DC7">
        <w:rPr>
          <w:rFonts w:ascii="Palatino Linotype" w:eastAsia="Palatino Linotype" w:hAnsi="Palatino Linotype" w:cs="Palatino Linotype"/>
          <w:b/>
          <w:color w:val="000000"/>
        </w:rPr>
        <w:t xml:space="preserve"> </w:t>
      </w:r>
      <w:r w:rsidRPr="00651DC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A455566"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tbl>
      <w:tblPr>
        <w:tblStyle w:val="a"/>
        <w:tblW w:w="921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1"/>
      </w:tblGrid>
      <w:tr w:rsidR="000E405F" w:rsidRPr="00651DC7" w14:paraId="10D4DCA3" w14:textId="77777777">
        <w:tc>
          <w:tcPr>
            <w:tcW w:w="2689" w:type="dxa"/>
            <w:tcBorders>
              <w:top w:val="single" w:sz="4" w:space="0" w:color="BFBFBF"/>
              <w:left w:val="single" w:sz="4" w:space="0" w:color="BFBFBF"/>
              <w:bottom w:val="single" w:sz="4" w:space="0" w:color="BFBFBF"/>
              <w:right w:val="single" w:sz="4" w:space="0" w:color="BFBFBF"/>
            </w:tcBorders>
          </w:tcPr>
          <w:p w14:paraId="40E9FD00" w14:textId="77777777" w:rsidR="000E405F" w:rsidRPr="00651DC7" w:rsidRDefault="00C47BCC">
            <w:pPr>
              <w:tabs>
                <w:tab w:val="left" w:pos="284"/>
              </w:tabs>
              <w:spacing w:line="360" w:lineRule="auto"/>
              <w:rPr>
                <w:rFonts w:ascii="Palatino Linotype" w:eastAsia="Palatino Linotype" w:hAnsi="Palatino Linotype" w:cs="Palatino Linotype"/>
                <w:b/>
              </w:rPr>
            </w:pPr>
            <w:r w:rsidRPr="00651DC7">
              <w:rPr>
                <w:rFonts w:ascii="Palatino Linotype" w:eastAsia="Palatino Linotype" w:hAnsi="Palatino Linotype" w:cs="Palatino Linotype"/>
                <w:b/>
              </w:rPr>
              <w:lastRenderedPageBreak/>
              <w:t>a) Requisitos previos.</w:t>
            </w:r>
          </w:p>
        </w:tc>
        <w:tc>
          <w:tcPr>
            <w:tcW w:w="6521" w:type="dxa"/>
            <w:tcBorders>
              <w:top w:val="single" w:sz="4" w:space="0" w:color="BFBFBF"/>
              <w:left w:val="single" w:sz="4" w:space="0" w:color="BFBFBF"/>
              <w:bottom w:val="single" w:sz="4" w:space="0" w:color="BFBFBF"/>
              <w:right w:val="single" w:sz="4" w:space="0" w:color="BFBFBF"/>
            </w:tcBorders>
          </w:tcPr>
          <w:p w14:paraId="6B9BC5C2"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1FE9EBC"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301C647F"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4C481994"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050A1A83"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6FA7BB99" w14:textId="77777777" w:rsidR="000E405F" w:rsidRPr="00651DC7" w:rsidRDefault="00C47BCC">
            <w:pPr>
              <w:tabs>
                <w:tab w:val="left" w:pos="284"/>
              </w:tabs>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651DC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651DC7">
              <w:rPr>
                <w:rFonts w:ascii="Palatino Linotype" w:eastAsia="Palatino Linotype" w:hAnsi="Palatino Linotype" w:cs="Palatino Linotype"/>
                <w:color w:val="000000"/>
              </w:rPr>
              <w:t xml:space="preserve"> individualizar su análisis y tampoco se puede hacer un acuerdo por cada dato que se vaya a clasificar </w:t>
            </w:r>
            <w:r w:rsidRPr="00651DC7">
              <w:rPr>
                <w:rFonts w:ascii="Palatino Linotype" w:eastAsia="Palatino Linotype" w:hAnsi="Palatino Linotype" w:cs="Palatino Linotype"/>
                <w:color w:val="000000"/>
              </w:rPr>
              <w:lastRenderedPageBreak/>
              <w:t>dentro de un documento con diez datos, por ejemplo, susceptibles de ser clasificados.</w:t>
            </w:r>
          </w:p>
        </w:tc>
      </w:tr>
      <w:tr w:rsidR="000E405F" w:rsidRPr="00651DC7" w14:paraId="64F0145C" w14:textId="77777777">
        <w:tc>
          <w:tcPr>
            <w:tcW w:w="2689" w:type="dxa"/>
            <w:tcBorders>
              <w:top w:val="single" w:sz="4" w:space="0" w:color="BFBFBF"/>
              <w:left w:val="single" w:sz="4" w:space="0" w:color="BFBFBF"/>
              <w:bottom w:val="single" w:sz="4" w:space="0" w:color="BFBFBF"/>
              <w:right w:val="single" w:sz="4" w:space="0" w:color="BFBFBF"/>
            </w:tcBorders>
          </w:tcPr>
          <w:p w14:paraId="51211D06" w14:textId="77777777" w:rsidR="000E405F" w:rsidRPr="00651DC7" w:rsidRDefault="00C47BCC">
            <w:pPr>
              <w:tabs>
                <w:tab w:val="left" w:pos="284"/>
              </w:tabs>
              <w:spacing w:line="360" w:lineRule="auto"/>
              <w:rPr>
                <w:rFonts w:ascii="Palatino Linotype" w:eastAsia="Palatino Linotype" w:hAnsi="Palatino Linotype" w:cs="Palatino Linotype"/>
                <w:b/>
              </w:rPr>
            </w:pPr>
            <w:r w:rsidRPr="00651DC7">
              <w:rPr>
                <w:rFonts w:ascii="Palatino Linotype" w:eastAsia="Palatino Linotype" w:hAnsi="Palatino Linotype" w:cs="Palatino Linotype"/>
                <w:b/>
              </w:rPr>
              <w:lastRenderedPageBreak/>
              <w:t>b) Supuestos de clasificación.</w:t>
            </w:r>
          </w:p>
        </w:tc>
        <w:tc>
          <w:tcPr>
            <w:tcW w:w="6521" w:type="dxa"/>
            <w:tcBorders>
              <w:top w:val="single" w:sz="4" w:space="0" w:color="BFBFBF"/>
              <w:left w:val="single" w:sz="4" w:space="0" w:color="BFBFBF"/>
              <w:bottom w:val="single" w:sz="4" w:space="0" w:color="BFBFBF"/>
              <w:right w:val="single" w:sz="4" w:space="0" w:color="BFBFBF"/>
            </w:tcBorders>
          </w:tcPr>
          <w:p w14:paraId="7E6357C7"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442B5D03"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E9C0F56"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54052883" w14:textId="77777777" w:rsidR="000E405F" w:rsidRPr="00651DC7" w:rsidRDefault="00C47BCC">
            <w:pPr>
              <w:tabs>
                <w:tab w:val="left" w:pos="284"/>
              </w:tabs>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color w:val="000000"/>
              </w:rPr>
              <w:t xml:space="preserve">El </w:t>
            </w:r>
            <w:r w:rsidRPr="00651DC7">
              <w:rPr>
                <w:rFonts w:ascii="Palatino Linotype" w:eastAsia="Palatino Linotype" w:hAnsi="Palatino Linotype" w:cs="Palatino Linotype"/>
                <w:b/>
                <w:color w:val="000000"/>
              </w:rPr>
              <w:t>Sujeto Obligado</w:t>
            </w:r>
            <w:r w:rsidRPr="00651DC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w:t>
            </w:r>
            <w:r w:rsidRPr="00651DC7">
              <w:rPr>
                <w:rFonts w:ascii="Palatino Linotype" w:eastAsia="Palatino Linotype" w:hAnsi="Palatino Linotype" w:cs="Palatino Linotype"/>
                <w:color w:val="000000"/>
              </w:rPr>
              <w:lastRenderedPageBreak/>
              <w:t>de realizar el servidor público habilitado y el titular del área que administra la información.</w:t>
            </w:r>
          </w:p>
        </w:tc>
      </w:tr>
      <w:tr w:rsidR="000E405F" w:rsidRPr="00651DC7" w14:paraId="228460E6" w14:textId="77777777">
        <w:tc>
          <w:tcPr>
            <w:tcW w:w="2689" w:type="dxa"/>
            <w:tcBorders>
              <w:top w:val="single" w:sz="4" w:space="0" w:color="BFBFBF"/>
              <w:left w:val="single" w:sz="4" w:space="0" w:color="BFBFBF"/>
              <w:bottom w:val="single" w:sz="4" w:space="0" w:color="BFBFBF"/>
              <w:right w:val="single" w:sz="4" w:space="0" w:color="BFBFBF"/>
            </w:tcBorders>
          </w:tcPr>
          <w:p w14:paraId="694A0767" w14:textId="77777777" w:rsidR="000E405F" w:rsidRPr="00651DC7" w:rsidRDefault="00C47BCC">
            <w:pPr>
              <w:tabs>
                <w:tab w:val="left" w:pos="284"/>
              </w:tabs>
              <w:spacing w:line="360" w:lineRule="auto"/>
              <w:rPr>
                <w:rFonts w:ascii="Palatino Linotype" w:eastAsia="Palatino Linotype" w:hAnsi="Palatino Linotype" w:cs="Palatino Linotype"/>
                <w:b/>
              </w:rPr>
            </w:pPr>
            <w:r w:rsidRPr="00651DC7">
              <w:rPr>
                <w:rFonts w:ascii="Palatino Linotype" w:eastAsia="Palatino Linotype" w:hAnsi="Palatino Linotype" w:cs="Palatino Linotype"/>
                <w:b/>
              </w:rPr>
              <w:lastRenderedPageBreak/>
              <w:t>c) Formalidades para emitir el acuerdo de clasificación.</w:t>
            </w:r>
          </w:p>
        </w:tc>
        <w:tc>
          <w:tcPr>
            <w:tcW w:w="6521" w:type="dxa"/>
            <w:tcBorders>
              <w:top w:val="single" w:sz="4" w:space="0" w:color="BFBFBF"/>
              <w:left w:val="single" w:sz="4" w:space="0" w:color="BFBFBF"/>
              <w:bottom w:val="single" w:sz="4" w:space="0" w:color="BFBFBF"/>
              <w:right w:val="single" w:sz="4" w:space="0" w:color="BFBFBF"/>
            </w:tcBorders>
          </w:tcPr>
          <w:p w14:paraId="580AEF88"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6940A93"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68667EE5"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Es necesario que </w:t>
            </w:r>
            <w:r w:rsidRPr="00651DC7">
              <w:rPr>
                <w:rFonts w:ascii="Palatino Linotype" w:eastAsia="Palatino Linotype" w:hAnsi="Palatino Linotype" w:cs="Palatino Linotype"/>
                <w:b/>
                <w:color w:val="000000"/>
                <w:u w:val="single"/>
              </w:rPr>
              <w:t>el acto reúna con los requisitos elementales</w:t>
            </w:r>
            <w:r w:rsidRPr="00651DC7">
              <w:rPr>
                <w:rFonts w:ascii="Palatino Linotype" w:eastAsia="Palatino Linotype" w:hAnsi="Palatino Linotype" w:cs="Palatino Linotype"/>
                <w:color w:val="000000"/>
              </w:rPr>
              <w:t>, entre ellos, que la autoridad que va a emitir el acto de autoridad sea la legalmente facultada para ello.</w:t>
            </w:r>
          </w:p>
          <w:p w14:paraId="3F1EFAB2" w14:textId="77777777" w:rsidR="000E405F" w:rsidRPr="00651DC7" w:rsidRDefault="00C47BCC">
            <w:pPr>
              <w:tabs>
                <w:tab w:val="left" w:pos="284"/>
              </w:tabs>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E405F" w:rsidRPr="00651DC7" w14:paraId="1A46B488" w14:textId="77777777">
        <w:tc>
          <w:tcPr>
            <w:tcW w:w="2689" w:type="dxa"/>
            <w:tcBorders>
              <w:top w:val="single" w:sz="4" w:space="0" w:color="BFBFBF"/>
              <w:left w:val="single" w:sz="4" w:space="0" w:color="BFBFBF"/>
              <w:bottom w:val="single" w:sz="4" w:space="0" w:color="BFBFBF"/>
              <w:right w:val="single" w:sz="4" w:space="0" w:color="BFBFBF"/>
            </w:tcBorders>
          </w:tcPr>
          <w:p w14:paraId="4B86100D" w14:textId="77777777" w:rsidR="000E405F" w:rsidRPr="00651DC7" w:rsidRDefault="000E405F">
            <w:pPr>
              <w:tabs>
                <w:tab w:val="left" w:pos="284"/>
              </w:tabs>
              <w:spacing w:line="360" w:lineRule="auto"/>
              <w:rPr>
                <w:rFonts w:ascii="Palatino Linotype" w:eastAsia="Palatino Linotype" w:hAnsi="Palatino Linotype" w:cs="Palatino Linotype"/>
                <w:b/>
              </w:rPr>
            </w:pPr>
          </w:p>
          <w:p w14:paraId="71229AE9" w14:textId="77777777" w:rsidR="000E405F" w:rsidRPr="00651DC7" w:rsidRDefault="00C47BCC">
            <w:pPr>
              <w:tabs>
                <w:tab w:val="left" w:pos="284"/>
              </w:tabs>
              <w:spacing w:line="360" w:lineRule="auto"/>
              <w:jc w:val="both"/>
              <w:rPr>
                <w:rFonts w:ascii="Palatino Linotype" w:eastAsia="Palatino Linotype" w:hAnsi="Palatino Linotype" w:cs="Palatino Linotype"/>
                <w:b/>
              </w:rPr>
            </w:pPr>
            <w:r w:rsidRPr="00651DC7">
              <w:rPr>
                <w:rFonts w:ascii="Palatino Linotype" w:eastAsia="Palatino Linotype" w:hAnsi="Palatino Linotype" w:cs="Palatino Linotype"/>
                <w:b/>
                <w:color w:val="000000"/>
              </w:rPr>
              <w:t xml:space="preserve">d) Requisitos de fondo del acuerdo de clasificación. </w:t>
            </w:r>
          </w:p>
        </w:tc>
        <w:tc>
          <w:tcPr>
            <w:tcW w:w="6521" w:type="dxa"/>
            <w:tcBorders>
              <w:top w:val="single" w:sz="4" w:space="0" w:color="BFBFBF"/>
              <w:left w:val="single" w:sz="4" w:space="0" w:color="BFBFBF"/>
              <w:bottom w:val="single" w:sz="4" w:space="0" w:color="BFBFBF"/>
              <w:right w:val="single" w:sz="4" w:space="0" w:color="BFBFBF"/>
            </w:tcBorders>
          </w:tcPr>
          <w:p w14:paraId="579DD4D4"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51DC7">
              <w:rPr>
                <w:rFonts w:ascii="Palatino Linotype" w:eastAsia="Palatino Linotype" w:hAnsi="Palatino Linotype" w:cs="Palatino Linotype"/>
                <w:b/>
                <w:color w:val="000000"/>
              </w:rPr>
              <w:t>Sujetos Obligados</w:t>
            </w:r>
            <w:r w:rsidRPr="00651DC7">
              <w:rPr>
                <w:rFonts w:ascii="Palatino Linotype" w:eastAsia="Palatino Linotype" w:hAnsi="Palatino Linotype" w:cs="Palatino Linotype"/>
                <w:color w:val="000000"/>
              </w:rPr>
              <w:t xml:space="preserve">, por lo que deberán fundar y motivar debidamente la clasificación. </w:t>
            </w:r>
          </w:p>
          <w:p w14:paraId="5CFAB057"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De lo anterior, se desprende que para una correcta </w:t>
            </w:r>
            <w:r w:rsidRPr="00651DC7">
              <w:rPr>
                <w:rFonts w:ascii="Palatino Linotype" w:eastAsia="Palatino Linotype" w:hAnsi="Palatino Linotype" w:cs="Palatino Linotype"/>
                <w:b/>
                <w:color w:val="000000"/>
              </w:rPr>
              <w:t>clasificación total o parcial</w:t>
            </w:r>
            <w:r w:rsidRPr="00651DC7">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84BE5F4"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32C18E25"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w:t>
            </w:r>
            <w:r w:rsidRPr="00651DC7">
              <w:rPr>
                <w:rFonts w:ascii="Palatino Linotype" w:eastAsia="Palatino Linotype" w:hAnsi="Palatino Linotype" w:cs="Palatino Linotype"/>
                <w:color w:val="000000"/>
              </w:rPr>
              <w:lastRenderedPageBreak/>
              <w:t>las razones, motivos o circunstancias que tomó en cuenta la autoridad para adecuar el hecho a los fundamentos de derecho. De este modo, la persona que se sienta afectada pueda impugnar la decisión, permitiéndole una real y auténtica defensa.</w:t>
            </w:r>
          </w:p>
          <w:p w14:paraId="4676E660"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5A70CEE9"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34BE98E9"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0EFCFB70"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Ahora bien, </w:t>
            </w:r>
            <w:r w:rsidRPr="00651DC7">
              <w:rPr>
                <w:rFonts w:ascii="Palatino Linotype" w:eastAsia="Palatino Linotype" w:hAnsi="Palatino Linotype" w:cs="Palatino Linotype"/>
                <w:b/>
                <w:color w:val="000000"/>
                <w:u w:val="single"/>
              </w:rPr>
              <w:t>para cada caso además de fundar y motivar</w:t>
            </w:r>
            <w:r w:rsidRPr="00651DC7">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E405F" w:rsidRPr="00651DC7" w14:paraId="04A699C0" w14:textId="77777777">
        <w:tc>
          <w:tcPr>
            <w:tcW w:w="2689" w:type="dxa"/>
            <w:tcBorders>
              <w:top w:val="single" w:sz="4" w:space="0" w:color="BFBFBF"/>
              <w:left w:val="single" w:sz="4" w:space="0" w:color="BFBFBF"/>
              <w:bottom w:val="single" w:sz="4" w:space="0" w:color="BFBFBF"/>
              <w:right w:val="single" w:sz="4" w:space="0" w:color="BFBFBF"/>
            </w:tcBorders>
          </w:tcPr>
          <w:p w14:paraId="25888BC4"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b/>
              </w:rPr>
            </w:pPr>
            <w:r w:rsidRPr="00651DC7">
              <w:rPr>
                <w:rFonts w:ascii="Palatino Linotype" w:eastAsia="Palatino Linotype" w:hAnsi="Palatino Linotype" w:cs="Palatino Linotype"/>
                <w:b/>
              </w:rPr>
              <w:lastRenderedPageBreak/>
              <w:t xml:space="preserve">e) Condiciones especiales de la clasificación de la información como confidencial. </w:t>
            </w:r>
          </w:p>
        </w:tc>
        <w:tc>
          <w:tcPr>
            <w:tcW w:w="6521" w:type="dxa"/>
            <w:tcBorders>
              <w:top w:val="single" w:sz="4" w:space="0" w:color="BFBFBF"/>
              <w:left w:val="single" w:sz="4" w:space="0" w:color="BFBFBF"/>
              <w:bottom w:val="single" w:sz="4" w:space="0" w:color="BFBFBF"/>
              <w:right w:val="single" w:sz="4" w:space="0" w:color="BFBFBF"/>
            </w:tcBorders>
          </w:tcPr>
          <w:p w14:paraId="0266A730"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37288CC4"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29AD1B1E" w14:textId="77777777" w:rsidR="000E405F" w:rsidRPr="00651DC7" w:rsidRDefault="00C47BCC">
            <w:pPr>
              <w:tabs>
                <w:tab w:val="left" w:pos="284"/>
              </w:tabs>
              <w:spacing w:line="360" w:lineRule="auto"/>
              <w:ind w:right="49"/>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0F60531" w14:textId="77777777" w:rsidR="000E405F" w:rsidRPr="00651DC7" w:rsidRDefault="000E405F">
            <w:pPr>
              <w:tabs>
                <w:tab w:val="left" w:pos="284"/>
              </w:tabs>
              <w:spacing w:line="360" w:lineRule="auto"/>
              <w:ind w:right="49"/>
              <w:jc w:val="both"/>
              <w:rPr>
                <w:rFonts w:ascii="Palatino Linotype" w:eastAsia="Palatino Linotype" w:hAnsi="Palatino Linotype" w:cs="Palatino Linotype"/>
                <w:color w:val="000000"/>
              </w:rPr>
            </w:pPr>
          </w:p>
          <w:p w14:paraId="29322AF4" w14:textId="77777777" w:rsidR="000E405F" w:rsidRPr="00651DC7" w:rsidRDefault="00C47BCC">
            <w:pPr>
              <w:tabs>
                <w:tab w:val="left" w:pos="284"/>
              </w:tabs>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6651CB1" w14:textId="77777777" w:rsidR="000E405F" w:rsidRPr="00651DC7" w:rsidRDefault="000E405F">
      <w:pPr>
        <w:tabs>
          <w:tab w:val="left" w:pos="284"/>
        </w:tabs>
        <w:spacing w:line="360" w:lineRule="auto"/>
        <w:rPr>
          <w:rFonts w:ascii="Palatino Linotype" w:eastAsia="Palatino Linotype" w:hAnsi="Palatino Linotype" w:cs="Palatino Linotype"/>
          <w:color w:val="000000"/>
        </w:rPr>
      </w:pPr>
    </w:p>
    <w:p w14:paraId="700A5FC8" w14:textId="77777777" w:rsidR="000E405F" w:rsidRPr="00651DC7" w:rsidRDefault="00C47BCC">
      <w:pPr>
        <w:numPr>
          <w:ilvl w:val="0"/>
          <w:numId w:val="1"/>
        </w:numPr>
        <w:spacing w:line="360" w:lineRule="auto"/>
        <w:ind w:left="0"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rPr>
        <w:lastRenderedPageBreak/>
        <w:t xml:space="preserve">Si el </w:t>
      </w:r>
      <w:r w:rsidRPr="00651DC7">
        <w:rPr>
          <w:rFonts w:ascii="Palatino Linotype" w:eastAsia="Palatino Linotype" w:hAnsi="Palatino Linotype" w:cs="Palatino Linotype"/>
          <w:color w:val="000000"/>
        </w:rPr>
        <w:t>servidor</w:t>
      </w:r>
      <w:r w:rsidRPr="00651DC7">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sidRPr="00651DC7">
        <w:rPr>
          <w:rFonts w:ascii="Palatino Linotype" w:eastAsia="Palatino Linotype" w:hAnsi="Palatino Linotype" w:cs="Palatino Linotype"/>
          <w:color w:val="000000"/>
        </w:rPr>
        <w:t>establecidas</w:t>
      </w:r>
      <w:r w:rsidRPr="00651DC7">
        <w:rPr>
          <w:rFonts w:ascii="Palatino Linotype" w:eastAsia="Palatino Linotype" w:hAnsi="Palatino Linotype" w:cs="Palatino Linotype"/>
        </w:rPr>
        <w:t>, asimismo que si entrega un documento testado sin el debido acuerdo de clasificación.</w:t>
      </w:r>
    </w:p>
    <w:p w14:paraId="59095F4F" w14:textId="77777777" w:rsidR="000E405F" w:rsidRPr="00651DC7" w:rsidRDefault="000E405F">
      <w:pPr>
        <w:pStyle w:val="Ttulo3"/>
        <w:spacing w:line="360" w:lineRule="auto"/>
        <w:jc w:val="both"/>
        <w:rPr>
          <w:rFonts w:ascii="Palatino Linotype" w:eastAsia="Palatino Linotype" w:hAnsi="Palatino Linotype" w:cs="Palatino Linotype"/>
        </w:rPr>
      </w:pPr>
      <w:bookmarkStart w:id="12" w:name="_heading=h.2qq9rklnwuw0" w:colFirst="0" w:colLast="0"/>
      <w:bookmarkEnd w:id="12"/>
    </w:p>
    <w:p w14:paraId="579A4A04" w14:textId="77777777" w:rsidR="000E405F" w:rsidRPr="00651DC7" w:rsidRDefault="00C47BCC">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Por lo anteriormente expuesto, este Instituto estima que las razones o motivos de inconformidad hechos valer por el</w:t>
      </w:r>
      <w:r w:rsidRPr="00651DC7">
        <w:rPr>
          <w:rFonts w:ascii="Palatino Linotype" w:eastAsia="Palatino Linotype" w:hAnsi="Palatino Linotype" w:cs="Palatino Linotype"/>
          <w:b/>
          <w:color w:val="000000"/>
        </w:rPr>
        <w:t xml:space="preserve"> RECURRENTE</w:t>
      </w:r>
      <w:r w:rsidRPr="00651DC7">
        <w:rPr>
          <w:rFonts w:ascii="Palatino Linotype" w:eastAsia="Palatino Linotype" w:hAnsi="Palatino Linotype" w:cs="Palatino Linotype"/>
          <w:color w:val="000000"/>
        </w:rPr>
        <w:t xml:space="preserve"> devienen </w:t>
      </w:r>
      <w:r w:rsidRPr="00651DC7">
        <w:rPr>
          <w:rFonts w:ascii="Palatino Linotype" w:eastAsia="Palatino Linotype" w:hAnsi="Palatino Linotype" w:cs="Palatino Linotype"/>
          <w:b/>
          <w:color w:val="000000"/>
        </w:rPr>
        <w:t>fundadas</w:t>
      </w:r>
      <w:r w:rsidRPr="00651DC7">
        <w:rPr>
          <w:rFonts w:ascii="Palatino Linotype" w:eastAsia="Palatino Linotype" w:hAnsi="Palatino Linotype" w:cs="Palatino Linotype"/>
          <w:color w:val="000000"/>
        </w:rPr>
        <w:t xml:space="preserve"> y suficientes para </w:t>
      </w:r>
      <w:r w:rsidRPr="00651DC7">
        <w:rPr>
          <w:rFonts w:ascii="Palatino Linotype" w:eastAsia="Palatino Linotype" w:hAnsi="Palatino Linotype" w:cs="Palatino Linotype"/>
          <w:b/>
          <w:color w:val="000000"/>
        </w:rPr>
        <w:t>REVOCAR</w:t>
      </w:r>
      <w:r w:rsidRPr="00651DC7">
        <w:rPr>
          <w:rFonts w:ascii="Palatino Linotype" w:eastAsia="Palatino Linotype" w:hAnsi="Palatino Linotype" w:cs="Palatino Linotype"/>
          <w:color w:val="000000"/>
        </w:rPr>
        <w:t xml:space="preserve"> la respuesta del </w:t>
      </w:r>
      <w:r w:rsidRPr="00651DC7">
        <w:rPr>
          <w:rFonts w:ascii="Palatino Linotype" w:eastAsia="Palatino Linotype" w:hAnsi="Palatino Linotype" w:cs="Palatino Linotype"/>
          <w:b/>
          <w:color w:val="000000"/>
        </w:rPr>
        <w:t>SUJETO OBLIGADO</w:t>
      </w:r>
      <w:r w:rsidRPr="00651DC7">
        <w:rPr>
          <w:rFonts w:ascii="Palatino Linotype" w:eastAsia="Palatino Linotype" w:hAnsi="Palatino Linotype" w:cs="Palatino Linotype"/>
          <w:color w:val="000000"/>
        </w:rPr>
        <w:t xml:space="preserve"> y ordenarle haga entrega de la información precisada en el presente considerando.</w:t>
      </w:r>
    </w:p>
    <w:p w14:paraId="55166002" w14:textId="77777777" w:rsidR="000E405F" w:rsidRPr="00651DC7" w:rsidRDefault="000E405F">
      <w:pPr>
        <w:spacing w:line="360" w:lineRule="auto"/>
        <w:ind w:right="113"/>
        <w:jc w:val="both"/>
        <w:rPr>
          <w:rFonts w:ascii="Palatino Linotype" w:eastAsia="Palatino Linotype" w:hAnsi="Palatino Linotype" w:cs="Palatino Linotype"/>
          <w:color w:val="000000"/>
        </w:rPr>
      </w:pPr>
    </w:p>
    <w:p w14:paraId="566DFD6C" w14:textId="77777777" w:rsidR="000E405F" w:rsidRPr="00651DC7" w:rsidRDefault="00C47BCC">
      <w:pPr>
        <w:numPr>
          <w:ilvl w:val="0"/>
          <w:numId w:val="1"/>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651DC7">
        <w:rPr>
          <w:rFonts w:ascii="Palatino Linotype" w:eastAsia="Palatino Linotype" w:hAnsi="Palatino Linotype" w:cs="Palatino Linotype"/>
          <w:color w:val="000000"/>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4A00A20" w14:textId="77777777" w:rsidR="000E405F" w:rsidRPr="00651DC7" w:rsidRDefault="00C47BCC">
      <w:pPr>
        <w:pStyle w:val="Ttulo1"/>
        <w:spacing w:line="360" w:lineRule="auto"/>
        <w:jc w:val="center"/>
        <w:rPr>
          <w:rFonts w:ascii="Palatino Linotype" w:eastAsia="Palatino Linotype" w:hAnsi="Palatino Linotype" w:cs="Palatino Linotype"/>
          <w:sz w:val="24"/>
          <w:szCs w:val="24"/>
        </w:rPr>
      </w:pPr>
      <w:bookmarkStart w:id="13" w:name="_heading=h.2s8eyo1" w:colFirst="0" w:colLast="0"/>
      <w:bookmarkEnd w:id="13"/>
      <w:r w:rsidRPr="00651DC7">
        <w:rPr>
          <w:rFonts w:ascii="Palatino Linotype" w:eastAsia="Palatino Linotype" w:hAnsi="Palatino Linotype" w:cs="Palatino Linotype"/>
          <w:sz w:val="24"/>
          <w:szCs w:val="24"/>
        </w:rPr>
        <w:t>RESUELVE</w:t>
      </w:r>
    </w:p>
    <w:p w14:paraId="1AB14B10" w14:textId="77777777" w:rsidR="000E405F" w:rsidRPr="00651DC7" w:rsidRDefault="00C47BCC">
      <w:pPr>
        <w:widowControl w:val="0"/>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t>PRIMERO.</w:t>
      </w:r>
      <w:r w:rsidRPr="00651DC7">
        <w:rPr>
          <w:rFonts w:ascii="Palatino Linotype" w:eastAsia="Palatino Linotype" w:hAnsi="Palatino Linotype" w:cs="Palatino Linotype"/>
        </w:rPr>
        <w:t xml:space="preserve"> Se</w:t>
      </w:r>
      <w:r w:rsidRPr="00651DC7">
        <w:rPr>
          <w:rFonts w:ascii="Palatino Linotype" w:eastAsia="Palatino Linotype" w:hAnsi="Palatino Linotype" w:cs="Palatino Linotype"/>
          <w:b/>
        </w:rPr>
        <w:t xml:space="preserve"> REVOCA</w:t>
      </w:r>
      <w:r w:rsidRPr="00651DC7">
        <w:rPr>
          <w:rFonts w:ascii="Palatino Linotype" w:eastAsia="Palatino Linotype" w:hAnsi="Palatino Linotype" w:cs="Palatino Linotype"/>
        </w:rPr>
        <w:t xml:space="preserve"> la respuesta entregada por el </w:t>
      </w:r>
      <w:r w:rsidRPr="00651DC7">
        <w:rPr>
          <w:rFonts w:ascii="Palatino Linotype" w:eastAsia="Palatino Linotype" w:hAnsi="Palatino Linotype" w:cs="Palatino Linotype"/>
          <w:b/>
        </w:rPr>
        <w:t>SUJETO OBLIGADO</w:t>
      </w:r>
      <w:r w:rsidRPr="00651DC7">
        <w:rPr>
          <w:rFonts w:ascii="Palatino Linotype" w:eastAsia="Palatino Linotype" w:hAnsi="Palatino Linotype" w:cs="Palatino Linotype"/>
        </w:rPr>
        <w:t xml:space="preserve"> en la solicitud de información </w:t>
      </w:r>
      <w:r w:rsidRPr="00651DC7">
        <w:rPr>
          <w:rFonts w:ascii="Palatino Linotype" w:eastAsia="Palatino Linotype" w:hAnsi="Palatino Linotype" w:cs="Palatino Linotype"/>
          <w:b/>
        </w:rPr>
        <w:t>00306/TEMAMATL/IP/2024</w:t>
      </w:r>
      <w:r w:rsidRPr="00651DC7">
        <w:rPr>
          <w:rFonts w:ascii="Palatino Linotype" w:eastAsia="Palatino Linotype" w:hAnsi="Palatino Linotype" w:cs="Palatino Linotype"/>
        </w:rPr>
        <w:t xml:space="preserve">, por resultar </w:t>
      </w:r>
      <w:r w:rsidRPr="00651DC7">
        <w:rPr>
          <w:rFonts w:ascii="Palatino Linotype" w:eastAsia="Palatino Linotype" w:hAnsi="Palatino Linotype" w:cs="Palatino Linotype"/>
          <w:b/>
        </w:rPr>
        <w:t>FUNDADAS</w:t>
      </w:r>
      <w:r w:rsidRPr="00651DC7">
        <w:rPr>
          <w:rFonts w:ascii="Palatino Linotype" w:eastAsia="Palatino Linotype" w:hAnsi="Palatino Linotype" w:cs="Palatino Linotype"/>
        </w:rPr>
        <w:t xml:space="preserve"> las razones o motivos de inconformidad hechos valer por </w:t>
      </w:r>
      <w:r w:rsidRPr="00651DC7">
        <w:rPr>
          <w:rFonts w:ascii="Palatino Linotype" w:eastAsia="Palatino Linotype" w:hAnsi="Palatino Linotype" w:cs="Palatino Linotype"/>
          <w:b/>
        </w:rPr>
        <w:t>LA PARTE RECURRENTE</w:t>
      </w:r>
      <w:r w:rsidRPr="00651DC7">
        <w:rPr>
          <w:rFonts w:ascii="Palatino Linotype" w:eastAsia="Palatino Linotype" w:hAnsi="Palatino Linotype" w:cs="Palatino Linotype"/>
        </w:rPr>
        <w:t xml:space="preserve"> en el </w:t>
      </w:r>
      <w:r w:rsidRPr="00651DC7">
        <w:rPr>
          <w:rFonts w:ascii="Palatino Linotype" w:eastAsia="Palatino Linotype" w:hAnsi="Palatino Linotype" w:cs="Palatino Linotype"/>
        </w:rPr>
        <w:lastRenderedPageBreak/>
        <w:t xml:space="preserve">Recurso de Revisión </w:t>
      </w:r>
      <w:r w:rsidRPr="00651DC7">
        <w:rPr>
          <w:rFonts w:ascii="Palatino Linotype" w:eastAsia="Palatino Linotype" w:hAnsi="Palatino Linotype" w:cs="Palatino Linotype"/>
          <w:b/>
          <w:color w:val="000000"/>
        </w:rPr>
        <w:t>06588/INFOEM/IP/RR/2024</w:t>
      </w:r>
      <w:r w:rsidRPr="00651DC7">
        <w:rPr>
          <w:rFonts w:ascii="Palatino Linotype" w:eastAsia="Palatino Linotype" w:hAnsi="Palatino Linotype" w:cs="Palatino Linotype"/>
          <w:color w:val="000000"/>
        </w:rPr>
        <w:t>,</w:t>
      </w:r>
      <w:r w:rsidRPr="00651DC7">
        <w:rPr>
          <w:rFonts w:ascii="Palatino Linotype" w:eastAsia="Palatino Linotype" w:hAnsi="Palatino Linotype" w:cs="Palatino Linotype"/>
          <w:b/>
          <w:color w:val="0D0D0D"/>
        </w:rPr>
        <w:t xml:space="preserve"> </w:t>
      </w:r>
      <w:r w:rsidRPr="00651DC7">
        <w:rPr>
          <w:rFonts w:ascii="Palatino Linotype" w:eastAsia="Palatino Linotype" w:hAnsi="Palatino Linotype" w:cs="Palatino Linotype"/>
        </w:rPr>
        <w:t xml:space="preserve">en términos del considerando </w:t>
      </w:r>
      <w:r w:rsidRPr="00651DC7">
        <w:rPr>
          <w:rFonts w:ascii="Palatino Linotype" w:eastAsia="Palatino Linotype" w:hAnsi="Palatino Linotype" w:cs="Palatino Linotype"/>
          <w:b/>
        </w:rPr>
        <w:t xml:space="preserve">CUARTO </w:t>
      </w:r>
      <w:r w:rsidRPr="00651DC7">
        <w:rPr>
          <w:rFonts w:ascii="Palatino Linotype" w:eastAsia="Palatino Linotype" w:hAnsi="Palatino Linotype" w:cs="Palatino Linotype"/>
        </w:rPr>
        <w:t>de la presente Resolución.</w:t>
      </w:r>
    </w:p>
    <w:p w14:paraId="1E996BB2" w14:textId="77777777" w:rsidR="000E405F" w:rsidRPr="00651DC7" w:rsidRDefault="000E405F">
      <w:pPr>
        <w:widowControl w:val="0"/>
        <w:spacing w:line="360" w:lineRule="auto"/>
        <w:jc w:val="both"/>
        <w:rPr>
          <w:rFonts w:ascii="Palatino Linotype" w:eastAsia="Palatino Linotype" w:hAnsi="Palatino Linotype" w:cs="Palatino Linotype"/>
        </w:rPr>
      </w:pPr>
    </w:p>
    <w:p w14:paraId="7EC55F0E" w14:textId="77777777" w:rsidR="000E405F" w:rsidRPr="00651DC7" w:rsidRDefault="00C47BCC">
      <w:pPr>
        <w:spacing w:line="360" w:lineRule="auto"/>
        <w:ind w:right="-93"/>
        <w:jc w:val="both"/>
        <w:rPr>
          <w:rFonts w:ascii="Palatino Linotype" w:eastAsia="Palatino Linotype" w:hAnsi="Palatino Linotype" w:cs="Palatino Linotype"/>
        </w:rPr>
      </w:pPr>
      <w:r w:rsidRPr="00651DC7">
        <w:rPr>
          <w:rFonts w:ascii="Palatino Linotype" w:eastAsia="Palatino Linotype" w:hAnsi="Palatino Linotype" w:cs="Palatino Linotype"/>
          <w:b/>
        </w:rPr>
        <w:t>SEGUNDO.</w:t>
      </w:r>
      <w:r w:rsidRPr="00651DC7">
        <w:rPr>
          <w:rFonts w:ascii="Palatino Linotype" w:eastAsia="Palatino Linotype" w:hAnsi="Palatino Linotype" w:cs="Palatino Linotype"/>
        </w:rPr>
        <w:t xml:space="preserve"> Se </w:t>
      </w:r>
      <w:r w:rsidRPr="00651DC7">
        <w:rPr>
          <w:rFonts w:ascii="Palatino Linotype" w:eastAsia="Palatino Linotype" w:hAnsi="Palatino Linotype" w:cs="Palatino Linotype"/>
          <w:b/>
        </w:rPr>
        <w:t xml:space="preserve">ORDENA </w:t>
      </w:r>
      <w:r w:rsidRPr="00651DC7">
        <w:rPr>
          <w:rFonts w:ascii="Palatino Linotype" w:eastAsia="Palatino Linotype" w:hAnsi="Palatino Linotype" w:cs="Palatino Linotype"/>
        </w:rPr>
        <w:t xml:space="preserve">al </w:t>
      </w:r>
      <w:r w:rsidRPr="00651DC7">
        <w:rPr>
          <w:rFonts w:ascii="Palatino Linotype" w:eastAsia="Palatino Linotype" w:hAnsi="Palatino Linotype" w:cs="Palatino Linotype"/>
          <w:b/>
        </w:rPr>
        <w:t>SUJETO OBLIGADO</w:t>
      </w:r>
      <w:r w:rsidRPr="00651DC7">
        <w:rPr>
          <w:rFonts w:ascii="Palatino Linotype" w:eastAsia="Palatino Linotype" w:hAnsi="Palatino Linotype" w:cs="Palatino Linotype"/>
        </w:rPr>
        <w:t xml:space="preserve">, a efecto de que, entregue a través del </w:t>
      </w:r>
      <w:r w:rsidRPr="00651DC7">
        <w:rPr>
          <w:rFonts w:ascii="Palatino Linotype" w:eastAsia="Palatino Linotype" w:hAnsi="Palatino Linotype" w:cs="Palatino Linotype"/>
          <w:b/>
        </w:rPr>
        <w:t>SAIMEX</w:t>
      </w:r>
      <w:r w:rsidRPr="00651DC7">
        <w:rPr>
          <w:rFonts w:ascii="Palatino Linotype" w:eastAsia="Palatino Linotype" w:hAnsi="Palatino Linotype" w:cs="Palatino Linotype"/>
        </w:rPr>
        <w:t xml:space="preserve">, de ser procedente en </w:t>
      </w:r>
      <w:r w:rsidRPr="00651DC7">
        <w:rPr>
          <w:rFonts w:ascii="Palatino Linotype" w:eastAsia="Palatino Linotype" w:hAnsi="Palatino Linotype" w:cs="Palatino Linotype"/>
          <w:b/>
        </w:rPr>
        <w:t>versión pública</w:t>
      </w:r>
      <w:r w:rsidRPr="00651DC7">
        <w:rPr>
          <w:rFonts w:ascii="Palatino Linotype" w:eastAsia="Palatino Linotype" w:hAnsi="Palatino Linotype" w:cs="Palatino Linotype"/>
        </w:rPr>
        <w:t xml:space="preserve">, los documentos donde conste lo siguiente: </w:t>
      </w:r>
    </w:p>
    <w:p w14:paraId="74DCA2A7" w14:textId="77777777" w:rsidR="000E405F" w:rsidRPr="00651DC7" w:rsidRDefault="000E405F">
      <w:pPr>
        <w:spacing w:line="360" w:lineRule="auto"/>
        <w:ind w:right="-93"/>
        <w:jc w:val="both"/>
        <w:rPr>
          <w:rFonts w:ascii="Palatino Linotype" w:eastAsia="Palatino Linotype" w:hAnsi="Palatino Linotype" w:cs="Palatino Linotype"/>
        </w:rPr>
      </w:pPr>
    </w:p>
    <w:p w14:paraId="4F58E990" w14:textId="77777777" w:rsidR="000E405F" w:rsidRPr="00651DC7" w:rsidRDefault="00C47BCC">
      <w:pPr>
        <w:spacing w:line="360" w:lineRule="auto"/>
        <w:ind w:right="-93"/>
        <w:jc w:val="both"/>
        <w:rPr>
          <w:rFonts w:ascii="Palatino Linotype" w:eastAsia="Palatino Linotype" w:hAnsi="Palatino Linotype" w:cs="Palatino Linotype"/>
        </w:rPr>
      </w:pPr>
      <w:r w:rsidRPr="00651DC7">
        <w:rPr>
          <w:rFonts w:ascii="Palatino Linotype" w:eastAsia="Palatino Linotype" w:hAnsi="Palatino Linotype" w:cs="Palatino Linotype"/>
        </w:rPr>
        <w:t>Del periodo comprendido del 01 de enero de 2022 al 25 de septiembre de 2024:</w:t>
      </w:r>
    </w:p>
    <w:p w14:paraId="21050DC2" w14:textId="77777777" w:rsidR="000E405F" w:rsidRPr="00651DC7" w:rsidRDefault="000E405F">
      <w:pPr>
        <w:spacing w:line="360" w:lineRule="auto"/>
        <w:ind w:right="-93"/>
        <w:jc w:val="both"/>
        <w:rPr>
          <w:rFonts w:ascii="Palatino Linotype" w:eastAsia="Palatino Linotype" w:hAnsi="Palatino Linotype" w:cs="Palatino Linotype"/>
        </w:rPr>
      </w:pPr>
    </w:p>
    <w:p w14:paraId="59ED9A26" w14:textId="77777777" w:rsidR="000D0BB0" w:rsidRPr="00651DC7" w:rsidRDefault="00C47BCC">
      <w:pPr>
        <w:pStyle w:val="Ttulo"/>
        <w:numPr>
          <w:ilvl w:val="0"/>
          <w:numId w:val="7"/>
        </w:numPr>
        <w:spacing w:line="360" w:lineRule="auto"/>
        <w:rPr>
          <w:i w:val="0"/>
          <w:szCs w:val="24"/>
        </w:rPr>
      </w:pPr>
      <w:r w:rsidRPr="00651DC7">
        <w:rPr>
          <w:i w:val="0"/>
          <w:szCs w:val="24"/>
        </w:rPr>
        <w:t>Monto mensual ejercido por concepto del pago de papelería; así como las pólizas de egresos generadas por dicho concepto</w:t>
      </w:r>
      <w:r w:rsidR="000D0BB0" w:rsidRPr="00651DC7">
        <w:rPr>
          <w:i w:val="0"/>
          <w:szCs w:val="24"/>
        </w:rPr>
        <w:t>.</w:t>
      </w:r>
    </w:p>
    <w:p w14:paraId="0B3F995F" w14:textId="77777777" w:rsidR="000D0BB0" w:rsidRPr="00651DC7" w:rsidRDefault="000D0BB0" w:rsidP="000D0BB0">
      <w:pPr>
        <w:pStyle w:val="Ttulo"/>
        <w:spacing w:line="360" w:lineRule="auto"/>
        <w:ind w:left="1287"/>
        <w:rPr>
          <w:i w:val="0"/>
          <w:szCs w:val="24"/>
        </w:rPr>
      </w:pPr>
    </w:p>
    <w:p w14:paraId="21EB84C4" w14:textId="77777777" w:rsidR="000E405F" w:rsidRPr="00651DC7" w:rsidRDefault="00C47BCC">
      <w:pPr>
        <w:pStyle w:val="Ttulo"/>
        <w:numPr>
          <w:ilvl w:val="0"/>
          <w:numId w:val="7"/>
        </w:numPr>
        <w:spacing w:line="360" w:lineRule="auto"/>
        <w:rPr>
          <w:i w:val="0"/>
          <w:szCs w:val="24"/>
        </w:rPr>
      </w:pPr>
      <w:r w:rsidRPr="00651DC7">
        <w:rPr>
          <w:i w:val="0"/>
          <w:szCs w:val="24"/>
        </w:rPr>
        <w:t>El nombre o nombres de los proveedores del gasto de papelería.</w:t>
      </w:r>
    </w:p>
    <w:p w14:paraId="63510FF8" w14:textId="77777777" w:rsidR="000D0BB0" w:rsidRPr="00651DC7" w:rsidRDefault="000D0BB0" w:rsidP="000D0BB0">
      <w:pPr>
        <w:pStyle w:val="Ttulo"/>
        <w:spacing w:line="360" w:lineRule="auto"/>
        <w:ind w:left="0"/>
        <w:rPr>
          <w:i w:val="0"/>
          <w:szCs w:val="24"/>
        </w:rPr>
      </w:pPr>
    </w:p>
    <w:p w14:paraId="37DE82D9" w14:textId="77777777" w:rsidR="000D0BB0" w:rsidRPr="00651DC7" w:rsidRDefault="00967266" w:rsidP="000D0BB0">
      <w:pPr>
        <w:pStyle w:val="Ttulo"/>
        <w:spacing w:line="360" w:lineRule="auto"/>
        <w:ind w:left="0" w:right="113"/>
        <w:rPr>
          <w:i w:val="0"/>
          <w:szCs w:val="24"/>
        </w:rPr>
      </w:pPr>
      <w:r w:rsidRPr="00651DC7">
        <w:rPr>
          <w:i w:val="0"/>
          <w:szCs w:val="24"/>
        </w:rPr>
        <w:t>Para el caso de la información ordenada en el punto “1”, r</w:t>
      </w:r>
      <w:r w:rsidR="000D0BB0" w:rsidRPr="00651DC7">
        <w:rPr>
          <w:i w:val="0"/>
          <w:szCs w:val="24"/>
        </w:rPr>
        <w:t>eferente al monto mensual ejercido</w:t>
      </w:r>
      <w:r w:rsidRPr="00651DC7">
        <w:rPr>
          <w:i w:val="0"/>
          <w:szCs w:val="24"/>
        </w:rPr>
        <w:t xml:space="preserve"> por concepto de papelería</w:t>
      </w:r>
      <w:r w:rsidR="000D0BB0" w:rsidRPr="00651DC7">
        <w:rPr>
          <w:i w:val="0"/>
          <w:szCs w:val="24"/>
        </w:rPr>
        <w:t xml:space="preserve">, </w:t>
      </w:r>
      <w:r w:rsidRPr="00651DC7">
        <w:rPr>
          <w:i w:val="0"/>
          <w:szCs w:val="24"/>
        </w:rPr>
        <w:t>en el supuesto</w:t>
      </w:r>
      <w:r w:rsidR="000D0BB0" w:rsidRPr="00651DC7">
        <w:rPr>
          <w:i w:val="0"/>
          <w:szCs w:val="24"/>
        </w:rPr>
        <w:t xml:space="preserve"> que no se haya generado</w:t>
      </w:r>
      <w:r w:rsidR="007078FD" w:rsidRPr="00651DC7">
        <w:rPr>
          <w:i w:val="0"/>
          <w:szCs w:val="24"/>
        </w:rPr>
        <w:t xml:space="preserve"> dicha información en uno o más meses</w:t>
      </w:r>
      <w:r w:rsidR="000D0BB0" w:rsidRPr="00651DC7">
        <w:rPr>
          <w:i w:val="0"/>
          <w:szCs w:val="24"/>
        </w:rPr>
        <w:t xml:space="preserve">, bastará </w:t>
      </w:r>
      <w:r w:rsidRPr="00651DC7">
        <w:rPr>
          <w:i w:val="0"/>
          <w:szCs w:val="24"/>
        </w:rPr>
        <w:t>con que así se lo haga del conocimiento del</w:t>
      </w:r>
      <w:r w:rsidR="000D0BB0" w:rsidRPr="00651DC7">
        <w:rPr>
          <w:i w:val="0"/>
          <w:szCs w:val="24"/>
        </w:rPr>
        <w:t xml:space="preserve"> Recurrente</w:t>
      </w:r>
      <w:r w:rsidR="007078FD" w:rsidRPr="00651DC7">
        <w:rPr>
          <w:i w:val="0"/>
          <w:szCs w:val="24"/>
        </w:rPr>
        <w:t xml:space="preserve"> de conformidad con el artículo 19, párrafo segundo, de la Ley Local de la Materia</w:t>
      </w:r>
      <w:r w:rsidR="000D0BB0" w:rsidRPr="00651DC7">
        <w:rPr>
          <w:i w:val="0"/>
          <w:szCs w:val="24"/>
        </w:rPr>
        <w:t>.</w:t>
      </w:r>
    </w:p>
    <w:p w14:paraId="6E4E8BEE" w14:textId="77777777" w:rsidR="000E405F" w:rsidRPr="00651DC7" w:rsidRDefault="000E405F">
      <w:pPr>
        <w:spacing w:line="360" w:lineRule="auto"/>
        <w:ind w:right="-93"/>
        <w:jc w:val="both"/>
        <w:rPr>
          <w:rFonts w:ascii="Palatino Linotype" w:eastAsia="Palatino Linotype" w:hAnsi="Palatino Linotype" w:cs="Palatino Linotype"/>
        </w:rPr>
      </w:pPr>
    </w:p>
    <w:p w14:paraId="565B2624" w14:textId="77777777" w:rsidR="000E405F" w:rsidRPr="00651DC7" w:rsidRDefault="00C47BCC">
      <w:pPr>
        <w:spacing w:line="360" w:lineRule="auto"/>
        <w:ind w:right="-29"/>
        <w:jc w:val="both"/>
        <w:rPr>
          <w:rFonts w:ascii="Palatino Linotype" w:eastAsia="Palatino Linotype" w:hAnsi="Palatino Linotype" w:cs="Palatino Linotype"/>
        </w:rPr>
      </w:pPr>
      <w:r w:rsidRPr="00651DC7">
        <w:rPr>
          <w:rFonts w:ascii="Palatino Linotype" w:eastAsia="Palatino Linotype" w:hAnsi="Palatino Linotype" w:cs="Palatino Linotype"/>
        </w:rPr>
        <w:lastRenderedPageBreak/>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01D31683" w14:textId="77777777" w:rsidR="000E405F" w:rsidRPr="00651DC7" w:rsidRDefault="000E405F">
      <w:pPr>
        <w:spacing w:line="360" w:lineRule="auto"/>
        <w:ind w:left="567" w:right="539"/>
        <w:jc w:val="both"/>
        <w:rPr>
          <w:rFonts w:ascii="Palatino Linotype" w:eastAsia="Palatino Linotype" w:hAnsi="Palatino Linotype" w:cs="Palatino Linotype"/>
          <w:i/>
        </w:rPr>
      </w:pPr>
    </w:p>
    <w:p w14:paraId="1A13547E" w14:textId="77777777" w:rsidR="000E405F" w:rsidRPr="00651DC7" w:rsidRDefault="00C47BCC">
      <w:p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t>TERCERO.</w:t>
      </w:r>
      <w:r w:rsidRPr="00651DC7">
        <w:rPr>
          <w:rFonts w:ascii="Palatino Linotype" w:eastAsia="Palatino Linotype" w:hAnsi="Palatino Linotype" w:cs="Palatino Linotype"/>
        </w:rPr>
        <w:t xml:space="preserve"> </w:t>
      </w:r>
      <w:r w:rsidRPr="00651DC7">
        <w:rPr>
          <w:rFonts w:ascii="Palatino Linotype" w:eastAsia="Palatino Linotype" w:hAnsi="Palatino Linotype" w:cs="Palatino Linotype"/>
          <w:b/>
          <w:color w:val="000000"/>
        </w:rPr>
        <w:t xml:space="preserve">Notifíquese </w:t>
      </w:r>
      <w:r w:rsidRPr="00651DC7">
        <w:rPr>
          <w:rFonts w:ascii="Palatino Linotype" w:eastAsia="Palatino Linotype" w:hAnsi="Palatino Linotype" w:cs="Palatino Linotype"/>
        </w:rPr>
        <w:t>vía Sistema de Acceso a la Información Mexiquense (</w:t>
      </w:r>
      <w:r w:rsidRPr="00651DC7">
        <w:rPr>
          <w:rFonts w:ascii="Palatino Linotype" w:eastAsia="Palatino Linotype" w:hAnsi="Palatino Linotype" w:cs="Palatino Linotype"/>
          <w:b/>
        </w:rPr>
        <w:t>SAIMEX</w:t>
      </w:r>
      <w:r w:rsidRPr="00651DC7">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9D2264" w14:textId="77777777" w:rsidR="000E405F" w:rsidRPr="00651DC7" w:rsidRDefault="000E405F">
      <w:pPr>
        <w:spacing w:line="360" w:lineRule="auto"/>
        <w:jc w:val="both"/>
        <w:rPr>
          <w:rFonts w:ascii="Palatino Linotype" w:eastAsia="Palatino Linotype" w:hAnsi="Palatino Linotype" w:cs="Palatino Linotype"/>
        </w:rPr>
      </w:pPr>
    </w:p>
    <w:p w14:paraId="113D4526" w14:textId="77777777" w:rsidR="000E405F" w:rsidRPr="00651DC7" w:rsidRDefault="00C47BCC">
      <w:p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t>CUARTO.</w:t>
      </w:r>
      <w:r w:rsidRPr="00651DC7">
        <w:rPr>
          <w:rFonts w:ascii="Palatino Linotype" w:eastAsia="Palatino Linotype" w:hAnsi="Palatino Linotype" w:cs="Palatino Linotype"/>
        </w:rPr>
        <w:t xml:space="preserve"> Notifíquese a </w:t>
      </w:r>
      <w:r w:rsidRPr="00651DC7">
        <w:rPr>
          <w:rFonts w:ascii="Palatino Linotype" w:eastAsia="Palatino Linotype" w:hAnsi="Palatino Linotype" w:cs="Palatino Linotype"/>
          <w:b/>
        </w:rPr>
        <w:t>LA PARTE RECURRENTE</w:t>
      </w:r>
      <w:r w:rsidRPr="00651DC7">
        <w:rPr>
          <w:rFonts w:ascii="Palatino Linotype" w:eastAsia="Palatino Linotype" w:hAnsi="Palatino Linotype" w:cs="Palatino Linotype"/>
        </w:rPr>
        <w:t xml:space="preserve"> la presente resolución vía Sistema de Acceso a la Información Mexiquense (</w:t>
      </w:r>
      <w:r w:rsidRPr="00651DC7">
        <w:rPr>
          <w:rFonts w:ascii="Palatino Linotype" w:eastAsia="Palatino Linotype" w:hAnsi="Palatino Linotype" w:cs="Palatino Linotype"/>
          <w:b/>
        </w:rPr>
        <w:t>SAIMEX</w:t>
      </w:r>
      <w:r w:rsidRPr="00651DC7">
        <w:rPr>
          <w:rFonts w:ascii="Palatino Linotype" w:eastAsia="Palatino Linotype" w:hAnsi="Palatino Linotype" w:cs="Palatino Linotype"/>
        </w:rPr>
        <w:t>).</w:t>
      </w:r>
    </w:p>
    <w:p w14:paraId="76928F27" w14:textId="77777777" w:rsidR="000E405F" w:rsidRPr="00651DC7" w:rsidRDefault="000E405F">
      <w:pPr>
        <w:spacing w:line="360" w:lineRule="auto"/>
        <w:jc w:val="both"/>
        <w:rPr>
          <w:rFonts w:ascii="Palatino Linotype" w:eastAsia="Palatino Linotype" w:hAnsi="Palatino Linotype" w:cs="Palatino Linotype"/>
        </w:rPr>
      </w:pPr>
    </w:p>
    <w:p w14:paraId="6F8ACEE4" w14:textId="77777777" w:rsidR="000E405F" w:rsidRPr="00651DC7" w:rsidRDefault="00C47BCC">
      <w:p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lastRenderedPageBreak/>
        <w:t>QUINTO</w:t>
      </w:r>
      <w:r w:rsidRPr="00651DC7">
        <w:rPr>
          <w:rFonts w:ascii="Palatino Linotype" w:eastAsia="Palatino Linotype" w:hAnsi="Palatino Linotype" w:cs="Palatino Linotype"/>
        </w:rPr>
        <w:t xml:space="preserve">. Hágase del conocimiento a </w:t>
      </w:r>
      <w:r w:rsidRPr="00651DC7">
        <w:rPr>
          <w:rFonts w:ascii="Palatino Linotype" w:eastAsia="Palatino Linotype" w:hAnsi="Palatino Linotype" w:cs="Palatino Linotype"/>
          <w:b/>
        </w:rPr>
        <w:t>LA PARTE RECURRENTE</w:t>
      </w:r>
      <w:r w:rsidRPr="00651DC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B2FE741" w14:textId="77777777" w:rsidR="000E405F" w:rsidRPr="00651DC7" w:rsidRDefault="000E405F">
      <w:pPr>
        <w:spacing w:line="360" w:lineRule="auto"/>
        <w:jc w:val="both"/>
        <w:rPr>
          <w:rFonts w:ascii="Palatino Linotype" w:eastAsia="Palatino Linotype" w:hAnsi="Palatino Linotype" w:cs="Palatino Linotype"/>
        </w:rPr>
      </w:pPr>
    </w:p>
    <w:p w14:paraId="37C78E24" w14:textId="77777777" w:rsidR="000E405F" w:rsidRPr="00651DC7" w:rsidRDefault="00C47BCC">
      <w:pPr>
        <w:spacing w:line="360" w:lineRule="auto"/>
        <w:jc w:val="both"/>
        <w:rPr>
          <w:rFonts w:ascii="Palatino Linotype" w:eastAsia="Palatino Linotype" w:hAnsi="Palatino Linotype" w:cs="Palatino Linotype"/>
        </w:rPr>
      </w:pPr>
      <w:r w:rsidRPr="00651DC7">
        <w:rPr>
          <w:rFonts w:ascii="Palatino Linotype" w:eastAsia="Palatino Linotype" w:hAnsi="Palatino Linotype" w:cs="Palatino Linotype"/>
          <w:b/>
        </w:rPr>
        <w:t>SEXTO.</w:t>
      </w:r>
      <w:r w:rsidRPr="00651DC7">
        <w:rPr>
          <w:rFonts w:ascii="Palatino Linotype" w:eastAsia="Palatino Linotype" w:hAnsi="Palatino Linotype" w:cs="Palatino Linotype"/>
        </w:rPr>
        <w:t xml:space="preserve"> De conformidad con el artículo 198 de la Ley de Transparencia y Acceso a la Información Pública del Estado de México y Municipios, el </w:t>
      </w:r>
      <w:r w:rsidRPr="00651DC7">
        <w:rPr>
          <w:rFonts w:ascii="Palatino Linotype" w:eastAsia="Palatino Linotype" w:hAnsi="Palatino Linotype" w:cs="Palatino Linotype"/>
          <w:b/>
        </w:rPr>
        <w:t>SUJETO OBLIGADO</w:t>
      </w:r>
      <w:r w:rsidRPr="00651DC7">
        <w:rPr>
          <w:rFonts w:ascii="Palatino Linotype" w:eastAsia="Palatino Linotype" w:hAnsi="Palatino Linotype" w:cs="Palatino Linotype"/>
        </w:rPr>
        <w:t xml:space="preserve"> podrá solicitar una ampliación de plazo de manera fundada y motivada, para el cumplimiento de la presente resolución.</w:t>
      </w:r>
    </w:p>
    <w:p w14:paraId="7DA4D9A2" w14:textId="77777777" w:rsidR="000E405F" w:rsidRPr="00651DC7" w:rsidRDefault="000E405F">
      <w:pPr>
        <w:spacing w:line="360" w:lineRule="auto"/>
        <w:jc w:val="both"/>
        <w:rPr>
          <w:rFonts w:ascii="Palatino Linotype" w:eastAsia="Palatino Linotype" w:hAnsi="Palatino Linotype" w:cs="Palatino Linotype"/>
          <w:color w:val="000000"/>
        </w:rPr>
      </w:pPr>
    </w:p>
    <w:p w14:paraId="383E24E5" w14:textId="77777777" w:rsidR="00B01F06" w:rsidRPr="003C7186" w:rsidRDefault="00B01F06" w:rsidP="00B01F06">
      <w:pPr>
        <w:spacing w:line="360" w:lineRule="auto"/>
        <w:ind w:left="-142" w:right="-234" w:firstLine="1"/>
        <w:jc w:val="both"/>
        <w:rPr>
          <w:rFonts w:ascii="Palatino Linotype" w:hAnsi="Palatino Linotype"/>
        </w:rPr>
      </w:pPr>
      <w:r w:rsidRPr="00651DC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431A4793" w14:textId="77777777" w:rsidR="000E405F" w:rsidRDefault="000E405F">
      <w:pPr>
        <w:pBdr>
          <w:top w:val="nil"/>
          <w:left w:val="nil"/>
          <w:bottom w:val="nil"/>
          <w:right w:val="nil"/>
          <w:between w:val="nil"/>
        </w:pBdr>
        <w:spacing w:line="360" w:lineRule="auto"/>
        <w:ind w:right="34"/>
        <w:jc w:val="both"/>
        <w:rPr>
          <w:rFonts w:ascii="Palatino Linotype" w:eastAsia="Palatino Linotype" w:hAnsi="Palatino Linotype" w:cs="Palatino Linotype"/>
        </w:rPr>
      </w:pPr>
    </w:p>
    <w:p w14:paraId="623898D5" w14:textId="77777777" w:rsidR="000E405F" w:rsidRDefault="000E405F">
      <w:pPr>
        <w:pBdr>
          <w:top w:val="nil"/>
          <w:left w:val="nil"/>
          <w:bottom w:val="nil"/>
          <w:right w:val="nil"/>
          <w:between w:val="nil"/>
        </w:pBdr>
        <w:spacing w:line="360" w:lineRule="auto"/>
        <w:ind w:right="34"/>
        <w:jc w:val="both"/>
        <w:rPr>
          <w:rFonts w:ascii="Palatino Linotype" w:eastAsia="Palatino Linotype" w:hAnsi="Palatino Linotype" w:cs="Palatino Linotype"/>
        </w:rPr>
      </w:pPr>
    </w:p>
    <w:p w14:paraId="304C19B1" w14:textId="77777777" w:rsidR="000E405F" w:rsidRDefault="000E405F">
      <w:pPr>
        <w:pBdr>
          <w:top w:val="nil"/>
          <w:left w:val="nil"/>
          <w:bottom w:val="nil"/>
          <w:right w:val="nil"/>
          <w:between w:val="nil"/>
        </w:pBdr>
        <w:spacing w:line="360" w:lineRule="auto"/>
        <w:ind w:right="34"/>
        <w:jc w:val="both"/>
        <w:rPr>
          <w:rFonts w:ascii="Palatino Linotype" w:eastAsia="Palatino Linotype" w:hAnsi="Palatino Linotype" w:cs="Palatino Linotype"/>
        </w:rPr>
      </w:pPr>
    </w:p>
    <w:p w14:paraId="72826DDE" w14:textId="77777777" w:rsidR="000E405F" w:rsidRDefault="000E405F">
      <w:pPr>
        <w:pBdr>
          <w:top w:val="nil"/>
          <w:left w:val="nil"/>
          <w:bottom w:val="nil"/>
          <w:right w:val="nil"/>
          <w:between w:val="nil"/>
        </w:pBdr>
        <w:spacing w:line="360" w:lineRule="auto"/>
        <w:ind w:right="34"/>
        <w:jc w:val="both"/>
        <w:rPr>
          <w:rFonts w:ascii="Palatino Linotype" w:eastAsia="Palatino Linotype" w:hAnsi="Palatino Linotype" w:cs="Palatino Linotype"/>
        </w:rPr>
      </w:pPr>
    </w:p>
    <w:p w14:paraId="10BDE44C" w14:textId="77777777" w:rsidR="000E405F" w:rsidRDefault="000E405F">
      <w:pPr>
        <w:pBdr>
          <w:top w:val="nil"/>
          <w:left w:val="nil"/>
          <w:bottom w:val="nil"/>
          <w:right w:val="nil"/>
          <w:between w:val="nil"/>
        </w:pBdr>
        <w:spacing w:line="360" w:lineRule="auto"/>
        <w:ind w:right="34"/>
        <w:jc w:val="both"/>
        <w:rPr>
          <w:rFonts w:ascii="Palatino Linotype" w:eastAsia="Palatino Linotype" w:hAnsi="Palatino Linotype" w:cs="Palatino Linotype"/>
        </w:rPr>
      </w:pPr>
    </w:p>
    <w:sectPr w:rsidR="000E405F">
      <w:headerReference w:type="even" r:id="rId15"/>
      <w:headerReference w:type="default" r:id="rId16"/>
      <w:footerReference w:type="default" r:id="rId17"/>
      <w:headerReference w:type="first" r:id="rId18"/>
      <w:footerReference w:type="first" r:id="rId19"/>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1F75" w14:textId="77777777" w:rsidR="00F45D3C" w:rsidRDefault="00F45D3C">
      <w:r>
        <w:separator/>
      </w:r>
    </w:p>
  </w:endnote>
  <w:endnote w:type="continuationSeparator" w:id="0">
    <w:p w14:paraId="608CF380" w14:textId="77777777" w:rsidR="00F45D3C" w:rsidRDefault="00F4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1420" w14:textId="77777777" w:rsidR="000E405F" w:rsidRDefault="00C47BC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01F06">
      <w:rPr>
        <w:b/>
        <w:noProof/>
        <w:color w:val="000000"/>
      </w:rPr>
      <w:t>50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01F06">
      <w:rPr>
        <w:b/>
        <w:noProof/>
        <w:color w:val="000000"/>
      </w:rPr>
      <w:t>52</w:t>
    </w:r>
    <w:r>
      <w:rPr>
        <w:b/>
        <w:color w:val="000000"/>
      </w:rPr>
      <w:fldChar w:fldCharType="end"/>
    </w:r>
  </w:p>
  <w:p w14:paraId="23AE0A23" w14:textId="77777777" w:rsidR="000E405F" w:rsidRDefault="000E405F">
    <w:pPr>
      <w:pBdr>
        <w:top w:val="nil"/>
        <w:left w:val="nil"/>
        <w:bottom w:val="nil"/>
        <w:right w:val="nil"/>
        <w:between w:val="nil"/>
      </w:pBdr>
      <w:tabs>
        <w:tab w:val="center" w:pos="4419"/>
        <w:tab w:val="right" w:pos="8838"/>
      </w:tabs>
      <w:rPr>
        <w:color w:val="000000"/>
      </w:rPr>
    </w:pPr>
  </w:p>
  <w:p w14:paraId="66C79384" w14:textId="77777777" w:rsidR="000E405F" w:rsidRDefault="000E40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59F5" w14:textId="77777777" w:rsidR="000E405F" w:rsidRDefault="00C47BC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01F0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01F06">
      <w:rPr>
        <w:b/>
        <w:noProof/>
        <w:color w:val="000000"/>
      </w:rPr>
      <w:t>52</w:t>
    </w:r>
    <w:r>
      <w:rPr>
        <w:b/>
        <w:color w:val="000000"/>
      </w:rPr>
      <w:fldChar w:fldCharType="end"/>
    </w:r>
  </w:p>
  <w:p w14:paraId="1E13E7A5" w14:textId="77777777" w:rsidR="000E405F" w:rsidRDefault="000E405F">
    <w:pPr>
      <w:pBdr>
        <w:top w:val="nil"/>
        <w:left w:val="nil"/>
        <w:bottom w:val="nil"/>
        <w:right w:val="nil"/>
        <w:between w:val="nil"/>
      </w:pBdr>
      <w:tabs>
        <w:tab w:val="center" w:pos="4419"/>
        <w:tab w:val="right" w:pos="8838"/>
      </w:tabs>
      <w:rPr>
        <w:color w:val="000000"/>
      </w:rPr>
    </w:pPr>
  </w:p>
  <w:p w14:paraId="7CAA5E09" w14:textId="77777777" w:rsidR="000E405F" w:rsidRDefault="000E4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9CCB" w14:textId="77777777" w:rsidR="00F45D3C" w:rsidRDefault="00F45D3C">
      <w:r>
        <w:separator/>
      </w:r>
    </w:p>
  </w:footnote>
  <w:footnote w:type="continuationSeparator" w:id="0">
    <w:p w14:paraId="2B7345F8" w14:textId="77777777" w:rsidR="00F45D3C" w:rsidRDefault="00F45D3C">
      <w:r>
        <w:continuationSeparator/>
      </w:r>
    </w:p>
  </w:footnote>
  <w:footnote w:id="1">
    <w:p w14:paraId="0998BDA7" w14:textId="77777777" w:rsidR="000E405F" w:rsidRDefault="00C47BC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Consultable en: </w:t>
      </w:r>
      <w:hyperlink r:id="rId1">
        <w:r>
          <w:rPr>
            <w:color w:val="0000FF"/>
            <w:sz w:val="16"/>
            <w:szCs w:val="16"/>
            <w:u w:val="single"/>
          </w:rPr>
          <w:t>https://www.indetec.gob.mx/delivery?srv=0&amp;sl=3&amp;path=/biblioteca/Especiales/386_Glosario_Terminos_Proceso_Planeacion.pdf</w:t>
        </w:r>
      </w:hyperlink>
      <w:r>
        <w:rPr>
          <w:color w:val="000000"/>
          <w:sz w:val="16"/>
          <w:szCs w:val="16"/>
        </w:rPr>
        <w:t xml:space="preserve"> </w:t>
      </w:r>
    </w:p>
  </w:footnote>
  <w:footnote w:id="2">
    <w:p w14:paraId="43B05F53" w14:textId="77777777" w:rsidR="000E405F" w:rsidRDefault="00C47BCC">
      <w:pPr>
        <w:pBdr>
          <w:top w:val="nil"/>
          <w:left w:val="nil"/>
          <w:bottom w:val="nil"/>
          <w:right w:val="nil"/>
          <w:between w:val="nil"/>
        </w:pBdr>
        <w:rPr>
          <w:rFonts w:ascii="Calibri" w:eastAsia="Calibri" w:hAnsi="Calibri" w:cs="Calibri"/>
          <w:i/>
          <w:color w:val="000000"/>
          <w:sz w:val="18"/>
          <w:szCs w:val="18"/>
        </w:rPr>
      </w:pPr>
      <w:r>
        <w:rPr>
          <w:vertAlign w:val="superscript"/>
        </w:rPr>
        <w:footnoteRef/>
      </w:r>
      <w:r>
        <w:rPr>
          <w:rFonts w:ascii="Calibri" w:eastAsia="Calibri" w:hAnsi="Calibri" w:cs="Calibri"/>
          <w:color w:val="000000"/>
          <w:sz w:val="20"/>
          <w:szCs w:val="20"/>
        </w:rPr>
        <w:t xml:space="preserve"> </w:t>
      </w:r>
      <w:hyperlink r:id="rId2">
        <w:r>
          <w:rPr>
            <w:rFonts w:ascii="Calibri" w:eastAsia="Calibri" w:hAnsi="Calibri" w:cs="Calibri"/>
            <w:i/>
            <w:color w:val="0563C1"/>
            <w:sz w:val="18"/>
            <w:szCs w:val="18"/>
            <w:u w:val="single"/>
          </w:rPr>
          <w:t>https://opendatacharter.net/principles-es/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8145" w14:textId="77777777" w:rsidR="000E405F" w:rsidRDefault="00F45D3C">
    <w:pPr>
      <w:pBdr>
        <w:top w:val="nil"/>
        <w:left w:val="nil"/>
        <w:bottom w:val="nil"/>
        <w:right w:val="nil"/>
        <w:between w:val="nil"/>
      </w:pBdr>
      <w:tabs>
        <w:tab w:val="center" w:pos="4419"/>
        <w:tab w:val="right" w:pos="8838"/>
      </w:tabs>
      <w:rPr>
        <w:color w:val="000000"/>
      </w:rPr>
    </w:pPr>
    <w:r>
      <w:rPr>
        <w:color w:val="000000"/>
      </w:rPr>
      <w:pict w14:anchorId="3623E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6"/>
          <w10:wrap anchorx="margin" anchory="margin"/>
        </v:shape>
      </w:pict>
    </w:r>
  </w:p>
  <w:p w14:paraId="0FF713D4" w14:textId="77777777" w:rsidR="000E405F" w:rsidRDefault="000E40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6D65" w14:textId="77777777" w:rsidR="000E405F" w:rsidRDefault="000E405F">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0E405F" w14:paraId="46C9C986" w14:textId="77777777">
      <w:trPr>
        <w:trHeight w:val="2803"/>
      </w:trPr>
      <w:tc>
        <w:tcPr>
          <w:tcW w:w="2268" w:type="dxa"/>
        </w:tcPr>
        <w:p w14:paraId="03A28127" w14:textId="77777777" w:rsidR="000E405F" w:rsidRDefault="000E405F">
          <w:pPr>
            <w:tabs>
              <w:tab w:val="right" w:pos="4273"/>
            </w:tabs>
            <w:rPr>
              <w:rFonts w:ascii="Garamond" w:eastAsia="Garamond" w:hAnsi="Garamond" w:cs="Garamond"/>
              <w:sz w:val="16"/>
              <w:szCs w:val="16"/>
            </w:rPr>
          </w:pPr>
        </w:p>
      </w:tc>
      <w:tc>
        <w:tcPr>
          <w:tcW w:w="6946" w:type="dxa"/>
        </w:tcPr>
        <w:p w14:paraId="0C417742" w14:textId="77777777" w:rsidR="000E405F" w:rsidRDefault="000E405F"/>
        <w:tbl>
          <w:tblPr>
            <w:tblStyle w:val="a1"/>
            <w:tblW w:w="6066" w:type="dxa"/>
            <w:tblInd w:w="775" w:type="dxa"/>
            <w:tblLayout w:type="fixed"/>
            <w:tblLook w:val="0400" w:firstRow="0" w:lastRow="0" w:firstColumn="0" w:lastColumn="0" w:noHBand="0" w:noVBand="1"/>
          </w:tblPr>
          <w:tblGrid>
            <w:gridCol w:w="2550"/>
            <w:gridCol w:w="3516"/>
          </w:tblGrid>
          <w:tr w:rsidR="000E405F" w14:paraId="2C55465D" w14:textId="77777777">
            <w:trPr>
              <w:trHeight w:val="144"/>
            </w:trPr>
            <w:tc>
              <w:tcPr>
                <w:tcW w:w="2550" w:type="dxa"/>
                <w:tcBorders>
                  <w:top w:val="nil"/>
                  <w:left w:val="nil"/>
                  <w:bottom w:val="nil"/>
                  <w:right w:val="nil"/>
                </w:tcBorders>
              </w:tcPr>
              <w:p w14:paraId="4688DA65" w14:textId="77777777" w:rsidR="000E405F" w:rsidRDefault="00C47BCC">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16" w:type="dxa"/>
                <w:tcBorders>
                  <w:top w:val="nil"/>
                  <w:left w:val="nil"/>
                  <w:bottom w:val="nil"/>
                  <w:right w:val="nil"/>
                </w:tcBorders>
              </w:tcPr>
              <w:p w14:paraId="0B2F301C" w14:textId="77777777" w:rsidR="000E405F" w:rsidRDefault="00C47BCC">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06588/INFOEM/IP/RR/2024</w:t>
                </w:r>
              </w:p>
            </w:tc>
          </w:tr>
          <w:tr w:rsidR="000E405F" w14:paraId="1DC3AE7B" w14:textId="77777777">
            <w:trPr>
              <w:trHeight w:val="144"/>
            </w:trPr>
            <w:tc>
              <w:tcPr>
                <w:tcW w:w="2550" w:type="dxa"/>
                <w:tcBorders>
                  <w:top w:val="nil"/>
                  <w:left w:val="nil"/>
                  <w:bottom w:val="nil"/>
                  <w:right w:val="nil"/>
                </w:tcBorders>
              </w:tcPr>
              <w:p w14:paraId="5E792D5C" w14:textId="77777777" w:rsidR="000E405F" w:rsidRDefault="000E405F">
                <w:pPr>
                  <w:tabs>
                    <w:tab w:val="right" w:pos="8838"/>
                  </w:tabs>
                  <w:ind w:right="-105"/>
                  <w:rPr>
                    <w:rFonts w:ascii="Palatino Linotype" w:eastAsia="Palatino Linotype" w:hAnsi="Palatino Linotype" w:cs="Palatino Linotype"/>
                    <w:b/>
                  </w:rPr>
                </w:pPr>
              </w:p>
            </w:tc>
            <w:tc>
              <w:tcPr>
                <w:tcW w:w="3516" w:type="dxa"/>
                <w:tcBorders>
                  <w:top w:val="nil"/>
                  <w:left w:val="nil"/>
                  <w:bottom w:val="nil"/>
                  <w:right w:val="nil"/>
                </w:tcBorders>
              </w:tcPr>
              <w:p w14:paraId="69CDF883" w14:textId="77777777" w:rsidR="000E405F" w:rsidRDefault="000E405F">
                <w:pPr>
                  <w:tabs>
                    <w:tab w:val="left" w:pos="3122"/>
                    <w:tab w:val="right" w:pos="8838"/>
                  </w:tabs>
                  <w:ind w:right="-1415"/>
                  <w:rPr>
                    <w:rFonts w:ascii="Palatino Linotype" w:eastAsia="Palatino Linotype" w:hAnsi="Palatino Linotype" w:cs="Palatino Linotype"/>
                  </w:rPr>
                </w:pPr>
              </w:p>
            </w:tc>
          </w:tr>
          <w:tr w:rsidR="000E405F" w14:paraId="0874261A" w14:textId="77777777">
            <w:trPr>
              <w:trHeight w:val="283"/>
            </w:trPr>
            <w:tc>
              <w:tcPr>
                <w:tcW w:w="2550" w:type="dxa"/>
                <w:tcBorders>
                  <w:top w:val="nil"/>
                  <w:left w:val="nil"/>
                  <w:bottom w:val="nil"/>
                  <w:right w:val="nil"/>
                </w:tcBorders>
              </w:tcPr>
              <w:p w14:paraId="770965F1" w14:textId="77777777" w:rsidR="000E405F" w:rsidRDefault="00C47BC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16" w:type="dxa"/>
                <w:tcBorders>
                  <w:top w:val="nil"/>
                  <w:left w:val="nil"/>
                  <w:bottom w:val="nil"/>
                  <w:right w:val="nil"/>
                </w:tcBorders>
              </w:tcPr>
              <w:p w14:paraId="3E98D6C5" w14:textId="77777777" w:rsidR="000E405F" w:rsidRDefault="00C47BCC">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Ayuntamiento de Temamatla</w:t>
                </w:r>
              </w:p>
            </w:tc>
          </w:tr>
          <w:tr w:rsidR="000E405F" w14:paraId="60D99F47" w14:textId="77777777">
            <w:trPr>
              <w:trHeight w:val="283"/>
            </w:trPr>
            <w:tc>
              <w:tcPr>
                <w:tcW w:w="2550" w:type="dxa"/>
                <w:tcBorders>
                  <w:top w:val="nil"/>
                  <w:left w:val="nil"/>
                  <w:bottom w:val="nil"/>
                  <w:right w:val="nil"/>
                </w:tcBorders>
              </w:tcPr>
              <w:p w14:paraId="6AE66173" w14:textId="77777777" w:rsidR="000E405F" w:rsidRDefault="00C47BC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16" w:type="dxa"/>
                <w:tcBorders>
                  <w:top w:val="nil"/>
                  <w:left w:val="nil"/>
                  <w:bottom w:val="nil"/>
                  <w:right w:val="nil"/>
                </w:tcBorders>
              </w:tcPr>
              <w:p w14:paraId="233566D9" w14:textId="77777777" w:rsidR="000E405F" w:rsidRDefault="00C47BCC">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2B7663A" w14:textId="77777777" w:rsidR="000E405F" w:rsidRDefault="000E405F">
                <w:pPr>
                  <w:tabs>
                    <w:tab w:val="right" w:pos="8838"/>
                  </w:tabs>
                  <w:ind w:left="-74" w:right="-1415"/>
                  <w:rPr>
                    <w:rFonts w:ascii="Palatino Linotype" w:eastAsia="Palatino Linotype" w:hAnsi="Palatino Linotype" w:cs="Palatino Linotype"/>
                    <w:b/>
                  </w:rPr>
                </w:pPr>
              </w:p>
            </w:tc>
          </w:tr>
        </w:tbl>
        <w:p w14:paraId="17C04954" w14:textId="77777777" w:rsidR="000E405F" w:rsidRDefault="000E405F">
          <w:pPr>
            <w:tabs>
              <w:tab w:val="right" w:pos="8838"/>
            </w:tabs>
            <w:ind w:left="-28"/>
            <w:jc w:val="both"/>
            <w:rPr>
              <w:rFonts w:ascii="Arial" w:eastAsia="Arial" w:hAnsi="Arial" w:cs="Arial"/>
              <w:b/>
            </w:rPr>
          </w:pPr>
        </w:p>
      </w:tc>
    </w:tr>
  </w:tbl>
  <w:p w14:paraId="4644E163" w14:textId="77777777" w:rsidR="000E405F" w:rsidRDefault="00F45D3C">
    <w:pPr>
      <w:pBdr>
        <w:top w:val="nil"/>
        <w:left w:val="nil"/>
        <w:bottom w:val="nil"/>
        <w:right w:val="nil"/>
        <w:between w:val="nil"/>
      </w:pBdr>
      <w:tabs>
        <w:tab w:val="center" w:pos="4419"/>
        <w:tab w:val="right" w:pos="8838"/>
      </w:tabs>
      <w:rPr>
        <w:color w:val="000000"/>
        <w:sz w:val="14"/>
        <w:szCs w:val="14"/>
      </w:rPr>
    </w:pPr>
    <w:r>
      <w:rPr>
        <w:color w:val="000000"/>
      </w:rPr>
      <w:pict w14:anchorId="1B3F0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6"/>
          <w10:wrap anchorx="margin" anchory="margin"/>
        </v:shape>
      </w:pict>
    </w:r>
  </w:p>
  <w:p w14:paraId="5B876649" w14:textId="77777777" w:rsidR="000E405F" w:rsidRDefault="000E40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5B56" w14:textId="77777777" w:rsidR="000E405F" w:rsidRDefault="000E405F">
    <w:pPr>
      <w:widowControl w:val="0"/>
      <w:pBdr>
        <w:top w:val="nil"/>
        <w:left w:val="nil"/>
        <w:bottom w:val="nil"/>
        <w:right w:val="nil"/>
        <w:between w:val="nil"/>
      </w:pBdr>
      <w:spacing w:line="276" w:lineRule="auto"/>
      <w:rPr>
        <w:color w:val="000000"/>
        <w:sz w:val="14"/>
        <w:szCs w:val="14"/>
      </w:rPr>
    </w:pPr>
  </w:p>
  <w:tbl>
    <w:tblPr>
      <w:tblStyle w:val="a2"/>
      <w:tblW w:w="9915" w:type="dxa"/>
      <w:tblInd w:w="0" w:type="dxa"/>
      <w:tblLayout w:type="fixed"/>
      <w:tblLook w:val="0400" w:firstRow="0" w:lastRow="0" w:firstColumn="0" w:lastColumn="0" w:noHBand="0" w:noVBand="1"/>
    </w:tblPr>
    <w:tblGrid>
      <w:gridCol w:w="2265"/>
      <w:gridCol w:w="7650"/>
    </w:tblGrid>
    <w:tr w:rsidR="000E405F" w14:paraId="460656D0" w14:textId="77777777">
      <w:trPr>
        <w:trHeight w:val="2514"/>
      </w:trPr>
      <w:tc>
        <w:tcPr>
          <w:tcW w:w="2265" w:type="dxa"/>
        </w:tcPr>
        <w:p w14:paraId="168D96BC" w14:textId="77777777" w:rsidR="000E405F" w:rsidRDefault="000E405F">
          <w:pPr>
            <w:tabs>
              <w:tab w:val="right" w:pos="4273"/>
            </w:tabs>
            <w:rPr>
              <w:rFonts w:ascii="Garamond" w:eastAsia="Garamond" w:hAnsi="Garamond" w:cs="Garamond"/>
            </w:rPr>
          </w:pPr>
        </w:p>
      </w:tc>
      <w:tc>
        <w:tcPr>
          <w:tcW w:w="7650" w:type="dxa"/>
        </w:tcPr>
        <w:p w14:paraId="50DC6F61" w14:textId="77777777" w:rsidR="000E405F" w:rsidRDefault="000E405F">
          <w:pPr>
            <w:widowControl w:val="0"/>
            <w:pBdr>
              <w:top w:val="nil"/>
              <w:left w:val="nil"/>
              <w:bottom w:val="nil"/>
              <w:right w:val="nil"/>
              <w:between w:val="nil"/>
            </w:pBdr>
            <w:spacing w:line="276" w:lineRule="auto"/>
            <w:rPr>
              <w:rFonts w:ascii="Garamond" w:eastAsia="Garamond" w:hAnsi="Garamond" w:cs="Garamond"/>
            </w:rPr>
          </w:pPr>
        </w:p>
        <w:tbl>
          <w:tblPr>
            <w:tblStyle w:val="a3"/>
            <w:tblW w:w="6690" w:type="dxa"/>
            <w:tblInd w:w="700" w:type="dxa"/>
            <w:tblLayout w:type="fixed"/>
            <w:tblLook w:val="0400" w:firstRow="0" w:lastRow="0" w:firstColumn="0" w:lastColumn="0" w:noHBand="0" w:noVBand="1"/>
          </w:tblPr>
          <w:tblGrid>
            <w:gridCol w:w="2807"/>
            <w:gridCol w:w="3883"/>
          </w:tblGrid>
          <w:tr w:rsidR="000E405F" w14:paraId="2CFD601E" w14:textId="77777777">
            <w:trPr>
              <w:trHeight w:val="144"/>
            </w:trPr>
            <w:tc>
              <w:tcPr>
                <w:tcW w:w="2807" w:type="dxa"/>
                <w:tcBorders>
                  <w:top w:val="nil"/>
                  <w:left w:val="nil"/>
                  <w:bottom w:val="nil"/>
                  <w:right w:val="nil"/>
                </w:tcBorders>
              </w:tcPr>
              <w:p w14:paraId="33A9C836" w14:textId="77777777" w:rsidR="000E405F" w:rsidRDefault="00C47BCC">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14:paraId="13728FA5" w14:textId="77777777" w:rsidR="000E405F" w:rsidRDefault="00C47BCC">
                <w:pPr>
                  <w:ind w:right="-494"/>
                  <w:rPr>
                    <w:rFonts w:ascii="Palatino Linotype" w:eastAsia="Palatino Linotype" w:hAnsi="Palatino Linotype" w:cs="Palatino Linotype"/>
                  </w:rPr>
                </w:pPr>
                <w:r>
                  <w:rPr>
                    <w:rFonts w:ascii="Palatino Linotype" w:eastAsia="Palatino Linotype" w:hAnsi="Palatino Linotype" w:cs="Palatino Linotype"/>
                  </w:rPr>
                  <w:t>06588/INFOEM/IP/RR/2024</w:t>
                </w:r>
              </w:p>
            </w:tc>
          </w:tr>
          <w:tr w:rsidR="000E405F" w14:paraId="197374E2" w14:textId="77777777">
            <w:trPr>
              <w:trHeight w:val="144"/>
            </w:trPr>
            <w:tc>
              <w:tcPr>
                <w:tcW w:w="2807" w:type="dxa"/>
                <w:tcBorders>
                  <w:top w:val="nil"/>
                  <w:left w:val="nil"/>
                  <w:bottom w:val="nil"/>
                  <w:right w:val="nil"/>
                </w:tcBorders>
              </w:tcPr>
              <w:p w14:paraId="0F5D3B10" w14:textId="77777777" w:rsidR="000E405F" w:rsidRDefault="00C47BCC">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14:paraId="06AF9854" w14:textId="77777777" w:rsidR="000E405F" w:rsidRDefault="000E405F">
                <w:pPr>
                  <w:tabs>
                    <w:tab w:val="left" w:pos="3827"/>
                  </w:tabs>
                  <w:ind w:right="-494"/>
                  <w:rPr>
                    <w:rFonts w:ascii="Palatino Linotype" w:eastAsia="Palatino Linotype" w:hAnsi="Palatino Linotype" w:cs="Palatino Linotype"/>
                  </w:rPr>
                </w:pPr>
              </w:p>
            </w:tc>
          </w:tr>
          <w:tr w:rsidR="000E405F" w14:paraId="5E2C623A" w14:textId="77777777">
            <w:trPr>
              <w:trHeight w:val="283"/>
            </w:trPr>
            <w:tc>
              <w:tcPr>
                <w:tcW w:w="2807" w:type="dxa"/>
                <w:tcBorders>
                  <w:top w:val="nil"/>
                  <w:left w:val="nil"/>
                  <w:bottom w:val="nil"/>
                  <w:right w:val="nil"/>
                </w:tcBorders>
              </w:tcPr>
              <w:p w14:paraId="7D57B593" w14:textId="77777777" w:rsidR="000E405F" w:rsidRDefault="00C47BCC">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14:paraId="28DDC070" w14:textId="77777777" w:rsidR="000E405F" w:rsidRDefault="00C47BCC">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Ayuntamiento de Temamatla</w:t>
                </w:r>
              </w:p>
            </w:tc>
          </w:tr>
          <w:tr w:rsidR="000E405F" w14:paraId="0011B271" w14:textId="77777777">
            <w:trPr>
              <w:trHeight w:val="283"/>
            </w:trPr>
            <w:tc>
              <w:tcPr>
                <w:tcW w:w="2807" w:type="dxa"/>
                <w:tcBorders>
                  <w:top w:val="nil"/>
                  <w:left w:val="nil"/>
                  <w:bottom w:val="nil"/>
                  <w:right w:val="nil"/>
                </w:tcBorders>
              </w:tcPr>
              <w:p w14:paraId="67C1273B" w14:textId="77777777" w:rsidR="000E405F" w:rsidRDefault="00C47BCC">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14:paraId="780AEC4E" w14:textId="77777777" w:rsidR="000E405F" w:rsidRDefault="00C47BCC">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6185F6D" w14:textId="77777777" w:rsidR="000E405F" w:rsidRDefault="000E405F">
                <w:pPr>
                  <w:ind w:right="-494"/>
                  <w:rPr>
                    <w:rFonts w:ascii="Palatino Linotype" w:eastAsia="Palatino Linotype" w:hAnsi="Palatino Linotype" w:cs="Palatino Linotype"/>
                    <w:b/>
                  </w:rPr>
                </w:pPr>
              </w:p>
            </w:tc>
          </w:tr>
        </w:tbl>
        <w:p w14:paraId="41F7445C" w14:textId="77777777" w:rsidR="000E405F" w:rsidRDefault="000E405F">
          <w:pPr>
            <w:tabs>
              <w:tab w:val="right" w:pos="8838"/>
            </w:tabs>
            <w:ind w:left="-28"/>
            <w:jc w:val="both"/>
            <w:rPr>
              <w:rFonts w:ascii="Arial" w:eastAsia="Arial" w:hAnsi="Arial" w:cs="Arial"/>
              <w:b/>
            </w:rPr>
          </w:pPr>
        </w:p>
      </w:tc>
    </w:tr>
  </w:tbl>
  <w:p w14:paraId="7C3D456C" w14:textId="77777777" w:rsidR="000E405F" w:rsidRDefault="00F45D3C">
    <w:pPr>
      <w:pBdr>
        <w:top w:val="nil"/>
        <w:left w:val="nil"/>
        <w:bottom w:val="nil"/>
        <w:right w:val="nil"/>
        <w:between w:val="nil"/>
      </w:pBdr>
      <w:tabs>
        <w:tab w:val="center" w:pos="4419"/>
        <w:tab w:val="right" w:pos="8838"/>
      </w:tabs>
      <w:rPr>
        <w:color w:val="000000"/>
        <w:sz w:val="2"/>
        <w:szCs w:val="2"/>
      </w:rPr>
    </w:pPr>
    <w:r>
      <w:rPr>
        <w:color w:val="000000"/>
      </w:rPr>
      <w:pict w14:anchorId="5CFA4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6"/>
          <w10:wrap anchorx="margin" anchory="margin"/>
        </v:shape>
      </w:pict>
    </w:r>
  </w:p>
  <w:p w14:paraId="559D3499" w14:textId="77777777" w:rsidR="000E405F" w:rsidRDefault="000E4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A62"/>
    <w:multiLevelType w:val="multilevel"/>
    <w:tmpl w:val="B90A3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480643"/>
    <w:multiLevelType w:val="multilevel"/>
    <w:tmpl w:val="AB8ED8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D231C31"/>
    <w:multiLevelType w:val="multilevel"/>
    <w:tmpl w:val="6DFAA1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B33598"/>
    <w:multiLevelType w:val="multilevel"/>
    <w:tmpl w:val="A9D02E52"/>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656F4A"/>
    <w:multiLevelType w:val="multilevel"/>
    <w:tmpl w:val="5672DC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C4A5405"/>
    <w:multiLevelType w:val="multilevel"/>
    <w:tmpl w:val="27F4498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ED2FFD"/>
    <w:multiLevelType w:val="hybridMultilevel"/>
    <w:tmpl w:val="2E364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942670"/>
    <w:multiLevelType w:val="multilevel"/>
    <w:tmpl w:val="A740D3D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653AC4"/>
    <w:multiLevelType w:val="multilevel"/>
    <w:tmpl w:val="541AE3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F530BD"/>
    <w:multiLevelType w:val="multilevel"/>
    <w:tmpl w:val="E66C7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3E429D"/>
    <w:multiLevelType w:val="multilevel"/>
    <w:tmpl w:val="A07AE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062FC8"/>
    <w:multiLevelType w:val="multilevel"/>
    <w:tmpl w:val="ABC8C0E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5824F4"/>
    <w:multiLevelType w:val="multilevel"/>
    <w:tmpl w:val="ADC4A804"/>
    <w:lvl w:ilvl="0">
      <w:start w:val="1"/>
      <w:numFmt w:val="bullet"/>
      <w:lvlText w:val="●"/>
      <w:lvlJc w:val="left"/>
      <w:pPr>
        <w:ind w:left="1221" w:hanging="360"/>
      </w:pPr>
      <w:rPr>
        <w:rFonts w:ascii="Noto Sans Symbols" w:eastAsia="Noto Sans Symbols" w:hAnsi="Noto Sans Symbols" w:cs="Noto Sans Symbols"/>
      </w:rPr>
    </w:lvl>
    <w:lvl w:ilvl="1">
      <w:start w:val="1"/>
      <w:numFmt w:val="bullet"/>
      <w:lvlText w:val="o"/>
      <w:lvlJc w:val="left"/>
      <w:pPr>
        <w:ind w:left="1941" w:hanging="360"/>
      </w:pPr>
      <w:rPr>
        <w:rFonts w:ascii="Courier New" w:eastAsia="Courier New" w:hAnsi="Courier New" w:cs="Courier New"/>
      </w:rPr>
    </w:lvl>
    <w:lvl w:ilvl="2">
      <w:start w:val="1"/>
      <w:numFmt w:val="bullet"/>
      <w:lvlText w:val="▪"/>
      <w:lvlJc w:val="left"/>
      <w:pPr>
        <w:ind w:left="2661" w:hanging="360"/>
      </w:pPr>
      <w:rPr>
        <w:rFonts w:ascii="Noto Sans Symbols" w:eastAsia="Noto Sans Symbols" w:hAnsi="Noto Sans Symbols" w:cs="Noto Sans Symbols"/>
      </w:rPr>
    </w:lvl>
    <w:lvl w:ilvl="3">
      <w:start w:val="1"/>
      <w:numFmt w:val="bullet"/>
      <w:lvlText w:val="●"/>
      <w:lvlJc w:val="left"/>
      <w:pPr>
        <w:ind w:left="3381" w:hanging="360"/>
      </w:pPr>
      <w:rPr>
        <w:rFonts w:ascii="Noto Sans Symbols" w:eastAsia="Noto Sans Symbols" w:hAnsi="Noto Sans Symbols" w:cs="Noto Sans Symbols"/>
      </w:rPr>
    </w:lvl>
    <w:lvl w:ilvl="4">
      <w:start w:val="1"/>
      <w:numFmt w:val="bullet"/>
      <w:lvlText w:val="o"/>
      <w:lvlJc w:val="left"/>
      <w:pPr>
        <w:ind w:left="4101" w:hanging="360"/>
      </w:pPr>
      <w:rPr>
        <w:rFonts w:ascii="Courier New" w:eastAsia="Courier New" w:hAnsi="Courier New" w:cs="Courier New"/>
      </w:rPr>
    </w:lvl>
    <w:lvl w:ilvl="5">
      <w:start w:val="1"/>
      <w:numFmt w:val="bullet"/>
      <w:lvlText w:val="▪"/>
      <w:lvlJc w:val="left"/>
      <w:pPr>
        <w:ind w:left="4821" w:hanging="360"/>
      </w:pPr>
      <w:rPr>
        <w:rFonts w:ascii="Noto Sans Symbols" w:eastAsia="Noto Sans Symbols" w:hAnsi="Noto Sans Symbols" w:cs="Noto Sans Symbols"/>
      </w:rPr>
    </w:lvl>
    <w:lvl w:ilvl="6">
      <w:start w:val="1"/>
      <w:numFmt w:val="bullet"/>
      <w:lvlText w:val="●"/>
      <w:lvlJc w:val="left"/>
      <w:pPr>
        <w:ind w:left="5541" w:hanging="360"/>
      </w:pPr>
      <w:rPr>
        <w:rFonts w:ascii="Noto Sans Symbols" w:eastAsia="Noto Sans Symbols" w:hAnsi="Noto Sans Symbols" w:cs="Noto Sans Symbols"/>
      </w:rPr>
    </w:lvl>
    <w:lvl w:ilvl="7">
      <w:start w:val="1"/>
      <w:numFmt w:val="bullet"/>
      <w:lvlText w:val="o"/>
      <w:lvlJc w:val="left"/>
      <w:pPr>
        <w:ind w:left="6261" w:hanging="360"/>
      </w:pPr>
      <w:rPr>
        <w:rFonts w:ascii="Courier New" w:eastAsia="Courier New" w:hAnsi="Courier New" w:cs="Courier New"/>
      </w:rPr>
    </w:lvl>
    <w:lvl w:ilvl="8">
      <w:start w:val="1"/>
      <w:numFmt w:val="bullet"/>
      <w:lvlText w:val="▪"/>
      <w:lvlJc w:val="left"/>
      <w:pPr>
        <w:ind w:left="6981" w:hanging="360"/>
      </w:pPr>
      <w:rPr>
        <w:rFonts w:ascii="Noto Sans Symbols" w:eastAsia="Noto Sans Symbols" w:hAnsi="Noto Sans Symbols" w:cs="Noto Sans Symbols"/>
      </w:rPr>
    </w:lvl>
  </w:abstractNum>
  <w:abstractNum w:abstractNumId="13"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211556"/>
    <w:multiLevelType w:val="multilevel"/>
    <w:tmpl w:val="677C8A9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9"/>
  </w:num>
  <w:num w:numId="3">
    <w:abstractNumId w:val="10"/>
  </w:num>
  <w:num w:numId="4">
    <w:abstractNumId w:val="0"/>
  </w:num>
  <w:num w:numId="5">
    <w:abstractNumId w:val="1"/>
  </w:num>
  <w:num w:numId="6">
    <w:abstractNumId w:val="12"/>
  </w:num>
  <w:num w:numId="7">
    <w:abstractNumId w:val="4"/>
  </w:num>
  <w:num w:numId="8">
    <w:abstractNumId w:val="8"/>
  </w:num>
  <w:num w:numId="9">
    <w:abstractNumId w:val="2"/>
  </w:num>
  <w:num w:numId="10">
    <w:abstractNumId w:val="14"/>
  </w:num>
  <w:num w:numId="11">
    <w:abstractNumId w:val="11"/>
  </w:num>
  <w:num w:numId="12">
    <w:abstractNumId w:val="5"/>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5F"/>
    <w:rsid w:val="000A7588"/>
    <w:rsid w:val="000D0BB0"/>
    <w:rsid w:val="000E405F"/>
    <w:rsid w:val="00131737"/>
    <w:rsid w:val="001D6B74"/>
    <w:rsid w:val="003E591B"/>
    <w:rsid w:val="00651DC7"/>
    <w:rsid w:val="00673D45"/>
    <w:rsid w:val="007078FD"/>
    <w:rsid w:val="00780DB1"/>
    <w:rsid w:val="00967266"/>
    <w:rsid w:val="00B01F06"/>
    <w:rsid w:val="00C47BCC"/>
    <w:rsid w:val="00EB43FD"/>
    <w:rsid w:val="00F45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F7E8DE"/>
  <w15:docId w15:val="{6E0B98EC-4C6D-462E-8453-7C295AF1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537E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537EB"/>
    <w:pPr>
      <w:ind w:left="567" w:right="567"/>
      <w:contextualSpacing/>
      <w:jc w:val="both"/>
    </w:pPr>
    <w:rPr>
      <w:rFonts w:ascii="Palatino Linotype" w:eastAsiaTheme="majorEastAsia" w:hAnsi="Palatino Linotype" w:cstheme="majorBidi"/>
      <w:i/>
      <w:kern w:val="28"/>
      <w:szCs w:val="56"/>
      <w:lang w:eastAsia="es-ES"/>
    </w:rPr>
  </w:style>
  <w:style w:type="character" w:customStyle="1" w:styleId="Ttulo1Car">
    <w:name w:val="Título 1 Car"/>
    <w:basedOn w:val="Fuentedeprrafopredeter"/>
    <w:link w:val="Ttulo1"/>
    <w:uiPriority w:val="9"/>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paragraph" w:styleId="Sangradetextonormal">
    <w:name w:val="Body Text Indent"/>
    <w:basedOn w:val="Normal"/>
    <w:link w:val="SangradetextonormalCar"/>
    <w:uiPriority w:val="99"/>
    <w:semiHidden/>
    <w:unhideWhenUsed/>
    <w:rsid w:val="00A96516"/>
    <w:pPr>
      <w:spacing w:after="120"/>
      <w:ind w:left="283"/>
    </w:pPr>
  </w:style>
  <w:style w:type="character" w:customStyle="1" w:styleId="SangradetextonormalCar">
    <w:name w:val="Sangría de texto normal Car"/>
    <w:basedOn w:val="Fuentedeprrafopredeter"/>
    <w:link w:val="Sangradetextonormal"/>
    <w:uiPriority w:val="99"/>
    <w:semiHidden/>
    <w:rsid w:val="00A96516"/>
    <w:rPr>
      <w:rFonts w:ascii="Times New Roman" w:eastAsia="Times New Roman" w:hAnsi="Times New Roman" w:cs="Times New Roman"/>
      <w:kern w:val="0"/>
      <w:sz w:val="24"/>
      <w:szCs w:val="24"/>
      <w:lang w:eastAsia="es-MX"/>
    </w:rPr>
  </w:style>
  <w:style w:type="paragraph" w:styleId="Textoindependienteprimerasangra2">
    <w:name w:val="Body Text First Indent 2"/>
    <w:basedOn w:val="Sangradetextonormal"/>
    <w:link w:val="Textoindependienteprimerasangra2Car"/>
    <w:uiPriority w:val="99"/>
    <w:semiHidden/>
    <w:unhideWhenUsed/>
    <w:rsid w:val="00A9651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96516"/>
    <w:rPr>
      <w:rFonts w:ascii="Times New Roman" w:eastAsia="Times New Roman" w:hAnsi="Times New Roman" w:cs="Times New Roman"/>
      <w:kern w:val="0"/>
      <w:sz w:val="24"/>
      <w:szCs w:val="24"/>
      <w:lang w:eastAsia="es-MX"/>
    </w:rPr>
  </w:style>
  <w:style w:type="character" w:customStyle="1" w:styleId="normaltextrun">
    <w:name w:val="normaltextrun"/>
    <w:basedOn w:val="Fuentedeprrafopredeter"/>
    <w:rsid w:val="00FF3C4B"/>
  </w:style>
  <w:style w:type="character" w:customStyle="1" w:styleId="eop">
    <w:name w:val="eop"/>
    <w:basedOn w:val="Fuentedeprrafopredeter"/>
    <w:rsid w:val="00FF3C4B"/>
  </w:style>
  <w:style w:type="paragraph" w:customStyle="1" w:styleId="paragraph">
    <w:name w:val="paragraph"/>
    <w:basedOn w:val="Normal"/>
    <w:rsid w:val="00FF3C4B"/>
    <w:pPr>
      <w:spacing w:before="100" w:beforeAutospacing="1" w:after="100" w:afterAutospacing="1"/>
    </w:pPr>
  </w:style>
  <w:style w:type="paragraph" w:styleId="Sinespaciado">
    <w:name w:val="No Spacing"/>
    <w:aliases w:val="Francesa,INAI"/>
    <w:link w:val="SinespaciadoCar"/>
    <w:uiPriority w:val="1"/>
    <w:qFormat/>
    <w:rsid w:val="00FF3C4B"/>
    <w:rPr>
      <w:lang w:eastAsia="es-ES"/>
    </w:rPr>
  </w:style>
  <w:style w:type="character" w:customStyle="1" w:styleId="SinespaciadoCar">
    <w:name w:val="Sin espaciado Car"/>
    <w:aliases w:val="Francesa Car,INAI Car"/>
    <w:link w:val="Sinespaciado"/>
    <w:uiPriority w:val="1"/>
    <w:locked/>
    <w:rsid w:val="00FF3C4B"/>
    <w:rPr>
      <w:rFonts w:ascii="Times New Roman" w:eastAsia="Times New Roman" w:hAnsi="Times New Roman" w:cs="Times New Roman"/>
      <w:kern w:val="0"/>
      <w:sz w:val="24"/>
      <w:szCs w:val="24"/>
      <w:lang w:eastAsia="es-ES"/>
    </w:rPr>
  </w:style>
  <w:style w:type="character" w:customStyle="1" w:styleId="Mencinsinresolver1">
    <w:name w:val="Mención sin resolver1"/>
    <w:basedOn w:val="Fuentedeprrafopredeter"/>
    <w:uiPriority w:val="99"/>
    <w:semiHidden/>
    <w:unhideWhenUsed/>
    <w:rsid w:val="00EA1C21"/>
    <w:rPr>
      <w:color w:val="605E5C"/>
      <w:shd w:val="clear" w:color="auto" w:fill="E1DFDD"/>
    </w:rPr>
  </w:style>
  <w:style w:type="character" w:customStyle="1" w:styleId="Ttulo3Car">
    <w:name w:val="Título 3 Car"/>
    <w:basedOn w:val="Fuentedeprrafopredeter"/>
    <w:link w:val="Ttulo3"/>
    <w:uiPriority w:val="9"/>
    <w:semiHidden/>
    <w:rsid w:val="002537EB"/>
    <w:rPr>
      <w:rFonts w:asciiTheme="majorHAnsi" w:eastAsiaTheme="majorEastAsia" w:hAnsiTheme="majorHAnsi" w:cstheme="majorBidi"/>
      <w:color w:val="1F3763" w:themeColor="accent1" w:themeShade="7F"/>
      <w:kern w:val="0"/>
      <w:sz w:val="24"/>
      <w:szCs w:val="24"/>
      <w:lang w:eastAsia="es-MX"/>
    </w:rPr>
  </w:style>
  <w:style w:type="character" w:customStyle="1" w:styleId="TtuloCar">
    <w:name w:val="Título Car"/>
    <w:aliases w:val="Cita textual Car"/>
    <w:basedOn w:val="Fuentedeprrafopredeter"/>
    <w:link w:val="Ttulo"/>
    <w:uiPriority w:val="10"/>
    <w:rsid w:val="002537EB"/>
    <w:rPr>
      <w:rFonts w:ascii="Palatino Linotype" w:eastAsiaTheme="majorEastAsia" w:hAnsi="Palatino Linotype" w:cstheme="majorBidi"/>
      <w:i/>
      <w:kern w:val="28"/>
      <w:szCs w:val="5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mamatla-digital.com/conac2024.php"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b.mx/segob/renapo/acciones-y-programas/clave-unica-de-registro-de-poblacion-curp-14222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pendatacharter.net/principles-es/" TargetMode="External"/><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69AGFlGEL0uwngsdm1+tmdBhg==">CgMxLjAyCGguZ2pkZ3hzMghoLmdqZGd4czIOaC5tYzI5Y3prczRwbnAyCWguMzBqMHpsbDIJaC4xZm9iOXRlMgloLjN6bnlzaDcyCWguMmV0OTJwMDIIaC50eWpjd3QyCWguM2R5NnZrbTIJaC4xdDNoNXNmMgloLjRkMzRvZzgyCWguMTdkcDh2dTIOaC4ycXE5cmtsbnd1dzAyCWguMnM4ZXlvMTgAciExZDdVUFFpVE9JbDJOUUFleDFDVFFBWGE4Y2pXQzk5ZXE=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9634</Words>
  <Characters>52993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Lennon Ruiz</cp:lastModifiedBy>
  <cp:revision>6</cp:revision>
  <cp:lastPrinted>2024-12-06T02:12:00Z</cp:lastPrinted>
  <dcterms:created xsi:type="dcterms:W3CDTF">2024-12-02T23:56:00Z</dcterms:created>
  <dcterms:modified xsi:type="dcterms:W3CDTF">2024-12-06T02:13:00Z</dcterms:modified>
</cp:coreProperties>
</file>