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19" w:rsidRDefault="005A5019" w:rsidP="009408D2">
      <w:pPr>
        <w:widowControl w:val="0"/>
        <w:pBdr>
          <w:top w:val="nil"/>
          <w:left w:val="nil"/>
          <w:bottom w:val="nil"/>
          <w:right w:val="nil"/>
          <w:between w:val="nil"/>
        </w:pBdr>
        <w:spacing w:line="276" w:lineRule="auto"/>
        <w:ind w:right="276"/>
      </w:pPr>
    </w:p>
    <w:p w:rsidR="005A5019" w:rsidRDefault="00B20CBD" w:rsidP="009408D2">
      <w:pPr>
        <w:tabs>
          <w:tab w:val="left" w:pos="3465"/>
        </w:tabs>
        <w:spacing w:line="360" w:lineRule="auto"/>
        <w:ind w:right="27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D738F0">
        <w:rPr>
          <w:rFonts w:ascii="Palatino Linotype" w:eastAsia="Palatino Linotype" w:hAnsi="Palatino Linotype" w:cs="Palatino Linotype"/>
        </w:rPr>
        <w:t>stado de México; de fecha trece</w:t>
      </w:r>
      <w:r>
        <w:rPr>
          <w:rFonts w:ascii="Palatino Linotype" w:eastAsia="Palatino Linotype" w:hAnsi="Palatino Linotype" w:cs="Palatino Linotype"/>
        </w:rPr>
        <w:t xml:space="preserve"> </w:t>
      </w:r>
      <w:r w:rsidR="00EA3862">
        <w:rPr>
          <w:rFonts w:ascii="Palatino Linotype" w:eastAsia="Palatino Linotype" w:hAnsi="Palatino Linotype" w:cs="Palatino Linotype"/>
        </w:rPr>
        <w:t xml:space="preserve">(13) </w:t>
      </w:r>
      <w:r>
        <w:rPr>
          <w:rFonts w:ascii="Palatino Linotype" w:eastAsia="Palatino Linotype" w:hAnsi="Palatino Linotype" w:cs="Palatino Linotype"/>
        </w:rPr>
        <w:t>de noviembre de dos mil veinticuatro.</w:t>
      </w:r>
    </w:p>
    <w:p w:rsidR="005A5019" w:rsidRDefault="005A5019" w:rsidP="009408D2">
      <w:pPr>
        <w:tabs>
          <w:tab w:val="left" w:pos="3465"/>
        </w:tabs>
        <w:spacing w:line="360" w:lineRule="auto"/>
        <w:ind w:right="276"/>
        <w:jc w:val="both"/>
        <w:rPr>
          <w:rFonts w:ascii="Palatino Linotype" w:eastAsia="Palatino Linotype" w:hAnsi="Palatino Linotype" w:cs="Palatino Linotype"/>
        </w:rPr>
      </w:pPr>
    </w:p>
    <w:p w:rsidR="005A5019" w:rsidRDefault="00B20CBD" w:rsidP="009408D2">
      <w:pPr>
        <w:spacing w:line="360" w:lineRule="auto"/>
        <w:ind w:right="276"/>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w:t>
      </w:r>
      <w:r>
        <w:rPr>
          <w:rFonts w:ascii="Palatino Linotype" w:eastAsia="Palatino Linotype" w:hAnsi="Palatino Linotype" w:cs="Palatino Linotype"/>
          <w:color w:val="000000"/>
        </w:rPr>
        <w:t xml:space="preserve">los Recursos de Revisión </w:t>
      </w:r>
      <w:r w:rsidR="00D738F0">
        <w:rPr>
          <w:rFonts w:ascii="Palatino Linotype" w:eastAsia="Palatino Linotype" w:hAnsi="Palatino Linotype" w:cs="Palatino Linotype"/>
          <w:b/>
          <w:color w:val="000000"/>
        </w:rPr>
        <w:t>03293</w:t>
      </w:r>
      <w:r>
        <w:rPr>
          <w:rFonts w:ascii="Palatino Linotype" w:eastAsia="Palatino Linotype" w:hAnsi="Palatino Linotype" w:cs="Palatino Linotype"/>
          <w:b/>
          <w:color w:val="000000"/>
        </w:rPr>
        <w:t xml:space="preserve">/INFOEM/IP/RR/2024, </w:t>
      </w:r>
      <w:r w:rsidR="00D738F0">
        <w:rPr>
          <w:rFonts w:ascii="Palatino Linotype" w:eastAsia="Palatino Linotype" w:hAnsi="Palatino Linotype" w:cs="Palatino Linotype"/>
          <w:b/>
          <w:color w:val="000000"/>
        </w:rPr>
        <w:t>y 03294</w:t>
      </w:r>
      <w:r>
        <w:rPr>
          <w:rFonts w:ascii="Palatino Linotype" w:eastAsia="Palatino Linotype" w:hAnsi="Palatino Linotype" w:cs="Palatino Linotype"/>
          <w:b/>
          <w:color w:val="000000"/>
        </w:rPr>
        <w:t>/INFOEM/IP/RR/2024 acumulados</w:t>
      </w:r>
      <w:r>
        <w:rPr>
          <w:rFonts w:ascii="Palatino Linotype" w:eastAsia="Palatino Linotype" w:hAnsi="Palatino Linotype" w:cs="Palatino Linotype"/>
          <w:color w:val="000000"/>
        </w:rPr>
        <w:t xml:space="preserve">, promovidos por una persona </w:t>
      </w:r>
      <w:r w:rsidR="00B730CA">
        <w:rPr>
          <w:rFonts w:ascii="Palatino Linotype" w:eastAsia="Palatino Linotype" w:hAnsi="Palatino Linotype" w:cs="Palatino Linotype"/>
          <w:color w:val="000000"/>
        </w:rPr>
        <w:t>que no registró nombre</w:t>
      </w:r>
      <w:r>
        <w:rPr>
          <w:rFonts w:ascii="Palatino Linotype" w:eastAsia="Palatino Linotype" w:hAnsi="Palatino Linotype" w:cs="Palatino Linotype"/>
          <w:b/>
          <w:color w:val="000000"/>
        </w:rPr>
        <w:t>,</w:t>
      </w:r>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las solicitudes de información </w:t>
      </w:r>
      <w:r w:rsidR="009227C6" w:rsidRPr="009227C6">
        <w:rPr>
          <w:rFonts w:ascii="Palatino Linotype" w:eastAsia="Palatino Linotype" w:hAnsi="Palatino Linotype" w:cs="Palatino Linotype"/>
          <w:b/>
        </w:rPr>
        <w:t>00238/SMOV/IP/2024</w:t>
      </w:r>
      <w:r w:rsidR="009227C6">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y </w:t>
      </w:r>
      <w:r w:rsidR="009227C6">
        <w:rPr>
          <w:rFonts w:ascii="Palatino Linotype" w:eastAsia="Palatino Linotype" w:hAnsi="Palatino Linotype" w:cs="Palatino Linotype"/>
          <w:b/>
        </w:rPr>
        <w:t>00237</w:t>
      </w:r>
      <w:r w:rsidR="009227C6" w:rsidRPr="009227C6">
        <w:rPr>
          <w:rFonts w:ascii="Palatino Linotype" w:eastAsia="Palatino Linotype" w:hAnsi="Palatino Linotype" w:cs="Palatino Linotype"/>
          <w:b/>
        </w:rPr>
        <w:t>/SMOV/IP/2024</w:t>
      </w:r>
      <w:r>
        <w:rPr>
          <w:rFonts w:ascii="Palatino Linotype" w:eastAsia="Palatino Linotype" w:hAnsi="Palatino Linotype" w:cs="Palatino Linotype"/>
        </w:rPr>
        <w:t xml:space="preserve">, por parte </w:t>
      </w:r>
      <w:r w:rsidR="009227C6">
        <w:rPr>
          <w:rFonts w:ascii="Palatino Linotype" w:eastAsia="Palatino Linotype" w:hAnsi="Palatino Linotype" w:cs="Palatino Linotype"/>
        </w:rPr>
        <w:t>de la</w:t>
      </w:r>
      <w:r>
        <w:rPr>
          <w:rFonts w:ascii="Palatino Linotype" w:eastAsia="Palatino Linotype" w:hAnsi="Palatino Linotype" w:cs="Palatino Linotype"/>
        </w:rPr>
        <w:t xml:space="preserve"> </w:t>
      </w:r>
      <w:r w:rsidR="009227C6" w:rsidRPr="009227C6">
        <w:rPr>
          <w:rFonts w:ascii="Palatino Linotype" w:eastAsia="Palatino Linotype" w:hAnsi="Palatino Linotype" w:cs="Palatino Linotype"/>
          <w:b/>
        </w:rPr>
        <w:t>Secretaría de Movilidad</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rsidR="005A5019" w:rsidRDefault="005A5019" w:rsidP="00DF7389">
      <w:pPr>
        <w:ind w:right="278"/>
        <w:jc w:val="both"/>
        <w:rPr>
          <w:rFonts w:ascii="Palatino Linotype" w:eastAsia="Palatino Linotype" w:hAnsi="Palatino Linotype" w:cs="Palatino Linotype"/>
        </w:rPr>
      </w:pPr>
    </w:p>
    <w:p w:rsidR="005A5019" w:rsidRDefault="00B20CBD" w:rsidP="009408D2">
      <w:pPr>
        <w:pStyle w:val="Ttulo1"/>
        <w:spacing w:before="0" w:line="360" w:lineRule="auto"/>
        <w:ind w:right="27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5A5019" w:rsidRDefault="005A5019" w:rsidP="00DF7389">
      <w:pPr>
        <w:pBdr>
          <w:top w:val="nil"/>
          <w:left w:val="nil"/>
          <w:bottom w:val="nil"/>
          <w:right w:val="nil"/>
          <w:between w:val="nil"/>
        </w:pBdr>
        <w:ind w:left="720" w:right="278"/>
        <w:jc w:val="both"/>
        <w:rPr>
          <w:rFonts w:ascii="Palatino Linotype" w:eastAsia="Palatino Linotype" w:hAnsi="Palatino Linotype" w:cs="Palatino Linotype"/>
          <w:b/>
          <w:color w:val="000000"/>
          <w:u w:val="single"/>
        </w:rPr>
      </w:pPr>
    </w:p>
    <w:p w:rsidR="005A5019"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484929">
        <w:rPr>
          <w:rFonts w:ascii="Palatino Linotype" w:eastAsia="Palatino Linotype" w:hAnsi="Palatino Linotype" w:cs="Palatino Linotype"/>
          <w:b/>
          <w:color w:val="000000"/>
        </w:rPr>
        <w:t>tres de abril</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las siguientes solicitudes de información pública:</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484929" w:rsidRDefault="00484929" w:rsidP="009408D2">
      <w:pPr>
        <w:pBdr>
          <w:top w:val="nil"/>
          <w:left w:val="nil"/>
          <w:bottom w:val="nil"/>
          <w:right w:val="nil"/>
          <w:between w:val="nil"/>
        </w:pBdr>
        <w:ind w:left="1134" w:right="1127"/>
        <w:jc w:val="both"/>
        <w:rPr>
          <w:rFonts w:ascii="Palatino Linotype" w:eastAsia="Palatino Linotype" w:hAnsi="Palatino Linotype" w:cs="Palatino Linotype"/>
          <w:b/>
        </w:rPr>
      </w:pPr>
      <w:r w:rsidRPr="009227C6">
        <w:rPr>
          <w:rFonts w:ascii="Palatino Linotype" w:eastAsia="Palatino Linotype" w:hAnsi="Palatino Linotype" w:cs="Palatino Linotype"/>
          <w:b/>
        </w:rPr>
        <w:t>00238/SMOV/IP/2024</w:t>
      </w:r>
      <w:r>
        <w:rPr>
          <w:rFonts w:ascii="Palatino Linotype" w:eastAsia="Palatino Linotype" w:hAnsi="Palatino Linotype" w:cs="Palatino Linotype"/>
          <w:b/>
        </w:rPr>
        <w:t xml:space="preserve"> </w:t>
      </w:r>
    </w:p>
    <w:p w:rsidR="005A5019" w:rsidRDefault="00B20CBD" w:rsidP="009408D2">
      <w:pPr>
        <w:pBdr>
          <w:top w:val="nil"/>
          <w:left w:val="nil"/>
          <w:bottom w:val="nil"/>
          <w:right w:val="nil"/>
          <w:between w:val="nil"/>
        </w:pBdr>
        <w:ind w:left="1134" w:right="112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484929" w:rsidRPr="00484929">
        <w:rPr>
          <w:rFonts w:ascii="Palatino Linotype" w:eastAsia="Palatino Linotype" w:hAnsi="Palatino Linotype" w:cs="Palatino Linotype"/>
          <w:i/>
          <w:color w:val="000000"/>
        </w:rPr>
        <w:t>Se solicita las facturas pagadas con el documento que lo acredite la factura, el cheche o póliza e pago o documento de la transferencia a cualquier servidor público, proveedor o servicio en octubre 2023.</w:t>
      </w:r>
      <w:r>
        <w:rPr>
          <w:rFonts w:ascii="Palatino Linotype" w:eastAsia="Palatino Linotype" w:hAnsi="Palatino Linotype" w:cs="Palatino Linotype"/>
          <w:i/>
          <w:color w:val="000000"/>
        </w:rPr>
        <w:t>” (Sic)</w:t>
      </w:r>
    </w:p>
    <w:p w:rsidR="005A5019" w:rsidRDefault="005A5019" w:rsidP="009408D2">
      <w:pPr>
        <w:pBdr>
          <w:top w:val="nil"/>
          <w:left w:val="nil"/>
          <w:bottom w:val="nil"/>
          <w:right w:val="nil"/>
          <w:between w:val="nil"/>
        </w:pBdr>
        <w:ind w:left="1134" w:right="1127"/>
        <w:jc w:val="both"/>
        <w:rPr>
          <w:rFonts w:ascii="Palatino Linotype" w:eastAsia="Palatino Linotype" w:hAnsi="Palatino Linotype" w:cs="Palatino Linotype"/>
          <w:i/>
          <w:color w:val="000000"/>
        </w:rPr>
      </w:pPr>
    </w:p>
    <w:p w:rsidR="00DF7389" w:rsidRDefault="00DF7389" w:rsidP="009408D2">
      <w:pPr>
        <w:pBdr>
          <w:top w:val="nil"/>
          <w:left w:val="nil"/>
          <w:bottom w:val="nil"/>
          <w:right w:val="nil"/>
          <w:between w:val="nil"/>
        </w:pBdr>
        <w:ind w:left="1134" w:right="1127"/>
        <w:jc w:val="both"/>
        <w:rPr>
          <w:rFonts w:ascii="Palatino Linotype" w:eastAsia="Palatino Linotype" w:hAnsi="Palatino Linotype" w:cs="Palatino Linotype"/>
          <w:b/>
        </w:rPr>
      </w:pPr>
    </w:p>
    <w:p w:rsidR="00DF7389" w:rsidRDefault="00DF7389" w:rsidP="009408D2">
      <w:pPr>
        <w:pBdr>
          <w:top w:val="nil"/>
          <w:left w:val="nil"/>
          <w:bottom w:val="nil"/>
          <w:right w:val="nil"/>
          <w:between w:val="nil"/>
        </w:pBdr>
        <w:ind w:left="1134" w:right="1127"/>
        <w:jc w:val="both"/>
        <w:rPr>
          <w:rFonts w:ascii="Palatino Linotype" w:eastAsia="Palatino Linotype" w:hAnsi="Palatino Linotype" w:cs="Palatino Linotype"/>
          <w:b/>
        </w:rPr>
      </w:pPr>
    </w:p>
    <w:p w:rsidR="00484929" w:rsidRDefault="00484929" w:rsidP="009408D2">
      <w:pPr>
        <w:pBdr>
          <w:top w:val="nil"/>
          <w:left w:val="nil"/>
          <w:bottom w:val="nil"/>
          <w:right w:val="nil"/>
          <w:between w:val="nil"/>
        </w:pBdr>
        <w:ind w:left="1134" w:right="1127"/>
        <w:jc w:val="both"/>
        <w:rPr>
          <w:rFonts w:ascii="Palatino Linotype" w:eastAsia="Palatino Linotype" w:hAnsi="Palatino Linotype" w:cs="Palatino Linotype"/>
          <w:i/>
          <w:color w:val="000000"/>
        </w:rPr>
      </w:pPr>
      <w:r>
        <w:rPr>
          <w:rFonts w:ascii="Palatino Linotype" w:eastAsia="Palatino Linotype" w:hAnsi="Palatino Linotype" w:cs="Palatino Linotype"/>
          <w:b/>
        </w:rPr>
        <w:lastRenderedPageBreak/>
        <w:t>00237</w:t>
      </w:r>
      <w:r w:rsidRPr="009227C6">
        <w:rPr>
          <w:rFonts w:ascii="Palatino Linotype" w:eastAsia="Palatino Linotype" w:hAnsi="Palatino Linotype" w:cs="Palatino Linotype"/>
          <w:b/>
        </w:rPr>
        <w:t>/SMOV/IP/2024</w:t>
      </w:r>
      <w:r>
        <w:rPr>
          <w:rFonts w:ascii="Palatino Linotype" w:eastAsia="Palatino Linotype" w:hAnsi="Palatino Linotype" w:cs="Palatino Linotype"/>
          <w:i/>
          <w:color w:val="000000"/>
        </w:rPr>
        <w:t xml:space="preserve"> </w:t>
      </w:r>
    </w:p>
    <w:p w:rsidR="005A5019" w:rsidRDefault="00B20CBD" w:rsidP="009408D2">
      <w:pPr>
        <w:pBdr>
          <w:top w:val="nil"/>
          <w:left w:val="nil"/>
          <w:bottom w:val="nil"/>
          <w:right w:val="nil"/>
          <w:between w:val="nil"/>
        </w:pBdr>
        <w:ind w:left="1134" w:right="112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484929" w:rsidRPr="00484929">
        <w:rPr>
          <w:rFonts w:ascii="Palatino Linotype" w:eastAsia="Palatino Linotype" w:hAnsi="Palatino Linotype" w:cs="Palatino Linotype"/>
          <w:i/>
          <w:color w:val="000000"/>
        </w:rPr>
        <w:t>Se solicita las facturas pagadas con el documento que lo acredite la factura, el cheche o póliza e pago o documento de la transferencia a cualquier servidor público, proveedor o servicio en septiembre 2023.</w:t>
      </w:r>
      <w:r>
        <w:rPr>
          <w:rFonts w:ascii="Palatino Linotype" w:eastAsia="Palatino Linotype" w:hAnsi="Palatino Linotype" w:cs="Palatino Linotype"/>
          <w:i/>
          <w:color w:val="000000"/>
        </w:rPr>
        <w:t>” (Sic)</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12"/>
        </w:numPr>
        <w:pBdr>
          <w:top w:val="nil"/>
          <w:left w:val="nil"/>
          <w:bottom w:val="nil"/>
          <w:right w:val="nil"/>
          <w:between w:val="nil"/>
        </w:pBdr>
        <w:tabs>
          <w:tab w:val="left" w:pos="0"/>
        </w:tabs>
        <w:spacing w:line="360" w:lineRule="auto"/>
        <w:ind w:left="709" w:right="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5A5019" w:rsidRDefault="005A5019"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b/>
          <w:color w:val="000000"/>
          <w:u w:val="single"/>
        </w:rPr>
      </w:pPr>
    </w:p>
    <w:p w:rsidR="001F2666" w:rsidRDefault="001F2666"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dieciocho de abril de 2024, la Subdirectora de Finanzas, en atención a las solicitudes de información </w:t>
      </w:r>
      <w:r w:rsidR="00E200D5">
        <w:rPr>
          <w:rFonts w:ascii="Palatino Linotype" w:eastAsia="Palatino Linotype" w:hAnsi="Palatino Linotype" w:cs="Palatino Linotype"/>
          <w:color w:val="000000"/>
        </w:rPr>
        <w:t>requiere</w:t>
      </w:r>
      <w:r>
        <w:rPr>
          <w:rFonts w:ascii="Palatino Linotype" w:eastAsia="Palatino Linotype" w:hAnsi="Palatino Linotype" w:cs="Palatino Linotype"/>
          <w:color w:val="000000"/>
        </w:rPr>
        <w:t xml:space="preserve"> prorroga debido a que la información requerida implica procesar información, cuya entrega o reproducción sobrepasa las capacidades técnicas, administrativas y humanas de esa unidad administrativa.</w:t>
      </w:r>
    </w:p>
    <w:p w:rsidR="00E200D5" w:rsidRDefault="00E200D5"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rsidR="001F2666" w:rsidRPr="00E200D5" w:rsidRDefault="00CC76E7"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Sujeto Obligado adjunto en archivos digitales: el </w:t>
      </w:r>
      <w:r w:rsidRPr="00E200D5">
        <w:rPr>
          <w:rFonts w:ascii="Palatino Linotype" w:eastAsia="Palatino Linotype" w:hAnsi="Palatino Linotype" w:cs="Palatino Linotype"/>
          <w:color w:val="000000"/>
        </w:rPr>
        <w:t>acta de la sexagésima novena sesión extraordinaria de dos mil veinticuatro del Comité de Transparencia</w:t>
      </w:r>
      <w:r w:rsidR="00D633F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 fecha</w:t>
      </w:r>
      <w:r w:rsidR="00E200D5" w:rsidRPr="00E200D5">
        <w:rPr>
          <w:rFonts w:ascii="Palatino Linotype" w:eastAsia="Palatino Linotype" w:hAnsi="Palatino Linotype" w:cs="Palatino Linotype"/>
          <w:color w:val="000000"/>
        </w:rPr>
        <w:t xml:space="preserve"> veintidós de abril de dos mil veinticuatro,</w:t>
      </w:r>
      <w:r>
        <w:rPr>
          <w:rFonts w:ascii="Palatino Linotype" w:eastAsia="Palatino Linotype" w:hAnsi="Palatino Linotype" w:cs="Palatino Linotype"/>
          <w:color w:val="000000"/>
        </w:rPr>
        <w:t xml:space="preserve"> </w:t>
      </w:r>
      <w:r w:rsidR="00E200D5" w:rsidRPr="00E200D5">
        <w:rPr>
          <w:rFonts w:ascii="Palatino Linotype" w:eastAsia="Palatino Linotype" w:hAnsi="Palatino Linotype" w:cs="Palatino Linotype"/>
          <w:color w:val="000000"/>
        </w:rPr>
        <w:t xml:space="preserve">en donde el </w:t>
      </w:r>
      <w:r>
        <w:rPr>
          <w:rFonts w:ascii="Palatino Linotype" w:eastAsia="Palatino Linotype" w:hAnsi="Palatino Linotype" w:cs="Palatino Linotype"/>
          <w:color w:val="000000"/>
        </w:rPr>
        <w:t>Servidor Público</w:t>
      </w:r>
      <w:r w:rsidR="00E200D5" w:rsidRPr="00E200D5">
        <w:rPr>
          <w:rFonts w:ascii="Palatino Linotype" w:eastAsia="Palatino Linotype" w:hAnsi="Palatino Linotype" w:cs="Palatino Linotype"/>
          <w:color w:val="000000"/>
        </w:rPr>
        <w:t xml:space="preserve"> Habilitado de la Coordinación Administrativa solicita prórroga para atender diversas solicitudes de información, entre ellas las de folio </w:t>
      </w:r>
      <w:r w:rsidR="00E200D5" w:rsidRPr="00E200D5">
        <w:rPr>
          <w:rFonts w:ascii="Palatino Linotype" w:eastAsia="Palatino Linotype" w:hAnsi="Palatino Linotype" w:cs="Palatino Linotype"/>
          <w:b/>
        </w:rPr>
        <w:t>00237/SMOV/IP/2024 y 00238/SMOV/IP/2024</w:t>
      </w:r>
      <w:r w:rsidR="00E200D5" w:rsidRPr="00E200D5">
        <w:rPr>
          <w:rFonts w:ascii="Palatino Linotype" w:eastAsia="Palatino Linotype" w:hAnsi="Palatino Linotype" w:cs="Palatino Linotype"/>
        </w:rPr>
        <w:t>, que ocupan el presente asunto, a las que les recayeron los acuerdos CT/SM/A/01/2024 y CT/SM/A/02/2024 respectivamente, en el que se aprueba la ampliación</w:t>
      </w:r>
      <w:r w:rsidR="005632E0">
        <w:rPr>
          <w:rFonts w:ascii="Palatino Linotype" w:eastAsia="Palatino Linotype" w:hAnsi="Palatino Linotype" w:cs="Palatino Linotype"/>
        </w:rPr>
        <w:t xml:space="preserve"> </w:t>
      </w:r>
      <w:r w:rsidR="00E200D5" w:rsidRPr="00E200D5">
        <w:rPr>
          <w:rFonts w:ascii="Palatino Linotype" w:eastAsia="Palatino Linotype" w:hAnsi="Palatino Linotype" w:cs="Palatino Linotype"/>
        </w:rPr>
        <w:t>del término</w:t>
      </w:r>
      <w:r w:rsidR="005632E0">
        <w:rPr>
          <w:rFonts w:ascii="Palatino Linotype" w:eastAsia="Palatino Linotype" w:hAnsi="Palatino Linotype" w:cs="Palatino Linotype"/>
        </w:rPr>
        <w:t xml:space="preserve"> por siete días</w:t>
      </w:r>
      <w:r w:rsidR="00E200D5" w:rsidRPr="00E200D5">
        <w:rPr>
          <w:rFonts w:ascii="Palatino Linotype" w:eastAsia="Palatino Linotype" w:hAnsi="Palatino Linotype" w:cs="Palatino Linotype"/>
        </w:rPr>
        <w:t xml:space="preserve"> en razón de que la información y/o documentación requerida se encuentra siendo procesada.</w:t>
      </w:r>
      <w:r>
        <w:rPr>
          <w:rFonts w:ascii="Palatino Linotype" w:eastAsia="Palatino Linotype" w:hAnsi="Palatino Linotype" w:cs="Palatino Linotype"/>
        </w:rPr>
        <w:t xml:space="preserve"> Asimismo, adjunta documento donde hace del conocimiento al solicitante de dicha ampliación de plazo.</w:t>
      </w:r>
    </w:p>
    <w:p w:rsidR="00E200D5" w:rsidRDefault="00E200D5"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w:t>
      </w:r>
      <w:r w:rsidR="00C27A80">
        <w:rPr>
          <w:rFonts w:ascii="Palatino Linotype" w:eastAsia="Palatino Linotype" w:hAnsi="Palatino Linotype" w:cs="Palatino Linotype"/>
          <w:b/>
          <w:color w:val="000000"/>
        </w:rPr>
        <w:t>siete de mayo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los siguientes archivos electrónicos</w:t>
      </w:r>
      <w:r>
        <w:rPr>
          <w:rFonts w:ascii="Palatino Linotype" w:eastAsia="Palatino Linotype" w:hAnsi="Palatino Linotype" w:cs="Palatino Linotype"/>
          <w:b/>
          <w:i/>
          <w:color w:val="000000"/>
        </w:rPr>
        <w:t>:</w:t>
      </w:r>
    </w:p>
    <w:p w:rsidR="005A5019" w:rsidRDefault="00B20CBD" w:rsidP="009408D2">
      <w:pPr>
        <w:pBdr>
          <w:top w:val="nil"/>
          <w:left w:val="nil"/>
          <w:bottom w:val="nil"/>
          <w:right w:val="nil"/>
          <w:between w:val="nil"/>
        </w:pBdr>
        <w:tabs>
          <w:tab w:val="left" w:pos="567"/>
        </w:tabs>
        <w:spacing w:line="360" w:lineRule="auto"/>
        <w:ind w:left="567" w:right="112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Folio de la solicitud: </w:t>
      </w:r>
      <w:r w:rsidR="00340DDF" w:rsidRPr="00340DDF">
        <w:rPr>
          <w:rFonts w:ascii="Palatino Linotype" w:eastAsia="Palatino Linotype" w:hAnsi="Palatino Linotype" w:cs="Palatino Linotype"/>
          <w:b/>
          <w:sz w:val="22"/>
          <w:szCs w:val="22"/>
        </w:rPr>
        <w:t>00238/SMOV/IP/2024</w:t>
      </w:r>
    </w:p>
    <w:p w:rsidR="0074354B" w:rsidRPr="0074354B" w:rsidRDefault="0074354B" w:rsidP="009408D2">
      <w:pPr>
        <w:pStyle w:val="Prrafodelista"/>
        <w:numPr>
          <w:ilvl w:val="0"/>
          <w:numId w:val="13"/>
        </w:numPr>
        <w:pBdr>
          <w:top w:val="nil"/>
          <w:left w:val="nil"/>
          <w:bottom w:val="nil"/>
          <w:right w:val="nil"/>
          <w:between w:val="nil"/>
        </w:pBdr>
        <w:tabs>
          <w:tab w:val="left" w:pos="567"/>
        </w:tabs>
        <w:spacing w:line="360" w:lineRule="auto"/>
        <w:ind w:right="1127"/>
        <w:jc w:val="both"/>
        <w:rPr>
          <w:rFonts w:ascii="Palatino Linotype" w:eastAsia="Palatino Linotype" w:hAnsi="Palatino Linotype" w:cs="Palatino Linotype"/>
          <w:b/>
          <w:sz w:val="22"/>
          <w:szCs w:val="22"/>
        </w:rPr>
      </w:pPr>
      <w:r w:rsidRPr="0074354B">
        <w:rPr>
          <w:rFonts w:ascii="Palatino Linotype" w:eastAsia="Palatino Linotype" w:hAnsi="Palatino Linotype" w:cs="Palatino Linotype"/>
          <w:b/>
          <w:i/>
          <w:sz w:val="22"/>
          <w:szCs w:val="22"/>
        </w:rPr>
        <w:t>SAIMEX 00238.pdf</w:t>
      </w:r>
    </w:p>
    <w:p w:rsidR="0074354B" w:rsidRDefault="0074354B"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22000011000400S/504/2024 de fecha 02 de mayo de 2024, firmado por la Subdirectora de Finanzas, dirigido al Servidor Público Habilitado en materia de Transparencia, a través del cual precisa que posterior al análisis de la solicitud, hace de su conocimiento que se actualiza el supuesto que establece </w:t>
      </w:r>
      <w:r w:rsidRPr="0074354B">
        <w:rPr>
          <w:rFonts w:ascii="Palatino Linotype" w:eastAsia="Palatino Linotype" w:hAnsi="Palatino Linotype" w:cs="Palatino Linotype"/>
          <w:i/>
          <w:sz w:val="22"/>
          <w:szCs w:val="22"/>
        </w:rPr>
        <w:t>“por el escaneo y digitalización de cada hoja relativa a los documentos que sean entregados por vía electrónica, en medio magnético o en disco compacto,  la tarifa que se pagara $1. Lo anterior tomando en cuenta que el total de fojas que contiene la documentación requerida es de 106”.</w:t>
      </w:r>
      <w:r>
        <w:rPr>
          <w:rFonts w:ascii="Palatino Linotype" w:eastAsia="Palatino Linotype" w:hAnsi="Palatino Linotype" w:cs="Palatino Linotype"/>
          <w:i/>
          <w:sz w:val="22"/>
          <w:szCs w:val="22"/>
        </w:rPr>
        <w:t xml:space="preserve"> (Sic)</w:t>
      </w:r>
    </w:p>
    <w:p w:rsidR="00F12E03" w:rsidRDefault="00F12E03"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p>
    <w:p w:rsidR="00F12E03" w:rsidRPr="00F12E03" w:rsidRDefault="00F12E03"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informa que la Dirección General de Recaudación </w:t>
      </w:r>
      <w:r w:rsidR="00C01CE4">
        <w:rPr>
          <w:rFonts w:ascii="Palatino Linotype" w:eastAsia="Palatino Linotype" w:hAnsi="Palatino Linotype" w:cs="Palatino Linotype"/>
          <w:sz w:val="22"/>
          <w:szCs w:val="22"/>
        </w:rPr>
        <w:t>de</w:t>
      </w:r>
      <w:r>
        <w:rPr>
          <w:rFonts w:ascii="Palatino Linotype" w:eastAsia="Palatino Linotype" w:hAnsi="Palatino Linotype" w:cs="Palatino Linotype"/>
          <w:sz w:val="22"/>
          <w:szCs w:val="22"/>
        </w:rPr>
        <w:t xml:space="preserve"> la Secretaría de Finanzas, es el área que recauda los ingresos provenientes de contribuciones, por lo que deberá generar una línea de captura para realizar el pago, señalando  </w:t>
      </w:r>
      <w:r w:rsidR="00313DB0">
        <w:rPr>
          <w:rFonts w:ascii="Palatino Linotype" w:eastAsia="Palatino Linotype" w:hAnsi="Palatino Linotype" w:cs="Palatino Linotype"/>
          <w:sz w:val="22"/>
          <w:szCs w:val="22"/>
        </w:rPr>
        <w:t>una</w:t>
      </w:r>
      <w:r>
        <w:rPr>
          <w:rFonts w:ascii="Palatino Linotype" w:eastAsia="Palatino Linotype" w:hAnsi="Palatino Linotype" w:cs="Palatino Linotype"/>
          <w:sz w:val="22"/>
          <w:szCs w:val="22"/>
        </w:rPr>
        <w:t xml:space="preserve"> liga electrónica</w:t>
      </w:r>
      <w:r w:rsidR="00313DB0">
        <w:rPr>
          <w:rFonts w:ascii="Palatino Linotype" w:eastAsia="Palatino Linotype" w:hAnsi="Palatino Linotype" w:cs="Palatino Linotype"/>
          <w:sz w:val="22"/>
          <w:szCs w:val="22"/>
        </w:rPr>
        <w:t xml:space="preserve"> en dato cerrado</w:t>
      </w:r>
      <w:r>
        <w:rPr>
          <w:rFonts w:ascii="Palatino Linotype" w:eastAsia="Palatino Linotype" w:hAnsi="Palatino Linotype" w:cs="Palatino Linotype"/>
          <w:sz w:val="22"/>
          <w:szCs w:val="22"/>
        </w:rPr>
        <w:t xml:space="preserve"> y los pasos a seguir:</w:t>
      </w:r>
    </w:p>
    <w:p w:rsidR="0074354B" w:rsidRDefault="0074354B" w:rsidP="009408D2">
      <w:pPr>
        <w:pStyle w:val="Prrafodelista"/>
        <w:pBdr>
          <w:top w:val="nil"/>
          <w:left w:val="nil"/>
          <w:bottom w:val="nil"/>
          <w:right w:val="nil"/>
          <w:between w:val="nil"/>
        </w:pBdr>
        <w:tabs>
          <w:tab w:val="left" w:pos="567"/>
        </w:tabs>
        <w:spacing w:line="360" w:lineRule="auto"/>
        <w:ind w:left="1287" w:right="1127"/>
        <w:jc w:val="both"/>
        <w:rPr>
          <w:rFonts w:ascii="Palatino Linotype" w:eastAsia="Palatino Linotype" w:hAnsi="Palatino Linotype" w:cs="Palatino Linotype"/>
          <w:sz w:val="22"/>
          <w:szCs w:val="22"/>
        </w:rPr>
      </w:pPr>
    </w:p>
    <w:p w:rsidR="009810A9" w:rsidRPr="0074354B" w:rsidRDefault="009810A9" w:rsidP="009408D2">
      <w:pPr>
        <w:pStyle w:val="Prrafodelista"/>
        <w:pBdr>
          <w:top w:val="nil"/>
          <w:left w:val="nil"/>
          <w:bottom w:val="nil"/>
          <w:right w:val="nil"/>
          <w:between w:val="nil"/>
        </w:pBdr>
        <w:tabs>
          <w:tab w:val="left" w:pos="567"/>
        </w:tabs>
        <w:spacing w:line="360" w:lineRule="auto"/>
        <w:ind w:left="1287" w:right="1127"/>
        <w:jc w:val="both"/>
        <w:rPr>
          <w:rFonts w:ascii="Palatino Linotype" w:eastAsia="Palatino Linotype" w:hAnsi="Palatino Linotype" w:cs="Palatino Linotype"/>
          <w:sz w:val="22"/>
          <w:szCs w:val="22"/>
        </w:rPr>
      </w:pPr>
      <w:r w:rsidRPr="009810A9">
        <w:rPr>
          <w:rFonts w:ascii="Palatino Linotype" w:eastAsia="Palatino Linotype" w:hAnsi="Palatino Linotype" w:cs="Palatino Linotype"/>
          <w:noProof/>
          <w:sz w:val="22"/>
          <w:szCs w:val="22"/>
          <w:lang w:val="es-MX" w:eastAsia="es-MX"/>
        </w:rPr>
        <w:drawing>
          <wp:inline distT="0" distB="0" distL="0" distR="0" wp14:anchorId="32B7BF45" wp14:editId="2AE4EC13">
            <wp:extent cx="4841875" cy="6393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0064" cy="677406"/>
                    </a:xfrm>
                    <a:prstGeom prst="rect">
                      <a:avLst/>
                    </a:prstGeom>
                  </pic:spPr>
                </pic:pic>
              </a:graphicData>
            </a:graphic>
          </wp:inline>
        </w:drawing>
      </w:r>
    </w:p>
    <w:p w:rsidR="005A5019" w:rsidRDefault="005A5019" w:rsidP="009408D2">
      <w:pPr>
        <w:pBdr>
          <w:top w:val="nil"/>
          <w:left w:val="nil"/>
          <w:bottom w:val="nil"/>
          <w:right w:val="nil"/>
          <w:between w:val="nil"/>
        </w:pBdr>
        <w:tabs>
          <w:tab w:val="left" w:pos="567"/>
        </w:tabs>
        <w:ind w:left="567" w:right="1127"/>
        <w:jc w:val="both"/>
        <w:rPr>
          <w:rFonts w:ascii="Palatino Linotype" w:eastAsia="Palatino Linotype" w:hAnsi="Palatino Linotype" w:cs="Palatino Linotype"/>
          <w:b/>
          <w:i/>
          <w:color w:val="000000"/>
          <w:sz w:val="22"/>
          <w:szCs w:val="22"/>
        </w:rPr>
      </w:pPr>
    </w:p>
    <w:p w:rsidR="005A5019" w:rsidRDefault="005A5019" w:rsidP="009408D2">
      <w:pPr>
        <w:pBdr>
          <w:top w:val="nil"/>
          <w:left w:val="nil"/>
          <w:bottom w:val="nil"/>
          <w:right w:val="nil"/>
          <w:between w:val="nil"/>
        </w:pBdr>
        <w:tabs>
          <w:tab w:val="left" w:pos="567"/>
        </w:tabs>
        <w:ind w:right="1127"/>
        <w:jc w:val="both"/>
        <w:rPr>
          <w:rFonts w:ascii="Palatino Linotype" w:eastAsia="Palatino Linotype" w:hAnsi="Palatino Linotype" w:cs="Palatino Linotype"/>
          <w:b/>
          <w:i/>
          <w:color w:val="000000"/>
          <w:sz w:val="22"/>
          <w:szCs w:val="22"/>
        </w:rPr>
      </w:pPr>
    </w:p>
    <w:p w:rsidR="005A5019" w:rsidRDefault="00B20CBD" w:rsidP="009408D2">
      <w:pPr>
        <w:pBdr>
          <w:top w:val="nil"/>
          <w:left w:val="nil"/>
          <w:bottom w:val="nil"/>
          <w:right w:val="nil"/>
          <w:between w:val="nil"/>
        </w:pBdr>
        <w:tabs>
          <w:tab w:val="left" w:pos="567"/>
        </w:tabs>
        <w:spacing w:line="360" w:lineRule="auto"/>
        <w:ind w:left="567" w:right="112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Folio de la solicitud:</w:t>
      </w:r>
      <w:r>
        <w:rPr>
          <w:rFonts w:ascii="Palatino Linotype" w:eastAsia="Palatino Linotype" w:hAnsi="Palatino Linotype" w:cs="Palatino Linotype"/>
          <w:b/>
          <w:sz w:val="22"/>
          <w:szCs w:val="22"/>
        </w:rPr>
        <w:t xml:space="preserve"> </w:t>
      </w:r>
      <w:r w:rsidR="00340DDF" w:rsidRPr="00340DDF">
        <w:rPr>
          <w:rFonts w:ascii="Palatino Linotype" w:eastAsia="Palatino Linotype" w:hAnsi="Palatino Linotype" w:cs="Palatino Linotype"/>
          <w:b/>
          <w:sz w:val="22"/>
          <w:szCs w:val="22"/>
        </w:rPr>
        <w:t>00237/SMOV/IP/2024</w:t>
      </w:r>
    </w:p>
    <w:p w:rsidR="00C01CE4" w:rsidRPr="00C01CE4" w:rsidRDefault="00C01CE4" w:rsidP="009408D2">
      <w:pPr>
        <w:pStyle w:val="Prrafodelista"/>
        <w:numPr>
          <w:ilvl w:val="0"/>
          <w:numId w:val="13"/>
        </w:numPr>
        <w:pBdr>
          <w:top w:val="nil"/>
          <w:left w:val="nil"/>
          <w:bottom w:val="nil"/>
          <w:right w:val="nil"/>
          <w:between w:val="nil"/>
        </w:pBdr>
        <w:tabs>
          <w:tab w:val="left" w:pos="567"/>
        </w:tabs>
        <w:ind w:right="1127"/>
        <w:jc w:val="both"/>
        <w:rPr>
          <w:rFonts w:ascii="Palatino Linotype" w:eastAsia="Palatino Linotype" w:hAnsi="Palatino Linotype" w:cs="Palatino Linotype"/>
          <w:b/>
          <w:i/>
          <w:sz w:val="22"/>
          <w:szCs w:val="22"/>
        </w:rPr>
      </w:pPr>
      <w:r w:rsidRPr="00C01CE4">
        <w:rPr>
          <w:rFonts w:ascii="Palatino Linotype" w:eastAsia="Palatino Linotype" w:hAnsi="Palatino Linotype" w:cs="Palatino Linotype"/>
          <w:b/>
          <w:i/>
          <w:sz w:val="22"/>
          <w:szCs w:val="22"/>
        </w:rPr>
        <w:t>SAIMEX 00237.pdf</w:t>
      </w:r>
    </w:p>
    <w:p w:rsidR="00C01CE4" w:rsidRDefault="00C01CE4"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22000011000400S/503/2024 de fecha 02 de mayo de 2024, firmado por la Subdirectora de Finanzas, dirigido al Servidor Público Habilitado en materia de Transparencia, a través del cual precisa que posterior al análisis de la solicitud, hace de su conocimiento que se actualiza el supuesto que establece </w:t>
      </w:r>
      <w:r w:rsidRPr="0074354B">
        <w:rPr>
          <w:rFonts w:ascii="Palatino Linotype" w:eastAsia="Palatino Linotype" w:hAnsi="Palatino Linotype" w:cs="Palatino Linotype"/>
          <w:i/>
          <w:sz w:val="22"/>
          <w:szCs w:val="22"/>
        </w:rPr>
        <w:t xml:space="preserve">“por el escaneo y digitalización de cada hoja relativa a los documentos que sean entregados por vía electrónica, en medio magnético o en disco compacto,  la tarifa que se pagara $1. Lo </w:t>
      </w:r>
      <w:r w:rsidRPr="0074354B">
        <w:rPr>
          <w:rFonts w:ascii="Palatino Linotype" w:eastAsia="Palatino Linotype" w:hAnsi="Palatino Linotype" w:cs="Palatino Linotype"/>
          <w:i/>
          <w:sz w:val="22"/>
          <w:szCs w:val="22"/>
        </w:rPr>
        <w:lastRenderedPageBreak/>
        <w:t xml:space="preserve">anterior tomando en cuenta que el total de fojas que contiene la documentación requerida es de </w:t>
      </w:r>
      <w:r>
        <w:rPr>
          <w:rFonts w:ascii="Palatino Linotype" w:eastAsia="Palatino Linotype" w:hAnsi="Palatino Linotype" w:cs="Palatino Linotype"/>
          <w:i/>
          <w:sz w:val="22"/>
          <w:szCs w:val="22"/>
        </w:rPr>
        <w:t>94</w:t>
      </w:r>
      <w:r w:rsidRPr="0074354B">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 xml:space="preserve"> (Sic)</w:t>
      </w:r>
    </w:p>
    <w:p w:rsidR="00C01CE4" w:rsidRDefault="00C01CE4"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p>
    <w:p w:rsidR="00C01CE4" w:rsidRPr="00F12E03" w:rsidRDefault="00C01CE4" w:rsidP="009408D2">
      <w:pPr>
        <w:pStyle w:val="Prrafodelista"/>
        <w:pBdr>
          <w:top w:val="nil"/>
          <w:left w:val="nil"/>
          <w:bottom w:val="nil"/>
          <w:right w:val="nil"/>
          <w:between w:val="nil"/>
        </w:pBdr>
        <w:tabs>
          <w:tab w:val="left" w:pos="567"/>
        </w:tabs>
        <w:ind w:left="1287" w:right="112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informa que la Dirección General de Recaudación de la Secretaría de Finanzas, es el área que recauda los ingresos provenientes de contribuciones, por lo que deberá generar una línea de captura para realizar el pago, señalando  una liga electrónica en dato cerrado y los pasos a seguir:</w:t>
      </w:r>
    </w:p>
    <w:p w:rsidR="00C01CE4" w:rsidRDefault="00C01CE4" w:rsidP="009408D2">
      <w:pPr>
        <w:pStyle w:val="Prrafodelista"/>
        <w:pBdr>
          <w:top w:val="nil"/>
          <w:left w:val="nil"/>
          <w:bottom w:val="nil"/>
          <w:right w:val="nil"/>
          <w:between w:val="nil"/>
        </w:pBdr>
        <w:tabs>
          <w:tab w:val="left" w:pos="567"/>
        </w:tabs>
        <w:spacing w:line="360" w:lineRule="auto"/>
        <w:ind w:left="1287" w:right="1127"/>
        <w:jc w:val="both"/>
        <w:rPr>
          <w:rFonts w:ascii="Palatino Linotype" w:eastAsia="Palatino Linotype" w:hAnsi="Palatino Linotype" w:cs="Palatino Linotype"/>
          <w:sz w:val="22"/>
          <w:szCs w:val="22"/>
        </w:rPr>
      </w:pPr>
    </w:p>
    <w:p w:rsidR="00C01CE4" w:rsidRPr="0074354B" w:rsidRDefault="00C01CE4" w:rsidP="009408D2">
      <w:pPr>
        <w:pStyle w:val="Prrafodelista"/>
        <w:pBdr>
          <w:top w:val="nil"/>
          <w:left w:val="nil"/>
          <w:bottom w:val="nil"/>
          <w:right w:val="nil"/>
          <w:between w:val="nil"/>
        </w:pBdr>
        <w:tabs>
          <w:tab w:val="left" w:pos="567"/>
        </w:tabs>
        <w:spacing w:line="360" w:lineRule="auto"/>
        <w:ind w:left="1287" w:right="1127"/>
        <w:jc w:val="both"/>
        <w:rPr>
          <w:rFonts w:ascii="Palatino Linotype" w:eastAsia="Palatino Linotype" w:hAnsi="Palatino Linotype" w:cs="Palatino Linotype"/>
          <w:sz w:val="22"/>
          <w:szCs w:val="22"/>
        </w:rPr>
      </w:pPr>
      <w:r w:rsidRPr="009810A9">
        <w:rPr>
          <w:rFonts w:ascii="Palatino Linotype" w:eastAsia="Palatino Linotype" w:hAnsi="Palatino Linotype" w:cs="Palatino Linotype"/>
          <w:noProof/>
          <w:sz w:val="22"/>
          <w:szCs w:val="22"/>
          <w:lang w:val="es-MX" w:eastAsia="es-MX"/>
        </w:rPr>
        <w:drawing>
          <wp:inline distT="0" distB="0" distL="0" distR="0" wp14:anchorId="33DD4379" wp14:editId="4A72593D">
            <wp:extent cx="4841875" cy="63935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0064" cy="677406"/>
                    </a:xfrm>
                    <a:prstGeom prst="rect">
                      <a:avLst/>
                    </a:prstGeom>
                  </pic:spPr>
                </pic:pic>
              </a:graphicData>
            </a:graphic>
          </wp:inline>
        </w:drawing>
      </w:r>
    </w:p>
    <w:p w:rsidR="00C01CE4" w:rsidRPr="00C01CE4" w:rsidRDefault="00C01CE4" w:rsidP="009408D2">
      <w:pPr>
        <w:pBdr>
          <w:top w:val="nil"/>
          <w:left w:val="nil"/>
          <w:bottom w:val="nil"/>
          <w:right w:val="nil"/>
          <w:between w:val="nil"/>
        </w:pBdr>
        <w:tabs>
          <w:tab w:val="left" w:pos="567"/>
        </w:tabs>
        <w:spacing w:line="360" w:lineRule="auto"/>
        <w:ind w:left="567" w:right="276"/>
        <w:jc w:val="both"/>
        <w:rPr>
          <w:rFonts w:ascii="Palatino Linotype" w:eastAsia="Palatino Linotype" w:hAnsi="Palatino Linotype" w:cs="Palatino Linotype"/>
          <w:b/>
          <w:sz w:val="22"/>
          <w:szCs w:val="22"/>
        </w:rPr>
      </w:pPr>
    </w:p>
    <w:p w:rsidR="005A5019"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w:t>
      </w:r>
      <w:r w:rsidR="0088771B">
        <w:rPr>
          <w:rFonts w:ascii="Palatino Linotype" w:eastAsia="Palatino Linotype" w:hAnsi="Palatino Linotype" w:cs="Palatino Linotype"/>
          <w:b/>
          <w:color w:val="000000"/>
        </w:rPr>
        <w:t>veintisiete de mayo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el particular interpuso los recursos de revisión en contra de las respuestas emitidas por el sujeto obligado, realizando </w:t>
      </w:r>
      <w:r w:rsidR="00616FB7">
        <w:rPr>
          <w:rFonts w:ascii="Palatino Linotype" w:eastAsia="Palatino Linotype" w:hAnsi="Palatino Linotype" w:cs="Palatino Linotype"/>
          <w:color w:val="000000"/>
        </w:rPr>
        <w:t>las siguientes</w:t>
      </w:r>
      <w:r>
        <w:rPr>
          <w:rFonts w:ascii="Palatino Linotype" w:eastAsia="Palatino Linotype" w:hAnsi="Palatino Linotype" w:cs="Palatino Linotype"/>
          <w:color w:val="000000"/>
        </w:rPr>
        <w:t xml:space="preserve"> manifestaciones como acto impugnado y razones o motivos de inconformidad:</w:t>
      </w:r>
    </w:p>
    <w:p w:rsidR="00616FB7" w:rsidRDefault="00616FB7"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rsidR="00616FB7" w:rsidRDefault="00616FB7" w:rsidP="009408D2">
      <w:pPr>
        <w:pBdr>
          <w:top w:val="nil"/>
          <w:left w:val="nil"/>
          <w:bottom w:val="nil"/>
          <w:right w:val="nil"/>
          <w:between w:val="nil"/>
        </w:pBdr>
        <w:tabs>
          <w:tab w:val="left" w:pos="0"/>
        </w:tabs>
        <w:ind w:right="98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03293/INFOEM/IP/RR/2024</w:t>
      </w:r>
    </w:p>
    <w:p w:rsidR="00CF0F0C" w:rsidRDefault="00CF0F0C" w:rsidP="009408D2">
      <w:pPr>
        <w:pBdr>
          <w:top w:val="nil"/>
          <w:left w:val="nil"/>
          <w:bottom w:val="nil"/>
          <w:right w:val="nil"/>
          <w:between w:val="nil"/>
        </w:pBdr>
        <w:tabs>
          <w:tab w:val="left" w:pos="0"/>
        </w:tabs>
        <w:ind w:right="985"/>
        <w:jc w:val="both"/>
        <w:rPr>
          <w:rFonts w:ascii="Palatino Linotype" w:eastAsia="Palatino Linotype" w:hAnsi="Palatino Linotype" w:cs="Palatino Linotype"/>
          <w:color w:val="000000"/>
        </w:rPr>
      </w:pPr>
    </w:p>
    <w:p w:rsidR="005A5019" w:rsidRDefault="00B20CBD" w:rsidP="009408D2">
      <w:pPr>
        <w:numPr>
          <w:ilvl w:val="0"/>
          <w:numId w:val="1"/>
        </w:num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sidR="00616FB7" w:rsidRPr="00616FB7">
        <w:rPr>
          <w:rFonts w:ascii="Palatino Linotype" w:eastAsia="Palatino Linotype" w:hAnsi="Palatino Linotype" w:cs="Palatino Linotype"/>
          <w:i/>
          <w:color w:val="000000"/>
          <w:sz w:val="22"/>
          <w:szCs w:val="22"/>
        </w:rPr>
        <w:t>Me cobran por información que debe ser gratis y publica</w:t>
      </w:r>
      <w:r>
        <w:rPr>
          <w:rFonts w:ascii="Palatino Linotype" w:eastAsia="Palatino Linotype" w:hAnsi="Palatino Linotype" w:cs="Palatino Linotype"/>
          <w:i/>
          <w:color w:val="000000"/>
          <w:sz w:val="22"/>
          <w:szCs w:val="22"/>
        </w:rPr>
        <w:t>” (Sic)</w:t>
      </w:r>
    </w:p>
    <w:p w:rsidR="00616FB7" w:rsidRDefault="00616FB7" w:rsidP="009408D2">
      <w:p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p>
    <w:p w:rsidR="005A5019" w:rsidRDefault="00B20CBD" w:rsidP="009408D2">
      <w:pPr>
        <w:numPr>
          <w:ilvl w:val="0"/>
          <w:numId w:val="1"/>
        </w:num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w:t>
      </w:r>
      <w:r w:rsidR="00616FB7" w:rsidRPr="00616FB7">
        <w:rPr>
          <w:rFonts w:ascii="Palatino Linotype" w:eastAsia="Palatino Linotype" w:hAnsi="Palatino Linotype" w:cs="Palatino Linotype"/>
          <w:i/>
          <w:color w:val="000000"/>
          <w:sz w:val="22"/>
          <w:szCs w:val="22"/>
        </w:rPr>
        <w:t>No entrego la información me dicen que pague</w:t>
      </w:r>
      <w:r>
        <w:rPr>
          <w:rFonts w:ascii="Palatino Linotype" w:eastAsia="Palatino Linotype" w:hAnsi="Palatino Linotype" w:cs="Palatino Linotype"/>
          <w:i/>
          <w:color w:val="000000"/>
          <w:sz w:val="22"/>
          <w:szCs w:val="22"/>
        </w:rPr>
        <w:t>”</w:t>
      </w:r>
      <w:r w:rsidR="00CF0F0C">
        <w:rPr>
          <w:rFonts w:ascii="Palatino Linotype" w:eastAsia="Palatino Linotype" w:hAnsi="Palatino Linotype" w:cs="Palatino Linotype"/>
          <w:i/>
          <w:color w:val="000000"/>
          <w:sz w:val="22"/>
          <w:szCs w:val="22"/>
        </w:rPr>
        <w:t xml:space="preserve"> </w:t>
      </w:r>
      <w:r w:rsidRPr="00CF0F0C">
        <w:rPr>
          <w:rFonts w:ascii="Palatino Linotype" w:eastAsia="Palatino Linotype" w:hAnsi="Palatino Linotype" w:cs="Palatino Linotype"/>
          <w:i/>
          <w:color w:val="000000"/>
          <w:sz w:val="22"/>
          <w:szCs w:val="22"/>
        </w:rPr>
        <w:t>(Sic)</w:t>
      </w:r>
    </w:p>
    <w:p w:rsidR="005A5019" w:rsidRDefault="005A5019" w:rsidP="009408D2">
      <w:pPr>
        <w:pBdr>
          <w:top w:val="nil"/>
          <w:left w:val="nil"/>
          <w:bottom w:val="nil"/>
          <w:right w:val="nil"/>
          <w:between w:val="nil"/>
        </w:pBdr>
        <w:ind w:right="985"/>
        <w:jc w:val="both"/>
        <w:rPr>
          <w:rFonts w:ascii="Palatino Linotype" w:eastAsia="Palatino Linotype" w:hAnsi="Palatino Linotype" w:cs="Palatino Linotype"/>
          <w:i/>
          <w:color w:val="000000"/>
        </w:rPr>
      </w:pPr>
    </w:p>
    <w:p w:rsidR="00CF0F0C" w:rsidRDefault="00616FB7" w:rsidP="009408D2">
      <w:pPr>
        <w:pBdr>
          <w:top w:val="nil"/>
          <w:left w:val="nil"/>
          <w:bottom w:val="nil"/>
          <w:right w:val="nil"/>
          <w:between w:val="nil"/>
        </w:pBdr>
        <w:ind w:right="98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03294/INFOEM/IP/RR/2024</w:t>
      </w:r>
    </w:p>
    <w:p w:rsidR="00CF0F0C" w:rsidRDefault="00CF0F0C" w:rsidP="009408D2">
      <w:pPr>
        <w:pBdr>
          <w:top w:val="nil"/>
          <w:left w:val="nil"/>
          <w:bottom w:val="nil"/>
          <w:right w:val="nil"/>
          <w:between w:val="nil"/>
        </w:pBdr>
        <w:ind w:right="985"/>
        <w:jc w:val="both"/>
        <w:rPr>
          <w:rFonts w:ascii="Palatino Linotype" w:eastAsia="Palatino Linotype" w:hAnsi="Palatino Linotype" w:cs="Palatino Linotype"/>
          <w:b/>
          <w:color w:val="000000"/>
        </w:rPr>
      </w:pPr>
    </w:p>
    <w:p w:rsidR="00CF0F0C" w:rsidRDefault="00CF0F0C" w:rsidP="009408D2">
      <w:pPr>
        <w:numPr>
          <w:ilvl w:val="0"/>
          <w:numId w:val="1"/>
        </w:num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sidRPr="00CF0F0C">
        <w:rPr>
          <w:rFonts w:ascii="Palatino Linotype" w:eastAsia="Palatino Linotype" w:hAnsi="Palatino Linotype" w:cs="Palatino Linotype"/>
          <w:i/>
          <w:color w:val="000000"/>
          <w:sz w:val="22"/>
          <w:szCs w:val="22"/>
        </w:rPr>
        <w:t>Me dicen que pague información que es gratuita y publica</w:t>
      </w:r>
      <w:r>
        <w:rPr>
          <w:rFonts w:ascii="Palatino Linotype" w:eastAsia="Palatino Linotype" w:hAnsi="Palatino Linotype" w:cs="Palatino Linotype"/>
          <w:i/>
          <w:color w:val="000000"/>
          <w:sz w:val="22"/>
          <w:szCs w:val="22"/>
        </w:rPr>
        <w:t>” (Sic)</w:t>
      </w:r>
    </w:p>
    <w:p w:rsidR="00CF0F0C" w:rsidRDefault="00CF0F0C" w:rsidP="009408D2">
      <w:p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p>
    <w:p w:rsidR="00CF0F0C" w:rsidRDefault="00CF0F0C" w:rsidP="009408D2">
      <w:pPr>
        <w:numPr>
          <w:ilvl w:val="0"/>
          <w:numId w:val="1"/>
        </w:num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w:t>
      </w:r>
      <w:r w:rsidRPr="00CF0F0C">
        <w:rPr>
          <w:rFonts w:ascii="Palatino Linotype" w:eastAsia="Palatino Linotype" w:hAnsi="Palatino Linotype" w:cs="Palatino Linotype"/>
          <w:i/>
          <w:color w:val="000000"/>
          <w:sz w:val="22"/>
          <w:szCs w:val="22"/>
        </w:rPr>
        <w:t>me cobran la información que es gratuita” (Sic)</w:t>
      </w:r>
    </w:p>
    <w:p w:rsidR="00CF0F0C" w:rsidRDefault="00CF0F0C" w:rsidP="009408D2">
      <w:pPr>
        <w:pBdr>
          <w:top w:val="nil"/>
          <w:left w:val="nil"/>
          <w:bottom w:val="nil"/>
          <w:right w:val="nil"/>
          <w:between w:val="nil"/>
        </w:pBdr>
        <w:ind w:right="276"/>
        <w:jc w:val="both"/>
        <w:rPr>
          <w:rFonts w:ascii="Palatino Linotype" w:eastAsia="Palatino Linotype" w:hAnsi="Palatino Linotype" w:cs="Palatino Linotype"/>
          <w:i/>
          <w:color w:val="000000"/>
        </w:rPr>
      </w:pPr>
    </w:p>
    <w:p w:rsidR="005A5019" w:rsidRDefault="005A5019"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i/>
          <w:color w:val="000000"/>
          <w:u w:val="single"/>
        </w:rPr>
      </w:pPr>
    </w:p>
    <w:p w:rsidR="005A5019" w:rsidRDefault="00C43B57"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Comisionada</w:t>
      </w:r>
      <w:r w:rsidR="00B20CBD">
        <w:rPr>
          <w:rFonts w:ascii="Palatino Linotype" w:eastAsia="Palatino Linotype" w:hAnsi="Palatino Linotype" w:cs="Palatino Linotype"/>
          <w:color w:val="000000"/>
        </w:rPr>
        <w:t xml:space="preserve">s Ponentes de origen con fundamento en lo dispuesto por el artículo 185, fracción II, de la ley de la materia, a través de los </w:t>
      </w:r>
      <w:r w:rsidR="00B20CBD">
        <w:rPr>
          <w:rFonts w:ascii="Palatino Linotype" w:eastAsia="Palatino Linotype" w:hAnsi="Palatino Linotype" w:cs="Palatino Linotype"/>
          <w:b/>
          <w:color w:val="000000"/>
        </w:rPr>
        <w:t xml:space="preserve">acuerdos de admisión </w:t>
      </w:r>
      <w:r w:rsidR="00B20CBD">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treinta de mayo</w:t>
      </w:r>
      <w:r w:rsidR="00B20CBD">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w:t>
      </w:r>
      <w:r w:rsidR="00B20CBD">
        <w:rPr>
          <w:rFonts w:ascii="Palatino Linotype" w:eastAsia="Palatino Linotype" w:hAnsi="Palatino Linotype" w:cs="Palatino Linotype"/>
          <w:color w:val="000000"/>
        </w:rPr>
        <w:t xml:space="preserve">pusieron a disposición de las partes </w:t>
      </w:r>
      <w:r>
        <w:rPr>
          <w:rFonts w:ascii="Palatino Linotype" w:eastAsia="Palatino Linotype" w:hAnsi="Palatino Linotype" w:cs="Palatino Linotype"/>
          <w:color w:val="000000"/>
        </w:rPr>
        <w:t>los</w:t>
      </w:r>
      <w:r w:rsidR="00B20CBD">
        <w:rPr>
          <w:rFonts w:ascii="Palatino Linotype" w:eastAsia="Palatino Linotype" w:hAnsi="Palatino Linotype" w:cs="Palatino Linotype"/>
          <w:color w:val="000000"/>
        </w:rPr>
        <w:t xml:space="preserve"> expediente</w:t>
      </w:r>
      <w:r>
        <w:rPr>
          <w:rFonts w:ascii="Palatino Linotype" w:eastAsia="Palatino Linotype" w:hAnsi="Palatino Linotype" w:cs="Palatino Linotype"/>
          <w:color w:val="000000"/>
        </w:rPr>
        <w:t>s</w:t>
      </w:r>
      <w:r w:rsidR="00B20CBD">
        <w:rPr>
          <w:rFonts w:ascii="Palatino Linotype" w:eastAsia="Palatino Linotype" w:hAnsi="Palatino Linotype" w:cs="Palatino Linotype"/>
          <w:color w:val="000000"/>
        </w:rPr>
        <w:t xml:space="preserve"> electrónico</w:t>
      </w:r>
      <w:r>
        <w:rPr>
          <w:rFonts w:ascii="Palatino Linotype" w:eastAsia="Palatino Linotype" w:hAnsi="Palatino Linotype" w:cs="Palatino Linotype"/>
          <w:color w:val="000000"/>
        </w:rPr>
        <w:t>s</w:t>
      </w:r>
      <w:r w:rsidR="00B20CBD">
        <w:rPr>
          <w:rFonts w:ascii="Palatino Linotype" w:eastAsia="Palatino Linotype" w:hAnsi="Palatino Linotype" w:cs="Palatino Linotype"/>
          <w:color w:val="000000"/>
        </w:rPr>
        <w:t xml:space="preserve"> vía SAIMEX a efecto de que en un plazo máximo de siete días </w:t>
      </w:r>
      <w:r w:rsidR="00B20CBD">
        <w:rPr>
          <w:rFonts w:ascii="Palatino Linotype" w:eastAsia="Palatino Linotype" w:hAnsi="Palatino Linotype" w:cs="Palatino Linotype"/>
        </w:rPr>
        <w:t>manifestara</w:t>
      </w:r>
      <w:r>
        <w:rPr>
          <w:rFonts w:ascii="Palatino Linotype" w:eastAsia="Palatino Linotype" w:hAnsi="Palatino Linotype" w:cs="Palatino Linotype"/>
        </w:rPr>
        <w:t>n</w:t>
      </w:r>
      <w:r w:rsidR="00B20CBD">
        <w:rPr>
          <w:rFonts w:ascii="Palatino Linotype" w:eastAsia="Palatino Linotype" w:hAnsi="Palatino Linotype" w:cs="Palatino Linotype"/>
          <w:color w:val="000000"/>
        </w:rPr>
        <w:t xml:space="preserve"> lo que a su derecho conviniera, </w:t>
      </w:r>
      <w:r w:rsidR="00B20CBD">
        <w:rPr>
          <w:rFonts w:ascii="Palatino Linotype" w:eastAsia="Palatino Linotype" w:hAnsi="Palatino Linotype" w:cs="Palatino Linotype"/>
        </w:rPr>
        <w:t>ofreciera</w:t>
      </w:r>
      <w:r w:rsidR="00B20CBD">
        <w:rPr>
          <w:rFonts w:ascii="Palatino Linotype" w:eastAsia="Palatino Linotype" w:hAnsi="Palatino Linotype" w:cs="Palatino Linotype"/>
          <w:color w:val="000000"/>
        </w:rPr>
        <w:t xml:space="preserve"> pruebas y alegatos según corresponda al caso concreto, de esta forma para que el </w:t>
      </w:r>
      <w:r w:rsidR="00B20CBD">
        <w:rPr>
          <w:rFonts w:ascii="Palatino Linotype" w:eastAsia="Palatino Linotype" w:hAnsi="Palatino Linotype" w:cs="Palatino Linotype"/>
          <w:b/>
          <w:color w:val="000000"/>
        </w:rPr>
        <w:t xml:space="preserve">SUJETO OBLIGADO </w:t>
      </w:r>
      <w:r w:rsidR="00B20CBD">
        <w:rPr>
          <w:rFonts w:ascii="Palatino Linotype" w:eastAsia="Palatino Linotype" w:hAnsi="Palatino Linotype" w:cs="Palatino Linotype"/>
        </w:rPr>
        <w:t>presentará</w:t>
      </w:r>
      <w:r w:rsidR="00B20CB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los</w:t>
      </w:r>
      <w:r w:rsidR="00B20CBD">
        <w:rPr>
          <w:rFonts w:ascii="Palatino Linotype" w:eastAsia="Palatino Linotype" w:hAnsi="Palatino Linotype" w:cs="Palatino Linotype"/>
          <w:color w:val="000000"/>
        </w:rPr>
        <w:t xml:space="preserve"> Informe</w:t>
      </w:r>
      <w:r>
        <w:rPr>
          <w:rFonts w:ascii="Palatino Linotype" w:eastAsia="Palatino Linotype" w:hAnsi="Palatino Linotype" w:cs="Palatino Linotype"/>
          <w:color w:val="000000"/>
        </w:rPr>
        <w:t>s</w:t>
      </w:r>
      <w:r w:rsidR="00B20CBD">
        <w:rPr>
          <w:rFonts w:ascii="Palatino Linotype" w:eastAsia="Palatino Linotype" w:hAnsi="Palatino Linotype" w:cs="Palatino Linotype"/>
          <w:color w:val="000000"/>
        </w:rPr>
        <w:t xml:space="preserve"> Justificado</w:t>
      </w:r>
      <w:r>
        <w:rPr>
          <w:rFonts w:ascii="Palatino Linotype" w:eastAsia="Palatino Linotype" w:hAnsi="Palatino Linotype" w:cs="Palatino Linotype"/>
          <w:color w:val="000000"/>
        </w:rPr>
        <w:t>s procedentes.</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w:t>
      </w:r>
      <w:r w:rsidR="00283AFF">
        <w:rPr>
          <w:rFonts w:ascii="Palatino Linotype" w:eastAsia="Palatino Linotype" w:hAnsi="Palatino Linotype" w:cs="Palatino Linotype"/>
          <w:b/>
          <w:color w:val="000000"/>
        </w:rPr>
        <w:t>Vigésima</w:t>
      </w:r>
      <w:r>
        <w:rPr>
          <w:rFonts w:ascii="Palatino Linotype" w:eastAsia="Palatino Linotype" w:hAnsi="Palatino Linotype" w:cs="Palatino Linotype"/>
          <w:b/>
          <w:color w:val="000000"/>
        </w:rPr>
        <w:t xml:space="preserve">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w:t>
      </w:r>
      <w:r w:rsidR="00283AFF">
        <w:rPr>
          <w:rFonts w:ascii="Palatino Linotype" w:eastAsia="Palatino Linotype" w:hAnsi="Palatino Linotype" w:cs="Palatino Linotype"/>
          <w:b/>
          <w:color w:val="000000"/>
        </w:rPr>
        <w:t>cinco de junio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formulará</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5A5019"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5A5019" w:rsidRDefault="005A5019" w:rsidP="009408D2">
      <w:pPr>
        <w:pBdr>
          <w:top w:val="nil"/>
          <w:left w:val="nil"/>
          <w:bottom w:val="nil"/>
          <w:right w:val="nil"/>
          <w:between w:val="nil"/>
        </w:pBdr>
        <w:ind w:left="1134" w:right="276"/>
        <w:jc w:val="both"/>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Pr>
          <w:rFonts w:ascii="Palatino Linotype" w:eastAsia="Palatino Linotype" w:hAnsi="Palatino Linotype" w:cs="Palatino Linotype"/>
        </w:rPr>
        <w:t>realizará</w:t>
      </w:r>
      <w:r>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5A5019" w:rsidRDefault="005A5019"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i/>
          <w:color w:val="000000"/>
          <w:u w:val="single"/>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el </w:t>
      </w:r>
      <w:r w:rsidR="003344D4">
        <w:rPr>
          <w:rFonts w:ascii="Palatino Linotype" w:eastAsia="Palatino Linotype" w:hAnsi="Palatino Linotype" w:cs="Palatino Linotype"/>
          <w:b/>
          <w:color w:val="000000"/>
        </w:rPr>
        <w:t>diez de junio</w:t>
      </w:r>
      <w:r>
        <w:rPr>
          <w:rFonts w:ascii="Palatino Linotype" w:eastAsia="Palatino Linotype" w:hAnsi="Palatino Linotype" w:cs="Palatino Linotype"/>
          <w:b/>
          <w:color w:val="000000"/>
        </w:rPr>
        <w:t xml:space="preserve"> de dos mil veinticuatro </w:t>
      </w:r>
      <w:r>
        <w:rPr>
          <w:rFonts w:ascii="Palatino Linotype" w:eastAsia="Palatino Linotype" w:hAnsi="Palatino Linotype" w:cs="Palatino Linotype"/>
          <w:color w:val="000000"/>
        </w:rPr>
        <w:t xml:space="preserve">presentó informes justificados a través de diversos archivos digitales,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rsidR="005A5019" w:rsidRDefault="003344D4" w:rsidP="009408D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sidRPr="003344D4">
        <w:rPr>
          <w:rFonts w:ascii="Palatino Linotype" w:eastAsia="Palatino Linotype" w:hAnsi="Palatino Linotype" w:cs="Palatino Linotype"/>
          <w:b/>
          <w:color w:val="000000"/>
          <w:sz w:val="22"/>
          <w:szCs w:val="22"/>
        </w:rPr>
        <w:t>03293</w:t>
      </w:r>
      <w:r w:rsidR="00B20CBD">
        <w:rPr>
          <w:rFonts w:ascii="Palatino Linotype" w:eastAsia="Palatino Linotype" w:hAnsi="Palatino Linotype" w:cs="Palatino Linotype"/>
          <w:b/>
          <w:color w:val="000000"/>
          <w:sz w:val="22"/>
          <w:szCs w:val="22"/>
        </w:rPr>
        <w:t>/INFOEM/IP/RR/2024</w:t>
      </w:r>
    </w:p>
    <w:p w:rsidR="003344D4" w:rsidRDefault="003344D4" w:rsidP="009408D2">
      <w:pPr>
        <w:pStyle w:val="Prrafodelista"/>
        <w:numPr>
          <w:ilvl w:val="0"/>
          <w:numId w:val="13"/>
        </w:numPr>
        <w:pBdr>
          <w:top w:val="nil"/>
          <w:left w:val="nil"/>
          <w:bottom w:val="nil"/>
          <w:right w:val="nil"/>
          <w:between w:val="nil"/>
        </w:pBdr>
        <w:ind w:right="1127"/>
        <w:jc w:val="both"/>
        <w:rPr>
          <w:rFonts w:ascii="Palatino Linotype" w:eastAsia="Palatino Linotype" w:hAnsi="Palatino Linotype" w:cs="Palatino Linotype"/>
          <w:b/>
          <w:color w:val="000000"/>
          <w:sz w:val="22"/>
          <w:szCs w:val="22"/>
        </w:rPr>
      </w:pPr>
      <w:r w:rsidRPr="003344D4">
        <w:rPr>
          <w:rFonts w:ascii="Palatino Linotype" w:eastAsia="Palatino Linotype" w:hAnsi="Palatino Linotype" w:cs="Palatino Linotype"/>
          <w:b/>
          <w:color w:val="000000"/>
          <w:sz w:val="22"/>
          <w:szCs w:val="22"/>
        </w:rPr>
        <w:t>OFICIO CAD.pdf</w:t>
      </w:r>
    </w:p>
    <w:p w:rsidR="00DD37A5" w:rsidRDefault="003344D4"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T-213/2024 de fecha 03 de mayo de 2024, firmado por el Servidor Público Habilitado en Materia de Transparencia dirigido al Titular de la Unidad de Transparencia a través del cual remite</w:t>
      </w:r>
      <w:r w:rsidR="00DD37A5">
        <w:rPr>
          <w:rFonts w:ascii="Palatino Linotype" w:eastAsia="Palatino Linotype" w:hAnsi="Palatino Linotype" w:cs="Palatino Linotype"/>
          <w:color w:val="000000"/>
          <w:sz w:val="22"/>
          <w:szCs w:val="22"/>
        </w:rPr>
        <w:t xml:space="preserve"> el informe justificado de la Subdirección de Finanzas.</w:t>
      </w:r>
    </w:p>
    <w:p w:rsidR="00DD37A5" w:rsidRDefault="00DD37A5"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p>
    <w:p w:rsidR="00D209B7" w:rsidRDefault="00D209B7"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22000011000400S/606/2024 de fecha 30 de mayo de 2024, firmado por la Subdirectora de Finanzas, dirigido al Servidor Público Habilitado en materia de Transparencia, a través del cual ratifica su respuesta inicial.</w:t>
      </w:r>
    </w:p>
    <w:p w:rsidR="003344D4" w:rsidRPr="003344D4" w:rsidRDefault="00DD37A5"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3344D4" w:rsidRDefault="003344D4" w:rsidP="009408D2">
      <w:pPr>
        <w:pStyle w:val="Prrafodelista"/>
        <w:numPr>
          <w:ilvl w:val="0"/>
          <w:numId w:val="13"/>
        </w:numPr>
        <w:pBdr>
          <w:top w:val="nil"/>
          <w:left w:val="nil"/>
          <w:bottom w:val="nil"/>
          <w:right w:val="nil"/>
          <w:between w:val="nil"/>
        </w:pBdr>
        <w:ind w:right="1127"/>
        <w:jc w:val="both"/>
        <w:rPr>
          <w:rFonts w:ascii="Palatino Linotype" w:eastAsia="Palatino Linotype" w:hAnsi="Palatino Linotype" w:cs="Palatino Linotype"/>
          <w:b/>
          <w:color w:val="000000"/>
          <w:sz w:val="22"/>
          <w:szCs w:val="22"/>
        </w:rPr>
      </w:pPr>
      <w:r w:rsidRPr="003344D4">
        <w:rPr>
          <w:rFonts w:ascii="Palatino Linotype" w:eastAsia="Palatino Linotype" w:hAnsi="Palatino Linotype" w:cs="Palatino Linotype"/>
          <w:b/>
          <w:color w:val="000000"/>
          <w:sz w:val="22"/>
          <w:szCs w:val="22"/>
        </w:rPr>
        <w:t>INFORME JUSTIFICADO.pdf</w:t>
      </w:r>
    </w:p>
    <w:p w:rsidR="00D209B7" w:rsidRPr="00D209B7" w:rsidRDefault="00D209B7"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CCT/UT/0639/2024 de fecha 05 de junio de 2024, firmado por el Titular de la Unidad de Transparencia y Coordinador de Control Técnico, dirigido a la Comisionada Ponente, en el que rinde informe justificado en </w:t>
      </w:r>
      <w:r w:rsidR="0067434E">
        <w:rPr>
          <w:rFonts w:ascii="Palatino Linotype" w:eastAsia="Palatino Linotype" w:hAnsi="Palatino Linotype" w:cs="Palatino Linotype"/>
          <w:color w:val="000000"/>
          <w:sz w:val="22"/>
          <w:szCs w:val="22"/>
        </w:rPr>
        <w:t>el que solicita se confirme la respuesta presentada.</w:t>
      </w:r>
    </w:p>
    <w:p w:rsidR="005A5019" w:rsidRDefault="005A5019" w:rsidP="009408D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p>
    <w:p w:rsidR="00DF7389" w:rsidRDefault="00DF7389" w:rsidP="009408D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p>
    <w:p w:rsidR="005A5019" w:rsidRDefault="00B20CBD" w:rsidP="009408D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 </w:t>
      </w:r>
      <w:r w:rsidR="003344D4" w:rsidRPr="003344D4">
        <w:rPr>
          <w:rFonts w:ascii="Palatino Linotype" w:eastAsia="Palatino Linotype" w:hAnsi="Palatino Linotype" w:cs="Palatino Linotype"/>
          <w:b/>
          <w:color w:val="000000"/>
          <w:sz w:val="22"/>
          <w:szCs w:val="22"/>
        </w:rPr>
        <w:t>0329</w:t>
      </w:r>
      <w:r w:rsidR="003344D4">
        <w:rPr>
          <w:rFonts w:ascii="Palatino Linotype" w:eastAsia="Palatino Linotype" w:hAnsi="Palatino Linotype" w:cs="Palatino Linotype"/>
          <w:b/>
          <w:color w:val="000000"/>
          <w:sz w:val="22"/>
          <w:szCs w:val="22"/>
        </w:rPr>
        <w:t>4</w:t>
      </w:r>
      <w:r>
        <w:rPr>
          <w:rFonts w:ascii="Palatino Linotype" w:eastAsia="Palatino Linotype" w:hAnsi="Palatino Linotype" w:cs="Palatino Linotype"/>
          <w:b/>
          <w:color w:val="000000"/>
          <w:sz w:val="22"/>
          <w:szCs w:val="22"/>
        </w:rPr>
        <w:t>/INFOEM/IP/RR/2024</w:t>
      </w:r>
    </w:p>
    <w:p w:rsidR="001532BA" w:rsidRDefault="001532BA" w:rsidP="009408D2">
      <w:pPr>
        <w:pStyle w:val="Prrafodelista"/>
        <w:numPr>
          <w:ilvl w:val="0"/>
          <w:numId w:val="13"/>
        </w:numPr>
        <w:pBdr>
          <w:top w:val="nil"/>
          <w:left w:val="nil"/>
          <w:bottom w:val="nil"/>
          <w:right w:val="nil"/>
          <w:between w:val="nil"/>
        </w:pBdr>
        <w:ind w:right="1127"/>
        <w:jc w:val="both"/>
        <w:rPr>
          <w:rFonts w:ascii="Palatino Linotype" w:eastAsia="Palatino Linotype" w:hAnsi="Palatino Linotype" w:cs="Palatino Linotype"/>
          <w:b/>
          <w:color w:val="000000"/>
          <w:sz w:val="22"/>
          <w:szCs w:val="22"/>
        </w:rPr>
      </w:pPr>
      <w:r w:rsidRPr="001532BA">
        <w:rPr>
          <w:rFonts w:ascii="Palatino Linotype" w:eastAsia="Palatino Linotype" w:hAnsi="Palatino Linotype" w:cs="Palatino Linotype"/>
          <w:b/>
          <w:color w:val="000000"/>
          <w:sz w:val="22"/>
          <w:szCs w:val="22"/>
        </w:rPr>
        <w:t>OFICIO CAD.pdf</w:t>
      </w:r>
    </w:p>
    <w:p w:rsidR="001532BA" w:rsidRDefault="001532BA"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T-214/2024 de fecha 03 de mayo de 2024, firmado por el Servidor Público Habilitado en Materia de Transparencia dirigido al Titular de la Unidad de Transparencia a través del cual remite el informe justificado de la Subdirección de Finanzas.</w:t>
      </w:r>
    </w:p>
    <w:p w:rsidR="001532BA" w:rsidRDefault="001532BA"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p>
    <w:p w:rsidR="001532BA" w:rsidRDefault="001532BA"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22000011000400S/605/2024 de fecha 30 de mayo de 2024, firmado por la Subdirectora de Finanzas, dirigido al Servidor Público Habilitado en materia de Transparencia, a través del cual ratifica su respuesta inicial.</w:t>
      </w:r>
    </w:p>
    <w:p w:rsidR="001532BA" w:rsidRPr="001532BA" w:rsidRDefault="001532BA" w:rsidP="009408D2">
      <w:pPr>
        <w:pBdr>
          <w:top w:val="nil"/>
          <w:left w:val="nil"/>
          <w:bottom w:val="nil"/>
          <w:right w:val="nil"/>
          <w:between w:val="nil"/>
        </w:pBdr>
        <w:ind w:right="1127"/>
        <w:jc w:val="both"/>
        <w:rPr>
          <w:rFonts w:ascii="Palatino Linotype" w:eastAsia="Palatino Linotype" w:hAnsi="Palatino Linotype" w:cs="Palatino Linotype"/>
          <w:b/>
          <w:color w:val="000000"/>
          <w:sz w:val="22"/>
          <w:szCs w:val="22"/>
        </w:rPr>
      </w:pPr>
    </w:p>
    <w:p w:rsidR="001532BA" w:rsidRPr="001532BA" w:rsidRDefault="001532BA" w:rsidP="009408D2">
      <w:pPr>
        <w:pStyle w:val="Prrafodelista"/>
        <w:numPr>
          <w:ilvl w:val="0"/>
          <w:numId w:val="13"/>
        </w:numPr>
        <w:pBdr>
          <w:top w:val="nil"/>
          <w:left w:val="nil"/>
          <w:bottom w:val="nil"/>
          <w:right w:val="nil"/>
          <w:between w:val="nil"/>
        </w:pBdr>
        <w:ind w:right="1127"/>
        <w:jc w:val="both"/>
        <w:rPr>
          <w:rFonts w:ascii="Palatino Linotype" w:eastAsia="Palatino Linotype" w:hAnsi="Palatino Linotype" w:cs="Palatino Linotype"/>
          <w:b/>
          <w:color w:val="000000"/>
          <w:sz w:val="22"/>
          <w:szCs w:val="22"/>
        </w:rPr>
      </w:pPr>
      <w:r w:rsidRPr="001532BA">
        <w:rPr>
          <w:rFonts w:ascii="Palatino Linotype" w:eastAsia="Palatino Linotype" w:hAnsi="Palatino Linotype" w:cs="Palatino Linotype"/>
          <w:b/>
          <w:color w:val="000000"/>
          <w:sz w:val="22"/>
          <w:szCs w:val="22"/>
        </w:rPr>
        <w:t>INFORME JUSTIFICADO.pdf</w:t>
      </w:r>
    </w:p>
    <w:p w:rsidR="001532BA" w:rsidRPr="00D209B7" w:rsidRDefault="001532BA" w:rsidP="009408D2">
      <w:pPr>
        <w:pStyle w:val="Prrafodelista"/>
        <w:pBdr>
          <w:top w:val="nil"/>
          <w:left w:val="nil"/>
          <w:bottom w:val="nil"/>
          <w:right w:val="nil"/>
          <w:between w:val="nil"/>
        </w:pBdr>
        <w:ind w:left="1287" w:right="11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CCT/UT/0638/2024 de fecha 05 de junio de 2024, firmado por el Titular de la Unidad de Transparencia y Coordinador de Control Técnico, dirigido a la Comisionada Ponente, en el que rinde informe justificado en el que solicita se confirme la respuesta presentada.</w:t>
      </w:r>
    </w:p>
    <w:p w:rsidR="005A5019" w:rsidRDefault="005A5019" w:rsidP="009408D2">
      <w:pPr>
        <w:pBdr>
          <w:top w:val="nil"/>
          <w:left w:val="nil"/>
          <w:bottom w:val="nil"/>
          <w:right w:val="nil"/>
          <w:between w:val="nil"/>
        </w:pBdr>
        <w:ind w:left="426" w:right="276" w:firstLine="283"/>
        <w:jc w:val="both"/>
        <w:rPr>
          <w:rFonts w:ascii="Palatino Linotype" w:eastAsia="Palatino Linotype" w:hAnsi="Palatino Linotype" w:cs="Palatino Linotype"/>
          <w:b/>
          <w:color w:val="000000"/>
        </w:rPr>
      </w:pPr>
    </w:p>
    <w:p w:rsidR="005A5019" w:rsidRDefault="005A5019" w:rsidP="009408D2">
      <w:pPr>
        <w:ind w:right="276"/>
        <w:jc w:val="both"/>
        <w:rPr>
          <w:rFonts w:ascii="Palatino Linotype" w:eastAsia="Palatino Linotype" w:hAnsi="Palatino Linotype" w:cs="Palatino Linotype"/>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Pr>
          <w:rFonts w:ascii="Palatino Linotype" w:eastAsia="Palatino Linotype" w:hAnsi="Palatino Linotype" w:cs="Palatino Linotype"/>
          <w:b/>
          <w:color w:val="000000"/>
        </w:rPr>
        <w:t xml:space="preserve"> </w:t>
      </w:r>
      <w:r w:rsidR="00C50576">
        <w:rPr>
          <w:rFonts w:ascii="Palatino Linotype" w:eastAsia="Palatino Linotype" w:hAnsi="Palatino Linotype" w:cs="Palatino Linotype"/>
          <w:b/>
          <w:color w:val="000000"/>
        </w:rPr>
        <w:t>seis de noviembre</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se acordó ampliar el término para resolver el presente asunto.</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A5019"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A5019" w:rsidRDefault="005A5019" w:rsidP="009408D2">
      <w:pPr>
        <w:pBdr>
          <w:top w:val="nil"/>
          <w:left w:val="nil"/>
          <w:bottom w:val="nil"/>
          <w:right w:val="nil"/>
          <w:between w:val="nil"/>
        </w:pBdr>
        <w:ind w:left="720" w:right="276"/>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A5019"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5A5019"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5A5019"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5A5019"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5A5019" w:rsidRDefault="00B20CBD" w:rsidP="009408D2">
      <w:pPr>
        <w:ind w:left="851" w:right="276"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5A5019" w:rsidRDefault="005A5019" w:rsidP="009408D2">
      <w:pPr>
        <w:spacing w:line="360" w:lineRule="auto"/>
        <w:ind w:left="851" w:right="276" w:hanging="284"/>
        <w:jc w:val="both"/>
        <w:rPr>
          <w:rFonts w:ascii="Palatino Linotype" w:eastAsia="Palatino Linotype" w:hAnsi="Palatino Linotype" w:cs="Palatino Linotype"/>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Pr>
          <w:rFonts w:ascii="Palatino Linotype" w:eastAsia="Palatino Linotype" w:hAnsi="Palatino Linotype" w:cs="Palatino Linotype"/>
          <w:color w:val="000000"/>
        </w:rPr>
        <w:lastRenderedPageBreak/>
        <w:t>relación con la actuación del funcionario, como ha acontecido en el caso que nos ocupa.</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5A5019"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sidR="00701102">
        <w:rPr>
          <w:rFonts w:ascii="Palatino Linotype" w:eastAsia="Palatino Linotype" w:hAnsi="Palatino Linotype" w:cs="Palatino Linotype"/>
          <w:b/>
          <w:color w:val="000000"/>
        </w:rPr>
        <w:t>doce</w:t>
      </w:r>
      <w:r>
        <w:rPr>
          <w:rFonts w:ascii="Palatino Linotype" w:eastAsia="Palatino Linotype" w:hAnsi="Palatino Linotype" w:cs="Palatino Linotype"/>
          <w:b/>
          <w:color w:val="000000"/>
        </w:rPr>
        <w:t xml:space="preserve"> de noviembre dos mil veinticuatro</w:t>
      </w:r>
      <w:r>
        <w:rPr>
          <w:rFonts w:ascii="Palatino Linotype" w:eastAsia="Palatino Linotype" w:hAnsi="Palatino Linotype" w:cs="Palatino Linotype"/>
          <w:color w:val="000000"/>
        </w:rPr>
        <w:t xml:space="preserve">, la Comisionada Ponente dictó el </w:t>
      </w:r>
      <w:r>
        <w:rPr>
          <w:rFonts w:ascii="Palatino Linotype" w:eastAsia="Palatino Linotype" w:hAnsi="Palatino Linotype" w:cs="Palatino Linotype"/>
          <w:b/>
          <w:color w:val="000000"/>
        </w:rPr>
        <w:t>cierre del periodo de instrucción</w:t>
      </w:r>
      <w:r>
        <w:rPr>
          <w:rFonts w:ascii="Palatino Linotype" w:eastAsia="Palatino Linotype" w:hAnsi="Palatino Linotype" w:cs="Palatino Linotype"/>
          <w:color w:val="000000"/>
        </w:rPr>
        <w:t xml:space="preserve"> y, ordenó la resolución que conforme a Derecho proceda, de acuerdo a las siguientes:</w:t>
      </w:r>
    </w:p>
    <w:p w:rsidR="005A5019" w:rsidRDefault="005A5019" w:rsidP="009408D2">
      <w:pPr>
        <w:pBdr>
          <w:top w:val="nil"/>
          <w:left w:val="nil"/>
          <w:bottom w:val="nil"/>
          <w:right w:val="nil"/>
          <w:between w:val="nil"/>
        </w:pBdr>
        <w:ind w:left="720" w:right="276"/>
        <w:rPr>
          <w:rFonts w:ascii="Palatino Linotype" w:eastAsia="Palatino Linotype" w:hAnsi="Palatino Linotype" w:cs="Palatino Linotype"/>
          <w:b/>
          <w:color w:val="000000"/>
        </w:rPr>
      </w:pPr>
    </w:p>
    <w:p w:rsidR="005A5019" w:rsidRDefault="00B20CBD"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rsidR="005A5019" w:rsidRDefault="005A5019"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p>
    <w:p w:rsidR="005A5019"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w:t>
      </w:r>
      <w:r w:rsidR="00EE7D39">
        <w:rPr>
          <w:rFonts w:ascii="Palatino Linotype" w:eastAsia="Palatino Linotype" w:hAnsi="Palatino Linotype" w:cs="Palatino Linotype"/>
          <w:color w:val="000000"/>
        </w:rPr>
        <w:t>los</w:t>
      </w:r>
      <w:r>
        <w:rPr>
          <w:rFonts w:ascii="Palatino Linotype" w:eastAsia="Palatino Linotype" w:hAnsi="Palatino Linotype" w:cs="Palatino Linotype"/>
          <w:color w:val="000000"/>
        </w:rPr>
        <w:t xml:space="preserve"> presente</w:t>
      </w:r>
      <w:r w:rsidR="00EE7D39">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recurso</w:t>
      </w:r>
      <w:r w:rsidR="00EE7D39">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w:t>
      </w:r>
      <w:r>
        <w:rPr>
          <w:rFonts w:ascii="Palatino Linotype" w:eastAsia="Palatino Linotype" w:hAnsi="Palatino Linotype" w:cs="Palatino Linotype"/>
          <w:color w:val="000000"/>
        </w:rPr>
        <w:lastRenderedPageBreak/>
        <w:t>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A5019"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p>
    <w:p w:rsidR="005A5019"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 xml:space="preserve">toda vez que: </w:t>
      </w:r>
      <w:r w:rsidR="00EE7D39">
        <w:rPr>
          <w:rFonts w:ascii="Palatino Linotype" w:eastAsia="Palatino Linotype" w:hAnsi="Palatino Linotype" w:cs="Palatino Linotype"/>
          <w:color w:val="000000"/>
        </w:rPr>
        <w:t>los</w:t>
      </w:r>
      <w:r>
        <w:rPr>
          <w:rFonts w:ascii="Palatino Linotype" w:eastAsia="Palatino Linotype" w:hAnsi="Palatino Linotype" w:cs="Palatino Linotype"/>
          <w:color w:val="000000"/>
        </w:rPr>
        <w:t xml:space="preserve"> recurso</w:t>
      </w:r>
      <w:r w:rsidR="00EE7D39">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w:t>
      </w:r>
      <w:r w:rsidR="00EE7D39">
        <w:rPr>
          <w:rFonts w:ascii="Palatino Linotype" w:eastAsia="Palatino Linotype" w:hAnsi="Palatino Linotype" w:cs="Palatino Linotype"/>
          <w:color w:val="000000"/>
        </w:rPr>
        <w:t>fueron</w:t>
      </w:r>
      <w:r>
        <w:rPr>
          <w:rFonts w:ascii="Palatino Linotype" w:eastAsia="Palatino Linotype" w:hAnsi="Palatino Linotype" w:cs="Palatino Linotype"/>
          <w:color w:val="000000"/>
        </w:rPr>
        <w:t xml:space="preserve"> presentado</w:t>
      </w:r>
      <w:r w:rsidR="00EE7D39">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w:t>
      </w:r>
      <w:r w:rsidR="00EE7D39">
        <w:rPr>
          <w:rFonts w:ascii="Palatino Linotype" w:eastAsia="Palatino Linotype" w:hAnsi="Palatino Linotype" w:cs="Palatino Linotype"/>
        </w:rPr>
        <w:t>los</w:t>
      </w:r>
      <w:r>
        <w:rPr>
          <w:rFonts w:ascii="Palatino Linotype" w:eastAsia="Palatino Linotype" w:hAnsi="Palatino Linotype" w:cs="Palatino Linotype"/>
        </w:rPr>
        <w:t xml:space="preserve"> escrito</w:t>
      </w:r>
      <w:r w:rsidR="00EE7D39">
        <w:rPr>
          <w:rFonts w:ascii="Palatino Linotype" w:eastAsia="Palatino Linotype" w:hAnsi="Palatino Linotype" w:cs="Palatino Linotype"/>
        </w:rPr>
        <w:t>s</w:t>
      </w:r>
      <w:r>
        <w:rPr>
          <w:rFonts w:ascii="Palatino Linotype" w:eastAsia="Palatino Linotype" w:hAnsi="Palatino Linotype" w:cs="Palatino Linotype"/>
        </w:rPr>
        <w:t xml:space="preserve"> contiene</w:t>
      </w:r>
      <w:r w:rsidR="00EE7D39">
        <w:rPr>
          <w:rFonts w:ascii="Palatino Linotype" w:eastAsia="Palatino Linotype" w:hAnsi="Palatino Linotype" w:cs="Palatino Linotype"/>
        </w:rPr>
        <w:t>n</w:t>
      </w:r>
      <w:r>
        <w:rPr>
          <w:rFonts w:ascii="Palatino Linotype" w:eastAsia="Palatino Linotype" w:hAnsi="Palatino Linotype" w:cs="Palatino Linotype"/>
        </w:rPr>
        <w:t xml:space="preserve"> las formalidades previstas por el artículo 180, último párrafo, de la citada Ley de la materia, por lo que es procedente que este Instituto conozca y resuelva </w:t>
      </w:r>
      <w:r w:rsidR="00EE7D39">
        <w:rPr>
          <w:rFonts w:ascii="Palatino Linotype" w:eastAsia="Palatino Linotype" w:hAnsi="Palatino Linotype" w:cs="Palatino Linotype"/>
        </w:rPr>
        <w:t>los</w:t>
      </w:r>
      <w:r>
        <w:rPr>
          <w:rFonts w:ascii="Palatino Linotype" w:eastAsia="Palatino Linotype" w:hAnsi="Palatino Linotype" w:cs="Palatino Linotype"/>
        </w:rPr>
        <w:t xml:space="preserve"> presente</w:t>
      </w:r>
      <w:r w:rsidR="00EE7D39">
        <w:rPr>
          <w:rFonts w:ascii="Palatino Linotype" w:eastAsia="Palatino Linotype" w:hAnsi="Palatino Linotype" w:cs="Palatino Linotype"/>
        </w:rPr>
        <w:t>s</w:t>
      </w:r>
      <w:r>
        <w:rPr>
          <w:rFonts w:ascii="Palatino Linotype" w:eastAsia="Palatino Linotype" w:hAnsi="Palatino Linotype" w:cs="Palatino Linotype"/>
        </w:rPr>
        <w:t xml:space="preserve"> recurso</w:t>
      </w:r>
      <w:r w:rsidR="00EE7D39">
        <w:rPr>
          <w:rFonts w:ascii="Palatino Linotype" w:eastAsia="Palatino Linotype" w:hAnsi="Palatino Linotype" w:cs="Palatino Linotype"/>
        </w:rPr>
        <w:t>s</w:t>
      </w:r>
      <w:r>
        <w:rPr>
          <w:rFonts w:ascii="Palatino Linotype" w:eastAsia="Palatino Linotype" w:hAnsi="Palatino Linotype" w:cs="Palatino Linotype"/>
        </w:rPr>
        <w:t>.</w:t>
      </w:r>
    </w:p>
    <w:p w:rsidR="005A5019"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rsidR="005A5019" w:rsidRDefault="00B20CBD" w:rsidP="009408D2">
      <w:pPr>
        <w:pStyle w:val="Ttulo1"/>
        <w:spacing w:before="0" w:line="360" w:lineRule="auto"/>
        <w:ind w:right="276"/>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rsidR="005A5019"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solicitó tener acceso, a la información que a continuación se </w:t>
      </w:r>
      <w:r w:rsidR="00245785">
        <w:rPr>
          <w:rFonts w:ascii="Palatino Linotype" w:eastAsia="Palatino Linotype" w:hAnsi="Palatino Linotype" w:cs="Palatino Linotype"/>
          <w:color w:val="000000"/>
        </w:rPr>
        <w:t>describe</w:t>
      </w:r>
      <w:r>
        <w:rPr>
          <w:rFonts w:ascii="Palatino Linotype" w:eastAsia="Palatino Linotype" w:hAnsi="Palatino Linotype" w:cs="Palatino Linotype"/>
          <w:color w:val="000000"/>
        </w:rPr>
        <w:t>:</w:t>
      </w:r>
    </w:p>
    <w:p w:rsidR="00245785" w:rsidRPr="00DD6C13" w:rsidRDefault="00DD6C13" w:rsidP="009408D2">
      <w:pPr>
        <w:pStyle w:val="Prrafodelista"/>
        <w:numPr>
          <w:ilvl w:val="0"/>
          <w:numId w:val="13"/>
        </w:numPr>
        <w:pBdr>
          <w:top w:val="nil"/>
          <w:left w:val="nil"/>
          <w:bottom w:val="nil"/>
          <w:right w:val="nil"/>
          <w:between w:val="nil"/>
        </w:pBdr>
        <w:ind w:right="276"/>
        <w:jc w:val="both"/>
        <w:rPr>
          <w:rFonts w:ascii="Palatino Linotype" w:eastAsia="Palatino Linotype" w:hAnsi="Palatino Linotype" w:cs="Palatino Linotype"/>
        </w:rPr>
      </w:pPr>
      <w:r w:rsidRPr="00DD6C13">
        <w:rPr>
          <w:rFonts w:ascii="Palatino Linotype" w:eastAsia="Palatino Linotype" w:hAnsi="Palatino Linotype" w:cs="Palatino Linotype"/>
        </w:rPr>
        <w:t xml:space="preserve">De los meses de septiembre y octubre de 2023, las </w:t>
      </w:r>
      <w:r w:rsidRPr="00DD6C13">
        <w:rPr>
          <w:rFonts w:ascii="Palatino Linotype" w:eastAsia="Palatino Linotype" w:hAnsi="Palatino Linotype" w:cs="Palatino Linotype"/>
          <w:color w:val="000000"/>
        </w:rPr>
        <w:t>f</w:t>
      </w:r>
      <w:r w:rsidR="00245785" w:rsidRPr="00DD6C13">
        <w:rPr>
          <w:rFonts w:ascii="Palatino Linotype" w:eastAsia="Palatino Linotype" w:hAnsi="Palatino Linotype" w:cs="Palatino Linotype"/>
          <w:color w:val="000000"/>
        </w:rPr>
        <w:t xml:space="preserve">acturas pagadas </w:t>
      </w:r>
      <w:r w:rsidRPr="00DD6C13">
        <w:rPr>
          <w:rFonts w:ascii="Palatino Linotype" w:eastAsia="Palatino Linotype" w:hAnsi="Palatino Linotype" w:cs="Palatino Linotype"/>
          <w:color w:val="000000"/>
        </w:rPr>
        <w:t xml:space="preserve">con el documento que lo acredite, cheche, </w:t>
      </w:r>
      <w:r w:rsidR="00245785" w:rsidRPr="00DD6C13">
        <w:rPr>
          <w:rFonts w:ascii="Palatino Linotype" w:eastAsia="Palatino Linotype" w:hAnsi="Palatino Linotype" w:cs="Palatino Linotype"/>
          <w:color w:val="000000"/>
        </w:rPr>
        <w:t xml:space="preserve">póliza </w:t>
      </w:r>
      <w:r w:rsidRPr="00DD6C13">
        <w:rPr>
          <w:rFonts w:ascii="Palatino Linotype" w:eastAsia="Palatino Linotype" w:hAnsi="Palatino Linotype" w:cs="Palatino Linotype"/>
          <w:color w:val="000000"/>
        </w:rPr>
        <w:t>d</w:t>
      </w:r>
      <w:r w:rsidR="00245785" w:rsidRPr="00DD6C13">
        <w:rPr>
          <w:rFonts w:ascii="Palatino Linotype" w:eastAsia="Palatino Linotype" w:hAnsi="Palatino Linotype" w:cs="Palatino Linotype"/>
          <w:color w:val="000000"/>
        </w:rPr>
        <w:t>e pago o documento de la transferencia a cualquier servidor público, proveedor o servic</w:t>
      </w:r>
      <w:r w:rsidRPr="00DD6C13">
        <w:rPr>
          <w:rFonts w:ascii="Palatino Linotype" w:eastAsia="Palatino Linotype" w:hAnsi="Palatino Linotype" w:cs="Palatino Linotype"/>
          <w:color w:val="000000"/>
        </w:rPr>
        <w:t>io.</w:t>
      </w:r>
    </w:p>
    <w:p w:rsidR="005A5019" w:rsidRDefault="005A5019" w:rsidP="009408D2">
      <w:pPr>
        <w:spacing w:line="360" w:lineRule="auto"/>
        <w:ind w:right="276"/>
        <w:jc w:val="both"/>
        <w:rPr>
          <w:rFonts w:ascii="Palatino Linotype" w:eastAsia="Palatino Linotype" w:hAnsi="Palatino Linotype" w:cs="Palatino Linotype"/>
          <w:b/>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remitió los archivos ya descritos en el anterior Párrafo </w:t>
      </w:r>
      <w:r w:rsidR="009F30F5">
        <w:rPr>
          <w:rFonts w:ascii="Palatino Linotype" w:eastAsia="Palatino Linotype" w:hAnsi="Palatino Linotype" w:cs="Palatino Linotype"/>
        </w:rPr>
        <w:t>4</w:t>
      </w:r>
      <w:r>
        <w:rPr>
          <w:rFonts w:ascii="Palatino Linotype" w:eastAsia="Palatino Linotype" w:hAnsi="Palatino Linotype" w:cs="Palatino Linotype"/>
        </w:rPr>
        <w:t xml:space="preserve">, inconforme con la respuesta, se </w:t>
      </w:r>
      <w:r w:rsidR="009B5316">
        <w:rPr>
          <w:rFonts w:ascii="Palatino Linotype" w:eastAsia="Palatino Linotype" w:hAnsi="Palatino Linotype" w:cs="Palatino Linotype"/>
        </w:rPr>
        <w:t>interpusieron</w:t>
      </w:r>
      <w:r>
        <w:rPr>
          <w:rFonts w:ascii="Palatino Linotype" w:eastAsia="Palatino Linotype" w:hAnsi="Palatino Linotype" w:cs="Palatino Linotype"/>
        </w:rPr>
        <w:t xml:space="preserve"> recurso</w:t>
      </w:r>
      <w:r w:rsidR="009B5316">
        <w:rPr>
          <w:rFonts w:ascii="Palatino Linotype" w:eastAsia="Palatino Linotype" w:hAnsi="Palatino Linotype" w:cs="Palatino Linotype"/>
        </w:rPr>
        <w:t>s</w:t>
      </w:r>
      <w:r>
        <w:rPr>
          <w:rFonts w:ascii="Palatino Linotype" w:eastAsia="Palatino Linotype" w:hAnsi="Palatino Linotype" w:cs="Palatino Linotype"/>
        </w:rPr>
        <w:t xml:space="preserve"> de revisión argumentando sustancialmente que </w:t>
      </w:r>
      <w:r w:rsidR="009F30F5">
        <w:rPr>
          <w:rFonts w:ascii="Palatino Linotype" w:eastAsia="Palatino Linotype" w:hAnsi="Palatino Linotype" w:cs="Palatino Linotype"/>
          <w:b/>
        </w:rPr>
        <w:t>el costo</w:t>
      </w:r>
      <w:r>
        <w:rPr>
          <w:rFonts w:ascii="Palatino Linotype" w:eastAsia="Palatino Linotype" w:hAnsi="Palatino Linotype" w:cs="Palatino Linotype"/>
          <w:b/>
        </w:rPr>
        <w:t xml:space="preserve"> de la</w:t>
      </w:r>
      <w:r w:rsidR="009F30F5">
        <w:rPr>
          <w:rFonts w:ascii="Palatino Linotype" w:eastAsia="Palatino Linotype" w:hAnsi="Palatino Linotype" w:cs="Palatino Linotype"/>
          <w:b/>
        </w:rPr>
        <w:t xml:space="preserve"> entrega de la</w:t>
      </w:r>
      <w:r>
        <w:rPr>
          <w:rFonts w:ascii="Palatino Linotype" w:eastAsia="Palatino Linotype" w:hAnsi="Palatino Linotype" w:cs="Palatino Linotype"/>
          <w:b/>
        </w:rPr>
        <w:t xml:space="preserve"> información.</w:t>
      </w:r>
    </w:p>
    <w:p w:rsidR="005A5019" w:rsidRDefault="005A5019" w:rsidP="009408D2">
      <w:pPr>
        <w:spacing w:line="360" w:lineRule="auto"/>
        <w:ind w:right="276"/>
        <w:jc w:val="both"/>
        <w:rPr>
          <w:rFonts w:ascii="Palatino Linotype" w:eastAsia="Palatino Linotype" w:hAnsi="Palatino Linotype" w:cs="Palatino Linotype"/>
          <w:i/>
          <w:color w:val="000000"/>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2057C5">
        <w:rPr>
          <w:rFonts w:ascii="Palatino Linotype" w:eastAsia="Palatino Linotype" w:hAnsi="Palatino Linotype" w:cs="Palatino Linotype"/>
        </w:rPr>
        <w:t>X</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w:t>
      </w:r>
      <w:r w:rsidR="002057C5">
        <w:rPr>
          <w:rFonts w:ascii="Palatino Linotype" w:eastAsia="Palatino Linotype" w:hAnsi="Palatino Linotype" w:cs="Palatino Linotype"/>
          <w:color w:val="000000"/>
        </w:rPr>
        <w:t>los costos o tiempos de entrega de</w:t>
      </w:r>
      <w:r>
        <w:rPr>
          <w:rFonts w:ascii="Palatino Linotype" w:eastAsia="Palatino Linotype" w:hAnsi="Palatino Linotype" w:cs="Palatino Linotype"/>
          <w:color w:val="000000"/>
        </w:rPr>
        <w:t xml:space="preserv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w:t>
      </w:r>
      <w:r w:rsidR="00D1368D">
        <w:rPr>
          <w:rFonts w:ascii="Palatino Linotype" w:eastAsia="Palatino Linotype" w:hAnsi="Palatino Linotype" w:cs="Palatino Linotype"/>
          <w:color w:val="000000"/>
        </w:rPr>
        <w:t>los</w:t>
      </w:r>
      <w:r>
        <w:rPr>
          <w:rFonts w:ascii="Palatino Linotype" w:eastAsia="Palatino Linotype" w:hAnsi="Palatino Linotype" w:cs="Palatino Linotype"/>
          <w:color w:val="000000"/>
        </w:rPr>
        <w:t xml:space="preserve"> presente</w:t>
      </w:r>
      <w:r w:rsidR="00D1368D">
        <w:rPr>
          <w:rFonts w:ascii="Palatino Linotype" w:eastAsia="Palatino Linotype" w:hAnsi="Palatino Linotype" w:cs="Palatino Linotype"/>
          <w:color w:val="000000"/>
        </w:rPr>
        <w:t xml:space="preserve">s recursos </w:t>
      </w:r>
      <w:r>
        <w:rPr>
          <w:rFonts w:ascii="Palatino Linotype" w:eastAsia="Palatino Linotype" w:hAnsi="Palatino Linotype" w:cs="Palatino Linotype"/>
          <w:color w:val="000000"/>
        </w:rPr>
        <w:t xml:space="preserve">de revisión se </w:t>
      </w:r>
      <w:r>
        <w:rPr>
          <w:rFonts w:ascii="Palatino Linotype" w:eastAsia="Palatino Linotype" w:hAnsi="Palatino Linotype" w:cs="Palatino Linotype"/>
        </w:rPr>
        <w:t>abocará</w:t>
      </w:r>
      <w:r w:rsidR="00D1368D">
        <w:rPr>
          <w:rFonts w:ascii="Palatino Linotype" w:eastAsia="Palatino Linotype" w:hAnsi="Palatino Linotype" w:cs="Palatino Linotype"/>
        </w:rPr>
        <w:t>n</w:t>
      </w:r>
      <w:r>
        <w:rPr>
          <w:rFonts w:ascii="Palatino Linotype" w:eastAsia="Palatino Linotype" w:hAnsi="Palatino Linotype" w:cs="Palatino Linotype"/>
          <w:color w:val="000000"/>
        </w:rPr>
        <w:t xml:space="preserve"> en determinar si el Sujeto Obligado con su</w:t>
      </w:r>
      <w:r w:rsidR="00D1368D">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respuesta</w:t>
      </w:r>
      <w:r w:rsidR="00D1368D">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rsidR="005A5019" w:rsidRDefault="005A5019" w:rsidP="009408D2">
      <w:pPr>
        <w:spacing w:line="360" w:lineRule="auto"/>
        <w:ind w:right="276"/>
        <w:rPr>
          <w:rFonts w:ascii="Palatino Linotype" w:eastAsia="Palatino Linotype" w:hAnsi="Palatino Linotype" w:cs="Palatino Linotype"/>
        </w:rPr>
      </w:pPr>
    </w:p>
    <w:p w:rsidR="005A5019"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Determinado lo anterior; revisaremos la atención otorgada por el Sujeto Obligado a la solicitud que dio origen a </w:t>
      </w:r>
      <w:r w:rsidR="003E5F5D">
        <w:rPr>
          <w:rFonts w:ascii="Palatino Linotype" w:eastAsia="Palatino Linotype" w:hAnsi="Palatino Linotype" w:cs="Palatino Linotype"/>
        </w:rPr>
        <w:t>estos</w:t>
      </w:r>
      <w:r>
        <w:rPr>
          <w:rFonts w:ascii="Palatino Linotype" w:eastAsia="Palatino Linotype" w:hAnsi="Palatino Linotype" w:cs="Palatino Linotype"/>
        </w:rPr>
        <w:t xml:space="preserve"> recurso</w:t>
      </w:r>
      <w:r w:rsidR="003E5F5D">
        <w:rPr>
          <w:rFonts w:ascii="Palatino Linotype" w:eastAsia="Palatino Linotype" w:hAnsi="Palatino Linotype" w:cs="Palatino Linotype"/>
        </w:rPr>
        <w:t>s</w:t>
      </w:r>
      <w:r>
        <w:rPr>
          <w:rFonts w:ascii="Palatino Linotype" w:eastAsia="Palatino Linotype" w:hAnsi="Palatino Linotype" w:cs="Palatino Linotype"/>
        </w:rPr>
        <w:t>,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A5019"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5A5019"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rsidR="005A5019" w:rsidRDefault="00DF7389" w:rsidP="009408D2">
      <w:pPr>
        <w:numPr>
          <w:ilvl w:val="0"/>
          <w:numId w:val="9"/>
        </w:numPr>
        <w:pBdr>
          <w:top w:val="nil"/>
          <w:left w:val="nil"/>
          <w:bottom w:val="nil"/>
          <w:right w:val="nil"/>
          <w:between w:val="nil"/>
        </w:pBdr>
        <w:spacing w:line="360" w:lineRule="auto"/>
        <w:ind w:right="2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las respuestas iniciales e informes justificados</w:t>
      </w:r>
    </w:p>
    <w:p w:rsidR="005A5019" w:rsidRPr="0048231F" w:rsidRDefault="0048231F" w:rsidP="009408D2">
      <w:pPr>
        <w:numPr>
          <w:ilvl w:val="0"/>
          <w:numId w:val="2"/>
        </w:numPr>
        <w:spacing w:line="360" w:lineRule="auto"/>
        <w:ind w:left="0" w:right="276" w:firstLine="0"/>
        <w:jc w:val="both"/>
        <w:rPr>
          <w:rFonts w:ascii="Palatino Linotype" w:eastAsia="Palatino Linotype" w:hAnsi="Palatino Linotype" w:cs="Palatino Linotype"/>
          <w:b/>
          <w:sz w:val="22"/>
        </w:rPr>
      </w:pPr>
      <w:r>
        <w:rPr>
          <w:rFonts w:ascii="Palatino Linotype" w:eastAsia="Palatino Linotype" w:hAnsi="Palatino Linotype" w:cs="Palatino Linotype"/>
        </w:rPr>
        <w:t>El Sujeto Obligado en sus repuestas primigenias contestó en términos iguales a las solicitudes de información, l</w:t>
      </w:r>
      <w:r w:rsidR="00B20CBD" w:rsidRPr="0048231F">
        <w:rPr>
          <w:rFonts w:ascii="Palatino Linotype" w:eastAsia="Palatino Linotype" w:hAnsi="Palatino Linotype" w:cs="Palatino Linotype"/>
        </w:rPr>
        <w:t xml:space="preserve">a respuesta fue emitida por </w:t>
      </w:r>
      <w:r w:rsidRPr="0048231F">
        <w:rPr>
          <w:rFonts w:ascii="Palatino Linotype" w:eastAsia="Palatino Linotype" w:hAnsi="Palatino Linotype" w:cs="Palatino Linotype"/>
        </w:rPr>
        <w:t>la Subdirectora de Finanzas, quien refirió que la Dirección General de Recaudación de la Secretaría de Finanzas, es el área que recauda los ingresos proveniente</w:t>
      </w:r>
      <w:r>
        <w:rPr>
          <w:rFonts w:ascii="Palatino Linotype" w:eastAsia="Palatino Linotype" w:hAnsi="Palatino Linotype" w:cs="Palatino Linotype"/>
        </w:rPr>
        <w:t xml:space="preserve">s de contribuciones, por lo </w:t>
      </w:r>
      <w:r>
        <w:rPr>
          <w:rFonts w:ascii="Palatino Linotype" w:eastAsia="Palatino Linotype" w:hAnsi="Palatino Linotype" w:cs="Palatino Linotype"/>
        </w:rPr>
        <w:lastRenderedPageBreak/>
        <w:t xml:space="preserve">que, </w:t>
      </w:r>
      <w:r w:rsidRPr="0048231F">
        <w:rPr>
          <w:rFonts w:ascii="Palatino Linotype" w:eastAsia="Palatino Linotype" w:hAnsi="Palatino Linotype" w:cs="Palatino Linotype"/>
          <w:lang w:val="es-ES"/>
        </w:rPr>
        <w:t>de conformidad con el artículo 73, fracción VI del Código Financiero del Estado de México y Municipios</w:t>
      </w:r>
      <w:r>
        <w:rPr>
          <w:rFonts w:ascii="Palatino Linotype" w:eastAsia="Palatino Linotype" w:hAnsi="Palatino Linotype" w:cs="Palatino Linotype"/>
        </w:rPr>
        <w:t xml:space="preserve">, </w:t>
      </w:r>
      <w:r w:rsidRPr="0048231F">
        <w:rPr>
          <w:rFonts w:ascii="Palatino Linotype" w:eastAsia="Palatino Linotype" w:hAnsi="Palatino Linotype" w:cs="Palatino Linotype"/>
        </w:rPr>
        <w:t>deberá generar una línea de captura pa</w:t>
      </w:r>
      <w:r>
        <w:rPr>
          <w:rFonts w:ascii="Palatino Linotype" w:eastAsia="Palatino Linotype" w:hAnsi="Palatino Linotype" w:cs="Palatino Linotype"/>
        </w:rPr>
        <w:t>ra realizar el pago, señalando la</w:t>
      </w:r>
      <w:r w:rsidRPr="0048231F">
        <w:rPr>
          <w:rFonts w:ascii="Palatino Linotype" w:eastAsia="Palatino Linotype" w:hAnsi="Palatino Linotype" w:cs="Palatino Linotype"/>
        </w:rPr>
        <w:t xml:space="preserve"> liga electrónica en dato cer</w:t>
      </w:r>
      <w:r>
        <w:rPr>
          <w:rFonts w:ascii="Palatino Linotype" w:eastAsia="Palatino Linotype" w:hAnsi="Palatino Linotype" w:cs="Palatino Linotype"/>
        </w:rPr>
        <w:t>rado</w:t>
      </w:r>
      <w:r w:rsidRPr="0048231F">
        <w:rPr>
          <w:rFonts w:ascii="Palatino Linotype" w:eastAsia="Palatino Linotype" w:hAnsi="Palatino Linotype" w:cs="Palatino Linotype"/>
        </w:rPr>
        <w:t xml:space="preserve">: </w:t>
      </w:r>
      <w:hyperlink r:id="rId9" w:history="1">
        <w:r w:rsidRPr="0048231F">
          <w:rPr>
            <w:rStyle w:val="Hipervnculo"/>
            <w:rFonts w:ascii="Palatino Linotype" w:eastAsia="Palatino Linotype" w:hAnsi="Palatino Linotype" w:cs="Palatino Linotype"/>
          </w:rPr>
          <w:t>https://stpya.edomexico.gob.mx/recaudacion/</w:t>
        </w:r>
      </w:hyperlink>
      <w:r w:rsidRPr="0048231F">
        <w:rPr>
          <w:rFonts w:ascii="Palatino Linotype" w:eastAsia="Palatino Linotype" w:hAnsi="Palatino Linotype" w:cs="Palatino Linotype"/>
        </w:rPr>
        <w:t xml:space="preserve">  , ingresando a la sección denominada "pago de derechos" y posteriormente dando </w:t>
      </w:r>
      <w:r w:rsidR="009408D2" w:rsidRPr="0048231F">
        <w:rPr>
          <w:rFonts w:ascii="Palatino Linotype" w:eastAsia="Palatino Linotype" w:hAnsi="Palatino Linotype" w:cs="Palatino Linotype"/>
        </w:rPr>
        <w:t>clic</w:t>
      </w:r>
      <w:r w:rsidRPr="0048231F">
        <w:rPr>
          <w:rFonts w:ascii="Palatino Linotype" w:eastAsia="Palatino Linotype" w:hAnsi="Palatino Linotype" w:cs="Palatino Linotype"/>
        </w:rPr>
        <w:t xml:space="preserve"> en la sección de "acceso a la información" y una vez que se registren los datos que se le piden en el formulario podrá generar su línea de captura para realizar el pago a t</w:t>
      </w:r>
      <w:r>
        <w:rPr>
          <w:rFonts w:ascii="Palatino Linotype" w:eastAsia="Palatino Linotype" w:hAnsi="Palatino Linotype" w:cs="Palatino Linotype"/>
        </w:rPr>
        <w:t>ravés del formato único de pago.</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Consecuencia de lo anterior, el particular interpuso medio de impugnación manife</w:t>
      </w:r>
      <w:r w:rsidR="0048231F">
        <w:rPr>
          <w:rFonts w:ascii="Palatino Linotype" w:eastAsia="Palatino Linotype" w:hAnsi="Palatino Linotype" w:cs="Palatino Linotype"/>
        </w:rPr>
        <w:t>stando inconformidad en razón del cobro para realizar la entrega de la información, ya que el Sujeto Obligado argumentó que implica la digitalización de las mismas</w:t>
      </w:r>
      <w:r>
        <w:rPr>
          <w:rFonts w:ascii="Palatino Linotype" w:eastAsia="Palatino Linotype" w:hAnsi="Palatino Linotype" w:cs="Palatino Linotype"/>
        </w:rPr>
        <w:t>.</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informes justificados el Sujeto Obligado </w:t>
      </w:r>
      <w:r w:rsidR="0048231F">
        <w:rPr>
          <w:rFonts w:ascii="Palatino Linotype" w:eastAsia="Palatino Linotype" w:hAnsi="Palatino Linotype" w:cs="Palatino Linotype"/>
        </w:rPr>
        <w:t xml:space="preserve">ratificó las respuestas primigenias. </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De lo expuesto con antelación y con el propósito de garantizar el efectivo ejercicio del derecho de acceso a la información pública que asiste al particular, resulta conveniente entrar al estudio de las siguientes cons</w:t>
      </w:r>
      <w:r w:rsidR="0048231F">
        <w:rPr>
          <w:rFonts w:ascii="Palatino Linotype" w:eastAsia="Palatino Linotype" w:hAnsi="Palatino Linotype" w:cs="Palatino Linotype"/>
        </w:rPr>
        <w:t>ideraciones de hecho y derecho:</w:t>
      </w:r>
    </w:p>
    <w:p w:rsidR="0048231F" w:rsidRDefault="0048231F" w:rsidP="009408D2">
      <w:pPr>
        <w:spacing w:line="360" w:lineRule="auto"/>
        <w:ind w:right="276"/>
        <w:jc w:val="both"/>
        <w:rPr>
          <w:rFonts w:ascii="Palatino Linotype" w:eastAsia="Palatino Linotype" w:hAnsi="Palatino Linotype" w:cs="Palatino Linotype"/>
        </w:rPr>
      </w:pPr>
    </w:p>
    <w:p w:rsidR="0048231F" w:rsidRPr="0048231F" w:rsidRDefault="0048231F" w:rsidP="009408D2">
      <w:pPr>
        <w:pStyle w:val="Prrafodelista"/>
        <w:numPr>
          <w:ilvl w:val="0"/>
          <w:numId w:val="2"/>
        </w:numPr>
        <w:spacing w:line="360" w:lineRule="auto"/>
        <w:ind w:left="0" w:right="276" w:firstLine="0"/>
        <w:jc w:val="both"/>
        <w:rPr>
          <w:rFonts w:ascii="Palatino Linotype" w:eastAsia="Palatino Linotype" w:hAnsi="Palatino Linotype" w:cs="Palatino Linotype"/>
          <w:color w:val="000000"/>
        </w:rPr>
      </w:pPr>
      <w:r w:rsidRPr="0048231F">
        <w:rPr>
          <w:rFonts w:ascii="Palatino Linotype" w:eastAsia="Palatino Linotype" w:hAnsi="Palatino Linotype" w:cs="Palatino Linotype"/>
          <w:color w:val="000000"/>
        </w:rPr>
        <w:lastRenderedPageBreak/>
        <w:t>De conformidad con el Manual General de Organización de la Secretaría de Movilidad, a la Subdirección de Finanzas, le corresponde el desarrollo de las siguientes atribuciones:</w:t>
      </w:r>
    </w:p>
    <w:p w:rsidR="0048231F" w:rsidRDefault="0048231F" w:rsidP="009408D2">
      <w:pPr>
        <w:spacing w:line="360" w:lineRule="auto"/>
        <w:ind w:right="276"/>
        <w:jc w:val="both"/>
        <w:rPr>
          <w:rFonts w:ascii="Palatino Linotype" w:eastAsia="Palatino Linotype" w:hAnsi="Palatino Linotype" w:cs="Palatino Linotype"/>
          <w:color w:val="000000"/>
          <w:sz w:val="22"/>
        </w:rPr>
      </w:pPr>
    </w:p>
    <w:p w:rsidR="001C4AFC" w:rsidRPr="001C4AFC" w:rsidRDefault="0048231F" w:rsidP="009408D2">
      <w:pPr>
        <w:spacing w:line="276" w:lineRule="auto"/>
        <w:ind w:left="1134" w:right="112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1C4AFC" w:rsidRPr="001C4AFC">
        <w:rPr>
          <w:rFonts w:ascii="Palatino Linotype" w:eastAsia="Palatino Linotype" w:hAnsi="Palatino Linotype" w:cs="Palatino Linotype"/>
          <w:i/>
          <w:color w:val="000000"/>
          <w:sz w:val="22"/>
        </w:rPr>
        <w:t>22000002000100S SUBDIRECCIÓN DE FINANZAS</w:t>
      </w:r>
    </w:p>
    <w:p w:rsidR="001C4AFC" w:rsidRPr="001C4AFC" w:rsidRDefault="001C4AFC" w:rsidP="009408D2">
      <w:pPr>
        <w:spacing w:line="276" w:lineRule="auto"/>
        <w:ind w:left="1134" w:right="1127"/>
        <w:jc w:val="both"/>
        <w:rPr>
          <w:rFonts w:ascii="Palatino Linotype" w:eastAsia="Palatino Linotype" w:hAnsi="Palatino Linotype" w:cs="Palatino Linotype"/>
          <w:i/>
          <w:color w:val="000000"/>
          <w:sz w:val="22"/>
        </w:rPr>
      </w:pPr>
      <w:r w:rsidRPr="001C4AFC">
        <w:rPr>
          <w:rFonts w:ascii="Palatino Linotype" w:eastAsia="Palatino Linotype" w:hAnsi="Palatino Linotype" w:cs="Palatino Linotype"/>
          <w:i/>
          <w:color w:val="000000"/>
          <w:sz w:val="22"/>
        </w:rPr>
        <w:t>OBJETIVO:</w:t>
      </w:r>
    </w:p>
    <w:p w:rsidR="001C4AFC" w:rsidRPr="001C4AFC" w:rsidRDefault="001C4AFC" w:rsidP="009408D2">
      <w:pPr>
        <w:spacing w:line="276" w:lineRule="auto"/>
        <w:ind w:left="1134" w:right="1127"/>
        <w:jc w:val="both"/>
        <w:rPr>
          <w:rFonts w:ascii="Palatino Linotype" w:eastAsia="Palatino Linotype" w:hAnsi="Palatino Linotype" w:cs="Palatino Linotype"/>
          <w:i/>
          <w:color w:val="000000"/>
          <w:sz w:val="22"/>
        </w:rPr>
      </w:pPr>
      <w:r w:rsidRPr="001C4AFC">
        <w:rPr>
          <w:rFonts w:ascii="Palatino Linotype" w:eastAsia="Palatino Linotype" w:hAnsi="Palatino Linotype" w:cs="Palatino Linotype"/>
          <w:i/>
          <w:color w:val="000000"/>
          <w:sz w:val="22"/>
        </w:rPr>
        <w:t xml:space="preserve">Organizar, aprobar y controlar las acciones que en materia presupuestal coadyuven con el cumplimiento de </w:t>
      </w:r>
      <w:r>
        <w:rPr>
          <w:rFonts w:ascii="Palatino Linotype" w:eastAsia="Palatino Linotype" w:hAnsi="Palatino Linotype" w:cs="Palatino Linotype"/>
          <w:i/>
          <w:color w:val="000000"/>
          <w:sz w:val="22"/>
        </w:rPr>
        <w:t xml:space="preserve">los objetivos institucionales y </w:t>
      </w:r>
      <w:r w:rsidRPr="001C4AFC">
        <w:rPr>
          <w:rFonts w:ascii="Palatino Linotype" w:eastAsia="Palatino Linotype" w:hAnsi="Palatino Linotype" w:cs="Palatino Linotype"/>
          <w:i/>
          <w:color w:val="000000"/>
          <w:sz w:val="22"/>
        </w:rPr>
        <w:t>que incidan en el ejercicio eficiente y transparente de los recursos autorizados a la Secretaría de Movilidad,</w:t>
      </w:r>
      <w:r>
        <w:rPr>
          <w:rFonts w:ascii="Palatino Linotype" w:eastAsia="Palatino Linotype" w:hAnsi="Palatino Linotype" w:cs="Palatino Linotype"/>
          <w:i/>
          <w:color w:val="000000"/>
          <w:sz w:val="22"/>
        </w:rPr>
        <w:t xml:space="preserve"> de acuerdo con la normatividad </w:t>
      </w:r>
      <w:r w:rsidRPr="001C4AFC">
        <w:rPr>
          <w:rFonts w:ascii="Palatino Linotype" w:eastAsia="Palatino Linotype" w:hAnsi="Palatino Linotype" w:cs="Palatino Linotype"/>
          <w:i/>
          <w:color w:val="000000"/>
          <w:sz w:val="22"/>
        </w:rPr>
        <w:t>aplicable.</w:t>
      </w:r>
    </w:p>
    <w:p w:rsidR="001C4AFC" w:rsidRDefault="001C4AFC" w:rsidP="009408D2">
      <w:pPr>
        <w:spacing w:line="276" w:lineRule="auto"/>
        <w:ind w:left="1134" w:right="1127"/>
        <w:jc w:val="both"/>
        <w:rPr>
          <w:rFonts w:ascii="Palatino Linotype" w:eastAsia="Palatino Linotype" w:hAnsi="Palatino Linotype" w:cs="Palatino Linotype"/>
          <w:i/>
          <w:color w:val="000000"/>
          <w:sz w:val="22"/>
        </w:rPr>
      </w:pPr>
      <w:r w:rsidRPr="001C4AFC">
        <w:rPr>
          <w:rFonts w:ascii="Palatino Linotype" w:eastAsia="Palatino Linotype" w:hAnsi="Palatino Linotype" w:cs="Palatino Linotype"/>
          <w:i/>
          <w:color w:val="000000"/>
          <w:sz w:val="22"/>
        </w:rPr>
        <w:t>FUNCIONES:</w:t>
      </w:r>
    </w:p>
    <w:p w:rsidR="001C4AFC" w:rsidRDefault="001C4AFC" w:rsidP="009408D2">
      <w:pPr>
        <w:spacing w:line="276" w:lineRule="auto"/>
        <w:ind w:left="1134" w:right="112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rsidR="001C4AFC" w:rsidRDefault="001C4AFC" w:rsidP="009408D2">
      <w:pPr>
        <w:spacing w:line="276" w:lineRule="auto"/>
        <w:ind w:left="1134" w:right="1127"/>
        <w:jc w:val="both"/>
        <w:rPr>
          <w:rFonts w:ascii="Palatino Linotype" w:eastAsia="Palatino Linotype" w:hAnsi="Palatino Linotype" w:cs="Palatino Linotype"/>
          <w:i/>
          <w:color w:val="000000"/>
          <w:sz w:val="22"/>
        </w:rPr>
      </w:pPr>
      <w:r w:rsidRPr="001C4AFC">
        <w:rPr>
          <w:rFonts w:ascii="Palatino Linotype" w:eastAsia="Palatino Linotype" w:hAnsi="Palatino Linotype" w:cs="Palatino Linotype"/>
          <w:i/>
          <w:color w:val="000000"/>
          <w:sz w:val="22"/>
        </w:rPr>
        <w:t>Revisar, validar y tramitar la documentación comprobatoria de la Solicitud de Rembolso para el Fondo Fijo de Caja, Solicitudes de Pagos Diversos y Solicitudes de Gastos a Comprobar ante la Dirección General de Tesorería.</w:t>
      </w:r>
    </w:p>
    <w:p w:rsidR="0048231F" w:rsidRPr="0015148A" w:rsidRDefault="001C4AFC" w:rsidP="009408D2">
      <w:pPr>
        <w:spacing w:line="276" w:lineRule="auto"/>
        <w:ind w:left="1134" w:right="112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48231F">
        <w:rPr>
          <w:rFonts w:ascii="Palatino Linotype" w:eastAsia="Palatino Linotype" w:hAnsi="Palatino Linotype" w:cs="Palatino Linotype"/>
          <w:i/>
          <w:color w:val="000000"/>
          <w:sz w:val="22"/>
        </w:rPr>
        <w:t>”</w:t>
      </w:r>
    </w:p>
    <w:p w:rsidR="0048231F" w:rsidRDefault="0048231F" w:rsidP="009408D2">
      <w:pPr>
        <w:spacing w:line="360" w:lineRule="auto"/>
        <w:ind w:right="276"/>
        <w:jc w:val="both"/>
        <w:rPr>
          <w:rFonts w:ascii="Palatino Linotype" w:eastAsia="Palatino Linotype" w:hAnsi="Palatino Linotype" w:cs="Palatino Linotype"/>
          <w:color w:val="000000"/>
        </w:rPr>
      </w:pPr>
    </w:p>
    <w:p w:rsidR="001C4AFC" w:rsidRPr="00DB14C7" w:rsidRDefault="0048231F" w:rsidP="009408D2">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DB14C7">
        <w:rPr>
          <w:rFonts w:ascii="Palatino Linotype" w:eastAsia="Palatino Linotype" w:hAnsi="Palatino Linotype" w:cs="Palatino Linotype"/>
          <w:color w:val="000000"/>
        </w:rPr>
        <w:t xml:space="preserve">Por consiguiente, </w:t>
      </w:r>
      <w:r w:rsidRPr="00DB14C7">
        <w:rPr>
          <w:rFonts w:ascii="Palatino Linotype" w:eastAsia="Palatino Linotype" w:hAnsi="Palatino Linotype" w:cs="Palatino Linotype"/>
          <w:color w:val="222222"/>
        </w:rPr>
        <w:t xml:space="preserve">se determina que la respuesta fue proporcionada por </w:t>
      </w:r>
      <w:r w:rsidRPr="00DB14C7">
        <w:rPr>
          <w:rFonts w:ascii="Palatino Linotype" w:eastAsia="Palatino Linotype" w:hAnsi="Palatino Linotype" w:cs="Palatino Linotype"/>
          <w:color w:val="000000"/>
        </w:rPr>
        <w:t xml:space="preserve">la Unidad Administrativa Competente, </w:t>
      </w:r>
      <w:r w:rsidR="001C4AFC" w:rsidRPr="00DB14C7">
        <w:rPr>
          <w:rFonts w:ascii="Palatino Linotype" w:eastAsia="Palatino Linotype" w:hAnsi="Palatino Linotype" w:cs="Palatino Linotype"/>
          <w:color w:val="000000"/>
        </w:rPr>
        <w:t xml:space="preserve"> y turnada al área en la que podría obrar la información, de conformidad a lo establecido en los artículos 3, fracción XXXIX y 162, de la Ley de Transparencia y Acceso a la Información Pública del Estado de México y Municipios, misma que define como </w:t>
      </w:r>
      <w:r w:rsidR="001C4AFC" w:rsidRPr="00DB14C7">
        <w:rPr>
          <w:rFonts w:ascii="Palatino Linotype" w:eastAsia="Palatino Linotype" w:hAnsi="Palatino Linotype" w:cs="Palatino Linotype"/>
          <w:i/>
          <w:color w:val="000000"/>
        </w:rPr>
        <w:t>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rsidR="0048231F" w:rsidRPr="003B27AE" w:rsidRDefault="0048231F" w:rsidP="009408D2">
      <w:pPr>
        <w:ind w:right="276"/>
        <w:rPr>
          <w:sz w:val="22"/>
          <w:szCs w:val="22"/>
        </w:rPr>
      </w:pPr>
    </w:p>
    <w:p w:rsidR="0048231F" w:rsidRPr="00DB14C7" w:rsidRDefault="0048231F" w:rsidP="009408D2">
      <w:pPr>
        <w:pStyle w:val="Prrafodelista"/>
        <w:numPr>
          <w:ilvl w:val="0"/>
          <w:numId w:val="2"/>
        </w:numPr>
        <w:spacing w:line="360" w:lineRule="auto"/>
        <w:ind w:left="0" w:right="276" w:firstLine="0"/>
        <w:jc w:val="both"/>
        <w:rPr>
          <w:color w:val="000000"/>
        </w:rPr>
      </w:pPr>
      <w:r w:rsidRPr="00DB14C7">
        <w:rPr>
          <w:rFonts w:ascii="Palatino Linotype" w:eastAsia="Palatino Linotype" w:hAnsi="Palatino Linotype" w:cs="Palatino Linotype"/>
          <w:color w:val="000000"/>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rsidR="0048231F" w:rsidRPr="003B27AE" w:rsidRDefault="0048231F" w:rsidP="009408D2">
      <w:pPr>
        <w:ind w:right="276"/>
        <w:rPr>
          <w:sz w:val="22"/>
          <w:szCs w:val="22"/>
        </w:rPr>
      </w:pPr>
    </w:p>
    <w:p w:rsidR="0048231F" w:rsidRPr="003B27AE" w:rsidRDefault="0048231F" w:rsidP="009408D2">
      <w:pPr>
        <w:pBdr>
          <w:top w:val="nil"/>
          <w:left w:val="nil"/>
          <w:bottom w:val="nil"/>
          <w:right w:val="nil"/>
          <w:between w:val="nil"/>
        </w:pBdr>
        <w:ind w:left="1134" w:right="1127"/>
        <w:jc w:val="both"/>
        <w:rPr>
          <w:color w:val="000000"/>
          <w:sz w:val="22"/>
          <w:szCs w:val="22"/>
        </w:rPr>
      </w:pPr>
      <w:r w:rsidRPr="003B27AE">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3B27AE">
        <w:rPr>
          <w:rFonts w:ascii="Palatino Linotype" w:eastAsia="Palatino Linotype" w:hAnsi="Palatino Linotype" w:cs="Palatino Linotype"/>
          <w:b/>
          <w:i/>
          <w:color w:val="000000"/>
          <w:sz w:val="22"/>
          <w:szCs w:val="22"/>
        </w:rPr>
        <w:t xml:space="preserve">se turnen a todas las Áreas competentes </w:t>
      </w:r>
      <w:r w:rsidRPr="003B27AE">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rsidR="0048231F" w:rsidRPr="003B27AE" w:rsidRDefault="0048231F" w:rsidP="009408D2">
      <w:pPr>
        <w:spacing w:line="360" w:lineRule="auto"/>
        <w:ind w:right="276"/>
        <w:jc w:val="both"/>
        <w:rPr>
          <w:rFonts w:ascii="Palatino Linotype" w:eastAsia="Palatino Linotype" w:hAnsi="Palatino Linotype" w:cs="Palatino Linotype"/>
          <w:sz w:val="22"/>
          <w:szCs w:val="22"/>
        </w:rPr>
      </w:pPr>
    </w:p>
    <w:p w:rsidR="0048231F" w:rsidRPr="00DB14C7" w:rsidRDefault="0048231F" w:rsidP="009408D2">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DB14C7">
        <w:rPr>
          <w:rFonts w:ascii="Palatino Linotype" w:eastAsia="Palatino Linotype" w:hAnsi="Palatino Linotype" w:cs="Palatino Linotype"/>
          <w:color w:val="000000"/>
        </w:rPr>
        <w:t>No</w:t>
      </w:r>
      <w:r w:rsidRPr="00DB14C7">
        <w:rPr>
          <w:rFonts w:ascii="Palatino Linotype" w:eastAsia="Palatino Linotype" w:hAnsi="Palatino Linotype" w:cs="Palatino Linotype"/>
        </w:rPr>
        <w:t xml:space="preserve"> obstante, </w:t>
      </w:r>
      <w:r w:rsidR="00DB14C7" w:rsidRPr="00DB14C7">
        <w:rPr>
          <w:rFonts w:ascii="Palatino Linotype" w:eastAsia="Palatino Linotype" w:hAnsi="Palatino Linotype" w:cs="Palatino Linotype"/>
        </w:rPr>
        <w:t>como se mostrará en los párrafos siguientes</w:t>
      </w:r>
      <w:r w:rsidRPr="00DB14C7">
        <w:rPr>
          <w:rFonts w:ascii="Palatino Linotype" w:eastAsia="Palatino Linotype" w:hAnsi="Palatino Linotype" w:cs="Palatino Linotype"/>
        </w:rPr>
        <w:t>, no será posible validar su respuesta, en virtud de que resulta improcedente el cobro por la información solicitada.</w:t>
      </w:r>
    </w:p>
    <w:p w:rsidR="0048231F" w:rsidRPr="003B27AE" w:rsidRDefault="0048231F" w:rsidP="009408D2">
      <w:pPr>
        <w:spacing w:line="360" w:lineRule="auto"/>
        <w:ind w:right="276"/>
        <w:jc w:val="both"/>
        <w:rPr>
          <w:rFonts w:ascii="Palatino Linotype" w:eastAsia="Palatino Linotype" w:hAnsi="Palatino Linotype" w:cs="Palatino Linotype"/>
          <w:sz w:val="22"/>
          <w:szCs w:val="22"/>
        </w:rPr>
      </w:pPr>
    </w:p>
    <w:p w:rsidR="0048231F" w:rsidRPr="00DB14C7" w:rsidRDefault="00DB14C7" w:rsidP="009408D2">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DB14C7">
        <w:rPr>
          <w:rFonts w:ascii="Palatino Linotype" w:hAnsi="Palatino Linotype"/>
          <w:color w:val="000000"/>
        </w:rPr>
        <w:t xml:space="preserve">Del </w:t>
      </w:r>
      <w:r w:rsidR="0048231F" w:rsidRPr="00DB14C7">
        <w:rPr>
          <w:rFonts w:ascii="Palatino Linotype" w:hAnsi="Palatino Linotype"/>
          <w:color w:val="000000"/>
        </w:rPr>
        <w:t xml:space="preserve">análisis de las constancias que integran los expedientes en los que se actúa, las razones o motivos de inconformidad devienen fundados, en razón de que el </w:t>
      </w:r>
      <w:r w:rsidR="0048231F" w:rsidRPr="00DB14C7">
        <w:rPr>
          <w:rFonts w:ascii="Palatino Linotype" w:hAnsi="Palatino Linotype"/>
          <w:b/>
          <w:bCs/>
          <w:color w:val="000000"/>
        </w:rPr>
        <w:t>Sujeto Obligado</w:t>
      </w:r>
      <w:r w:rsidR="0048231F" w:rsidRPr="00DB14C7">
        <w:rPr>
          <w:rFonts w:ascii="Palatino Linotype" w:hAnsi="Palatino Linotype"/>
          <w:color w:val="000000"/>
        </w:rPr>
        <w:t xml:space="preserve"> </w:t>
      </w:r>
      <w:r>
        <w:rPr>
          <w:rFonts w:ascii="Palatino Linotype" w:hAnsi="Palatino Linotype"/>
          <w:color w:val="000000"/>
        </w:rPr>
        <w:t>aún al</w:t>
      </w:r>
      <w:r w:rsidRPr="00DB14C7">
        <w:rPr>
          <w:rFonts w:ascii="Palatino Linotype" w:hAnsi="Palatino Linotype"/>
          <w:color w:val="000000"/>
        </w:rPr>
        <w:t xml:space="preserve"> haber reconocido que cuenta con </w:t>
      </w:r>
      <w:r>
        <w:rPr>
          <w:rFonts w:ascii="Palatino Linotype" w:hAnsi="Palatino Linotype"/>
          <w:color w:val="000000"/>
        </w:rPr>
        <w:t>la información</w:t>
      </w:r>
      <w:r w:rsidRPr="00DB14C7">
        <w:rPr>
          <w:rFonts w:ascii="Palatino Linotype" w:hAnsi="Palatino Linotype"/>
          <w:color w:val="000000"/>
        </w:rPr>
        <w:t xml:space="preserve"> </w:t>
      </w:r>
      <w:r w:rsidR="0048231F" w:rsidRPr="00DB14C7">
        <w:rPr>
          <w:rFonts w:ascii="Palatino Linotype" w:hAnsi="Palatino Linotype"/>
          <w:color w:val="000000"/>
        </w:rPr>
        <w:t xml:space="preserve">no </w:t>
      </w:r>
      <w:r>
        <w:rPr>
          <w:rFonts w:ascii="Palatino Linotype" w:hAnsi="Palatino Linotype"/>
          <w:color w:val="000000"/>
        </w:rPr>
        <w:t xml:space="preserve">la </w:t>
      </w:r>
      <w:r w:rsidR="0048231F" w:rsidRPr="00DB14C7">
        <w:rPr>
          <w:rFonts w:ascii="Palatino Linotype" w:hAnsi="Palatino Linotype"/>
          <w:color w:val="000000"/>
        </w:rPr>
        <w:t xml:space="preserve">proporcionó, </w:t>
      </w:r>
      <w:r w:rsidRPr="00DB14C7">
        <w:rPr>
          <w:rFonts w:ascii="Palatino Linotype" w:hAnsi="Palatino Linotype"/>
          <w:color w:val="000000"/>
        </w:rPr>
        <w:t>toda vez que se condiciona la entrega a la realización de u</w:t>
      </w:r>
      <w:r>
        <w:rPr>
          <w:rFonts w:ascii="Palatino Linotype" w:hAnsi="Palatino Linotype"/>
          <w:color w:val="000000"/>
        </w:rPr>
        <w:t xml:space="preserve">n pago por concepto de derechos, </w:t>
      </w:r>
      <w:r w:rsidR="0048231F" w:rsidRPr="00DB14C7">
        <w:rPr>
          <w:rFonts w:ascii="Palatino Linotype" w:hAnsi="Palatino Linotype"/>
          <w:color w:val="000000"/>
        </w:rPr>
        <w:t xml:space="preserve">por tal motivo el derecho de acceso de la parte </w:t>
      </w:r>
      <w:r w:rsidR="0048231F" w:rsidRPr="00DB14C7">
        <w:rPr>
          <w:rFonts w:ascii="Palatino Linotype" w:hAnsi="Palatino Linotype"/>
          <w:b/>
          <w:bCs/>
          <w:color w:val="000000"/>
        </w:rPr>
        <w:t xml:space="preserve">Recurrente </w:t>
      </w:r>
      <w:r>
        <w:rPr>
          <w:rFonts w:ascii="Palatino Linotype" w:hAnsi="Palatino Linotype"/>
          <w:color w:val="000000"/>
        </w:rPr>
        <w:t>no ha quedado colmado.</w:t>
      </w:r>
    </w:p>
    <w:p w:rsidR="00DB14C7" w:rsidRPr="00DB14C7" w:rsidRDefault="00DB14C7" w:rsidP="009408D2">
      <w:pPr>
        <w:pStyle w:val="Prrafodelista"/>
        <w:spacing w:line="360" w:lineRule="auto"/>
        <w:ind w:left="0" w:right="276"/>
        <w:jc w:val="both"/>
        <w:rPr>
          <w:rFonts w:ascii="Palatino Linotype" w:eastAsia="Palatino Linotype" w:hAnsi="Palatino Linotype" w:cs="Palatino Linotype"/>
        </w:rPr>
      </w:pPr>
    </w:p>
    <w:p w:rsidR="0048231F" w:rsidRPr="00DB14C7" w:rsidRDefault="0048231F" w:rsidP="009408D2">
      <w:pPr>
        <w:pStyle w:val="Prrafodelista"/>
        <w:numPr>
          <w:ilvl w:val="0"/>
          <w:numId w:val="2"/>
        </w:numPr>
        <w:spacing w:line="360" w:lineRule="auto"/>
        <w:ind w:left="0" w:right="276" w:firstLine="0"/>
        <w:jc w:val="both"/>
      </w:pPr>
      <w:r w:rsidRPr="00DB14C7">
        <w:rPr>
          <w:rFonts w:ascii="Palatino Linotype" w:hAnsi="Palatino Linotype"/>
          <w:color w:val="000000"/>
        </w:rPr>
        <w:t xml:space="preserve">Derivado de lo anterior, debemos partir de la premisa de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estableciéndose de manera genérica, los </w:t>
      </w:r>
      <w:r w:rsidRPr="00DB14C7">
        <w:rPr>
          <w:rFonts w:ascii="Palatino Linotype" w:hAnsi="Palatino Linotype"/>
          <w:color w:val="000000"/>
        </w:rPr>
        <w:lastRenderedPageBreak/>
        <w:t>principios de acceso universal, de máxima publicidad, de</w:t>
      </w:r>
      <w:r w:rsidRPr="00DB14C7">
        <w:rPr>
          <w:rFonts w:ascii="Palatino Linotype" w:hAnsi="Palatino Linotype"/>
          <w:b/>
          <w:bCs/>
          <w:i/>
          <w:iCs/>
          <w:color w:val="000000"/>
        </w:rPr>
        <w:t xml:space="preserve"> gratuidad</w:t>
      </w:r>
      <w:r w:rsidRPr="00DB14C7">
        <w:rPr>
          <w:rFonts w:ascii="Palatino Linotype" w:hAnsi="Palatino Linotype"/>
          <w:color w:val="000000"/>
        </w:rPr>
        <w:t>, de certeza, de celeridad, de objetividad,  entre otros.</w:t>
      </w:r>
    </w:p>
    <w:p w:rsidR="00DB14C7" w:rsidRPr="00DB14C7" w:rsidRDefault="00DB14C7" w:rsidP="009408D2">
      <w:pPr>
        <w:pStyle w:val="Prrafodelista"/>
        <w:spacing w:line="360" w:lineRule="auto"/>
        <w:ind w:left="0" w:right="276"/>
        <w:jc w:val="both"/>
      </w:pPr>
    </w:p>
    <w:p w:rsidR="0048231F" w:rsidRPr="00DB14C7" w:rsidRDefault="00DB14C7" w:rsidP="009408D2">
      <w:pPr>
        <w:pStyle w:val="Prrafodelista"/>
        <w:numPr>
          <w:ilvl w:val="0"/>
          <w:numId w:val="2"/>
        </w:numPr>
        <w:spacing w:line="360" w:lineRule="auto"/>
        <w:ind w:left="0" w:right="276" w:firstLine="0"/>
        <w:jc w:val="both"/>
      </w:pPr>
      <w:r w:rsidRPr="00DB14C7">
        <w:rPr>
          <w:rFonts w:ascii="Palatino Linotype" w:hAnsi="Palatino Linotype"/>
          <w:color w:val="000000"/>
        </w:rPr>
        <w:t xml:space="preserve">A </w:t>
      </w:r>
      <w:r w:rsidR="0048231F" w:rsidRPr="00DB14C7">
        <w:rPr>
          <w:rFonts w:ascii="Palatino Linotype" w:hAnsi="Palatino Linotype"/>
          <w:color w:val="000000"/>
        </w:rPr>
        <w:t>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represente una barrera fácilmente franqueable.</w:t>
      </w:r>
    </w:p>
    <w:p w:rsidR="00DB14C7" w:rsidRPr="00DB14C7" w:rsidRDefault="00DB14C7" w:rsidP="009408D2">
      <w:pPr>
        <w:pStyle w:val="Prrafodelista"/>
        <w:spacing w:line="360" w:lineRule="auto"/>
        <w:ind w:left="0" w:right="276"/>
        <w:jc w:val="both"/>
      </w:pPr>
    </w:p>
    <w:p w:rsidR="0048231F" w:rsidRPr="00DB14C7" w:rsidRDefault="0048231F" w:rsidP="009408D2">
      <w:pPr>
        <w:pStyle w:val="Prrafodelista"/>
        <w:numPr>
          <w:ilvl w:val="0"/>
          <w:numId w:val="2"/>
        </w:numPr>
        <w:spacing w:line="360" w:lineRule="auto"/>
        <w:ind w:left="0" w:right="276" w:firstLine="0"/>
        <w:jc w:val="both"/>
      </w:pPr>
      <w:r w:rsidRPr="00DB14C7">
        <w:rPr>
          <w:rFonts w:ascii="Palatino Linotype" w:hAnsi="Palatino Linotype"/>
          <w:color w:val="000000"/>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sidRPr="00DB14C7">
        <w:rPr>
          <w:rFonts w:ascii="Palatino Linotype" w:hAnsi="Palatino Linotype"/>
          <w:b/>
          <w:bCs/>
          <w:i/>
          <w:iCs/>
          <w:color w:val="000000"/>
        </w:rPr>
        <w:t xml:space="preserve">reproducción </w:t>
      </w:r>
      <w:r w:rsidRPr="00DB14C7">
        <w:rPr>
          <w:rFonts w:ascii="Palatino Linotype" w:hAnsi="Palatino Linotype"/>
          <w:color w:val="000000"/>
        </w:rPr>
        <w:t xml:space="preserve">de la información, y en su caso del costo de </w:t>
      </w:r>
      <w:r w:rsidRPr="00DB14C7">
        <w:rPr>
          <w:rFonts w:ascii="Palatino Linotype" w:hAnsi="Palatino Linotype"/>
          <w:b/>
          <w:bCs/>
          <w:i/>
          <w:iCs/>
          <w:color w:val="000000"/>
        </w:rPr>
        <w:t>envío</w:t>
      </w:r>
      <w:r w:rsidRPr="00DB14C7">
        <w:rPr>
          <w:rFonts w:ascii="Palatino Linotype" w:hAnsi="Palatino Linotype"/>
          <w:color w:val="000000"/>
        </w:rPr>
        <w:t>, finalmente, conlleva implícitamente un esfuerzo por parte de los Sujetos Obligados para reducir los costos de entrega de la información.</w:t>
      </w:r>
    </w:p>
    <w:p w:rsidR="00DB14C7" w:rsidRPr="00DB14C7" w:rsidRDefault="00DB14C7" w:rsidP="009408D2">
      <w:pPr>
        <w:pStyle w:val="Prrafodelista"/>
        <w:spacing w:line="360" w:lineRule="auto"/>
        <w:ind w:left="0" w:right="276"/>
        <w:jc w:val="both"/>
      </w:pPr>
    </w:p>
    <w:p w:rsidR="0048231F" w:rsidRPr="00DB14C7" w:rsidRDefault="00DB14C7" w:rsidP="009408D2">
      <w:pPr>
        <w:pStyle w:val="Prrafodelista"/>
        <w:numPr>
          <w:ilvl w:val="0"/>
          <w:numId w:val="2"/>
        </w:numPr>
        <w:spacing w:line="360" w:lineRule="auto"/>
        <w:ind w:left="0" w:right="276" w:firstLine="0"/>
        <w:jc w:val="both"/>
      </w:pPr>
      <w:r>
        <w:rPr>
          <w:rFonts w:ascii="Palatino Linotype" w:hAnsi="Palatino Linotype"/>
          <w:color w:val="000000"/>
        </w:rPr>
        <w:t>De</w:t>
      </w:r>
      <w:r w:rsidR="0048231F" w:rsidRPr="00DB14C7">
        <w:rPr>
          <w:rFonts w:ascii="Palatino Linotype" w:hAnsi="Palatino Linotype"/>
          <w:color w:val="000000"/>
        </w:rPr>
        <w:t xml:space="preserve"> lo anterior, nuestra Constitución Federal,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rsidR="00DB14C7" w:rsidRPr="00DB14C7" w:rsidRDefault="00DB14C7" w:rsidP="009408D2">
      <w:pPr>
        <w:pStyle w:val="Prrafodelista"/>
        <w:spacing w:line="360" w:lineRule="auto"/>
        <w:ind w:left="0" w:right="276"/>
        <w:jc w:val="both"/>
      </w:pPr>
    </w:p>
    <w:p w:rsidR="0048231F" w:rsidRPr="00DB14C7" w:rsidRDefault="00DB14C7" w:rsidP="009408D2">
      <w:pPr>
        <w:pStyle w:val="Prrafodelista"/>
        <w:numPr>
          <w:ilvl w:val="0"/>
          <w:numId w:val="2"/>
        </w:numPr>
        <w:spacing w:line="360" w:lineRule="auto"/>
        <w:ind w:left="0" w:right="276" w:firstLine="0"/>
        <w:jc w:val="both"/>
      </w:pPr>
      <w:r>
        <w:rPr>
          <w:rFonts w:ascii="Palatino Linotype" w:hAnsi="Palatino Linotype"/>
          <w:color w:val="000000"/>
        </w:rPr>
        <w:t>La</w:t>
      </w:r>
      <w:r w:rsidR="0048231F" w:rsidRPr="00DB14C7">
        <w:rPr>
          <w:rFonts w:ascii="Palatino Linotype" w:hAnsi="Palatino Linotype"/>
          <w:color w:val="000000"/>
        </w:rPr>
        <w:t xml:space="preserve">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sidR="0048231F" w:rsidRPr="00DB14C7">
        <w:rPr>
          <w:rFonts w:ascii="Palatino Linotype" w:hAnsi="Palatino Linotype"/>
          <w:b/>
          <w:bCs/>
          <w:i/>
          <w:iCs/>
          <w:color w:val="000000"/>
        </w:rPr>
        <w:t>gratuitos</w:t>
      </w:r>
      <w:r w:rsidR="0048231F" w:rsidRPr="00DB14C7">
        <w:rPr>
          <w:rFonts w:ascii="Palatino Linotype" w:hAnsi="Palatino Linotype"/>
          <w:b/>
          <w:bCs/>
          <w:color w:val="000000"/>
        </w:rPr>
        <w:t xml:space="preserve">, </w:t>
      </w:r>
      <w:r w:rsidR="0048231F" w:rsidRPr="00DB14C7">
        <w:rPr>
          <w:rFonts w:ascii="Palatino Linotype" w:hAnsi="Palatino Linotype"/>
          <w:color w:val="000000"/>
        </w:rPr>
        <w:t xml:space="preserve"> refiere en los artículos 17 y 150, que la búsqueda y acceso a la información es gratuita y </w:t>
      </w:r>
      <w:r w:rsidR="0048231F" w:rsidRPr="00DB14C7">
        <w:rPr>
          <w:rFonts w:ascii="Palatino Linotype" w:hAnsi="Palatino Linotype"/>
          <w:b/>
          <w:bCs/>
          <w:i/>
          <w:iCs/>
          <w:color w:val="000000"/>
        </w:rPr>
        <w:t>sólo se cubrirá en su caso, los gastos de reproducción</w:t>
      </w:r>
      <w:r w:rsidR="0048231F" w:rsidRPr="00DB14C7">
        <w:rPr>
          <w:rFonts w:ascii="Palatino Linotype" w:hAnsi="Palatino Linotype"/>
          <w:color w:val="000000"/>
        </w:rPr>
        <w:t xml:space="preserve">, </w:t>
      </w:r>
      <w:r w:rsidR="0048231F" w:rsidRPr="00DB14C7">
        <w:rPr>
          <w:rFonts w:ascii="Palatino Linotype" w:hAnsi="Palatino Linotype"/>
          <w:b/>
          <w:bCs/>
          <w:i/>
          <w:iCs/>
          <w:color w:val="000000"/>
          <w:u w:val="single"/>
        </w:rPr>
        <w:t>por la modalidad de entrega solicitada</w:t>
      </w:r>
      <w:r w:rsidR="0048231F" w:rsidRPr="00DB14C7">
        <w:rPr>
          <w:rFonts w:ascii="Palatino Linotype" w:hAnsi="Palatino Linotype"/>
          <w:color w:val="000000"/>
          <w:u w:val="single"/>
        </w:rPr>
        <w:t xml:space="preserve">, </w:t>
      </w:r>
      <w:r w:rsidR="0048231F" w:rsidRPr="00DB14C7">
        <w:rPr>
          <w:rFonts w:ascii="Palatino Linotype" w:hAnsi="Palatino Linotype"/>
          <w:b/>
          <w:bCs/>
          <w:i/>
          <w:iCs/>
          <w:color w:val="000000"/>
          <w:u w:val="single"/>
        </w:rPr>
        <w:t>o por el envío</w:t>
      </w:r>
      <w:r w:rsidR="0048231F" w:rsidRPr="00DB14C7">
        <w:rPr>
          <w:rFonts w:ascii="Palatino Linotype" w:hAnsi="Palatino Linotype"/>
          <w:color w:val="000000"/>
          <w:u w:val="single"/>
        </w:rPr>
        <w:t xml:space="preserve"> </w:t>
      </w:r>
      <w:r w:rsidR="0048231F" w:rsidRPr="00DB14C7">
        <w:rPr>
          <w:rFonts w:ascii="Palatino Linotype" w:hAnsi="Palatino Linotype"/>
          <w:color w:val="000000"/>
        </w:rPr>
        <w:t xml:space="preserve">de conformidad con los derechos, productos y aprovechamientos establecidos en la legislación aplicable, en razón de que el procedimiento de acceso a la información es la garantía primaria del derecho en cuestión y </w:t>
      </w:r>
      <w:r w:rsidR="0048231F" w:rsidRPr="00DB14C7">
        <w:rPr>
          <w:rFonts w:ascii="Palatino Linotype" w:hAnsi="Palatino Linotype"/>
          <w:i/>
          <w:iCs/>
          <w:color w:val="000000"/>
        </w:rPr>
        <w:t>se rige por los principios de simplicidad, rapidez, gratuidad,</w:t>
      </w:r>
      <w:r w:rsidR="0048231F" w:rsidRPr="00DB14C7">
        <w:rPr>
          <w:rFonts w:ascii="Palatino Linotype" w:hAnsi="Palatino Linotype"/>
          <w:color w:val="000000"/>
        </w:rPr>
        <w:t xml:space="preserve"> auxilio y orientación a los particulares, en virtud de que constituye el primer paso para integrar activamente a la ciudadanía en la acción gubernamental, toda vez que con la información proporcionada por medio de las políticas de transparencia, los ciudadanos son participes de las acciones realizadas por los entes públicos, lo que favorece la rendición de cuentas.</w:t>
      </w:r>
    </w:p>
    <w:p w:rsidR="00DB14C7" w:rsidRPr="00DB14C7" w:rsidRDefault="00DB14C7" w:rsidP="009408D2">
      <w:pPr>
        <w:pStyle w:val="Prrafodelista"/>
        <w:spacing w:line="360" w:lineRule="auto"/>
        <w:ind w:left="0" w:right="276"/>
        <w:jc w:val="both"/>
      </w:pPr>
    </w:p>
    <w:p w:rsidR="0048231F" w:rsidRPr="008C559C" w:rsidRDefault="0048231F" w:rsidP="009408D2">
      <w:pPr>
        <w:pStyle w:val="Prrafodelista"/>
        <w:numPr>
          <w:ilvl w:val="0"/>
          <w:numId w:val="2"/>
        </w:numPr>
        <w:spacing w:line="360" w:lineRule="auto"/>
        <w:ind w:left="0" w:right="276" w:firstLine="0"/>
        <w:jc w:val="both"/>
        <w:rPr>
          <w:rFonts w:ascii="Palatino Linotype" w:hAnsi="Palatino Linotype"/>
          <w:color w:val="000000"/>
        </w:rPr>
      </w:pPr>
      <w:r w:rsidRPr="008C559C">
        <w:rPr>
          <w:rFonts w:ascii="Palatino Linotype" w:hAnsi="Palatino Linotype"/>
          <w:color w:val="000000"/>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sidRPr="008C559C">
        <w:rPr>
          <w:rFonts w:ascii="Palatino Linotype" w:hAnsi="Palatino Linotype"/>
          <w:b/>
          <w:bCs/>
          <w:i/>
          <w:iCs/>
          <w:color w:val="000000"/>
        </w:rPr>
        <w:t>en caso de que se tenga que generar un gasto por la reproducción, por el envío, o por la modalidad de entrega solicitada,</w:t>
      </w:r>
      <w:r w:rsidRPr="008C559C">
        <w:rPr>
          <w:rFonts w:ascii="Palatino Linotype" w:hAnsi="Palatino Linotype"/>
          <w:color w:val="000000"/>
        </w:rPr>
        <w:t xml:space="preserve"> supuestos que encuadran con lo  establecido en los artículos 9 fracción III, 17, 165, 174, 175 de la Ley de Acceso a la Información Pública del Estado de México y Municipios.</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lastRenderedPageBreak/>
        <w:t xml:space="preserve">“Artículo 9. </w:t>
      </w:r>
      <w:r>
        <w:rPr>
          <w:rFonts w:ascii="Palatino Linotype" w:hAnsi="Palatino Linotype"/>
          <w:i/>
          <w:iCs/>
          <w:color w:val="000000"/>
          <w:sz w:val="22"/>
          <w:szCs w:val="22"/>
        </w:rPr>
        <w:t>El Instituto deberá regir su funcionamiento de acuerdo a los siguientes principios:</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 xml:space="preserve">III. Gratuidad: </w:t>
      </w:r>
      <w:r>
        <w:rPr>
          <w:rFonts w:ascii="Palatino Linotype" w:hAnsi="Palatino Linotype"/>
          <w:i/>
          <w:iCs/>
          <w:color w:val="000000"/>
          <w:sz w:val="22"/>
          <w:szCs w:val="22"/>
        </w:rPr>
        <w:t xml:space="preserve">Consiste en que el acceso a la información pública no genera costo alguno para los solicitantes, </w:t>
      </w:r>
      <w:r>
        <w:rPr>
          <w:rFonts w:ascii="Palatino Linotype" w:hAnsi="Palatino Linotype"/>
          <w:b/>
          <w:bCs/>
          <w:i/>
          <w:iCs/>
          <w:color w:val="000000"/>
          <w:sz w:val="22"/>
          <w:szCs w:val="22"/>
        </w:rPr>
        <w:t xml:space="preserve">sólo podrá requerirse el cobro correspondiente a la modalidad de reproducción y entrega solicitada </w:t>
      </w:r>
      <w:r>
        <w:rPr>
          <w:rFonts w:ascii="Palatino Linotype" w:hAnsi="Palatino Linotype"/>
          <w:i/>
          <w:iCs/>
          <w:color w:val="000000"/>
          <w:sz w:val="22"/>
          <w:szCs w:val="22"/>
        </w:rPr>
        <w:t>conforme a lo establecido en la presente Ley y demás disposiciones jurídicas aplicables;</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 xml:space="preserve">Artículo 17. </w:t>
      </w:r>
      <w:r>
        <w:rPr>
          <w:rFonts w:ascii="Palatino Linotype" w:hAnsi="Palatino Linotype"/>
          <w:i/>
          <w:iCs/>
          <w:color w:val="000000"/>
          <w:sz w:val="22"/>
          <w:szCs w:val="22"/>
        </w:rPr>
        <w:t xml:space="preserve">La búsqueda y acceso a la información es gratuita y </w:t>
      </w:r>
      <w:r>
        <w:rPr>
          <w:rFonts w:ascii="Palatino Linotype" w:hAnsi="Palatino Linotype"/>
          <w:b/>
          <w:bCs/>
          <w:i/>
          <w:iCs/>
          <w:color w:val="000000"/>
          <w:sz w:val="22"/>
          <w:szCs w:val="22"/>
        </w:rPr>
        <w:t>solo se cubrirán los gastos de reproducción, o por la modalidad de entrega solicitada</w:t>
      </w:r>
      <w:r>
        <w:rPr>
          <w:rFonts w:ascii="Palatino Linotype" w:hAnsi="Palatino Linotype"/>
          <w:i/>
          <w:iCs/>
          <w:color w:val="000000"/>
          <w:sz w:val="22"/>
          <w:szCs w:val="22"/>
        </w:rPr>
        <w:t xml:space="preserve">, </w:t>
      </w:r>
      <w:r>
        <w:rPr>
          <w:rFonts w:ascii="Palatino Linotype" w:hAnsi="Palatino Linotype"/>
          <w:b/>
          <w:bCs/>
          <w:i/>
          <w:iCs/>
          <w:color w:val="000000"/>
          <w:sz w:val="22"/>
          <w:szCs w:val="22"/>
        </w:rPr>
        <w:t>así como por el envío</w:t>
      </w:r>
      <w:r>
        <w:rPr>
          <w:rFonts w:ascii="Palatino Linotype" w:hAnsi="Palatino Linotype"/>
          <w:i/>
          <w:iCs/>
          <w:color w:val="000000"/>
          <w:sz w:val="22"/>
          <w:szCs w:val="22"/>
        </w:rPr>
        <w:t>, que en su caso se genere, de conformidad con los derechos, productos y aprovechamientos establecidos en la legislación aplicable, sin que exceda de los límites establecidos en la presente Ley.</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Artículo 165. …</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 xml:space="preserve">La información que se entregue en versión pública, </w:t>
      </w:r>
      <w:r>
        <w:rPr>
          <w:rFonts w:ascii="Palatino Linotype" w:hAnsi="Palatino Linotype"/>
          <w:b/>
          <w:bCs/>
          <w:i/>
          <w:iCs/>
          <w:color w:val="000000"/>
          <w:sz w:val="22"/>
          <w:szCs w:val="22"/>
        </w:rPr>
        <w:t xml:space="preserve">cuya modalidad de reproducción o envío tenga un costo, </w:t>
      </w:r>
      <w:r>
        <w:rPr>
          <w:rFonts w:ascii="Palatino Linotype" w:hAnsi="Palatino Linotype"/>
          <w:i/>
          <w:iCs/>
          <w:color w:val="000000"/>
          <w:sz w:val="22"/>
          <w:szCs w:val="22"/>
        </w:rPr>
        <w:t>procederá una vez que se acredite el pago respectivo. No puede entenderse como reproducción la elaboración de la misma.</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 Artículo 174. En caso de existir costos para obtener la información</w:t>
      </w:r>
      <w:r>
        <w:rPr>
          <w:rFonts w:ascii="Palatino Linotype" w:hAnsi="Palatino Linotype"/>
          <w:i/>
          <w:iCs/>
          <w:color w:val="000000"/>
          <w:sz w:val="22"/>
          <w:szCs w:val="22"/>
        </w:rPr>
        <w:t xml:space="preserve"> deberán cubrirse de manera previa a la entrega y </w:t>
      </w:r>
      <w:r>
        <w:rPr>
          <w:rFonts w:ascii="Palatino Linotype" w:hAnsi="Palatino Linotype"/>
          <w:b/>
          <w:bCs/>
          <w:i/>
          <w:iCs/>
          <w:color w:val="000000"/>
          <w:sz w:val="22"/>
          <w:szCs w:val="22"/>
        </w:rPr>
        <w:t>no podrán ser superiores a la suma de</w:t>
      </w: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I.</w:t>
      </w:r>
      <w:r>
        <w:rPr>
          <w:rFonts w:ascii="Palatino Linotype" w:hAnsi="Palatino Linotype"/>
          <w:i/>
          <w:iCs/>
          <w:color w:val="000000"/>
          <w:sz w:val="22"/>
          <w:szCs w:val="22"/>
        </w:rPr>
        <w:t xml:space="preserve"> </w:t>
      </w:r>
      <w:r>
        <w:rPr>
          <w:rFonts w:ascii="Palatino Linotype" w:hAnsi="Palatino Linotype"/>
          <w:b/>
          <w:bCs/>
          <w:i/>
          <w:iCs/>
          <w:color w:val="000000"/>
          <w:sz w:val="22"/>
          <w:szCs w:val="22"/>
        </w:rPr>
        <w:t>El costo de los materiales utilizados en la reproducción</w:t>
      </w:r>
      <w:r>
        <w:rPr>
          <w:rFonts w:ascii="Palatino Linotype" w:hAnsi="Palatino Linotype"/>
          <w:i/>
          <w:iCs/>
          <w:color w:val="000000"/>
          <w:sz w:val="22"/>
          <w:szCs w:val="22"/>
        </w:rPr>
        <w:t xml:space="preserve"> de la información;</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II.</w:t>
      </w:r>
      <w:r>
        <w:rPr>
          <w:rFonts w:ascii="Palatino Linotype" w:hAnsi="Palatino Linotype"/>
          <w:i/>
          <w:iCs/>
          <w:color w:val="000000"/>
          <w:sz w:val="22"/>
          <w:szCs w:val="22"/>
        </w:rPr>
        <w:t xml:space="preserve"> </w:t>
      </w:r>
      <w:r>
        <w:rPr>
          <w:rFonts w:ascii="Palatino Linotype" w:hAnsi="Palatino Linotype"/>
          <w:b/>
          <w:bCs/>
          <w:i/>
          <w:iCs/>
          <w:color w:val="000000"/>
          <w:sz w:val="22"/>
          <w:szCs w:val="22"/>
        </w:rPr>
        <w:t>El costo de envío</w:t>
      </w:r>
      <w:r>
        <w:rPr>
          <w:rFonts w:ascii="Palatino Linotype" w:hAnsi="Palatino Linotype"/>
          <w:i/>
          <w:iCs/>
          <w:color w:val="000000"/>
          <w:sz w:val="22"/>
          <w:szCs w:val="22"/>
        </w:rPr>
        <w:t>, en su caso; y</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t>III.</w:t>
      </w:r>
      <w:r>
        <w:rPr>
          <w:rFonts w:ascii="Palatino Linotype" w:hAnsi="Palatino Linotype"/>
          <w:i/>
          <w:iCs/>
          <w:color w:val="000000"/>
          <w:sz w:val="22"/>
          <w:szCs w:val="22"/>
        </w:rPr>
        <w:t xml:space="preserve"> </w:t>
      </w:r>
      <w:r>
        <w:rPr>
          <w:rFonts w:ascii="Palatino Linotype" w:hAnsi="Palatino Linotype"/>
          <w:b/>
          <w:bCs/>
          <w:i/>
          <w:iCs/>
          <w:color w:val="000000"/>
          <w:sz w:val="22"/>
          <w:szCs w:val="22"/>
        </w:rPr>
        <w:t>El pago de la certificación de los documentos</w:t>
      </w:r>
      <w:r>
        <w:rPr>
          <w:rFonts w:ascii="Palatino Linotype" w:hAnsi="Palatino Linotype"/>
          <w:i/>
          <w:iCs/>
          <w:color w:val="000000"/>
          <w:sz w:val="22"/>
          <w:szCs w:val="22"/>
        </w:rPr>
        <w:t>, cuando proceda.</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 xml:space="preserve">Las cuotas de los derechos aplicables deberán establecerse, en su caso, en el </w:t>
      </w:r>
      <w:r>
        <w:rPr>
          <w:rFonts w:ascii="Palatino Linotype" w:hAnsi="Palatino Linotype"/>
          <w:b/>
          <w:bCs/>
          <w:i/>
          <w:iCs/>
          <w:color w:val="000000"/>
          <w:sz w:val="22"/>
          <w:szCs w:val="22"/>
        </w:rPr>
        <w:t>Código Financiero del Estado de México y Municipios</w:t>
      </w:r>
      <w:r>
        <w:rPr>
          <w:rFonts w:ascii="Palatino Linotype" w:hAnsi="Palatino Linotype"/>
          <w:i/>
          <w:iCs/>
          <w:color w:val="000000"/>
          <w:sz w:val="22"/>
          <w:szCs w:val="22"/>
        </w:rPr>
        <w:t xml:space="preserve"> y demás disposiciones jurídicas aplicables, las cuales se publicarán en los sitios de internet de los sujetos obligados…” </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b/>
          <w:bCs/>
          <w:i/>
          <w:iCs/>
          <w:color w:val="000000"/>
          <w:sz w:val="22"/>
          <w:szCs w:val="22"/>
        </w:rPr>
        <w:lastRenderedPageBreak/>
        <w:t xml:space="preserve">Artículo 175. </w:t>
      </w: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pPr>
      <w:r>
        <w:rPr>
          <w:rFonts w:ascii="Palatino Linotype" w:hAnsi="Palatino Linotype"/>
          <w:i/>
          <w:iCs/>
          <w:color w:val="000000"/>
          <w:sz w:val="22"/>
          <w:szCs w:val="22"/>
        </w:rPr>
        <w:t>En ningún caso, el pago de derechos deberá exceder el</w:t>
      </w:r>
      <w:r>
        <w:rPr>
          <w:rFonts w:ascii="Palatino Linotype" w:hAnsi="Palatino Linotype"/>
          <w:b/>
          <w:bCs/>
          <w:i/>
          <w:iCs/>
          <w:color w:val="000000"/>
          <w:sz w:val="22"/>
          <w:szCs w:val="22"/>
        </w:rPr>
        <w:t xml:space="preserve"> costo de reproducción de la información en el material solicitado</w:t>
      </w:r>
      <w:r>
        <w:rPr>
          <w:rFonts w:ascii="Palatino Linotype" w:hAnsi="Palatino Linotype"/>
          <w:i/>
          <w:iCs/>
          <w:color w:val="000000"/>
          <w:sz w:val="22"/>
          <w:szCs w:val="22"/>
        </w:rPr>
        <w:t>.”</w:t>
      </w:r>
    </w:p>
    <w:p w:rsidR="0048231F" w:rsidRDefault="0048231F" w:rsidP="009408D2">
      <w:pPr>
        <w:pStyle w:val="NormalWeb"/>
        <w:spacing w:before="120" w:beforeAutospacing="0" w:after="120" w:afterAutospacing="0"/>
        <w:ind w:left="1134" w:right="1127"/>
        <w:jc w:val="both"/>
        <w:rPr>
          <w:rFonts w:ascii="Palatino Linotype" w:hAnsi="Palatino Linotype"/>
          <w:i/>
          <w:iCs/>
          <w:color w:val="000000"/>
          <w:sz w:val="22"/>
          <w:szCs w:val="22"/>
        </w:rPr>
      </w:pPr>
      <w:r>
        <w:rPr>
          <w:rFonts w:ascii="Palatino Linotype" w:hAnsi="Palatino Linotype"/>
          <w:i/>
          <w:iCs/>
          <w:color w:val="000000"/>
          <w:sz w:val="22"/>
          <w:szCs w:val="22"/>
        </w:rPr>
        <w:t>“</w:t>
      </w:r>
      <w:r>
        <w:rPr>
          <w:rFonts w:ascii="Palatino Linotype" w:hAnsi="Palatino Linotype"/>
          <w:b/>
          <w:bCs/>
          <w:i/>
          <w:iCs/>
          <w:color w:val="000000"/>
          <w:sz w:val="22"/>
          <w:szCs w:val="22"/>
        </w:rPr>
        <w:t>Artículo 4.22</w:t>
      </w:r>
      <w:r>
        <w:rPr>
          <w:rFonts w:ascii="Palatino Linotype" w:hAnsi="Palatino Linotype"/>
          <w:i/>
          <w:iCs/>
          <w:color w:val="000000"/>
          <w:sz w:val="22"/>
          <w:szCs w:val="22"/>
        </w:rPr>
        <w:t>.- 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rsidR="00DB14C7" w:rsidRDefault="00DB14C7" w:rsidP="009408D2">
      <w:pPr>
        <w:pStyle w:val="NormalWeb"/>
        <w:spacing w:before="120" w:beforeAutospacing="0" w:after="120" w:afterAutospacing="0"/>
        <w:ind w:left="1134" w:right="276"/>
        <w:jc w:val="both"/>
      </w:pPr>
    </w:p>
    <w:p w:rsidR="0048231F" w:rsidRPr="008C559C" w:rsidRDefault="0048231F" w:rsidP="009408D2">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8C559C">
        <w:rPr>
          <w:rFonts w:ascii="Palatino Linotype" w:hAnsi="Palatino Linotype"/>
          <w:color w:val="000000" w:themeColor="text1"/>
        </w:rPr>
        <w:t xml:space="preserve">En el caso concreto, </w:t>
      </w:r>
      <w:r w:rsidRPr="008C559C">
        <w:rPr>
          <w:rFonts w:ascii="Palatino Linotype" w:eastAsia="Palatino Linotype" w:hAnsi="Palatino Linotype" w:cs="Palatino Linotype"/>
          <w:color w:val="000000" w:themeColor="text1"/>
        </w:rPr>
        <w:t xml:space="preserve">si </w:t>
      </w:r>
      <w:r w:rsidRPr="008C559C">
        <w:rPr>
          <w:rFonts w:ascii="Palatino Linotype" w:eastAsia="Palatino Linotype" w:hAnsi="Palatino Linotype" w:cs="Palatino Linotype"/>
        </w:rPr>
        <w:t xml:space="preserve">bien es cierto, la información solicitada es mayor a veinte fojas, también lo es que esta fue solicitada por </w:t>
      </w:r>
      <w:r w:rsidRPr="008C559C">
        <w:rPr>
          <w:rFonts w:ascii="Palatino Linotype" w:eastAsia="Palatino Linotype" w:hAnsi="Palatino Linotype" w:cs="Palatino Linotype"/>
          <w:b/>
          <w:u w:val="single"/>
        </w:rPr>
        <w:t>medios digitales</w:t>
      </w:r>
      <w:r w:rsidRPr="008C559C">
        <w:rPr>
          <w:rFonts w:ascii="Palatino Linotype" w:eastAsia="Palatino Linotype" w:hAnsi="Palatino Linotype" w:cs="Palatino Linotype"/>
        </w:rPr>
        <w:t xml:space="preserve">, por lo que, para que la información sea digitalizada, el </w:t>
      </w:r>
      <w:r w:rsidRPr="008C559C">
        <w:rPr>
          <w:rFonts w:ascii="Palatino Linotype" w:eastAsia="Palatino Linotype" w:hAnsi="Palatino Linotype" w:cs="Palatino Linotype"/>
          <w:b/>
        </w:rPr>
        <w:t>Sujeto Obligado</w:t>
      </w:r>
      <w:r w:rsidRPr="008C559C">
        <w:rPr>
          <w:rFonts w:ascii="Palatino Linotype" w:eastAsia="Palatino Linotype" w:hAnsi="Palatino Linotype" w:cs="Palatino Linotype"/>
        </w:rPr>
        <w:t xml:space="preserve"> únicamente deberá pasar el </w:t>
      </w:r>
      <w:r w:rsidR="008C559C">
        <w:rPr>
          <w:rFonts w:ascii="Palatino Linotype" w:eastAsia="Palatino Linotype" w:hAnsi="Palatino Linotype" w:cs="Palatino Linotype"/>
        </w:rPr>
        <w:t>documento</w:t>
      </w:r>
      <w:r w:rsidRPr="008C559C">
        <w:rPr>
          <w:rFonts w:ascii="Palatino Linotype" w:eastAsia="Palatino Linotype" w:hAnsi="Palatino Linotype" w:cs="Palatino Linotype"/>
        </w:rPr>
        <w:t xml:space="preserve"> a través de un escáner para obtener un conjunto de datos procesables por una computadora o sistema informático; procedimiento que contrario a lo que sostiene el </w:t>
      </w:r>
      <w:r w:rsidRPr="008C559C">
        <w:rPr>
          <w:rFonts w:ascii="Palatino Linotype" w:eastAsia="Palatino Linotype" w:hAnsi="Palatino Linotype" w:cs="Palatino Linotype"/>
          <w:b/>
        </w:rPr>
        <w:t>Sujeto Obligado</w:t>
      </w:r>
      <w:r w:rsidRPr="008C559C">
        <w:rPr>
          <w:rFonts w:ascii="Palatino Linotype" w:eastAsia="Palatino Linotype" w:hAnsi="Palatino Linotype" w:cs="Palatino Linotype"/>
        </w:rPr>
        <w:t xml:space="preserve"> no genera costo alguno, puesto que no se está utilizando algún material físico como papel o tinta de impresión, para su reproducción. </w:t>
      </w:r>
    </w:p>
    <w:p w:rsidR="0048231F" w:rsidRPr="00F363D4" w:rsidRDefault="0048231F" w:rsidP="009408D2">
      <w:pPr>
        <w:spacing w:line="360" w:lineRule="auto"/>
        <w:ind w:right="276"/>
        <w:jc w:val="both"/>
        <w:rPr>
          <w:rFonts w:ascii="Palatino Linotype" w:eastAsia="Palatino Linotype" w:hAnsi="Palatino Linotype" w:cs="Palatino Linotype"/>
          <w:sz w:val="22"/>
          <w:szCs w:val="22"/>
        </w:rPr>
      </w:pPr>
    </w:p>
    <w:p w:rsidR="0048231F" w:rsidRPr="008C559C" w:rsidRDefault="0048231F" w:rsidP="009408D2">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8C559C">
        <w:rPr>
          <w:rFonts w:ascii="Palatino Linotype" w:eastAsia="Palatino Linotype" w:hAnsi="Palatino Linotype" w:cs="Palatino Linotype"/>
        </w:rPr>
        <w:t xml:space="preserve">Por otro lado, respecto al uso de software para el </w:t>
      </w:r>
      <w:proofErr w:type="spellStart"/>
      <w:r w:rsidRPr="008C559C">
        <w:rPr>
          <w:rFonts w:ascii="Palatino Linotype" w:eastAsia="Palatino Linotype" w:hAnsi="Palatino Linotype" w:cs="Palatino Linotype"/>
        </w:rPr>
        <w:t>testado</w:t>
      </w:r>
      <w:proofErr w:type="spellEnd"/>
      <w:r w:rsidRPr="008C559C">
        <w:rPr>
          <w:rFonts w:ascii="Palatino Linotype" w:eastAsia="Palatino Linotype" w:hAnsi="Palatino Linotype" w:cs="Palatino Linotype"/>
        </w:rPr>
        <w:t xml:space="preserve"> de la información, es de mencionar que existen editores gratuitos que permiten realizar las ediciones a los documentos escaneados, que si bien, pudiesen contar con funciones limitadas, también lo es que cumplen con el objetivo deseado; suprimir la información susceptible de ser clasificada. </w:t>
      </w:r>
    </w:p>
    <w:p w:rsidR="0048231F" w:rsidRPr="00F363D4" w:rsidRDefault="0048231F" w:rsidP="009408D2">
      <w:pPr>
        <w:spacing w:line="360" w:lineRule="auto"/>
        <w:ind w:right="276"/>
        <w:jc w:val="both"/>
        <w:rPr>
          <w:rFonts w:ascii="Palatino Linotype" w:eastAsia="Palatino Linotype" w:hAnsi="Palatino Linotype" w:cs="Palatino Linotype"/>
          <w:sz w:val="22"/>
          <w:szCs w:val="22"/>
        </w:rPr>
      </w:pPr>
    </w:p>
    <w:p w:rsidR="0048231F" w:rsidRDefault="0048231F" w:rsidP="009408D2">
      <w:pPr>
        <w:pStyle w:val="Prrafodelista"/>
        <w:numPr>
          <w:ilvl w:val="0"/>
          <w:numId w:val="2"/>
        </w:numPr>
        <w:spacing w:line="360" w:lineRule="auto"/>
        <w:ind w:left="0" w:right="276" w:firstLine="0"/>
        <w:jc w:val="both"/>
        <w:rPr>
          <w:rFonts w:ascii="Palatino Linotype" w:hAnsi="Palatino Linotype"/>
          <w:color w:val="000000"/>
        </w:rPr>
      </w:pPr>
      <w:r w:rsidRPr="008C559C">
        <w:rPr>
          <w:rFonts w:ascii="Palatino Linotype" w:eastAsia="Palatino Linotype" w:hAnsi="Palatino Linotype" w:cs="Palatino Linotype"/>
        </w:rPr>
        <w:lastRenderedPageBreak/>
        <w:t xml:space="preserve">Respecto al segundo elemento; </w:t>
      </w:r>
      <w:r w:rsidRPr="008C559C">
        <w:rPr>
          <w:rFonts w:ascii="Palatino Linotype" w:hAnsi="Palatino Linotype"/>
          <w:color w:val="000000"/>
        </w:rPr>
        <w:t xml:space="preserve">no se estima por parte de este Organismo Garante que el presente caso actualice alguno de los supuestos previstos en la norma previamente citados, toda vez que la persona solicitante requirió la información a través del sistema SAIMEX, como se advierte en el antecedente 1 de la presente resolución, por lo tanto no se le está requiriendo al </w:t>
      </w:r>
      <w:r w:rsidRPr="008C559C">
        <w:rPr>
          <w:rFonts w:ascii="Palatino Linotype" w:hAnsi="Palatino Linotype"/>
          <w:b/>
          <w:bCs/>
          <w:color w:val="000000"/>
        </w:rPr>
        <w:t>Sujeto Obligado</w:t>
      </w:r>
      <w:r w:rsidRPr="008C559C">
        <w:rPr>
          <w:rFonts w:ascii="Palatino Linotype" w:hAnsi="Palatino Linotype"/>
          <w:color w:val="000000"/>
        </w:rPr>
        <w:t xml:space="preserve"> que expida copias simples, certificadas o que reproduzca la información que ya asumió poseer, en cualquier otro medio físico, sino que proporcione la información de manera electrónica, en otras palabras, con la finalidad de satisfacer la solicitud, </w:t>
      </w:r>
      <w:r w:rsidRPr="008C559C">
        <w:rPr>
          <w:rFonts w:ascii="Palatino Linotype" w:hAnsi="Palatino Linotype"/>
          <w:b/>
          <w:bCs/>
          <w:color w:val="000000"/>
        </w:rPr>
        <w:t>no es necesario que el Sujeto Obligado realice una reproducción física de la información que conserva en sus archivos,</w:t>
      </w:r>
      <w:r w:rsidRPr="008C559C">
        <w:rPr>
          <w:rFonts w:ascii="Palatino Linotype" w:hAnsi="Palatino Linotype"/>
          <w:color w:val="000000"/>
        </w:rPr>
        <w:t xml:space="preserve"> más bien implicaría realizar una digitalización o escaneo de aquellos documentos que por su naturaleza pudieran encontrarse en un medio físico.</w:t>
      </w:r>
    </w:p>
    <w:p w:rsidR="008C559C" w:rsidRPr="008C559C" w:rsidRDefault="008C559C" w:rsidP="009408D2">
      <w:pPr>
        <w:pStyle w:val="Prrafodelista"/>
        <w:spacing w:line="360" w:lineRule="auto"/>
        <w:ind w:left="0" w:right="276"/>
        <w:jc w:val="both"/>
        <w:rPr>
          <w:rFonts w:ascii="Palatino Linotype" w:hAnsi="Palatino Linotype"/>
          <w:color w:val="000000"/>
        </w:rPr>
      </w:pPr>
    </w:p>
    <w:p w:rsidR="0048231F" w:rsidRPr="008C559C" w:rsidRDefault="0048231F" w:rsidP="009408D2">
      <w:pPr>
        <w:pStyle w:val="Prrafodelista"/>
        <w:numPr>
          <w:ilvl w:val="0"/>
          <w:numId w:val="2"/>
        </w:numPr>
        <w:spacing w:line="360" w:lineRule="auto"/>
        <w:ind w:left="0" w:right="276" w:firstLine="0"/>
        <w:jc w:val="both"/>
      </w:pPr>
      <w:r w:rsidRPr="008C559C">
        <w:rPr>
          <w:rFonts w:ascii="Palatino Linotype" w:eastAsia="Palatino Linotype" w:hAnsi="Palatino Linotype" w:cs="Palatino Linotype"/>
        </w:rPr>
        <w:t>Siendo</w:t>
      </w:r>
      <w:r w:rsidRPr="008C559C">
        <w:rPr>
          <w:rFonts w:ascii="Palatino Linotype" w:hAnsi="Palatino Linotype"/>
          <w:color w:val="000000"/>
        </w:rPr>
        <w:t xml:space="preserve">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envío de la información, ya que una de la finalidades de la utilización del sistema SAIMEX es evitar la generación de gastos tanto para los solicitantes como para los Sujetos Obligados, pues se trata de un sistema electrónico que para acceder al mismo no necesita recurso alguno, sino solamente la conexión a un sistema de internet.</w:t>
      </w:r>
    </w:p>
    <w:p w:rsidR="008C559C" w:rsidRPr="008C559C" w:rsidRDefault="008C559C" w:rsidP="009408D2">
      <w:pPr>
        <w:pStyle w:val="Prrafodelista"/>
        <w:spacing w:line="360" w:lineRule="auto"/>
        <w:ind w:left="0" w:right="276"/>
        <w:jc w:val="both"/>
      </w:pPr>
    </w:p>
    <w:p w:rsidR="0048231F" w:rsidRPr="007D247B" w:rsidRDefault="0048231F" w:rsidP="009408D2">
      <w:pPr>
        <w:pStyle w:val="Prrafodelista"/>
        <w:numPr>
          <w:ilvl w:val="0"/>
          <w:numId w:val="2"/>
        </w:numPr>
        <w:spacing w:line="360" w:lineRule="auto"/>
        <w:ind w:left="0" w:right="276" w:firstLine="0"/>
        <w:jc w:val="both"/>
      </w:pPr>
      <w:r w:rsidRPr="008C559C">
        <w:rPr>
          <w:rFonts w:ascii="Palatino Linotype" w:hAnsi="Palatino Linotype"/>
          <w:color w:val="000000"/>
        </w:rPr>
        <w:lastRenderedPageBreak/>
        <w:t>Aunado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w:t>
      </w:r>
      <w:r w:rsidR="007D247B">
        <w:rPr>
          <w:rFonts w:ascii="Palatino Linotype" w:hAnsi="Palatino Linotype"/>
          <w:color w:val="000000"/>
        </w:rPr>
        <w:t>,</w:t>
      </w:r>
      <w:r w:rsidRPr="008C559C">
        <w:rPr>
          <w:rFonts w:ascii="Palatino Linotype" w:hAnsi="Palatino Linotype"/>
          <w:color w:val="000000"/>
        </w:rPr>
        <w:t xml:space="preserve"> fracción XXIII</w:t>
      </w:r>
      <w:r w:rsidR="007D247B">
        <w:rPr>
          <w:rFonts w:ascii="Palatino Linotype" w:hAnsi="Palatino Linotype"/>
          <w:color w:val="000000"/>
        </w:rPr>
        <w:t>,</w:t>
      </w:r>
      <w:r w:rsidRPr="008C559C">
        <w:rPr>
          <w:rFonts w:ascii="Palatino Linotype" w:hAnsi="Palatino Linotype"/>
          <w:color w:val="000000"/>
        </w:rPr>
        <w:t xml:space="preserve"> dispone como obligación de los entes públicos, la de procurar la digitalización de toda la información pública en su poder, mientras que </w:t>
      </w:r>
      <w:r w:rsidR="007D247B">
        <w:rPr>
          <w:rFonts w:ascii="Palatino Linotype" w:hAnsi="Palatino Linotype"/>
          <w:color w:val="000000"/>
        </w:rPr>
        <w:t>el artículo</w:t>
      </w:r>
      <w:r w:rsidRPr="008C559C">
        <w:rPr>
          <w:rFonts w:ascii="Palatino Linotype" w:hAnsi="Palatino Linotype"/>
          <w:color w:val="000000"/>
        </w:rPr>
        <w:t xml:space="preserve"> 175</w:t>
      </w:r>
      <w:r w:rsidR="007D247B">
        <w:rPr>
          <w:rFonts w:ascii="Palatino Linotype" w:hAnsi="Palatino Linotype"/>
          <w:color w:val="000000"/>
        </w:rPr>
        <w:t>,</w:t>
      </w:r>
      <w:r w:rsidRPr="008C559C">
        <w:rPr>
          <w:rFonts w:ascii="Palatino Linotype" w:hAnsi="Palatino Linotype"/>
          <w:color w:val="000000"/>
        </w:rPr>
        <w:t xml:space="preserve"> prevé que la información que deban publicar los Sujetos Obligados en términos de la Ley o deba ser generada de manera electrónica, según lo dispongan las disposiciones legales o administrativas no podrán tener </w:t>
      </w:r>
      <w:r w:rsidRPr="008C559C">
        <w:rPr>
          <w:rFonts w:ascii="Palatino Linotype" w:hAnsi="Palatino Linotype"/>
          <w:b/>
          <w:bCs/>
          <w:color w:val="000000"/>
        </w:rPr>
        <w:t xml:space="preserve">ningún costo, </w:t>
      </w:r>
      <w:r w:rsidRPr="008C559C">
        <w:rPr>
          <w:rFonts w:ascii="Palatino Linotype" w:hAnsi="Palatino Linotype"/>
          <w:color w:val="000000"/>
        </w:rPr>
        <w:t>incluyendo aquella que se hubiera digitalizado previamente por cualquier motivo, y aún menos en aquellos casos en que la modalidad de entrega sea por medio de la plataforma o vía electrónica.</w:t>
      </w:r>
    </w:p>
    <w:p w:rsidR="007D247B" w:rsidRPr="008C559C" w:rsidRDefault="007D247B" w:rsidP="009408D2">
      <w:pPr>
        <w:pStyle w:val="Prrafodelista"/>
        <w:spacing w:line="360" w:lineRule="auto"/>
        <w:ind w:left="0" w:right="276"/>
        <w:jc w:val="both"/>
      </w:pPr>
    </w:p>
    <w:p w:rsidR="0048231F" w:rsidRPr="007D247B" w:rsidRDefault="0048231F" w:rsidP="009408D2">
      <w:pPr>
        <w:pStyle w:val="Prrafodelista"/>
        <w:numPr>
          <w:ilvl w:val="0"/>
          <w:numId w:val="2"/>
        </w:numPr>
        <w:spacing w:line="360" w:lineRule="auto"/>
        <w:ind w:left="0" w:right="276" w:firstLine="0"/>
        <w:jc w:val="both"/>
      </w:pPr>
      <w:r w:rsidRPr="007D247B">
        <w:rPr>
          <w:rFonts w:ascii="Palatino Linotype" w:hAnsi="Palatino Linotype"/>
          <w:color w:val="000000"/>
        </w:rPr>
        <w:t xml:space="preserve">Por lo que no existe presupuesto jurídico que autorice al </w:t>
      </w:r>
      <w:r w:rsidRPr="007D247B">
        <w:rPr>
          <w:rFonts w:ascii="Palatino Linotype" w:hAnsi="Palatino Linotype"/>
          <w:b/>
          <w:bCs/>
          <w:color w:val="000000"/>
        </w:rPr>
        <w:t>Sujeto Obligado</w:t>
      </w:r>
      <w:r w:rsidRPr="007D247B">
        <w:rPr>
          <w:rFonts w:ascii="Palatino Linotype" w:hAnsi="Palatino Linotype"/>
          <w:color w:val="000000"/>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impresos en los que conste tanto información pública, como confidencial y reservada se entreguen en versión pública en los casos que eso resulte necesario.</w:t>
      </w:r>
    </w:p>
    <w:p w:rsidR="007D247B" w:rsidRPr="007D247B" w:rsidRDefault="007D247B" w:rsidP="009408D2">
      <w:pPr>
        <w:pStyle w:val="Prrafodelista"/>
        <w:spacing w:line="360" w:lineRule="auto"/>
        <w:ind w:left="0" w:right="276"/>
        <w:jc w:val="both"/>
      </w:pPr>
    </w:p>
    <w:p w:rsidR="0048231F" w:rsidRPr="00DF7389" w:rsidRDefault="0048231F" w:rsidP="009408D2">
      <w:pPr>
        <w:pStyle w:val="Prrafodelista"/>
        <w:numPr>
          <w:ilvl w:val="0"/>
          <w:numId w:val="2"/>
        </w:numPr>
        <w:spacing w:line="360" w:lineRule="auto"/>
        <w:ind w:left="0" w:right="276" w:firstLine="0"/>
        <w:jc w:val="both"/>
      </w:pPr>
      <w:r w:rsidRPr="007D247B">
        <w:rPr>
          <w:rFonts w:ascii="Palatino Linotype" w:hAnsi="Palatino Linotype"/>
          <w:color w:val="000000"/>
        </w:rPr>
        <w:lastRenderedPageBreak/>
        <w:t>Pensar lo contrario, sería tanto como reconocer que la utilización del sistema SAIMEX, transgrede o limita el derecho de acceso a la información pública de los 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rsidR="00DF7389" w:rsidRPr="007D247B" w:rsidRDefault="00DF7389" w:rsidP="00DF7389">
      <w:pPr>
        <w:pStyle w:val="Prrafodelista"/>
        <w:spacing w:line="360" w:lineRule="auto"/>
        <w:ind w:left="0" w:right="276"/>
        <w:jc w:val="both"/>
      </w:pPr>
    </w:p>
    <w:p w:rsidR="0048231F" w:rsidRPr="007D247B" w:rsidRDefault="0048231F" w:rsidP="009408D2">
      <w:pPr>
        <w:pStyle w:val="Prrafodelista"/>
        <w:numPr>
          <w:ilvl w:val="0"/>
          <w:numId w:val="2"/>
        </w:numPr>
        <w:spacing w:line="360" w:lineRule="auto"/>
        <w:ind w:left="0" w:right="276" w:firstLine="0"/>
        <w:jc w:val="both"/>
      </w:pPr>
      <w:r w:rsidRPr="007D247B">
        <w:rPr>
          <w:rFonts w:ascii="Palatino Linotype" w:hAnsi="Palatino Linotype"/>
          <w:color w:val="000000"/>
        </w:rPr>
        <w:t xml:space="preserve">Bajo esta </w:t>
      </w:r>
      <w:r w:rsidR="007D247B" w:rsidRPr="007D247B">
        <w:rPr>
          <w:rFonts w:ascii="Palatino Linotype" w:hAnsi="Palatino Linotype"/>
          <w:color w:val="000000"/>
        </w:rPr>
        <w:t>tesitura</w:t>
      </w:r>
      <w:r w:rsidRPr="007D247B">
        <w:rPr>
          <w:rFonts w:ascii="Palatino Linotype" w:hAnsi="Palatino Linotype"/>
          <w:color w:val="000000"/>
        </w:rPr>
        <w:t xml:space="preserve">, el derecho del particular de acceder a los documentos que obran en posesión del </w:t>
      </w:r>
      <w:r w:rsidRPr="007D247B">
        <w:rPr>
          <w:rFonts w:ascii="Palatino Linotype" w:hAnsi="Palatino Linotype"/>
          <w:b/>
          <w:bCs/>
          <w:color w:val="000000"/>
        </w:rPr>
        <w:t xml:space="preserve">Sujeto Obligado </w:t>
      </w:r>
      <w:r w:rsidRPr="007D247B">
        <w:rPr>
          <w:rFonts w:ascii="Palatino Linotype" w:hAnsi="Palatino Linotype"/>
          <w:color w:val="000000"/>
        </w:rPr>
        <w:t xml:space="preserve">se encuentra limitado, en virtud de que no le fue proporcionada la información solicitada, incumpliendo así lo previsto en el artículo 4 de la Ley de la Materia.  </w:t>
      </w:r>
    </w:p>
    <w:p w:rsidR="007D247B" w:rsidRPr="007D247B" w:rsidRDefault="007D247B" w:rsidP="009408D2">
      <w:pPr>
        <w:pStyle w:val="Prrafodelista"/>
        <w:spacing w:line="360" w:lineRule="auto"/>
        <w:ind w:left="0" w:right="276"/>
        <w:jc w:val="both"/>
      </w:pPr>
    </w:p>
    <w:p w:rsidR="0048231F" w:rsidRDefault="007D247B" w:rsidP="009408D2">
      <w:pPr>
        <w:pStyle w:val="Prrafodelista"/>
        <w:numPr>
          <w:ilvl w:val="0"/>
          <w:numId w:val="2"/>
        </w:numPr>
        <w:spacing w:line="360" w:lineRule="auto"/>
        <w:ind w:left="0" w:right="276" w:firstLine="0"/>
        <w:jc w:val="both"/>
        <w:rPr>
          <w:rFonts w:ascii="Palatino Linotype" w:hAnsi="Palatino Linotype"/>
          <w:color w:val="000000"/>
        </w:rPr>
      </w:pPr>
      <w:r>
        <w:rPr>
          <w:rFonts w:ascii="Palatino Linotype" w:hAnsi="Palatino Linotype"/>
          <w:color w:val="000000"/>
        </w:rPr>
        <w:t>Por ello</w:t>
      </w:r>
      <w:r w:rsidR="0048231F" w:rsidRPr="007D247B">
        <w:rPr>
          <w:rFonts w:ascii="Palatino Linotype" w:hAnsi="Palatino Linotype"/>
          <w:color w:val="000000"/>
        </w:rPr>
        <w:t>, este Organismo Garante estima procedente ordenar la entrega del soporte documental solicitado mediante el sistema SAIMEX</w:t>
      </w:r>
      <w:r>
        <w:rPr>
          <w:rFonts w:ascii="Palatino Linotype" w:hAnsi="Palatino Linotype"/>
          <w:color w:val="000000"/>
        </w:rPr>
        <w:t>, sin costo para la solicitante</w:t>
      </w:r>
      <w:r w:rsidR="0048231F" w:rsidRPr="007D247B">
        <w:rPr>
          <w:rFonts w:ascii="Palatino Linotype" w:hAnsi="Palatino Linotype"/>
          <w:color w:val="000000"/>
        </w:rPr>
        <w:t>.</w:t>
      </w:r>
    </w:p>
    <w:p w:rsidR="007D247B" w:rsidRPr="007D247B" w:rsidRDefault="007D247B" w:rsidP="009408D2">
      <w:pPr>
        <w:pStyle w:val="Prrafodelista"/>
        <w:spacing w:line="360" w:lineRule="auto"/>
        <w:ind w:left="0" w:right="276"/>
        <w:jc w:val="both"/>
        <w:rPr>
          <w:rFonts w:ascii="Palatino Linotype" w:hAnsi="Palatino Linotype"/>
          <w:color w:val="000000"/>
        </w:rPr>
      </w:pPr>
    </w:p>
    <w:p w:rsidR="005A5019" w:rsidRPr="005440BE" w:rsidRDefault="0048231F" w:rsidP="009408D2">
      <w:pPr>
        <w:pStyle w:val="Prrafodelista"/>
        <w:numPr>
          <w:ilvl w:val="0"/>
          <w:numId w:val="2"/>
        </w:numPr>
        <w:spacing w:line="360" w:lineRule="auto"/>
        <w:ind w:left="0" w:right="276" w:firstLine="0"/>
        <w:jc w:val="both"/>
        <w:rPr>
          <w:color w:val="FF0000"/>
        </w:rPr>
      </w:pPr>
      <w:r w:rsidRPr="007D247B">
        <w:rPr>
          <w:rFonts w:ascii="Palatino Linotype" w:hAnsi="Palatino Linotype"/>
          <w:color w:val="000000"/>
        </w:rPr>
        <w:t xml:space="preserve">Derivado de lo expuesto, es evidente que la entrega de la información </w:t>
      </w:r>
      <w:r w:rsidRPr="007D247B">
        <w:rPr>
          <w:rFonts w:ascii="Palatino Linotype" w:hAnsi="Palatino Linotype"/>
          <w:color w:val="000000" w:themeColor="text1"/>
        </w:rPr>
        <w:t>no implica la generación de documentos para digitalizarlos posteriormente y entregarlos por la vía solicitada</w:t>
      </w:r>
      <w:r w:rsidRPr="007D247B">
        <w:rPr>
          <w:rFonts w:ascii="Palatino Linotype" w:hAnsi="Palatino Linotype"/>
          <w:color w:val="000000"/>
        </w:rPr>
        <w:t>, sino más bien, localizar los documentos y remitirlos a la persona solicitante.</w:t>
      </w:r>
    </w:p>
    <w:p w:rsidR="005A5019" w:rsidRDefault="005A5019" w:rsidP="009408D2">
      <w:pPr>
        <w:spacing w:line="360" w:lineRule="auto"/>
        <w:ind w:right="276"/>
        <w:jc w:val="both"/>
        <w:rPr>
          <w:rFonts w:ascii="Palatino Linotype" w:eastAsia="Palatino Linotype" w:hAnsi="Palatino Linotype" w:cs="Palatino Linotype"/>
          <w:color w:val="000000"/>
          <w:highlight w:val="yellow"/>
        </w:rPr>
      </w:pPr>
    </w:p>
    <w:p w:rsidR="005A5019" w:rsidRDefault="00B20CBD" w:rsidP="009408D2">
      <w:pPr>
        <w:keepNext/>
        <w:keepLines/>
        <w:spacing w:after="160" w:line="360" w:lineRule="auto"/>
        <w:ind w:right="2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QUINTA. De la versión pública.</w:t>
      </w:r>
    </w:p>
    <w:p w:rsidR="005A5019" w:rsidRDefault="00B20CBD" w:rsidP="009408D2">
      <w:pPr>
        <w:keepNext/>
        <w:keepLines/>
        <w:numPr>
          <w:ilvl w:val="0"/>
          <w:numId w:val="10"/>
        </w:numPr>
        <w:tabs>
          <w:tab w:val="left" w:pos="284"/>
        </w:tabs>
        <w:spacing w:after="160" w:line="360" w:lineRule="auto"/>
        <w:ind w:right="27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para la entrega de los soportes documentales que deberá proporcionar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humano de acceso a la información de la particular,  deberá considerar que ello no es absoluto, sino que 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rsidR="005A5019" w:rsidRDefault="005A5019" w:rsidP="009408D2">
      <w:pPr>
        <w:tabs>
          <w:tab w:val="left" w:pos="0"/>
          <w:tab w:val="left" w:pos="284"/>
        </w:tabs>
        <w:spacing w:line="360" w:lineRule="auto"/>
        <w:ind w:right="276"/>
        <w:jc w:val="both"/>
        <w:rPr>
          <w:rFonts w:ascii="Palatino Linotype" w:eastAsia="Palatino Linotype" w:hAnsi="Palatino Linotype" w:cs="Palatino Linotype"/>
          <w:highlight w:val="yellow"/>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440BE" w:rsidRDefault="005440BE" w:rsidP="009408D2">
      <w:pPr>
        <w:spacing w:line="360" w:lineRule="auto"/>
        <w:ind w:right="276"/>
        <w:jc w:val="both"/>
        <w:rPr>
          <w:rFonts w:ascii="Palatino Linotype" w:eastAsia="Palatino Linotype" w:hAnsi="Palatino Linotype" w:cs="Palatino Linotype"/>
          <w:color w:val="000000"/>
        </w:rPr>
      </w:pPr>
    </w:p>
    <w:tbl>
      <w:tblPr>
        <w:tblStyle w:val="a1"/>
        <w:tblW w:w="97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7065"/>
      </w:tblGrid>
      <w:tr w:rsidR="005A5019">
        <w:tc>
          <w:tcPr>
            <w:tcW w:w="2685" w:type="dxa"/>
          </w:tcPr>
          <w:p w:rsidR="005A5019" w:rsidRDefault="00B20CBD" w:rsidP="009408D2">
            <w:pPr>
              <w:tabs>
                <w:tab w:val="left" w:pos="284"/>
              </w:tabs>
              <w:spacing w:line="360" w:lineRule="auto"/>
              <w:ind w:right="276"/>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 Requisitos previos.</w:t>
            </w:r>
          </w:p>
        </w:tc>
        <w:tc>
          <w:tcPr>
            <w:tcW w:w="706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A5019"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Al hacerlo tienen que precisar de qué información se trata, señalando el supuesto de clasificación (confidencialidad o reserva).</w:t>
            </w:r>
          </w:p>
          <w:p w:rsidR="005A5019"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Además, se debe señalar el procedimiento, de los tres que establecen los artículos 132 y 106 de la Ley Estatal y General, respectivamente.</w:t>
            </w:r>
          </w:p>
          <w:p w:rsidR="005A5019"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5A5019">
        <w:tc>
          <w:tcPr>
            <w:tcW w:w="2685" w:type="dxa"/>
          </w:tcPr>
          <w:p w:rsidR="005A5019" w:rsidRDefault="00B20CBD" w:rsidP="009408D2">
            <w:pPr>
              <w:tabs>
                <w:tab w:val="left" w:pos="284"/>
              </w:tabs>
              <w:spacing w:line="360" w:lineRule="auto"/>
              <w:ind w:right="276"/>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b) Supuestos de clasificación.</w:t>
            </w:r>
          </w:p>
        </w:tc>
        <w:tc>
          <w:tcPr>
            <w:tcW w:w="706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A5019" w:rsidRDefault="00B20CBD" w:rsidP="009408D2">
            <w:pPr>
              <w:tabs>
                <w:tab w:val="left" w:pos="284"/>
              </w:tabs>
              <w:spacing w:line="360" w:lineRule="auto"/>
              <w:ind w:right="276"/>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A5019">
        <w:tc>
          <w:tcPr>
            <w:tcW w:w="2685" w:type="dxa"/>
          </w:tcPr>
          <w:p w:rsidR="005A5019" w:rsidRDefault="00B20CBD" w:rsidP="009408D2">
            <w:pPr>
              <w:tabs>
                <w:tab w:val="left" w:pos="284"/>
              </w:tabs>
              <w:spacing w:line="360" w:lineRule="auto"/>
              <w:ind w:right="276"/>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 Formalidades para emitir el acuerdo de clasificación.</w:t>
            </w:r>
          </w:p>
        </w:tc>
        <w:tc>
          <w:tcPr>
            <w:tcW w:w="706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5A5019" w:rsidRDefault="00B20CBD" w:rsidP="009408D2">
            <w:pPr>
              <w:tabs>
                <w:tab w:val="left" w:pos="284"/>
              </w:tabs>
              <w:spacing w:line="360" w:lineRule="auto"/>
              <w:ind w:right="276"/>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A5019">
        <w:tc>
          <w:tcPr>
            <w:tcW w:w="2685" w:type="dxa"/>
          </w:tcPr>
          <w:p w:rsidR="005A5019" w:rsidRDefault="005A5019" w:rsidP="009408D2">
            <w:pPr>
              <w:tabs>
                <w:tab w:val="left" w:pos="284"/>
              </w:tabs>
              <w:spacing w:line="360" w:lineRule="auto"/>
              <w:ind w:right="276"/>
              <w:rPr>
                <w:rFonts w:ascii="Palatino Linotype" w:eastAsia="Palatino Linotype" w:hAnsi="Palatino Linotype" w:cs="Palatino Linotype"/>
                <w:b/>
                <w:sz w:val="20"/>
                <w:szCs w:val="20"/>
              </w:rPr>
            </w:pPr>
          </w:p>
          <w:p w:rsidR="005A5019"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d) Requisitos de fondo del acuerdo de clasificación. </w:t>
            </w:r>
          </w:p>
        </w:tc>
        <w:tc>
          <w:tcPr>
            <w:tcW w:w="706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5A5019">
        <w:tc>
          <w:tcPr>
            <w:tcW w:w="268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e) Condiciones especiales de la clasificación de la información como confidencial. </w:t>
            </w:r>
          </w:p>
        </w:tc>
        <w:tc>
          <w:tcPr>
            <w:tcW w:w="7065" w:type="dxa"/>
          </w:tcPr>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5A5019"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A5019" w:rsidRDefault="00B20CBD" w:rsidP="009408D2">
            <w:pPr>
              <w:tabs>
                <w:tab w:val="left" w:pos="284"/>
              </w:tabs>
              <w:spacing w:line="360" w:lineRule="auto"/>
              <w:ind w:right="276"/>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Pero si la información que se pretende clasificar como confidencial no se encuentra en los supuestos de los artículos señalados y es posible, se deberá consultar al titular de los datos si permite o no el acceso. De no ser </w:t>
            </w:r>
            <w:r>
              <w:rPr>
                <w:rFonts w:ascii="Palatino Linotype" w:eastAsia="Palatino Linotype" w:hAnsi="Palatino Linotype" w:cs="Palatino Linotype"/>
                <w:color w:val="000000"/>
                <w:sz w:val="20"/>
                <w:szCs w:val="20"/>
              </w:rPr>
              <w:lastRenderedPageBreak/>
              <w:t>posible, la realización de la consulta, procede, fundando y motivando, la clasificación.</w:t>
            </w:r>
          </w:p>
        </w:tc>
      </w:tr>
    </w:tbl>
    <w:p w:rsidR="005A5019" w:rsidRDefault="005A5019" w:rsidP="009408D2">
      <w:pPr>
        <w:spacing w:line="360" w:lineRule="auto"/>
        <w:ind w:right="276"/>
        <w:jc w:val="both"/>
        <w:rPr>
          <w:rFonts w:ascii="Palatino Linotype" w:eastAsia="Palatino Linotype" w:hAnsi="Palatino Linotype" w:cs="Palatino Linotype"/>
        </w:rPr>
      </w:pPr>
    </w:p>
    <w:p w:rsidR="005440BE" w:rsidRPr="00DF7389" w:rsidRDefault="005440BE" w:rsidP="009408D2">
      <w:pPr>
        <w:numPr>
          <w:ilvl w:val="0"/>
          <w:numId w:val="2"/>
        </w:numPr>
        <w:spacing w:line="360" w:lineRule="auto"/>
        <w:ind w:left="0" w:right="276" w:firstLine="0"/>
        <w:jc w:val="both"/>
      </w:pPr>
      <w:r w:rsidRPr="005440BE">
        <w:rPr>
          <w:rFonts w:ascii="Palatino Linotype" w:eastAsia="Palatino Linotype" w:hAnsi="Palatino Linotype" w:cs="Palatino Linotype"/>
        </w:rPr>
        <w:t xml:space="preserve">Resulta importante señalar que </w:t>
      </w:r>
      <w:r w:rsidRPr="005440BE">
        <w:rPr>
          <w:rFonts w:ascii="Palatino Linotype" w:hAnsi="Palatino Linotype"/>
          <w:color w:val="000000"/>
        </w:rPr>
        <w:t>tratándose de las cuentas bancarias o claves interbancarias de los Sujetos Obligados ya que su publicidad cede a la rendición de cuentas al transparentar la forma en que son administrados los recursos públicos.</w:t>
      </w:r>
    </w:p>
    <w:p w:rsidR="00DF7389" w:rsidRPr="005440BE" w:rsidRDefault="00DF7389" w:rsidP="00DF7389">
      <w:pPr>
        <w:spacing w:line="360" w:lineRule="auto"/>
        <w:ind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Lo argumentado encuentra sustento en los criterios 10/17 y 11/17 emitidos por el Instituto Nacional de Transparencia, Acceso a la Información y Protección de Datos Personales, INAI, que llevan por rubro y texto los siguientes:</w:t>
      </w:r>
    </w:p>
    <w:p w:rsidR="005440BE" w:rsidRDefault="005440BE" w:rsidP="009408D2">
      <w:pPr>
        <w:pStyle w:val="NormalWeb"/>
        <w:spacing w:before="240" w:beforeAutospacing="0" w:after="240" w:afterAutospacing="0"/>
        <w:ind w:left="1134" w:right="1127"/>
        <w:jc w:val="both"/>
      </w:pPr>
      <w:r>
        <w:rPr>
          <w:rFonts w:ascii="Palatino Linotype" w:hAnsi="Palatino Linotype"/>
          <w:b/>
          <w:bCs/>
          <w:i/>
          <w:iCs/>
          <w:color w:val="000000"/>
          <w:sz w:val="22"/>
          <w:szCs w:val="22"/>
        </w:rPr>
        <w:t>“Cuentas bancarias y/o CLABE interbancaria de personas físicas y morales privadas.</w:t>
      </w:r>
      <w:r>
        <w:rPr>
          <w:rFonts w:ascii="Palatino Linotype" w:hAnsi="Palatino Linotype"/>
          <w:i/>
          <w:iCs/>
          <w:color w:val="000000"/>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5440BE" w:rsidRDefault="005440BE" w:rsidP="009408D2">
      <w:pPr>
        <w:pStyle w:val="NormalWeb"/>
        <w:spacing w:before="240" w:beforeAutospacing="0" w:after="240" w:afterAutospacing="0"/>
        <w:ind w:left="1134" w:right="1127"/>
        <w:jc w:val="both"/>
        <w:rPr>
          <w:rFonts w:ascii="Palatino Linotype" w:hAnsi="Palatino Linotype"/>
          <w:i/>
          <w:iCs/>
          <w:color w:val="000000"/>
          <w:sz w:val="22"/>
          <w:szCs w:val="22"/>
        </w:rPr>
      </w:pPr>
      <w:r>
        <w:rPr>
          <w:rFonts w:ascii="Palatino Linotype" w:hAnsi="Palatino Linotype"/>
          <w:b/>
          <w:bCs/>
          <w:i/>
          <w:iCs/>
          <w:color w:val="000000"/>
          <w:sz w:val="22"/>
          <w:szCs w:val="22"/>
        </w:rPr>
        <w:t>Cuentas bancarias y/o CLABE interbancaria de sujetos obligados que reciben y/o transfieren recursos públicos, son información pública</w:t>
      </w:r>
      <w:r>
        <w:rPr>
          <w:rFonts w:ascii="Palatino Linotype" w:hAnsi="Palatino Linotype"/>
          <w:i/>
          <w:iCs/>
          <w:color w:val="000000"/>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9408D2" w:rsidRDefault="009408D2" w:rsidP="009408D2">
      <w:pPr>
        <w:pStyle w:val="NormalWeb"/>
        <w:spacing w:before="0" w:beforeAutospacing="0" w:after="0" w:afterAutospacing="0"/>
        <w:ind w:left="1134" w:right="1128"/>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 xml:space="preserve">Por cuanto hace al </w:t>
      </w:r>
      <w:r w:rsidRPr="005440BE">
        <w:rPr>
          <w:rFonts w:ascii="Palatino Linotype" w:hAnsi="Palatino Linotype"/>
          <w:b/>
          <w:bCs/>
          <w:color w:val="000000"/>
        </w:rPr>
        <w:t xml:space="preserve">Registro Federal de Contribuyentes (RFC), </w:t>
      </w:r>
      <w:r w:rsidRPr="005440BE">
        <w:rPr>
          <w:rFonts w:ascii="Palatino Linotype" w:hAnsi="Palatino Linotype"/>
          <w:color w:val="000000"/>
        </w:rPr>
        <w:t xml:space="preserve">si bien este Instituto ha sostenido que el RFC y domicilio de las personas físicas debe ser testado por los Sujetos Obligados, en las versiones públicas de los documentos que elaboren </w:t>
      </w:r>
      <w:r w:rsidRPr="005440BE">
        <w:rPr>
          <w:rFonts w:ascii="Palatino Linotype" w:hAnsi="Palatino Linotype"/>
          <w:color w:val="000000"/>
        </w:rPr>
        <w:lastRenderedPageBreak/>
        <w:t>para atender las solicitudes de información pública, lo cierto es que, tratándose de proveedores, prestadores de servicios o contratistas, dichos datos no deben ser suprimidos de las facturas y contratos que vayan a ser entregados.</w:t>
      </w:r>
    </w:p>
    <w:p w:rsidR="005440BE" w:rsidRPr="005440BE" w:rsidRDefault="005440BE" w:rsidP="009408D2">
      <w:pPr>
        <w:spacing w:line="360" w:lineRule="auto"/>
        <w:ind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rsidR="005440BE" w:rsidRPr="005440BE" w:rsidRDefault="005440BE" w:rsidP="009408D2">
      <w:pPr>
        <w:spacing w:line="360" w:lineRule="auto"/>
        <w:ind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rsidR="005440BE" w:rsidRPr="005440BE" w:rsidRDefault="005440BE" w:rsidP="009408D2">
      <w:pPr>
        <w:spacing w:line="360" w:lineRule="auto"/>
        <w:ind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Robustece lo anterior el criterio orientador 04/21 emitido por el Instituto Nacional de Transparencia, Acceso a la Información y Protección de Datos Personales, INAI, el cual refiere:</w:t>
      </w:r>
    </w:p>
    <w:p w:rsidR="005440BE" w:rsidRDefault="005440BE" w:rsidP="009408D2">
      <w:pPr>
        <w:pStyle w:val="NormalWeb"/>
        <w:tabs>
          <w:tab w:val="left" w:pos="7938"/>
        </w:tabs>
        <w:spacing w:before="120" w:beforeAutospacing="0" w:after="120" w:afterAutospacing="0"/>
        <w:ind w:left="1134" w:right="1127"/>
        <w:jc w:val="both"/>
        <w:rPr>
          <w:rFonts w:ascii="Palatino Linotype" w:hAnsi="Palatino Linotype"/>
          <w:i/>
          <w:iCs/>
          <w:color w:val="000000"/>
          <w:sz w:val="22"/>
          <w:szCs w:val="22"/>
        </w:rPr>
      </w:pPr>
      <w:r>
        <w:rPr>
          <w:rFonts w:ascii="Palatino Linotype" w:hAnsi="Palatino Linotype"/>
          <w:b/>
          <w:bCs/>
          <w:i/>
          <w:iCs/>
          <w:color w:val="000000"/>
          <w:sz w:val="22"/>
          <w:szCs w:val="22"/>
        </w:rPr>
        <w:t xml:space="preserve">“Registro Federal de Contribuyentes (RFC) de personas físicas proveedoras o contratistas. </w:t>
      </w:r>
      <w:r>
        <w:rPr>
          <w:rFonts w:ascii="Palatino Linotype" w:hAnsi="Palatino Linotype"/>
          <w:i/>
          <w:iCs/>
          <w:color w:val="000000"/>
          <w:sz w:val="22"/>
          <w:szCs w:val="22"/>
        </w:rPr>
        <w:t xml:space="preserve">El RFC de contratistas o proveedores de los </w:t>
      </w:r>
      <w:r>
        <w:rPr>
          <w:rFonts w:ascii="Palatino Linotype" w:hAnsi="Palatino Linotype"/>
          <w:i/>
          <w:iCs/>
          <w:color w:val="000000"/>
          <w:sz w:val="22"/>
          <w:szCs w:val="22"/>
        </w:rPr>
        <w:lastRenderedPageBreak/>
        <w:t>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rsidR="005440BE" w:rsidRDefault="005440BE" w:rsidP="009408D2">
      <w:pPr>
        <w:pStyle w:val="NormalWeb"/>
        <w:tabs>
          <w:tab w:val="left" w:pos="7938"/>
        </w:tabs>
        <w:spacing w:before="120" w:beforeAutospacing="0" w:after="120" w:afterAutospacing="0"/>
        <w:ind w:left="1134"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Relacionado con lo anterior, el nombre de las personas físicas o los representantes legales de las personas morales, en su calidad de proveedores, contratistas o prestadores de servicios, y la firma y rúbrica de estos, que participen en algún  proceso de adjudicación en cualquiera de sus modalidades, debe mencionarse que con base en el artículo 23</w:t>
      </w:r>
      <w:r>
        <w:rPr>
          <w:rFonts w:ascii="Palatino Linotype" w:hAnsi="Palatino Linotype"/>
          <w:color w:val="000000"/>
        </w:rPr>
        <w:t>,</w:t>
      </w:r>
      <w:r w:rsidRPr="005440BE">
        <w:rPr>
          <w:rFonts w:ascii="Palatino Linotype" w:hAnsi="Palatino Linotype"/>
          <w:color w:val="000000"/>
        </w:rPr>
        <w:t xml:space="preserve"> párrafo segundo</w:t>
      </w:r>
      <w:r>
        <w:rPr>
          <w:rFonts w:ascii="Palatino Linotype" w:hAnsi="Palatino Linotype"/>
          <w:color w:val="000000"/>
        </w:rPr>
        <w:t>,</w:t>
      </w:r>
      <w:r w:rsidRPr="005440BE">
        <w:rPr>
          <w:rFonts w:ascii="Palatino Linotype" w:hAnsi="Palatino Linotype"/>
          <w:color w:val="000000"/>
        </w:rPr>
        <w:t xml:space="preserve"> y 24</w:t>
      </w:r>
      <w:r>
        <w:rPr>
          <w:rFonts w:ascii="Palatino Linotype" w:hAnsi="Palatino Linotype"/>
          <w:color w:val="000000"/>
        </w:rPr>
        <w:t>, fracción XVIII,</w:t>
      </w:r>
      <w:r w:rsidRPr="005440BE">
        <w:rPr>
          <w:rFonts w:ascii="Palatino Linotype" w:hAnsi="Palatino Linotype"/>
          <w:color w:val="000000"/>
        </w:rPr>
        <w:t xml:space="preserve">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rsidR="005440BE" w:rsidRPr="005440BE" w:rsidRDefault="005440BE" w:rsidP="009408D2">
      <w:pPr>
        <w:spacing w:line="360" w:lineRule="auto"/>
        <w:ind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Argumentación que guarda sustento en lo estipulado por el artículo 23 de la Ley de Transparencia y Acceso a la Información Pública del Estado de México y Municipios en su penúltimo párrafo, mismo que es del tenor literal siguiente:</w:t>
      </w:r>
    </w:p>
    <w:p w:rsidR="005440BE" w:rsidRDefault="005440BE" w:rsidP="009408D2">
      <w:pPr>
        <w:pStyle w:val="NormalWeb"/>
        <w:tabs>
          <w:tab w:val="left" w:pos="7938"/>
        </w:tabs>
        <w:spacing w:before="120" w:beforeAutospacing="0" w:after="120" w:afterAutospacing="0"/>
        <w:ind w:left="1134" w:right="1127"/>
        <w:jc w:val="both"/>
      </w:pPr>
      <w:r>
        <w:rPr>
          <w:rFonts w:ascii="Palatino Linotype" w:hAnsi="Palatino Linotype"/>
          <w:i/>
          <w:iCs/>
          <w:color w:val="000000"/>
          <w:sz w:val="22"/>
          <w:szCs w:val="22"/>
        </w:rPr>
        <w:t>“</w:t>
      </w:r>
      <w:r>
        <w:rPr>
          <w:rFonts w:ascii="Palatino Linotype" w:hAnsi="Palatino Linotype"/>
          <w:b/>
          <w:bCs/>
          <w:i/>
          <w:iCs/>
          <w:color w:val="000000"/>
          <w:sz w:val="22"/>
          <w:szCs w:val="22"/>
        </w:rPr>
        <w:t>Artículo 23.</w:t>
      </w:r>
      <w:r>
        <w:rPr>
          <w:rFonts w:ascii="Palatino Linotype" w:hAnsi="Palatino Linotype"/>
          <w:i/>
          <w:iCs/>
          <w:color w:val="000000"/>
          <w:sz w:val="22"/>
          <w:szCs w:val="22"/>
        </w:rPr>
        <w:t xml:space="preserve"> (…)</w:t>
      </w:r>
    </w:p>
    <w:p w:rsidR="005440BE" w:rsidRDefault="005440BE" w:rsidP="009408D2">
      <w:pPr>
        <w:pStyle w:val="NormalWeb"/>
        <w:tabs>
          <w:tab w:val="left" w:pos="7938"/>
        </w:tabs>
        <w:spacing w:before="120" w:beforeAutospacing="0" w:after="120" w:afterAutospacing="0"/>
        <w:ind w:left="1134" w:right="1127"/>
        <w:jc w:val="both"/>
        <w:rPr>
          <w:rFonts w:ascii="Palatino Linotype" w:hAnsi="Palatino Linotype"/>
          <w:i/>
          <w:iCs/>
          <w:color w:val="000000"/>
          <w:sz w:val="22"/>
          <w:szCs w:val="22"/>
        </w:rPr>
      </w:pPr>
      <w:r>
        <w:rPr>
          <w:rFonts w:ascii="Palatino Linotype" w:hAnsi="Palatino Linotype"/>
          <w:i/>
          <w:iCs/>
          <w:color w:val="000000"/>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5440BE" w:rsidRDefault="005440BE" w:rsidP="009408D2">
      <w:pPr>
        <w:pStyle w:val="NormalWeb"/>
        <w:tabs>
          <w:tab w:val="left" w:pos="7938"/>
        </w:tabs>
        <w:spacing w:before="120" w:beforeAutospacing="0" w:after="120" w:afterAutospacing="0"/>
        <w:ind w:left="1134" w:right="276"/>
        <w:jc w:val="both"/>
      </w:pPr>
    </w:p>
    <w:p w:rsidR="005440BE" w:rsidRPr="005440BE" w:rsidRDefault="005440BE" w:rsidP="009408D2">
      <w:pPr>
        <w:numPr>
          <w:ilvl w:val="0"/>
          <w:numId w:val="2"/>
        </w:numPr>
        <w:spacing w:line="360" w:lineRule="auto"/>
        <w:ind w:left="0" w:right="276" w:firstLine="0"/>
        <w:jc w:val="both"/>
      </w:pPr>
      <w:r w:rsidRPr="005440BE">
        <w:rPr>
          <w:rFonts w:ascii="Palatino Linotype" w:hAnsi="Palatino Linotype"/>
          <w:color w:val="000000"/>
        </w:rPr>
        <w:t>Asimismo, resulta aplicable el contenido del criterio de interpretación 01/19 emitido por el Instituto Nacional de Transparencia, Acceso a la Información, y Protección de Datos Personales, INAI, que lleva por rubro y texto los siguientes:</w:t>
      </w:r>
    </w:p>
    <w:p w:rsidR="005440BE" w:rsidRPr="005440BE" w:rsidRDefault="005440BE" w:rsidP="009408D2">
      <w:pPr>
        <w:spacing w:line="360" w:lineRule="auto"/>
        <w:ind w:right="276"/>
        <w:jc w:val="both"/>
      </w:pPr>
    </w:p>
    <w:p w:rsidR="005440BE" w:rsidRDefault="005440BE" w:rsidP="009408D2">
      <w:pPr>
        <w:pStyle w:val="NormalWeb"/>
        <w:spacing w:before="0" w:beforeAutospacing="0" w:after="0" w:afterAutospacing="0"/>
        <w:ind w:left="1134" w:right="1127"/>
        <w:jc w:val="both"/>
        <w:rPr>
          <w:rFonts w:ascii="Palatino Linotype" w:hAnsi="Palatino Linotype"/>
          <w:i/>
          <w:iCs/>
          <w:color w:val="000000"/>
          <w:sz w:val="22"/>
          <w:szCs w:val="22"/>
        </w:rPr>
      </w:pPr>
      <w:r>
        <w:rPr>
          <w:rFonts w:ascii="Palatino Linotype" w:hAnsi="Palatino Linotype"/>
          <w:b/>
          <w:bCs/>
          <w:i/>
          <w:iCs/>
          <w:color w:val="000000"/>
          <w:sz w:val="22"/>
          <w:szCs w:val="22"/>
        </w:rPr>
        <w:t>“Datos de identificación del representante o apoderado legal.</w:t>
      </w:r>
      <w:r>
        <w:rPr>
          <w:rFonts w:ascii="Palatino Linotype" w:hAnsi="Palatino Linotype"/>
          <w:i/>
          <w:iCs/>
          <w:color w:val="000000"/>
          <w:sz w:val="22"/>
          <w:szCs w:val="22"/>
        </w:rPr>
        <w:t xml:space="preserve"> </w:t>
      </w:r>
      <w:r>
        <w:rPr>
          <w:rFonts w:ascii="Palatino Linotype" w:hAnsi="Palatino Linotype"/>
          <w:b/>
          <w:bCs/>
          <w:i/>
          <w:iCs/>
          <w:color w:val="000000"/>
          <w:sz w:val="22"/>
          <w:szCs w:val="22"/>
        </w:rPr>
        <w:t xml:space="preserve">Naturaleza jurídica. </w:t>
      </w:r>
      <w:r>
        <w:rPr>
          <w:rFonts w:ascii="Palatino Linotype" w:hAnsi="Palatino Linotype"/>
          <w:i/>
          <w:iCs/>
          <w:color w:val="000000"/>
          <w:sz w:val="22"/>
          <w:szCs w:val="22"/>
        </w:rPr>
        <w:t xml:space="preserve">El nombre, la firma y la rúbrica de una persona física, que actúe como representante o apoderado legal de un tercero que haya celebrado un acto jurídico, con algún sujeto obligado, </w:t>
      </w:r>
      <w:r>
        <w:rPr>
          <w:rFonts w:ascii="Palatino Linotype" w:hAnsi="Palatino Linotype"/>
          <w:b/>
          <w:bCs/>
          <w:i/>
          <w:iCs/>
          <w:color w:val="000000"/>
          <w:sz w:val="22"/>
          <w:szCs w:val="22"/>
        </w:rPr>
        <w:t>es información pública, en razón de que tales datos fueron proporcionados con el objeto de expresar el consentimiento obligacional del tercero y otorgar validez a dicho instrumento jurídico</w:t>
      </w:r>
      <w:r>
        <w:rPr>
          <w:rFonts w:ascii="Palatino Linotype" w:hAnsi="Palatino Linotype"/>
          <w:i/>
          <w:iCs/>
          <w:color w:val="000000"/>
          <w:sz w:val="22"/>
          <w:szCs w:val="22"/>
        </w:rPr>
        <w:t>.”</w:t>
      </w:r>
    </w:p>
    <w:p w:rsidR="005440BE" w:rsidRDefault="005440BE" w:rsidP="009408D2">
      <w:pPr>
        <w:pStyle w:val="NormalWeb"/>
        <w:spacing w:before="0" w:beforeAutospacing="0" w:after="0" w:afterAutospacing="0"/>
        <w:ind w:right="276"/>
        <w:jc w:val="both"/>
      </w:pPr>
    </w:p>
    <w:p w:rsidR="005440BE" w:rsidRPr="005440BE" w:rsidRDefault="005440BE" w:rsidP="009408D2">
      <w:pPr>
        <w:numPr>
          <w:ilvl w:val="0"/>
          <w:numId w:val="2"/>
        </w:numPr>
        <w:spacing w:line="360" w:lineRule="auto"/>
        <w:ind w:left="0" w:right="276" w:firstLine="0"/>
        <w:jc w:val="both"/>
        <w:rPr>
          <w:rFonts w:ascii="Palatino Linotype" w:eastAsia="Palatino Linotype" w:hAnsi="Palatino Linotype" w:cs="Palatino Linotype"/>
        </w:rPr>
      </w:pPr>
      <w:r w:rsidRPr="005440BE">
        <w:rPr>
          <w:rFonts w:ascii="Palatino Linotype" w:hAnsi="Palatino Linotype"/>
          <w:color w:val="000000"/>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rsidR="005440BE" w:rsidRPr="005440BE" w:rsidRDefault="005440BE" w:rsidP="009408D2">
      <w:pPr>
        <w:spacing w:line="360" w:lineRule="auto"/>
        <w:ind w:right="276"/>
        <w:jc w:val="both"/>
        <w:rPr>
          <w:rFonts w:ascii="Palatino Linotype" w:eastAsia="Palatino Linotype" w:hAnsi="Palatino Linotype" w:cs="Palatino Linotype"/>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r w:rsidR="005440BE">
        <w:rPr>
          <w:rFonts w:ascii="Palatino Linotype" w:eastAsia="Palatino Linotype" w:hAnsi="Palatino Linotype" w:cs="Palatino Linotype"/>
        </w:rPr>
        <w:t>.</w:t>
      </w:r>
    </w:p>
    <w:p w:rsidR="005440BE" w:rsidRDefault="005440BE" w:rsidP="009408D2">
      <w:pPr>
        <w:spacing w:line="360" w:lineRule="auto"/>
        <w:ind w:right="276"/>
        <w:jc w:val="both"/>
        <w:rPr>
          <w:rFonts w:ascii="Palatino Linotype" w:eastAsia="Palatino Linotype" w:hAnsi="Palatino Linotype" w:cs="Palatino Linotype"/>
        </w:rPr>
      </w:pPr>
    </w:p>
    <w:p w:rsidR="005A5019" w:rsidRDefault="005A5019" w:rsidP="009408D2">
      <w:pPr>
        <w:tabs>
          <w:tab w:val="left" w:pos="284"/>
        </w:tabs>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Derivado de lo establecido en párrafos anteriores,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5A5019" w:rsidRDefault="005A5019" w:rsidP="009408D2">
      <w:pPr>
        <w:spacing w:line="360" w:lineRule="auto"/>
        <w:ind w:right="276"/>
        <w:jc w:val="both"/>
        <w:rPr>
          <w:rFonts w:ascii="Palatino Linotype" w:eastAsia="Palatino Linotype" w:hAnsi="Palatino Linotype" w:cs="Palatino Linotype"/>
          <w:color w:val="000000"/>
        </w:rPr>
      </w:pPr>
    </w:p>
    <w:p w:rsidR="005A5019" w:rsidRDefault="00B20CBD" w:rsidP="009408D2">
      <w:pPr>
        <w:numPr>
          <w:ilvl w:val="0"/>
          <w:numId w:val="7"/>
        </w:num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u w:val="single"/>
        </w:rPr>
        <w:t xml:space="preserve">Conclusión </w:t>
      </w:r>
    </w:p>
    <w:p w:rsidR="00C157E4" w:rsidRPr="00C157E4" w:rsidRDefault="00C157E4" w:rsidP="009408D2">
      <w:pPr>
        <w:pBdr>
          <w:top w:val="nil"/>
          <w:left w:val="nil"/>
          <w:bottom w:val="nil"/>
          <w:right w:val="nil"/>
          <w:between w:val="nil"/>
        </w:pBdr>
        <w:spacing w:line="360" w:lineRule="auto"/>
        <w:ind w:left="1080" w:right="276"/>
        <w:jc w:val="both"/>
        <w:rPr>
          <w:rFonts w:ascii="Palatino Linotype" w:eastAsia="Palatino Linotype" w:hAnsi="Palatino Linotype" w:cs="Palatino Linotype"/>
          <w:b/>
          <w:color w:val="000000"/>
        </w:rPr>
      </w:pPr>
    </w:p>
    <w:p w:rsidR="00C157E4" w:rsidRPr="00C157E4" w:rsidRDefault="00B20CBD" w:rsidP="009408D2">
      <w:pPr>
        <w:numPr>
          <w:ilvl w:val="0"/>
          <w:numId w:val="2"/>
        </w:numPr>
        <w:spacing w:line="360" w:lineRule="auto"/>
        <w:ind w:left="0" w:right="276" w:firstLine="0"/>
        <w:jc w:val="both"/>
        <w:rPr>
          <w:rFonts w:ascii="Palatino Linotype" w:eastAsia="Palatino Linotype" w:hAnsi="Palatino Linotype" w:cs="Palatino Linotype"/>
          <w:b/>
          <w:i/>
        </w:rPr>
      </w:pPr>
      <w:r>
        <w:rPr>
          <w:rFonts w:ascii="Palatino Linotype" w:eastAsia="Palatino Linotype" w:hAnsi="Palatino Linotype" w:cs="Palatino Linotype"/>
        </w:rPr>
        <w:t xml:space="preserve">Así, conforme a lo analizado a lo largo los presentes Considerandos, con fundamento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REVOCAR</w:t>
      </w:r>
      <w:r>
        <w:rPr>
          <w:rFonts w:ascii="Palatino Linotype" w:eastAsia="Palatino Linotype" w:hAnsi="Palatino Linotype" w:cs="Palatino Linotype"/>
          <w:color w:val="000000"/>
        </w:rPr>
        <w:t xml:space="preserve"> las respuestas otorgadas por el Sujeto Obligado, a</w:t>
      </w:r>
      <w:r>
        <w:rPr>
          <w:rFonts w:ascii="Palatino Linotype" w:eastAsia="Palatino Linotype" w:hAnsi="Palatino Linotype" w:cs="Palatino Linotype"/>
        </w:rPr>
        <w:t xml:space="preserve"> las solicitudes de acceso a la información</w:t>
      </w:r>
      <w:r>
        <w:rPr>
          <w:rFonts w:ascii="Palatino Linotype" w:eastAsia="Palatino Linotype" w:hAnsi="Palatino Linotype" w:cs="Palatino Linotype"/>
          <w:b/>
        </w:rPr>
        <w:t xml:space="preserve"> </w:t>
      </w:r>
      <w:r w:rsidR="00C157E4" w:rsidRPr="00C157E4">
        <w:rPr>
          <w:rFonts w:ascii="Palatino Linotype" w:eastAsia="Palatino Linotype" w:hAnsi="Palatino Linotype" w:cs="Palatino Linotype"/>
          <w:b/>
        </w:rPr>
        <w:t xml:space="preserve">00238/SMOV/IP/2024 </w:t>
      </w:r>
      <w:r w:rsidR="00C157E4">
        <w:rPr>
          <w:rFonts w:ascii="Palatino Linotype" w:eastAsia="Palatino Linotype" w:hAnsi="Palatino Linotype" w:cs="Palatino Linotype"/>
          <w:b/>
        </w:rPr>
        <w:t xml:space="preserve">y </w:t>
      </w:r>
      <w:r w:rsidR="00C157E4" w:rsidRPr="00C157E4">
        <w:rPr>
          <w:rFonts w:ascii="Palatino Linotype" w:eastAsia="Palatino Linotype" w:hAnsi="Palatino Linotype" w:cs="Palatino Linotype"/>
          <w:b/>
        </w:rPr>
        <w:t>00237/SMOV/IP/2024</w:t>
      </w:r>
      <w:r w:rsidR="00C157E4">
        <w:rPr>
          <w:rFonts w:ascii="Palatino Linotype" w:eastAsia="Palatino Linotype" w:hAnsi="Palatino Linotype" w:cs="Palatino Linotype"/>
          <w:b/>
        </w:rPr>
        <w:t xml:space="preserve"> y </w:t>
      </w:r>
      <w:r w:rsidR="00C157E4" w:rsidRPr="0065770A">
        <w:rPr>
          <w:rFonts w:ascii="Palatino Linotype" w:eastAsia="Palatino Linotype" w:hAnsi="Palatino Linotype" w:cs="Palatino Linotype"/>
          <w:b/>
        </w:rPr>
        <w:t>ordenar la entrega</w:t>
      </w:r>
      <w:r w:rsidR="00C157E4" w:rsidRPr="0065770A">
        <w:rPr>
          <w:rFonts w:ascii="Palatino Linotype" w:hAnsi="Palatino Linotype"/>
          <w:color w:val="000000"/>
        </w:rPr>
        <w:t xml:space="preserve"> de las facturas pagadas, acompañadas del documento </w:t>
      </w:r>
      <w:r w:rsidR="00C157E4">
        <w:rPr>
          <w:rFonts w:ascii="Palatino Linotype" w:hAnsi="Palatino Linotype"/>
          <w:color w:val="000000"/>
        </w:rPr>
        <w:t>soporte</w:t>
      </w:r>
      <w:r w:rsidR="00C157E4" w:rsidRPr="0065770A">
        <w:rPr>
          <w:rFonts w:ascii="Palatino Linotype" w:hAnsi="Palatino Linotype"/>
          <w:color w:val="000000"/>
        </w:rPr>
        <w:t xml:space="preserve"> (transferencia, póliza, cheque) que </w:t>
      </w:r>
      <w:r w:rsidR="00C157E4">
        <w:rPr>
          <w:rFonts w:ascii="Palatino Linotype" w:hAnsi="Palatino Linotype"/>
          <w:color w:val="000000"/>
        </w:rPr>
        <w:t>dé</w:t>
      </w:r>
      <w:r w:rsidR="00C157E4" w:rsidRPr="0065770A">
        <w:rPr>
          <w:rFonts w:ascii="Palatino Linotype" w:hAnsi="Palatino Linotype"/>
          <w:color w:val="000000"/>
        </w:rPr>
        <w:t xml:space="preserve"> cuenta del pago realizado a cualquier servidor público, proveedor o servicio, generados en los meses de </w:t>
      </w:r>
      <w:r w:rsidR="00C157E4">
        <w:rPr>
          <w:rFonts w:ascii="Palatino Linotype" w:hAnsi="Palatino Linotype"/>
          <w:color w:val="000000"/>
        </w:rPr>
        <w:t>septiembre y octubre</w:t>
      </w:r>
      <w:r w:rsidR="00C157E4" w:rsidRPr="0065770A">
        <w:rPr>
          <w:rFonts w:ascii="Palatino Linotype" w:hAnsi="Palatino Linotype"/>
          <w:color w:val="000000"/>
        </w:rPr>
        <w:t xml:space="preserve"> de 2023, de ser necesario en versión pública.</w:t>
      </w:r>
    </w:p>
    <w:p w:rsidR="005A5019" w:rsidRDefault="005A5019" w:rsidP="009408D2">
      <w:pPr>
        <w:pBdr>
          <w:top w:val="nil"/>
          <w:left w:val="nil"/>
          <w:bottom w:val="nil"/>
          <w:right w:val="nil"/>
          <w:between w:val="nil"/>
        </w:pBdr>
        <w:ind w:left="720" w:right="276"/>
        <w:rPr>
          <w:rFonts w:ascii="Palatino Linotype" w:eastAsia="Palatino Linotype" w:hAnsi="Palatino Linotype" w:cs="Palatino Linotype"/>
          <w:color w:val="000000"/>
        </w:rPr>
      </w:pPr>
    </w:p>
    <w:p w:rsidR="00C157E4" w:rsidRDefault="00C157E4" w:rsidP="009408D2">
      <w:pPr>
        <w:numPr>
          <w:ilvl w:val="0"/>
          <w:numId w:val="2"/>
        </w:numPr>
        <w:spacing w:line="360" w:lineRule="auto"/>
        <w:ind w:left="0" w:right="276" w:firstLine="0"/>
        <w:jc w:val="both"/>
        <w:rPr>
          <w:rFonts w:ascii="Palatino Linotype" w:eastAsia="Palatino Linotype" w:hAnsi="Palatino Linotype" w:cs="Palatino Linotype"/>
        </w:rPr>
      </w:pPr>
      <w:r>
        <w:rPr>
          <w:rFonts w:ascii="Palatino Linotype" w:eastAsia="Palatino Linotype" w:hAnsi="Palatino Linotype" w:cs="Palatino Linotype"/>
        </w:rPr>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5A5019" w:rsidRDefault="005A5019" w:rsidP="009408D2">
      <w:pPr>
        <w:spacing w:line="360" w:lineRule="auto"/>
        <w:ind w:right="276"/>
        <w:rPr>
          <w:rFonts w:ascii="Palatino Linotype" w:eastAsia="Palatino Linotype" w:hAnsi="Palatino Linotype" w:cs="Palatino Linotype"/>
        </w:rPr>
      </w:pPr>
    </w:p>
    <w:p w:rsidR="005A5019" w:rsidRDefault="00B20CBD" w:rsidP="009408D2">
      <w:pPr>
        <w:spacing w:line="360" w:lineRule="auto"/>
        <w:ind w:right="276"/>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R E S U E L V E</w:t>
      </w:r>
    </w:p>
    <w:p w:rsidR="005A5019" w:rsidRDefault="005A5019" w:rsidP="009408D2">
      <w:pPr>
        <w:spacing w:line="360" w:lineRule="auto"/>
        <w:ind w:right="276"/>
        <w:jc w:val="center"/>
        <w:rPr>
          <w:rFonts w:ascii="Palatino Linotype" w:eastAsia="Palatino Linotype" w:hAnsi="Palatino Linotype" w:cs="Palatino Linotype"/>
          <w:b/>
        </w:rPr>
      </w:pPr>
    </w:p>
    <w:p w:rsidR="005A5019" w:rsidRDefault="00B20CBD" w:rsidP="009408D2">
      <w:pPr>
        <w:spacing w:line="360" w:lineRule="auto"/>
        <w:ind w:right="276"/>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los Recursos de Revisión </w:t>
      </w:r>
      <w:r w:rsidR="00193AE9">
        <w:rPr>
          <w:rFonts w:ascii="Palatino Linotype" w:eastAsia="Palatino Linotype" w:hAnsi="Palatino Linotype" w:cs="Palatino Linotype"/>
          <w:b/>
        </w:rPr>
        <w:t xml:space="preserve">03293/INFOEM/IP/RR/2024 </w:t>
      </w:r>
      <w:r w:rsidR="00382605" w:rsidRPr="00382605">
        <w:rPr>
          <w:rFonts w:ascii="Palatino Linotype" w:eastAsia="Palatino Linotype" w:hAnsi="Palatino Linotype" w:cs="Palatino Linotype"/>
          <w:b/>
        </w:rPr>
        <w:t>y 03294/INFOEM/IP/RR/2024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spacing w:line="360" w:lineRule="auto"/>
        <w:ind w:right="276"/>
        <w:jc w:val="both"/>
        <w:rPr>
          <w:rFonts w:ascii="Palatino Linotype" w:eastAsia="Palatino Linotype" w:hAnsi="Palatino Linotype" w:cs="Palatino Linotype"/>
          <w:color w:val="000000"/>
        </w:rPr>
      </w:pPr>
      <w:bookmarkStart w:id="8" w:name="_heading=h.1ksv4uv"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REVOCA</w:t>
      </w:r>
      <w:r w:rsidR="00382605">
        <w:rPr>
          <w:rFonts w:ascii="Palatino Linotype" w:eastAsia="Palatino Linotype" w:hAnsi="Palatino Linotype" w:cs="Palatino Linotype"/>
          <w:b/>
          <w:color w:val="000000"/>
        </w:rPr>
        <w:t>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w:t>
      </w:r>
      <w:r w:rsidR="0038260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respuesta</w:t>
      </w:r>
      <w:r w:rsidR="0038260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emitida</w:t>
      </w:r>
      <w:r w:rsidR="0038260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por </w:t>
      </w:r>
      <w:r w:rsidR="00382605">
        <w:rPr>
          <w:rFonts w:ascii="Palatino Linotype" w:eastAsia="Palatino Linotype" w:hAnsi="Palatino Linotype" w:cs="Palatino Linotype"/>
          <w:color w:val="000000"/>
        </w:rPr>
        <w:t xml:space="preserve">la </w:t>
      </w:r>
      <w:r w:rsidR="00382605" w:rsidRPr="00382605">
        <w:rPr>
          <w:rFonts w:ascii="Palatino Linotype" w:eastAsia="Palatino Linotype" w:hAnsi="Palatino Linotype" w:cs="Palatino Linotype"/>
          <w:b/>
          <w:bCs/>
          <w:color w:val="000000"/>
        </w:rPr>
        <w:t>Secretaría de Movilidad</w:t>
      </w:r>
      <w:r>
        <w:rPr>
          <w:rFonts w:ascii="Palatino Linotype" w:eastAsia="Palatino Linotype" w:hAnsi="Palatino Linotype" w:cs="Palatino Linotype"/>
          <w:color w:val="000000"/>
        </w:rPr>
        <w:t xml:space="preserve">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versión pública</w:t>
      </w:r>
      <w:r>
        <w:rPr>
          <w:rFonts w:ascii="Palatino Linotype" w:eastAsia="Palatino Linotype" w:hAnsi="Palatino Linotype" w:cs="Palatino Linotype"/>
          <w:color w:val="000000"/>
        </w:rPr>
        <w:t>, la siguiente información:</w:t>
      </w:r>
    </w:p>
    <w:p w:rsidR="005A5019" w:rsidRDefault="005A5019" w:rsidP="009408D2">
      <w:pPr>
        <w:spacing w:line="360" w:lineRule="auto"/>
        <w:ind w:right="276"/>
        <w:jc w:val="both"/>
        <w:rPr>
          <w:rFonts w:ascii="Palatino Linotype" w:eastAsia="Palatino Linotype" w:hAnsi="Palatino Linotype" w:cs="Palatino Linotype"/>
          <w:color w:val="000000"/>
        </w:rPr>
      </w:pPr>
    </w:p>
    <w:p w:rsidR="005A5019" w:rsidRPr="00382605" w:rsidRDefault="00382605" w:rsidP="009408D2">
      <w:pPr>
        <w:numPr>
          <w:ilvl w:val="0"/>
          <w:numId w:val="11"/>
        </w:numPr>
        <w:pBdr>
          <w:top w:val="nil"/>
          <w:left w:val="nil"/>
          <w:bottom w:val="nil"/>
          <w:right w:val="nil"/>
          <w:between w:val="nil"/>
        </w:pBdr>
        <w:spacing w:line="360" w:lineRule="auto"/>
        <w:ind w:left="993" w:right="276"/>
        <w:jc w:val="both"/>
        <w:rPr>
          <w:rFonts w:ascii="Palatino Linotype" w:eastAsia="Palatino Linotype" w:hAnsi="Palatino Linotype" w:cs="Palatino Linotype"/>
          <w:color w:val="000000"/>
        </w:rPr>
      </w:pPr>
      <w:r w:rsidRPr="00382605">
        <w:rPr>
          <w:rFonts w:ascii="Palatino Linotype" w:eastAsia="Palatino Linotype" w:hAnsi="Palatino Linotype" w:cs="Palatino Linotype"/>
          <w:color w:val="000000"/>
          <w:lang w:val="es-ES"/>
        </w:rPr>
        <w:t xml:space="preserve">Las facturas pagadas, acompañadas del documento </w:t>
      </w:r>
      <w:r>
        <w:rPr>
          <w:rFonts w:ascii="Palatino Linotype" w:eastAsia="Palatino Linotype" w:hAnsi="Palatino Linotype" w:cs="Palatino Linotype"/>
          <w:color w:val="000000"/>
          <w:lang w:val="es-ES"/>
        </w:rPr>
        <w:t>soporte</w:t>
      </w:r>
      <w:r w:rsidRPr="00382605">
        <w:rPr>
          <w:rFonts w:ascii="Palatino Linotype" w:eastAsia="Palatino Linotype" w:hAnsi="Palatino Linotype" w:cs="Palatino Linotype"/>
          <w:color w:val="000000"/>
          <w:lang w:val="es-ES"/>
        </w:rPr>
        <w:t xml:space="preserve"> (transferencia, póliza, cheque) que dé cuenta del pago realizado a cualquier servidor público, proveedor o servicio, generados en los meses de </w:t>
      </w:r>
      <w:r>
        <w:rPr>
          <w:rFonts w:ascii="Palatino Linotype" w:eastAsia="Palatino Linotype" w:hAnsi="Palatino Linotype" w:cs="Palatino Linotype"/>
          <w:color w:val="000000"/>
          <w:lang w:val="es-ES"/>
        </w:rPr>
        <w:t>septiembre y octubre</w:t>
      </w:r>
      <w:r w:rsidRPr="00382605">
        <w:rPr>
          <w:rFonts w:ascii="Palatino Linotype" w:eastAsia="Palatino Linotype" w:hAnsi="Palatino Linotype" w:cs="Palatino Linotype"/>
          <w:color w:val="000000"/>
          <w:lang w:val="es-ES"/>
        </w:rPr>
        <w:t xml:space="preserve"> de 2023</w:t>
      </w:r>
      <w:r w:rsidR="00B20CBD" w:rsidRPr="00382605">
        <w:rPr>
          <w:rFonts w:ascii="Palatino Linotype" w:eastAsia="Palatino Linotype" w:hAnsi="Palatino Linotype" w:cs="Palatino Linotype"/>
          <w:color w:val="000000"/>
        </w:rPr>
        <w:t>.</w:t>
      </w:r>
    </w:p>
    <w:p w:rsidR="005A5019" w:rsidRDefault="005A5019" w:rsidP="009408D2">
      <w:pPr>
        <w:spacing w:line="360" w:lineRule="auto"/>
        <w:ind w:right="276"/>
        <w:jc w:val="both"/>
        <w:rPr>
          <w:rFonts w:ascii="Palatino Linotype" w:eastAsia="Palatino Linotype" w:hAnsi="Palatino Linotype" w:cs="Palatino Linotype"/>
          <w:b/>
          <w:color w:val="000000"/>
        </w:rPr>
      </w:pPr>
    </w:p>
    <w:p w:rsidR="005A5019" w:rsidRDefault="00B20CBD" w:rsidP="009408D2">
      <w:pPr>
        <w:spacing w:line="360" w:lineRule="auto"/>
        <w:ind w:right="276"/>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rsidR="005A5019" w:rsidRDefault="005A5019" w:rsidP="009408D2">
      <w:pPr>
        <w:spacing w:line="360" w:lineRule="auto"/>
        <w:ind w:right="276"/>
        <w:jc w:val="both"/>
        <w:rPr>
          <w:rFonts w:ascii="Palatino Linotype" w:eastAsia="Palatino Linotype" w:hAnsi="Palatino Linotype" w:cs="Palatino Linotype"/>
          <w:b/>
        </w:rPr>
      </w:pPr>
    </w:p>
    <w:p w:rsidR="005A5019" w:rsidRDefault="00B20CBD" w:rsidP="009408D2">
      <w:pPr>
        <w:spacing w:line="360" w:lineRule="auto"/>
        <w:ind w:right="276"/>
        <w:jc w:val="both"/>
        <w:rPr>
          <w:rFonts w:ascii="Palatino Linotype" w:eastAsia="Palatino Linotype" w:hAnsi="Palatino Linotype" w:cs="Palatino Linotype"/>
          <w:color w:val="222222"/>
        </w:rPr>
      </w:pPr>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A5019" w:rsidRDefault="005A5019" w:rsidP="009408D2">
      <w:pPr>
        <w:spacing w:line="360" w:lineRule="auto"/>
        <w:ind w:right="276"/>
        <w:jc w:val="both"/>
        <w:rPr>
          <w:rFonts w:ascii="Palatino Linotype" w:eastAsia="Palatino Linotype" w:hAnsi="Palatino Linotype" w:cs="Palatino Linotype"/>
          <w:color w:val="222222"/>
        </w:rPr>
      </w:pPr>
    </w:p>
    <w:p w:rsidR="005A5019" w:rsidRDefault="00B20CBD" w:rsidP="009408D2">
      <w:pPr>
        <w:spacing w:line="360" w:lineRule="auto"/>
        <w:ind w:right="276"/>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B20CBD" w:rsidP="009408D2">
      <w:pPr>
        <w:tabs>
          <w:tab w:val="left" w:pos="8080"/>
        </w:tabs>
        <w:spacing w:line="360" w:lineRule="auto"/>
        <w:ind w:right="276"/>
        <w:jc w:val="both"/>
        <w:rPr>
          <w:rFonts w:ascii="Palatino Linotype" w:eastAsia="Palatino Linotype" w:hAnsi="Palatino Linotype" w:cs="Palatino Linotype"/>
        </w:rPr>
      </w:pPr>
      <w:bookmarkStart w:id="9" w:name="_heading=h.3rdcrjn" w:colFirst="0" w:colLast="0"/>
      <w:bookmarkEnd w:id="9"/>
      <w:r>
        <w:rPr>
          <w:rFonts w:ascii="Palatino Linotype" w:eastAsia="Palatino Linotype" w:hAnsi="Palatino Linotype" w:cs="Palatino Linotype"/>
          <w:b/>
        </w:rPr>
        <w:t xml:space="preserve">QUINTO.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rPr>
        <w:t>.</w:t>
      </w:r>
    </w:p>
    <w:p w:rsidR="005A5019" w:rsidRDefault="005A5019" w:rsidP="009408D2">
      <w:pPr>
        <w:tabs>
          <w:tab w:val="left" w:pos="8080"/>
        </w:tabs>
        <w:spacing w:line="360" w:lineRule="auto"/>
        <w:ind w:right="276"/>
        <w:jc w:val="both"/>
        <w:rPr>
          <w:rFonts w:ascii="Palatino Linotype" w:eastAsia="Palatino Linotype" w:hAnsi="Palatino Linotype" w:cs="Palatino Linotype"/>
        </w:rPr>
      </w:pPr>
    </w:p>
    <w:p w:rsidR="005A5019" w:rsidRDefault="00B20CBD" w:rsidP="009408D2">
      <w:pPr>
        <w:shd w:val="clear" w:color="auto" w:fill="FFFFFF"/>
        <w:spacing w:line="360" w:lineRule="auto"/>
        <w:ind w:right="27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SEXTO.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EA3862" w:rsidRPr="003C7186" w:rsidRDefault="00EA3862" w:rsidP="00EA3862">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bookmarkStart w:id="10" w:name="_GoBack"/>
      <w:bookmarkEnd w:id="10"/>
    </w:p>
    <w:p w:rsidR="0044096B" w:rsidRDefault="0044096B">
      <w:r>
        <w:br w:type="page"/>
      </w:r>
    </w:p>
    <w:p w:rsidR="00EA3862" w:rsidRPr="00902BA4" w:rsidRDefault="00EA3862" w:rsidP="00EA3862">
      <w:pPr>
        <w:widowControl w:val="0"/>
        <w:autoSpaceDE w:val="0"/>
        <w:autoSpaceDN w:val="0"/>
        <w:adjustRightInd w:val="0"/>
        <w:spacing w:after="200" w:line="276" w:lineRule="auto"/>
        <w:ind w:left="-142" w:right="-234"/>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B20CBD" w:rsidP="009408D2">
      <w:pPr>
        <w:tabs>
          <w:tab w:val="left" w:pos="3374"/>
        </w:tabs>
        <w:spacing w:line="360" w:lineRule="auto"/>
        <w:ind w:right="276"/>
        <w:rPr>
          <w:rFonts w:ascii="Palatino Linotype" w:eastAsia="Palatino Linotype" w:hAnsi="Palatino Linotype" w:cs="Palatino Linotype"/>
        </w:rPr>
      </w:pPr>
      <w:bookmarkStart w:id="11" w:name="_heading=h.lnxbz9" w:colFirst="0" w:colLast="0"/>
      <w:bookmarkEnd w:id="11"/>
      <w:r>
        <w:rPr>
          <w:rFonts w:ascii="Palatino Linotype" w:eastAsia="Palatino Linotype" w:hAnsi="Palatino Linotype" w:cs="Palatino Linotype"/>
        </w:rPr>
        <w:tab/>
      </w:r>
    </w:p>
    <w:sectPr w:rsidR="005A5019">
      <w:headerReference w:type="even" r:id="rId10"/>
      <w:headerReference w:type="default" r:id="rId11"/>
      <w:footerReference w:type="default" r:id="rId12"/>
      <w:headerReference w:type="first" r:id="rId13"/>
      <w:footerReference w:type="first" r:id="rId14"/>
      <w:pgSz w:w="12240" w:h="15840"/>
      <w:pgMar w:top="2268" w:right="1474"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DF3" w:rsidRDefault="00480DF3">
      <w:r>
        <w:separator/>
      </w:r>
    </w:p>
  </w:endnote>
  <w:endnote w:type="continuationSeparator" w:id="0">
    <w:p w:rsidR="00480DF3" w:rsidRDefault="0048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5" w:rsidRDefault="0024578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7085">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7085">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245785" w:rsidRDefault="0024578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5" w:rsidRDefault="0024578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708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7085">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245785" w:rsidRDefault="002457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DF3" w:rsidRDefault="00480DF3">
      <w:r>
        <w:separator/>
      </w:r>
    </w:p>
  </w:footnote>
  <w:footnote w:type="continuationSeparator" w:id="0">
    <w:p w:rsidR="00480DF3" w:rsidRDefault="00480DF3">
      <w:r>
        <w:continuationSeparator/>
      </w:r>
    </w:p>
  </w:footnote>
  <w:footnote w:id="1">
    <w:p w:rsidR="00245785" w:rsidRDefault="0024578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5" w:rsidRDefault="00480DF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5" w:rsidRDefault="00245785">
    <w:pPr>
      <w:widowControl w:val="0"/>
      <w:pBdr>
        <w:top w:val="nil"/>
        <w:left w:val="nil"/>
        <w:bottom w:val="nil"/>
        <w:right w:val="nil"/>
        <w:between w:val="nil"/>
      </w:pBdr>
      <w:spacing w:line="276" w:lineRule="auto"/>
      <w:rPr>
        <w:color w:val="000000"/>
      </w:rPr>
    </w:pPr>
  </w:p>
  <w:tbl>
    <w:tblPr>
      <w:tblStyle w:val="a3"/>
      <w:tblW w:w="7605" w:type="dxa"/>
      <w:tblInd w:w="2552" w:type="dxa"/>
      <w:tblLayout w:type="fixed"/>
      <w:tblLook w:val="0400" w:firstRow="0" w:lastRow="0" w:firstColumn="0" w:lastColumn="0" w:noHBand="0" w:noVBand="1"/>
    </w:tblPr>
    <w:tblGrid>
      <w:gridCol w:w="2970"/>
      <w:gridCol w:w="4635"/>
    </w:tblGrid>
    <w:tr w:rsidR="00245785" w:rsidTr="001F2666">
      <w:trPr>
        <w:trHeight w:val="227"/>
      </w:trPr>
      <w:tc>
        <w:tcPr>
          <w:tcW w:w="2970" w:type="dxa"/>
        </w:tcPr>
        <w:p w:rsidR="00245785" w:rsidRDefault="00245785" w:rsidP="003111A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245785" w:rsidRDefault="00245785" w:rsidP="003111A2">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03293/INFOEM/IP/RR/2024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245785" w:rsidTr="001F2666">
      <w:trPr>
        <w:trHeight w:val="342"/>
      </w:trPr>
      <w:tc>
        <w:tcPr>
          <w:tcW w:w="2970" w:type="dxa"/>
        </w:tcPr>
        <w:p w:rsidR="00245785" w:rsidRDefault="00245785" w:rsidP="003111A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245785" w:rsidRPr="00D738F0" w:rsidRDefault="00245785" w:rsidP="003111A2">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D738F0">
            <w:rPr>
              <w:rFonts w:ascii="Palatino Linotype" w:eastAsia="Palatino Linotype" w:hAnsi="Palatino Linotype" w:cs="Palatino Linotype"/>
              <w:bCs/>
              <w:color w:val="000000"/>
              <w:sz w:val="22"/>
              <w:szCs w:val="22"/>
            </w:rPr>
            <w:t>Secretaría de Movilidad</w:t>
          </w:r>
        </w:p>
      </w:tc>
    </w:tr>
    <w:tr w:rsidR="00245785" w:rsidTr="001F2666">
      <w:trPr>
        <w:trHeight w:val="342"/>
      </w:trPr>
      <w:tc>
        <w:tcPr>
          <w:tcW w:w="2970" w:type="dxa"/>
        </w:tcPr>
        <w:p w:rsidR="00245785" w:rsidRDefault="00245785" w:rsidP="003111A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245785" w:rsidRDefault="00245785" w:rsidP="003111A2">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45785" w:rsidRDefault="00480DF3">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5" w:rsidRDefault="00245785">
    <w:pPr>
      <w:widowControl w:val="0"/>
      <w:pBdr>
        <w:top w:val="nil"/>
        <w:left w:val="nil"/>
        <w:bottom w:val="nil"/>
        <w:right w:val="nil"/>
        <w:between w:val="nil"/>
      </w:pBdr>
      <w:spacing w:line="276" w:lineRule="auto"/>
      <w:rPr>
        <w:color w:val="000000"/>
        <w:sz w:val="14"/>
        <w:szCs w:val="14"/>
      </w:rPr>
    </w:pPr>
  </w:p>
  <w:tbl>
    <w:tblPr>
      <w:tblStyle w:val="a3"/>
      <w:tblW w:w="7605" w:type="dxa"/>
      <w:tblInd w:w="2552" w:type="dxa"/>
      <w:tblLayout w:type="fixed"/>
      <w:tblLook w:val="0400" w:firstRow="0" w:lastRow="0" w:firstColumn="0" w:lastColumn="0" w:noHBand="0" w:noVBand="1"/>
    </w:tblPr>
    <w:tblGrid>
      <w:gridCol w:w="2970"/>
      <w:gridCol w:w="4635"/>
    </w:tblGrid>
    <w:tr w:rsidR="00245785">
      <w:trPr>
        <w:trHeight w:val="227"/>
      </w:trPr>
      <w:tc>
        <w:tcPr>
          <w:tcW w:w="2970" w:type="dxa"/>
        </w:tcPr>
        <w:p w:rsidR="00245785" w:rsidRDefault="002457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245785" w:rsidRDefault="00245785">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03293/INFOEM/IP/RR/2024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245785">
      <w:trPr>
        <w:trHeight w:val="242"/>
      </w:trPr>
      <w:tc>
        <w:tcPr>
          <w:tcW w:w="2970" w:type="dxa"/>
        </w:tcPr>
        <w:p w:rsidR="00245785" w:rsidRDefault="002457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245785" w:rsidRDefault="00245785">
          <w:pPr>
            <w:pBdr>
              <w:top w:val="nil"/>
              <w:left w:val="nil"/>
              <w:bottom w:val="nil"/>
              <w:right w:val="nil"/>
              <w:between w:val="nil"/>
            </w:pBdr>
            <w:tabs>
              <w:tab w:val="right" w:pos="8838"/>
              <w:tab w:val="left" w:pos="521"/>
            </w:tabs>
            <w:ind w:right="-1285"/>
            <w:rPr>
              <w:rFonts w:ascii="Palatino Linotype" w:eastAsia="Palatino Linotype" w:hAnsi="Palatino Linotype" w:cs="Palatino Linotype"/>
              <w:color w:val="000000"/>
              <w:sz w:val="22"/>
              <w:szCs w:val="22"/>
              <w:highlight w:val="green"/>
            </w:rPr>
          </w:pPr>
        </w:p>
      </w:tc>
    </w:tr>
    <w:tr w:rsidR="00245785">
      <w:trPr>
        <w:trHeight w:val="342"/>
      </w:trPr>
      <w:tc>
        <w:tcPr>
          <w:tcW w:w="2970" w:type="dxa"/>
        </w:tcPr>
        <w:p w:rsidR="00245785" w:rsidRDefault="002457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245785" w:rsidRPr="00D738F0" w:rsidRDefault="00245785">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D738F0">
            <w:rPr>
              <w:rFonts w:ascii="Palatino Linotype" w:eastAsia="Palatino Linotype" w:hAnsi="Palatino Linotype" w:cs="Palatino Linotype"/>
              <w:bCs/>
              <w:color w:val="000000"/>
              <w:sz w:val="22"/>
              <w:szCs w:val="22"/>
            </w:rPr>
            <w:t>Secretaría de Movilidad</w:t>
          </w:r>
        </w:p>
      </w:tc>
    </w:tr>
    <w:tr w:rsidR="00245785">
      <w:trPr>
        <w:trHeight w:val="342"/>
      </w:trPr>
      <w:tc>
        <w:tcPr>
          <w:tcW w:w="2970" w:type="dxa"/>
        </w:tcPr>
        <w:p w:rsidR="00245785" w:rsidRDefault="002457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245785" w:rsidRDefault="00245785">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45785" w:rsidRDefault="00480DF3">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B09"/>
    <w:multiLevelType w:val="multilevel"/>
    <w:tmpl w:val="60BEC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E457E"/>
    <w:multiLevelType w:val="multilevel"/>
    <w:tmpl w:val="46BC1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222853"/>
    <w:multiLevelType w:val="multilevel"/>
    <w:tmpl w:val="6A6AF12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23FE1153"/>
    <w:multiLevelType w:val="multilevel"/>
    <w:tmpl w:val="9D460D4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7B764F"/>
    <w:multiLevelType w:val="multilevel"/>
    <w:tmpl w:val="0134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98689F"/>
    <w:multiLevelType w:val="multilevel"/>
    <w:tmpl w:val="E8468C4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nsid w:val="55A61BDA"/>
    <w:multiLevelType w:val="multilevel"/>
    <w:tmpl w:val="862EF8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927477"/>
    <w:multiLevelType w:val="multilevel"/>
    <w:tmpl w:val="8B801E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638F2CBB"/>
    <w:multiLevelType w:val="multilevel"/>
    <w:tmpl w:val="97A86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8F0C67"/>
    <w:multiLevelType w:val="multilevel"/>
    <w:tmpl w:val="1C486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1A5EE3"/>
    <w:multiLevelType w:val="hybridMultilevel"/>
    <w:tmpl w:val="E73EFA9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7AD05162"/>
    <w:multiLevelType w:val="multilevel"/>
    <w:tmpl w:val="DBC23A0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1056EC"/>
    <w:multiLevelType w:val="multilevel"/>
    <w:tmpl w:val="DE04ED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13"/>
  </w:num>
  <w:num w:numId="3">
    <w:abstractNumId w:val="14"/>
  </w:num>
  <w:num w:numId="4">
    <w:abstractNumId w:val="1"/>
  </w:num>
  <w:num w:numId="5">
    <w:abstractNumId w:val="11"/>
  </w:num>
  <w:num w:numId="6">
    <w:abstractNumId w:val="10"/>
  </w:num>
  <w:num w:numId="7">
    <w:abstractNumId w:val="9"/>
  </w:num>
  <w:num w:numId="8">
    <w:abstractNumId w:val="6"/>
  </w:num>
  <w:num w:numId="9">
    <w:abstractNumId w:val="4"/>
  </w:num>
  <w:num w:numId="10">
    <w:abstractNumId w:val="8"/>
  </w:num>
  <w:num w:numId="11">
    <w:abstractNumId w:val="0"/>
  </w:num>
  <w:num w:numId="12">
    <w:abstractNumId w:val="7"/>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19"/>
    <w:rsid w:val="00004BE1"/>
    <w:rsid w:val="000F4190"/>
    <w:rsid w:val="001532BA"/>
    <w:rsid w:val="00193AE9"/>
    <w:rsid w:val="001C4AFC"/>
    <w:rsid w:val="001F2666"/>
    <w:rsid w:val="002057C5"/>
    <w:rsid w:val="00245785"/>
    <w:rsid w:val="00283AFF"/>
    <w:rsid w:val="003111A2"/>
    <w:rsid w:val="00313DB0"/>
    <w:rsid w:val="003344D4"/>
    <w:rsid w:val="00340DDF"/>
    <w:rsid w:val="00382605"/>
    <w:rsid w:val="003E5F5D"/>
    <w:rsid w:val="0044096B"/>
    <w:rsid w:val="00480DF3"/>
    <w:rsid w:val="0048231F"/>
    <w:rsid w:val="00484929"/>
    <w:rsid w:val="005440BE"/>
    <w:rsid w:val="0054732F"/>
    <w:rsid w:val="005632E0"/>
    <w:rsid w:val="005A4FD9"/>
    <w:rsid w:val="005A5019"/>
    <w:rsid w:val="00616FB7"/>
    <w:rsid w:val="00624EB2"/>
    <w:rsid w:val="00624EB9"/>
    <w:rsid w:val="0065770A"/>
    <w:rsid w:val="0067434E"/>
    <w:rsid w:val="00701102"/>
    <w:rsid w:val="0074354B"/>
    <w:rsid w:val="007B0A54"/>
    <w:rsid w:val="007D247B"/>
    <w:rsid w:val="0088771B"/>
    <w:rsid w:val="008C559C"/>
    <w:rsid w:val="009227C6"/>
    <w:rsid w:val="009408D2"/>
    <w:rsid w:val="009810A9"/>
    <w:rsid w:val="009B5316"/>
    <w:rsid w:val="009D7D1B"/>
    <w:rsid w:val="009F30F5"/>
    <w:rsid w:val="00A06308"/>
    <w:rsid w:val="00B20CBD"/>
    <w:rsid w:val="00B730CA"/>
    <w:rsid w:val="00C01CE4"/>
    <w:rsid w:val="00C157E4"/>
    <w:rsid w:val="00C27A80"/>
    <w:rsid w:val="00C43B57"/>
    <w:rsid w:val="00C50576"/>
    <w:rsid w:val="00CB7085"/>
    <w:rsid w:val="00CC76E7"/>
    <w:rsid w:val="00CF0F0C"/>
    <w:rsid w:val="00D1368D"/>
    <w:rsid w:val="00D14F0B"/>
    <w:rsid w:val="00D209B7"/>
    <w:rsid w:val="00D633FB"/>
    <w:rsid w:val="00D738F0"/>
    <w:rsid w:val="00DB14C7"/>
    <w:rsid w:val="00DB4D45"/>
    <w:rsid w:val="00DD37A5"/>
    <w:rsid w:val="00DD6C13"/>
    <w:rsid w:val="00DF7389"/>
    <w:rsid w:val="00E200D5"/>
    <w:rsid w:val="00EA3862"/>
    <w:rsid w:val="00EE7D39"/>
    <w:rsid w:val="00F033F6"/>
    <w:rsid w:val="00F12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FBB8D0-43B2-4CB7-9170-E4C32BC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rsid w:val="0048231F"/>
    <w:pPr>
      <w:spacing w:before="100" w:beforeAutospacing="1" w:after="100" w:afterAutospacing="1"/>
    </w:pPr>
    <w:rPr>
      <w:rFonts w:ascii="Times New Roman" w:eastAsia="Times New Roman" w:hAnsi="Times New Roman" w:cs="Times New Roman"/>
      <w:lang w:val="es-ES" w:eastAsia="es-MX"/>
    </w:rPr>
  </w:style>
  <w:style w:type="paragraph" w:styleId="Listaconvietas3">
    <w:name w:val="List Bullet 3"/>
    <w:basedOn w:val="Normal"/>
    <w:uiPriority w:val="99"/>
    <w:unhideWhenUsed/>
    <w:rsid w:val="0048231F"/>
    <w:pPr>
      <w:numPr>
        <w:numId w:val="14"/>
      </w:numPr>
      <w:contextualSpacing/>
    </w:pPr>
    <w:rPr>
      <w:rFonts w:ascii="Times New Roman" w:eastAsia="Times New Roman" w:hAnsi="Times New Roman" w:cs="Times New Roman"/>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12153">
      <w:bodyDiv w:val="1"/>
      <w:marLeft w:val="0"/>
      <w:marRight w:val="0"/>
      <w:marTop w:val="0"/>
      <w:marBottom w:val="0"/>
      <w:divBdr>
        <w:top w:val="none" w:sz="0" w:space="0" w:color="auto"/>
        <w:left w:val="none" w:sz="0" w:space="0" w:color="auto"/>
        <w:bottom w:val="none" w:sz="0" w:space="0" w:color="auto"/>
        <w:right w:val="none" w:sz="0" w:space="0" w:color="auto"/>
      </w:divBdr>
    </w:div>
    <w:div w:id="877737301">
      <w:bodyDiv w:val="1"/>
      <w:marLeft w:val="0"/>
      <w:marRight w:val="0"/>
      <w:marTop w:val="0"/>
      <w:marBottom w:val="0"/>
      <w:divBdr>
        <w:top w:val="none" w:sz="0" w:space="0" w:color="auto"/>
        <w:left w:val="none" w:sz="0" w:space="0" w:color="auto"/>
        <w:bottom w:val="none" w:sz="0" w:space="0" w:color="auto"/>
        <w:right w:val="none" w:sz="0" w:space="0" w:color="auto"/>
      </w:divBdr>
    </w:div>
    <w:div w:id="1061322301">
      <w:bodyDiv w:val="1"/>
      <w:marLeft w:val="0"/>
      <w:marRight w:val="0"/>
      <w:marTop w:val="0"/>
      <w:marBottom w:val="0"/>
      <w:divBdr>
        <w:top w:val="none" w:sz="0" w:space="0" w:color="auto"/>
        <w:left w:val="none" w:sz="0" w:space="0" w:color="auto"/>
        <w:bottom w:val="none" w:sz="0" w:space="0" w:color="auto"/>
        <w:right w:val="none" w:sz="0" w:space="0" w:color="auto"/>
      </w:divBdr>
    </w:div>
    <w:div w:id="1488472333">
      <w:bodyDiv w:val="1"/>
      <w:marLeft w:val="0"/>
      <w:marRight w:val="0"/>
      <w:marTop w:val="0"/>
      <w:marBottom w:val="0"/>
      <w:divBdr>
        <w:top w:val="none" w:sz="0" w:space="0" w:color="auto"/>
        <w:left w:val="none" w:sz="0" w:space="0" w:color="auto"/>
        <w:bottom w:val="none" w:sz="0" w:space="0" w:color="auto"/>
        <w:right w:val="none" w:sz="0" w:space="0" w:color="auto"/>
      </w:divBdr>
    </w:div>
    <w:div w:id="1534073863">
      <w:bodyDiv w:val="1"/>
      <w:marLeft w:val="0"/>
      <w:marRight w:val="0"/>
      <w:marTop w:val="0"/>
      <w:marBottom w:val="0"/>
      <w:divBdr>
        <w:top w:val="none" w:sz="0" w:space="0" w:color="auto"/>
        <w:left w:val="none" w:sz="0" w:space="0" w:color="auto"/>
        <w:bottom w:val="none" w:sz="0" w:space="0" w:color="auto"/>
        <w:right w:val="none" w:sz="0" w:space="0" w:color="auto"/>
      </w:divBdr>
    </w:div>
    <w:div w:id="1644263850">
      <w:bodyDiv w:val="1"/>
      <w:marLeft w:val="0"/>
      <w:marRight w:val="0"/>
      <w:marTop w:val="0"/>
      <w:marBottom w:val="0"/>
      <w:divBdr>
        <w:top w:val="none" w:sz="0" w:space="0" w:color="auto"/>
        <w:left w:val="none" w:sz="0" w:space="0" w:color="auto"/>
        <w:bottom w:val="none" w:sz="0" w:space="0" w:color="auto"/>
        <w:right w:val="none" w:sz="0" w:space="0" w:color="auto"/>
      </w:divBdr>
    </w:div>
    <w:div w:id="184150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pya.edomexico.gob.mx/recaudac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2Zm635OkPrlQGeAX/kX4zPC0w==">CgMxLjAyCGguZ2pkZ3hzMgloLjMwajB6bGwyCWguMWZvYjl0ZTIJaC4zem55c2g3MgloLjJldDkycDAyCGgudHlqY3d0MgloLjNkeTZ2a20yCWguMXQzaDVzZjIJaC4yNmluMXJnMgloLjFrc3Y0dXYyCWguM3JkY3JqbjIIaC5sbnhiejk4AHIhMW5KdVVXYWhWWF81WC00MWJsTjJKd1dCRmNuSURsX0tS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35</Pages>
  <Words>8093</Words>
  <Characters>44517</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54</cp:revision>
  <cp:lastPrinted>2024-11-14T23:36:00Z</cp:lastPrinted>
  <dcterms:created xsi:type="dcterms:W3CDTF">2024-11-06T19:00:00Z</dcterms:created>
  <dcterms:modified xsi:type="dcterms:W3CDTF">2024-11-14T23:36:00Z</dcterms:modified>
</cp:coreProperties>
</file>