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FCF" w:rsidRDefault="00863FCF">
      <w:pPr>
        <w:widowControl w:val="0"/>
        <w:pBdr>
          <w:top w:val="nil"/>
          <w:left w:val="nil"/>
          <w:bottom w:val="nil"/>
          <w:right w:val="nil"/>
          <w:between w:val="nil"/>
        </w:pBdr>
        <w:spacing w:line="276" w:lineRule="auto"/>
      </w:pPr>
    </w:p>
    <w:p w:rsidR="00863FCF" w:rsidRDefault="00863FCF">
      <w:pPr>
        <w:spacing w:line="360" w:lineRule="auto"/>
        <w:jc w:val="both"/>
        <w:rPr>
          <w:rFonts w:ascii="Palatino Linotype" w:eastAsia="Palatino Linotype" w:hAnsi="Palatino Linotype" w:cs="Palatino Linotype"/>
          <w:sz w:val="22"/>
          <w:szCs w:val="22"/>
        </w:rPr>
      </w:pPr>
      <w:bookmarkStart w:id="0" w:name="_heading=h.gjdgxs" w:colFirst="0" w:colLast="0"/>
      <w:bookmarkEnd w:id="0"/>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diecinueve de septiembre de dos mil veinticuatro.</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D0D0D"/>
          <w:sz w:val="22"/>
          <w:szCs w:val="22"/>
        </w:rPr>
        <w:t xml:space="preserve">VISTO </w:t>
      </w:r>
      <w:r>
        <w:rPr>
          <w:rFonts w:ascii="Palatino Linotype" w:eastAsia="Palatino Linotype" w:hAnsi="Palatino Linotype" w:cs="Palatino Linotype"/>
          <w:color w:val="0D0D0D"/>
          <w:sz w:val="22"/>
          <w:szCs w:val="22"/>
        </w:rPr>
        <w:t xml:space="preserve">el expediente conformado con motivo del Recurso de Revisión </w:t>
      </w:r>
      <w:r>
        <w:rPr>
          <w:rFonts w:ascii="Palatino Linotype" w:eastAsia="Palatino Linotype" w:hAnsi="Palatino Linotype" w:cs="Palatino Linotype"/>
          <w:b/>
          <w:color w:val="0D0D0D"/>
          <w:sz w:val="22"/>
          <w:szCs w:val="22"/>
        </w:rPr>
        <w:t>02983/INFOEM/IP/RR/2024,</w:t>
      </w:r>
      <w:r>
        <w:rPr>
          <w:rFonts w:ascii="Palatino Linotype" w:eastAsia="Palatino Linotype" w:hAnsi="Palatino Linotype" w:cs="Palatino Linotype"/>
          <w:color w:val="0D0D0D"/>
          <w:sz w:val="22"/>
          <w:szCs w:val="22"/>
        </w:rPr>
        <w:t xml:space="preserve"> interpuesto por </w:t>
      </w:r>
      <w:r>
        <w:rPr>
          <w:rFonts w:ascii="Palatino Linotype" w:eastAsia="Palatino Linotype" w:hAnsi="Palatino Linotype" w:cs="Palatino Linotype"/>
          <w:b/>
          <w:color w:val="0D0D0D"/>
          <w:sz w:val="22"/>
          <w:szCs w:val="22"/>
        </w:rPr>
        <w:t xml:space="preserve">un Particular </w:t>
      </w:r>
      <w:r>
        <w:rPr>
          <w:rFonts w:ascii="Palatino Linotype" w:eastAsia="Palatino Linotype" w:hAnsi="Palatino Linotype" w:cs="Palatino Linotype"/>
          <w:color w:val="0D0D0D"/>
          <w:sz w:val="22"/>
          <w:szCs w:val="22"/>
        </w:rPr>
        <w:t>en lo sucesivo Recurrente o Particular, en contra de la respuesta del Sujeto Obligado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Sistema Municipal Para el Desarrollo Integral de la Familia de Nezahualcóyotl</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color w:val="0D0D0D"/>
          <w:sz w:val="22"/>
          <w:szCs w:val="22"/>
        </w:rPr>
        <w:t>se emite la presente Resolución, con base en los Antecedentes y C</w:t>
      </w:r>
      <w:r>
        <w:rPr>
          <w:rFonts w:ascii="Palatino Linotype" w:eastAsia="Palatino Linotype" w:hAnsi="Palatino Linotype" w:cs="Palatino Linotype"/>
          <w:sz w:val="22"/>
          <w:szCs w:val="22"/>
        </w:rPr>
        <w:t>onsiderandos que a continuación se exponen:</w:t>
      </w:r>
    </w:p>
    <w:p w:rsidR="00863FCF" w:rsidRDefault="00863FCF">
      <w:pPr>
        <w:spacing w:line="360" w:lineRule="auto"/>
        <w:jc w:val="both"/>
        <w:rPr>
          <w:rFonts w:ascii="Palatino Linotype" w:eastAsia="Palatino Linotype" w:hAnsi="Palatino Linotype" w:cs="Palatino Linotype"/>
          <w:b/>
          <w:color w:val="0D0D0D"/>
          <w:sz w:val="22"/>
          <w:szCs w:val="22"/>
        </w:rPr>
      </w:pPr>
    </w:p>
    <w:p w:rsidR="00863FCF" w:rsidRDefault="00A304AE">
      <w:pPr>
        <w:tabs>
          <w:tab w:val="center" w:pos="4522"/>
          <w:tab w:val="left" w:pos="7245"/>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rsidR="00863FCF" w:rsidRDefault="00863FC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863FCF" w:rsidRDefault="00A304A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 Presentación de la solicitud de información</w:t>
      </w:r>
    </w:p>
    <w:p w:rsidR="00863FCF" w:rsidRDefault="00863FC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 fecha dos de mayo de dos mil veinticuatro, el Particular presentó una solicitud de acceso a la información pública, a través de la Plataforma Nacional de Transparencia, la cual se radicó en el Sistema de Acceso a la Información Mexiquense, en lo sucesivo el SAIMEX, ante el </w:t>
      </w:r>
      <w:r>
        <w:rPr>
          <w:rFonts w:ascii="Palatino Linotype" w:eastAsia="Palatino Linotype" w:hAnsi="Palatino Linotype" w:cs="Palatino Linotype"/>
          <w:b/>
          <w:sz w:val="22"/>
          <w:szCs w:val="22"/>
        </w:rPr>
        <w:t>Sistema Municipal para el Desarrollo Integral de la Familia de Nezahualcóyotl</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mediante la que requirió lo siguiente:</w:t>
      </w:r>
    </w:p>
    <w:p w:rsidR="00863FCF" w:rsidRDefault="00863FCF">
      <w:pPr>
        <w:tabs>
          <w:tab w:val="left" w:pos="567"/>
        </w:tabs>
        <w:spacing w:line="360" w:lineRule="auto"/>
        <w:jc w:val="both"/>
        <w:rPr>
          <w:rFonts w:ascii="Palatino Linotype" w:eastAsia="Palatino Linotype" w:hAnsi="Palatino Linotype" w:cs="Palatino Linotype"/>
          <w:sz w:val="22"/>
          <w:szCs w:val="22"/>
        </w:rPr>
      </w:pPr>
    </w:p>
    <w:p w:rsidR="00863FCF" w:rsidRDefault="00A304AE">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Folio de la solicitud: 00025/DIFNEZA/IP/2024</w:t>
      </w:r>
    </w:p>
    <w:p w:rsidR="00863FCF" w:rsidRDefault="00A304AE">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rsidR="00863FCF" w:rsidRDefault="00A304A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lastRenderedPageBreak/>
        <w:t xml:space="preserve">“solicito el reglamento interno, reglamento interior de trabajo, manual general de </w:t>
      </w:r>
      <w:proofErr w:type="spellStart"/>
      <w:r>
        <w:rPr>
          <w:rFonts w:ascii="Palatino Linotype" w:eastAsia="Palatino Linotype" w:hAnsi="Palatino Linotype" w:cs="Palatino Linotype"/>
          <w:i/>
          <w:color w:val="000000"/>
        </w:rPr>
        <w:t>organizacion</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catalogo</w:t>
      </w:r>
      <w:proofErr w:type="spellEnd"/>
      <w:r>
        <w:rPr>
          <w:rFonts w:ascii="Palatino Linotype" w:eastAsia="Palatino Linotype" w:hAnsi="Palatino Linotype" w:cs="Palatino Linotype"/>
          <w:i/>
          <w:color w:val="000000"/>
        </w:rPr>
        <w:t xml:space="preserve"> de </w:t>
      </w:r>
      <w:proofErr w:type="spellStart"/>
      <w:r>
        <w:rPr>
          <w:rFonts w:ascii="Palatino Linotype" w:eastAsia="Palatino Linotype" w:hAnsi="Palatino Linotype" w:cs="Palatino Linotype"/>
          <w:i/>
          <w:color w:val="000000"/>
        </w:rPr>
        <w:t>tramites</w:t>
      </w:r>
      <w:proofErr w:type="spellEnd"/>
      <w:r>
        <w:rPr>
          <w:rFonts w:ascii="Palatino Linotype" w:eastAsia="Palatino Linotype" w:hAnsi="Palatino Linotype" w:cs="Palatino Linotype"/>
          <w:i/>
          <w:color w:val="000000"/>
        </w:rPr>
        <w:t xml:space="preserve"> y </w:t>
      </w:r>
      <w:proofErr w:type="spellStart"/>
      <w:r>
        <w:rPr>
          <w:rFonts w:ascii="Palatino Linotype" w:eastAsia="Palatino Linotype" w:hAnsi="Palatino Linotype" w:cs="Palatino Linotype"/>
          <w:i/>
          <w:color w:val="000000"/>
        </w:rPr>
        <w:t>catalogo</w:t>
      </w:r>
      <w:proofErr w:type="spellEnd"/>
      <w:r>
        <w:rPr>
          <w:rFonts w:ascii="Palatino Linotype" w:eastAsia="Palatino Linotype" w:hAnsi="Palatino Linotype" w:cs="Palatino Linotype"/>
          <w:i/>
          <w:color w:val="000000"/>
        </w:rPr>
        <w:t xml:space="preserve"> de servicio en lengua mazahua “</w:t>
      </w:r>
      <w:r>
        <w:rPr>
          <w:rFonts w:ascii="Palatino Linotype" w:eastAsia="Palatino Linotype" w:hAnsi="Palatino Linotype" w:cs="Palatino Linotype"/>
          <w:color w:val="000000"/>
        </w:rPr>
        <w:t>(</w:t>
      </w:r>
      <w:r>
        <w:rPr>
          <w:rFonts w:ascii="Palatino Linotype" w:eastAsia="Palatino Linotype" w:hAnsi="Palatino Linotype" w:cs="Palatino Linotype"/>
          <w:i/>
          <w:color w:val="000000"/>
        </w:rPr>
        <w:t>Sic</w:t>
      </w:r>
      <w:r>
        <w:rPr>
          <w:rFonts w:ascii="Palatino Linotype" w:eastAsia="Palatino Linotype" w:hAnsi="Palatino Linotype" w:cs="Palatino Linotype"/>
          <w:color w:val="000000"/>
        </w:rPr>
        <w:t>).</w:t>
      </w:r>
    </w:p>
    <w:p w:rsidR="00863FCF" w:rsidRDefault="00863FCF">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63FCF" w:rsidRDefault="00A304A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MODALIDAD DE ENTREGA </w:t>
      </w:r>
      <w:r>
        <w:rPr>
          <w:rFonts w:ascii="Palatino Linotype" w:eastAsia="Palatino Linotype" w:hAnsi="Palatino Linotype" w:cs="Palatino Linotype"/>
          <w:i/>
          <w:color w:val="000000"/>
        </w:rPr>
        <w:t>“Entrega por el sistema de solicitudes de acceso a la información de la PNT”</w:t>
      </w:r>
    </w:p>
    <w:p w:rsidR="00863FCF" w:rsidRDefault="00863FCF">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63FCF" w:rsidRDefault="00A304A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 Respuesta del Sujeto Obligado</w:t>
      </w:r>
    </w:p>
    <w:p w:rsidR="00863FCF" w:rsidRDefault="00863FC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diez de mayo de dos mil veinticuatro, el Sujeto Obligado otorgó respuesta a través de SAIMEX, en el que el Sujeto Obligado señaló adjuntó dos documentos, en los siguientes términos:</w:t>
      </w:r>
    </w:p>
    <w:p w:rsidR="00863FCF" w:rsidRDefault="00863FCF">
      <w:pPr>
        <w:spacing w:line="360" w:lineRule="auto"/>
        <w:jc w:val="both"/>
        <w:rPr>
          <w:rFonts w:ascii="Palatino Linotype" w:eastAsia="Palatino Linotype" w:hAnsi="Palatino Linotype" w:cs="Palatino Linotype"/>
          <w:b/>
          <w:sz w:val="22"/>
          <w:szCs w:val="22"/>
        </w:rPr>
      </w:pPr>
    </w:p>
    <w:p w:rsidR="00863FCF" w:rsidRDefault="00A304A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Oficio </w:t>
      </w:r>
      <w:r>
        <w:rPr>
          <w:rFonts w:ascii="Palatino Linotype" w:eastAsia="Palatino Linotype" w:hAnsi="Palatino Linotype" w:cs="Palatino Linotype"/>
          <w:color w:val="000000"/>
          <w:sz w:val="22"/>
          <w:szCs w:val="22"/>
        </w:rPr>
        <w:t>suscrito por el Titular de la Unidad de Transparencia y Acceso a la información pública del Sujeto Obligado, en el que indicó que la información solicitada se encontraba cargada dentro de la plataforma.</w:t>
      </w:r>
    </w:p>
    <w:p w:rsidR="00863FCF" w:rsidRDefault="00A304A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Oficio SMDIF-NEZA/ADMON/0778/2024, </w:t>
      </w:r>
      <w:r>
        <w:rPr>
          <w:rFonts w:ascii="Palatino Linotype" w:eastAsia="Palatino Linotype" w:hAnsi="Palatino Linotype" w:cs="Palatino Linotype"/>
          <w:color w:val="000000"/>
          <w:sz w:val="22"/>
          <w:szCs w:val="22"/>
        </w:rPr>
        <w:t xml:space="preserve">suscrito por la Titular de la Administración del Sujeto Obligado; en el que, de conformidad con lo dispuesto por el artículo 12 de la Ley de Transparencia y Acceso a la Información del Estado de México y Municipios: por cuanto hace al </w:t>
      </w:r>
      <w:r>
        <w:rPr>
          <w:rFonts w:ascii="Palatino Linotype" w:eastAsia="Palatino Linotype" w:hAnsi="Palatino Linotype" w:cs="Palatino Linotype"/>
          <w:b/>
          <w:color w:val="000000"/>
          <w:sz w:val="22"/>
          <w:szCs w:val="22"/>
        </w:rPr>
        <w:t>reglamento interno y al manual de organización</w:t>
      </w:r>
      <w:r>
        <w:rPr>
          <w:rFonts w:ascii="Palatino Linotype" w:eastAsia="Palatino Linotype" w:hAnsi="Palatino Linotype" w:cs="Palatino Linotype"/>
          <w:color w:val="000000"/>
          <w:sz w:val="22"/>
          <w:szCs w:val="22"/>
        </w:rPr>
        <w:t xml:space="preserve">, señaló que la información podía ser consultada en la liga </w:t>
      </w:r>
      <w:hyperlink r:id="rId8">
        <w:r>
          <w:rPr>
            <w:rFonts w:ascii="Palatino Linotype" w:eastAsia="Palatino Linotype" w:hAnsi="Palatino Linotype" w:cs="Palatino Linotype"/>
            <w:color w:val="0563C1"/>
            <w:sz w:val="22"/>
            <w:szCs w:val="22"/>
            <w:u w:val="single"/>
          </w:rPr>
          <w:t>https://www.difnza.gob.mx/manuales_reglamento.php</w:t>
        </w:r>
      </w:hyperlink>
      <w:r>
        <w:rPr>
          <w:rFonts w:ascii="Palatino Linotype" w:eastAsia="Palatino Linotype" w:hAnsi="Palatino Linotype" w:cs="Palatino Linotype"/>
          <w:color w:val="000000"/>
          <w:sz w:val="22"/>
          <w:szCs w:val="22"/>
        </w:rPr>
        <w:t xml:space="preserve"> y aclaró que no se encuentra en lengua mazahua; </w:t>
      </w:r>
      <w:r>
        <w:rPr>
          <w:rFonts w:ascii="Palatino Linotype" w:eastAsia="Palatino Linotype" w:hAnsi="Palatino Linotype" w:cs="Palatino Linotype"/>
          <w:b/>
          <w:color w:val="000000"/>
          <w:sz w:val="22"/>
          <w:szCs w:val="22"/>
        </w:rPr>
        <w:t>respecto al reglamento interior de trabajo</w:t>
      </w:r>
      <w:r>
        <w:rPr>
          <w:rFonts w:ascii="Palatino Linotype" w:eastAsia="Palatino Linotype" w:hAnsi="Palatino Linotype" w:cs="Palatino Linotype"/>
          <w:color w:val="000000"/>
          <w:sz w:val="22"/>
          <w:szCs w:val="22"/>
        </w:rPr>
        <w:t xml:space="preserve">, señaló que de conformidad con el artículo 54 de la Ley del Trabajo de los Servidores Públicos del Estado de México y Municipio, prevé que en caso de que no se cuente con documentos que avalen las condiciones generales de trabajo, se deberá estar establecido por la Ley mencionada y anexó un oficio que será descrito en el siguiente punto. Conforme al </w:t>
      </w:r>
      <w:r>
        <w:rPr>
          <w:rFonts w:ascii="Palatino Linotype" w:eastAsia="Palatino Linotype" w:hAnsi="Palatino Linotype" w:cs="Palatino Linotype"/>
          <w:b/>
          <w:color w:val="000000"/>
          <w:sz w:val="22"/>
          <w:szCs w:val="22"/>
        </w:rPr>
        <w:lastRenderedPageBreak/>
        <w:t>catálogo de trámites y servicios</w:t>
      </w:r>
      <w:r>
        <w:rPr>
          <w:rFonts w:ascii="Palatino Linotype" w:eastAsia="Palatino Linotype" w:hAnsi="Palatino Linotype" w:cs="Palatino Linotype"/>
          <w:color w:val="000000"/>
          <w:sz w:val="22"/>
          <w:szCs w:val="22"/>
        </w:rPr>
        <w:t xml:space="preserve">, dijo que estaba disponible para su consulta y descarga en la página del H. Ayuntamiento de Nezahualcóyotl en la liga </w:t>
      </w:r>
      <w:hyperlink r:id="rId9">
        <w:r>
          <w:rPr>
            <w:rFonts w:ascii="Palatino Linotype" w:eastAsia="Palatino Linotype" w:hAnsi="Palatino Linotype" w:cs="Palatino Linotype"/>
            <w:color w:val="0563C1"/>
            <w:sz w:val="22"/>
            <w:szCs w:val="22"/>
            <w:u w:val="single"/>
          </w:rPr>
          <w:t>https://www.neza.gob.mx/tramites.php</w:t>
        </w:r>
      </w:hyperlink>
      <w:r>
        <w:rPr>
          <w:rFonts w:ascii="Palatino Linotype" w:eastAsia="Palatino Linotype" w:hAnsi="Palatino Linotype" w:cs="Palatino Linotype"/>
          <w:color w:val="000000"/>
          <w:sz w:val="22"/>
          <w:szCs w:val="22"/>
        </w:rPr>
        <w:t xml:space="preserve"> y precisó que la información no se encuentra en mazahua. </w:t>
      </w:r>
    </w:p>
    <w:p w:rsidR="00863FCF" w:rsidRDefault="00A304A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Cabe señalar que las ligas proporcionadas no se encuentran en datos abiertos.</w:t>
      </w:r>
    </w:p>
    <w:p w:rsidR="00863FCF" w:rsidRDefault="00863FCF">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863FCF" w:rsidRDefault="00A304A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Oficio CJ/SMDIF-NEZ/035/2022, </w:t>
      </w:r>
      <w:r>
        <w:rPr>
          <w:rFonts w:ascii="Palatino Linotype" w:eastAsia="Palatino Linotype" w:hAnsi="Palatino Linotype" w:cs="Palatino Linotype"/>
          <w:color w:val="000000"/>
          <w:sz w:val="22"/>
          <w:szCs w:val="22"/>
        </w:rPr>
        <w:t>suscrito por el Coordinador de Jurídico, en el que informó medialmente a la Titular de Administración, que no cuentan con Reglamento de condiciones generales de trabajo, que anexa un proyecto que debe ser consultado con los superiores jerárquicos, y que para el caso que no se cuente con un documento que avale las condiciones generales de trabajo, se deberá estar a lo establecido por la Ley del Trabajo de los Servidores Públicos del Estado de México y Municipios.</w:t>
      </w:r>
    </w:p>
    <w:p w:rsidR="00863FCF" w:rsidRDefault="00863FCF">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Interposición del Recurso de Revisión</w:t>
      </w:r>
    </w:p>
    <w:p w:rsidR="00863FCF" w:rsidRDefault="00863FCF">
      <w:pPr>
        <w:spacing w:line="360" w:lineRule="auto"/>
        <w:jc w:val="both"/>
        <w:rPr>
          <w:rFonts w:ascii="Palatino Linotype" w:eastAsia="Palatino Linotype" w:hAnsi="Palatino Linotype" w:cs="Palatino Linotype"/>
          <w:b/>
          <w:sz w:val="22"/>
          <w:szCs w:val="22"/>
        </w:rPr>
      </w:pPr>
    </w:p>
    <w:p w:rsidR="00863FCF" w:rsidRDefault="00A304AE">
      <w:pPr>
        <w:tabs>
          <w:tab w:val="left" w:pos="312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diecisiete de mayo de dos mil veinticuatro, a través de SAIMEX, se interpuso el presente Recurso de Revisión por el Recurrente, en contra de la respuesta emitida por el Sujeto Obligado a la solicitud de información; en los siguientes términos:</w:t>
      </w:r>
    </w:p>
    <w:p w:rsidR="00863FCF" w:rsidRDefault="00863FCF">
      <w:pPr>
        <w:tabs>
          <w:tab w:val="left" w:pos="4995"/>
        </w:tabs>
        <w:spacing w:line="360" w:lineRule="auto"/>
        <w:jc w:val="both"/>
        <w:rPr>
          <w:rFonts w:ascii="Palatino Linotype" w:eastAsia="Palatino Linotype" w:hAnsi="Palatino Linotype" w:cs="Palatino Linotype"/>
          <w:sz w:val="22"/>
          <w:szCs w:val="22"/>
        </w:rPr>
      </w:pPr>
    </w:p>
    <w:p w:rsidR="00863FCF" w:rsidRDefault="00A304AE">
      <w:pPr>
        <w:spacing w:line="360" w:lineRule="auto"/>
        <w:ind w:left="567"/>
        <w:jc w:val="both"/>
        <w:rPr>
          <w:rFonts w:ascii="Palatino Linotype" w:eastAsia="Palatino Linotype" w:hAnsi="Palatino Linotype" w:cs="Palatino Linotype"/>
          <w:b/>
        </w:rPr>
      </w:pPr>
      <w:r>
        <w:rPr>
          <w:rFonts w:ascii="Palatino Linotype" w:eastAsia="Palatino Linotype" w:hAnsi="Palatino Linotype" w:cs="Palatino Linotype"/>
          <w:b/>
        </w:rPr>
        <w:t>ACTO IMPUGNADO:</w:t>
      </w:r>
    </w:p>
    <w:p w:rsidR="00863FCF" w:rsidRDefault="00A304AE">
      <w:pPr>
        <w:spacing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i/>
        </w:rPr>
        <w:t xml:space="preserve">“no es la </w:t>
      </w:r>
      <w:proofErr w:type="spellStart"/>
      <w:r>
        <w:rPr>
          <w:rFonts w:ascii="Palatino Linotype" w:eastAsia="Palatino Linotype" w:hAnsi="Palatino Linotype" w:cs="Palatino Linotype"/>
          <w:i/>
        </w:rPr>
        <w:t>informacion</w:t>
      </w:r>
      <w:proofErr w:type="spellEnd"/>
      <w:r>
        <w:rPr>
          <w:rFonts w:ascii="Palatino Linotype" w:eastAsia="Palatino Linotype" w:hAnsi="Palatino Linotype" w:cs="Palatino Linotype"/>
          <w:i/>
        </w:rPr>
        <w:t xml:space="preserve"> que </w:t>
      </w:r>
      <w:proofErr w:type="spellStart"/>
      <w:r>
        <w:rPr>
          <w:rFonts w:ascii="Palatino Linotype" w:eastAsia="Palatino Linotype" w:hAnsi="Palatino Linotype" w:cs="Palatino Linotype"/>
          <w:i/>
        </w:rPr>
        <w:t>pedi</w:t>
      </w:r>
      <w:proofErr w:type="spellEnd"/>
      <w:r>
        <w:rPr>
          <w:rFonts w:ascii="Palatino Linotype" w:eastAsia="Palatino Linotype" w:hAnsi="Palatino Linotype" w:cs="Palatino Linotype"/>
          <w:i/>
        </w:rPr>
        <w:t xml:space="preserve">.” </w:t>
      </w:r>
      <w:r>
        <w:rPr>
          <w:rFonts w:ascii="Palatino Linotype" w:eastAsia="Palatino Linotype" w:hAnsi="Palatino Linotype" w:cs="Palatino Linotype"/>
          <w:color w:val="000000"/>
        </w:rPr>
        <w:t>(S</w:t>
      </w:r>
      <w:r>
        <w:rPr>
          <w:rFonts w:ascii="Palatino Linotype" w:eastAsia="Palatino Linotype" w:hAnsi="Palatino Linotype" w:cs="Palatino Linotype"/>
          <w:i/>
          <w:color w:val="000000"/>
        </w:rPr>
        <w:t>ic</w:t>
      </w:r>
      <w:r>
        <w:rPr>
          <w:rFonts w:ascii="Palatino Linotype" w:eastAsia="Palatino Linotype" w:hAnsi="Palatino Linotype" w:cs="Palatino Linotype"/>
          <w:color w:val="000000"/>
        </w:rPr>
        <w:t>.)</w:t>
      </w:r>
    </w:p>
    <w:p w:rsidR="00863FCF" w:rsidRDefault="00863FCF">
      <w:pPr>
        <w:spacing w:line="360" w:lineRule="auto"/>
        <w:ind w:left="567"/>
        <w:jc w:val="both"/>
        <w:rPr>
          <w:rFonts w:ascii="Palatino Linotype" w:eastAsia="Palatino Linotype" w:hAnsi="Palatino Linotype" w:cs="Palatino Linotype"/>
          <w:i/>
        </w:rPr>
      </w:pPr>
    </w:p>
    <w:p w:rsidR="00863FCF" w:rsidRDefault="00A304AE">
      <w:pPr>
        <w:spacing w:line="360" w:lineRule="auto"/>
        <w:ind w:left="567"/>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p>
    <w:p w:rsidR="00863FCF" w:rsidRDefault="00A304AE">
      <w:pPr>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rPr>
        <w:t xml:space="preserve">El apartado aparece en blanco. </w:t>
      </w:r>
      <w:r>
        <w:rPr>
          <w:rFonts w:ascii="Palatino Linotype" w:eastAsia="Palatino Linotype" w:hAnsi="Palatino Linotype" w:cs="Palatino Linotype"/>
          <w:sz w:val="22"/>
          <w:szCs w:val="22"/>
        </w:rPr>
        <w:t xml:space="preserve"> </w:t>
      </w:r>
    </w:p>
    <w:p w:rsidR="00863FCF" w:rsidRDefault="00863FCF">
      <w:pPr>
        <w:tabs>
          <w:tab w:val="left" w:pos="1834"/>
        </w:tabs>
        <w:spacing w:line="360" w:lineRule="auto"/>
        <w:jc w:val="both"/>
        <w:rPr>
          <w:rFonts w:ascii="Palatino Linotype" w:eastAsia="Palatino Linotype" w:hAnsi="Palatino Linotype" w:cs="Palatino Linotype"/>
          <w:sz w:val="22"/>
          <w:szCs w:val="22"/>
        </w:rPr>
      </w:pPr>
    </w:p>
    <w:p w:rsidR="00863FCF" w:rsidRDefault="00A304AE">
      <w:pPr>
        <w:tabs>
          <w:tab w:val="left" w:pos="183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Particular adjuntó un archivo que no es posible abrir debido a su formato. </w:t>
      </w:r>
    </w:p>
    <w:p w:rsidR="00863FCF" w:rsidRDefault="00863FCF">
      <w:pPr>
        <w:tabs>
          <w:tab w:val="left" w:pos="1834"/>
        </w:tabs>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 Trámite del Recurso de Revisión ante el Instituto</w:t>
      </w:r>
    </w:p>
    <w:p w:rsidR="00863FCF" w:rsidRDefault="00863FCF">
      <w:pPr>
        <w:spacing w:line="360" w:lineRule="auto"/>
        <w:jc w:val="both"/>
        <w:rPr>
          <w:rFonts w:ascii="Palatino Linotype" w:eastAsia="Palatino Linotype" w:hAnsi="Palatino Linotype" w:cs="Palatino Linotype"/>
          <w:b/>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 xml:space="preserve">El diecisiete de mayo de dos mil veinticuatro, el SAIMEX, asignó el número de expediente </w:t>
      </w:r>
      <w:r>
        <w:rPr>
          <w:rFonts w:ascii="Palatino Linotype" w:eastAsia="Palatino Linotype" w:hAnsi="Palatino Linotype" w:cs="Palatino Linotype"/>
          <w:b/>
          <w:sz w:val="22"/>
          <w:szCs w:val="22"/>
        </w:rPr>
        <w:t>02983/INFOEM/IP/RR/2024</w:t>
      </w:r>
      <w:r>
        <w:rPr>
          <w:rFonts w:ascii="Palatino Linotype" w:eastAsia="Palatino Linotype" w:hAnsi="Palatino Linotype" w:cs="Palatino Linotype"/>
          <w:sz w:val="22"/>
          <w:szCs w:val="22"/>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rsidR="00863FCF" w:rsidRDefault="00863FCF">
      <w:pPr>
        <w:spacing w:line="360" w:lineRule="auto"/>
        <w:jc w:val="both"/>
        <w:rPr>
          <w:rFonts w:ascii="Palatino Linotype" w:eastAsia="Palatino Linotype" w:hAnsi="Palatino Linotype" w:cs="Palatino Linotype"/>
          <w:b/>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veintidós de mayo de dos mil veinticuatro, se acordó la admisión del Recurso de Revisión interpuesto por el Recurrente en contra del Sujeto Obligado, en términos del artículo 185, fracciones I, II y IV de la Ley de Transparencia y Acceso a la 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 Informe Justificado. </w:t>
      </w:r>
      <w:r>
        <w:rPr>
          <w:rFonts w:ascii="Palatino Linotype" w:eastAsia="Palatino Linotype" w:hAnsi="Palatino Linotype" w:cs="Palatino Linotype"/>
          <w:sz w:val="22"/>
          <w:szCs w:val="22"/>
        </w:rPr>
        <w:t>En fecha veintidós de mayo de dos mil veinticuatro; el Sujeto Obligado a través de SAIMEX, rindió informe justificado mediante un archivo, en los siguientes términos:</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Oficio SMDIF-NEZ/ADMO/0809/2024,</w:t>
      </w:r>
      <w:r>
        <w:rPr>
          <w:rFonts w:ascii="Palatino Linotype" w:eastAsia="Palatino Linotype" w:hAnsi="Palatino Linotype" w:cs="Palatino Linotype"/>
          <w:color w:val="000000"/>
          <w:sz w:val="22"/>
          <w:szCs w:val="22"/>
        </w:rPr>
        <w:t xml:space="preserve"> suscrito por la Titular de la Administración del Sujeto Obligado, en el que ratificó la respuesta inicial. </w:t>
      </w:r>
    </w:p>
    <w:p w:rsidR="00863FCF" w:rsidRDefault="00863FCF">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d) Vista del informe justificado. </w:t>
      </w:r>
      <w:r>
        <w:rPr>
          <w:rFonts w:ascii="Palatino Linotype" w:eastAsia="Palatino Linotype" w:hAnsi="Palatino Linotype" w:cs="Palatino Linotype"/>
          <w:sz w:val="22"/>
          <w:szCs w:val="22"/>
        </w:rPr>
        <w:t>El tres de septiembre de dos mil veinticuatro, se dictó un acuerdo mediante el cual se puso a la vista del Particular el documento que conforma el informe justificado; que fue notificado a las partes en la misma fecha, a través del SAIMEX.</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e) Manifestaciones. </w:t>
      </w:r>
      <w:r>
        <w:rPr>
          <w:rFonts w:ascii="Palatino Linotype" w:eastAsia="Palatino Linotype" w:hAnsi="Palatino Linotype" w:cs="Palatino Linotype"/>
          <w:sz w:val="22"/>
          <w:szCs w:val="22"/>
        </w:rPr>
        <w:t>De las constancias que obran en el expediente electrónico, se advierte que el Particular no añadió manifestaciones.</w:t>
      </w:r>
    </w:p>
    <w:p w:rsidR="00863FCF" w:rsidRDefault="00863FCF">
      <w:pPr>
        <w:spacing w:line="360" w:lineRule="auto"/>
        <w:jc w:val="both"/>
        <w:rPr>
          <w:rFonts w:ascii="Palatino Linotype" w:eastAsia="Palatino Linotype" w:hAnsi="Palatino Linotype" w:cs="Palatino Linotype"/>
          <w:b/>
          <w:sz w:val="22"/>
          <w:szCs w:val="22"/>
        </w:rPr>
      </w:pPr>
    </w:p>
    <w:p w:rsidR="00863FCF" w:rsidRDefault="00A304A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f) Ampliación de plazo </w:t>
      </w:r>
      <w:r>
        <w:rPr>
          <w:rFonts w:ascii="Palatino Linotype" w:eastAsia="Palatino Linotype" w:hAnsi="Palatino Linotype" w:cs="Palatino Linotype"/>
          <w:b/>
          <w:color w:val="000000"/>
          <w:sz w:val="22"/>
          <w:szCs w:val="22"/>
        </w:rPr>
        <w:t xml:space="preserve">para resolver. </w:t>
      </w:r>
      <w:r>
        <w:rPr>
          <w:rFonts w:ascii="Palatino Linotype" w:eastAsia="Palatino Linotype" w:hAnsi="Palatino Linotype" w:cs="Palatino Linotype"/>
          <w:color w:val="000000"/>
          <w:sz w:val="22"/>
          <w:szCs w:val="22"/>
        </w:rPr>
        <w:t>El tres de septiembre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mismo día, mediante el SAIMEX.</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Complejidad del 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modo que, cuando se trate de un asunto excepcional, por alguna o todas las características mencionadas o bien, cuando el ingreso de asuntos al órgano jurisdiccional o cuasi </w:t>
      </w:r>
      <w:r>
        <w:rPr>
          <w:rFonts w:ascii="Palatino Linotype" w:eastAsia="Palatino Linotype" w:hAnsi="Palatino Linotype" w:cs="Palatino Linotype"/>
          <w:color w:val="000000"/>
          <w:sz w:val="22"/>
          <w:szCs w:val="22"/>
        </w:rPr>
        <w:lastRenderedPageBreak/>
        <w:t>jurisdiccional respectivo supere notoriamente al que podría considerarse normal, debe concluirse que es una excluyente de responsabilidad en relación con la actuación del funcionario, como ha acontecido en el caso que nos ocupa.</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Argumento que encuentra sustento en la jurisprudencia P</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J. 32/92 emitida por el Pleno de la Suprema Corte de Justicia de la Nación de rubro “</w:t>
      </w:r>
      <w:r>
        <w:rPr>
          <w:rFonts w:ascii="Palatino Linotype" w:eastAsia="Palatino Linotype" w:hAnsi="Palatino Linotype" w:cs="Palatino Linotype"/>
          <w:b/>
          <w:color w:val="000000"/>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sz w:val="22"/>
          <w:szCs w:val="22"/>
        </w:rPr>
        <w:t>.”, visible en la Gaceta del Seminario Judicial de la Federación con el registro digital 205635.</w:t>
      </w: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 “</w:t>
      </w:r>
      <w:r>
        <w:rPr>
          <w:rFonts w:ascii="Palatino Linotype" w:eastAsia="Palatino Linotype" w:hAnsi="Palatino Linotype" w:cs="Palatino Linotype"/>
          <w:b/>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consultable en el Seminario Judicial de la Federación y su gaceta, con el registro digital 2002351.</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Seminario Judicial de la Federación y su gaceta, con el registro digital 2002350.</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g) Acumulación de los asuntos.</w:t>
      </w:r>
      <w:r>
        <w:rPr>
          <w:rFonts w:ascii="Palatino Linotype" w:eastAsia="Palatino Linotype" w:hAnsi="Palatino Linotype" w:cs="Palatino Linotype"/>
          <w:sz w:val="22"/>
          <w:szCs w:val="22"/>
        </w:rPr>
        <w:t xml:space="preserve"> El cinco de junio de dos mil veinticuatro, el Pleno del Instituto de Transparencia, Acceso a la Información Pública y Protección de Datos Personales del Estado de México y Municipios, durante su Vigésima Sesión Ordinaria, con el propósito de privilegiar la resolución expedita y evitar resoluciones contradictorias, acordó la acumulación de los Recursos de Revisión</w:t>
      </w:r>
      <w:r>
        <w:rPr>
          <w:rFonts w:ascii="Palatino Linotype" w:eastAsia="Palatino Linotype" w:hAnsi="Palatino Linotype" w:cs="Palatino Linotype"/>
          <w:b/>
          <w:color w:val="000000"/>
          <w:sz w:val="22"/>
          <w:szCs w:val="22"/>
        </w:rPr>
        <w:t xml:space="preserve">: 2982/INFOEM/IP/RR/2024 y 2983/INFOEM/IP/RR/2024, </w:t>
      </w:r>
      <w:r>
        <w:rPr>
          <w:rFonts w:ascii="Palatino Linotype" w:eastAsia="Palatino Linotype" w:hAnsi="Palatino Linotype" w:cs="Palatino Linotype"/>
          <w:color w:val="000000"/>
          <w:sz w:val="22"/>
          <w:szCs w:val="22"/>
        </w:rPr>
        <w:t>al diverso</w:t>
      </w:r>
      <w:r>
        <w:rPr>
          <w:rFonts w:ascii="Palatino Linotype" w:eastAsia="Palatino Linotype" w:hAnsi="Palatino Linotype" w:cs="Palatino Linotype"/>
          <w:b/>
          <w:color w:val="000000"/>
          <w:sz w:val="22"/>
          <w:szCs w:val="22"/>
        </w:rPr>
        <w:t xml:space="preserve"> 2981/INFOEM/IP/RR/2024, </w:t>
      </w:r>
      <w:r>
        <w:rPr>
          <w:rFonts w:ascii="Palatino Linotype" w:eastAsia="Palatino Linotype" w:hAnsi="Palatino Linotype" w:cs="Palatino Linotype"/>
          <w:color w:val="000000"/>
          <w:sz w:val="22"/>
          <w:szCs w:val="22"/>
        </w:rPr>
        <w:t>por ser este último el más antiguo, sustanciado bajo el índice de esta Ponencia, al advertir conexidad entre ellos.</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h) Tramitación separada. </w:t>
      </w:r>
      <w:r>
        <w:rPr>
          <w:rFonts w:ascii="Palatino Linotype" w:eastAsia="Palatino Linotype" w:hAnsi="Palatino Linotype" w:cs="Palatino Linotype"/>
          <w:sz w:val="22"/>
          <w:szCs w:val="22"/>
        </w:rPr>
        <w:t xml:space="preserve">En fecha tres de septiembre de dos mil veinticuatro, se informó al Particular de la acumulación de los asuntos en los términos antes expuestos; en el mismo acto, se señaló que después de un análisis a detalle de los asuntos antes mencionados, se determinó que no se actualiza el supuesto previsto en el artículo 18 del Código de Procedimientos Administrativos del Estado de México, de aplicación supletoria a la Ley de Transparencia y </w:t>
      </w:r>
      <w:r>
        <w:rPr>
          <w:rFonts w:ascii="Palatino Linotype" w:eastAsia="Palatino Linotype" w:hAnsi="Palatino Linotype" w:cs="Palatino Linotype"/>
          <w:sz w:val="22"/>
          <w:szCs w:val="22"/>
        </w:rPr>
        <w:lastRenderedPageBreak/>
        <w:t>Acceso a la Información Pública del Estado de México y Municipios, según lo previsto en su artículo 195,</w:t>
      </w:r>
      <w:r>
        <w:rPr>
          <w:rFonts w:ascii="Palatino Linotype" w:eastAsia="Palatino Linotype" w:hAnsi="Palatino Linotype" w:cs="Palatino Linotype"/>
          <w:color w:val="000000"/>
          <w:sz w:val="22"/>
          <w:szCs w:val="22"/>
        </w:rPr>
        <w:t xml:space="preserve"> ya que se señalaron diversos Sujetos Obligados, por lo que se determinó seguir los procedimientos separados y regresar al estado previo a la acumulación; asimismo, se acordó que los Recursos de Revisión permanecieran en el índice de la Ponencia del Comisionado Luis Gustavo Parra Noriega. </w:t>
      </w:r>
    </w:p>
    <w:p w:rsidR="00863FCF" w:rsidRDefault="00863FCF">
      <w:pPr>
        <w:spacing w:line="360" w:lineRule="auto"/>
        <w:jc w:val="both"/>
        <w:rPr>
          <w:rFonts w:ascii="Palatino Linotype" w:eastAsia="Palatino Linotype" w:hAnsi="Palatino Linotype" w:cs="Palatino Linotype"/>
          <w:b/>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i) Cierre de instrucción. </w:t>
      </w:r>
      <w:r>
        <w:rPr>
          <w:rFonts w:ascii="Palatino Linotype" w:eastAsia="Palatino Linotype" w:hAnsi="Palatino Linotype" w:cs="Palatino Linotype"/>
          <w:sz w:val="22"/>
          <w:szCs w:val="22"/>
        </w:rPr>
        <w:t>El diez de septiembre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rsidR="00863FCF" w:rsidRDefault="00863FCF">
      <w:pPr>
        <w:spacing w:line="360" w:lineRule="auto"/>
        <w:jc w:val="center"/>
        <w:rPr>
          <w:rFonts w:ascii="Palatino Linotype" w:eastAsia="Palatino Linotype" w:hAnsi="Palatino Linotype" w:cs="Palatino Linotype"/>
          <w:b/>
          <w:sz w:val="22"/>
          <w:szCs w:val="22"/>
        </w:rPr>
      </w:pPr>
    </w:p>
    <w:p w:rsidR="00863FCF" w:rsidRDefault="00A304AE">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rsidR="00863FCF" w:rsidRDefault="00863FCF">
      <w:pPr>
        <w:spacing w:line="360" w:lineRule="auto"/>
        <w:jc w:val="both"/>
        <w:rPr>
          <w:rFonts w:ascii="Palatino Linotype" w:eastAsia="Palatino Linotype" w:hAnsi="Palatino Linotype" w:cs="Palatino Linotype"/>
          <w:b/>
          <w:sz w:val="22"/>
          <w:szCs w:val="22"/>
        </w:rPr>
      </w:pPr>
    </w:p>
    <w:p w:rsidR="00863FCF" w:rsidRDefault="00A304A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rsidR="00863FCF" w:rsidRDefault="00863FCF">
      <w:pPr>
        <w:spacing w:line="360" w:lineRule="auto"/>
        <w:jc w:val="both"/>
        <w:rPr>
          <w:rFonts w:ascii="Palatino Linotype" w:eastAsia="Palatino Linotype" w:hAnsi="Palatino Linotype" w:cs="Palatino Linotype"/>
          <w:b/>
          <w:sz w:val="22"/>
          <w:szCs w:val="22"/>
        </w:rPr>
      </w:pPr>
    </w:p>
    <w:p w:rsidR="00863FCF" w:rsidRDefault="00A304AE">
      <w:pPr>
        <w:spacing w:line="360" w:lineRule="auto"/>
        <w:jc w:val="both"/>
        <w:rPr>
          <w:rFonts w:ascii="Palatino Linotype" w:eastAsia="Palatino Linotype" w:hAnsi="Palatino Linotype" w:cs="Palatino Linotype"/>
          <w:sz w:val="22"/>
          <w:szCs w:val="22"/>
          <w:highlight w:val="white"/>
        </w:rPr>
      </w:pPr>
      <w:r>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w:t>
      </w:r>
      <w:r>
        <w:rPr>
          <w:rFonts w:ascii="Palatino Linotype" w:eastAsia="Palatino Linotype" w:hAnsi="Palatino Linotype" w:cs="Palatino Linotype"/>
          <w:color w:val="000000"/>
          <w:sz w:val="22"/>
          <w:szCs w:val="22"/>
        </w:rPr>
        <w:lastRenderedPageBreak/>
        <w:t>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w:t>
      </w:r>
      <w:r>
        <w:rPr>
          <w:rFonts w:ascii="Palatino Linotype" w:eastAsia="Palatino Linotype" w:hAnsi="Palatino Linotype" w:cs="Palatino Linotype"/>
          <w:sz w:val="22"/>
          <w:szCs w:val="22"/>
        </w:rPr>
        <w:t xml:space="preserve"> Pública y Protección de Datos Personales del Estado de México y Municipios.</w:t>
      </w:r>
    </w:p>
    <w:p w:rsidR="00863FCF" w:rsidRDefault="00863FCF">
      <w:pPr>
        <w:spacing w:line="360" w:lineRule="auto"/>
        <w:jc w:val="both"/>
        <w:rPr>
          <w:rFonts w:ascii="Palatino Linotype" w:eastAsia="Palatino Linotype" w:hAnsi="Palatino Linotype" w:cs="Palatino Linotype"/>
          <w:sz w:val="22"/>
          <w:szCs w:val="22"/>
          <w:highlight w:val="white"/>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Causales de improcedencia y sobreseimiento</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863FCF" w:rsidRDefault="00863FCF">
      <w:pPr>
        <w:spacing w:line="360" w:lineRule="auto"/>
        <w:jc w:val="both"/>
        <w:rPr>
          <w:rFonts w:ascii="Palatino Linotype" w:eastAsia="Palatino Linotype" w:hAnsi="Palatino Linotype" w:cs="Palatino Linotype"/>
          <w:color w:val="000000"/>
          <w:sz w:val="22"/>
          <w:szCs w:val="22"/>
        </w:rPr>
      </w:pPr>
    </w:p>
    <w:p w:rsidR="00863FCF" w:rsidRDefault="00A304A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863FCF" w:rsidRDefault="00863FCF">
      <w:pPr>
        <w:spacing w:line="360" w:lineRule="auto"/>
        <w:jc w:val="both"/>
        <w:rPr>
          <w:rFonts w:ascii="Palatino Linotype" w:eastAsia="Palatino Linotype" w:hAnsi="Palatino Linotype" w:cs="Palatino Linotype"/>
          <w:b/>
          <w:sz w:val="22"/>
          <w:szCs w:val="22"/>
        </w:rPr>
      </w:pPr>
    </w:p>
    <w:p w:rsidR="00863FCF" w:rsidRDefault="00A304A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sobreseimiento</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hace a las causales de sobreseimiento, del análisis realizado por este Instituto, se advierte que</w:t>
      </w:r>
      <w:r>
        <w:rPr>
          <w:rFonts w:ascii="Palatino Linotype" w:eastAsia="Palatino Linotype" w:hAnsi="Palatino Linotype" w:cs="Palatino Linotype"/>
          <w:b/>
          <w:sz w:val="22"/>
          <w:szCs w:val="22"/>
        </w:rPr>
        <w:t xml:space="preserve"> no se actualiza ninguna de las previstas por el artículo 192 de la Ley de Transparencia y Acceso a la Información Pública del Estado de México y Municipios; </w:t>
      </w:r>
      <w:r>
        <w:rPr>
          <w:rFonts w:ascii="Palatino Linotype" w:eastAsia="Palatino Linotype" w:hAnsi="Palatino Linotype" w:cs="Palatino Linotype"/>
          <w:sz w:val="22"/>
          <w:szCs w:val="22"/>
        </w:rPr>
        <w:t xml:space="preserve">lo anterior, en virtud de que no existe constancia en el expediente en que se actúa, de que el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Determinación de la Controversia</w:t>
      </w:r>
    </w:p>
    <w:p w:rsidR="00863FCF" w:rsidRDefault="00863FCF">
      <w:pPr>
        <w:tabs>
          <w:tab w:val="left" w:pos="4962"/>
        </w:tabs>
        <w:spacing w:line="360" w:lineRule="auto"/>
        <w:jc w:val="both"/>
        <w:rPr>
          <w:rFonts w:ascii="Palatino Linotype" w:eastAsia="Palatino Linotype" w:hAnsi="Palatino Linotype" w:cs="Palatino Linotype"/>
          <w:b/>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Particular solicitó la entrega del reglamento interno, el reglamento interior de trabajo, manual general de organización, catálogo de trámites y catálogo de servicios en lengua mazahua. En respuesta, el Sujeto Obligado a través de la Titular de Administración indicó ligas electrónicas para consultar el reglamento interno, el manual de organización y el catálogo de servicios en español; por lo que hace al reglamento interior de trabajo, informó que para el caso de no contar condiciones generales de trabajo, se estará a lo dispuesto por la Ley del Trabajo de los Servidores Públicos del Estado de México.</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la respuesta, el Particular interpuso el Recurso de Revisión que nos ocupa, en el que señaló como acto impugnado, que no es la información que pidió; así, durante la sustanciación del Recurso de Revisión, el Sujeto Obligado rindió informe justificado, en el que ratificó la respuesta inicial. </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de las constancias que integran el expediente, se advierte que </w:t>
      </w:r>
      <w:r>
        <w:rPr>
          <w:rFonts w:ascii="Palatino Linotype" w:eastAsia="Palatino Linotype" w:hAnsi="Palatino Linotype" w:cs="Palatino Linotype"/>
          <w:color w:val="000000"/>
          <w:sz w:val="22"/>
          <w:szCs w:val="22"/>
        </w:rPr>
        <w:t xml:space="preserve">en el asunto que nos ocupa se actualiza la causal de procedencia señalada en el </w:t>
      </w:r>
      <w:r>
        <w:rPr>
          <w:rFonts w:ascii="Palatino Linotype" w:eastAsia="Palatino Linotype" w:hAnsi="Palatino Linotype" w:cs="Palatino Linotype"/>
          <w:sz w:val="22"/>
          <w:szCs w:val="22"/>
        </w:rPr>
        <w:t>artículo 179, fracción VI, de la Ley de la materia; es decir por la entrega de información que no corresponde con lo solicitado.</w:t>
      </w:r>
    </w:p>
    <w:p w:rsidR="00863FCF" w:rsidRDefault="00863FCF">
      <w:pPr>
        <w:tabs>
          <w:tab w:val="left" w:pos="4962"/>
        </w:tabs>
        <w:spacing w:line="360" w:lineRule="auto"/>
        <w:jc w:val="both"/>
        <w:rPr>
          <w:rFonts w:ascii="Palatino Linotype" w:eastAsia="Palatino Linotype" w:hAnsi="Palatino Linotype" w:cs="Palatino Linotype"/>
          <w:b/>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w:t>
      </w:r>
      <w:r>
        <w:rPr>
          <w:rFonts w:ascii="Palatino Linotype" w:eastAsia="Palatino Linotype" w:hAnsi="Palatino Linotype" w:cs="Palatino Linotype"/>
          <w:sz w:val="22"/>
          <w:szCs w:val="22"/>
        </w:rPr>
        <w:lastRenderedPageBreak/>
        <w:t>Plataforma Nacional de Transparencia, establecen los formatos para dar cumplimiento a las Obligaciones de Transparencia, así como los plazos de actualización.</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863FCF" w:rsidRDefault="00863FCF">
      <w:pPr>
        <w:spacing w:line="360" w:lineRule="auto"/>
        <w:jc w:val="both"/>
        <w:rPr>
          <w:rFonts w:ascii="Palatino Linotype" w:eastAsia="Palatino Linotype" w:hAnsi="Palatino Linotype" w:cs="Palatino Linotype"/>
          <w:b/>
          <w:sz w:val="22"/>
          <w:szCs w:val="22"/>
        </w:rPr>
      </w:pPr>
    </w:p>
    <w:p w:rsidR="00863FCF" w:rsidRDefault="00A304A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rsidR="00863FCF" w:rsidRDefault="00863FCF">
      <w:pPr>
        <w:spacing w:line="360" w:lineRule="auto"/>
        <w:jc w:val="both"/>
        <w:rPr>
          <w:rFonts w:ascii="Palatino Linotype" w:eastAsia="Palatino Linotype" w:hAnsi="Palatino Linotype" w:cs="Palatino Linotype"/>
          <w:b/>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Del estudio de las constancias que integran el expediente que nos ocupa, se desprende que el Particular pretende acceder a diversa normatividad y al catálogo de trámites y servicios del Sujeto Obligado en lengua mazahua; sin embargo, tanto en respuesta como en informe justificado, el Sujeto Obligado a través de la Titular de Administración señaló ligas electrónicas para consultar el reglamento interno, el manual de organización y el catálogo de servicios en español; por lo que, hace al reglamento interior de trabajo, informó a través del Coordinador de Jurídico, en el que informó medialmente a la Titular de Administración, que no cuentan con Reglamento de condiciones generales de trabajo</w:t>
      </w:r>
      <w:r>
        <w:rPr>
          <w:rFonts w:ascii="Palatino Linotype" w:eastAsia="Palatino Linotype" w:hAnsi="Palatino Linotype" w:cs="Palatino Linotype"/>
        </w:rPr>
        <w:t>, que anexó</w:t>
      </w:r>
      <w:r>
        <w:rPr>
          <w:rFonts w:ascii="Palatino Linotype" w:eastAsia="Palatino Linotype" w:hAnsi="Palatino Linotype" w:cs="Palatino Linotype"/>
          <w:sz w:val="22"/>
          <w:szCs w:val="22"/>
        </w:rPr>
        <w:t xml:space="preserve"> un proyecto que debe ser consultado con los superiores jerárquicos, </w:t>
      </w:r>
      <w:r>
        <w:rPr>
          <w:rFonts w:ascii="Palatino Linotype" w:eastAsia="Palatino Linotype" w:hAnsi="Palatino Linotype" w:cs="Palatino Linotype"/>
        </w:rPr>
        <w:t>y que para el caso que no se cuente con un documento que avale las condiciones generales de trabajo, se deberá estar a lo establecido por la Ley del Trabajo de los Servidores Públicos del Estado de México y Municipios</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contexto, es preciso señalar que el Bando Municipal del Ayuntamiento de Nezahualcóyotl, del año en curso, prevé en su artículo 40, fracción IX, numeral 1, que el Sistema Municipal para el Desarrollo Integral de la Familia, es un organismo descentralizado auxiliar para el Ayuntamiento, que se regirá conforme a las leyes de la materia.</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Ley que crea los Organismos Públicos Descentralizados de Asistencia Social, de carácter Municipal, denominados "Sistemas Municipales para el Desarrollo Integral de la Familia; Publicada en el Periódico Oficial “Gaceta del Gobierno” el 16 de julio de 1985; y en la que se prevé la creación del Sujeto Obligado, establece en su artículo 11 y 13 fracción III, que dentro de los Órganos Superiores del Sujeto Obligado, se encuentra la Junta de Gobierno, que tiene entre sus facultades y obligaciones, la de aprobar el reglamento interno y la organización general del Sistema Municipal, así como los manuales de procedimientos y servicios al público. </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atención a lo anterior, se advierte que el Sujeto Obligado es competente para conocer de la información que corresponde a su normatividad y al catálogo de trámites y servicios que lleva a cabo, sin embargo, la información puede constar en español y no en la lengua en la que fue solicitada, por tanto, es procedente analizar el contexto normativo y aplicable al caso que nos ocupa.</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tenor, se advierte que el Particular pretende acceder información en una lengua indígena, en este sentido, es pertinente recordar que en el marco jurídico internacional; las Naciones Unidas, a través de la Asamblea General, emitieron en dos mil diecisiete la Declaración de las Naciones Unidas sobre los Derechos de los Pueblos Indígenas; de la cual, México fue uno de los países adherentes; y que, en dicha declaración en su artículo primero, señala que los indígenas, como pueblos o individuos, tienen derecho al disfrute pleno de sus derechos humanos.</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2° de la citada Declaración prevé que los pueblos e individuos indígenas son libres e iguales para ejercer sus derechos, sin que, en su ejercicio, medie ningún tipo de discriminación en su contra, aún más, cuando se trate de una discriminación con motivo de su origen o identidad indígena. </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el artículo 1° de la Constitución Política de los Estados Unidos Mexicanos prevé, el reconocimiento de los derechos humanos que contempla la misma Constitución, así como aquellos que deriven de los tratados internacionales en los que el Estado Mexicano sea parte; por lo que se prevé la garantía a todas las personas para que gocen de los derechos humanos que reconoce la propia Constitución, así como los contemplados en los diversos tratados internacionales en materia de derechos humanos en los que México forme parte.</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igual forma, el artículo prevé que en el ejercicio de los derechos no debe existir discriminación alguna; y que la garantía de los derechos humanos debe aplicarse en su mayor espectro de protección a la persona. Por su parte, el artículo 2° de la Constitución Política de los Estados Unidos Mexicanos, establece la libre determinación de los pueblos indígenas, de forma tal que se les reconoce y se les ofrecen mecanismos para garantizar el ejercicio de sus derechos.</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el artículo 6 de la Constitución Política de los Estados Unidos Mexicanos, reconoce y garantiza el derecho de acceso a la información pública; que establece la posibilidad de dar libre y plural acceso a la información que los Sujetos Obligados generan en ejercicio de sus facultades, competencias o funciones; además de prever la difusión de la información y la aplicación del principio de máxima publicidad en favor de la población.</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orden de ideas, debe entenderse que, en el ejercicio y garantía del derecho de transparencia y acceso a la información pública, debe mediar la mayor protección en favor de la persona que pretende ejercerlo; lo que involucra aplicar el </w:t>
      </w:r>
      <w:r>
        <w:rPr>
          <w:rFonts w:ascii="Palatino Linotype" w:eastAsia="Palatino Linotype" w:hAnsi="Palatino Linotype" w:cs="Palatino Linotype"/>
          <w:b/>
          <w:sz w:val="22"/>
          <w:szCs w:val="22"/>
        </w:rPr>
        <w:t xml:space="preserve">principio </w:t>
      </w:r>
      <w:r>
        <w:rPr>
          <w:rFonts w:ascii="Palatino Linotype" w:eastAsia="Palatino Linotype" w:hAnsi="Palatino Linotype" w:cs="Palatino Linotype"/>
          <w:b/>
          <w:i/>
          <w:sz w:val="22"/>
          <w:szCs w:val="22"/>
        </w:rPr>
        <w:t xml:space="preserve">pro hominem </w:t>
      </w:r>
      <w:r>
        <w:rPr>
          <w:rFonts w:ascii="Palatino Linotype" w:eastAsia="Palatino Linotype" w:hAnsi="Palatino Linotype" w:cs="Palatino Linotype"/>
          <w:b/>
          <w:sz w:val="22"/>
          <w:szCs w:val="22"/>
        </w:rPr>
        <w:t xml:space="preserve">o también llamado principio </w:t>
      </w:r>
      <w:r>
        <w:rPr>
          <w:rFonts w:ascii="Palatino Linotype" w:eastAsia="Palatino Linotype" w:hAnsi="Palatino Linotype" w:cs="Palatino Linotype"/>
          <w:b/>
          <w:i/>
          <w:sz w:val="22"/>
          <w:szCs w:val="22"/>
        </w:rPr>
        <w:t>pro persona;</w:t>
      </w:r>
      <w:r>
        <w:rPr>
          <w:rFonts w:ascii="Palatino Linotype" w:eastAsia="Palatino Linotype" w:hAnsi="Palatino Linotype" w:cs="Palatino Linotype"/>
          <w:sz w:val="22"/>
          <w:szCs w:val="22"/>
        </w:rPr>
        <w:t xml:space="preserve"> que, en el presente fallo, se nombrará en futuras ocasiones como principio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w:t>
      </w:r>
      <w:r>
        <w:rPr>
          <w:rFonts w:ascii="Palatino Linotype" w:eastAsia="Palatino Linotype" w:hAnsi="Palatino Linotype" w:cs="Palatino Linotype"/>
          <w:sz w:val="22"/>
          <w:szCs w:val="22"/>
        </w:rPr>
        <w:t xml:space="preserve"> a fin de contribuir a un lenguaje inclusivo.</w:t>
      </w:r>
    </w:p>
    <w:p w:rsidR="00863FCF" w:rsidRDefault="00863FCF">
      <w:pPr>
        <w:tabs>
          <w:tab w:val="left" w:pos="284"/>
        </w:tabs>
        <w:spacing w:line="360" w:lineRule="auto"/>
        <w:jc w:val="both"/>
        <w:rPr>
          <w:rFonts w:ascii="Palatino Linotype" w:eastAsia="Palatino Linotype" w:hAnsi="Palatino Linotype" w:cs="Palatino Linotype"/>
          <w:sz w:val="22"/>
          <w:szCs w:val="22"/>
        </w:rPr>
      </w:pPr>
    </w:p>
    <w:p w:rsidR="00863FCF" w:rsidRDefault="00A304AE">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es pertinente contextualizar los parámetros del principio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 </w:t>
      </w:r>
      <w:r>
        <w:rPr>
          <w:rFonts w:ascii="Palatino Linotype" w:eastAsia="Palatino Linotype" w:hAnsi="Palatino Linotype" w:cs="Palatino Linotype"/>
          <w:sz w:val="22"/>
          <w:szCs w:val="22"/>
        </w:rPr>
        <w:t xml:space="preserve">al respecto, Mireya Castañeda Hernández en su libro </w:t>
      </w:r>
      <w:r>
        <w:rPr>
          <w:rFonts w:ascii="Palatino Linotype" w:eastAsia="Palatino Linotype" w:hAnsi="Palatino Linotype" w:cs="Palatino Linotype"/>
          <w:i/>
          <w:sz w:val="22"/>
          <w:szCs w:val="22"/>
        </w:rPr>
        <w:t xml:space="preserve">El principio pro persona ante la ponderación de derecho, </w:t>
      </w:r>
      <w:r>
        <w:rPr>
          <w:rFonts w:ascii="Palatino Linotype" w:eastAsia="Palatino Linotype" w:hAnsi="Palatino Linotype" w:cs="Palatino Linotype"/>
          <w:sz w:val="22"/>
          <w:szCs w:val="22"/>
        </w:rPr>
        <w:t xml:space="preserve">editorial CNDH México, 2017; en el que retoma la definición del principio </w:t>
      </w:r>
      <w:r>
        <w:rPr>
          <w:rFonts w:ascii="Palatino Linotype" w:eastAsia="Palatino Linotype" w:hAnsi="Palatino Linotype" w:cs="Palatino Linotype"/>
          <w:i/>
          <w:sz w:val="22"/>
          <w:szCs w:val="22"/>
        </w:rPr>
        <w:t xml:space="preserve">pro </w:t>
      </w:r>
      <w:proofErr w:type="spellStart"/>
      <w:r>
        <w:rPr>
          <w:rFonts w:ascii="Palatino Linotype" w:eastAsia="Palatino Linotype" w:hAnsi="Palatino Linotype" w:cs="Palatino Linotype"/>
          <w:i/>
          <w:sz w:val="22"/>
          <w:szCs w:val="22"/>
        </w:rPr>
        <w:t>homine</w:t>
      </w:r>
      <w:proofErr w:type="spellEnd"/>
      <w:r>
        <w:rPr>
          <w:rFonts w:ascii="Palatino Linotype" w:eastAsia="Palatino Linotype" w:hAnsi="Palatino Linotype" w:cs="Palatino Linotype"/>
          <w:sz w:val="22"/>
          <w:szCs w:val="22"/>
        </w:rPr>
        <w:t xml:space="preserve"> que ofrece Mónica Pinto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 xml:space="preserve">en el que se prevé que se debe acudir a la norma más amplia e interpretación más excesivo cuando se reconocen derechos.  Así pues, se determina que el principio </w:t>
      </w:r>
      <w:r>
        <w:rPr>
          <w:rFonts w:ascii="Palatino Linotype" w:eastAsia="Palatino Linotype" w:hAnsi="Palatino Linotype" w:cs="Palatino Linotype"/>
          <w:i/>
          <w:sz w:val="22"/>
          <w:szCs w:val="22"/>
        </w:rPr>
        <w:t>pro persona</w:t>
      </w:r>
      <w:r>
        <w:rPr>
          <w:rFonts w:ascii="Palatino Linotype" w:eastAsia="Palatino Linotype" w:hAnsi="Palatino Linotype" w:cs="Palatino Linotype"/>
          <w:sz w:val="22"/>
          <w:szCs w:val="22"/>
        </w:rPr>
        <w:t xml:space="preserve"> cumple con su objetivo al lograr la interpretación más amplia y extensiva </w:t>
      </w:r>
      <w:r>
        <w:rPr>
          <w:rFonts w:ascii="Palatino Linotype" w:eastAsia="Palatino Linotype" w:hAnsi="Palatino Linotype" w:cs="Palatino Linotype"/>
          <w:sz w:val="22"/>
          <w:szCs w:val="22"/>
        </w:rPr>
        <w:lastRenderedPageBreak/>
        <w:t>de las normas a fin de reconocer derechos protegidos o bien de establecer restricciones permanentes al ejercicio de los derechos.</w:t>
      </w:r>
    </w:p>
    <w:p w:rsidR="00863FCF" w:rsidRDefault="00863FCF">
      <w:pPr>
        <w:tabs>
          <w:tab w:val="left" w:pos="284"/>
        </w:tabs>
        <w:spacing w:line="360" w:lineRule="auto"/>
        <w:jc w:val="both"/>
        <w:rPr>
          <w:rFonts w:ascii="Palatino Linotype" w:eastAsia="Palatino Linotype" w:hAnsi="Palatino Linotype" w:cs="Palatino Linotype"/>
          <w:sz w:val="22"/>
          <w:szCs w:val="22"/>
        </w:rPr>
      </w:pPr>
    </w:p>
    <w:p w:rsidR="00863FCF" w:rsidRDefault="00A304AE">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la Dra. Graciela Romero Silvera, es su publicación </w:t>
      </w:r>
      <w:r>
        <w:rPr>
          <w:rFonts w:ascii="Palatino Linotype" w:eastAsia="Palatino Linotype" w:hAnsi="Palatino Linotype" w:cs="Palatino Linotype"/>
          <w:i/>
          <w:sz w:val="22"/>
          <w:szCs w:val="22"/>
        </w:rPr>
        <w:t xml:space="preserve">Implicaciones jurídicas del desarrollo del derecho de acceso a la información pública en el marco del derecho a la libertad de expresión y los derechos humanos, </w:t>
      </w:r>
      <w:r>
        <w:rPr>
          <w:rFonts w:ascii="Palatino Linotype" w:eastAsia="Palatino Linotype" w:hAnsi="Palatino Linotype" w:cs="Palatino Linotype"/>
          <w:sz w:val="22"/>
          <w:szCs w:val="22"/>
        </w:rPr>
        <w:t xml:space="preserve">publicado a través de la Corte Iberoamericana de Derechos Humanos, 2010; retoma que la Corte Interamericana ya emitió pronunciamiento al destacar la importancia del principio </w:t>
      </w:r>
      <w:r>
        <w:rPr>
          <w:rFonts w:ascii="Palatino Linotype" w:eastAsia="Palatino Linotype" w:hAnsi="Palatino Linotype" w:cs="Palatino Linotype"/>
          <w:i/>
          <w:sz w:val="22"/>
          <w:szCs w:val="22"/>
        </w:rPr>
        <w:t xml:space="preserve">pro </w:t>
      </w:r>
      <w:proofErr w:type="spellStart"/>
      <w:r>
        <w:rPr>
          <w:rFonts w:ascii="Palatino Linotype" w:eastAsia="Palatino Linotype" w:hAnsi="Palatino Linotype" w:cs="Palatino Linotype"/>
          <w:i/>
          <w:sz w:val="22"/>
          <w:szCs w:val="22"/>
        </w:rPr>
        <w:t>hominen</w:t>
      </w:r>
      <w:proofErr w:type="spellEnd"/>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 xml:space="preserve">según el cual, de conformidad con la Convención de Viena, emana a su vez del objeto y fin de los tratados de protección de derechos humanos, puesto que implica tener en cuenta la labor de intérprete. </w:t>
      </w:r>
    </w:p>
    <w:p w:rsidR="00863FCF" w:rsidRDefault="00863FCF">
      <w:pPr>
        <w:tabs>
          <w:tab w:val="left" w:pos="284"/>
        </w:tabs>
        <w:spacing w:line="360" w:lineRule="auto"/>
        <w:jc w:val="both"/>
        <w:rPr>
          <w:rFonts w:ascii="Palatino Linotype" w:eastAsia="Palatino Linotype" w:hAnsi="Palatino Linotype" w:cs="Palatino Linotype"/>
          <w:sz w:val="22"/>
          <w:szCs w:val="22"/>
        </w:rPr>
      </w:pPr>
    </w:p>
    <w:p w:rsidR="00863FCF" w:rsidRDefault="00A304AE">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Ximena Medellín </w:t>
      </w:r>
      <w:proofErr w:type="spellStart"/>
      <w:r>
        <w:rPr>
          <w:rFonts w:ascii="Palatino Linotype" w:eastAsia="Palatino Linotype" w:hAnsi="Palatino Linotype" w:cs="Palatino Linotype"/>
          <w:sz w:val="22"/>
          <w:szCs w:val="22"/>
        </w:rPr>
        <w:t>Urquiaga</w:t>
      </w:r>
      <w:proofErr w:type="spellEnd"/>
      <w:r>
        <w:rPr>
          <w:rFonts w:ascii="Palatino Linotype" w:eastAsia="Palatino Linotype" w:hAnsi="Palatino Linotype" w:cs="Palatino Linotype"/>
          <w:sz w:val="22"/>
          <w:szCs w:val="22"/>
        </w:rPr>
        <w:t>, en su libro Principio</w:t>
      </w:r>
      <w:r>
        <w:rPr>
          <w:rFonts w:ascii="Palatino Linotype" w:eastAsia="Palatino Linotype" w:hAnsi="Palatino Linotype" w:cs="Palatino Linotype"/>
          <w:i/>
          <w:sz w:val="22"/>
          <w:szCs w:val="22"/>
        </w:rPr>
        <w:t xml:space="preserve">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 </w:t>
      </w:r>
      <w:r>
        <w:rPr>
          <w:rFonts w:ascii="Palatino Linotype" w:eastAsia="Palatino Linotype" w:hAnsi="Palatino Linotype" w:cs="Palatino Linotype"/>
          <w:sz w:val="22"/>
          <w:szCs w:val="22"/>
        </w:rPr>
        <w:t xml:space="preserve">Publicado por la Comisión de Derechos Humanos del Distrito Federal, por la Suprema Corte de Justicia de la Nación y por la Oficina en México del Alto Comisionado de las Naciones Unidas para los Derechos Humanos, en 2013; señala respecto a la interpretación en el marco del principio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 y de interpretación evolutiva, </w:t>
      </w:r>
      <w:r>
        <w:rPr>
          <w:rFonts w:ascii="Palatino Linotype" w:eastAsia="Palatino Linotype" w:hAnsi="Palatino Linotype" w:cs="Palatino Linotype"/>
          <w:sz w:val="22"/>
          <w:szCs w:val="22"/>
        </w:rPr>
        <w:t>que la protección de la persona implica, que quien interprete la norma debe reconocer el contexto social de su decisión y entender sus efectos.</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Así pues, podemos entender que la Constitución Política de los Estados Unidos Mexicanos, prevé la posibilidad de aplicar un principio de máxima protección en favor de la persona que pretende ejercer el derecho de acceso a la información pública, lo que se traduce en la aplicación del principio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w:t>
      </w:r>
    </w:p>
    <w:p w:rsidR="00863FCF" w:rsidRDefault="00863FCF">
      <w:pPr>
        <w:spacing w:line="360" w:lineRule="auto"/>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En este contexto normativo internacional y nacional, la Ley de Transparencia y Acceso a la Información Pública del Estado de México y Municipios; establece en su artículo 11, segundo párrafo que los Sujetos Obligados deben buscar en todo momento que la información </w:t>
      </w:r>
      <w:r>
        <w:rPr>
          <w:rFonts w:ascii="Palatino Linotype" w:eastAsia="Palatino Linotype" w:hAnsi="Palatino Linotype" w:cs="Palatino Linotype"/>
          <w:sz w:val="22"/>
          <w:szCs w:val="22"/>
        </w:rPr>
        <w:lastRenderedPageBreak/>
        <w:t xml:space="preserve">generada tenga un lenguaje sencillo para cualquier persona y </w:t>
      </w:r>
      <w:r>
        <w:rPr>
          <w:rFonts w:ascii="Palatino Linotype" w:eastAsia="Palatino Linotype" w:hAnsi="Palatino Linotype" w:cs="Palatino Linotype"/>
          <w:b/>
          <w:sz w:val="22"/>
          <w:szCs w:val="22"/>
        </w:rPr>
        <w:t xml:space="preserve">en la medida de lo posible, su traducción a lenguas indígenas. </w:t>
      </w:r>
      <w:r>
        <w:rPr>
          <w:rFonts w:ascii="Palatino Linotype" w:eastAsia="Palatino Linotype" w:hAnsi="Palatino Linotype" w:cs="Palatino Linotype"/>
          <w:sz w:val="22"/>
          <w:szCs w:val="22"/>
        </w:rPr>
        <w:t xml:space="preserve">Por otra parte, el artículo 15 de la misma Ley, establece que toda persona tiene el derecho al acceso a la información sin discriminación alguna. </w:t>
      </w: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artículos anteriores, se desprende que los Sujetos Obligados, tienen la obligación de realizar las gestiones, en la medida de sus posibilidades, para traducir la información a las lenguas indígenas, sobre todo en aquellas con las que cuenta el Estado de México; ello con la finalidad de garantizar que la información sea accesible a todas las personas que pretendan acceder a ella.</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mismo sentido, el penúltimo párrafo del artículo 53 de la Ley de Transparencia de nuestra Entidad, establece que dentro de las facultades con las que cuentan las Unidades de Transparencia, se encuentra, la de buscar una coadyuvar con instituciones públicas especializadas a fin de dar atención a las solicitudes de información en formatos accesibles; es decir, en lenguas indígenas, braille o cualquier otra.</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Aunado a lo anterior, el artículo 81 de la misma Ley establece que se debe buscar en todo momento que la información publicada sea accesible a toda la población, sin distinción alguna; lo que involucra una acción de inclusión, y se busque la publicación de la información tanto en lengua indígena, como en aquellos medios que faciliten el acceso a las personas con discapacidad.</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Cabe precisar que el Instituto Nacional de Transparencia, Acceso a la Información y Protección de Datos Personales (INAI), emitió los Lineamientos que los Sujetos Obligados deben seguir al momento de generar información, en un lenguaje sencillo, con accesibilidad y traducción a lenguas indígenas, publicado en el Diario Oficial de la Federación el doce de febrero de dos mil dieciséis, del cual destaca el Capítulo IV, dedicado a la traducción y generación de la </w:t>
      </w:r>
      <w:r>
        <w:rPr>
          <w:rFonts w:ascii="Palatino Linotype" w:eastAsia="Palatino Linotype" w:hAnsi="Palatino Linotype" w:cs="Palatino Linotype"/>
          <w:sz w:val="22"/>
          <w:szCs w:val="22"/>
        </w:rPr>
        <w:lastRenderedPageBreak/>
        <w:t>información en lenguas indígenas; de los cuales destacan los artículos Décimo segundo, Décimo tercero y Décimo octavo que a la letra señalan:</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“Décimo segundo. </w:t>
      </w:r>
      <w:r>
        <w:rPr>
          <w:rFonts w:ascii="Palatino Linotype" w:eastAsia="Palatino Linotype" w:hAnsi="Palatino Linotype" w:cs="Palatino Linotype"/>
          <w:i/>
        </w:rPr>
        <w:t>Los sujetos obligados deberán tener disponibles</w:t>
      </w:r>
      <w:r>
        <w:rPr>
          <w:rFonts w:ascii="Palatino Linotype" w:eastAsia="Palatino Linotype" w:hAnsi="Palatino Linotype" w:cs="Palatino Linotype"/>
          <w:b/>
          <w:i/>
        </w:rPr>
        <w:t>, en la medida de lo posible</w:t>
      </w:r>
      <w:r>
        <w:rPr>
          <w:rFonts w:ascii="Palatino Linotype" w:eastAsia="Palatino Linotype" w:hAnsi="Palatino Linotype" w:cs="Palatino Linotype"/>
          <w:i/>
        </w:rPr>
        <w:t xml:space="preserve">, en forma impresa y medios electrónicos con los que cuenten, </w:t>
      </w:r>
      <w:r>
        <w:rPr>
          <w:rFonts w:ascii="Palatino Linotype" w:eastAsia="Palatino Linotype" w:hAnsi="Palatino Linotype" w:cs="Palatino Linotype"/>
          <w:b/>
          <w:i/>
        </w:rPr>
        <w:t>las leyes, reglamentos y todo el marco normativo aplicable</w:t>
      </w:r>
      <w:r>
        <w:rPr>
          <w:rFonts w:ascii="Palatino Linotype" w:eastAsia="Palatino Linotype" w:hAnsi="Palatino Linotype" w:cs="Palatino Linotype"/>
          <w:i/>
        </w:rPr>
        <w:t xml:space="preserve">, así como los contenidos relacionados con programas, obras y servicios, sociales y culturales incluyendo los formatos accesibles los cuales deberán estar en la lengua o lenguas de sus correspondientes poblaciones indígenas </w:t>
      </w:r>
      <w:r>
        <w:rPr>
          <w:rFonts w:ascii="Palatino Linotype" w:eastAsia="Palatino Linotype" w:hAnsi="Palatino Linotype" w:cs="Palatino Linotype"/>
          <w:b/>
          <w:i/>
        </w:rPr>
        <w:t>o por lo menos en la lengua que sea hablada preponderantemente.</w:t>
      </w:r>
    </w:p>
    <w:p w:rsidR="00863FCF" w:rsidRDefault="00863FCF">
      <w:pPr>
        <w:spacing w:line="360" w:lineRule="auto"/>
        <w:ind w:left="567" w:right="539"/>
        <w:jc w:val="both"/>
        <w:rPr>
          <w:rFonts w:ascii="Palatino Linotype" w:eastAsia="Palatino Linotype" w:hAnsi="Palatino Linotype" w:cs="Palatino Linotype"/>
          <w:i/>
        </w:rPr>
      </w:pPr>
    </w:p>
    <w:p w:rsidR="00863FCF" w:rsidRDefault="00A304AE">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Décimo tercero. </w:t>
      </w:r>
      <w:r>
        <w:rPr>
          <w:rFonts w:ascii="Palatino Linotype" w:eastAsia="Palatino Linotype" w:hAnsi="Palatino Linotype" w:cs="Palatino Linotype"/>
          <w:i/>
        </w:rPr>
        <w:t xml:space="preserve">Cuando la información pública corresponda </w:t>
      </w:r>
      <w:r>
        <w:rPr>
          <w:rFonts w:ascii="Palatino Linotype" w:eastAsia="Palatino Linotype" w:hAnsi="Palatino Linotype" w:cs="Palatino Linotype"/>
          <w:b/>
          <w:i/>
        </w:rPr>
        <w:t>a las obligaciones de transparencia</w:t>
      </w:r>
      <w:r>
        <w:rPr>
          <w:rFonts w:ascii="Palatino Linotype" w:eastAsia="Palatino Linotype" w:hAnsi="Palatino Linotype" w:cs="Palatino Linotype"/>
          <w:i/>
        </w:rPr>
        <w:t xml:space="preserve"> previstas en el Capítulo II, del Título Quinto de la Ley General </w:t>
      </w:r>
      <w:r>
        <w:rPr>
          <w:rFonts w:ascii="Palatino Linotype" w:eastAsia="Palatino Linotype" w:hAnsi="Palatino Linotype" w:cs="Palatino Linotype"/>
          <w:b/>
          <w:i/>
        </w:rPr>
        <w:t>y se encuentre vinculada de cualquier forma con alguna o diversas poblaciones indígenas</w:t>
      </w:r>
      <w:r>
        <w:rPr>
          <w:rFonts w:ascii="Palatino Linotype" w:eastAsia="Palatino Linotype" w:hAnsi="Palatino Linotype" w:cs="Palatino Linotype"/>
          <w:i/>
        </w:rPr>
        <w:t xml:space="preserve"> comprendidas en uno o varios municipios del país, el sujeto obligado responsable de la misma, en un plazo que no exceda de tres meses para actualizar su información pública, </w:t>
      </w:r>
      <w:r>
        <w:rPr>
          <w:rFonts w:ascii="Palatino Linotype" w:eastAsia="Palatino Linotype" w:hAnsi="Palatino Linotype" w:cs="Palatino Linotype"/>
          <w:b/>
          <w:i/>
        </w:rPr>
        <w:t>deberá generar una versión de la información en la lengua o lenguas indígenas de las respectivas poblaciones.</w:t>
      </w:r>
    </w:p>
    <w:p w:rsidR="00863FCF" w:rsidRDefault="00863FCF">
      <w:pPr>
        <w:spacing w:line="360" w:lineRule="auto"/>
        <w:ind w:left="567" w:right="539"/>
        <w:jc w:val="both"/>
        <w:rPr>
          <w:rFonts w:ascii="Palatino Linotype" w:eastAsia="Palatino Linotype" w:hAnsi="Palatino Linotype" w:cs="Palatino Linotype"/>
          <w:i/>
        </w:rPr>
      </w:pPr>
    </w:p>
    <w:p w:rsidR="00863FCF" w:rsidRDefault="00A304AE">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En caso de que no pueda realizarse la traducción</w:t>
      </w:r>
      <w:r>
        <w:rPr>
          <w:rFonts w:ascii="Palatino Linotype" w:eastAsia="Palatino Linotype" w:hAnsi="Palatino Linotype" w:cs="Palatino Linotype"/>
          <w:i/>
        </w:rPr>
        <w:t xml:space="preserve">, el área que cuente con la información hará del conocimiento del Comité de Transparencia dicha circunstancia, de manera fundada y motivada, para que éste resuelva sobre la </w:t>
      </w:r>
      <w:r>
        <w:rPr>
          <w:rFonts w:ascii="Palatino Linotype" w:eastAsia="Palatino Linotype" w:hAnsi="Palatino Linotype" w:cs="Palatino Linotype"/>
          <w:b/>
          <w:i/>
        </w:rPr>
        <w:t>procedencia de la traducción de la información a lenguas indígenas conforme la progresiva incorporación de acuerdo con su disponibilidad presupuestaria.</w:t>
      </w:r>
    </w:p>
    <w:p w:rsidR="00863FCF" w:rsidRDefault="00863FCF">
      <w:pPr>
        <w:spacing w:line="360" w:lineRule="auto"/>
        <w:ind w:left="567" w:right="539"/>
        <w:jc w:val="both"/>
        <w:rPr>
          <w:rFonts w:ascii="Palatino Linotype" w:eastAsia="Palatino Linotype" w:hAnsi="Palatino Linotype" w:cs="Palatino Linotype"/>
          <w:i/>
        </w:rPr>
      </w:pPr>
    </w:p>
    <w:p w:rsidR="00863FCF" w:rsidRDefault="00A304AE">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Por lo anterior, los sujetos obligados incorporarán gradual y progresivamente en su portal de Internet, los contenidos de información de mayor demanda, en la lengua o lenguas indígenas que sean empleadas en las solicitudes de acceso a la información que reciban, conforme a la previsión y disponibilidad presupuestaria.</w:t>
      </w:r>
    </w:p>
    <w:p w:rsidR="00863FCF" w:rsidRDefault="00A304AE">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rsidR="00863FCF" w:rsidRDefault="00A304AE">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 xml:space="preserve">Décimo octavo. </w:t>
      </w:r>
      <w:r>
        <w:rPr>
          <w:rFonts w:ascii="Palatino Linotype" w:eastAsia="Palatino Linotype" w:hAnsi="Palatino Linotype" w:cs="Palatino Linotype"/>
          <w:i/>
        </w:rPr>
        <w:t xml:space="preserve">Para la traducción de la información a una lengua indígena, el área requerida del sujeto obligado, conforme a su previsión </w:t>
      </w:r>
      <w:r>
        <w:rPr>
          <w:rFonts w:ascii="Palatino Linotype" w:eastAsia="Palatino Linotype" w:hAnsi="Palatino Linotype" w:cs="Palatino Linotype"/>
          <w:b/>
          <w:i/>
        </w:rPr>
        <w:t>podrá realizar internamente las gestiones necesarias</w:t>
      </w:r>
      <w:r>
        <w:rPr>
          <w:rFonts w:ascii="Palatino Linotype" w:eastAsia="Palatino Linotype" w:hAnsi="Palatino Linotype" w:cs="Palatino Linotype"/>
          <w:i/>
        </w:rPr>
        <w:t xml:space="preserve"> para la contratación de peritos intérpretes o alguna de las personas incluidas en el Padrón Nacional de Intérpretes y Traductores en Lenguas Indígenas del Instituto Nacional de Lenguas Indígenas; para suscribir acuerdos o convenios con instituciones o personas especializadas, </w:t>
      </w:r>
      <w:r>
        <w:rPr>
          <w:rFonts w:ascii="Palatino Linotype" w:eastAsia="Palatino Linotype" w:hAnsi="Palatino Linotype" w:cs="Palatino Linotype"/>
          <w:b/>
          <w:i/>
        </w:rPr>
        <w:t>a fin de estar en condiciones adecuadas destinadas a la  entrega de respuestas a solicitudes de acceso a la información en lengua indígena.”</w:t>
      </w:r>
    </w:p>
    <w:p w:rsidR="00863FCF" w:rsidRDefault="00A304AE">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rPr>
        <w:t>(Énfasis añadido)</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los Lineamientos antes citados establecen que los sujetos obligados deben tener disponibles, en la medida de lo posible, el marco normativo y el contenido relacionados con programas, obras y servicios en la lengua o lenguas indígenas de sus correspondientes poblaciones y para realizar la traducción requerida podrán hacer las gestiones necesarias para la contratación de intérpretes o suscribir acuerdos o convenios con instituciones o personas especializadas para estar en condiciones de entregar las respuestas a las solicitudes de acceso a la información en lenguas indígenas, como lo es, en el presente caso, en lengua mazahua.</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Al respecto, cabe destacar que de conformidad con la información del Consejo Estatal para el Desarrollo Integral de los Pueblos Indígenas, en su página oficial; véase: </w:t>
      </w:r>
      <w:hyperlink r:id="rId10">
        <w:r>
          <w:rPr>
            <w:rFonts w:ascii="Palatino Linotype" w:eastAsia="Palatino Linotype" w:hAnsi="Palatino Linotype" w:cs="Palatino Linotype"/>
            <w:color w:val="000000"/>
            <w:sz w:val="22"/>
            <w:szCs w:val="22"/>
            <w:u w:val="single"/>
          </w:rPr>
          <w:t>https://cedipiem.edomex.gob.mx/ubicacion_mazahua</w:t>
        </w:r>
      </w:hyperlink>
      <w:r>
        <w:rPr>
          <w:rFonts w:ascii="Palatino Linotype" w:eastAsia="Palatino Linotype" w:hAnsi="Palatino Linotype" w:cs="Palatino Linotype"/>
          <w:sz w:val="22"/>
          <w:szCs w:val="22"/>
        </w:rPr>
        <w:t xml:space="preserve">; señala que </w:t>
      </w:r>
      <w:r>
        <w:rPr>
          <w:rFonts w:ascii="Palatino Linotype" w:eastAsia="Palatino Linotype" w:hAnsi="Palatino Linotype" w:cs="Palatino Linotype"/>
          <w:b/>
          <w:sz w:val="22"/>
          <w:szCs w:val="22"/>
        </w:rPr>
        <w:t>la población Mazahua o "</w:t>
      </w:r>
      <w:proofErr w:type="spellStart"/>
      <w:r>
        <w:rPr>
          <w:rFonts w:ascii="Palatino Linotype" w:eastAsia="Palatino Linotype" w:hAnsi="Palatino Linotype" w:cs="Palatino Linotype"/>
          <w:b/>
          <w:sz w:val="22"/>
          <w:szCs w:val="22"/>
        </w:rPr>
        <w:t>jñatjo</w:t>
      </w:r>
      <w:proofErr w:type="spellEnd"/>
      <w:r>
        <w:rPr>
          <w:rFonts w:ascii="Palatino Linotype" w:eastAsia="Palatino Linotype" w:hAnsi="Palatino Linotype" w:cs="Palatino Linotype"/>
          <w:b/>
          <w:sz w:val="22"/>
          <w:szCs w:val="22"/>
        </w:rPr>
        <w:t xml:space="preserve">" se encuentra en el Estado de México y se localiza mayoritariamente en 13 municipios rurales que son: Almoloya de Juárez, Atlacomulco, Donato Guerra, El Oro, Ixtapan del Oro, Ixtlahuaca, </w:t>
      </w:r>
      <w:proofErr w:type="spellStart"/>
      <w:r>
        <w:rPr>
          <w:rFonts w:ascii="Palatino Linotype" w:eastAsia="Palatino Linotype" w:hAnsi="Palatino Linotype" w:cs="Palatino Linotype"/>
          <w:b/>
          <w:sz w:val="22"/>
          <w:szCs w:val="22"/>
        </w:rPr>
        <w:t>Jocotitlán</w:t>
      </w:r>
      <w:proofErr w:type="spellEnd"/>
      <w:r>
        <w:rPr>
          <w:rFonts w:ascii="Palatino Linotype" w:eastAsia="Palatino Linotype" w:hAnsi="Palatino Linotype" w:cs="Palatino Linotype"/>
          <w:b/>
          <w:sz w:val="22"/>
          <w:szCs w:val="22"/>
        </w:rPr>
        <w:t xml:space="preserve">, San Felipe del Progreso, San José del Rincón, </w:t>
      </w:r>
      <w:proofErr w:type="spellStart"/>
      <w:r>
        <w:rPr>
          <w:rFonts w:ascii="Palatino Linotype" w:eastAsia="Palatino Linotype" w:hAnsi="Palatino Linotype" w:cs="Palatino Linotype"/>
          <w:b/>
          <w:sz w:val="22"/>
          <w:szCs w:val="22"/>
        </w:rPr>
        <w:t>Temascalcingo</w:t>
      </w:r>
      <w:proofErr w:type="spellEnd"/>
      <w:r>
        <w:rPr>
          <w:rFonts w:ascii="Palatino Linotype" w:eastAsia="Palatino Linotype" w:hAnsi="Palatino Linotype" w:cs="Palatino Linotype"/>
          <w:b/>
          <w:sz w:val="22"/>
          <w:szCs w:val="22"/>
        </w:rPr>
        <w:t>, Valle de Bravo, Villa de Allende y Villa Victoria.</w:t>
      </w:r>
    </w:p>
    <w:p w:rsidR="00863FCF" w:rsidRDefault="00863FCF">
      <w:pPr>
        <w:tabs>
          <w:tab w:val="left" w:pos="4962"/>
        </w:tabs>
        <w:spacing w:line="360" w:lineRule="auto"/>
        <w:jc w:val="both"/>
        <w:rPr>
          <w:rFonts w:ascii="Palatino Linotype" w:eastAsia="Palatino Linotype" w:hAnsi="Palatino Linotype" w:cs="Palatino Linotype"/>
          <w:b/>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la misma página se señala que de conformidad con el Censo de Población y Vivienda del año dos mil veinte, realizado por el Instituto Nacional de Estadística y Geografía (INEGI), en el Estado de México, hay 132 mil 710 personas hablantes de la lengua mazahua, que se encuentran asentados en la región noroccidental y centro-occidental del Estado de México; lo que implica que hay una gran cantidad de personas que pueden tener interés en conocer de la información solicitada y que no necesariamente pertenezcan a su municipio. </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en atención a lo antes expuesto, es dable determinar que en el presente caso, resulta fundamental observar la Declaración de las Naciones Unidas sobre los Derechos de los Pueblos Indígenas; a fin de garantizar que las personas indígenas, disfruten plenamente de sus derechos humanos, sin distinción alguna motivada por su origen étnico o lengua; asimismo, se aplica el principio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 </w:t>
      </w:r>
      <w:r>
        <w:rPr>
          <w:rFonts w:ascii="Palatino Linotype" w:eastAsia="Palatino Linotype" w:hAnsi="Palatino Linotype" w:cs="Palatino Linotype"/>
          <w:sz w:val="22"/>
          <w:szCs w:val="22"/>
        </w:rPr>
        <w:t>en la interpretación y aplicación de normas jurídicas que rigen el ejercicio de los derechos de transparencia y acceso a la información pública, de forma tal, que implique la máxima protección en favor de la persona y la máxima publicidad de la información.</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caso concreto que nos ocupa, se debe observar la Ley de Transparencia y Acceso a la Información Pública del Estado de México y Municipios; en el marco de aplicación de una máxima protección en favor del Recurrente; de forma tal que se prevea la posibilidad de dar acceso a la información, en la lengua solicitada; aún más, cuando la Ley que rige la materia dispone que los Sujetos Obligado deben garantizar el acceso más amplio a la información generada en ejercicio de sus funciones y que dicho acceso, implica una publicidad libre y plural.</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igual forma, la Ley de Transparencia y Acceso a la Información Pública del Estado de México y Municipios, prevé que los Sujetos Obligado deben, </w:t>
      </w:r>
      <w:r>
        <w:rPr>
          <w:rFonts w:ascii="Palatino Linotype" w:eastAsia="Palatino Linotype" w:hAnsi="Palatino Linotype" w:cs="Palatino Linotype"/>
          <w:b/>
          <w:sz w:val="22"/>
          <w:szCs w:val="22"/>
        </w:rPr>
        <w:t xml:space="preserve">en la medida de lo posible </w:t>
      </w:r>
      <w:r>
        <w:rPr>
          <w:rFonts w:ascii="Palatino Linotype" w:eastAsia="Palatino Linotype" w:hAnsi="Palatino Linotype" w:cs="Palatino Linotype"/>
          <w:b/>
          <w:sz w:val="22"/>
          <w:szCs w:val="22"/>
        </w:rPr>
        <w:lastRenderedPageBreak/>
        <w:t xml:space="preserve">realizar las gestiones necesarias para traducir </w:t>
      </w:r>
      <w:r>
        <w:rPr>
          <w:rFonts w:ascii="Palatino Linotype" w:eastAsia="Palatino Linotype" w:hAnsi="Palatino Linotype" w:cs="Palatino Linotype"/>
          <w:sz w:val="22"/>
          <w:szCs w:val="22"/>
        </w:rPr>
        <w:t xml:space="preserve">la información a lenguas indígenas; inclusive, que pueden apoyarse en instituciones públicas para garantizar el acceso a la información. </w:t>
      </w: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debe resaltar que la traducción de los documentos a alguna lengua indígena propicia la vinculación interinstitucional y la articulación de esfuerzos entre los distintos niveles de gobierno que promueve la participación de todos los agentes sociales, instituciones públicas y privadas, entre otros, con lo que se busca el uso de las lenguas indígenas nacionales en todos los ámbitos de la vida pública y se reconoce que las lenguas originarias tienen la misma validez que el español.</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cabe destacar que la normatividad y los trámites y servicios  tienen una naturaleza de información pública, lo anterior, de conformidad con lo dispuesto en el artículo 92, en sus fracciones I y XXIV, de la Ley de Transparencia y Acceso a la Información Pública del Estado de México y Municipios; mediante la cual se establece que dentro de las obligaciones de transparencia, se encuentran el marco normativo aplicable al Sujeto Obligado, en el que se incluyen los reglamentos, manuales de organización y procedimientos, entre otros; así como los trámites, requisitos y formatos que ofrecen, que debe ponerse a disposición del público de manera permanente, sencilla, precisa y entendible, en la forma en que se genera originalmente.</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es de reiterar que efectivamente el Sujeto Obligado no se encuentra constreñido a generar información nueva o bien, que implique el procesamiento de la información; lo cual comprende, generarla, resumirla, efectuar cálculos o practicar investigaciones; ello en términos del artículo 12 de la Ley de Transparencia y Acceso a la Información Pública del Estado de México y Municipios. Sin menoscabo de lo anterior, en el presente caso, la traducción de la información no involucra un procesamiento de la información, pues no involucra que se realice una generación de información que no existe, un resumen, un cálculo o investigación; sino que se trata de traducir un documento ya existente a otra lengua.</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cabe destacar que en la normatividad aporta elementos suficientes para considerar que el Sujeto Obligado debe garantizar el acceso a la información pública en el marco de la máxima protección y ejercicio de este derecho, lo que involucra que el Recurrente se le garantice su derecho a saber y a acceder a información pública, aún más, cuando se trata de información que forma parte de las obligaciones comunes en materia de transparencia.</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Sumado a lo anterior, debe considerarse que la Ley que rige la materia en el Estado de México prevé que, para el caso de las traducciones a lenguas indígenas, los Sujetos Obligados deben, en la medida de sus posibilidades, realizar las gestiones pertinentes para garantizar el acceso a la información.</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omite mencionar que, con el objetivo de brindar una adecuada atención en materia de transparencia, acceso a la información pública y protección de datos personales, a los integrantes de los pueblos y comunidades indígenas, el Sujeto Obligado puede solicitar la colaboración de otras dependencias para la traducción como puede ser, de manera enunciativa mas no limitativa, la Universidad Intercultural del Estado de México (UIEM).</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Cabe señalar que en el caso que nos ocupa el Sujeto Obligado a través de la Titular de Administración del Sujeto Obligado indicó ligas electrónicas para consultar el reglamento interno, el manual de organización y el catálogo de servicios en español en un formato no abierto. Al respecto, es preciso establecer que al proporcionar información pública es necesario que sea en un formato que no tenga ninguna restricción en el acceso o reutilización, por lo que, es necesario que los datos digitales (como ligas electrónicas), se proporcionen en un formato abierto.</w:t>
      </w: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rsidR="00863FCF" w:rsidRDefault="00A304AE">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Dato abierto:</w:t>
      </w:r>
      <w:r>
        <w:rPr>
          <w:rFonts w:ascii="Palatino Linotype" w:eastAsia="Palatino Linotype" w:hAnsi="Palatino Linotype" w:cs="Palatino Linotype"/>
          <w:sz w:val="22"/>
          <w:szCs w:val="22"/>
        </w:rPr>
        <w:t> Datos digitales de carácter público que son accesibles en línea que pueden ser usados, reutilizados y redistribuidos por cualquier persona, mismos que se conforman de diversas características, entre las cuales se encuentra que se encuentren en formatos abiertos.</w:t>
      </w: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rsidR="00863FCF" w:rsidRDefault="00A304AE">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Formato accesible:</w:t>
      </w:r>
      <w:r>
        <w:rPr>
          <w:rFonts w:ascii="Palatino Linotype" w:eastAsia="Palatino Linotype" w:hAnsi="Palatino Linotype" w:cs="Palatino Linotype"/>
          <w:sz w:val="22"/>
          <w:szCs w:val="22"/>
        </w:rPr>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w:t>
      </w:r>
      <w:r>
        <w:rPr>
          <w:rFonts w:ascii="Palatino Linotype" w:eastAsia="Palatino Linotype" w:hAnsi="Palatino Linotype" w:cs="Palatino Linotype"/>
          <w:sz w:val="22"/>
          <w:szCs w:val="22"/>
        </w:rPr>
        <w:lastRenderedPageBreak/>
        <w:t>de manera precisa a los solicitantes, la fuente, el lugar y la forma en que se puede obtener la información.</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Como se logra observar, el Sujeto Obligado si bien señaló varias páginas electrónicas, omitió proporcionarlas en formato abierto, lo cual implica la dificultad de acceder a las mismas, pues se traduce a que el Particular tendría que colocar cada dígito alfanumérico, y cuya equivocación implicaría no acceder a la información contenida en las mismas.</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menoscabo de lo anterior, este Organismo Garante revisó las ligas proporcionadas por el Sujeto Obligado y en resultado, se advirtió que de la liga otorgada para el reglamento interno y el manual de organización, no se desprende información alguna; respecto a la liga para atender el catálogo de servicios, se observan los trámites de varias dependencias del Ayuntamiento de Nezahualcóyotl y del Sujeto Obligado, sin embargo se observan en español; asimismo, de las constancias que integran el expediente que nos ocupa, no se acredita ninguna gestión con la finalidad de lograr la traducción, por tanto, no es posible tenerlo por atendido.</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que hace al reglamento interior de trabajo, informó que, para el caso de no contar con las condiciones generales de trabajo, se estará a lo dispuesto por la Ley del Trabajo de los Servidores Públicos del Estado de México; asimismo acompañó la respuesta con un oficio </w:t>
      </w:r>
      <w:r>
        <w:rPr>
          <w:rFonts w:ascii="Palatino Linotype" w:eastAsia="Palatino Linotype" w:hAnsi="Palatino Linotype" w:cs="Palatino Linotype"/>
        </w:rPr>
        <w:t xml:space="preserve">suscrito </w:t>
      </w:r>
      <w:r>
        <w:rPr>
          <w:rFonts w:ascii="Palatino Linotype" w:eastAsia="Palatino Linotype" w:hAnsi="Palatino Linotype" w:cs="Palatino Linotype"/>
          <w:sz w:val="22"/>
          <w:szCs w:val="22"/>
        </w:rPr>
        <w:t>por el Coordinador de Jurídico, en el que informó medialmente a la Titular de Administración, que no cuentan con Reglamento de condiciones generales de trabajo</w:t>
      </w:r>
      <w:r>
        <w:rPr>
          <w:rFonts w:ascii="Palatino Linotype" w:eastAsia="Palatino Linotype" w:hAnsi="Palatino Linotype" w:cs="Palatino Linotype"/>
        </w:rPr>
        <w:t>, que anexa</w:t>
      </w:r>
      <w:r>
        <w:rPr>
          <w:rFonts w:ascii="Palatino Linotype" w:eastAsia="Palatino Linotype" w:hAnsi="Palatino Linotype" w:cs="Palatino Linotype"/>
          <w:sz w:val="22"/>
          <w:szCs w:val="22"/>
        </w:rPr>
        <w:t xml:space="preserve"> un proyecto que debe ser consultado con los superiores jerárquicos, </w:t>
      </w:r>
      <w:r>
        <w:rPr>
          <w:rFonts w:ascii="Palatino Linotype" w:eastAsia="Palatino Linotype" w:hAnsi="Palatino Linotype" w:cs="Palatino Linotype"/>
        </w:rPr>
        <w:t>y que para el caso que no se cuente con un documento que avale las condiciones generales de trabajo, se deberá estar a lo establecido por la Ley del Trabajo de los Servidores Públicos del Estado de México y Municipios</w:t>
      </w:r>
      <w:r>
        <w:rPr>
          <w:rFonts w:ascii="Palatino Linotype" w:eastAsia="Palatino Linotype" w:hAnsi="Palatino Linotype" w:cs="Palatino Linotype"/>
          <w:sz w:val="22"/>
          <w:szCs w:val="22"/>
        </w:rPr>
        <w:t xml:space="preserve">, por lo que, se desprende que no cuenta con dicho reglamento, ante lo cual, no es dable solicitar la entrega de un documento que materialmente no existe.  </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tanto, es dable considerar que el Sujeto Obligado a través de respuesta no colmó lo solicitado, puesto que las ligas proporcionadas no se encontraban en datos abiertos y no se desprende de ellas toda la normatividad solicitada, asimismo, no se encuentran en lengua mazahua, ni se acreditó que haya generado alguna gestión para lograr la traducción, por tanto, resultan parcialmente fundados los motivos de inconformidad planteados por el Recurrente.</w:t>
      </w: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este Organismo Garante considera necesario que, en un ejercicio de máxima protección, de aplicación del principio </w:t>
      </w:r>
      <w:proofErr w:type="spellStart"/>
      <w:r>
        <w:rPr>
          <w:rFonts w:ascii="Palatino Linotype" w:eastAsia="Palatino Linotype" w:hAnsi="Palatino Linotype" w:cs="Palatino Linotype"/>
          <w:i/>
          <w:sz w:val="22"/>
          <w:szCs w:val="22"/>
        </w:rPr>
        <w:t>pro</w:t>
      </w:r>
      <w:proofErr w:type="spellEnd"/>
      <w:r>
        <w:rPr>
          <w:rFonts w:ascii="Palatino Linotype" w:eastAsia="Palatino Linotype" w:hAnsi="Palatino Linotype" w:cs="Palatino Linotype"/>
          <w:i/>
          <w:sz w:val="22"/>
          <w:szCs w:val="22"/>
        </w:rPr>
        <w:t xml:space="preserve"> persona,</w:t>
      </w:r>
      <w:r>
        <w:rPr>
          <w:rFonts w:ascii="Palatino Linotype" w:eastAsia="Palatino Linotype" w:hAnsi="Palatino Linotype" w:cs="Palatino Linotype"/>
          <w:sz w:val="22"/>
          <w:szCs w:val="22"/>
        </w:rPr>
        <w:t xml:space="preserve"> así como en el contexto normativo antes expuesto y, considerando que las personas solicitantes no solo forman parte de la circunscripción del Ayuntamiento de Nezahualcóyotl, aunado a que en el Estado de México se tiene constancia de la existencia de grupos que hablan la lengua indígena de la cual se solicita la traducción, por tanto, es dable </w:t>
      </w:r>
      <w:r>
        <w:rPr>
          <w:rFonts w:ascii="Palatino Linotype" w:eastAsia="Palatino Linotype" w:hAnsi="Palatino Linotype" w:cs="Palatino Linotype"/>
          <w:b/>
          <w:sz w:val="22"/>
          <w:szCs w:val="22"/>
        </w:rPr>
        <w:t xml:space="preserve">MODIFICAR </w:t>
      </w:r>
      <w:r>
        <w:rPr>
          <w:rFonts w:ascii="Palatino Linotype" w:eastAsia="Palatino Linotype" w:hAnsi="Palatino Linotype" w:cs="Palatino Linotype"/>
          <w:sz w:val="22"/>
          <w:szCs w:val="22"/>
        </w:rPr>
        <w:t>la respuesta del Sujeto Obligado, a fin de que, lleve a cabo las gestiones necesarias ante las instancias que estime competentes con la finalidad de realizar la traducción a lengua mazahua del reglamento interno, manual general de organización y catálogo de trámites y servicios, o sus documentos equivalentes traducidos, y de ser el caso, la entrega de la información solicitada ya traducida.</w:t>
      </w: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863FCF" w:rsidRDefault="00A304AE">
      <w:pPr>
        <w:spacing w:line="360" w:lineRule="auto"/>
        <w:jc w:val="both"/>
        <w:rPr>
          <w:rFonts w:ascii="Palatino Linotype" w:eastAsia="Palatino Linotype" w:hAnsi="Palatino Linotype" w:cs="Palatino Linotype"/>
          <w:sz w:val="22"/>
          <w:szCs w:val="22"/>
        </w:rPr>
      </w:pPr>
      <w:bookmarkStart w:id="1" w:name="_heading=h.30j0zll" w:colFirst="0" w:colLast="0"/>
      <w:bookmarkEnd w:id="1"/>
      <w:r>
        <w:rPr>
          <w:rFonts w:ascii="Palatino Linotype" w:eastAsia="Palatino Linotype" w:hAnsi="Palatino Linotype" w:cs="Palatino Linotype"/>
          <w:sz w:val="22"/>
          <w:szCs w:val="22"/>
        </w:rPr>
        <w:t>No se omite mencionar, que los documentos solicitados son de administración interna y regularmente se actualizan al inició de cada administración, por lo que, al encontrarnos casi al final de la administración municipal 2022- 2024, existe la posibilidad de que el tiempo que tarde el Sujeto Obligado en generar la traducción, los mismos pierdan vigencia, situación que debe valorarse al determinar, seleccionar o priorizar los documentos que deban traducirse.</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rsidR="00863FCF" w:rsidRDefault="00863FCF">
      <w:pPr>
        <w:spacing w:line="360" w:lineRule="auto"/>
        <w:jc w:val="both"/>
        <w:rPr>
          <w:rFonts w:ascii="Palatino Linotype" w:eastAsia="Palatino Linotype" w:hAnsi="Palatino Linotype" w:cs="Palatino Linotype"/>
          <w:b/>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MODIFICAR</w:t>
      </w:r>
      <w:r>
        <w:rPr>
          <w:rFonts w:ascii="Palatino Linotype" w:eastAsia="Palatino Linotype" w:hAnsi="Palatino Linotype" w:cs="Palatino Linotype"/>
          <w:sz w:val="22"/>
          <w:szCs w:val="22"/>
        </w:rPr>
        <w:t xml:space="preserve"> la respuesta otorgada por el Sujeto Obligado a la solicitud de información </w:t>
      </w:r>
      <w:r>
        <w:rPr>
          <w:rFonts w:ascii="Palatino Linotype" w:eastAsia="Palatino Linotype" w:hAnsi="Palatino Linotype" w:cs="Palatino Linotype"/>
          <w:b/>
          <w:sz w:val="22"/>
          <w:szCs w:val="22"/>
        </w:rPr>
        <w:t>00025/DIFNEZA/IP/2024</w:t>
      </w:r>
      <w:r>
        <w:rPr>
          <w:rFonts w:ascii="Palatino Linotype" w:eastAsia="Palatino Linotype" w:hAnsi="Palatino Linotype" w:cs="Palatino Linotype"/>
          <w:sz w:val="22"/>
          <w:szCs w:val="22"/>
        </w:rPr>
        <w:t xml:space="preserve">, por resultar fundadas las razones o motivos de inconformidad hechos valer por el Recurrente, en el Recurso de Revisión </w:t>
      </w:r>
      <w:r>
        <w:rPr>
          <w:rFonts w:ascii="Palatino Linotype" w:eastAsia="Palatino Linotype" w:hAnsi="Palatino Linotype" w:cs="Palatino Linotype"/>
          <w:b/>
          <w:sz w:val="22"/>
          <w:szCs w:val="22"/>
        </w:rPr>
        <w:t>02983/INFOEM/IP/RR/2024</w:t>
      </w:r>
      <w:r>
        <w:rPr>
          <w:rFonts w:ascii="Palatino Linotype" w:eastAsia="Palatino Linotype" w:hAnsi="Palatino Linotype" w:cs="Palatino Linotype"/>
          <w:sz w:val="22"/>
          <w:szCs w:val="22"/>
        </w:rPr>
        <w:t xml:space="preserve">, en consecuencia procede </w:t>
      </w:r>
      <w:r>
        <w:rPr>
          <w:rFonts w:ascii="Palatino Linotype" w:eastAsia="Palatino Linotype" w:hAnsi="Palatino Linotype" w:cs="Palatino Linotype"/>
          <w:b/>
          <w:sz w:val="22"/>
          <w:szCs w:val="22"/>
        </w:rPr>
        <w:t xml:space="preserve">ORDENAR, </w:t>
      </w:r>
      <w:r>
        <w:rPr>
          <w:rFonts w:ascii="Palatino Linotype" w:eastAsia="Palatino Linotype" w:hAnsi="Palatino Linotype" w:cs="Palatino Linotype"/>
          <w:sz w:val="22"/>
          <w:szCs w:val="22"/>
        </w:rPr>
        <w:t xml:space="preserve">la entrega de los documentos en los que consten las gestiones necesarias llevadas a cabo ante las instancias competentes con la finalidad realizar la traducción a lengua mazahua del reglamento interno, manual general de organización y catálogo de trámites y servicios, o sus documentos equivalentes traducidos; o en su caso, la entrega de la información traducida. </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que, logre generar las traducciones solicitadas, se recomienda solicitar apoyo a la Dirección General de Informática de este Instituto (</w:t>
      </w:r>
      <w:hyperlink r:id="rId11">
        <w:r>
          <w:rPr>
            <w:rFonts w:ascii="Palatino Linotype" w:eastAsia="Palatino Linotype" w:hAnsi="Palatino Linotype" w:cs="Palatino Linotype"/>
            <w:color w:val="0563C1"/>
            <w:sz w:val="22"/>
            <w:szCs w:val="22"/>
            <w:u w:val="single"/>
          </w:rPr>
          <w:t>soporte@itaipem.org.mx</w:t>
        </w:r>
      </w:hyperlink>
      <w:r>
        <w:rPr>
          <w:rFonts w:ascii="Palatino Linotype" w:eastAsia="Palatino Linotype" w:hAnsi="Palatino Linotype" w:cs="Palatino Linotype"/>
          <w:sz w:val="22"/>
          <w:szCs w:val="22"/>
        </w:rPr>
        <w:t>), a efecto de que, pueda cargar la información al SAIMEX.</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el Recurrente</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 xml:space="preserve">Se hace del conocimiento del Particular que este Organismo Garante determinó concederle la razón, puesto que el Sujeto Obligado entregó ligas electrónicas en un formato que no está abierto y no acreditó haber realizado las gestiones necesarias para lograr la traducción de la información solicitada; sin embargo, le informó que no cuenta con un reglamento interior de trabajo. </w:t>
      </w:r>
    </w:p>
    <w:p w:rsidR="00863FCF" w:rsidRDefault="00863FCF">
      <w:pPr>
        <w:spacing w:line="360" w:lineRule="auto"/>
        <w:jc w:val="both"/>
        <w:rPr>
          <w:rFonts w:ascii="Palatino Linotype" w:eastAsia="Palatino Linotype" w:hAnsi="Palatino Linotype" w:cs="Palatino Linotype"/>
          <w:sz w:val="22"/>
          <w:szCs w:val="22"/>
          <w:u w:val="single"/>
        </w:rPr>
      </w:pPr>
    </w:p>
    <w:p w:rsidR="00863FCF" w:rsidRDefault="00A304AE">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Se le recomienda, contactar al Sujeto Obligado a efecto de que le puedan proporcionar información sobre las posibles fechas de entrega por el sistema.</w:t>
      </w:r>
    </w:p>
    <w:p w:rsidR="00863FCF" w:rsidRDefault="00863FCF">
      <w:pPr>
        <w:spacing w:line="360" w:lineRule="auto"/>
        <w:jc w:val="both"/>
        <w:rPr>
          <w:rFonts w:ascii="Palatino Linotype" w:eastAsia="Palatino Linotype" w:hAnsi="Palatino Linotype" w:cs="Palatino Linotype"/>
          <w:sz w:val="22"/>
          <w:szCs w:val="22"/>
          <w:u w:val="single"/>
        </w:rPr>
      </w:pPr>
    </w:p>
    <w:p w:rsidR="00863FCF" w:rsidRDefault="00A304AE">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lastRenderedPageBreak/>
        <w:t>La labor del INFOEM, es apoyar a la población para acceder a la información pública y garantizar la protección de sus datos personales.</w:t>
      </w:r>
    </w:p>
    <w:p w:rsidR="00863FCF" w:rsidRDefault="00863FCF">
      <w:pPr>
        <w:tabs>
          <w:tab w:val="left" w:pos="4962"/>
        </w:tabs>
        <w:spacing w:line="360" w:lineRule="auto"/>
        <w:jc w:val="both"/>
        <w:rPr>
          <w:rFonts w:ascii="Palatino Linotype" w:eastAsia="Palatino Linotype" w:hAnsi="Palatino Linotype" w:cs="Palatino Linotype"/>
          <w:sz w:val="22"/>
          <w:szCs w:val="22"/>
        </w:rPr>
      </w:pPr>
    </w:p>
    <w:p w:rsidR="00863FCF" w:rsidRDefault="00A304AE">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rsidR="00863FCF" w:rsidRDefault="00863FCF">
      <w:pPr>
        <w:spacing w:line="360" w:lineRule="auto"/>
        <w:jc w:val="both"/>
        <w:rPr>
          <w:rFonts w:ascii="Palatino Linotype" w:eastAsia="Palatino Linotype" w:hAnsi="Palatino Linotype" w:cs="Palatino Linotype"/>
          <w:b/>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MODIFICA</w:t>
      </w:r>
      <w:r>
        <w:rPr>
          <w:rFonts w:ascii="Palatino Linotype" w:eastAsia="Palatino Linotype" w:hAnsi="Palatino Linotype" w:cs="Palatino Linotype"/>
          <w:sz w:val="22"/>
          <w:szCs w:val="22"/>
        </w:rPr>
        <w:t xml:space="preserve"> la respuesta entregada por el </w:t>
      </w:r>
      <w:r>
        <w:rPr>
          <w:rFonts w:ascii="Palatino Linotype" w:eastAsia="Palatino Linotype" w:hAnsi="Palatino Linotype" w:cs="Palatino Linotype"/>
          <w:b/>
          <w:sz w:val="22"/>
          <w:szCs w:val="22"/>
        </w:rPr>
        <w:t>Sistema Municipal para el Desarrollo Integral de la Familia de Nezahualcóyotl</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 la solicitud de información </w:t>
      </w:r>
      <w:r>
        <w:rPr>
          <w:rFonts w:ascii="Palatino Linotype" w:eastAsia="Palatino Linotype" w:hAnsi="Palatino Linotype" w:cs="Palatino Linotype"/>
          <w:b/>
          <w:sz w:val="22"/>
          <w:szCs w:val="22"/>
        </w:rPr>
        <w:t xml:space="preserve">00025/DIFNEZA/IP/2024 </w:t>
      </w:r>
      <w:r>
        <w:rPr>
          <w:rFonts w:ascii="Palatino Linotype" w:eastAsia="Palatino Linotype" w:hAnsi="Palatino Linotype" w:cs="Palatino Linotype"/>
          <w:sz w:val="22"/>
          <w:szCs w:val="22"/>
        </w:rPr>
        <w:t xml:space="preserve">por resultar parcialmente fundadas las razones o motivos de inconformidad hechos valer por el Recurrente en el Recurso de Revisión </w:t>
      </w:r>
      <w:r>
        <w:rPr>
          <w:rFonts w:ascii="Palatino Linotype" w:eastAsia="Palatino Linotype" w:hAnsi="Palatino Linotype" w:cs="Palatino Linotype"/>
          <w:b/>
          <w:sz w:val="22"/>
          <w:szCs w:val="22"/>
        </w:rPr>
        <w:t>02983/INFOEM/IP/RR/2024</w:t>
      </w:r>
      <w:r>
        <w:rPr>
          <w:rFonts w:ascii="Palatino Linotype" w:eastAsia="Palatino Linotype" w:hAnsi="Palatino Linotype" w:cs="Palatino Linotype"/>
          <w:sz w:val="22"/>
          <w:szCs w:val="22"/>
        </w:rPr>
        <w:t>, en términos de los considerandos QUINTO y SEXTO de la presente Resolución.</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Sujeto Obligado, haga entrega al Recurrente, mediante el SAIMEX, en términos del Considerando QUINTO, de los documentos en donde consten:</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gestiones necesarias llevadas a cabo ante las instancias que estime competentes con la finalidad realizar la traducción a lengua Mazahua del Reglamento Interno, Manual General de Organización y Catálogo de Trámites y Servicios o sus documentos equivalentes.</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ser el caso, se deberá hacer entrega mediante la misma vía de la información solicitada ya traducida.</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POR SAIMEX </w:t>
      </w:r>
      <w:r>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w:t>
      </w:r>
      <w:r>
        <w:rPr>
          <w:rFonts w:ascii="Palatino Linotype" w:eastAsia="Palatino Linotype" w:hAnsi="Palatino Linotype" w:cs="Palatino Linotype"/>
          <w:sz w:val="22"/>
          <w:szCs w:val="22"/>
        </w:rPr>
        <w:lastRenderedPageBreak/>
        <w:t>Estado de México y Municipios, dé cumplimiento a lo ordenado dentro del plazo de sesenta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POR SAIMEX </w:t>
      </w:r>
      <w:r>
        <w:rPr>
          <w:rFonts w:ascii="Palatino Linotype" w:eastAsia="Palatino Linotype" w:hAnsi="Palatino Linotype" w:cs="Palatino Linotype"/>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863FCF" w:rsidRDefault="00863FCF">
      <w:pPr>
        <w:spacing w:line="360" w:lineRule="auto"/>
        <w:jc w:val="both"/>
        <w:rPr>
          <w:rFonts w:ascii="Palatino Linotype" w:eastAsia="Palatino Linotype" w:hAnsi="Palatino Linotype" w:cs="Palatino Linotype"/>
          <w:sz w:val="22"/>
          <w:szCs w:val="22"/>
        </w:rPr>
      </w:pPr>
    </w:p>
    <w:p w:rsidR="00863FCF" w:rsidRDefault="00A304A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w:t>
      </w:r>
      <w:r w:rsidR="00F478B3">
        <w:rPr>
          <w:rFonts w:ascii="Palatino Linotype" w:eastAsia="Palatino Linotype" w:hAnsi="Palatino Linotype" w:cs="Palatino Linotype"/>
          <w:sz w:val="22"/>
          <w:szCs w:val="22"/>
        </w:rPr>
        <w:t xml:space="preserve">CON </w:t>
      </w:r>
      <w:r>
        <w:rPr>
          <w:rFonts w:ascii="Palatino Linotype" w:eastAsia="Palatino Linotype" w:hAnsi="Palatino Linotype" w:cs="Palatino Linotype"/>
          <w:sz w:val="22"/>
          <w:szCs w:val="22"/>
        </w:rPr>
        <w:t>OPINIÓN PARTICULAR, MARÍA DEL ROSARIO MEJÍA AYALA, SHARON CRISTINA MORALES MARTÍNEZ, LUIS GUSTAVO PARRA NORIEGA Y GUADALUPE RAMÍREZ PEÑA</w:t>
      </w:r>
      <w:r w:rsidR="006179C0">
        <w:rPr>
          <w:rFonts w:ascii="Palatino Linotype" w:eastAsia="Palatino Linotype" w:hAnsi="Palatino Linotype" w:cs="Palatino Linotype"/>
          <w:sz w:val="22"/>
          <w:szCs w:val="22"/>
        </w:rPr>
        <w:t xml:space="preserve"> (</w:t>
      </w:r>
      <w:r w:rsidR="00F478B3">
        <w:rPr>
          <w:rFonts w:ascii="Palatino Linotype" w:eastAsia="Palatino Linotype" w:hAnsi="Palatino Linotype" w:cs="Palatino Linotype"/>
          <w:sz w:val="22"/>
          <w:szCs w:val="22"/>
        </w:rPr>
        <w:t>AUSENCIA JUSTIFICADA</w:t>
      </w:r>
      <w:r w:rsidR="006179C0">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 EN LA TRIGÉSIMA TERCERA SESIÓN ORDINARIA, CELEBRADA EL DIECINUEVE DE SEPTIEMBRE DE DOS MIL VEINTICUATRO, ANTE EL SECRETARIO TÉCNICO DEL PLENO, ALEXIS TAPIA RAMÍREZ.</w:t>
      </w: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b/>
          <w:sz w:val="22"/>
          <w:szCs w:val="22"/>
        </w:rPr>
      </w:pPr>
    </w:p>
    <w:p w:rsidR="00863FCF" w:rsidRDefault="00863FCF">
      <w:pPr>
        <w:spacing w:line="360" w:lineRule="auto"/>
        <w:jc w:val="both"/>
        <w:rPr>
          <w:rFonts w:ascii="Palatino Linotype" w:eastAsia="Palatino Linotype" w:hAnsi="Palatino Linotype" w:cs="Palatino Linotype"/>
          <w:b/>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p>
    <w:p w:rsidR="00863FCF" w:rsidRDefault="00863FCF">
      <w:pPr>
        <w:spacing w:line="360" w:lineRule="auto"/>
        <w:jc w:val="both"/>
        <w:rPr>
          <w:rFonts w:ascii="Palatino Linotype" w:eastAsia="Palatino Linotype" w:hAnsi="Palatino Linotype" w:cs="Palatino Linotype"/>
          <w:sz w:val="22"/>
          <w:szCs w:val="22"/>
        </w:rPr>
      </w:pPr>
      <w:bookmarkStart w:id="2" w:name="_GoBack"/>
      <w:bookmarkEnd w:id="2"/>
    </w:p>
    <w:sectPr w:rsidR="00863FCF">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91D" w:rsidRDefault="0051591D">
      <w:r>
        <w:separator/>
      </w:r>
    </w:p>
  </w:endnote>
  <w:endnote w:type="continuationSeparator" w:id="0">
    <w:p w:rsidR="0051591D" w:rsidRDefault="0051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CF" w:rsidRDefault="00A304A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E7663">
      <w:rPr>
        <w:b/>
        <w:noProof/>
        <w:color w:val="000000"/>
        <w:sz w:val="24"/>
        <w:szCs w:val="24"/>
      </w:rPr>
      <w:t>27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E7663">
      <w:rPr>
        <w:b/>
        <w:noProof/>
        <w:color w:val="000000"/>
        <w:sz w:val="24"/>
        <w:szCs w:val="24"/>
      </w:rPr>
      <w:t>30</w:t>
    </w:r>
    <w:r>
      <w:rPr>
        <w:b/>
        <w:color w:val="000000"/>
        <w:sz w:val="24"/>
        <w:szCs w:val="24"/>
      </w:rPr>
      <w:fldChar w:fldCharType="end"/>
    </w:r>
  </w:p>
  <w:p w:rsidR="00863FCF" w:rsidRDefault="00863FC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CF" w:rsidRDefault="00A304A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E766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E7663">
      <w:rPr>
        <w:b/>
        <w:noProof/>
        <w:color w:val="000000"/>
        <w:sz w:val="24"/>
        <w:szCs w:val="24"/>
      </w:rPr>
      <w:t>30</w:t>
    </w:r>
    <w:r>
      <w:rPr>
        <w:b/>
        <w:color w:val="000000"/>
        <w:sz w:val="24"/>
        <w:szCs w:val="24"/>
      </w:rPr>
      <w:fldChar w:fldCharType="end"/>
    </w:r>
  </w:p>
  <w:p w:rsidR="00863FCF" w:rsidRDefault="00863FC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91D" w:rsidRDefault="0051591D">
      <w:r>
        <w:separator/>
      </w:r>
    </w:p>
  </w:footnote>
  <w:footnote w:type="continuationSeparator" w:id="0">
    <w:p w:rsidR="0051591D" w:rsidRDefault="00515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CF" w:rsidRDefault="0051591D">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CF" w:rsidRDefault="004E41E1">
    <w:pPr>
      <w:widowControl w:val="0"/>
      <w:pBdr>
        <w:top w:val="nil"/>
        <w:left w:val="nil"/>
        <w:bottom w:val="nil"/>
        <w:right w:val="nil"/>
        <w:between w:val="nil"/>
      </w:pBdr>
      <w:spacing w:line="276" w:lineRule="auto"/>
      <w:rPr>
        <w:color w:val="000000"/>
      </w:rPr>
    </w:pPr>
    <w:r>
      <w:rPr>
        <w:noProof/>
        <w:lang w:eastAsia="es-MX"/>
      </w:rPr>
      <w:drawing>
        <wp:anchor distT="0" distB="0" distL="0" distR="0" simplePos="0" relativeHeight="251656704" behindDoc="1" locked="0" layoutInCell="1" hidden="0" allowOverlap="1">
          <wp:simplePos x="0" y="0"/>
          <wp:positionH relativeFrom="column">
            <wp:posOffset>-1044575</wp:posOffset>
          </wp:positionH>
          <wp:positionV relativeFrom="paragraph">
            <wp:posOffset>-403860</wp:posOffset>
          </wp:positionV>
          <wp:extent cx="8426450" cy="10972800"/>
          <wp:effectExtent l="0" t="0" r="0" b="0"/>
          <wp:wrapNone/>
          <wp:docPr id="8"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9568" w:type="dxa"/>
      <w:tblInd w:w="0" w:type="dxa"/>
      <w:tblLayout w:type="fixed"/>
      <w:tblLook w:val="0400" w:firstRow="0" w:lastRow="0" w:firstColumn="0" w:lastColumn="0" w:noHBand="0" w:noVBand="1"/>
    </w:tblPr>
    <w:tblGrid>
      <w:gridCol w:w="2835"/>
      <w:gridCol w:w="6733"/>
    </w:tblGrid>
    <w:tr w:rsidR="00863FCF">
      <w:trPr>
        <w:trHeight w:val="1435"/>
      </w:trPr>
      <w:tc>
        <w:tcPr>
          <w:tcW w:w="2835" w:type="dxa"/>
          <w:shd w:val="clear" w:color="auto" w:fill="auto"/>
        </w:tcPr>
        <w:p w:rsidR="00863FCF" w:rsidRDefault="00863FCF">
          <w:pPr>
            <w:tabs>
              <w:tab w:val="right" w:pos="4273"/>
            </w:tabs>
            <w:rPr>
              <w:rFonts w:ascii="Garamond" w:eastAsia="Garamond" w:hAnsi="Garamond" w:cs="Garamond"/>
              <w:sz w:val="16"/>
              <w:szCs w:val="16"/>
            </w:rPr>
          </w:pPr>
        </w:p>
      </w:tc>
      <w:tc>
        <w:tcPr>
          <w:tcW w:w="6733" w:type="dxa"/>
          <w:shd w:val="clear" w:color="auto" w:fill="auto"/>
        </w:tcPr>
        <w:p w:rsidR="00863FCF" w:rsidRDefault="00863FCF"/>
        <w:tbl>
          <w:tblPr>
            <w:tblStyle w:val="a0"/>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863FCF">
            <w:trPr>
              <w:trHeight w:val="144"/>
            </w:trPr>
            <w:tc>
              <w:tcPr>
                <w:tcW w:w="2589" w:type="dxa"/>
              </w:tcPr>
              <w:p w:rsidR="00863FCF" w:rsidRDefault="00A304A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863FCF" w:rsidRDefault="00A304AE">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02983/INFOEM/IP/RR/2024</w:t>
                </w:r>
              </w:p>
            </w:tc>
          </w:tr>
          <w:tr w:rsidR="00863FCF">
            <w:trPr>
              <w:trHeight w:val="283"/>
            </w:trPr>
            <w:tc>
              <w:tcPr>
                <w:tcW w:w="2589" w:type="dxa"/>
              </w:tcPr>
              <w:p w:rsidR="00863FCF" w:rsidRDefault="00A304A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863FCF" w:rsidRDefault="00A304AE">
                <w:pPr>
                  <w:tabs>
                    <w:tab w:val="left" w:pos="2834"/>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Nezahualcóyotl</w:t>
                </w:r>
              </w:p>
            </w:tc>
          </w:tr>
          <w:tr w:rsidR="00863FCF">
            <w:trPr>
              <w:trHeight w:val="283"/>
            </w:trPr>
            <w:tc>
              <w:tcPr>
                <w:tcW w:w="2589" w:type="dxa"/>
              </w:tcPr>
              <w:p w:rsidR="00863FCF" w:rsidRDefault="00A304A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863FCF" w:rsidRDefault="00A304AE">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863FCF" w:rsidRDefault="00863FCF">
          <w:pPr>
            <w:tabs>
              <w:tab w:val="right" w:pos="8838"/>
            </w:tabs>
            <w:ind w:left="-28"/>
            <w:jc w:val="both"/>
            <w:rPr>
              <w:rFonts w:ascii="Arial" w:eastAsia="Arial" w:hAnsi="Arial" w:cs="Arial"/>
              <w:b/>
              <w:sz w:val="22"/>
              <w:szCs w:val="22"/>
            </w:rPr>
          </w:pPr>
        </w:p>
      </w:tc>
    </w:tr>
  </w:tbl>
  <w:p w:rsidR="00863FCF" w:rsidRDefault="00863FCF">
    <w:pPr>
      <w:pBdr>
        <w:top w:val="nil"/>
        <w:left w:val="nil"/>
        <w:bottom w:val="nil"/>
        <w:right w:val="nil"/>
        <w:between w:val="nil"/>
      </w:pBdr>
      <w:tabs>
        <w:tab w:val="center" w:pos="4419"/>
        <w:tab w:val="right" w:pos="8838"/>
      </w:tabs>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CF" w:rsidRDefault="004E41E1">
    <w:pPr>
      <w:widowControl w:val="0"/>
      <w:pBdr>
        <w:top w:val="nil"/>
        <w:left w:val="nil"/>
        <w:bottom w:val="nil"/>
        <w:right w:val="nil"/>
        <w:between w:val="nil"/>
      </w:pBdr>
      <w:spacing w:line="276" w:lineRule="auto"/>
      <w:rPr>
        <w:color w:val="000000"/>
        <w:sz w:val="22"/>
        <w:szCs w:val="22"/>
      </w:rPr>
    </w:pPr>
    <w:r>
      <w:rPr>
        <w:noProof/>
        <w:lang w:eastAsia="es-MX"/>
      </w:rPr>
      <w:drawing>
        <wp:anchor distT="0" distB="0" distL="0" distR="0" simplePos="0" relativeHeight="251657728" behindDoc="1" locked="0" layoutInCell="1" hidden="0" allowOverlap="1">
          <wp:simplePos x="0" y="0"/>
          <wp:positionH relativeFrom="margin">
            <wp:align>center</wp:align>
          </wp:positionH>
          <wp:positionV relativeFrom="paragraph">
            <wp:posOffset>-396240</wp:posOffset>
          </wp:positionV>
          <wp:extent cx="8426450" cy="10972800"/>
          <wp:effectExtent l="0" t="0" r="0" b="0"/>
          <wp:wrapNone/>
          <wp:docPr id="7"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1"/>
      <w:tblW w:w="9568" w:type="dxa"/>
      <w:tblInd w:w="0" w:type="dxa"/>
      <w:tblLayout w:type="fixed"/>
      <w:tblLook w:val="0400" w:firstRow="0" w:lastRow="0" w:firstColumn="0" w:lastColumn="0" w:noHBand="0" w:noVBand="1"/>
    </w:tblPr>
    <w:tblGrid>
      <w:gridCol w:w="2835"/>
      <w:gridCol w:w="6733"/>
    </w:tblGrid>
    <w:tr w:rsidR="00863FCF">
      <w:trPr>
        <w:trHeight w:val="1435"/>
      </w:trPr>
      <w:tc>
        <w:tcPr>
          <w:tcW w:w="2835" w:type="dxa"/>
          <w:shd w:val="clear" w:color="auto" w:fill="auto"/>
        </w:tcPr>
        <w:p w:rsidR="00863FCF" w:rsidRDefault="00863FCF">
          <w:pPr>
            <w:tabs>
              <w:tab w:val="right" w:pos="4273"/>
            </w:tabs>
            <w:rPr>
              <w:rFonts w:ascii="Garamond" w:eastAsia="Garamond" w:hAnsi="Garamond" w:cs="Garamond"/>
              <w:sz w:val="22"/>
              <w:szCs w:val="22"/>
            </w:rPr>
          </w:pPr>
        </w:p>
      </w:tc>
      <w:tc>
        <w:tcPr>
          <w:tcW w:w="6733" w:type="dxa"/>
          <w:shd w:val="clear" w:color="auto" w:fill="auto"/>
        </w:tcPr>
        <w:p w:rsidR="00863FCF" w:rsidRDefault="00863FCF">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863FCF">
            <w:trPr>
              <w:trHeight w:val="144"/>
            </w:trPr>
            <w:tc>
              <w:tcPr>
                <w:tcW w:w="2589" w:type="dxa"/>
              </w:tcPr>
              <w:p w:rsidR="00863FCF" w:rsidRDefault="00A304A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863FCF" w:rsidRDefault="00A304AE">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02983/INFOEM/IP/RR/2024</w:t>
                </w:r>
              </w:p>
            </w:tc>
          </w:tr>
          <w:tr w:rsidR="00863FCF">
            <w:trPr>
              <w:trHeight w:val="144"/>
            </w:trPr>
            <w:tc>
              <w:tcPr>
                <w:tcW w:w="2589" w:type="dxa"/>
              </w:tcPr>
              <w:p w:rsidR="00863FCF" w:rsidRDefault="00A304A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3" w:type="dxa"/>
              </w:tcPr>
              <w:p w:rsidR="00863FCF" w:rsidRDefault="00863FCF">
                <w:pPr>
                  <w:tabs>
                    <w:tab w:val="left" w:pos="3122"/>
                    <w:tab w:val="right" w:pos="8838"/>
                  </w:tabs>
                  <w:ind w:left="-106" w:right="-105"/>
                  <w:jc w:val="both"/>
                  <w:rPr>
                    <w:rFonts w:ascii="Palatino Linotype" w:eastAsia="Palatino Linotype" w:hAnsi="Palatino Linotype" w:cs="Palatino Linotype"/>
                    <w:sz w:val="22"/>
                    <w:szCs w:val="22"/>
                  </w:rPr>
                </w:pPr>
              </w:p>
            </w:tc>
          </w:tr>
          <w:tr w:rsidR="00863FCF">
            <w:trPr>
              <w:trHeight w:val="283"/>
            </w:trPr>
            <w:tc>
              <w:tcPr>
                <w:tcW w:w="2589" w:type="dxa"/>
              </w:tcPr>
              <w:p w:rsidR="00863FCF" w:rsidRDefault="00A304A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863FCF" w:rsidRDefault="00A304AE">
                <w:pPr>
                  <w:tabs>
                    <w:tab w:val="left" w:pos="2834"/>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Nezahualcóyotl</w:t>
                </w:r>
              </w:p>
            </w:tc>
          </w:tr>
          <w:tr w:rsidR="00863FCF">
            <w:trPr>
              <w:trHeight w:val="283"/>
            </w:trPr>
            <w:tc>
              <w:tcPr>
                <w:tcW w:w="2589" w:type="dxa"/>
              </w:tcPr>
              <w:p w:rsidR="00863FCF" w:rsidRDefault="00A304A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863FCF" w:rsidRDefault="00A304AE">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863FCF" w:rsidRDefault="00863FCF">
          <w:pPr>
            <w:tabs>
              <w:tab w:val="right" w:pos="8838"/>
            </w:tabs>
            <w:ind w:left="-28"/>
            <w:jc w:val="both"/>
            <w:rPr>
              <w:rFonts w:ascii="Arial" w:eastAsia="Arial" w:hAnsi="Arial" w:cs="Arial"/>
              <w:b/>
              <w:sz w:val="22"/>
              <w:szCs w:val="22"/>
            </w:rPr>
          </w:pPr>
        </w:p>
      </w:tc>
    </w:tr>
  </w:tbl>
  <w:p w:rsidR="00863FCF" w:rsidRDefault="00863FCF">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51FDB"/>
    <w:multiLevelType w:val="multilevel"/>
    <w:tmpl w:val="B3EE1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544398"/>
    <w:multiLevelType w:val="multilevel"/>
    <w:tmpl w:val="9DF2F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EE0350"/>
    <w:multiLevelType w:val="multilevel"/>
    <w:tmpl w:val="968AA0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DD39A1"/>
    <w:multiLevelType w:val="multilevel"/>
    <w:tmpl w:val="4134DF22"/>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8E7600"/>
    <w:multiLevelType w:val="multilevel"/>
    <w:tmpl w:val="3FC2467A"/>
    <w:lvl w:ilvl="0">
      <w:start w:val="2"/>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CF"/>
    <w:rsid w:val="004E41E1"/>
    <w:rsid w:val="0051591D"/>
    <w:rsid w:val="00542B10"/>
    <w:rsid w:val="006179C0"/>
    <w:rsid w:val="00863FCF"/>
    <w:rsid w:val="00A304AE"/>
    <w:rsid w:val="00A90471"/>
    <w:rsid w:val="00CE7663"/>
    <w:rsid w:val="00EA4D07"/>
    <w:rsid w:val="00F478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5455B96-9F84-42BF-97C5-7C4E23B0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490"/>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rPr>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01483B"/>
    <w:rPr>
      <w:color w:val="605E5C"/>
      <w:shd w:val="clear" w:color="auto" w:fill="E1DFDD"/>
    </w:rPr>
  </w:style>
  <w:style w:type="character" w:customStyle="1" w:styleId="field">
    <w:name w:val="field"/>
    <w:basedOn w:val="Fuentedeprrafopredeter"/>
    <w:rsid w:val="002D2D87"/>
  </w:style>
  <w:style w:type="character" w:customStyle="1" w:styleId="Mencinsinresolver8">
    <w:name w:val="Mención sin resolver8"/>
    <w:basedOn w:val="Fuentedeprrafopredeter"/>
    <w:uiPriority w:val="99"/>
    <w:semiHidden/>
    <w:unhideWhenUsed/>
    <w:rsid w:val="00D650B7"/>
    <w:rPr>
      <w:color w:val="605E5C"/>
      <w:shd w:val="clear" w:color="auto" w:fill="E1DFDD"/>
    </w:rPr>
  </w:style>
  <w:style w:type="character" w:customStyle="1" w:styleId="Mencinsinresolver9">
    <w:name w:val="Mención sin resolver9"/>
    <w:basedOn w:val="Fuentedeprrafopredeter"/>
    <w:uiPriority w:val="99"/>
    <w:semiHidden/>
    <w:unhideWhenUsed/>
    <w:rsid w:val="008F2506"/>
    <w:rPr>
      <w:color w:val="605E5C"/>
      <w:shd w:val="clear" w:color="auto" w:fill="E1DFDD"/>
    </w:rPr>
  </w:style>
  <w:style w:type="character" w:customStyle="1" w:styleId="Mencinsinresolver10">
    <w:name w:val="Mención sin resolver10"/>
    <w:basedOn w:val="Fuentedeprrafopredeter"/>
    <w:uiPriority w:val="99"/>
    <w:semiHidden/>
    <w:unhideWhenUsed/>
    <w:rsid w:val="00AD64CB"/>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ifnza.gob.mx/manuales_reglamento.php"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porte@itaipem.org.m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edipiem.edomex.gob.mx/ubicacion_mazahua" TargetMode="External"/><Relationship Id="rId4" Type="http://schemas.openxmlformats.org/officeDocument/2006/relationships/settings" Target="settings.xml"/><Relationship Id="rId9" Type="http://schemas.openxmlformats.org/officeDocument/2006/relationships/hyperlink" Target="https://www.neza.gob.mx/tramites.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nJ0OmpOUMlbAa3V71Vw9jCEO/g==">CgMxLjAyCGguZ2pkZ3hzMgloLjMwajB6bGw4AHIhMXRveWxsSlV4REpUUXFkeHc5M0ZhMkhFOEFPdDJkOGhS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7673</Words>
  <Characters>42203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USUARIO</cp:lastModifiedBy>
  <cp:revision>3</cp:revision>
  <cp:lastPrinted>2024-09-23T19:01:00Z</cp:lastPrinted>
  <dcterms:created xsi:type="dcterms:W3CDTF">2024-09-23T19:00:00Z</dcterms:created>
  <dcterms:modified xsi:type="dcterms:W3CDTF">2024-09-23T19:03:00Z</dcterms:modified>
</cp:coreProperties>
</file>