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7B34390E" w:rsidR="00A970D5" w:rsidRPr="0044551F" w:rsidRDefault="00A970D5" w:rsidP="00E8313C">
      <w:pPr>
        <w:pBdr>
          <w:top w:val="nil"/>
          <w:left w:val="nil"/>
          <w:bottom w:val="nil"/>
          <w:right w:val="nil"/>
          <w:between w:val="nil"/>
        </w:pBdr>
        <w:contextualSpacing/>
        <w:rPr>
          <w:rFonts w:eastAsia="Palatino Linotype" w:cs="Palatino Linotype"/>
          <w:color w:val="000000"/>
          <w:szCs w:val="24"/>
        </w:rPr>
      </w:pPr>
      <w:r w:rsidRPr="0044551F">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44551F">
        <w:rPr>
          <w:rFonts w:eastAsia="Palatino Linotype" w:cs="Palatino Linotype"/>
          <w:color w:val="000000"/>
          <w:szCs w:val="24"/>
        </w:rPr>
        <w:t xml:space="preserve">México, </w:t>
      </w:r>
      <w:r w:rsidR="000D2E93" w:rsidRPr="0044551F">
        <w:rPr>
          <w:rFonts w:eastAsia="Palatino Linotype" w:cs="Palatino Linotype"/>
          <w:color w:val="000000"/>
          <w:szCs w:val="24"/>
        </w:rPr>
        <w:t>a</w:t>
      </w:r>
      <w:r w:rsidR="0011108B" w:rsidRPr="0044551F">
        <w:rPr>
          <w:rFonts w:eastAsia="Palatino Linotype" w:cs="Palatino Linotype"/>
          <w:color w:val="000000"/>
          <w:szCs w:val="24"/>
        </w:rPr>
        <w:t xml:space="preserve"> </w:t>
      </w:r>
      <w:r w:rsidR="00BD5961" w:rsidRPr="0044551F">
        <w:rPr>
          <w:rFonts w:eastAsia="Palatino Linotype" w:cs="Palatino Linotype"/>
          <w:color w:val="000000"/>
          <w:szCs w:val="24"/>
        </w:rPr>
        <w:t>catorce de agosto</w:t>
      </w:r>
      <w:r w:rsidR="0011108B" w:rsidRPr="0044551F">
        <w:rPr>
          <w:rFonts w:eastAsia="Palatino Linotype" w:cs="Palatino Linotype"/>
          <w:color w:val="000000"/>
          <w:szCs w:val="24"/>
        </w:rPr>
        <w:t xml:space="preserve"> de dos mil veinticuatro.</w:t>
      </w:r>
    </w:p>
    <w:p w14:paraId="60399B74" w14:textId="77777777" w:rsidR="00A970D5" w:rsidRPr="0044551F" w:rsidRDefault="00A970D5" w:rsidP="00E8313C">
      <w:pPr>
        <w:pBdr>
          <w:top w:val="nil"/>
          <w:left w:val="nil"/>
          <w:bottom w:val="nil"/>
          <w:right w:val="nil"/>
          <w:between w:val="nil"/>
        </w:pBdr>
        <w:contextualSpacing/>
        <w:rPr>
          <w:rFonts w:eastAsia="Palatino Linotype" w:cs="Palatino Linotype"/>
          <w:color w:val="000000"/>
          <w:szCs w:val="24"/>
        </w:rPr>
      </w:pPr>
    </w:p>
    <w:p w14:paraId="1D0D9BD7" w14:textId="19768337" w:rsidR="00A970D5" w:rsidRPr="0044551F" w:rsidRDefault="70652167" w:rsidP="00E8313C">
      <w:pPr>
        <w:pBdr>
          <w:top w:val="nil"/>
          <w:left w:val="nil"/>
          <w:bottom w:val="nil"/>
          <w:right w:val="nil"/>
          <w:between w:val="nil"/>
        </w:pBdr>
        <w:contextualSpacing/>
        <w:rPr>
          <w:rFonts w:eastAsia="Palatino Linotype" w:cs="Palatino Linotype"/>
          <w:b/>
          <w:bCs/>
          <w:color w:val="000000"/>
          <w:lang w:val="es-ES"/>
        </w:rPr>
      </w:pPr>
      <w:r w:rsidRPr="0044551F">
        <w:rPr>
          <w:rFonts w:eastAsia="Palatino Linotype" w:cs="Palatino Linotype"/>
          <w:b/>
          <w:bCs/>
          <w:color w:val="000000" w:themeColor="text1"/>
          <w:lang w:val="es-ES"/>
        </w:rPr>
        <w:t>VISTO</w:t>
      </w:r>
      <w:r w:rsidRPr="0044551F">
        <w:rPr>
          <w:rFonts w:eastAsia="Palatino Linotype" w:cs="Palatino Linotype"/>
          <w:color w:val="000000" w:themeColor="text1"/>
          <w:lang w:val="es-ES"/>
        </w:rPr>
        <w:t xml:space="preserve"> el expediente electrónico formado con motivo del recurso de revisión número </w:t>
      </w:r>
      <w:r w:rsidR="00255CD2" w:rsidRPr="0044551F">
        <w:rPr>
          <w:rFonts w:eastAsia="Palatino Linotype" w:cs="Palatino Linotype"/>
          <w:b/>
          <w:bCs/>
          <w:color w:val="000000" w:themeColor="text1"/>
          <w:lang w:val="es-ES"/>
        </w:rPr>
        <w:t>00245</w:t>
      </w:r>
      <w:r w:rsidR="004A3367" w:rsidRPr="0044551F">
        <w:rPr>
          <w:rFonts w:eastAsia="Palatino Linotype" w:cs="Palatino Linotype"/>
          <w:b/>
          <w:bCs/>
          <w:color w:val="000000" w:themeColor="text1"/>
          <w:lang w:val="es-ES"/>
        </w:rPr>
        <w:t>/INFOEM/IP/RR/2024</w:t>
      </w:r>
      <w:r w:rsidRPr="0044551F">
        <w:rPr>
          <w:rFonts w:eastAsia="Palatino Linotype" w:cs="Palatino Linotype"/>
          <w:color w:val="000000" w:themeColor="text1"/>
          <w:lang w:val="es-ES"/>
        </w:rPr>
        <w:t xml:space="preserve">, interpuesto </w:t>
      </w:r>
      <w:r w:rsidR="00255CD2" w:rsidRPr="0044551F">
        <w:rPr>
          <w:rFonts w:eastAsia="Palatino Linotype" w:cs="Palatino Linotype"/>
          <w:color w:val="000000" w:themeColor="text1"/>
          <w:lang w:val="es-ES"/>
        </w:rPr>
        <w:t>por un particular que al momento de ingresar la solicitud de información e interponer el recurso de revisión, no señaló nombre o seudónimo con el cual desee ser identificado</w:t>
      </w:r>
      <w:r w:rsidRPr="0044551F">
        <w:rPr>
          <w:rFonts w:eastAsia="Palatino Linotype" w:cs="Palatino Linotype"/>
          <w:color w:val="000000" w:themeColor="text1"/>
          <w:lang w:val="es-ES"/>
        </w:rPr>
        <w:t xml:space="preserve">, en lo sucesivo el </w:t>
      </w:r>
      <w:r w:rsidRPr="0044551F">
        <w:rPr>
          <w:rFonts w:eastAsia="Palatino Linotype" w:cs="Palatino Linotype"/>
          <w:b/>
          <w:bCs/>
          <w:color w:val="000000" w:themeColor="text1"/>
          <w:lang w:val="es-ES"/>
        </w:rPr>
        <w:t>Recurrente</w:t>
      </w:r>
      <w:r w:rsidRPr="0044551F">
        <w:rPr>
          <w:rFonts w:eastAsia="Palatino Linotype" w:cs="Palatino Linotype"/>
          <w:color w:val="000000" w:themeColor="text1"/>
          <w:lang w:val="es-ES"/>
        </w:rPr>
        <w:t>, en contra de la respuesta de</w:t>
      </w:r>
      <w:r w:rsidR="00255CD2" w:rsidRPr="0044551F">
        <w:rPr>
          <w:rFonts w:eastAsia="Palatino Linotype" w:cs="Palatino Linotype"/>
          <w:color w:val="000000" w:themeColor="text1"/>
          <w:lang w:val="es-ES"/>
        </w:rPr>
        <w:t xml:space="preserve"> </w:t>
      </w:r>
      <w:r w:rsidRPr="0044551F">
        <w:rPr>
          <w:rFonts w:eastAsia="Palatino Linotype" w:cs="Palatino Linotype"/>
          <w:color w:val="000000" w:themeColor="text1"/>
          <w:lang w:val="es-ES"/>
        </w:rPr>
        <w:t>l</w:t>
      </w:r>
      <w:r w:rsidR="00255CD2" w:rsidRPr="0044551F">
        <w:rPr>
          <w:rFonts w:eastAsia="Palatino Linotype" w:cs="Palatino Linotype"/>
          <w:color w:val="000000" w:themeColor="text1"/>
          <w:lang w:val="es-ES"/>
        </w:rPr>
        <w:t xml:space="preserve">a </w:t>
      </w:r>
      <w:r w:rsidR="00255CD2" w:rsidRPr="0044551F">
        <w:rPr>
          <w:rFonts w:eastAsia="Palatino Linotype" w:cs="Palatino Linotype"/>
          <w:b/>
          <w:bCs/>
          <w:color w:val="000000" w:themeColor="text1"/>
          <w:lang w:val="es-ES"/>
        </w:rPr>
        <w:t>Secretaría de Movilidad</w:t>
      </w:r>
      <w:r w:rsidRPr="0044551F">
        <w:rPr>
          <w:rFonts w:eastAsia="Palatino Linotype" w:cs="Palatino Linotype"/>
          <w:color w:val="000000" w:themeColor="text1"/>
          <w:lang w:val="es-ES"/>
        </w:rPr>
        <w:t>, en lo subsecuente</w:t>
      </w:r>
      <w:r w:rsidRPr="0044551F">
        <w:rPr>
          <w:rFonts w:eastAsia="Palatino Linotype" w:cs="Palatino Linotype"/>
          <w:b/>
          <w:bCs/>
          <w:color w:val="000000" w:themeColor="text1"/>
          <w:lang w:val="es-ES"/>
        </w:rPr>
        <w:t xml:space="preserve"> </w:t>
      </w:r>
      <w:r w:rsidRPr="0044551F">
        <w:rPr>
          <w:rFonts w:eastAsia="Palatino Linotype" w:cs="Palatino Linotype"/>
          <w:color w:val="000000" w:themeColor="text1"/>
          <w:lang w:val="es-ES"/>
        </w:rPr>
        <w:t>el</w:t>
      </w:r>
      <w:r w:rsidRPr="0044551F">
        <w:rPr>
          <w:rFonts w:eastAsia="Palatino Linotype" w:cs="Palatino Linotype"/>
          <w:b/>
          <w:bCs/>
          <w:color w:val="000000" w:themeColor="text1"/>
          <w:lang w:val="es-ES"/>
        </w:rPr>
        <w:t xml:space="preserve"> Sujeto Obligado, </w:t>
      </w:r>
      <w:r w:rsidRPr="0044551F">
        <w:rPr>
          <w:rFonts w:eastAsia="Palatino Linotype" w:cs="Palatino Linotype"/>
          <w:color w:val="000000" w:themeColor="text1"/>
          <w:lang w:val="es-ES"/>
        </w:rPr>
        <w:t>se procede a dictar la presente resolución.</w:t>
      </w:r>
    </w:p>
    <w:p w14:paraId="2E2053C2" w14:textId="77777777" w:rsidR="00A970D5" w:rsidRPr="0044551F" w:rsidRDefault="00A970D5" w:rsidP="00E8313C">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44551F" w:rsidRDefault="00A970D5" w:rsidP="00E8313C">
      <w:pPr>
        <w:pStyle w:val="Ttulo1"/>
        <w:rPr>
          <w:rFonts w:eastAsia="Palatino Linotype"/>
          <w:lang w:val="es-ES_tradnl"/>
        </w:rPr>
      </w:pPr>
      <w:r w:rsidRPr="0044551F">
        <w:rPr>
          <w:rFonts w:eastAsia="Palatino Linotype"/>
          <w:lang w:val="es-ES_tradnl"/>
        </w:rPr>
        <w:t>A N T E C E D E N T E S</w:t>
      </w:r>
    </w:p>
    <w:p w14:paraId="32F88820" w14:textId="77777777" w:rsidR="00A970D5" w:rsidRPr="0044551F" w:rsidRDefault="00A970D5" w:rsidP="00E8313C">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44551F" w:rsidRDefault="00A970D5" w:rsidP="00E8313C">
      <w:pPr>
        <w:pStyle w:val="Ttulo2"/>
        <w:rPr>
          <w:rFonts w:eastAsia="Palatino Linotype"/>
        </w:rPr>
      </w:pPr>
      <w:r w:rsidRPr="0044551F">
        <w:rPr>
          <w:rFonts w:eastAsia="Palatino Linotype"/>
        </w:rPr>
        <w:t>PRIMERO. De la Solicitud de Información.</w:t>
      </w:r>
    </w:p>
    <w:p w14:paraId="0870C154" w14:textId="0C675AA3" w:rsidR="00A970D5" w:rsidRPr="0044551F" w:rsidRDefault="00B36B86" w:rsidP="00E8313C">
      <w:pPr>
        <w:pBdr>
          <w:top w:val="nil"/>
          <w:left w:val="nil"/>
          <w:bottom w:val="nil"/>
          <w:right w:val="nil"/>
          <w:between w:val="nil"/>
        </w:pBdr>
        <w:contextualSpacing/>
        <w:rPr>
          <w:rFonts w:eastAsia="Palatino Linotype" w:cs="Palatino Linotype"/>
          <w:color w:val="000000"/>
          <w:szCs w:val="24"/>
        </w:rPr>
      </w:pPr>
      <w:r w:rsidRPr="0044551F">
        <w:rPr>
          <w:rFonts w:eastAsia="Palatino Linotype" w:cs="Palatino Linotype"/>
          <w:color w:val="000000"/>
          <w:szCs w:val="24"/>
        </w:rPr>
        <w:t>Con fecha</w:t>
      </w:r>
      <w:r w:rsidR="00AA6C98" w:rsidRPr="0044551F">
        <w:rPr>
          <w:rFonts w:eastAsia="Palatino Linotype" w:cs="Palatino Linotype"/>
          <w:color w:val="000000"/>
          <w:szCs w:val="24"/>
        </w:rPr>
        <w:t xml:space="preserve"> </w:t>
      </w:r>
      <w:r w:rsidR="00255CD2" w:rsidRPr="0044551F">
        <w:rPr>
          <w:rFonts w:eastAsia="Palatino Linotype" w:cs="Palatino Linotype"/>
          <w:color w:val="000000"/>
          <w:szCs w:val="24"/>
        </w:rPr>
        <w:t>cuatro de diciembre de dos mil veintitrés</w:t>
      </w:r>
      <w:r w:rsidR="00B54BC7" w:rsidRPr="0044551F">
        <w:rPr>
          <w:rFonts w:eastAsia="Palatino Linotype" w:cs="Palatino Linotype"/>
          <w:color w:val="000000"/>
          <w:szCs w:val="24"/>
        </w:rPr>
        <w:t xml:space="preserve">, </w:t>
      </w:r>
      <w:r w:rsidR="00430C63" w:rsidRPr="0044551F">
        <w:rPr>
          <w:rFonts w:eastAsia="Palatino Linotype" w:cs="Palatino Linotype"/>
          <w:color w:val="000000"/>
          <w:szCs w:val="24"/>
        </w:rPr>
        <w:t>el</w:t>
      </w:r>
      <w:r w:rsidR="00A970D5" w:rsidRPr="0044551F">
        <w:rPr>
          <w:rFonts w:eastAsia="Palatino Linotype" w:cs="Palatino Linotype"/>
          <w:color w:val="000000"/>
          <w:szCs w:val="24"/>
        </w:rPr>
        <w:t xml:space="preserve"> Recurrente presentó mediante el Sistema de Acceso a la Información Mexiquense (SAIMEX), solicitud de información registrada con el número de expediente</w:t>
      </w:r>
      <w:r w:rsidR="00A970D5" w:rsidRPr="0044551F">
        <w:rPr>
          <w:rFonts w:eastAsia="Palatino Linotype" w:cs="Palatino Linotype"/>
          <w:b/>
          <w:color w:val="000000"/>
          <w:szCs w:val="24"/>
        </w:rPr>
        <w:t xml:space="preserve"> </w:t>
      </w:r>
      <w:r w:rsidR="00255CD2" w:rsidRPr="0044551F">
        <w:rPr>
          <w:rFonts w:eastAsia="Palatino Linotype" w:cs="Palatino Linotype"/>
          <w:b/>
          <w:bCs/>
          <w:color w:val="000000"/>
          <w:szCs w:val="24"/>
        </w:rPr>
        <w:t>00659/SMOV/IP/2023</w:t>
      </w:r>
      <w:r w:rsidR="00A970D5" w:rsidRPr="0044551F">
        <w:rPr>
          <w:rFonts w:eastAsia="Palatino Linotype" w:cs="Palatino Linotype"/>
          <w:color w:val="000000"/>
          <w:szCs w:val="24"/>
        </w:rPr>
        <w:t>,</w:t>
      </w:r>
      <w:r w:rsidR="00A970D5" w:rsidRPr="0044551F">
        <w:rPr>
          <w:rFonts w:eastAsia="Palatino Linotype" w:cs="Palatino Linotype"/>
          <w:b/>
          <w:color w:val="000000"/>
          <w:szCs w:val="24"/>
        </w:rPr>
        <w:t xml:space="preserve"> </w:t>
      </w:r>
      <w:r w:rsidR="00A970D5" w:rsidRPr="0044551F">
        <w:rPr>
          <w:rFonts w:eastAsia="Palatino Linotype" w:cs="Palatino Linotype"/>
          <w:color w:val="000000"/>
          <w:szCs w:val="24"/>
        </w:rPr>
        <w:t>mediante la cual solicitó información en el tenor siguiente:</w:t>
      </w:r>
    </w:p>
    <w:p w14:paraId="68B56D82" w14:textId="77777777" w:rsidR="00A970D5" w:rsidRPr="0044551F" w:rsidRDefault="00A970D5" w:rsidP="00E8313C">
      <w:pPr>
        <w:pBdr>
          <w:top w:val="nil"/>
          <w:left w:val="nil"/>
          <w:bottom w:val="nil"/>
          <w:right w:val="nil"/>
          <w:between w:val="nil"/>
        </w:pBdr>
        <w:contextualSpacing/>
        <w:rPr>
          <w:rFonts w:eastAsia="Palatino Linotype" w:cs="Palatino Linotype"/>
          <w:color w:val="000000"/>
          <w:szCs w:val="24"/>
        </w:rPr>
      </w:pPr>
    </w:p>
    <w:p w14:paraId="133704B2" w14:textId="02627F79" w:rsidR="00A970D5" w:rsidRPr="0044551F" w:rsidRDefault="70652167" w:rsidP="00E8313C">
      <w:pPr>
        <w:pStyle w:val="Fundamentos"/>
        <w:spacing w:line="360" w:lineRule="auto"/>
      </w:pPr>
      <w:r w:rsidRPr="0044551F">
        <w:rPr>
          <w:lang w:val="es-ES"/>
        </w:rPr>
        <w:t>«</w:t>
      </w:r>
      <w:r w:rsidR="00255CD2" w:rsidRPr="0044551F">
        <w:rPr>
          <w:lang w:val="es-ES"/>
        </w:rPr>
        <w:t>Las cartas de renuncia del personal que se dio de baja del 15 de septiembre al 30 de noviembre de 2023, el directorio de cada área del personal de base y de confianzas que labora en la Secretaría de Movilidad vigente, su curriculum, comprobante de estudio y sueldo y la plantilla de vehículos asignados a cada uno de ellos con el combustible que se les asigna y el numero de placas.</w:t>
      </w:r>
      <w:r w:rsidRPr="0044551F">
        <w:rPr>
          <w:lang w:val="es-ES"/>
        </w:rPr>
        <w:t>» (Sic)</w:t>
      </w:r>
    </w:p>
    <w:p w14:paraId="40BBECCB" w14:textId="77777777" w:rsidR="00A970D5" w:rsidRPr="0044551F" w:rsidRDefault="00A970D5" w:rsidP="00E8313C">
      <w:pPr>
        <w:pBdr>
          <w:top w:val="nil"/>
          <w:left w:val="nil"/>
          <w:bottom w:val="nil"/>
          <w:right w:val="nil"/>
          <w:between w:val="nil"/>
        </w:pBdr>
        <w:contextualSpacing/>
        <w:rPr>
          <w:rFonts w:eastAsia="Palatino Linotype" w:cs="Palatino Linotype"/>
          <w:color w:val="000000"/>
          <w:szCs w:val="24"/>
        </w:rPr>
      </w:pPr>
    </w:p>
    <w:p w14:paraId="0477F035" w14:textId="77777777" w:rsidR="00A970D5" w:rsidRPr="0044551F" w:rsidRDefault="00A970D5" w:rsidP="00E8313C">
      <w:pPr>
        <w:pBdr>
          <w:top w:val="nil"/>
          <w:left w:val="nil"/>
          <w:bottom w:val="nil"/>
          <w:right w:val="nil"/>
          <w:between w:val="nil"/>
        </w:pBdr>
        <w:contextualSpacing/>
        <w:rPr>
          <w:rFonts w:eastAsia="Palatino Linotype" w:cs="Palatino Linotype"/>
          <w:b/>
          <w:color w:val="000000"/>
          <w:szCs w:val="24"/>
        </w:rPr>
      </w:pPr>
      <w:r w:rsidRPr="0044551F">
        <w:rPr>
          <w:rFonts w:eastAsia="Palatino Linotype" w:cs="Palatino Linotype"/>
          <w:color w:val="000000"/>
          <w:szCs w:val="24"/>
        </w:rPr>
        <w:t xml:space="preserve">Modalidad de entrega: </w:t>
      </w:r>
      <w:r w:rsidRPr="0044551F">
        <w:rPr>
          <w:rFonts w:eastAsia="Palatino Linotype" w:cs="Palatino Linotype"/>
          <w:b/>
          <w:color w:val="000000"/>
          <w:szCs w:val="24"/>
        </w:rPr>
        <w:t>A través del SAIMEX</w:t>
      </w:r>
      <w:r w:rsidRPr="0044551F">
        <w:rPr>
          <w:rFonts w:eastAsia="Palatino Linotype" w:cs="Palatino Linotype"/>
          <w:color w:val="000000"/>
          <w:szCs w:val="24"/>
        </w:rPr>
        <w:t>.</w:t>
      </w:r>
    </w:p>
    <w:p w14:paraId="1603BECA" w14:textId="77777777" w:rsidR="00875B7E" w:rsidRPr="0044551F" w:rsidRDefault="00875B7E" w:rsidP="00E8313C">
      <w:pPr>
        <w:pBdr>
          <w:top w:val="nil"/>
          <w:left w:val="nil"/>
          <w:bottom w:val="nil"/>
          <w:right w:val="nil"/>
          <w:between w:val="nil"/>
        </w:pBdr>
        <w:contextualSpacing/>
        <w:rPr>
          <w:rFonts w:eastAsia="Palatino Linotype" w:cs="Palatino Linotype"/>
          <w:color w:val="000000"/>
          <w:szCs w:val="24"/>
        </w:rPr>
      </w:pPr>
    </w:p>
    <w:p w14:paraId="7393F969" w14:textId="47BF690C" w:rsidR="00B2269C" w:rsidRPr="0044551F" w:rsidRDefault="00714CA9" w:rsidP="00E8313C">
      <w:pPr>
        <w:pStyle w:val="Ttulo2"/>
        <w:rPr>
          <w:rFonts w:eastAsia="Palatino Linotype"/>
        </w:rPr>
      </w:pPr>
      <w:r w:rsidRPr="0044551F">
        <w:rPr>
          <w:rFonts w:eastAsia="Palatino Linotype"/>
          <w:sz w:val="28"/>
        </w:rPr>
        <w:t>SEGUNDO</w:t>
      </w:r>
      <w:r w:rsidR="00A970D5" w:rsidRPr="0044551F">
        <w:rPr>
          <w:rFonts w:eastAsia="Palatino Linotype"/>
          <w:sz w:val="28"/>
        </w:rPr>
        <w:t xml:space="preserve">. </w:t>
      </w:r>
      <w:r w:rsidR="00B2269C" w:rsidRPr="0044551F">
        <w:rPr>
          <w:rFonts w:eastAsia="Palatino Linotype"/>
          <w:sz w:val="28"/>
        </w:rPr>
        <w:t>De la prórroga y respuestas del Sujeto Obligado</w:t>
      </w:r>
      <w:r w:rsidR="00A970D5" w:rsidRPr="0044551F">
        <w:rPr>
          <w:rFonts w:eastAsia="Palatino Linotype"/>
          <w:sz w:val="28"/>
        </w:rPr>
        <w:t>.</w:t>
      </w:r>
    </w:p>
    <w:p w14:paraId="58D7E4C7" w14:textId="2980AC9C" w:rsidR="00B2269C" w:rsidRPr="0044551F" w:rsidRDefault="00B2269C" w:rsidP="00E8313C">
      <w:pPr>
        <w:rPr>
          <w:rFonts w:cs="Arial"/>
        </w:rPr>
      </w:pPr>
      <w:r w:rsidRPr="0044551F">
        <w:rPr>
          <w:rFonts w:cs="Arial"/>
        </w:rPr>
        <w:t xml:space="preserve">En los expedientes electrónicos </w:t>
      </w:r>
      <w:r w:rsidRPr="0044551F">
        <w:rPr>
          <w:rFonts w:cs="Arial"/>
          <w:b/>
        </w:rPr>
        <w:t>SAIMEX</w:t>
      </w:r>
      <w:r w:rsidRPr="0044551F">
        <w:rPr>
          <w:rFonts w:cs="Arial"/>
        </w:rPr>
        <w:t xml:space="preserve">, se aprecia que el </w:t>
      </w:r>
      <w:r w:rsidR="00B80ABD" w:rsidRPr="0044551F">
        <w:rPr>
          <w:rFonts w:cs="Arial"/>
        </w:rPr>
        <w:t>quince de enero</w:t>
      </w:r>
      <w:r w:rsidRPr="0044551F">
        <w:rPr>
          <w:rFonts w:cs="Arial"/>
        </w:rPr>
        <w:t xml:space="preserve"> de dos mil veinticuatro, </w:t>
      </w:r>
      <w:r w:rsidR="00B80ABD" w:rsidRPr="0044551F">
        <w:rPr>
          <w:rFonts w:cs="Arial"/>
        </w:rPr>
        <w:t>el</w:t>
      </w:r>
      <w:r w:rsidRPr="0044551F">
        <w:rPr>
          <w:rFonts w:cs="Arial"/>
        </w:rPr>
        <w:t xml:space="preserve"> Titular de la Unidad de Transparencia del Sujeto Obligado notifica la prórroga para atender las solicitudes de información, anexando para tal efecto el Acuerdo emitido por el Comité de Transparencia, cumpliendo de esta manera con lo establecido en el artículo 163, segundo párrafo de Ley de Transparencia y Acceso a la Información Pública del Estado de México y Municipios.</w:t>
      </w:r>
    </w:p>
    <w:p w14:paraId="105DA51D" w14:textId="77777777" w:rsidR="00B2269C" w:rsidRPr="0044551F" w:rsidRDefault="00B2269C" w:rsidP="00E8313C">
      <w:pPr>
        <w:rPr>
          <w:rFonts w:cs="Arial"/>
        </w:rPr>
      </w:pPr>
    </w:p>
    <w:p w14:paraId="6D7082FA" w14:textId="53CE33C9" w:rsidR="00B2269C" w:rsidRPr="0044551F" w:rsidRDefault="00B2269C" w:rsidP="00E8313C">
      <w:pPr>
        <w:rPr>
          <w:rFonts w:cs="Arial"/>
          <w:b/>
          <w:sz w:val="28"/>
        </w:rPr>
      </w:pPr>
      <w:r w:rsidRPr="0044551F">
        <w:rPr>
          <w:rFonts w:cs="Arial"/>
        </w:rPr>
        <w:t xml:space="preserve">Por lo que en fecha </w:t>
      </w:r>
      <w:r w:rsidR="00230CE1" w:rsidRPr="0044551F">
        <w:rPr>
          <w:rFonts w:cs="Arial"/>
        </w:rPr>
        <w:t>veinticuatro de enero</w:t>
      </w:r>
      <w:r w:rsidRPr="0044551F">
        <w:rPr>
          <w:rFonts w:cs="Arial"/>
        </w:rPr>
        <w:t xml:space="preserve"> de dos mil veinticuatro, el Titular de la Unidad de Transparencia del Sujeto Obligado dio respuesta a las solicitudes de información señalando lo siguiente: </w:t>
      </w:r>
    </w:p>
    <w:p w14:paraId="6CF4EC0F" w14:textId="77777777" w:rsidR="00A970D5" w:rsidRPr="0044551F" w:rsidRDefault="00A970D5" w:rsidP="00E8313C">
      <w:pPr>
        <w:pBdr>
          <w:top w:val="nil"/>
          <w:left w:val="nil"/>
          <w:bottom w:val="nil"/>
          <w:right w:val="nil"/>
          <w:between w:val="nil"/>
        </w:pBdr>
        <w:contextualSpacing/>
        <w:rPr>
          <w:rFonts w:eastAsia="Palatino Linotype" w:cs="Palatino Linotype"/>
          <w:color w:val="000000"/>
          <w:szCs w:val="24"/>
        </w:rPr>
      </w:pPr>
    </w:p>
    <w:p w14:paraId="5AB9A738" w14:textId="77777777" w:rsidR="00230CE1" w:rsidRPr="0044551F" w:rsidRDefault="00851748" w:rsidP="00E8313C">
      <w:pPr>
        <w:pStyle w:val="Fundamentos"/>
        <w:spacing w:line="360" w:lineRule="auto"/>
        <w:jc w:val="right"/>
      </w:pPr>
      <w:r w:rsidRPr="0044551F">
        <w:t>«</w:t>
      </w:r>
      <w:r w:rsidR="00230CE1" w:rsidRPr="0044551F">
        <w:t>Folio de la solicitud: 00659/SMOV/IP/2023</w:t>
      </w:r>
    </w:p>
    <w:p w14:paraId="31C1E0A1" w14:textId="77777777" w:rsidR="00230CE1" w:rsidRPr="0044551F" w:rsidRDefault="00230CE1" w:rsidP="00E8313C">
      <w:pPr>
        <w:pStyle w:val="Fundamentos"/>
        <w:spacing w:line="360" w:lineRule="auto"/>
      </w:pPr>
    </w:p>
    <w:p w14:paraId="1F50FE51" w14:textId="77777777" w:rsidR="00230CE1" w:rsidRPr="0044551F" w:rsidRDefault="00230CE1" w:rsidP="00E8313C">
      <w:pPr>
        <w:pStyle w:val="Fundamentos"/>
        <w:spacing w:line="360" w:lineRule="auto"/>
      </w:pPr>
      <w:r w:rsidRPr="0044551F">
        <w:t>En respuesta a la solicitud recibida, nos permitimos hacer de su conocimiento que con fundamento en el artículo 53, Fracciones: II, V y VI de la Ley de Transparencia y Acceso a la Información Pública del Estado de México y Municipios, le contestamos que:</w:t>
      </w:r>
    </w:p>
    <w:p w14:paraId="75D34947" w14:textId="77777777" w:rsidR="00230CE1" w:rsidRPr="0044551F" w:rsidRDefault="00230CE1" w:rsidP="00E8313C">
      <w:pPr>
        <w:pStyle w:val="Fundamentos"/>
        <w:spacing w:line="360" w:lineRule="auto"/>
      </w:pPr>
    </w:p>
    <w:p w14:paraId="01391D48" w14:textId="77777777" w:rsidR="00230CE1" w:rsidRPr="0044551F" w:rsidRDefault="00230CE1" w:rsidP="00E8313C">
      <w:pPr>
        <w:pStyle w:val="Fundamentos"/>
        <w:spacing w:line="360" w:lineRule="auto"/>
      </w:pPr>
      <w:r w:rsidRPr="0044551F">
        <w:t>Se adjunta respuesta en formato PDF.</w:t>
      </w:r>
    </w:p>
    <w:p w14:paraId="45AF279C" w14:textId="77777777" w:rsidR="00230CE1" w:rsidRPr="0044551F" w:rsidRDefault="00230CE1" w:rsidP="00E8313C">
      <w:pPr>
        <w:pStyle w:val="Fundamentos"/>
        <w:spacing w:line="360" w:lineRule="auto"/>
      </w:pPr>
    </w:p>
    <w:p w14:paraId="0724FAF2" w14:textId="77777777" w:rsidR="00230CE1" w:rsidRPr="0044551F" w:rsidRDefault="00230CE1" w:rsidP="00E8313C">
      <w:pPr>
        <w:pStyle w:val="Fundamentos"/>
        <w:spacing w:line="360" w:lineRule="auto"/>
      </w:pPr>
      <w:r w:rsidRPr="0044551F">
        <w:t>ATENTAMENTE</w:t>
      </w:r>
    </w:p>
    <w:p w14:paraId="3FE4A9EF" w14:textId="30BBDAB3" w:rsidR="00A970D5" w:rsidRPr="0044551F" w:rsidRDefault="00230CE1" w:rsidP="00E8313C">
      <w:pPr>
        <w:pStyle w:val="Fundamentos"/>
        <w:spacing w:line="360" w:lineRule="auto"/>
        <w:rPr>
          <w:lang w:val="es-MX"/>
        </w:rPr>
      </w:pPr>
      <w:r w:rsidRPr="0044551F">
        <w:t>Lic. Alejandro Hernández Aguilar</w:t>
      </w:r>
      <w:r w:rsidR="00851748" w:rsidRPr="0044551F">
        <w:rPr>
          <w:lang w:val="es-MX"/>
        </w:rPr>
        <w:t>»</w:t>
      </w:r>
      <w:r w:rsidR="00A970D5" w:rsidRPr="0044551F">
        <w:rPr>
          <w:lang w:val="es-MX"/>
        </w:rPr>
        <w:t xml:space="preserve"> (Sic)</w:t>
      </w:r>
    </w:p>
    <w:p w14:paraId="2EAB8352" w14:textId="3B77EF6C" w:rsidR="001107C4" w:rsidRPr="0044551F" w:rsidRDefault="001107C4" w:rsidP="00E8313C">
      <w:pPr>
        <w:pBdr>
          <w:top w:val="nil"/>
          <w:left w:val="nil"/>
          <w:bottom w:val="nil"/>
          <w:right w:val="nil"/>
          <w:between w:val="nil"/>
        </w:pBdr>
        <w:contextualSpacing/>
        <w:rPr>
          <w:rFonts w:eastAsia="Palatino Linotype" w:cs="Palatino Linotype"/>
          <w:color w:val="000000"/>
          <w:szCs w:val="24"/>
          <w:lang w:val="es-MX"/>
        </w:rPr>
      </w:pPr>
    </w:p>
    <w:p w14:paraId="2011BBDD" w14:textId="4E430F12" w:rsidR="0037112D" w:rsidRPr="0044551F" w:rsidRDefault="70652167" w:rsidP="00E8313C">
      <w:pPr>
        <w:pBdr>
          <w:top w:val="nil"/>
          <w:left w:val="nil"/>
          <w:bottom w:val="nil"/>
          <w:right w:val="nil"/>
          <w:between w:val="nil"/>
        </w:pBdr>
        <w:contextualSpacing/>
        <w:rPr>
          <w:rFonts w:eastAsia="Palatino Linotype" w:cs="Palatino Linotype"/>
          <w:b/>
          <w:bCs/>
          <w:color w:val="000000"/>
          <w:lang w:val="es-ES"/>
        </w:rPr>
      </w:pPr>
      <w:r w:rsidRPr="0044551F">
        <w:rPr>
          <w:rFonts w:eastAsia="Palatino Linotype" w:cs="Palatino Linotype"/>
          <w:color w:val="000000" w:themeColor="text1"/>
          <w:lang w:val="es-ES"/>
        </w:rPr>
        <w:t xml:space="preserve">El Sujeto Obligado adjuntó a su respuesta </w:t>
      </w:r>
      <w:r w:rsidR="00230CE1" w:rsidRPr="0044551F">
        <w:rPr>
          <w:rFonts w:eastAsia="Palatino Linotype" w:cs="Palatino Linotype"/>
          <w:color w:val="000000" w:themeColor="text1"/>
          <w:lang w:val="es-ES"/>
        </w:rPr>
        <w:t xml:space="preserve">los </w:t>
      </w:r>
      <w:r w:rsidRPr="0044551F">
        <w:rPr>
          <w:rFonts w:eastAsia="Palatino Linotype" w:cs="Palatino Linotype"/>
          <w:color w:val="000000" w:themeColor="text1"/>
          <w:lang w:val="es-ES"/>
        </w:rPr>
        <w:t>documento</w:t>
      </w:r>
      <w:r w:rsidR="00230CE1" w:rsidRPr="0044551F">
        <w:rPr>
          <w:rFonts w:eastAsia="Palatino Linotype" w:cs="Palatino Linotype"/>
          <w:color w:val="000000" w:themeColor="text1"/>
          <w:lang w:val="es-ES"/>
        </w:rPr>
        <w:t>s</w:t>
      </w:r>
      <w:r w:rsidRPr="0044551F">
        <w:rPr>
          <w:rFonts w:eastAsia="Palatino Linotype" w:cs="Palatino Linotype"/>
          <w:color w:val="000000" w:themeColor="text1"/>
          <w:lang w:val="es-ES"/>
        </w:rPr>
        <w:t xml:space="preserve"> denominado</w:t>
      </w:r>
      <w:r w:rsidR="00230CE1" w:rsidRPr="0044551F">
        <w:rPr>
          <w:rFonts w:eastAsia="Palatino Linotype" w:cs="Palatino Linotype"/>
          <w:color w:val="000000" w:themeColor="text1"/>
          <w:lang w:val="es-ES"/>
        </w:rPr>
        <w:t>s</w:t>
      </w:r>
      <w:r w:rsidRPr="0044551F">
        <w:rPr>
          <w:rFonts w:eastAsia="Palatino Linotype" w:cs="Palatino Linotype"/>
          <w:color w:val="000000" w:themeColor="text1"/>
          <w:lang w:val="es-ES"/>
        </w:rPr>
        <w:t xml:space="preserve"> </w:t>
      </w:r>
      <w:r w:rsidR="00230CE1" w:rsidRPr="0044551F">
        <w:rPr>
          <w:rFonts w:eastAsia="Palatino Linotype" w:cs="Palatino Linotype"/>
          <w:b/>
          <w:bCs/>
          <w:color w:val="000000" w:themeColor="text1"/>
          <w:lang w:val="es-ES"/>
        </w:rPr>
        <w:t>“SAIMEX 00659(1) 24-Jan-2024 20-19-39.pdf” y “SAIMEX 00659 SG.pdf”</w:t>
      </w:r>
      <w:r w:rsidR="001E4621" w:rsidRPr="0044551F">
        <w:rPr>
          <w:rFonts w:eastAsia="Palatino Linotype" w:cs="Palatino Linotype"/>
          <w:color w:val="000000" w:themeColor="text1"/>
          <w:lang w:val="es-ES"/>
        </w:rPr>
        <w:t xml:space="preserve">, </w:t>
      </w:r>
      <w:r w:rsidR="00F17165" w:rsidRPr="0044551F">
        <w:rPr>
          <w:rFonts w:eastAsia="Palatino Linotype" w:cs="Palatino Linotype"/>
          <w:color w:val="000000" w:themeColor="text1"/>
          <w:lang w:val="es-ES"/>
        </w:rPr>
        <w:t>cuyo</w:t>
      </w:r>
      <w:r w:rsidRPr="0044551F">
        <w:rPr>
          <w:rFonts w:eastAsia="Palatino Linotype" w:cs="Palatino Linotype"/>
          <w:color w:val="000000" w:themeColor="text1"/>
          <w:lang w:val="es-ES"/>
        </w:rPr>
        <w:t xml:space="preserve"> contenido será motivo de análisis en el estudio correspondiente.</w:t>
      </w:r>
    </w:p>
    <w:p w14:paraId="58FA11DD" w14:textId="2A1FCE6C" w:rsidR="00A970D5" w:rsidRPr="0044551F" w:rsidRDefault="00714CA9" w:rsidP="00E8313C">
      <w:pPr>
        <w:pStyle w:val="Ttulo2"/>
        <w:rPr>
          <w:rFonts w:eastAsia="Palatino Linotype"/>
        </w:rPr>
      </w:pPr>
      <w:r w:rsidRPr="0044551F">
        <w:rPr>
          <w:rFonts w:eastAsia="Palatino Linotype"/>
        </w:rPr>
        <w:t>TERCERO</w:t>
      </w:r>
      <w:r w:rsidR="00A970D5" w:rsidRPr="0044551F">
        <w:rPr>
          <w:rFonts w:eastAsia="Palatino Linotype"/>
        </w:rPr>
        <w:t>. Del recurso de revisión.</w:t>
      </w:r>
    </w:p>
    <w:p w14:paraId="0C8C3A2F" w14:textId="0663F42C" w:rsidR="00A970D5" w:rsidRPr="0044551F" w:rsidRDefault="0090115A" w:rsidP="00E8313C">
      <w:pPr>
        <w:pBdr>
          <w:top w:val="nil"/>
          <w:left w:val="nil"/>
          <w:bottom w:val="nil"/>
          <w:right w:val="nil"/>
          <w:between w:val="nil"/>
        </w:pBdr>
        <w:contextualSpacing/>
        <w:rPr>
          <w:rFonts w:eastAsia="Palatino Linotype" w:cs="Palatino Linotype"/>
          <w:color w:val="000000"/>
          <w:szCs w:val="24"/>
        </w:rPr>
      </w:pPr>
      <w:r w:rsidRPr="0044551F">
        <w:rPr>
          <w:rFonts w:eastAsia="Palatino Linotype" w:cs="Palatino Linotype"/>
          <w:color w:val="000000"/>
          <w:szCs w:val="24"/>
        </w:rPr>
        <w:t xml:space="preserve">Inconforme con la respuesta emitida, el Recurrente interpuso el presente recurso de revisión el día </w:t>
      </w:r>
      <w:r w:rsidR="00230CE1" w:rsidRPr="0044551F">
        <w:rPr>
          <w:rFonts w:eastAsia="Palatino Linotype" w:cs="Palatino Linotype"/>
          <w:color w:val="000000"/>
          <w:szCs w:val="24"/>
        </w:rPr>
        <w:t>veinticinco de enero</w:t>
      </w:r>
      <w:r w:rsidR="001E1754" w:rsidRPr="0044551F">
        <w:rPr>
          <w:rFonts w:eastAsia="Palatino Linotype" w:cs="Palatino Linotype"/>
          <w:color w:val="000000"/>
          <w:szCs w:val="24"/>
        </w:rPr>
        <w:t xml:space="preserve"> de dos mil veinticuatro</w:t>
      </w:r>
      <w:r w:rsidRPr="0044551F">
        <w:rPr>
          <w:rFonts w:eastAsia="Palatino Linotype" w:cs="Palatino Linotype"/>
          <w:color w:val="000000"/>
          <w:szCs w:val="24"/>
        </w:rPr>
        <w:t>, el cual se registró en el SAIMEX con el expediente número</w:t>
      </w:r>
      <w:r w:rsidR="00A970D5" w:rsidRPr="0044551F">
        <w:rPr>
          <w:rFonts w:eastAsia="Palatino Linotype" w:cs="Palatino Linotype"/>
          <w:color w:val="000000"/>
          <w:szCs w:val="24"/>
        </w:rPr>
        <w:t xml:space="preserve"> </w:t>
      </w:r>
      <w:r w:rsidR="00230CE1" w:rsidRPr="0044551F">
        <w:rPr>
          <w:rFonts w:eastAsia="Palatino Linotype" w:cs="Palatino Linotype"/>
          <w:b/>
          <w:color w:val="000000"/>
          <w:szCs w:val="24"/>
        </w:rPr>
        <w:t>00245</w:t>
      </w:r>
      <w:r w:rsidR="004A3367" w:rsidRPr="0044551F">
        <w:rPr>
          <w:rFonts w:eastAsia="Palatino Linotype" w:cs="Palatino Linotype"/>
          <w:b/>
          <w:color w:val="000000"/>
          <w:szCs w:val="24"/>
        </w:rPr>
        <w:t>/INFOEM/IP/RR/2024</w:t>
      </w:r>
      <w:r w:rsidR="00A06896" w:rsidRPr="0044551F">
        <w:rPr>
          <w:rFonts w:eastAsia="Palatino Linotype" w:cs="Palatino Linotype"/>
          <w:color w:val="000000"/>
          <w:szCs w:val="24"/>
        </w:rPr>
        <w:t xml:space="preserve">, </w:t>
      </w:r>
      <w:r w:rsidRPr="0044551F">
        <w:rPr>
          <w:rFonts w:eastAsia="Palatino Linotype" w:cs="Palatino Linotype"/>
          <w:color w:val="000000"/>
          <w:szCs w:val="24"/>
        </w:rPr>
        <w:t>en el que manifestó</w:t>
      </w:r>
      <w:r w:rsidR="00A970D5" w:rsidRPr="0044551F">
        <w:rPr>
          <w:rFonts w:eastAsia="Palatino Linotype" w:cs="Palatino Linotype"/>
          <w:color w:val="000000"/>
          <w:szCs w:val="24"/>
        </w:rPr>
        <w:t xml:space="preserve"> lo siguiente:</w:t>
      </w:r>
    </w:p>
    <w:p w14:paraId="7AA0C9F4" w14:textId="046134A0" w:rsidR="00A970D5" w:rsidRPr="0044551F" w:rsidRDefault="00A970D5" w:rsidP="00E8313C">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44551F" w:rsidRDefault="00A970D5" w:rsidP="00E8313C">
      <w:pPr>
        <w:contextualSpacing/>
        <w:rPr>
          <w:rFonts w:eastAsia="Palatino Linotype" w:cs="Palatino Linotype"/>
          <w:b/>
        </w:rPr>
      </w:pPr>
      <w:r w:rsidRPr="0044551F">
        <w:rPr>
          <w:rFonts w:eastAsia="Palatino Linotype" w:cs="Palatino Linotype"/>
          <w:b/>
        </w:rPr>
        <w:t>Acto Impugnado:</w:t>
      </w:r>
      <w:r w:rsidR="00655007" w:rsidRPr="0044551F">
        <w:rPr>
          <w:rFonts w:eastAsia="Palatino Linotype" w:cs="Palatino Linotype"/>
          <w:b/>
        </w:rPr>
        <w:t xml:space="preserve"> </w:t>
      </w:r>
    </w:p>
    <w:p w14:paraId="4A0EFE5A" w14:textId="104C68D6" w:rsidR="00A970D5" w:rsidRPr="0044551F" w:rsidRDefault="5C35490E" w:rsidP="00E8313C">
      <w:pPr>
        <w:pStyle w:val="Fundamentos"/>
        <w:spacing w:line="360" w:lineRule="auto"/>
        <w:rPr>
          <w:b/>
          <w:bCs/>
          <w:lang w:val="es-ES"/>
        </w:rPr>
      </w:pPr>
      <w:r w:rsidRPr="0044551F">
        <w:rPr>
          <w:lang w:val="es-ES"/>
        </w:rPr>
        <w:t>«</w:t>
      </w:r>
      <w:r w:rsidR="00230CE1" w:rsidRPr="0044551F">
        <w:rPr>
          <w:lang w:val="es-ES"/>
        </w:rPr>
        <w:t>me quieren cobrar algo que es gratis donde esta el derecho de acceso a la informaicón</w:t>
      </w:r>
      <w:r w:rsidRPr="0044551F">
        <w:rPr>
          <w:lang w:val="es-ES"/>
        </w:rPr>
        <w:t>» (Sic)</w:t>
      </w:r>
    </w:p>
    <w:p w14:paraId="3C40A441" w14:textId="77777777" w:rsidR="00A970D5" w:rsidRPr="0044551F" w:rsidRDefault="00A970D5" w:rsidP="00E8313C">
      <w:pPr>
        <w:contextualSpacing/>
        <w:rPr>
          <w:rFonts w:eastAsia="Palatino Linotype" w:cs="Palatino Linotype"/>
          <w:iCs/>
          <w:szCs w:val="24"/>
        </w:rPr>
      </w:pPr>
    </w:p>
    <w:p w14:paraId="0FFA08C3" w14:textId="0DDF8688" w:rsidR="00004014" w:rsidRPr="0044551F" w:rsidRDefault="00A970D5" w:rsidP="00E8313C">
      <w:pPr>
        <w:contextualSpacing/>
        <w:rPr>
          <w:rFonts w:eastAsia="Palatino Linotype" w:cs="Palatino Linotype"/>
        </w:rPr>
      </w:pPr>
      <w:r w:rsidRPr="0044551F">
        <w:rPr>
          <w:rFonts w:eastAsia="Palatino Linotype" w:cs="Palatino Linotype"/>
          <w:b/>
        </w:rPr>
        <w:t>Razones o Motivos de Inconformidad</w:t>
      </w:r>
      <w:r w:rsidR="00004014" w:rsidRPr="0044551F">
        <w:rPr>
          <w:rFonts w:eastAsia="Palatino Linotype" w:cs="Palatino Linotype"/>
        </w:rPr>
        <w:t>:</w:t>
      </w:r>
    </w:p>
    <w:p w14:paraId="2DAC342E" w14:textId="39ED5026" w:rsidR="00A970D5" w:rsidRPr="0044551F" w:rsidRDefault="5C35490E" w:rsidP="00E8313C">
      <w:pPr>
        <w:pStyle w:val="Fundamentos"/>
        <w:spacing w:line="360" w:lineRule="auto"/>
      </w:pPr>
      <w:r w:rsidRPr="0044551F">
        <w:rPr>
          <w:lang w:val="es-ES"/>
        </w:rPr>
        <w:t>«</w:t>
      </w:r>
      <w:r w:rsidR="00230CE1" w:rsidRPr="0044551F">
        <w:rPr>
          <w:lang w:val="es-ES"/>
        </w:rPr>
        <w:t>mie quieren cobrar algo que es gratis donde esta el derecho de acceso a la informaicón</w:t>
      </w:r>
      <w:r w:rsidRPr="0044551F">
        <w:rPr>
          <w:lang w:val="es-ES"/>
        </w:rPr>
        <w:t>» (Sic)</w:t>
      </w:r>
    </w:p>
    <w:p w14:paraId="7480365B" w14:textId="77777777" w:rsidR="00FB3D5B" w:rsidRPr="0044551F" w:rsidRDefault="00FB3D5B" w:rsidP="00E8313C">
      <w:pPr>
        <w:pBdr>
          <w:top w:val="nil"/>
          <w:left w:val="nil"/>
          <w:bottom w:val="nil"/>
          <w:right w:val="nil"/>
          <w:between w:val="nil"/>
        </w:pBdr>
        <w:contextualSpacing/>
        <w:rPr>
          <w:rFonts w:eastAsia="Palatino Linotype" w:cs="Palatino Linotype"/>
          <w:color w:val="000000"/>
          <w:szCs w:val="24"/>
        </w:rPr>
      </w:pPr>
    </w:p>
    <w:p w14:paraId="11D7F189" w14:textId="5AD880C6" w:rsidR="00A970D5" w:rsidRPr="0044551F" w:rsidRDefault="00714CA9" w:rsidP="00E8313C">
      <w:pPr>
        <w:pStyle w:val="Ttulo2"/>
        <w:rPr>
          <w:rFonts w:eastAsia="Palatino Linotype"/>
        </w:rPr>
      </w:pPr>
      <w:r w:rsidRPr="0044551F">
        <w:rPr>
          <w:rFonts w:eastAsia="Palatino Linotype"/>
        </w:rPr>
        <w:t>CUAR</w:t>
      </w:r>
      <w:r w:rsidR="006E3088" w:rsidRPr="0044551F">
        <w:rPr>
          <w:rFonts w:eastAsia="Palatino Linotype"/>
        </w:rPr>
        <w:t>TO</w:t>
      </w:r>
      <w:r w:rsidR="00A970D5" w:rsidRPr="0044551F">
        <w:rPr>
          <w:rFonts w:eastAsia="Palatino Linotype"/>
        </w:rPr>
        <w:t>. Del turno y admisión del recurso de revisión.</w:t>
      </w:r>
    </w:p>
    <w:p w14:paraId="2459DEBA" w14:textId="46C0056E" w:rsidR="00A970D5" w:rsidRPr="0044551F" w:rsidRDefault="70652167" w:rsidP="00E8313C">
      <w:pPr>
        <w:pBdr>
          <w:top w:val="nil"/>
          <w:left w:val="nil"/>
          <w:bottom w:val="nil"/>
          <w:right w:val="nil"/>
          <w:between w:val="nil"/>
        </w:pBdr>
        <w:contextualSpacing/>
        <w:rPr>
          <w:rFonts w:eastAsia="Palatino Linotype" w:cs="Palatino Linotype"/>
          <w:color w:val="000000"/>
          <w:lang w:val="es-ES"/>
        </w:rPr>
      </w:pPr>
      <w:r w:rsidRPr="0044551F">
        <w:rPr>
          <w:rFonts w:eastAsia="Palatino Linotype" w:cs="Palatino Linotype"/>
          <w:color w:val="000000" w:themeColor="text1"/>
          <w:lang w:val="es-ES"/>
        </w:rPr>
        <w:t xml:space="preserve">Medio de impugnación que le fue turnado al </w:t>
      </w:r>
      <w:r w:rsidRPr="0044551F">
        <w:rPr>
          <w:rFonts w:eastAsia="Palatino Linotype" w:cs="Palatino Linotype"/>
          <w:b/>
          <w:bCs/>
          <w:color w:val="000000" w:themeColor="text1"/>
          <w:lang w:val="es-ES"/>
        </w:rPr>
        <w:t>Comisionado Presidente José Martínez Vilchis</w:t>
      </w:r>
      <w:r w:rsidRPr="0044551F">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44551F">
        <w:rPr>
          <w:rFonts w:eastAsia="Palatino Linotype" w:cs="Palatino Linotype"/>
          <w:color w:val="000000" w:themeColor="text1"/>
          <w:lang w:val="es-ES"/>
        </w:rPr>
        <w:t xml:space="preserve"> admisión de fecha </w:t>
      </w:r>
      <w:r w:rsidR="00230CE1" w:rsidRPr="0044551F">
        <w:rPr>
          <w:rFonts w:eastAsia="Palatino Linotype" w:cs="Palatino Linotype"/>
          <w:color w:val="000000" w:themeColor="text1"/>
          <w:lang w:val="es-ES"/>
        </w:rPr>
        <w:t>treinta y uno de enero</w:t>
      </w:r>
      <w:r w:rsidRPr="0044551F">
        <w:rPr>
          <w:rFonts w:eastAsia="Palatino Linotype" w:cs="Palatino Linotype"/>
          <w:color w:val="000000" w:themeColor="text1"/>
          <w:lang w:val="es-ES"/>
        </w:rPr>
        <w:t xml:space="preserve"> de dos mil veinticuatro, </w:t>
      </w:r>
      <w:r w:rsidRPr="0044551F">
        <w:rPr>
          <w:rFonts w:eastAsia="Palatino Linotype" w:cs="Palatino Linotype"/>
          <w:lang w:val="es-ES"/>
        </w:rPr>
        <w:t>otorgándose</w:t>
      </w:r>
      <w:r w:rsidRPr="0044551F">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44551F" w:rsidRDefault="00A970D5" w:rsidP="00E8313C">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44551F" w:rsidRDefault="00714CA9" w:rsidP="00E8313C">
      <w:pPr>
        <w:pStyle w:val="Ttulo2"/>
        <w:rPr>
          <w:rFonts w:eastAsia="Palatino Linotype"/>
        </w:rPr>
      </w:pPr>
      <w:r w:rsidRPr="0044551F">
        <w:rPr>
          <w:rFonts w:eastAsia="Palatino Linotype"/>
        </w:rPr>
        <w:lastRenderedPageBreak/>
        <w:t>QUIN</w:t>
      </w:r>
      <w:r w:rsidR="009B56A2" w:rsidRPr="0044551F">
        <w:rPr>
          <w:rFonts w:eastAsia="Palatino Linotype"/>
        </w:rPr>
        <w:t>TO</w:t>
      </w:r>
      <w:r w:rsidR="00A970D5" w:rsidRPr="0044551F">
        <w:rPr>
          <w:rFonts w:eastAsia="Palatino Linotype"/>
        </w:rPr>
        <w:t>. De la etapa de instrucción.</w:t>
      </w:r>
    </w:p>
    <w:p w14:paraId="0B6D9775" w14:textId="4CC7C3B0" w:rsidR="00EC115E" w:rsidRPr="0044551F" w:rsidRDefault="0090115A" w:rsidP="00E8313C">
      <w:pPr>
        <w:pBdr>
          <w:top w:val="nil"/>
          <w:left w:val="nil"/>
          <w:bottom w:val="nil"/>
          <w:right w:val="nil"/>
          <w:between w:val="nil"/>
        </w:pBdr>
        <w:contextualSpacing/>
      </w:pPr>
      <w:r w:rsidRPr="0044551F">
        <w:rPr>
          <w:rFonts w:eastAsia="Palatino Linotype" w:cs="Palatino Linotype"/>
          <w:color w:val="000000"/>
          <w:szCs w:val="24"/>
        </w:rPr>
        <w:t xml:space="preserve">Una vez abierta la etapa de instrucción, se observa que en fecha </w:t>
      </w:r>
      <w:r w:rsidR="00230CE1" w:rsidRPr="0044551F">
        <w:rPr>
          <w:rFonts w:eastAsia="Palatino Linotype" w:cs="Palatino Linotype"/>
          <w:color w:val="000000"/>
          <w:szCs w:val="24"/>
        </w:rPr>
        <w:t>ocho de febrero</w:t>
      </w:r>
      <w:r w:rsidR="00520C3C" w:rsidRPr="0044551F">
        <w:rPr>
          <w:rFonts w:eastAsia="Palatino Linotype" w:cs="Palatino Linotype"/>
          <w:color w:val="000000"/>
          <w:szCs w:val="24"/>
        </w:rPr>
        <w:t xml:space="preserve"> de dos mil veinticuatro</w:t>
      </w:r>
      <w:r w:rsidRPr="0044551F">
        <w:rPr>
          <w:rFonts w:eastAsia="Palatino Linotype" w:cs="Palatino Linotype"/>
          <w:color w:val="000000"/>
          <w:szCs w:val="24"/>
        </w:rPr>
        <w:t xml:space="preserve">, el Sujeto Obligado rindió su Informe Justificado, consistente en </w:t>
      </w:r>
      <w:r w:rsidR="006A67C2" w:rsidRPr="0044551F">
        <w:rPr>
          <w:rFonts w:eastAsia="Palatino Linotype" w:cs="Palatino Linotype"/>
          <w:color w:val="000000"/>
          <w:szCs w:val="24"/>
        </w:rPr>
        <w:t>l</w:t>
      </w:r>
      <w:r w:rsidR="00230CE1" w:rsidRPr="0044551F">
        <w:rPr>
          <w:rFonts w:eastAsia="Palatino Linotype" w:cs="Palatino Linotype"/>
          <w:color w:val="000000"/>
          <w:szCs w:val="24"/>
        </w:rPr>
        <w:t>os</w:t>
      </w:r>
      <w:r w:rsidR="006A67C2" w:rsidRPr="0044551F">
        <w:rPr>
          <w:rFonts w:eastAsia="Palatino Linotype" w:cs="Palatino Linotype"/>
          <w:color w:val="000000"/>
          <w:szCs w:val="24"/>
        </w:rPr>
        <w:t xml:space="preserve"> </w:t>
      </w:r>
      <w:r w:rsidRPr="0044551F">
        <w:rPr>
          <w:rFonts w:eastAsia="Palatino Linotype" w:cs="Palatino Linotype"/>
          <w:color w:val="000000"/>
          <w:szCs w:val="24"/>
        </w:rPr>
        <w:t>documento</w:t>
      </w:r>
      <w:r w:rsidR="00230CE1" w:rsidRPr="0044551F">
        <w:rPr>
          <w:rFonts w:eastAsia="Palatino Linotype" w:cs="Palatino Linotype"/>
          <w:color w:val="000000"/>
          <w:szCs w:val="24"/>
        </w:rPr>
        <w:t>s</w:t>
      </w:r>
      <w:r w:rsidRPr="0044551F">
        <w:rPr>
          <w:rFonts w:eastAsia="Palatino Linotype" w:cs="Palatino Linotype"/>
          <w:color w:val="000000"/>
          <w:szCs w:val="24"/>
        </w:rPr>
        <w:t xml:space="preserve"> denominad</w:t>
      </w:r>
      <w:r w:rsidR="00520C3C" w:rsidRPr="0044551F">
        <w:rPr>
          <w:rFonts w:eastAsia="Palatino Linotype" w:cs="Palatino Linotype"/>
          <w:color w:val="000000"/>
          <w:szCs w:val="24"/>
        </w:rPr>
        <w:t>o</w:t>
      </w:r>
      <w:r w:rsidR="00230CE1" w:rsidRPr="0044551F">
        <w:rPr>
          <w:rFonts w:eastAsia="Palatino Linotype" w:cs="Palatino Linotype"/>
          <w:color w:val="000000"/>
          <w:szCs w:val="24"/>
        </w:rPr>
        <w:t>s</w:t>
      </w:r>
      <w:r w:rsidRPr="0044551F">
        <w:rPr>
          <w:rFonts w:eastAsia="Palatino Linotype" w:cs="Palatino Linotype"/>
          <w:color w:val="000000"/>
          <w:szCs w:val="24"/>
        </w:rPr>
        <w:t xml:space="preserve"> </w:t>
      </w:r>
      <w:r w:rsidR="00230CE1" w:rsidRPr="0044551F">
        <w:rPr>
          <w:rFonts w:eastAsia="Palatino Linotype" w:cs="Palatino Linotype"/>
          <w:b/>
          <w:color w:val="000000"/>
          <w:szCs w:val="24"/>
        </w:rPr>
        <w:t>“Informe Justificado_245.0.pdf” y “CAD_T50.pdf</w:t>
      </w:r>
      <w:r w:rsidR="0073427B" w:rsidRPr="0044551F">
        <w:rPr>
          <w:rFonts w:eastAsia="Palatino Linotype" w:cs="Palatino Linotype"/>
          <w:b/>
          <w:color w:val="000000"/>
          <w:szCs w:val="24"/>
        </w:rPr>
        <w:t>”</w:t>
      </w:r>
      <w:r w:rsidR="0073427B" w:rsidRPr="0044551F">
        <w:rPr>
          <w:rFonts w:eastAsia="Palatino Linotype" w:cs="Palatino Linotype"/>
          <w:color w:val="000000"/>
          <w:szCs w:val="24"/>
        </w:rPr>
        <w:t xml:space="preserve">, </w:t>
      </w:r>
      <w:r w:rsidR="004835C8" w:rsidRPr="0044551F">
        <w:rPr>
          <w:rFonts w:eastAsia="Palatino Linotype" w:cs="Palatino Linotype"/>
          <w:color w:val="000000"/>
          <w:szCs w:val="24"/>
        </w:rPr>
        <w:t>el</w:t>
      </w:r>
      <w:r w:rsidRPr="0044551F">
        <w:rPr>
          <w:rFonts w:eastAsia="Palatino Linotype" w:cs="Palatino Linotype"/>
          <w:color w:val="000000"/>
          <w:szCs w:val="24"/>
        </w:rPr>
        <w:t xml:space="preserve"> cual fue puest</w:t>
      </w:r>
      <w:r w:rsidR="00C03666" w:rsidRPr="0044551F">
        <w:rPr>
          <w:rFonts w:eastAsia="Palatino Linotype" w:cs="Palatino Linotype"/>
          <w:color w:val="000000"/>
          <w:szCs w:val="24"/>
        </w:rPr>
        <w:t>o</w:t>
      </w:r>
      <w:r w:rsidRPr="0044551F">
        <w:rPr>
          <w:rFonts w:eastAsia="Palatino Linotype" w:cs="Palatino Linotype"/>
          <w:color w:val="000000"/>
          <w:szCs w:val="24"/>
        </w:rPr>
        <w:t xml:space="preserve"> a la vista del Recurrente mediante acuerdo de fecha </w:t>
      </w:r>
      <w:r w:rsidR="00230CE1" w:rsidRPr="0044551F">
        <w:rPr>
          <w:rFonts w:eastAsia="Palatino Linotype" w:cs="Palatino Linotype"/>
          <w:color w:val="000000"/>
          <w:szCs w:val="24"/>
        </w:rPr>
        <w:t>trece de febrero</w:t>
      </w:r>
      <w:r w:rsidR="00A027DE" w:rsidRPr="0044551F">
        <w:rPr>
          <w:rFonts w:eastAsia="Palatino Linotype" w:cs="Palatino Linotype"/>
          <w:color w:val="000000"/>
          <w:szCs w:val="24"/>
        </w:rPr>
        <w:t xml:space="preserve"> del año en curso</w:t>
      </w:r>
      <w:r w:rsidRPr="0044551F">
        <w:rPr>
          <w:rFonts w:eastAsia="Palatino Linotype" w:cs="Palatino Linotype"/>
          <w:color w:val="000000"/>
          <w:szCs w:val="24"/>
        </w:rPr>
        <w:t>, en términos de la fracción III del artículo 185 de la Ley de Transparencia y Acceso a la Información Pública del Estado de México y Municipios, otorgando al particular un término de tres días para manifestar lo que a su derecho conviniera</w:t>
      </w:r>
      <w:r w:rsidR="00230CE1" w:rsidRPr="0044551F">
        <w:rPr>
          <w:rFonts w:eastAsia="Palatino Linotype" w:cs="Palatino Linotype"/>
          <w:color w:val="000000"/>
          <w:szCs w:val="24"/>
        </w:rPr>
        <w:t>.</w:t>
      </w:r>
      <w:r w:rsidR="00F71849" w:rsidRPr="0044551F">
        <w:rPr>
          <w:rFonts w:eastAsia="Palatino Linotype" w:cs="Palatino Linotype"/>
          <w:color w:val="000000"/>
          <w:szCs w:val="24"/>
        </w:rPr>
        <w:t xml:space="preserve"> </w:t>
      </w:r>
      <w:r w:rsidR="00230CE1" w:rsidRPr="0044551F">
        <w:rPr>
          <w:rFonts w:eastAsia="Palatino Linotype" w:cs="Palatino Linotype"/>
          <w:color w:val="000000"/>
          <w:szCs w:val="24"/>
        </w:rPr>
        <w:t>Asimismo, se advierte que el recurrente no realizó manifestación alguna.</w:t>
      </w:r>
    </w:p>
    <w:p w14:paraId="5B536618" w14:textId="7ED50870" w:rsidR="00C02596" w:rsidRPr="0044551F" w:rsidRDefault="00C02596" w:rsidP="00E8313C">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44551F" w:rsidRDefault="009B56A2" w:rsidP="00E8313C">
      <w:pPr>
        <w:pStyle w:val="Ttulo2"/>
        <w:rPr>
          <w:rFonts w:eastAsia="Palatino Linotype"/>
        </w:rPr>
      </w:pPr>
      <w:r w:rsidRPr="0044551F">
        <w:rPr>
          <w:rFonts w:eastAsia="Palatino Linotype"/>
        </w:rPr>
        <w:t>S</w:t>
      </w:r>
      <w:r w:rsidR="00271737" w:rsidRPr="0044551F">
        <w:rPr>
          <w:rFonts w:eastAsia="Palatino Linotype"/>
        </w:rPr>
        <w:t>EXTO</w:t>
      </w:r>
      <w:r w:rsidR="00A970D5" w:rsidRPr="0044551F">
        <w:rPr>
          <w:rFonts w:eastAsia="Palatino Linotype"/>
        </w:rPr>
        <w:t>. Del cierre de instrucción.</w:t>
      </w:r>
    </w:p>
    <w:p w14:paraId="2456F4BD" w14:textId="1138DAC1" w:rsidR="00A970D5" w:rsidRPr="0044551F" w:rsidRDefault="00A970D5" w:rsidP="00E8313C">
      <w:pPr>
        <w:pBdr>
          <w:top w:val="nil"/>
          <w:left w:val="nil"/>
          <w:bottom w:val="nil"/>
          <w:right w:val="nil"/>
          <w:between w:val="nil"/>
        </w:pBdr>
        <w:contextualSpacing/>
        <w:rPr>
          <w:rFonts w:eastAsia="Palatino Linotype" w:cs="Palatino Linotype"/>
          <w:color w:val="000000"/>
          <w:szCs w:val="24"/>
        </w:rPr>
      </w:pPr>
      <w:r w:rsidRPr="0044551F">
        <w:rPr>
          <w:rFonts w:eastAsia="Palatino Linotype" w:cs="Palatino Linotype"/>
          <w:color w:val="000000"/>
          <w:szCs w:val="24"/>
        </w:rPr>
        <w:t>Así, una vez transcurrido el término legal, se decretó el cierre de instru</w:t>
      </w:r>
      <w:r w:rsidR="00AE6B11" w:rsidRPr="0044551F">
        <w:rPr>
          <w:rFonts w:eastAsia="Palatino Linotype" w:cs="Palatino Linotype"/>
          <w:color w:val="000000"/>
          <w:szCs w:val="24"/>
        </w:rPr>
        <w:t>cción</w:t>
      </w:r>
      <w:r w:rsidR="007826F1" w:rsidRPr="0044551F">
        <w:rPr>
          <w:rFonts w:eastAsia="Palatino Linotype" w:cs="Palatino Linotype"/>
          <w:color w:val="000000"/>
          <w:szCs w:val="24"/>
        </w:rPr>
        <w:t xml:space="preserve"> el</w:t>
      </w:r>
      <w:r w:rsidR="00B53BEF" w:rsidRPr="0044551F">
        <w:rPr>
          <w:rFonts w:eastAsia="Palatino Linotype" w:cs="Palatino Linotype"/>
          <w:color w:val="000000"/>
          <w:szCs w:val="24"/>
        </w:rPr>
        <w:t xml:space="preserve"> </w:t>
      </w:r>
      <w:r w:rsidR="00230CE1" w:rsidRPr="0044551F">
        <w:rPr>
          <w:rFonts w:eastAsia="Palatino Linotype" w:cs="Palatino Linotype"/>
          <w:color w:val="000000"/>
          <w:szCs w:val="24"/>
        </w:rPr>
        <w:t>diecinueve de febrero</w:t>
      </w:r>
      <w:r w:rsidR="000C2661" w:rsidRPr="0044551F">
        <w:rPr>
          <w:rFonts w:eastAsia="Palatino Linotype" w:cs="Palatino Linotype"/>
          <w:color w:val="000000"/>
          <w:szCs w:val="24"/>
        </w:rPr>
        <w:t xml:space="preserve"> de dos mil veinticuatro</w:t>
      </w:r>
      <w:r w:rsidRPr="0044551F">
        <w:rPr>
          <w:rFonts w:eastAsia="Palatino Linotype" w:cs="Palatino Linotype"/>
          <w:color w:val="000000"/>
          <w:szCs w:val="24"/>
        </w:rPr>
        <w:t xml:space="preserve">, en términos del artículo 185 </w:t>
      </w:r>
      <w:r w:rsidR="004579DC" w:rsidRPr="0044551F">
        <w:rPr>
          <w:rFonts w:eastAsia="Palatino Linotype" w:cs="Palatino Linotype"/>
          <w:color w:val="000000"/>
          <w:szCs w:val="24"/>
        </w:rPr>
        <w:t>f</w:t>
      </w:r>
      <w:r w:rsidRPr="0044551F">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44551F" w:rsidRDefault="00A914F3" w:rsidP="00E8313C">
      <w:pPr>
        <w:pBdr>
          <w:top w:val="nil"/>
          <w:left w:val="nil"/>
          <w:bottom w:val="nil"/>
          <w:right w:val="nil"/>
          <w:between w:val="nil"/>
        </w:pBdr>
        <w:contextualSpacing/>
        <w:rPr>
          <w:rFonts w:eastAsia="Palatino Linotype" w:cs="Palatino Linotype"/>
          <w:color w:val="000000"/>
          <w:szCs w:val="24"/>
        </w:rPr>
      </w:pPr>
    </w:p>
    <w:p w14:paraId="2A341854" w14:textId="52325AD0" w:rsidR="00A914F3" w:rsidRPr="0044551F" w:rsidRDefault="00271737" w:rsidP="00E8313C">
      <w:pPr>
        <w:pStyle w:val="Ttulo2"/>
        <w:rPr>
          <w:rFonts w:eastAsiaTheme="minorHAnsi"/>
          <w:lang w:eastAsia="en-US"/>
        </w:rPr>
      </w:pPr>
      <w:r w:rsidRPr="0044551F">
        <w:rPr>
          <w:rFonts w:eastAsiaTheme="minorHAnsi"/>
          <w:lang w:eastAsia="en-US"/>
        </w:rPr>
        <w:t>SÉPTIMO</w:t>
      </w:r>
      <w:r w:rsidR="00A914F3" w:rsidRPr="0044551F">
        <w:rPr>
          <w:rFonts w:eastAsiaTheme="minorHAnsi"/>
          <w:lang w:eastAsia="en-US"/>
        </w:rPr>
        <w:t>. De la ampliación del término para resolver.</w:t>
      </w:r>
    </w:p>
    <w:p w14:paraId="580C419B" w14:textId="443FCD8B"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r w:rsidRPr="0044551F">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230CE1" w:rsidRPr="0044551F">
        <w:rPr>
          <w:rFonts w:eastAsiaTheme="minorHAnsi" w:cstheme="minorBidi"/>
          <w:szCs w:val="24"/>
          <w:lang w:eastAsia="en-US"/>
        </w:rPr>
        <w:t>dos de julio</w:t>
      </w:r>
      <w:r w:rsidRPr="0044551F">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93DB557"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p>
    <w:p w14:paraId="7F62C93B"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r w:rsidRPr="0044551F">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0BCEDB97"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p>
    <w:p w14:paraId="19CAECC6" w14:textId="561BB27C" w:rsidR="00546575" w:rsidRPr="0044551F" w:rsidRDefault="5C35490E" w:rsidP="00E8313C">
      <w:pPr>
        <w:pBdr>
          <w:top w:val="nil"/>
          <w:left w:val="nil"/>
          <w:bottom w:val="nil"/>
          <w:right w:val="nil"/>
          <w:between w:val="nil"/>
        </w:pBdr>
        <w:contextualSpacing/>
        <w:rPr>
          <w:rFonts w:eastAsiaTheme="minorEastAsia" w:cstheme="minorBidi"/>
          <w:lang w:val="es-ES" w:eastAsia="en-US"/>
        </w:rPr>
      </w:pPr>
      <w:r w:rsidRPr="0044551F">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8EA3542"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p>
    <w:p w14:paraId="6C09E9D5" w14:textId="77777777" w:rsidR="00546575" w:rsidRPr="0044551F" w:rsidRDefault="5C35490E" w:rsidP="00E8313C">
      <w:pPr>
        <w:pBdr>
          <w:top w:val="nil"/>
          <w:left w:val="nil"/>
          <w:bottom w:val="nil"/>
          <w:right w:val="nil"/>
          <w:between w:val="nil"/>
        </w:pBdr>
        <w:contextualSpacing/>
        <w:rPr>
          <w:rFonts w:eastAsiaTheme="minorEastAsia" w:cstheme="minorBidi"/>
          <w:lang w:val="es-ES" w:eastAsia="en-US"/>
        </w:rPr>
      </w:pPr>
      <w:r w:rsidRPr="0044551F">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35C8DCF"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p>
    <w:p w14:paraId="20B91A97"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r w:rsidRPr="0044551F">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83DC4E8"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p>
    <w:p w14:paraId="74B7DF01"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r w:rsidRPr="0044551F">
        <w:rPr>
          <w:rFonts w:eastAsiaTheme="minorHAnsi" w:cstheme="minorBidi"/>
          <w:szCs w:val="24"/>
          <w:lang w:eastAsia="en-US"/>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4CF32AC4"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p>
    <w:p w14:paraId="27BC6F5B" w14:textId="77777777" w:rsidR="00546575" w:rsidRPr="0044551F" w:rsidRDefault="00546575" w:rsidP="00E8313C">
      <w:pPr>
        <w:numPr>
          <w:ilvl w:val="0"/>
          <w:numId w:val="29"/>
        </w:numPr>
        <w:pBdr>
          <w:top w:val="nil"/>
          <w:left w:val="nil"/>
          <w:bottom w:val="nil"/>
          <w:right w:val="nil"/>
          <w:between w:val="nil"/>
        </w:pBdr>
        <w:contextualSpacing/>
        <w:jc w:val="left"/>
        <w:rPr>
          <w:rFonts w:eastAsiaTheme="minorHAnsi" w:cstheme="minorBidi"/>
          <w:szCs w:val="24"/>
          <w:lang w:val="es-ES" w:eastAsia="en-US"/>
        </w:rPr>
      </w:pPr>
      <w:r w:rsidRPr="0044551F">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0308BAD9" w14:textId="77777777" w:rsidR="00546575" w:rsidRPr="0044551F" w:rsidRDefault="00546575" w:rsidP="00E8313C">
      <w:pPr>
        <w:numPr>
          <w:ilvl w:val="0"/>
          <w:numId w:val="29"/>
        </w:numPr>
        <w:pBdr>
          <w:top w:val="nil"/>
          <w:left w:val="nil"/>
          <w:bottom w:val="nil"/>
          <w:right w:val="nil"/>
          <w:between w:val="nil"/>
        </w:pBdr>
        <w:contextualSpacing/>
        <w:jc w:val="left"/>
        <w:rPr>
          <w:rFonts w:eastAsiaTheme="minorHAnsi" w:cstheme="minorBidi"/>
          <w:szCs w:val="24"/>
          <w:lang w:val="es-ES" w:eastAsia="en-US"/>
        </w:rPr>
      </w:pPr>
      <w:r w:rsidRPr="0044551F">
        <w:rPr>
          <w:rFonts w:eastAsiaTheme="minorHAnsi" w:cstheme="minorBidi"/>
          <w:szCs w:val="24"/>
          <w:lang w:val="es-ES" w:eastAsia="en-US"/>
        </w:rPr>
        <w:t>Actividad Procesal del interesado: Acciones u omisiones del interesado.</w:t>
      </w:r>
    </w:p>
    <w:p w14:paraId="00F4C092" w14:textId="77777777" w:rsidR="00546575" w:rsidRPr="0044551F" w:rsidRDefault="00546575" w:rsidP="00E8313C">
      <w:pPr>
        <w:numPr>
          <w:ilvl w:val="0"/>
          <w:numId w:val="29"/>
        </w:numPr>
        <w:pBdr>
          <w:top w:val="nil"/>
          <w:left w:val="nil"/>
          <w:bottom w:val="nil"/>
          <w:right w:val="nil"/>
          <w:between w:val="nil"/>
        </w:pBdr>
        <w:contextualSpacing/>
        <w:jc w:val="left"/>
        <w:rPr>
          <w:rFonts w:eastAsiaTheme="minorHAnsi" w:cstheme="minorBidi"/>
          <w:szCs w:val="24"/>
          <w:lang w:val="es-ES" w:eastAsia="en-US"/>
        </w:rPr>
      </w:pPr>
      <w:r w:rsidRPr="0044551F">
        <w:rPr>
          <w:rFonts w:eastAsiaTheme="minorHAnsi" w:cstheme="minorBidi"/>
          <w:szCs w:val="24"/>
          <w:lang w:val="es-ES" w:eastAsia="en-US"/>
        </w:rPr>
        <w:t>Conducta de la Autoridad: Las Acciones u omisiones realizadas en el procedimiento. Así como si la autoridad actuó con la debida diligencia.</w:t>
      </w:r>
    </w:p>
    <w:p w14:paraId="488C5B30" w14:textId="77777777" w:rsidR="00546575" w:rsidRPr="0044551F" w:rsidRDefault="00546575" w:rsidP="00E8313C">
      <w:pPr>
        <w:numPr>
          <w:ilvl w:val="0"/>
          <w:numId w:val="29"/>
        </w:numPr>
        <w:pBdr>
          <w:top w:val="nil"/>
          <w:left w:val="nil"/>
          <w:bottom w:val="nil"/>
          <w:right w:val="nil"/>
          <w:between w:val="nil"/>
        </w:pBdr>
        <w:contextualSpacing/>
        <w:jc w:val="left"/>
        <w:rPr>
          <w:rFonts w:eastAsiaTheme="minorHAnsi" w:cstheme="minorBidi"/>
          <w:szCs w:val="24"/>
          <w:lang w:val="es-ES" w:eastAsia="en-US"/>
        </w:rPr>
      </w:pPr>
      <w:r w:rsidRPr="0044551F">
        <w:rPr>
          <w:rFonts w:eastAsiaTheme="minorHAnsi" w:cstheme="minorBidi"/>
          <w:szCs w:val="24"/>
          <w:lang w:val="es-ES" w:eastAsia="en-US"/>
        </w:rPr>
        <w:t>La afectación generada en la situación jurídica de la persona involucrada en el proceso: Violación a sus derechos humanos.</w:t>
      </w:r>
    </w:p>
    <w:p w14:paraId="4B93091D"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p>
    <w:p w14:paraId="62D16B9C"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r w:rsidRPr="0044551F">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1A23DB"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p>
    <w:p w14:paraId="60DE366A"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r w:rsidRPr="0044551F">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7DA60A4"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p>
    <w:p w14:paraId="0091A4D7" w14:textId="77777777" w:rsidR="000037B8" w:rsidRPr="0044551F" w:rsidRDefault="5C35490E" w:rsidP="00E8313C">
      <w:pPr>
        <w:pBdr>
          <w:top w:val="nil"/>
          <w:left w:val="nil"/>
          <w:bottom w:val="nil"/>
          <w:right w:val="nil"/>
          <w:between w:val="nil"/>
        </w:pBdr>
        <w:contextualSpacing/>
        <w:rPr>
          <w:rFonts w:eastAsiaTheme="minorEastAsia" w:cstheme="minorBidi"/>
          <w:lang w:val="es-ES" w:eastAsia="en-US"/>
        </w:rPr>
      </w:pPr>
      <w:r w:rsidRPr="0044551F">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7A512276" w14:textId="77777777" w:rsidR="000037B8" w:rsidRPr="0044551F" w:rsidRDefault="000037B8" w:rsidP="00E8313C">
      <w:pPr>
        <w:pBdr>
          <w:top w:val="nil"/>
          <w:left w:val="nil"/>
          <w:bottom w:val="nil"/>
          <w:right w:val="nil"/>
          <w:between w:val="nil"/>
        </w:pBdr>
        <w:contextualSpacing/>
        <w:rPr>
          <w:rFonts w:eastAsiaTheme="minorEastAsia" w:cstheme="minorBidi"/>
          <w:lang w:val="es-ES" w:eastAsia="en-US"/>
        </w:rPr>
      </w:pPr>
    </w:p>
    <w:p w14:paraId="0C6BD860" w14:textId="6E6D8340" w:rsidR="00546575" w:rsidRPr="0044551F" w:rsidRDefault="5C35490E" w:rsidP="00E8313C">
      <w:pPr>
        <w:pBdr>
          <w:top w:val="nil"/>
          <w:left w:val="nil"/>
          <w:bottom w:val="nil"/>
          <w:right w:val="nil"/>
          <w:between w:val="nil"/>
        </w:pBdr>
        <w:contextualSpacing/>
        <w:rPr>
          <w:rFonts w:eastAsiaTheme="minorEastAsia" w:cstheme="minorBidi"/>
          <w:lang w:val="es-ES" w:eastAsia="en-US"/>
        </w:rPr>
      </w:pPr>
      <w:r w:rsidRPr="0044551F">
        <w:rPr>
          <w:rFonts w:eastAsiaTheme="minorEastAsia" w:cstheme="minorBidi"/>
          <w:lang w:val="es-ES" w:eastAsia="en-US"/>
        </w:rPr>
        <w:t>Al respecto, también son de considerar los criterios sostenidos por el Cuarto Tribunal Colegiado en Materia Administrativa del Primer Circuito, cuyos rubros y datos de identificación son los siguientes:</w:t>
      </w:r>
    </w:p>
    <w:p w14:paraId="20588B5B"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p>
    <w:p w14:paraId="7FE6E989"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r w:rsidRPr="0044551F">
        <w:rPr>
          <w:rFonts w:ascii="Segoe UI Symbol" w:eastAsiaTheme="minorHAnsi" w:hAnsi="Segoe UI Symbol" w:cstheme="minorBidi"/>
          <w:szCs w:val="24"/>
          <w:lang w:eastAsia="en-US"/>
        </w:rPr>
        <w:t>«</w:t>
      </w:r>
      <w:r w:rsidRPr="0044551F">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589A37E9"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p>
    <w:p w14:paraId="2F5FCB53"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r w:rsidRPr="0044551F">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0907F54A" w14:textId="77777777"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p>
    <w:p w14:paraId="1159CBF6" w14:textId="7EE4C520" w:rsidR="00546575" w:rsidRPr="0044551F" w:rsidRDefault="00546575" w:rsidP="00E8313C">
      <w:pPr>
        <w:pBdr>
          <w:top w:val="nil"/>
          <w:left w:val="nil"/>
          <w:bottom w:val="nil"/>
          <w:right w:val="nil"/>
          <w:between w:val="nil"/>
        </w:pBdr>
        <w:contextualSpacing/>
        <w:rPr>
          <w:rFonts w:eastAsiaTheme="minorHAnsi" w:cstheme="minorBidi"/>
          <w:szCs w:val="24"/>
          <w:lang w:eastAsia="en-US"/>
        </w:rPr>
      </w:pPr>
      <w:r w:rsidRPr="0044551F">
        <w:rPr>
          <w:rFonts w:eastAsiaTheme="minorHAnsi" w:cstheme="minorBidi"/>
          <w:szCs w:val="24"/>
          <w:lang w:eastAsia="en-US"/>
        </w:rPr>
        <w:lastRenderedPageBreak/>
        <w:t xml:space="preserve">Por ello, este organismo garante comprometido con la tutela de los derechos humanos </w:t>
      </w:r>
      <w:r w:rsidR="00E30F56" w:rsidRPr="0044551F">
        <w:rPr>
          <w:rFonts w:eastAsiaTheme="minorHAnsi" w:cstheme="minorBidi"/>
          <w:szCs w:val="24"/>
          <w:lang w:eastAsia="en-US"/>
        </w:rPr>
        <w:t>confiados</w:t>
      </w:r>
      <w:r w:rsidRPr="0044551F">
        <w:rPr>
          <w:rFonts w:eastAsiaTheme="minorHAnsi" w:cstheme="minorBidi"/>
          <w:szCs w:val="24"/>
          <w:lang w:eastAsia="en-US"/>
        </w:rPr>
        <w:t xml:space="preserve"> señala que este exceso del plazo legal para resolver el presente asunto resulta de carácter excepcional.</w:t>
      </w:r>
    </w:p>
    <w:p w14:paraId="0283BD60" w14:textId="77777777" w:rsidR="009A70F6" w:rsidRPr="0044551F" w:rsidRDefault="009A70F6" w:rsidP="00E8313C">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44551F" w:rsidRDefault="00A970D5" w:rsidP="00E8313C">
      <w:pPr>
        <w:pStyle w:val="Ttulo1"/>
        <w:rPr>
          <w:rFonts w:eastAsia="Palatino Linotype"/>
          <w:lang w:val="es-ES_tradnl"/>
        </w:rPr>
      </w:pPr>
      <w:r w:rsidRPr="0044551F">
        <w:rPr>
          <w:rFonts w:eastAsia="Palatino Linotype"/>
          <w:lang w:val="es-ES_tradnl"/>
        </w:rPr>
        <w:t>C O N S I D E R A N D O</w:t>
      </w:r>
    </w:p>
    <w:p w14:paraId="32546275" w14:textId="77777777" w:rsidR="00A970D5" w:rsidRPr="0044551F" w:rsidRDefault="00A970D5" w:rsidP="00E8313C">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44551F" w:rsidRDefault="00A970D5" w:rsidP="00E8313C">
      <w:pPr>
        <w:pStyle w:val="Ttulo2"/>
        <w:rPr>
          <w:rFonts w:eastAsia="Palatino Linotype"/>
        </w:rPr>
      </w:pPr>
      <w:r w:rsidRPr="0044551F">
        <w:rPr>
          <w:rFonts w:eastAsia="Palatino Linotype"/>
        </w:rPr>
        <w:t>PRIMERO. De la competencia.</w:t>
      </w:r>
    </w:p>
    <w:p w14:paraId="6279399C" w14:textId="50FEF71B" w:rsidR="00A970D5" w:rsidRPr="0044551F" w:rsidRDefault="00264613" w:rsidP="00E8313C">
      <w:pPr>
        <w:pBdr>
          <w:top w:val="nil"/>
          <w:left w:val="nil"/>
          <w:bottom w:val="nil"/>
          <w:right w:val="nil"/>
          <w:between w:val="nil"/>
        </w:pBdr>
        <w:contextualSpacing/>
        <w:rPr>
          <w:rFonts w:eastAsia="Palatino Linotype" w:cs="Palatino Linotype"/>
          <w:color w:val="000000"/>
          <w:szCs w:val="24"/>
        </w:rPr>
      </w:pPr>
      <w:r w:rsidRPr="0044551F">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sidRPr="0044551F">
        <w:rPr>
          <w:rFonts w:eastAsia="Palatino Linotype" w:cs="Palatino Linotype"/>
          <w:color w:val="000000"/>
          <w:szCs w:val="24"/>
        </w:rPr>
        <w:t>trigésimo tercero y trigésimo cuarto</w:t>
      </w:r>
      <w:r w:rsidRPr="0044551F">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44551F" w:rsidRDefault="00A970D5" w:rsidP="00E8313C">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44551F" w:rsidRDefault="00A970D5" w:rsidP="00E8313C">
      <w:pPr>
        <w:pStyle w:val="Ttulo2"/>
        <w:rPr>
          <w:rFonts w:eastAsia="Palatino Linotype"/>
        </w:rPr>
      </w:pPr>
      <w:r w:rsidRPr="0044551F">
        <w:rPr>
          <w:rFonts w:eastAsia="Palatino Linotype"/>
        </w:rPr>
        <w:t xml:space="preserve">SEGUNDO. Sobre los alcances del recurso de revisión. </w:t>
      </w:r>
    </w:p>
    <w:p w14:paraId="132CB116" w14:textId="77777777" w:rsidR="00A970D5" w:rsidRPr="0044551F" w:rsidRDefault="00A970D5" w:rsidP="00E8313C">
      <w:r w:rsidRPr="0044551F">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w:t>
      </w:r>
      <w:r w:rsidRPr="0044551F">
        <w:lastRenderedPageBreak/>
        <w:t>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44551F" w:rsidRDefault="00FE7B8E" w:rsidP="00E8313C"/>
    <w:p w14:paraId="7E828C31" w14:textId="70EB297B" w:rsidR="00454915" w:rsidRPr="0044551F" w:rsidRDefault="0060049C" w:rsidP="00E8313C">
      <w:pPr>
        <w:pStyle w:val="Ttulo2"/>
        <w:rPr>
          <w:rFonts w:eastAsia="Palatino Linotype"/>
        </w:rPr>
      </w:pPr>
      <w:r w:rsidRPr="0044551F">
        <w:rPr>
          <w:rFonts w:eastAsia="Palatino Linotype"/>
        </w:rPr>
        <w:t>TERCER</w:t>
      </w:r>
      <w:r w:rsidR="00454915" w:rsidRPr="0044551F">
        <w:rPr>
          <w:rFonts w:eastAsia="Palatino Linotype"/>
        </w:rPr>
        <w:t>O. De las causas de improcedencia.</w:t>
      </w:r>
    </w:p>
    <w:p w14:paraId="714929BC" w14:textId="77777777" w:rsidR="00454915" w:rsidRPr="0044551F" w:rsidRDefault="00454915" w:rsidP="00E8313C">
      <w:pPr>
        <w:pBdr>
          <w:top w:val="nil"/>
          <w:left w:val="nil"/>
          <w:bottom w:val="nil"/>
          <w:right w:val="nil"/>
          <w:between w:val="nil"/>
        </w:pBdr>
        <w:contextualSpacing/>
        <w:rPr>
          <w:rFonts w:eastAsia="Palatino Linotype" w:cs="Palatino Linotype"/>
          <w:color w:val="000000"/>
          <w:szCs w:val="24"/>
        </w:rPr>
      </w:pPr>
      <w:r w:rsidRPr="0044551F">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44551F" w:rsidRDefault="00454915" w:rsidP="00E8313C">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44551F" w:rsidRDefault="7B6D7691" w:rsidP="00E8313C">
      <w:pPr>
        <w:pBdr>
          <w:top w:val="nil"/>
          <w:left w:val="nil"/>
          <w:bottom w:val="nil"/>
          <w:right w:val="nil"/>
          <w:between w:val="nil"/>
        </w:pBdr>
        <w:contextualSpacing/>
        <w:rPr>
          <w:rFonts w:eastAsia="Palatino Linotype" w:cs="Palatino Linotype"/>
          <w:color w:val="000000"/>
          <w:lang w:val="es-ES"/>
        </w:rPr>
      </w:pPr>
      <w:r w:rsidRPr="0044551F">
        <w:rPr>
          <w:rFonts w:eastAsia="Palatino Linotype" w:cs="Palatino Linotype"/>
          <w:color w:val="000000" w:themeColor="text1"/>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00454915" w:rsidRPr="0044551F">
        <w:rPr>
          <w:rFonts w:eastAsia="Palatino Linotype" w:cs="Palatino Linotype"/>
          <w:color w:val="000000" w:themeColor="text1"/>
          <w:vertAlign w:val="superscript"/>
          <w:lang w:val="es-ES"/>
        </w:rPr>
        <w:footnoteReference w:id="2"/>
      </w:r>
      <w:r w:rsidRPr="0044551F">
        <w:rPr>
          <w:rFonts w:eastAsia="Palatino Linotype" w:cs="Palatino Linotype"/>
          <w:color w:val="000000" w:themeColor="text1"/>
          <w:lang w:val="es-ES"/>
        </w:rPr>
        <w:t xml:space="preserve">, la cual permite dilucidar alguna </w:t>
      </w:r>
      <w:r w:rsidRPr="0044551F">
        <w:rPr>
          <w:rFonts w:eastAsia="Palatino Linotype" w:cs="Palatino Linotype"/>
          <w:color w:val="000000" w:themeColor="text1"/>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44551F" w:rsidRDefault="00454915" w:rsidP="00E8313C">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44551F" w:rsidRDefault="00454915" w:rsidP="00E8313C">
      <w:pPr>
        <w:pBdr>
          <w:top w:val="nil"/>
          <w:left w:val="nil"/>
          <w:bottom w:val="nil"/>
          <w:right w:val="nil"/>
          <w:between w:val="nil"/>
        </w:pBdr>
        <w:contextualSpacing/>
        <w:rPr>
          <w:rFonts w:eastAsia="Palatino Linotype" w:cs="Palatino Linotype"/>
          <w:color w:val="000000"/>
          <w:szCs w:val="24"/>
        </w:rPr>
      </w:pPr>
      <w:r w:rsidRPr="0044551F">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44551F" w:rsidRDefault="00454915" w:rsidP="00E8313C">
      <w:pPr>
        <w:pBdr>
          <w:top w:val="nil"/>
          <w:left w:val="nil"/>
          <w:bottom w:val="nil"/>
          <w:right w:val="nil"/>
          <w:between w:val="nil"/>
        </w:pBdr>
        <w:contextualSpacing/>
        <w:rPr>
          <w:rFonts w:eastAsia="Palatino Linotype" w:cs="Palatino Linotype"/>
          <w:color w:val="000000"/>
          <w:szCs w:val="24"/>
        </w:rPr>
      </w:pPr>
    </w:p>
    <w:p w14:paraId="4011745D" w14:textId="6603836D" w:rsidR="00454915" w:rsidRPr="0044551F" w:rsidRDefault="0060049C" w:rsidP="00E8313C">
      <w:pPr>
        <w:pStyle w:val="Ttulo2"/>
        <w:rPr>
          <w:rFonts w:eastAsia="Palatino Linotype"/>
        </w:rPr>
      </w:pPr>
      <w:r w:rsidRPr="0044551F">
        <w:rPr>
          <w:rFonts w:eastAsia="Palatino Linotype"/>
        </w:rPr>
        <w:t>CUART</w:t>
      </w:r>
      <w:r w:rsidR="00454915" w:rsidRPr="0044551F">
        <w:rPr>
          <w:rFonts w:eastAsia="Palatino Linotype"/>
        </w:rPr>
        <w:t>O. Estudio y resolución del asunto.</w:t>
      </w:r>
    </w:p>
    <w:p w14:paraId="78A9F94F" w14:textId="77777777" w:rsidR="00454915" w:rsidRPr="0044551F" w:rsidRDefault="00454915" w:rsidP="00E8313C">
      <w:pPr>
        <w:pBdr>
          <w:top w:val="nil"/>
          <w:left w:val="nil"/>
          <w:bottom w:val="nil"/>
          <w:right w:val="nil"/>
          <w:between w:val="nil"/>
        </w:pBdr>
        <w:contextualSpacing/>
        <w:rPr>
          <w:rFonts w:eastAsia="Palatino Linotype" w:cs="Palatino Linotype"/>
          <w:color w:val="000000"/>
          <w:szCs w:val="24"/>
        </w:rPr>
      </w:pPr>
      <w:r w:rsidRPr="0044551F">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w:t>
      </w:r>
      <w:r w:rsidRPr="0044551F">
        <w:rPr>
          <w:rFonts w:eastAsia="Palatino Linotype" w:cs="Palatino Linotype"/>
          <w:color w:val="000000"/>
          <w:szCs w:val="24"/>
        </w:rPr>
        <w:lastRenderedPageBreak/>
        <w:t>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44551F" w:rsidRDefault="004A3367" w:rsidP="00E8313C">
      <w:pPr>
        <w:rPr>
          <w:rFonts w:eastAsiaTheme="minorHAnsi" w:cstheme="minorBidi"/>
          <w:sz w:val="22"/>
          <w:lang w:eastAsia="en-US"/>
        </w:rPr>
      </w:pPr>
    </w:p>
    <w:p w14:paraId="0461F817" w14:textId="197B2A0B" w:rsidR="004A3367" w:rsidRPr="0044551F" w:rsidRDefault="7B6D7691" w:rsidP="00E8313C">
      <w:pPr>
        <w:rPr>
          <w:rFonts w:eastAsiaTheme="minorHAnsi" w:cstheme="minorBidi"/>
          <w:szCs w:val="24"/>
          <w:lang w:eastAsia="en-US"/>
        </w:rPr>
      </w:pPr>
      <w:r w:rsidRPr="0044551F">
        <w:rPr>
          <w:rFonts w:eastAsiaTheme="minorHAnsi" w:cstheme="minorBidi"/>
          <w:szCs w:val="24"/>
          <w:lang w:eastAsia="en-US"/>
        </w:rPr>
        <w:t>En virtud de lo anterior, es conveniente recordar que el Recurrente requirió</w:t>
      </w:r>
      <w:r w:rsidR="0036312B" w:rsidRPr="0044551F">
        <w:rPr>
          <w:rFonts w:eastAsiaTheme="minorHAnsi" w:cstheme="minorBidi"/>
          <w:szCs w:val="24"/>
          <w:lang w:eastAsia="en-US"/>
        </w:rPr>
        <w:t xml:space="preserve"> lo siguiente:</w:t>
      </w:r>
    </w:p>
    <w:p w14:paraId="5D0C44B2" w14:textId="3C0FB430" w:rsidR="00D37CE0" w:rsidRPr="0044551F" w:rsidRDefault="0036312B" w:rsidP="00E8313C">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44551F">
        <w:rPr>
          <w:rFonts w:eastAsia="Palatino Linotype" w:cs="Palatino Linotype"/>
          <w:color w:val="000000"/>
        </w:rPr>
        <w:t>Las cartas de renuncia del personal que se dio de baja del 15 de septiembre al 30 de noviembre de 2023.</w:t>
      </w:r>
    </w:p>
    <w:p w14:paraId="4180677C" w14:textId="5EDF886B" w:rsidR="0036312B" w:rsidRPr="0044551F" w:rsidRDefault="0036312B" w:rsidP="00E8313C">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44551F">
        <w:rPr>
          <w:rFonts w:eastAsia="Palatino Linotype" w:cs="Palatino Linotype"/>
          <w:color w:val="000000"/>
        </w:rPr>
        <w:t>El directorio de cada área del personal de base y de confianzas que labora en la Secretaría de Movilidad vigente.</w:t>
      </w:r>
    </w:p>
    <w:p w14:paraId="7459C31D" w14:textId="77777777" w:rsidR="00092E51" w:rsidRPr="0044551F" w:rsidRDefault="0036312B" w:rsidP="00E8313C">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44551F">
        <w:rPr>
          <w:rFonts w:eastAsia="Palatino Linotype" w:cs="Palatino Linotype"/>
          <w:color w:val="000000"/>
        </w:rPr>
        <w:t>Currí</w:t>
      </w:r>
      <w:r w:rsidR="00092E51" w:rsidRPr="0044551F">
        <w:rPr>
          <w:rFonts w:eastAsia="Palatino Linotype" w:cs="Palatino Linotype"/>
          <w:color w:val="000000"/>
        </w:rPr>
        <w:t>culum.</w:t>
      </w:r>
    </w:p>
    <w:p w14:paraId="4FB7304E" w14:textId="77777777" w:rsidR="00092E51" w:rsidRPr="0044551F" w:rsidRDefault="00092E51" w:rsidP="00E8313C">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44551F">
        <w:rPr>
          <w:rFonts w:eastAsia="Palatino Linotype" w:cs="Palatino Linotype"/>
          <w:color w:val="000000"/>
        </w:rPr>
        <w:t>C</w:t>
      </w:r>
      <w:r w:rsidR="0036312B" w:rsidRPr="0044551F">
        <w:rPr>
          <w:rFonts w:eastAsia="Palatino Linotype" w:cs="Palatino Linotype"/>
          <w:color w:val="000000"/>
        </w:rPr>
        <w:t xml:space="preserve">omprobante de estudio </w:t>
      </w:r>
    </w:p>
    <w:p w14:paraId="5B04D2D7" w14:textId="3E596F87" w:rsidR="0036312B" w:rsidRPr="0044551F" w:rsidRDefault="00092E51" w:rsidP="00E8313C">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44551F">
        <w:rPr>
          <w:rFonts w:eastAsia="Palatino Linotype" w:cs="Palatino Linotype"/>
          <w:color w:val="000000"/>
        </w:rPr>
        <w:t>S</w:t>
      </w:r>
      <w:r w:rsidR="0036312B" w:rsidRPr="0044551F">
        <w:rPr>
          <w:rFonts w:eastAsia="Palatino Linotype" w:cs="Palatino Linotype"/>
          <w:color w:val="000000"/>
        </w:rPr>
        <w:t>ueldo de cada área del personal que pertenece a la Secretaría de Movilidad.</w:t>
      </w:r>
    </w:p>
    <w:p w14:paraId="4E73D928" w14:textId="37F11F92" w:rsidR="0036312B" w:rsidRPr="0044551F" w:rsidRDefault="00736DA6" w:rsidP="00E8313C">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44551F">
        <w:rPr>
          <w:rFonts w:eastAsia="Palatino Linotype" w:cs="Palatino Linotype"/>
          <w:color w:val="000000"/>
        </w:rPr>
        <w:t>P</w:t>
      </w:r>
      <w:r w:rsidR="0036312B" w:rsidRPr="0044551F">
        <w:rPr>
          <w:rFonts w:eastAsia="Palatino Linotype" w:cs="Palatino Linotype"/>
          <w:color w:val="000000"/>
        </w:rPr>
        <w:t>lantilla de vehículos asignados a cada uno de ellos con el combustible que se les asigna y el número de placas.</w:t>
      </w:r>
    </w:p>
    <w:p w14:paraId="29D74DDC" w14:textId="77777777" w:rsidR="0036312B" w:rsidRPr="0044551F" w:rsidRDefault="0036312B" w:rsidP="00E8313C">
      <w:pPr>
        <w:pBdr>
          <w:top w:val="nil"/>
          <w:left w:val="nil"/>
          <w:bottom w:val="nil"/>
          <w:right w:val="nil"/>
          <w:between w:val="nil"/>
        </w:pBdr>
        <w:contextualSpacing/>
        <w:rPr>
          <w:rFonts w:eastAsia="Palatino Linotype" w:cs="Palatino Linotype"/>
          <w:color w:val="000000"/>
          <w:szCs w:val="24"/>
        </w:rPr>
      </w:pPr>
    </w:p>
    <w:p w14:paraId="494F2E41" w14:textId="317D53D6" w:rsidR="00881D9F" w:rsidRPr="0044551F" w:rsidRDefault="00A970D5" w:rsidP="00E8313C">
      <w:pPr>
        <w:pBdr>
          <w:top w:val="nil"/>
          <w:left w:val="nil"/>
          <w:bottom w:val="nil"/>
          <w:right w:val="nil"/>
          <w:between w:val="nil"/>
        </w:pBdr>
        <w:contextualSpacing/>
        <w:rPr>
          <w:rFonts w:eastAsia="Palatino Linotype" w:cs="Palatino Linotype"/>
          <w:color w:val="000000"/>
          <w:szCs w:val="24"/>
        </w:rPr>
      </w:pPr>
      <w:r w:rsidRPr="0044551F">
        <w:rPr>
          <w:rFonts w:eastAsia="Palatino Linotype" w:cs="Palatino Linotype"/>
          <w:color w:val="000000"/>
          <w:szCs w:val="24"/>
        </w:rPr>
        <w:t xml:space="preserve">A dicha solicitud, el Sujeto Obligado </w:t>
      </w:r>
      <w:r w:rsidR="001C4CBF" w:rsidRPr="0044551F">
        <w:rPr>
          <w:rFonts w:eastAsia="Palatino Linotype" w:cs="Palatino Linotype"/>
          <w:color w:val="000000"/>
          <w:szCs w:val="24"/>
        </w:rPr>
        <w:t xml:space="preserve">respondió </w:t>
      </w:r>
      <w:r w:rsidR="00D57F1A" w:rsidRPr="0044551F">
        <w:rPr>
          <w:rFonts w:eastAsia="Palatino Linotype" w:cs="Palatino Linotype"/>
          <w:color w:val="000000"/>
          <w:szCs w:val="24"/>
        </w:rPr>
        <w:t>mediante la entrega de</w:t>
      </w:r>
      <w:r w:rsidR="00D21F00" w:rsidRPr="0044551F">
        <w:rPr>
          <w:rFonts w:eastAsia="Palatino Linotype" w:cs="Palatino Linotype"/>
          <w:color w:val="000000"/>
          <w:szCs w:val="24"/>
        </w:rPr>
        <w:t>l</w:t>
      </w:r>
      <w:r w:rsidR="009D0CC2" w:rsidRPr="0044551F">
        <w:rPr>
          <w:rFonts w:eastAsia="Palatino Linotype" w:cs="Palatino Linotype"/>
          <w:color w:val="000000"/>
          <w:szCs w:val="24"/>
        </w:rPr>
        <w:t xml:space="preserve"> </w:t>
      </w:r>
      <w:r w:rsidR="00881D9F" w:rsidRPr="0044551F">
        <w:rPr>
          <w:rFonts w:eastAsia="Palatino Linotype" w:cs="Palatino Linotype"/>
          <w:color w:val="000000"/>
          <w:szCs w:val="24"/>
        </w:rPr>
        <w:t>siguiente documento</w:t>
      </w:r>
      <w:r w:rsidR="00D21F00" w:rsidRPr="0044551F">
        <w:rPr>
          <w:rFonts w:eastAsia="Palatino Linotype" w:cs="Palatino Linotype"/>
          <w:color w:val="000000"/>
          <w:szCs w:val="24"/>
        </w:rPr>
        <w:t>:</w:t>
      </w:r>
      <w:r w:rsidR="00881D9F" w:rsidRPr="0044551F">
        <w:rPr>
          <w:rFonts w:eastAsia="Palatino Linotype" w:cs="Palatino Linotype"/>
          <w:color w:val="000000"/>
          <w:szCs w:val="24"/>
        </w:rPr>
        <w:t xml:space="preserve"> </w:t>
      </w:r>
    </w:p>
    <w:p w14:paraId="23540783" w14:textId="77777777" w:rsidR="00881D9F" w:rsidRPr="0044551F" w:rsidRDefault="00881D9F" w:rsidP="00E8313C">
      <w:pPr>
        <w:pBdr>
          <w:top w:val="nil"/>
          <w:left w:val="nil"/>
          <w:bottom w:val="nil"/>
          <w:right w:val="nil"/>
          <w:between w:val="nil"/>
        </w:pBdr>
        <w:contextualSpacing/>
        <w:rPr>
          <w:rFonts w:eastAsia="Palatino Linotype" w:cs="Palatino Linotype"/>
          <w:color w:val="000000"/>
          <w:szCs w:val="24"/>
        </w:rPr>
      </w:pPr>
    </w:p>
    <w:p w14:paraId="79236ED6" w14:textId="7A232633" w:rsidR="00170A1A" w:rsidRPr="0044551F" w:rsidRDefault="00580BB5" w:rsidP="00E8313C">
      <w:pPr>
        <w:pStyle w:val="Prrafodelista"/>
        <w:numPr>
          <w:ilvl w:val="0"/>
          <w:numId w:val="30"/>
        </w:numPr>
        <w:rPr>
          <w:rFonts w:eastAsia="Palatino Linotype" w:cs="Palatino Linotype"/>
          <w:color w:val="000000"/>
        </w:rPr>
      </w:pPr>
      <w:r w:rsidRPr="0044551F">
        <w:rPr>
          <w:rFonts w:eastAsia="Palatino Linotype" w:cs="Palatino Linotype"/>
          <w:b/>
          <w:bCs/>
          <w:color w:val="000000"/>
        </w:rPr>
        <w:t>SAIMEX 00659(1) 24-Jan-2024 20-19-39.pdf:</w:t>
      </w:r>
      <w:r w:rsidR="001B23FA" w:rsidRPr="0044551F">
        <w:rPr>
          <w:rFonts w:eastAsia="Palatino Linotype" w:cs="Palatino Linotype"/>
          <w:bCs/>
          <w:color w:val="000000"/>
        </w:rPr>
        <w:t xml:space="preserve"> </w:t>
      </w:r>
      <w:r w:rsidR="002F07A0" w:rsidRPr="0044551F">
        <w:rPr>
          <w:rFonts w:eastAsia="Palatino Linotype" w:cs="Palatino Linotype"/>
          <w:bCs/>
          <w:color w:val="000000"/>
        </w:rPr>
        <w:t xml:space="preserve">Oficio </w:t>
      </w:r>
      <w:r w:rsidRPr="0044551F">
        <w:rPr>
          <w:rFonts w:eastAsia="Palatino Linotype" w:cs="Palatino Linotype"/>
          <w:bCs/>
          <w:color w:val="000000"/>
        </w:rPr>
        <w:t xml:space="preserve">22000011000100S/0393/2024 de fecha veintidós de enero de dos mil veinticuatro signado por la Subdirectora de Administración del Capital Humano y por la Verificadora de Documentos, mediante el cual refieren que </w:t>
      </w:r>
      <w:r w:rsidR="005642FB" w:rsidRPr="0044551F">
        <w:rPr>
          <w:rFonts w:eastAsia="Palatino Linotype" w:cs="Palatino Linotype"/>
          <w:bCs/>
          <w:color w:val="000000"/>
        </w:rPr>
        <w:t xml:space="preserve">se adjuntan los enlaces electrónicos del Portal de Información Pública de Oficio Mexiquense (IPOMEX), en los cuales podrá consultar la información relativa al directorio de los mandos medios y superiores </w:t>
      </w:r>
      <w:r w:rsidR="005642FB" w:rsidRPr="0044551F">
        <w:rPr>
          <w:rFonts w:eastAsia="Palatino Linotype" w:cs="Palatino Linotype"/>
          <w:bCs/>
          <w:color w:val="000000"/>
        </w:rPr>
        <w:lastRenderedPageBreak/>
        <w:t xml:space="preserve">que obra </w:t>
      </w:r>
      <w:r w:rsidR="002F07A0" w:rsidRPr="0044551F">
        <w:rPr>
          <w:rFonts w:eastAsia="Palatino Linotype" w:cs="Palatino Linotype"/>
          <w:bCs/>
          <w:color w:val="000000"/>
        </w:rPr>
        <w:t xml:space="preserve"> </w:t>
      </w:r>
      <w:r w:rsidR="005642FB" w:rsidRPr="0044551F">
        <w:rPr>
          <w:rFonts w:eastAsia="Palatino Linotype" w:cs="Palatino Linotype"/>
          <w:bCs/>
          <w:color w:val="000000"/>
        </w:rPr>
        <w:t>en los archivos físicos y electrónicos de la Unidad Administrativa, así como la remuneración de todos los Servidores Públicos</w:t>
      </w:r>
      <w:r w:rsidR="00150BD0" w:rsidRPr="0044551F">
        <w:rPr>
          <w:rFonts w:eastAsia="Palatino Linotype" w:cs="Palatino Linotype"/>
          <w:bCs/>
          <w:color w:val="000000"/>
        </w:rPr>
        <w:t>, mismas que se insertan a continuación</w:t>
      </w:r>
      <w:r w:rsidR="00170A1A" w:rsidRPr="0044551F">
        <w:rPr>
          <w:rFonts w:eastAsia="Palatino Linotype" w:cs="Palatino Linotype"/>
          <w:bCs/>
          <w:color w:val="000000"/>
        </w:rPr>
        <w:t xml:space="preserve"> amanera de ejemplo:</w:t>
      </w:r>
    </w:p>
    <w:p w14:paraId="60DB066F" w14:textId="77777777" w:rsidR="00CE00B2" w:rsidRPr="0044551F" w:rsidRDefault="0044551F" w:rsidP="00E8313C">
      <w:pPr>
        <w:pStyle w:val="Prrafodelista"/>
        <w:numPr>
          <w:ilvl w:val="0"/>
          <w:numId w:val="39"/>
        </w:numPr>
        <w:ind w:left="1276"/>
        <w:rPr>
          <w:rFonts w:eastAsia="Palatino Linotype" w:cs="Palatino Linotype"/>
          <w:color w:val="000000"/>
        </w:rPr>
      </w:pPr>
      <w:hyperlink r:id="rId8" w:history="1">
        <w:r w:rsidR="00150BD0" w:rsidRPr="0044551F">
          <w:rPr>
            <w:rStyle w:val="Hipervnculo"/>
            <w:rFonts w:eastAsia="Palatino Linotype" w:cs="Palatino Linotype"/>
          </w:rPr>
          <w:t>https://ipomex.org.mx/ipo3/lgt/indice/SMOV/art_92_vii.web</w:t>
        </w:r>
      </w:hyperlink>
      <w:r w:rsidR="00150BD0" w:rsidRPr="0044551F">
        <w:rPr>
          <w:rFonts w:eastAsia="Palatino Linotype" w:cs="Palatino Linotype"/>
          <w:color w:val="000000"/>
        </w:rPr>
        <w:t xml:space="preserve">  </w:t>
      </w:r>
    </w:p>
    <w:p w14:paraId="6A613C6C" w14:textId="04A476A3" w:rsidR="005642FB" w:rsidRPr="0044551F" w:rsidRDefault="00170A1A" w:rsidP="00E8313C">
      <w:pPr>
        <w:ind w:left="567"/>
        <w:rPr>
          <w:rFonts w:eastAsia="Palatino Linotype" w:cs="Palatino Linotype"/>
          <w:color w:val="000000"/>
        </w:rPr>
      </w:pPr>
      <w:r w:rsidRPr="0044551F">
        <w:rPr>
          <w:rFonts w:eastAsia="Palatino Linotype" w:cs="Palatino Linotype"/>
          <w:noProof/>
          <w:color w:val="000000"/>
          <w:lang w:val="es-MX"/>
        </w:rPr>
        <w:drawing>
          <wp:inline distT="0" distB="0" distL="0" distR="0" wp14:anchorId="05590F95" wp14:editId="529EF5FC">
            <wp:extent cx="5286259" cy="581890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175" cy="5839731"/>
                    </a:xfrm>
                    <a:prstGeom prst="rect">
                      <a:avLst/>
                    </a:prstGeom>
                    <a:noFill/>
                    <a:ln>
                      <a:noFill/>
                    </a:ln>
                  </pic:spPr>
                </pic:pic>
              </a:graphicData>
            </a:graphic>
          </wp:inline>
        </w:drawing>
      </w:r>
    </w:p>
    <w:p w14:paraId="4DE51B6A" w14:textId="77777777" w:rsidR="004E7898" w:rsidRPr="0044551F" w:rsidRDefault="004E7898" w:rsidP="00E8313C">
      <w:pPr>
        <w:pBdr>
          <w:top w:val="nil"/>
          <w:left w:val="nil"/>
          <w:bottom w:val="nil"/>
          <w:right w:val="nil"/>
          <w:between w:val="nil"/>
        </w:pBdr>
        <w:contextualSpacing/>
        <w:rPr>
          <w:rFonts w:eastAsia="Palatino Linotype" w:cs="Palatino Linotype"/>
          <w:color w:val="000000"/>
          <w:szCs w:val="24"/>
        </w:rPr>
      </w:pPr>
    </w:p>
    <w:p w14:paraId="4126D187" w14:textId="778AF463" w:rsidR="00C136B5" w:rsidRPr="0044551F" w:rsidRDefault="0044551F" w:rsidP="00E8313C">
      <w:pPr>
        <w:pStyle w:val="Prrafodelista"/>
        <w:numPr>
          <w:ilvl w:val="0"/>
          <w:numId w:val="39"/>
        </w:numPr>
        <w:pBdr>
          <w:top w:val="nil"/>
          <w:left w:val="nil"/>
          <w:bottom w:val="nil"/>
          <w:right w:val="nil"/>
          <w:between w:val="nil"/>
        </w:pBdr>
        <w:contextualSpacing/>
        <w:rPr>
          <w:rFonts w:eastAsia="Palatino Linotype" w:cs="Palatino Linotype"/>
          <w:color w:val="000000" w:themeColor="text1"/>
        </w:rPr>
      </w:pPr>
      <w:hyperlink r:id="rId10" w:history="1">
        <w:r w:rsidR="00170A1A" w:rsidRPr="0044551F">
          <w:rPr>
            <w:rStyle w:val="Hipervnculo"/>
            <w:rFonts w:eastAsia="Palatino Linotype" w:cs="Palatino Linotype"/>
          </w:rPr>
          <w:t>https://ipomex.org.mx/ipo3/lgt/indice/SMOV/art_92_viii.web</w:t>
        </w:r>
      </w:hyperlink>
    </w:p>
    <w:p w14:paraId="53E0829D" w14:textId="00D4B471" w:rsidR="00CE00B2" w:rsidRPr="0044551F" w:rsidRDefault="00170A1A" w:rsidP="00E8313C">
      <w:pPr>
        <w:pBdr>
          <w:top w:val="nil"/>
          <w:left w:val="nil"/>
          <w:bottom w:val="nil"/>
          <w:right w:val="nil"/>
          <w:between w:val="nil"/>
        </w:pBdr>
        <w:contextualSpacing/>
        <w:jc w:val="center"/>
        <w:rPr>
          <w:rFonts w:eastAsia="Palatino Linotype" w:cs="Palatino Linotype"/>
          <w:color w:val="000000" w:themeColor="text1"/>
          <w:lang w:val="es-ES"/>
        </w:rPr>
      </w:pPr>
      <w:r w:rsidRPr="0044551F">
        <w:rPr>
          <w:noProof/>
          <w:lang w:val="es-MX"/>
        </w:rPr>
        <w:drawing>
          <wp:inline distT="0" distB="0" distL="0" distR="0" wp14:anchorId="5CAF9D01" wp14:editId="231A679F">
            <wp:extent cx="5247666" cy="4143375"/>
            <wp:effectExtent l="190500" t="190500" r="18161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4322" cy="4148630"/>
                    </a:xfrm>
                    <a:prstGeom prst="rect">
                      <a:avLst/>
                    </a:prstGeom>
                    <a:ln>
                      <a:noFill/>
                    </a:ln>
                    <a:effectLst>
                      <a:outerShdw blurRad="190500" algn="tl" rotWithShape="0">
                        <a:srgbClr val="000000">
                          <a:alpha val="70000"/>
                        </a:srgbClr>
                      </a:outerShdw>
                    </a:effectLst>
                  </pic:spPr>
                </pic:pic>
              </a:graphicData>
            </a:graphic>
          </wp:inline>
        </w:drawing>
      </w:r>
    </w:p>
    <w:p w14:paraId="6A49B1B6" w14:textId="3DCFF835" w:rsidR="000779A1" w:rsidRPr="0044551F" w:rsidRDefault="000779A1" w:rsidP="00E8313C">
      <w:pPr>
        <w:pBdr>
          <w:top w:val="nil"/>
          <w:left w:val="nil"/>
          <w:bottom w:val="nil"/>
          <w:right w:val="nil"/>
          <w:between w:val="nil"/>
        </w:pBdr>
        <w:ind w:left="284"/>
        <w:contextualSpacing/>
        <w:rPr>
          <w:rFonts w:eastAsia="Palatino Linotype" w:cs="Palatino Linotype"/>
          <w:color w:val="000000" w:themeColor="text1"/>
          <w:lang w:val="es-ES"/>
        </w:rPr>
      </w:pPr>
      <w:r w:rsidRPr="0044551F">
        <w:rPr>
          <w:rFonts w:eastAsia="Palatino Linotype" w:cs="Palatino Linotype"/>
          <w:color w:val="000000" w:themeColor="text1"/>
          <w:lang w:val="es-ES"/>
        </w:rPr>
        <w:t xml:space="preserve">Respecto a la documentación que solicitó el recurrente correspondiente a las </w:t>
      </w:r>
      <w:r w:rsidRPr="0044551F">
        <w:rPr>
          <w:rFonts w:eastAsia="Palatino Linotype" w:cs="Palatino Linotype"/>
          <w:i/>
          <w:color w:val="000000" w:themeColor="text1"/>
          <w:lang w:val="es-ES"/>
        </w:rPr>
        <w:t xml:space="preserve">“Cartas de renuncia del personal que se dio de baja del 15 de septiembre al 30 de noviembre de 2023, curriculum vitae, comprobante de estudios del personal de base y de confianza que labora en la Secretaría de Movilidad”, </w:t>
      </w:r>
      <w:r w:rsidRPr="0044551F">
        <w:rPr>
          <w:rFonts w:eastAsia="Palatino Linotype" w:cs="Palatino Linotype"/>
          <w:color w:val="000000" w:themeColor="text1"/>
          <w:lang w:val="es-ES"/>
        </w:rPr>
        <w:t xml:space="preserve"> se hace del conocimiento al solicitante que el soporte documental tendiente a solventar el requerimiento de mérito</w:t>
      </w:r>
      <w:r w:rsidR="00AD3290" w:rsidRPr="0044551F">
        <w:rPr>
          <w:rFonts w:eastAsia="Palatino Linotype" w:cs="Palatino Linotype"/>
          <w:color w:val="000000" w:themeColor="text1"/>
          <w:lang w:val="es-ES"/>
        </w:rPr>
        <w:t xml:space="preserve"> consta de 1466 fojas, por lo que solicita un pago para la entrega de la información, aunado a lo anterior refiere que el Formato Universal de Pago</w:t>
      </w:r>
      <w:r w:rsidR="00B16DE2" w:rsidRPr="0044551F">
        <w:rPr>
          <w:rFonts w:eastAsia="Palatino Linotype" w:cs="Palatino Linotype"/>
          <w:color w:val="000000" w:themeColor="text1"/>
          <w:lang w:val="es-ES"/>
        </w:rPr>
        <w:t xml:space="preserve"> que expide la Secretaría de Finanzas se puede </w:t>
      </w:r>
      <w:r w:rsidR="00B16DE2" w:rsidRPr="0044551F">
        <w:rPr>
          <w:rFonts w:eastAsia="Palatino Linotype" w:cs="Palatino Linotype"/>
          <w:color w:val="000000" w:themeColor="text1"/>
          <w:lang w:val="es-ES"/>
        </w:rPr>
        <w:lastRenderedPageBreak/>
        <w:t>obtener en la página se servicios al Contribuyente, para lo cual adjunta la liga electrónica.</w:t>
      </w:r>
    </w:p>
    <w:p w14:paraId="6E71D8D3" w14:textId="56F4FB1F" w:rsidR="00B16DE2" w:rsidRPr="0044551F" w:rsidRDefault="00B16DE2" w:rsidP="00E8313C">
      <w:pPr>
        <w:pStyle w:val="Prrafodelista"/>
        <w:numPr>
          <w:ilvl w:val="0"/>
          <w:numId w:val="40"/>
        </w:numPr>
        <w:pBdr>
          <w:top w:val="nil"/>
          <w:left w:val="nil"/>
          <w:bottom w:val="nil"/>
          <w:right w:val="nil"/>
          <w:between w:val="nil"/>
        </w:pBdr>
        <w:contextualSpacing/>
        <w:rPr>
          <w:rFonts w:eastAsia="Palatino Linotype" w:cs="Palatino Linotype"/>
          <w:b/>
          <w:color w:val="000000" w:themeColor="text1"/>
        </w:rPr>
      </w:pPr>
      <w:r w:rsidRPr="0044551F">
        <w:rPr>
          <w:rFonts w:eastAsia="Palatino Linotype" w:cs="Palatino Linotype"/>
          <w:b/>
          <w:color w:val="000000" w:themeColor="text1"/>
        </w:rPr>
        <w:t xml:space="preserve">SAIMEX 00659 SG.pdf: </w:t>
      </w:r>
      <w:r w:rsidRPr="0044551F">
        <w:rPr>
          <w:rFonts w:eastAsia="Palatino Linotype" w:cs="Palatino Linotype"/>
          <w:color w:val="000000" w:themeColor="text1"/>
        </w:rPr>
        <w:t>Consta del oficio 22000011000300S/3028</w:t>
      </w:r>
      <w:r w:rsidR="00422C5E" w:rsidRPr="0044551F">
        <w:rPr>
          <w:rFonts w:eastAsia="Palatino Linotype" w:cs="Palatino Linotype"/>
          <w:color w:val="000000" w:themeColor="text1"/>
        </w:rPr>
        <w:t>/2023, remitido por el Subdirector de Servicios Generales, mediante el cual se observa una tabla donde se observa la Unidad Administrativa, Placas, Gasolina y Unidad de Medida.</w:t>
      </w:r>
    </w:p>
    <w:p w14:paraId="213ADD54" w14:textId="77777777" w:rsidR="000779A1" w:rsidRPr="0044551F" w:rsidRDefault="000779A1" w:rsidP="00E8313C">
      <w:pPr>
        <w:pBdr>
          <w:top w:val="nil"/>
          <w:left w:val="nil"/>
          <w:bottom w:val="nil"/>
          <w:right w:val="nil"/>
          <w:between w:val="nil"/>
        </w:pBdr>
        <w:contextualSpacing/>
        <w:jc w:val="left"/>
        <w:rPr>
          <w:rFonts w:eastAsia="Palatino Linotype" w:cs="Palatino Linotype"/>
          <w:color w:val="000000" w:themeColor="text1"/>
          <w:lang w:val="es-ES"/>
        </w:rPr>
      </w:pPr>
    </w:p>
    <w:p w14:paraId="6128DFF4" w14:textId="742F2537" w:rsidR="00A970D5" w:rsidRPr="0044551F" w:rsidRDefault="7B6D7691" w:rsidP="00E8313C">
      <w:pPr>
        <w:pBdr>
          <w:top w:val="nil"/>
          <w:left w:val="nil"/>
          <w:bottom w:val="nil"/>
          <w:right w:val="nil"/>
          <w:between w:val="nil"/>
        </w:pBdr>
        <w:contextualSpacing/>
        <w:rPr>
          <w:rFonts w:eastAsia="Palatino Linotype" w:cs="Palatino Linotype"/>
          <w:color w:val="000000"/>
          <w:lang w:val="es-ES"/>
        </w:rPr>
      </w:pPr>
      <w:r w:rsidRPr="0044551F">
        <w:rPr>
          <w:rFonts w:eastAsia="Palatino Linotype" w:cs="Palatino Linotype"/>
          <w:color w:val="000000" w:themeColor="text1"/>
          <w:lang w:val="es-ES"/>
        </w:rPr>
        <w:t xml:space="preserve">Ante la respuesta emitida por el Sujeto Obligado, el Recurrente consideró que se trasgredió su derecho a la información pública, por lo que interpuso el recurso de revisión al rubro citado, señalando como acto impugnado </w:t>
      </w:r>
      <w:r w:rsidR="007A090C" w:rsidRPr="0044551F">
        <w:rPr>
          <w:rFonts w:eastAsia="Palatino Linotype" w:cs="Palatino Linotype"/>
          <w:color w:val="000000" w:themeColor="text1"/>
          <w:lang w:val="es-ES"/>
        </w:rPr>
        <w:t xml:space="preserve">que le quieren </w:t>
      </w:r>
      <w:r w:rsidR="00CC6749" w:rsidRPr="0044551F">
        <w:rPr>
          <w:rFonts w:eastAsia="Palatino Linotype" w:cs="Palatino Linotype"/>
          <w:color w:val="000000" w:themeColor="text1"/>
          <w:lang w:val="es-ES"/>
        </w:rPr>
        <w:t>cobrar algo que es gratis</w:t>
      </w:r>
      <w:r w:rsidRPr="0044551F">
        <w:rPr>
          <w:rFonts w:eastAsia="Palatino Linotype" w:cs="Palatino Linotype"/>
          <w:color w:val="000000" w:themeColor="text1"/>
          <w:lang w:val="es-ES"/>
        </w:rPr>
        <w:t xml:space="preserve">; dando como razones o motivos de inconformidad </w:t>
      </w:r>
      <w:r w:rsidR="00CC6749" w:rsidRPr="0044551F">
        <w:rPr>
          <w:rFonts w:eastAsia="Palatino Linotype" w:cs="Palatino Linotype"/>
          <w:color w:val="000000" w:themeColor="text1"/>
          <w:lang w:val="es-ES"/>
        </w:rPr>
        <w:t>“</w:t>
      </w:r>
      <w:r w:rsidR="00CC6749" w:rsidRPr="0044551F">
        <w:rPr>
          <w:rFonts w:eastAsia="Palatino Linotype" w:cs="Palatino Linotype"/>
          <w:i/>
          <w:color w:val="000000" w:themeColor="text1"/>
          <w:lang w:val="es-ES"/>
        </w:rPr>
        <w:t>mie quieren cobrar algo que es gratis donde esta el derecho de acceso a la información”</w:t>
      </w:r>
      <w:r w:rsidRPr="0044551F">
        <w:rPr>
          <w:rFonts w:eastAsia="Palatino Linotype" w:cs="Palatino Linotype"/>
          <w:color w:val="000000" w:themeColor="text1"/>
          <w:lang w:val="es-ES"/>
        </w:rPr>
        <w:t xml:space="preserve">. </w:t>
      </w:r>
    </w:p>
    <w:p w14:paraId="4A6500B8" w14:textId="77777777" w:rsidR="008F50E6" w:rsidRPr="0044551F" w:rsidRDefault="008F50E6" w:rsidP="00E8313C">
      <w:pPr>
        <w:pBdr>
          <w:top w:val="nil"/>
          <w:left w:val="nil"/>
          <w:bottom w:val="nil"/>
          <w:right w:val="nil"/>
          <w:between w:val="nil"/>
        </w:pBdr>
        <w:contextualSpacing/>
        <w:rPr>
          <w:rFonts w:eastAsia="Palatino Linotype" w:cs="Palatino Linotype"/>
          <w:color w:val="000000"/>
          <w:szCs w:val="24"/>
        </w:rPr>
      </w:pPr>
    </w:p>
    <w:p w14:paraId="35695B46" w14:textId="098EE97E" w:rsidR="00C006C6" w:rsidRPr="0044551F" w:rsidRDefault="00072FF9" w:rsidP="00E8313C">
      <w:r w:rsidRPr="0044551F">
        <w:t xml:space="preserve">Durante la etapa de instrucción, el Sujeto Obligado rindió el Informe Justificado consistente </w:t>
      </w:r>
      <w:r w:rsidR="00D21F00" w:rsidRPr="0044551F">
        <w:t xml:space="preserve">en </w:t>
      </w:r>
      <w:r w:rsidR="00637AA1" w:rsidRPr="0044551F">
        <w:t>los siguientes documentos</w:t>
      </w:r>
      <w:r w:rsidRPr="0044551F">
        <w:t>:</w:t>
      </w:r>
    </w:p>
    <w:p w14:paraId="309EC65F" w14:textId="77777777" w:rsidR="00072FF9" w:rsidRPr="0044551F" w:rsidRDefault="00072FF9" w:rsidP="00E8313C"/>
    <w:p w14:paraId="76005BD7" w14:textId="1C871ACE" w:rsidR="00AA66F5" w:rsidRPr="0044551F" w:rsidRDefault="00CC6749" w:rsidP="00E8313C">
      <w:pPr>
        <w:pStyle w:val="Prrafodelista"/>
        <w:numPr>
          <w:ilvl w:val="0"/>
          <w:numId w:val="22"/>
        </w:numPr>
      </w:pPr>
      <w:r w:rsidRPr="0044551F">
        <w:rPr>
          <w:b/>
          <w:bCs/>
        </w:rPr>
        <w:t>Informe Justificado_245.0.pdf:</w:t>
      </w:r>
      <w:r w:rsidR="7B6D7691" w:rsidRPr="0044551F">
        <w:t xml:space="preserve"> Oficio </w:t>
      </w:r>
      <w:r w:rsidRPr="0044551F">
        <w:t>CCT/UT/0152/2024</w:t>
      </w:r>
      <w:r w:rsidR="7B6D7691" w:rsidRPr="0044551F">
        <w:t xml:space="preserve"> suscrito por </w:t>
      </w:r>
      <w:r w:rsidRPr="0044551F">
        <w:t>el Titular de la Unidad de Transparencia y Coordinador de Control Técnico</w:t>
      </w:r>
      <w:r w:rsidR="7B6D7691" w:rsidRPr="0044551F">
        <w:t xml:space="preserve">, </w:t>
      </w:r>
      <w:r w:rsidRPr="0044551F">
        <w:t>mediante el cual refiere que con la finalidad de atender la solicitud de información, el Servidor Público Habilitado de la Coordinación de Administración, como área competente para responder el requerimiento de información, emite su pronunciamiento al respecto mediante oficio T-050/2024, por lo que se anexa dicho oficio.</w:t>
      </w:r>
    </w:p>
    <w:p w14:paraId="2F4AA424" w14:textId="1B27C9A6" w:rsidR="00B1129B" w:rsidRPr="0044551F" w:rsidRDefault="00CC6749" w:rsidP="00E8313C">
      <w:pPr>
        <w:pStyle w:val="Prrafodelista"/>
        <w:numPr>
          <w:ilvl w:val="0"/>
          <w:numId w:val="22"/>
        </w:numPr>
      </w:pPr>
      <w:r w:rsidRPr="0044551F">
        <w:rPr>
          <w:b/>
        </w:rPr>
        <w:t>CAD_T50.pdf</w:t>
      </w:r>
      <w:r w:rsidRPr="0044551F">
        <w:t xml:space="preserve">: </w:t>
      </w:r>
      <w:r w:rsidR="001B7C7B" w:rsidRPr="0044551F">
        <w:t>Contiene dos oficios los cuales se describen a continuación:</w:t>
      </w:r>
    </w:p>
    <w:p w14:paraId="606F9A81" w14:textId="5FD23D95" w:rsidR="001B7C7B" w:rsidRPr="0044551F" w:rsidRDefault="001B7C7B" w:rsidP="00E8313C">
      <w:pPr>
        <w:pStyle w:val="Prrafodelista"/>
        <w:numPr>
          <w:ilvl w:val="0"/>
          <w:numId w:val="39"/>
        </w:numPr>
        <w:ind w:left="1276"/>
      </w:pPr>
      <w:r w:rsidRPr="0044551F">
        <w:lastRenderedPageBreak/>
        <w:t>Oficio T-050/2024, de fecha 01 de febrero de 2024, signado por el Servidor Público Habilitado en materia de Transparencia, mediante el cual refiere que se envía el Informe Justificado  a través del que se atienden las inconformidades expuestas por el ahora Recurrente y el cual se integra por el soporte documental identificado con el número 22000011000100S/0783/2024.</w:t>
      </w:r>
    </w:p>
    <w:p w14:paraId="2DF33BB8" w14:textId="3310530F" w:rsidR="0058344E" w:rsidRPr="0044551F" w:rsidRDefault="008314CF" w:rsidP="00E8313C">
      <w:pPr>
        <w:pStyle w:val="Prrafodelista"/>
        <w:numPr>
          <w:ilvl w:val="0"/>
          <w:numId w:val="39"/>
        </w:numPr>
        <w:ind w:left="1276"/>
      </w:pPr>
      <w:r w:rsidRPr="0044551F">
        <w:t xml:space="preserve">Consta del oficio 22000011000100S0783/2024, de fecha 31 de enero de 2024, signado por la Subdirectora de Administración del Capital Humano, mediante el cual </w:t>
      </w:r>
      <w:r w:rsidR="004817EA" w:rsidRPr="0044551F">
        <w:t xml:space="preserve">ratifica su respuesta inicial, asimismo refiere que, la información que previo pago sea proporcionada al solicitante contiene datos personales, mismos que deberán ser testados en apego a lo establecido por la Ley de Protección de Datos </w:t>
      </w:r>
      <w:r w:rsidR="00734569" w:rsidRPr="0044551F">
        <w:t xml:space="preserve">Personales en posesión de Sujetos </w:t>
      </w:r>
      <w:r w:rsidR="00734569" w:rsidRPr="0044551F">
        <w:br/>
        <w:t>Obligados del Estado de México y Municipios, por lo que la misma será proporcionada al solicitante en versión pública, previa autorización de la misma por el Comité de Transparencia de la secretaría de Movilidad.</w:t>
      </w:r>
    </w:p>
    <w:p w14:paraId="469E9B68" w14:textId="76FB9E42" w:rsidR="00672989" w:rsidRPr="0044551F" w:rsidRDefault="00672989" w:rsidP="00E8313C"/>
    <w:p w14:paraId="3CA1535C" w14:textId="77777777" w:rsidR="00C24A33" w:rsidRPr="0044551F" w:rsidRDefault="00C24A33" w:rsidP="00E8313C">
      <w:pPr>
        <w:pBdr>
          <w:top w:val="nil"/>
          <w:left w:val="nil"/>
          <w:bottom w:val="nil"/>
          <w:right w:val="nil"/>
          <w:between w:val="nil"/>
        </w:pBdr>
        <w:contextualSpacing/>
        <w:rPr>
          <w:rFonts w:eastAsia="Palatino Linotype" w:cs="Palatino Linotype"/>
          <w:color w:val="000000"/>
          <w:szCs w:val="24"/>
        </w:rPr>
      </w:pPr>
      <w:r w:rsidRPr="0044551F">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1407BA74" w14:textId="77777777" w:rsidR="00C24A33" w:rsidRPr="0044551F" w:rsidRDefault="00C24A33" w:rsidP="00E8313C">
      <w:pPr>
        <w:pBdr>
          <w:top w:val="nil"/>
          <w:left w:val="nil"/>
          <w:bottom w:val="nil"/>
          <w:right w:val="nil"/>
          <w:between w:val="nil"/>
        </w:pBdr>
        <w:contextualSpacing/>
        <w:rPr>
          <w:rFonts w:eastAsia="Palatino Linotype" w:cs="Palatino Linotype"/>
          <w:color w:val="000000"/>
          <w:szCs w:val="24"/>
        </w:rPr>
      </w:pPr>
    </w:p>
    <w:p w14:paraId="0788B94E" w14:textId="77777777" w:rsidR="00C24A33" w:rsidRPr="0044551F" w:rsidRDefault="00C24A33" w:rsidP="00E8313C">
      <w:pPr>
        <w:pBdr>
          <w:top w:val="nil"/>
          <w:left w:val="nil"/>
          <w:bottom w:val="nil"/>
          <w:right w:val="nil"/>
          <w:between w:val="nil"/>
        </w:pBdr>
        <w:contextualSpacing/>
        <w:rPr>
          <w:rFonts w:eastAsia="Palatino Linotype" w:cs="Palatino Linotype"/>
          <w:color w:val="000000"/>
          <w:szCs w:val="24"/>
        </w:rPr>
      </w:pPr>
      <w:r w:rsidRPr="0044551F">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23398B8D" w14:textId="77777777" w:rsidR="00C24A33" w:rsidRPr="0044551F" w:rsidRDefault="00C24A33" w:rsidP="00E8313C">
      <w:pPr>
        <w:pBdr>
          <w:top w:val="nil"/>
          <w:left w:val="nil"/>
          <w:bottom w:val="nil"/>
          <w:right w:val="nil"/>
          <w:between w:val="nil"/>
        </w:pBdr>
        <w:contextualSpacing/>
        <w:rPr>
          <w:rFonts w:eastAsia="Palatino Linotype" w:cs="Palatino Linotype"/>
          <w:color w:val="000000"/>
          <w:szCs w:val="24"/>
        </w:rPr>
      </w:pPr>
    </w:p>
    <w:p w14:paraId="71AB6C1F" w14:textId="77777777" w:rsidR="00C24A33" w:rsidRPr="0044551F" w:rsidRDefault="00C24A33" w:rsidP="00E8313C">
      <w:pPr>
        <w:pStyle w:val="Fundamentos"/>
        <w:spacing w:line="360" w:lineRule="auto"/>
      </w:pPr>
      <w:r w:rsidRPr="0044551F">
        <w:rPr>
          <w:b/>
          <w:bCs/>
          <w:lang w:val="es-ES"/>
        </w:rPr>
        <w:lastRenderedPageBreak/>
        <w:t>Artículo 6o.</w:t>
      </w:r>
      <w:r w:rsidRPr="0044551F">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44551F">
        <w:rPr>
          <w:b/>
          <w:bCs/>
          <w:lang w:val="es-ES"/>
        </w:rPr>
        <w:t>El derecho a la información será garantizado por el Estado.</w:t>
      </w:r>
      <w:r w:rsidRPr="0044551F">
        <w:rPr>
          <w:lang w:val="es-ES"/>
        </w:rPr>
        <w:t xml:space="preserve"> </w:t>
      </w:r>
    </w:p>
    <w:p w14:paraId="585FE18A" w14:textId="77777777" w:rsidR="00C24A33" w:rsidRPr="0044551F" w:rsidRDefault="00C24A33" w:rsidP="00E8313C">
      <w:pPr>
        <w:pStyle w:val="Fundamentos"/>
        <w:spacing w:line="360" w:lineRule="auto"/>
      </w:pPr>
    </w:p>
    <w:p w14:paraId="715C43C5" w14:textId="77777777" w:rsidR="00C24A33" w:rsidRPr="0044551F" w:rsidRDefault="00C24A33" w:rsidP="00E8313C">
      <w:pPr>
        <w:pStyle w:val="Fundamentos"/>
        <w:spacing w:line="360" w:lineRule="auto"/>
      </w:pPr>
      <w:r w:rsidRPr="0044551F">
        <w:t>Toda persona tiene derecho al libre acceso a información plural y oportuna, así como a buscar, recibir y difundir información e ideas de toda índole por cualquier medio de expresión.</w:t>
      </w:r>
    </w:p>
    <w:p w14:paraId="7BA0D832" w14:textId="77777777" w:rsidR="00C24A33" w:rsidRPr="0044551F" w:rsidRDefault="00C24A33" w:rsidP="00E8313C">
      <w:pPr>
        <w:pStyle w:val="Fundamentos"/>
        <w:spacing w:line="360" w:lineRule="auto"/>
      </w:pPr>
    </w:p>
    <w:p w14:paraId="6492EB20" w14:textId="77777777" w:rsidR="00C24A33" w:rsidRPr="0044551F" w:rsidRDefault="00C24A33" w:rsidP="00E8313C">
      <w:pPr>
        <w:pStyle w:val="Fundamentos"/>
        <w:spacing w:line="360" w:lineRule="auto"/>
      </w:pPr>
      <w:r w:rsidRPr="0044551F">
        <w:t>Para efectos de lo dispuesto en el presente artículo se observará lo siguiente:</w:t>
      </w:r>
    </w:p>
    <w:p w14:paraId="7353194B" w14:textId="77777777" w:rsidR="00C24A33" w:rsidRPr="0044551F" w:rsidRDefault="00C24A33" w:rsidP="00E8313C">
      <w:pPr>
        <w:pStyle w:val="Fundamentos"/>
        <w:spacing w:line="360" w:lineRule="auto"/>
      </w:pPr>
    </w:p>
    <w:p w14:paraId="55FE36F3" w14:textId="77777777" w:rsidR="00C24A33" w:rsidRPr="0044551F" w:rsidRDefault="00C24A33" w:rsidP="00E8313C">
      <w:pPr>
        <w:pStyle w:val="Fundamentos"/>
        <w:spacing w:line="360" w:lineRule="auto"/>
      </w:pPr>
      <w:r w:rsidRPr="0044551F">
        <w:t>A. Para el ejercicio del derecho de acceso a la información, la Federación y las entidades federativas, en el ámbito de sus respectivas competencias, se regirán por los siguientes principios y bases:</w:t>
      </w:r>
    </w:p>
    <w:p w14:paraId="148EE6EA" w14:textId="77777777" w:rsidR="00C24A33" w:rsidRPr="0044551F" w:rsidRDefault="00C24A33" w:rsidP="00E8313C">
      <w:pPr>
        <w:pStyle w:val="Fundamentos"/>
        <w:spacing w:line="360" w:lineRule="auto"/>
      </w:pPr>
    </w:p>
    <w:p w14:paraId="493D624B" w14:textId="77777777" w:rsidR="00C24A33" w:rsidRPr="0044551F" w:rsidRDefault="00C24A33" w:rsidP="00E8313C">
      <w:pPr>
        <w:pStyle w:val="Fundamentos"/>
        <w:spacing w:line="360" w:lineRule="auto"/>
      </w:pPr>
      <w:r w:rsidRPr="0044551F">
        <w:rPr>
          <w:b/>
        </w:rPr>
        <w:t>I. Toda la información en posesión de</w:t>
      </w:r>
      <w:r w:rsidRPr="0044551F">
        <w:t xml:space="preserve"> </w:t>
      </w:r>
      <w:r w:rsidRPr="0044551F">
        <w:rPr>
          <w:b/>
        </w:rPr>
        <w:t>cualquier autoridad</w:t>
      </w:r>
      <w:r w:rsidRPr="0044551F">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44551F">
        <w:rPr>
          <w:b/>
        </w:rPr>
        <w:t>en el ámbito federal, estatal y municipal, es pública</w:t>
      </w:r>
      <w:r w:rsidRPr="0044551F">
        <w:t xml:space="preserve"> y sólo podrá ser reservada temporalmente por razones de interés público y seguridad nacional, en los términos que fijen las leyes. En la interpretación de este derecho deberá prevalecer el principio de máxima publicidad. </w:t>
      </w:r>
      <w:r w:rsidRPr="0044551F">
        <w:rPr>
          <w:b/>
        </w:rPr>
        <w:t>Los sujetos obligados deberán documentar todo acto que derive del ejercicio de sus facultades, competencias o funciones</w:t>
      </w:r>
      <w:r w:rsidRPr="0044551F">
        <w:t>, la ley determinará los supuestos específicos bajo los cuales procederá la declaración de inexistencia de la información.</w:t>
      </w:r>
    </w:p>
    <w:p w14:paraId="52F0B56E" w14:textId="77777777" w:rsidR="00C24A33" w:rsidRPr="0044551F" w:rsidRDefault="00C24A33" w:rsidP="00E8313C">
      <w:pPr>
        <w:pStyle w:val="Fundamentos"/>
        <w:spacing w:line="360" w:lineRule="auto"/>
      </w:pPr>
      <w:r w:rsidRPr="0044551F">
        <w:lastRenderedPageBreak/>
        <w:t>II. La información que se refiere a la vida privada y los datos personales será protegida en los términos y con las excepciones que fijen las leyes.</w:t>
      </w:r>
    </w:p>
    <w:p w14:paraId="776D2329" w14:textId="77777777" w:rsidR="00C24A33" w:rsidRPr="0044551F" w:rsidRDefault="00C24A33" w:rsidP="00E8313C">
      <w:pPr>
        <w:pStyle w:val="Fundamentos"/>
        <w:spacing w:line="360" w:lineRule="auto"/>
        <w:rPr>
          <w:lang w:val="es-ES"/>
        </w:rPr>
      </w:pPr>
      <w:r w:rsidRPr="0044551F">
        <w:rPr>
          <w:lang w:val="es-ES"/>
        </w:rPr>
        <w:t>III. Toda persona, sin necesidad de acreditar interés alguno o justificar su utilización, tendrá acceso gratuito a la información pública, a sus datos personales o a la rectificación de éstos.</w:t>
      </w:r>
    </w:p>
    <w:p w14:paraId="30EAD2CF" w14:textId="77777777" w:rsidR="00C24A33" w:rsidRPr="0044551F" w:rsidRDefault="00C24A33" w:rsidP="00E8313C">
      <w:pPr>
        <w:pStyle w:val="Fundamentos"/>
        <w:spacing w:line="360" w:lineRule="auto"/>
      </w:pPr>
      <w:r w:rsidRPr="0044551F">
        <w:t>IV. Se establecerán mecanismos de acceso a la información y procedimientos de revisión expeditos que se sustanciarán ante los organismos autónomos especializados e imparciales que establece esta Constitución.</w:t>
      </w:r>
    </w:p>
    <w:p w14:paraId="3BA60CDE" w14:textId="77777777" w:rsidR="00C24A33" w:rsidRPr="0044551F" w:rsidRDefault="00C24A33" w:rsidP="00E8313C">
      <w:pPr>
        <w:pStyle w:val="Fundamentos"/>
        <w:spacing w:line="360" w:lineRule="auto"/>
      </w:pPr>
      <w:r w:rsidRPr="0044551F">
        <w:rPr>
          <w:b/>
        </w:rPr>
        <w:t>V. Los sujetos obligados deberán preservar sus documentos en archivos administrativos actualizados y publicarán, a través de los medios electrónicos disponibles</w:t>
      </w:r>
      <w:r w:rsidRPr="0044551F">
        <w:t xml:space="preserve">, </w:t>
      </w:r>
      <w:r w:rsidRPr="0044551F">
        <w:rPr>
          <w:b/>
        </w:rPr>
        <w:t xml:space="preserve">la información completa y actualizada sobre el ejercicio de los recursos públicos </w:t>
      </w:r>
      <w:r w:rsidRPr="0044551F">
        <w:t>y los indicadores que permitan rendir cuenta del cumplimiento de sus objetivos y de los resultados obtenidos.</w:t>
      </w:r>
    </w:p>
    <w:p w14:paraId="6C4866EE" w14:textId="77777777" w:rsidR="00C24A33" w:rsidRPr="0044551F" w:rsidRDefault="00C24A33" w:rsidP="00E8313C">
      <w:pPr>
        <w:pStyle w:val="Fundamentos"/>
        <w:spacing w:line="360" w:lineRule="auto"/>
        <w:rPr>
          <w:lang w:val="es-ES"/>
        </w:rPr>
      </w:pPr>
      <w:r w:rsidRPr="0044551F">
        <w:rPr>
          <w:lang w:val="es-ES"/>
        </w:rPr>
        <w:t>VI. Las leyes determinarán la manera en que los sujetos obligados deberán hacer pública la información relativa a los recursos públicos que entreguen a personas físicas o morales.</w:t>
      </w:r>
    </w:p>
    <w:p w14:paraId="30A1A0D6" w14:textId="77777777" w:rsidR="00C24A33" w:rsidRPr="0044551F" w:rsidRDefault="00C24A33" w:rsidP="00E8313C">
      <w:pPr>
        <w:pStyle w:val="Fundamentos"/>
        <w:spacing w:line="360" w:lineRule="auto"/>
        <w:rPr>
          <w:lang w:val="es-ES"/>
        </w:rPr>
      </w:pPr>
      <w:r w:rsidRPr="0044551F">
        <w:rPr>
          <w:lang w:val="es-ES"/>
        </w:rPr>
        <w:t>VII. La inobservancia a las disposiciones en materia de acceso a la información pública será sancionada en los términos que dispongan las leyes.</w:t>
      </w:r>
    </w:p>
    <w:p w14:paraId="43A40CA1" w14:textId="77777777" w:rsidR="00C24A33" w:rsidRPr="0044551F" w:rsidRDefault="00C24A33" w:rsidP="00E8313C">
      <w:pPr>
        <w:pStyle w:val="Fundamentos"/>
        <w:spacing w:line="360" w:lineRule="auto"/>
      </w:pPr>
      <w:r w:rsidRPr="0044551F">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78562FE" w14:textId="77777777" w:rsidR="00C24A33" w:rsidRPr="0044551F" w:rsidRDefault="00C24A33" w:rsidP="00E8313C">
      <w:pPr>
        <w:pStyle w:val="Fundamentos"/>
        <w:spacing w:line="360" w:lineRule="auto"/>
      </w:pPr>
      <w:r w:rsidRPr="0044551F">
        <w:t>[…]</w:t>
      </w:r>
    </w:p>
    <w:p w14:paraId="23337055" w14:textId="77777777" w:rsidR="00C24A33" w:rsidRPr="0044551F" w:rsidRDefault="00C24A33" w:rsidP="00E8313C">
      <w:pPr>
        <w:pStyle w:val="Fundamentos"/>
        <w:spacing w:line="360" w:lineRule="auto"/>
      </w:pPr>
      <w:r w:rsidRPr="0044551F">
        <w:t>La ley establecerá aquella información que se considere reservada o confidencial.</w:t>
      </w:r>
    </w:p>
    <w:p w14:paraId="0769405A" w14:textId="77777777" w:rsidR="00C24A33" w:rsidRPr="0044551F" w:rsidRDefault="00C24A33" w:rsidP="00E8313C">
      <w:pPr>
        <w:pBdr>
          <w:top w:val="nil"/>
          <w:left w:val="nil"/>
          <w:bottom w:val="nil"/>
          <w:right w:val="nil"/>
          <w:between w:val="nil"/>
        </w:pBdr>
        <w:contextualSpacing/>
        <w:rPr>
          <w:rFonts w:eastAsia="Palatino Linotype" w:cs="Palatino Linotype"/>
          <w:color w:val="000000"/>
          <w:szCs w:val="24"/>
        </w:rPr>
      </w:pPr>
    </w:p>
    <w:p w14:paraId="6BD67D82" w14:textId="77777777" w:rsidR="00C24A33" w:rsidRPr="0044551F" w:rsidRDefault="00C24A33" w:rsidP="00E8313C">
      <w:pPr>
        <w:pBdr>
          <w:top w:val="nil"/>
          <w:left w:val="nil"/>
          <w:bottom w:val="nil"/>
          <w:right w:val="nil"/>
          <w:between w:val="nil"/>
        </w:pBdr>
        <w:contextualSpacing/>
        <w:rPr>
          <w:rFonts w:eastAsia="Palatino Linotype" w:cs="Palatino Linotype"/>
          <w:color w:val="000000"/>
          <w:szCs w:val="24"/>
        </w:rPr>
      </w:pPr>
      <w:r w:rsidRPr="0044551F">
        <w:rPr>
          <w:rFonts w:eastAsia="Palatino Linotype" w:cs="Palatino Linotype"/>
          <w:color w:val="000000"/>
          <w:szCs w:val="24"/>
        </w:rPr>
        <w:lastRenderedPageBreak/>
        <w:t>Por su parte, la Constitución Política del Estado Libre y Soberano de México, en su artículo 5°, dispone en su parte conducente, lo siguiente:</w:t>
      </w:r>
    </w:p>
    <w:p w14:paraId="1E99C2A3" w14:textId="77777777" w:rsidR="00C24A33" w:rsidRPr="0044551F" w:rsidRDefault="00C24A33" w:rsidP="00E8313C">
      <w:pPr>
        <w:pBdr>
          <w:top w:val="nil"/>
          <w:left w:val="nil"/>
          <w:bottom w:val="nil"/>
          <w:right w:val="nil"/>
          <w:between w:val="nil"/>
        </w:pBdr>
        <w:contextualSpacing/>
        <w:rPr>
          <w:rFonts w:eastAsia="Palatino Linotype" w:cs="Palatino Linotype"/>
          <w:color w:val="000000"/>
          <w:szCs w:val="24"/>
        </w:rPr>
      </w:pPr>
    </w:p>
    <w:p w14:paraId="0BCCBBF6" w14:textId="77777777" w:rsidR="00C24A33" w:rsidRPr="0044551F" w:rsidRDefault="00C24A33" w:rsidP="00E8313C">
      <w:pPr>
        <w:pStyle w:val="Fundamentos"/>
        <w:spacing w:line="360" w:lineRule="auto"/>
      </w:pPr>
      <w:r w:rsidRPr="0044551F">
        <w:rPr>
          <w:b/>
          <w:bCs/>
        </w:rPr>
        <w:t>Artículo 5.</w:t>
      </w:r>
      <w:r w:rsidRPr="0044551F">
        <w:t xml:space="preserve"> […]</w:t>
      </w:r>
    </w:p>
    <w:p w14:paraId="4853908D" w14:textId="77777777" w:rsidR="00C24A33" w:rsidRPr="0044551F" w:rsidRDefault="00C24A33" w:rsidP="00E8313C">
      <w:pPr>
        <w:pStyle w:val="Fundamentos"/>
        <w:spacing w:line="360" w:lineRule="auto"/>
      </w:pPr>
    </w:p>
    <w:p w14:paraId="48DD564D" w14:textId="77777777" w:rsidR="00C24A33" w:rsidRPr="0044551F" w:rsidRDefault="00C24A33" w:rsidP="00E8313C">
      <w:pPr>
        <w:pStyle w:val="Fundamentos"/>
        <w:spacing w:line="360" w:lineRule="auto"/>
      </w:pPr>
      <w:r w:rsidRPr="0044551F">
        <w:t xml:space="preserve">El derecho a la información será garantizado por el Estado. La ley establecerá las previsiones que permitan asegurar la protección, el respeto y la difusión de este derecho. </w:t>
      </w:r>
    </w:p>
    <w:p w14:paraId="6E44A315" w14:textId="77777777" w:rsidR="00C24A33" w:rsidRPr="0044551F" w:rsidRDefault="00C24A33" w:rsidP="00E8313C">
      <w:pPr>
        <w:pStyle w:val="Fundamentos"/>
        <w:spacing w:line="360" w:lineRule="auto"/>
      </w:pPr>
    </w:p>
    <w:p w14:paraId="5A315809" w14:textId="77777777" w:rsidR="00C24A33" w:rsidRPr="0044551F" w:rsidRDefault="00C24A33" w:rsidP="00E8313C">
      <w:pPr>
        <w:pStyle w:val="Fundamentos"/>
        <w:spacing w:line="360" w:lineRule="auto"/>
      </w:pPr>
      <w:r w:rsidRPr="0044551F">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20B3167" w14:textId="77777777" w:rsidR="00C24A33" w:rsidRPr="0044551F" w:rsidRDefault="00C24A33" w:rsidP="00E8313C">
      <w:pPr>
        <w:pStyle w:val="Fundamentos"/>
        <w:spacing w:line="360" w:lineRule="auto"/>
      </w:pPr>
    </w:p>
    <w:p w14:paraId="727317FA" w14:textId="77777777" w:rsidR="00C24A33" w:rsidRPr="0044551F" w:rsidRDefault="00C24A33" w:rsidP="00E8313C">
      <w:pPr>
        <w:pStyle w:val="Fundamentos"/>
        <w:spacing w:line="360" w:lineRule="auto"/>
      </w:pPr>
      <w:r w:rsidRPr="0044551F">
        <w:t>Este derecho se regirá por los principios y bases siguientes:</w:t>
      </w:r>
    </w:p>
    <w:p w14:paraId="446BD0AD" w14:textId="77777777" w:rsidR="00C24A33" w:rsidRPr="0044551F" w:rsidRDefault="00C24A33" w:rsidP="00E8313C">
      <w:pPr>
        <w:pStyle w:val="Fundamentos"/>
        <w:spacing w:line="360" w:lineRule="auto"/>
      </w:pPr>
    </w:p>
    <w:p w14:paraId="77314440" w14:textId="77777777" w:rsidR="00C24A33" w:rsidRPr="0044551F" w:rsidRDefault="00C24A33" w:rsidP="00E8313C">
      <w:pPr>
        <w:pStyle w:val="Fundamentos"/>
        <w:spacing w:line="360" w:lineRule="auto"/>
      </w:pPr>
      <w:r w:rsidRPr="0044551F">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w:t>
      </w:r>
      <w:r w:rsidRPr="0044551F">
        <w:lastRenderedPageBreak/>
        <w:t>o funciones, la ley determinará los supuestos específicos bajo los cuales procederá la declaración de inexistencia de la información.</w:t>
      </w:r>
    </w:p>
    <w:p w14:paraId="38144F6D" w14:textId="77777777" w:rsidR="00C24A33" w:rsidRPr="0044551F" w:rsidRDefault="00C24A33" w:rsidP="00E8313C">
      <w:pPr>
        <w:pStyle w:val="Fundamentos"/>
        <w:spacing w:line="360" w:lineRule="auto"/>
      </w:pPr>
      <w:r w:rsidRPr="0044551F">
        <w:t>II. La información referente a la intimidad de la vida privada y la imagen de las personas será protegida a través de un marco jurídico rígido de tratamiento y manejo de datos personales, con las excepciones que establezca la ley reglamentaria.</w:t>
      </w:r>
    </w:p>
    <w:p w14:paraId="7E37CBF4" w14:textId="77777777" w:rsidR="00C24A33" w:rsidRPr="0044551F" w:rsidRDefault="00C24A33" w:rsidP="00E8313C">
      <w:pPr>
        <w:pStyle w:val="Fundamentos"/>
        <w:spacing w:line="360" w:lineRule="auto"/>
        <w:rPr>
          <w:lang w:val="es-ES"/>
        </w:rPr>
      </w:pPr>
      <w:r w:rsidRPr="0044551F">
        <w:rPr>
          <w:lang w:val="es-ES"/>
        </w:rPr>
        <w:t>III. Toda persona, sin necesidad de acreditar interés alguno o justificar su utilización, tendrá acceso gratuito a la información pública, a sus datos personales o a la rectificación de éstos.</w:t>
      </w:r>
    </w:p>
    <w:p w14:paraId="3D985B28" w14:textId="77777777" w:rsidR="00C24A33" w:rsidRPr="0044551F" w:rsidRDefault="00C24A33" w:rsidP="00E8313C">
      <w:pPr>
        <w:pStyle w:val="Fundamentos"/>
        <w:spacing w:line="360" w:lineRule="auto"/>
      </w:pPr>
      <w:r w:rsidRPr="0044551F">
        <w:t>IV. Se establecerán mecanismos de acceso a la información y procedimientos de revisión expeditos que se sustanciarán ante el organismo autónomo especializado e imparcial que establece esta Constitución.</w:t>
      </w:r>
    </w:p>
    <w:p w14:paraId="18EDEF9D" w14:textId="77777777" w:rsidR="00C24A33" w:rsidRPr="0044551F" w:rsidRDefault="00C24A33" w:rsidP="00E8313C">
      <w:pPr>
        <w:pStyle w:val="Fundamentos"/>
        <w:spacing w:line="360" w:lineRule="auto"/>
      </w:pPr>
      <w:r w:rsidRPr="0044551F">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7B0E2AF4" w14:textId="77777777" w:rsidR="00C24A33" w:rsidRPr="0044551F" w:rsidRDefault="00C24A33" w:rsidP="00E8313C">
      <w:pPr>
        <w:pStyle w:val="Fundamentos"/>
        <w:spacing w:line="360" w:lineRule="auto"/>
      </w:pPr>
      <w:r w:rsidRPr="0044551F">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1AC6ED6" w14:textId="144F46F6" w:rsidR="00C24A33" w:rsidRPr="0044551F" w:rsidRDefault="00C24A33" w:rsidP="00E8313C">
      <w:pPr>
        <w:pStyle w:val="Fundamentos"/>
        <w:spacing w:line="360" w:lineRule="auto"/>
        <w:rPr>
          <w:lang w:val="es-ES"/>
        </w:rPr>
      </w:pPr>
      <w:r w:rsidRPr="0044551F">
        <w:rPr>
          <w:lang w:val="es-ES"/>
        </w:rPr>
        <w:t>VII. La ley reglamentaria, determinará la manera en que los sujetos obligados deberán hacer pública la información relativa a los recursos públicos que entreguen a personas físicas o jurídicas colectivas.</w:t>
      </w:r>
    </w:p>
    <w:p w14:paraId="555E4966" w14:textId="77777777" w:rsidR="00C24A33" w:rsidRPr="0044551F" w:rsidRDefault="00C24A33" w:rsidP="00E8313C">
      <w:pPr>
        <w:pBdr>
          <w:top w:val="nil"/>
          <w:left w:val="nil"/>
          <w:bottom w:val="nil"/>
          <w:right w:val="nil"/>
          <w:between w:val="nil"/>
        </w:pBdr>
        <w:contextualSpacing/>
        <w:rPr>
          <w:rFonts w:eastAsia="Palatino Linotype" w:cs="Palatino Linotype"/>
          <w:color w:val="000000"/>
          <w:szCs w:val="24"/>
        </w:rPr>
      </w:pPr>
    </w:p>
    <w:p w14:paraId="1D32B7C8" w14:textId="77777777" w:rsidR="00C24A33" w:rsidRPr="0044551F" w:rsidRDefault="00C24A33" w:rsidP="00E8313C">
      <w:r w:rsidRPr="0044551F">
        <w:t xml:space="preserve">Es así como, conforme a los preceptos legales citados, se desprende que el derecho de acceso a la información pública es un derecho individual que puede ser ejercido ante </w:t>
      </w:r>
      <w:r w:rsidRPr="0044551F">
        <w:lastRenderedPageBreak/>
        <w:t>cualquier autoridad, entidad, órgano u organismo, tanto federales, como estatales, de la Ciudad de México, o Municipales, con el fin de que los particulares conozcan toda aquella información que es considerada como pública.</w:t>
      </w:r>
    </w:p>
    <w:p w14:paraId="3DC13272" w14:textId="77777777" w:rsidR="00C24A33" w:rsidRPr="0044551F" w:rsidRDefault="00C24A33" w:rsidP="00E8313C"/>
    <w:p w14:paraId="37B9217F" w14:textId="2F930B35" w:rsidR="00C24A33" w:rsidRPr="0044551F" w:rsidRDefault="00C24A33" w:rsidP="00E8313C">
      <w:r w:rsidRPr="0044551F">
        <w:t xml:space="preserve">Asimismo, conforme a las razones o motivos de inconformidad expresadas por el Recurrente en el sentido de que no se le entregó la información solicitada, se estima que se actualizó la hipótesis prevista en el artículo 179 fracción </w:t>
      </w:r>
      <w:r w:rsidR="00660209" w:rsidRPr="0044551F">
        <w:t>X</w:t>
      </w:r>
      <w:r w:rsidRPr="0044551F">
        <w:t xml:space="preserve"> de la Ley de la materia en el que se establece lo siguiente:</w:t>
      </w:r>
    </w:p>
    <w:p w14:paraId="5446D60F" w14:textId="77777777" w:rsidR="00C24A33" w:rsidRPr="0044551F" w:rsidRDefault="00C24A33" w:rsidP="00E8313C"/>
    <w:p w14:paraId="3C8EDDE2" w14:textId="77777777" w:rsidR="00C24A33" w:rsidRPr="0044551F" w:rsidRDefault="00C24A33" w:rsidP="00E8313C">
      <w:pPr>
        <w:pStyle w:val="Fundamentos"/>
        <w:spacing w:line="360" w:lineRule="auto"/>
      </w:pPr>
      <w:r w:rsidRPr="0044551F">
        <w:rPr>
          <w:b/>
        </w:rPr>
        <w:t>Artículo 179.</w:t>
      </w:r>
      <w:r w:rsidRPr="0044551F">
        <w:t xml:space="preserve"> El recurso de revisión es un medio de protección que la Ley otorga a los particulares, para hacer valer su derecho de acceso a la información pública, y procederá en contra de las siguientes causas:</w:t>
      </w:r>
    </w:p>
    <w:p w14:paraId="4FE2F82C" w14:textId="1CE21150" w:rsidR="00C24A33" w:rsidRPr="0044551F" w:rsidRDefault="00C24A33" w:rsidP="00E8313C">
      <w:pPr>
        <w:pStyle w:val="Fundamentos"/>
        <w:spacing w:line="360" w:lineRule="auto"/>
      </w:pPr>
    </w:p>
    <w:p w14:paraId="51579E5A" w14:textId="2C05A67B" w:rsidR="00C24A33" w:rsidRPr="0044551F" w:rsidRDefault="00660209" w:rsidP="00E8313C">
      <w:pPr>
        <w:pStyle w:val="Fundamentos"/>
        <w:spacing w:line="360" w:lineRule="auto"/>
      </w:pPr>
      <w:r w:rsidRPr="0044551F">
        <w:rPr>
          <w:b/>
          <w:bCs/>
        </w:rPr>
        <w:t xml:space="preserve">X. </w:t>
      </w:r>
      <w:r w:rsidRPr="0044551F">
        <w:rPr>
          <w:bCs/>
        </w:rPr>
        <w:t>Los costos o tiempos de entrega de la información</w:t>
      </w:r>
      <w:r w:rsidR="00C24A33" w:rsidRPr="0044551F">
        <w:t>;</w:t>
      </w:r>
    </w:p>
    <w:p w14:paraId="2962D1E4" w14:textId="77777777" w:rsidR="00C24A33" w:rsidRPr="0044551F" w:rsidRDefault="00C24A33" w:rsidP="00E8313C">
      <w:pPr>
        <w:pStyle w:val="Fundamentos"/>
        <w:spacing w:line="360" w:lineRule="auto"/>
      </w:pPr>
      <w:r w:rsidRPr="0044551F">
        <w:t>[…]</w:t>
      </w:r>
    </w:p>
    <w:p w14:paraId="4F1AE095" w14:textId="77777777" w:rsidR="00C24A33" w:rsidRPr="0044551F" w:rsidRDefault="00C24A33" w:rsidP="00E8313C"/>
    <w:p w14:paraId="4DBCCBF5" w14:textId="08AEF1F5" w:rsidR="00672989" w:rsidRPr="0044551F" w:rsidRDefault="00C24A33" w:rsidP="00E8313C">
      <w:r w:rsidRPr="0044551F">
        <w:t>En segundo término</w:t>
      </w:r>
      <w:r w:rsidR="0058344E" w:rsidRPr="0044551F">
        <w:t xml:space="preserve">, se debe resaltar que la respuesta proporcionada por el Sujeto Obligado fue emitida por la </w:t>
      </w:r>
      <w:r w:rsidR="00610A35" w:rsidRPr="0044551F">
        <w:t>Subdirección de Administración del Capital Humano</w:t>
      </w:r>
      <w:r w:rsidR="00A66FE5" w:rsidRPr="0044551F">
        <w:t>, así como la Subdirección de Servicios Generales</w:t>
      </w:r>
      <w:r w:rsidR="0058344E" w:rsidRPr="0044551F">
        <w:t xml:space="preserve">, por lo que es conveniente hacer referencia a lo estipulado en </w:t>
      </w:r>
      <w:r w:rsidR="00610A35" w:rsidRPr="0044551F">
        <w:t>el Manual General de Organización de la Secretaría de Movilidad</w:t>
      </w:r>
      <w:r w:rsidR="00FD3E5D" w:rsidRPr="0044551F">
        <w:t>, que a la letra dispone lo siguiente:</w:t>
      </w:r>
    </w:p>
    <w:p w14:paraId="496BEF5A" w14:textId="77777777" w:rsidR="00FD3E5D" w:rsidRPr="0044551F" w:rsidRDefault="00FD3E5D" w:rsidP="00E8313C"/>
    <w:p w14:paraId="63D3F8B0" w14:textId="77777777" w:rsidR="00610A35" w:rsidRPr="0044551F" w:rsidRDefault="00610A35" w:rsidP="00E8313C">
      <w:pPr>
        <w:pStyle w:val="Fundamentos"/>
        <w:spacing w:line="360" w:lineRule="auto"/>
        <w:jc w:val="center"/>
        <w:rPr>
          <w:b/>
        </w:rPr>
      </w:pPr>
      <w:r w:rsidRPr="0044551F">
        <w:rPr>
          <w:b/>
        </w:rPr>
        <w:t>V. ESTRUCTURA ORGÁNICA</w:t>
      </w:r>
    </w:p>
    <w:p w14:paraId="5284E70D" w14:textId="77777777" w:rsidR="00610A35" w:rsidRPr="0044551F" w:rsidRDefault="00610A35" w:rsidP="00E8313C">
      <w:pPr>
        <w:pStyle w:val="Fundamentos"/>
        <w:spacing w:line="360" w:lineRule="auto"/>
        <w:rPr>
          <w:b/>
        </w:rPr>
      </w:pPr>
    </w:p>
    <w:p w14:paraId="55F87118" w14:textId="77777777" w:rsidR="00610A35" w:rsidRPr="0044551F" w:rsidRDefault="00610A35" w:rsidP="00E8313C">
      <w:pPr>
        <w:pStyle w:val="Fundamentos"/>
        <w:spacing w:line="360" w:lineRule="auto"/>
      </w:pPr>
      <w:r w:rsidRPr="0044551F">
        <w:t>22000000000000L Secretaría de Movilidad</w:t>
      </w:r>
    </w:p>
    <w:p w14:paraId="37179AE8" w14:textId="77777777" w:rsidR="00610A35" w:rsidRPr="0044551F" w:rsidRDefault="00610A35" w:rsidP="00E8313C">
      <w:pPr>
        <w:pStyle w:val="Fundamentos"/>
        <w:spacing w:line="360" w:lineRule="auto"/>
      </w:pPr>
      <w:r w:rsidRPr="0044551F">
        <w:lastRenderedPageBreak/>
        <w:t>22000001000000S Secretaría Particular</w:t>
      </w:r>
    </w:p>
    <w:p w14:paraId="1F9E936B" w14:textId="77777777" w:rsidR="00610A35" w:rsidRPr="0044551F" w:rsidRDefault="00610A35" w:rsidP="00E8313C">
      <w:pPr>
        <w:pStyle w:val="Fundamentos"/>
        <w:spacing w:line="360" w:lineRule="auto"/>
      </w:pPr>
      <w:r w:rsidRPr="0044551F">
        <w:t>22000002000000S Coordinación Administrativa</w:t>
      </w:r>
    </w:p>
    <w:p w14:paraId="218A413F" w14:textId="77777777" w:rsidR="00610A35" w:rsidRPr="0044551F" w:rsidRDefault="00610A35" w:rsidP="00E8313C">
      <w:pPr>
        <w:pStyle w:val="Fundamentos"/>
        <w:spacing w:line="360" w:lineRule="auto"/>
        <w:rPr>
          <w:b/>
          <w:u w:val="single"/>
        </w:rPr>
      </w:pPr>
      <w:r w:rsidRPr="0044551F">
        <w:rPr>
          <w:b/>
          <w:u w:val="single"/>
        </w:rPr>
        <w:t>22000002000300S Subdirección de Administración del Capital Humano</w:t>
      </w:r>
    </w:p>
    <w:p w14:paraId="4FF5CB67" w14:textId="77777777" w:rsidR="00610A35" w:rsidRPr="0044551F" w:rsidRDefault="00610A35" w:rsidP="00E8313C">
      <w:pPr>
        <w:pStyle w:val="Fundamentos"/>
        <w:spacing w:line="360" w:lineRule="auto"/>
      </w:pPr>
      <w:r w:rsidRPr="0044551F">
        <w:t>22000002000301S Departamento de Registro de Incidencias</w:t>
      </w:r>
    </w:p>
    <w:p w14:paraId="23890D21" w14:textId="77777777" w:rsidR="00610A35" w:rsidRPr="0044551F" w:rsidRDefault="00610A35" w:rsidP="00E8313C">
      <w:pPr>
        <w:pStyle w:val="Fundamentos"/>
        <w:spacing w:line="360" w:lineRule="auto"/>
      </w:pPr>
      <w:r w:rsidRPr="0044551F">
        <w:t>22000002000400S Subdirección de Recursos Materiales</w:t>
      </w:r>
    </w:p>
    <w:p w14:paraId="5BC9753E" w14:textId="77777777" w:rsidR="00610A35" w:rsidRPr="0044551F" w:rsidRDefault="00610A35" w:rsidP="00E8313C">
      <w:pPr>
        <w:pStyle w:val="Fundamentos"/>
        <w:spacing w:line="360" w:lineRule="auto"/>
      </w:pPr>
      <w:r w:rsidRPr="0044551F">
        <w:t>22000002000401S Departamento de Adquisiciones, Control y Suministro de Bienes</w:t>
      </w:r>
    </w:p>
    <w:p w14:paraId="5AA3A596" w14:textId="77777777" w:rsidR="00610A35" w:rsidRPr="0044551F" w:rsidRDefault="00610A35" w:rsidP="00E8313C">
      <w:pPr>
        <w:pStyle w:val="Fundamentos"/>
        <w:spacing w:line="360" w:lineRule="auto"/>
        <w:rPr>
          <w:b/>
          <w:u w:val="single"/>
        </w:rPr>
      </w:pPr>
      <w:r w:rsidRPr="0044551F">
        <w:rPr>
          <w:b/>
          <w:u w:val="single"/>
        </w:rPr>
        <w:t>22000002000500S Subdirección de Servicios Generales</w:t>
      </w:r>
    </w:p>
    <w:p w14:paraId="53145211" w14:textId="77777777" w:rsidR="00610A35" w:rsidRPr="0044551F" w:rsidRDefault="00610A35" w:rsidP="00E8313C">
      <w:pPr>
        <w:pStyle w:val="Fundamentos"/>
        <w:spacing w:line="360" w:lineRule="auto"/>
      </w:pPr>
      <w:r w:rsidRPr="0044551F">
        <w:t>22000002000100S Subdirección de Finanzas</w:t>
      </w:r>
    </w:p>
    <w:p w14:paraId="4D9D4991" w14:textId="77777777" w:rsidR="00610A35" w:rsidRPr="0044551F" w:rsidRDefault="00610A35" w:rsidP="00E8313C">
      <w:pPr>
        <w:pStyle w:val="Fundamentos"/>
        <w:spacing w:line="360" w:lineRule="auto"/>
      </w:pPr>
      <w:r w:rsidRPr="0044551F">
        <w:t>22000002000102S Departamento de Control Presupuestal</w:t>
      </w:r>
    </w:p>
    <w:p w14:paraId="261C0F07" w14:textId="77777777" w:rsidR="00610A35" w:rsidRPr="0044551F" w:rsidRDefault="00610A35" w:rsidP="00E8313C">
      <w:pPr>
        <w:pStyle w:val="Fundamentos"/>
        <w:spacing w:line="360" w:lineRule="auto"/>
      </w:pPr>
      <w:r w:rsidRPr="0044551F">
        <w:t>22000006000000S Coordinación de Control Técnico</w:t>
      </w:r>
    </w:p>
    <w:p w14:paraId="1D7940BC" w14:textId="77777777" w:rsidR="00610A35" w:rsidRPr="0044551F" w:rsidRDefault="00610A35" w:rsidP="00E8313C">
      <w:pPr>
        <w:pStyle w:val="Fundamentos"/>
        <w:spacing w:line="360" w:lineRule="auto"/>
      </w:pPr>
      <w:r w:rsidRPr="0044551F">
        <w:t>22000006010000S Dirección de Información, Planeación, Programación y Evaluación</w:t>
      </w:r>
    </w:p>
    <w:p w14:paraId="4FA0B17E" w14:textId="7443F0FC" w:rsidR="00610A35" w:rsidRPr="0044551F" w:rsidRDefault="00610A35" w:rsidP="00E8313C">
      <w:pPr>
        <w:pStyle w:val="Fundamentos"/>
        <w:spacing w:line="360" w:lineRule="auto"/>
      </w:pPr>
      <w:r w:rsidRPr="0044551F">
        <w:t>22000007000000S Coordinación de Vinculación</w:t>
      </w:r>
    </w:p>
    <w:p w14:paraId="72B8FECA" w14:textId="77777777" w:rsidR="00610A35" w:rsidRPr="0044551F" w:rsidRDefault="00610A35" w:rsidP="00E8313C">
      <w:pPr>
        <w:pStyle w:val="Fundamentos"/>
        <w:spacing w:line="360" w:lineRule="auto"/>
      </w:pPr>
      <w:r w:rsidRPr="0044551F">
        <w:t>22000003000000S Órgano Interno de Control</w:t>
      </w:r>
    </w:p>
    <w:p w14:paraId="3E1377CE" w14:textId="77777777" w:rsidR="00610A35" w:rsidRPr="0044551F" w:rsidRDefault="00610A35" w:rsidP="00E8313C">
      <w:pPr>
        <w:pStyle w:val="Fundamentos"/>
        <w:spacing w:line="360" w:lineRule="auto"/>
      </w:pPr>
      <w:r w:rsidRPr="0044551F">
        <w:t>22000003000100S Área de Auditoría</w:t>
      </w:r>
    </w:p>
    <w:p w14:paraId="0BE7ED62" w14:textId="77777777" w:rsidR="00610A35" w:rsidRPr="0044551F" w:rsidRDefault="00610A35" w:rsidP="00E8313C">
      <w:pPr>
        <w:pStyle w:val="Fundamentos"/>
        <w:spacing w:line="360" w:lineRule="auto"/>
      </w:pPr>
      <w:r w:rsidRPr="0044551F">
        <w:t>22000003000200S Área de Quejas</w:t>
      </w:r>
    </w:p>
    <w:p w14:paraId="5B8A9062" w14:textId="77777777" w:rsidR="00610A35" w:rsidRPr="0044551F" w:rsidRDefault="00610A35" w:rsidP="00E8313C">
      <w:pPr>
        <w:pStyle w:val="Fundamentos"/>
        <w:spacing w:line="360" w:lineRule="auto"/>
      </w:pPr>
      <w:r w:rsidRPr="0044551F">
        <w:t>22000003000300S Área de Responsabilidades</w:t>
      </w:r>
    </w:p>
    <w:p w14:paraId="4CCA1C46" w14:textId="6DD1D9E3" w:rsidR="00FD3E5D" w:rsidRPr="0044551F" w:rsidRDefault="00610A35" w:rsidP="00E8313C">
      <w:pPr>
        <w:pStyle w:val="Fundamentos"/>
        <w:spacing w:line="360" w:lineRule="auto"/>
      </w:pPr>
      <w:r w:rsidRPr="0044551F">
        <w:t>22000008000000S Coordinación de Estudios y Proyectos Estratégicos</w:t>
      </w:r>
    </w:p>
    <w:p w14:paraId="6D80F65F" w14:textId="30B73D92" w:rsidR="00610A35" w:rsidRPr="0044551F" w:rsidRDefault="00610A35" w:rsidP="00E8313C">
      <w:pPr>
        <w:pStyle w:val="Fundamentos"/>
        <w:spacing w:line="360" w:lineRule="auto"/>
      </w:pPr>
      <w:r w:rsidRPr="0044551F">
        <w:t>(…)</w:t>
      </w:r>
    </w:p>
    <w:p w14:paraId="00C1E54E" w14:textId="638BEF04" w:rsidR="00610A35" w:rsidRPr="0044551F" w:rsidRDefault="00A66FE5" w:rsidP="00E8313C">
      <w:pPr>
        <w:pStyle w:val="Fundamentos"/>
        <w:spacing w:line="360" w:lineRule="auto"/>
        <w:jc w:val="center"/>
      </w:pPr>
      <w:r w:rsidRPr="0044551F">
        <w:rPr>
          <w:noProof/>
          <w:lang w:val="es-MX"/>
        </w:rPr>
        <w:lastRenderedPageBreak/>
        <w:drawing>
          <wp:inline distT="0" distB="0" distL="0" distR="0" wp14:anchorId="1E6E3FCD" wp14:editId="7680172A">
            <wp:extent cx="5057775" cy="3485741"/>
            <wp:effectExtent l="190500" t="190500" r="180975" b="1911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6580" cy="3491809"/>
                    </a:xfrm>
                    <a:prstGeom prst="rect">
                      <a:avLst/>
                    </a:prstGeom>
                    <a:ln>
                      <a:noFill/>
                    </a:ln>
                    <a:effectLst>
                      <a:outerShdw blurRad="190500" algn="tl" rotWithShape="0">
                        <a:srgbClr val="000000">
                          <a:alpha val="70000"/>
                        </a:srgbClr>
                      </a:outerShdw>
                    </a:effectLst>
                  </pic:spPr>
                </pic:pic>
              </a:graphicData>
            </a:graphic>
          </wp:inline>
        </w:drawing>
      </w:r>
    </w:p>
    <w:p w14:paraId="7DB04EF8" w14:textId="77777777" w:rsidR="00610A35" w:rsidRPr="0044551F" w:rsidRDefault="00610A35" w:rsidP="00E8313C">
      <w:pPr>
        <w:pStyle w:val="Fundamentos"/>
        <w:spacing w:line="360" w:lineRule="auto"/>
        <w:jc w:val="center"/>
        <w:rPr>
          <w:b/>
        </w:rPr>
      </w:pPr>
      <w:r w:rsidRPr="0044551F">
        <w:rPr>
          <w:b/>
        </w:rPr>
        <w:t>22000002000300S SUBDIRECCIÓN DE ADMINISTRACIÓN DEL CAPITAL HUMANO</w:t>
      </w:r>
    </w:p>
    <w:p w14:paraId="6FD2829E" w14:textId="77777777" w:rsidR="00610A35" w:rsidRPr="0044551F" w:rsidRDefault="00610A35" w:rsidP="00E8313C">
      <w:pPr>
        <w:pStyle w:val="Fundamentos"/>
        <w:spacing w:line="360" w:lineRule="auto"/>
        <w:rPr>
          <w:b/>
        </w:rPr>
      </w:pPr>
      <w:r w:rsidRPr="0044551F">
        <w:rPr>
          <w:b/>
        </w:rPr>
        <w:t>OBJETIVO:</w:t>
      </w:r>
    </w:p>
    <w:p w14:paraId="1A13F6FA" w14:textId="67504C66" w:rsidR="00610A35" w:rsidRPr="0044551F" w:rsidRDefault="00610A35" w:rsidP="00E8313C">
      <w:pPr>
        <w:pStyle w:val="Fundamentos"/>
        <w:spacing w:line="360" w:lineRule="auto"/>
      </w:pPr>
      <w:r w:rsidRPr="0044551F">
        <w:t>Tramitar, coordinar y supervisar las gestiones y acciones para que la administración de los recursos humanos se lleve en observancia a la normativa aplicable, para el adecuado funcionamiento de la Secretaría.</w:t>
      </w:r>
    </w:p>
    <w:p w14:paraId="0AF6871A" w14:textId="77777777" w:rsidR="00610A35" w:rsidRPr="0044551F" w:rsidRDefault="00610A35" w:rsidP="00E8313C">
      <w:pPr>
        <w:pStyle w:val="Fundamentos"/>
        <w:spacing w:line="360" w:lineRule="auto"/>
        <w:rPr>
          <w:b/>
        </w:rPr>
      </w:pPr>
      <w:r w:rsidRPr="0044551F">
        <w:rPr>
          <w:b/>
        </w:rPr>
        <w:t>FUNCIONES:</w:t>
      </w:r>
    </w:p>
    <w:p w14:paraId="2EA99F5A" w14:textId="77777777" w:rsidR="00610A35" w:rsidRPr="0044551F" w:rsidRDefault="00610A35" w:rsidP="00E8313C">
      <w:pPr>
        <w:pStyle w:val="Fundamentos"/>
        <w:numPr>
          <w:ilvl w:val="0"/>
          <w:numId w:val="41"/>
        </w:numPr>
        <w:spacing w:line="360" w:lineRule="auto"/>
      </w:pPr>
      <w:r w:rsidRPr="0044551F">
        <w:t>Planear, organizar y controlar el aprovisionamiento de los recursos humanos.</w:t>
      </w:r>
    </w:p>
    <w:p w14:paraId="29E2B2D8" w14:textId="6CA06FFE" w:rsidR="00610A35" w:rsidRPr="0044551F" w:rsidRDefault="00610A35" w:rsidP="00E8313C">
      <w:pPr>
        <w:pStyle w:val="Fundamentos"/>
        <w:numPr>
          <w:ilvl w:val="0"/>
          <w:numId w:val="41"/>
        </w:numPr>
        <w:spacing w:line="360" w:lineRule="auto"/>
      </w:pPr>
      <w:r w:rsidRPr="0044551F">
        <w:t>Difundir y promover, en coordinación con el Instituto de Profesionalización de los Servidores Públicos del Poder Ejecutivo del Gobierno del Estado de México, los cursos de capacitación y/o desarrollo, que contribuyan a la superación personal de las personas servidoras públicas.</w:t>
      </w:r>
    </w:p>
    <w:p w14:paraId="753E00F1" w14:textId="5C5E16AA" w:rsidR="00610A35" w:rsidRPr="0044551F" w:rsidRDefault="00610A35" w:rsidP="00E8313C">
      <w:pPr>
        <w:pStyle w:val="Fundamentos"/>
        <w:numPr>
          <w:ilvl w:val="0"/>
          <w:numId w:val="41"/>
        </w:numPr>
        <w:spacing w:line="360" w:lineRule="auto"/>
      </w:pPr>
      <w:r w:rsidRPr="0044551F">
        <w:lastRenderedPageBreak/>
        <w:t>Integrar y gestionar ante la Secretaría de Finanzas los nombramientos, cambios de adscripción, compactaciones y/o conversiones de</w:t>
      </w:r>
      <w:r w:rsidR="00A66FE5" w:rsidRPr="0044551F">
        <w:t xml:space="preserve"> </w:t>
      </w:r>
      <w:r w:rsidRPr="0044551F">
        <w:t>puestos, cambio de datos, licencias, vacaciones, pago de prestaciones, entre otros, a que tienen derecho las personas servidoras</w:t>
      </w:r>
      <w:r w:rsidR="00A66FE5" w:rsidRPr="0044551F">
        <w:t xml:space="preserve"> </w:t>
      </w:r>
      <w:r w:rsidRPr="0044551F">
        <w:t>públicas.</w:t>
      </w:r>
    </w:p>
    <w:p w14:paraId="66B71F53" w14:textId="77777777" w:rsidR="00610A35" w:rsidRPr="0044551F" w:rsidRDefault="00610A35" w:rsidP="00E8313C">
      <w:pPr>
        <w:pStyle w:val="Fundamentos"/>
        <w:numPr>
          <w:ilvl w:val="0"/>
          <w:numId w:val="41"/>
        </w:numPr>
        <w:spacing w:line="360" w:lineRule="auto"/>
      </w:pPr>
      <w:r w:rsidRPr="0044551F">
        <w:t>Supervisar el cumplimiento de la normatividad vigente en materia de Recursos Humanos.</w:t>
      </w:r>
    </w:p>
    <w:p w14:paraId="3058161D" w14:textId="12284219" w:rsidR="00610A35" w:rsidRPr="0044551F" w:rsidRDefault="00610A35" w:rsidP="00E8313C">
      <w:pPr>
        <w:pStyle w:val="Fundamentos"/>
        <w:numPr>
          <w:ilvl w:val="0"/>
          <w:numId w:val="41"/>
        </w:numPr>
        <w:spacing w:line="360" w:lineRule="auto"/>
      </w:pPr>
      <w:r w:rsidRPr="0044551F">
        <w:t>Supervisar y participar en la integración del proyecto anual de presupuesto de egresos, correspondiente al Capítulo 1000 Servicios</w:t>
      </w:r>
      <w:r w:rsidR="00A66FE5" w:rsidRPr="0044551F">
        <w:t xml:space="preserve"> </w:t>
      </w:r>
      <w:r w:rsidRPr="0044551F">
        <w:t>Personales, así como su programación y seguimiento en su aplicación.</w:t>
      </w:r>
    </w:p>
    <w:p w14:paraId="3E552CA1" w14:textId="77777777" w:rsidR="00610A35" w:rsidRPr="0044551F" w:rsidRDefault="00610A35" w:rsidP="00E8313C">
      <w:pPr>
        <w:pStyle w:val="Fundamentos"/>
        <w:numPr>
          <w:ilvl w:val="0"/>
          <w:numId w:val="41"/>
        </w:numPr>
        <w:spacing w:line="360" w:lineRule="auto"/>
      </w:pPr>
      <w:r w:rsidRPr="0044551F">
        <w:t>Supervisar y coordinar los sistemas, procedimientos y controles en materia de recursos humanos.</w:t>
      </w:r>
    </w:p>
    <w:p w14:paraId="194DB9B8" w14:textId="192F7DB1" w:rsidR="00610A35" w:rsidRPr="0044551F" w:rsidRDefault="00610A35" w:rsidP="00E8313C">
      <w:pPr>
        <w:pStyle w:val="Fundamentos"/>
        <w:numPr>
          <w:ilvl w:val="0"/>
          <w:numId w:val="41"/>
        </w:numPr>
        <w:spacing w:line="360" w:lineRule="auto"/>
      </w:pPr>
      <w:r w:rsidRPr="0044551F">
        <w:t>Cumplir y hacer cumplir la normatividad y los procedimientos establecidos por la Secretaría de Finanzas en materia de contratación y</w:t>
      </w:r>
      <w:r w:rsidR="00A66FE5" w:rsidRPr="0044551F">
        <w:t xml:space="preserve"> </w:t>
      </w:r>
      <w:r w:rsidRPr="0044551F">
        <w:t>administración de recursos humanos.</w:t>
      </w:r>
    </w:p>
    <w:p w14:paraId="55DA8356" w14:textId="77777777" w:rsidR="00610A35" w:rsidRPr="0044551F" w:rsidRDefault="00610A35" w:rsidP="00E8313C">
      <w:pPr>
        <w:pStyle w:val="Fundamentos"/>
        <w:numPr>
          <w:ilvl w:val="0"/>
          <w:numId w:val="41"/>
        </w:numPr>
        <w:spacing w:line="360" w:lineRule="auto"/>
      </w:pPr>
      <w:r w:rsidRPr="0044551F">
        <w:t>Validar y supervisar la plantilla de personal de las unidades administrativas de la Secretaría.</w:t>
      </w:r>
    </w:p>
    <w:p w14:paraId="3AED5CA0" w14:textId="77777777" w:rsidR="00610A35" w:rsidRPr="0044551F" w:rsidRDefault="00610A35" w:rsidP="00E8313C">
      <w:pPr>
        <w:pStyle w:val="Fundamentos"/>
        <w:numPr>
          <w:ilvl w:val="0"/>
          <w:numId w:val="41"/>
        </w:numPr>
        <w:spacing w:line="360" w:lineRule="auto"/>
      </w:pPr>
      <w:r w:rsidRPr="0044551F">
        <w:t>Supervisar el cumplimiento de la normatividad vigente en materia de sanciones al recurso humano.</w:t>
      </w:r>
    </w:p>
    <w:p w14:paraId="3F072C8F" w14:textId="77777777" w:rsidR="00610A35" w:rsidRPr="0044551F" w:rsidRDefault="00610A35" w:rsidP="00E8313C">
      <w:pPr>
        <w:pStyle w:val="Fundamentos"/>
        <w:numPr>
          <w:ilvl w:val="0"/>
          <w:numId w:val="42"/>
        </w:numPr>
        <w:spacing w:line="360" w:lineRule="auto"/>
      </w:pPr>
      <w:r w:rsidRPr="0044551F">
        <w:t>Supervisar y controlar los registros de puntualidad y asistencia del personal de la Secretaría.</w:t>
      </w:r>
    </w:p>
    <w:p w14:paraId="31AA4EE9" w14:textId="3B658B8E" w:rsidR="00610A35" w:rsidRPr="0044551F" w:rsidRDefault="00610A35" w:rsidP="00E8313C">
      <w:pPr>
        <w:pStyle w:val="Fundamentos"/>
        <w:numPr>
          <w:ilvl w:val="0"/>
          <w:numId w:val="42"/>
        </w:numPr>
        <w:spacing w:line="360" w:lineRule="auto"/>
      </w:pPr>
      <w:r w:rsidRPr="0044551F">
        <w:t>Supervisar la gestión de los recursos y la autorización correspondiente, para la celebración de contratos individuales de trabajo por</w:t>
      </w:r>
      <w:r w:rsidR="00A66FE5" w:rsidRPr="0044551F">
        <w:t xml:space="preserve"> </w:t>
      </w:r>
      <w:r w:rsidRPr="0044551F">
        <w:t>tiempo determinado, así como de la tramitación del pago, la afiliación y, en su momento, baja ante el Instituto de Seguridad Social del</w:t>
      </w:r>
      <w:r w:rsidR="00A66FE5" w:rsidRPr="0044551F">
        <w:t xml:space="preserve"> </w:t>
      </w:r>
      <w:r w:rsidRPr="0044551F">
        <w:t>Estado de México y Municipios.</w:t>
      </w:r>
    </w:p>
    <w:p w14:paraId="39F9BD77" w14:textId="359EE0BF" w:rsidR="00610A35" w:rsidRPr="0044551F" w:rsidRDefault="00610A35" w:rsidP="00E8313C">
      <w:pPr>
        <w:pStyle w:val="Fundamentos"/>
        <w:numPr>
          <w:ilvl w:val="0"/>
          <w:numId w:val="42"/>
        </w:numPr>
        <w:spacing w:line="360" w:lineRule="auto"/>
      </w:pPr>
      <w:r w:rsidRPr="0044551F">
        <w:lastRenderedPageBreak/>
        <w:t>Supervisar la debida aplicación de los catálogos de puestos y tabuladores de sueldos conforme a las plazas vacantes, en el momento</w:t>
      </w:r>
      <w:r w:rsidR="00A66FE5" w:rsidRPr="0044551F">
        <w:t xml:space="preserve"> </w:t>
      </w:r>
      <w:r w:rsidRPr="0044551F">
        <w:t>de la incorporación del personal, en cualquiera de sus modalidades</w:t>
      </w:r>
      <w:r w:rsidR="00A66FE5" w:rsidRPr="0044551F">
        <w:t>.</w:t>
      </w:r>
    </w:p>
    <w:p w14:paraId="4E9D8E75" w14:textId="41449D16" w:rsidR="00A66FE5" w:rsidRPr="0044551F" w:rsidRDefault="00A66FE5" w:rsidP="00E8313C">
      <w:pPr>
        <w:pStyle w:val="Fundamentos"/>
        <w:numPr>
          <w:ilvl w:val="0"/>
          <w:numId w:val="42"/>
        </w:numPr>
        <w:spacing w:line="360" w:lineRule="auto"/>
      </w:pPr>
      <w:r w:rsidRPr="0044551F">
        <w:t>Coordinar con la Dirección General de Personal y el Instituto de Profesionalización de los Servidores Públicos del Poder Ejecutivo del Gobierno del Estado de México, en materia de selección, contratación, administración y capacitación de las personas servidoras públicas adscritas a la dependencia.</w:t>
      </w:r>
    </w:p>
    <w:p w14:paraId="77E35AFD" w14:textId="5E964145" w:rsidR="00A66FE5" w:rsidRPr="0044551F" w:rsidRDefault="00A66FE5" w:rsidP="00E8313C">
      <w:pPr>
        <w:pStyle w:val="Fundamentos"/>
        <w:numPr>
          <w:ilvl w:val="0"/>
          <w:numId w:val="42"/>
        </w:numPr>
        <w:spacing w:line="360" w:lineRule="auto"/>
      </w:pPr>
      <w:r w:rsidRPr="0044551F">
        <w:t>Comunicar y gestionar las peticiones para las evaluaciones de prospectos de candidatas y candidatos a ocupar plazas vacantes, así como los ascensos escalafonarios, a través de la aplicación del Sistema de Escalafón en la Secretaría de Movilidad.</w:t>
      </w:r>
    </w:p>
    <w:p w14:paraId="57C598BC" w14:textId="5E01A755" w:rsidR="00A66FE5" w:rsidRPr="0044551F" w:rsidRDefault="00A66FE5" w:rsidP="00E8313C">
      <w:pPr>
        <w:pStyle w:val="Fundamentos"/>
        <w:numPr>
          <w:ilvl w:val="0"/>
          <w:numId w:val="42"/>
        </w:numPr>
        <w:spacing w:line="360" w:lineRule="auto"/>
      </w:pPr>
      <w:r w:rsidRPr="0044551F">
        <w:t>Acordar con la Dirección General de Protección Civil, las acciones necesarias encaminadas a la creación de las brigadas internas de protección civil, promoviendo su capacitación y desarrollo, así como establecer los mecanismos de prevención y auxilio destinados a salvaguardar la vida e integridad de las personas servidoras públicas ante la eventualidad de un estado de desastre o contingencia.</w:t>
      </w:r>
    </w:p>
    <w:p w14:paraId="43F74DDA" w14:textId="25280187" w:rsidR="00A66FE5" w:rsidRPr="0044551F" w:rsidRDefault="00A66FE5" w:rsidP="00E8313C">
      <w:pPr>
        <w:pStyle w:val="Fundamentos"/>
        <w:numPr>
          <w:ilvl w:val="0"/>
          <w:numId w:val="42"/>
        </w:numPr>
        <w:spacing w:line="360" w:lineRule="auto"/>
      </w:pPr>
      <w:r w:rsidRPr="0044551F">
        <w:t>Promover las acciones que permitan la creación y operación de las brigadas internas de protección civil, promoviendo su capacitación y desarrollo, así como supervisar las medidas de seguridad e higiene al interior de las unidades administrativas de la Secretaría.</w:t>
      </w:r>
    </w:p>
    <w:p w14:paraId="01727A24" w14:textId="77777777" w:rsidR="00A66FE5" w:rsidRPr="0044551F" w:rsidRDefault="00A66FE5" w:rsidP="00E8313C">
      <w:pPr>
        <w:pStyle w:val="Fundamentos"/>
        <w:numPr>
          <w:ilvl w:val="0"/>
          <w:numId w:val="42"/>
        </w:numPr>
        <w:spacing w:line="360" w:lineRule="auto"/>
      </w:pPr>
      <w:r w:rsidRPr="0044551F">
        <w:t>Supervisar la adecuada integración de los expedientes del personal de la Secretaría.</w:t>
      </w:r>
    </w:p>
    <w:p w14:paraId="4F2FA4A0" w14:textId="2CF781BD" w:rsidR="00A66FE5" w:rsidRPr="0044551F" w:rsidRDefault="00A66FE5" w:rsidP="00E8313C">
      <w:pPr>
        <w:pStyle w:val="Fundamentos"/>
        <w:numPr>
          <w:ilvl w:val="0"/>
          <w:numId w:val="42"/>
        </w:numPr>
        <w:spacing w:line="360" w:lineRule="auto"/>
      </w:pPr>
      <w:r w:rsidRPr="0044551F">
        <w:t>Ordenar y validar la realización de los trámites de altas, nombramientos, protestas de cargo, incidencias, ascensos, cambios de adscripción, licencias, vacaciones, bajas, recibos de sueldo, aguinaldos y demás movimientos de las personas servidoras públicas</w:t>
      </w:r>
    </w:p>
    <w:p w14:paraId="71CB7ABB" w14:textId="77777777" w:rsidR="00A66FE5" w:rsidRPr="0044551F" w:rsidRDefault="00A66FE5" w:rsidP="00E8313C">
      <w:pPr>
        <w:pStyle w:val="Fundamentos"/>
        <w:numPr>
          <w:ilvl w:val="0"/>
          <w:numId w:val="42"/>
        </w:numPr>
        <w:spacing w:line="360" w:lineRule="auto"/>
      </w:pPr>
      <w:r w:rsidRPr="0044551F">
        <w:t>adscritas a la dependencia, ante la Dirección General de Personal.</w:t>
      </w:r>
    </w:p>
    <w:p w14:paraId="26304FF8" w14:textId="77777777" w:rsidR="00A66FE5" w:rsidRPr="0044551F" w:rsidRDefault="00A66FE5" w:rsidP="00E8313C">
      <w:pPr>
        <w:pStyle w:val="Fundamentos"/>
        <w:numPr>
          <w:ilvl w:val="0"/>
          <w:numId w:val="42"/>
        </w:numPr>
        <w:spacing w:line="360" w:lineRule="auto"/>
      </w:pPr>
      <w:r w:rsidRPr="0044551F">
        <w:t>Coordinar las acciones necesarias para atender los actos de entrega recepción de las unidades administrativas.</w:t>
      </w:r>
    </w:p>
    <w:p w14:paraId="00034105" w14:textId="61CCED39" w:rsidR="00A66FE5" w:rsidRPr="0044551F" w:rsidRDefault="00A66FE5" w:rsidP="00E8313C">
      <w:pPr>
        <w:pStyle w:val="Fundamentos"/>
        <w:numPr>
          <w:ilvl w:val="0"/>
          <w:numId w:val="42"/>
        </w:numPr>
        <w:spacing w:line="360" w:lineRule="auto"/>
      </w:pPr>
      <w:r w:rsidRPr="0044551F">
        <w:lastRenderedPageBreak/>
        <w:t>Coordinar y supervisar a las y los prestadores de prácticas profesionales y servicio social, adscritos a las unidades administrativas de la Secretaría.</w:t>
      </w:r>
    </w:p>
    <w:p w14:paraId="17E1F9F7" w14:textId="77777777" w:rsidR="00A66FE5" w:rsidRPr="0044551F" w:rsidRDefault="00A66FE5" w:rsidP="00E8313C">
      <w:pPr>
        <w:pStyle w:val="Fundamentos"/>
        <w:numPr>
          <w:ilvl w:val="0"/>
          <w:numId w:val="42"/>
        </w:numPr>
        <w:spacing w:line="360" w:lineRule="auto"/>
      </w:pPr>
      <w:r w:rsidRPr="0044551F">
        <w:t>Supervisar el estado que guardan las obligaciones de transparencia de su competencia.</w:t>
      </w:r>
    </w:p>
    <w:p w14:paraId="3D58812B" w14:textId="2602C41E" w:rsidR="00A66FE5" w:rsidRPr="0044551F" w:rsidRDefault="00A66FE5" w:rsidP="00E8313C">
      <w:pPr>
        <w:pStyle w:val="Fundamentos"/>
        <w:numPr>
          <w:ilvl w:val="0"/>
          <w:numId w:val="42"/>
        </w:numPr>
        <w:spacing w:line="360" w:lineRule="auto"/>
      </w:pPr>
      <w:r w:rsidRPr="0044551F">
        <w:t>Coordinar y conducir la operación de la Comisión Mixta de Seguridad e Higiene de la Secretaría; así como promover las acciones que permitan su operación.</w:t>
      </w:r>
    </w:p>
    <w:p w14:paraId="076020BF" w14:textId="77777777" w:rsidR="00A66FE5" w:rsidRPr="0044551F" w:rsidRDefault="00A66FE5" w:rsidP="00E8313C">
      <w:pPr>
        <w:pStyle w:val="Fundamentos"/>
        <w:numPr>
          <w:ilvl w:val="0"/>
          <w:numId w:val="42"/>
        </w:numPr>
        <w:spacing w:line="360" w:lineRule="auto"/>
      </w:pPr>
      <w:r w:rsidRPr="0044551F">
        <w:t>Supervisar y aprobar la debida dispersión y aplicación de las nóminas de la Secretaría.</w:t>
      </w:r>
    </w:p>
    <w:p w14:paraId="3DE8D4C9" w14:textId="77D26A2D" w:rsidR="00A66FE5" w:rsidRPr="0044551F" w:rsidRDefault="00A66FE5" w:rsidP="00E8313C">
      <w:pPr>
        <w:pStyle w:val="Fundamentos"/>
        <w:numPr>
          <w:ilvl w:val="0"/>
          <w:numId w:val="42"/>
        </w:numPr>
        <w:spacing w:line="360" w:lineRule="auto"/>
      </w:pPr>
      <w:r w:rsidRPr="0044551F">
        <w:t>Instruir al Departamento de Registro de Incidencias el realizar supervisiones al sistema de registro y control de personal, así como a la permanencia y asistencia de las personas servidoras públicas en sus lugares de adscripción y/o centros de trabajo.</w:t>
      </w:r>
    </w:p>
    <w:p w14:paraId="05262A08" w14:textId="05C7A1EB" w:rsidR="00A66FE5" w:rsidRPr="0044551F" w:rsidRDefault="00A66FE5" w:rsidP="00E8313C">
      <w:pPr>
        <w:pStyle w:val="Fundamentos"/>
        <w:numPr>
          <w:ilvl w:val="0"/>
          <w:numId w:val="42"/>
        </w:numPr>
        <w:spacing w:line="360" w:lineRule="auto"/>
      </w:pPr>
      <w:r w:rsidRPr="0044551F">
        <w:t>Supervisar y aprobar el cálculo de estímulos, descuentos, prestaciones de seguridad social, finiquitos y demás prestaciones de las personas servidoras públicas, previa comprobación.</w:t>
      </w:r>
    </w:p>
    <w:p w14:paraId="0D0B8BDD" w14:textId="279CC1AC" w:rsidR="00A66FE5" w:rsidRPr="0044551F" w:rsidRDefault="00A66FE5" w:rsidP="00E8313C">
      <w:pPr>
        <w:pStyle w:val="Fundamentos"/>
        <w:numPr>
          <w:ilvl w:val="0"/>
          <w:numId w:val="42"/>
        </w:numPr>
        <w:spacing w:line="360" w:lineRule="auto"/>
      </w:pPr>
      <w:r w:rsidRPr="0044551F">
        <w:t>Supervisar la aplicación del Programa de Estímulos y Recompensas, así como los programas sociales, culturales y recreativos que promueve la Secretaría.</w:t>
      </w:r>
    </w:p>
    <w:p w14:paraId="414D5176" w14:textId="18DE53F2" w:rsidR="00A66FE5" w:rsidRPr="0044551F" w:rsidRDefault="00A66FE5" w:rsidP="00E8313C">
      <w:pPr>
        <w:pStyle w:val="Fundamentos"/>
        <w:numPr>
          <w:ilvl w:val="0"/>
          <w:numId w:val="42"/>
        </w:numPr>
        <w:spacing w:line="360" w:lineRule="auto"/>
      </w:pPr>
      <w:r w:rsidRPr="0044551F">
        <w:t>Desarrollar las demás funciones inherentes al puesto, de conformidad con las disposiciones jurídicas aplicables y realizar aquellas que le encomienden sus superiores jerárquicos.</w:t>
      </w:r>
    </w:p>
    <w:p w14:paraId="18BD0E98" w14:textId="4E3AE153" w:rsidR="00A66FE5" w:rsidRPr="0044551F" w:rsidRDefault="00A66FE5" w:rsidP="00E8313C">
      <w:pPr>
        <w:pStyle w:val="Fundamentos"/>
        <w:numPr>
          <w:ilvl w:val="0"/>
          <w:numId w:val="42"/>
        </w:numPr>
        <w:spacing w:line="360" w:lineRule="auto"/>
      </w:pPr>
      <w:r w:rsidRPr="0044551F">
        <w:t>Desarrollar las demás funciones inherentes al área de su competencia.</w:t>
      </w:r>
    </w:p>
    <w:p w14:paraId="3CE7B187" w14:textId="77777777" w:rsidR="00A66FE5" w:rsidRPr="0044551F" w:rsidRDefault="00A66FE5" w:rsidP="00E8313C">
      <w:pPr>
        <w:pStyle w:val="Fundamentos"/>
        <w:spacing w:line="360" w:lineRule="auto"/>
        <w:ind w:left="927"/>
      </w:pPr>
    </w:p>
    <w:p w14:paraId="2CD5B253" w14:textId="77777777" w:rsidR="00A66FE5" w:rsidRPr="0044551F" w:rsidRDefault="00A66FE5" w:rsidP="00E8313C">
      <w:pPr>
        <w:pStyle w:val="Fundamentos"/>
        <w:spacing w:line="360" w:lineRule="auto"/>
        <w:jc w:val="center"/>
        <w:rPr>
          <w:b/>
        </w:rPr>
      </w:pPr>
      <w:r w:rsidRPr="0044551F">
        <w:rPr>
          <w:b/>
        </w:rPr>
        <w:t>22000002000500S SUBDIRECCIÓN DE SERVICIOS GENERALES</w:t>
      </w:r>
    </w:p>
    <w:p w14:paraId="1D26D62C" w14:textId="77777777" w:rsidR="00A66FE5" w:rsidRPr="0044551F" w:rsidRDefault="00A66FE5" w:rsidP="00E8313C">
      <w:pPr>
        <w:pStyle w:val="Fundamentos"/>
        <w:spacing w:line="360" w:lineRule="auto"/>
        <w:jc w:val="left"/>
        <w:rPr>
          <w:b/>
        </w:rPr>
      </w:pPr>
      <w:r w:rsidRPr="0044551F">
        <w:rPr>
          <w:b/>
        </w:rPr>
        <w:t>OBJETIVO:</w:t>
      </w:r>
    </w:p>
    <w:p w14:paraId="0A9604D3" w14:textId="6C5CA4BA" w:rsidR="00A66FE5" w:rsidRPr="0044551F" w:rsidRDefault="00A66FE5" w:rsidP="00E8313C">
      <w:pPr>
        <w:pStyle w:val="Fundamentos"/>
        <w:spacing w:line="360" w:lineRule="auto"/>
      </w:pPr>
      <w:r w:rsidRPr="0044551F">
        <w:t>Coordinar, gestionar y proporcionar a las unidades administrativas, los servicios generales que requieran para el desempeño de sus</w:t>
      </w:r>
      <w:r w:rsidR="007613C8" w:rsidRPr="0044551F">
        <w:t xml:space="preserve"> </w:t>
      </w:r>
      <w:r w:rsidRPr="0044551F">
        <w:t>funciones; así como controlar y administrar los bienes inmuebles para la operación de las actividades de la Secretaría.</w:t>
      </w:r>
    </w:p>
    <w:p w14:paraId="3843BEF0" w14:textId="77777777" w:rsidR="00A66FE5" w:rsidRPr="0044551F" w:rsidRDefault="00A66FE5" w:rsidP="00E8313C">
      <w:pPr>
        <w:pStyle w:val="Fundamentos"/>
        <w:spacing w:line="360" w:lineRule="auto"/>
        <w:rPr>
          <w:b/>
        </w:rPr>
      </w:pPr>
      <w:r w:rsidRPr="0044551F">
        <w:rPr>
          <w:b/>
        </w:rPr>
        <w:t>FUNCIONES:</w:t>
      </w:r>
    </w:p>
    <w:p w14:paraId="7EDECEC7" w14:textId="1D3F8516" w:rsidR="00A66FE5" w:rsidRPr="0044551F" w:rsidRDefault="00A66FE5" w:rsidP="00E8313C">
      <w:pPr>
        <w:pStyle w:val="Fundamentos"/>
        <w:numPr>
          <w:ilvl w:val="0"/>
          <w:numId w:val="43"/>
        </w:numPr>
        <w:spacing w:line="360" w:lineRule="auto"/>
      </w:pPr>
      <w:r w:rsidRPr="0044551F">
        <w:lastRenderedPageBreak/>
        <w:t>Coordinar las acciones para identificar los requerimientos de recursos financieros de los servicios; así como, proponer su incorporación</w:t>
      </w:r>
      <w:r w:rsidR="007613C8" w:rsidRPr="0044551F">
        <w:t xml:space="preserve"> </w:t>
      </w:r>
      <w:r w:rsidRPr="0044551F">
        <w:t>y calendarización al anteproyecto de presupuesto de la Secretaría y realizar el seguimiento a las contrataciones y adquisiciones,</w:t>
      </w:r>
      <w:r w:rsidR="007613C8" w:rsidRPr="0044551F">
        <w:t xml:space="preserve"> </w:t>
      </w:r>
      <w:r w:rsidRPr="0044551F">
        <w:t>verificando el cumplimiento de las condiciones específicas, para ser remitido a la Subdirección de Finanzas.</w:t>
      </w:r>
    </w:p>
    <w:p w14:paraId="1EAF869D" w14:textId="6A5F74A8" w:rsidR="00A66FE5" w:rsidRPr="0044551F" w:rsidRDefault="00A66FE5" w:rsidP="00E8313C">
      <w:pPr>
        <w:pStyle w:val="Fundamentos"/>
        <w:numPr>
          <w:ilvl w:val="0"/>
          <w:numId w:val="43"/>
        </w:numPr>
        <w:spacing w:line="360" w:lineRule="auto"/>
      </w:pPr>
      <w:r w:rsidRPr="0044551F">
        <w:t>Verificar que el suministro y prestación de los servicios generales requeridos en la Secretaría, se proporcionen con base en las normas</w:t>
      </w:r>
      <w:r w:rsidR="007613C8" w:rsidRPr="0044551F">
        <w:t xml:space="preserve"> </w:t>
      </w:r>
      <w:r w:rsidRPr="0044551F">
        <w:t>establecidas en la materia.</w:t>
      </w:r>
    </w:p>
    <w:p w14:paraId="03892E64" w14:textId="27F3ED9D" w:rsidR="00A66FE5" w:rsidRPr="0044551F" w:rsidRDefault="00A66FE5" w:rsidP="00E8313C">
      <w:pPr>
        <w:pStyle w:val="Fundamentos"/>
        <w:numPr>
          <w:ilvl w:val="0"/>
          <w:numId w:val="43"/>
        </w:numPr>
        <w:spacing w:line="360" w:lineRule="auto"/>
      </w:pPr>
      <w:r w:rsidRPr="0044551F">
        <w:t>Proponer y coordinar la instrumentación de medidas y acciones para el uso racional de los recursos autorizados a la Secretaría; así</w:t>
      </w:r>
      <w:r w:rsidR="007613C8" w:rsidRPr="0044551F">
        <w:t xml:space="preserve"> </w:t>
      </w:r>
      <w:r w:rsidRPr="0044551F">
        <w:t>como observar e impulsar el cumplimiento de los programas de contención del gasto que sean aprobados.</w:t>
      </w:r>
    </w:p>
    <w:p w14:paraId="153DC3B1" w14:textId="48138982" w:rsidR="00A66FE5" w:rsidRPr="0044551F" w:rsidRDefault="00A66FE5" w:rsidP="00E8313C">
      <w:pPr>
        <w:pStyle w:val="Fundamentos"/>
        <w:numPr>
          <w:ilvl w:val="0"/>
          <w:numId w:val="43"/>
        </w:numPr>
        <w:spacing w:line="360" w:lineRule="auto"/>
      </w:pPr>
      <w:r w:rsidRPr="0044551F">
        <w:t>Tramitar ante la Dirección General de Recursos Materiales, las solicitudes de arrendamientos, comodatos o figuras jurídicas</w:t>
      </w:r>
      <w:r w:rsidR="007613C8" w:rsidRPr="0044551F">
        <w:t xml:space="preserve"> </w:t>
      </w:r>
      <w:r w:rsidRPr="0044551F">
        <w:t>relacionadas con los inmuebles que requieran las unidades administrativas de la Secretaría, según la disponibilidad del recurso</w:t>
      </w:r>
      <w:r w:rsidR="007613C8" w:rsidRPr="0044551F">
        <w:t xml:space="preserve"> </w:t>
      </w:r>
      <w:r w:rsidRPr="0044551F">
        <w:t>aprobado.</w:t>
      </w:r>
    </w:p>
    <w:p w14:paraId="0FDC6261" w14:textId="7F77325C" w:rsidR="00A66FE5" w:rsidRPr="0044551F" w:rsidRDefault="00A66FE5" w:rsidP="00E8313C">
      <w:pPr>
        <w:pStyle w:val="Fundamentos"/>
        <w:numPr>
          <w:ilvl w:val="0"/>
          <w:numId w:val="43"/>
        </w:numPr>
        <w:spacing w:line="360" w:lineRule="auto"/>
      </w:pPr>
      <w:r w:rsidRPr="0044551F">
        <w:t>Controlar y mantener actualizados los inventarios de bienes inmuebles de la Secretaría, realizando los trámites para el levantamiento</w:t>
      </w:r>
      <w:r w:rsidR="007613C8" w:rsidRPr="0044551F">
        <w:t xml:space="preserve"> </w:t>
      </w:r>
      <w:r w:rsidRPr="0044551F">
        <w:t>físico de éstos.</w:t>
      </w:r>
    </w:p>
    <w:p w14:paraId="478B62CE" w14:textId="5AE3934D" w:rsidR="00A66FE5" w:rsidRPr="0044551F" w:rsidRDefault="00A66FE5" w:rsidP="00E8313C">
      <w:pPr>
        <w:pStyle w:val="Fundamentos"/>
        <w:numPr>
          <w:ilvl w:val="0"/>
          <w:numId w:val="43"/>
        </w:numPr>
        <w:spacing w:line="360" w:lineRule="auto"/>
      </w:pPr>
      <w:r w:rsidRPr="0044551F">
        <w:t>Supervisar la elaboración del Programa de Mantenimiento Preventivo y Correctivo de los Inmuebl</w:t>
      </w:r>
      <w:r w:rsidR="007613C8" w:rsidRPr="0044551F">
        <w:t>es de la Secretaría. así como l</w:t>
      </w:r>
      <w:r w:rsidRPr="0044551F">
        <w:t>levar a</w:t>
      </w:r>
      <w:r w:rsidR="007613C8" w:rsidRPr="0044551F">
        <w:t xml:space="preserve"> </w:t>
      </w:r>
      <w:r w:rsidRPr="0044551F">
        <w:t>cabo la ejecución del Programa para la conservación de los bienes.</w:t>
      </w:r>
    </w:p>
    <w:p w14:paraId="07821F6D" w14:textId="6221794D" w:rsidR="00A66FE5" w:rsidRPr="0044551F" w:rsidRDefault="00A66FE5" w:rsidP="00E8313C">
      <w:pPr>
        <w:pStyle w:val="Fundamentos"/>
        <w:numPr>
          <w:ilvl w:val="0"/>
          <w:numId w:val="44"/>
        </w:numPr>
        <w:spacing w:line="360" w:lineRule="auto"/>
      </w:pPr>
      <w:r w:rsidRPr="0044551F">
        <w:t>Revisar y validar, en el ámbito de su competencia, la distribución del ejercicio presupuestal, conforme a la recepción y entrega de los</w:t>
      </w:r>
      <w:r w:rsidR="007613C8" w:rsidRPr="0044551F">
        <w:t xml:space="preserve"> </w:t>
      </w:r>
      <w:r w:rsidRPr="0044551F">
        <w:t>bienes y servicios, así como someter a su pago los documentos comprobatorios de las erogaciones realizadas, previa revisión del</w:t>
      </w:r>
      <w:r w:rsidR="007613C8" w:rsidRPr="0044551F">
        <w:t xml:space="preserve"> </w:t>
      </w:r>
      <w:r w:rsidRPr="0044551F">
        <w:t>cumplimiento de los requisitos fiscales y administrativos, y de las normas aplicables.</w:t>
      </w:r>
    </w:p>
    <w:p w14:paraId="5D18CE64" w14:textId="1FDD611E" w:rsidR="00A66FE5" w:rsidRPr="0044551F" w:rsidRDefault="00A66FE5" w:rsidP="00E8313C">
      <w:pPr>
        <w:pStyle w:val="Fundamentos"/>
        <w:numPr>
          <w:ilvl w:val="0"/>
          <w:numId w:val="44"/>
        </w:numPr>
        <w:spacing w:line="360" w:lineRule="auto"/>
      </w:pPr>
      <w:r w:rsidRPr="0044551F">
        <w:lastRenderedPageBreak/>
        <w:t>Elaborar y ejecutar el Programa Anual para el Mantenimiento Preventivo y Correctivo del parque vehicular asignado a las unidades</w:t>
      </w:r>
      <w:r w:rsidR="007613C8" w:rsidRPr="0044551F">
        <w:t xml:space="preserve"> </w:t>
      </w:r>
      <w:r w:rsidRPr="0044551F">
        <w:t>administrativas de la Secretaría.</w:t>
      </w:r>
    </w:p>
    <w:p w14:paraId="2FF125E4" w14:textId="5636B960" w:rsidR="00A66FE5" w:rsidRPr="0044551F" w:rsidRDefault="00A66FE5" w:rsidP="00E8313C">
      <w:pPr>
        <w:pStyle w:val="Fundamentos"/>
        <w:numPr>
          <w:ilvl w:val="0"/>
          <w:numId w:val="44"/>
        </w:numPr>
        <w:spacing w:line="360" w:lineRule="auto"/>
      </w:pPr>
      <w:r w:rsidRPr="0044551F">
        <w:t>Gestionar, supervisar y aprobar los servicios de reparación y mantenimiento requeridos para los vehículos asignados a las unidades</w:t>
      </w:r>
      <w:r w:rsidR="007613C8" w:rsidRPr="0044551F">
        <w:t xml:space="preserve"> </w:t>
      </w:r>
      <w:r w:rsidRPr="0044551F">
        <w:t>administrativas de la Secretaría.</w:t>
      </w:r>
    </w:p>
    <w:p w14:paraId="3A693619" w14:textId="212D40DD" w:rsidR="00A66FE5" w:rsidRPr="0044551F" w:rsidRDefault="00A66FE5" w:rsidP="00E8313C">
      <w:pPr>
        <w:pStyle w:val="Fundamentos"/>
        <w:numPr>
          <w:ilvl w:val="0"/>
          <w:numId w:val="44"/>
        </w:numPr>
        <w:spacing w:line="360" w:lineRule="auto"/>
      </w:pPr>
      <w:r w:rsidRPr="0044551F">
        <w:t>Tramitar los documentos necesarios para la circulación de los vehículos asignados a las unidades administrativas de la Secretaría, así</w:t>
      </w:r>
      <w:r w:rsidR="007613C8" w:rsidRPr="0044551F">
        <w:t xml:space="preserve"> </w:t>
      </w:r>
      <w:r w:rsidRPr="0044551F">
        <w:t>como el pago de impuestos y derechos de estos.</w:t>
      </w:r>
    </w:p>
    <w:p w14:paraId="714D42FB" w14:textId="77777777" w:rsidR="00A66FE5" w:rsidRPr="0044551F" w:rsidRDefault="00A66FE5" w:rsidP="00E8313C">
      <w:pPr>
        <w:pStyle w:val="Fundamentos"/>
        <w:numPr>
          <w:ilvl w:val="0"/>
          <w:numId w:val="44"/>
        </w:numPr>
        <w:spacing w:line="360" w:lineRule="auto"/>
      </w:pPr>
      <w:r w:rsidRPr="0044551F">
        <w:t>Resguardar y mantener actualizados los expedientes del parque vehicular asignados a las unidades administrativas de la Secretaría.</w:t>
      </w:r>
    </w:p>
    <w:p w14:paraId="3D5D80A5" w14:textId="018FDE7C" w:rsidR="00A66FE5" w:rsidRPr="0044551F" w:rsidRDefault="00A66FE5" w:rsidP="00E8313C">
      <w:pPr>
        <w:pStyle w:val="Fundamentos"/>
        <w:numPr>
          <w:ilvl w:val="0"/>
          <w:numId w:val="44"/>
        </w:numPr>
        <w:spacing w:line="360" w:lineRule="auto"/>
      </w:pPr>
      <w:r w:rsidRPr="0044551F">
        <w:t>Establecer los procedimientos internos para el uso eficiente del parque vehicular asignado a la Secretaría, verificando puntualmente el</w:t>
      </w:r>
      <w:r w:rsidR="007613C8" w:rsidRPr="0044551F">
        <w:t xml:space="preserve"> </w:t>
      </w:r>
      <w:r w:rsidRPr="0044551F">
        <w:t>pago sobre uso y tenencia vehicular.</w:t>
      </w:r>
    </w:p>
    <w:p w14:paraId="3E64F5AB" w14:textId="2AD315D5" w:rsidR="00A66FE5" w:rsidRPr="0044551F" w:rsidRDefault="00A66FE5" w:rsidP="00E8313C">
      <w:pPr>
        <w:pStyle w:val="Fundamentos"/>
        <w:numPr>
          <w:ilvl w:val="0"/>
          <w:numId w:val="44"/>
        </w:numPr>
        <w:spacing w:line="360" w:lineRule="auto"/>
      </w:pPr>
      <w:r w:rsidRPr="0044551F">
        <w:t>Tramitar, administrar, controlar y determinar la distribución de la dotación de combustible y lubricantes para uso de los vehículos de la</w:t>
      </w:r>
      <w:r w:rsidR="007613C8" w:rsidRPr="0044551F">
        <w:t xml:space="preserve"> </w:t>
      </w:r>
      <w:r w:rsidRPr="0044551F">
        <w:t>Dependencia, en términos de la normativa y medidas de racionalidad.</w:t>
      </w:r>
    </w:p>
    <w:p w14:paraId="0046D589" w14:textId="3DAA186C" w:rsidR="00A66FE5" w:rsidRPr="0044551F" w:rsidRDefault="00A66FE5" w:rsidP="00E8313C">
      <w:pPr>
        <w:pStyle w:val="Fundamentos"/>
        <w:numPr>
          <w:ilvl w:val="0"/>
          <w:numId w:val="44"/>
        </w:numPr>
        <w:spacing w:line="360" w:lineRule="auto"/>
      </w:pPr>
      <w:r w:rsidRPr="0044551F">
        <w:t>Tramitar y comprobar ante la Dirección General de Recursos Materiales, la dotación de combustible y lubricantes asignados al parque</w:t>
      </w:r>
      <w:r w:rsidR="007613C8" w:rsidRPr="0044551F">
        <w:t xml:space="preserve"> </w:t>
      </w:r>
      <w:r w:rsidRPr="0044551F">
        <w:t>vehicular.</w:t>
      </w:r>
    </w:p>
    <w:p w14:paraId="4F7EB474" w14:textId="28AA196C" w:rsidR="00A66FE5" w:rsidRPr="0044551F" w:rsidRDefault="00A66FE5" w:rsidP="00E8313C">
      <w:pPr>
        <w:pStyle w:val="Fundamentos"/>
        <w:numPr>
          <w:ilvl w:val="0"/>
          <w:numId w:val="44"/>
        </w:numPr>
        <w:spacing w:line="360" w:lineRule="auto"/>
      </w:pPr>
      <w:r w:rsidRPr="0044551F">
        <w:t>Vigilar y realizar el seguimiento al proceso administrativo derivado de los siniestros ocurridos a vehículos oficiales asignados a las</w:t>
      </w:r>
      <w:r w:rsidR="007613C8" w:rsidRPr="0044551F">
        <w:t xml:space="preserve"> </w:t>
      </w:r>
      <w:r w:rsidRPr="0044551F">
        <w:t>unidades administrativas de la Secretaría.</w:t>
      </w:r>
    </w:p>
    <w:p w14:paraId="2B20CA8B" w14:textId="4ADD99C3" w:rsidR="00A66FE5" w:rsidRPr="0044551F" w:rsidRDefault="00A66FE5" w:rsidP="00E8313C">
      <w:pPr>
        <w:pStyle w:val="Fundamentos"/>
        <w:numPr>
          <w:ilvl w:val="0"/>
          <w:numId w:val="44"/>
        </w:numPr>
        <w:spacing w:line="360" w:lineRule="auto"/>
      </w:pPr>
      <w:r w:rsidRPr="0044551F">
        <w:t>Coordinar y supervisar el despacho de la correspondencia de la Coordinación Administrativa.</w:t>
      </w:r>
    </w:p>
    <w:p w14:paraId="6AE65FD7" w14:textId="2DC2DAAE" w:rsidR="007613C8" w:rsidRPr="0044551F" w:rsidRDefault="007613C8" w:rsidP="00E8313C">
      <w:pPr>
        <w:pStyle w:val="Fundamentos"/>
        <w:numPr>
          <w:ilvl w:val="0"/>
          <w:numId w:val="44"/>
        </w:numPr>
        <w:spacing w:line="360" w:lineRule="auto"/>
      </w:pPr>
      <w:r w:rsidRPr="0044551F">
        <w:t xml:space="preserve">Supervisar y verificar, el cumplimiento de los contratos vigentes en materia de servicios, que requieran las unidades administrativas de la Secretaría, realizados con </w:t>
      </w:r>
      <w:r w:rsidRPr="0044551F">
        <w:lastRenderedPageBreak/>
        <w:t>cargo a las partidas correspondientes, así como las que se realizan directamente en forma global, para su seguimiento.</w:t>
      </w:r>
    </w:p>
    <w:p w14:paraId="143E5E6F" w14:textId="0AE599B3" w:rsidR="007613C8" w:rsidRPr="0044551F" w:rsidRDefault="007613C8" w:rsidP="00E8313C">
      <w:pPr>
        <w:pStyle w:val="Fundamentos"/>
        <w:numPr>
          <w:ilvl w:val="0"/>
          <w:numId w:val="44"/>
        </w:numPr>
        <w:spacing w:line="360" w:lineRule="auto"/>
      </w:pPr>
      <w:r w:rsidRPr="0044551F">
        <w:t>Verificar y validar que los servicios generales contratados se cumplan de acuerdo con las condiciones, características y especificaciones técnicas pactadas.</w:t>
      </w:r>
    </w:p>
    <w:p w14:paraId="6FAFE578" w14:textId="690FCA5A" w:rsidR="007613C8" w:rsidRPr="0044551F" w:rsidRDefault="007613C8" w:rsidP="00E8313C">
      <w:pPr>
        <w:pStyle w:val="Fundamentos"/>
        <w:numPr>
          <w:ilvl w:val="0"/>
          <w:numId w:val="44"/>
        </w:numPr>
        <w:spacing w:line="360" w:lineRule="auto"/>
      </w:pPr>
      <w:r w:rsidRPr="0044551F">
        <w:t>Proporcionar, los servicios de reparación, adaptación y conservación de los bienes muebles e inmuebles, así como los de fotocopiado, impresión, dotación de gasolina, vehículos, estacionamiento, apoyo a eventos especiales, y otros que soliciten las unidades administrativas de la Secretaría.</w:t>
      </w:r>
    </w:p>
    <w:p w14:paraId="4A031B90" w14:textId="77777777" w:rsidR="007613C8" w:rsidRPr="0044551F" w:rsidRDefault="007613C8" w:rsidP="00E8313C">
      <w:pPr>
        <w:pStyle w:val="Fundamentos"/>
        <w:numPr>
          <w:ilvl w:val="0"/>
          <w:numId w:val="44"/>
        </w:numPr>
        <w:spacing w:line="360" w:lineRule="auto"/>
      </w:pPr>
      <w:r w:rsidRPr="0044551F">
        <w:t>Concentrar, aprobar y gestionar ante las instancias correspondientes, el pago de los servicios que se reciben en la Secretaría.</w:t>
      </w:r>
    </w:p>
    <w:p w14:paraId="1F591211" w14:textId="7DB1C447" w:rsidR="007613C8" w:rsidRPr="0044551F" w:rsidRDefault="007613C8" w:rsidP="00E8313C">
      <w:pPr>
        <w:pStyle w:val="Fundamentos"/>
        <w:numPr>
          <w:ilvl w:val="0"/>
          <w:numId w:val="44"/>
        </w:numPr>
        <w:spacing w:line="360" w:lineRule="auto"/>
      </w:pPr>
      <w:r w:rsidRPr="0044551F">
        <w:t>Elaborar, integrar y presentar los informes periódicos sobre el apoyo y la prestación de servicios que se proporcionan a las unidades administrativas de la Secretaría.</w:t>
      </w:r>
    </w:p>
    <w:p w14:paraId="3716D6D7" w14:textId="77777777" w:rsidR="007613C8" w:rsidRPr="0044551F" w:rsidRDefault="007613C8" w:rsidP="00E8313C">
      <w:pPr>
        <w:pStyle w:val="Fundamentos"/>
        <w:numPr>
          <w:ilvl w:val="0"/>
          <w:numId w:val="44"/>
        </w:numPr>
        <w:spacing w:line="360" w:lineRule="auto"/>
      </w:pPr>
      <w:r w:rsidRPr="0044551F">
        <w:t>Elaborar registros de los servicios que se proporcionan en la Secretaría.</w:t>
      </w:r>
    </w:p>
    <w:p w14:paraId="023CC695" w14:textId="77777777" w:rsidR="007613C8" w:rsidRPr="0044551F" w:rsidRDefault="007613C8" w:rsidP="00E8313C">
      <w:pPr>
        <w:pStyle w:val="Fundamentos"/>
        <w:numPr>
          <w:ilvl w:val="0"/>
          <w:numId w:val="44"/>
        </w:numPr>
        <w:spacing w:line="360" w:lineRule="auto"/>
      </w:pPr>
      <w:r w:rsidRPr="0044551F">
        <w:t>Administrar los recursos autorizados como caja chica, destinados a realizar gastos menores o compras directas.</w:t>
      </w:r>
    </w:p>
    <w:p w14:paraId="709AF8C0" w14:textId="77777777" w:rsidR="007613C8" w:rsidRPr="0044551F" w:rsidRDefault="007613C8" w:rsidP="00E8313C">
      <w:pPr>
        <w:pStyle w:val="Fundamentos"/>
        <w:numPr>
          <w:ilvl w:val="0"/>
          <w:numId w:val="44"/>
        </w:numPr>
        <w:spacing w:line="360" w:lineRule="auto"/>
      </w:pPr>
      <w:r w:rsidRPr="0044551F">
        <w:t>Observar y aplicar, en su ámbito de competencia, los programas de contención del gasto que establezca la Secretaría de Finanzas.</w:t>
      </w:r>
    </w:p>
    <w:p w14:paraId="0445C78E" w14:textId="77777777" w:rsidR="007613C8" w:rsidRPr="0044551F" w:rsidRDefault="007613C8" w:rsidP="00E8313C">
      <w:pPr>
        <w:pStyle w:val="Fundamentos"/>
        <w:numPr>
          <w:ilvl w:val="0"/>
          <w:numId w:val="44"/>
        </w:numPr>
        <w:spacing w:line="360" w:lineRule="auto"/>
      </w:pPr>
      <w:r w:rsidRPr="0044551F">
        <w:t>Tramitar la contratación, en su caso, y supervisar la prestación de los servicios generales que requiera la Secretaría.</w:t>
      </w:r>
    </w:p>
    <w:p w14:paraId="59D0A04F" w14:textId="1B674D98" w:rsidR="007613C8" w:rsidRPr="0044551F" w:rsidRDefault="007613C8" w:rsidP="00E8313C">
      <w:pPr>
        <w:pStyle w:val="Fundamentos"/>
        <w:numPr>
          <w:ilvl w:val="0"/>
          <w:numId w:val="44"/>
        </w:numPr>
        <w:spacing w:line="360" w:lineRule="auto"/>
      </w:pPr>
      <w:r w:rsidRPr="0044551F">
        <w:t>Coordinar las acciones para atender los actos de entrega y recepción de las unidades administrativas de la Secretaría, en el ámbito de su competencia.</w:t>
      </w:r>
    </w:p>
    <w:p w14:paraId="33A2EB10" w14:textId="77777777" w:rsidR="007613C8" w:rsidRPr="0044551F" w:rsidRDefault="007613C8" w:rsidP="00E8313C">
      <w:pPr>
        <w:pStyle w:val="Fundamentos"/>
        <w:numPr>
          <w:ilvl w:val="0"/>
          <w:numId w:val="44"/>
        </w:numPr>
        <w:spacing w:line="360" w:lineRule="auto"/>
      </w:pPr>
      <w:r w:rsidRPr="0044551F">
        <w:t>Supervisar el estado que guardan las obligaciones de transparencia de su competencia.</w:t>
      </w:r>
    </w:p>
    <w:p w14:paraId="5AF49885" w14:textId="0EA8B4E4" w:rsidR="007613C8" w:rsidRPr="0044551F" w:rsidRDefault="007613C8" w:rsidP="00E8313C">
      <w:pPr>
        <w:pStyle w:val="Fundamentos"/>
        <w:numPr>
          <w:ilvl w:val="0"/>
          <w:numId w:val="44"/>
        </w:numPr>
        <w:spacing w:line="360" w:lineRule="auto"/>
      </w:pPr>
      <w:r w:rsidRPr="0044551F">
        <w:t>Cumplir con las funciones que correspondan al puesto, de conformidad con las disposiciones jurídicas aplicables, y realizar aquellas que le encomienden sus superiores jerárquicos.</w:t>
      </w:r>
    </w:p>
    <w:p w14:paraId="3F4DA11D" w14:textId="748C0612" w:rsidR="007613C8" w:rsidRPr="0044551F" w:rsidRDefault="007613C8" w:rsidP="00E8313C">
      <w:pPr>
        <w:pStyle w:val="Fundamentos"/>
        <w:numPr>
          <w:ilvl w:val="0"/>
          <w:numId w:val="44"/>
        </w:numPr>
        <w:spacing w:line="360" w:lineRule="auto"/>
      </w:pPr>
      <w:r w:rsidRPr="0044551F">
        <w:t>Desarrollar las demás funciones inherentes al área de su competencia.</w:t>
      </w:r>
    </w:p>
    <w:p w14:paraId="00AB80CD" w14:textId="77777777" w:rsidR="00FD3E5D" w:rsidRPr="0044551F" w:rsidRDefault="00FD3E5D" w:rsidP="00E8313C"/>
    <w:p w14:paraId="4E78E401" w14:textId="068B5883" w:rsidR="00FD3E5D" w:rsidRPr="0044551F" w:rsidRDefault="7B6D7691" w:rsidP="00E8313C">
      <w:pPr>
        <w:rPr>
          <w:lang w:val="es-ES"/>
        </w:rPr>
      </w:pPr>
      <w:r w:rsidRPr="0044551F">
        <w:rPr>
          <w:lang w:val="es-ES"/>
        </w:rPr>
        <w:t xml:space="preserve">Como se desprende del artículo en cita, la </w:t>
      </w:r>
      <w:r w:rsidR="007613C8" w:rsidRPr="0044551F">
        <w:rPr>
          <w:lang w:val="es-ES"/>
        </w:rPr>
        <w:t>Subdirección de Administración del Capital Humano, así como la Subdirección de Servicios Generales son las unidades administrativas</w:t>
      </w:r>
      <w:r w:rsidRPr="0044551F">
        <w:rPr>
          <w:lang w:val="es-ES"/>
        </w:rPr>
        <w:t xml:space="preserve"> competente</w:t>
      </w:r>
      <w:r w:rsidR="007613C8" w:rsidRPr="0044551F">
        <w:rPr>
          <w:lang w:val="es-ES"/>
        </w:rPr>
        <w:t>s</w:t>
      </w:r>
      <w:r w:rsidRPr="0044551F">
        <w:rPr>
          <w:lang w:val="es-ES"/>
        </w:rPr>
        <w:t xml:space="preserve"> para </w:t>
      </w:r>
      <w:r w:rsidR="00736DA6" w:rsidRPr="0044551F">
        <w:rPr>
          <w:lang w:val="es-ES"/>
        </w:rPr>
        <w:t>solventar los requerimientos planteados por el ahora Recurrente.</w:t>
      </w:r>
    </w:p>
    <w:p w14:paraId="163411B5" w14:textId="77777777" w:rsidR="004F5A58" w:rsidRPr="0044551F" w:rsidRDefault="004F5A58" w:rsidP="00E8313C"/>
    <w:p w14:paraId="5AC4F633" w14:textId="68E23C7C" w:rsidR="00092E51" w:rsidRPr="0044551F" w:rsidRDefault="00092E51" w:rsidP="00E8313C">
      <w:r w:rsidRPr="0044551F">
        <w:t xml:space="preserve">Ahora bien, respecto a los puntos </w:t>
      </w:r>
      <w:r w:rsidRPr="0044551F">
        <w:rPr>
          <w:b/>
        </w:rPr>
        <w:t xml:space="preserve">dos (2) y cinco (5), </w:t>
      </w:r>
      <w:r w:rsidRPr="0044551F">
        <w:t>referentes al directorio y sueldo del personal adscrito a la Secretaría de Movilidad, el Sujeto Obligado adjuntó 2 ligas electrónicas, las cuales remiten al portal IPOMEX del Sujeto Obligado, como se mencionó anteriormente.</w:t>
      </w:r>
    </w:p>
    <w:p w14:paraId="6ABB17B3" w14:textId="77777777" w:rsidR="00092E51" w:rsidRPr="0044551F" w:rsidRDefault="00092E51" w:rsidP="00E8313C"/>
    <w:p w14:paraId="1C8D9C71" w14:textId="4266849E" w:rsidR="00BD3E45" w:rsidRPr="0044551F" w:rsidRDefault="00FD3E5D" w:rsidP="00E8313C">
      <w:pPr>
        <w:rPr>
          <w:rFonts w:eastAsiaTheme="minorHAnsi" w:cstheme="minorBidi"/>
          <w:szCs w:val="24"/>
          <w:lang w:val="es-MX" w:eastAsia="en-US"/>
        </w:rPr>
      </w:pPr>
      <w:r w:rsidRPr="0044551F">
        <w:t xml:space="preserve">En </w:t>
      </w:r>
      <w:r w:rsidR="00092E51" w:rsidRPr="0044551F">
        <w:t>lo que</w:t>
      </w:r>
      <w:r w:rsidRPr="0044551F">
        <w:t xml:space="preserve"> </w:t>
      </w:r>
      <w:r w:rsidR="00736DA6" w:rsidRPr="0044551F">
        <w:t xml:space="preserve">respecto al punto </w:t>
      </w:r>
      <w:r w:rsidR="00092E51" w:rsidRPr="0044551F">
        <w:rPr>
          <w:b/>
        </w:rPr>
        <w:t>seis</w:t>
      </w:r>
      <w:r w:rsidR="00736DA6" w:rsidRPr="0044551F">
        <w:rPr>
          <w:b/>
        </w:rPr>
        <w:t xml:space="preserve"> (</w:t>
      </w:r>
      <w:r w:rsidR="00092E51" w:rsidRPr="0044551F">
        <w:rPr>
          <w:b/>
        </w:rPr>
        <w:t>6</w:t>
      </w:r>
      <w:r w:rsidR="00736DA6" w:rsidRPr="0044551F">
        <w:rPr>
          <w:b/>
        </w:rPr>
        <w:t>)</w:t>
      </w:r>
      <w:r w:rsidR="00736DA6" w:rsidRPr="0044551F">
        <w:t>,</w:t>
      </w:r>
      <w:r w:rsidR="00736DA6" w:rsidRPr="0044551F">
        <w:rPr>
          <w:b/>
        </w:rPr>
        <w:t xml:space="preserve"> </w:t>
      </w:r>
      <w:r w:rsidRPr="0044551F">
        <w:t>la re</w:t>
      </w:r>
      <w:r w:rsidR="00454915" w:rsidRPr="0044551F">
        <w:t>spuesta fue proporcionada por una de las</w:t>
      </w:r>
      <w:r w:rsidRPr="0044551F">
        <w:t xml:space="preserve"> área</w:t>
      </w:r>
      <w:r w:rsidR="00454915" w:rsidRPr="0044551F">
        <w:t>s</w:t>
      </w:r>
      <w:r w:rsidRPr="0044551F">
        <w:t xml:space="preserve"> competente</w:t>
      </w:r>
      <w:r w:rsidR="00454915" w:rsidRPr="0044551F">
        <w:t>s</w:t>
      </w:r>
      <w:r w:rsidRPr="0044551F">
        <w:t xml:space="preserve"> para generar, poseer o administrar </w:t>
      </w:r>
      <w:r w:rsidR="00BD3E45" w:rsidRPr="0044551F">
        <w:t xml:space="preserve">la información solicitada en el ejercicio de sus atribuciones, facultades o competencias. Asimismo, </w:t>
      </w:r>
      <w:r w:rsidR="00BD3E45" w:rsidRPr="0044551F">
        <w:rPr>
          <w:rFonts w:eastAsia="Palatino Linotype" w:cs="Palatino Linotype"/>
          <w:color w:val="000000"/>
          <w:szCs w:val="24"/>
        </w:rPr>
        <w:t xml:space="preserve">conviene señalar que este </w:t>
      </w:r>
      <w:r w:rsidR="00BD3E45" w:rsidRPr="0044551F">
        <w:rPr>
          <w:rFonts w:eastAsiaTheme="minorHAnsi" w:cstheme="minorBidi"/>
          <w:szCs w:val="24"/>
          <w:lang w:val="es-MX"/>
        </w:rPr>
        <w:t>Órgano Garante no está facultado para manifestarse sobre la veracidad de la información proporcionada, ya que no existe precepto legal alguna en la Ley de la Materia que permita, vía recurso de revisión, que se pronuncie al respecto. Por analogía, sirve de apoyo a lo anterior el Criterio 31/10 emitido por el entonces Instituto Federal de Accesos a la Información y Protección de Datos, que a la letra establece lo siguiente:</w:t>
      </w:r>
    </w:p>
    <w:p w14:paraId="7FB74CF3" w14:textId="77777777" w:rsidR="00BD3E45" w:rsidRPr="0044551F" w:rsidRDefault="00BD3E45" w:rsidP="00E8313C">
      <w:pPr>
        <w:rPr>
          <w:rFonts w:eastAsiaTheme="minorHAnsi" w:cstheme="minorBidi"/>
          <w:szCs w:val="24"/>
          <w:lang w:val="es-MX"/>
        </w:rPr>
      </w:pPr>
    </w:p>
    <w:p w14:paraId="3610056E" w14:textId="77777777" w:rsidR="00BD3E45" w:rsidRPr="0044551F" w:rsidRDefault="00BD3E45" w:rsidP="00E8313C">
      <w:pPr>
        <w:ind w:left="567" w:right="567"/>
        <w:rPr>
          <w:rFonts w:eastAsiaTheme="minorHAnsi" w:cstheme="minorBidi"/>
          <w:sz w:val="22"/>
          <w:lang w:val="es-MX" w:eastAsia="en-US"/>
        </w:rPr>
      </w:pPr>
      <w:r w:rsidRPr="0044551F">
        <w:rPr>
          <w:rFonts w:eastAsiaTheme="minorHAnsi" w:cs="Arial"/>
          <w:b/>
          <w:i/>
          <w:sz w:val="22"/>
          <w:lang w:val="es-MX"/>
        </w:rPr>
        <w:t>EL INSTITUTO FEDERAL DE ACCESO A LA INFORMACIÓN Y PROTECCIÓN DE DATOS NO CUENTA CON FACULTADES PARA PRONUNCIARSE RESPECTO DE LA VERACIDAD DE LOS DOCUMENTOS PROPORCIONADOS POR LOS SUJETOS OBLIGADOS.</w:t>
      </w:r>
      <w:r w:rsidRPr="0044551F">
        <w:rPr>
          <w:rFonts w:eastAsiaTheme="minorHAnsi" w:cs="Arial"/>
          <w:i/>
          <w:sz w:val="22"/>
          <w:lang w:val="es-MX"/>
        </w:rPr>
        <w:t xml:space="preserve"> El Instituto Federal de Acceso a la Información y Protección de </w:t>
      </w:r>
      <w:r w:rsidRPr="0044551F">
        <w:rPr>
          <w:rFonts w:eastAsiaTheme="minorHAnsi" w:cs="Arial"/>
          <w:i/>
          <w:sz w:val="22"/>
          <w:lang w:val="es-MX"/>
        </w:rPr>
        <w:lastRenderedPageBreak/>
        <w:t>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Accesos a la Información Pública Gubernamental no se prevé una causal que permita al Instituto Federal de Acceso a la Información y Protección de Datos conocer, vía recurso de revisión, al respecto.</w:t>
      </w:r>
    </w:p>
    <w:p w14:paraId="1AAB8F3B" w14:textId="269B56C4" w:rsidR="00092E51" w:rsidRPr="0044551F" w:rsidRDefault="00092E51" w:rsidP="00E8313C">
      <w:pPr>
        <w:rPr>
          <w:szCs w:val="24"/>
          <w:lang w:val="es-MX"/>
        </w:rPr>
      </w:pPr>
    </w:p>
    <w:p w14:paraId="305C5ED7" w14:textId="47F9ACA8" w:rsidR="00092E51" w:rsidRPr="0044551F" w:rsidRDefault="00092E51" w:rsidP="00E8313C">
      <w:pPr>
        <w:rPr>
          <w:b/>
          <w:szCs w:val="24"/>
          <w:lang w:val="es-MX"/>
        </w:rPr>
      </w:pPr>
      <w:r w:rsidRPr="0044551F">
        <w:rPr>
          <w:szCs w:val="24"/>
          <w:lang w:val="es-MX"/>
        </w:rPr>
        <w:t xml:space="preserve">Derivado de lo anterior, de los motivos de inconformidad se aprecia que el particular se inconforma únicamente por el cobro de la información la cual consta de los puntos </w:t>
      </w:r>
      <w:r w:rsidRPr="0044551F">
        <w:rPr>
          <w:b/>
          <w:szCs w:val="24"/>
          <w:lang w:val="es-MX"/>
        </w:rPr>
        <w:t xml:space="preserve">uno (1), tres (3) </w:t>
      </w:r>
      <w:r w:rsidRPr="0044551F">
        <w:rPr>
          <w:szCs w:val="24"/>
          <w:lang w:val="es-MX"/>
        </w:rPr>
        <w:t xml:space="preserve">y </w:t>
      </w:r>
      <w:r w:rsidRPr="0044551F">
        <w:rPr>
          <w:b/>
          <w:szCs w:val="24"/>
          <w:lang w:val="es-MX"/>
        </w:rPr>
        <w:t xml:space="preserve">cuatro (4), </w:t>
      </w:r>
      <w:r w:rsidRPr="0044551F">
        <w:rPr>
          <w:szCs w:val="24"/>
          <w:lang w:val="es-MX"/>
        </w:rPr>
        <w:t xml:space="preserve">sin que se aprecie inconformidad alguna respecto a la información remitida para los puntos </w:t>
      </w:r>
      <w:r w:rsidRPr="0044551F">
        <w:rPr>
          <w:b/>
          <w:szCs w:val="24"/>
          <w:lang w:val="es-MX"/>
        </w:rPr>
        <w:t xml:space="preserve">dos (2), cinco (5) </w:t>
      </w:r>
      <w:r w:rsidRPr="0044551F">
        <w:rPr>
          <w:szCs w:val="24"/>
          <w:lang w:val="es-MX"/>
        </w:rPr>
        <w:t>y</w:t>
      </w:r>
      <w:r w:rsidRPr="0044551F">
        <w:rPr>
          <w:b/>
          <w:szCs w:val="24"/>
          <w:lang w:val="es-MX"/>
        </w:rPr>
        <w:t xml:space="preserve"> seis (6).</w:t>
      </w:r>
    </w:p>
    <w:p w14:paraId="611200BC" w14:textId="77777777" w:rsidR="00092E51" w:rsidRPr="0044551F" w:rsidRDefault="00092E51" w:rsidP="00E8313C">
      <w:pPr>
        <w:rPr>
          <w:b/>
          <w:szCs w:val="24"/>
          <w:lang w:val="es-MX"/>
        </w:rPr>
      </w:pPr>
    </w:p>
    <w:p w14:paraId="12E50889" w14:textId="77777777" w:rsidR="00092E51" w:rsidRPr="0044551F" w:rsidRDefault="00092E51" w:rsidP="00E8313C">
      <w:pPr>
        <w:tabs>
          <w:tab w:val="left" w:pos="8789"/>
        </w:tabs>
        <w:ind w:right="49"/>
        <w:rPr>
          <w:rFonts w:eastAsia="Palatino Linotype" w:cs="Palatino Linotype"/>
        </w:rPr>
      </w:pPr>
      <w:r w:rsidRPr="0044551F">
        <w:rPr>
          <w:rFonts w:eastAsia="Palatino Linotype" w:cs="Palatino Linotype"/>
        </w:rPr>
        <w:t>Sirve de sustento, la tesis jurisprudencial número VI.3o.C. J/60, publicada en el Semanario Judicial de la Federación y su Gaceta bajo el número de registro 176,608 que a la letra dice:</w:t>
      </w:r>
    </w:p>
    <w:p w14:paraId="77851CE0" w14:textId="77777777" w:rsidR="00092E51" w:rsidRPr="0044551F" w:rsidRDefault="00092E51" w:rsidP="00E8313C">
      <w:pPr>
        <w:tabs>
          <w:tab w:val="left" w:pos="8789"/>
        </w:tabs>
        <w:ind w:right="49"/>
        <w:rPr>
          <w:i/>
        </w:rPr>
      </w:pPr>
    </w:p>
    <w:p w14:paraId="620293B5" w14:textId="68FC63BA" w:rsidR="00092E51" w:rsidRPr="0044551F" w:rsidRDefault="00092E51" w:rsidP="00773E29">
      <w:pPr>
        <w:tabs>
          <w:tab w:val="left" w:pos="851"/>
        </w:tabs>
        <w:ind w:left="567" w:right="567"/>
        <w:rPr>
          <w:rFonts w:eastAsia="Palatino Linotype" w:cs="Palatino Linotype"/>
          <w:i/>
        </w:rPr>
      </w:pPr>
      <w:r w:rsidRPr="0044551F">
        <w:rPr>
          <w:rFonts w:eastAsia="Palatino Linotype" w:cs="Palatino Linotype"/>
          <w:b/>
          <w:i/>
        </w:rPr>
        <w:t xml:space="preserve">“ACTOS CONSENTIDOS. SON LOS QUE NO SE IMPUGNAN MEDIANTE EL RECURSO IDÓNEO. </w:t>
      </w:r>
      <w:r w:rsidRPr="0044551F">
        <w:rPr>
          <w:rFonts w:eastAsia="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0EEB3CA" w14:textId="7906EF85" w:rsidR="00092E51" w:rsidRPr="0044551F" w:rsidRDefault="00092E51" w:rsidP="00E8313C">
      <w:pPr>
        <w:rPr>
          <w:rFonts w:eastAsia="Palatino Linotype" w:cs="Palatino Linotype"/>
        </w:rPr>
      </w:pPr>
      <w:r w:rsidRPr="0044551F">
        <w:rPr>
          <w:rFonts w:eastAsia="Palatino Linotype" w:cs="Palatino Linotype"/>
        </w:rPr>
        <w:lastRenderedPageBreak/>
        <w:t xml:space="preserve">De la interpretación del criterio antes citado, se advierte que cuando el particular impugnó la respuesta del </w:t>
      </w:r>
      <w:r w:rsidRPr="0044551F">
        <w:rPr>
          <w:rFonts w:eastAsia="Palatino Linotype" w:cs="Palatino Linotype"/>
          <w:b/>
        </w:rPr>
        <w:t>Sujeto Obligado</w:t>
      </w:r>
      <w:r w:rsidRPr="0044551F">
        <w:rPr>
          <w:rFonts w:eastAsia="Palatino Linotype" w:cs="Palatino Linotype"/>
        </w:rPr>
        <w:t>, no expresó razón o motivo de inconformidad en contra de todos los rubros solicitados, por tanto, estos deben declararse atendidos.</w:t>
      </w:r>
    </w:p>
    <w:p w14:paraId="50741AC2" w14:textId="77777777" w:rsidR="00092E51" w:rsidRPr="0044551F" w:rsidRDefault="00092E51" w:rsidP="00E8313C">
      <w:pPr>
        <w:rPr>
          <w:rFonts w:eastAsia="Palatino Linotype" w:cs="Palatino Linotype"/>
        </w:rPr>
      </w:pPr>
    </w:p>
    <w:p w14:paraId="11335E2B" w14:textId="77777777" w:rsidR="00092E51" w:rsidRPr="0044551F" w:rsidRDefault="00092E51" w:rsidP="00E8313C">
      <w:pPr>
        <w:rPr>
          <w:rFonts w:eastAsia="Palatino Linotype" w:cs="Palatino Linotype"/>
        </w:rPr>
      </w:pPr>
      <w:r w:rsidRPr="0044551F">
        <w:rPr>
          <w:rFonts w:eastAsia="Palatino Linotype" w:cs="Palatino Linotype"/>
        </w:rPr>
        <w:t>Atento a ello, es importante traer a contexto la Tesis Jurisprudencial Número 3ª./J.7/91, Publicada en el Semanario Judicial de la Federación y su Gaceta bajo el número de registro 174,177, que establece lo siguiente:</w:t>
      </w:r>
    </w:p>
    <w:p w14:paraId="7AB05B5A" w14:textId="77777777" w:rsidR="00092E51" w:rsidRPr="0044551F" w:rsidRDefault="00092E51" w:rsidP="00E8313C">
      <w:pPr>
        <w:ind w:left="567" w:right="567"/>
        <w:rPr>
          <w:rFonts w:eastAsia="Palatino Linotype" w:cs="Palatino Linotype"/>
        </w:rPr>
      </w:pPr>
    </w:p>
    <w:p w14:paraId="5AAD93B0" w14:textId="77777777" w:rsidR="00092E51" w:rsidRPr="0044551F" w:rsidRDefault="00092E51" w:rsidP="00E8313C">
      <w:pPr>
        <w:tabs>
          <w:tab w:val="left" w:pos="7937"/>
          <w:tab w:val="left" w:pos="8222"/>
        </w:tabs>
        <w:ind w:left="567" w:right="567"/>
        <w:rPr>
          <w:rFonts w:eastAsia="Palatino Linotype" w:cs="Palatino Linotype"/>
          <w:i/>
        </w:rPr>
      </w:pPr>
      <w:r w:rsidRPr="0044551F">
        <w:rPr>
          <w:rFonts w:eastAsia="Palatino Linotype" w:cs="Palatino Linotype"/>
          <w:b/>
          <w:i/>
        </w:rPr>
        <w:t xml:space="preserve">“REVISIÓN EN AMPARO. LOS RESOLUTIVOS NO COMBATIDOS DEBEN DECLARARSE FIRMES. </w:t>
      </w:r>
      <w:r w:rsidRPr="0044551F">
        <w:rPr>
          <w:rFonts w:eastAsia="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007BADA" w14:textId="77777777" w:rsidR="00092E51" w:rsidRPr="0044551F" w:rsidRDefault="00092E51" w:rsidP="00E8313C">
      <w:pPr>
        <w:tabs>
          <w:tab w:val="left" w:pos="7937"/>
          <w:tab w:val="left" w:pos="8222"/>
        </w:tabs>
        <w:ind w:left="851" w:right="901"/>
        <w:rPr>
          <w:rFonts w:eastAsia="Palatino Linotype" w:cs="Palatino Linotype"/>
          <w:i/>
        </w:rPr>
      </w:pPr>
    </w:p>
    <w:p w14:paraId="539816F5" w14:textId="77777777" w:rsidR="00092E51" w:rsidRPr="0044551F" w:rsidRDefault="00092E51" w:rsidP="00E8313C">
      <w:pPr>
        <w:widowControl w:val="0"/>
        <w:tabs>
          <w:tab w:val="left" w:pos="1701"/>
          <w:tab w:val="left" w:pos="1843"/>
        </w:tabs>
        <w:rPr>
          <w:rFonts w:eastAsia="Palatino Linotype" w:cs="Palatino Linotype"/>
        </w:rPr>
      </w:pPr>
      <w:r w:rsidRPr="0044551F">
        <w:rPr>
          <w:rFonts w:eastAsia="Palatino Linotype" w:cs="Palatino Linotype"/>
        </w:rPr>
        <w:t xml:space="preserve">Para mayor abundamiento, también resulta aplicable el criterio 01/20 emitido por el Instituto Nacional de Transparencia, Acceso a la Información Pública y Protección de Datos Personales, que a la letra estipula lo siguiente: </w:t>
      </w:r>
    </w:p>
    <w:p w14:paraId="0CB5A613" w14:textId="77777777" w:rsidR="00092E51" w:rsidRPr="0044551F" w:rsidRDefault="00092E51" w:rsidP="00E8313C">
      <w:pPr>
        <w:widowControl w:val="0"/>
        <w:tabs>
          <w:tab w:val="left" w:pos="1701"/>
          <w:tab w:val="left" w:pos="1843"/>
        </w:tabs>
        <w:rPr>
          <w:rFonts w:eastAsia="Palatino Linotype" w:cs="Palatino Linotype"/>
        </w:rPr>
      </w:pPr>
    </w:p>
    <w:p w14:paraId="2FB0DE0D" w14:textId="77777777" w:rsidR="00092E51" w:rsidRPr="0044551F" w:rsidRDefault="00092E51" w:rsidP="00E8313C">
      <w:pPr>
        <w:pStyle w:val="INFOEM"/>
        <w:spacing w:before="0" w:after="0"/>
      </w:pPr>
      <w:r w:rsidRPr="0044551F">
        <w:rPr>
          <w:b/>
        </w:rPr>
        <w:t>Actos consentidos tácitamente. Improcedencia de su análisis</w:t>
      </w:r>
      <w:r w:rsidRPr="0044551F">
        <w:t xml:space="preserve">. Si en su recurso de revisión, la persona recurrente no expresó inconformidad alguna con ciertas partes de </w:t>
      </w:r>
      <w:r w:rsidRPr="0044551F">
        <w:lastRenderedPageBreak/>
        <w:t>la respuesta otorgada, se entienden tácitamente consentidas, por ende, no deben formar parte del estudio de fondo de la resolución que emite el Instituto.</w:t>
      </w:r>
    </w:p>
    <w:p w14:paraId="2F436693" w14:textId="77777777" w:rsidR="00092E51" w:rsidRPr="0044551F" w:rsidRDefault="00092E51" w:rsidP="00E8313C">
      <w:pPr>
        <w:pStyle w:val="INFOEM"/>
        <w:spacing w:before="0" w:after="0"/>
        <w:rPr>
          <w:sz w:val="24"/>
        </w:rPr>
      </w:pPr>
    </w:p>
    <w:p w14:paraId="0AB312CD" w14:textId="47C2E4AD" w:rsidR="00092E51" w:rsidRPr="0044551F" w:rsidRDefault="00092E51" w:rsidP="00E8313C">
      <w:pPr>
        <w:rPr>
          <w:b/>
          <w:szCs w:val="24"/>
          <w:lang w:val="es-MX"/>
        </w:rPr>
      </w:pPr>
      <w:r w:rsidRPr="0044551F">
        <w:rPr>
          <w:rFonts w:eastAsia="Palatino Linotype" w:cs="Palatino Linotype"/>
        </w:rPr>
        <w:t>Por lo que, al no haberse inconformado sobre todos los rubros solicitados, se consideran actos consentidos y, por tanto, se tienen por colmados dichos rubros de la solicitud.</w:t>
      </w:r>
    </w:p>
    <w:p w14:paraId="42A281BB" w14:textId="77777777" w:rsidR="00092E51" w:rsidRPr="0044551F" w:rsidRDefault="00092E51" w:rsidP="00E8313C">
      <w:pPr>
        <w:rPr>
          <w:szCs w:val="24"/>
          <w:lang w:val="es-MX"/>
        </w:rPr>
      </w:pPr>
    </w:p>
    <w:p w14:paraId="02A300D1" w14:textId="418D03E7" w:rsidR="0037388D" w:rsidRPr="0044551F" w:rsidRDefault="0037388D" w:rsidP="00E8313C">
      <w:pPr>
        <w:rPr>
          <w:szCs w:val="24"/>
          <w:lang w:val="es-MX"/>
        </w:rPr>
      </w:pPr>
      <w:r w:rsidRPr="0044551F">
        <w:rPr>
          <w:szCs w:val="24"/>
          <w:lang w:val="es-MX"/>
        </w:rPr>
        <w:t xml:space="preserve">Es así que respecto a la información solicitada en los puntos </w:t>
      </w:r>
      <w:r w:rsidRPr="0044551F">
        <w:rPr>
          <w:b/>
          <w:szCs w:val="24"/>
          <w:lang w:val="es-MX"/>
        </w:rPr>
        <w:t>uno (1)</w:t>
      </w:r>
      <w:r w:rsidR="00092E51" w:rsidRPr="0044551F">
        <w:rPr>
          <w:b/>
          <w:szCs w:val="24"/>
          <w:lang w:val="es-MX"/>
        </w:rPr>
        <w:t>,</w:t>
      </w:r>
      <w:r w:rsidRPr="0044551F">
        <w:rPr>
          <w:szCs w:val="24"/>
          <w:lang w:val="es-MX"/>
        </w:rPr>
        <w:t xml:space="preserve"> </w:t>
      </w:r>
      <w:r w:rsidRPr="0044551F">
        <w:rPr>
          <w:b/>
          <w:szCs w:val="24"/>
          <w:lang w:val="es-MX"/>
        </w:rPr>
        <w:t>tres (3)</w:t>
      </w:r>
      <w:r w:rsidR="00092E51" w:rsidRPr="0044551F">
        <w:rPr>
          <w:b/>
          <w:szCs w:val="24"/>
          <w:lang w:val="es-MX"/>
        </w:rPr>
        <w:t xml:space="preserve"> </w:t>
      </w:r>
      <w:r w:rsidR="00092E51" w:rsidRPr="0044551F">
        <w:rPr>
          <w:szCs w:val="24"/>
          <w:lang w:val="es-MX"/>
        </w:rPr>
        <w:t xml:space="preserve">y </w:t>
      </w:r>
      <w:r w:rsidR="00092E51" w:rsidRPr="0044551F">
        <w:rPr>
          <w:b/>
          <w:szCs w:val="24"/>
          <w:lang w:val="es-MX"/>
        </w:rPr>
        <w:t>cuatro (4),</w:t>
      </w:r>
      <w:r w:rsidRPr="0044551F">
        <w:rPr>
          <w:b/>
          <w:szCs w:val="24"/>
          <w:lang w:val="es-MX"/>
        </w:rPr>
        <w:t xml:space="preserve"> </w:t>
      </w:r>
      <w:r w:rsidRPr="0044551F">
        <w:rPr>
          <w:szCs w:val="24"/>
          <w:lang w:val="es-MX"/>
        </w:rPr>
        <w:t>el Sujeto Obligado acepta contar con la información solicitada, toda vez que refiere que previa acreditación del pago se le hará entrega de la información, pues refiere que consta de 1466 fojas, las cuales se entregarán en versión pública, pues contiene datos de los servidores públicos que son susceptibles de ser censurados.</w:t>
      </w:r>
    </w:p>
    <w:p w14:paraId="39702D83" w14:textId="77777777" w:rsidR="0037388D" w:rsidRPr="0044551F" w:rsidRDefault="0037388D" w:rsidP="00E8313C">
      <w:pPr>
        <w:rPr>
          <w:szCs w:val="24"/>
          <w:lang w:val="es-MX"/>
        </w:rPr>
      </w:pPr>
    </w:p>
    <w:p w14:paraId="2566BF34" w14:textId="7961CFA3" w:rsidR="0037388D" w:rsidRPr="0044551F" w:rsidRDefault="0037388D" w:rsidP="00E8313C">
      <w:pPr>
        <w:contextualSpacing/>
        <w:rPr>
          <w:rFonts w:cs="Arial"/>
          <w:color w:val="222222"/>
        </w:rPr>
      </w:pPr>
      <w:r w:rsidRPr="0044551F">
        <w:rPr>
          <w:szCs w:val="24"/>
        </w:rPr>
        <w:t xml:space="preserve">Ahora bien, de las constancias que obran en el presente recurso de revisión, se advierte que la particular al momento de formular su solicitud de información, en el formato previamente establecido para tal efecto, señaló como modalidad de entrega, a través del </w:t>
      </w:r>
      <w:r w:rsidRPr="0044551F">
        <w:rPr>
          <w:b/>
          <w:szCs w:val="24"/>
        </w:rPr>
        <w:t>Sistema de Acceso a la Información Mexiquense (SAIMEX)</w:t>
      </w:r>
      <w:r w:rsidRPr="0044551F">
        <w:rPr>
          <w:szCs w:val="24"/>
        </w:rPr>
        <w:t>, tal como se advierte en la siguiente imagen:</w:t>
      </w:r>
    </w:p>
    <w:p w14:paraId="71C1FA17" w14:textId="77777777" w:rsidR="0037388D" w:rsidRPr="0044551F" w:rsidRDefault="0037388D" w:rsidP="00E8313C">
      <w:pPr>
        <w:rPr>
          <w:szCs w:val="24"/>
        </w:rPr>
      </w:pPr>
    </w:p>
    <w:p w14:paraId="39A43A25" w14:textId="0B92036B" w:rsidR="0037388D" w:rsidRPr="0044551F" w:rsidRDefault="0037388D" w:rsidP="00E8313C">
      <w:pPr>
        <w:jc w:val="center"/>
        <w:rPr>
          <w:rFonts w:cs="Arial"/>
        </w:rPr>
      </w:pPr>
      <w:r w:rsidRPr="0044551F">
        <w:rPr>
          <w:rFonts w:cs="Arial"/>
          <w:noProof/>
          <w:lang w:val="es-MX"/>
        </w:rPr>
        <w:lastRenderedPageBreak/>
        <w:drawing>
          <wp:inline distT="0" distB="0" distL="0" distR="0" wp14:anchorId="228F9930" wp14:editId="7EEF97C5">
            <wp:extent cx="5657338" cy="2047875"/>
            <wp:effectExtent l="190500" t="190500" r="191135" b="1809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2085" cy="2056833"/>
                    </a:xfrm>
                    <a:prstGeom prst="rect">
                      <a:avLst/>
                    </a:prstGeom>
                    <a:ln>
                      <a:noFill/>
                    </a:ln>
                    <a:effectLst>
                      <a:outerShdw blurRad="190500" algn="tl" rotWithShape="0">
                        <a:srgbClr val="000000">
                          <a:alpha val="70000"/>
                        </a:srgbClr>
                      </a:outerShdw>
                    </a:effectLst>
                  </pic:spPr>
                </pic:pic>
              </a:graphicData>
            </a:graphic>
          </wp:inline>
        </w:drawing>
      </w:r>
    </w:p>
    <w:p w14:paraId="6C576598" w14:textId="77777777" w:rsidR="0037388D" w:rsidRPr="0044551F" w:rsidRDefault="0037388D" w:rsidP="00E8313C">
      <w:pPr>
        <w:tabs>
          <w:tab w:val="left" w:pos="709"/>
        </w:tabs>
        <w:rPr>
          <w:rFonts w:cs="Arial"/>
          <w:szCs w:val="24"/>
        </w:rPr>
      </w:pPr>
    </w:p>
    <w:p w14:paraId="6FE17559" w14:textId="77777777" w:rsidR="0037388D" w:rsidRPr="0044551F" w:rsidRDefault="0037388D" w:rsidP="00E8313C">
      <w:pPr>
        <w:tabs>
          <w:tab w:val="left" w:pos="709"/>
        </w:tabs>
        <w:rPr>
          <w:rFonts w:cs="Arial"/>
          <w:szCs w:val="24"/>
        </w:rPr>
      </w:pPr>
      <w:r w:rsidRPr="0044551F">
        <w:rPr>
          <w:rFonts w:cs="Arial"/>
          <w:szCs w:val="24"/>
        </w:rPr>
        <w:t xml:space="preserve">Es por tal virtud que si la hoy </w:t>
      </w:r>
      <w:r w:rsidRPr="0044551F">
        <w:rPr>
          <w:rFonts w:cs="Arial"/>
          <w:bCs/>
          <w:szCs w:val="24"/>
        </w:rPr>
        <w:t>Recurrente</w:t>
      </w:r>
      <w:r w:rsidRPr="0044551F">
        <w:rPr>
          <w:rFonts w:cs="Arial"/>
          <w:szCs w:val="24"/>
        </w:rPr>
        <w:t xml:space="preserve"> solicitó la información vía Sistema de Acceso a la Información Mexiquense (</w:t>
      </w:r>
      <w:r w:rsidRPr="0044551F">
        <w:rPr>
          <w:rFonts w:cs="Arial"/>
          <w:b/>
          <w:szCs w:val="24"/>
        </w:rPr>
        <w:t>SAIMEX)</w:t>
      </w:r>
      <w:r w:rsidRPr="0044551F">
        <w:rPr>
          <w:rFonts w:cs="Arial"/>
          <w:szCs w:val="24"/>
        </w:rPr>
        <w:t xml:space="preserve">, </w:t>
      </w:r>
      <w:r w:rsidRPr="0044551F">
        <w:rPr>
          <w:rFonts w:cs="Arial"/>
          <w:bCs/>
          <w:szCs w:val="24"/>
        </w:rPr>
        <w:t>el Sujeto Obligado</w:t>
      </w:r>
      <w:r w:rsidRPr="0044551F">
        <w:rPr>
          <w:rFonts w:cs="Arial"/>
          <w:szCs w:val="24"/>
        </w:rPr>
        <w:t xml:space="preserve"> puede contar entre sus archivos con el o los documentos a través de los cuales puede colmarse el derecho de acceso a la información del solicitante.</w:t>
      </w:r>
    </w:p>
    <w:p w14:paraId="68A67E97" w14:textId="77777777" w:rsidR="00B273BD" w:rsidRPr="0044551F" w:rsidRDefault="00B273BD" w:rsidP="00E8313C">
      <w:pPr>
        <w:tabs>
          <w:tab w:val="left" w:pos="709"/>
        </w:tabs>
        <w:rPr>
          <w:rFonts w:cs="Arial"/>
          <w:szCs w:val="24"/>
        </w:rPr>
      </w:pPr>
    </w:p>
    <w:p w14:paraId="77DF98B3" w14:textId="0C8F3F51" w:rsidR="00B273BD" w:rsidRPr="0044551F" w:rsidRDefault="00B273BD" w:rsidP="00B273BD">
      <w:pPr>
        <w:pStyle w:val="Prrafodelista"/>
        <w:tabs>
          <w:tab w:val="left" w:pos="851"/>
        </w:tabs>
        <w:spacing w:before="240" w:after="240"/>
        <w:ind w:left="0" w:right="49"/>
        <w:rPr>
          <w:rFonts w:cs="Arial"/>
        </w:rPr>
      </w:pPr>
      <w:r w:rsidRPr="0044551F">
        <w:t xml:space="preserve">De lo anterior es imprescindible traer a colación </w:t>
      </w:r>
      <w:r w:rsidRPr="0044551F">
        <w:rPr>
          <w:rFonts w:cs="Arial"/>
        </w:rPr>
        <w:t xml:space="preserve">la fracción II del artículo 2 de la Ley de Transparencia y Acceso a la Información Pública del Estado de México y Municipios, menciona que son objetivos de la misma, proveer lo necesario para garantizar a toda persona el derecho de acceso a la información pública, a través de procedimientos sencillos, expeditos, oportunos y </w:t>
      </w:r>
      <w:r w:rsidRPr="0044551F">
        <w:rPr>
          <w:rFonts w:cs="Arial"/>
          <w:b/>
        </w:rPr>
        <w:t xml:space="preserve">gratuitos; </w:t>
      </w:r>
      <w:r w:rsidRPr="0044551F">
        <w:rPr>
          <w:rFonts w:cs="Arial"/>
        </w:rPr>
        <w:t xml:space="preserve">mientras que los diversos 17 y 150, hacen referencia a que la búsqueda y acceso a la información es gratuita y sólo se cubrirá en su caso, los gastos de reproducción, por la modalidad de entrega solicitada, o por el envió de conformidad con los derechos, productos y aprovechamientos establecidos en la legislación aplicable, toda vez que </w:t>
      </w:r>
      <w:r w:rsidRPr="0044551F">
        <w:rPr>
          <w:rFonts w:cs="Arial"/>
          <w:u w:val="single"/>
        </w:rPr>
        <w:t xml:space="preserve">el procedimiento de acceso a la información es la </w:t>
      </w:r>
      <w:r w:rsidRPr="0044551F">
        <w:rPr>
          <w:rFonts w:cs="Arial"/>
          <w:u w:val="single"/>
        </w:rPr>
        <w:lastRenderedPageBreak/>
        <w:t>garantía primaria del derecho en cuestión y se rige por los principios de simplicidad, rapidez</w:t>
      </w:r>
      <w:r w:rsidRPr="0044551F">
        <w:rPr>
          <w:rFonts w:cs="Arial"/>
          <w:b/>
          <w:u w:val="single"/>
        </w:rPr>
        <w:t>, gratuidad</w:t>
      </w:r>
      <w:r w:rsidRPr="0044551F">
        <w:rPr>
          <w:rFonts w:cs="Arial"/>
          <w:u w:val="single"/>
        </w:rPr>
        <w:t>, auxilio y orientación a los particulares</w:t>
      </w:r>
      <w:r w:rsidRPr="0044551F">
        <w:rPr>
          <w:rFonts w:cs="Arial"/>
        </w:rPr>
        <w:t>, en virtud de que constituye el primer paso para integrar activamente a la ciudadanía en la acción gubernamental, toda vez que con la información proporcionada por medio de las políticas de transparencia, los ciudadanos son participes de las acciones de gobierno, lo que favorece la rendición de cuentas.</w:t>
      </w:r>
    </w:p>
    <w:p w14:paraId="779DB688" w14:textId="6E7CC510" w:rsidR="00B273BD" w:rsidRPr="0044551F" w:rsidRDefault="00B273BD" w:rsidP="00B273BD">
      <w:pPr>
        <w:pStyle w:val="Prrafodelista"/>
        <w:tabs>
          <w:tab w:val="left" w:pos="851"/>
        </w:tabs>
        <w:spacing w:before="240" w:after="240"/>
        <w:ind w:left="0" w:right="49"/>
        <w:rPr>
          <w:rFonts w:cs="Arial"/>
        </w:rPr>
      </w:pPr>
      <w:r w:rsidRPr="0044551F">
        <w:rPr>
          <w:rFonts w:cs="Arial"/>
        </w:rPr>
        <w:t xml:space="preserve">De tal manera que por regla general, la entrega de la información que se solicite en ejercicio del derecho de acceso a la información pública, </w:t>
      </w:r>
      <w:r w:rsidRPr="0044551F">
        <w:rPr>
          <w:rFonts w:cs="Arial"/>
          <w:b/>
        </w:rPr>
        <w:t>deberá ser en completa congruencia con el principio de gratuidad</w:t>
      </w:r>
      <w:r w:rsidRPr="0044551F">
        <w:rPr>
          <w:rFonts w:cs="Arial"/>
        </w:rPr>
        <w:t xml:space="preserve"> y solamente en casos excepcionales procederá al cobro para la entrega de la información, situación que ocurrirá en caso de que se tenga que generar un gasto por la reproducción, por la modalidad de entrega solicitada, o por el envió, mismo que se relaciona con lo establecido en el artículo 174 de la Ley de la Materia.</w:t>
      </w:r>
    </w:p>
    <w:p w14:paraId="0C4A131D" w14:textId="43A0F152" w:rsidR="00B273BD" w:rsidRPr="0044551F" w:rsidRDefault="00B273BD" w:rsidP="00B273BD">
      <w:pPr>
        <w:pStyle w:val="Prrafodelista"/>
        <w:tabs>
          <w:tab w:val="left" w:pos="851"/>
        </w:tabs>
        <w:spacing w:before="240" w:after="240"/>
        <w:ind w:left="0" w:right="49"/>
      </w:pPr>
      <w:r w:rsidRPr="0044551F">
        <w:t xml:space="preserve">Ley de la Materia estableció el cobró de derechos para la entrega de la información con el objeto de que se cubran los costos de los materiales utilizados en la reproducción de la información, el costo por el envió de la misma o el pago por la certificación; sin embargo en el caso particular que se comenta no se estima que se actualice ninguno de esos supuestos y </w:t>
      </w:r>
      <w:r w:rsidRPr="0044551F">
        <w:rPr>
          <w:b/>
        </w:rPr>
        <w:t>no debe perderse de vista que la parte solicitante requirió la información, a través del SAIMEX, haciendo hincapié que el SAIMEX es una herramienta que permita que la información remitida por dicha vía pueda ser descargada en cualquier ordenamiento tecnológico y si los particulares lo desean sea impresa y así obtener la calidad de copias simples,</w:t>
      </w:r>
      <w:r w:rsidRPr="0044551F">
        <w:t xml:space="preserve"> por lo que ello únicamente implica la digitalización o escaneo </w:t>
      </w:r>
      <w:r w:rsidRPr="0044551F">
        <w:lastRenderedPageBreak/>
        <w:t>de la información a entregar, lo cual no conlleva la utilización de materiales que generen un costo para el Sujeto Obligado.</w:t>
      </w:r>
    </w:p>
    <w:p w14:paraId="56534CFB" w14:textId="10CBF137" w:rsidR="00B273BD" w:rsidRPr="0044551F" w:rsidRDefault="00B273BD" w:rsidP="00B273BD">
      <w:pPr>
        <w:tabs>
          <w:tab w:val="left" w:pos="709"/>
        </w:tabs>
        <w:rPr>
          <w:rFonts w:cs="Arial"/>
          <w:szCs w:val="24"/>
        </w:rPr>
      </w:pPr>
      <w:r w:rsidRPr="0044551F">
        <w:t xml:space="preserve">Aunado a lo anterior, </w:t>
      </w:r>
      <w:r w:rsidRPr="0044551F">
        <w:rPr>
          <w:rFonts w:cs="Arial"/>
        </w:rPr>
        <w:t xml:space="preserve">la exposición de motivos de la Ley de Transparencia y Acceso a la Información Pública del Estado de México y Municipios, señala que se adoptara una ruta regida por el principio de progresividad en la materia, que implique que haya una plena interconectividad entre las plataformas estatales existentes, las cuales deberán acoplarse a la plataforma nacional, lo que implica, en un primer momento utilizar la información digitalizada por la propia función del gobierno y en datos abiertos, a su vez en el artículo </w:t>
      </w:r>
      <w:r w:rsidRPr="0044551F">
        <w:rPr>
          <w:rFonts w:cs="Arial"/>
          <w:b/>
          <w:bCs/>
        </w:rPr>
        <w:t>24 fracción XXIII dispone como obligación de los entes públicos, la de procurar la digitalización de toda la información pública en su poder</w:t>
      </w:r>
      <w:r w:rsidRPr="0044551F">
        <w:rPr>
          <w:rFonts w:cs="Arial"/>
        </w:rPr>
        <w:t xml:space="preserve">, mientras que diverso 175 prevé que la información que deban publicar los sujetos obligados en términos de la Ley o deba ser generada de manera electrónica, según lo dispongan las disposiciones legales o administrativas </w:t>
      </w:r>
      <w:r w:rsidRPr="0044551F">
        <w:rPr>
          <w:rFonts w:cs="Arial"/>
          <w:b/>
        </w:rPr>
        <w:t>no podrán tener ningún costo, incluyendo aquella que se hubiera digitalizado previamente por cualquier motivo, y aún menos en aquellos casos en que la modalidad de entrega sea por medio de la plataforma o vía electrónica.</w:t>
      </w:r>
    </w:p>
    <w:p w14:paraId="360D532E" w14:textId="77777777" w:rsidR="00773E29" w:rsidRPr="0044551F" w:rsidRDefault="00773E29" w:rsidP="00E8313C">
      <w:pPr>
        <w:tabs>
          <w:tab w:val="left" w:pos="709"/>
        </w:tabs>
        <w:rPr>
          <w:rFonts w:cs="Arial"/>
          <w:szCs w:val="24"/>
        </w:rPr>
      </w:pPr>
    </w:p>
    <w:p w14:paraId="353E8F5F" w14:textId="27A7C363" w:rsidR="00CE713E" w:rsidRPr="0044551F" w:rsidRDefault="00773E29" w:rsidP="00E8313C">
      <w:pPr>
        <w:rPr>
          <w:i/>
        </w:rPr>
      </w:pPr>
      <w:r w:rsidRPr="0044551F">
        <w:rPr>
          <w:rFonts w:cs="Arial"/>
        </w:rPr>
        <w:t xml:space="preserve">Por tal razón, este Órgano Garante en uso de las facultades que la propia legislación le otorga deberá ordenar la entrega de la información solicitada en la </w:t>
      </w:r>
      <w:r w:rsidRPr="0044551F">
        <w:rPr>
          <w:rFonts w:cs="Arial"/>
          <w:b/>
        </w:rPr>
        <w:t>modalidad requerida</w:t>
      </w:r>
      <w:r w:rsidRPr="0044551F">
        <w:rPr>
          <w:rFonts w:cs="Arial"/>
        </w:rPr>
        <w:t xml:space="preserve">, dada la aceptación del </w:t>
      </w:r>
      <w:r w:rsidRPr="0044551F">
        <w:rPr>
          <w:rFonts w:cs="Arial"/>
          <w:bCs/>
        </w:rPr>
        <w:t>Sujeto Obligado</w:t>
      </w:r>
      <w:r w:rsidRPr="0044551F">
        <w:rPr>
          <w:rFonts w:cs="Arial"/>
        </w:rPr>
        <w:t xml:space="preserve"> de generar, poseer o administrarla, es decir, de tener conocimiento de lo requerido.</w:t>
      </w:r>
    </w:p>
    <w:p w14:paraId="69FF847B" w14:textId="77777777" w:rsidR="00773E29" w:rsidRPr="0044551F" w:rsidRDefault="00773E29" w:rsidP="00E8313C">
      <w:pPr>
        <w:rPr>
          <w:i/>
        </w:rPr>
      </w:pPr>
    </w:p>
    <w:p w14:paraId="30032FB8" w14:textId="77777777" w:rsidR="00CE713E" w:rsidRPr="0044551F" w:rsidRDefault="00CE713E" w:rsidP="00CE713E">
      <w:pPr>
        <w:rPr>
          <w:rFonts w:eastAsia="MS Mincho" w:cs="Arial"/>
        </w:rPr>
      </w:pPr>
      <w:r w:rsidRPr="0044551F">
        <w:rPr>
          <w:rFonts w:cs="Arial"/>
        </w:rPr>
        <w:lastRenderedPageBreak/>
        <w:t xml:space="preserve">Ahora bien, conforme a lo requerido por el particular </w:t>
      </w:r>
      <w:r w:rsidRPr="0044551F">
        <w:rPr>
          <w:rFonts w:cs="Arial"/>
          <w:i/>
        </w:rPr>
        <w:t>(Curriculum Vitae)</w:t>
      </w:r>
      <w:r w:rsidRPr="0044551F">
        <w:rPr>
          <w:rFonts w:cs="Arial"/>
        </w:rPr>
        <w:t xml:space="preserve">, es indispensable determinar lo que se concibe como currículum vitae, del cual únicamente la Real Academia de la Lengua Española lo define de la siguiente manera: </w:t>
      </w:r>
    </w:p>
    <w:p w14:paraId="054A63F7" w14:textId="77777777" w:rsidR="00CE713E" w:rsidRPr="0044551F" w:rsidRDefault="00CE713E" w:rsidP="00CE713E">
      <w:pPr>
        <w:pStyle w:val="Sinespaciado"/>
        <w:rPr>
          <w:rFonts w:eastAsia="MS Mincho"/>
        </w:rPr>
      </w:pPr>
    </w:p>
    <w:p w14:paraId="11E99E1A" w14:textId="77777777" w:rsidR="00CE713E" w:rsidRPr="0044551F" w:rsidRDefault="00CE713E" w:rsidP="00CE713E">
      <w:pPr>
        <w:tabs>
          <w:tab w:val="left" w:pos="426"/>
        </w:tabs>
        <w:spacing w:line="276" w:lineRule="auto"/>
        <w:ind w:left="567" w:right="616"/>
        <w:rPr>
          <w:rFonts w:eastAsia="MS Mincho" w:cs="Arial"/>
        </w:rPr>
      </w:pPr>
      <w:r w:rsidRPr="0044551F">
        <w:rPr>
          <w:rFonts w:cs="Arial"/>
          <w:bCs/>
          <w:sz w:val="22"/>
        </w:rPr>
        <w:t>“</w:t>
      </w:r>
      <w:r w:rsidRPr="0044551F">
        <w:rPr>
          <w:rFonts w:cs="Arial"/>
          <w:b/>
          <w:bCs/>
          <w:i/>
          <w:sz w:val="22"/>
        </w:rPr>
        <w:t>Currículum Vítae</w:t>
      </w:r>
      <w:r w:rsidRPr="0044551F">
        <w:rPr>
          <w:rFonts w:cs="Arial"/>
          <w:i/>
          <w:sz w:val="22"/>
        </w:rPr>
        <w:t>. </w:t>
      </w:r>
      <w:bookmarkStart w:id="0" w:name="1"/>
      <w:r w:rsidRPr="0044551F">
        <w:rPr>
          <w:rFonts w:cs="Arial"/>
          <w:b/>
          <w:bCs/>
          <w:i/>
          <w:sz w:val="22"/>
        </w:rPr>
        <w:t>1.</w:t>
      </w:r>
      <w:bookmarkEnd w:id="0"/>
      <w:r w:rsidRPr="0044551F">
        <w:rPr>
          <w:rFonts w:cs="Arial"/>
          <w:i/>
          <w:sz w:val="22"/>
        </w:rPr>
        <w:t> Loc. lat. que significa literalmente ‘carrera de la vida’. Se usa como locución nominal masculina para designar la relación de los datos personales, formación académica, actividad laboral y méritos de una persona.</w:t>
      </w:r>
      <w:r w:rsidRPr="0044551F">
        <w:rPr>
          <w:rFonts w:cs="Arial"/>
          <w:sz w:val="22"/>
        </w:rPr>
        <w:t>”</w:t>
      </w:r>
    </w:p>
    <w:p w14:paraId="4A62F4BB" w14:textId="77777777" w:rsidR="00CE713E" w:rsidRPr="0044551F" w:rsidRDefault="00CE713E" w:rsidP="00CE713E">
      <w:pPr>
        <w:tabs>
          <w:tab w:val="left" w:pos="426"/>
        </w:tabs>
        <w:contextualSpacing/>
        <w:rPr>
          <w:rFonts w:eastAsia="MS Mincho" w:cs="Arial"/>
        </w:rPr>
      </w:pPr>
    </w:p>
    <w:p w14:paraId="515386FE" w14:textId="77777777" w:rsidR="00CE713E" w:rsidRPr="0044551F" w:rsidRDefault="00CE713E" w:rsidP="00CE713E">
      <w:pPr>
        <w:tabs>
          <w:tab w:val="left" w:pos="426"/>
        </w:tabs>
        <w:contextualSpacing/>
        <w:rPr>
          <w:rFonts w:eastAsia="MS Mincho" w:cs="Arial"/>
        </w:rPr>
      </w:pPr>
      <w:r w:rsidRPr="0044551F">
        <w:rPr>
          <w:rFonts w:eastAsia="MS Mincho" w:cs="Arial"/>
        </w:rPr>
        <w:t>De la interpretación a esta definición se desprende que el Currículum Vitae está relacionado con la hoja de vida o carrera de vida de una persona, donde se podría apreciar la preparación académica y laboral que tiene, además de los méritos obtenidos tal y como podrían ser cursos, certificaciones o capacitaciones.</w:t>
      </w:r>
    </w:p>
    <w:p w14:paraId="0C6EAF0B" w14:textId="77777777" w:rsidR="00CE713E" w:rsidRPr="0044551F" w:rsidRDefault="00CE713E" w:rsidP="00CE713E">
      <w:pPr>
        <w:tabs>
          <w:tab w:val="left" w:pos="426"/>
        </w:tabs>
        <w:contextualSpacing/>
        <w:rPr>
          <w:rFonts w:eastAsia="MS Mincho" w:cs="Arial"/>
        </w:rPr>
      </w:pPr>
    </w:p>
    <w:p w14:paraId="284BBA37" w14:textId="32139B6E" w:rsidR="00CE713E" w:rsidRPr="0044551F" w:rsidRDefault="00CE713E" w:rsidP="00CE713E">
      <w:pPr>
        <w:tabs>
          <w:tab w:val="left" w:pos="207"/>
          <w:tab w:val="left" w:pos="426"/>
        </w:tabs>
        <w:autoSpaceDE w:val="0"/>
        <w:autoSpaceDN w:val="0"/>
        <w:adjustRightInd w:val="0"/>
        <w:ind w:right="-93"/>
        <w:contextualSpacing/>
        <w:rPr>
          <w:rFonts w:cs="Arial"/>
        </w:rPr>
      </w:pPr>
      <w:r w:rsidRPr="0044551F">
        <w:rPr>
          <w:rFonts w:cs="Arial"/>
        </w:rPr>
        <w:t xml:space="preserve">Sirve agregar que el </w:t>
      </w:r>
      <w:r w:rsidRPr="0044551F">
        <w:rPr>
          <w:rFonts w:cs="Arial"/>
          <w:b/>
        </w:rPr>
        <w:t>Currículum Vitae</w:t>
      </w:r>
      <w:r w:rsidRPr="0044551F">
        <w:rPr>
          <w:rFonts w:cs="Arial"/>
        </w:rPr>
        <w:t xml:space="preserve"> es un documento actualizable y que se genera precisamente para su entrega en situaciones en que se pretenda obtener un empleo, por lo que su elaboración y contenido dependerá sólo del titular de la información, tanto para cuestiones como informar el grado académico con el que cuenta hasta los empleos o trabajos anteriores que se han ejercido; documento que persigue como finalidad acreditar la idoneidad para ostentar el cargo para el que se pretende postular una persona.</w:t>
      </w:r>
    </w:p>
    <w:p w14:paraId="7C339848" w14:textId="77777777" w:rsidR="00CE713E" w:rsidRPr="0044551F" w:rsidRDefault="00CE713E" w:rsidP="00CE713E">
      <w:pPr>
        <w:rPr>
          <w:rFonts w:cs="Arial"/>
        </w:rPr>
      </w:pPr>
    </w:p>
    <w:p w14:paraId="62660D39" w14:textId="77777777" w:rsidR="00CE713E" w:rsidRPr="0044551F" w:rsidRDefault="00CE713E" w:rsidP="00CE713E">
      <w:pPr>
        <w:rPr>
          <w:rFonts w:cs="Arial"/>
        </w:rPr>
      </w:pPr>
      <w:r w:rsidRPr="0044551F">
        <w:rPr>
          <w:rFonts w:cs="Arial"/>
        </w:rPr>
        <w:t xml:space="preserve">Asimismo, es importante mencionar que la </w:t>
      </w:r>
      <w:r w:rsidRPr="0044551F">
        <w:rPr>
          <w:rFonts w:cs="Arial"/>
          <w:b/>
        </w:rPr>
        <w:t>Ficha Curricular</w:t>
      </w:r>
      <w:r w:rsidRPr="0044551F">
        <w:rPr>
          <w:rFonts w:cs="Arial"/>
        </w:rPr>
        <w:t xml:space="preserve">, sirve para observar la trayectoria académica, profesional y experiencia laboral de los servidores públicos; por lo que se deberá tomar en consideración su conocimiento, profesión, vocación y experiencia relacionada con el puesto que ostentan; información documental que el </w:t>
      </w:r>
      <w:r w:rsidRPr="0044551F">
        <w:rPr>
          <w:rFonts w:cs="Arial"/>
          <w:b/>
        </w:rPr>
        <w:lastRenderedPageBreak/>
        <w:t>Sujeto Obligado</w:t>
      </w:r>
      <w:r w:rsidRPr="0044551F">
        <w:rPr>
          <w:rFonts w:cs="Arial"/>
        </w:rPr>
        <w:t xml:space="preserve"> debe poseer y en su caso generar, toda vez que dicha información debe ser publica y accesible de manera permanente a cualquier persona.</w:t>
      </w:r>
    </w:p>
    <w:p w14:paraId="00162258" w14:textId="77777777" w:rsidR="00CE713E" w:rsidRPr="0044551F" w:rsidRDefault="00CE713E" w:rsidP="00CE713E">
      <w:pPr>
        <w:rPr>
          <w:rFonts w:cs="Arial"/>
        </w:rPr>
      </w:pPr>
    </w:p>
    <w:p w14:paraId="6C304D41" w14:textId="77777777" w:rsidR="00CE713E" w:rsidRPr="0044551F" w:rsidRDefault="00CE713E" w:rsidP="00CE713E">
      <w:pPr>
        <w:widowControl w:val="0"/>
        <w:autoSpaceDE w:val="0"/>
        <w:autoSpaceDN w:val="0"/>
        <w:adjustRightInd w:val="0"/>
        <w:rPr>
          <w:rFonts w:eastAsiaTheme="minorHAnsi" w:cstheme="minorBidi"/>
          <w:bCs/>
        </w:rPr>
      </w:pPr>
      <w:r w:rsidRPr="0044551F">
        <w:rPr>
          <w:rFonts w:eastAsiaTheme="minorHAnsi" w:cs="Arial"/>
          <w:lang w:eastAsia="en-US"/>
        </w:rPr>
        <w:t xml:space="preserve">Se debe agregar que, el </w:t>
      </w:r>
      <w:r w:rsidRPr="0044551F">
        <w:rPr>
          <w:rFonts w:eastAsiaTheme="minorHAnsi" w:cstheme="minorBidi"/>
          <w:bCs/>
        </w:rPr>
        <w:t xml:space="preserve">artículo 92, fracción XXI, de la Ley de Transparencia y Acceso a la Información Pública de la Entidad, la información curricular desde el nivel del jefe de departamento o equivalente hasta el titular del Sujeto Obligado, constituye una obligación de transparencia como se advierte enseguida: </w:t>
      </w:r>
    </w:p>
    <w:p w14:paraId="141094CD" w14:textId="77777777" w:rsidR="00CE713E" w:rsidRPr="0044551F" w:rsidRDefault="00CE713E" w:rsidP="00CE713E"/>
    <w:p w14:paraId="5B294A06" w14:textId="77777777" w:rsidR="00CE713E" w:rsidRPr="0044551F" w:rsidRDefault="00CE713E" w:rsidP="00CE713E">
      <w:pPr>
        <w:widowControl w:val="0"/>
        <w:autoSpaceDE w:val="0"/>
        <w:autoSpaceDN w:val="0"/>
        <w:adjustRightInd w:val="0"/>
        <w:spacing w:line="259" w:lineRule="auto"/>
        <w:ind w:left="567" w:right="567"/>
        <w:rPr>
          <w:rFonts w:eastAsiaTheme="minorHAnsi" w:cstheme="minorBidi"/>
          <w:bCs/>
          <w:i/>
          <w:sz w:val="22"/>
        </w:rPr>
      </w:pPr>
      <w:r w:rsidRPr="0044551F">
        <w:rPr>
          <w:rFonts w:eastAsiaTheme="minorHAnsi" w:cstheme="minorBidi"/>
          <w:bCs/>
          <w:i/>
          <w:sz w:val="22"/>
        </w:rPr>
        <w:t>“</w:t>
      </w:r>
      <w:r w:rsidRPr="0044551F">
        <w:rPr>
          <w:rFonts w:eastAsiaTheme="minorHAnsi" w:cstheme="minorBidi"/>
          <w:b/>
          <w:bCs/>
          <w:i/>
          <w:sz w:val="22"/>
        </w:rPr>
        <w:t>Artículo 92</w:t>
      </w:r>
      <w:r w:rsidRPr="0044551F">
        <w:rPr>
          <w:rFonts w:eastAsiaTheme="minorHAnsi" w:cstheme="minorBidi"/>
          <w:bCs/>
          <w:i/>
          <w:sz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A09A1F1" w14:textId="77777777" w:rsidR="00CE713E" w:rsidRPr="0044551F" w:rsidRDefault="00CE713E" w:rsidP="00CE713E">
      <w:pPr>
        <w:widowControl w:val="0"/>
        <w:autoSpaceDE w:val="0"/>
        <w:autoSpaceDN w:val="0"/>
        <w:adjustRightInd w:val="0"/>
        <w:spacing w:line="259" w:lineRule="auto"/>
        <w:ind w:left="567" w:right="567"/>
        <w:rPr>
          <w:rFonts w:asciiTheme="minorHAnsi" w:eastAsiaTheme="minorHAnsi" w:hAnsiTheme="minorHAnsi" w:cstheme="minorBidi"/>
          <w:sz w:val="22"/>
          <w:lang w:eastAsia="en-US"/>
        </w:rPr>
      </w:pPr>
      <w:r w:rsidRPr="0044551F">
        <w:rPr>
          <w:rFonts w:eastAsiaTheme="minorHAnsi" w:cstheme="minorBidi"/>
          <w:bCs/>
          <w:i/>
          <w:sz w:val="22"/>
        </w:rPr>
        <w:t>(…)</w:t>
      </w:r>
      <w:r w:rsidRPr="0044551F">
        <w:rPr>
          <w:rFonts w:asciiTheme="minorHAnsi" w:eastAsiaTheme="minorHAnsi" w:hAnsiTheme="minorHAnsi" w:cstheme="minorBidi"/>
          <w:sz w:val="22"/>
          <w:lang w:eastAsia="en-US"/>
        </w:rPr>
        <w:t xml:space="preserve"> </w:t>
      </w:r>
    </w:p>
    <w:p w14:paraId="3E968B9E" w14:textId="77777777" w:rsidR="00CE713E" w:rsidRPr="0044551F" w:rsidRDefault="00CE713E" w:rsidP="00CE713E">
      <w:pPr>
        <w:widowControl w:val="0"/>
        <w:autoSpaceDE w:val="0"/>
        <w:autoSpaceDN w:val="0"/>
        <w:adjustRightInd w:val="0"/>
        <w:spacing w:line="259" w:lineRule="auto"/>
        <w:ind w:left="567" w:right="567"/>
        <w:rPr>
          <w:rFonts w:eastAsiaTheme="minorHAnsi" w:cstheme="minorBidi"/>
          <w:bCs/>
          <w:i/>
          <w:sz w:val="22"/>
        </w:rPr>
      </w:pPr>
      <w:r w:rsidRPr="0044551F">
        <w:rPr>
          <w:rFonts w:eastAsiaTheme="minorHAnsi" w:cstheme="minorBidi"/>
          <w:b/>
          <w:bCs/>
          <w:i/>
          <w:sz w:val="22"/>
        </w:rPr>
        <w:t>XXI.</w:t>
      </w:r>
      <w:r w:rsidRPr="0044551F">
        <w:rPr>
          <w:rFonts w:eastAsiaTheme="minorHAnsi" w:cstheme="minorBidi"/>
          <w:bCs/>
          <w:i/>
          <w:sz w:val="22"/>
        </w:rPr>
        <w:t xml:space="preserve"> </w:t>
      </w:r>
      <w:r w:rsidRPr="0044551F">
        <w:rPr>
          <w:rFonts w:eastAsiaTheme="minorHAnsi" w:cstheme="minorBidi"/>
          <w:b/>
          <w:bCs/>
          <w:i/>
          <w:sz w:val="22"/>
          <w:u w:val="single"/>
        </w:rPr>
        <w:t>La información curricular</w:t>
      </w:r>
      <w:r w:rsidRPr="0044551F">
        <w:rPr>
          <w:rFonts w:eastAsiaTheme="minorHAnsi" w:cstheme="minorBidi"/>
          <w:b/>
          <w:bCs/>
          <w:i/>
          <w:sz w:val="22"/>
        </w:rPr>
        <w:t xml:space="preserve">, </w:t>
      </w:r>
      <w:r w:rsidRPr="0044551F">
        <w:rPr>
          <w:rFonts w:eastAsiaTheme="minorHAnsi" w:cstheme="minorBidi"/>
          <w:b/>
          <w:bCs/>
          <w:i/>
          <w:sz w:val="22"/>
          <w:u w:val="single"/>
        </w:rPr>
        <w:t>desde el nivel de jefe de departamento o equivalente, hasta el titular del sujeto obligado</w:t>
      </w:r>
      <w:r w:rsidRPr="0044551F">
        <w:rPr>
          <w:rFonts w:eastAsiaTheme="minorHAnsi" w:cstheme="minorBidi"/>
          <w:bCs/>
          <w:i/>
          <w:sz w:val="22"/>
        </w:rPr>
        <w:t xml:space="preserve">, así como, en su caso, las sanciones administrativas de que haya sido objeto; </w:t>
      </w:r>
    </w:p>
    <w:p w14:paraId="307709E9" w14:textId="77777777" w:rsidR="00CE713E" w:rsidRPr="0044551F" w:rsidRDefault="00CE713E" w:rsidP="00CE713E">
      <w:pPr>
        <w:widowControl w:val="0"/>
        <w:autoSpaceDE w:val="0"/>
        <w:autoSpaceDN w:val="0"/>
        <w:adjustRightInd w:val="0"/>
        <w:spacing w:line="259" w:lineRule="auto"/>
        <w:ind w:left="567" w:right="567"/>
        <w:rPr>
          <w:rFonts w:eastAsiaTheme="minorHAnsi" w:cstheme="minorBidi"/>
          <w:bCs/>
          <w:i/>
          <w:sz w:val="22"/>
        </w:rPr>
      </w:pPr>
      <w:r w:rsidRPr="0044551F">
        <w:rPr>
          <w:rFonts w:eastAsiaTheme="minorHAnsi" w:cstheme="minorBidi"/>
          <w:bCs/>
          <w:i/>
          <w:sz w:val="22"/>
        </w:rPr>
        <w:t>(…)”</w:t>
      </w:r>
    </w:p>
    <w:p w14:paraId="61C3FD7E" w14:textId="77777777" w:rsidR="00CE713E" w:rsidRPr="0044551F" w:rsidRDefault="00CE713E" w:rsidP="00CE713E">
      <w:pPr>
        <w:widowControl w:val="0"/>
        <w:autoSpaceDE w:val="0"/>
        <w:autoSpaceDN w:val="0"/>
        <w:adjustRightInd w:val="0"/>
        <w:spacing w:line="259" w:lineRule="auto"/>
        <w:ind w:left="567" w:right="567"/>
        <w:jc w:val="right"/>
        <w:rPr>
          <w:rFonts w:eastAsiaTheme="minorHAnsi" w:cstheme="minorBidi"/>
          <w:b/>
          <w:bCs/>
          <w:i/>
          <w:sz w:val="18"/>
        </w:rPr>
      </w:pPr>
      <w:r w:rsidRPr="0044551F">
        <w:rPr>
          <w:rFonts w:eastAsiaTheme="minorHAnsi" w:cstheme="minorBidi"/>
          <w:b/>
          <w:bCs/>
          <w:i/>
          <w:sz w:val="18"/>
        </w:rPr>
        <w:t xml:space="preserve">(Énfasis añadido) </w:t>
      </w:r>
    </w:p>
    <w:p w14:paraId="36E0C069" w14:textId="77777777" w:rsidR="00CE713E" w:rsidRPr="0044551F" w:rsidRDefault="00CE713E" w:rsidP="00CE713E">
      <w:pPr>
        <w:ind w:left="567" w:right="567"/>
      </w:pPr>
    </w:p>
    <w:p w14:paraId="67425CBA" w14:textId="77777777" w:rsidR="00CE713E" w:rsidRPr="0044551F" w:rsidRDefault="00CE713E" w:rsidP="00CE713E"/>
    <w:p w14:paraId="77EC2A94" w14:textId="77777777" w:rsidR="00CE713E" w:rsidRPr="0044551F" w:rsidRDefault="00CE713E" w:rsidP="00CE713E">
      <w:pPr>
        <w:rPr>
          <w:rFonts w:cstheme="minorBidi"/>
          <w:lang w:eastAsia="en-US"/>
        </w:rPr>
      </w:pPr>
      <w:r w:rsidRPr="0044551F">
        <w:rPr>
          <w:rFonts w:eastAsiaTheme="minorHAnsi" w:cstheme="minorBidi"/>
          <w:bCs/>
        </w:rPr>
        <w:t xml:space="preserve">Información que deberá ser publicada en atención a los </w:t>
      </w:r>
      <w:r w:rsidRPr="0044551F">
        <w:rPr>
          <w:rFonts w:eastAsiaTheme="minorHAnsi" w:cstheme="minorBidi"/>
          <w:i/>
          <w:lang w:eastAsia="en-US"/>
        </w:rPr>
        <w:t>“</w:t>
      </w:r>
      <w:r w:rsidRPr="0044551F">
        <w:rPr>
          <w:rFonts w:cstheme="minorBidi"/>
          <w:i/>
          <w:lang w:eastAsia="en-U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deberán difundir los Sujetos Obligados en los Portales de Internet y en la Plataforma Nacional de Transparencia”</w:t>
      </w:r>
      <w:r w:rsidRPr="0044551F">
        <w:rPr>
          <w:rFonts w:cstheme="minorBidi"/>
          <w:lang w:eastAsia="en-US"/>
        </w:rPr>
        <w:t xml:space="preserve">, que en su </w:t>
      </w:r>
      <w:r w:rsidRPr="0044551F">
        <w:rPr>
          <w:rFonts w:cstheme="minorBidi"/>
          <w:i/>
          <w:lang w:eastAsia="en-US"/>
        </w:rPr>
        <w:t>“Anexo I”</w:t>
      </w:r>
      <w:r w:rsidRPr="0044551F">
        <w:rPr>
          <w:rFonts w:cstheme="minorBidi"/>
          <w:lang w:eastAsia="en-US"/>
        </w:rPr>
        <w:t xml:space="preserve">, relacionado con artículo 70, de la Ley General de Transparencia, de forma análoga prevé en su fracción XVII, la información curricular; respecto de la cual define la forma y </w:t>
      </w:r>
      <w:r w:rsidRPr="0044551F">
        <w:rPr>
          <w:rFonts w:cstheme="minorBidi"/>
          <w:lang w:eastAsia="en-US"/>
        </w:rPr>
        <w:lastRenderedPageBreak/>
        <w:t xml:space="preserve">criterios en que deberá ser publicada por los Sujetos Obligados, que en lo que al presente estudio interesa establece en sus “Criterios sustantivos de contenido” 1 a 12 la información siguiente: </w:t>
      </w:r>
    </w:p>
    <w:p w14:paraId="3A2A55E5" w14:textId="77777777" w:rsidR="00CE713E" w:rsidRPr="0044551F" w:rsidRDefault="00CE713E" w:rsidP="00CE713E"/>
    <w:p w14:paraId="052DFBDA" w14:textId="77777777" w:rsidR="00CE713E" w:rsidRPr="0044551F" w:rsidRDefault="00CE713E" w:rsidP="00CE713E">
      <w:pPr>
        <w:ind w:left="567" w:right="567"/>
        <w:rPr>
          <w:rFonts w:cstheme="minorBidi"/>
          <w:i/>
          <w:sz w:val="22"/>
          <w:lang w:eastAsia="en-US"/>
        </w:rPr>
      </w:pPr>
      <w:r w:rsidRPr="0044551F">
        <w:rPr>
          <w:rFonts w:cstheme="minorBidi"/>
          <w:i/>
          <w:sz w:val="22"/>
          <w:lang w:eastAsia="en-US"/>
        </w:rPr>
        <w:t>“</w:t>
      </w:r>
      <w:r w:rsidRPr="0044551F">
        <w:rPr>
          <w:rFonts w:cstheme="minorBidi"/>
          <w:b/>
          <w:i/>
          <w:sz w:val="22"/>
          <w:lang w:eastAsia="en-US"/>
        </w:rPr>
        <w:t>Criterio 1</w:t>
      </w:r>
      <w:r w:rsidRPr="0044551F">
        <w:rPr>
          <w:rFonts w:cstheme="minorBidi"/>
          <w:i/>
          <w:sz w:val="22"/>
          <w:lang w:eastAsia="en-US"/>
        </w:rPr>
        <w:t xml:space="preserve"> Clave o nivel del puesto (de acuerdo con el catálogo que regule la actividad del sujeto obligado) </w:t>
      </w:r>
    </w:p>
    <w:p w14:paraId="50237C83" w14:textId="77777777" w:rsidR="00CE713E" w:rsidRPr="0044551F" w:rsidRDefault="00CE713E" w:rsidP="00CE713E">
      <w:pPr>
        <w:ind w:left="567" w:right="567"/>
        <w:rPr>
          <w:rFonts w:cstheme="minorBidi"/>
          <w:i/>
          <w:sz w:val="22"/>
          <w:lang w:eastAsia="en-US"/>
        </w:rPr>
      </w:pPr>
    </w:p>
    <w:p w14:paraId="7C6C8EC5" w14:textId="77777777" w:rsidR="00CE713E" w:rsidRPr="0044551F" w:rsidRDefault="00CE713E" w:rsidP="00CE713E">
      <w:pPr>
        <w:ind w:left="567" w:right="567"/>
        <w:rPr>
          <w:rFonts w:cstheme="minorBidi"/>
          <w:i/>
          <w:sz w:val="22"/>
          <w:lang w:eastAsia="en-US"/>
        </w:rPr>
      </w:pPr>
      <w:r w:rsidRPr="0044551F">
        <w:rPr>
          <w:rFonts w:cstheme="minorBidi"/>
          <w:b/>
          <w:i/>
          <w:sz w:val="22"/>
          <w:lang w:eastAsia="en-US"/>
        </w:rPr>
        <w:t>Criterio 2</w:t>
      </w:r>
      <w:r w:rsidRPr="0044551F">
        <w:rPr>
          <w:rFonts w:cstheme="minorBidi"/>
          <w:i/>
          <w:sz w:val="22"/>
          <w:lang w:eastAsia="en-US"/>
        </w:rPr>
        <w:t xml:space="preserve"> Denominación del puesto en la estructura orgánica (de acuerdo con el catálogo de claves y niveles) </w:t>
      </w:r>
    </w:p>
    <w:p w14:paraId="6BAE0BF5" w14:textId="77777777" w:rsidR="00CE713E" w:rsidRPr="0044551F" w:rsidRDefault="00CE713E" w:rsidP="00CE713E">
      <w:pPr>
        <w:ind w:left="567" w:right="567"/>
        <w:rPr>
          <w:rFonts w:cstheme="minorBidi"/>
          <w:i/>
          <w:sz w:val="22"/>
          <w:lang w:eastAsia="en-US"/>
        </w:rPr>
      </w:pPr>
    </w:p>
    <w:p w14:paraId="0F0DA188" w14:textId="77777777" w:rsidR="00CE713E" w:rsidRPr="0044551F" w:rsidRDefault="00CE713E" w:rsidP="00CE713E">
      <w:pPr>
        <w:ind w:left="567" w:right="567"/>
        <w:rPr>
          <w:rFonts w:cstheme="minorBidi"/>
          <w:i/>
          <w:sz w:val="22"/>
          <w:lang w:eastAsia="en-US"/>
        </w:rPr>
      </w:pPr>
      <w:r w:rsidRPr="0044551F">
        <w:rPr>
          <w:rFonts w:cstheme="minorBidi"/>
          <w:b/>
          <w:i/>
          <w:sz w:val="22"/>
          <w:lang w:eastAsia="en-US"/>
        </w:rPr>
        <w:t>Criterio 3</w:t>
      </w:r>
      <w:r w:rsidRPr="0044551F">
        <w:rPr>
          <w:rFonts w:cstheme="minorBidi"/>
          <w:i/>
          <w:sz w:val="22"/>
          <w:lang w:eastAsia="en-US"/>
        </w:rPr>
        <w:t xml:space="preserve"> Denominación del cargo, empleo, comisión o nombramiento otorgado </w:t>
      </w:r>
    </w:p>
    <w:p w14:paraId="18FA84B3" w14:textId="77777777" w:rsidR="00CE713E" w:rsidRPr="0044551F" w:rsidRDefault="00CE713E" w:rsidP="00CE713E">
      <w:pPr>
        <w:ind w:left="567" w:right="567"/>
        <w:rPr>
          <w:rFonts w:cstheme="minorBidi"/>
          <w:i/>
          <w:sz w:val="22"/>
          <w:lang w:eastAsia="en-US"/>
        </w:rPr>
      </w:pPr>
    </w:p>
    <w:p w14:paraId="5DC17389" w14:textId="77777777" w:rsidR="00CE713E" w:rsidRPr="0044551F" w:rsidRDefault="00CE713E" w:rsidP="00CE713E">
      <w:pPr>
        <w:ind w:left="567" w:right="567"/>
        <w:rPr>
          <w:rFonts w:cstheme="minorBidi"/>
          <w:i/>
          <w:sz w:val="22"/>
          <w:lang w:eastAsia="en-US"/>
        </w:rPr>
      </w:pPr>
      <w:r w:rsidRPr="0044551F">
        <w:rPr>
          <w:rFonts w:cstheme="minorBidi"/>
          <w:b/>
          <w:i/>
          <w:sz w:val="22"/>
          <w:lang w:eastAsia="en-US"/>
        </w:rPr>
        <w:t>Criterio 4</w:t>
      </w:r>
      <w:r w:rsidRPr="0044551F">
        <w:rPr>
          <w:rFonts w:cstheme="minorBidi"/>
          <w:i/>
          <w:sz w:val="22"/>
          <w:lang w:eastAsia="en-US"/>
        </w:rPr>
        <w:t xml:space="preserve"> Nombre del servidor(a) público(a), integrante y/o, miembro del sujeto obligado, y/o persona que desempeñe un empleo, cargo o comisión y/o ejerza actos de autoridad (nombre[s], primer apellido, segundo apellido) </w:t>
      </w:r>
    </w:p>
    <w:p w14:paraId="617A2490" w14:textId="77777777" w:rsidR="00CE713E" w:rsidRPr="0044551F" w:rsidRDefault="00CE713E" w:rsidP="00CE713E">
      <w:pPr>
        <w:ind w:left="567" w:right="567"/>
        <w:rPr>
          <w:rFonts w:cstheme="minorBidi"/>
          <w:i/>
          <w:sz w:val="22"/>
          <w:lang w:eastAsia="en-US"/>
        </w:rPr>
      </w:pPr>
    </w:p>
    <w:p w14:paraId="25D98154" w14:textId="77777777" w:rsidR="00CE713E" w:rsidRPr="0044551F" w:rsidRDefault="00CE713E" w:rsidP="00CE713E">
      <w:pPr>
        <w:ind w:left="567" w:right="567"/>
        <w:rPr>
          <w:rFonts w:cstheme="minorBidi"/>
          <w:i/>
          <w:sz w:val="22"/>
          <w:lang w:eastAsia="en-US"/>
        </w:rPr>
      </w:pPr>
      <w:r w:rsidRPr="0044551F">
        <w:rPr>
          <w:rFonts w:cstheme="minorBidi"/>
          <w:b/>
          <w:i/>
          <w:sz w:val="22"/>
          <w:lang w:eastAsia="en-US"/>
        </w:rPr>
        <w:t>Criterio 5</w:t>
      </w:r>
      <w:r w:rsidRPr="0044551F">
        <w:rPr>
          <w:rFonts w:cstheme="minorBidi"/>
          <w:i/>
          <w:sz w:val="22"/>
          <w:lang w:eastAsia="en-US"/>
        </w:rPr>
        <w:t xml:space="preserve"> Área o unidad administrativa de adscripción (de acuerdo con el catálogo de unidades administrativas o puestos del sujeto obligado) </w:t>
      </w:r>
    </w:p>
    <w:p w14:paraId="24434544" w14:textId="77777777" w:rsidR="00CE713E" w:rsidRPr="0044551F" w:rsidRDefault="00CE713E" w:rsidP="00CE713E">
      <w:pPr>
        <w:ind w:left="567" w:right="567"/>
        <w:rPr>
          <w:rFonts w:cstheme="minorBidi"/>
          <w:i/>
          <w:sz w:val="22"/>
          <w:lang w:eastAsia="en-US"/>
        </w:rPr>
      </w:pPr>
    </w:p>
    <w:p w14:paraId="43C4FBB3" w14:textId="77777777" w:rsidR="00CE713E" w:rsidRPr="0044551F" w:rsidRDefault="00CE713E" w:rsidP="00CE713E">
      <w:pPr>
        <w:ind w:left="567" w:right="567"/>
        <w:rPr>
          <w:rFonts w:cstheme="minorBidi"/>
          <w:i/>
          <w:sz w:val="22"/>
          <w:lang w:eastAsia="en-US"/>
        </w:rPr>
      </w:pPr>
      <w:r w:rsidRPr="0044551F">
        <w:rPr>
          <w:rFonts w:cstheme="minorBidi"/>
          <w:i/>
          <w:sz w:val="22"/>
          <w:lang w:eastAsia="en-US"/>
        </w:rPr>
        <w:t xml:space="preserve">Respecto a la información curricular del (la) servidor(a) público(a) y/o persona que desempeñe un empleo, cargo o comisión en el sujeto obligado se deberá publicar: </w:t>
      </w:r>
    </w:p>
    <w:p w14:paraId="76F8CC21" w14:textId="77777777" w:rsidR="00CE713E" w:rsidRPr="0044551F" w:rsidRDefault="00CE713E" w:rsidP="00CE713E">
      <w:pPr>
        <w:ind w:left="567" w:right="567"/>
        <w:rPr>
          <w:rFonts w:cstheme="minorBidi"/>
          <w:i/>
          <w:sz w:val="22"/>
          <w:lang w:eastAsia="en-US"/>
        </w:rPr>
      </w:pPr>
    </w:p>
    <w:p w14:paraId="41BC007B" w14:textId="77777777" w:rsidR="00CE713E" w:rsidRPr="0044551F" w:rsidRDefault="00CE713E" w:rsidP="00CE713E">
      <w:pPr>
        <w:ind w:left="567" w:right="567"/>
        <w:rPr>
          <w:rFonts w:cstheme="minorBidi"/>
          <w:i/>
          <w:sz w:val="22"/>
          <w:lang w:eastAsia="en-US"/>
        </w:rPr>
      </w:pPr>
      <w:r w:rsidRPr="0044551F">
        <w:rPr>
          <w:rFonts w:cstheme="minorBidi"/>
          <w:b/>
          <w:i/>
          <w:sz w:val="22"/>
          <w:lang w:eastAsia="en-US"/>
        </w:rPr>
        <w:t>Criterio 6</w:t>
      </w:r>
      <w:r w:rsidRPr="0044551F">
        <w:rPr>
          <w:rFonts w:cstheme="minorBidi"/>
          <w:i/>
          <w:sz w:val="22"/>
          <w:lang w:eastAsia="en-US"/>
        </w:rPr>
        <w:t xml:space="preserve"> Escolaridad (nivel máximo de estudios): Ninguno / Primaria / Secundaria / Bachillerato / Carrera técnica / Licenciatura / Maestría / Doctorado / Posdoctorado </w:t>
      </w:r>
    </w:p>
    <w:p w14:paraId="646B3723" w14:textId="77777777" w:rsidR="00CE713E" w:rsidRPr="0044551F" w:rsidRDefault="00CE713E" w:rsidP="00CE713E">
      <w:pPr>
        <w:ind w:left="567" w:right="567"/>
        <w:rPr>
          <w:rFonts w:cstheme="minorBidi"/>
          <w:i/>
          <w:sz w:val="22"/>
          <w:lang w:eastAsia="en-US"/>
        </w:rPr>
      </w:pPr>
    </w:p>
    <w:p w14:paraId="002F2C5C" w14:textId="77777777" w:rsidR="00CE713E" w:rsidRPr="0044551F" w:rsidRDefault="00CE713E" w:rsidP="00CE713E">
      <w:pPr>
        <w:ind w:left="567" w:right="567"/>
        <w:rPr>
          <w:rFonts w:cstheme="minorBidi"/>
          <w:i/>
          <w:sz w:val="22"/>
          <w:lang w:eastAsia="en-US"/>
        </w:rPr>
      </w:pPr>
      <w:r w:rsidRPr="0044551F">
        <w:rPr>
          <w:rFonts w:cstheme="minorBidi"/>
          <w:b/>
          <w:i/>
          <w:sz w:val="22"/>
          <w:lang w:eastAsia="en-US"/>
        </w:rPr>
        <w:t>Criterio 7</w:t>
      </w:r>
      <w:r w:rsidRPr="0044551F">
        <w:rPr>
          <w:rFonts w:cstheme="minorBidi"/>
          <w:i/>
          <w:sz w:val="22"/>
          <w:lang w:eastAsia="en-US"/>
        </w:rPr>
        <w:t xml:space="preserve"> Carrera genérica, en su caso </w:t>
      </w:r>
    </w:p>
    <w:p w14:paraId="2CC57574" w14:textId="77777777" w:rsidR="00CE713E" w:rsidRPr="0044551F" w:rsidRDefault="00CE713E" w:rsidP="00CE713E">
      <w:pPr>
        <w:ind w:left="567" w:right="567"/>
        <w:rPr>
          <w:rFonts w:cstheme="minorBidi"/>
          <w:i/>
          <w:sz w:val="22"/>
          <w:lang w:eastAsia="en-US"/>
        </w:rPr>
      </w:pPr>
    </w:p>
    <w:p w14:paraId="2E37A72E" w14:textId="77777777" w:rsidR="00CE713E" w:rsidRPr="0044551F" w:rsidRDefault="00CE713E" w:rsidP="00CE713E">
      <w:pPr>
        <w:ind w:left="567" w:right="567"/>
        <w:rPr>
          <w:rFonts w:cstheme="minorBidi"/>
          <w:i/>
          <w:sz w:val="22"/>
          <w:lang w:eastAsia="en-US"/>
        </w:rPr>
      </w:pPr>
      <w:r w:rsidRPr="0044551F">
        <w:rPr>
          <w:rFonts w:cstheme="minorBidi"/>
          <w:i/>
          <w:sz w:val="22"/>
          <w:lang w:eastAsia="en-US"/>
        </w:rPr>
        <w:t>Respecto de la experiencia laboral especificar los tres últimos empleos, en donde se indique:</w:t>
      </w:r>
    </w:p>
    <w:p w14:paraId="28154EE1" w14:textId="77777777" w:rsidR="00CE713E" w:rsidRPr="0044551F" w:rsidRDefault="00CE713E" w:rsidP="00CE713E">
      <w:pPr>
        <w:ind w:left="567" w:right="567"/>
        <w:rPr>
          <w:rFonts w:cstheme="minorBidi"/>
          <w:i/>
          <w:sz w:val="22"/>
          <w:lang w:eastAsia="en-US"/>
        </w:rPr>
      </w:pPr>
    </w:p>
    <w:p w14:paraId="547FC5EF" w14:textId="77777777" w:rsidR="00CE713E" w:rsidRPr="0044551F" w:rsidRDefault="00CE713E" w:rsidP="00CE713E">
      <w:pPr>
        <w:ind w:left="567" w:right="567"/>
        <w:rPr>
          <w:rFonts w:cstheme="minorBidi"/>
          <w:i/>
          <w:sz w:val="22"/>
          <w:lang w:eastAsia="en-US"/>
        </w:rPr>
      </w:pPr>
      <w:r w:rsidRPr="0044551F">
        <w:rPr>
          <w:rFonts w:cstheme="minorBidi"/>
          <w:b/>
          <w:i/>
          <w:sz w:val="22"/>
          <w:lang w:eastAsia="en-US"/>
        </w:rPr>
        <w:t>Criterio 8</w:t>
      </w:r>
      <w:r w:rsidRPr="0044551F">
        <w:rPr>
          <w:rFonts w:cstheme="minorBidi"/>
          <w:i/>
          <w:sz w:val="22"/>
          <w:lang w:eastAsia="en-US"/>
        </w:rPr>
        <w:t xml:space="preserve"> Periodo (mes/año inicio, mes/año conclusión) </w:t>
      </w:r>
    </w:p>
    <w:p w14:paraId="44D94481" w14:textId="77777777" w:rsidR="00CE713E" w:rsidRPr="0044551F" w:rsidRDefault="00CE713E" w:rsidP="00CE713E">
      <w:pPr>
        <w:ind w:left="567" w:right="567"/>
        <w:rPr>
          <w:rFonts w:cstheme="minorBidi"/>
          <w:i/>
          <w:sz w:val="22"/>
          <w:lang w:eastAsia="en-US"/>
        </w:rPr>
      </w:pPr>
    </w:p>
    <w:p w14:paraId="5E25EB2B" w14:textId="77777777" w:rsidR="00CE713E" w:rsidRPr="0044551F" w:rsidRDefault="00CE713E" w:rsidP="00CE713E">
      <w:pPr>
        <w:ind w:left="567" w:right="567"/>
        <w:rPr>
          <w:rFonts w:cstheme="minorBidi"/>
          <w:i/>
          <w:sz w:val="22"/>
          <w:lang w:eastAsia="en-US"/>
        </w:rPr>
      </w:pPr>
      <w:r w:rsidRPr="0044551F">
        <w:rPr>
          <w:rFonts w:cstheme="minorBidi"/>
          <w:b/>
          <w:i/>
          <w:sz w:val="22"/>
          <w:lang w:eastAsia="en-US"/>
        </w:rPr>
        <w:t>Criterio 9</w:t>
      </w:r>
      <w:r w:rsidRPr="0044551F">
        <w:rPr>
          <w:rFonts w:cstheme="minorBidi"/>
          <w:i/>
          <w:sz w:val="22"/>
          <w:lang w:eastAsia="en-US"/>
        </w:rPr>
        <w:t xml:space="preserve"> Denominación de la institución o empresa </w:t>
      </w:r>
    </w:p>
    <w:p w14:paraId="6FBBB672" w14:textId="77777777" w:rsidR="00CE713E" w:rsidRPr="0044551F" w:rsidRDefault="00CE713E" w:rsidP="00CE713E">
      <w:pPr>
        <w:ind w:left="567" w:right="567"/>
        <w:rPr>
          <w:rFonts w:cstheme="minorBidi"/>
          <w:i/>
          <w:sz w:val="22"/>
          <w:lang w:eastAsia="en-US"/>
        </w:rPr>
      </w:pPr>
    </w:p>
    <w:p w14:paraId="0F532DDA" w14:textId="77777777" w:rsidR="00CE713E" w:rsidRPr="0044551F" w:rsidRDefault="00CE713E" w:rsidP="00CE713E">
      <w:pPr>
        <w:ind w:left="567" w:right="567"/>
        <w:rPr>
          <w:rFonts w:cstheme="minorBidi"/>
          <w:i/>
          <w:sz w:val="22"/>
          <w:lang w:eastAsia="en-US"/>
        </w:rPr>
      </w:pPr>
      <w:r w:rsidRPr="0044551F">
        <w:rPr>
          <w:rFonts w:cstheme="minorBidi"/>
          <w:b/>
          <w:i/>
          <w:sz w:val="22"/>
          <w:lang w:eastAsia="en-US"/>
        </w:rPr>
        <w:t>Criterio 10</w:t>
      </w:r>
      <w:r w:rsidRPr="0044551F">
        <w:rPr>
          <w:rFonts w:cstheme="minorBidi"/>
          <w:i/>
          <w:sz w:val="22"/>
          <w:lang w:eastAsia="en-US"/>
        </w:rPr>
        <w:t xml:space="preserve"> Cargo o puesto desempeñado </w:t>
      </w:r>
    </w:p>
    <w:p w14:paraId="0512B02F" w14:textId="77777777" w:rsidR="00CE713E" w:rsidRPr="0044551F" w:rsidRDefault="00CE713E" w:rsidP="00CE713E">
      <w:pPr>
        <w:ind w:left="567" w:right="567"/>
        <w:rPr>
          <w:rFonts w:cstheme="minorBidi"/>
          <w:i/>
          <w:sz w:val="22"/>
          <w:lang w:eastAsia="en-US"/>
        </w:rPr>
      </w:pPr>
    </w:p>
    <w:p w14:paraId="38FDA017" w14:textId="77777777" w:rsidR="00CE713E" w:rsidRPr="0044551F" w:rsidRDefault="00CE713E" w:rsidP="00CE713E">
      <w:pPr>
        <w:ind w:left="567" w:right="567"/>
        <w:rPr>
          <w:rFonts w:cstheme="minorBidi"/>
          <w:i/>
          <w:sz w:val="22"/>
          <w:lang w:eastAsia="en-US"/>
        </w:rPr>
      </w:pPr>
      <w:r w:rsidRPr="0044551F">
        <w:rPr>
          <w:rFonts w:cstheme="minorBidi"/>
          <w:b/>
          <w:i/>
          <w:sz w:val="22"/>
          <w:lang w:eastAsia="en-US"/>
        </w:rPr>
        <w:t>Criterio 11</w:t>
      </w:r>
      <w:r w:rsidRPr="0044551F">
        <w:rPr>
          <w:rFonts w:cstheme="minorBidi"/>
          <w:i/>
          <w:sz w:val="22"/>
          <w:lang w:eastAsia="en-US"/>
        </w:rPr>
        <w:t xml:space="preserve"> Campo de experiencia </w:t>
      </w:r>
    </w:p>
    <w:p w14:paraId="74F361DA" w14:textId="77777777" w:rsidR="00CE713E" w:rsidRPr="0044551F" w:rsidRDefault="00CE713E" w:rsidP="00CE713E">
      <w:pPr>
        <w:ind w:left="567" w:right="567"/>
        <w:rPr>
          <w:rFonts w:cstheme="minorBidi"/>
          <w:i/>
          <w:sz w:val="22"/>
          <w:lang w:eastAsia="en-US"/>
        </w:rPr>
      </w:pPr>
    </w:p>
    <w:p w14:paraId="37FDDDAF" w14:textId="77777777" w:rsidR="00CE713E" w:rsidRPr="0044551F" w:rsidRDefault="00CE713E" w:rsidP="00CE713E">
      <w:pPr>
        <w:ind w:left="567" w:right="567"/>
        <w:rPr>
          <w:rFonts w:cstheme="minorBidi"/>
          <w:i/>
          <w:sz w:val="22"/>
          <w:lang w:eastAsia="en-US"/>
        </w:rPr>
      </w:pPr>
      <w:r w:rsidRPr="0044551F">
        <w:rPr>
          <w:rFonts w:cstheme="minorBidi"/>
          <w:b/>
          <w:i/>
          <w:sz w:val="22"/>
          <w:lang w:eastAsia="en-US"/>
        </w:rPr>
        <w:t>Criterio 12</w:t>
      </w:r>
      <w:r w:rsidRPr="0044551F">
        <w:rPr>
          <w:rFonts w:cstheme="minorBidi"/>
          <w:i/>
          <w:sz w:val="22"/>
          <w:lang w:eastAsia="en-US"/>
        </w:rPr>
        <w:t xml:space="preserve"> Hipervínculo al documento que contenga la información relativa a la trayectoria</w:t>
      </w:r>
      <w:r w:rsidRPr="0044551F">
        <w:rPr>
          <w:rFonts w:cstheme="minorBidi"/>
          <w:i/>
          <w:sz w:val="22"/>
          <w:vertAlign w:val="superscript"/>
          <w:lang w:eastAsia="en-US"/>
        </w:rPr>
        <w:footnoteReference w:customMarkFollows="1" w:id="3"/>
        <w:t>37</w:t>
      </w:r>
      <w:r w:rsidRPr="0044551F">
        <w:rPr>
          <w:rFonts w:cstheme="minorBidi"/>
          <w:i/>
          <w:sz w:val="22"/>
          <w:lang w:eastAsia="en-US"/>
        </w:rPr>
        <w:t xml:space="preserve"> del (la) servidor(a) público(a), que deberá contener, además de los datos mencionados en los criterios anteriores, los siguientes: trayectoria académica, profesional o laboral que acredite su capacidad; y habilidades o pericia para ocupar el cargo público</w:t>
      </w:r>
    </w:p>
    <w:p w14:paraId="212E5539" w14:textId="77777777" w:rsidR="00CE713E" w:rsidRPr="0044551F" w:rsidRDefault="00CE713E" w:rsidP="00CE713E">
      <w:pPr>
        <w:rPr>
          <w:rFonts w:eastAsia="MS Mincho"/>
        </w:rPr>
      </w:pPr>
    </w:p>
    <w:p w14:paraId="09882C99" w14:textId="77777777" w:rsidR="00CE713E" w:rsidRPr="0044551F" w:rsidRDefault="00CE713E" w:rsidP="00CE713E">
      <w:pPr>
        <w:rPr>
          <w:rFonts w:eastAsia="MS Mincho" w:cs="Arial"/>
        </w:rPr>
      </w:pPr>
      <w:r w:rsidRPr="0044551F">
        <w:rPr>
          <w:rFonts w:eastAsia="MS Mincho"/>
        </w:rPr>
        <w:t xml:space="preserve">En conclusión, </w:t>
      </w:r>
      <w:r w:rsidRPr="0044551F">
        <w:rPr>
          <w:rFonts w:eastAsia="MS Mincho"/>
          <w:u w:val="single"/>
        </w:rPr>
        <w:t xml:space="preserve">el Currículum Vitae es equiparable con la Ficha Curricular, puesto que cumplen con el mismo fin, es decir, plasmar </w:t>
      </w:r>
      <w:r w:rsidRPr="0044551F">
        <w:rPr>
          <w:rFonts w:eastAsia="MS Mincho" w:cs="Arial"/>
          <w:u w:val="single"/>
        </w:rPr>
        <w:t>carrera de vida de una persona, donde se podría apreciar la preparación académica y laboral</w:t>
      </w:r>
      <w:r w:rsidRPr="0044551F">
        <w:rPr>
          <w:rFonts w:eastAsia="MS Mincho" w:cs="Arial"/>
        </w:rPr>
        <w:t>.</w:t>
      </w:r>
    </w:p>
    <w:p w14:paraId="4823A899" w14:textId="77777777" w:rsidR="00CE713E" w:rsidRPr="0044551F" w:rsidRDefault="00CE713E" w:rsidP="00CE713E">
      <w:pPr>
        <w:rPr>
          <w:rFonts w:eastAsia="MS Mincho" w:cs="Arial"/>
        </w:rPr>
      </w:pPr>
    </w:p>
    <w:p w14:paraId="1B07C635" w14:textId="77777777" w:rsidR="00CE713E" w:rsidRPr="0044551F" w:rsidRDefault="00CE713E" w:rsidP="00CE713E">
      <w:pPr>
        <w:rPr>
          <w:rFonts w:eastAsia="MS Mincho" w:cs="Arial"/>
        </w:rPr>
      </w:pPr>
      <w:r w:rsidRPr="0044551F">
        <w:rPr>
          <w:rFonts w:eastAsia="MS Mincho" w:cs="Arial"/>
        </w:rPr>
        <w:t xml:space="preserve">En cuanto a los documentos que acrediten su </w:t>
      </w:r>
      <w:r w:rsidRPr="0044551F">
        <w:rPr>
          <w:rFonts w:eastAsia="MS Mincho" w:cs="Arial"/>
          <w:b/>
          <w:u w:val="single"/>
        </w:rPr>
        <w:t>último grado de estudios</w:t>
      </w:r>
      <w:r w:rsidRPr="0044551F">
        <w:rPr>
          <w:rFonts w:eastAsia="MS Mincho" w:cs="Arial"/>
        </w:rPr>
        <w:t xml:space="preserve">; es decir, que cuenten con alguna profesión, Título Profesional o Posgrados, o cualquier certificado de educación básica o de bachillerato; y éste obra en su expediente laboral, el </w:t>
      </w:r>
      <w:r w:rsidRPr="0044551F">
        <w:rPr>
          <w:rFonts w:eastAsia="MS Mincho" w:cs="Arial"/>
          <w:b/>
        </w:rPr>
        <w:t>Sujeto Obligado</w:t>
      </w:r>
      <w:r w:rsidRPr="0044551F">
        <w:rPr>
          <w:rFonts w:eastAsia="MS Mincho" w:cs="Arial"/>
        </w:rPr>
        <w:t xml:space="preserve"> deberá proporcionarlo; así que, </w:t>
      </w:r>
      <w:r w:rsidRPr="0044551F">
        <w:rPr>
          <w:rFonts w:eastAsiaTheme="minorHAnsi" w:cs="Aldhabi"/>
          <w:lang w:eastAsia="en-US"/>
        </w:rPr>
        <w:t xml:space="preserve">de conformidad con la Ley del Trabajo de los </w:t>
      </w:r>
      <w:r w:rsidRPr="0044551F">
        <w:rPr>
          <w:rFonts w:eastAsiaTheme="minorHAnsi" w:cs="Aldhabi"/>
          <w:lang w:eastAsia="en-US"/>
        </w:rPr>
        <w:lastRenderedPageBreak/>
        <w:t>Servidores Públicos del Estado de México y Municipios, que en lo medular y para el caso que nos ocupa establece:</w:t>
      </w:r>
    </w:p>
    <w:p w14:paraId="144BA3D1" w14:textId="77777777" w:rsidR="00CE713E" w:rsidRPr="0044551F" w:rsidRDefault="00CE713E" w:rsidP="00CE713E">
      <w:pPr>
        <w:rPr>
          <w:rFonts w:eastAsiaTheme="minorHAnsi" w:cs="Aldhabi"/>
          <w:lang w:val="es-419" w:eastAsia="en-US"/>
        </w:rPr>
      </w:pPr>
    </w:p>
    <w:p w14:paraId="34D8441F" w14:textId="77777777" w:rsidR="00CE713E" w:rsidRPr="0044551F" w:rsidRDefault="00CE713E" w:rsidP="00CE713E">
      <w:pPr>
        <w:ind w:left="567" w:right="567"/>
        <w:contextualSpacing/>
        <w:rPr>
          <w:rFonts w:eastAsiaTheme="minorHAnsi" w:cs="Aldhabi"/>
          <w:b/>
          <w:i/>
          <w:sz w:val="22"/>
        </w:rPr>
      </w:pPr>
      <w:r w:rsidRPr="0044551F">
        <w:rPr>
          <w:rFonts w:eastAsiaTheme="minorHAnsi" w:cs="Aldhabi"/>
          <w:b/>
          <w:i/>
          <w:sz w:val="22"/>
        </w:rPr>
        <w:t>ARTÍCULO 98. Son obligaciones de las instituciones públicas:</w:t>
      </w:r>
    </w:p>
    <w:p w14:paraId="67BA1FC4" w14:textId="77777777" w:rsidR="00CE713E" w:rsidRPr="0044551F" w:rsidRDefault="00CE713E" w:rsidP="00CE713E">
      <w:pPr>
        <w:ind w:left="567" w:right="567"/>
        <w:contextualSpacing/>
        <w:rPr>
          <w:rFonts w:eastAsiaTheme="minorHAnsi" w:cs="Aldhabi"/>
          <w:i/>
          <w:sz w:val="22"/>
        </w:rPr>
      </w:pPr>
      <w:r w:rsidRPr="0044551F">
        <w:rPr>
          <w:rFonts w:eastAsiaTheme="minorHAnsi" w:cs="Aldhabi"/>
          <w:i/>
          <w:sz w:val="22"/>
        </w:rPr>
        <w:t>I al XVI…</w:t>
      </w:r>
    </w:p>
    <w:p w14:paraId="6A619F7B" w14:textId="77777777" w:rsidR="00CE713E" w:rsidRPr="0044551F" w:rsidRDefault="00CE713E" w:rsidP="00CE713E">
      <w:pPr>
        <w:ind w:left="567" w:right="567"/>
        <w:contextualSpacing/>
        <w:rPr>
          <w:rFonts w:eastAsiaTheme="minorHAnsi" w:cs="Aldhabi"/>
          <w:i/>
          <w:sz w:val="22"/>
        </w:rPr>
      </w:pPr>
      <w:r w:rsidRPr="0044551F">
        <w:rPr>
          <w:rFonts w:eastAsiaTheme="minorHAnsi" w:cs="Aldhabi"/>
          <w:i/>
          <w:sz w:val="22"/>
        </w:rPr>
        <w:t xml:space="preserve">XVII. </w:t>
      </w:r>
      <w:r w:rsidRPr="0044551F">
        <w:rPr>
          <w:rFonts w:eastAsiaTheme="minorHAnsi" w:cs="Aldhabi"/>
          <w:b/>
          <w:i/>
          <w:sz w:val="22"/>
        </w:rPr>
        <w:t>Integrar los expedientes de los servidores públicos y</w:t>
      </w:r>
      <w:r w:rsidRPr="0044551F">
        <w:rPr>
          <w:rFonts w:eastAsiaTheme="minorHAnsi" w:cs="Aldhabi"/>
          <w:i/>
          <w:sz w:val="22"/>
        </w:rPr>
        <w:t xml:space="preserve"> proporcionar las constancias que éstos soliciten para el trámite de los asuntos de su interés en los términos que señalen los ordenamientos respectivos.</w:t>
      </w:r>
    </w:p>
    <w:p w14:paraId="3E30267F" w14:textId="77777777" w:rsidR="00CE713E" w:rsidRPr="0044551F" w:rsidRDefault="00CE713E" w:rsidP="00CE713E">
      <w:pPr>
        <w:ind w:left="567" w:right="567"/>
        <w:contextualSpacing/>
        <w:rPr>
          <w:rFonts w:eastAsiaTheme="minorHAnsi" w:cs="Aldhabi"/>
          <w:i/>
          <w:sz w:val="22"/>
        </w:rPr>
      </w:pPr>
      <w:r w:rsidRPr="0044551F">
        <w:rPr>
          <w:rFonts w:eastAsiaTheme="minorHAnsi" w:cs="Aldhabi"/>
          <w:i/>
          <w:sz w:val="22"/>
        </w:rPr>
        <w:t>XVIII al XXI…</w:t>
      </w:r>
    </w:p>
    <w:p w14:paraId="5841B6CB" w14:textId="77777777" w:rsidR="00CE713E" w:rsidRPr="0044551F" w:rsidRDefault="00CE713E" w:rsidP="00CE713E">
      <w:pPr>
        <w:ind w:left="567" w:right="680"/>
        <w:contextualSpacing/>
        <w:rPr>
          <w:rFonts w:eastAsiaTheme="minorHAnsi" w:cs="Aldhabi"/>
          <w:i/>
          <w:sz w:val="22"/>
        </w:rPr>
      </w:pPr>
    </w:p>
    <w:p w14:paraId="6C0E6FB9" w14:textId="77777777" w:rsidR="00CE713E" w:rsidRPr="0044551F" w:rsidRDefault="00CE713E" w:rsidP="00CE713E">
      <w:pPr>
        <w:rPr>
          <w:rFonts w:eastAsiaTheme="minorHAnsi" w:cs="Aldhabi"/>
        </w:rPr>
      </w:pPr>
      <w:r w:rsidRPr="0044551F">
        <w:rPr>
          <w:rFonts w:eastAsiaTheme="minorHAnsi" w:cs="Aldhabi"/>
        </w:rPr>
        <w:t>Así pues, se advierte que las instituciones públicas tienen la obligación normativa de integrar un expediente de cada servidor público, ya que estas constancias pueden ser usadas en procedimientos judiciales; asimismo, que, dentro de la estructura orgánica del Sujeto Obligado, si cuenta con una Coordinación Administrativa y de Gestión Documental que cuenta con la información de las relaciones laborales entre la institución pública y los servidores públicos, como se ha visto anteriormente.</w:t>
      </w:r>
    </w:p>
    <w:p w14:paraId="00E0EE38" w14:textId="77777777" w:rsidR="00CE713E" w:rsidRPr="0044551F" w:rsidRDefault="00CE713E" w:rsidP="00CE713E">
      <w:pPr>
        <w:rPr>
          <w:rFonts w:eastAsiaTheme="minorHAnsi" w:cs="Aldhabi"/>
        </w:rPr>
      </w:pPr>
    </w:p>
    <w:p w14:paraId="501F7DEF" w14:textId="77777777" w:rsidR="00CE713E" w:rsidRPr="0044551F" w:rsidRDefault="00CE713E" w:rsidP="00CE713E">
      <w:pPr>
        <w:rPr>
          <w:rFonts w:eastAsia="MS Mincho" w:cs="Aldhabi"/>
          <w:lang w:eastAsia="en-US"/>
        </w:rPr>
      </w:pPr>
      <w:r w:rsidRPr="0044551F">
        <w:rPr>
          <w:rFonts w:eastAsiaTheme="minorHAnsi" w:cs="Aldhabi"/>
          <w:lang w:eastAsia="en-US"/>
        </w:rPr>
        <w:t xml:space="preserve">Así, se tiene que la Ley del Trabajo referida establece en su artículo 98, fracción XVII, que es una obligación de las instituciones públicas integrar los expedientes de los servidores públicos; mientras que la Ley de Transparencia y Acceso a la Información Pública del Estado de México y Municipios, en su artículo 92, fracción XXI, señala que la información curricular, desde el nivel de jefe de departamento o equivalente, hasta el titular del sujeto obligado, así como, en su caso, las sanciones administrativas de que haya sido objeto se trata de una obligación de transparencia común, </w:t>
      </w:r>
      <w:r w:rsidRPr="0044551F">
        <w:rPr>
          <w:rFonts w:eastAsia="Arial Unicode MS" w:cs="Aldhabi"/>
          <w:lang w:eastAsia="en-US"/>
        </w:rPr>
        <w:t xml:space="preserve">esto es, información que por su </w:t>
      </w:r>
      <w:r w:rsidRPr="0044551F">
        <w:rPr>
          <w:rFonts w:eastAsia="Arial Unicode MS" w:cs="Aldhabi"/>
          <w:lang w:eastAsia="en-US"/>
        </w:rPr>
        <w:lastRenderedPageBreak/>
        <w:t xml:space="preserve">naturaleza es pública y que los sujetos obligados  </w:t>
      </w:r>
      <w:r w:rsidRPr="0044551F">
        <w:rPr>
          <w:rFonts w:eastAsia="MS Mincho" w:cs="Aldhabi"/>
          <w:lang w:eastAsia="en-US"/>
        </w:rPr>
        <w:t>deben poner a disposición del público de manera permanente y por tanto deberán mantenerla actualizada, en los respectivos medios electrónicos, de acuerdo con sus facultades, atribuciones, funciones u objeto social.</w:t>
      </w:r>
    </w:p>
    <w:p w14:paraId="632F1E61" w14:textId="77777777" w:rsidR="00CE713E" w:rsidRPr="0044551F" w:rsidRDefault="00CE713E" w:rsidP="00CE713E">
      <w:pPr>
        <w:rPr>
          <w:rFonts w:eastAsia="MS Mincho" w:cs="Aldhabi"/>
          <w:lang w:eastAsia="en-US"/>
        </w:rPr>
      </w:pPr>
    </w:p>
    <w:p w14:paraId="21AD4B67" w14:textId="77777777" w:rsidR="00CE713E" w:rsidRPr="0044551F" w:rsidRDefault="00CE713E" w:rsidP="00CE713E">
      <w:pPr>
        <w:rPr>
          <w:rFonts w:eastAsiaTheme="minorHAnsi" w:cs="Aldhabi"/>
          <w:lang w:eastAsia="en-US"/>
        </w:rPr>
      </w:pPr>
      <w:r w:rsidRPr="0044551F">
        <w:rPr>
          <w:rFonts w:eastAsia="MS Mincho" w:cs="Aldhabi"/>
          <w:lang w:eastAsia="en-US"/>
        </w:rPr>
        <w:t xml:space="preserve">Adicionalmente, con relación a la obligación de transparencia común en cita, se destaca que los </w:t>
      </w:r>
      <w:r w:rsidRPr="0044551F">
        <w:rPr>
          <w:rFonts w:eastAsiaTheme="minorHAnsi" w:cs="Aldhabi"/>
          <w:lang w:eastAsia="en-US"/>
        </w:rPr>
        <w:t>“</w:t>
      </w:r>
      <w:r w:rsidRPr="0044551F">
        <w:rPr>
          <w:rFonts w:eastAsiaTheme="minorHAnsi" w:cs="Aldhabi"/>
          <w:b/>
          <w:bCs/>
          <w:i/>
          <w:iCs/>
          <w:lang w:eastAsia="en-U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44551F">
        <w:rPr>
          <w:rFonts w:eastAsiaTheme="minorHAnsi" w:cs="Aldhabi"/>
          <w:lang w:eastAsia="en-US"/>
        </w:rPr>
        <w:t xml:space="preserve"> engloban como criterios sustantivos de contenido los relativos a:</w:t>
      </w:r>
    </w:p>
    <w:p w14:paraId="103271EE" w14:textId="77777777" w:rsidR="00CE713E" w:rsidRPr="0044551F" w:rsidRDefault="00CE713E" w:rsidP="00CE713E">
      <w:pPr>
        <w:rPr>
          <w:rFonts w:cs="Aldhabi"/>
          <w:lang w:eastAsia="en-US"/>
        </w:rPr>
      </w:pPr>
    </w:p>
    <w:p w14:paraId="7A49842F" w14:textId="77777777" w:rsidR="00CE713E" w:rsidRPr="0044551F" w:rsidRDefault="00CE713E" w:rsidP="00CE713E">
      <w:pPr>
        <w:ind w:left="567" w:right="567"/>
        <w:rPr>
          <w:rFonts w:eastAsiaTheme="minorHAnsi" w:cs="Aldhabi"/>
          <w:i/>
          <w:sz w:val="22"/>
          <w:lang w:eastAsia="en-US"/>
        </w:rPr>
      </w:pPr>
      <w:r w:rsidRPr="0044551F">
        <w:rPr>
          <w:rFonts w:eastAsiaTheme="minorHAnsi" w:cs="Aldhabi"/>
          <w:i/>
          <w:sz w:val="22"/>
          <w:lang w:eastAsia="en-US"/>
        </w:rPr>
        <w:t xml:space="preserve">“Respecto a la información curricular del (la) servidor(a) público(a) y/o persona que desempeñe un empleo, cargo o comisión en el sujeto obligado se deberá publicar: </w:t>
      </w:r>
    </w:p>
    <w:p w14:paraId="7160FF46" w14:textId="77777777" w:rsidR="00CE713E" w:rsidRPr="0044551F" w:rsidRDefault="00CE713E" w:rsidP="00CE713E">
      <w:pPr>
        <w:ind w:left="567" w:right="567"/>
        <w:rPr>
          <w:rFonts w:eastAsiaTheme="minorHAnsi" w:cs="Aldhabi"/>
          <w:b/>
          <w:bCs/>
          <w:i/>
          <w:sz w:val="22"/>
          <w:u w:val="single"/>
          <w:lang w:eastAsia="en-US"/>
        </w:rPr>
      </w:pPr>
    </w:p>
    <w:p w14:paraId="312E188A" w14:textId="77777777" w:rsidR="00CE713E" w:rsidRPr="0044551F" w:rsidRDefault="00CE713E" w:rsidP="00CE713E">
      <w:pPr>
        <w:ind w:left="567" w:right="567"/>
        <w:rPr>
          <w:rFonts w:eastAsiaTheme="minorHAnsi" w:cs="Aldhabi"/>
          <w:b/>
          <w:bCs/>
          <w:i/>
          <w:sz w:val="22"/>
          <w:u w:val="single"/>
          <w:lang w:eastAsia="en-US"/>
        </w:rPr>
      </w:pPr>
      <w:r w:rsidRPr="0044551F">
        <w:rPr>
          <w:rFonts w:eastAsiaTheme="minorHAnsi" w:cs="Aldhabi"/>
          <w:b/>
          <w:bCs/>
          <w:i/>
          <w:sz w:val="22"/>
          <w:u w:val="single"/>
          <w:lang w:eastAsia="en-US"/>
        </w:rPr>
        <w:t>Criterio 7 Escolaridad, nivel máximo de estudios concluido y comprobable (catálogo): Ninguno/Primaria/Secundaria/Bachillerato/Carrera técnica / Licenciatura / Maestría / Doctorado / Posdoctorado / Especialización</w:t>
      </w:r>
    </w:p>
    <w:p w14:paraId="50704691" w14:textId="77777777" w:rsidR="00CE713E" w:rsidRPr="0044551F" w:rsidRDefault="00CE713E" w:rsidP="00CE713E">
      <w:pPr>
        <w:ind w:left="567" w:right="567"/>
        <w:rPr>
          <w:rFonts w:eastAsiaTheme="minorHAnsi" w:cs="Aldhabi"/>
          <w:b/>
          <w:bCs/>
          <w:i/>
          <w:sz w:val="22"/>
          <w:u w:val="single"/>
          <w:lang w:eastAsia="en-US"/>
        </w:rPr>
      </w:pPr>
    </w:p>
    <w:p w14:paraId="7E4FF9BF" w14:textId="77777777" w:rsidR="00CE713E" w:rsidRPr="0044551F" w:rsidRDefault="00CE713E" w:rsidP="00CE713E">
      <w:pPr>
        <w:ind w:left="567" w:right="567"/>
        <w:rPr>
          <w:rFonts w:eastAsiaTheme="minorHAnsi" w:cs="Aldhabi"/>
          <w:b/>
          <w:bCs/>
          <w:i/>
          <w:sz w:val="22"/>
          <w:u w:val="single"/>
          <w:lang w:eastAsia="en-US"/>
        </w:rPr>
      </w:pPr>
      <w:r w:rsidRPr="0044551F">
        <w:rPr>
          <w:rFonts w:eastAsiaTheme="minorHAnsi" w:cs="Aldhabi"/>
          <w:b/>
          <w:bCs/>
          <w:i/>
          <w:sz w:val="22"/>
          <w:u w:val="single"/>
          <w:lang w:eastAsia="en-US"/>
        </w:rPr>
        <w:t>Criterio 8 Carrera genérica, en su caso</w:t>
      </w:r>
    </w:p>
    <w:p w14:paraId="5D2D02C1" w14:textId="77777777" w:rsidR="00CE713E" w:rsidRPr="0044551F" w:rsidRDefault="00CE713E" w:rsidP="00CE713E">
      <w:pPr>
        <w:ind w:left="567" w:right="567"/>
        <w:rPr>
          <w:rFonts w:eastAsia="MS Mincho" w:cs="Aldhabi"/>
          <w:i/>
          <w:sz w:val="22"/>
          <w:lang w:eastAsia="en-US"/>
        </w:rPr>
      </w:pPr>
      <w:r w:rsidRPr="0044551F">
        <w:rPr>
          <w:rFonts w:eastAsiaTheme="minorHAnsi" w:cs="Aldhabi"/>
          <w:i/>
          <w:sz w:val="22"/>
          <w:lang w:eastAsia="en-US"/>
        </w:rPr>
        <w:t xml:space="preserve">(…)” </w:t>
      </w:r>
      <w:r w:rsidRPr="0044551F">
        <w:rPr>
          <w:rFonts w:eastAsiaTheme="minorHAnsi" w:cs="Aldhabi"/>
          <w:b/>
          <w:bCs/>
          <w:i/>
          <w:sz w:val="22"/>
          <w:lang w:eastAsia="en-US"/>
        </w:rPr>
        <w:t xml:space="preserve">(Sic) </w:t>
      </w:r>
    </w:p>
    <w:p w14:paraId="22CF9562" w14:textId="77777777" w:rsidR="00CE713E" w:rsidRPr="0044551F" w:rsidRDefault="00CE713E" w:rsidP="00CE713E">
      <w:pPr>
        <w:pStyle w:val="Prrafodelista"/>
        <w:ind w:left="0" w:right="49"/>
        <w:contextualSpacing/>
        <w:rPr>
          <w:rFonts w:cs="Arial"/>
          <w:szCs w:val="23"/>
        </w:rPr>
      </w:pPr>
    </w:p>
    <w:p w14:paraId="10A2A054" w14:textId="77777777" w:rsidR="00CE713E" w:rsidRPr="0044551F" w:rsidRDefault="00CE713E" w:rsidP="00CE713E">
      <w:pPr>
        <w:pStyle w:val="Prrafodelista"/>
        <w:ind w:left="0" w:right="49"/>
        <w:contextualSpacing/>
        <w:rPr>
          <w:rFonts w:cs="Arial"/>
          <w:color w:val="000000" w:themeColor="text1"/>
        </w:rPr>
      </w:pPr>
      <w:r w:rsidRPr="0044551F">
        <w:rPr>
          <w:rFonts w:cs="Arial"/>
          <w:szCs w:val="23"/>
        </w:rPr>
        <w:t xml:space="preserve">Lo anterior permitirá saber si las personas a través de la preparación tanto académica como laboral que presume tener, es idónea para desempeñar dentro de la </w:t>
      </w:r>
      <w:r w:rsidRPr="0044551F">
        <w:rPr>
          <w:rFonts w:cs="Arial"/>
          <w:szCs w:val="23"/>
        </w:rPr>
        <w:lastRenderedPageBreak/>
        <w:t>Administración Pública Municipal</w:t>
      </w:r>
      <w:r w:rsidRPr="0044551F">
        <w:rPr>
          <w:rFonts w:cs="Arial"/>
          <w:color w:val="000000" w:themeColor="text1"/>
        </w:rPr>
        <w:t xml:space="preserve"> y, atendiendo a que la normatividad especifica de manera precisa cuáles son los requisitos que se requieren para: a) ingresar al servicio público y b) para ocupar un determinado cargo público; que para el segundo caso, se señala que es indispensable contar con determinados documentos, en el caso concreto, ya sea con el título profesional o, (incluso) con la cédula profesional,</w:t>
      </w:r>
      <w:r w:rsidRPr="0044551F">
        <w:rPr>
          <w:rFonts w:eastAsia="MS Mincho" w:cs="Arial"/>
        </w:rPr>
        <w:t xml:space="preserve"> Posgrados, o cualquier certificado de educación básica o de bachillerato </w:t>
      </w:r>
      <w:r w:rsidRPr="0044551F">
        <w:rPr>
          <w:rFonts w:cs="Arial"/>
          <w:color w:val="000000" w:themeColor="text1"/>
        </w:rPr>
        <w:t>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49ED742E" w14:textId="77777777" w:rsidR="00CE713E" w:rsidRPr="0044551F" w:rsidRDefault="00CE713E" w:rsidP="00CE713E">
      <w:pPr>
        <w:pStyle w:val="Prrafodelista"/>
        <w:ind w:left="0" w:right="49"/>
        <w:contextualSpacing/>
        <w:rPr>
          <w:rFonts w:cs="Arial"/>
          <w:color w:val="000000" w:themeColor="text1"/>
        </w:rPr>
      </w:pPr>
    </w:p>
    <w:p w14:paraId="358EF55C" w14:textId="77777777" w:rsidR="00CE713E" w:rsidRPr="0044551F" w:rsidRDefault="00CE713E" w:rsidP="00CE713E">
      <w:pPr>
        <w:pStyle w:val="Prrafodelista"/>
        <w:ind w:left="0" w:right="49"/>
        <w:contextualSpacing/>
        <w:rPr>
          <w:rFonts w:cs="Arial"/>
          <w:color w:val="000000" w:themeColor="text1"/>
        </w:rPr>
      </w:pPr>
      <w:r w:rsidRPr="0044551F">
        <w:rPr>
          <w:rFonts w:cs="Arial"/>
          <w:color w:val="000000" w:themeColor="text1"/>
        </w:rPr>
        <w:t>Ahora bien, con relación a los documentos descritos con anterioridad, es menester señalar que pudieran ser susceptibles de reflejar la siguiente información:</w:t>
      </w:r>
    </w:p>
    <w:p w14:paraId="48678C6F" w14:textId="77777777" w:rsidR="00CE713E" w:rsidRPr="0044551F" w:rsidRDefault="00CE713E" w:rsidP="00CE713E">
      <w:pPr>
        <w:pStyle w:val="Prrafodelista"/>
        <w:ind w:left="0" w:right="49"/>
        <w:contextualSpacing/>
        <w:rPr>
          <w:rFonts w:cs="Arial"/>
          <w:color w:val="000000" w:themeColor="text1"/>
        </w:rPr>
      </w:pPr>
    </w:p>
    <w:p w14:paraId="47835923" w14:textId="77777777" w:rsidR="00CE713E" w:rsidRPr="0044551F" w:rsidRDefault="00CE713E" w:rsidP="00CE713E">
      <w:pPr>
        <w:numPr>
          <w:ilvl w:val="0"/>
          <w:numId w:val="46"/>
        </w:numPr>
        <w:tabs>
          <w:tab w:val="left" w:pos="7770"/>
        </w:tabs>
        <w:rPr>
          <w:bCs/>
        </w:rPr>
      </w:pPr>
      <w:r w:rsidRPr="0044551F">
        <w:rPr>
          <w:b/>
          <w:bCs/>
        </w:rPr>
        <w:t>Firma:</w:t>
      </w:r>
      <w:r w:rsidRPr="0044551F">
        <w:t xml:space="preserve"> </w:t>
      </w:r>
      <w:r w:rsidRPr="0044551F">
        <w:rPr>
          <w:bCs/>
        </w:rPr>
        <w:t xml:space="preserve">Tratándose de personas físicas en el rol de ciudadanos, es </w:t>
      </w:r>
      <w:r w:rsidRPr="0044551F">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14FF7340" w14:textId="77777777" w:rsidR="00CE713E" w:rsidRPr="0044551F" w:rsidRDefault="00CE713E" w:rsidP="00CE713E">
      <w:pPr>
        <w:tabs>
          <w:tab w:val="left" w:pos="7770"/>
        </w:tabs>
        <w:ind w:left="720"/>
        <w:rPr>
          <w:bCs/>
        </w:rPr>
      </w:pPr>
    </w:p>
    <w:p w14:paraId="26F5286E" w14:textId="77777777" w:rsidR="00CE713E" w:rsidRPr="0044551F" w:rsidRDefault="00CE713E" w:rsidP="00CE713E">
      <w:pPr>
        <w:tabs>
          <w:tab w:val="left" w:pos="7770"/>
        </w:tabs>
        <w:ind w:left="720"/>
        <w:rPr>
          <w:bCs/>
        </w:rPr>
      </w:pPr>
      <w:r w:rsidRPr="0044551F">
        <w:rPr>
          <w:bCs/>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w:t>
      </w:r>
      <w:r w:rsidRPr="0044551F">
        <w:rPr>
          <w:bCs/>
        </w:rPr>
        <w:lastRenderedPageBreak/>
        <w:t xml:space="preserve">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261CD70F" w14:textId="77777777" w:rsidR="00CE713E" w:rsidRPr="0044551F" w:rsidRDefault="00CE713E" w:rsidP="00CE713E">
      <w:pPr>
        <w:tabs>
          <w:tab w:val="left" w:pos="7770"/>
        </w:tabs>
        <w:ind w:left="720"/>
        <w:rPr>
          <w:bCs/>
        </w:rPr>
      </w:pPr>
    </w:p>
    <w:p w14:paraId="3B731EC9" w14:textId="77777777" w:rsidR="00CE713E" w:rsidRPr="0044551F" w:rsidRDefault="00CE713E" w:rsidP="00CE713E">
      <w:pPr>
        <w:numPr>
          <w:ilvl w:val="0"/>
          <w:numId w:val="46"/>
        </w:numPr>
        <w:tabs>
          <w:tab w:val="left" w:pos="7770"/>
        </w:tabs>
        <w:rPr>
          <w:b/>
          <w:bCs/>
        </w:rPr>
      </w:pPr>
      <w:r w:rsidRPr="0044551F">
        <w:rPr>
          <w:b/>
          <w:bCs/>
        </w:rPr>
        <w:t>Nombre:</w:t>
      </w:r>
      <w:r w:rsidRPr="0044551F">
        <w:t xml:space="preserve"> </w:t>
      </w:r>
      <w:r w:rsidRPr="0044551F">
        <w:rPr>
          <w:bCs/>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4A70D1AC" w14:textId="77777777" w:rsidR="00CE713E" w:rsidRPr="0044551F" w:rsidRDefault="00CE713E" w:rsidP="00CE713E">
      <w:pPr>
        <w:tabs>
          <w:tab w:val="left" w:pos="7770"/>
        </w:tabs>
        <w:ind w:left="720"/>
        <w:rPr>
          <w:b/>
          <w:bCs/>
        </w:rPr>
      </w:pPr>
    </w:p>
    <w:p w14:paraId="6528865A" w14:textId="77777777" w:rsidR="00CE713E" w:rsidRPr="0044551F" w:rsidRDefault="00CE713E" w:rsidP="00CE713E">
      <w:pPr>
        <w:pStyle w:val="Prrafodelista"/>
        <w:numPr>
          <w:ilvl w:val="0"/>
          <w:numId w:val="46"/>
        </w:numPr>
        <w:autoSpaceDE w:val="0"/>
        <w:autoSpaceDN w:val="0"/>
        <w:adjustRightInd w:val="0"/>
        <w:rPr>
          <w:rFonts w:ascii="Calibri" w:hAnsi="Calibri" w:cs="Calibri"/>
          <w:color w:val="000000"/>
        </w:rPr>
      </w:pPr>
      <w:r w:rsidRPr="0044551F">
        <w:rPr>
          <w:b/>
          <w:bCs/>
        </w:rPr>
        <w:t xml:space="preserve">Fotografía: </w:t>
      </w:r>
      <w:r w:rsidRPr="0044551F">
        <w:rPr>
          <w:rFonts w:cs="Calibri"/>
          <w:color w:val="000000"/>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5EB726DA" w14:textId="77777777" w:rsidR="00CE713E" w:rsidRPr="0044551F" w:rsidRDefault="00CE713E" w:rsidP="00CE713E">
      <w:pPr>
        <w:pStyle w:val="Prrafodelista"/>
        <w:ind w:left="714"/>
        <w:rPr>
          <w:rFonts w:cs="Calibri"/>
          <w:color w:val="000000"/>
        </w:rPr>
      </w:pPr>
    </w:p>
    <w:p w14:paraId="335A5236" w14:textId="77777777" w:rsidR="00CE713E" w:rsidRPr="0044551F" w:rsidRDefault="00CE713E" w:rsidP="00CE713E">
      <w:pPr>
        <w:pStyle w:val="Prrafodelista"/>
        <w:ind w:left="714"/>
        <w:rPr>
          <w:rFonts w:cs="Calibri"/>
          <w:color w:val="000000"/>
        </w:rPr>
      </w:pPr>
    </w:p>
    <w:p w14:paraId="2B10B35E" w14:textId="77777777" w:rsidR="00CE713E" w:rsidRPr="0044551F" w:rsidRDefault="00CE713E" w:rsidP="00CE713E">
      <w:pPr>
        <w:pStyle w:val="Prrafodelista"/>
        <w:ind w:left="714"/>
        <w:rPr>
          <w:rFonts w:cs="Calibri"/>
          <w:color w:val="000000"/>
        </w:rPr>
      </w:pPr>
      <w:r w:rsidRPr="0044551F">
        <w:rPr>
          <w:rFonts w:cs="Calibri"/>
          <w:color w:val="000000"/>
        </w:rPr>
        <w:t xml:space="preserve">Así, dichos datos constituyen la reproducción fiel de las características físicas de una persona en un momento determinado, por lo que representan un instrumento de identificación, proyección exterior y factor imprescindible para su propio </w:t>
      </w:r>
      <w:r w:rsidRPr="0044551F">
        <w:rPr>
          <w:rFonts w:cs="Calibri"/>
          <w:color w:val="000000"/>
        </w:rPr>
        <w:lastRenderedPageBreak/>
        <w:t>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3ABDD725" w14:textId="77777777" w:rsidR="00CE713E" w:rsidRPr="0044551F" w:rsidRDefault="00CE713E" w:rsidP="00CE713E">
      <w:pPr>
        <w:pStyle w:val="Prrafodelista"/>
        <w:ind w:left="714"/>
        <w:rPr>
          <w:rFonts w:cs="Calibri"/>
          <w:color w:val="000000"/>
        </w:rPr>
      </w:pPr>
    </w:p>
    <w:p w14:paraId="1FF3708C" w14:textId="77777777" w:rsidR="00CE713E" w:rsidRPr="0044551F" w:rsidRDefault="00CE713E" w:rsidP="00CE713E">
      <w:pPr>
        <w:pStyle w:val="Prrafodelista"/>
        <w:ind w:left="714"/>
        <w:rPr>
          <w:rFonts w:cs="Calibri"/>
          <w:color w:val="000000"/>
        </w:rPr>
      </w:pPr>
      <w:r w:rsidRPr="0044551F">
        <w:rPr>
          <w:rFonts w:cs="Calibri"/>
          <w:color w:val="000000"/>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44551F">
        <w:rPr>
          <w:rFonts w:cs="Calibri"/>
          <w:b/>
          <w:color w:val="000000"/>
          <w:u w:val="single"/>
        </w:rPr>
        <w:t>con excepción del personal operativo en materia de seguridad</w:t>
      </w:r>
      <w:r w:rsidRPr="0044551F">
        <w:rPr>
          <w:rFonts w:cs="Calibri"/>
          <w:color w:val="000000"/>
        </w:rPr>
        <w:t xml:space="preserve">, respecto del cual el Pleno de este Instituto ya se ha pronunciado en el sentido de que la información que los haga identificados o identificables debe clasificarse como </w:t>
      </w:r>
      <w:r w:rsidRPr="0044551F">
        <w:rPr>
          <w:rFonts w:cs="Calibri"/>
          <w:b/>
          <w:color w:val="000000"/>
        </w:rPr>
        <w:t>RESERVADA</w:t>
      </w:r>
      <w:r w:rsidRPr="0044551F">
        <w:rPr>
          <w:rFonts w:cs="Calibri"/>
          <w:color w:val="000000"/>
        </w:rPr>
        <w:t>).</w:t>
      </w:r>
    </w:p>
    <w:p w14:paraId="593176FC" w14:textId="77777777" w:rsidR="00CE713E" w:rsidRPr="0044551F" w:rsidRDefault="00CE713E" w:rsidP="00CE713E">
      <w:pPr>
        <w:pStyle w:val="Prrafodelista"/>
        <w:ind w:left="714"/>
        <w:rPr>
          <w:rFonts w:ascii="Calibri" w:hAnsi="Calibri" w:cs="Calibri"/>
          <w:color w:val="000000"/>
        </w:rPr>
      </w:pPr>
    </w:p>
    <w:p w14:paraId="59AE905D" w14:textId="77777777" w:rsidR="00CE713E" w:rsidRPr="0044551F" w:rsidRDefault="00CE713E" w:rsidP="00CE713E">
      <w:pPr>
        <w:rPr>
          <w:color w:val="000000"/>
        </w:rPr>
      </w:pPr>
      <w:r w:rsidRPr="0044551F">
        <w:rPr>
          <w:color w:val="000000"/>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18E5326E" w14:textId="77777777" w:rsidR="00CE713E" w:rsidRPr="0044551F" w:rsidRDefault="00CE713E" w:rsidP="00CE713E">
      <w:pPr>
        <w:pStyle w:val="Prrafodelista"/>
        <w:ind w:left="714"/>
        <w:rPr>
          <w:rFonts w:ascii="Calibri" w:hAnsi="Calibri" w:cs="Calibri"/>
          <w:color w:val="000000"/>
        </w:rPr>
      </w:pPr>
    </w:p>
    <w:p w14:paraId="2BCC55FE" w14:textId="77777777" w:rsidR="00CE713E" w:rsidRPr="0044551F" w:rsidRDefault="00CE713E" w:rsidP="00CE713E">
      <w:pPr>
        <w:rPr>
          <w:rFonts w:ascii="Calibri" w:hAnsi="Calibri"/>
          <w:color w:val="000000"/>
        </w:rPr>
      </w:pPr>
      <w:r w:rsidRPr="0044551F">
        <w:rPr>
          <w:color w:val="000000"/>
        </w:rPr>
        <w:t xml:space="preserve">Debe tenerse presente que el actuar de los servidores públicos incide de manera específica en los derechos de los particulares, pues el acto de un servidor público en ejercicio de sus </w:t>
      </w:r>
      <w:r w:rsidRPr="0044551F">
        <w:rPr>
          <w:color w:val="000000"/>
        </w:rPr>
        <w:lastRenderedPageBreak/>
        <w:t>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590BB54F" w14:textId="77777777" w:rsidR="00CE713E" w:rsidRPr="0044551F" w:rsidRDefault="00CE713E" w:rsidP="00CE713E">
      <w:pPr>
        <w:pStyle w:val="Prrafodelista"/>
        <w:ind w:left="714"/>
        <w:rPr>
          <w:rFonts w:cs="Calibri"/>
          <w:b/>
          <w:bCs/>
          <w:color w:val="000000"/>
        </w:rPr>
      </w:pPr>
    </w:p>
    <w:p w14:paraId="31376ED8" w14:textId="77777777" w:rsidR="00CE713E" w:rsidRPr="0044551F" w:rsidRDefault="00CE713E" w:rsidP="00CE713E">
      <w:pPr>
        <w:rPr>
          <w:rFonts w:ascii="Calibri" w:hAnsi="Calibri"/>
          <w:color w:val="000000"/>
        </w:rPr>
      </w:pPr>
      <w:r w:rsidRPr="0044551F">
        <w:rPr>
          <w:color w:val="000000"/>
        </w:rPr>
        <w:t xml:space="preserve">Por lo anterior, cuando las fotografías de los servidores públicos obran en documentos que dan cuenta del cumplimiento de funciones, </w:t>
      </w:r>
      <w:r w:rsidRPr="0044551F">
        <w:rPr>
          <w:color w:val="000000"/>
          <w:u w:val="single"/>
        </w:rPr>
        <w:t>requisitos legales</w:t>
      </w:r>
      <w:r w:rsidRPr="0044551F">
        <w:rPr>
          <w:color w:val="000000"/>
        </w:rPr>
        <w:t xml:space="preserve"> o los acredita como servidores públicos, deben ser consideradas un dato personal, </w:t>
      </w:r>
      <w:r w:rsidRPr="0044551F">
        <w:rPr>
          <w:b/>
          <w:color w:val="000000"/>
          <w:u w:val="single"/>
        </w:rPr>
        <w:t>que no puede ser clasificado como confidencial</w:t>
      </w:r>
      <w:r w:rsidRPr="0044551F">
        <w:rPr>
          <w:color w:val="000000"/>
        </w:rPr>
        <w:t>,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6A41176" w14:textId="77777777" w:rsidR="00CE713E" w:rsidRPr="0044551F" w:rsidRDefault="00CE713E" w:rsidP="00CE713E">
      <w:pPr>
        <w:pStyle w:val="Prrafodelista"/>
        <w:ind w:left="714"/>
        <w:rPr>
          <w:rFonts w:ascii="Calibri" w:hAnsi="Calibri" w:cs="Calibri"/>
          <w:color w:val="000000"/>
        </w:rPr>
      </w:pPr>
    </w:p>
    <w:p w14:paraId="4F3EB029" w14:textId="77777777" w:rsidR="00CE713E" w:rsidRPr="0044551F" w:rsidRDefault="00CE713E" w:rsidP="00CE713E">
      <w:pPr>
        <w:rPr>
          <w:color w:val="000000"/>
        </w:rPr>
      </w:pPr>
      <w:r w:rsidRPr="0044551F">
        <w:rPr>
          <w:color w:val="000000"/>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083C7453" w14:textId="77777777" w:rsidR="0037388D" w:rsidRPr="0044551F" w:rsidRDefault="0037388D" w:rsidP="00E8313C">
      <w:pPr>
        <w:rPr>
          <w:szCs w:val="24"/>
          <w:lang w:val="es-MX"/>
        </w:rPr>
      </w:pPr>
    </w:p>
    <w:p w14:paraId="703BA35F" w14:textId="4FF6C691" w:rsidR="00454915" w:rsidRPr="0044551F" w:rsidRDefault="7B6D7691" w:rsidP="00E8313C">
      <w:r w:rsidRPr="0044551F">
        <w:rPr>
          <w:lang w:val="es-ES"/>
        </w:rPr>
        <w:t xml:space="preserve">Por lo anterior, con la finalidad de que se otorgue la debida certeza al Recurrente respecto de la información que es de su interés, es necesario que se realice una nueva búsqueda </w:t>
      </w:r>
      <w:r w:rsidRPr="0044551F">
        <w:rPr>
          <w:lang w:val="es-ES"/>
        </w:rPr>
        <w:lastRenderedPageBreak/>
        <w:t>exhaustiva y razonable en los archivos de todas las áreas que se consideren competentes con la finalidad de que se haga entrega de los documentos en donde conste la información relativa a las controversias constitucionales relacionadas a</w:t>
      </w:r>
      <w:r w:rsidR="00FF084D" w:rsidRPr="0044551F">
        <w:rPr>
          <w:lang w:val="es-ES"/>
        </w:rPr>
        <w:t xml:space="preserve"> las cartas de renuncia del personal que se dio de baja durante el periodo comprendido del 15 de septiembre al 30 de noviembre de dos mil veintitrés, los currículums y comprobantes de estudios del personal adscrito a la Secretaría de Movilidad al cuatro de diciembre de dos mil veintitrés.</w:t>
      </w:r>
    </w:p>
    <w:p w14:paraId="0C55005A" w14:textId="77777777" w:rsidR="00581587" w:rsidRPr="0044551F" w:rsidRDefault="00581587" w:rsidP="00E8313C"/>
    <w:p w14:paraId="05CEF078" w14:textId="4AEDBA66" w:rsidR="00581587" w:rsidRPr="0044551F" w:rsidRDefault="7B6D7691" w:rsidP="00E8313C">
      <w:pPr>
        <w:rPr>
          <w:rStyle w:val="Hipervnculo"/>
          <w:rFonts w:eastAsia="Palatino Linotype" w:cs="Palatino Linotype"/>
          <w:color w:val="auto"/>
          <w:u w:val="none"/>
          <w:lang w:val="es-ES"/>
        </w:rPr>
      </w:pPr>
      <w:r w:rsidRPr="0044551F">
        <w:rPr>
          <w:rStyle w:val="Hipervnculo"/>
          <w:rFonts w:eastAsia="Palatino Linotype" w:cs="Palatino Linotype"/>
          <w:color w:val="auto"/>
          <w:u w:val="none"/>
          <w:lang w:val="es-ES"/>
        </w:rPr>
        <w:t xml:space="preserve">Por lo anterior, este Instituto estima que los motivos de inconformidad planteados por el Recurrente devienen parcialmente fundados, por lo que es procedente que el Sujeto Obligado que lleve a cabo una nueva búsqueda exhaustiva y razonable de la información referida en el párrafo anterior, con la finalidad de hacer entrega de ésta al Recurrente, en versión pública de ser procedente. </w:t>
      </w:r>
    </w:p>
    <w:p w14:paraId="69105160" w14:textId="77777777" w:rsidR="00B17FDC" w:rsidRPr="0044551F" w:rsidRDefault="00B17FDC" w:rsidP="00E8313C">
      <w:pPr>
        <w:rPr>
          <w:rStyle w:val="Hipervnculo"/>
          <w:rFonts w:eastAsia="Palatino Linotype" w:cs="Palatino Linotype"/>
          <w:color w:val="auto"/>
          <w:u w:val="none"/>
          <w:lang w:val="es-ES"/>
        </w:rPr>
      </w:pPr>
    </w:p>
    <w:p w14:paraId="1D14C84D" w14:textId="2637649B" w:rsidR="00581587" w:rsidRPr="0044551F" w:rsidRDefault="00B17FDC" w:rsidP="00E8313C">
      <w:pPr>
        <w:rPr>
          <w:rStyle w:val="Hipervnculo"/>
          <w:rFonts w:eastAsia="Palatino Linotype" w:cs="Palatino Linotype"/>
          <w:bCs/>
          <w:color w:val="auto"/>
          <w:u w:val="none"/>
        </w:rPr>
      </w:pPr>
      <w:r w:rsidRPr="0044551F">
        <w:rPr>
          <w:rFonts w:cs="Tahoma"/>
          <w:bCs/>
          <w:szCs w:val="24"/>
          <w:lang w:eastAsia="en-US"/>
        </w:rPr>
        <w:t xml:space="preserve">Finalmente, </w:t>
      </w:r>
      <w:r w:rsidRPr="0044551F">
        <w:rPr>
          <w:rFonts w:eastAsiaTheme="minorHAnsi" w:cs="Arial"/>
          <w:bCs/>
          <w:szCs w:val="24"/>
          <w:lang w:eastAsia="en-US"/>
        </w:rPr>
        <w:t xml:space="preserve">en relación a los requerimientos </w:t>
      </w:r>
      <w:r w:rsidR="00B407D1" w:rsidRPr="0044551F">
        <w:rPr>
          <w:rFonts w:eastAsiaTheme="minorHAnsi" w:cs="Arial"/>
          <w:bCs/>
          <w:szCs w:val="24"/>
          <w:lang w:eastAsia="en-US"/>
        </w:rPr>
        <w:t xml:space="preserve">referentes a los comprobantes de estudios </w:t>
      </w:r>
      <w:r w:rsidR="00B407D1" w:rsidRPr="0044551F">
        <w:rPr>
          <w:rFonts w:eastAsia="Palatino Linotype" w:cs="Palatino Linotype"/>
          <w:iCs/>
          <w:color w:val="000000" w:themeColor="text1"/>
        </w:rPr>
        <w:t>del personal adscrito a la Secretaría de Movilidad</w:t>
      </w:r>
      <w:r w:rsidRPr="0044551F">
        <w:rPr>
          <w:rFonts w:eastAsiaTheme="minorHAnsi" w:cs="Arial"/>
          <w:bCs/>
          <w:szCs w:val="24"/>
          <w:lang w:eastAsia="en-US"/>
        </w:rPr>
        <w:t xml:space="preserve">, para el caso de que no haya poseído o administrado la información relativa a dichos documento, bastará con que lo haga del conocimiento del Recurrente al momento de dar cumplimiento a </w:t>
      </w:r>
      <w:r w:rsidRPr="0044551F">
        <w:rPr>
          <w:rFonts w:eastAsia="Arial Unicode MS" w:cs="Arial"/>
          <w:szCs w:val="24"/>
          <w:lang w:eastAsia="en-US"/>
        </w:rPr>
        <w:t>la presente resolución.</w:t>
      </w:r>
    </w:p>
    <w:p w14:paraId="5D34C9AA" w14:textId="77777777" w:rsidR="0032659A" w:rsidRPr="0044551F" w:rsidRDefault="0032659A" w:rsidP="00E8313C">
      <w:pPr>
        <w:rPr>
          <w:rStyle w:val="Hipervnculo"/>
          <w:rFonts w:eastAsia="Palatino Linotype" w:cs="Palatino Linotype"/>
          <w:bCs/>
          <w:color w:val="auto"/>
          <w:u w:val="none"/>
        </w:rPr>
      </w:pPr>
    </w:p>
    <w:p w14:paraId="492AC32E" w14:textId="77777777" w:rsidR="00F37B9F" w:rsidRPr="0044551F" w:rsidRDefault="00F37B9F" w:rsidP="00F37B9F">
      <w:pPr>
        <w:autoSpaceDE w:val="0"/>
        <w:autoSpaceDN w:val="0"/>
        <w:adjustRightInd w:val="0"/>
        <w:contextualSpacing/>
        <w:rPr>
          <w:rFonts w:eastAsia="Times New Roman" w:cs="Arial"/>
          <w:b/>
          <w:i/>
          <w:sz w:val="28"/>
          <w:szCs w:val="24"/>
          <w:lang w:val="es-ES" w:eastAsia="es-ES"/>
        </w:rPr>
      </w:pPr>
      <w:r w:rsidRPr="0044551F">
        <w:rPr>
          <w:rFonts w:eastAsia="Times New Roman" w:cs="Arial"/>
          <w:b/>
          <w:i/>
          <w:sz w:val="28"/>
          <w:szCs w:val="24"/>
          <w:lang w:val="es-ES" w:eastAsia="es-ES"/>
        </w:rPr>
        <w:t>De la versión pública</w:t>
      </w:r>
    </w:p>
    <w:p w14:paraId="088E88E5" w14:textId="77777777" w:rsidR="00F37B9F" w:rsidRPr="0044551F" w:rsidRDefault="00F37B9F" w:rsidP="00F37B9F">
      <w:pPr>
        <w:tabs>
          <w:tab w:val="left" w:pos="7938"/>
        </w:tabs>
        <w:spacing w:before="240" w:after="240"/>
        <w:rPr>
          <w:rFonts w:eastAsia="Arial Unicode MS" w:cs="Arial"/>
        </w:rPr>
      </w:pPr>
      <w:r w:rsidRPr="0044551F">
        <w:rPr>
          <w:rFonts w:eastAsia="Arial Unicode MS" w:cs="Arial"/>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w:t>
      </w:r>
      <w:r w:rsidRPr="0044551F">
        <w:rPr>
          <w:rFonts w:eastAsia="Arial Unicode MS" w:cs="Arial"/>
        </w:rPr>
        <w:lastRenderedPageBreak/>
        <w:t>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5F2660C1" w14:textId="77777777" w:rsidR="00F37B9F" w:rsidRPr="0044551F" w:rsidRDefault="00F37B9F" w:rsidP="00F37B9F">
      <w:pPr>
        <w:spacing w:before="240"/>
        <w:ind w:left="851" w:right="851"/>
        <w:rPr>
          <w:rFonts w:cs="Arial"/>
          <w:i/>
        </w:rPr>
      </w:pPr>
      <w:r w:rsidRPr="0044551F">
        <w:rPr>
          <w:rFonts w:cs="Arial"/>
          <w:i/>
        </w:rPr>
        <w:t>“Artículo 3. Para los efectos de la presente Ley se entenderá por:</w:t>
      </w:r>
    </w:p>
    <w:p w14:paraId="5E5AA25B" w14:textId="77777777" w:rsidR="00F37B9F" w:rsidRPr="0044551F" w:rsidRDefault="00F37B9F" w:rsidP="00F37B9F">
      <w:pPr>
        <w:spacing w:before="240"/>
        <w:ind w:left="851" w:right="851"/>
        <w:rPr>
          <w:rFonts w:cs="Arial"/>
          <w:i/>
        </w:rPr>
      </w:pPr>
      <w:r w:rsidRPr="0044551F">
        <w:rPr>
          <w:rFonts w:cs="Arial"/>
          <w:i/>
        </w:rPr>
        <w:t>(…)</w:t>
      </w:r>
    </w:p>
    <w:p w14:paraId="56135985" w14:textId="77777777" w:rsidR="00F37B9F" w:rsidRPr="0044551F" w:rsidRDefault="00F37B9F" w:rsidP="00F37B9F">
      <w:pPr>
        <w:spacing w:before="240"/>
        <w:ind w:left="851" w:right="851"/>
        <w:rPr>
          <w:rFonts w:cs="Arial"/>
          <w:b/>
          <w:i/>
        </w:rPr>
      </w:pPr>
      <w:r w:rsidRPr="0044551F">
        <w:rPr>
          <w:rFonts w:cs="Arial"/>
          <w:b/>
          <w:i/>
          <w:u w:val="single"/>
        </w:rPr>
        <w:t>IX. Datos personales:</w:t>
      </w:r>
      <w:r w:rsidRPr="0044551F">
        <w:rPr>
          <w:rFonts w:cs="Arial"/>
          <w:b/>
          <w:i/>
        </w:rPr>
        <w:t xml:space="preserve"> </w:t>
      </w:r>
      <w:r w:rsidRPr="0044551F">
        <w:rPr>
          <w:rFonts w:cs="Arial"/>
          <w:i/>
        </w:rPr>
        <w:t>La información concerniente a una persona, identificada o identificable según lo dispuesto por la Ley de Protección de Datos Personales del Estado de México;</w:t>
      </w:r>
    </w:p>
    <w:p w14:paraId="3F5E22B3" w14:textId="77777777" w:rsidR="00F37B9F" w:rsidRPr="0044551F" w:rsidRDefault="00F37B9F" w:rsidP="00F37B9F">
      <w:pPr>
        <w:spacing w:before="240"/>
        <w:ind w:left="851" w:right="851"/>
        <w:rPr>
          <w:rFonts w:cs="Arial"/>
          <w:b/>
          <w:i/>
        </w:rPr>
      </w:pPr>
      <w:r w:rsidRPr="0044551F">
        <w:rPr>
          <w:rFonts w:cs="Arial"/>
          <w:b/>
          <w:i/>
        </w:rPr>
        <w:t>(…)</w:t>
      </w:r>
    </w:p>
    <w:p w14:paraId="19660FA3" w14:textId="77777777" w:rsidR="00F37B9F" w:rsidRPr="0044551F" w:rsidRDefault="00F37B9F" w:rsidP="00F37B9F">
      <w:pPr>
        <w:spacing w:before="240"/>
        <w:ind w:left="851" w:right="851"/>
        <w:rPr>
          <w:rFonts w:cs="Arial"/>
          <w:b/>
          <w:i/>
        </w:rPr>
      </w:pPr>
      <w:r w:rsidRPr="0044551F">
        <w:rPr>
          <w:rFonts w:cs="Arial"/>
          <w:b/>
          <w:i/>
          <w:u w:val="single"/>
        </w:rPr>
        <w:t>XLV. Versión pública:</w:t>
      </w:r>
      <w:r w:rsidRPr="0044551F">
        <w:rPr>
          <w:rFonts w:cs="Arial"/>
          <w:b/>
          <w:i/>
        </w:rPr>
        <w:t xml:space="preserve"> </w:t>
      </w:r>
      <w:r w:rsidRPr="0044551F">
        <w:rPr>
          <w:rFonts w:cs="Arial"/>
          <w:i/>
        </w:rPr>
        <w:t>Documento en el que se elimine, suprime o borra la información clasificada como reservada o confidencial para permitir su acceso.</w:t>
      </w:r>
    </w:p>
    <w:p w14:paraId="7B729530" w14:textId="77777777" w:rsidR="00F37B9F" w:rsidRPr="0044551F" w:rsidRDefault="00F37B9F" w:rsidP="00F37B9F">
      <w:pPr>
        <w:spacing w:before="240"/>
        <w:ind w:left="851" w:right="851"/>
        <w:rPr>
          <w:rFonts w:cs="Arial"/>
          <w:b/>
          <w:i/>
        </w:rPr>
      </w:pPr>
      <w:r w:rsidRPr="0044551F">
        <w:rPr>
          <w:rFonts w:cs="Arial"/>
          <w:i/>
        </w:rPr>
        <w:t xml:space="preserve">Artículo 122. </w:t>
      </w:r>
      <w:r w:rsidRPr="0044551F">
        <w:rPr>
          <w:rFonts w:cs="Arial"/>
          <w:b/>
          <w:i/>
          <w:u w:val="single"/>
        </w:rPr>
        <w:t>La clasificación es el proceso mediante el cual el sujeto obligado determina que la información en su poder actualiza alguno de los supuestos de reserva o confidencialidad, de conformidad con lo dispuesto en el presente título.</w:t>
      </w:r>
    </w:p>
    <w:p w14:paraId="75D23C62" w14:textId="77777777" w:rsidR="00F37B9F" w:rsidRPr="0044551F" w:rsidRDefault="00F37B9F" w:rsidP="00F37B9F">
      <w:pPr>
        <w:spacing w:before="240"/>
        <w:ind w:left="851" w:right="851"/>
        <w:rPr>
          <w:rFonts w:cs="Arial"/>
          <w:i/>
        </w:rPr>
      </w:pPr>
      <w:r w:rsidRPr="0044551F">
        <w:rPr>
          <w:rFonts w:cs="Arial"/>
          <w:i/>
        </w:rPr>
        <w:t>[…]</w:t>
      </w:r>
    </w:p>
    <w:p w14:paraId="1D6375D0" w14:textId="77777777" w:rsidR="00F37B9F" w:rsidRPr="0044551F" w:rsidRDefault="00F37B9F" w:rsidP="00F37B9F">
      <w:pPr>
        <w:spacing w:before="240"/>
        <w:ind w:left="851" w:right="851"/>
        <w:rPr>
          <w:rFonts w:cs="Arial"/>
          <w:i/>
        </w:rPr>
      </w:pPr>
      <w:r w:rsidRPr="0044551F">
        <w:rPr>
          <w:rFonts w:cs="Arial"/>
          <w:i/>
        </w:rPr>
        <w:lastRenderedPageBreak/>
        <w:t>Artículo 132. La clasificación de la información se llevará a cabo en el momento en que:</w:t>
      </w:r>
    </w:p>
    <w:p w14:paraId="0BAB69EF" w14:textId="77777777" w:rsidR="00F37B9F" w:rsidRPr="0044551F" w:rsidRDefault="00F37B9F" w:rsidP="00F37B9F">
      <w:pPr>
        <w:spacing w:before="240"/>
        <w:ind w:left="851" w:right="851"/>
        <w:rPr>
          <w:rFonts w:cs="Arial"/>
          <w:i/>
        </w:rPr>
      </w:pPr>
      <w:r w:rsidRPr="0044551F">
        <w:rPr>
          <w:rFonts w:cs="Arial"/>
          <w:i/>
        </w:rPr>
        <w:t>[…]</w:t>
      </w:r>
    </w:p>
    <w:p w14:paraId="4A0BA03C" w14:textId="77777777" w:rsidR="00F37B9F" w:rsidRPr="0044551F" w:rsidRDefault="00F37B9F" w:rsidP="00F37B9F">
      <w:pPr>
        <w:spacing w:before="240"/>
        <w:ind w:left="851" w:right="851"/>
        <w:rPr>
          <w:rFonts w:cs="Arial"/>
          <w:b/>
          <w:i/>
          <w:u w:val="single"/>
        </w:rPr>
      </w:pPr>
      <w:r w:rsidRPr="0044551F">
        <w:rPr>
          <w:rFonts w:cs="Arial"/>
          <w:b/>
          <w:i/>
          <w:u w:val="single"/>
        </w:rPr>
        <w:t>II. Se determine mediante resolución de autoridad competente; o</w:t>
      </w:r>
    </w:p>
    <w:p w14:paraId="3B0EF04B" w14:textId="77777777" w:rsidR="00F37B9F" w:rsidRPr="0044551F" w:rsidRDefault="00F37B9F" w:rsidP="00F37B9F">
      <w:pPr>
        <w:spacing w:before="240"/>
        <w:ind w:left="851" w:right="851"/>
        <w:rPr>
          <w:rFonts w:cs="Arial"/>
          <w:b/>
          <w:i/>
        </w:rPr>
      </w:pPr>
      <w:r w:rsidRPr="0044551F">
        <w:rPr>
          <w:rFonts w:cs="Arial"/>
          <w:b/>
          <w:i/>
        </w:rPr>
        <w:t>(…)</w:t>
      </w:r>
    </w:p>
    <w:p w14:paraId="4725468F" w14:textId="77777777" w:rsidR="00F37B9F" w:rsidRPr="0044551F" w:rsidRDefault="00F37B9F" w:rsidP="00F37B9F">
      <w:pPr>
        <w:spacing w:before="240"/>
        <w:ind w:left="851" w:right="851"/>
        <w:rPr>
          <w:rFonts w:cs="Arial"/>
          <w:b/>
          <w:i/>
        </w:rPr>
      </w:pPr>
      <w:r w:rsidRPr="0044551F">
        <w:rPr>
          <w:rFonts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44551F">
        <w:rPr>
          <w:rFonts w:cs="Arial"/>
          <w:b/>
          <w:i/>
        </w:rPr>
        <w:t xml:space="preserve"> </w:t>
      </w:r>
      <w:r w:rsidRPr="0044551F">
        <w:rPr>
          <w:rFonts w:cs="Arial"/>
          <w:b/>
          <w:i/>
          <w:u w:val="single"/>
        </w:rPr>
        <w:t xml:space="preserve">de manera genérica y fundando y motivando su clasificación.” </w:t>
      </w:r>
      <w:r w:rsidRPr="0044551F">
        <w:rPr>
          <w:rFonts w:cs="Arial"/>
          <w:b/>
          <w:i/>
        </w:rPr>
        <w:t>[Sic]</w:t>
      </w:r>
    </w:p>
    <w:p w14:paraId="7C10C991" w14:textId="77777777" w:rsidR="00F37B9F" w:rsidRPr="0044551F" w:rsidRDefault="00F37B9F" w:rsidP="00F37B9F">
      <w:pPr>
        <w:ind w:right="51"/>
        <w:rPr>
          <w:rFonts w:eastAsia="Arial Unicode MS" w:cs="Arial"/>
        </w:rPr>
      </w:pPr>
    </w:p>
    <w:p w14:paraId="2B11B5EA" w14:textId="77777777" w:rsidR="00F37B9F" w:rsidRPr="0044551F" w:rsidRDefault="00F37B9F" w:rsidP="00F37B9F">
      <w:pPr>
        <w:ind w:right="51"/>
        <w:rPr>
          <w:rFonts w:eastAsia="Arial Unicode MS" w:cs="Arial"/>
        </w:rPr>
      </w:pPr>
      <w:r w:rsidRPr="0044551F">
        <w:rPr>
          <w:rFonts w:eastAsia="Arial Unicode MS" w:cs="Arial"/>
          <w:b/>
        </w:rPr>
        <w:t>HUELLA DIGITAL:</w:t>
      </w:r>
      <w:r w:rsidRPr="0044551F">
        <w:rPr>
          <w:rFonts w:eastAsia="Arial Unicode MS" w:cs="Arial"/>
        </w:rPr>
        <w:t xml:space="preserve"> Es la impresión visible o moldeada que produce el contacto de las crestas papilares de un dedo de la mano sobre una superficie, por tanto, se considera que es una característica individual que se utiliza como medio de identificación de las personas. </w:t>
      </w:r>
    </w:p>
    <w:p w14:paraId="617C9DC2" w14:textId="77777777" w:rsidR="00F37B9F" w:rsidRPr="0044551F" w:rsidRDefault="00F37B9F" w:rsidP="00F37B9F">
      <w:pPr>
        <w:ind w:right="51"/>
        <w:rPr>
          <w:rFonts w:eastAsia="Arial Unicode MS" w:cs="Arial"/>
        </w:rPr>
      </w:pPr>
    </w:p>
    <w:p w14:paraId="04BD0DD2" w14:textId="77777777" w:rsidR="00F37B9F" w:rsidRPr="0044551F" w:rsidRDefault="00F37B9F" w:rsidP="00F37B9F">
      <w:pPr>
        <w:ind w:right="51"/>
        <w:rPr>
          <w:rFonts w:eastAsia="Arial Unicode MS" w:cs="Arial"/>
        </w:rPr>
      </w:pPr>
      <w:r w:rsidRPr="0044551F">
        <w:rPr>
          <w:rFonts w:eastAsia="Arial Unicode MS" w:cs="Arial"/>
        </w:rPr>
        <w:t xml:space="preserve">Fundamento: Artículo 143, fracción I, de la Ley de Transparencia y Acceso a la Información Pública del Estado de México y Municipios; numeral Trigésimo Octavo, fracción I, de  los Lineamientos Generales en Materia de Clasificación y Desclasificación de la Información, así como para la elaboración de versiones públicas; y, artículo 1, fracción XI, inciso b), de los Lineamientos Sobre Medidas de Seguridad Aplicables a los </w:t>
      </w:r>
      <w:r w:rsidRPr="0044551F">
        <w:rPr>
          <w:rFonts w:eastAsia="Arial Unicode MS" w:cs="Arial"/>
        </w:rPr>
        <w:lastRenderedPageBreak/>
        <w:t>Sistemas de Datos Personales que se encuentran en Posesión de los Sujetos Obligados de la Ley de Protección de Datos Personales del Estado de México.</w:t>
      </w:r>
    </w:p>
    <w:p w14:paraId="63C7EBCE" w14:textId="77777777" w:rsidR="00F37B9F" w:rsidRPr="0044551F" w:rsidRDefault="00F37B9F" w:rsidP="00F37B9F">
      <w:pPr>
        <w:ind w:right="51"/>
        <w:rPr>
          <w:rFonts w:eastAsia="Arial Unicode MS" w:cs="Arial"/>
        </w:rPr>
      </w:pPr>
    </w:p>
    <w:p w14:paraId="07AE38B9" w14:textId="77777777" w:rsidR="00F37B9F" w:rsidRPr="0044551F" w:rsidRDefault="00F37B9F" w:rsidP="00F37B9F">
      <w:pPr>
        <w:ind w:right="51"/>
        <w:rPr>
          <w:rFonts w:eastAsia="Arial Unicode MS" w:cs="Arial"/>
        </w:rPr>
      </w:pPr>
    </w:p>
    <w:p w14:paraId="41C2C07D" w14:textId="77777777" w:rsidR="00F37B9F" w:rsidRPr="0044551F" w:rsidRDefault="00F37B9F" w:rsidP="00F37B9F">
      <w:pPr>
        <w:ind w:right="51"/>
        <w:rPr>
          <w:rFonts w:cs="Arial"/>
        </w:rPr>
      </w:pPr>
      <w:r w:rsidRPr="0044551F">
        <w:rPr>
          <w:rFonts w:eastAsia="Arial Unicode MS" w:cs="Arial"/>
        </w:rPr>
        <w:t xml:space="preserve">Verbigracia, previo a poner a disposición la información correspondiente debe considerarse que tiene carácter de confidencial </w:t>
      </w:r>
      <w:r w:rsidRPr="0044551F">
        <w:rPr>
          <w:rFonts w:cs="Arial"/>
        </w:rPr>
        <w:t xml:space="preserve">el </w:t>
      </w:r>
      <w:r w:rsidRPr="0044551F">
        <w:rPr>
          <w:rFonts w:cs="Arial"/>
          <w:b/>
        </w:rPr>
        <w:t>Registro Federal de Contribuyentes (RFC) que no sean de proveedores</w:t>
      </w:r>
      <w:r w:rsidRPr="0044551F">
        <w:rPr>
          <w:rFonts w:cs="Arial"/>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675F467C" w14:textId="77777777" w:rsidR="00F37B9F" w:rsidRPr="0044551F" w:rsidRDefault="00F37B9F" w:rsidP="00F37B9F">
      <w:pPr>
        <w:spacing w:before="240" w:after="240"/>
        <w:ind w:right="-91"/>
        <w:rPr>
          <w:rFonts w:cs="Arial"/>
        </w:rPr>
      </w:pPr>
      <w:r w:rsidRPr="0044551F">
        <w:rPr>
          <w:rFonts w:cs="Arial"/>
        </w:rPr>
        <w:t xml:space="preserve">Lo anterior es compartido por el ahora </w:t>
      </w:r>
      <w:r w:rsidRPr="0044551F">
        <w:rPr>
          <w:rFonts w:cs="Arial"/>
          <w:b/>
          <w:bCs/>
        </w:rPr>
        <w:t>Instituto Nacional de Transparencia, Acceso a la Información y Protección de Datos Personales</w:t>
      </w:r>
      <w:r w:rsidRPr="0044551F">
        <w:rPr>
          <w:rFonts w:cs="Arial"/>
        </w:rPr>
        <w:t xml:space="preserve"> (INAI), conforme al criterio </w:t>
      </w:r>
      <w:r w:rsidRPr="0044551F">
        <w:rPr>
          <w:rFonts w:cs="Arial"/>
          <w:b/>
        </w:rPr>
        <w:t>004/2021,</w:t>
      </w:r>
      <w:r w:rsidRPr="0044551F">
        <w:rPr>
          <w:rFonts w:cs="Arial"/>
        </w:rPr>
        <w:t xml:space="preserve"> el cual es del tenor literal siguiente:</w:t>
      </w:r>
    </w:p>
    <w:p w14:paraId="4D200366" w14:textId="77777777" w:rsidR="00F37B9F" w:rsidRPr="0044551F" w:rsidRDefault="00F37B9F" w:rsidP="00F37B9F">
      <w:pPr>
        <w:autoSpaceDE w:val="0"/>
        <w:autoSpaceDN w:val="0"/>
        <w:adjustRightInd w:val="0"/>
        <w:spacing w:before="240"/>
        <w:ind w:left="851" w:right="851"/>
        <w:jc w:val="center"/>
        <w:rPr>
          <w:rFonts w:cs="Arial"/>
          <w:b/>
          <w:bCs/>
          <w:i/>
        </w:rPr>
      </w:pPr>
      <w:r w:rsidRPr="0044551F">
        <w:rPr>
          <w:rFonts w:cs="Arial"/>
          <w:bCs/>
          <w:i/>
        </w:rPr>
        <w:t>“</w:t>
      </w:r>
      <w:r w:rsidRPr="0044551F">
        <w:rPr>
          <w:rFonts w:cs="Arial"/>
          <w:b/>
          <w:bCs/>
          <w:i/>
        </w:rPr>
        <w:t>Registro Federal de Contribuyentes (RFC) de personas físicas proveedores o contratistas.</w:t>
      </w:r>
    </w:p>
    <w:p w14:paraId="602F3FA9" w14:textId="77777777" w:rsidR="00F37B9F" w:rsidRPr="0044551F" w:rsidRDefault="00F37B9F" w:rsidP="00F37B9F">
      <w:pPr>
        <w:autoSpaceDE w:val="0"/>
        <w:autoSpaceDN w:val="0"/>
        <w:adjustRightInd w:val="0"/>
        <w:spacing w:before="240"/>
        <w:ind w:left="851" w:right="851"/>
        <w:rPr>
          <w:rFonts w:cs="Arial"/>
          <w:bCs/>
          <w:i/>
        </w:rPr>
      </w:pPr>
      <w:r w:rsidRPr="0044551F">
        <w:rPr>
          <w:rFonts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0FAA2DE9" w14:textId="77777777" w:rsidR="00F37B9F" w:rsidRPr="0044551F" w:rsidRDefault="00F37B9F" w:rsidP="00F37B9F">
      <w:pPr>
        <w:autoSpaceDE w:val="0"/>
        <w:autoSpaceDN w:val="0"/>
        <w:adjustRightInd w:val="0"/>
        <w:spacing w:before="240"/>
        <w:ind w:left="851" w:right="851"/>
        <w:rPr>
          <w:rFonts w:cs="Arial"/>
          <w:b/>
          <w:i/>
        </w:rPr>
      </w:pPr>
      <w:r w:rsidRPr="0044551F">
        <w:rPr>
          <w:rFonts w:cs="Arial"/>
          <w:b/>
          <w:i/>
        </w:rPr>
        <w:t>Precedentes:</w:t>
      </w:r>
    </w:p>
    <w:p w14:paraId="0EAFEC42" w14:textId="77777777" w:rsidR="00F37B9F" w:rsidRPr="0044551F" w:rsidRDefault="00F37B9F" w:rsidP="00F37B9F">
      <w:pPr>
        <w:numPr>
          <w:ilvl w:val="0"/>
          <w:numId w:val="47"/>
        </w:numPr>
        <w:autoSpaceDE w:val="0"/>
        <w:autoSpaceDN w:val="0"/>
        <w:adjustRightInd w:val="0"/>
        <w:spacing w:before="240"/>
        <w:ind w:right="851"/>
        <w:rPr>
          <w:rFonts w:cs="Arial"/>
          <w:i/>
        </w:rPr>
      </w:pPr>
      <w:r w:rsidRPr="0044551F">
        <w:rPr>
          <w:rFonts w:cs="Arial"/>
          <w:i/>
        </w:rPr>
        <w:lastRenderedPageBreak/>
        <w:t>Acceso a la información Pública. RRA 3639/19.</w:t>
      </w:r>
      <w:r w:rsidRPr="0044551F">
        <w:rPr>
          <w:rFonts w:cs="Arial"/>
          <w:bCs/>
          <w:i/>
        </w:rPr>
        <w:t xml:space="preserve"> </w:t>
      </w:r>
      <w:r w:rsidRPr="0044551F">
        <w:rPr>
          <w:rFonts w:cs="Arial"/>
          <w:i/>
        </w:rPr>
        <w:t>Sesión del 10 de julio de 2019. Votación por mayoría. Con voto disidente del Comisionado Joel Salas Suárez. Instituto para la Protección del Ahorro Bancario. Comisionada Ponente María Patricia Kurczyn Villalobos.</w:t>
      </w:r>
    </w:p>
    <w:p w14:paraId="0E0764B0" w14:textId="77777777" w:rsidR="00F37B9F" w:rsidRPr="0044551F" w:rsidRDefault="00F37B9F" w:rsidP="00F37B9F">
      <w:pPr>
        <w:numPr>
          <w:ilvl w:val="0"/>
          <w:numId w:val="47"/>
        </w:numPr>
        <w:autoSpaceDE w:val="0"/>
        <w:autoSpaceDN w:val="0"/>
        <w:adjustRightInd w:val="0"/>
        <w:spacing w:before="240"/>
        <w:ind w:right="851"/>
        <w:rPr>
          <w:rFonts w:cs="Arial"/>
          <w:bCs/>
          <w:i/>
        </w:rPr>
      </w:pPr>
      <w:r w:rsidRPr="0044551F">
        <w:rPr>
          <w:rFonts w:cs="Arial"/>
          <w:i/>
        </w:rPr>
        <w:t>Acceso a la información Pública. RRA 7709/19.</w:t>
      </w:r>
      <w:r w:rsidRPr="0044551F">
        <w:rPr>
          <w:rFonts w:cs="Arial"/>
          <w:bCs/>
          <w:i/>
        </w:rPr>
        <w:t xml:space="preserve"> </w:t>
      </w:r>
      <w:r w:rsidRPr="0044551F">
        <w:rPr>
          <w:rFonts w:cs="Arial"/>
          <w:i/>
        </w:rPr>
        <w:t>Sesión del 13 de agosto de 2019. Votación por unanimidad. Con voto particular de la Comisionada Josefina Román Vergara. Suprema Corte de Justicia de la Nación. Comisionada Ponente Josefina Román Vergara.</w:t>
      </w:r>
    </w:p>
    <w:p w14:paraId="4CAE7D11" w14:textId="77777777" w:rsidR="00F37B9F" w:rsidRPr="0044551F" w:rsidRDefault="00F37B9F" w:rsidP="00F37B9F">
      <w:pPr>
        <w:numPr>
          <w:ilvl w:val="0"/>
          <w:numId w:val="47"/>
        </w:numPr>
        <w:autoSpaceDE w:val="0"/>
        <w:autoSpaceDN w:val="0"/>
        <w:adjustRightInd w:val="0"/>
        <w:spacing w:before="240"/>
        <w:ind w:left="851" w:right="851"/>
        <w:rPr>
          <w:rFonts w:cs="Arial"/>
          <w:b/>
          <w:i/>
        </w:rPr>
      </w:pPr>
      <w:r w:rsidRPr="0044551F">
        <w:rPr>
          <w:rFonts w:cs="Arial"/>
          <w:i/>
        </w:rPr>
        <w:t>Acceso a la información Pública. RRA 5774/19.</w:t>
      </w:r>
      <w:r w:rsidRPr="0044551F">
        <w:rPr>
          <w:rFonts w:cs="Arial"/>
          <w:bCs/>
          <w:i/>
        </w:rPr>
        <w:t xml:space="preserve"> </w:t>
      </w:r>
      <w:r w:rsidRPr="0044551F">
        <w:rPr>
          <w:rFonts w:cs="Arial"/>
          <w:i/>
        </w:rPr>
        <w:t>Sesión del 21 de agosto de 2019. Votación por mayoría. Con voto disidente del Comisionado Joel Salas Suárez. Secretaría de Marina. Comisionada Ponente Blanca Lilia Ibarra Cadena.” [Sic]</w:t>
      </w:r>
    </w:p>
    <w:p w14:paraId="5D00D9CE" w14:textId="77777777" w:rsidR="00F37B9F" w:rsidRPr="0044551F" w:rsidRDefault="00F37B9F" w:rsidP="00F37B9F">
      <w:pPr>
        <w:autoSpaceDE w:val="0"/>
        <w:autoSpaceDN w:val="0"/>
        <w:adjustRightInd w:val="0"/>
        <w:spacing w:before="120" w:after="120"/>
        <w:ind w:left="567" w:right="850"/>
        <w:rPr>
          <w:rFonts w:cs="Arial"/>
          <w:i/>
        </w:rPr>
      </w:pPr>
    </w:p>
    <w:p w14:paraId="04B08B82" w14:textId="77777777" w:rsidR="00F37B9F" w:rsidRPr="0044551F" w:rsidRDefault="00F37B9F" w:rsidP="00F37B9F">
      <w:pPr>
        <w:spacing w:before="240" w:after="240"/>
        <w:rPr>
          <w:rFonts w:cs="Arial"/>
        </w:rPr>
      </w:pPr>
      <w:r w:rsidRPr="0044551F">
        <w:rPr>
          <w:rFonts w:cs="Arial"/>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03E49B46" w14:textId="77777777" w:rsidR="00F37B9F" w:rsidRPr="0044551F" w:rsidRDefault="00F37B9F" w:rsidP="00F37B9F">
      <w:pPr>
        <w:spacing w:before="240" w:after="240"/>
        <w:rPr>
          <w:rFonts w:cs="Arial"/>
        </w:rPr>
      </w:pPr>
      <w:r w:rsidRPr="0044551F">
        <w:rPr>
          <w:rFonts w:cs="Arial"/>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742583E0" w14:textId="77777777" w:rsidR="00F37B9F" w:rsidRPr="0044551F" w:rsidRDefault="00F37B9F" w:rsidP="00F37B9F">
      <w:pPr>
        <w:spacing w:before="240" w:after="240"/>
        <w:ind w:right="-91"/>
        <w:rPr>
          <w:rFonts w:cs="Arial"/>
        </w:rPr>
      </w:pPr>
      <w:r w:rsidRPr="0044551F">
        <w:rPr>
          <w:rFonts w:cs="Arial"/>
        </w:rPr>
        <w:lastRenderedPageBreak/>
        <w:t xml:space="preserve">Argumento que es compartido por el </w:t>
      </w:r>
      <w:r w:rsidRPr="0044551F">
        <w:rPr>
          <w:rFonts w:cs="Arial"/>
          <w:b/>
          <w:bCs/>
        </w:rPr>
        <w:t xml:space="preserve">Instituto Nacional de Transparencia, Acceso a la Información y Protección de Datos Personales, conforme al </w:t>
      </w:r>
      <w:r w:rsidRPr="0044551F">
        <w:rPr>
          <w:rFonts w:cs="Arial"/>
        </w:rPr>
        <w:t xml:space="preserve">criterio número 18/17 el cual refiere: </w:t>
      </w:r>
    </w:p>
    <w:p w14:paraId="5E411219" w14:textId="77777777" w:rsidR="00F37B9F" w:rsidRPr="0044551F" w:rsidRDefault="00F37B9F" w:rsidP="00F37B9F">
      <w:pPr>
        <w:autoSpaceDE w:val="0"/>
        <w:autoSpaceDN w:val="0"/>
        <w:adjustRightInd w:val="0"/>
        <w:spacing w:before="240"/>
        <w:ind w:left="851" w:right="851"/>
        <w:jc w:val="center"/>
        <w:rPr>
          <w:rFonts w:cs="Arial"/>
          <w:b/>
          <w:bCs/>
          <w:i/>
        </w:rPr>
      </w:pPr>
      <w:r w:rsidRPr="0044551F">
        <w:rPr>
          <w:rFonts w:cs="Arial"/>
          <w:bCs/>
          <w:i/>
        </w:rPr>
        <w:t>“</w:t>
      </w:r>
      <w:r w:rsidRPr="0044551F">
        <w:rPr>
          <w:rFonts w:cs="Arial"/>
          <w:b/>
          <w:bCs/>
          <w:i/>
        </w:rPr>
        <w:t>CLAVE ÚNICA DE REGISTRO DE POBLACIÓN (CURP).</w:t>
      </w:r>
    </w:p>
    <w:p w14:paraId="01602E50" w14:textId="77777777" w:rsidR="00F37B9F" w:rsidRPr="0044551F" w:rsidRDefault="00F37B9F" w:rsidP="00F37B9F">
      <w:pPr>
        <w:autoSpaceDE w:val="0"/>
        <w:autoSpaceDN w:val="0"/>
        <w:adjustRightInd w:val="0"/>
        <w:spacing w:before="240"/>
        <w:ind w:left="851" w:right="851"/>
        <w:rPr>
          <w:rFonts w:cs="Arial"/>
          <w:b/>
          <w:bCs/>
          <w:i/>
        </w:rPr>
      </w:pPr>
      <w:r w:rsidRPr="0044551F">
        <w:rPr>
          <w:rFonts w:cs="Arial"/>
          <w:bCs/>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1DD75BF" w14:textId="77777777" w:rsidR="00F37B9F" w:rsidRPr="0044551F" w:rsidRDefault="00F37B9F" w:rsidP="00F37B9F">
      <w:pPr>
        <w:autoSpaceDE w:val="0"/>
        <w:autoSpaceDN w:val="0"/>
        <w:adjustRightInd w:val="0"/>
        <w:spacing w:before="240"/>
        <w:ind w:left="851" w:right="851"/>
        <w:rPr>
          <w:rFonts w:cs="Arial"/>
          <w:b/>
          <w:i/>
        </w:rPr>
      </w:pPr>
      <w:r w:rsidRPr="0044551F">
        <w:rPr>
          <w:rFonts w:cs="Arial"/>
          <w:i/>
        </w:rPr>
        <w:t xml:space="preserve"> </w:t>
      </w:r>
      <w:r w:rsidRPr="0044551F">
        <w:rPr>
          <w:rFonts w:cs="Arial"/>
          <w:b/>
          <w:i/>
        </w:rPr>
        <w:t>Resoluciones:</w:t>
      </w:r>
    </w:p>
    <w:p w14:paraId="07FB138E" w14:textId="77777777" w:rsidR="00F37B9F" w:rsidRPr="0044551F" w:rsidRDefault="00F37B9F" w:rsidP="00F37B9F">
      <w:pPr>
        <w:autoSpaceDE w:val="0"/>
        <w:autoSpaceDN w:val="0"/>
        <w:adjustRightInd w:val="0"/>
        <w:spacing w:before="240"/>
        <w:ind w:left="851" w:right="851"/>
        <w:rPr>
          <w:rFonts w:cs="Arial"/>
          <w:b/>
          <w:i/>
        </w:rPr>
      </w:pPr>
      <w:r w:rsidRPr="0044551F">
        <w:rPr>
          <w:rFonts w:cs="Arial"/>
          <w:b/>
          <w:i/>
        </w:rPr>
        <w:t xml:space="preserve">RRA 3995/16. </w:t>
      </w:r>
      <w:r w:rsidRPr="0044551F">
        <w:rPr>
          <w:rFonts w:cs="Arial"/>
          <w:i/>
        </w:rPr>
        <w:t>Secretaría de la Defensa Nacional. 1 de febrero de 2017. Por unanimidad. Comisionado Ponente Rosendoevgueni Monterrey Chepov.</w:t>
      </w:r>
    </w:p>
    <w:p w14:paraId="4629F47E" w14:textId="77777777" w:rsidR="00F37B9F" w:rsidRPr="0044551F" w:rsidRDefault="00F37B9F" w:rsidP="00F37B9F">
      <w:pPr>
        <w:autoSpaceDE w:val="0"/>
        <w:autoSpaceDN w:val="0"/>
        <w:adjustRightInd w:val="0"/>
        <w:spacing w:before="240"/>
        <w:ind w:left="851" w:right="851"/>
        <w:rPr>
          <w:rFonts w:cs="Arial"/>
          <w:b/>
          <w:i/>
        </w:rPr>
      </w:pPr>
      <w:r w:rsidRPr="0044551F">
        <w:rPr>
          <w:rFonts w:cs="Arial"/>
          <w:b/>
          <w:i/>
        </w:rPr>
        <w:t xml:space="preserve">RRA </w:t>
      </w:r>
      <w:r w:rsidRPr="0044551F">
        <w:rPr>
          <w:rFonts w:cs="Arial"/>
          <w:b/>
          <w:bCs/>
          <w:i/>
        </w:rPr>
        <w:t xml:space="preserve">0937/17. </w:t>
      </w:r>
      <w:r w:rsidRPr="0044551F">
        <w:rPr>
          <w:rFonts w:cs="Arial"/>
          <w:bCs/>
          <w:i/>
        </w:rPr>
        <w:t xml:space="preserve">Senado de la República. 15 de marzo de 2017. Por unanimidad. Comisionada Ponente Ximena Puente de la Mora. </w:t>
      </w:r>
    </w:p>
    <w:p w14:paraId="529571AB" w14:textId="77777777" w:rsidR="00F37B9F" w:rsidRPr="0044551F" w:rsidRDefault="00F37B9F" w:rsidP="00F37B9F">
      <w:pPr>
        <w:autoSpaceDE w:val="0"/>
        <w:autoSpaceDN w:val="0"/>
        <w:adjustRightInd w:val="0"/>
        <w:spacing w:before="240"/>
        <w:ind w:left="851" w:right="851"/>
        <w:rPr>
          <w:rFonts w:cs="Arial"/>
          <w:b/>
          <w:i/>
        </w:rPr>
      </w:pPr>
      <w:r w:rsidRPr="0044551F">
        <w:rPr>
          <w:rFonts w:cs="Arial"/>
          <w:b/>
          <w:i/>
        </w:rPr>
        <w:t xml:space="preserve">RRA 0478/17. </w:t>
      </w:r>
      <w:r w:rsidRPr="0044551F">
        <w:rPr>
          <w:rFonts w:cs="Arial"/>
          <w:i/>
        </w:rPr>
        <w:t xml:space="preserve">Secretaría de Relaciones Exteriores. 26 de abril de 2017. Por unanimidad. Comisionada Ponente Areli Cano Guadiana.” </w:t>
      </w:r>
      <w:r w:rsidRPr="0044551F">
        <w:rPr>
          <w:rFonts w:cs="Arial"/>
          <w:b/>
          <w:i/>
        </w:rPr>
        <w:t>[Sic]</w:t>
      </w:r>
    </w:p>
    <w:p w14:paraId="4A369C8A" w14:textId="77777777" w:rsidR="00F37B9F" w:rsidRPr="0044551F" w:rsidRDefault="00F37B9F" w:rsidP="00F37B9F">
      <w:pPr>
        <w:ind w:right="51"/>
        <w:rPr>
          <w:rFonts w:cs="Arial"/>
        </w:rPr>
      </w:pPr>
    </w:p>
    <w:p w14:paraId="1804998F" w14:textId="790AE5AF" w:rsidR="00F37B9F" w:rsidRPr="0044551F" w:rsidRDefault="00F37B9F" w:rsidP="00F37B9F">
      <w:pPr>
        <w:rPr>
          <w:rFonts w:cs="Arial"/>
          <w:szCs w:val="24"/>
        </w:rPr>
      </w:pPr>
      <w:r w:rsidRPr="0044551F">
        <w:rPr>
          <w:rFonts w:cs="Arial"/>
          <w:szCs w:val="24"/>
        </w:rPr>
        <w:t xml:space="preserve">Por cuanto hace a la </w:t>
      </w:r>
      <w:r w:rsidRPr="0044551F">
        <w:rPr>
          <w:rFonts w:cs="Arial"/>
          <w:b/>
          <w:szCs w:val="24"/>
        </w:rPr>
        <w:t>Clave de cualquier tipo de seguridad social</w:t>
      </w:r>
      <w:r w:rsidRPr="0044551F">
        <w:rPr>
          <w:rFonts w:cs="Arial"/>
          <w:szCs w:val="24"/>
        </w:rPr>
        <w:t xml:space="preserve"> (ISSEMYM, u otros), está integrado por una secuencia de números con los que se identifica a los trabajadores que cubren las cuotas respectivas, asimismo, lo identifica con la fuente de trabajo; por lo </w:t>
      </w:r>
      <w:r w:rsidRPr="0044551F">
        <w:rPr>
          <w:rFonts w:cs="Arial"/>
          <w:szCs w:val="24"/>
        </w:rPr>
        <w:lastRenderedPageBreak/>
        <w:t>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383B0A9" w14:textId="77777777" w:rsidR="00F37B9F" w:rsidRPr="0044551F" w:rsidRDefault="00F37B9F" w:rsidP="00F37B9F">
      <w:pPr>
        <w:ind w:right="51"/>
        <w:rPr>
          <w:rFonts w:cs="Arial"/>
        </w:rPr>
      </w:pPr>
    </w:p>
    <w:p w14:paraId="7E37D7E7" w14:textId="671267DF" w:rsidR="00CE713E" w:rsidRPr="0044551F" w:rsidRDefault="00F37B9F" w:rsidP="00F37B9F">
      <w:pPr>
        <w:rPr>
          <w:szCs w:val="24"/>
          <w:lang w:val="es-MX"/>
        </w:rPr>
      </w:pPr>
      <w:r w:rsidRPr="0044551F">
        <w:rPr>
          <w:rFonts w:cs="Arial"/>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44551F">
        <w:rPr>
          <w:rFonts w:cs="Arial"/>
          <w:b/>
        </w:rPr>
        <w:t>LINEAMIENTOS GENERALES EN MATERIA DE CLASIFICACIÓN Y DESCLASIFICACIÓN DE LA INFORMACIÓN, ASÍ COMO PARA LA ELABORACIÓN DE VERSIONES PÚBLICAS,</w:t>
      </w:r>
      <w:r w:rsidRPr="0044551F">
        <w:rPr>
          <w:rFonts w:cs="Arial"/>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313E5BE3" w14:textId="2D43E065" w:rsidR="00581587" w:rsidRPr="0044551F" w:rsidRDefault="00581587" w:rsidP="00E8313C">
      <w:pPr>
        <w:pBdr>
          <w:top w:val="nil"/>
          <w:left w:val="nil"/>
          <w:bottom w:val="nil"/>
          <w:right w:val="nil"/>
          <w:between w:val="nil"/>
        </w:pBdr>
        <w:rPr>
          <w:rFonts w:eastAsia="Palatino Linotype" w:cs="Palatino Linotype"/>
          <w:color w:val="000000"/>
          <w:szCs w:val="24"/>
        </w:rPr>
      </w:pPr>
    </w:p>
    <w:p w14:paraId="4057EA02" w14:textId="77777777" w:rsidR="00581587" w:rsidRPr="0044551F" w:rsidRDefault="00581587" w:rsidP="00E8313C">
      <w:pPr>
        <w:rPr>
          <w:rStyle w:val="Hipervnculo"/>
          <w:rFonts w:eastAsia="Palatino Linotype" w:cs="Palatino Linotype"/>
          <w:bCs/>
          <w:color w:val="auto"/>
          <w:u w:val="none"/>
        </w:rPr>
      </w:pPr>
    </w:p>
    <w:p w14:paraId="07B920B4" w14:textId="7A8AC018" w:rsidR="00581587" w:rsidRPr="0044551F" w:rsidRDefault="00581587" w:rsidP="00E8313C">
      <w:pPr>
        <w:pBdr>
          <w:top w:val="nil"/>
          <w:left w:val="nil"/>
          <w:bottom w:val="nil"/>
          <w:right w:val="nil"/>
          <w:between w:val="nil"/>
        </w:pBdr>
        <w:rPr>
          <w:rFonts w:eastAsia="Palatino Linotype" w:cs="Palatino Linotype"/>
          <w:color w:val="000000"/>
        </w:rPr>
      </w:pPr>
      <w:r w:rsidRPr="0044551F">
        <w:rPr>
          <w:rFonts w:eastAsia="Palatino Linotype" w:cs="Palatino Linotype"/>
          <w:color w:val="000000" w:themeColor="text1"/>
        </w:rPr>
        <w:t xml:space="preserve">En mérito de lo expuesto en líneas anteriores, este Instituto considera que los motivos de inconformidad planteados por el Recurrente resultan parcialmente fundados en el recurso de revisión que es materia de esta resolución; por ello </w:t>
      </w:r>
      <w:r w:rsidRPr="0044551F">
        <w:rPr>
          <w:rFonts w:eastAsia="Palatino Linotype" w:cs="Palatino Linotype"/>
          <w:b/>
          <w:bCs/>
          <w:color w:val="000000" w:themeColor="text1"/>
        </w:rPr>
        <w:t xml:space="preserve">con fundamento en la segunda hipótesis de la fracción III del artículo 186 </w:t>
      </w:r>
      <w:r w:rsidRPr="0044551F">
        <w:rPr>
          <w:rFonts w:eastAsia="Palatino Linotype" w:cs="Palatino Linotype"/>
          <w:color w:val="000000" w:themeColor="text1"/>
        </w:rPr>
        <w:t xml:space="preserve">de la Ley de Transparencia y Acceso </w:t>
      </w:r>
      <w:r w:rsidRPr="0044551F">
        <w:rPr>
          <w:rFonts w:eastAsia="Palatino Linotype" w:cs="Palatino Linotype"/>
          <w:color w:val="000000" w:themeColor="text1"/>
        </w:rPr>
        <w:lastRenderedPageBreak/>
        <w:t xml:space="preserve">a la Información Pública del Estado de México y Municipios, se </w:t>
      </w:r>
      <w:r w:rsidRPr="0044551F">
        <w:rPr>
          <w:rFonts w:eastAsia="Palatino Linotype" w:cs="Palatino Linotype"/>
          <w:b/>
          <w:bCs/>
          <w:color w:val="000000" w:themeColor="text1"/>
        </w:rPr>
        <w:t xml:space="preserve">MODIFICA </w:t>
      </w:r>
      <w:r w:rsidRPr="0044551F">
        <w:rPr>
          <w:rFonts w:eastAsia="Palatino Linotype" w:cs="Palatino Linotype"/>
          <w:color w:val="000000" w:themeColor="text1"/>
        </w:rPr>
        <w:t>la respuesta a la solicitud de información número</w:t>
      </w:r>
      <w:r w:rsidRPr="0044551F">
        <w:rPr>
          <w:rFonts w:eastAsia="Palatino Linotype" w:cs="Palatino Linotype"/>
          <w:b/>
          <w:bCs/>
          <w:color w:val="000000" w:themeColor="text1"/>
        </w:rPr>
        <w:t xml:space="preserve"> </w:t>
      </w:r>
      <w:r w:rsidR="00FF084D" w:rsidRPr="0044551F">
        <w:rPr>
          <w:rFonts w:eastAsia="Palatino Linotype" w:cs="Palatino Linotype"/>
          <w:b/>
          <w:bCs/>
          <w:color w:val="000000"/>
          <w:szCs w:val="24"/>
        </w:rPr>
        <w:t>00659/SMOV/IP/2023</w:t>
      </w:r>
      <w:r w:rsidRPr="0044551F">
        <w:rPr>
          <w:rFonts w:eastAsia="Palatino Linotype" w:cs="Palatino Linotype"/>
          <w:color w:val="000000" w:themeColor="text1"/>
        </w:rPr>
        <w:t>, que ha sido materia del presente estudio.</w:t>
      </w:r>
    </w:p>
    <w:p w14:paraId="33FB236F" w14:textId="259CAD64" w:rsidR="00581587" w:rsidRPr="0044551F" w:rsidRDefault="00581587" w:rsidP="00E8313C"/>
    <w:p w14:paraId="34755541" w14:textId="77777777" w:rsidR="00581587" w:rsidRPr="0044551F" w:rsidRDefault="00581587" w:rsidP="00E8313C">
      <w:pPr>
        <w:pBdr>
          <w:top w:val="nil"/>
          <w:left w:val="nil"/>
          <w:bottom w:val="nil"/>
          <w:right w:val="nil"/>
          <w:between w:val="nil"/>
        </w:pBdr>
        <w:rPr>
          <w:rFonts w:eastAsia="Palatino Linotype" w:cs="Palatino Linotype"/>
          <w:color w:val="000000"/>
          <w:szCs w:val="24"/>
        </w:rPr>
      </w:pPr>
      <w:r w:rsidRPr="0044551F">
        <w:rPr>
          <w:rFonts w:eastAsia="Palatino Linotype" w:cs="Palatino Linotype"/>
          <w:color w:val="000000"/>
          <w:szCs w:val="24"/>
        </w:rPr>
        <w:t>Por lo antes expuesto y fundado es de resolverse y,</w:t>
      </w:r>
    </w:p>
    <w:p w14:paraId="59696556" w14:textId="77777777" w:rsidR="00FF084D" w:rsidRPr="0044551F" w:rsidRDefault="00FF084D" w:rsidP="00E8313C">
      <w:pPr>
        <w:pBdr>
          <w:top w:val="nil"/>
          <w:left w:val="nil"/>
          <w:bottom w:val="nil"/>
          <w:right w:val="nil"/>
          <w:between w:val="nil"/>
        </w:pBdr>
        <w:rPr>
          <w:rFonts w:eastAsia="Palatino Linotype" w:cs="Palatino Linotype"/>
          <w:color w:val="000000"/>
          <w:szCs w:val="24"/>
        </w:rPr>
      </w:pPr>
    </w:p>
    <w:p w14:paraId="04F69938" w14:textId="77777777" w:rsidR="00581587" w:rsidRPr="0044551F" w:rsidRDefault="00581587" w:rsidP="00E8313C">
      <w:pPr>
        <w:pStyle w:val="Ttulo1"/>
        <w:rPr>
          <w:rFonts w:eastAsia="Palatino Linotype"/>
        </w:rPr>
      </w:pPr>
      <w:r w:rsidRPr="0044551F">
        <w:rPr>
          <w:rFonts w:eastAsia="Palatino Linotype"/>
        </w:rPr>
        <w:t>S E    R E S U E L V E</w:t>
      </w:r>
    </w:p>
    <w:p w14:paraId="0360AA6D" w14:textId="77777777" w:rsidR="00581587" w:rsidRPr="0044551F" w:rsidRDefault="00581587" w:rsidP="00E8313C">
      <w:pPr>
        <w:pBdr>
          <w:top w:val="nil"/>
          <w:left w:val="nil"/>
          <w:bottom w:val="nil"/>
          <w:right w:val="nil"/>
          <w:between w:val="nil"/>
        </w:pBdr>
        <w:rPr>
          <w:rFonts w:eastAsia="Palatino Linotype" w:cs="Palatino Linotype"/>
          <w:b/>
          <w:color w:val="000000"/>
          <w:szCs w:val="24"/>
        </w:rPr>
      </w:pPr>
    </w:p>
    <w:p w14:paraId="2E76CA1A" w14:textId="411EA952" w:rsidR="00581587" w:rsidRPr="0044551F" w:rsidRDefault="00581587" w:rsidP="00E8313C">
      <w:pPr>
        <w:pBdr>
          <w:top w:val="nil"/>
          <w:left w:val="nil"/>
          <w:bottom w:val="nil"/>
          <w:right w:val="nil"/>
          <w:between w:val="nil"/>
        </w:pBdr>
        <w:rPr>
          <w:rFonts w:eastAsia="Palatino Linotype" w:cs="Palatino Linotype"/>
          <w:color w:val="000000"/>
        </w:rPr>
      </w:pPr>
      <w:r w:rsidRPr="0044551F">
        <w:rPr>
          <w:rFonts w:eastAsia="Palatino Linotype" w:cs="Palatino Linotype"/>
          <w:b/>
          <w:bCs/>
          <w:color w:val="000000" w:themeColor="text1"/>
        </w:rPr>
        <w:t>PRIMERO.</w:t>
      </w:r>
      <w:r w:rsidRPr="0044551F">
        <w:rPr>
          <w:rFonts w:eastAsia="Palatino Linotype" w:cs="Palatino Linotype"/>
          <w:color w:val="000000" w:themeColor="text1"/>
        </w:rPr>
        <w:t xml:space="preserve"> Se </w:t>
      </w:r>
      <w:r w:rsidRPr="0044551F">
        <w:rPr>
          <w:rFonts w:eastAsia="Palatino Linotype" w:cs="Palatino Linotype"/>
          <w:b/>
          <w:bCs/>
          <w:color w:val="000000" w:themeColor="text1"/>
        </w:rPr>
        <w:t>MODIFICA</w:t>
      </w:r>
      <w:r w:rsidRPr="0044551F">
        <w:rPr>
          <w:rFonts w:eastAsia="Palatino Linotype" w:cs="Palatino Linotype"/>
          <w:color w:val="000000" w:themeColor="text1"/>
        </w:rPr>
        <w:t xml:space="preserve"> la respuesta entregada por el Sujeto Obligado</w:t>
      </w:r>
      <w:r w:rsidRPr="0044551F">
        <w:rPr>
          <w:rFonts w:eastAsia="Palatino Linotype" w:cs="Palatino Linotype"/>
          <w:b/>
          <w:bCs/>
          <w:color w:val="000000" w:themeColor="text1"/>
        </w:rPr>
        <w:t xml:space="preserve"> </w:t>
      </w:r>
      <w:r w:rsidRPr="0044551F">
        <w:rPr>
          <w:rFonts w:eastAsia="Palatino Linotype" w:cs="Palatino Linotype"/>
          <w:color w:val="000000" w:themeColor="text1"/>
        </w:rPr>
        <w:t xml:space="preserve">a la solicitud de información número </w:t>
      </w:r>
      <w:r w:rsidR="00FF084D" w:rsidRPr="0044551F">
        <w:rPr>
          <w:rFonts w:eastAsia="Palatino Linotype" w:cs="Palatino Linotype"/>
          <w:b/>
          <w:bCs/>
          <w:color w:val="000000"/>
          <w:szCs w:val="24"/>
        </w:rPr>
        <w:t>00659/SMOV/IP/2023</w:t>
      </w:r>
      <w:r w:rsidRPr="0044551F">
        <w:rPr>
          <w:rFonts w:eastAsia="Palatino Linotype" w:cs="Palatino Linotype"/>
          <w:color w:val="000000" w:themeColor="text1"/>
        </w:rPr>
        <w:t xml:space="preserve">, por resultar </w:t>
      </w:r>
      <w:r w:rsidR="0032659A" w:rsidRPr="0044551F">
        <w:rPr>
          <w:rFonts w:eastAsia="Palatino Linotype" w:cs="Palatino Linotype"/>
          <w:color w:val="000000" w:themeColor="text1"/>
        </w:rPr>
        <w:t xml:space="preserve">parcialmente </w:t>
      </w:r>
      <w:r w:rsidRPr="0044551F">
        <w:rPr>
          <w:rFonts w:eastAsia="Palatino Linotype" w:cs="Palatino Linotype"/>
          <w:color w:val="000000" w:themeColor="text1"/>
        </w:rPr>
        <w:t>fundados los motivos de inconformidad argüidos por el Recurrente, en términos del</w:t>
      </w:r>
      <w:r w:rsidRPr="0044551F">
        <w:rPr>
          <w:rFonts w:eastAsia="Palatino Linotype" w:cs="Palatino Linotype"/>
          <w:b/>
          <w:bCs/>
          <w:color w:val="000000" w:themeColor="text1"/>
        </w:rPr>
        <w:t xml:space="preserve"> Considerando CUARTO </w:t>
      </w:r>
      <w:r w:rsidRPr="0044551F">
        <w:rPr>
          <w:rFonts w:eastAsia="Palatino Linotype" w:cs="Palatino Linotype"/>
          <w:color w:val="000000" w:themeColor="text1"/>
        </w:rPr>
        <w:t xml:space="preserve">de la presente resolución. </w:t>
      </w:r>
    </w:p>
    <w:p w14:paraId="1E340B42" w14:textId="77777777" w:rsidR="00581587" w:rsidRPr="0044551F" w:rsidRDefault="00581587" w:rsidP="00E8313C">
      <w:pPr>
        <w:pBdr>
          <w:top w:val="nil"/>
          <w:left w:val="nil"/>
          <w:bottom w:val="nil"/>
          <w:right w:val="nil"/>
          <w:between w:val="nil"/>
        </w:pBdr>
        <w:rPr>
          <w:rFonts w:eastAsia="Palatino Linotype" w:cs="Palatino Linotype"/>
          <w:color w:val="000000"/>
          <w:szCs w:val="24"/>
        </w:rPr>
      </w:pPr>
    </w:p>
    <w:p w14:paraId="4DA0A536" w14:textId="408C1AE9" w:rsidR="00581587" w:rsidRPr="0044551F" w:rsidRDefault="00581587" w:rsidP="00E8313C">
      <w:pPr>
        <w:pBdr>
          <w:top w:val="nil"/>
          <w:left w:val="nil"/>
          <w:bottom w:val="nil"/>
          <w:right w:val="nil"/>
          <w:between w:val="nil"/>
        </w:pBdr>
        <w:rPr>
          <w:rFonts w:eastAsia="Palatino Linotype" w:cs="Palatino Linotype"/>
          <w:color w:val="000000"/>
          <w:szCs w:val="24"/>
        </w:rPr>
      </w:pPr>
      <w:r w:rsidRPr="0044551F">
        <w:rPr>
          <w:rFonts w:eastAsia="Palatino Linotype" w:cs="Palatino Linotype"/>
          <w:b/>
          <w:color w:val="000000"/>
          <w:szCs w:val="24"/>
        </w:rPr>
        <w:t>SEGUNDO.</w:t>
      </w:r>
      <w:r w:rsidRPr="0044551F">
        <w:rPr>
          <w:rFonts w:eastAsia="Palatino Linotype" w:cs="Palatino Linotype"/>
          <w:color w:val="000000"/>
          <w:szCs w:val="24"/>
        </w:rPr>
        <w:t xml:space="preserve"> Se </w:t>
      </w:r>
      <w:r w:rsidRPr="0044551F">
        <w:rPr>
          <w:rFonts w:eastAsia="Palatino Linotype" w:cs="Palatino Linotype"/>
          <w:b/>
          <w:color w:val="000000"/>
          <w:szCs w:val="24"/>
        </w:rPr>
        <w:t>ORDENA</w:t>
      </w:r>
      <w:r w:rsidRPr="0044551F">
        <w:rPr>
          <w:rFonts w:eastAsia="Palatino Linotype" w:cs="Palatino Linotype"/>
          <w:color w:val="000000"/>
          <w:szCs w:val="24"/>
        </w:rPr>
        <w:t xml:space="preserve"> al Sujeto Obligado que </w:t>
      </w:r>
      <w:r w:rsidR="0032659A" w:rsidRPr="0044551F">
        <w:rPr>
          <w:rFonts w:eastAsia="Palatino Linotype" w:cs="Palatino Linotype"/>
          <w:color w:val="000000"/>
          <w:szCs w:val="24"/>
        </w:rPr>
        <w:t xml:space="preserve">lleve a cabo una búsqueda exhaustiva y razonable en los archivos de todas las áreas que se consideren competentes con la finalidad de que se </w:t>
      </w:r>
      <w:r w:rsidRPr="0044551F">
        <w:rPr>
          <w:rFonts w:eastAsia="Palatino Linotype" w:cs="Palatino Linotype"/>
          <w:color w:val="000000"/>
          <w:szCs w:val="24"/>
        </w:rPr>
        <w:t xml:space="preserve">haga entrega al Recurrente mediante el Sistema de Acceso a la Información Mexiquense (SAIMEX), en versión pública de ser procedente y en términos del </w:t>
      </w:r>
      <w:r w:rsidRPr="0044551F">
        <w:rPr>
          <w:rFonts w:eastAsia="Palatino Linotype" w:cs="Palatino Linotype"/>
          <w:b/>
          <w:color w:val="000000"/>
          <w:szCs w:val="24"/>
        </w:rPr>
        <w:t>Considerando CUARTO</w:t>
      </w:r>
      <w:r w:rsidR="0032659A" w:rsidRPr="0044551F">
        <w:rPr>
          <w:rFonts w:eastAsia="Palatino Linotype" w:cs="Palatino Linotype"/>
          <w:color w:val="000000"/>
          <w:szCs w:val="24"/>
        </w:rPr>
        <w:t xml:space="preserve">, de los documentos en donde conste lo </w:t>
      </w:r>
      <w:r w:rsidRPr="0044551F">
        <w:rPr>
          <w:rFonts w:eastAsia="Palatino Linotype" w:cs="Palatino Linotype"/>
          <w:color w:val="000000"/>
          <w:szCs w:val="24"/>
        </w:rPr>
        <w:t xml:space="preserve">siguiente: </w:t>
      </w:r>
    </w:p>
    <w:p w14:paraId="26EEF856" w14:textId="77777777" w:rsidR="00581587" w:rsidRPr="0044551F" w:rsidRDefault="00581587" w:rsidP="00E8313C">
      <w:pPr>
        <w:pBdr>
          <w:top w:val="nil"/>
          <w:left w:val="nil"/>
          <w:bottom w:val="nil"/>
          <w:right w:val="nil"/>
          <w:between w:val="nil"/>
        </w:pBdr>
        <w:rPr>
          <w:rFonts w:eastAsia="Palatino Linotype" w:cs="Palatino Linotype"/>
          <w:color w:val="000000"/>
          <w:szCs w:val="24"/>
        </w:rPr>
      </w:pPr>
    </w:p>
    <w:p w14:paraId="03B6B07D" w14:textId="5B1BCCF5" w:rsidR="00E8313C" w:rsidRPr="0044551F" w:rsidRDefault="00E8313C" w:rsidP="00E8313C">
      <w:pPr>
        <w:numPr>
          <w:ilvl w:val="0"/>
          <w:numId w:val="2"/>
        </w:numPr>
        <w:pBdr>
          <w:top w:val="nil"/>
          <w:left w:val="nil"/>
          <w:bottom w:val="nil"/>
          <w:right w:val="nil"/>
          <w:between w:val="nil"/>
        </w:pBdr>
        <w:rPr>
          <w:rFonts w:eastAsia="Palatino Linotype" w:cs="Palatino Linotype"/>
          <w:color w:val="000000"/>
        </w:rPr>
      </w:pPr>
      <w:r w:rsidRPr="0044551F">
        <w:rPr>
          <w:rFonts w:eastAsia="Palatino Linotype" w:cs="Palatino Linotype"/>
          <w:iCs/>
          <w:color w:val="000000" w:themeColor="text1"/>
        </w:rPr>
        <w:t xml:space="preserve">Las cartas de renuncia del personal que se dio de baja durante el periodo comprendido del 15 de septiembre al 30 de </w:t>
      </w:r>
      <w:r w:rsidR="00335980" w:rsidRPr="0044551F">
        <w:rPr>
          <w:rFonts w:eastAsia="Palatino Linotype" w:cs="Palatino Linotype"/>
          <w:iCs/>
          <w:color w:val="000000" w:themeColor="text1"/>
        </w:rPr>
        <w:t>noviembre de dos mil veintitrés.</w:t>
      </w:r>
      <w:r w:rsidRPr="0044551F">
        <w:rPr>
          <w:rFonts w:eastAsia="Palatino Linotype" w:cs="Palatino Linotype"/>
          <w:iCs/>
          <w:color w:val="000000" w:themeColor="text1"/>
        </w:rPr>
        <w:t xml:space="preserve"> </w:t>
      </w:r>
    </w:p>
    <w:p w14:paraId="608C29A9" w14:textId="1EBB3426" w:rsidR="00335980" w:rsidRPr="0044551F" w:rsidRDefault="00335980" w:rsidP="00E8313C">
      <w:pPr>
        <w:numPr>
          <w:ilvl w:val="0"/>
          <w:numId w:val="2"/>
        </w:numPr>
        <w:pBdr>
          <w:top w:val="nil"/>
          <w:left w:val="nil"/>
          <w:bottom w:val="nil"/>
          <w:right w:val="nil"/>
          <w:between w:val="nil"/>
        </w:pBdr>
        <w:rPr>
          <w:rFonts w:eastAsia="Palatino Linotype" w:cs="Palatino Linotype"/>
          <w:color w:val="000000"/>
        </w:rPr>
      </w:pPr>
      <w:r w:rsidRPr="0044551F">
        <w:rPr>
          <w:color w:val="000000"/>
        </w:rPr>
        <w:t xml:space="preserve">Documento donde conste el </w:t>
      </w:r>
      <w:r w:rsidRPr="0044551F">
        <w:rPr>
          <w:rFonts w:eastAsiaTheme="minorHAnsi" w:cstheme="minorBidi"/>
        </w:rPr>
        <w:t xml:space="preserve">Currículum Vitae, Ficha Curricular o documento análogo </w:t>
      </w:r>
      <w:r w:rsidRPr="0044551F">
        <w:rPr>
          <w:rFonts w:eastAsia="Palatino Linotype" w:cs="Palatino Linotype"/>
          <w:iCs/>
          <w:color w:val="000000" w:themeColor="text1"/>
        </w:rPr>
        <w:t>del personal adscrito a la Secretaría de Movilidad, al cuatro de diciembre de dos mil veintitrés.</w:t>
      </w:r>
      <w:r w:rsidR="00E8313C" w:rsidRPr="0044551F">
        <w:rPr>
          <w:rFonts w:eastAsia="Palatino Linotype" w:cs="Palatino Linotype"/>
          <w:iCs/>
          <w:color w:val="000000" w:themeColor="text1"/>
        </w:rPr>
        <w:t xml:space="preserve"> </w:t>
      </w:r>
    </w:p>
    <w:p w14:paraId="38B9CE6A" w14:textId="2D3C735C" w:rsidR="00581587" w:rsidRPr="0044551F" w:rsidRDefault="00335980" w:rsidP="00E8313C">
      <w:pPr>
        <w:numPr>
          <w:ilvl w:val="0"/>
          <w:numId w:val="2"/>
        </w:numPr>
        <w:pBdr>
          <w:top w:val="nil"/>
          <w:left w:val="nil"/>
          <w:bottom w:val="nil"/>
          <w:right w:val="nil"/>
          <w:between w:val="nil"/>
        </w:pBdr>
        <w:rPr>
          <w:rFonts w:eastAsia="Palatino Linotype" w:cs="Palatino Linotype"/>
          <w:color w:val="000000"/>
        </w:rPr>
      </w:pPr>
      <w:r w:rsidRPr="0044551F">
        <w:rPr>
          <w:color w:val="000000"/>
        </w:rPr>
        <w:lastRenderedPageBreak/>
        <w:t xml:space="preserve">Documento donde conste el </w:t>
      </w:r>
      <w:r w:rsidR="00E8313C" w:rsidRPr="0044551F">
        <w:rPr>
          <w:rFonts w:eastAsia="Palatino Linotype" w:cs="Palatino Linotype"/>
          <w:iCs/>
          <w:color w:val="000000" w:themeColor="text1"/>
        </w:rPr>
        <w:t>comprobante de estudios del personal adscrito a la Secretaría de Movilidad al cuatro de diciembre de dos mil veintitrés</w:t>
      </w:r>
      <w:r w:rsidR="00581587" w:rsidRPr="0044551F">
        <w:rPr>
          <w:rFonts w:eastAsia="Palatino Linotype" w:cs="Palatino Linotype"/>
          <w:iCs/>
          <w:color w:val="000000" w:themeColor="text1"/>
        </w:rPr>
        <w:t>.</w:t>
      </w:r>
    </w:p>
    <w:p w14:paraId="4B3083CF" w14:textId="77777777" w:rsidR="00581587" w:rsidRPr="0044551F" w:rsidRDefault="00581587" w:rsidP="00E8313C">
      <w:pPr>
        <w:pBdr>
          <w:top w:val="nil"/>
          <w:left w:val="nil"/>
          <w:bottom w:val="nil"/>
          <w:right w:val="nil"/>
          <w:between w:val="nil"/>
        </w:pBdr>
        <w:rPr>
          <w:rFonts w:eastAsia="Palatino Linotype" w:cs="Palatino Linotype"/>
          <w:color w:val="000000"/>
          <w:szCs w:val="24"/>
        </w:rPr>
      </w:pPr>
    </w:p>
    <w:p w14:paraId="1F3D8B18" w14:textId="77777777" w:rsidR="00581587" w:rsidRPr="0044551F" w:rsidRDefault="00581587" w:rsidP="00E8313C">
      <w:pPr>
        <w:pBdr>
          <w:top w:val="nil"/>
          <w:left w:val="nil"/>
          <w:bottom w:val="nil"/>
          <w:right w:val="nil"/>
          <w:between w:val="nil"/>
        </w:pBdr>
        <w:ind w:left="567" w:right="567"/>
        <w:rPr>
          <w:rFonts w:eastAsia="Palatino Linotype" w:cs="Palatino Linotype"/>
          <w:i/>
          <w:color w:val="000000"/>
          <w:szCs w:val="24"/>
        </w:rPr>
      </w:pPr>
      <w:r w:rsidRPr="0044551F">
        <w:rPr>
          <w:rFonts w:eastAsia="Palatino Linotype" w:cs="Palatino Linotype"/>
          <w:i/>
          <w:color w:val="000000"/>
          <w:szCs w:val="24"/>
        </w:rPr>
        <w:t>De ser necesario, 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170DEAF8" w14:textId="77777777" w:rsidR="00581587" w:rsidRPr="0044551F" w:rsidRDefault="00581587" w:rsidP="00E8313C">
      <w:pPr>
        <w:pBdr>
          <w:top w:val="nil"/>
          <w:left w:val="nil"/>
          <w:bottom w:val="nil"/>
          <w:right w:val="nil"/>
          <w:between w:val="nil"/>
        </w:pBdr>
        <w:ind w:left="567" w:right="567"/>
        <w:rPr>
          <w:rFonts w:eastAsia="Palatino Linotype" w:cs="Palatino Linotype"/>
          <w:i/>
          <w:color w:val="000000"/>
          <w:szCs w:val="24"/>
        </w:rPr>
      </w:pPr>
    </w:p>
    <w:p w14:paraId="4D6EF893" w14:textId="4F8405F6" w:rsidR="0032659A" w:rsidRPr="0044551F" w:rsidRDefault="0032659A" w:rsidP="00E8313C">
      <w:pPr>
        <w:pBdr>
          <w:top w:val="nil"/>
          <w:left w:val="nil"/>
          <w:bottom w:val="nil"/>
          <w:right w:val="nil"/>
          <w:between w:val="nil"/>
        </w:pBdr>
        <w:ind w:left="567" w:right="567"/>
        <w:rPr>
          <w:rFonts w:eastAsia="Palatino Linotype" w:cs="Palatino Linotype"/>
          <w:i/>
          <w:color w:val="000000"/>
          <w:szCs w:val="24"/>
        </w:rPr>
      </w:pPr>
      <w:r w:rsidRPr="0044551F">
        <w:rPr>
          <w:rFonts w:eastAsia="Palatino Linotype" w:cs="Palatino Linotype"/>
          <w:i/>
          <w:color w:val="000000"/>
          <w:szCs w:val="24"/>
        </w:rPr>
        <w:t>En el supuesto de que una vez realizada la búsqueda el Sujeto Obligado determine que no cuenta entre sus archivos con la información ordenada</w:t>
      </w:r>
      <w:r w:rsidR="00E8313C" w:rsidRPr="0044551F">
        <w:rPr>
          <w:rFonts w:eastAsia="Palatino Linotype" w:cs="Palatino Linotype"/>
          <w:i/>
          <w:color w:val="000000"/>
          <w:szCs w:val="24"/>
        </w:rPr>
        <w:t xml:space="preserve"> en el punto </w:t>
      </w:r>
      <w:r w:rsidR="00335980" w:rsidRPr="0044551F">
        <w:rPr>
          <w:rFonts w:eastAsia="Palatino Linotype" w:cs="Palatino Linotype"/>
          <w:i/>
          <w:color w:val="000000"/>
          <w:szCs w:val="24"/>
        </w:rPr>
        <w:t>3</w:t>
      </w:r>
      <w:r w:rsidR="00F37B9F" w:rsidRPr="0044551F">
        <w:rPr>
          <w:rFonts w:eastAsia="Palatino Linotype" w:cs="Palatino Linotype"/>
          <w:i/>
          <w:color w:val="000000"/>
          <w:szCs w:val="24"/>
        </w:rPr>
        <w:t>, de algunos de los servidores públicos por no ser requisito indispensable para ocupar el cargo</w:t>
      </w:r>
      <w:r w:rsidRPr="0044551F">
        <w:rPr>
          <w:rFonts w:eastAsia="Palatino Linotype" w:cs="Palatino Linotype"/>
          <w:i/>
          <w:color w:val="000000"/>
          <w:szCs w:val="24"/>
        </w:rPr>
        <w:t>, bastará con que así lo haga del conocimiento del Recurrente en término de lo dispuesto en el segundo párrafo del artículo 19 de la Ley de Transparencia y Acceso a la Información Pública del Estado de México y Municipios.</w:t>
      </w:r>
    </w:p>
    <w:p w14:paraId="35430D06" w14:textId="77777777" w:rsidR="0032659A" w:rsidRPr="0044551F" w:rsidRDefault="0032659A" w:rsidP="00E8313C">
      <w:pPr>
        <w:pBdr>
          <w:top w:val="nil"/>
          <w:left w:val="nil"/>
          <w:bottom w:val="nil"/>
          <w:right w:val="nil"/>
          <w:between w:val="nil"/>
        </w:pBdr>
        <w:rPr>
          <w:rFonts w:eastAsia="Palatino Linotype" w:cs="Palatino Linotype"/>
          <w:color w:val="000000"/>
          <w:szCs w:val="24"/>
        </w:rPr>
      </w:pPr>
    </w:p>
    <w:p w14:paraId="0BFBD801" w14:textId="343F5C80" w:rsidR="00581587" w:rsidRPr="0044551F" w:rsidRDefault="00581587" w:rsidP="00E8313C">
      <w:pPr>
        <w:pBdr>
          <w:top w:val="nil"/>
          <w:left w:val="nil"/>
          <w:bottom w:val="nil"/>
          <w:right w:val="nil"/>
          <w:between w:val="nil"/>
        </w:pBdr>
        <w:rPr>
          <w:rFonts w:eastAsia="Palatino Linotype" w:cs="Palatino Linotype"/>
          <w:color w:val="000000"/>
          <w:szCs w:val="24"/>
        </w:rPr>
      </w:pPr>
      <w:r w:rsidRPr="0044551F">
        <w:rPr>
          <w:rFonts w:eastAsia="Palatino Linotype" w:cs="Palatino Linotype"/>
          <w:b/>
          <w:color w:val="000000"/>
          <w:szCs w:val="24"/>
        </w:rPr>
        <w:t>TERCERO. Notifíquese</w:t>
      </w:r>
      <w:r w:rsidRPr="0044551F">
        <w:rPr>
          <w:rFonts w:eastAsia="Palatino Linotype" w:cs="Palatino Linotype"/>
          <w:b/>
          <w:i/>
          <w:color w:val="000000"/>
          <w:szCs w:val="24"/>
        </w:rPr>
        <w:t xml:space="preserve"> </w:t>
      </w:r>
      <w:r w:rsidRPr="0044551F">
        <w:rPr>
          <w:rFonts w:eastAsia="Palatino Linotype" w:cs="Palatino Linotype"/>
          <w:color w:val="000000"/>
          <w:szCs w:val="24"/>
        </w:rPr>
        <w:t xml:space="preserve">la presente resolución al Titular de la Unidad de Transparencia del Sujeto Obligado </w:t>
      </w:r>
      <w:r w:rsidR="0032659A" w:rsidRPr="0044551F">
        <w:rPr>
          <w:rFonts w:eastAsia="Palatino Linotype" w:cs="Palatino Linotype"/>
          <w:color w:val="000000"/>
          <w:szCs w:val="24"/>
        </w:rPr>
        <w:t xml:space="preserve">mediante el Sistema de Acceso a la Información Mexiquense (SAIMEX), </w:t>
      </w:r>
      <w:r w:rsidRPr="0044551F">
        <w:rPr>
          <w:rFonts w:eastAsia="Palatino Linotype" w:cs="Palatino Linotype"/>
          <w:color w:val="000000"/>
          <w:szCs w:val="24"/>
        </w:rPr>
        <w:t xml:space="preserve">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44551F">
        <w:rPr>
          <w:rFonts w:eastAsia="Palatino Linotype" w:cs="Palatino Linotype"/>
          <w:color w:val="000000"/>
          <w:szCs w:val="24"/>
        </w:rPr>
        <w:lastRenderedPageBreak/>
        <w:t>conformidad con lo previsto en los artículos 198, 200 fracción III, 214, 215 y 216 de la Ley de Transparencia y Acceso a la Información Pública del Estado de México y Municipios.</w:t>
      </w:r>
    </w:p>
    <w:p w14:paraId="579A62C6" w14:textId="77777777" w:rsidR="00581587" w:rsidRPr="0044551F" w:rsidRDefault="00581587" w:rsidP="00E8313C">
      <w:pPr>
        <w:pBdr>
          <w:top w:val="nil"/>
          <w:left w:val="nil"/>
          <w:bottom w:val="nil"/>
          <w:right w:val="nil"/>
          <w:between w:val="nil"/>
        </w:pBdr>
        <w:rPr>
          <w:rFonts w:eastAsia="Palatino Linotype" w:cs="Palatino Linotype"/>
          <w:color w:val="000000"/>
          <w:szCs w:val="24"/>
        </w:rPr>
      </w:pPr>
    </w:p>
    <w:p w14:paraId="58CC198C" w14:textId="77777777" w:rsidR="00581587" w:rsidRPr="0044551F" w:rsidRDefault="00581587" w:rsidP="00E8313C">
      <w:pPr>
        <w:pBdr>
          <w:top w:val="nil"/>
          <w:left w:val="nil"/>
          <w:bottom w:val="nil"/>
          <w:right w:val="nil"/>
          <w:between w:val="nil"/>
        </w:pBdr>
        <w:rPr>
          <w:rFonts w:eastAsia="Palatino Linotype" w:cs="Palatino Linotype"/>
          <w:color w:val="000000"/>
          <w:szCs w:val="24"/>
        </w:rPr>
      </w:pPr>
      <w:r w:rsidRPr="0044551F">
        <w:rPr>
          <w:rFonts w:eastAsia="Palatino Linotype" w:cs="Palatino Linotype"/>
          <w:b/>
          <w:color w:val="000000"/>
          <w:szCs w:val="24"/>
        </w:rPr>
        <w:t xml:space="preserve">CUARTO. </w:t>
      </w:r>
      <w:r w:rsidRPr="0044551F">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44551F" w:rsidRDefault="00581587" w:rsidP="00E8313C">
      <w:pPr>
        <w:pBdr>
          <w:top w:val="nil"/>
          <w:left w:val="nil"/>
          <w:bottom w:val="nil"/>
          <w:right w:val="nil"/>
          <w:between w:val="nil"/>
        </w:pBdr>
        <w:rPr>
          <w:rFonts w:eastAsia="Palatino Linotype" w:cs="Palatino Linotype"/>
          <w:color w:val="000000"/>
          <w:szCs w:val="24"/>
        </w:rPr>
      </w:pPr>
    </w:p>
    <w:p w14:paraId="704D3D60" w14:textId="3EC91A29" w:rsidR="00C31C9D" w:rsidRPr="0044551F" w:rsidRDefault="00BD5961" w:rsidP="00E8313C">
      <w:pPr>
        <w:pBdr>
          <w:top w:val="nil"/>
          <w:left w:val="nil"/>
          <w:bottom w:val="nil"/>
          <w:right w:val="nil"/>
          <w:between w:val="nil"/>
        </w:pBdr>
        <w:rPr>
          <w:rFonts w:eastAsia="Palatino Linotype" w:cs="Palatino Linotype"/>
          <w:color w:val="000000"/>
          <w:szCs w:val="24"/>
        </w:rPr>
      </w:pPr>
      <w:r w:rsidRPr="0044551F">
        <w:rPr>
          <w:rFonts w:eastAsia="Palatino Linotype" w:cs="Palatino Linotype"/>
          <w:b/>
          <w:noProof/>
          <w:color w:val="000000"/>
          <w:szCs w:val="24"/>
          <w:lang w:val="es-MX"/>
        </w:rPr>
        <mc:AlternateContent>
          <mc:Choice Requires="wps">
            <w:drawing>
              <wp:anchor distT="0" distB="0" distL="114300" distR="114300" simplePos="0" relativeHeight="251659264" behindDoc="0" locked="0" layoutInCell="1" allowOverlap="1" wp14:anchorId="43FD60B3" wp14:editId="25A4F35E">
                <wp:simplePos x="0" y="0"/>
                <wp:positionH relativeFrom="column">
                  <wp:posOffset>49529</wp:posOffset>
                </wp:positionH>
                <wp:positionV relativeFrom="paragraph">
                  <wp:posOffset>1776729</wp:posOffset>
                </wp:positionV>
                <wp:extent cx="5819775" cy="317182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5819775" cy="3171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DF512"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pt,139.9pt" to="462.15pt,3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" strokecolor="#5b9bd5 [3204]" strokeweight=".5pt">
                <v:stroke joinstyle="miter"/>
              </v:line>
            </w:pict>
          </mc:Fallback>
        </mc:AlternateContent>
      </w:r>
      <w:r w:rsidR="00581587" w:rsidRPr="0044551F">
        <w:rPr>
          <w:rFonts w:eastAsia="Palatino Linotype" w:cs="Palatino Linotype"/>
          <w:b/>
          <w:color w:val="000000"/>
          <w:szCs w:val="24"/>
        </w:rPr>
        <w:t xml:space="preserve">QUINTO. Notifíquese </w:t>
      </w:r>
      <w:r w:rsidR="00581587" w:rsidRPr="0044551F">
        <w:rPr>
          <w:rFonts w:eastAsia="Palatino Linotype" w:cs="Palatino Linotype"/>
          <w:color w:val="000000"/>
          <w:szCs w:val="24"/>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Pr="0044551F" w:rsidRDefault="00454915" w:rsidP="00E8313C"/>
    <w:p w14:paraId="169B4BE3" w14:textId="77777777" w:rsidR="00BD5961" w:rsidRPr="0044551F" w:rsidRDefault="00BD5961" w:rsidP="00E8313C"/>
    <w:p w14:paraId="5EBAF9C9" w14:textId="77777777" w:rsidR="00BD5961" w:rsidRPr="0044551F" w:rsidRDefault="00BD5961" w:rsidP="00E8313C"/>
    <w:p w14:paraId="460D884F" w14:textId="77777777" w:rsidR="00BD5961" w:rsidRPr="0044551F" w:rsidRDefault="00BD5961" w:rsidP="00E8313C"/>
    <w:p w14:paraId="103314F2" w14:textId="77777777" w:rsidR="00BD5961" w:rsidRPr="0044551F" w:rsidRDefault="00BD5961" w:rsidP="00E8313C"/>
    <w:p w14:paraId="12B73E04" w14:textId="77777777" w:rsidR="00BD5961" w:rsidRPr="0044551F" w:rsidRDefault="00BD5961" w:rsidP="00E8313C"/>
    <w:p w14:paraId="1AD2D87A" w14:textId="77777777" w:rsidR="00BD5961" w:rsidRPr="0044551F" w:rsidRDefault="00BD5961" w:rsidP="00E8313C"/>
    <w:p w14:paraId="25C77C91" w14:textId="77777777" w:rsidR="00BD5961" w:rsidRPr="0044551F" w:rsidRDefault="00BD5961" w:rsidP="00E8313C"/>
    <w:p w14:paraId="71027BA6" w14:textId="77777777" w:rsidR="00BD5961" w:rsidRPr="0044551F" w:rsidRDefault="00BD5961" w:rsidP="00E8313C"/>
    <w:p w14:paraId="074E7942" w14:textId="77777777" w:rsidR="00BD5961" w:rsidRPr="0044551F" w:rsidRDefault="00BD5961" w:rsidP="00E8313C"/>
    <w:p w14:paraId="20573BFF" w14:textId="70669916" w:rsidR="00A970D5" w:rsidRPr="0044551F" w:rsidRDefault="005A45B1" w:rsidP="00E8313C">
      <w:pPr>
        <w:pBdr>
          <w:top w:val="nil"/>
          <w:left w:val="nil"/>
          <w:bottom w:val="nil"/>
          <w:right w:val="nil"/>
          <w:between w:val="nil"/>
        </w:pBdr>
        <w:contextualSpacing/>
        <w:rPr>
          <w:rFonts w:eastAsia="Palatino Linotype" w:cs="Palatino Linotype"/>
          <w:color w:val="000000"/>
          <w:szCs w:val="24"/>
        </w:rPr>
      </w:pPr>
      <w:r w:rsidRPr="0044551F">
        <w:rPr>
          <w:rFonts w:eastAsia="Palatino Linotype" w:cs="Palatino Linotype"/>
          <w:color w:val="000000"/>
          <w:szCs w:val="24"/>
        </w:rPr>
        <w:lastRenderedPageBreak/>
        <w:t>ASÍ LO RESUELVE</w:t>
      </w:r>
      <w:r w:rsidR="00247FE8" w:rsidRPr="0044551F">
        <w:rPr>
          <w:rFonts w:eastAsia="Palatino Linotype" w:cs="Palatino Linotype"/>
          <w:color w:val="000000"/>
          <w:szCs w:val="24"/>
        </w:rPr>
        <w:t xml:space="preserve"> POR UNANIMIDAD</w:t>
      </w:r>
      <w:r w:rsidRPr="0044551F">
        <w:rPr>
          <w:rFonts w:eastAsia="Palatino Linotype" w:cs="Palatino Linotype"/>
          <w:color w:val="000000"/>
          <w:szCs w:val="24"/>
        </w:rPr>
        <w:t xml:space="preserve"> </w:t>
      </w:r>
      <w:r w:rsidR="006922F5" w:rsidRPr="0044551F">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w:t>
      </w:r>
      <w:r w:rsidR="00BD5961" w:rsidRPr="0044551F">
        <w:rPr>
          <w:rFonts w:eastAsia="Palatino Linotype" w:cs="Palatino Linotype"/>
          <w:color w:val="000000"/>
          <w:szCs w:val="24"/>
        </w:rPr>
        <w:t xml:space="preserve"> (EMITIENDO VOTO PARTICULAR)</w:t>
      </w:r>
      <w:r w:rsidR="006922F5" w:rsidRPr="0044551F">
        <w:rPr>
          <w:rFonts w:eastAsia="Palatino Linotype" w:cs="Palatino Linotype"/>
          <w:color w:val="000000"/>
          <w:szCs w:val="24"/>
        </w:rPr>
        <w:t>, MARÍA DEL ROSARIO MEJÍA AYALA</w:t>
      </w:r>
      <w:r w:rsidR="00BD5961" w:rsidRPr="0044551F">
        <w:rPr>
          <w:rFonts w:eastAsia="Palatino Linotype" w:cs="Palatino Linotype"/>
          <w:color w:val="000000"/>
          <w:szCs w:val="24"/>
        </w:rPr>
        <w:t xml:space="preserve"> (EMITIENDO VOTO PARTICULAR)</w:t>
      </w:r>
      <w:r w:rsidR="006922F5" w:rsidRPr="0044551F">
        <w:rPr>
          <w:rFonts w:eastAsia="Palatino Linotype" w:cs="Palatino Linotype"/>
          <w:color w:val="000000"/>
          <w:szCs w:val="24"/>
        </w:rPr>
        <w:t>, SHARON CRISTINA MORALES MARTÍNEZ</w:t>
      </w:r>
      <w:r w:rsidR="00BD5961" w:rsidRPr="0044551F">
        <w:rPr>
          <w:rFonts w:eastAsia="Palatino Linotype" w:cs="Palatino Linotype"/>
          <w:color w:val="000000"/>
          <w:szCs w:val="24"/>
        </w:rPr>
        <w:t xml:space="preserve"> (EMITIENDO VOTO PARTICULAR CONCURRENTE)</w:t>
      </w:r>
      <w:r w:rsidR="006922F5" w:rsidRPr="0044551F">
        <w:rPr>
          <w:rFonts w:eastAsia="Palatino Linotype" w:cs="Palatino Linotype"/>
          <w:color w:val="000000"/>
          <w:szCs w:val="24"/>
        </w:rPr>
        <w:t>, LUIS GUSTAVO PARRA NORIEGA</w:t>
      </w:r>
      <w:r w:rsidR="00BD5961" w:rsidRPr="0044551F">
        <w:rPr>
          <w:rFonts w:eastAsia="Palatino Linotype" w:cs="Palatino Linotype"/>
          <w:color w:val="000000"/>
          <w:szCs w:val="24"/>
        </w:rPr>
        <w:t xml:space="preserve"> (EMITIENDO VOTO PARTICULAR)</w:t>
      </w:r>
      <w:r w:rsidR="0033640F" w:rsidRPr="0044551F">
        <w:rPr>
          <w:rFonts w:eastAsia="Palatino Linotype" w:cs="Palatino Linotype"/>
          <w:color w:val="000000"/>
          <w:szCs w:val="24"/>
        </w:rPr>
        <w:t xml:space="preserve"> </w:t>
      </w:r>
      <w:r w:rsidR="006922F5" w:rsidRPr="0044551F">
        <w:rPr>
          <w:rFonts w:eastAsia="Palatino Linotype" w:cs="Palatino Linotype"/>
          <w:color w:val="000000"/>
          <w:szCs w:val="24"/>
        </w:rPr>
        <w:t>Y GUADALUPE RAMÍREZ PEÑA</w:t>
      </w:r>
      <w:r w:rsidR="00BD5961" w:rsidRPr="0044551F">
        <w:rPr>
          <w:rFonts w:eastAsia="Palatino Linotype" w:cs="Palatino Linotype"/>
          <w:color w:val="000000"/>
          <w:szCs w:val="24"/>
        </w:rPr>
        <w:t xml:space="preserve"> (EMITIENDO VOTO PARTICULAR CONCURRENTE)</w:t>
      </w:r>
      <w:r w:rsidR="00AF6B94" w:rsidRPr="0044551F">
        <w:rPr>
          <w:rFonts w:eastAsia="Palatino Linotype" w:cs="Palatino Linotype"/>
          <w:color w:val="000000"/>
          <w:szCs w:val="24"/>
        </w:rPr>
        <w:t>,</w:t>
      </w:r>
      <w:r w:rsidR="00F37687" w:rsidRPr="0044551F">
        <w:rPr>
          <w:rFonts w:eastAsia="Palatino Linotype" w:cs="Palatino Linotype"/>
          <w:color w:val="000000"/>
          <w:szCs w:val="24"/>
        </w:rPr>
        <w:t xml:space="preserve"> </w:t>
      </w:r>
      <w:r w:rsidR="006922F5" w:rsidRPr="0044551F">
        <w:rPr>
          <w:rFonts w:eastAsia="Palatino Linotype" w:cs="Palatino Linotype"/>
          <w:color w:val="000000"/>
          <w:szCs w:val="24"/>
        </w:rPr>
        <w:t>EN LA</w:t>
      </w:r>
      <w:r w:rsidR="00C93568" w:rsidRPr="0044551F">
        <w:rPr>
          <w:rFonts w:eastAsia="Palatino Linotype" w:cs="Palatino Linotype"/>
          <w:color w:val="000000"/>
          <w:szCs w:val="24"/>
        </w:rPr>
        <w:t xml:space="preserve"> </w:t>
      </w:r>
      <w:r w:rsidR="006115F0" w:rsidRPr="0044551F">
        <w:rPr>
          <w:rFonts w:eastAsia="Palatino Linotype" w:cs="Palatino Linotype"/>
          <w:color w:val="000000"/>
          <w:szCs w:val="24"/>
        </w:rPr>
        <w:t xml:space="preserve">VIGÉSIMA </w:t>
      </w:r>
      <w:r w:rsidR="00BD5961" w:rsidRPr="0044551F">
        <w:rPr>
          <w:rFonts w:eastAsia="Palatino Linotype" w:cs="Palatino Linotype"/>
          <w:color w:val="000000"/>
          <w:szCs w:val="24"/>
        </w:rPr>
        <w:t>OCTAVA</w:t>
      </w:r>
      <w:r w:rsidR="006115F0" w:rsidRPr="0044551F">
        <w:rPr>
          <w:rFonts w:eastAsia="Palatino Linotype" w:cs="Palatino Linotype"/>
          <w:color w:val="000000"/>
          <w:szCs w:val="24"/>
        </w:rPr>
        <w:t xml:space="preserve"> </w:t>
      </w:r>
      <w:r w:rsidR="006922F5" w:rsidRPr="0044551F">
        <w:rPr>
          <w:rFonts w:eastAsia="Palatino Linotype" w:cs="Palatino Linotype"/>
          <w:color w:val="000000"/>
          <w:szCs w:val="24"/>
        </w:rPr>
        <w:t>SESIÓN ORDINARIA CELEBRADA E</w:t>
      </w:r>
      <w:r w:rsidR="00C93568" w:rsidRPr="0044551F">
        <w:rPr>
          <w:rFonts w:eastAsia="Palatino Linotype" w:cs="Palatino Linotype"/>
          <w:color w:val="000000"/>
          <w:szCs w:val="24"/>
        </w:rPr>
        <w:t>L</w:t>
      </w:r>
      <w:r w:rsidR="0011108B" w:rsidRPr="0044551F">
        <w:rPr>
          <w:rFonts w:eastAsia="Palatino Linotype" w:cs="Palatino Linotype"/>
          <w:color w:val="000000"/>
          <w:szCs w:val="24"/>
        </w:rPr>
        <w:t xml:space="preserve"> </w:t>
      </w:r>
      <w:r w:rsidR="00BD5961" w:rsidRPr="0044551F">
        <w:rPr>
          <w:rFonts w:eastAsia="Palatino Linotype" w:cs="Palatino Linotype"/>
          <w:color w:val="000000"/>
          <w:szCs w:val="24"/>
        </w:rPr>
        <w:t>CATORCE DE AGOSTO</w:t>
      </w:r>
      <w:r w:rsidR="00C93568" w:rsidRPr="0044551F">
        <w:rPr>
          <w:rFonts w:eastAsia="Palatino Linotype" w:cs="Palatino Linotype"/>
          <w:color w:val="000000"/>
          <w:szCs w:val="24"/>
        </w:rPr>
        <w:t xml:space="preserve"> </w:t>
      </w:r>
      <w:r w:rsidR="002475C3" w:rsidRPr="0044551F">
        <w:rPr>
          <w:rFonts w:eastAsia="Palatino Linotype" w:cs="Palatino Linotype"/>
          <w:color w:val="000000"/>
          <w:szCs w:val="24"/>
        </w:rPr>
        <w:t>DE DOS MIL VEINTI</w:t>
      </w:r>
      <w:r w:rsidR="0011108B" w:rsidRPr="0044551F">
        <w:rPr>
          <w:rFonts w:eastAsia="Palatino Linotype" w:cs="Palatino Linotype"/>
          <w:color w:val="000000"/>
          <w:szCs w:val="24"/>
        </w:rPr>
        <w:t>CUATRO</w:t>
      </w:r>
      <w:r w:rsidR="006922F5" w:rsidRPr="0044551F">
        <w:rPr>
          <w:rFonts w:eastAsia="Palatino Linotype" w:cs="Palatino Linotype"/>
          <w:color w:val="000000"/>
          <w:szCs w:val="24"/>
        </w:rPr>
        <w:t xml:space="preserve">, ANTE EL SECRETARIO TÉCNICO </w:t>
      </w:r>
      <w:r w:rsidRPr="0044551F">
        <w:rPr>
          <w:rFonts w:eastAsia="Palatino Linotype" w:cs="Palatino Linotype"/>
          <w:color w:val="000000"/>
          <w:szCs w:val="24"/>
        </w:rPr>
        <w:t>DEL PLENO, ALEXIS TAPIA RAMÍREZ</w:t>
      </w:r>
      <w:r w:rsidR="00A970D5" w:rsidRPr="0044551F">
        <w:rPr>
          <w:rFonts w:eastAsia="Palatino Linotype" w:cs="Palatino Linotype"/>
          <w:color w:val="000000"/>
          <w:szCs w:val="24"/>
        </w:rPr>
        <w:t>.</w:t>
      </w:r>
      <w:r w:rsidR="001957CF" w:rsidRPr="0044551F">
        <w:rPr>
          <w:rFonts w:eastAsia="Palatino Linotype" w:cs="Palatino Linotype"/>
          <w:color w:val="000000"/>
          <w:szCs w:val="24"/>
        </w:rPr>
        <w:t>-------------</w:t>
      </w:r>
      <w:r w:rsidR="00BD5961" w:rsidRPr="0044551F">
        <w:rPr>
          <w:rFonts w:eastAsia="Palatino Linotype" w:cs="Palatino Linotype"/>
          <w:color w:val="000000"/>
          <w:szCs w:val="24"/>
        </w:rPr>
        <w:t>--------------- ------------------------------------------------------------------------------------------------------------------------------------------------------------------------------------------------------------------------------------------------------------------------------------------------------------------------------------------------------------------------------------------------------------------------------------------------------------------------------------------------------------------------------------------------------------------------------------------------------------------------------------------------------------------------------------------------------------------------------------------------------------------------------------------------------------------------------------------------------------------------------------------------------------------------------------------------------------------------------------------------------------------------------------------------------------------------------------------------------------------------------------------------------------------------------------------------------------------------------------------------------------------------------------------------------------------------------------------------------------------------------------------------------------------------------------------------------------</w:t>
      </w:r>
    </w:p>
    <w:p w14:paraId="4DA57669" w14:textId="3D8293A7" w:rsidR="00A970D5" w:rsidRPr="00BD5961" w:rsidRDefault="7B6D7691" w:rsidP="00E8313C">
      <w:pPr>
        <w:pBdr>
          <w:top w:val="nil"/>
          <w:left w:val="nil"/>
          <w:bottom w:val="nil"/>
          <w:right w:val="nil"/>
          <w:between w:val="nil"/>
        </w:pBdr>
        <w:contextualSpacing/>
        <w:rPr>
          <w:rFonts w:eastAsia="Palatino Linotype" w:cs="Palatino Linotype"/>
          <w:color w:val="000000"/>
          <w:sz w:val="18"/>
          <w:szCs w:val="20"/>
          <w:lang w:val="es-ES"/>
        </w:rPr>
      </w:pPr>
      <w:r w:rsidRPr="0044551F">
        <w:rPr>
          <w:rFonts w:eastAsia="Palatino Linotype" w:cs="Palatino Linotype"/>
          <w:color w:val="000000" w:themeColor="text1"/>
          <w:sz w:val="18"/>
          <w:szCs w:val="20"/>
          <w:lang w:val="es-ES"/>
        </w:rPr>
        <w:t>JMV/CCR/</w:t>
      </w:r>
      <w:bookmarkStart w:id="1" w:name="_GoBack"/>
      <w:bookmarkEnd w:id="1"/>
    </w:p>
    <w:p w14:paraId="5FBC6CA4" w14:textId="77777777" w:rsidR="00A970D5" w:rsidRPr="004B7011" w:rsidRDefault="00A970D5" w:rsidP="00E8313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E8313C">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E8313C">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E8313C">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E8313C">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E8313C">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E8313C">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E8313C">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E8313C">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E8313C"/>
    <w:sectPr w:rsidR="00D718B8" w:rsidRPr="004B7011" w:rsidSect="004F5285">
      <w:headerReference w:type="even" r:id="rId14"/>
      <w:headerReference w:type="default" r:id="rId15"/>
      <w:footerReference w:type="default" r:id="rId16"/>
      <w:headerReference w:type="first" r:id="rId17"/>
      <w:footerReference w:type="first" r:id="rId18"/>
      <w:pgSz w:w="12240" w:h="15840"/>
      <w:pgMar w:top="2977" w:right="1134" w:bottom="1191" w:left="1752"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E05F9" w16cex:dateUtc="2024-08-07T20:40:00Z"/>
  <w16cex:commentExtensible w16cex:durableId="2A5E062A" w16cex:dateUtc="2024-08-07T20:41:00Z"/>
  <w16cex:commentExtensible w16cex:durableId="2A5E05BE" w16cex:dateUtc="2024-08-07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1FFE09" w16cid:durableId="2A5E05F9"/>
  <w16cid:commentId w16cid:paraId="2BE7D6ED" w16cid:durableId="2A5E062A"/>
  <w16cid:commentId w16cid:paraId="4150451E" w16cid:durableId="2A5E05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237B1" w14:textId="77777777" w:rsidR="00CE713E" w:rsidRDefault="00CE713E" w:rsidP="00F2498E">
      <w:pPr>
        <w:spacing w:line="240" w:lineRule="auto"/>
      </w:pPr>
      <w:r>
        <w:separator/>
      </w:r>
    </w:p>
  </w:endnote>
  <w:endnote w:type="continuationSeparator" w:id="0">
    <w:p w14:paraId="1294B7D8" w14:textId="77777777" w:rsidR="00CE713E" w:rsidRDefault="00CE713E" w:rsidP="00F2498E">
      <w:pPr>
        <w:spacing w:line="240" w:lineRule="auto"/>
      </w:pPr>
      <w:r>
        <w:continuationSeparator/>
      </w:r>
    </w:p>
  </w:endnote>
  <w:endnote w:type="continuationNotice" w:id="1">
    <w:p w14:paraId="15203B29" w14:textId="77777777" w:rsidR="00CE713E" w:rsidRDefault="00CE71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ldhabi">
    <w:charset w:val="B2"/>
    <w:family w:val="auto"/>
    <w:pitch w:val="variable"/>
    <w:sig w:usb0="8000200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CE713E" w:rsidRPr="00871A91" w:rsidRDefault="00CE713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4551F">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4551F">
      <w:rPr>
        <w:rFonts w:ascii="Palatino Linotype" w:hAnsi="Palatino Linotype"/>
        <w:b/>
        <w:bCs/>
        <w:noProof/>
        <w:sz w:val="20"/>
      </w:rPr>
      <w:t>57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CE713E" w:rsidRPr="00871A91" w:rsidRDefault="00CE713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4551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4551F">
      <w:rPr>
        <w:rFonts w:ascii="Palatino Linotype" w:hAnsi="Palatino Linotype"/>
        <w:b/>
        <w:bCs/>
        <w:noProof/>
        <w:sz w:val="20"/>
      </w:rPr>
      <w:t>57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978FE" w14:textId="77777777" w:rsidR="00CE713E" w:rsidRDefault="00CE713E" w:rsidP="00F2498E">
      <w:pPr>
        <w:spacing w:line="240" w:lineRule="auto"/>
      </w:pPr>
      <w:r>
        <w:separator/>
      </w:r>
    </w:p>
  </w:footnote>
  <w:footnote w:type="continuationSeparator" w:id="0">
    <w:p w14:paraId="75838550" w14:textId="77777777" w:rsidR="00CE713E" w:rsidRDefault="00CE713E" w:rsidP="00F2498E">
      <w:pPr>
        <w:spacing w:line="240" w:lineRule="auto"/>
      </w:pPr>
      <w:r>
        <w:continuationSeparator/>
      </w:r>
    </w:p>
  </w:footnote>
  <w:footnote w:type="continuationNotice" w:id="1">
    <w:p w14:paraId="3E3C3A55" w14:textId="77777777" w:rsidR="00CE713E" w:rsidRDefault="00CE713E">
      <w:pPr>
        <w:spacing w:line="240" w:lineRule="auto"/>
      </w:pPr>
    </w:p>
  </w:footnote>
  <w:footnote w:id="2">
    <w:p w14:paraId="2BCE50A0" w14:textId="77777777" w:rsidR="00CE713E" w:rsidRPr="0031280C" w:rsidRDefault="00CE713E"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CE713E" w:rsidRPr="0031280C" w:rsidRDefault="00CE713E"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CE713E" w:rsidRPr="0031280C" w:rsidRDefault="00CE713E"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CE713E" w:rsidRPr="0031280C" w:rsidRDefault="00CE713E"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52CCCA4B" w14:textId="77777777" w:rsidR="00CE713E" w:rsidRDefault="00CE713E" w:rsidP="00CE713E">
      <w:pPr>
        <w:pStyle w:val="Textonotapie"/>
      </w:pPr>
      <w:r>
        <w:rPr>
          <w:rStyle w:val="Refdenotaalpie"/>
        </w:rPr>
        <w:t>37</w:t>
      </w:r>
      <w:r>
        <w:t xml:space="preserve">  </w:t>
      </w:r>
      <w:r w:rsidRPr="005978A8">
        <w:rPr>
          <w:i/>
        </w:rPr>
        <w:t>Se deberá observar lo establecido en el numeral décimo segundo, fracción IX de estos Lineamientos.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CE713E" w:rsidRDefault="0044551F">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style="position:absolute;left:0;text-align:left;margin-left:0;margin-top:0;width:609.4pt;height:793.75pt;z-index:-251658240;mso-wrap-edited:f;mso-position-horizontal:center;mso-position-horizontal-relative:margin;mso-position-vertical:center;mso-position-vertical-relative:margin"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E713E" w:rsidRPr="00B17577" w14:paraId="37B9EBDE" w14:textId="77777777" w:rsidTr="003938ED">
      <w:trPr>
        <w:trHeight w:val="227"/>
      </w:trPr>
      <w:tc>
        <w:tcPr>
          <w:tcW w:w="5103" w:type="dxa"/>
          <w:hideMark/>
        </w:tcPr>
        <w:p w14:paraId="4964FBC5" w14:textId="54CDA645" w:rsidR="00CE713E" w:rsidRPr="00096248" w:rsidRDefault="00CE713E"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D543824" w:rsidR="00CE713E" w:rsidRPr="00096248" w:rsidRDefault="00CE713E" w:rsidP="00011C4D">
          <w:pPr>
            <w:spacing w:after="120" w:line="240" w:lineRule="auto"/>
            <w:ind w:right="71"/>
            <w:jc w:val="right"/>
            <w:rPr>
              <w:rFonts w:cs="Arial"/>
              <w:b/>
              <w:szCs w:val="24"/>
            </w:rPr>
          </w:pPr>
          <w:r>
            <w:rPr>
              <w:rFonts w:cs="Arial"/>
              <w:b/>
              <w:bCs/>
              <w:szCs w:val="24"/>
            </w:rPr>
            <w:t>00245</w:t>
          </w:r>
          <w:r w:rsidRPr="00096248">
            <w:rPr>
              <w:rFonts w:cs="Arial"/>
              <w:b/>
              <w:bCs/>
              <w:szCs w:val="24"/>
            </w:rPr>
            <w:t>/INFOEM/IP/RR/202</w:t>
          </w:r>
          <w:r>
            <w:rPr>
              <w:rFonts w:cs="Arial"/>
              <w:b/>
              <w:bCs/>
              <w:szCs w:val="24"/>
            </w:rPr>
            <w:t>4</w:t>
          </w:r>
        </w:p>
      </w:tc>
    </w:tr>
    <w:tr w:rsidR="00CE713E" w14:paraId="7591D3C9" w14:textId="77777777" w:rsidTr="003938ED">
      <w:trPr>
        <w:trHeight w:val="242"/>
      </w:trPr>
      <w:tc>
        <w:tcPr>
          <w:tcW w:w="5103" w:type="dxa"/>
          <w:hideMark/>
        </w:tcPr>
        <w:p w14:paraId="729A65A8" w14:textId="77777777" w:rsidR="00CE713E" w:rsidRPr="00096248" w:rsidRDefault="00CE713E"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39FE8F19" w:rsidR="00CE713E" w:rsidRPr="00096248" w:rsidRDefault="00CE713E" w:rsidP="00011C4D">
          <w:pPr>
            <w:spacing w:after="120" w:line="240" w:lineRule="auto"/>
            <w:ind w:left="-81" w:right="71"/>
            <w:jc w:val="right"/>
            <w:rPr>
              <w:rFonts w:cs="Arial"/>
              <w:szCs w:val="24"/>
            </w:rPr>
          </w:pPr>
          <w:r w:rsidRPr="00255CD2">
            <w:rPr>
              <w:rFonts w:cs="Arial"/>
              <w:szCs w:val="24"/>
            </w:rPr>
            <w:t>Secretaría de Movilidad</w:t>
          </w:r>
        </w:p>
      </w:tc>
    </w:tr>
    <w:tr w:rsidR="00CE713E" w:rsidRPr="00F63239" w14:paraId="037E914D" w14:textId="77777777" w:rsidTr="003938ED">
      <w:trPr>
        <w:trHeight w:val="342"/>
      </w:trPr>
      <w:tc>
        <w:tcPr>
          <w:tcW w:w="5103" w:type="dxa"/>
          <w:hideMark/>
        </w:tcPr>
        <w:p w14:paraId="7676B68F" w14:textId="64D69EAF" w:rsidR="00CE713E" w:rsidRPr="00096248" w:rsidRDefault="00CE713E"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CE713E" w:rsidRDefault="00CE713E"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CE713E" w:rsidRPr="00711916" w:rsidRDefault="00CE713E" w:rsidP="00011C4D">
          <w:pPr>
            <w:spacing w:after="120" w:line="240" w:lineRule="auto"/>
            <w:ind w:left="-486" w:right="71" w:firstLine="567"/>
            <w:jc w:val="right"/>
            <w:rPr>
              <w:rFonts w:cs="Arial"/>
              <w:sz w:val="2"/>
              <w:szCs w:val="2"/>
            </w:rPr>
          </w:pPr>
        </w:p>
      </w:tc>
    </w:tr>
  </w:tbl>
  <w:p w14:paraId="2998DBFD" w14:textId="25A9F426" w:rsidR="00CE713E" w:rsidRPr="00871A91" w:rsidRDefault="0044551F">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3.95pt;margin-top:-145.35pt;width:609.4pt;height:793.75pt;z-index:-251658239;mso-wrap-edited:f;mso-position-horizontal-relative:margin;mso-position-vertical-relative:margin" o:allowincell="f">
          <v:imagedata r:id="rId1" o:title="infoem"/>
          <w10:wrap anchorx="margin" anchory="margin"/>
        </v:shape>
      </w:pict>
    </w:r>
    <w:r w:rsidR="00CE713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E713E" w14:paraId="0F9FE9B6" w14:textId="77777777" w:rsidTr="70652167">
      <w:trPr>
        <w:trHeight w:val="227"/>
      </w:trPr>
      <w:tc>
        <w:tcPr>
          <w:tcW w:w="5103" w:type="dxa"/>
          <w:hideMark/>
        </w:tcPr>
        <w:p w14:paraId="6D1D9D71" w14:textId="11150E5A" w:rsidR="00CE713E" w:rsidRPr="00663A37" w:rsidRDefault="00CE713E"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2017A83" w:rsidR="00CE713E" w:rsidRPr="00C81ECD" w:rsidRDefault="00CE713E" w:rsidP="00011C4D">
          <w:pPr>
            <w:spacing w:after="120" w:line="240" w:lineRule="auto"/>
            <w:ind w:left="-486" w:right="68" w:firstLine="558"/>
            <w:jc w:val="right"/>
            <w:rPr>
              <w:rFonts w:cs="Arial"/>
              <w:b/>
              <w:szCs w:val="24"/>
            </w:rPr>
          </w:pPr>
          <w:r>
            <w:rPr>
              <w:rFonts w:cs="Arial"/>
              <w:b/>
              <w:bCs/>
              <w:szCs w:val="24"/>
            </w:rPr>
            <w:t>00245/INFOEM/IP/RR/2024</w:t>
          </w:r>
        </w:p>
      </w:tc>
    </w:tr>
    <w:tr w:rsidR="00CE713E" w:rsidRPr="001F57CD" w14:paraId="1377D264" w14:textId="77777777" w:rsidTr="70652167">
      <w:trPr>
        <w:trHeight w:val="196"/>
      </w:trPr>
      <w:tc>
        <w:tcPr>
          <w:tcW w:w="5103" w:type="dxa"/>
          <w:hideMark/>
        </w:tcPr>
        <w:p w14:paraId="04D597A1" w14:textId="77777777" w:rsidR="00CE713E" w:rsidRPr="00663A37" w:rsidRDefault="00CE713E"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20B5FA0D" w:rsidR="00CE713E" w:rsidRPr="00663A37" w:rsidRDefault="00CE713E" w:rsidP="70652167">
          <w:pPr>
            <w:spacing w:after="120" w:line="240" w:lineRule="auto"/>
            <w:ind w:right="68"/>
            <w:jc w:val="right"/>
            <w:rPr>
              <w:rFonts w:cs="Arial"/>
              <w:lang w:val="es-ES"/>
            </w:rPr>
          </w:pPr>
        </w:p>
      </w:tc>
    </w:tr>
    <w:tr w:rsidR="00CE713E" w14:paraId="4DC11993" w14:textId="77777777" w:rsidTr="70652167">
      <w:trPr>
        <w:trHeight w:val="242"/>
      </w:trPr>
      <w:tc>
        <w:tcPr>
          <w:tcW w:w="5103" w:type="dxa"/>
          <w:hideMark/>
        </w:tcPr>
        <w:p w14:paraId="76CEF1B5" w14:textId="77777777" w:rsidR="00CE713E" w:rsidRPr="00663A37" w:rsidRDefault="00CE713E"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5AF305BA" w:rsidR="00CE713E" w:rsidRPr="00663A37" w:rsidRDefault="00CE713E" w:rsidP="00011C4D">
          <w:pPr>
            <w:spacing w:after="120" w:line="240" w:lineRule="auto"/>
            <w:ind w:left="-70" w:right="68"/>
            <w:jc w:val="right"/>
            <w:rPr>
              <w:rFonts w:cs="Arial"/>
              <w:szCs w:val="24"/>
            </w:rPr>
          </w:pPr>
          <w:r w:rsidRPr="00255CD2">
            <w:rPr>
              <w:rFonts w:cs="Arial"/>
              <w:szCs w:val="24"/>
            </w:rPr>
            <w:t>Secretaría de Movilidad</w:t>
          </w:r>
        </w:p>
      </w:tc>
    </w:tr>
    <w:tr w:rsidR="00CE713E" w14:paraId="5C2B511D" w14:textId="77777777" w:rsidTr="70652167">
      <w:trPr>
        <w:trHeight w:val="342"/>
      </w:trPr>
      <w:tc>
        <w:tcPr>
          <w:tcW w:w="5103" w:type="dxa"/>
          <w:hideMark/>
        </w:tcPr>
        <w:p w14:paraId="03FEF68C" w14:textId="45E91CF4" w:rsidR="00CE713E" w:rsidRPr="00663A37" w:rsidRDefault="00CE713E"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CE713E" w:rsidRPr="00663A37" w:rsidRDefault="00CE713E"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CE713E" w:rsidRPr="00871A91" w:rsidRDefault="0044551F">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4.1pt;margin-top:-145.35pt;width:609.4pt;height:793.75pt;z-index:-251658238;mso-wrap-edited:f;mso-position-horizontal-relative:margin;mso-position-vertical-relative:margin" o:allowincell="f">
          <v:imagedata r:id="rId1" o:title="infoem"/>
          <w10:wrap anchorx="margin" anchory="margin"/>
        </v:shape>
      </w:pict>
    </w:r>
    <w:r w:rsidR="00CE713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7"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B31E6E"/>
    <w:multiLevelType w:val="hybridMultilevel"/>
    <w:tmpl w:val="4DAAC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B4F4099"/>
    <w:multiLevelType w:val="hybridMultilevel"/>
    <w:tmpl w:val="D49ACB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0" w15:restartNumberingAfterBreak="0">
    <w:nsid w:val="2FBB6221"/>
    <w:multiLevelType w:val="hybridMultilevel"/>
    <w:tmpl w:val="D49ACB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6EE1121"/>
    <w:multiLevelType w:val="hybridMultilevel"/>
    <w:tmpl w:val="A85EAB90"/>
    <w:lvl w:ilvl="0" w:tplc="7908B6F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407F1618"/>
    <w:multiLevelType w:val="hybridMultilevel"/>
    <w:tmpl w:val="B162B466"/>
    <w:lvl w:ilvl="0" w:tplc="7908B6F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22168D"/>
    <w:multiLevelType w:val="hybridMultilevel"/>
    <w:tmpl w:val="CEBC8570"/>
    <w:lvl w:ilvl="0" w:tplc="7908B6F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FE7D14"/>
    <w:multiLevelType w:val="multilevel"/>
    <w:tmpl w:val="AF0CE2AE"/>
    <w:lvl w:ilvl="0">
      <w:start w:val="1"/>
      <w:numFmt w:val="bullet"/>
      <w:lvlText w:val=""/>
      <w:lvlJc w:val="left"/>
      <w:pPr>
        <w:ind w:left="709" w:hanging="425"/>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4"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3"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154772"/>
    <w:multiLevelType w:val="hybridMultilevel"/>
    <w:tmpl w:val="60983A72"/>
    <w:lvl w:ilvl="0" w:tplc="7908B6F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5"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A92906"/>
    <w:multiLevelType w:val="hybridMultilevel"/>
    <w:tmpl w:val="E9AE50E0"/>
    <w:lvl w:ilvl="0" w:tplc="7908B6F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31"/>
  </w:num>
  <w:num w:numId="2">
    <w:abstractNumId w:val="9"/>
  </w:num>
  <w:num w:numId="3">
    <w:abstractNumId w:val="35"/>
  </w:num>
  <w:num w:numId="4">
    <w:abstractNumId w:val="11"/>
  </w:num>
  <w:num w:numId="5">
    <w:abstractNumId w:val="43"/>
  </w:num>
  <w:num w:numId="6">
    <w:abstractNumId w:val="3"/>
  </w:num>
  <w:num w:numId="7">
    <w:abstractNumId w:val="37"/>
  </w:num>
  <w:num w:numId="8">
    <w:abstractNumId w:val="8"/>
  </w:num>
  <w:num w:numId="9">
    <w:abstractNumId w:val="2"/>
  </w:num>
  <w:num w:numId="10">
    <w:abstractNumId w:val="17"/>
  </w:num>
  <w:num w:numId="11">
    <w:abstractNumId w:val="19"/>
  </w:num>
  <w:num w:numId="12">
    <w:abstractNumId w:val="45"/>
  </w:num>
  <w:num w:numId="13">
    <w:abstractNumId w:val="41"/>
  </w:num>
  <w:num w:numId="14">
    <w:abstractNumId w:val="30"/>
  </w:num>
  <w:num w:numId="15">
    <w:abstractNumId w:val="34"/>
  </w:num>
  <w:num w:numId="16">
    <w:abstractNumId w:val="15"/>
  </w:num>
  <w:num w:numId="17">
    <w:abstractNumId w:val="26"/>
  </w:num>
  <w:num w:numId="18">
    <w:abstractNumId w:val="13"/>
  </w:num>
  <w:num w:numId="19">
    <w:abstractNumId w:val="21"/>
  </w:num>
  <w:num w:numId="20">
    <w:abstractNumId w:val="4"/>
  </w:num>
  <w:num w:numId="21">
    <w:abstractNumId w:val="5"/>
  </w:num>
  <w:num w:numId="22">
    <w:abstractNumId w:val="29"/>
  </w:num>
  <w:num w:numId="23">
    <w:abstractNumId w:val="12"/>
  </w:num>
  <w:num w:numId="24">
    <w:abstractNumId w:val="24"/>
  </w:num>
  <w:num w:numId="25">
    <w:abstractNumId w:val="1"/>
  </w:num>
  <w:num w:numId="26">
    <w:abstractNumId w:val="32"/>
  </w:num>
  <w:num w:numId="27">
    <w:abstractNumId w:val="36"/>
  </w:num>
  <w:num w:numId="28">
    <w:abstractNumId w:val="42"/>
  </w:num>
  <w:num w:numId="29">
    <w:abstractNumId w:val="16"/>
  </w:num>
  <w:num w:numId="30">
    <w:abstractNumId w:val="6"/>
  </w:num>
  <w:num w:numId="31">
    <w:abstractNumId w:val="39"/>
  </w:num>
  <w:num w:numId="32">
    <w:abstractNumId w:val="33"/>
  </w:num>
  <w:num w:numId="33">
    <w:abstractNumId w:val="0"/>
  </w:num>
  <w:num w:numId="34">
    <w:abstractNumId w:val="38"/>
  </w:num>
  <w:num w:numId="35">
    <w:abstractNumId w:val="40"/>
  </w:num>
  <w:num w:numId="36">
    <w:abstractNumId w:val="23"/>
  </w:num>
  <w:num w:numId="37">
    <w:abstractNumId w:val="10"/>
  </w:num>
  <w:num w:numId="38">
    <w:abstractNumId w:val="18"/>
  </w:num>
  <w:num w:numId="39">
    <w:abstractNumId w:val="27"/>
  </w:num>
  <w:num w:numId="40">
    <w:abstractNumId w:val="14"/>
  </w:num>
  <w:num w:numId="41">
    <w:abstractNumId w:val="25"/>
  </w:num>
  <w:num w:numId="42">
    <w:abstractNumId w:val="46"/>
  </w:num>
  <w:num w:numId="43">
    <w:abstractNumId w:val="22"/>
  </w:num>
  <w:num w:numId="44">
    <w:abstractNumId w:val="44"/>
  </w:num>
  <w:num w:numId="45">
    <w:abstractNumId w:val="20"/>
  </w:num>
  <w:num w:numId="46">
    <w:abstractNumId w:val="28"/>
  </w:num>
  <w:num w:numId="47">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4A6D"/>
    <w:rsid w:val="00025560"/>
    <w:rsid w:val="00025773"/>
    <w:rsid w:val="00026582"/>
    <w:rsid w:val="00027DA8"/>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5463"/>
    <w:rsid w:val="000666B3"/>
    <w:rsid w:val="000676A2"/>
    <w:rsid w:val="0007107B"/>
    <w:rsid w:val="00072FF9"/>
    <w:rsid w:val="000739AF"/>
    <w:rsid w:val="00075586"/>
    <w:rsid w:val="00075997"/>
    <w:rsid w:val="00075D5E"/>
    <w:rsid w:val="00076332"/>
    <w:rsid w:val="00076CBE"/>
    <w:rsid w:val="00077748"/>
    <w:rsid w:val="000779A1"/>
    <w:rsid w:val="00077A55"/>
    <w:rsid w:val="00077F28"/>
    <w:rsid w:val="000802BA"/>
    <w:rsid w:val="00081F52"/>
    <w:rsid w:val="00082E5D"/>
    <w:rsid w:val="00083498"/>
    <w:rsid w:val="0008496A"/>
    <w:rsid w:val="0008591E"/>
    <w:rsid w:val="00085EA2"/>
    <w:rsid w:val="0008628E"/>
    <w:rsid w:val="000864CC"/>
    <w:rsid w:val="0008737D"/>
    <w:rsid w:val="00087AFB"/>
    <w:rsid w:val="00087F54"/>
    <w:rsid w:val="0009020C"/>
    <w:rsid w:val="00090297"/>
    <w:rsid w:val="00090A37"/>
    <w:rsid w:val="00092681"/>
    <w:rsid w:val="00092B31"/>
    <w:rsid w:val="00092D82"/>
    <w:rsid w:val="00092E51"/>
    <w:rsid w:val="0009320C"/>
    <w:rsid w:val="0009328A"/>
    <w:rsid w:val="0009397B"/>
    <w:rsid w:val="00094B23"/>
    <w:rsid w:val="00094FD7"/>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661"/>
    <w:rsid w:val="000C2D59"/>
    <w:rsid w:val="000C416A"/>
    <w:rsid w:val="000C51AF"/>
    <w:rsid w:val="000C539D"/>
    <w:rsid w:val="000C568A"/>
    <w:rsid w:val="000C661C"/>
    <w:rsid w:val="000C703C"/>
    <w:rsid w:val="000C7472"/>
    <w:rsid w:val="000C7801"/>
    <w:rsid w:val="000C7BF9"/>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50A9"/>
    <w:rsid w:val="001059AF"/>
    <w:rsid w:val="001059DF"/>
    <w:rsid w:val="001067FE"/>
    <w:rsid w:val="00107231"/>
    <w:rsid w:val="00107256"/>
    <w:rsid w:val="0011071D"/>
    <w:rsid w:val="001107C4"/>
    <w:rsid w:val="0011108B"/>
    <w:rsid w:val="0011110C"/>
    <w:rsid w:val="001116B7"/>
    <w:rsid w:val="0011295F"/>
    <w:rsid w:val="001141AE"/>
    <w:rsid w:val="00114F1E"/>
    <w:rsid w:val="00115495"/>
    <w:rsid w:val="00116B11"/>
    <w:rsid w:val="00116E4B"/>
    <w:rsid w:val="00116F6B"/>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92A"/>
    <w:rsid w:val="00142D35"/>
    <w:rsid w:val="00143916"/>
    <w:rsid w:val="00143E8A"/>
    <w:rsid w:val="00143FC6"/>
    <w:rsid w:val="00144A6E"/>
    <w:rsid w:val="00144ABF"/>
    <w:rsid w:val="00144BA8"/>
    <w:rsid w:val="00145C22"/>
    <w:rsid w:val="001464CD"/>
    <w:rsid w:val="00147D4D"/>
    <w:rsid w:val="00150293"/>
    <w:rsid w:val="001502AD"/>
    <w:rsid w:val="001509C0"/>
    <w:rsid w:val="00150BD0"/>
    <w:rsid w:val="00151431"/>
    <w:rsid w:val="00151764"/>
    <w:rsid w:val="00151FF5"/>
    <w:rsid w:val="001522A2"/>
    <w:rsid w:val="00152B40"/>
    <w:rsid w:val="001530E5"/>
    <w:rsid w:val="0015436A"/>
    <w:rsid w:val="00154F75"/>
    <w:rsid w:val="00155CC6"/>
    <w:rsid w:val="00155CDF"/>
    <w:rsid w:val="00155F53"/>
    <w:rsid w:val="001564E3"/>
    <w:rsid w:val="00156699"/>
    <w:rsid w:val="001568D5"/>
    <w:rsid w:val="00156DAA"/>
    <w:rsid w:val="00157D2B"/>
    <w:rsid w:val="00160608"/>
    <w:rsid w:val="001608D3"/>
    <w:rsid w:val="001624E8"/>
    <w:rsid w:val="0016322B"/>
    <w:rsid w:val="0016339A"/>
    <w:rsid w:val="0016392B"/>
    <w:rsid w:val="001641EC"/>
    <w:rsid w:val="001643F2"/>
    <w:rsid w:val="00165898"/>
    <w:rsid w:val="00165CA1"/>
    <w:rsid w:val="00166171"/>
    <w:rsid w:val="00166D47"/>
    <w:rsid w:val="00167291"/>
    <w:rsid w:val="00167DF0"/>
    <w:rsid w:val="00170A1A"/>
    <w:rsid w:val="00171192"/>
    <w:rsid w:val="00171AAD"/>
    <w:rsid w:val="00171BBC"/>
    <w:rsid w:val="00171CF4"/>
    <w:rsid w:val="00171F77"/>
    <w:rsid w:val="0017292D"/>
    <w:rsid w:val="00172A87"/>
    <w:rsid w:val="001748CB"/>
    <w:rsid w:val="0017523B"/>
    <w:rsid w:val="00175B42"/>
    <w:rsid w:val="0017633C"/>
    <w:rsid w:val="00176522"/>
    <w:rsid w:val="00177C5F"/>
    <w:rsid w:val="00177F85"/>
    <w:rsid w:val="001809A8"/>
    <w:rsid w:val="00181A9D"/>
    <w:rsid w:val="001823E3"/>
    <w:rsid w:val="00182FC0"/>
    <w:rsid w:val="001834D9"/>
    <w:rsid w:val="00183990"/>
    <w:rsid w:val="00183F45"/>
    <w:rsid w:val="00184AEA"/>
    <w:rsid w:val="0018577B"/>
    <w:rsid w:val="00185C61"/>
    <w:rsid w:val="00190030"/>
    <w:rsid w:val="0019086A"/>
    <w:rsid w:val="00190B5A"/>
    <w:rsid w:val="00190D0F"/>
    <w:rsid w:val="00190F59"/>
    <w:rsid w:val="00192D02"/>
    <w:rsid w:val="00193146"/>
    <w:rsid w:val="00194C85"/>
    <w:rsid w:val="0019539C"/>
    <w:rsid w:val="001957CF"/>
    <w:rsid w:val="001957E6"/>
    <w:rsid w:val="00195845"/>
    <w:rsid w:val="0019584A"/>
    <w:rsid w:val="001960AD"/>
    <w:rsid w:val="00196AF7"/>
    <w:rsid w:val="00196FB3"/>
    <w:rsid w:val="001A057E"/>
    <w:rsid w:val="001A0AFD"/>
    <w:rsid w:val="001A0E96"/>
    <w:rsid w:val="001A1BDB"/>
    <w:rsid w:val="001A316F"/>
    <w:rsid w:val="001A321A"/>
    <w:rsid w:val="001A3982"/>
    <w:rsid w:val="001A3C5F"/>
    <w:rsid w:val="001A3F75"/>
    <w:rsid w:val="001A4523"/>
    <w:rsid w:val="001A4BDF"/>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B7C7B"/>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CE1"/>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AC1"/>
    <w:rsid w:val="00246269"/>
    <w:rsid w:val="00247588"/>
    <w:rsid w:val="002475C3"/>
    <w:rsid w:val="00247FE8"/>
    <w:rsid w:val="00252443"/>
    <w:rsid w:val="002530AE"/>
    <w:rsid w:val="0025386E"/>
    <w:rsid w:val="002547B2"/>
    <w:rsid w:val="0025565C"/>
    <w:rsid w:val="00255CD2"/>
    <w:rsid w:val="00255FD1"/>
    <w:rsid w:val="002564E8"/>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548"/>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5B10"/>
    <w:rsid w:val="002C6010"/>
    <w:rsid w:val="002C6B4C"/>
    <w:rsid w:val="002C7329"/>
    <w:rsid w:val="002C7EC4"/>
    <w:rsid w:val="002D003A"/>
    <w:rsid w:val="002D00F1"/>
    <w:rsid w:val="002D15F2"/>
    <w:rsid w:val="002D1E08"/>
    <w:rsid w:val="002D2F05"/>
    <w:rsid w:val="002D2F64"/>
    <w:rsid w:val="002D4953"/>
    <w:rsid w:val="002D552F"/>
    <w:rsid w:val="002D5CCE"/>
    <w:rsid w:val="002D639B"/>
    <w:rsid w:val="002D785E"/>
    <w:rsid w:val="002E0588"/>
    <w:rsid w:val="002E0D37"/>
    <w:rsid w:val="002E0FE2"/>
    <w:rsid w:val="002E1484"/>
    <w:rsid w:val="002E1A7A"/>
    <w:rsid w:val="002E1B5E"/>
    <w:rsid w:val="002E2D8A"/>
    <w:rsid w:val="002E32E7"/>
    <w:rsid w:val="002E37DA"/>
    <w:rsid w:val="002E40AD"/>
    <w:rsid w:val="002E55C9"/>
    <w:rsid w:val="002E5AFA"/>
    <w:rsid w:val="002E5D59"/>
    <w:rsid w:val="002E72F0"/>
    <w:rsid w:val="002E7F0E"/>
    <w:rsid w:val="002F07A0"/>
    <w:rsid w:val="002F368E"/>
    <w:rsid w:val="002F3AAF"/>
    <w:rsid w:val="002F40FF"/>
    <w:rsid w:val="002F5101"/>
    <w:rsid w:val="002F5C83"/>
    <w:rsid w:val="002F713F"/>
    <w:rsid w:val="002F799E"/>
    <w:rsid w:val="002F7D3E"/>
    <w:rsid w:val="002F7ED4"/>
    <w:rsid w:val="00300919"/>
    <w:rsid w:val="003012FD"/>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4324"/>
    <w:rsid w:val="0031447F"/>
    <w:rsid w:val="00315AE3"/>
    <w:rsid w:val="00315CA2"/>
    <w:rsid w:val="0031667E"/>
    <w:rsid w:val="00316A7B"/>
    <w:rsid w:val="003176D1"/>
    <w:rsid w:val="003207ED"/>
    <w:rsid w:val="00321B9A"/>
    <w:rsid w:val="0032250C"/>
    <w:rsid w:val="00324F09"/>
    <w:rsid w:val="00325487"/>
    <w:rsid w:val="0032597C"/>
    <w:rsid w:val="00325BCB"/>
    <w:rsid w:val="00325C6E"/>
    <w:rsid w:val="0032659A"/>
    <w:rsid w:val="003265D6"/>
    <w:rsid w:val="003275F8"/>
    <w:rsid w:val="0033070B"/>
    <w:rsid w:val="00330C73"/>
    <w:rsid w:val="00331513"/>
    <w:rsid w:val="0033204C"/>
    <w:rsid w:val="0033491A"/>
    <w:rsid w:val="00334F21"/>
    <w:rsid w:val="00335980"/>
    <w:rsid w:val="00335A61"/>
    <w:rsid w:val="0033640F"/>
    <w:rsid w:val="0033687B"/>
    <w:rsid w:val="00337088"/>
    <w:rsid w:val="00337638"/>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5F"/>
    <w:rsid w:val="003505B2"/>
    <w:rsid w:val="0035063B"/>
    <w:rsid w:val="00350B04"/>
    <w:rsid w:val="00352677"/>
    <w:rsid w:val="0035374E"/>
    <w:rsid w:val="0035393E"/>
    <w:rsid w:val="00355981"/>
    <w:rsid w:val="00356AA0"/>
    <w:rsid w:val="003573D2"/>
    <w:rsid w:val="00360189"/>
    <w:rsid w:val="0036188D"/>
    <w:rsid w:val="00362013"/>
    <w:rsid w:val="00362136"/>
    <w:rsid w:val="003623F5"/>
    <w:rsid w:val="0036312B"/>
    <w:rsid w:val="0036336C"/>
    <w:rsid w:val="003634F7"/>
    <w:rsid w:val="003637A1"/>
    <w:rsid w:val="00363EA3"/>
    <w:rsid w:val="003647C3"/>
    <w:rsid w:val="00364C0A"/>
    <w:rsid w:val="00365AE9"/>
    <w:rsid w:val="003672DF"/>
    <w:rsid w:val="003704FC"/>
    <w:rsid w:val="0037112D"/>
    <w:rsid w:val="003713C2"/>
    <w:rsid w:val="0037172A"/>
    <w:rsid w:val="003722D3"/>
    <w:rsid w:val="0037269A"/>
    <w:rsid w:val="00372B11"/>
    <w:rsid w:val="0037388D"/>
    <w:rsid w:val="0037526D"/>
    <w:rsid w:val="0037545E"/>
    <w:rsid w:val="00375978"/>
    <w:rsid w:val="00376405"/>
    <w:rsid w:val="0037699E"/>
    <w:rsid w:val="0038157C"/>
    <w:rsid w:val="00381BAB"/>
    <w:rsid w:val="00381FE7"/>
    <w:rsid w:val="0038209B"/>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516"/>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1DC"/>
    <w:rsid w:val="003F0A58"/>
    <w:rsid w:val="003F1C2E"/>
    <w:rsid w:val="003F2491"/>
    <w:rsid w:val="003F308A"/>
    <w:rsid w:val="003F32E3"/>
    <w:rsid w:val="003F4582"/>
    <w:rsid w:val="003F5B98"/>
    <w:rsid w:val="003F5D5C"/>
    <w:rsid w:val="003F6192"/>
    <w:rsid w:val="00400915"/>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204D0"/>
    <w:rsid w:val="00420AC4"/>
    <w:rsid w:val="00421DD1"/>
    <w:rsid w:val="00422C5E"/>
    <w:rsid w:val="004232C6"/>
    <w:rsid w:val="00423696"/>
    <w:rsid w:val="00426124"/>
    <w:rsid w:val="00426222"/>
    <w:rsid w:val="00426F24"/>
    <w:rsid w:val="00430C63"/>
    <w:rsid w:val="004310BB"/>
    <w:rsid w:val="004325EA"/>
    <w:rsid w:val="004338C7"/>
    <w:rsid w:val="00433E65"/>
    <w:rsid w:val="00434C3F"/>
    <w:rsid w:val="00434EAD"/>
    <w:rsid w:val="0043556C"/>
    <w:rsid w:val="00437085"/>
    <w:rsid w:val="004406B5"/>
    <w:rsid w:val="00441804"/>
    <w:rsid w:val="00442E5E"/>
    <w:rsid w:val="004431D5"/>
    <w:rsid w:val="004434CE"/>
    <w:rsid w:val="004436C5"/>
    <w:rsid w:val="00444E7F"/>
    <w:rsid w:val="00445514"/>
    <w:rsid w:val="0044551F"/>
    <w:rsid w:val="00445853"/>
    <w:rsid w:val="00446CC4"/>
    <w:rsid w:val="00447748"/>
    <w:rsid w:val="004478B6"/>
    <w:rsid w:val="00447A90"/>
    <w:rsid w:val="00451C0A"/>
    <w:rsid w:val="0045354B"/>
    <w:rsid w:val="00453687"/>
    <w:rsid w:val="004536F3"/>
    <w:rsid w:val="00454915"/>
    <w:rsid w:val="004558BD"/>
    <w:rsid w:val="004569FF"/>
    <w:rsid w:val="004579DC"/>
    <w:rsid w:val="00457A56"/>
    <w:rsid w:val="00460C5B"/>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64FE"/>
    <w:rsid w:val="004769A4"/>
    <w:rsid w:val="00476D8E"/>
    <w:rsid w:val="00480212"/>
    <w:rsid w:val="00480D99"/>
    <w:rsid w:val="004817EA"/>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91A"/>
    <w:rsid w:val="004962CD"/>
    <w:rsid w:val="00497395"/>
    <w:rsid w:val="004A0E7A"/>
    <w:rsid w:val="004A2091"/>
    <w:rsid w:val="004A212C"/>
    <w:rsid w:val="004A29FE"/>
    <w:rsid w:val="004A3000"/>
    <w:rsid w:val="004A3367"/>
    <w:rsid w:val="004A4437"/>
    <w:rsid w:val="004A4A73"/>
    <w:rsid w:val="004A6D54"/>
    <w:rsid w:val="004A6E6E"/>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779"/>
    <w:rsid w:val="004C7156"/>
    <w:rsid w:val="004C75B3"/>
    <w:rsid w:val="004C7D54"/>
    <w:rsid w:val="004D069A"/>
    <w:rsid w:val="004D0CC4"/>
    <w:rsid w:val="004D0E43"/>
    <w:rsid w:val="004D11A8"/>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5A58"/>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628"/>
    <w:rsid w:val="0052214D"/>
    <w:rsid w:val="00524986"/>
    <w:rsid w:val="00525F6D"/>
    <w:rsid w:val="0052655F"/>
    <w:rsid w:val="0052661E"/>
    <w:rsid w:val="00526627"/>
    <w:rsid w:val="00526DCA"/>
    <w:rsid w:val="00527EF6"/>
    <w:rsid w:val="00531016"/>
    <w:rsid w:val="00532218"/>
    <w:rsid w:val="00533849"/>
    <w:rsid w:val="00533D56"/>
    <w:rsid w:val="0053468B"/>
    <w:rsid w:val="00535912"/>
    <w:rsid w:val="00536373"/>
    <w:rsid w:val="005367E7"/>
    <w:rsid w:val="00540525"/>
    <w:rsid w:val="00540926"/>
    <w:rsid w:val="005412A2"/>
    <w:rsid w:val="00542B22"/>
    <w:rsid w:val="00542CDB"/>
    <w:rsid w:val="00543B6B"/>
    <w:rsid w:val="00543B75"/>
    <w:rsid w:val="00544041"/>
    <w:rsid w:val="005449D0"/>
    <w:rsid w:val="00545B97"/>
    <w:rsid w:val="00546575"/>
    <w:rsid w:val="0054675F"/>
    <w:rsid w:val="0054712E"/>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3A4B"/>
    <w:rsid w:val="0056402C"/>
    <w:rsid w:val="0056405F"/>
    <w:rsid w:val="005641C9"/>
    <w:rsid w:val="005642FB"/>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807A8"/>
    <w:rsid w:val="00580BB5"/>
    <w:rsid w:val="00580D15"/>
    <w:rsid w:val="00581587"/>
    <w:rsid w:val="00581A2E"/>
    <w:rsid w:val="00582613"/>
    <w:rsid w:val="0058344E"/>
    <w:rsid w:val="00584C51"/>
    <w:rsid w:val="005856B3"/>
    <w:rsid w:val="00587662"/>
    <w:rsid w:val="00587B1E"/>
    <w:rsid w:val="00587E84"/>
    <w:rsid w:val="005913E6"/>
    <w:rsid w:val="005944ED"/>
    <w:rsid w:val="005964D7"/>
    <w:rsid w:val="00596D61"/>
    <w:rsid w:val="00597018"/>
    <w:rsid w:val="00597C02"/>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32C9"/>
    <w:rsid w:val="005B4E14"/>
    <w:rsid w:val="005B52A0"/>
    <w:rsid w:val="005B538B"/>
    <w:rsid w:val="005B5434"/>
    <w:rsid w:val="005B5555"/>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399"/>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10274"/>
    <w:rsid w:val="00610A35"/>
    <w:rsid w:val="00610A95"/>
    <w:rsid w:val="006115F0"/>
    <w:rsid w:val="00611CEF"/>
    <w:rsid w:val="00613401"/>
    <w:rsid w:val="00614F26"/>
    <w:rsid w:val="0061516D"/>
    <w:rsid w:val="00615B10"/>
    <w:rsid w:val="006165FB"/>
    <w:rsid w:val="006168EB"/>
    <w:rsid w:val="00616DEB"/>
    <w:rsid w:val="00620DE2"/>
    <w:rsid w:val="00624E9E"/>
    <w:rsid w:val="0062573B"/>
    <w:rsid w:val="0062633E"/>
    <w:rsid w:val="006263D3"/>
    <w:rsid w:val="0062694E"/>
    <w:rsid w:val="00630030"/>
    <w:rsid w:val="0063016D"/>
    <w:rsid w:val="00630426"/>
    <w:rsid w:val="0063057C"/>
    <w:rsid w:val="00631753"/>
    <w:rsid w:val="00632B22"/>
    <w:rsid w:val="0063561E"/>
    <w:rsid w:val="006359FE"/>
    <w:rsid w:val="00635C2F"/>
    <w:rsid w:val="00635DA1"/>
    <w:rsid w:val="006364F4"/>
    <w:rsid w:val="00636EB3"/>
    <w:rsid w:val="006377A9"/>
    <w:rsid w:val="0063788D"/>
    <w:rsid w:val="00637AA1"/>
    <w:rsid w:val="00637CA7"/>
    <w:rsid w:val="00637F6F"/>
    <w:rsid w:val="00640056"/>
    <w:rsid w:val="00640E61"/>
    <w:rsid w:val="0064180A"/>
    <w:rsid w:val="006424D3"/>
    <w:rsid w:val="00642A8B"/>
    <w:rsid w:val="006439D3"/>
    <w:rsid w:val="006455ED"/>
    <w:rsid w:val="0064573B"/>
    <w:rsid w:val="006468ED"/>
    <w:rsid w:val="00647DF7"/>
    <w:rsid w:val="006512F6"/>
    <w:rsid w:val="006538FC"/>
    <w:rsid w:val="00653B0F"/>
    <w:rsid w:val="00655007"/>
    <w:rsid w:val="0065599C"/>
    <w:rsid w:val="00655B5C"/>
    <w:rsid w:val="00657129"/>
    <w:rsid w:val="00657595"/>
    <w:rsid w:val="006575BC"/>
    <w:rsid w:val="00657695"/>
    <w:rsid w:val="00657B69"/>
    <w:rsid w:val="00660209"/>
    <w:rsid w:val="006609B3"/>
    <w:rsid w:val="00660E52"/>
    <w:rsid w:val="0066148E"/>
    <w:rsid w:val="006617FD"/>
    <w:rsid w:val="00661B3F"/>
    <w:rsid w:val="006625F9"/>
    <w:rsid w:val="00663A37"/>
    <w:rsid w:val="00663B72"/>
    <w:rsid w:val="00664BB4"/>
    <w:rsid w:val="00665A8F"/>
    <w:rsid w:val="00666458"/>
    <w:rsid w:val="00667860"/>
    <w:rsid w:val="0067157E"/>
    <w:rsid w:val="00672247"/>
    <w:rsid w:val="006723F9"/>
    <w:rsid w:val="006728CE"/>
    <w:rsid w:val="00672989"/>
    <w:rsid w:val="00673EAA"/>
    <w:rsid w:val="00675B61"/>
    <w:rsid w:val="00675D66"/>
    <w:rsid w:val="00676D1D"/>
    <w:rsid w:val="00680659"/>
    <w:rsid w:val="00680D15"/>
    <w:rsid w:val="00681544"/>
    <w:rsid w:val="006818D9"/>
    <w:rsid w:val="006834AD"/>
    <w:rsid w:val="00683670"/>
    <w:rsid w:val="006838C7"/>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38F3"/>
    <w:rsid w:val="006C410C"/>
    <w:rsid w:val="006C41F6"/>
    <w:rsid w:val="006C48DE"/>
    <w:rsid w:val="006C52D3"/>
    <w:rsid w:val="006C55C2"/>
    <w:rsid w:val="006C55D7"/>
    <w:rsid w:val="006C6C41"/>
    <w:rsid w:val="006C746A"/>
    <w:rsid w:val="006C7E69"/>
    <w:rsid w:val="006D0A02"/>
    <w:rsid w:val="006D1470"/>
    <w:rsid w:val="006D1BA8"/>
    <w:rsid w:val="006D1EC8"/>
    <w:rsid w:val="006D2466"/>
    <w:rsid w:val="006D2D2B"/>
    <w:rsid w:val="006D3F59"/>
    <w:rsid w:val="006D41A6"/>
    <w:rsid w:val="006D438A"/>
    <w:rsid w:val="006D4CBD"/>
    <w:rsid w:val="006D6830"/>
    <w:rsid w:val="006D719C"/>
    <w:rsid w:val="006D7DF3"/>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DD7"/>
    <w:rsid w:val="006E78FE"/>
    <w:rsid w:val="006E7985"/>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601C"/>
    <w:rsid w:val="007167AE"/>
    <w:rsid w:val="00717FD6"/>
    <w:rsid w:val="00720D8F"/>
    <w:rsid w:val="0072149D"/>
    <w:rsid w:val="007214D9"/>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569"/>
    <w:rsid w:val="00734855"/>
    <w:rsid w:val="0073486B"/>
    <w:rsid w:val="00734FB5"/>
    <w:rsid w:val="00735D93"/>
    <w:rsid w:val="00736DA6"/>
    <w:rsid w:val="00736F47"/>
    <w:rsid w:val="00736F6B"/>
    <w:rsid w:val="007373BE"/>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2BD"/>
    <w:rsid w:val="007514FB"/>
    <w:rsid w:val="00752886"/>
    <w:rsid w:val="00753070"/>
    <w:rsid w:val="00753A5C"/>
    <w:rsid w:val="00753ACF"/>
    <w:rsid w:val="00754023"/>
    <w:rsid w:val="007542EB"/>
    <w:rsid w:val="00754A30"/>
    <w:rsid w:val="00754B8E"/>
    <w:rsid w:val="007550BD"/>
    <w:rsid w:val="007551E4"/>
    <w:rsid w:val="0075702C"/>
    <w:rsid w:val="0075799A"/>
    <w:rsid w:val="00757CF8"/>
    <w:rsid w:val="0076064B"/>
    <w:rsid w:val="00760F14"/>
    <w:rsid w:val="007613C8"/>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287"/>
    <w:rsid w:val="007657CF"/>
    <w:rsid w:val="00765C81"/>
    <w:rsid w:val="00766A73"/>
    <w:rsid w:val="00766F19"/>
    <w:rsid w:val="007712C7"/>
    <w:rsid w:val="00772113"/>
    <w:rsid w:val="00773E29"/>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906EE"/>
    <w:rsid w:val="00791490"/>
    <w:rsid w:val="00791C7A"/>
    <w:rsid w:val="00791D59"/>
    <w:rsid w:val="00792808"/>
    <w:rsid w:val="00792D4C"/>
    <w:rsid w:val="007938AE"/>
    <w:rsid w:val="00793B7C"/>
    <w:rsid w:val="00794312"/>
    <w:rsid w:val="0079583E"/>
    <w:rsid w:val="007A090C"/>
    <w:rsid w:val="007A0DC1"/>
    <w:rsid w:val="007A1512"/>
    <w:rsid w:val="007A19E0"/>
    <w:rsid w:val="007A1AB6"/>
    <w:rsid w:val="007A23F8"/>
    <w:rsid w:val="007A2D52"/>
    <w:rsid w:val="007A31AE"/>
    <w:rsid w:val="007A3FFF"/>
    <w:rsid w:val="007A414E"/>
    <w:rsid w:val="007A4C43"/>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648C"/>
    <w:rsid w:val="007E660F"/>
    <w:rsid w:val="007E781F"/>
    <w:rsid w:val="007E7E50"/>
    <w:rsid w:val="007F06D2"/>
    <w:rsid w:val="007F08CA"/>
    <w:rsid w:val="007F1049"/>
    <w:rsid w:val="007F120F"/>
    <w:rsid w:val="007F1538"/>
    <w:rsid w:val="007F15FE"/>
    <w:rsid w:val="007F1B42"/>
    <w:rsid w:val="007F3C02"/>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575D"/>
    <w:rsid w:val="008058D0"/>
    <w:rsid w:val="00807B2A"/>
    <w:rsid w:val="008101FB"/>
    <w:rsid w:val="008105EA"/>
    <w:rsid w:val="00810E97"/>
    <w:rsid w:val="0081123B"/>
    <w:rsid w:val="00811393"/>
    <w:rsid w:val="008121E2"/>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4CF"/>
    <w:rsid w:val="00831867"/>
    <w:rsid w:val="00831D6C"/>
    <w:rsid w:val="00832F6C"/>
    <w:rsid w:val="008341ED"/>
    <w:rsid w:val="008362CE"/>
    <w:rsid w:val="00837584"/>
    <w:rsid w:val="00837E77"/>
    <w:rsid w:val="00841673"/>
    <w:rsid w:val="0084172B"/>
    <w:rsid w:val="00841963"/>
    <w:rsid w:val="00841C0F"/>
    <w:rsid w:val="00841F3F"/>
    <w:rsid w:val="00842EC4"/>
    <w:rsid w:val="00843BC7"/>
    <w:rsid w:val="0084430D"/>
    <w:rsid w:val="008455EF"/>
    <w:rsid w:val="008456E4"/>
    <w:rsid w:val="00845B52"/>
    <w:rsid w:val="00846D3E"/>
    <w:rsid w:val="00846DE7"/>
    <w:rsid w:val="008477B9"/>
    <w:rsid w:val="0084786A"/>
    <w:rsid w:val="00847C27"/>
    <w:rsid w:val="008505FB"/>
    <w:rsid w:val="00851748"/>
    <w:rsid w:val="008523FA"/>
    <w:rsid w:val="008529E6"/>
    <w:rsid w:val="00852CDD"/>
    <w:rsid w:val="008542A4"/>
    <w:rsid w:val="0085493E"/>
    <w:rsid w:val="00855E11"/>
    <w:rsid w:val="0085719C"/>
    <w:rsid w:val="008575E1"/>
    <w:rsid w:val="0085760A"/>
    <w:rsid w:val="00857F5B"/>
    <w:rsid w:val="0086045A"/>
    <w:rsid w:val="00860CE1"/>
    <w:rsid w:val="0086170A"/>
    <w:rsid w:val="00861D35"/>
    <w:rsid w:val="008623CC"/>
    <w:rsid w:val="00863328"/>
    <w:rsid w:val="00863820"/>
    <w:rsid w:val="00864348"/>
    <w:rsid w:val="0086448F"/>
    <w:rsid w:val="008647F5"/>
    <w:rsid w:val="00864D6E"/>
    <w:rsid w:val="008659A2"/>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C16"/>
    <w:rsid w:val="008853EC"/>
    <w:rsid w:val="00885F19"/>
    <w:rsid w:val="00886866"/>
    <w:rsid w:val="00886880"/>
    <w:rsid w:val="00886B67"/>
    <w:rsid w:val="00890A94"/>
    <w:rsid w:val="00890AFA"/>
    <w:rsid w:val="00891CFC"/>
    <w:rsid w:val="00891E79"/>
    <w:rsid w:val="008921AE"/>
    <w:rsid w:val="00895187"/>
    <w:rsid w:val="00895BD3"/>
    <w:rsid w:val="008966B9"/>
    <w:rsid w:val="00896CA2"/>
    <w:rsid w:val="00896EDC"/>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DD5"/>
    <w:rsid w:val="008D4ED9"/>
    <w:rsid w:val="008D5835"/>
    <w:rsid w:val="008D6B04"/>
    <w:rsid w:val="008D72B9"/>
    <w:rsid w:val="008E2254"/>
    <w:rsid w:val="008E2654"/>
    <w:rsid w:val="008E2C34"/>
    <w:rsid w:val="008E35F3"/>
    <w:rsid w:val="008E4929"/>
    <w:rsid w:val="008E4FF4"/>
    <w:rsid w:val="008E5682"/>
    <w:rsid w:val="008E6DB1"/>
    <w:rsid w:val="008E7242"/>
    <w:rsid w:val="008F0FB4"/>
    <w:rsid w:val="008F1C22"/>
    <w:rsid w:val="008F2554"/>
    <w:rsid w:val="008F2C23"/>
    <w:rsid w:val="008F47DC"/>
    <w:rsid w:val="008F50E6"/>
    <w:rsid w:val="008F52B5"/>
    <w:rsid w:val="008F635E"/>
    <w:rsid w:val="008F69A1"/>
    <w:rsid w:val="008F738E"/>
    <w:rsid w:val="009002CE"/>
    <w:rsid w:val="00900B87"/>
    <w:rsid w:val="0090115A"/>
    <w:rsid w:val="009025FB"/>
    <w:rsid w:val="009029DB"/>
    <w:rsid w:val="0090348A"/>
    <w:rsid w:val="009038A8"/>
    <w:rsid w:val="00903D1B"/>
    <w:rsid w:val="009042E8"/>
    <w:rsid w:val="00905C6E"/>
    <w:rsid w:val="0090753F"/>
    <w:rsid w:val="00907591"/>
    <w:rsid w:val="00910529"/>
    <w:rsid w:val="009118BA"/>
    <w:rsid w:val="009138B0"/>
    <w:rsid w:val="00913E51"/>
    <w:rsid w:val="00914511"/>
    <w:rsid w:val="00914986"/>
    <w:rsid w:val="00914DFE"/>
    <w:rsid w:val="009150A8"/>
    <w:rsid w:val="0091549C"/>
    <w:rsid w:val="00915E31"/>
    <w:rsid w:val="0091614B"/>
    <w:rsid w:val="00916A28"/>
    <w:rsid w:val="00916CEC"/>
    <w:rsid w:val="0091735D"/>
    <w:rsid w:val="009202C9"/>
    <w:rsid w:val="00921287"/>
    <w:rsid w:val="0092131F"/>
    <w:rsid w:val="00921595"/>
    <w:rsid w:val="00925D59"/>
    <w:rsid w:val="00926716"/>
    <w:rsid w:val="009308DA"/>
    <w:rsid w:val="009313B8"/>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5014"/>
    <w:rsid w:val="009752FA"/>
    <w:rsid w:val="009754C3"/>
    <w:rsid w:val="009755CD"/>
    <w:rsid w:val="009758B1"/>
    <w:rsid w:val="00977693"/>
    <w:rsid w:val="00977AC6"/>
    <w:rsid w:val="00977BB1"/>
    <w:rsid w:val="009818E4"/>
    <w:rsid w:val="00982494"/>
    <w:rsid w:val="009845F3"/>
    <w:rsid w:val="009845FD"/>
    <w:rsid w:val="00986E0B"/>
    <w:rsid w:val="00987C19"/>
    <w:rsid w:val="00990935"/>
    <w:rsid w:val="00990A99"/>
    <w:rsid w:val="00990AFD"/>
    <w:rsid w:val="00991001"/>
    <w:rsid w:val="00991069"/>
    <w:rsid w:val="0099397C"/>
    <w:rsid w:val="00994A07"/>
    <w:rsid w:val="00994A4C"/>
    <w:rsid w:val="00996257"/>
    <w:rsid w:val="00996BCA"/>
    <w:rsid w:val="009A0E79"/>
    <w:rsid w:val="009A1740"/>
    <w:rsid w:val="009A216A"/>
    <w:rsid w:val="009A23B0"/>
    <w:rsid w:val="009A35C9"/>
    <w:rsid w:val="009A3604"/>
    <w:rsid w:val="009A362E"/>
    <w:rsid w:val="009A473C"/>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9F0"/>
    <w:rsid w:val="009B69E9"/>
    <w:rsid w:val="009B7FFD"/>
    <w:rsid w:val="009C0279"/>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1368"/>
    <w:rsid w:val="009D1A7A"/>
    <w:rsid w:val="009D2CDA"/>
    <w:rsid w:val="009D553D"/>
    <w:rsid w:val="009D5A24"/>
    <w:rsid w:val="009D5B2E"/>
    <w:rsid w:val="009D5CDE"/>
    <w:rsid w:val="009D636F"/>
    <w:rsid w:val="009D6D1D"/>
    <w:rsid w:val="009D7457"/>
    <w:rsid w:val="009D758F"/>
    <w:rsid w:val="009D7AC7"/>
    <w:rsid w:val="009D7BF2"/>
    <w:rsid w:val="009D7D83"/>
    <w:rsid w:val="009E0BE8"/>
    <w:rsid w:val="009E172F"/>
    <w:rsid w:val="009E19CB"/>
    <w:rsid w:val="009E1D3C"/>
    <w:rsid w:val="009E2429"/>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1BA4"/>
    <w:rsid w:val="00A24265"/>
    <w:rsid w:val="00A24B55"/>
    <w:rsid w:val="00A24F34"/>
    <w:rsid w:val="00A24F60"/>
    <w:rsid w:val="00A254EA"/>
    <w:rsid w:val="00A274EF"/>
    <w:rsid w:val="00A2751A"/>
    <w:rsid w:val="00A27E41"/>
    <w:rsid w:val="00A300E8"/>
    <w:rsid w:val="00A30DB1"/>
    <w:rsid w:val="00A31101"/>
    <w:rsid w:val="00A31FD9"/>
    <w:rsid w:val="00A32087"/>
    <w:rsid w:val="00A32460"/>
    <w:rsid w:val="00A34451"/>
    <w:rsid w:val="00A34742"/>
    <w:rsid w:val="00A3520E"/>
    <w:rsid w:val="00A35811"/>
    <w:rsid w:val="00A35D0A"/>
    <w:rsid w:val="00A370D9"/>
    <w:rsid w:val="00A37477"/>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41FE"/>
    <w:rsid w:val="00A55724"/>
    <w:rsid w:val="00A55ABE"/>
    <w:rsid w:val="00A60841"/>
    <w:rsid w:val="00A61A4E"/>
    <w:rsid w:val="00A63700"/>
    <w:rsid w:val="00A63958"/>
    <w:rsid w:val="00A64575"/>
    <w:rsid w:val="00A64C36"/>
    <w:rsid w:val="00A651C0"/>
    <w:rsid w:val="00A65800"/>
    <w:rsid w:val="00A65A26"/>
    <w:rsid w:val="00A66FCC"/>
    <w:rsid w:val="00A66FE5"/>
    <w:rsid w:val="00A671E7"/>
    <w:rsid w:val="00A67625"/>
    <w:rsid w:val="00A67EF4"/>
    <w:rsid w:val="00A71E89"/>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375"/>
    <w:rsid w:val="00AC5AF0"/>
    <w:rsid w:val="00AC6797"/>
    <w:rsid w:val="00AC6A7A"/>
    <w:rsid w:val="00AC6F68"/>
    <w:rsid w:val="00AC7896"/>
    <w:rsid w:val="00AD104E"/>
    <w:rsid w:val="00AD124D"/>
    <w:rsid w:val="00AD1938"/>
    <w:rsid w:val="00AD1EAE"/>
    <w:rsid w:val="00AD2280"/>
    <w:rsid w:val="00AD26C0"/>
    <w:rsid w:val="00AD2B85"/>
    <w:rsid w:val="00AD3290"/>
    <w:rsid w:val="00AD3CC4"/>
    <w:rsid w:val="00AD4839"/>
    <w:rsid w:val="00AD4C7C"/>
    <w:rsid w:val="00AD76EF"/>
    <w:rsid w:val="00AE19D1"/>
    <w:rsid w:val="00AE2666"/>
    <w:rsid w:val="00AE29DB"/>
    <w:rsid w:val="00AE2E9B"/>
    <w:rsid w:val="00AE31C2"/>
    <w:rsid w:val="00AE3BE0"/>
    <w:rsid w:val="00AE4CC8"/>
    <w:rsid w:val="00AE50C7"/>
    <w:rsid w:val="00AE5D09"/>
    <w:rsid w:val="00AE6037"/>
    <w:rsid w:val="00AE6B11"/>
    <w:rsid w:val="00AE7EBC"/>
    <w:rsid w:val="00AF115C"/>
    <w:rsid w:val="00AF434D"/>
    <w:rsid w:val="00AF4EE4"/>
    <w:rsid w:val="00AF5B98"/>
    <w:rsid w:val="00AF6B94"/>
    <w:rsid w:val="00B0026B"/>
    <w:rsid w:val="00B0036F"/>
    <w:rsid w:val="00B00C8E"/>
    <w:rsid w:val="00B02674"/>
    <w:rsid w:val="00B02AA5"/>
    <w:rsid w:val="00B045EC"/>
    <w:rsid w:val="00B04F50"/>
    <w:rsid w:val="00B05CA6"/>
    <w:rsid w:val="00B07742"/>
    <w:rsid w:val="00B1073D"/>
    <w:rsid w:val="00B1129B"/>
    <w:rsid w:val="00B11CD7"/>
    <w:rsid w:val="00B1205D"/>
    <w:rsid w:val="00B128F0"/>
    <w:rsid w:val="00B13307"/>
    <w:rsid w:val="00B1367C"/>
    <w:rsid w:val="00B13B7B"/>
    <w:rsid w:val="00B15202"/>
    <w:rsid w:val="00B1553A"/>
    <w:rsid w:val="00B16DE2"/>
    <w:rsid w:val="00B17577"/>
    <w:rsid w:val="00B17FDC"/>
    <w:rsid w:val="00B21CD1"/>
    <w:rsid w:val="00B2269C"/>
    <w:rsid w:val="00B23256"/>
    <w:rsid w:val="00B24CF5"/>
    <w:rsid w:val="00B25441"/>
    <w:rsid w:val="00B26507"/>
    <w:rsid w:val="00B269CE"/>
    <w:rsid w:val="00B273BD"/>
    <w:rsid w:val="00B3055A"/>
    <w:rsid w:val="00B31920"/>
    <w:rsid w:val="00B31CD8"/>
    <w:rsid w:val="00B32535"/>
    <w:rsid w:val="00B3277B"/>
    <w:rsid w:val="00B32B21"/>
    <w:rsid w:val="00B367AA"/>
    <w:rsid w:val="00B36B86"/>
    <w:rsid w:val="00B37176"/>
    <w:rsid w:val="00B373AA"/>
    <w:rsid w:val="00B37787"/>
    <w:rsid w:val="00B407D1"/>
    <w:rsid w:val="00B40823"/>
    <w:rsid w:val="00B40DF9"/>
    <w:rsid w:val="00B42083"/>
    <w:rsid w:val="00B42270"/>
    <w:rsid w:val="00B427A9"/>
    <w:rsid w:val="00B42A26"/>
    <w:rsid w:val="00B433A2"/>
    <w:rsid w:val="00B43455"/>
    <w:rsid w:val="00B435F8"/>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0785"/>
    <w:rsid w:val="00B80ABD"/>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5301"/>
    <w:rsid w:val="00BB57E8"/>
    <w:rsid w:val="00BB58C8"/>
    <w:rsid w:val="00BB7349"/>
    <w:rsid w:val="00BB778D"/>
    <w:rsid w:val="00BB7DF0"/>
    <w:rsid w:val="00BB7F90"/>
    <w:rsid w:val="00BC0196"/>
    <w:rsid w:val="00BC0367"/>
    <w:rsid w:val="00BC1CAA"/>
    <w:rsid w:val="00BC219A"/>
    <w:rsid w:val="00BC42A8"/>
    <w:rsid w:val="00BC4869"/>
    <w:rsid w:val="00BC6627"/>
    <w:rsid w:val="00BC66EE"/>
    <w:rsid w:val="00BC69F2"/>
    <w:rsid w:val="00BC7535"/>
    <w:rsid w:val="00BC76D5"/>
    <w:rsid w:val="00BC7F3C"/>
    <w:rsid w:val="00BC7FFB"/>
    <w:rsid w:val="00BD034D"/>
    <w:rsid w:val="00BD1211"/>
    <w:rsid w:val="00BD3209"/>
    <w:rsid w:val="00BD323A"/>
    <w:rsid w:val="00BD3692"/>
    <w:rsid w:val="00BD3E45"/>
    <w:rsid w:val="00BD3ECE"/>
    <w:rsid w:val="00BD4316"/>
    <w:rsid w:val="00BD5782"/>
    <w:rsid w:val="00BD5961"/>
    <w:rsid w:val="00BD5EFA"/>
    <w:rsid w:val="00BD6C6F"/>
    <w:rsid w:val="00BD6DCD"/>
    <w:rsid w:val="00BD780A"/>
    <w:rsid w:val="00BE0194"/>
    <w:rsid w:val="00BE092B"/>
    <w:rsid w:val="00BE0CEB"/>
    <w:rsid w:val="00BE1CF2"/>
    <w:rsid w:val="00BE1E12"/>
    <w:rsid w:val="00BE2D09"/>
    <w:rsid w:val="00BE346A"/>
    <w:rsid w:val="00BE46DF"/>
    <w:rsid w:val="00BE635E"/>
    <w:rsid w:val="00BE6364"/>
    <w:rsid w:val="00BE6D71"/>
    <w:rsid w:val="00BE6DC4"/>
    <w:rsid w:val="00BE718D"/>
    <w:rsid w:val="00BE7A12"/>
    <w:rsid w:val="00BE7ADF"/>
    <w:rsid w:val="00BE7CAE"/>
    <w:rsid w:val="00BE7D4F"/>
    <w:rsid w:val="00BF26EE"/>
    <w:rsid w:val="00BF5945"/>
    <w:rsid w:val="00BF5C55"/>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4B8F"/>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6B5"/>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2169"/>
    <w:rsid w:val="00C233B3"/>
    <w:rsid w:val="00C235D5"/>
    <w:rsid w:val="00C238FB"/>
    <w:rsid w:val="00C23BF7"/>
    <w:rsid w:val="00C240FA"/>
    <w:rsid w:val="00C24A33"/>
    <w:rsid w:val="00C25B3F"/>
    <w:rsid w:val="00C2627B"/>
    <w:rsid w:val="00C27F6A"/>
    <w:rsid w:val="00C31C9D"/>
    <w:rsid w:val="00C3227B"/>
    <w:rsid w:val="00C32ACE"/>
    <w:rsid w:val="00C32F37"/>
    <w:rsid w:val="00C33352"/>
    <w:rsid w:val="00C346DD"/>
    <w:rsid w:val="00C34DB4"/>
    <w:rsid w:val="00C35A64"/>
    <w:rsid w:val="00C35E7C"/>
    <w:rsid w:val="00C36929"/>
    <w:rsid w:val="00C36B0D"/>
    <w:rsid w:val="00C3744C"/>
    <w:rsid w:val="00C37839"/>
    <w:rsid w:val="00C37EA0"/>
    <w:rsid w:val="00C409F6"/>
    <w:rsid w:val="00C410D2"/>
    <w:rsid w:val="00C41479"/>
    <w:rsid w:val="00C43810"/>
    <w:rsid w:val="00C439F1"/>
    <w:rsid w:val="00C4452E"/>
    <w:rsid w:val="00C5042D"/>
    <w:rsid w:val="00C510A7"/>
    <w:rsid w:val="00C536D2"/>
    <w:rsid w:val="00C54558"/>
    <w:rsid w:val="00C558A4"/>
    <w:rsid w:val="00C559CD"/>
    <w:rsid w:val="00C57E04"/>
    <w:rsid w:val="00C601A7"/>
    <w:rsid w:val="00C606E2"/>
    <w:rsid w:val="00C60938"/>
    <w:rsid w:val="00C61818"/>
    <w:rsid w:val="00C61B06"/>
    <w:rsid w:val="00C61FEC"/>
    <w:rsid w:val="00C62B4F"/>
    <w:rsid w:val="00C62FC2"/>
    <w:rsid w:val="00C6512A"/>
    <w:rsid w:val="00C65918"/>
    <w:rsid w:val="00C65FA7"/>
    <w:rsid w:val="00C668EA"/>
    <w:rsid w:val="00C66AC2"/>
    <w:rsid w:val="00C679CA"/>
    <w:rsid w:val="00C7008E"/>
    <w:rsid w:val="00C71A87"/>
    <w:rsid w:val="00C72BDC"/>
    <w:rsid w:val="00C72F35"/>
    <w:rsid w:val="00C73ED0"/>
    <w:rsid w:val="00C74ACA"/>
    <w:rsid w:val="00C74F2A"/>
    <w:rsid w:val="00C76946"/>
    <w:rsid w:val="00C76CD4"/>
    <w:rsid w:val="00C77686"/>
    <w:rsid w:val="00C809F1"/>
    <w:rsid w:val="00C80B05"/>
    <w:rsid w:val="00C80D5B"/>
    <w:rsid w:val="00C81AD2"/>
    <w:rsid w:val="00C81CD7"/>
    <w:rsid w:val="00C81ECD"/>
    <w:rsid w:val="00C82268"/>
    <w:rsid w:val="00C83AEC"/>
    <w:rsid w:val="00C83E44"/>
    <w:rsid w:val="00C84348"/>
    <w:rsid w:val="00C862EC"/>
    <w:rsid w:val="00C8742E"/>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A0640"/>
    <w:rsid w:val="00CA076C"/>
    <w:rsid w:val="00CA0E7A"/>
    <w:rsid w:val="00CA1AD6"/>
    <w:rsid w:val="00CA22F9"/>
    <w:rsid w:val="00CA2CFC"/>
    <w:rsid w:val="00CA39B7"/>
    <w:rsid w:val="00CA43EA"/>
    <w:rsid w:val="00CA45E8"/>
    <w:rsid w:val="00CA5AF6"/>
    <w:rsid w:val="00CA6A87"/>
    <w:rsid w:val="00CA6B6E"/>
    <w:rsid w:val="00CA760E"/>
    <w:rsid w:val="00CB0368"/>
    <w:rsid w:val="00CB2149"/>
    <w:rsid w:val="00CB2159"/>
    <w:rsid w:val="00CB252D"/>
    <w:rsid w:val="00CB2A72"/>
    <w:rsid w:val="00CB4BBD"/>
    <w:rsid w:val="00CB4C86"/>
    <w:rsid w:val="00CB508B"/>
    <w:rsid w:val="00CB5223"/>
    <w:rsid w:val="00CB52E9"/>
    <w:rsid w:val="00CB5B7B"/>
    <w:rsid w:val="00CB5F3F"/>
    <w:rsid w:val="00CB6418"/>
    <w:rsid w:val="00CB6D15"/>
    <w:rsid w:val="00CB740B"/>
    <w:rsid w:val="00CC0C48"/>
    <w:rsid w:val="00CC237C"/>
    <w:rsid w:val="00CC2F81"/>
    <w:rsid w:val="00CC3DCA"/>
    <w:rsid w:val="00CC435D"/>
    <w:rsid w:val="00CC4F1E"/>
    <w:rsid w:val="00CC5FBE"/>
    <w:rsid w:val="00CC6749"/>
    <w:rsid w:val="00CC6BC0"/>
    <w:rsid w:val="00CC7706"/>
    <w:rsid w:val="00CD135D"/>
    <w:rsid w:val="00CD19A8"/>
    <w:rsid w:val="00CD19DB"/>
    <w:rsid w:val="00CD1A48"/>
    <w:rsid w:val="00CD2E3C"/>
    <w:rsid w:val="00CD30FC"/>
    <w:rsid w:val="00CD39A2"/>
    <w:rsid w:val="00CD4B87"/>
    <w:rsid w:val="00CD55DB"/>
    <w:rsid w:val="00CD63AD"/>
    <w:rsid w:val="00CE00B2"/>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13E"/>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3F7"/>
    <w:rsid w:val="00D00B10"/>
    <w:rsid w:val="00D01DCF"/>
    <w:rsid w:val="00D01F15"/>
    <w:rsid w:val="00D02606"/>
    <w:rsid w:val="00D02A6F"/>
    <w:rsid w:val="00D04514"/>
    <w:rsid w:val="00D05D6D"/>
    <w:rsid w:val="00D062B1"/>
    <w:rsid w:val="00D06465"/>
    <w:rsid w:val="00D067C4"/>
    <w:rsid w:val="00D076D9"/>
    <w:rsid w:val="00D11A35"/>
    <w:rsid w:val="00D11E06"/>
    <w:rsid w:val="00D1224D"/>
    <w:rsid w:val="00D1259C"/>
    <w:rsid w:val="00D12B42"/>
    <w:rsid w:val="00D13710"/>
    <w:rsid w:val="00D13846"/>
    <w:rsid w:val="00D146EB"/>
    <w:rsid w:val="00D15656"/>
    <w:rsid w:val="00D20835"/>
    <w:rsid w:val="00D20D52"/>
    <w:rsid w:val="00D20EF6"/>
    <w:rsid w:val="00D219AA"/>
    <w:rsid w:val="00D21D01"/>
    <w:rsid w:val="00D21F00"/>
    <w:rsid w:val="00D2237A"/>
    <w:rsid w:val="00D22D3F"/>
    <w:rsid w:val="00D23E73"/>
    <w:rsid w:val="00D240B5"/>
    <w:rsid w:val="00D24BD1"/>
    <w:rsid w:val="00D2588A"/>
    <w:rsid w:val="00D25B60"/>
    <w:rsid w:val="00D25EA2"/>
    <w:rsid w:val="00D26217"/>
    <w:rsid w:val="00D26522"/>
    <w:rsid w:val="00D278F0"/>
    <w:rsid w:val="00D32986"/>
    <w:rsid w:val="00D334AD"/>
    <w:rsid w:val="00D338DB"/>
    <w:rsid w:val="00D3511F"/>
    <w:rsid w:val="00D360DF"/>
    <w:rsid w:val="00D36BE0"/>
    <w:rsid w:val="00D36DB6"/>
    <w:rsid w:val="00D3752B"/>
    <w:rsid w:val="00D37CE0"/>
    <w:rsid w:val="00D40470"/>
    <w:rsid w:val="00D41147"/>
    <w:rsid w:val="00D41F91"/>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5D1"/>
    <w:rsid w:val="00D92668"/>
    <w:rsid w:val="00D93AD4"/>
    <w:rsid w:val="00D94948"/>
    <w:rsid w:val="00D94BE4"/>
    <w:rsid w:val="00D94F27"/>
    <w:rsid w:val="00D95B37"/>
    <w:rsid w:val="00D9626D"/>
    <w:rsid w:val="00D979CF"/>
    <w:rsid w:val="00DA04CA"/>
    <w:rsid w:val="00DA0B8F"/>
    <w:rsid w:val="00DA17F7"/>
    <w:rsid w:val="00DA1A7B"/>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5473"/>
    <w:rsid w:val="00DD67AC"/>
    <w:rsid w:val="00DD7FD2"/>
    <w:rsid w:val="00DE0E0F"/>
    <w:rsid w:val="00DE0F3E"/>
    <w:rsid w:val="00DE1DEE"/>
    <w:rsid w:val="00DE2A8A"/>
    <w:rsid w:val="00DE3218"/>
    <w:rsid w:val="00DE33F9"/>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D03"/>
    <w:rsid w:val="00DF6006"/>
    <w:rsid w:val="00DF6955"/>
    <w:rsid w:val="00DF6AE6"/>
    <w:rsid w:val="00DF777C"/>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45C0"/>
    <w:rsid w:val="00E14BA9"/>
    <w:rsid w:val="00E1701F"/>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28C4"/>
    <w:rsid w:val="00E34A4E"/>
    <w:rsid w:val="00E35198"/>
    <w:rsid w:val="00E35AA6"/>
    <w:rsid w:val="00E41A97"/>
    <w:rsid w:val="00E41C8A"/>
    <w:rsid w:val="00E41D06"/>
    <w:rsid w:val="00E41D0D"/>
    <w:rsid w:val="00E41E33"/>
    <w:rsid w:val="00E42296"/>
    <w:rsid w:val="00E4260A"/>
    <w:rsid w:val="00E426BD"/>
    <w:rsid w:val="00E43A79"/>
    <w:rsid w:val="00E43C83"/>
    <w:rsid w:val="00E444C4"/>
    <w:rsid w:val="00E45508"/>
    <w:rsid w:val="00E46685"/>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7455"/>
    <w:rsid w:val="00E67FF3"/>
    <w:rsid w:val="00E701AC"/>
    <w:rsid w:val="00E719E2"/>
    <w:rsid w:val="00E71E0E"/>
    <w:rsid w:val="00E72D4B"/>
    <w:rsid w:val="00E730F3"/>
    <w:rsid w:val="00E74451"/>
    <w:rsid w:val="00E74957"/>
    <w:rsid w:val="00E74EC8"/>
    <w:rsid w:val="00E75036"/>
    <w:rsid w:val="00E75386"/>
    <w:rsid w:val="00E758A1"/>
    <w:rsid w:val="00E75DEB"/>
    <w:rsid w:val="00E76832"/>
    <w:rsid w:val="00E76D1F"/>
    <w:rsid w:val="00E77015"/>
    <w:rsid w:val="00E77017"/>
    <w:rsid w:val="00E77D38"/>
    <w:rsid w:val="00E77E5F"/>
    <w:rsid w:val="00E807E8"/>
    <w:rsid w:val="00E80AD6"/>
    <w:rsid w:val="00E80B66"/>
    <w:rsid w:val="00E815E0"/>
    <w:rsid w:val="00E818B2"/>
    <w:rsid w:val="00E81DE3"/>
    <w:rsid w:val="00E8267D"/>
    <w:rsid w:val="00E82B57"/>
    <w:rsid w:val="00E82FDB"/>
    <w:rsid w:val="00E8313C"/>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A04FB"/>
    <w:rsid w:val="00EA0F36"/>
    <w:rsid w:val="00EA1864"/>
    <w:rsid w:val="00EA1F76"/>
    <w:rsid w:val="00EA4C1F"/>
    <w:rsid w:val="00EA5469"/>
    <w:rsid w:val="00EA5B2B"/>
    <w:rsid w:val="00EA6041"/>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D08F0"/>
    <w:rsid w:val="00ED10D9"/>
    <w:rsid w:val="00ED1397"/>
    <w:rsid w:val="00ED28F4"/>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9E6"/>
    <w:rsid w:val="00EF4D0F"/>
    <w:rsid w:val="00EF52F1"/>
    <w:rsid w:val="00EF5FF8"/>
    <w:rsid w:val="00EF6F58"/>
    <w:rsid w:val="00EF71A3"/>
    <w:rsid w:val="00EF7935"/>
    <w:rsid w:val="00F01526"/>
    <w:rsid w:val="00F023A7"/>
    <w:rsid w:val="00F02EDC"/>
    <w:rsid w:val="00F039E2"/>
    <w:rsid w:val="00F041B8"/>
    <w:rsid w:val="00F04A95"/>
    <w:rsid w:val="00F058D3"/>
    <w:rsid w:val="00F05F02"/>
    <w:rsid w:val="00F10169"/>
    <w:rsid w:val="00F10A38"/>
    <w:rsid w:val="00F1176A"/>
    <w:rsid w:val="00F11FF3"/>
    <w:rsid w:val="00F12BF1"/>
    <w:rsid w:val="00F12F4D"/>
    <w:rsid w:val="00F12FB0"/>
    <w:rsid w:val="00F13A10"/>
    <w:rsid w:val="00F16039"/>
    <w:rsid w:val="00F1603A"/>
    <w:rsid w:val="00F16E57"/>
    <w:rsid w:val="00F17165"/>
    <w:rsid w:val="00F20491"/>
    <w:rsid w:val="00F206DE"/>
    <w:rsid w:val="00F20903"/>
    <w:rsid w:val="00F20DCF"/>
    <w:rsid w:val="00F23331"/>
    <w:rsid w:val="00F238F5"/>
    <w:rsid w:val="00F23CF2"/>
    <w:rsid w:val="00F2498E"/>
    <w:rsid w:val="00F249C5"/>
    <w:rsid w:val="00F25865"/>
    <w:rsid w:val="00F270F0"/>
    <w:rsid w:val="00F276A8"/>
    <w:rsid w:val="00F27DB1"/>
    <w:rsid w:val="00F30FCB"/>
    <w:rsid w:val="00F3332A"/>
    <w:rsid w:val="00F34068"/>
    <w:rsid w:val="00F3421F"/>
    <w:rsid w:val="00F35ED7"/>
    <w:rsid w:val="00F35FD4"/>
    <w:rsid w:val="00F36B72"/>
    <w:rsid w:val="00F37687"/>
    <w:rsid w:val="00F37B9F"/>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2B59"/>
    <w:rsid w:val="00F931A2"/>
    <w:rsid w:val="00F93236"/>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B1DEB"/>
    <w:rsid w:val="00FB3254"/>
    <w:rsid w:val="00FB3596"/>
    <w:rsid w:val="00FB3D5B"/>
    <w:rsid w:val="00FB41FD"/>
    <w:rsid w:val="00FB4353"/>
    <w:rsid w:val="00FB4E64"/>
    <w:rsid w:val="00FB6398"/>
    <w:rsid w:val="00FB6F5A"/>
    <w:rsid w:val="00FC16AB"/>
    <w:rsid w:val="00FC37AD"/>
    <w:rsid w:val="00FC3FBD"/>
    <w:rsid w:val="00FC54A4"/>
    <w:rsid w:val="00FC5909"/>
    <w:rsid w:val="00FC5CDF"/>
    <w:rsid w:val="00FC692D"/>
    <w:rsid w:val="00FC6C30"/>
    <w:rsid w:val="00FC79E8"/>
    <w:rsid w:val="00FD0A58"/>
    <w:rsid w:val="00FD154B"/>
    <w:rsid w:val="00FD160B"/>
    <w:rsid w:val="00FD19B7"/>
    <w:rsid w:val="00FD295A"/>
    <w:rsid w:val="00FD39C9"/>
    <w:rsid w:val="00FD3CDC"/>
    <w:rsid w:val="00FD3E5D"/>
    <w:rsid w:val="00FD4378"/>
    <w:rsid w:val="00FD508D"/>
    <w:rsid w:val="00FD57A1"/>
    <w:rsid w:val="00FD5C86"/>
    <w:rsid w:val="00FD72C2"/>
    <w:rsid w:val="00FD7D51"/>
    <w:rsid w:val="00FE0B52"/>
    <w:rsid w:val="00FE10DF"/>
    <w:rsid w:val="00FE1867"/>
    <w:rsid w:val="00FE26EC"/>
    <w:rsid w:val="00FE2DFF"/>
    <w:rsid w:val="00FE30A0"/>
    <w:rsid w:val="00FE35A8"/>
    <w:rsid w:val="00FE4867"/>
    <w:rsid w:val="00FE571B"/>
    <w:rsid w:val="00FE599A"/>
    <w:rsid w:val="00FE663C"/>
    <w:rsid w:val="00FE76FD"/>
    <w:rsid w:val="00FE7B8E"/>
    <w:rsid w:val="00FF0847"/>
    <w:rsid w:val="00FF084D"/>
    <w:rsid w:val="00FF1B91"/>
    <w:rsid w:val="00FF299D"/>
    <w:rsid w:val="00FF32F4"/>
    <w:rsid w:val="00FF35B6"/>
    <w:rsid w:val="00FF47CD"/>
    <w:rsid w:val="00FF5344"/>
    <w:rsid w:val="00FF5532"/>
    <w:rsid w:val="00FF5DBD"/>
    <w:rsid w:val="00FF67D7"/>
    <w:rsid w:val="0EDE6460"/>
    <w:rsid w:val="184D7E1C"/>
    <w:rsid w:val="5C35490E"/>
    <w:rsid w:val="70652167"/>
    <w:rsid w:val="7B6D769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D99DA1D3-3837-4E44-A16E-EFA18F79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paragraph" w:customStyle="1" w:styleId="INFOEM">
    <w:name w:val="INFOEM"/>
    <w:basedOn w:val="Normal"/>
    <w:qFormat/>
    <w:rsid w:val="00092E51"/>
    <w:pPr>
      <w:spacing w:before="240" w:after="160"/>
      <w:ind w:left="851" w:right="851"/>
    </w:pPr>
    <w:rPr>
      <w:rFonts w:eastAsiaTheme="minorHAnsi" w:cstheme="minorBidi"/>
      <w:i/>
      <w:sz w:val="22"/>
      <w:szCs w:val="1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omex.org.mx/ipo3/lgt/indice/SMOV/art_92_vii.web"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pomex.org.mx/ipo3/lgt/indice/SMOV/art_92_viii.we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2B36D-D4E2-4643-864C-E490BD87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57</Pages>
  <Words>12367</Words>
  <Characters>68019</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8</cp:revision>
  <cp:lastPrinted>2019-06-13T16:30:00Z</cp:lastPrinted>
  <dcterms:created xsi:type="dcterms:W3CDTF">2024-08-08T16:56:00Z</dcterms:created>
  <dcterms:modified xsi:type="dcterms:W3CDTF">2024-10-22T21:45:00Z</dcterms:modified>
</cp:coreProperties>
</file>