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162" w:rsidRDefault="003C1162">
      <w:pPr>
        <w:widowControl w:val="0"/>
        <w:pBdr>
          <w:top w:val="nil"/>
          <w:left w:val="nil"/>
          <w:bottom w:val="nil"/>
          <w:right w:val="nil"/>
          <w:between w:val="nil"/>
        </w:pBdr>
        <w:spacing w:line="276" w:lineRule="auto"/>
      </w:pPr>
    </w:p>
    <w:p w:rsidR="003C1162" w:rsidRDefault="003C1162">
      <w:pPr>
        <w:tabs>
          <w:tab w:val="left" w:pos="0"/>
        </w:tabs>
        <w:spacing w:line="360" w:lineRule="auto"/>
        <w:jc w:val="both"/>
        <w:rPr>
          <w:rFonts w:ascii="Palatino Linotype" w:eastAsia="Palatino Linotype" w:hAnsi="Palatino Linotype" w:cs="Palatino Linotype"/>
          <w:sz w:val="22"/>
          <w:szCs w:val="22"/>
        </w:rPr>
      </w:pPr>
    </w:p>
    <w:p w:rsidR="003C1162" w:rsidRPr="000959FC" w:rsidRDefault="00F47EF3">
      <w:pPr>
        <w:tabs>
          <w:tab w:val="left" w:pos="0"/>
        </w:tabs>
        <w:spacing w:line="360" w:lineRule="auto"/>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del once (11) de diciembre de dos mil  veinticuatro. </w:t>
      </w:r>
    </w:p>
    <w:p w:rsidR="003C1162" w:rsidRPr="000959FC" w:rsidRDefault="003C1162">
      <w:pPr>
        <w:tabs>
          <w:tab w:val="left" w:pos="0"/>
        </w:tabs>
        <w:spacing w:line="360" w:lineRule="auto"/>
        <w:jc w:val="both"/>
        <w:rPr>
          <w:rFonts w:ascii="Palatino Linotype" w:eastAsia="Palatino Linotype" w:hAnsi="Palatino Linotype" w:cs="Palatino Linotype"/>
          <w:sz w:val="22"/>
          <w:szCs w:val="22"/>
        </w:rPr>
      </w:pPr>
    </w:p>
    <w:p w:rsidR="003C1162" w:rsidRPr="000959FC" w:rsidRDefault="00F47EF3">
      <w:pPr>
        <w:spacing w:line="360" w:lineRule="auto"/>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sz w:val="22"/>
          <w:szCs w:val="22"/>
        </w:rPr>
        <w:t>VISTOS</w:t>
      </w:r>
      <w:r w:rsidRPr="000959FC">
        <w:rPr>
          <w:rFonts w:ascii="Palatino Linotype" w:eastAsia="Palatino Linotype" w:hAnsi="Palatino Linotype" w:cs="Palatino Linotype"/>
          <w:sz w:val="22"/>
          <w:szCs w:val="22"/>
        </w:rPr>
        <w:t xml:space="preserve"> los expedientes electrónicos formados con motivo de los recursos de revisión </w:t>
      </w:r>
      <w:r w:rsidRPr="000959FC">
        <w:rPr>
          <w:rFonts w:ascii="Palatino Linotype" w:eastAsia="Palatino Linotype" w:hAnsi="Palatino Linotype" w:cs="Palatino Linotype"/>
          <w:b/>
          <w:sz w:val="22"/>
          <w:szCs w:val="22"/>
        </w:rPr>
        <w:t xml:space="preserve">06718/INFOEM/IP/RR/2024, 06719/INFOEM/IP/RR/2024, 06720/INFOEM/IP/RR/2024, 06721/INFOEM/IP/RR/2024, 06722/INFOEM/IP/RR/2024, 06723/INFOEM/IP/RR/2024, 06744/INFOEM/IP/RR/2024, 06745/INFOEM/IP/RR/2024, 06764/INFOEM/IP/RR/2024, 06794/INFOEM/IP/RR/2024, 06795/INFOEM/IP/RR/2024, 06796/INFOEM/IP/RR/2024, 06797/INFOEM/IP/RR/2024, 06798/INFOEM/IP/RR/2024, 06799/INFOEM/IP/RR/2024, 06800/INFOEM/IP/RR/2024, 06801/INFOEM/IP/RR/2024, 06805/INFOEM/IP/RR/2024, 06806/INFOEM/IP/RR/2024, 06807/INFOEM/IP/RR/2024, 06815/INFOEM/IP/RR/2024, 06820/INFOEM/IP/RR/2024, 06824/INFOEM/IP/RR/2024, 06825/INFOEM/IP/RR/2024, 06826/INFOEM/IP/RR/2024, 06828/INFOEM/IP/RR/2024, 06829/INFOEM/IP/RR/2024, 06830/INFOEM/IP/RR/2024, 06831/INFOEM/IP/RR/2024, 06845/INFOEM/IP/RR/2024 y 06846/INFOEM/IP/RR/2024, </w:t>
      </w:r>
      <w:r w:rsidRPr="000959FC">
        <w:rPr>
          <w:rFonts w:ascii="Palatino Linotype" w:eastAsia="Palatino Linotype" w:hAnsi="Palatino Linotype" w:cs="Palatino Linotype"/>
          <w:sz w:val="22"/>
          <w:szCs w:val="22"/>
        </w:rPr>
        <w:t xml:space="preserve">promovido por </w:t>
      </w:r>
      <w:r w:rsidRPr="000959FC">
        <w:rPr>
          <w:rFonts w:ascii="Palatino Linotype" w:eastAsia="Palatino Linotype" w:hAnsi="Palatino Linotype" w:cs="Palatino Linotype"/>
          <w:b/>
          <w:sz w:val="22"/>
          <w:szCs w:val="22"/>
        </w:rPr>
        <w:t>un usuario que no proporcionó nombre para ser identificado</w:t>
      </w:r>
      <w:r w:rsidRPr="000959FC">
        <w:rPr>
          <w:rFonts w:ascii="Palatino Linotype" w:eastAsia="Palatino Linotype" w:hAnsi="Palatino Linotype" w:cs="Palatino Linotype"/>
          <w:sz w:val="22"/>
          <w:szCs w:val="22"/>
        </w:rPr>
        <w:t xml:space="preserve">, quien en lo sucesivo se le identificara como </w:t>
      </w:r>
      <w:r w:rsidRPr="000959FC">
        <w:rPr>
          <w:rFonts w:ascii="Palatino Linotype" w:eastAsia="Palatino Linotype" w:hAnsi="Palatino Linotype" w:cs="Palatino Linotype"/>
          <w:b/>
          <w:sz w:val="22"/>
          <w:szCs w:val="22"/>
        </w:rPr>
        <w:t>RECURRENTE</w:t>
      </w:r>
      <w:r w:rsidRPr="000959FC">
        <w:rPr>
          <w:rFonts w:ascii="Palatino Linotype" w:eastAsia="Palatino Linotype" w:hAnsi="Palatino Linotype" w:cs="Palatino Linotype"/>
          <w:sz w:val="22"/>
          <w:szCs w:val="22"/>
        </w:rPr>
        <w:t xml:space="preserve">, en contra de la respuesta del </w:t>
      </w:r>
      <w:r w:rsidRPr="000959FC">
        <w:rPr>
          <w:rFonts w:ascii="Palatino Linotype" w:eastAsia="Palatino Linotype" w:hAnsi="Palatino Linotype" w:cs="Palatino Linotype"/>
          <w:b/>
          <w:sz w:val="22"/>
          <w:szCs w:val="22"/>
        </w:rPr>
        <w:t xml:space="preserve">Ayuntamiento de </w:t>
      </w:r>
      <w:proofErr w:type="spellStart"/>
      <w:r w:rsidRPr="000959FC">
        <w:rPr>
          <w:rFonts w:ascii="Palatino Linotype" w:eastAsia="Palatino Linotype" w:hAnsi="Palatino Linotype" w:cs="Palatino Linotype"/>
          <w:b/>
          <w:sz w:val="22"/>
          <w:szCs w:val="22"/>
        </w:rPr>
        <w:t>Temamatla</w:t>
      </w:r>
      <w:proofErr w:type="spellEnd"/>
      <w:r w:rsidRPr="000959FC">
        <w:rPr>
          <w:rFonts w:ascii="Palatino Linotype" w:eastAsia="Palatino Linotype" w:hAnsi="Palatino Linotype" w:cs="Palatino Linotype"/>
          <w:b/>
          <w:sz w:val="22"/>
          <w:szCs w:val="22"/>
        </w:rPr>
        <w:t xml:space="preserve">, </w:t>
      </w:r>
      <w:r w:rsidRPr="000959FC">
        <w:rPr>
          <w:rFonts w:ascii="Palatino Linotype" w:eastAsia="Palatino Linotype" w:hAnsi="Palatino Linotype" w:cs="Palatino Linotype"/>
          <w:sz w:val="22"/>
          <w:szCs w:val="22"/>
        </w:rPr>
        <w:t>en lo sucesivo el</w:t>
      </w:r>
      <w:r w:rsidRPr="000959FC">
        <w:rPr>
          <w:rFonts w:ascii="Palatino Linotype" w:eastAsia="Palatino Linotype" w:hAnsi="Palatino Linotype" w:cs="Palatino Linotype"/>
          <w:b/>
          <w:sz w:val="22"/>
          <w:szCs w:val="22"/>
        </w:rPr>
        <w:t xml:space="preserve"> SUJETO OBLIGADO, </w:t>
      </w:r>
      <w:r w:rsidRPr="000959FC">
        <w:rPr>
          <w:rFonts w:ascii="Palatino Linotype" w:eastAsia="Palatino Linotype" w:hAnsi="Palatino Linotype" w:cs="Palatino Linotype"/>
          <w:sz w:val="22"/>
          <w:szCs w:val="22"/>
        </w:rPr>
        <w:t xml:space="preserve">se procede a dictar la presente resolución, con base en los siguientes: </w:t>
      </w:r>
    </w:p>
    <w:p w:rsidR="003C1162" w:rsidRPr="000959FC" w:rsidRDefault="003C1162">
      <w:pPr>
        <w:spacing w:line="360" w:lineRule="auto"/>
        <w:jc w:val="both"/>
        <w:rPr>
          <w:rFonts w:ascii="Palatino Linotype" w:eastAsia="Palatino Linotype" w:hAnsi="Palatino Linotype" w:cs="Palatino Linotype"/>
          <w:sz w:val="22"/>
          <w:szCs w:val="22"/>
        </w:rPr>
      </w:pPr>
    </w:p>
    <w:p w:rsidR="003C1162" w:rsidRPr="000959FC" w:rsidRDefault="00F47EF3">
      <w:pPr>
        <w:keepNext/>
        <w:keepLines/>
        <w:tabs>
          <w:tab w:val="left" w:pos="0"/>
        </w:tabs>
        <w:spacing w:line="360" w:lineRule="auto"/>
        <w:jc w:val="center"/>
        <w:rPr>
          <w:rFonts w:ascii="Palatino Linotype" w:eastAsia="Palatino Linotype" w:hAnsi="Palatino Linotype" w:cs="Palatino Linotype"/>
          <w:b/>
          <w:sz w:val="22"/>
          <w:szCs w:val="22"/>
        </w:rPr>
      </w:pPr>
      <w:bookmarkStart w:id="0" w:name="_heading=h.gjdgxs" w:colFirst="0" w:colLast="0"/>
      <w:bookmarkEnd w:id="0"/>
      <w:r w:rsidRPr="000959FC">
        <w:rPr>
          <w:rFonts w:ascii="Palatino Linotype" w:eastAsia="Palatino Linotype" w:hAnsi="Palatino Linotype" w:cs="Palatino Linotype"/>
          <w:b/>
          <w:sz w:val="22"/>
          <w:szCs w:val="22"/>
        </w:rPr>
        <w:t>ANTECEDENTES</w:t>
      </w:r>
    </w:p>
    <w:p w:rsidR="003C1162" w:rsidRPr="000959FC" w:rsidRDefault="003C1162">
      <w:pPr>
        <w:keepNext/>
        <w:keepLines/>
        <w:tabs>
          <w:tab w:val="left" w:pos="0"/>
        </w:tabs>
        <w:spacing w:line="360" w:lineRule="auto"/>
        <w:jc w:val="center"/>
        <w:rPr>
          <w:rFonts w:ascii="Palatino Linotype" w:eastAsia="Palatino Linotype" w:hAnsi="Palatino Linotype" w:cs="Palatino Linotype"/>
          <w:b/>
          <w:sz w:val="22"/>
          <w:szCs w:val="22"/>
        </w:rPr>
      </w:pPr>
    </w:p>
    <w:p w:rsidR="003C1162" w:rsidRPr="000959FC" w:rsidRDefault="00F47EF3">
      <w:pPr>
        <w:numPr>
          <w:ilvl w:val="0"/>
          <w:numId w:val="1"/>
        </w:numPr>
        <w:tabs>
          <w:tab w:val="left" w:pos="0"/>
        </w:tabs>
        <w:spacing w:line="360" w:lineRule="auto"/>
        <w:ind w:left="0"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El dos (02), cuatro (04), siete (07) y ocho (08) de octubre de dos mil veinticuatro, el</w:t>
      </w:r>
      <w:r w:rsidRPr="000959FC">
        <w:rPr>
          <w:rFonts w:ascii="Palatino Linotype" w:eastAsia="Palatino Linotype" w:hAnsi="Palatino Linotype" w:cs="Palatino Linotype"/>
          <w:b/>
          <w:sz w:val="22"/>
          <w:szCs w:val="22"/>
        </w:rPr>
        <w:t xml:space="preserve"> </w:t>
      </w:r>
      <w:r w:rsidRPr="000959FC">
        <w:rPr>
          <w:rFonts w:ascii="Palatino Linotype" w:eastAsia="Palatino Linotype" w:hAnsi="Palatino Linotype" w:cs="Palatino Linotype"/>
          <w:sz w:val="22"/>
          <w:szCs w:val="22"/>
        </w:rPr>
        <w:t>solicitante</w:t>
      </w:r>
      <w:r w:rsidRPr="000959FC">
        <w:rPr>
          <w:rFonts w:ascii="Palatino Linotype" w:eastAsia="Palatino Linotype" w:hAnsi="Palatino Linotype" w:cs="Palatino Linotype"/>
          <w:b/>
          <w:sz w:val="22"/>
          <w:szCs w:val="22"/>
        </w:rPr>
        <w:t xml:space="preserve">  </w:t>
      </w:r>
      <w:r w:rsidRPr="000959FC">
        <w:rPr>
          <w:rFonts w:ascii="Palatino Linotype" w:eastAsia="Palatino Linotype" w:hAnsi="Palatino Linotype" w:cs="Palatino Linotype"/>
          <w:sz w:val="22"/>
          <w:szCs w:val="22"/>
        </w:rPr>
        <w:t>presentó</w:t>
      </w:r>
      <w:r w:rsidRPr="000959FC">
        <w:rPr>
          <w:rFonts w:ascii="Palatino Linotype" w:eastAsia="Palatino Linotype" w:hAnsi="Palatino Linotype" w:cs="Palatino Linotype"/>
          <w:b/>
          <w:sz w:val="22"/>
          <w:szCs w:val="22"/>
        </w:rPr>
        <w:t xml:space="preserve"> </w:t>
      </w:r>
      <w:r w:rsidRPr="000959FC">
        <w:rPr>
          <w:rFonts w:ascii="Palatino Linotype" w:eastAsia="Palatino Linotype" w:hAnsi="Palatino Linotype" w:cs="Palatino Linotype"/>
          <w:sz w:val="22"/>
          <w:szCs w:val="22"/>
        </w:rPr>
        <w:t xml:space="preserve">ante el </w:t>
      </w:r>
      <w:r w:rsidRPr="000959FC">
        <w:rPr>
          <w:rFonts w:ascii="Palatino Linotype" w:eastAsia="Palatino Linotype" w:hAnsi="Palatino Linotype" w:cs="Palatino Linotype"/>
          <w:b/>
          <w:sz w:val="22"/>
          <w:szCs w:val="22"/>
        </w:rPr>
        <w:t>SUJETO OBLIGADO,</w:t>
      </w:r>
      <w:r w:rsidRPr="000959FC">
        <w:rPr>
          <w:rFonts w:ascii="Palatino Linotype" w:eastAsia="Palatino Linotype" w:hAnsi="Palatino Linotype" w:cs="Palatino Linotype"/>
          <w:sz w:val="22"/>
          <w:szCs w:val="22"/>
        </w:rPr>
        <w:t xml:space="preserve"> a través del Sistema de Acceso a la </w:t>
      </w:r>
      <w:r w:rsidRPr="000959FC">
        <w:rPr>
          <w:rFonts w:ascii="Palatino Linotype" w:eastAsia="Palatino Linotype" w:hAnsi="Palatino Linotype" w:cs="Palatino Linotype"/>
          <w:sz w:val="22"/>
          <w:szCs w:val="22"/>
        </w:rPr>
        <w:lastRenderedPageBreak/>
        <w:t xml:space="preserve">Información Mexiquense (SAIMEX), las solicitudes de información pública registradas de la siguiente manera: </w:t>
      </w:r>
    </w:p>
    <w:p w:rsidR="003C1162" w:rsidRPr="000959FC" w:rsidRDefault="003C1162">
      <w:pPr>
        <w:tabs>
          <w:tab w:val="left" w:pos="0"/>
        </w:tabs>
        <w:spacing w:line="360" w:lineRule="auto"/>
        <w:jc w:val="both"/>
        <w:rPr>
          <w:rFonts w:ascii="Palatino Linotype" w:eastAsia="Palatino Linotype" w:hAnsi="Palatino Linotype" w:cs="Palatino Linotype"/>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00508/TEMAMATL/IP/2024 - 06718/INFOEM/IP/RR/2024:  </w:t>
      </w:r>
      <w:r w:rsidRPr="000959FC">
        <w:rPr>
          <w:rFonts w:ascii="Palatino Linotype" w:eastAsia="Palatino Linotype" w:hAnsi="Palatino Linotype" w:cs="Palatino Linotype"/>
          <w:i/>
          <w:color w:val="000000"/>
          <w:sz w:val="22"/>
          <w:szCs w:val="22"/>
        </w:rPr>
        <w:t xml:space="preserve">“Solicito todos y cada uno de los expedientes completos de las obras realizadas en </w:t>
      </w:r>
      <w:proofErr w:type="spellStart"/>
      <w:r w:rsidRPr="000959FC">
        <w:rPr>
          <w:rFonts w:ascii="Palatino Linotype" w:eastAsia="Palatino Linotype" w:hAnsi="Palatino Linotype" w:cs="Palatino Linotype"/>
          <w:i/>
          <w:color w:val="000000"/>
          <w:sz w:val="22"/>
          <w:szCs w:val="22"/>
        </w:rPr>
        <w:t>el.primer</w:t>
      </w:r>
      <w:proofErr w:type="spellEnd"/>
      <w:r w:rsidRPr="000959FC">
        <w:rPr>
          <w:rFonts w:ascii="Palatino Linotype" w:eastAsia="Palatino Linotype" w:hAnsi="Palatino Linotype" w:cs="Palatino Linotype"/>
          <w:i/>
          <w:color w:val="000000"/>
          <w:sz w:val="22"/>
          <w:szCs w:val="22"/>
        </w:rPr>
        <w:t xml:space="preserve"> cuadro de la cabecera municipal durante la administración 2022 2024” (Sic)</w:t>
      </w:r>
    </w:p>
    <w:p w:rsidR="003C1162" w:rsidRPr="000959FC" w:rsidRDefault="003C1162">
      <w:pPr>
        <w:pBdr>
          <w:top w:val="nil"/>
          <w:left w:val="nil"/>
          <w:bottom w:val="nil"/>
          <w:right w:val="nil"/>
          <w:between w:val="nil"/>
        </w:pBdr>
        <w:tabs>
          <w:tab w:val="left" w:pos="284"/>
        </w:tabs>
        <w:spacing w:line="360" w:lineRule="auto"/>
        <w:ind w:left="720" w:right="822"/>
        <w:jc w:val="both"/>
        <w:rPr>
          <w:rFonts w:ascii="Palatino Linotype" w:eastAsia="Palatino Linotype" w:hAnsi="Palatino Linotype" w:cs="Palatino Linotype"/>
          <w:b/>
          <w:color w:val="000000"/>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00509/TEMAMATL/IP/2024 - 06719/INFOEM/IP/RR/2024: </w:t>
      </w:r>
      <w:r w:rsidRPr="000959FC">
        <w:rPr>
          <w:rFonts w:ascii="Palatino Linotype" w:eastAsia="Palatino Linotype" w:hAnsi="Palatino Linotype" w:cs="Palatino Linotype"/>
          <w:i/>
          <w:color w:val="000000"/>
          <w:sz w:val="22"/>
          <w:szCs w:val="22"/>
        </w:rPr>
        <w:t xml:space="preserve">“Solicito </w:t>
      </w:r>
      <w:proofErr w:type="spellStart"/>
      <w:r w:rsidRPr="000959FC">
        <w:rPr>
          <w:rFonts w:ascii="Palatino Linotype" w:eastAsia="Palatino Linotype" w:hAnsi="Palatino Linotype" w:cs="Palatino Linotype"/>
          <w:i/>
          <w:color w:val="000000"/>
          <w:sz w:val="22"/>
          <w:szCs w:val="22"/>
        </w:rPr>
        <w:t>el.expediente</w:t>
      </w:r>
      <w:proofErr w:type="spellEnd"/>
      <w:r w:rsidRPr="000959FC">
        <w:rPr>
          <w:rFonts w:ascii="Palatino Linotype" w:eastAsia="Palatino Linotype" w:hAnsi="Palatino Linotype" w:cs="Palatino Linotype"/>
          <w:i/>
          <w:color w:val="000000"/>
          <w:sz w:val="22"/>
          <w:szCs w:val="22"/>
        </w:rPr>
        <w:t xml:space="preserve"> completo de la obra realizada en la calle paseo de los viveros ejecutada por la administración 2022 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00510/TEMAMATL/IP/2024 - 06720/INFOEM/IP/RR/2024:  </w:t>
      </w:r>
      <w:r w:rsidRPr="000959FC">
        <w:rPr>
          <w:rFonts w:ascii="Palatino Linotype" w:eastAsia="Palatino Linotype" w:hAnsi="Palatino Linotype" w:cs="Palatino Linotype"/>
          <w:i/>
          <w:color w:val="000000"/>
          <w:sz w:val="22"/>
          <w:szCs w:val="22"/>
        </w:rPr>
        <w:t xml:space="preserve">“Solicito </w:t>
      </w:r>
      <w:proofErr w:type="spellStart"/>
      <w:r w:rsidRPr="000959FC">
        <w:rPr>
          <w:rFonts w:ascii="Palatino Linotype" w:eastAsia="Palatino Linotype" w:hAnsi="Palatino Linotype" w:cs="Palatino Linotype"/>
          <w:i/>
          <w:color w:val="000000"/>
          <w:sz w:val="22"/>
          <w:szCs w:val="22"/>
        </w:rPr>
        <w:t>el.expediente</w:t>
      </w:r>
      <w:proofErr w:type="spellEnd"/>
      <w:r w:rsidRPr="000959FC">
        <w:rPr>
          <w:rFonts w:ascii="Palatino Linotype" w:eastAsia="Palatino Linotype" w:hAnsi="Palatino Linotype" w:cs="Palatino Linotype"/>
          <w:i/>
          <w:color w:val="000000"/>
          <w:sz w:val="22"/>
          <w:szCs w:val="22"/>
        </w:rPr>
        <w:t xml:space="preserve"> completo de la obra realizada en la calle </w:t>
      </w:r>
      <w:proofErr w:type="spellStart"/>
      <w:r w:rsidRPr="000959FC">
        <w:rPr>
          <w:rFonts w:ascii="Palatino Linotype" w:eastAsia="Palatino Linotype" w:hAnsi="Palatino Linotype" w:cs="Palatino Linotype"/>
          <w:i/>
          <w:color w:val="000000"/>
          <w:sz w:val="22"/>
          <w:szCs w:val="22"/>
        </w:rPr>
        <w:t>durango</w:t>
      </w:r>
      <w:proofErr w:type="spellEnd"/>
      <w:r w:rsidRPr="000959FC">
        <w:rPr>
          <w:rFonts w:ascii="Palatino Linotype" w:eastAsia="Palatino Linotype" w:hAnsi="Palatino Linotype" w:cs="Palatino Linotype"/>
          <w:i/>
          <w:color w:val="000000"/>
          <w:sz w:val="22"/>
          <w:szCs w:val="22"/>
        </w:rPr>
        <w:t xml:space="preserve"> ejecutada por la administración 2022 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00511/TEMAMATL/IP/2024 - 06721/INFOEM/IP/RR/2024:  </w:t>
      </w:r>
      <w:r w:rsidRPr="000959FC">
        <w:rPr>
          <w:rFonts w:ascii="Palatino Linotype" w:eastAsia="Palatino Linotype" w:hAnsi="Palatino Linotype" w:cs="Palatino Linotype"/>
          <w:i/>
          <w:color w:val="000000"/>
          <w:sz w:val="22"/>
          <w:szCs w:val="22"/>
        </w:rPr>
        <w:t xml:space="preserve">“Solicito </w:t>
      </w:r>
      <w:proofErr w:type="spellStart"/>
      <w:r w:rsidRPr="000959FC">
        <w:rPr>
          <w:rFonts w:ascii="Palatino Linotype" w:eastAsia="Palatino Linotype" w:hAnsi="Palatino Linotype" w:cs="Palatino Linotype"/>
          <w:i/>
          <w:color w:val="000000"/>
          <w:sz w:val="22"/>
          <w:szCs w:val="22"/>
        </w:rPr>
        <w:t>el.expediente</w:t>
      </w:r>
      <w:proofErr w:type="spellEnd"/>
      <w:r w:rsidRPr="000959FC">
        <w:rPr>
          <w:rFonts w:ascii="Palatino Linotype" w:eastAsia="Palatino Linotype" w:hAnsi="Palatino Linotype" w:cs="Palatino Linotype"/>
          <w:i/>
          <w:color w:val="000000"/>
          <w:sz w:val="22"/>
          <w:szCs w:val="22"/>
        </w:rPr>
        <w:t xml:space="preserve"> completo de las ampliaciones de red de </w:t>
      </w:r>
      <w:proofErr w:type="spellStart"/>
      <w:r w:rsidRPr="000959FC">
        <w:rPr>
          <w:rFonts w:ascii="Palatino Linotype" w:eastAsia="Palatino Linotype" w:hAnsi="Palatino Linotype" w:cs="Palatino Linotype"/>
          <w:i/>
          <w:color w:val="000000"/>
          <w:sz w:val="22"/>
          <w:szCs w:val="22"/>
        </w:rPr>
        <w:t>energia</w:t>
      </w:r>
      <w:proofErr w:type="spellEnd"/>
      <w:r w:rsidRPr="000959FC">
        <w:rPr>
          <w:rFonts w:ascii="Palatino Linotype" w:eastAsia="Palatino Linotype" w:hAnsi="Palatino Linotype" w:cs="Palatino Linotype"/>
          <w:i/>
          <w:color w:val="000000"/>
          <w:sz w:val="22"/>
          <w:szCs w:val="22"/>
        </w:rPr>
        <w:t xml:space="preserve"> eléctrica ejecutada por la administración 2022 2024 con </w:t>
      </w:r>
      <w:proofErr w:type="spellStart"/>
      <w:r w:rsidRPr="000959FC">
        <w:rPr>
          <w:rFonts w:ascii="Palatino Linotype" w:eastAsia="Palatino Linotype" w:hAnsi="Palatino Linotype" w:cs="Palatino Linotype"/>
          <w:i/>
          <w:color w:val="000000"/>
          <w:sz w:val="22"/>
          <w:szCs w:val="22"/>
        </w:rPr>
        <w:t>cfe</w:t>
      </w:r>
      <w:proofErr w:type="spellEnd"/>
      <w:r w:rsidRPr="000959FC">
        <w:rPr>
          <w:rFonts w:ascii="Palatino Linotype" w:eastAsia="Palatino Linotype" w:hAnsi="Palatino Linotype" w:cs="Palatino Linotype"/>
          <w:i/>
          <w:color w:val="000000"/>
          <w:sz w:val="22"/>
          <w:szCs w:val="22"/>
        </w:rPr>
        <w:t>”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00512/TEMAMATL/IP/2024 - 06722/INFOEM/IP/RR/2024:  </w:t>
      </w:r>
      <w:r w:rsidRPr="000959FC">
        <w:rPr>
          <w:rFonts w:ascii="Palatino Linotype" w:eastAsia="Palatino Linotype" w:hAnsi="Palatino Linotype" w:cs="Palatino Linotype"/>
          <w:i/>
          <w:color w:val="000000"/>
          <w:sz w:val="22"/>
          <w:szCs w:val="22"/>
        </w:rPr>
        <w:t>“SOLICITO EL EXPEDIENTE COMPLETO DE LA OBRA DENOMINADA CICLOVIA, REALIZADA DURANTE LA ADMINISTRACION 2022-2024”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lastRenderedPageBreak/>
        <w:t xml:space="preserve">00513/TEMAMATL/IP/2024 - 06723/INFOEM/IP/RR/2024:  </w:t>
      </w:r>
      <w:r w:rsidRPr="000959FC">
        <w:rPr>
          <w:rFonts w:ascii="Palatino Linotype" w:eastAsia="Palatino Linotype" w:hAnsi="Palatino Linotype" w:cs="Palatino Linotype"/>
          <w:i/>
          <w:color w:val="000000"/>
          <w:sz w:val="22"/>
          <w:szCs w:val="22"/>
        </w:rPr>
        <w:t>“SOLICITO EL EXPEDIENTE COMPLETO DE LA OBRA DEL PUENTE EN EL RIO SAN JUAN, REALIZADO DURANTE LA ADMINISTRACION 2022-2024”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00556/TEMAMATL/IP/2024 - 06744/INFOEM/IP/RR/2024:  </w:t>
      </w:r>
      <w:r w:rsidRPr="000959FC">
        <w:rPr>
          <w:rFonts w:ascii="Palatino Linotype" w:eastAsia="Palatino Linotype" w:hAnsi="Palatino Linotype" w:cs="Palatino Linotype"/>
          <w:i/>
          <w:color w:val="000000"/>
          <w:sz w:val="22"/>
          <w:szCs w:val="22"/>
        </w:rPr>
        <w:t xml:space="preserve">“Solicito el expediente completo del albergue canino realizado en la plaza estado de </w:t>
      </w:r>
      <w:proofErr w:type="spellStart"/>
      <w:r w:rsidRPr="000959FC">
        <w:rPr>
          <w:rFonts w:ascii="Palatino Linotype" w:eastAsia="Palatino Linotype" w:hAnsi="Palatino Linotype" w:cs="Palatino Linotype"/>
          <w:i/>
          <w:color w:val="000000"/>
          <w:sz w:val="22"/>
          <w:szCs w:val="22"/>
        </w:rPr>
        <w:t>mexico</w:t>
      </w:r>
      <w:proofErr w:type="spellEnd"/>
      <w:r w:rsidRPr="000959FC">
        <w:rPr>
          <w:rFonts w:ascii="Palatino Linotype" w:eastAsia="Palatino Linotype" w:hAnsi="Palatino Linotype" w:cs="Palatino Linotype"/>
          <w:i/>
          <w:color w:val="000000"/>
          <w:sz w:val="22"/>
          <w:szCs w:val="22"/>
        </w:rPr>
        <w:t>, ejecutada por la administración 2022 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00557/TEMAMATL/IP/2024 - 06745/INFOEM/IP/RR/2024:  </w:t>
      </w:r>
      <w:r w:rsidRPr="000959FC">
        <w:rPr>
          <w:rFonts w:ascii="Palatino Linotype" w:eastAsia="Palatino Linotype" w:hAnsi="Palatino Linotype" w:cs="Palatino Linotype"/>
          <w:i/>
          <w:color w:val="000000"/>
          <w:sz w:val="22"/>
          <w:szCs w:val="22"/>
        </w:rPr>
        <w:t xml:space="preserve">“Solicito el expediente completo de la rehabilitación del </w:t>
      </w:r>
      <w:proofErr w:type="spellStart"/>
      <w:r w:rsidRPr="000959FC">
        <w:rPr>
          <w:rFonts w:ascii="Palatino Linotype" w:eastAsia="Palatino Linotype" w:hAnsi="Palatino Linotype" w:cs="Palatino Linotype"/>
          <w:i/>
          <w:color w:val="000000"/>
          <w:sz w:val="22"/>
          <w:szCs w:val="22"/>
        </w:rPr>
        <w:t>ubris</w:t>
      </w:r>
      <w:proofErr w:type="spellEnd"/>
      <w:r w:rsidRPr="000959FC">
        <w:rPr>
          <w:rFonts w:ascii="Palatino Linotype" w:eastAsia="Palatino Linotype" w:hAnsi="Palatino Linotype" w:cs="Palatino Linotype"/>
          <w:i/>
          <w:color w:val="000000"/>
          <w:sz w:val="22"/>
          <w:szCs w:val="22"/>
        </w:rPr>
        <w:t xml:space="preserve"> </w:t>
      </w:r>
      <w:proofErr w:type="spellStart"/>
      <w:r w:rsidRPr="000959FC">
        <w:rPr>
          <w:rFonts w:ascii="Palatino Linotype" w:eastAsia="Palatino Linotype" w:hAnsi="Palatino Linotype" w:cs="Palatino Linotype"/>
          <w:i/>
          <w:color w:val="000000"/>
          <w:sz w:val="22"/>
          <w:szCs w:val="22"/>
        </w:rPr>
        <w:t>temamatla</w:t>
      </w:r>
      <w:proofErr w:type="spellEnd"/>
      <w:r w:rsidRPr="000959FC">
        <w:rPr>
          <w:rFonts w:ascii="Palatino Linotype" w:eastAsia="Palatino Linotype" w:hAnsi="Palatino Linotype" w:cs="Palatino Linotype"/>
          <w:i/>
          <w:color w:val="000000"/>
          <w:sz w:val="22"/>
          <w:szCs w:val="22"/>
        </w:rPr>
        <w:t xml:space="preserve">, </w:t>
      </w:r>
      <w:proofErr w:type="spellStart"/>
      <w:r w:rsidRPr="000959FC">
        <w:rPr>
          <w:rFonts w:ascii="Palatino Linotype" w:eastAsia="Palatino Linotype" w:hAnsi="Palatino Linotype" w:cs="Palatino Linotype"/>
          <w:i/>
          <w:color w:val="000000"/>
          <w:sz w:val="22"/>
          <w:szCs w:val="22"/>
        </w:rPr>
        <w:t>cual</w:t>
      </w:r>
      <w:proofErr w:type="spellEnd"/>
      <w:r w:rsidRPr="000959FC">
        <w:rPr>
          <w:rFonts w:ascii="Palatino Linotype" w:eastAsia="Palatino Linotype" w:hAnsi="Palatino Linotype" w:cs="Palatino Linotype"/>
          <w:i/>
          <w:color w:val="000000"/>
          <w:sz w:val="22"/>
          <w:szCs w:val="22"/>
        </w:rPr>
        <w:t xml:space="preserve"> fue su costo de habilitación, mediante que recurso se </w:t>
      </w:r>
      <w:proofErr w:type="spellStart"/>
      <w:r w:rsidRPr="000959FC">
        <w:rPr>
          <w:rFonts w:ascii="Palatino Linotype" w:eastAsia="Palatino Linotype" w:hAnsi="Palatino Linotype" w:cs="Palatino Linotype"/>
          <w:i/>
          <w:color w:val="000000"/>
          <w:sz w:val="22"/>
          <w:szCs w:val="22"/>
        </w:rPr>
        <w:t>realizo</w:t>
      </w:r>
      <w:proofErr w:type="spellEnd"/>
      <w:r w:rsidRPr="000959FC">
        <w:rPr>
          <w:rFonts w:ascii="Palatino Linotype" w:eastAsia="Palatino Linotype" w:hAnsi="Palatino Linotype" w:cs="Palatino Linotype"/>
          <w:i/>
          <w:color w:val="000000"/>
          <w:sz w:val="22"/>
          <w:szCs w:val="22"/>
        </w:rPr>
        <w:t>, que empresa lo realizo, esto durante la administración 2022 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00572/TEMAMATL/IP/2024 - 06764/INFOEM/IP/RR/2024:  </w:t>
      </w:r>
      <w:r w:rsidRPr="000959FC">
        <w:rPr>
          <w:rFonts w:ascii="Palatino Linotype" w:eastAsia="Palatino Linotype" w:hAnsi="Palatino Linotype" w:cs="Palatino Linotype"/>
          <w:i/>
          <w:color w:val="000000"/>
          <w:sz w:val="22"/>
          <w:szCs w:val="22"/>
        </w:rPr>
        <w:t xml:space="preserve">“Solicito expediente completo de </w:t>
      </w:r>
      <w:proofErr w:type="spellStart"/>
      <w:r w:rsidRPr="000959FC">
        <w:rPr>
          <w:rFonts w:ascii="Palatino Linotype" w:eastAsia="Palatino Linotype" w:hAnsi="Palatino Linotype" w:cs="Palatino Linotype"/>
          <w:i/>
          <w:color w:val="000000"/>
          <w:sz w:val="22"/>
          <w:szCs w:val="22"/>
        </w:rPr>
        <w:t>la.obra</w:t>
      </w:r>
      <w:proofErr w:type="spellEnd"/>
      <w:r w:rsidRPr="000959FC">
        <w:rPr>
          <w:rFonts w:ascii="Palatino Linotype" w:eastAsia="Palatino Linotype" w:hAnsi="Palatino Linotype" w:cs="Palatino Linotype"/>
          <w:i/>
          <w:color w:val="000000"/>
          <w:sz w:val="22"/>
          <w:szCs w:val="22"/>
        </w:rPr>
        <w:t xml:space="preserve"> que se está llevando a cabo en </w:t>
      </w:r>
      <w:proofErr w:type="spellStart"/>
      <w:r w:rsidRPr="000959FC">
        <w:rPr>
          <w:rFonts w:ascii="Palatino Linotype" w:eastAsia="Palatino Linotype" w:hAnsi="Palatino Linotype" w:cs="Palatino Linotype"/>
          <w:i/>
          <w:color w:val="000000"/>
          <w:sz w:val="22"/>
          <w:szCs w:val="22"/>
        </w:rPr>
        <w:t>la.colonia</w:t>
      </w:r>
      <w:proofErr w:type="spellEnd"/>
      <w:r w:rsidRPr="000959FC">
        <w:rPr>
          <w:rFonts w:ascii="Palatino Linotype" w:eastAsia="Palatino Linotype" w:hAnsi="Palatino Linotype" w:cs="Palatino Linotype"/>
          <w:i/>
          <w:color w:val="000000"/>
          <w:sz w:val="22"/>
          <w:szCs w:val="22"/>
        </w:rPr>
        <w:t xml:space="preserve"> Guadalupana por la administración 2022 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00646/TEMAMATL/IP/2024 - 06794/INFOEM/IP/RR/2024:  </w:t>
      </w:r>
      <w:r w:rsidRPr="000959FC">
        <w:rPr>
          <w:rFonts w:ascii="Palatino Linotype" w:eastAsia="Palatino Linotype" w:hAnsi="Palatino Linotype" w:cs="Palatino Linotype"/>
          <w:i/>
          <w:color w:val="000000"/>
          <w:sz w:val="22"/>
          <w:szCs w:val="22"/>
        </w:rPr>
        <w:t>“solicito el expediente completo de la obra denominada rehabilitación de acceso a colonia guadalupana en calle sonora ejecutado por la administración 2022-2024”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00645/TEMAMATL/IP/2024 - 06795/INFOEM/IP/RR/2024:  </w:t>
      </w:r>
      <w:r w:rsidRPr="000959FC">
        <w:rPr>
          <w:rFonts w:ascii="Palatino Linotype" w:eastAsia="Palatino Linotype" w:hAnsi="Palatino Linotype" w:cs="Palatino Linotype"/>
          <w:i/>
          <w:color w:val="000000"/>
          <w:sz w:val="22"/>
          <w:szCs w:val="22"/>
        </w:rPr>
        <w:t>“solicito el expediente completo de la obra denominada rehabilitación de espacio para unidad básica de rehabilitación e integración social (</w:t>
      </w:r>
      <w:proofErr w:type="spellStart"/>
      <w:r w:rsidRPr="000959FC">
        <w:rPr>
          <w:rFonts w:ascii="Palatino Linotype" w:eastAsia="Palatino Linotype" w:hAnsi="Palatino Linotype" w:cs="Palatino Linotype"/>
          <w:i/>
          <w:color w:val="000000"/>
          <w:sz w:val="22"/>
          <w:szCs w:val="22"/>
        </w:rPr>
        <w:t>u.b.r.i.s</w:t>
      </w:r>
      <w:proofErr w:type="spellEnd"/>
      <w:r w:rsidRPr="000959FC">
        <w:rPr>
          <w:rFonts w:ascii="Palatino Linotype" w:eastAsia="Palatino Linotype" w:hAnsi="Palatino Linotype" w:cs="Palatino Linotype"/>
          <w:i/>
          <w:color w:val="000000"/>
          <w:sz w:val="22"/>
          <w:szCs w:val="22"/>
        </w:rPr>
        <w:t xml:space="preserve">.) </w:t>
      </w:r>
      <w:proofErr w:type="spellStart"/>
      <w:r w:rsidRPr="000959FC">
        <w:rPr>
          <w:rFonts w:ascii="Palatino Linotype" w:eastAsia="Palatino Linotype" w:hAnsi="Palatino Linotype" w:cs="Palatino Linotype"/>
          <w:i/>
          <w:color w:val="000000"/>
          <w:sz w:val="22"/>
          <w:szCs w:val="22"/>
        </w:rPr>
        <w:t>temamatla</w:t>
      </w:r>
      <w:proofErr w:type="spellEnd"/>
      <w:r w:rsidRPr="000959FC">
        <w:rPr>
          <w:rFonts w:ascii="Palatino Linotype" w:eastAsia="Palatino Linotype" w:hAnsi="Palatino Linotype" w:cs="Palatino Linotype"/>
          <w:i/>
          <w:color w:val="000000"/>
          <w:sz w:val="22"/>
          <w:szCs w:val="22"/>
        </w:rPr>
        <w:t>, ejecutado por la administración 2022-2024”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00644/TEMAMATL/IP/2024 - 06796/INFOEM/IP/RR/2024:  </w:t>
      </w:r>
      <w:r w:rsidRPr="000959FC">
        <w:rPr>
          <w:rFonts w:ascii="Palatino Linotype" w:eastAsia="Palatino Linotype" w:hAnsi="Palatino Linotype" w:cs="Palatino Linotype"/>
          <w:i/>
          <w:color w:val="000000"/>
          <w:sz w:val="22"/>
          <w:szCs w:val="22"/>
        </w:rPr>
        <w:t>“solicito el expediente completo de la obra denominada desazolve del canal rio san juan ejecutado por la administración 2022-2024” (Sic)</w:t>
      </w: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00643/TEMAMATL/IP/2024 - 06797/INFOEM/IP/RR/2024:  </w:t>
      </w:r>
      <w:r w:rsidRPr="000959FC">
        <w:rPr>
          <w:rFonts w:ascii="Palatino Linotype" w:eastAsia="Palatino Linotype" w:hAnsi="Palatino Linotype" w:cs="Palatino Linotype"/>
          <w:i/>
          <w:color w:val="000000"/>
          <w:sz w:val="22"/>
          <w:szCs w:val="22"/>
        </w:rPr>
        <w:t>“solicito el expediente completo de la obra denominada ampliación de drenaje sanitario en calle paseo de los viveros ejecutado por la administración 2022-2024” (Sic)</w:t>
      </w:r>
    </w:p>
    <w:p w:rsidR="003C1162" w:rsidRPr="000959FC" w:rsidRDefault="003C1162">
      <w:pPr>
        <w:pBdr>
          <w:top w:val="nil"/>
          <w:left w:val="nil"/>
          <w:bottom w:val="nil"/>
          <w:right w:val="nil"/>
          <w:between w:val="nil"/>
        </w:pBdr>
        <w:tabs>
          <w:tab w:val="left" w:pos="284"/>
        </w:tabs>
        <w:spacing w:line="360" w:lineRule="auto"/>
        <w:ind w:left="720" w:right="822"/>
        <w:jc w:val="both"/>
        <w:rPr>
          <w:rFonts w:ascii="Palatino Linotype" w:eastAsia="Palatino Linotype" w:hAnsi="Palatino Linotype" w:cs="Palatino Linotype"/>
          <w:b/>
          <w:color w:val="000000"/>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00642/TEMAMATL/IP/2024 - 06798/INFOEM/IP/RR/2024:  </w:t>
      </w:r>
      <w:r w:rsidRPr="000959FC">
        <w:rPr>
          <w:rFonts w:ascii="Palatino Linotype" w:eastAsia="Palatino Linotype" w:hAnsi="Palatino Linotype" w:cs="Palatino Linotype"/>
          <w:i/>
          <w:color w:val="000000"/>
          <w:sz w:val="22"/>
          <w:szCs w:val="22"/>
        </w:rPr>
        <w:t xml:space="preserve">“solicito el expediente completo de la obra denominada construcción del </w:t>
      </w:r>
      <w:proofErr w:type="spellStart"/>
      <w:r w:rsidRPr="000959FC">
        <w:rPr>
          <w:rFonts w:ascii="Palatino Linotype" w:eastAsia="Palatino Linotype" w:hAnsi="Palatino Linotype" w:cs="Palatino Linotype"/>
          <w:i/>
          <w:color w:val="000000"/>
          <w:sz w:val="22"/>
          <w:szCs w:val="22"/>
        </w:rPr>
        <w:t>modulo</w:t>
      </w:r>
      <w:proofErr w:type="spellEnd"/>
      <w:r w:rsidRPr="000959FC">
        <w:rPr>
          <w:rFonts w:ascii="Palatino Linotype" w:eastAsia="Palatino Linotype" w:hAnsi="Palatino Linotype" w:cs="Palatino Linotype"/>
          <w:i/>
          <w:color w:val="000000"/>
          <w:sz w:val="22"/>
          <w:szCs w:val="22"/>
        </w:rPr>
        <w:t xml:space="preserve"> de protección civil en los reyes </w:t>
      </w:r>
      <w:proofErr w:type="spellStart"/>
      <w:r w:rsidRPr="000959FC">
        <w:rPr>
          <w:rFonts w:ascii="Palatino Linotype" w:eastAsia="Palatino Linotype" w:hAnsi="Palatino Linotype" w:cs="Palatino Linotype"/>
          <w:i/>
          <w:color w:val="000000"/>
          <w:sz w:val="22"/>
          <w:szCs w:val="22"/>
        </w:rPr>
        <w:t>acatlixhuayan</w:t>
      </w:r>
      <w:proofErr w:type="spellEnd"/>
      <w:r w:rsidRPr="000959FC">
        <w:rPr>
          <w:rFonts w:ascii="Palatino Linotype" w:eastAsia="Palatino Linotype" w:hAnsi="Palatino Linotype" w:cs="Palatino Linotype"/>
          <w:i/>
          <w:color w:val="000000"/>
          <w:sz w:val="22"/>
          <w:szCs w:val="22"/>
        </w:rPr>
        <w:t xml:space="preserve"> ejecutado por la administración 2022-2024”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00641/TEMAMATL/IP/2024 - 06799/INFOEM/IP/RR/2024:  </w:t>
      </w:r>
      <w:r w:rsidRPr="000959FC">
        <w:rPr>
          <w:rFonts w:ascii="Palatino Linotype" w:eastAsia="Palatino Linotype" w:hAnsi="Palatino Linotype" w:cs="Palatino Linotype"/>
          <w:i/>
          <w:color w:val="000000"/>
          <w:sz w:val="22"/>
          <w:szCs w:val="22"/>
        </w:rPr>
        <w:t xml:space="preserve">“solicito el expediente completo de la obra denominada rehabilitación de alumbrado </w:t>
      </w:r>
      <w:proofErr w:type="spellStart"/>
      <w:r w:rsidRPr="000959FC">
        <w:rPr>
          <w:rFonts w:ascii="Palatino Linotype" w:eastAsia="Palatino Linotype" w:hAnsi="Palatino Linotype" w:cs="Palatino Linotype"/>
          <w:i/>
          <w:color w:val="000000"/>
          <w:sz w:val="22"/>
          <w:szCs w:val="22"/>
        </w:rPr>
        <w:t>publico</w:t>
      </w:r>
      <w:proofErr w:type="spellEnd"/>
      <w:r w:rsidRPr="000959FC">
        <w:rPr>
          <w:rFonts w:ascii="Palatino Linotype" w:eastAsia="Palatino Linotype" w:hAnsi="Palatino Linotype" w:cs="Palatino Linotype"/>
          <w:i/>
          <w:color w:val="000000"/>
          <w:sz w:val="22"/>
          <w:szCs w:val="22"/>
        </w:rPr>
        <w:t xml:space="preserve"> ejecutado con recurso propio por la administración 2022-2024”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00640/TEMAMATL/IP/2024 - 06800/INFOEM/IP/RR/2024:  </w:t>
      </w:r>
      <w:r w:rsidRPr="000959FC">
        <w:rPr>
          <w:rFonts w:ascii="Palatino Linotype" w:eastAsia="Palatino Linotype" w:hAnsi="Palatino Linotype" w:cs="Palatino Linotype"/>
          <w:i/>
          <w:color w:val="000000"/>
          <w:sz w:val="22"/>
          <w:szCs w:val="22"/>
        </w:rPr>
        <w:t xml:space="preserve">“solicito el expediente completo de la obra denominada ampliación de electrificación en </w:t>
      </w:r>
      <w:proofErr w:type="spellStart"/>
      <w:r w:rsidRPr="000959FC">
        <w:rPr>
          <w:rFonts w:ascii="Palatino Linotype" w:eastAsia="Palatino Linotype" w:hAnsi="Palatino Linotype" w:cs="Palatino Linotype"/>
          <w:i/>
          <w:color w:val="000000"/>
          <w:sz w:val="22"/>
          <w:szCs w:val="22"/>
        </w:rPr>
        <w:t>temamatla</w:t>
      </w:r>
      <w:proofErr w:type="spellEnd"/>
      <w:r w:rsidRPr="000959FC">
        <w:rPr>
          <w:rFonts w:ascii="Palatino Linotype" w:eastAsia="Palatino Linotype" w:hAnsi="Palatino Linotype" w:cs="Palatino Linotype"/>
          <w:i/>
          <w:color w:val="000000"/>
          <w:sz w:val="22"/>
          <w:szCs w:val="22"/>
        </w:rPr>
        <w:t xml:space="preserve"> ejecutado con recurso propio por la administración 2022-2024”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00639/TEMAMATL/IP/2024 - 06801/INFOEM/IP/RR/2024:  </w:t>
      </w:r>
      <w:r w:rsidRPr="000959FC">
        <w:rPr>
          <w:rFonts w:ascii="Palatino Linotype" w:eastAsia="Palatino Linotype" w:hAnsi="Palatino Linotype" w:cs="Palatino Linotype"/>
          <w:i/>
          <w:color w:val="000000"/>
          <w:sz w:val="22"/>
          <w:szCs w:val="22"/>
        </w:rPr>
        <w:t>“solicito el expediente completo de la obra denominada rehabilitación de la red de drenaje sanitario en calle Durango ejecutado por la administración 2022-2024”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lastRenderedPageBreak/>
        <w:t xml:space="preserve">00632/TEMAMATL/IP/2024 - 06805/INFOEM/IP/RR/2024:  </w:t>
      </w:r>
      <w:r w:rsidRPr="000959FC">
        <w:rPr>
          <w:rFonts w:ascii="Palatino Linotype" w:eastAsia="Palatino Linotype" w:hAnsi="Palatino Linotype" w:cs="Palatino Linotype"/>
          <w:i/>
          <w:color w:val="000000"/>
          <w:sz w:val="22"/>
          <w:szCs w:val="22"/>
        </w:rPr>
        <w:t>“solicito el expediente completo de la obra denominada rehabilitación de pavimento asfaltico en calle 2 de marzo ejecutado con recurso propio durante la administración 2022-2024” (Sic)</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b/>
          <w:color w:val="000000"/>
          <w:sz w:val="22"/>
          <w:szCs w:val="22"/>
        </w:rPr>
      </w:pP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00631/TEMAMATL/IP/2024 - 06806/INFOEM/IP/RR/2024:  </w:t>
      </w:r>
      <w:r w:rsidRPr="000959FC">
        <w:rPr>
          <w:rFonts w:ascii="Palatino Linotype" w:eastAsia="Palatino Linotype" w:hAnsi="Palatino Linotype" w:cs="Palatino Linotype"/>
          <w:i/>
          <w:color w:val="000000"/>
          <w:sz w:val="22"/>
          <w:szCs w:val="22"/>
        </w:rPr>
        <w:t xml:space="preserve">“solicito el expediente completo de la obra denominada construcción del reloj monumental musical ejecutado con recurso propio por la </w:t>
      </w:r>
      <w:proofErr w:type="spellStart"/>
      <w:r w:rsidRPr="000959FC">
        <w:rPr>
          <w:rFonts w:ascii="Palatino Linotype" w:eastAsia="Palatino Linotype" w:hAnsi="Palatino Linotype" w:cs="Palatino Linotype"/>
          <w:i/>
          <w:color w:val="000000"/>
          <w:sz w:val="22"/>
          <w:szCs w:val="22"/>
        </w:rPr>
        <w:t>administracion</w:t>
      </w:r>
      <w:proofErr w:type="spellEnd"/>
      <w:r w:rsidRPr="000959FC">
        <w:rPr>
          <w:rFonts w:ascii="Palatino Linotype" w:eastAsia="Palatino Linotype" w:hAnsi="Palatino Linotype" w:cs="Palatino Linotype"/>
          <w:i/>
          <w:color w:val="000000"/>
          <w:sz w:val="22"/>
          <w:szCs w:val="22"/>
        </w:rPr>
        <w:t xml:space="preserve"> 2022-2024”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00630/TEMAMATL/IP/2024 - 06807/INFOEM/IP/RR/2024:  </w:t>
      </w:r>
      <w:r w:rsidRPr="000959FC">
        <w:rPr>
          <w:rFonts w:ascii="Palatino Linotype" w:eastAsia="Palatino Linotype" w:hAnsi="Palatino Linotype" w:cs="Palatino Linotype"/>
          <w:i/>
          <w:color w:val="000000"/>
          <w:sz w:val="22"/>
          <w:szCs w:val="22"/>
        </w:rPr>
        <w:t xml:space="preserve">“solicito el expediente completo de la obra construcción de fuentes danzantes en la explanada el centro de </w:t>
      </w:r>
      <w:proofErr w:type="spellStart"/>
      <w:r w:rsidRPr="000959FC">
        <w:rPr>
          <w:rFonts w:ascii="Palatino Linotype" w:eastAsia="Palatino Linotype" w:hAnsi="Palatino Linotype" w:cs="Palatino Linotype"/>
          <w:i/>
          <w:color w:val="000000"/>
          <w:sz w:val="22"/>
          <w:szCs w:val="22"/>
        </w:rPr>
        <w:t>temamatla</w:t>
      </w:r>
      <w:proofErr w:type="spellEnd"/>
      <w:r w:rsidRPr="000959FC">
        <w:rPr>
          <w:rFonts w:ascii="Palatino Linotype" w:eastAsia="Palatino Linotype" w:hAnsi="Palatino Linotype" w:cs="Palatino Linotype"/>
          <w:i/>
          <w:color w:val="000000"/>
          <w:sz w:val="22"/>
          <w:szCs w:val="22"/>
        </w:rPr>
        <w:t xml:space="preserve"> ejecutada con recurso propio durante la administración 2022-2024”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00622/TEMAMATL/IP/2024 - 06815/INFOEM/IP/RR/2024:  </w:t>
      </w:r>
      <w:r w:rsidRPr="000959FC">
        <w:rPr>
          <w:rFonts w:ascii="Palatino Linotype" w:eastAsia="Palatino Linotype" w:hAnsi="Palatino Linotype" w:cs="Palatino Linotype"/>
          <w:i/>
          <w:color w:val="000000"/>
          <w:sz w:val="22"/>
          <w:szCs w:val="22"/>
        </w:rPr>
        <w:t xml:space="preserve">“solicito el expediente completo de la obra Construcción de albergue canino en situación de calle de san juan </w:t>
      </w:r>
      <w:proofErr w:type="spellStart"/>
      <w:r w:rsidRPr="000959FC">
        <w:rPr>
          <w:rFonts w:ascii="Palatino Linotype" w:eastAsia="Palatino Linotype" w:hAnsi="Palatino Linotype" w:cs="Palatino Linotype"/>
          <w:i/>
          <w:color w:val="000000"/>
          <w:sz w:val="22"/>
          <w:szCs w:val="22"/>
        </w:rPr>
        <w:t>Temamatla</w:t>
      </w:r>
      <w:proofErr w:type="spellEnd"/>
      <w:r w:rsidRPr="000959FC">
        <w:rPr>
          <w:rFonts w:ascii="Palatino Linotype" w:eastAsia="Palatino Linotype" w:hAnsi="Palatino Linotype" w:cs="Palatino Linotype"/>
          <w:i/>
          <w:color w:val="000000"/>
          <w:sz w:val="22"/>
          <w:szCs w:val="22"/>
        </w:rPr>
        <w:t xml:space="preserve"> ejecutada por la </w:t>
      </w:r>
      <w:proofErr w:type="spellStart"/>
      <w:r w:rsidRPr="000959FC">
        <w:rPr>
          <w:rFonts w:ascii="Palatino Linotype" w:eastAsia="Palatino Linotype" w:hAnsi="Palatino Linotype" w:cs="Palatino Linotype"/>
          <w:i/>
          <w:color w:val="000000"/>
          <w:sz w:val="22"/>
          <w:szCs w:val="22"/>
        </w:rPr>
        <w:t>admnistracion</w:t>
      </w:r>
      <w:proofErr w:type="spellEnd"/>
      <w:r w:rsidRPr="000959FC">
        <w:rPr>
          <w:rFonts w:ascii="Palatino Linotype" w:eastAsia="Palatino Linotype" w:hAnsi="Palatino Linotype" w:cs="Palatino Linotype"/>
          <w:i/>
          <w:color w:val="000000"/>
          <w:sz w:val="22"/>
          <w:szCs w:val="22"/>
        </w:rPr>
        <w:t xml:space="preserve"> 2022-2024”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00609/TEMAMATL/IP/2024 - 06820/INFOEM/IP/RR/2024:  </w:t>
      </w:r>
      <w:r w:rsidRPr="000959FC">
        <w:rPr>
          <w:rFonts w:ascii="Palatino Linotype" w:eastAsia="Palatino Linotype" w:hAnsi="Palatino Linotype" w:cs="Palatino Linotype"/>
          <w:i/>
          <w:color w:val="000000"/>
          <w:sz w:val="22"/>
          <w:szCs w:val="22"/>
        </w:rPr>
        <w:t>“SOLICITO TODOS LOS EXPEDIENTES DE LAS OBRAS REALIZADAS MEDIANTE RECURSOS PROPIOS, ASI COMO LA INFORMACION DE LAS ADECUACIONES REALIZADAS EN EL PRESUPUESTO DE EGRESOS AUTORIZADO EN LA FUENTE DE FINANCIAMIENTO DE RECURSOS PROPIOS, POR CONCEPTO DE AMPLIACIONES, REDUCCIONES Y TRANSFERENCIAS DE LOS AÑOS 2022, 2023 Y 2024”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00654/TEMAMATL/IP/2024 - 06824/INFOEM/IP/RR/2024:  </w:t>
      </w:r>
      <w:r w:rsidRPr="000959FC">
        <w:rPr>
          <w:rFonts w:ascii="Palatino Linotype" w:eastAsia="Palatino Linotype" w:hAnsi="Palatino Linotype" w:cs="Palatino Linotype"/>
          <w:i/>
          <w:color w:val="000000"/>
          <w:sz w:val="22"/>
          <w:szCs w:val="22"/>
        </w:rPr>
        <w:t>“SOLICITO EXPEDIENTE COMPLETO DE LA OBRA DENOMINADA CONSTRUCCION DE MODULOS DE PROTECCION CIVIL EN SAN JUAN TEMAMATLA, SANTIAGO ZULA Y LOS REYES ACATLIXHUAYAN EJECUTADA POR LA ADMINISTRACION 2022-2024 A TRAVES DE RECURSO FEFOM”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00655/TEMAMATL/IP/2024 - 06825/INFOEM/IP/RR/2024:  </w:t>
      </w:r>
      <w:r w:rsidRPr="000959FC">
        <w:rPr>
          <w:rFonts w:ascii="Palatino Linotype" w:eastAsia="Palatino Linotype" w:hAnsi="Palatino Linotype" w:cs="Palatino Linotype"/>
          <w:i/>
          <w:color w:val="000000"/>
          <w:sz w:val="22"/>
          <w:szCs w:val="22"/>
        </w:rPr>
        <w:t>“SOLICITO EXPEDIENTE COMPLETO DE LA OBRA DENOMINADA CONSTRUCCION DE CANCHA DE FUTBOL RAPIDO CON PASTO SINTETICO EN LA DELEGACION DE LOS REYES ACATLIXHUAYAN EJECUTADA POR LA ADMINISTRACION 2022-2024 A TRAVES DE RECURSO FEFOM”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00656/TEMAMATL/IP/2024 - 06826/INFOEM/IP/RR/2024:  </w:t>
      </w:r>
      <w:r w:rsidRPr="000959FC">
        <w:rPr>
          <w:rFonts w:ascii="Palatino Linotype" w:eastAsia="Palatino Linotype" w:hAnsi="Palatino Linotype" w:cs="Palatino Linotype"/>
          <w:i/>
          <w:color w:val="000000"/>
          <w:sz w:val="22"/>
          <w:szCs w:val="22"/>
        </w:rPr>
        <w:t>“SOLICITO EXPEDIENTE COMPLETO DE LA OBRA DENOMINADA PAVIMENTACION CON CONCRETO ASFALTICO, GUARNICIONES Y BANQUETAS EN CALLE SONORA EJECUTADA POR LA ADMINISTRACION 2022-2024 A TRAVES DE RECURSO FEFOM”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00657/TEMAMATL/IP/2024 - 06828/INFOEM/IP/RR/2024:  </w:t>
      </w:r>
      <w:r w:rsidRPr="000959FC">
        <w:rPr>
          <w:rFonts w:ascii="Palatino Linotype" w:eastAsia="Palatino Linotype" w:hAnsi="Palatino Linotype" w:cs="Palatino Linotype"/>
          <w:i/>
          <w:color w:val="000000"/>
          <w:sz w:val="22"/>
          <w:szCs w:val="22"/>
        </w:rPr>
        <w:t>“SOLICITO EXPEDIENTE COMPLETO DE LA OBRA DENOMINADA PAVIMENTACION CON CONCRETO ASFALTICO, GUARNICIONES Y BANQUETAS EN CALLE RIO SAN JUAN EJECUTADA POR LA ADMINISTRACION 2022-2024 A TRAVES DE RECURSO FEFOM” (Sic)</w:t>
      </w: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lastRenderedPageBreak/>
        <w:t xml:space="preserve">00658/TEMAMATL/IP/2024 - 06829/INFOEM/IP/RR/2024:  </w:t>
      </w:r>
      <w:r w:rsidRPr="000959FC">
        <w:rPr>
          <w:rFonts w:ascii="Palatino Linotype" w:eastAsia="Palatino Linotype" w:hAnsi="Palatino Linotype" w:cs="Palatino Linotype"/>
          <w:i/>
          <w:color w:val="000000"/>
          <w:sz w:val="22"/>
          <w:szCs w:val="22"/>
        </w:rPr>
        <w:t>“SOLICITO EXPEDIENTE COMPLETO DE LA OBRA DENOMINADA REMODELACION DEL AUDITORIO DELEGACION ZULA EJECUTADA POR LA ADMINISTRACION 2022-2024 A TRAVES DE RECURSO FEFOM” (Sic)</w:t>
      </w:r>
    </w:p>
    <w:p w:rsidR="003C1162" w:rsidRPr="000959FC" w:rsidRDefault="003C1162">
      <w:pPr>
        <w:pBdr>
          <w:top w:val="nil"/>
          <w:left w:val="nil"/>
          <w:bottom w:val="nil"/>
          <w:right w:val="nil"/>
          <w:between w:val="nil"/>
        </w:pBdr>
        <w:tabs>
          <w:tab w:val="left" w:pos="284"/>
        </w:tabs>
        <w:spacing w:line="360" w:lineRule="auto"/>
        <w:ind w:left="720" w:right="822"/>
        <w:jc w:val="both"/>
        <w:rPr>
          <w:rFonts w:ascii="Palatino Linotype" w:eastAsia="Palatino Linotype" w:hAnsi="Palatino Linotype" w:cs="Palatino Linotype"/>
          <w:b/>
          <w:color w:val="000000"/>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00659/TEMAMATL/IP/2024 - 06830/INFOEM/IP/RR/2024:  </w:t>
      </w:r>
      <w:r w:rsidRPr="000959FC">
        <w:rPr>
          <w:rFonts w:ascii="Palatino Linotype" w:eastAsia="Palatino Linotype" w:hAnsi="Palatino Linotype" w:cs="Palatino Linotype"/>
          <w:i/>
          <w:color w:val="000000"/>
          <w:sz w:val="22"/>
          <w:szCs w:val="22"/>
        </w:rPr>
        <w:t>“SOLICITO EXPEDIENTE COMPLETO DE LA OBRA DENOMINADA CONSTRUCCION ALBERGUE PARA CANINOS EN SITUACION DE CALLE EN SAN JUANTEMAMATLA EJECUTADA POR LA ADMINISTRACION 2022-2024 A TRAVES DE RECURSO FEFOM”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00660/TEMAMATL/IP/2024 - 06831/INFOEM/IP/RR/2024:  </w:t>
      </w:r>
      <w:r w:rsidRPr="000959FC">
        <w:rPr>
          <w:rFonts w:ascii="Palatino Linotype" w:eastAsia="Palatino Linotype" w:hAnsi="Palatino Linotype" w:cs="Palatino Linotype"/>
          <w:i/>
          <w:color w:val="000000"/>
          <w:sz w:val="22"/>
          <w:szCs w:val="22"/>
        </w:rPr>
        <w:t>“SOLICITO EXPEDIENTE COMPLETO DE LA OBRA DENOMINADA REHABILITACION DE BARDA PERIMETRAL DEL DEPORTIVO BICENTENARIO EN SAN JUAN TEMAMATLA EJECUTADA POR LA ADMINISTRACION 2022-2024 A TRAVES DE RECURSO FEFOM” (Sic)</w:t>
      </w:r>
    </w:p>
    <w:p w:rsidR="003C1162" w:rsidRPr="000959FC" w:rsidRDefault="003C1162">
      <w:pPr>
        <w:tabs>
          <w:tab w:val="left" w:pos="284"/>
        </w:tabs>
        <w:spacing w:line="360" w:lineRule="auto"/>
        <w:ind w:right="822"/>
        <w:jc w:val="both"/>
        <w:rPr>
          <w:rFonts w:ascii="Palatino Linotype" w:eastAsia="Palatino Linotype" w:hAnsi="Palatino Linotype" w:cs="Palatino Linotype"/>
          <w:b/>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00713/TEMAMATL/IP/2024 - 06845/INFOEM/IP/RR/2024:  </w:t>
      </w:r>
      <w:r w:rsidRPr="000959FC">
        <w:rPr>
          <w:rFonts w:ascii="Palatino Linotype" w:eastAsia="Palatino Linotype" w:hAnsi="Palatino Linotype" w:cs="Palatino Linotype"/>
          <w:i/>
          <w:color w:val="000000"/>
          <w:sz w:val="22"/>
          <w:szCs w:val="22"/>
        </w:rPr>
        <w:t>“SOLICITO EL EXPEDIENTE COMPLETO DE LA OBRA DENOMINADA AMPLIACION DE RED DE DRENAJE SANITARIO EN CALLE PROLONGACION TABASCO EJECUTADA POR LA ADMINISTRACION 2022-2024” (Sic)</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b/>
          <w:color w:val="000000"/>
          <w:sz w:val="22"/>
          <w:szCs w:val="22"/>
        </w:rPr>
      </w:pPr>
    </w:p>
    <w:p w:rsidR="003C1162" w:rsidRPr="000959FC" w:rsidRDefault="00F47EF3">
      <w:pPr>
        <w:numPr>
          <w:ilvl w:val="0"/>
          <w:numId w:val="14"/>
        </w:numPr>
        <w:pBdr>
          <w:top w:val="nil"/>
          <w:left w:val="nil"/>
          <w:bottom w:val="nil"/>
          <w:right w:val="nil"/>
          <w:between w:val="nil"/>
        </w:pBdr>
        <w:tabs>
          <w:tab w:val="left" w:pos="284"/>
        </w:tabs>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00714/TEMAMATL/IP/2024 - 06846/INFOEM/IP/RR/2024:  </w:t>
      </w:r>
      <w:r w:rsidRPr="000959FC">
        <w:rPr>
          <w:rFonts w:ascii="Palatino Linotype" w:eastAsia="Palatino Linotype" w:hAnsi="Palatino Linotype" w:cs="Palatino Linotype"/>
          <w:i/>
          <w:color w:val="000000"/>
          <w:sz w:val="22"/>
          <w:szCs w:val="22"/>
        </w:rPr>
        <w:t>“SOLCIITO EL EXPEDIENTE COMPLETO DE LA OBRA DENOMINADA AMPLIACION DE RED DE AGUA POTABLE EN CALLE PROLONGACION TABASCO, EJECUTADA POR LA ADMINISTRACION 2022-2024” (Sic)</w:t>
      </w:r>
    </w:p>
    <w:p w:rsidR="003C1162" w:rsidRPr="000959FC" w:rsidRDefault="003C1162">
      <w:pPr>
        <w:tabs>
          <w:tab w:val="left" w:pos="0"/>
        </w:tabs>
        <w:spacing w:line="360" w:lineRule="auto"/>
        <w:ind w:right="49"/>
        <w:jc w:val="both"/>
        <w:rPr>
          <w:rFonts w:ascii="Palatino Linotype" w:eastAsia="Palatino Linotype" w:hAnsi="Palatino Linotype" w:cs="Palatino Linotype"/>
          <w:i/>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color w:val="000000"/>
          <w:sz w:val="22"/>
          <w:szCs w:val="22"/>
        </w:rPr>
        <w:t>Se hace constar que se señaló como modalidad de entrega de la información a través de SAIMEX.</w:t>
      </w:r>
      <w:r w:rsidRPr="000959FC">
        <w:rPr>
          <w:rFonts w:ascii="Palatino Linotype" w:eastAsia="Palatino Linotype" w:hAnsi="Palatino Linotype" w:cs="Palatino Linotype"/>
          <w:b/>
          <w:color w:val="000000"/>
          <w:sz w:val="22"/>
          <w:szCs w:val="22"/>
        </w:rPr>
        <w:t xml:space="preserve">  </w:t>
      </w:r>
    </w:p>
    <w:p w:rsidR="003C1162" w:rsidRPr="000959FC" w:rsidRDefault="003C1162">
      <w:pPr>
        <w:tabs>
          <w:tab w:val="left" w:pos="0"/>
        </w:tabs>
        <w:spacing w:line="360" w:lineRule="auto"/>
        <w:ind w:right="34"/>
        <w:jc w:val="both"/>
        <w:rPr>
          <w:rFonts w:ascii="Palatino Linotype" w:eastAsia="Palatino Linotype" w:hAnsi="Palatino Linotype" w:cs="Palatino Linotype"/>
          <w:b/>
          <w:sz w:val="22"/>
          <w:szCs w:val="22"/>
        </w:rPr>
      </w:pPr>
    </w:p>
    <w:p w:rsidR="003C1162" w:rsidRPr="000959FC" w:rsidRDefault="00F47EF3">
      <w:pPr>
        <w:numPr>
          <w:ilvl w:val="0"/>
          <w:numId w:val="1"/>
        </w:numPr>
        <w:tabs>
          <w:tab w:val="left" w:pos="0"/>
        </w:tabs>
        <w:spacing w:line="360" w:lineRule="auto"/>
        <w:ind w:left="0" w:right="34" w:firstLine="0"/>
        <w:jc w:val="both"/>
        <w:rPr>
          <w:rFonts w:ascii="Palatino Linotype" w:eastAsia="Palatino Linotype" w:hAnsi="Palatino Linotype" w:cs="Palatino Linotype"/>
          <w:b/>
          <w:sz w:val="22"/>
          <w:szCs w:val="22"/>
        </w:rPr>
      </w:pPr>
      <w:r w:rsidRPr="000959FC">
        <w:rPr>
          <w:rFonts w:ascii="Palatino Linotype" w:eastAsia="Palatino Linotype" w:hAnsi="Palatino Linotype" w:cs="Palatino Linotype"/>
          <w:sz w:val="22"/>
          <w:szCs w:val="22"/>
        </w:rPr>
        <w:t>El siete (07), de octubre de dos mil veinticuatro, se realizó un requerimiento al servidor público habilitado</w:t>
      </w:r>
      <w:r w:rsidRPr="000959FC">
        <w:rPr>
          <w:rFonts w:ascii="Palatino Linotype" w:eastAsia="Palatino Linotype" w:hAnsi="Palatino Linotype" w:cs="Palatino Linotype"/>
          <w:b/>
          <w:sz w:val="22"/>
          <w:szCs w:val="22"/>
        </w:rPr>
        <w:t xml:space="preserve">. </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tabs>
          <w:tab w:val="left" w:pos="0"/>
        </w:tabs>
        <w:spacing w:line="360" w:lineRule="auto"/>
        <w:ind w:left="0" w:right="34" w:firstLine="0"/>
        <w:jc w:val="both"/>
        <w:rPr>
          <w:rFonts w:ascii="Palatino Linotype" w:eastAsia="Palatino Linotype" w:hAnsi="Palatino Linotype" w:cs="Palatino Linotype"/>
          <w:b/>
          <w:sz w:val="22"/>
          <w:szCs w:val="22"/>
        </w:rPr>
      </w:pPr>
      <w:bookmarkStart w:id="1" w:name="_heading=h.30j0zll" w:colFirst="0" w:colLast="0"/>
      <w:bookmarkEnd w:id="1"/>
      <w:r w:rsidRPr="000959FC">
        <w:rPr>
          <w:rFonts w:ascii="Palatino Linotype" w:eastAsia="Palatino Linotype" w:hAnsi="Palatino Linotype" w:cs="Palatino Linotype"/>
          <w:sz w:val="22"/>
          <w:szCs w:val="22"/>
        </w:rPr>
        <w:t xml:space="preserve">El veintidós (22), veinticinco (25) de octubre de dos mil veinticuatro, el </w:t>
      </w:r>
      <w:r w:rsidRPr="000959FC">
        <w:rPr>
          <w:rFonts w:ascii="Palatino Linotype" w:eastAsia="Palatino Linotype" w:hAnsi="Palatino Linotype" w:cs="Palatino Linotype"/>
          <w:b/>
          <w:sz w:val="22"/>
          <w:szCs w:val="22"/>
        </w:rPr>
        <w:t xml:space="preserve">SUJETO OBLIGADO </w:t>
      </w:r>
      <w:r w:rsidRPr="000959FC">
        <w:rPr>
          <w:rFonts w:ascii="Palatino Linotype" w:eastAsia="Palatino Linotype" w:hAnsi="Palatino Linotype" w:cs="Palatino Linotype"/>
          <w:sz w:val="22"/>
          <w:szCs w:val="22"/>
        </w:rPr>
        <w:t>dio respuesta a las solicitudes en el siguiente sentido:</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2"/>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Para todas las solicitudes respondió lo siguiente:</w:t>
      </w:r>
    </w:p>
    <w:p w:rsidR="003C1162" w:rsidRPr="000959FC" w:rsidRDefault="003C1162">
      <w:pPr>
        <w:pBdr>
          <w:top w:val="nil"/>
          <w:left w:val="nil"/>
          <w:bottom w:val="nil"/>
          <w:right w:val="nil"/>
          <w:between w:val="nil"/>
        </w:pBdr>
        <w:tabs>
          <w:tab w:val="left" w:pos="0"/>
        </w:tabs>
        <w:spacing w:line="360" w:lineRule="auto"/>
        <w:ind w:left="720" w:right="34"/>
        <w:jc w:val="both"/>
        <w:rPr>
          <w:rFonts w:ascii="Palatino Linotype" w:eastAsia="Palatino Linotype" w:hAnsi="Palatino Linotype" w:cs="Palatino Linotype"/>
          <w:b/>
          <w:color w:val="000000"/>
          <w:sz w:val="22"/>
          <w:szCs w:val="22"/>
        </w:rPr>
      </w:pPr>
    </w:p>
    <w:tbl>
      <w:tblPr>
        <w:tblStyle w:val="a"/>
        <w:tblW w:w="8047" w:type="dxa"/>
        <w:jc w:val="center"/>
        <w:tblInd w:w="0" w:type="dxa"/>
        <w:tblLayout w:type="fixed"/>
        <w:tblLook w:val="0400" w:firstRow="0" w:lastRow="0" w:firstColumn="0" w:lastColumn="0" w:noHBand="0" w:noVBand="1"/>
      </w:tblPr>
      <w:tblGrid>
        <w:gridCol w:w="8047"/>
      </w:tblGrid>
      <w:tr w:rsidR="003C1162" w:rsidRPr="000959FC">
        <w:trPr>
          <w:trHeight w:val="152"/>
          <w:jc w:val="center"/>
        </w:trPr>
        <w:tc>
          <w:tcPr>
            <w:tcW w:w="8047" w:type="dxa"/>
            <w:vAlign w:val="center"/>
          </w:tcPr>
          <w:p w:rsidR="003C1162" w:rsidRPr="000959FC" w:rsidRDefault="00F47EF3">
            <w:pPr>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3C1162" w:rsidRPr="000959FC">
        <w:trPr>
          <w:trHeight w:val="382"/>
          <w:jc w:val="center"/>
        </w:trPr>
        <w:tc>
          <w:tcPr>
            <w:tcW w:w="8047" w:type="dxa"/>
            <w:vAlign w:val="center"/>
          </w:tcPr>
          <w:p w:rsidR="003C1162" w:rsidRPr="000959FC" w:rsidRDefault="003C1162">
            <w:pPr>
              <w:jc w:val="both"/>
              <w:rPr>
                <w:rFonts w:ascii="Palatino Linotype" w:eastAsia="Palatino Linotype" w:hAnsi="Palatino Linotype" w:cs="Palatino Linotype"/>
                <w:i/>
                <w:sz w:val="22"/>
                <w:szCs w:val="22"/>
              </w:rPr>
            </w:pPr>
          </w:p>
        </w:tc>
      </w:tr>
      <w:tr w:rsidR="003C1162" w:rsidRPr="000959FC">
        <w:trPr>
          <w:trHeight w:val="152"/>
          <w:jc w:val="center"/>
        </w:trPr>
        <w:tc>
          <w:tcPr>
            <w:tcW w:w="8047" w:type="dxa"/>
            <w:vAlign w:val="center"/>
          </w:tcPr>
          <w:p w:rsidR="003C1162" w:rsidRPr="000959FC" w:rsidRDefault="00F47EF3">
            <w:pPr>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 xml:space="preserve">SOLICITANTE SEA ESTE EL MEDIO IDÓNEO PARA SALUDARLO Y A SU VEZ DAR CONTESTACIÓN A LA SOLICITUD EN CITA, CON FUNDAMENTO EN EL ARTICULO 6° DE LA CARTA MAGNA, 5° DE LA CONSTITUCIÓN LOCAL Y 4° DE LA LEY DE TRANSPARENCIA Y ACCESO A LA INFORMACIÓN PUBLICA DEL ESTADO DE MÉXICO Y MUNICIPIOS. SE DA CABAL CUMPLIMIENTO, OBSERVANDO LOS PRINCIPIOS DE CERTEZA, EFICIENCIA, IMPARCIALIDAD, INDEPENDENCIA. LEGALIDAD, MÁXIMA PUBLICIDAD, OBJETIVIDAD, PROFESIONALISMO Y TRANSPARENCIA. CABE PUNTUALIZAR QUE ESTE SUJETO OBLIGADO AYUNTAMIENTO DE TEMAMATLA, TIENE COMO PRINCIPAL OBJETIVO GARANTIZAR EL DERECHO DE ACCESO A LA INFORMACIÓN Y DARLE CERTEZA QUE LA RESPUESTA QUE SE ENTREGA ES CUIDANDO EN TODO MOMENTO LOS PRINCIPIOS DEL INFOEM Y LA PROTECCIÓN DE DATOS PERSONALES. ASÍ MISMO EN RELACIÓN AL NUMERAL 12. LTAIPEMYM QUIENES GENEREN, RECOPILEN, ADMINISTREN, MANEJEN, PROCESEN, ARCHIVEN O CONSERVEN INFORMACIÓN PÚBLICA SERÁN RESPONSABLES DE LA MISMA EN LOS TÉRMINOS DE LAS </w:t>
            </w:r>
            <w:r w:rsidRPr="000959FC">
              <w:rPr>
                <w:rFonts w:ascii="Palatino Linotype" w:eastAsia="Palatino Linotype" w:hAnsi="Palatino Linotype" w:cs="Palatino Linotype"/>
                <w:i/>
                <w:sz w:val="22"/>
                <w:szCs w:val="22"/>
              </w:rPr>
              <w:lastRenderedPageBreak/>
              <w:t>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ENTREGA LA INFORMACIÓN EN EL ESTADO EN QUE SE ENCUENTRA, REFORZANDO LO ANTERIORMENTE EXPRESADO EL NUMERAL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EN CASO QUE LA INFORMACIÓN SOLICITADA CONSISTA EN BASES DE DATOS SE DEBERÁ PRIVILEGIAR LA ENTREGA DE LA MISMA EN FORMATOS ABIERTOS. POR LO QUE SE DA CERTEZA QUE LA INFORMACION QUE SE ENTREGA, ES LA QUE OBRA EN LOS ARCHIVOS DE ESTE SUJETO OBLIGADO. RESPUESTA FUNDADA Y MOTIVADA EN EL CONTENIDO DEL OFICIO QUE SE ADJUNTA, DANDO RESPUESTA CLARA Y PRECISA DADA LA INDAGATORIA DEL SOLICITANTE. SIN OTRA PARTICULAR QUEDA A LA ORDEN ESTA UNIDAD DE TRANSPARENCIA DEL MUNICIPIO DE TEMAMATLA, CON DOMICILIO EN CALLE GUERRERO NO. 40, TEMAMATLA. PARA CUALQUIER DUDA O ACLARACIÓN. ATENTAMENTE TITULAR DE LA UNIDAD DE TRANSPARENCIA Y ACCESO A LA INFORMACIÓN PÚBLICA DEL MUNICIPIO DE TEMAMATLA, ESTADO DE MÉXICO</w:t>
            </w:r>
          </w:p>
        </w:tc>
      </w:tr>
      <w:tr w:rsidR="003C1162" w:rsidRPr="000959FC">
        <w:trPr>
          <w:trHeight w:val="382"/>
          <w:jc w:val="center"/>
        </w:trPr>
        <w:tc>
          <w:tcPr>
            <w:tcW w:w="8047" w:type="dxa"/>
            <w:vAlign w:val="center"/>
          </w:tcPr>
          <w:p w:rsidR="003C1162" w:rsidRPr="000959FC" w:rsidRDefault="003C1162">
            <w:pPr>
              <w:rPr>
                <w:rFonts w:ascii="Palatino Linotype" w:eastAsia="Palatino Linotype" w:hAnsi="Palatino Linotype" w:cs="Palatino Linotype"/>
                <w:i/>
                <w:sz w:val="22"/>
                <w:szCs w:val="22"/>
              </w:rPr>
            </w:pPr>
          </w:p>
        </w:tc>
      </w:tr>
      <w:tr w:rsidR="003C1162" w:rsidRPr="000959FC">
        <w:trPr>
          <w:trHeight w:val="152"/>
          <w:jc w:val="center"/>
        </w:trPr>
        <w:tc>
          <w:tcPr>
            <w:tcW w:w="8047" w:type="dxa"/>
            <w:vAlign w:val="center"/>
          </w:tcPr>
          <w:p w:rsidR="003C1162" w:rsidRPr="000959FC" w:rsidRDefault="003C1162">
            <w:pPr>
              <w:jc w:val="center"/>
              <w:rPr>
                <w:rFonts w:ascii="Palatino Linotype" w:eastAsia="Palatino Linotype" w:hAnsi="Palatino Linotype" w:cs="Palatino Linotype"/>
                <w:i/>
                <w:sz w:val="22"/>
                <w:szCs w:val="22"/>
              </w:rPr>
            </w:pPr>
          </w:p>
        </w:tc>
      </w:tr>
      <w:tr w:rsidR="003C1162" w:rsidRPr="000959FC">
        <w:trPr>
          <w:trHeight w:val="152"/>
          <w:jc w:val="center"/>
        </w:trPr>
        <w:tc>
          <w:tcPr>
            <w:tcW w:w="8047" w:type="dxa"/>
            <w:vAlign w:val="center"/>
          </w:tcPr>
          <w:p w:rsidR="003C1162" w:rsidRPr="000959FC" w:rsidRDefault="003C1162">
            <w:pPr>
              <w:rPr>
                <w:rFonts w:ascii="Palatino Linotype" w:eastAsia="Palatino Linotype" w:hAnsi="Palatino Linotype" w:cs="Palatino Linotype"/>
                <w:i/>
                <w:sz w:val="22"/>
                <w:szCs w:val="22"/>
              </w:rPr>
            </w:pPr>
          </w:p>
        </w:tc>
      </w:tr>
      <w:tr w:rsidR="003C1162" w:rsidRPr="000959FC">
        <w:trPr>
          <w:trHeight w:val="152"/>
          <w:jc w:val="center"/>
        </w:trPr>
        <w:tc>
          <w:tcPr>
            <w:tcW w:w="8047" w:type="dxa"/>
            <w:vAlign w:val="center"/>
          </w:tcPr>
          <w:p w:rsidR="003C1162" w:rsidRPr="000959FC" w:rsidRDefault="00F47EF3">
            <w:pPr>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ATENTAMENTE</w:t>
            </w:r>
          </w:p>
        </w:tc>
      </w:tr>
      <w:tr w:rsidR="003C1162" w:rsidRPr="000959FC">
        <w:trPr>
          <w:trHeight w:val="229"/>
          <w:jc w:val="center"/>
        </w:trPr>
        <w:tc>
          <w:tcPr>
            <w:tcW w:w="8047" w:type="dxa"/>
            <w:vAlign w:val="center"/>
          </w:tcPr>
          <w:p w:rsidR="003C1162" w:rsidRPr="000959FC" w:rsidRDefault="003C1162">
            <w:pPr>
              <w:rPr>
                <w:rFonts w:ascii="Palatino Linotype" w:eastAsia="Palatino Linotype" w:hAnsi="Palatino Linotype" w:cs="Palatino Linotype"/>
                <w:i/>
                <w:sz w:val="22"/>
                <w:szCs w:val="22"/>
              </w:rPr>
            </w:pPr>
          </w:p>
        </w:tc>
      </w:tr>
      <w:tr w:rsidR="003C1162" w:rsidRPr="000959FC">
        <w:trPr>
          <w:trHeight w:val="152"/>
          <w:jc w:val="center"/>
        </w:trPr>
        <w:tc>
          <w:tcPr>
            <w:tcW w:w="8047" w:type="dxa"/>
            <w:vAlign w:val="center"/>
          </w:tcPr>
          <w:p w:rsidR="003C1162" w:rsidRPr="000959FC" w:rsidRDefault="00F47EF3">
            <w:pPr>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 xml:space="preserve">Lic. Derecho Claudia </w:t>
            </w:r>
            <w:proofErr w:type="spellStart"/>
            <w:r w:rsidRPr="000959FC">
              <w:rPr>
                <w:rFonts w:ascii="Palatino Linotype" w:eastAsia="Palatino Linotype" w:hAnsi="Palatino Linotype" w:cs="Palatino Linotype"/>
                <w:i/>
                <w:sz w:val="22"/>
                <w:szCs w:val="22"/>
              </w:rPr>
              <w:t>Jimenéz</w:t>
            </w:r>
            <w:proofErr w:type="spellEnd"/>
            <w:r w:rsidRPr="000959FC">
              <w:rPr>
                <w:rFonts w:ascii="Palatino Linotype" w:eastAsia="Palatino Linotype" w:hAnsi="Palatino Linotype" w:cs="Palatino Linotype"/>
                <w:i/>
                <w:sz w:val="22"/>
                <w:szCs w:val="22"/>
              </w:rPr>
              <w:t xml:space="preserve"> Maldonado”</w:t>
            </w:r>
          </w:p>
        </w:tc>
      </w:tr>
    </w:tbl>
    <w:p w:rsidR="003C1162" w:rsidRPr="000959FC" w:rsidRDefault="003C1162">
      <w:pPr>
        <w:tabs>
          <w:tab w:val="left" w:pos="0"/>
        </w:tabs>
        <w:spacing w:line="360" w:lineRule="auto"/>
        <w:ind w:right="34"/>
        <w:jc w:val="both"/>
        <w:rPr>
          <w:rFonts w:ascii="Palatino Linotype" w:eastAsia="Palatino Linotype" w:hAnsi="Palatino Linotype" w:cs="Palatino Linotype"/>
          <w:sz w:val="22"/>
          <w:szCs w:val="22"/>
        </w:rPr>
      </w:pPr>
    </w:p>
    <w:p w:rsidR="003C1162" w:rsidRPr="000959FC" w:rsidRDefault="00F47EF3">
      <w:pPr>
        <w:numPr>
          <w:ilvl w:val="0"/>
          <w:numId w:val="2"/>
        </w:num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A cada respuesta adjuntaron los siguientes archivos:</w:t>
      </w:r>
    </w:p>
    <w:p w:rsidR="003C1162" w:rsidRPr="000959FC" w:rsidRDefault="003C1162">
      <w:pPr>
        <w:pBdr>
          <w:top w:val="nil"/>
          <w:left w:val="nil"/>
          <w:bottom w:val="nil"/>
          <w:right w:val="nil"/>
          <w:between w:val="nil"/>
        </w:pBdr>
        <w:tabs>
          <w:tab w:val="left" w:pos="0"/>
        </w:tabs>
        <w:spacing w:line="360" w:lineRule="auto"/>
        <w:ind w:left="720" w:right="34"/>
        <w:jc w:val="both"/>
        <w:rPr>
          <w:rFonts w:ascii="Palatino Linotype" w:eastAsia="Palatino Linotype" w:hAnsi="Palatino Linotype" w:cs="Palatino Linotype"/>
          <w:color w:val="000000"/>
          <w:sz w:val="22"/>
          <w:szCs w:val="22"/>
        </w:rPr>
      </w:pPr>
    </w:p>
    <w:tbl>
      <w:tblPr>
        <w:tblStyle w:val="a0"/>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114"/>
        <w:gridCol w:w="5714"/>
      </w:tblGrid>
      <w:tr w:rsidR="003C1162" w:rsidRPr="000959FC" w:rsidTr="003C1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color w:val="000000"/>
                <w:sz w:val="22"/>
                <w:szCs w:val="22"/>
              </w:rPr>
              <w:lastRenderedPageBreak/>
              <w:t>NÚMERO DE SOLICITUD Y DE RECURSO DE REVISIÓN.</w:t>
            </w: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color w:val="000000"/>
                <w:sz w:val="22"/>
                <w:szCs w:val="22"/>
              </w:rPr>
              <w:t>ARCHIVOS ADJUNTOS A LA RESPUESTA.</w:t>
            </w: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00508/TEMAMATL/IP/2024 - 06718/INFOEM/IP/RR/2024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3"/>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8">
              <w:r w:rsidR="00F47EF3" w:rsidRPr="000959FC">
                <w:rPr>
                  <w:rFonts w:ascii="Palatino Linotype" w:eastAsia="Palatino Linotype" w:hAnsi="Palatino Linotype" w:cs="Palatino Linotype"/>
                  <w:b/>
                  <w:sz w:val="22"/>
                  <w:szCs w:val="22"/>
                  <w:u w:val="single"/>
                </w:rPr>
                <w:t>SOLIC. 508.pdf</w:t>
              </w:r>
            </w:hyperlink>
            <w:r w:rsidR="00F47EF3" w:rsidRPr="000959FC">
              <w:rPr>
                <w:rFonts w:ascii="Palatino Linotype" w:eastAsia="Palatino Linotype" w:hAnsi="Palatino Linotype" w:cs="Palatino Linotype"/>
                <w:sz w:val="22"/>
                <w:szCs w:val="22"/>
              </w:rPr>
              <w:t xml:space="preserve">: oficio número DOP/348/2024 de fecha quince de octubre de dos mil veinticuatro, suscrito por el Director de Obras Públicas, en el que, de forma medular, solicita el cambio de modalidad a consulta directa porque la información consta de 1200 fojas. </w:t>
            </w:r>
          </w:p>
          <w:p w:rsidR="003C1162" w:rsidRPr="000959FC" w:rsidRDefault="00833A1B">
            <w:pPr>
              <w:numPr>
                <w:ilvl w:val="0"/>
                <w:numId w:val="3"/>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9">
              <w:r w:rsidR="00F47EF3" w:rsidRPr="000959FC">
                <w:rPr>
                  <w:rFonts w:ascii="Palatino Linotype" w:eastAsia="Palatino Linotype" w:hAnsi="Palatino Linotype" w:cs="Palatino Linotype"/>
                  <w:b/>
                  <w:sz w:val="22"/>
                  <w:szCs w:val="22"/>
                  <w:u w:val="single"/>
                </w:rPr>
                <w:t>ACTA 84.pdf</w:t>
              </w:r>
            </w:hyperlink>
            <w:r w:rsidR="00F47EF3" w:rsidRPr="000959FC">
              <w:rPr>
                <w:rFonts w:ascii="Palatino Linotype" w:eastAsia="Palatino Linotype" w:hAnsi="Palatino Linotype" w:cs="Palatino Linotype"/>
                <w:sz w:val="22"/>
                <w:szCs w:val="22"/>
              </w:rPr>
              <w:t xml:space="preserve">: acta correspondiente a la Octogésima Cuarta Sesión Ordinaria del Comité de Transparencia en el que se aprobó el cambio de modalidad a consulta directa. </w:t>
            </w:r>
          </w:p>
          <w:p w:rsidR="003C1162" w:rsidRPr="000959FC" w:rsidRDefault="003C116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00509/TEMAMATL/IP/2024 - 06719/INFOEM/IP/RR/2024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3"/>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10">
              <w:r w:rsidR="00F47EF3" w:rsidRPr="000959FC">
                <w:rPr>
                  <w:rFonts w:ascii="Palatino Linotype" w:eastAsia="Palatino Linotype" w:hAnsi="Palatino Linotype" w:cs="Palatino Linotype"/>
                  <w:b/>
                  <w:sz w:val="22"/>
                  <w:szCs w:val="22"/>
                  <w:u w:val="single"/>
                </w:rPr>
                <w:t>SOLIC. 509.pdf</w:t>
              </w:r>
            </w:hyperlink>
            <w:r w:rsidR="00F47EF3" w:rsidRPr="000959FC">
              <w:rPr>
                <w:rFonts w:ascii="Palatino Linotype" w:eastAsia="Palatino Linotype" w:hAnsi="Palatino Linotype" w:cs="Palatino Linotype"/>
                <w:sz w:val="22"/>
                <w:szCs w:val="22"/>
              </w:rPr>
              <w:t xml:space="preserve">: oficio número DOP/349/2024 de fecha quince de octubre de dos mil veinticuatro, suscrito por el Director de Obras Públicas, en el que, de forma medular, solicita el cambio de modalidad a consulta directa porque la información consta de 1200 fojas. </w:t>
            </w:r>
          </w:p>
          <w:p w:rsidR="003C1162" w:rsidRPr="000959FC" w:rsidRDefault="00833A1B">
            <w:pPr>
              <w:numPr>
                <w:ilvl w:val="0"/>
                <w:numId w:val="3"/>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11">
              <w:r w:rsidR="00F47EF3" w:rsidRPr="000959FC">
                <w:rPr>
                  <w:rFonts w:ascii="Palatino Linotype" w:eastAsia="Palatino Linotype" w:hAnsi="Palatino Linotype" w:cs="Palatino Linotype"/>
                  <w:b/>
                  <w:sz w:val="22"/>
                  <w:szCs w:val="22"/>
                  <w:u w:val="single"/>
                </w:rPr>
                <w:t>ACTA 84.pdf</w:t>
              </w:r>
            </w:hyperlink>
            <w:r w:rsidR="00F47EF3" w:rsidRPr="000959FC">
              <w:rPr>
                <w:rFonts w:ascii="Palatino Linotype" w:eastAsia="Palatino Linotype" w:hAnsi="Palatino Linotype" w:cs="Palatino Linotype"/>
                <w:sz w:val="22"/>
                <w:szCs w:val="22"/>
              </w:rPr>
              <w:t xml:space="preserve">: acta correspondiente a la Octogésima Cuarta Sesión Ordinaria del Comité de Transparencia en el que se aprobó el cambio de modalidad a consulta directa. </w:t>
            </w:r>
          </w:p>
          <w:p w:rsidR="003C1162" w:rsidRPr="000959FC" w:rsidRDefault="003C116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 00510/TEMAMATL/IP/2024 - 06720/INFOEM/IP/RR/2024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3"/>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12">
              <w:r w:rsidR="00F47EF3" w:rsidRPr="000959FC">
                <w:rPr>
                  <w:rFonts w:ascii="Palatino Linotype" w:eastAsia="Palatino Linotype" w:hAnsi="Palatino Linotype" w:cs="Palatino Linotype"/>
                  <w:b/>
                  <w:sz w:val="22"/>
                  <w:szCs w:val="22"/>
                  <w:u w:val="single"/>
                </w:rPr>
                <w:t>CUADROS DE4 CLASI9FICACIÓN 11-OCT.pdf</w:t>
              </w:r>
            </w:hyperlink>
            <w:r w:rsidR="00F47EF3" w:rsidRPr="000959FC">
              <w:rPr>
                <w:rFonts w:ascii="Palatino Linotype" w:eastAsia="Palatino Linotype" w:hAnsi="Palatino Linotype" w:cs="Palatino Linotype"/>
                <w:sz w:val="22"/>
                <w:szCs w:val="22"/>
                <w:u w:val="single"/>
              </w:rPr>
              <w:t>:</w:t>
            </w:r>
            <w:r w:rsidR="00F47EF3" w:rsidRPr="000959FC">
              <w:rPr>
                <w:rFonts w:ascii="Palatino Linotype" w:eastAsia="Palatino Linotype" w:hAnsi="Palatino Linotype" w:cs="Palatino Linotype"/>
                <w:sz w:val="22"/>
                <w:szCs w:val="22"/>
              </w:rPr>
              <w:t xml:space="preserve"> documento que consta de veinticinco fojas en el que se advierten diversos cuadros de clasificación. </w:t>
            </w:r>
          </w:p>
          <w:p w:rsidR="003C1162" w:rsidRPr="000959FC" w:rsidRDefault="00833A1B">
            <w:pPr>
              <w:numPr>
                <w:ilvl w:val="0"/>
                <w:numId w:val="3"/>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13">
              <w:r w:rsidR="00F47EF3" w:rsidRPr="000959FC">
                <w:rPr>
                  <w:rFonts w:ascii="Palatino Linotype" w:eastAsia="Palatino Linotype" w:hAnsi="Palatino Linotype" w:cs="Palatino Linotype"/>
                  <w:b/>
                  <w:sz w:val="22"/>
                  <w:szCs w:val="22"/>
                  <w:u w:val="single"/>
                </w:rPr>
                <w:t>SOLIC. 510</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xml:space="preserve">: oficio número DOP/332/2024 de fecha once de octubre de dos mil veinticuatro, suscrito por el Director de Obras Públicas, en el que, de forma medular, solicita el cambio de modalidad a consulta directa porque la información consta de 1200 fojas. </w:t>
            </w:r>
          </w:p>
          <w:p w:rsidR="003C1162" w:rsidRPr="000959FC" w:rsidRDefault="00833A1B">
            <w:pPr>
              <w:numPr>
                <w:ilvl w:val="0"/>
                <w:numId w:val="3"/>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14">
              <w:r w:rsidR="00F47EF3" w:rsidRPr="000959FC">
                <w:rPr>
                  <w:rFonts w:ascii="Palatino Linotype" w:eastAsia="Palatino Linotype" w:hAnsi="Palatino Linotype" w:cs="Palatino Linotype"/>
                  <w:b/>
                  <w:sz w:val="22"/>
                  <w:szCs w:val="22"/>
                  <w:u w:val="single"/>
                </w:rPr>
                <w:t>ACTA 84.pdf</w:t>
              </w:r>
            </w:hyperlink>
            <w:r w:rsidR="00F47EF3" w:rsidRPr="000959FC">
              <w:rPr>
                <w:rFonts w:ascii="Palatino Linotype" w:eastAsia="Palatino Linotype" w:hAnsi="Palatino Linotype" w:cs="Palatino Linotype"/>
                <w:sz w:val="22"/>
                <w:szCs w:val="22"/>
              </w:rPr>
              <w:t xml:space="preserve">: acta correspondiente a la Octogésima Cuarta Sesión Ordinaria del Comité de </w:t>
            </w:r>
            <w:r w:rsidR="00F47EF3" w:rsidRPr="000959FC">
              <w:rPr>
                <w:rFonts w:ascii="Palatino Linotype" w:eastAsia="Palatino Linotype" w:hAnsi="Palatino Linotype" w:cs="Palatino Linotype"/>
                <w:sz w:val="22"/>
                <w:szCs w:val="22"/>
              </w:rPr>
              <w:lastRenderedPageBreak/>
              <w:t xml:space="preserve">Transparencia en el que se aprobó el cambio de modalidad a consulta directa. </w:t>
            </w:r>
          </w:p>
          <w:p w:rsidR="003C1162" w:rsidRPr="000959FC" w:rsidRDefault="003C116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xml:space="preserve">• 00511/TEMAMATL/IP/2024 - 06721/INFOEM/IP/RR/2024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3"/>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15">
              <w:r w:rsidR="00F47EF3" w:rsidRPr="000959FC">
                <w:rPr>
                  <w:rFonts w:ascii="Palatino Linotype" w:eastAsia="Palatino Linotype" w:hAnsi="Palatino Linotype" w:cs="Palatino Linotype"/>
                  <w:b/>
                  <w:sz w:val="22"/>
                  <w:szCs w:val="22"/>
                  <w:u w:val="single"/>
                </w:rPr>
                <w:t>CUADROS DE4 CLASI9FICACIÓN 11-OCT.pdf</w:t>
              </w:r>
            </w:hyperlink>
            <w:r w:rsidR="00F47EF3" w:rsidRPr="000959FC">
              <w:rPr>
                <w:rFonts w:ascii="Palatino Linotype" w:eastAsia="Palatino Linotype" w:hAnsi="Palatino Linotype" w:cs="Palatino Linotype"/>
                <w:sz w:val="22"/>
                <w:szCs w:val="22"/>
                <w:u w:val="single"/>
              </w:rPr>
              <w:t>:</w:t>
            </w:r>
            <w:r w:rsidR="00F47EF3" w:rsidRPr="000959FC">
              <w:rPr>
                <w:rFonts w:ascii="Palatino Linotype" w:eastAsia="Palatino Linotype" w:hAnsi="Palatino Linotype" w:cs="Palatino Linotype"/>
                <w:sz w:val="22"/>
                <w:szCs w:val="22"/>
              </w:rPr>
              <w:t xml:space="preserve"> documento que consta de veinticinco fojas en el que se advierten diversos cuadros de clasificación. </w:t>
            </w:r>
          </w:p>
          <w:p w:rsidR="003C1162" w:rsidRPr="000959FC" w:rsidRDefault="00833A1B">
            <w:pPr>
              <w:numPr>
                <w:ilvl w:val="0"/>
                <w:numId w:val="3"/>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16">
              <w:r w:rsidR="00F47EF3" w:rsidRPr="000959FC">
                <w:rPr>
                  <w:rFonts w:ascii="Palatino Linotype" w:eastAsia="Palatino Linotype" w:hAnsi="Palatino Linotype" w:cs="Palatino Linotype"/>
                  <w:b/>
                  <w:sz w:val="22"/>
                  <w:szCs w:val="22"/>
                  <w:u w:val="single"/>
                </w:rPr>
                <w:t>SOLIC. 511</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xml:space="preserve">: oficio número DOP/332/2024 de fecha once de octubre de dos mil veinticuatro, suscrito por el Director de Obras Públicas, en el que, de forma medular, solicita el cambio de modalidad a consulta directa porque la información consta de 1200 fojas. </w:t>
            </w:r>
          </w:p>
          <w:p w:rsidR="003C1162" w:rsidRPr="000959FC" w:rsidRDefault="00833A1B">
            <w:pPr>
              <w:numPr>
                <w:ilvl w:val="0"/>
                <w:numId w:val="3"/>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17">
              <w:r w:rsidR="00F47EF3" w:rsidRPr="000959FC">
                <w:rPr>
                  <w:rFonts w:ascii="Palatino Linotype" w:eastAsia="Palatino Linotype" w:hAnsi="Palatino Linotype" w:cs="Palatino Linotype"/>
                  <w:b/>
                  <w:sz w:val="22"/>
                  <w:szCs w:val="22"/>
                  <w:u w:val="single"/>
                </w:rPr>
                <w:t>ACTA 84.pdf</w:t>
              </w:r>
            </w:hyperlink>
            <w:r w:rsidR="00F47EF3" w:rsidRPr="000959FC">
              <w:rPr>
                <w:rFonts w:ascii="Palatino Linotype" w:eastAsia="Palatino Linotype" w:hAnsi="Palatino Linotype" w:cs="Palatino Linotype"/>
                <w:sz w:val="22"/>
                <w:szCs w:val="22"/>
              </w:rPr>
              <w:t>: acta correspondiente a la Octogésima Cuarta Sesión Ordinaria del Comité de Transparencia en el que se aprobó el cambio de modalidad a consulta directa.</w:t>
            </w:r>
          </w:p>
          <w:p w:rsidR="003C1162" w:rsidRPr="000959FC" w:rsidRDefault="003C1162">
            <w:pPr>
              <w:pBdr>
                <w:top w:val="nil"/>
                <w:left w:val="nil"/>
                <w:bottom w:val="nil"/>
                <w:right w:val="nil"/>
                <w:between w:val="nil"/>
              </w:pBdr>
              <w:ind w:left="720"/>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p w:rsidR="003C1162" w:rsidRPr="000959FC" w:rsidRDefault="003C1162">
            <w:pPr>
              <w:pBdr>
                <w:top w:val="nil"/>
                <w:left w:val="nil"/>
                <w:bottom w:val="nil"/>
                <w:right w:val="nil"/>
                <w:between w:val="nil"/>
              </w:pBd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 00512/TEMAMATL/IP/2024 - 06722/INFOEM/IP/RR/2024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3"/>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18">
              <w:r w:rsidR="00F47EF3" w:rsidRPr="000959FC">
                <w:rPr>
                  <w:rFonts w:ascii="Palatino Linotype" w:eastAsia="Palatino Linotype" w:hAnsi="Palatino Linotype" w:cs="Palatino Linotype"/>
                  <w:b/>
                  <w:sz w:val="22"/>
                  <w:szCs w:val="22"/>
                  <w:u w:val="single"/>
                </w:rPr>
                <w:t>SOLIC. 512</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xml:space="preserve">: oficio número DOP/334/2024 de fecha once de octubre de dos mil veinticuatro, suscrito por el Director de Obras Públicas, en el que, de forma medular, solicita el cambio de modalidad a consulta directa porque la información consta de 1200 fojas. </w:t>
            </w:r>
          </w:p>
          <w:p w:rsidR="003C1162" w:rsidRPr="000959FC" w:rsidRDefault="00833A1B">
            <w:pPr>
              <w:numPr>
                <w:ilvl w:val="0"/>
                <w:numId w:val="3"/>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19">
              <w:r w:rsidR="00F47EF3" w:rsidRPr="000959FC">
                <w:rPr>
                  <w:rFonts w:ascii="Palatino Linotype" w:eastAsia="Palatino Linotype" w:hAnsi="Palatino Linotype" w:cs="Palatino Linotype"/>
                  <w:b/>
                  <w:sz w:val="22"/>
                  <w:szCs w:val="22"/>
                  <w:u w:val="single"/>
                </w:rPr>
                <w:t>CUADROS DE CLASIFICACIÓN 11-OCT.pdf</w:t>
              </w:r>
            </w:hyperlink>
            <w:r w:rsidR="00F47EF3" w:rsidRPr="000959FC">
              <w:rPr>
                <w:rFonts w:ascii="Palatino Linotype" w:eastAsia="Palatino Linotype" w:hAnsi="Palatino Linotype" w:cs="Palatino Linotype"/>
                <w:sz w:val="22"/>
                <w:szCs w:val="22"/>
                <w:u w:val="single"/>
              </w:rPr>
              <w:t>:</w:t>
            </w:r>
            <w:r w:rsidR="00F47EF3" w:rsidRPr="000959FC">
              <w:rPr>
                <w:rFonts w:ascii="Palatino Linotype" w:eastAsia="Palatino Linotype" w:hAnsi="Palatino Linotype" w:cs="Palatino Linotype"/>
                <w:sz w:val="22"/>
                <w:szCs w:val="22"/>
              </w:rPr>
              <w:t xml:space="preserve"> documento que consta de veinticinco fojas en el que se advierten diversos cuadros de clasificación. </w:t>
            </w:r>
          </w:p>
          <w:p w:rsidR="003C1162" w:rsidRPr="000959FC" w:rsidRDefault="00833A1B">
            <w:pPr>
              <w:numPr>
                <w:ilvl w:val="0"/>
                <w:numId w:val="3"/>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20">
              <w:r w:rsidR="00F47EF3" w:rsidRPr="000959FC">
                <w:rPr>
                  <w:rFonts w:ascii="Palatino Linotype" w:eastAsia="Palatino Linotype" w:hAnsi="Palatino Linotype" w:cs="Palatino Linotype"/>
                  <w:b/>
                  <w:sz w:val="22"/>
                  <w:szCs w:val="22"/>
                  <w:u w:val="single"/>
                </w:rPr>
                <w:t>ACTA 84.pdf</w:t>
              </w:r>
            </w:hyperlink>
            <w:r w:rsidR="00F47EF3" w:rsidRPr="000959FC">
              <w:rPr>
                <w:rFonts w:ascii="Palatino Linotype" w:eastAsia="Palatino Linotype" w:hAnsi="Palatino Linotype" w:cs="Palatino Linotype"/>
                <w:sz w:val="22"/>
                <w:szCs w:val="22"/>
              </w:rPr>
              <w:t>: acta correspondiente a la Octogésima Cuarta Sesión Ordinaria del Comité de Transparencia en el que se aprobó el cambio de modalidad a consulta directa.</w:t>
            </w:r>
          </w:p>
          <w:p w:rsidR="003C1162" w:rsidRPr="000959FC" w:rsidRDefault="003C1162">
            <w:pPr>
              <w:pBdr>
                <w:top w:val="nil"/>
                <w:left w:val="nil"/>
                <w:bottom w:val="nil"/>
                <w:right w:val="nil"/>
                <w:between w:val="nil"/>
              </w:pBd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 00513/TEMAMATL/IP/2024 - 06723/INFOEM/IP/RR/2024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3"/>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21">
              <w:r w:rsidR="00F47EF3" w:rsidRPr="000959FC">
                <w:rPr>
                  <w:rFonts w:ascii="Palatino Linotype" w:eastAsia="Palatino Linotype" w:hAnsi="Palatino Linotype" w:cs="Palatino Linotype"/>
                  <w:b/>
                  <w:sz w:val="22"/>
                  <w:szCs w:val="22"/>
                  <w:u w:val="single"/>
                </w:rPr>
                <w:t>CUADROS DE CLASIFICACIÓN 11-OCT.pdf</w:t>
              </w:r>
            </w:hyperlink>
            <w:r w:rsidR="00F47EF3" w:rsidRPr="000959FC">
              <w:rPr>
                <w:rFonts w:ascii="Palatino Linotype" w:eastAsia="Palatino Linotype" w:hAnsi="Palatino Linotype" w:cs="Palatino Linotype"/>
                <w:sz w:val="22"/>
                <w:szCs w:val="22"/>
                <w:u w:val="single"/>
              </w:rPr>
              <w:t>:</w:t>
            </w:r>
            <w:r w:rsidR="00F47EF3" w:rsidRPr="000959FC">
              <w:rPr>
                <w:rFonts w:ascii="Palatino Linotype" w:eastAsia="Palatino Linotype" w:hAnsi="Palatino Linotype" w:cs="Palatino Linotype"/>
                <w:sz w:val="22"/>
                <w:szCs w:val="22"/>
              </w:rPr>
              <w:t xml:space="preserve"> documento que consta de veinticinco fojas en el que se advierten diversos cuadros de clasificación. </w:t>
            </w:r>
          </w:p>
          <w:p w:rsidR="003C1162" w:rsidRPr="000959FC" w:rsidRDefault="00833A1B">
            <w:pPr>
              <w:numPr>
                <w:ilvl w:val="0"/>
                <w:numId w:val="3"/>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22">
              <w:r w:rsidR="00F47EF3" w:rsidRPr="000959FC">
                <w:rPr>
                  <w:rFonts w:ascii="Palatino Linotype" w:eastAsia="Palatino Linotype" w:hAnsi="Palatino Linotype" w:cs="Palatino Linotype"/>
                  <w:b/>
                  <w:sz w:val="22"/>
                  <w:szCs w:val="22"/>
                  <w:u w:val="single"/>
                </w:rPr>
                <w:t>SOLIC. 513</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xml:space="preserve">: oficio número DOP/335/2024 de fecha once de octubre de dos mil veinticuatro, suscrito por el Director de Obras Públicas, en el que, de forma </w:t>
            </w:r>
            <w:r w:rsidR="00F47EF3" w:rsidRPr="000959FC">
              <w:rPr>
                <w:rFonts w:ascii="Palatino Linotype" w:eastAsia="Palatino Linotype" w:hAnsi="Palatino Linotype" w:cs="Palatino Linotype"/>
                <w:sz w:val="22"/>
                <w:szCs w:val="22"/>
              </w:rPr>
              <w:lastRenderedPageBreak/>
              <w:t xml:space="preserve">medular, solicita el cambio de modalidad a consulta directa porque la información consta de 900 fojas. </w:t>
            </w:r>
          </w:p>
          <w:p w:rsidR="003C1162" w:rsidRPr="000959FC" w:rsidRDefault="00833A1B">
            <w:pPr>
              <w:numPr>
                <w:ilvl w:val="0"/>
                <w:numId w:val="3"/>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23">
              <w:r w:rsidR="00F47EF3" w:rsidRPr="000959FC">
                <w:rPr>
                  <w:rFonts w:ascii="Palatino Linotype" w:eastAsia="Palatino Linotype" w:hAnsi="Palatino Linotype" w:cs="Palatino Linotype"/>
                  <w:b/>
                  <w:sz w:val="22"/>
                  <w:szCs w:val="22"/>
                  <w:u w:val="single"/>
                </w:rPr>
                <w:t>ACTA 84.pdf</w:t>
              </w:r>
            </w:hyperlink>
            <w:r w:rsidR="00F47EF3" w:rsidRPr="000959FC">
              <w:rPr>
                <w:rFonts w:ascii="Palatino Linotype" w:eastAsia="Palatino Linotype" w:hAnsi="Palatino Linotype" w:cs="Palatino Linotype"/>
                <w:sz w:val="22"/>
                <w:szCs w:val="22"/>
              </w:rPr>
              <w:t>: acta correspondiente a la Octogésima Cuarta Sesión Ordinaria del Comité de Transparencia en el que se aprobó el cambio de modalidad a consulta directa.</w:t>
            </w:r>
          </w:p>
          <w:p w:rsidR="003C1162" w:rsidRPr="000959FC" w:rsidRDefault="003C116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xml:space="preserve">• 00556/TEMAMATL/IP/2024 - 06744/INFOEM/IP/RR/2024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3"/>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24">
              <w:r w:rsidR="00F47EF3" w:rsidRPr="000959FC">
                <w:rPr>
                  <w:rFonts w:ascii="Palatino Linotype" w:eastAsia="Palatino Linotype" w:hAnsi="Palatino Linotype" w:cs="Palatino Linotype"/>
                  <w:b/>
                  <w:sz w:val="22"/>
                  <w:szCs w:val="22"/>
                  <w:u w:val="single"/>
                </w:rPr>
                <w:t>CUADROS DE CLASIFICACIÓN 11-OCT.pdf</w:t>
              </w:r>
            </w:hyperlink>
            <w:r w:rsidR="00F47EF3" w:rsidRPr="000959FC">
              <w:rPr>
                <w:rFonts w:ascii="Palatino Linotype" w:eastAsia="Palatino Linotype" w:hAnsi="Palatino Linotype" w:cs="Palatino Linotype"/>
                <w:sz w:val="22"/>
                <w:szCs w:val="22"/>
                <w:u w:val="single"/>
              </w:rPr>
              <w:t>:</w:t>
            </w:r>
            <w:r w:rsidR="00F47EF3" w:rsidRPr="000959FC">
              <w:rPr>
                <w:rFonts w:ascii="Palatino Linotype" w:eastAsia="Palatino Linotype" w:hAnsi="Palatino Linotype" w:cs="Palatino Linotype"/>
                <w:sz w:val="22"/>
                <w:szCs w:val="22"/>
              </w:rPr>
              <w:t xml:space="preserve"> documento que consta de veinticinco fojas en el que se advierten diversos cuadros de clasificación. </w:t>
            </w:r>
          </w:p>
          <w:p w:rsidR="003C1162" w:rsidRPr="000959FC" w:rsidRDefault="00833A1B">
            <w:pPr>
              <w:numPr>
                <w:ilvl w:val="0"/>
                <w:numId w:val="3"/>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25">
              <w:r w:rsidR="00F47EF3" w:rsidRPr="000959FC">
                <w:rPr>
                  <w:rFonts w:ascii="Palatino Linotype" w:eastAsia="Palatino Linotype" w:hAnsi="Palatino Linotype" w:cs="Palatino Linotype"/>
                  <w:b/>
                  <w:sz w:val="22"/>
                  <w:szCs w:val="22"/>
                  <w:u w:val="single"/>
                </w:rPr>
                <w:t>SOLIC. 556</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xml:space="preserve">: oficio número DOP/338/2024 de fecha once de octubre de dos mil veinticuatro, suscrito por el Director de Obras Públicas, en el que, de forma medular, solicita el cambio de modalidad a consulta directa porque la información consta de 1250 fojas. </w:t>
            </w:r>
          </w:p>
          <w:p w:rsidR="003C1162" w:rsidRPr="000959FC" w:rsidRDefault="00833A1B">
            <w:pPr>
              <w:numPr>
                <w:ilvl w:val="0"/>
                <w:numId w:val="3"/>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26">
              <w:r w:rsidR="00F47EF3" w:rsidRPr="000959FC">
                <w:rPr>
                  <w:rFonts w:ascii="Palatino Linotype" w:eastAsia="Palatino Linotype" w:hAnsi="Palatino Linotype" w:cs="Palatino Linotype"/>
                  <w:b/>
                  <w:sz w:val="22"/>
                  <w:szCs w:val="22"/>
                  <w:u w:val="single"/>
                </w:rPr>
                <w:t>ACTA 84.pdf</w:t>
              </w:r>
            </w:hyperlink>
            <w:r w:rsidR="00F47EF3" w:rsidRPr="000959FC">
              <w:rPr>
                <w:rFonts w:ascii="Palatino Linotype" w:eastAsia="Palatino Linotype" w:hAnsi="Palatino Linotype" w:cs="Palatino Linotype"/>
                <w:sz w:val="22"/>
                <w:szCs w:val="22"/>
              </w:rPr>
              <w:t>: acta correspondiente a la Octogésima Cuarta Sesión Ordinaria del Comité de Transparencia en el que se aprobó el cambio de modalidad a consulta directa.</w:t>
            </w:r>
          </w:p>
          <w:p w:rsidR="003C1162" w:rsidRPr="000959FC" w:rsidRDefault="003C1162">
            <w:pPr>
              <w:pBdr>
                <w:top w:val="nil"/>
                <w:left w:val="nil"/>
                <w:bottom w:val="nil"/>
                <w:right w:val="nil"/>
                <w:between w:val="nil"/>
              </w:pBd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 00557/TEMAMATL/IP/2024 - 06745/INFOEM/IP/RR/2024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27">
              <w:r w:rsidR="00F47EF3" w:rsidRPr="000959FC">
                <w:rPr>
                  <w:rFonts w:ascii="Palatino Linotype" w:eastAsia="Palatino Linotype" w:hAnsi="Palatino Linotype" w:cs="Palatino Linotype"/>
                  <w:b/>
                  <w:sz w:val="22"/>
                  <w:szCs w:val="22"/>
                  <w:u w:val="single"/>
                </w:rPr>
                <w:t>SOLICITUD SMDIF 00557 .</w:t>
              </w:r>
              <w:proofErr w:type="spellStart"/>
              <w:r w:rsidR="00F47EF3" w:rsidRPr="000959FC">
                <w:rPr>
                  <w:rFonts w:ascii="Palatino Linotype" w:eastAsia="Palatino Linotype" w:hAnsi="Palatino Linotype" w:cs="Palatino Linotype"/>
                  <w:b/>
                  <w:sz w:val="22"/>
                  <w:szCs w:val="22"/>
                  <w:u w:val="single"/>
                </w:rPr>
                <w:t>pdf</w:t>
              </w:r>
              <w:proofErr w:type="spellEnd"/>
            </w:hyperlink>
            <w:r w:rsidR="00F47EF3" w:rsidRPr="000959FC">
              <w:rPr>
                <w:rFonts w:ascii="Palatino Linotype" w:eastAsia="Palatino Linotype" w:hAnsi="Palatino Linotype" w:cs="Palatino Linotype"/>
                <w:sz w:val="22"/>
                <w:szCs w:val="22"/>
              </w:rPr>
              <w:t xml:space="preserve">: Oficio SMDIF/DIRE/256/2024de fecha diecinueve de octubre de dos mil veinticuatro, suscrito por la Directora del Sistema Municipal DIF en el que señaló que no cuenta con los solicitado por no haber realizado la gestión, como tampoco el recurso. </w:t>
            </w:r>
          </w:p>
          <w:p w:rsidR="003C1162" w:rsidRPr="000959FC" w:rsidRDefault="003C116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00572/TEMAMATL/IP/2024 - 06764/INFOEM/IP/RR/2024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28">
              <w:r w:rsidR="00F47EF3" w:rsidRPr="000959FC">
                <w:rPr>
                  <w:rFonts w:ascii="Palatino Linotype" w:eastAsia="Palatino Linotype" w:hAnsi="Palatino Linotype" w:cs="Palatino Linotype"/>
                  <w:b/>
                  <w:sz w:val="22"/>
                  <w:szCs w:val="22"/>
                  <w:u w:val="single"/>
                </w:rPr>
                <w:t>SOLIC. 572</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xml:space="preserve">: Oficio número DOP/339/2024 de fecha </w:t>
            </w:r>
            <w:proofErr w:type="spellStart"/>
            <w:r w:rsidR="00F47EF3" w:rsidRPr="000959FC">
              <w:rPr>
                <w:rFonts w:ascii="Palatino Linotype" w:eastAsia="Palatino Linotype" w:hAnsi="Palatino Linotype" w:cs="Palatino Linotype"/>
                <w:sz w:val="22"/>
                <w:szCs w:val="22"/>
              </w:rPr>
              <w:t>oncve</w:t>
            </w:r>
            <w:proofErr w:type="spellEnd"/>
            <w:r w:rsidR="00F47EF3" w:rsidRPr="000959FC">
              <w:rPr>
                <w:rFonts w:ascii="Palatino Linotype" w:eastAsia="Palatino Linotype" w:hAnsi="Palatino Linotype" w:cs="Palatino Linotype"/>
                <w:sz w:val="22"/>
                <w:szCs w:val="22"/>
              </w:rPr>
              <w:t xml:space="preserve"> de octubre de dos mil veinticuatro, suscrito por el Director de Obras Públicas, en el que señaló que el expediente solicitado se encuentra en proceso de integración. </w:t>
            </w:r>
          </w:p>
          <w:p w:rsidR="003C1162" w:rsidRPr="000959FC" w:rsidRDefault="003C116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 00646/TEMAMATL/IP/2024 - 06794/INFOEM/IP/RR/2024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29">
              <w:r w:rsidR="00F47EF3" w:rsidRPr="000959FC">
                <w:rPr>
                  <w:rFonts w:ascii="Palatino Linotype" w:eastAsia="Palatino Linotype" w:hAnsi="Palatino Linotype" w:cs="Palatino Linotype"/>
                  <w:b/>
                  <w:sz w:val="22"/>
                  <w:szCs w:val="22"/>
                  <w:u w:val="single"/>
                </w:rPr>
                <w:t>SOLIC. 646</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xml:space="preserve">: oficio número DOP/376/2024 de fecha veintiuno de octubre de dos mil veinticuatro, suscrito por el Director de Obras Públicas, en el que, de forma medular, solicita el cambio de modalidad a </w:t>
            </w:r>
            <w:r w:rsidR="00F47EF3" w:rsidRPr="000959FC">
              <w:rPr>
                <w:rFonts w:ascii="Palatino Linotype" w:eastAsia="Palatino Linotype" w:hAnsi="Palatino Linotype" w:cs="Palatino Linotype"/>
                <w:sz w:val="22"/>
                <w:szCs w:val="22"/>
              </w:rPr>
              <w:lastRenderedPageBreak/>
              <w:t>consulta directa porque la información consta de 1250 fojas.</w:t>
            </w:r>
          </w:p>
          <w:p w:rsidR="003C1162" w:rsidRPr="000959FC" w:rsidRDefault="003C1162">
            <w:pPr>
              <w:pBdr>
                <w:top w:val="nil"/>
                <w:left w:val="nil"/>
                <w:bottom w:val="nil"/>
                <w:right w:val="nil"/>
                <w:between w:val="nil"/>
              </w:pBd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p w:rsidR="003C1162" w:rsidRPr="000959FC" w:rsidRDefault="00833A1B">
            <w:pPr>
              <w:numPr>
                <w:ilvl w:val="0"/>
                <w:numId w:val="4"/>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30">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p w:rsidR="003C1162" w:rsidRPr="000959FC" w:rsidRDefault="00833A1B">
            <w:pPr>
              <w:numPr>
                <w:ilvl w:val="0"/>
                <w:numId w:val="4"/>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31">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xml:space="preserve">• 00645/TEMAMATL/IP/2024 - 06795/INFOEM/IP/RR/2024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3C1162">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p w:rsidR="003C1162" w:rsidRPr="000959FC" w:rsidRDefault="00833A1B">
            <w:pPr>
              <w:numPr>
                <w:ilvl w:val="0"/>
                <w:numId w:val="4"/>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32">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33">
              <w:r w:rsidR="00F47EF3" w:rsidRPr="000959FC">
                <w:rPr>
                  <w:rFonts w:ascii="Palatino Linotype" w:eastAsia="Palatino Linotype" w:hAnsi="Palatino Linotype" w:cs="Palatino Linotype"/>
                  <w:b/>
                  <w:sz w:val="22"/>
                  <w:szCs w:val="22"/>
                  <w:u w:val="single"/>
                </w:rPr>
                <w:t>SOLIC. 645</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DOP/370/2024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34">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00644/TEMAMATL/IP/2024 - 06796/INFOEM/IP/RR/2024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35">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36">
              <w:r w:rsidR="00F47EF3" w:rsidRPr="000959FC">
                <w:rPr>
                  <w:rFonts w:ascii="Palatino Linotype" w:eastAsia="Palatino Linotype" w:hAnsi="Palatino Linotype" w:cs="Palatino Linotype"/>
                  <w:b/>
                  <w:sz w:val="22"/>
                  <w:szCs w:val="22"/>
                  <w:u w:val="single"/>
                </w:rPr>
                <w:t>SOLIC. 644</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DOP/375/2024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37">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pBdr>
                <w:top w:val="nil"/>
                <w:left w:val="nil"/>
                <w:bottom w:val="nil"/>
                <w:right w:val="nil"/>
                <w:between w:val="nil"/>
              </w:pBdr>
              <w:ind w:left="72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00643/TEMAMATL/IP/2024 - 06797/INFOEM/IP/RR/2024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38">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39">
              <w:r w:rsidR="00F47EF3" w:rsidRPr="000959FC">
                <w:rPr>
                  <w:rFonts w:ascii="Palatino Linotype" w:eastAsia="Palatino Linotype" w:hAnsi="Palatino Linotype" w:cs="Palatino Linotype"/>
                  <w:b/>
                  <w:sz w:val="22"/>
                  <w:szCs w:val="22"/>
                  <w:u w:val="single"/>
                </w:rPr>
                <w:t>SOLIC. 643</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DOP/380/2024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40">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00642/TEMAMATL/IP/2024 - 06798/INFOEM/IP/RR/2024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41">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42">
              <w:r w:rsidR="00F47EF3" w:rsidRPr="000959FC">
                <w:rPr>
                  <w:rFonts w:ascii="Palatino Linotype" w:eastAsia="Palatino Linotype" w:hAnsi="Palatino Linotype" w:cs="Palatino Linotype"/>
                  <w:b/>
                  <w:sz w:val="22"/>
                  <w:szCs w:val="22"/>
                  <w:u w:val="single"/>
                </w:rPr>
                <w:t>SOLIC. 642</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DOP/379/2024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43">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00641/TEMAMATL/IP/2024 - 06799/INFOEM/IP/RR/2024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44">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45">
              <w:r w:rsidR="00F47EF3" w:rsidRPr="000959FC">
                <w:rPr>
                  <w:rFonts w:ascii="Palatino Linotype" w:eastAsia="Palatino Linotype" w:hAnsi="Palatino Linotype" w:cs="Palatino Linotype"/>
                  <w:b/>
                  <w:sz w:val="22"/>
                  <w:szCs w:val="22"/>
                  <w:u w:val="single"/>
                </w:rPr>
                <w:t>SOLIC. 641</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DOP/378/2024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46">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xml:space="preserve">: acta correspondiente a la Octogésima Quinta Sesión Ordinaria del Comité de </w:t>
            </w:r>
            <w:r w:rsidR="00F47EF3" w:rsidRPr="000959FC">
              <w:rPr>
                <w:rFonts w:ascii="Palatino Linotype" w:eastAsia="Palatino Linotype" w:hAnsi="Palatino Linotype" w:cs="Palatino Linotype"/>
                <w:sz w:val="22"/>
                <w:szCs w:val="22"/>
              </w:rPr>
              <w:lastRenderedPageBreak/>
              <w:t>Transparencia en el que se aprobó el cambio de modalidad a consulta directa.</w:t>
            </w:r>
          </w:p>
          <w:p w:rsidR="003C1162" w:rsidRPr="000959FC" w:rsidRDefault="003C1162">
            <w:pP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00640/TEMAMATL/IP/2024 - 06800/INFOEM/IP/RR/2024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47">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48">
              <w:r w:rsidR="00F47EF3" w:rsidRPr="000959FC">
                <w:rPr>
                  <w:rFonts w:ascii="Palatino Linotype" w:eastAsia="Palatino Linotype" w:hAnsi="Palatino Linotype" w:cs="Palatino Linotype"/>
                  <w:b/>
                  <w:sz w:val="22"/>
                  <w:szCs w:val="22"/>
                  <w:u w:val="single"/>
                </w:rPr>
                <w:t>SOLIC. 640</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DOP/377/2024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49">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00639/TEMAMATL/IP/2024 - 06801/INFOEM/IP/RR/2024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50">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51">
              <w:r w:rsidR="00F47EF3" w:rsidRPr="000959FC">
                <w:rPr>
                  <w:rFonts w:ascii="Palatino Linotype" w:eastAsia="Palatino Linotype" w:hAnsi="Palatino Linotype" w:cs="Palatino Linotype"/>
                  <w:b/>
                  <w:sz w:val="22"/>
                  <w:szCs w:val="22"/>
                  <w:u w:val="single"/>
                </w:rPr>
                <w:t>SOLIC. 639</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DOP/374/2024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52">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00632/TEMAMATL/IP/2024 - 06805/INFOEM/IP/RR/2024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53">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54">
              <w:r w:rsidR="00F47EF3" w:rsidRPr="000959FC">
                <w:rPr>
                  <w:rFonts w:ascii="Palatino Linotype" w:eastAsia="Palatino Linotype" w:hAnsi="Palatino Linotype" w:cs="Palatino Linotype"/>
                  <w:b/>
                  <w:sz w:val="22"/>
                  <w:szCs w:val="22"/>
                  <w:u w:val="single"/>
                </w:rPr>
                <w:t>SOLIC. 632</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DOP/369/2024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55">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00631/TEMAMATL/IP/2024 - 06806/INFOEM/IP/RR/2024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56">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57">
              <w:r w:rsidR="00F47EF3" w:rsidRPr="000959FC">
                <w:rPr>
                  <w:rFonts w:ascii="Palatino Linotype" w:eastAsia="Palatino Linotype" w:hAnsi="Palatino Linotype" w:cs="Palatino Linotype"/>
                  <w:b/>
                  <w:sz w:val="22"/>
                  <w:szCs w:val="22"/>
                  <w:u w:val="single"/>
                </w:rPr>
                <w:t>SOLIC. 631</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DOP/368/2024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58">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00630/TEMAMATL/IP/2024 - 06807/INFOEM/IP/RR/2024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59">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60">
              <w:r w:rsidR="00F47EF3" w:rsidRPr="000959FC">
                <w:rPr>
                  <w:rFonts w:ascii="Palatino Linotype" w:eastAsia="Palatino Linotype" w:hAnsi="Palatino Linotype" w:cs="Palatino Linotype"/>
                  <w:b/>
                  <w:sz w:val="22"/>
                  <w:szCs w:val="22"/>
                  <w:u w:val="single"/>
                </w:rPr>
                <w:t>SOLIC. 630</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DOP/367/2024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61">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00622/TEMAMATL/IP/2024 - 06815/INFOEM/IP/RR/2024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5"/>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62">
              <w:r w:rsidR="00F47EF3" w:rsidRPr="000959FC">
                <w:rPr>
                  <w:rFonts w:ascii="Palatino Linotype" w:eastAsia="Palatino Linotype" w:hAnsi="Palatino Linotype" w:cs="Palatino Linotype"/>
                  <w:b/>
                  <w:sz w:val="22"/>
                  <w:szCs w:val="22"/>
                  <w:u w:val="single"/>
                </w:rPr>
                <w:t>SOLIC. 622</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DOP/366/2024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5"/>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63">
              <w:r w:rsidR="00F47EF3" w:rsidRPr="000959FC">
                <w:rPr>
                  <w:rFonts w:ascii="Palatino Linotype" w:eastAsia="Palatino Linotype" w:hAnsi="Palatino Linotype" w:cs="Palatino Linotype"/>
                  <w:b/>
                  <w:sz w:val="22"/>
                  <w:szCs w:val="22"/>
                  <w:u w:val="single"/>
                </w:rPr>
                <w:t>SOLIC. 622.pdf</w:t>
              </w:r>
            </w:hyperlink>
            <w:proofErr w:type="gramStart"/>
            <w:r w:rsidR="00F47EF3" w:rsidRPr="000959FC">
              <w:rPr>
                <w:rFonts w:ascii="Palatino Linotype" w:eastAsia="Palatino Linotype" w:hAnsi="Palatino Linotype" w:cs="Palatino Linotype"/>
                <w:sz w:val="22"/>
                <w:szCs w:val="22"/>
              </w:rPr>
              <w:t>:</w:t>
            </w:r>
            <w:r w:rsidR="00F47EF3" w:rsidRPr="000959FC">
              <w:rPr>
                <w:rFonts w:ascii="Palatino Linotype" w:eastAsia="Palatino Linotype" w:hAnsi="Palatino Linotype" w:cs="Palatino Linotype"/>
                <w:b/>
                <w:sz w:val="22"/>
                <w:szCs w:val="22"/>
              </w:rPr>
              <w:t>:</w:t>
            </w:r>
            <w:proofErr w:type="gramEnd"/>
            <w:r w:rsidR="00F47EF3" w:rsidRPr="000959FC">
              <w:rPr>
                <w:rFonts w:ascii="Palatino Linotype" w:eastAsia="Palatino Linotype" w:hAnsi="Palatino Linotype" w:cs="Palatino Linotype"/>
                <w:b/>
                <w:sz w:val="22"/>
                <w:szCs w:val="22"/>
              </w:rPr>
              <w:t xml:space="preserve"> </w:t>
            </w:r>
            <w:r w:rsidR="00F47EF3" w:rsidRPr="000959FC">
              <w:rPr>
                <w:rFonts w:ascii="Palatino Linotype" w:eastAsia="Palatino Linotype" w:hAnsi="Palatino Linotype" w:cs="Palatino Linotype"/>
                <w:sz w:val="22"/>
                <w:szCs w:val="22"/>
              </w:rPr>
              <w:t>mismo documento descrito en el párrafo anterior.</w:t>
            </w:r>
            <w:r w:rsidR="00F47EF3" w:rsidRPr="000959FC">
              <w:rPr>
                <w:rFonts w:ascii="Palatino Linotype" w:eastAsia="Palatino Linotype" w:hAnsi="Palatino Linotype" w:cs="Palatino Linotype"/>
                <w:b/>
                <w:sz w:val="22"/>
                <w:szCs w:val="22"/>
              </w:rPr>
              <w:t xml:space="preserve"> </w:t>
            </w:r>
          </w:p>
          <w:p w:rsidR="003C1162" w:rsidRPr="000959FC" w:rsidRDefault="00833A1B">
            <w:pPr>
              <w:numPr>
                <w:ilvl w:val="0"/>
                <w:numId w:val="5"/>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64">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b/>
                <w:sz w:val="22"/>
                <w:szCs w:val="22"/>
              </w:rPr>
              <w:t xml:space="preserve">: </w:t>
            </w:r>
            <w:r w:rsidR="00F47EF3" w:rsidRPr="000959FC">
              <w:rPr>
                <w:rFonts w:ascii="Palatino Linotype" w:eastAsia="Palatino Linotype" w:hAnsi="Palatino Linotype" w:cs="Palatino Linotype"/>
                <w:sz w:val="22"/>
                <w:szCs w:val="22"/>
              </w:rPr>
              <w:t>documento que consta de veinticinco fojas en el que se advierten diversos cuadros de clasificación.</w:t>
            </w:r>
          </w:p>
          <w:p w:rsidR="003C1162" w:rsidRPr="000959FC" w:rsidRDefault="00833A1B">
            <w:pPr>
              <w:numPr>
                <w:ilvl w:val="0"/>
                <w:numId w:val="5"/>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65">
              <w:r w:rsidR="00F47EF3" w:rsidRPr="000959FC">
                <w:rPr>
                  <w:rFonts w:ascii="Palatino Linotype" w:eastAsia="Palatino Linotype" w:hAnsi="Palatino Linotype" w:cs="Palatino Linotype"/>
                  <w:b/>
                  <w:sz w:val="22"/>
                  <w:szCs w:val="22"/>
                  <w:u w:val="single"/>
                </w:rPr>
                <w:t>SOLIC. 622</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xml:space="preserve">: mismo archivo descrito anteriormente. </w:t>
            </w:r>
          </w:p>
          <w:p w:rsidR="003C1162" w:rsidRPr="000959FC" w:rsidRDefault="00833A1B">
            <w:pPr>
              <w:numPr>
                <w:ilvl w:val="0"/>
                <w:numId w:val="5"/>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66">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5"/>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67">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pBdr>
                <w:top w:val="nil"/>
                <w:left w:val="nil"/>
                <w:bottom w:val="nil"/>
                <w:right w:val="nil"/>
                <w:between w:val="nil"/>
              </w:pBdr>
              <w:ind w:left="317"/>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00609/TEMAMATL/IP/2024 - 06820/INFOEM/IP/RR/2024</w:t>
            </w: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68">
              <w:r w:rsidR="00F47EF3" w:rsidRPr="000959FC">
                <w:rPr>
                  <w:rFonts w:ascii="Palatino Linotype" w:eastAsia="Palatino Linotype" w:hAnsi="Palatino Linotype" w:cs="Palatino Linotype"/>
                  <w:b/>
                  <w:sz w:val="22"/>
                  <w:szCs w:val="22"/>
                  <w:u w:val="single"/>
                </w:rPr>
                <w:t>SOLIC. 609</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DOP/365/2024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69">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70">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00654/TEMAMATL/IP/2024 - 06824/INFOEM/IP/RR/2024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71">
              <w:r w:rsidR="00F47EF3" w:rsidRPr="000959FC">
                <w:rPr>
                  <w:rFonts w:ascii="Palatino Linotype" w:eastAsia="Palatino Linotype" w:hAnsi="Palatino Linotype" w:cs="Palatino Linotype"/>
                  <w:b/>
                  <w:sz w:val="22"/>
                  <w:szCs w:val="22"/>
                  <w:u w:val="single"/>
                </w:rPr>
                <w:t>SOLIC. 654</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DOP/381/2024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72">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73">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00655/TEMAMATL/IP/2024 - 06825/INFOEM/IP/RR/2024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74">
              <w:r w:rsidR="00F47EF3" w:rsidRPr="000959FC">
                <w:rPr>
                  <w:rFonts w:ascii="Palatino Linotype" w:eastAsia="Palatino Linotype" w:hAnsi="Palatino Linotype" w:cs="Palatino Linotype"/>
                  <w:b/>
                  <w:sz w:val="22"/>
                  <w:szCs w:val="22"/>
                  <w:u w:val="single"/>
                </w:rPr>
                <w:t>SOLIC. 655</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DOP/382/2024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75">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76">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00656/TEMAMATL/IP/2024 - 06826/INFOEM/IP/RR/2024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2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77">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2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78">
              <w:r w:rsidR="00F47EF3" w:rsidRPr="000959FC">
                <w:rPr>
                  <w:rFonts w:ascii="Palatino Linotype" w:eastAsia="Palatino Linotype" w:hAnsi="Palatino Linotype" w:cs="Palatino Linotype"/>
                  <w:b/>
                  <w:sz w:val="22"/>
                  <w:szCs w:val="22"/>
                  <w:u w:val="single"/>
                </w:rPr>
                <w:t>SOLIC. 656</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DOP/383/2024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2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79">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00657/TEMAMATL/IP/2024 - 06828/INFOEM/IP/RR/2024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80">
              <w:r w:rsidR="00F47EF3" w:rsidRPr="000959FC">
                <w:rPr>
                  <w:rFonts w:ascii="Palatino Linotype" w:eastAsia="Palatino Linotype" w:hAnsi="Palatino Linotype" w:cs="Palatino Linotype"/>
                  <w:b/>
                  <w:sz w:val="22"/>
                  <w:szCs w:val="22"/>
                  <w:u w:val="single"/>
                </w:rPr>
                <w:t>SOLIC. 657</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DOP/384/2024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81">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82">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xml:space="preserve">: acta correspondiente a la Octogésima Quinta Sesión Ordinaria del Comité de </w:t>
            </w:r>
            <w:r w:rsidR="00F47EF3" w:rsidRPr="000959FC">
              <w:rPr>
                <w:rFonts w:ascii="Palatino Linotype" w:eastAsia="Palatino Linotype" w:hAnsi="Palatino Linotype" w:cs="Palatino Linotype"/>
                <w:sz w:val="22"/>
                <w:szCs w:val="22"/>
              </w:rPr>
              <w:lastRenderedPageBreak/>
              <w:t>Transparencia en el que se aprobó el cambio de modalidad a consulta directa.</w:t>
            </w:r>
          </w:p>
          <w:p w:rsidR="003C1162" w:rsidRPr="000959FC" w:rsidRDefault="003C116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00658/TEMAMATL/IP/2024 - 06829/INFOEM/IP/RR/2024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2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83">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2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84">
              <w:r w:rsidR="00F47EF3" w:rsidRPr="000959FC">
                <w:rPr>
                  <w:rFonts w:ascii="Palatino Linotype" w:eastAsia="Palatino Linotype" w:hAnsi="Palatino Linotype" w:cs="Palatino Linotype"/>
                  <w:b/>
                  <w:sz w:val="22"/>
                  <w:szCs w:val="22"/>
                  <w:u w:val="single"/>
                </w:rPr>
                <w:t>SOLIC. 658</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DOP/385/2024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2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85">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00659/TEMAMATL/IP/2024 - 06830/INFOEM/IP/RR/2024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86">
              <w:r w:rsidR="00F47EF3" w:rsidRPr="000959FC">
                <w:rPr>
                  <w:rFonts w:ascii="Palatino Linotype" w:eastAsia="Palatino Linotype" w:hAnsi="Palatino Linotype" w:cs="Palatino Linotype"/>
                  <w:b/>
                  <w:sz w:val="22"/>
                  <w:szCs w:val="22"/>
                  <w:u w:val="single"/>
                </w:rPr>
                <w:t>SOLIC. 659</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DOP/371/2024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87">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88">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00660/TEMAMATL/IP/2024 - 06831/INFOEM/IP/RR/2024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2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89">
              <w:r w:rsidR="00F47EF3" w:rsidRPr="000959FC">
                <w:rPr>
                  <w:rFonts w:ascii="Palatino Linotype" w:eastAsia="Palatino Linotype" w:hAnsi="Palatino Linotype" w:cs="Palatino Linotype"/>
                  <w:b/>
                  <w:sz w:val="22"/>
                  <w:szCs w:val="22"/>
                  <w:u w:val="single"/>
                </w:rPr>
                <w:t>SOLIC. 660</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DOP/372/2024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2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90">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2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91">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00713/TEMAMATL/IP/2024 - 06845/INFOEM/IP/RR/2024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833A1B">
            <w:pPr>
              <w:numPr>
                <w:ilvl w:val="0"/>
                <w:numId w:val="4"/>
              </w:numPr>
              <w:ind w:left="317" w:firstLine="21"/>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92">
              <w:r w:rsidR="00F47EF3" w:rsidRPr="000959FC">
                <w:rPr>
                  <w:rFonts w:ascii="Palatino Linotype" w:eastAsia="Palatino Linotype" w:hAnsi="Palatino Linotype" w:cs="Palatino Linotype"/>
                  <w:b/>
                  <w:sz w:val="22"/>
                  <w:szCs w:val="22"/>
                  <w:u w:val="single"/>
                </w:rPr>
                <w:t>SOLIC. 713</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DOP/386/2024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21"/>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93">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21"/>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hyperlink r:id="rId94">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00714/TEMAMATL/IP/2024 - 06846/INFOEM/IP/RR/2024</w:t>
            </w:r>
          </w:p>
        </w:tc>
        <w:tc>
          <w:tcPr>
            <w:tcW w:w="5714" w:type="dxa"/>
          </w:tcPr>
          <w:p w:rsidR="003C1162" w:rsidRPr="000959FC" w:rsidRDefault="00833A1B">
            <w:pPr>
              <w:numPr>
                <w:ilvl w:val="0"/>
                <w:numId w:val="4"/>
              </w:numPr>
              <w:ind w:left="317" w:firstLine="2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95">
              <w:r w:rsidR="00F47EF3" w:rsidRPr="000959FC">
                <w:rPr>
                  <w:rFonts w:ascii="Palatino Linotype" w:eastAsia="Palatino Linotype" w:hAnsi="Palatino Linotype" w:cs="Palatino Linotype"/>
                  <w:b/>
                  <w:sz w:val="22"/>
                  <w:szCs w:val="22"/>
                  <w:u w:val="single"/>
                </w:rPr>
                <w:t>SOLIC. 714</w:t>
              </w:r>
              <w:proofErr w:type="gramStart"/>
              <w:r w:rsidR="00F47EF3" w:rsidRPr="000959FC">
                <w:rPr>
                  <w:rFonts w:ascii="Palatino Linotype" w:eastAsia="Palatino Linotype" w:hAnsi="Palatino Linotype" w:cs="Palatino Linotype"/>
                  <w:b/>
                  <w:sz w:val="22"/>
                  <w:szCs w:val="22"/>
                  <w:u w:val="single"/>
                </w:rPr>
                <w:t>.pdf</w:t>
              </w:r>
              <w:proofErr w:type="gramEnd"/>
            </w:hyperlink>
            <w:r w:rsidR="00F47EF3" w:rsidRPr="000959FC">
              <w:rPr>
                <w:rFonts w:ascii="Palatino Linotype" w:eastAsia="Palatino Linotype" w:hAnsi="Palatino Linotype" w:cs="Palatino Linotype"/>
                <w:sz w:val="22"/>
                <w:szCs w:val="22"/>
              </w:rPr>
              <w:t>: oficio número DOP/387/2024 de fecha veintiuno de octubre de dos mil veinticuatro, suscrito por el Director de Obras Públicas, en el que, de forma medular, solicita el cambio de modalidad a consulta directa.</w:t>
            </w:r>
          </w:p>
          <w:p w:rsidR="003C1162" w:rsidRPr="000959FC" w:rsidRDefault="00833A1B">
            <w:pPr>
              <w:numPr>
                <w:ilvl w:val="0"/>
                <w:numId w:val="4"/>
              </w:numPr>
              <w:ind w:left="317" w:firstLine="2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96">
              <w:r w:rsidR="00F47EF3" w:rsidRPr="000959FC">
                <w:rPr>
                  <w:rFonts w:ascii="Palatino Linotype" w:eastAsia="Palatino Linotype" w:hAnsi="Palatino Linotype" w:cs="Palatino Linotype"/>
                  <w:b/>
                  <w:sz w:val="22"/>
                  <w:szCs w:val="22"/>
                  <w:u w:val="single"/>
                </w:rPr>
                <w:t>CUADRO DE CLASIFICACIÓN.pdf</w:t>
              </w:r>
            </w:hyperlink>
            <w:r w:rsidR="00F47EF3" w:rsidRPr="000959FC">
              <w:rPr>
                <w:rFonts w:ascii="Palatino Linotype" w:eastAsia="Palatino Linotype" w:hAnsi="Palatino Linotype" w:cs="Palatino Linotype"/>
                <w:sz w:val="22"/>
                <w:szCs w:val="22"/>
              </w:rPr>
              <w:t>: documento que consta de veinticinco fojas en el que se advierten diversos cuadros de clasificación.</w:t>
            </w:r>
          </w:p>
          <w:p w:rsidR="003C1162" w:rsidRPr="000959FC" w:rsidRDefault="00833A1B">
            <w:pPr>
              <w:numPr>
                <w:ilvl w:val="0"/>
                <w:numId w:val="4"/>
              </w:numPr>
              <w:ind w:left="317" w:firstLine="2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hyperlink r:id="rId97">
              <w:r w:rsidR="00F47EF3" w:rsidRPr="000959FC">
                <w:rPr>
                  <w:rFonts w:ascii="Palatino Linotype" w:eastAsia="Palatino Linotype" w:hAnsi="Palatino Linotype" w:cs="Palatino Linotype"/>
                  <w:b/>
                  <w:sz w:val="22"/>
                  <w:szCs w:val="22"/>
                  <w:u w:val="single"/>
                </w:rPr>
                <w:t>ACTA 85.pdf</w:t>
              </w:r>
            </w:hyperlink>
            <w:r w:rsidR="00F47EF3" w:rsidRPr="000959FC">
              <w:rPr>
                <w:rFonts w:ascii="Palatino Linotype" w:eastAsia="Palatino Linotype" w:hAnsi="Palatino Linotype" w:cs="Palatino Linotype"/>
                <w:sz w:val="22"/>
                <w:szCs w:val="22"/>
              </w:rPr>
              <w:t>: acta correspondiente a la Octogésima Quinta Sesión Ordinaria del Comité de Transparencia en el que se aprobó el cambio de modalidad a consulta directa.</w:t>
            </w:r>
          </w:p>
          <w:p w:rsidR="003C1162" w:rsidRPr="000959FC" w:rsidRDefault="003C116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bl>
    <w:p w:rsidR="003C1162" w:rsidRPr="000959FC" w:rsidRDefault="003C1162">
      <w:pPr>
        <w:tabs>
          <w:tab w:val="left" w:pos="0"/>
        </w:tabs>
        <w:spacing w:line="360" w:lineRule="auto"/>
        <w:ind w:right="34"/>
        <w:jc w:val="both"/>
        <w:rPr>
          <w:rFonts w:ascii="Palatino Linotype" w:eastAsia="Palatino Linotype" w:hAnsi="Palatino Linotype" w:cs="Palatino Linotype"/>
          <w:sz w:val="22"/>
          <w:szCs w:val="22"/>
        </w:rPr>
      </w:pPr>
    </w:p>
    <w:p w:rsidR="003C1162" w:rsidRPr="000959FC" w:rsidRDefault="00F47EF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color w:val="000000"/>
          <w:sz w:val="22"/>
          <w:szCs w:val="22"/>
        </w:rPr>
        <w:t>En lo sucesivo, el veintiocho (28), veintinueve (29) y treinta (30) de octubre de dos mil veinticuatro</w:t>
      </w:r>
      <w:r w:rsidRPr="000959FC">
        <w:rPr>
          <w:rFonts w:ascii="Palatino Linotype" w:eastAsia="Palatino Linotype" w:hAnsi="Palatino Linotype" w:cs="Palatino Linotype"/>
          <w:b/>
          <w:color w:val="000000"/>
          <w:sz w:val="22"/>
          <w:szCs w:val="22"/>
        </w:rPr>
        <w:t>,</w:t>
      </w:r>
      <w:r w:rsidRPr="000959FC">
        <w:rPr>
          <w:rFonts w:ascii="Palatino Linotype" w:eastAsia="Palatino Linotype" w:hAnsi="Palatino Linotype" w:cs="Palatino Linotype"/>
          <w:color w:val="000000"/>
          <w:sz w:val="22"/>
          <w:szCs w:val="22"/>
        </w:rPr>
        <w:t xml:space="preserve"> </w:t>
      </w:r>
      <w:r w:rsidRPr="000959FC">
        <w:rPr>
          <w:rFonts w:ascii="Palatino Linotype" w:eastAsia="Palatino Linotype" w:hAnsi="Palatino Linotype" w:cs="Palatino Linotype"/>
          <w:b/>
          <w:color w:val="000000"/>
          <w:sz w:val="22"/>
          <w:szCs w:val="22"/>
        </w:rPr>
        <w:t xml:space="preserve"> </w:t>
      </w:r>
      <w:r w:rsidRPr="000959FC">
        <w:rPr>
          <w:rFonts w:ascii="Palatino Linotype" w:eastAsia="Palatino Linotype" w:hAnsi="Palatino Linotype" w:cs="Palatino Linotype"/>
          <w:color w:val="000000"/>
          <w:sz w:val="22"/>
          <w:szCs w:val="22"/>
        </w:rPr>
        <w:t>el solicitante interpuso el recurso de revisión, en el que señaló lo siguiente:</w:t>
      </w:r>
    </w:p>
    <w:p w:rsidR="003C1162" w:rsidRPr="000959FC" w:rsidRDefault="003C1162">
      <w:pPr>
        <w:tabs>
          <w:tab w:val="left" w:pos="0"/>
        </w:tabs>
        <w:spacing w:line="360" w:lineRule="auto"/>
        <w:jc w:val="both"/>
        <w:rPr>
          <w:rFonts w:ascii="Palatino Linotype" w:eastAsia="Palatino Linotype" w:hAnsi="Palatino Linotype" w:cs="Palatino Linotype"/>
          <w:b/>
          <w:sz w:val="22"/>
          <w:szCs w:val="22"/>
        </w:rPr>
      </w:pPr>
    </w:p>
    <w:tbl>
      <w:tblPr>
        <w:tblStyle w:val="a1"/>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114"/>
        <w:gridCol w:w="5714"/>
      </w:tblGrid>
      <w:tr w:rsidR="003C1162" w:rsidRPr="000959FC" w:rsidTr="003C1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lastRenderedPageBreak/>
              <w:t>NÚMERO DE SOLICITUD Y DE RECURSO DE REVISIÓN.</w:t>
            </w: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ACTO IMPUGNADO Y RAZONES Y MOTIVOS DE INCONFORMIDAD</w:t>
            </w: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00508/TEMAMATL/IP/2024 - 06718/INFOEM/IP/RR/2024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vMerge w:val="restart"/>
          </w:tcPr>
          <w:p w:rsidR="003C1162" w:rsidRPr="000959FC" w:rsidRDefault="00F47EF3">
            <w:pPr>
              <w:pBdr>
                <w:top w:val="nil"/>
                <w:left w:val="nil"/>
                <w:bottom w:val="nil"/>
                <w:right w:val="nil"/>
                <w:between w:val="nil"/>
              </w:pBd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 </w:t>
            </w:r>
          </w:p>
          <w:p w:rsidR="003C1162" w:rsidRPr="000959FC" w:rsidRDefault="00F47EF3">
            <w:pPr>
              <w:numPr>
                <w:ilvl w:val="0"/>
                <w:numId w:val="6"/>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6"/>
              </w:numPr>
              <w:pBdr>
                <w:top w:val="nil"/>
                <w:left w:val="nil"/>
                <w:bottom w:val="nil"/>
                <w:right w:val="nil"/>
                <w:between w:val="nil"/>
              </w:pBd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EL SUJETO OBLIGADO EN SU RESPUESTA DETERMINA QUE LA INFORMACIÓN SERÁ ENTREGADA A TRAVÉS DE CONSULTA DIRECTA EL DÍA 18 DE OCTUBRE DEL AÑO 2014, ENTREGANDO LA RESPUESTA EL DÍA 22 DE OCTUBRE DEL 2024, LO QUE RESULTA IMPOSIBLE DE PRESENTARME, YA QUE LA CONSULTA ES PROGRAMADA CUATRO DÍAS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00509/TEMAMATL/IP/2024 - 06719/INFOEM/IP/RR/2024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vMerge/>
          </w:tcPr>
          <w:p w:rsidR="003C1162" w:rsidRPr="000959FC" w:rsidRDefault="003C116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 00510/TEMAMATL/IP/2024 - 06720/INFOEM/IP/RR/2024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vMerge/>
          </w:tcPr>
          <w:p w:rsidR="003C1162" w:rsidRPr="000959FC" w:rsidRDefault="003C1162">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 00511/TEMAMATL/IP/2024 - 06721/INFOEM/IP/RR/2024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vMerge/>
          </w:tcPr>
          <w:p w:rsidR="003C1162" w:rsidRPr="000959FC" w:rsidRDefault="003C116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 00512/TEMAMATL/IP/2024 - 06722/INFOEM/IP/RR/2024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vMerge/>
          </w:tcPr>
          <w:p w:rsidR="003C1162" w:rsidRPr="000959FC" w:rsidRDefault="003C1162">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 00513/TEMAMATL/IP/2024 - 06723/INFOEM/IP/RR/2024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vMerge/>
          </w:tcPr>
          <w:p w:rsidR="003C1162" w:rsidRPr="000959FC" w:rsidRDefault="003C116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 00556/TEMAMATL/IP/2024 - 06744/INFOEM/IP/RR/2024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vMerge/>
          </w:tcPr>
          <w:p w:rsidR="003C1162" w:rsidRPr="000959FC" w:rsidRDefault="003C1162">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 00557/TEMAMATL/IP/2024 - 06745/INFOEM/IP/RR/2024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7"/>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pBdr>
                <w:top w:val="nil"/>
                <w:left w:val="nil"/>
                <w:bottom w:val="nil"/>
                <w:right w:val="nil"/>
                <w:between w:val="nil"/>
              </w:pBd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7"/>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lastRenderedPageBreak/>
              <w:t>Razones o Motivos de inconformidad: “</w:t>
            </w:r>
            <w:r w:rsidRPr="000959FC">
              <w:rPr>
                <w:rFonts w:ascii="Palatino Linotype" w:eastAsia="Palatino Linotype" w:hAnsi="Palatino Linotype" w:cs="Palatino Linotype"/>
                <w:i/>
                <w:sz w:val="22"/>
                <w:szCs w:val="22"/>
              </w:rPr>
              <w:t>EL SUJETO OBLIGADO MANIFIESTA EN SU RESPUESTA QUE NO ES COMPETENCIA DEL AREA LA INFORMACION SOLICITADA, SIENDO OBLIGACION DEL TITULAR DEL AREA DE TRANSPARENCIA EL TURNO ADECUADO DE LA SOLICITUD AL AREA COMPETENTE PARA SU SOLVENTACION, CONFIRMANDO NUEVAMENTE QUE EL SUJETO OBLIGADO DE MANERA DOLOSA EN TODO MOMENTO Y EN UN TOTAL ACTO DE OPACIDAD, ENTORPESE EL ACCESO A LA INFORMACION SOLICITADA,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POR LO QUE SOLICITO QUE LA INFORMACION SEA ENTREGADA A TRAVES DE ESTA PLATAFORMA” (sic)</w:t>
            </w:r>
          </w:p>
          <w:p w:rsidR="003C1162" w:rsidRPr="000959FC" w:rsidRDefault="003C1162">
            <w:pPr>
              <w:pBdr>
                <w:top w:val="nil"/>
                <w:left w:val="nil"/>
                <w:bottom w:val="nil"/>
                <w:right w:val="nil"/>
                <w:between w:val="nil"/>
              </w:pBd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00572/TEMAMATL/IP/2024 - 06764/INFOEM/IP/RR/2024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8"/>
              </w:numPr>
              <w:pBdr>
                <w:top w:val="nil"/>
                <w:left w:val="nil"/>
                <w:bottom w:val="nil"/>
                <w:right w:val="nil"/>
                <w:between w:val="nil"/>
              </w:pBdr>
              <w:ind w:left="317" w:hanging="1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pBdr>
                <w:top w:val="nil"/>
                <w:left w:val="nil"/>
                <w:bottom w:val="nil"/>
                <w:right w:val="nil"/>
                <w:between w:val="nil"/>
              </w:pBdr>
              <w:ind w:left="317" w:hanging="1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8"/>
              </w:numPr>
              <w:pBdr>
                <w:top w:val="nil"/>
                <w:left w:val="nil"/>
                <w:bottom w:val="nil"/>
                <w:right w:val="nil"/>
                <w:between w:val="nil"/>
              </w:pBdr>
              <w:ind w:left="317" w:hanging="11"/>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 xml:space="preserve">EL SUJETO OBLIGADO MANIFIESTA QUE EL EXPEDIENTE DE LA OBRA ESTA SIENDO INTEGRADO SIN EMBARGO NO ADJUNTA NINGUN TIPO DE DOCUMENTAL QUE HASTA LA FECHA YA SE TENGA INTEGRADA DENTRO DEL EXPEDIENTE DE ESTA ACCION, DEMOSTRANDO LO ANTERIOR COMO UN CLARO ACTO DE EVASION PARA QUE LA INFORMACION SOLICITADA NO SEA ENTREGADA, POR LO QUE SOLICITO QUE EL EXPEDIENTE PARCIAL SEA </w:t>
            </w:r>
            <w:r w:rsidRPr="000959FC">
              <w:rPr>
                <w:rFonts w:ascii="Palatino Linotype" w:eastAsia="Palatino Linotype" w:hAnsi="Palatino Linotype" w:cs="Palatino Linotype"/>
                <w:i/>
                <w:sz w:val="22"/>
                <w:szCs w:val="22"/>
              </w:rPr>
              <w:lastRenderedPageBreak/>
              <w:t>ENTREGADO A TRAVES DE ESTA PLATAFORMA” (sic)</w:t>
            </w:r>
          </w:p>
          <w:p w:rsidR="003C1162" w:rsidRPr="000959FC" w:rsidRDefault="003C1162">
            <w:pPr>
              <w:pBdr>
                <w:top w:val="nil"/>
                <w:left w:val="nil"/>
                <w:bottom w:val="nil"/>
                <w:right w:val="nil"/>
                <w:between w:val="nil"/>
              </w:pBd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xml:space="preserve">• 00646/TEMAMATL/IP/2024 - 06794/INFOEM/IP/RR/2024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vMerge w:val="restart"/>
          </w:tcPr>
          <w:p w:rsidR="003C1162" w:rsidRPr="000959FC" w:rsidRDefault="00F47EF3">
            <w:pPr>
              <w:numPr>
                <w:ilvl w:val="0"/>
                <w:numId w:val="9"/>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pBdr>
                <w:top w:val="nil"/>
                <w:left w:val="nil"/>
                <w:bottom w:val="nil"/>
                <w:right w:val="nil"/>
                <w:between w:val="nil"/>
              </w:pBd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9"/>
              </w:numPr>
              <w:pBdr>
                <w:top w:val="nil"/>
                <w:left w:val="nil"/>
                <w:bottom w:val="nil"/>
                <w:right w:val="nil"/>
                <w:between w:val="nil"/>
              </w:pBd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EL SUJETO OBLIGADO EN SU RESPUESTA DETERMINA QUE LA INFORMACIÓN SERÁ ENTREGADA A TRAVÉS DE CONSULTA DIRECTA EL DÍA 25 DE OCTUBRE DEL AÑO 2014 EN UN HORARIO DE 10 A 11 HORAS, ENTREGANDO LA RESPUESTA EL DÍA 25 DE OCTUBRE DEL 2024 A LAS 15:10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pBdr>
                <w:top w:val="nil"/>
                <w:left w:val="nil"/>
                <w:bottom w:val="nil"/>
                <w:right w:val="nil"/>
                <w:between w:val="nil"/>
              </w:pBdr>
              <w:ind w:left="72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p w:rsidR="003C1162" w:rsidRPr="000959FC" w:rsidRDefault="003C1162">
            <w:pPr>
              <w:pBdr>
                <w:top w:val="nil"/>
                <w:left w:val="nil"/>
                <w:bottom w:val="nil"/>
                <w:right w:val="nil"/>
                <w:between w:val="nil"/>
              </w:pBd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 00645/TEMAMATL/IP/2024 - 06795/INFOEM/IP/RR/2024 </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vMerge/>
          </w:tcPr>
          <w:p w:rsidR="003C1162" w:rsidRPr="000959FC" w:rsidRDefault="003C1162">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00644/TEMAMATL/IP/2024 - 06796/INFOEM/IP/RR/2024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vMerge/>
          </w:tcPr>
          <w:p w:rsidR="003C1162" w:rsidRPr="000959FC" w:rsidRDefault="003C1162">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00643/TEMAMATL/IP/2024 - 06797/INFOEM/IP/RR/2024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pBdr>
                <w:top w:val="nil"/>
                <w:left w:val="nil"/>
                <w:bottom w:val="nil"/>
                <w:right w:val="nil"/>
                <w:between w:val="nil"/>
              </w:pBdr>
              <w:ind w:left="175"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pBdr>
                <w:top w:val="nil"/>
                <w:left w:val="nil"/>
                <w:bottom w:val="nil"/>
                <w:right w:val="nil"/>
                <w:between w:val="nil"/>
              </w:pBdr>
              <w:ind w:left="175"/>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pBdr>
                <w:top w:val="nil"/>
                <w:left w:val="nil"/>
                <w:bottom w:val="nil"/>
                <w:right w:val="nil"/>
                <w:between w:val="nil"/>
              </w:pBdr>
              <w:ind w:left="175"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lastRenderedPageBreak/>
              <w:t>Razones o Motivos de inconformidad: “</w:t>
            </w:r>
            <w:r w:rsidRPr="000959FC">
              <w:rPr>
                <w:rFonts w:ascii="Palatino Linotype" w:eastAsia="Palatino Linotype" w:hAnsi="Palatino Linotype" w:cs="Palatino Linotype"/>
                <w:i/>
                <w:sz w:val="22"/>
                <w:szCs w:val="22"/>
              </w:rPr>
              <w:t>EL SUJETO OBLIGADO EN SU RESPUESTA DETERMINA QUE LA INFORMACIÓN SERÁ ENTREGADA A TRAVÉS DE CONSULTA DIRECTA EL DÍA 25 DE OCTUBRE DEL AÑO 2014 EN UN HORARIO DE 10 A 11 HORAS, ENTREGANDO LA RESPUESTA EL DÍA 25 DE OCTUBRE DEL 2024 A LAS 14:57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pBdr>
                <w:top w:val="nil"/>
                <w:left w:val="nil"/>
                <w:bottom w:val="nil"/>
                <w:right w:val="nil"/>
                <w:between w:val="nil"/>
              </w:pBd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00642/TEMAMATL/IP/2024 - 06798/INFOEM/IP/RR/2024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 xml:space="preserve">EL SUJETO OBLIGADO EN SU RESPUESTA DETERMINA QUE LA INFORMACIÓN SERÁ ENTREGADA A TRAVÉS DE CONSULTA DIRECTA EL DÍA 25 DE OCTUBRE DEL AÑO 2014 EN UN HORARIO DE 10 A 11 HORAS, ENTREGANDO LA RESPUESTA EL DÍA 25 DE OCTUBRE DEL 2024 A LAS 14:56 HORAS, LO QUE RESULTA IMPOSIBLE </w:t>
            </w:r>
            <w:r w:rsidRPr="000959FC">
              <w:rPr>
                <w:rFonts w:ascii="Palatino Linotype" w:eastAsia="Palatino Linotype" w:hAnsi="Palatino Linotype" w:cs="Palatino Linotype"/>
                <w:i/>
                <w:sz w:val="22"/>
                <w:szCs w:val="22"/>
              </w:rPr>
              <w:lastRenderedPageBreak/>
              <w:t>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00641/TEMAMATL/IP/2024 - 06799/INFOEM/IP/RR/2024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 xml:space="preserve">EL SUJETO OBLIGADO EN SU RESPUESTA DETERMINA QUE LA INFORMACIÓN SERÁ ENTREGADA A TRAVÉS DE CONSULTA DIRECTA EL DÍA 25 DE OCTUBRE DEL AÑO 2014 EN UN HORARIO DE 10 A 11 HORAS, ENTREGANDO LA RESPUESTA EL DÍA 25 DE OCTUBRE DEL 2024 A LAS 14:52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w:t>
            </w:r>
            <w:r w:rsidRPr="000959FC">
              <w:rPr>
                <w:rFonts w:ascii="Palatino Linotype" w:eastAsia="Palatino Linotype" w:hAnsi="Palatino Linotype" w:cs="Palatino Linotype"/>
                <w:i/>
                <w:sz w:val="22"/>
                <w:szCs w:val="22"/>
              </w:rPr>
              <w:lastRenderedPageBreak/>
              <w:t>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00640/TEMAMATL/IP/2024 - 06800/INFOEM/IP/RR/2024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 xml:space="preserve">EL SUJETO OBLIGADO EN SU RESPUESTA DETERMINA QUE LA INFORMACIÓN SERÁ ENTREGADA A TRAVÉS DE CONSULTA DIRECTA EL DÍA 25 DE OCTUBRE DEL AÑO 2014 EN UN HORARIO DE 10 A 11 HORAS, ENTREGANDO LA RESPUESTA EL DÍA 25 DE OCTUBRE DEL 2024 A LAS 14:50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w:t>
            </w:r>
            <w:r w:rsidRPr="000959FC">
              <w:rPr>
                <w:rFonts w:ascii="Palatino Linotype" w:eastAsia="Palatino Linotype" w:hAnsi="Palatino Linotype" w:cs="Palatino Linotype"/>
                <w:i/>
                <w:sz w:val="22"/>
                <w:szCs w:val="22"/>
              </w:rPr>
              <w:lastRenderedPageBreak/>
              <w:t>ENTREGADA A TRAVES DE ESTA PLATAFORMA” (sic)</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00639/TEMAMATL/IP/2024 - 06801/INFOEM/IP/RR/2024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EL SUJETO OBLIGADO EN SU RESPUESTA DETERMINA QUE LA INFORMACIÓN SERÁ ENTREGADA A TRAVÉS DE CONSULTA DIRECTA EL DÍA 25 DE OCTUBRE DEL AÑO 2014 EN UN HORARIO DE 10 A 11 HORAS, ENTREGANDO LA RESPUESTA EL DÍA 25 DE OCTUBRE DEL 2024 A LAS 14:46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00632/TEMAMATL/IP/2024 - 06805/INFOEM/IP/RR/2024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 xml:space="preserve">EL SUJETO OBLIGADO EN SU RESPUESTA </w:t>
            </w:r>
            <w:r w:rsidRPr="000959FC">
              <w:rPr>
                <w:rFonts w:ascii="Palatino Linotype" w:eastAsia="Palatino Linotype" w:hAnsi="Palatino Linotype" w:cs="Palatino Linotype"/>
                <w:i/>
                <w:sz w:val="22"/>
                <w:szCs w:val="22"/>
              </w:rPr>
              <w:lastRenderedPageBreak/>
              <w:t>DETERMINA QUE LA INFORMACIÓN SERÁ ENTREGADA A TRAVÉS DE CONSULTA DIRECTA EL DÍA 25 DE OCTUBRE DEL AÑO 2014 EN UN HORARIO DE 10 A 11 HORAS, ENTREGANDO LA RESPUESTA EL DÍA 25 DE OCTUBRE DEL 2024 A LAS 14:32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00631/TEMAMATL/IP/2024 - 06806/INFOEM/IP/RR/2024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 xml:space="preserve">EL SUJETO OBLIGADO EN SU RESPUESTA DETERMINA QUE LA INFORMACIÓN SERÁ ENTREGADA A TRAVÉS DE CONSULTA DIRECTA EL DÍA 25 DE OCTUBRE DEL AÑO 2014 EN UN HORARIO DE 10 A 11 HORAS, ENTREGANDO LA RESPUESTA EL DÍA 25 DE OCTUBRE DEL 2024 A LAS 14:30 HORAS, LO QUE RESULTA IMPOSIBLE DE PRESENTARME, YA QUE LA CONSULTA ESTA PROGRAMADA HORAS ANTES DE NOTIFICARME </w:t>
            </w:r>
            <w:r w:rsidRPr="000959FC">
              <w:rPr>
                <w:rFonts w:ascii="Palatino Linotype" w:eastAsia="Palatino Linotype" w:hAnsi="Palatino Linotype" w:cs="Palatino Linotype"/>
                <w:i/>
                <w:sz w:val="22"/>
                <w:szCs w:val="22"/>
              </w:rPr>
              <w:lastRenderedPageBreak/>
              <w:t>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00630/TEMAMATL/IP/2024 - 06807/INFOEM/IP/RR/2024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 xml:space="preserve">EL SUJETO OBLIGADO EN SU RESPUESTA DETERMINA QUE LA INFORMACIÓN SERÁ ENTREGADA A TRAVÉS DE CONSULTA DIRECTA EL DÍA 25 DE OCTUBRE DEL AÑO 2014 EN UN HORARIO DE 10 A 11 HORAS, ENTREGANDO LA RESPUESTA EL DÍA 25 DE OCTUBRE DEL 2024 A LAS 14:57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w:t>
            </w:r>
            <w:r w:rsidRPr="000959FC">
              <w:rPr>
                <w:rFonts w:ascii="Palatino Linotype" w:eastAsia="Palatino Linotype" w:hAnsi="Palatino Linotype" w:cs="Palatino Linotype"/>
                <w:i/>
                <w:sz w:val="22"/>
                <w:szCs w:val="22"/>
              </w:rPr>
              <w:lastRenderedPageBreak/>
              <w:t>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00622/TEMAMATL/IP/2024 - 06815/INFOEM/IP/RR/2024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EL SUJETO OBLIGADO EN SU RESPUESTA DETERMINA QUE LA INFORMACIÓN SERÁ ENTREGADA A TRAVÉS DE CONSULTA DIRECTA EL DÍA 25 DE OCTUBRE DEL AÑO 2014 EN UN HORARIO DE 10 A 11 HORAS, ENTREGANDO LA RESPUESTA EL DÍA 25 DE OCTUBRE DEL 2024 A LAS 14:47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pBdr>
                <w:top w:val="nil"/>
                <w:left w:val="nil"/>
                <w:bottom w:val="nil"/>
                <w:right w:val="nil"/>
                <w:between w:val="nil"/>
              </w:pBd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00609/TEMAMATL/IP/2024 - 06820/INFOEM/IP/RR/2024</w:t>
            </w: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EL SUJETO OBLIGADO EN SU RESPUESTA DETERMINA QUE LA INFORMACIÓN SERÁ ENTREGADA A TRAVÉS DE CONSULTA DIRECTA EL DÍA 25 DE OCTUBRE DEL AÑO 2014 EN UN HORARIO DE 10 A 11 HORAS, ENTREGANDO LA RESPUESTA EL DÍA 25 DE OCTUBRE DEL 2024 A LAS 14:13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00654/TEMAMATL/IP/2024 - 06824/INFOEM/IP/RR/2024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 xml:space="preserve">EL SUJETO OBLIGADO EN SU RESPUESTA DETERMINA QUE LA INFORMACIÓN SERÁ ENTREGADA A TRAVÉS DE CONSULTA DIRECTA </w:t>
            </w:r>
            <w:r w:rsidRPr="000959FC">
              <w:rPr>
                <w:rFonts w:ascii="Palatino Linotype" w:eastAsia="Palatino Linotype" w:hAnsi="Palatino Linotype" w:cs="Palatino Linotype"/>
                <w:i/>
                <w:sz w:val="22"/>
                <w:szCs w:val="22"/>
              </w:rPr>
              <w:lastRenderedPageBreak/>
              <w:t>EL DÍA 25 DE OCTUBRE DEL AÑO 2014 EN UN HORARIO DE 10 A 11 HORAS, ENTREGANDO LA RESPUESTA EL DÍA 25 DE OCTUBRE DEL 2024 A LAS 15:30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17"/>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00655/TEMAMATL/IP/2024 - 06825/INFOEM/IP/RR/2024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firstLine="708"/>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 xml:space="preserve">EL SUJETO OBLIGADO EN SU RESPUESTA DETERMINA QUE LA INFORMACIÓN SERÁ ENTREGADA A TRAVÉS DE CONSULTA DIRECTA EL DÍA 25 DE OCTUBRE DEL AÑO 2014 EN UN HORARIO DE 10 A 11 HORAS, ENTREGANDO LA RESPUESTA EL DÍA 25 DE OCTUBRE DEL 2024 A LAS 15:32 HORAS, LO QUE RESULTA IMPOSIBLE DE PRESENTARME, YA QUE LA CONSULTA ESTA PROGRAMADA HORAS ANTES DE NOTIFICARME DE LA RESPUESTA, EN UN ACTO DE TOTAL IRREGULARIDAD CON EL PROPÓSITO DE </w:t>
            </w:r>
            <w:r w:rsidRPr="000959FC">
              <w:rPr>
                <w:rFonts w:ascii="Palatino Linotype" w:eastAsia="Palatino Linotype" w:hAnsi="Palatino Linotype" w:cs="Palatino Linotype"/>
                <w:i/>
                <w:sz w:val="22"/>
                <w:szCs w:val="22"/>
              </w:rPr>
              <w:lastRenderedPageBreak/>
              <w:t>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00656/TEMAMATL/IP/2024 - 06826/INFOEM/IP/RR/2024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firstLine="708"/>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 xml:space="preserve">EL SUJETO OBLIGADO EN SU RESPUESTA DETERMINA QUE LA INFORMACIÓN SERÁ ENTREGADA A TRAVÉS DE CONSULTA DIRECTA EL DÍA 25 DE OCTUBRE DEL AÑO 2014 EN UN HORARIO DE 10 A 11 HORAS, ENTREGANDO LA RESPUESTA EL DÍA 25 DE OCTUBRE DEL 2024 A LAS 15:34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w:t>
            </w:r>
            <w:r w:rsidRPr="000959FC">
              <w:rPr>
                <w:rFonts w:ascii="Palatino Linotype" w:eastAsia="Palatino Linotype" w:hAnsi="Palatino Linotype" w:cs="Palatino Linotype"/>
                <w:i/>
                <w:sz w:val="22"/>
                <w:szCs w:val="22"/>
              </w:rPr>
              <w:lastRenderedPageBreak/>
              <w:t>EL SUJETO OBLIGADO ENTORPESE EL DERECHO AL ACCESO DE LA INFORMACION SOLICITADA, EN UN ACTO DE CLARA OPACIDAD, POR LO QUE SOLICITO QUE LA INFORMACION SEA ENTREGADA A TRAVES DE ESTA PLATAFORMA” (sic)</w:t>
            </w:r>
          </w:p>
          <w:p w:rsidR="003C1162" w:rsidRPr="000959FC" w:rsidRDefault="003C1162">
            <w:pPr>
              <w:ind w:left="33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00657/TEMAMATL/IP/2024 - 06828/INFOEM/IP/RR/2024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firstLine="708"/>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EL SUJETO OBLIGADO EN SU RESPUESTA DETERMINA QUE LA INFORMACIÓN SERÁ ENTREGADA A TRAVÉS DE CONSULTA DIRECTA EL DÍA 25 DE OCTUBRE DEL AÑO 2014 EN UN HORARIO DE 10 A 11 HORAS, ENTREGANDO LA RESPUESTA EL DÍA 25 DE OCTUBRE DEL 2024 A LAS 15:36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00658/TEMAMATL/IP/2024 - 06829/INFOEM/IP/RR/2024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firstLine="708"/>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EL SUJETO OBLIGADO EN SU RESPUESTA DETERMINA QUE LA INFORMACIÓN SERÁ ENTREGADA A TRAVÉS DE CONSULTA DIRECTA EL DÍA 25 DE OCTUBRE DEL AÑO 2014 EN UN HORARIO DE 10 A 11 HORAS, ENTREGANDO LA RESPUESTA EL DÍA 25 DE OCTUBRE DEL 2024 A LAS 15:38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3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00659/TEMAMATL/IP/2024 - 06830/INFOEM/IP/RR/2024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firstLine="708"/>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 xml:space="preserve">EL SUJETO OBLIGADO EN SU RESPUESTA DETERMINA QUE LA INFORMACIÓN SERÁ ENTREGADA A TRAVÉS DE CONSULTA DIRECTA EL DÍA 25 DE OCTUBRE DEL AÑO 2014 EN UN </w:t>
            </w:r>
            <w:r w:rsidRPr="000959FC">
              <w:rPr>
                <w:rFonts w:ascii="Palatino Linotype" w:eastAsia="Palatino Linotype" w:hAnsi="Palatino Linotype" w:cs="Palatino Linotype"/>
                <w:i/>
                <w:sz w:val="22"/>
                <w:szCs w:val="22"/>
              </w:rPr>
              <w:lastRenderedPageBreak/>
              <w:t>HORARIO DE 10 A 11 HORAS, ENTREGANDO LA RESPUESTA EL DÍA 25 DE OCTUBRE DEL 2024 A LAS 15:41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17"/>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00660/TEMAMATL/IP/2024 - 06831/INFOEM/IP/RR/2024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firstLine="708"/>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 xml:space="preserve">EL SUJETO OBLIGADO EN SU RESPUESTA DETERMINA QUE LA INFORMACIÓN SERÁ ENTREGADA A TRAVÉS DE CONSULTA DIRECTA EL DÍA 25 DE OCTUBRE DEL AÑO 2014 EN UN HORARIO DE 10 A 11 HORAS, ENTREGANDO LA RESPUESTA EL DÍA 25 DE OCTUBRE DEL 2024 A LAS 15:42 HORAS, LO QUE RESULTA IMPOSIBLE DE PRESENTARME, YA QUE LA CONSULTA ESTA PROGRAMADA HORAS ANTES DE NOTIFICARME DE LA RESPUESTA, EN UN ACTO DE TOTAL IRREGULARIDAD CON EL PROPÓSITO DE OBSTACULIZAR LA ENTREGA DE INFORMACIÓN, </w:t>
            </w:r>
            <w:r w:rsidRPr="000959FC">
              <w:rPr>
                <w:rFonts w:ascii="Palatino Linotype" w:eastAsia="Palatino Linotype" w:hAnsi="Palatino Linotype" w:cs="Palatino Linotype"/>
                <w:i/>
                <w:sz w:val="22"/>
                <w:szCs w:val="22"/>
              </w:rPr>
              <w:lastRenderedPageBreak/>
              <w:t>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3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00713/TEMAMATL/IP/2024 - 06845/INFOEM/IP/RR/2024</w:t>
            </w:r>
          </w:p>
          <w:p w:rsidR="003C1162" w:rsidRPr="000959FC" w:rsidRDefault="003C1162">
            <w:pPr>
              <w:jc w:val="both"/>
              <w:rPr>
                <w:rFonts w:ascii="Palatino Linotype" w:eastAsia="Palatino Linotype" w:hAnsi="Palatino Linotype" w:cs="Palatino Linotype"/>
                <w:sz w:val="22"/>
                <w:szCs w:val="22"/>
              </w:rPr>
            </w:pPr>
          </w:p>
          <w:p w:rsidR="003C1162" w:rsidRPr="000959FC" w:rsidRDefault="003C1162">
            <w:pPr>
              <w:jc w:val="both"/>
              <w:rPr>
                <w:rFonts w:ascii="Palatino Linotype" w:eastAsia="Palatino Linotype" w:hAnsi="Palatino Linotype" w:cs="Palatino Linotype"/>
                <w:sz w:val="22"/>
                <w:szCs w:val="22"/>
              </w:rPr>
            </w:pPr>
          </w:p>
        </w:tc>
        <w:tc>
          <w:tcPr>
            <w:tcW w:w="5714" w:type="dxa"/>
          </w:tcPr>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firstLine="708"/>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 xml:space="preserve">EL SUJETO OBLIGADO EN SU RESPUESTA DETERMINA QUE LA INFORMACIÓN SERÁ ENTREGADA A TRAVÉS DE CONSULTA DIRECTA EL DÍA 25 DE OCTUBRE DEL AÑO 2014 EN UN HORARIO DE 10 A 11 HORAS, ENTREGANDO LA RESPUESTA EL DÍA 25 DE OCTUBRE DEL 2024 A LAS 16:18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w:t>
            </w:r>
            <w:r w:rsidRPr="000959FC">
              <w:rPr>
                <w:rFonts w:ascii="Palatino Linotype" w:eastAsia="Palatino Linotype" w:hAnsi="Palatino Linotype" w:cs="Palatino Linotype"/>
                <w:i/>
                <w:sz w:val="22"/>
                <w:szCs w:val="22"/>
              </w:rPr>
              <w:lastRenderedPageBreak/>
              <w:t>AL ACCESO DE LA INFORMACION SOLICITADA, EN UN ACTO DE CLARA OPACIDAD, POR LO QUE SOLICITO QUE LA INFORMACION SEA ENTREGADA A TRAVES DE ESTA PLATAFORMA” (sic)</w:t>
            </w:r>
          </w:p>
          <w:p w:rsidR="003C1162" w:rsidRPr="000959FC" w:rsidRDefault="003C1162">
            <w:pPr>
              <w:ind w:left="33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rsidR="003C1162" w:rsidRPr="000959FC" w:rsidRDefault="00F47EF3">
            <w:pPr>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00714/TEMAMATL/IP/2024 - 06846/INFOEM/IP/RR/2024</w:t>
            </w:r>
          </w:p>
        </w:tc>
        <w:tc>
          <w:tcPr>
            <w:tcW w:w="5714" w:type="dxa"/>
          </w:tcPr>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Acto impugnado:</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i/>
                <w:sz w:val="22"/>
                <w:szCs w:val="22"/>
              </w:rPr>
              <w:t xml:space="preserve">RESPUESTA OTORGADA” (Sic) </w:t>
            </w:r>
          </w:p>
          <w:p w:rsidR="003C1162" w:rsidRPr="000959FC" w:rsidRDefault="003C1162">
            <w:pPr>
              <w:ind w:left="317" w:firstLine="708"/>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p>
          <w:p w:rsidR="003C1162" w:rsidRPr="000959FC" w:rsidRDefault="00F47EF3">
            <w:pPr>
              <w:numPr>
                <w:ilvl w:val="0"/>
                <w:numId w:val="10"/>
              </w:numPr>
              <w:ind w:left="317" w:firstLine="0"/>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sz w:val="22"/>
                <w:szCs w:val="22"/>
              </w:rPr>
              <w:t>Razones o Motivos de inconformidad: “</w:t>
            </w:r>
            <w:r w:rsidRPr="000959FC">
              <w:rPr>
                <w:rFonts w:ascii="Palatino Linotype" w:eastAsia="Palatino Linotype" w:hAnsi="Palatino Linotype" w:cs="Palatino Linotype"/>
                <w:i/>
                <w:sz w:val="22"/>
                <w:szCs w:val="22"/>
              </w:rPr>
              <w:t>EL SUJETO OBLIGADO EN SU RESPUESTA DETERMINA QUE LA INFORMACIÓN SERÁ ENTREGADA A TRAVÉS DE CONSULTA DIRECTA EL DÍA 25 DE OCTUBRE DEL AÑO 2014 EN UN HORARIO DE 10 A 11 HORAS, ENTREGANDO LA RESPUESTA EL DÍA 25 DE OCTUBRE DEL 2024 A LAS 16:20 HORAS, LO QUE RESULTA IMPOSIBLE DE PRESENTARME, YA QUE LA CONSULTA ESTA PROGRAMADA HORAS ANTES DE NOTIFICARME DE LA RESPUESTA, EN UN ACTO DE TOTAL IRREGULARIDAD CON EL PROPÓSITO DE OBSTACULIZAR LA ENTREGA DE INFORMACIÓN, ACTUANDO DE MANERA MALICIOSA Y MALINTENCIONADA MENOSCABANDO LO ESTIPULADO EN LOS ARTICULOS 4, 7 Y 24 FRACCION XVII, XIX, XXII, XXIII DE LA LEY DE TRANSPARENCIA Y ACCESO A LA INFORMACION PUBLICA DEL ESTADO DE MEXICO, DEMOSTRANDO DE MANERA RECURRENTE QUE EL SUJETO OBLIGADO ENTORPESE EL DERECHO AL ACCESO DE LA INFORMACION SOLICITADA, EN UN ACTO DE CLARA OPACIDAD, POR LO QUE SOLICITO QUE LA INFORMACION SEA ENTREGADA A TRAVES DE ESTA PLATAFORMA” (sic)</w:t>
            </w:r>
          </w:p>
          <w:p w:rsidR="003C1162" w:rsidRPr="000959FC" w:rsidRDefault="003C1162">
            <w:pPr>
              <w:ind w:left="33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p>
        </w:tc>
      </w:tr>
    </w:tbl>
    <w:p w:rsidR="003C1162" w:rsidRPr="000959FC" w:rsidRDefault="003C1162">
      <w:pPr>
        <w:tabs>
          <w:tab w:val="left" w:pos="851"/>
        </w:tabs>
        <w:spacing w:line="360" w:lineRule="auto"/>
        <w:ind w:right="567"/>
        <w:jc w:val="both"/>
        <w:rPr>
          <w:rFonts w:ascii="Palatino Linotype" w:eastAsia="Palatino Linotype" w:hAnsi="Palatino Linotype" w:cs="Palatino Linotype"/>
          <w:sz w:val="22"/>
          <w:szCs w:val="22"/>
        </w:rPr>
      </w:pPr>
    </w:p>
    <w:p w:rsidR="003C1162" w:rsidRPr="000959FC" w:rsidRDefault="00F47EF3">
      <w:pPr>
        <w:numPr>
          <w:ilvl w:val="0"/>
          <w:numId w:val="1"/>
        </w:numPr>
        <w:spacing w:line="360" w:lineRule="auto"/>
        <w:ind w:left="0" w:firstLine="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sz w:val="22"/>
          <w:szCs w:val="22"/>
        </w:rPr>
        <w:lastRenderedPageBreak/>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sidRPr="000959FC">
        <w:rPr>
          <w:rFonts w:ascii="Palatino Linotype" w:eastAsia="Palatino Linotype" w:hAnsi="Palatino Linotype" w:cs="Palatino Linotype"/>
          <w:b/>
          <w:sz w:val="22"/>
          <w:szCs w:val="22"/>
        </w:rPr>
        <w:t>Comisionada María del Rosario Mejía Ayala</w:t>
      </w:r>
      <w:r w:rsidRPr="000959FC">
        <w:rPr>
          <w:rFonts w:ascii="Palatino Linotype" w:eastAsia="Palatino Linotype" w:hAnsi="Palatino Linotype" w:cs="Palatino Linotype"/>
          <w:sz w:val="22"/>
          <w:szCs w:val="22"/>
        </w:rPr>
        <w:t xml:space="preserve"> con el objeto de su análisis.</w:t>
      </w:r>
    </w:p>
    <w:p w:rsidR="003C1162" w:rsidRPr="000959FC" w:rsidRDefault="003C1162">
      <w:pPr>
        <w:spacing w:line="360" w:lineRule="auto"/>
        <w:jc w:val="both"/>
        <w:rPr>
          <w:rFonts w:ascii="Palatino Linotype" w:eastAsia="Palatino Linotype" w:hAnsi="Palatino Linotype" w:cs="Palatino Linotype"/>
          <w:i/>
          <w:color w:val="000000"/>
          <w:sz w:val="22"/>
          <w:szCs w:val="22"/>
        </w:rPr>
      </w:pPr>
    </w:p>
    <w:p w:rsidR="003C1162" w:rsidRPr="000959FC" w:rsidRDefault="00F47EF3">
      <w:pPr>
        <w:numPr>
          <w:ilvl w:val="0"/>
          <w:numId w:val="1"/>
        </w:numPr>
        <w:spacing w:line="360" w:lineRule="auto"/>
        <w:ind w:left="0" w:firstLine="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sz w:val="22"/>
          <w:szCs w:val="22"/>
        </w:rPr>
        <w:t xml:space="preserve">La Comisionada Ponente con fundamento en lo dispuesto por el artículo 185 fracción II de la ley de la materia, a través del acuerdo de admisión del treinta (30) y treinta y uno (31) de octubre y cuatro (04) y cinco (05) de noviembre de dos mil veinticuatro, puso a disposición de las partes el expediente electrónico vía Sistema de Acceso a la Información Mexiquense </w:t>
      </w:r>
      <w:r w:rsidRPr="000959FC">
        <w:rPr>
          <w:rFonts w:ascii="Palatino Linotype" w:eastAsia="Palatino Linotype" w:hAnsi="Palatino Linotype" w:cs="Palatino Linotype"/>
          <w:b/>
          <w:sz w:val="22"/>
          <w:szCs w:val="22"/>
        </w:rPr>
        <w:t xml:space="preserve">(SAIMEX) </w:t>
      </w:r>
      <w:r w:rsidRPr="000959FC">
        <w:rPr>
          <w:rFonts w:ascii="Palatino Linotype" w:eastAsia="Palatino Linotype" w:hAnsi="Palatino Linotype" w:cs="Palatino Linotype"/>
          <w:sz w:val="22"/>
          <w:szCs w:val="22"/>
        </w:rPr>
        <w:t xml:space="preserve">a efecto de que en un plazo máximo de siete días manifestaran lo que a derecho convinieran, ofrecieran pruebas y alegatos según corresponda al caso concreto, de esta forma para que el </w:t>
      </w:r>
      <w:r w:rsidRPr="000959FC">
        <w:rPr>
          <w:rFonts w:ascii="Palatino Linotype" w:eastAsia="Palatino Linotype" w:hAnsi="Palatino Linotype" w:cs="Palatino Linotype"/>
          <w:b/>
          <w:sz w:val="22"/>
          <w:szCs w:val="22"/>
        </w:rPr>
        <w:t>SUJETO OBLIGADO</w:t>
      </w:r>
      <w:r w:rsidRPr="000959FC">
        <w:rPr>
          <w:rFonts w:ascii="Palatino Linotype" w:eastAsia="Palatino Linotype" w:hAnsi="Palatino Linotype" w:cs="Palatino Linotype"/>
          <w:sz w:val="22"/>
          <w:szCs w:val="22"/>
        </w:rPr>
        <w:t xml:space="preserve"> presentara el Informe Justificado procedente.  </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spacing w:line="360" w:lineRule="auto"/>
        <w:ind w:left="0" w:firstLine="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sz w:val="22"/>
          <w:szCs w:val="22"/>
        </w:rPr>
        <w:t>Posteriormente el Pleno de este Órgano Autónomo, en la</w:t>
      </w:r>
      <w:r w:rsidRPr="000959FC">
        <w:rPr>
          <w:rFonts w:ascii="Palatino Linotype" w:eastAsia="Palatino Linotype" w:hAnsi="Palatino Linotype" w:cs="Palatino Linotype"/>
          <w:b/>
          <w:sz w:val="22"/>
          <w:szCs w:val="22"/>
        </w:rPr>
        <w:t xml:space="preserve"> Trigésima Novena Sesión Ordinaria </w:t>
      </w:r>
      <w:r w:rsidRPr="000959FC">
        <w:rPr>
          <w:rFonts w:ascii="Palatino Linotype" w:eastAsia="Palatino Linotype" w:hAnsi="Palatino Linotype" w:cs="Palatino Linotype"/>
          <w:sz w:val="22"/>
          <w:szCs w:val="22"/>
        </w:rPr>
        <w:t xml:space="preserve">de fecha </w:t>
      </w:r>
      <w:r w:rsidRPr="000959FC">
        <w:rPr>
          <w:rFonts w:ascii="Palatino Linotype" w:eastAsia="Palatino Linotype" w:hAnsi="Palatino Linotype" w:cs="Palatino Linotype"/>
          <w:b/>
          <w:sz w:val="22"/>
          <w:szCs w:val="22"/>
        </w:rPr>
        <w:t>trece (13) de noviembre de dos mil veinticuatro</w:t>
      </w:r>
      <w:r w:rsidRPr="000959FC">
        <w:rPr>
          <w:rFonts w:ascii="Palatino Linotype" w:eastAsia="Palatino Linotype" w:hAnsi="Palatino Linotype" w:cs="Palatino Linotype"/>
          <w:sz w:val="22"/>
          <w:szCs w:val="22"/>
        </w:rPr>
        <w:t xml:space="preserve">; ordenó la acumulación de los recursos de revisión de mérito, a efecto de que la Ponencia de la </w:t>
      </w:r>
      <w:r w:rsidRPr="000959FC">
        <w:rPr>
          <w:rFonts w:ascii="Palatino Linotype" w:eastAsia="Palatino Linotype" w:hAnsi="Palatino Linotype" w:cs="Palatino Linotype"/>
          <w:b/>
          <w:sz w:val="22"/>
          <w:szCs w:val="22"/>
        </w:rPr>
        <w:t xml:space="preserve">Comisionada María del Rosario Mejía Ayala </w:t>
      </w:r>
      <w:r w:rsidRPr="000959FC">
        <w:rPr>
          <w:rFonts w:ascii="Palatino Linotype" w:eastAsia="Palatino Linotype" w:hAnsi="Palatino Linotype" w:cs="Palatino Linotype"/>
          <w:sz w:val="22"/>
          <w:szCs w:val="22"/>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0959FC">
        <w:rPr>
          <w:rFonts w:ascii="Palatino Linotype" w:eastAsia="Palatino Linotype" w:hAnsi="Palatino Linotype" w:cs="Palatino Linotype"/>
          <w:sz w:val="22"/>
          <w:szCs w:val="22"/>
          <w:vertAlign w:val="superscript"/>
        </w:rPr>
        <w:footnoteReference w:id="1"/>
      </w:r>
      <w:r w:rsidRPr="000959FC">
        <w:rPr>
          <w:rFonts w:ascii="Palatino Linotype" w:eastAsia="Palatino Linotype" w:hAnsi="Palatino Linotype" w:cs="Palatino Linotype"/>
          <w:sz w:val="22"/>
          <w:szCs w:val="22"/>
        </w:rPr>
        <w:t>, que señala:</w:t>
      </w:r>
    </w:p>
    <w:p w:rsidR="003C1162" w:rsidRPr="000959FC" w:rsidRDefault="003C116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3C1162" w:rsidRPr="000959FC" w:rsidRDefault="00F47EF3">
      <w:pPr>
        <w:pBdr>
          <w:top w:val="nil"/>
          <w:left w:val="nil"/>
          <w:bottom w:val="nil"/>
          <w:right w:val="nil"/>
          <w:between w:val="nil"/>
        </w:pBdr>
        <w:tabs>
          <w:tab w:val="left" w:pos="709"/>
        </w:tabs>
        <w:spacing w:line="360" w:lineRule="auto"/>
        <w:ind w:left="1134" w:right="618"/>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lastRenderedPageBreak/>
        <w:t>“ONCE.</w:t>
      </w:r>
      <w:r w:rsidRPr="000959FC">
        <w:rPr>
          <w:rFonts w:ascii="Palatino Linotype" w:eastAsia="Palatino Linotype" w:hAnsi="Palatino Linotype" w:cs="Palatino Linotype"/>
          <w:i/>
          <w:color w:val="000000"/>
          <w:sz w:val="22"/>
          <w:szCs w:val="22"/>
        </w:rPr>
        <w:t xml:space="preserve"> El Instituto, para mejor resolver y evitar la emisión de resoluciones contradictorias, podrá acordar la acumulación de los expedientes de recursos de revisión, de oficio o a petición de parte cuando:</w:t>
      </w:r>
    </w:p>
    <w:p w:rsidR="003C1162" w:rsidRPr="000959FC" w:rsidRDefault="00F47EF3">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w:t>
      </w:r>
      <w:r w:rsidRPr="000959FC">
        <w:rPr>
          <w:rFonts w:ascii="Palatino Linotype" w:eastAsia="Palatino Linotype" w:hAnsi="Palatino Linotype" w:cs="Palatino Linotype"/>
          <w:i/>
          <w:color w:val="000000"/>
          <w:sz w:val="22"/>
          <w:szCs w:val="22"/>
        </w:rPr>
        <w:tab/>
      </w:r>
    </w:p>
    <w:p w:rsidR="003C1162" w:rsidRPr="000959FC" w:rsidRDefault="00F47EF3">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b) Las partes o los actos impugnados sean iguales</w:t>
      </w:r>
    </w:p>
    <w:p w:rsidR="003C1162" w:rsidRPr="000959FC" w:rsidRDefault="00F47EF3">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c) Cuando se trate del mismo solicitante, el mismo SUJETO OBLIGADO, aunque se trate de solicitudes diversas;</w:t>
      </w:r>
    </w:p>
    <w:p w:rsidR="003C1162" w:rsidRPr="000959FC" w:rsidRDefault="00F47EF3">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w:t>
      </w:r>
    </w:p>
    <w:p w:rsidR="003C1162" w:rsidRPr="000959FC" w:rsidRDefault="00F47EF3">
      <w:pPr>
        <w:pBdr>
          <w:top w:val="nil"/>
          <w:left w:val="nil"/>
          <w:bottom w:val="nil"/>
          <w:right w:val="nil"/>
          <w:between w:val="nil"/>
        </w:pBdr>
        <w:spacing w:line="360" w:lineRule="auto"/>
        <w:ind w:left="1134" w:right="90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(Énfasis añadido)</w:t>
      </w:r>
    </w:p>
    <w:p w:rsidR="003C1162" w:rsidRPr="000959FC" w:rsidRDefault="003C1162">
      <w:pPr>
        <w:pBdr>
          <w:top w:val="nil"/>
          <w:left w:val="nil"/>
          <w:bottom w:val="nil"/>
          <w:right w:val="nil"/>
          <w:between w:val="nil"/>
        </w:pBdr>
        <w:spacing w:line="360" w:lineRule="auto"/>
        <w:ind w:left="1134" w:right="900"/>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Es así que,</w:t>
      </w:r>
      <w:r w:rsidRPr="000959FC">
        <w:rPr>
          <w:rFonts w:ascii="Palatino Linotype" w:eastAsia="Palatino Linotype" w:hAnsi="Palatino Linotype" w:cs="Palatino Linotype"/>
          <w:i/>
          <w:color w:val="000000"/>
          <w:sz w:val="22"/>
          <w:szCs w:val="22"/>
        </w:rPr>
        <w:t xml:space="preserve"> </w:t>
      </w:r>
      <w:r w:rsidRPr="000959FC">
        <w:rPr>
          <w:rFonts w:ascii="Palatino Linotype" w:eastAsia="Palatino Linotype" w:hAnsi="Palatino Linotype" w:cs="Palatino Linotype"/>
          <w:color w:val="000000"/>
          <w:sz w:val="22"/>
          <w:szCs w:val="22"/>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p>
    <w:p w:rsidR="003C1162" w:rsidRPr="000959FC" w:rsidRDefault="00F47EF3">
      <w:pPr>
        <w:pBdr>
          <w:top w:val="nil"/>
          <w:left w:val="nil"/>
          <w:bottom w:val="nil"/>
          <w:right w:val="nil"/>
          <w:between w:val="nil"/>
        </w:pBdr>
        <w:spacing w:line="360" w:lineRule="auto"/>
        <w:ind w:left="1134" w:right="900"/>
        <w:jc w:val="both"/>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Código de Procedimientos Administrativos del Estado de México.</w:t>
      </w:r>
    </w:p>
    <w:p w:rsidR="003C1162" w:rsidRPr="000959FC" w:rsidRDefault="00F47EF3">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“Artículo 18.-</w:t>
      </w:r>
      <w:r w:rsidRPr="000959FC">
        <w:rPr>
          <w:rFonts w:ascii="Palatino Linotype" w:eastAsia="Palatino Linotype" w:hAnsi="Palatino Linotype" w:cs="Palatino Linotype"/>
          <w:i/>
          <w:color w:val="000000"/>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3C1162" w:rsidRPr="000959FC" w:rsidRDefault="00F47EF3">
      <w:pPr>
        <w:pBdr>
          <w:top w:val="nil"/>
          <w:left w:val="nil"/>
          <w:bottom w:val="nil"/>
          <w:right w:val="nil"/>
          <w:between w:val="nil"/>
        </w:pBdr>
        <w:spacing w:line="360" w:lineRule="auto"/>
        <w:ind w:left="1134" w:right="900"/>
        <w:jc w:val="both"/>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lastRenderedPageBreak/>
        <w:t>Ley de Transparencia y Acceso a la Información Pública del Estado de México y Municipios</w:t>
      </w:r>
    </w:p>
    <w:p w:rsidR="003C1162" w:rsidRPr="000959FC" w:rsidRDefault="00F47EF3">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“Artículo 195.</w:t>
      </w:r>
      <w:r w:rsidRPr="000959FC">
        <w:rPr>
          <w:rFonts w:ascii="Palatino Linotype" w:eastAsia="Palatino Linotype" w:hAnsi="Palatino Linotype" w:cs="Palatino Linotype"/>
          <w:i/>
          <w:color w:val="000000"/>
          <w:sz w:val="22"/>
          <w:szCs w:val="22"/>
        </w:rPr>
        <w:t xml:space="preserve"> En la tramitación del recurso de revisión se aplicarán supletoriamente las disposiciones contenidas en el Código de Procedimientos Administrativos del Estado de México.”</w:t>
      </w:r>
    </w:p>
    <w:p w:rsidR="003C1162" w:rsidRPr="000959FC" w:rsidRDefault="00F47EF3">
      <w:pPr>
        <w:pBdr>
          <w:top w:val="nil"/>
          <w:left w:val="nil"/>
          <w:bottom w:val="nil"/>
          <w:right w:val="nil"/>
          <w:between w:val="nil"/>
        </w:pBdr>
        <w:spacing w:line="360" w:lineRule="auto"/>
        <w:ind w:left="1134" w:right="900" w:firstLine="36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(Énfasis añadido)</w:t>
      </w:r>
    </w:p>
    <w:p w:rsidR="003C1162" w:rsidRPr="000959FC" w:rsidRDefault="003C1162">
      <w:pPr>
        <w:spacing w:line="360" w:lineRule="auto"/>
        <w:jc w:val="both"/>
        <w:rPr>
          <w:rFonts w:ascii="Palatino Linotype" w:eastAsia="Palatino Linotype" w:hAnsi="Palatino Linotype" w:cs="Palatino Linotype"/>
          <w:i/>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Derivado de ello, el tres (03) de diciembre de dos mil veinticuatro, se notificó el acuerdo de acumulación. </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color w:val="000000"/>
          <w:sz w:val="22"/>
          <w:szCs w:val="22"/>
        </w:rPr>
        <w:t>De las constancias que obran en el expediente electrónico SAIMEX, se advierte que el particular no realizó manifestaciones, ni ofreció pruebas o alegatos que a su derecho conviniera; por su parte, el Sujeto Obligado no remitió informe justificado.</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b/>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El veintinueve (29) de noviembre de dos mil veinticuatro, se realizó un requerimiento de información adicional al Sujeto Obligado,</w:t>
      </w:r>
      <w:r w:rsidR="00CC5CCC" w:rsidRPr="000959FC">
        <w:rPr>
          <w:rFonts w:ascii="Palatino Linotype" w:eastAsia="Palatino Linotype" w:hAnsi="Palatino Linotype" w:cs="Palatino Linotype"/>
          <w:color w:val="000000"/>
          <w:sz w:val="22"/>
          <w:szCs w:val="22"/>
        </w:rPr>
        <w:t xml:space="preserve"> a través de correo electrónico institucional,</w:t>
      </w:r>
      <w:r w:rsidRPr="000959FC">
        <w:rPr>
          <w:rFonts w:ascii="Palatino Linotype" w:eastAsia="Palatino Linotype" w:hAnsi="Palatino Linotype" w:cs="Palatino Linotype"/>
          <w:color w:val="000000"/>
          <w:sz w:val="22"/>
          <w:szCs w:val="22"/>
        </w:rPr>
        <w:t xml:space="preserve"> en el siguiente sentido:</w:t>
      </w:r>
    </w:p>
    <w:p w:rsidR="003C1162" w:rsidRPr="000959FC" w:rsidRDefault="003C1162">
      <w:pPr>
        <w:rPr>
          <w:rFonts w:ascii="Palatino Linotype" w:eastAsia="Palatino Linotype" w:hAnsi="Palatino Linotype" w:cs="Palatino Linotype"/>
          <w:b/>
        </w:rPr>
      </w:pPr>
    </w:p>
    <w:p w:rsidR="003C1162" w:rsidRPr="000959FC" w:rsidRDefault="00F47EF3">
      <w:pPr>
        <w:spacing w:line="360" w:lineRule="auto"/>
        <w:ind w:left="851" w:right="900"/>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 xml:space="preserve">“Por tanto, con fundamento en el artículo 14, fracciones I, II, V y XVI, del Reglamento Interior del Instituto de Transparencia, Acceso a la Información Pública y Protección de Datos Personales del Estado de México y Municipios, publicado en la Gaceta de Gobierno el 17 de noviembre de 2020, con el objeto de contar con los elementos necesarios para la elaboración del proyecto de resolución correspondiente, se requiere informe lo siguiente. </w:t>
      </w:r>
    </w:p>
    <w:p w:rsidR="003C1162" w:rsidRPr="000959FC" w:rsidRDefault="003C1162">
      <w:pPr>
        <w:spacing w:line="360" w:lineRule="auto"/>
        <w:ind w:left="851" w:right="900"/>
        <w:jc w:val="both"/>
        <w:rPr>
          <w:rFonts w:ascii="Palatino Linotype" w:eastAsia="Palatino Linotype" w:hAnsi="Palatino Linotype" w:cs="Palatino Linotype"/>
          <w:i/>
          <w:sz w:val="22"/>
          <w:szCs w:val="22"/>
        </w:rPr>
      </w:pPr>
    </w:p>
    <w:p w:rsidR="003C1162" w:rsidRPr="000959FC" w:rsidRDefault="00F47EF3">
      <w:pPr>
        <w:numPr>
          <w:ilvl w:val="0"/>
          <w:numId w:val="13"/>
        </w:num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lastRenderedPageBreak/>
        <w:t>El cúmulo de información que representan los documentos, manifestando el  número de fojas; y</w:t>
      </w:r>
    </w:p>
    <w:p w:rsidR="003C1162" w:rsidRPr="000959FC" w:rsidRDefault="00F47EF3">
      <w:pPr>
        <w:numPr>
          <w:ilvl w:val="0"/>
          <w:numId w:val="13"/>
        </w:num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 xml:space="preserve">El peso en Megabytes o Gigabytes; </w:t>
      </w:r>
    </w:p>
    <w:p w:rsidR="003C1162" w:rsidRPr="000959FC" w:rsidRDefault="00F47EF3">
      <w:pPr>
        <w:numPr>
          <w:ilvl w:val="0"/>
          <w:numId w:val="13"/>
        </w:num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 xml:space="preserve">Mayores elementos que brinden certeza sobre la imposibilidad técnica administrativa o humana de manera excepcional </w:t>
      </w:r>
      <w:r w:rsidRPr="000959FC">
        <w:rPr>
          <w:rFonts w:ascii="Palatino Linotype" w:eastAsia="Palatino Linotype" w:hAnsi="Palatino Linotype" w:cs="Palatino Linotype"/>
          <w:b/>
          <w:i/>
          <w:color w:val="000000"/>
          <w:sz w:val="22"/>
          <w:szCs w:val="22"/>
        </w:rPr>
        <w:t xml:space="preserve">con los respectivos medios de convicción; </w:t>
      </w:r>
    </w:p>
    <w:p w:rsidR="003C1162" w:rsidRPr="000959FC" w:rsidRDefault="00F47EF3">
      <w:pPr>
        <w:numPr>
          <w:ilvl w:val="0"/>
          <w:numId w:val="13"/>
        </w:num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 xml:space="preserve">Realice el reporte de incidencias ante la Dirección de Informática, en el área de soporte técnico de este Instituto. </w:t>
      </w:r>
    </w:p>
    <w:p w:rsidR="003C1162" w:rsidRPr="000959FC" w:rsidRDefault="00F47EF3">
      <w:pPr>
        <w:numPr>
          <w:ilvl w:val="0"/>
          <w:numId w:val="13"/>
        </w:numPr>
        <w:pBdr>
          <w:top w:val="nil"/>
          <w:left w:val="nil"/>
          <w:bottom w:val="nil"/>
          <w:right w:val="nil"/>
          <w:between w:val="nil"/>
        </w:pBdr>
        <w:spacing w:line="360" w:lineRule="auto"/>
        <w:ind w:left="851" w:right="90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 xml:space="preserve">Acuerdo del Comité de Transparencia mediante el cual se apruebe ofrecer otros tipos de modalidad de consulta de información para el </w:t>
      </w:r>
      <w:r w:rsidRPr="000959FC">
        <w:rPr>
          <w:rFonts w:ascii="Palatino Linotype" w:eastAsia="Palatino Linotype" w:hAnsi="Palatino Linotype" w:cs="Palatino Linotype"/>
          <w:b/>
          <w:i/>
          <w:color w:val="000000"/>
          <w:sz w:val="22"/>
          <w:szCs w:val="22"/>
        </w:rPr>
        <w:t>RECURRENTE. “</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b/>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EL Sujeto Obligado no dio respuesta al requerimiento.</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rsidR="003C1162" w:rsidRPr="000959FC" w:rsidRDefault="00F47EF3">
      <w:pPr>
        <w:numPr>
          <w:ilvl w:val="0"/>
          <w:numId w:val="1"/>
        </w:numPr>
        <w:spacing w:line="360" w:lineRule="auto"/>
        <w:ind w:left="0" w:firstLine="0"/>
        <w:jc w:val="both"/>
        <w:rPr>
          <w:rFonts w:ascii="Palatino Linotype" w:eastAsia="Palatino Linotype" w:hAnsi="Palatino Linotype" w:cs="Palatino Linotype"/>
          <w:b/>
          <w:sz w:val="22"/>
          <w:szCs w:val="22"/>
        </w:rPr>
      </w:pPr>
      <w:r w:rsidRPr="000959FC">
        <w:rPr>
          <w:rFonts w:ascii="Palatino Linotype" w:eastAsia="Palatino Linotype" w:hAnsi="Palatino Linotype" w:cs="Palatino Linotype"/>
          <w:sz w:val="22"/>
          <w:szCs w:val="22"/>
        </w:rPr>
        <w:t>La Comisionada Ponente decretó el cierre de instrucción mediante acuerdo del cinco (05) de diciembre de dos mil veinticuatro, por lo que, ordenó turnar el expediente a resolución, misma que a continuación se pronuncia.</w:t>
      </w:r>
    </w:p>
    <w:p w:rsidR="003C1162" w:rsidRPr="000959FC" w:rsidRDefault="00F47EF3">
      <w:pPr>
        <w:keepNext/>
        <w:keepLines/>
        <w:spacing w:line="360" w:lineRule="auto"/>
        <w:jc w:val="center"/>
        <w:rPr>
          <w:rFonts w:ascii="Palatino Linotype" w:eastAsia="Palatino Linotype" w:hAnsi="Palatino Linotype" w:cs="Palatino Linotype"/>
          <w:b/>
          <w:sz w:val="22"/>
          <w:szCs w:val="22"/>
        </w:rPr>
      </w:pPr>
      <w:bookmarkStart w:id="2" w:name="_heading=h.1fob9te" w:colFirst="0" w:colLast="0"/>
      <w:bookmarkEnd w:id="2"/>
      <w:r w:rsidRPr="000959FC">
        <w:rPr>
          <w:rFonts w:ascii="Palatino Linotype" w:eastAsia="Palatino Linotype" w:hAnsi="Palatino Linotype" w:cs="Palatino Linotype"/>
          <w:b/>
          <w:sz w:val="22"/>
          <w:szCs w:val="22"/>
        </w:rPr>
        <w:t>CONSIDERANDO</w:t>
      </w:r>
    </w:p>
    <w:p w:rsidR="003C1162" w:rsidRPr="000959FC" w:rsidRDefault="003C1162">
      <w:pPr>
        <w:keepNext/>
        <w:keepLines/>
        <w:spacing w:line="360" w:lineRule="auto"/>
        <w:jc w:val="center"/>
        <w:rPr>
          <w:rFonts w:ascii="Palatino Linotype" w:eastAsia="Palatino Linotype" w:hAnsi="Palatino Linotype" w:cs="Palatino Linotype"/>
          <w:b/>
          <w:sz w:val="22"/>
          <w:szCs w:val="22"/>
        </w:rPr>
      </w:pPr>
    </w:p>
    <w:p w:rsidR="003C1162" w:rsidRPr="000959FC" w:rsidRDefault="00F47EF3">
      <w:pPr>
        <w:keepNext/>
        <w:keepLines/>
        <w:spacing w:line="360" w:lineRule="auto"/>
        <w:rPr>
          <w:rFonts w:ascii="Palatino Linotype" w:eastAsia="Palatino Linotype" w:hAnsi="Palatino Linotype" w:cs="Palatino Linotype"/>
          <w:b/>
          <w:sz w:val="22"/>
          <w:szCs w:val="22"/>
        </w:rPr>
      </w:pPr>
      <w:bookmarkStart w:id="3" w:name="_heading=h.3znysh7" w:colFirst="0" w:colLast="0"/>
      <w:bookmarkEnd w:id="3"/>
      <w:r w:rsidRPr="000959FC">
        <w:rPr>
          <w:rFonts w:ascii="Palatino Linotype" w:eastAsia="Palatino Linotype" w:hAnsi="Palatino Linotype" w:cs="Palatino Linotype"/>
          <w:b/>
          <w:sz w:val="22"/>
          <w:szCs w:val="22"/>
        </w:rPr>
        <w:t>PRIMERO. De la competencia.</w:t>
      </w:r>
    </w:p>
    <w:p w:rsidR="003C1162" w:rsidRPr="000959FC" w:rsidRDefault="003C1162">
      <w:pPr>
        <w:spacing w:line="360" w:lineRule="auto"/>
        <w:jc w:val="both"/>
        <w:rPr>
          <w:rFonts w:ascii="Palatino Linotype" w:eastAsia="Palatino Linotype" w:hAnsi="Palatino Linotype" w:cs="Palatino Linotype"/>
          <w:b/>
          <w:sz w:val="22"/>
          <w:szCs w:val="22"/>
        </w:rPr>
      </w:pPr>
    </w:p>
    <w:p w:rsidR="003C1162" w:rsidRPr="000959FC" w:rsidRDefault="00F47EF3">
      <w:pPr>
        <w:numPr>
          <w:ilvl w:val="0"/>
          <w:numId w:val="1"/>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959FC">
        <w:rPr>
          <w:rFonts w:ascii="Palatino Linotype" w:eastAsia="Palatino Linotype" w:hAnsi="Palatino Linotype" w:cs="Palatino Linotype"/>
          <w:b/>
          <w:color w:val="000000"/>
          <w:sz w:val="22"/>
          <w:szCs w:val="22"/>
        </w:rPr>
        <w:t>Constitución Política de los Estados Unidos Mexicanos</w:t>
      </w:r>
      <w:r w:rsidRPr="000959FC">
        <w:rPr>
          <w:rFonts w:ascii="Palatino Linotype" w:eastAsia="Palatino Linotype" w:hAnsi="Palatino Linotype" w:cs="Palatino Linotype"/>
          <w:color w:val="000000"/>
          <w:sz w:val="22"/>
          <w:szCs w:val="22"/>
        </w:rPr>
        <w:t xml:space="preserve">; 5, párrafos trigésimo segundo y trigésimo tercero, fracciones IV y V, de la </w:t>
      </w:r>
      <w:r w:rsidRPr="000959FC">
        <w:rPr>
          <w:rFonts w:ascii="Palatino Linotype" w:eastAsia="Palatino Linotype" w:hAnsi="Palatino Linotype" w:cs="Palatino Linotype"/>
          <w:b/>
          <w:color w:val="000000"/>
          <w:sz w:val="22"/>
          <w:szCs w:val="22"/>
        </w:rPr>
        <w:t>Constitución Política del Estado Libre y Soberano de México</w:t>
      </w:r>
      <w:r w:rsidRPr="000959FC">
        <w:rPr>
          <w:rFonts w:ascii="Palatino Linotype" w:eastAsia="Palatino Linotype" w:hAnsi="Palatino Linotype" w:cs="Palatino Linotype"/>
          <w:color w:val="000000"/>
          <w:sz w:val="22"/>
          <w:szCs w:val="22"/>
        </w:rPr>
        <w:t xml:space="preserve">; </w:t>
      </w:r>
      <w:r w:rsidRPr="000959FC">
        <w:rPr>
          <w:rFonts w:ascii="Palatino Linotype" w:eastAsia="Palatino Linotype" w:hAnsi="Palatino Linotype" w:cs="Palatino Linotype"/>
          <w:color w:val="000000"/>
          <w:sz w:val="22"/>
          <w:szCs w:val="22"/>
        </w:rPr>
        <w:lastRenderedPageBreak/>
        <w:t xml:space="preserve">artículos 1, 2 fracción II, 13, 29, 36 fracciones I y II, 176, 178, 179, 181 párrafo tercero y 185 de la </w:t>
      </w:r>
      <w:r w:rsidRPr="000959FC">
        <w:rPr>
          <w:rFonts w:ascii="Palatino Linotype" w:eastAsia="Palatino Linotype" w:hAnsi="Palatino Linotype" w:cs="Palatino Linotype"/>
          <w:b/>
          <w:color w:val="000000"/>
          <w:sz w:val="22"/>
          <w:szCs w:val="22"/>
        </w:rPr>
        <w:t>Ley de Transparencia y Acceso a la Información Pública del Estado de México y Municipios</w:t>
      </w:r>
      <w:r w:rsidRPr="000959FC">
        <w:rPr>
          <w:rFonts w:ascii="Palatino Linotype" w:eastAsia="Palatino Linotype" w:hAnsi="Palatino Linotype" w:cs="Palatino Linotype"/>
          <w:color w:val="000000"/>
          <w:sz w:val="22"/>
          <w:szCs w:val="22"/>
        </w:rPr>
        <w:t xml:space="preserve">; y 7, 9 fracciones I y XXIII, y 11 del </w:t>
      </w:r>
      <w:r w:rsidRPr="000959FC">
        <w:rPr>
          <w:rFonts w:ascii="Palatino Linotype" w:eastAsia="Palatino Linotype" w:hAnsi="Palatino Linotype" w:cs="Palatino Linotype"/>
          <w:b/>
          <w:color w:val="000000"/>
          <w:sz w:val="22"/>
          <w:szCs w:val="22"/>
        </w:rPr>
        <w:t>Reglamento Interior del Instituto de Transparencia, Acceso a la Información Pública y Protección de Datos Personales del Estado de México y Municipios.</w:t>
      </w:r>
    </w:p>
    <w:p w:rsidR="003C1162" w:rsidRPr="000959FC" w:rsidRDefault="00F47EF3">
      <w:pPr>
        <w:keepNext/>
        <w:keepLines/>
        <w:spacing w:line="360" w:lineRule="auto"/>
        <w:rPr>
          <w:rFonts w:ascii="Palatino Linotype" w:eastAsia="Palatino Linotype" w:hAnsi="Palatino Linotype" w:cs="Palatino Linotype"/>
          <w:b/>
          <w:sz w:val="22"/>
          <w:szCs w:val="22"/>
        </w:rPr>
      </w:pPr>
      <w:bookmarkStart w:id="4" w:name="_heading=h.2et92p0" w:colFirst="0" w:colLast="0"/>
      <w:bookmarkEnd w:id="4"/>
      <w:r w:rsidRPr="000959FC">
        <w:rPr>
          <w:rFonts w:ascii="Palatino Linotype" w:eastAsia="Palatino Linotype" w:hAnsi="Palatino Linotype" w:cs="Palatino Linotype"/>
          <w:b/>
          <w:sz w:val="22"/>
          <w:szCs w:val="22"/>
        </w:rPr>
        <w:t>SEGUNDO. De la oportunidad y procedencia.</w:t>
      </w:r>
    </w:p>
    <w:p w:rsidR="003C1162" w:rsidRPr="000959FC" w:rsidRDefault="003C1162">
      <w:pPr>
        <w:keepNext/>
        <w:keepLines/>
        <w:spacing w:line="360" w:lineRule="auto"/>
        <w:rPr>
          <w:rFonts w:ascii="Palatino Linotype" w:eastAsia="Palatino Linotype" w:hAnsi="Palatino Linotype" w:cs="Palatino Linotype"/>
          <w:b/>
          <w:sz w:val="22"/>
          <w:szCs w:val="22"/>
        </w:rPr>
      </w:pPr>
    </w:p>
    <w:p w:rsidR="003C1162" w:rsidRPr="000959FC" w:rsidRDefault="00F47EF3">
      <w:pPr>
        <w:numPr>
          <w:ilvl w:val="0"/>
          <w:numId w:val="1"/>
        </w:numPr>
        <w:spacing w:line="360" w:lineRule="auto"/>
        <w:ind w:left="0" w:right="48"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El medio de impugnación fue presentado a través del </w:t>
      </w:r>
      <w:r w:rsidRPr="000959FC">
        <w:rPr>
          <w:rFonts w:ascii="Palatino Linotype" w:eastAsia="Palatino Linotype" w:hAnsi="Palatino Linotype" w:cs="Palatino Linotype"/>
          <w:b/>
          <w:sz w:val="22"/>
          <w:szCs w:val="22"/>
        </w:rPr>
        <w:t>SAIMEX,</w:t>
      </w:r>
      <w:r w:rsidRPr="000959FC">
        <w:rPr>
          <w:rFonts w:ascii="Palatino Linotype" w:eastAsia="Palatino Linotype" w:hAnsi="Palatino Linotype" w:cs="Palatino Linotype"/>
          <w:sz w:val="22"/>
          <w:szCs w:val="22"/>
        </w:rPr>
        <w:t xml:space="preserve"> en el formato previamente aprobado para tal efecto y dentro del plazo legal de quince días hábiles otorgados; para el caso en particular es de señalar que el </w:t>
      </w:r>
      <w:r w:rsidRPr="000959FC">
        <w:rPr>
          <w:rFonts w:ascii="Palatino Linotype" w:eastAsia="Palatino Linotype" w:hAnsi="Palatino Linotype" w:cs="Palatino Linotype"/>
          <w:b/>
          <w:sz w:val="22"/>
          <w:szCs w:val="22"/>
        </w:rPr>
        <w:t>SUJETO OBLIGADO</w:t>
      </w:r>
      <w:r w:rsidRPr="000959FC">
        <w:rPr>
          <w:rFonts w:ascii="Palatino Linotype" w:eastAsia="Palatino Linotype" w:hAnsi="Palatino Linotype" w:cs="Palatino Linotype"/>
          <w:sz w:val="22"/>
          <w:szCs w:val="22"/>
        </w:rPr>
        <w:t xml:space="preserve"> entregó respuesta el veintidós y veinticinco de octubre de dos mil veinticuatro, de tal forma que el plazo para interponer el recurso transcurrió del veintitrés y veintiocho de octubre al trece y veinte de noviembre de dos mil veinticuatro, de acuerdo al calendario oficial del Instituto de Transparencia del Estado de México y Municipios; en consecuencia, si el particular presentó su inconformidad el día veintiocho, veintinueve y treinta de octubre de dos mil veinticuatro, se encuentra dentro de los márgenes temporales previstos en el artículo 178 de la </w:t>
      </w:r>
      <w:r w:rsidRPr="000959FC">
        <w:rPr>
          <w:rFonts w:ascii="Palatino Linotype" w:eastAsia="Palatino Linotype" w:hAnsi="Palatino Linotype" w:cs="Palatino Linotype"/>
          <w:b/>
          <w:sz w:val="22"/>
          <w:szCs w:val="22"/>
        </w:rPr>
        <w:t xml:space="preserve">Ley de Transparencia y Acceso a la Información Pública del Estado de México y Municipios </w:t>
      </w:r>
      <w:r w:rsidRPr="000959FC">
        <w:rPr>
          <w:rFonts w:ascii="Palatino Linotype" w:eastAsia="Palatino Linotype" w:hAnsi="Palatino Linotype" w:cs="Palatino Linotype"/>
          <w:sz w:val="22"/>
          <w:szCs w:val="22"/>
        </w:rPr>
        <w:t xml:space="preserve">vigente. </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spacing w:line="360" w:lineRule="auto"/>
        <w:ind w:left="0"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Por otra parte, de la revisión al expediente electrónico del </w:t>
      </w:r>
      <w:r w:rsidRPr="000959FC">
        <w:rPr>
          <w:rFonts w:ascii="Palatino Linotype" w:eastAsia="Palatino Linotype" w:hAnsi="Palatino Linotype" w:cs="Palatino Linotype"/>
          <w:b/>
          <w:sz w:val="22"/>
          <w:szCs w:val="22"/>
        </w:rPr>
        <w:t>SAIMEX</w:t>
      </w:r>
      <w:r w:rsidRPr="000959FC">
        <w:rPr>
          <w:rFonts w:ascii="Palatino Linotype" w:eastAsia="Palatino Linotype" w:hAnsi="Palatino Linotype" w:cs="Palatino Linotype"/>
          <w:sz w:val="22"/>
          <w:szCs w:val="22"/>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w:t>
      </w:r>
      <w:r w:rsidRPr="000959FC">
        <w:rPr>
          <w:rFonts w:ascii="Palatino Linotype" w:eastAsia="Palatino Linotype" w:hAnsi="Palatino Linotype" w:cs="Palatino Linotype"/>
          <w:sz w:val="22"/>
          <w:szCs w:val="22"/>
        </w:rPr>
        <w:lastRenderedPageBreak/>
        <w:t>a la información, ello en estricto apego al numeral 155 párrafo tercero de la Ley de la materia, en concatenación con el 180 del mismo ordenamiento.</w:t>
      </w:r>
    </w:p>
    <w:p w:rsidR="003C1162" w:rsidRPr="000959FC" w:rsidRDefault="003C1162">
      <w:pPr>
        <w:pBdr>
          <w:top w:val="nil"/>
          <w:left w:val="nil"/>
          <w:bottom w:val="nil"/>
          <w:right w:val="nil"/>
          <w:between w:val="nil"/>
        </w:pBdr>
        <w:rPr>
          <w:rFonts w:ascii="Palatino Linotype" w:eastAsia="Palatino Linotype" w:hAnsi="Palatino Linotype" w:cs="Palatino Linotype"/>
          <w:color w:val="000000"/>
          <w:sz w:val="22"/>
          <w:szCs w:val="22"/>
        </w:rPr>
      </w:pPr>
    </w:p>
    <w:p w:rsidR="003C1162" w:rsidRPr="000959FC" w:rsidRDefault="00F47EF3">
      <w:pPr>
        <w:numPr>
          <w:ilvl w:val="0"/>
          <w:numId w:val="1"/>
        </w:numPr>
        <w:spacing w:line="360" w:lineRule="auto"/>
        <w:ind w:left="0"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Esto es así, ya que de conformidad con los artículos 6, Apartado A, fracciones III y IV de la Constitución Política de los Estados Unidos Mexicanos y 5, párrafos vigésimo, vigésimo primero y vigésimo segundo 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3C1162" w:rsidRPr="000959FC" w:rsidRDefault="003C1162">
      <w:pPr>
        <w:pBdr>
          <w:top w:val="nil"/>
          <w:left w:val="nil"/>
          <w:bottom w:val="nil"/>
          <w:right w:val="nil"/>
          <w:between w:val="nil"/>
        </w:pBdr>
        <w:rPr>
          <w:rFonts w:ascii="Palatino Linotype" w:eastAsia="Palatino Linotype" w:hAnsi="Palatino Linotype" w:cs="Palatino Linotype"/>
          <w:color w:val="000000"/>
          <w:sz w:val="22"/>
          <w:szCs w:val="22"/>
        </w:rPr>
      </w:pPr>
    </w:p>
    <w:p w:rsidR="003C1162" w:rsidRPr="000959FC" w:rsidRDefault="00F47EF3">
      <w:pPr>
        <w:numPr>
          <w:ilvl w:val="0"/>
          <w:numId w:val="1"/>
        </w:numPr>
        <w:spacing w:line="360" w:lineRule="auto"/>
        <w:ind w:left="0"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C1162" w:rsidRPr="000959FC" w:rsidRDefault="003C1162">
      <w:pPr>
        <w:pBdr>
          <w:top w:val="nil"/>
          <w:left w:val="nil"/>
          <w:bottom w:val="nil"/>
          <w:right w:val="nil"/>
          <w:between w:val="nil"/>
        </w:pBdr>
        <w:rPr>
          <w:rFonts w:ascii="Palatino Linotype" w:eastAsia="Palatino Linotype" w:hAnsi="Palatino Linotype" w:cs="Palatino Linotype"/>
          <w:color w:val="000000"/>
          <w:sz w:val="22"/>
          <w:szCs w:val="22"/>
        </w:rPr>
      </w:pPr>
    </w:p>
    <w:p w:rsidR="003C1162" w:rsidRPr="000959FC" w:rsidRDefault="00F47EF3">
      <w:pPr>
        <w:numPr>
          <w:ilvl w:val="0"/>
          <w:numId w:val="1"/>
        </w:numPr>
        <w:spacing w:line="360" w:lineRule="auto"/>
        <w:ind w:left="0"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3C1162" w:rsidRPr="000959FC" w:rsidRDefault="003C1162">
      <w:pPr>
        <w:pBdr>
          <w:top w:val="nil"/>
          <w:left w:val="nil"/>
          <w:bottom w:val="nil"/>
          <w:right w:val="nil"/>
          <w:between w:val="nil"/>
        </w:pBdr>
        <w:rPr>
          <w:rFonts w:ascii="Palatino Linotype" w:eastAsia="Palatino Linotype" w:hAnsi="Palatino Linotype" w:cs="Palatino Linotype"/>
          <w:color w:val="000000"/>
          <w:sz w:val="22"/>
          <w:szCs w:val="22"/>
        </w:rPr>
      </w:pPr>
    </w:p>
    <w:p w:rsidR="003C1162" w:rsidRPr="000959FC" w:rsidRDefault="00F47EF3">
      <w:pPr>
        <w:numPr>
          <w:ilvl w:val="0"/>
          <w:numId w:val="1"/>
        </w:numPr>
        <w:spacing w:line="360" w:lineRule="auto"/>
        <w:ind w:left="0"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Por lo que el nombre del solicitando y recurrente no puede ser considerado un requisito indispensable de </w:t>
      </w:r>
      <w:proofErr w:type="spellStart"/>
      <w:r w:rsidRPr="000959FC">
        <w:rPr>
          <w:rFonts w:ascii="Palatino Linotype" w:eastAsia="Palatino Linotype" w:hAnsi="Palatino Linotype" w:cs="Palatino Linotype"/>
          <w:sz w:val="22"/>
          <w:szCs w:val="22"/>
        </w:rPr>
        <w:t>procedibilidad</w:t>
      </w:r>
      <w:proofErr w:type="spellEnd"/>
      <w:r w:rsidRPr="000959FC">
        <w:rPr>
          <w:rFonts w:ascii="Palatino Linotype" w:eastAsia="Palatino Linotype" w:hAnsi="Palatino Linotype" w:cs="Palatino Linotype"/>
          <w:sz w:val="22"/>
          <w:szCs w:val="22"/>
        </w:rPr>
        <w:t xml:space="preserve"> del recurso de revisión que nos ocupa, ya que el </w:t>
      </w:r>
      <w:r w:rsidRPr="000959FC">
        <w:rPr>
          <w:rFonts w:ascii="Palatino Linotype" w:eastAsia="Palatino Linotype" w:hAnsi="Palatino Linotype" w:cs="Palatino Linotype"/>
          <w:sz w:val="22"/>
          <w:szCs w:val="22"/>
        </w:rPr>
        <w:lastRenderedPageBreak/>
        <w:t xml:space="preserve">acceso a la información no está condicionado a acreditar algún interés ya sea jurídico o legítimo, máxime que es un elemento subsanable por este Órgano </w:t>
      </w:r>
      <w:proofErr w:type="spellStart"/>
      <w:r w:rsidRPr="000959FC">
        <w:rPr>
          <w:rFonts w:ascii="Palatino Linotype" w:eastAsia="Palatino Linotype" w:hAnsi="Palatino Linotype" w:cs="Palatino Linotype"/>
          <w:sz w:val="22"/>
          <w:szCs w:val="22"/>
        </w:rPr>
        <w:t>Resolutor</w:t>
      </w:r>
      <w:proofErr w:type="spellEnd"/>
      <w:r w:rsidRPr="000959FC">
        <w:rPr>
          <w:rFonts w:ascii="Palatino Linotype" w:eastAsia="Palatino Linotype" w:hAnsi="Palatino Linotype" w:cs="Palatino Linotype"/>
          <w:sz w:val="22"/>
          <w:szCs w:val="22"/>
        </w:rPr>
        <w:t>.</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b/>
          <w:sz w:val="22"/>
          <w:szCs w:val="22"/>
        </w:rPr>
      </w:pPr>
      <w:r w:rsidRPr="000959FC">
        <w:rPr>
          <w:rFonts w:ascii="Palatino Linotype" w:eastAsia="Palatino Linotype" w:hAnsi="Palatino Linotype" w:cs="Palatino Linotype"/>
          <w:sz w:val="22"/>
          <w:szCs w:val="22"/>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C1162" w:rsidRPr="000959FC" w:rsidRDefault="003C1162">
      <w:pPr>
        <w:spacing w:line="360" w:lineRule="auto"/>
        <w:ind w:right="49"/>
        <w:jc w:val="both"/>
        <w:rPr>
          <w:rFonts w:ascii="Palatino Linotype" w:eastAsia="Palatino Linotype" w:hAnsi="Palatino Linotype" w:cs="Palatino Linotype"/>
          <w:b/>
          <w:sz w:val="22"/>
          <w:szCs w:val="22"/>
        </w:rPr>
      </w:pPr>
    </w:p>
    <w:p w:rsidR="003C1162" w:rsidRPr="000959FC" w:rsidRDefault="00F47EF3">
      <w:pPr>
        <w:keepNext/>
        <w:keepLines/>
        <w:spacing w:line="360" w:lineRule="auto"/>
        <w:ind w:right="48"/>
        <w:rPr>
          <w:rFonts w:ascii="Palatino Linotype" w:eastAsia="Palatino Linotype" w:hAnsi="Palatino Linotype" w:cs="Palatino Linotype"/>
          <w:b/>
          <w:sz w:val="22"/>
          <w:szCs w:val="22"/>
        </w:rPr>
      </w:pPr>
      <w:bookmarkStart w:id="5" w:name="_heading=h.tyjcwt" w:colFirst="0" w:colLast="0"/>
      <w:bookmarkEnd w:id="5"/>
      <w:r w:rsidRPr="000959FC">
        <w:rPr>
          <w:rFonts w:ascii="Palatino Linotype" w:eastAsia="Palatino Linotype" w:hAnsi="Palatino Linotype" w:cs="Palatino Linotype"/>
          <w:b/>
          <w:sz w:val="22"/>
          <w:szCs w:val="22"/>
        </w:rPr>
        <w:t>TERCERO. Planteamiento de la Litis.</w:t>
      </w:r>
    </w:p>
    <w:p w:rsidR="003C1162" w:rsidRPr="000959FC" w:rsidRDefault="003C1162">
      <w:pPr>
        <w:keepNext/>
        <w:keepLines/>
        <w:spacing w:line="360" w:lineRule="auto"/>
        <w:ind w:right="48"/>
        <w:rPr>
          <w:rFonts w:ascii="Palatino Linotype" w:eastAsia="Palatino Linotype" w:hAnsi="Palatino Linotype" w:cs="Palatino Linotype"/>
          <w:b/>
          <w:sz w:val="22"/>
          <w:szCs w:val="22"/>
        </w:rPr>
      </w:pPr>
    </w:p>
    <w:p w:rsidR="003C1162" w:rsidRPr="000959FC" w:rsidRDefault="00F47EF3">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El particular solicitó los expedientes de las siguientes las obras realizadas durante la administración 2022-2024:</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las obras realizadas en el primer cuadro de la cabecera municipal;</w:t>
      </w:r>
    </w:p>
    <w:p w:rsidR="003C1162" w:rsidRPr="000959FC" w:rsidRDefault="003C1162">
      <w:pPr>
        <w:pBdr>
          <w:top w:val="nil"/>
          <w:left w:val="nil"/>
          <w:bottom w:val="nil"/>
          <w:right w:val="nil"/>
          <w:between w:val="nil"/>
        </w:pBdr>
        <w:ind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 obra realizada en la calle paseo de los viveros;</w:t>
      </w:r>
    </w:p>
    <w:p w:rsidR="003C1162" w:rsidRPr="000959FC" w:rsidRDefault="003C1162">
      <w:pPr>
        <w:pBdr>
          <w:top w:val="nil"/>
          <w:left w:val="nil"/>
          <w:bottom w:val="nil"/>
          <w:right w:val="nil"/>
          <w:between w:val="nil"/>
        </w:pBdr>
        <w:spacing w:line="360" w:lineRule="auto"/>
        <w:ind w:left="720" w:right="48"/>
        <w:jc w:val="both"/>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 obra denominada rehabilitación de la red de drenaje sanitario en calle Durango;</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las obras de ampliaciones de red de energía eléctrica;</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 xml:space="preserve">De la obra denominada </w:t>
      </w:r>
      <w:proofErr w:type="spellStart"/>
      <w:r w:rsidRPr="000959FC">
        <w:rPr>
          <w:rFonts w:ascii="Palatino Linotype" w:eastAsia="Palatino Linotype" w:hAnsi="Palatino Linotype" w:cs="Palatino Linotype"/>
          <w:b/>
          <w:i/>
          <w:color w:val="000000"/>
          <w:sz w:val="22"/>
          <w:szCs w:val="22"/>
        </w:rPr>
        <w:t>ciclovía</w:t>
      </w:r>
      <w:proofErr w:type="spellEnd"/>
      <w:r w:rsidRPr="000959FC">
        <w:rPr>
          <w:rFonts w:ascii="Palatino Linotype" w:eastAsia="Palatino Linotype" w:hAnsi="Palatino Linotype" w:cs="Palatino Linotype"/>
          <w:b/>
          <w:i/>
          <w:color w:val="000000"/>
          <w:sz w:val="22"/>
          <w:szCs w:val="22"/>
        </w:rPr>
        <w:t>;</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 obra del puente en el rio San Juan;</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Del albergue canino realizado en la plaza Estado de México;</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 xml:space="preserve">De la rehabilitación del </w:t>
      </w:r>
      <w:proofErr w:type="spellStart"/>
      <w:r w:rsidRPr="000959FC">
        <w:rPr>
          <w:rFonts w:ascii="Palatino Linotype" w:eastAsia="Palatino Linotype" w:hAnsi="Palatino Linotype" w:cs="Palatino Linotype"/>
          <w:b/>
          <w:i/>
          <w:color w:val="000000"/>
          <w:sz w:val="22"/>
          <w:szCs w:val="22"/>
        </w:rPr>
        <w:t>Ubris</w:t>
      </w:r>
      <w:proofErr w:type="spellEnd"/>
      <w:r w:rsidRPr="000959FC">
        <w:rPr>
          <w:rFonts w:ascii="Palatino Linotype" w:eastAsia="Palatino Linotype" w:hAnsi="Palatino Linotype" w:cs="Palatino Linotype"/>
          <w:b/>
          <w:i/>
          <w:color w:val="000000"/>
          <w:sz w:val="22"/>
          <w:szCs w:val="22"/>
        </w:rPr>
        <w:t xml:space="preserve"> </w:t>
      </w:r>
      <w:proofErr w:type="spellStart"/>
      <w:r w:rsidRPr="000959FC">
        <w:rPr>
          <w:rFonts w:ascii="Palatino Linotype" w:eastAsia="Palatino Linotype" w:hAnsi="Palatino Linotype" w:cs="Palatino Linotype"/>
          <w:b/>
          <w:i/>
          <w:color w:val="000000"/>
          <w:sz w:val="22"/>
          <w:szCs w:val="22"/>
        </w:rPr>
        <w:t>Temamatla</w:t>
      </w:r>
      <w:proofErr w:type="spellEnd"/>
      <w:r w:rsidRPr="000959FC">
        <w:rPr>
          <w:rFonts w:ascii="Palatino Linotype" w:eastAsia="Palatino Linotype" w:hAnsi="Palatino Linotype" w:cs="Palatino Linotype"/>
          <w:b/>
          <w:i/>
          <w:color w:val="000000"/>
          <w:sz w:val="22"/>
          <w:szCs w:val="22"/>
        </w:rPr>
        <w:t>, costo de habilitación, recurso mediante el cual se realizó, empresa que lo realizo;</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 obra que se está llevando a cabo en la Colonia Guadalupana;</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 obra denominada rehabilitación de Acceso a Colonia Guadalupana en calle Sonora;</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 xml:space="preserve">De la obra denominada rehabilitación de espacio para unidad básica de rehabilitación e integración social (UBRIS); </w:t>
      </w:r>
    </w:p>
    <w:p w:rsidR="003C1162" w:rsidRPr="000959FC" w:rsidRDefault="003C1162">
      <w:pPr>
        <w:ind w:right="48"/>
        <w:rPr>
          <w:rFonts w:ascii="Palatino Linotype" w:eastAsia="Palatino Linotype" w:hAnsi="Palatino Linotype" w:cs="Palatino Linotype"/>
          <w:b/>
          <w:i/>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 obra denominada desazolve del Canal Río San Juan;</w:t>
      </w:r>
    </w:p>
    <w:p w:rsidR="003C1162" w:rsidRPr="000959FC" w:rsidRDefault="003C1162">
      <w:pPr>
        <w:ind w:right="48"/>
        <w:rPr>
          <w:rFonts w:ascii="Palatino Linotype" w:eastAsia="Palatino Linotype" w:hAnsi="Palatino Linotype" w:cs="Palatino Linotype"/>
          <w:b/>
          <w:i/>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 obra denominada ampliación de drenaje sanitario en calle paseo de los viveros;</w:t>
      </w:r>
    </w:p>
    <w:p w:rsidR="003C1162" w:rsidRPr="000959FC" w:rsidRDefault="003C1162">
      <w:pPr>
        <w:pBdr>
          <w:top w:val="nil"/>
          <w:left w:val="nil"/>
          <w:bottom w:val="nil"/>
          <w:right w:val="nil"/>
          <w:between w:val="nil"/>
        </w:pBdr>
        <w:ind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 xml:space="preserve">De la obra denominada construcción del módulo de protección civil en los Reyes </w:t>
      </w:r>
      <w:proofErr w:type="spellStart"/>
      <w:r w:rsidRPr="000959FC">
        <w:rPr>
          <w:rFonts w:ascii="Palatino Linotype" w:eastAsia="Palatino Linotype" w:hAnsi="Palatino Linotype" w:cs="Palatino Linotype"/>
          <w:b/>
          <w:i/>
          <w:color w:val="000000"/>
          <w:sz w:val="22"/>
          <w:szCs w:val="22"/>
        </w:rPr>
        <w:t>Acatlixhuayan</w:t>
      </w:r>
      <w:proofErr w:type="spellEnd"/>
      <w:r w:rsidRPr="000959FC">
        <w:rPr>
          <w:rFonts w:ascii="Palatino Linotype" w:eastAsia="Palatino Linotype" w:hAnsi="Palatino Linotype" w:cs="Palatino Linotype"/>
          <w:b/>
          <w:i/>
          <w:color w:val="000000"/>
          <w:sz w:val="22"/>
          <w:szCs w:val="22"/>
        </w:rPr>
        <w:t>;</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 obra denominada rehabilitación de alumbrado público;</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 xml:space="preserve">De la obra denominada ampliación de electrificación en </w:t>
      </w:r>
      <w:proofErr w:type="spellStart"/>
      <w:r w:rsidRPr="000959FC">
        <w:rPr>
          <w:rFonts w:ascii="Palatino Linotype" w:eastAsia="Palatino Linotype" w:hAnsi="Palatino Linotype" w:cs="Palatino Linotype"/>
          <w:b/>
          <w:i/>
          <w:color w:val="000000"/>
          <w:sz w:val="22"/>
          <w:szCs w:val="22"/>
        </w:rPr>
        <w:t>Temamatla</w:t>
      </w:r>
      <w:proofErr w:type="spellEnd"/>
      <w:r w:rsidRPr="000959FC">
        <w:rPr>
          <w:rFonts w:ascii="Palatino Linotype" w:eastAsia="Palatino Linotype" w:hAnsi="Palatino Linotype" w:cs="Palatino Linotype"/>
          <w:b/>
          <w:i/>
          <w:color w:val="000000"/>
          <w:sz w:val="22"/>
          <w:szCs w:val="22"/>
        </w:rPr>
        <w:t>;</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 obra denominada rehabilitación de pavimento asfaltico en calle 2 de Marzo;</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 obra denominada construcción del reloj monumental musical;</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 xml:space="preserve">De la obra construcción de fuentes danzantes en la explanada el centro de </w:t>
      </w:r>
      <w:proofErr w:type="spellStart"/>
      <w:r w:rsidRPr="000959FC">
        <w:rPr>
          <w:rFonts w:ascii="Palatino Linotype" w:eastAsia="Palatino Linotype" w:hAnsi="Palatino Linotype" w:cs="Palatino Linotype"/>
          <w:b/>
          <w:i/>
          <w:color w:val="000000"/>
          <w:sz w:val="22"/>
          <w:szCs w:val="22"/>
        </w:rPr>
        <w:t>Temamatla</w:t>
      </w:r>
      <w:proofErr w:type="spellEnd"/>
      <w:r w:rsidRPr="000959FC">
        <w:rPr>
          <w:rFonts w:ascii="Palatino Linotype" w:eastAsia="Palatino Linotype" w:hAnsi="Palatino Linotype" w:cs="Palatino Linotype"/>
          <w:b/>
          <w:i/>
          <w:color w:val="000000"/>
          <w:sz w:val="22"/>
          <w:szCs w:val="22"/>
        </w:rPr>
        <w:t>;</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 xml:space="preserve">De la obra Construcción de albergue canino en situación de calle de san juan </w:t>
      </w:r>
      <w:proofErr w:type="spellStart"/>
      <w:r w:rsidRPr="000959FC">
        <w:rPr>
          <w:rFonts w:ascii="Palatino Linotype" w:eastAsia="Palatino Linotype" w:hAnsi="Palatino Linotype" w:cs="Palatino Linotype"/>
          <w:b/>
          <w:i/>
          <w:color w:val="000000"/>
          <w:sz w:val="22"/>
          <w:szCs w:val="22"/>
        </w:rPr>
        <w:t>Temamatla</w:t>
      </w:r>
      <w:proofErr w:type="spellEnd"/>
      <w:r w:rsidRPr="000959FC">
        <w:rPr>
          <w:rFonts w:ascii="Palatino Linotype" w:eastAsia="Palatino Linotype" w:hAnsi="Palatino Linotype" w:cs="Palatino Linotype"/>
          <w:b/>
          <w:i/>
          <w:color w:val="000000"/>
          <w:sz w:val="22"/>
          <w:szCs w:val="22"/>
        </w:rPr>
        <w:t>;</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las obras realizadas mediante recursos propios, así como la información de las adecuaciones realizadas en el presupuesto de egresos autorizado en la fuente de financiamiento de recursos propios, por concepto de ampliaciones, reducciones y transferencias;</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 xml:space="preserve">De la obra denominada construcción de módulos de protección civil en San Juan </w:t>
      </w:r>
      <w:proofErr w:type="spellStart"/>
      <w:r w:rsidRPr="000959FC">
        <w:rPr>
          <w:rFonts w:ascii="Palatino Linotype" w:eastAsia="Palatino Linotype" w:hAnsi="Palatino Linotype" w:cs="Palatino Linotype"/>
          <w:b/>
          <w:i/>
          <w:color w:val="000000"/>
          <w:sz w:val="22"/>
          <w:szCs w:val="22"/>
        </w:rPr>
        <w:t>Temamatla</w:t>
      </w:r>
      <w:proofErr w:type="spellEnd"/>
      <w:r w:rsidRPr="000959FC">
        <w:rPr>
          <w:rFonts w:ascii="Palatino Linotype" w:eastAsia="Palatino Linotype" w:hAnsi="Palatino Linotype" w:cs="Palatino Linotype"/>
          <w:b/>
          <w:i/>
          <w:color w:val="000000"/>
          <w:sz w:val="22"/>
          <w:szCs w:val="22"/>
        </w:rPr>
        <w:t xml:space="preserve">, Santiago </w:t>
      </w:r>
      <w:proofErr w:type="spellStart"/>
      <w:r w:rsidRPr="000959FC">
        <w:rPr>
          <w:rFonts w:ascii="Palatino Linotype" w:eastAsia="Palatino Linotype" w:hAnsi="Palatino Linotype" w:cs="Palatino Linotype"/>
          <w:b/>
          <w:i/>
          <w:color w:val="000000"/>
          <w:sz w:val="22"/>
          <w:szCs w:val="22"/>
        </w:rPr>
        <w:t>Zula</w:t>
      </w:r>
      <w:proofErr w:type="spellEnd"/>
      <w:r w:rsidRPr="000959FC">
        <w:rPr>
          <w:rFonts w:ascii="Palatino Linotype" w:eastAsia="Palatino Linotype" w:hAnsi="Palatino Linotype" w:cs="Palatino Linotype"/>
          <w:b/>
          <w:i/>
          <w:color w:val="000000"/>
          <w:sz w:val="22"/>
          <w:szCs w:val="22"/>
        </w:rPr>
        <w:t xml:space="preserve"> y Los Reyes </w:t>
      </w:r>
      <w:proofErr w:type="spellStart"/>
      <w:r w:rsidRPr="000959FC">
        <w:rPr>
          <w:rFonts w:ascii="Palatino Linotype" w:eastAsia="Palatino Linotype" w:hAnsi="Palatino Linotype" w:cs="Palatino Linotype"/>
          <w:b/>
          <w:i/>
          <w:color w:val="000000"/>
          <w:sz w:val="22"/>
          <w:szCs w:val="22"/>
        </w:rPr>
        <w:t>Acatlixhuayan</w:t>
      </w:r>
      <w:proofErr w:type="spellEnd"/>
      <w:r w:rsidRPr="000959FC">
        <w:rPr>
          <w:rFonts w:ascii="Palatino Linotype" w:eastAsia="Palatino Linotype" w:hAnsi="Palatino Linotype" w:cs="Palatino Linotype"/>
          <w:b/>
          <w:i/>
          <w:color w:val="000000"/>
          <w:sz w:val="22"/>
          <w:szCs w:val="22"/>
        </w:rPr>
        <w:t>;</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lastRenderedPageBreak/>
        <w:t xml:space="preserve">De la obra denominada construcción de cancha de futbol rápido con pasto sintético en la delegación de Los Reyes </w:t>
      </w:r>
      <w:proofErr w:type="spellStart"/>
      <w:r w:rsidRPr="000959FC">
        <w:rPr>
          <w:rFonts w:ascii="Palatino Linotype" w:eastAsia="Palatino Linotype" w:hAnsi="Palatino Linotype" w:cs="Palatino Linotype"/>
          <w:b/>
          <w:i/>
          <w:color w:val="000000"/>
          <w:sz w:val="22"/>
          <w:szCs w:val="22"/>
        </w:rPr>
        <w:t>Acatlixhuayan</w:t>
      </w:r>
      <w:proofErr w:type="spellEnd"/>
      <w:r w:rsidRPr="000959FC">
        <w:rPr>
          <w:rFonts w:ascii="Palatino Linotype" w:eastAsia="Palatino Linotype" w:hAnsi="Palatino Linotype" w:cs="Palatino Linotype"/>
          <w:b/>
          <w:i/>
          <w:color w:val="000000"/>
          <w:sz w:val="22"/>
          <w:szCs w:val="22"/>
        </w:rPr>
        <w:t xml:space="preserve"> a través de recurso FEFOM;</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 obra denominada pavimentación con concreto asfaltico, guarniciones y banquetas en calle sonora a través de recurso FEFOM;</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 obra denominada pavimentación con concreto asfaltico, guarniciones y banquetas en Calle Río San Juan a través de recurso FEFOM;</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 xml:space="preserve">De la obra denominada remodelación del auditorio delegación </w:t>
      </w:r>
      <w:proofErr w:type="spellStart"/>
      <w:r w:rsidRPr="000959FC">
        <w:rPr>
          <w:rFonts w:ascii="Palatino Linotype" w:eastAsia="Palatino Linotype" w:hAnsi="Palatino Linotype" w:cs="Palatino Linotype"/>
          <w:b/>
          <w:i/>
          <w:color w:val="000000"/>
          <w:sz w:val="22"/>
          <w:szCs w:val="22"/>
        </w:rPr>
        <w:t>Zula</w:t>
      </w:r>
      <w:proofErr w:type="spellEnd"/>
      <w:r w:rsidRPr="000959FC">
        <w:rPr>
          <w:rFonts w:ascii="Palatino Linotype" w:eastAsia="Palatino Linotype" w:hAnsi="Palatino Linotype" w:cs="Palatino Linotype"/>
          <w:b/>
          <w:i/>
          <w:color w:val="000000"/>
          <w:sz w:val="22"/>
          <w:szCs w:val="22"/>
        </w:rPr>
        <w:t xml:space="preserve"> ejecutada, a través de recurso FEFOM” (Sic)</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 xml:space="preserve">De la obra denominada rehabilitación de barda perimetral del Deportivo Bicentenario En San Juan </w:t>
      </w:r>
      <w:proofErr w:type="spellStart"/>
      <w:r w:rsidRPr="000959FC">
        <w:rPr>
          <w:rFonts w:ascii="Palatino Linotype" w:eastAsia="Palatino Linotype" w:hAnsi="Palatino Linotype" w:cs="Palatino Linotype"/>
          <w:b/>
          <w:i/>
          <w:color w:val="000000"/>
          <w:sz w:val="22"/>
          <w:szCs w:val="22"/>
        </w:rPr>
        <w:t>Temamatla</w:t>
      </w:r>
      <w:proofErr w:type="spellEnd"/>
      <w:r w:rsidRPr="000959FC">
        <w:rPr>
          <w:rFonts w:ascii="Palatino Linotype" w:eastAsia="Palatino Linotype" w:hAnsi="Palatino Linotype" w:cs="Palatino Linotype"/>
          <w:b/>
          <w:i/>
          <w:color w:val="000000"/>
          <w:sz w:val="22"/>
          <w:szCs w:val="22"/>
        </w:rPr>
        <w:t xml:space="preserve"> a través de recurso FEFOM” (Sic)</w:t>
      </w:r>
    </w:p>
    <w:p w:rsidR="003C1162" w:rsidRPr="000959FC" w:rsidRDefault="003C1162">
      <w:pPr>
        <w:pBdr>
          <w:top w:val="nil"/>
          <w:left w:val="nil"/>
          <w:bottom w:val="nil"/>
          <w:right w:val="nil"/>
          <w:between w:val="nil"/>
        </w:pBdr>
        <w:ind w:left="720" w:right="48"/>
        <w:rPr>
          <w:rFonts w:ascii="Palatino Linotype" w:eastAsia="Palatino Linotype" w:hAnsi="Palatino Linotype" w:cs="Palatino Linotype"/>
          <w:b/>
          <w:i/>
          <w:color w:val="000000"/>
          <w:sz w:val="22"/>
          <w:szCs w:val="22"/>
        </w:rPr>
      </w:pPr>
    </w:p>
    <w:p w:rsidR="003C1162" w:rsidRPr="000959FC" w:rsidRDefault="00F47EF3">
      <w:pPr>
        <w:numPr>
          <w:ilvl w:val="0"/>
          <w:numId w:val="14"/>
        </w:numPr>
        <w:pBdr>
          <w:top w:val="nil"/>
          <w:left w:val="nil"/>
          <w:bottom w:val="nil"/>
          <w:right w:val="nil"/>
          <w:between w:val="nil"/>
        </w:pBdr>
        <w:ind w:right="48"/>
        <w:rPr>
          <w:rFonts w:ascii="Palatino Linotype" w:eastAsia="Palatino Linotype" w:hAnsi="Palatino Linotype" w:cs="Palatino Linotype"/>
          <w:b/>
          <w:i/>
          <w:color w:val="000000"/>
          <w:sz w:val="22"/>
          <w:szCs w:val="22"/>
        </w:rPr>
      </w:pPr>
      <w:r w:rsidRPr="000959FC">
        <w:rPr>
          <w:rFonts w:ascii="Palatino Linotype" w:eastAsia="Palatino Linotype" w:hAnsi="Palatino Linotype" w:cs="Palatino Linotype"/>
          <w:b/>
          <w:i/>
          <w:color w:val="000000"/>
          <w:sz w:val="22"/>
          <w:szCs w:val="22"/>
        </w:rPr>
        <w:t>De la obra denominada ampliación de red de drenaje sanitario y de red de agua potable en Calle Prolongación Tabasco;</w:t>
      </w:r>
    </w:p>
    <w:p w:rsidR="003C1162" w:rsidRPr="000959FC" w:rsidRDefault="003C1162">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s>
        <w:spacing w:line="360" w:lineRule="auto"/>
        <w:ind w:left="0" w:right="34" w:firstLine="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color w:val="000000"/>
          <w:sz w:val="22"/>
          <w:szCs w:val="22"/>
        </w:rPr>
        <w:t>En respuesta, , para la información referente al expediente de rehabilitación del UBRIS, el Sujeto Obligado señaló que no cuenta con lo solicitado por no haber realizado la gestión, como tampoco el recurso; referente a la información solicitada sobre el expediente de la obra que se lleva a cabo en la Colonia Guadalupana, señalo que el expediente solicitado se encuentra en proceso de integración; y sobre el resto de la información solicitada, el Sujeto Obligado realizó el cambio de modalidad en la entrega de la información a consulta directa.</w:t>
      </w:r>
    </w:p>
    <w:p w:rsidR="003C1162" w:rsidRPr="000959FC" w:rsidRDefault="00F47EF3">
      <w:pPr>
        <w:numPr>
          <w:ilvl w:val="0"/>
          <w:numId w:val="1"/>
        </w:numPr>
        <w:pBdr>
          <w:top w:val="nil"/>
          <w:left w:val="nil"/>
          <w:bottom w:val="nil"/>
          <w:right w:val="nil"/>
          <w:between w:val="nil"/>
        </w:pBdr>
        <w:tabs>
          <w:tab w:val="left" w:pos="0"/>
        </w:tabs>
        <w:spacing w:line="360" w:lineRule="auto"/>
        <w:ind w:left="0" w:right="34" w:firstLine="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color w:val="000000"/>
          <w:sz w:val="22"/>
          <w:szCs w:val="22"/>
        </w:rPr>
        <w:t xml:space="preserve">Posteriormente, el particular interpuso recurso de revisión en el que señaló su inconformidad por la negativa y el cambio de modalidad en la entrega de la información. </w:t>
      </w:r>
    </w:p>
    <w:p w:rsidR="003C1162" w:rsidRPr="000959FC" w:rsidRDefault="003C1162">
      <w:pPr>
        <w:pBdr>
          <w:top w:val="nil"/>
          <w:left w:val="nil"/>
          <w:bottom w:val="nil"/>
          <w:right w:val="nil"/>
          <w:between w:val="nil"/>
        </w:pBdr>
        <w:tabs>
          <w:tab w:val="left" w:pos="0"/>
        </w:tabs>
        <w:spacing w:line="360" w:lineRule="auto"/>
        <w:ind w:right="34"/>
        <w:jc w:val="both"/>
        <w:rPr>
          <w:rFonts w:ascii="Palatino Linotype" w:eastAsia="Palatino Linotype" w:hAnsi="Palatino Linotype" w:cs="Palatino Linotype"/>
          <w:i/>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En consecuencia, la Litis a resolver en este recurso, se circunscribe a determinar si la respuesta colma con lo solicitado o si se actualiza la causal de procedencia prevista en el artículo 179, fracción I y VIII de la Ley de Transparencia y Acceso a la Información Pública del Estado de México y Municipios; que establece la negativa de la información y la </w:t>
      </w:r>
      <w:r w:rsidRPr="000959FC">
        <w:rPr>
          <w:rFonts w:ascii="Palatino Linotype" w:eastAsia="Palatino Linotype" w:hAnsi="Palatino Linotype" w:cs="Palatino Linotype"/>
          <w:color w:val="000000"/>
          <w:sz w:val="22"/>
          <w:szCs w:val="22"/>
        </w:rPr>
        <w:lastRenderedPageBreak/>
        <w:t xml:space="preserve">notificación, entrega o puesta a disposición de información en una modalidad o formato distinto al solicitado. </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pStyle w:val="Ttulo1"/>
        <w:spacing w:before="0" w:line="360" w:lineRule="auto"/>
        <w:rPr>
          <w:rFonts w:ascii="Palatino Linotype" w:eastAsia="Palatino Linotype" w:hAnsi="Palatino Linotype" w:cs="Palatino Linotype"/>
          <w:b/>
          <w:color w:val="000000"/>
          <w:sz w:val="22"/>
          <w:szCs w:val="22"/>
        </w:rPr>
      </w:pPr>
      <w:bookmarkStart w:id="6" w:name="_heading=h.3dy6vkm" w:colFirst="0" w:colLast="0"/>
      <w:bookmarkEnd w:id="6"/>
      <w:r w:rsidRPr="000959FC">
        <w:rPr>
          <w:rFonts w:ascii="Palatino Linotype" w:eastAsia="Palatino Linotype" w:hAnsi="Palatino Linotype" w:cs="Palatino Linotype"/>
          <w:b/>
          <w:color w:val="000000"/>
          <w:sz w:val="22"/>
          <w:szCs w:val="22"/>
        </w:rPr>
        <w:t>CUARTO. Del estudio y resolución del recurso de revisión.</w:t>
      </w:r>
    </w:p>
    <w:p w:rsidR="003C1162" w:rsidRPr="000959FC" w:rsidRDefault="003C1162">
      <w:pPr>
        <w:rPr>
          <w:rFonts w:ascii="Palatino Linotype" w:eastAsia="Palatino Linotype" w:hAnsi="Palatino Linotype" w:cs="Palatino Linotype"/>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3C1162" w:rsidRPr="000959FC" w:rsidRDefault="003C1162">
      <w:pPr>
        <w:spacing w:line="360" w:lineRule="auto"/>
        <w:ind w:right="49"/>
        <w:jc w:val="both"/>
        <w:rPr>
          <w:rFonts w:ascii="Palatino Linotype" w:eastAsia="Palatino Linotype" w:hAnsi="Palatino Linotype" w:cs="Palatino Linotype"/>
          <w:sz w:val="22"/>
          <w:szCs w:val="22"/>
        </w:rPr>
      </w:pPr>
    </w:p>
    <w:p w:rsidR="003C1162" w:rsidRPr="000959FC" w:rsidRDefault="00F47EF3">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De los recursos de revisión 06718/INFOEM/IP/RR/2024, 06719/INFOEM/IP/RR/2024, 06720/INFOEM/IP/RR/2024, 06721/INFOEM/IP/RR/2024, 06722/INFOEM/IP/RR/2024, 06723/INFOEM/IP/RR/2024, 06744/INFOEM/IP/RR/2024, 06794/INFOEM/IP/RR/2024, 06795/INFOEM/IP/RR/2024, 06796/INFOEM/IP/RR/2024, 06797/INFOEM/IP/RR/2024, 06798/INFOEM/IP/RR/2024, 06799/INFOEM/IP/RR/2024, 06800/INFOEM/IP/RR/2024, 06801/INFOEM/IP/RR/2024, 06805/INFOEM/IP/RR/2024, 06806/INFOEM/IP/RR/2024, 06807/INFOEM/IP/RR/2024, 06815/INFOEM/IP/RR/2024, 06820/INFOEM/IP/RR/2024, 06824/INFOEM/IP/RR/2024, 06825/INFOEM/IP/RR/2024, 06826/INFOEM/IP/RR/2024, 06828/INFOEM/IP/RR/2024, 06829/INFOEM/IP/RR/2024, 06830/INFOEM/IP/RR/2024, </w:t>
      </w:r>
      <w:r w:rsidRPr="000959FC">
        <w:rPr>
          <w:rFonts w:ascii="Palatino Linotype" w:eastAsia="Palatino Linotype" w:hAnsi="Palatino Linotype" w:cs="Palatino Linotype"/>
          <w:b/>
          <w:color w:val="000000"/>
          <w:sz w:val="22"/>
          <w:szCs w:val="22"/>
        </w:rPr>
        <w:lastRenderedPageBreak/>
        <w:t>06831/INFOEM/IP/RR/2024, 06845/INFOEM/IP/RR/2024 y 06846/INFOEM/IP/RR/2024.</w:t>
      </w:r>
    </w:p>
    <w:p w:rsidR="003C1162" w:rsidRPr="000959FC" w:rsidRDefault="003C1162">
      <w:pPr>
        <w:spacing w:line="360" w:lineRule="auto"/>
        <w:ind w:right="49"/>
        <w:jc w:val="both"/>
        <w:rPr>
          <w:rFonts w:ascii="Palatino Linotype" w:eastAsia="Palatino Linotype" w:hAnsi="Palatino Linotype" w:cs="Palatino Linotype"/>
          <w:b/>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En el presente caso, se advierte que el particular requirió información referente a los expedientes de diversas obras realizadas durante la administración pública 2022-2024, en respuesta, el Sujeto Obligado señaló el cambio de modalidad para la entrega de la información a consulta directa. </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rPr>
      </w:pPr>
      <w:r w:rsidRPr="000959FC">
        <w:rPr>
          <w:rFonts w:ascii="Palatino Linotype" w:eastAsia="Palatino Linotype" w:hAnsi="Palatino Linotype" w:cs="Palatino Linotype"/>
        </w:rPr>
        <w:t>Precisado lo anterior, resulta conveniente traer a colación lo establecido en el artículo 31 de la Ley Orgánica Municipal del Estado de México:</w:t>
      </w:r>
    </w:p>
    <w:p w:rsidR="003C1162" w:rsidRPr="000959FC" w:rsidRDefault="003C1162">
      <w:pPr>
        <w:rPr>
          <w:rFonts w:ascii="Palatino Linotype" w:eastAsia="Palatino Linotype" w:hAnsi="Palatino Linotype" w:cs="Palatino Linotype"/>
        </w:rPr>
      </w:pP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sz w:val="22"/>
          <w:szCs w:val="22"/>
        </w:rPr>
        <w:t>“</w:t>
      </w:r>
      <w:r w:rsidRPr="000959FC">
        <w:rPr>
          <w:rFonts w:ascii="Palatino Linotype" w:eastAsia="Palatino Linotype" w:hAnsi="Palatino Linotype" w:cs="Palatino Linotype"/>
          <w:b/>
          <w:i/>
          <w:sz w:val="22"/>
          <w:szCs w:val="22"/>
        </w:rPr>
        <w:t>Artículo 31</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b/>
          <w:i/>
          <w:sz w:val="22"/>
          <w:szCs w:val="22"/>
        </w:rPr>
        <w:t>Son atribuciones de los ayuntamientos</w:t>
      </w:r>
      <w:r w:rsidRPr="000959FC">
        <w:rPr>
          <w:rFonts w:ascii="Palatino Linotype" w:eastAsia="Palatino Linotype" w:hAnsi="Palatino Linotype" w:cs="Palatino Linotype"/>
          <w:i/>
          <w:sz w:val="22"/>
          <w:szCs w:val="22"/>
        </w:rPr>
        <w:t>:</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VII</w:t>
      </w:r>
      <w:r w:rsidRPr="000959FC">
        <w:rPr>
          <w:rFonts w:ascii="Palatino Linotype" w:eastAsia="Palatino Linotype" w:hAnsi="Palatino Linotype" w:cs="Palatino Linotype"/>
          <w:i/>
          <w:sz w:val="22"/>
          <w:szCs w:val="22"/>
        </w:rPr>
        <w:t xml:space="preserve">. Convenir, </w:t>
      </w:r>
      <w:r w:rsidRPr="000959FC">
        <w:rPr>
          <w:rFonts w:ascii="Palatino Linotype" w:eastAsia="Palatino Linotype" w:hAnsi="Palatino Linotype" w:cs="Palatino Linotype"/>
          <w:b/>
          <w:i/>
          <w:sz w:val="22"/>
          <w:szCs w:val="22"/>
        </w:rPr>
        <w:t>contratar</w:t>
      </w:r>
      <w:r w:rsidRPr="000959FC">
        <w:rPr>
          <w:rFonts w:ascii="Palatino Linotype" w:eastAsia="Palatino Linotype" w:hAnsi="Palatino Linotype" w:cs="Palatino Linotype"/>
          <w:i/>
          <w:sz w:val="22"/>
          <w:szCs w:val="22"/>
        </w:rPr>
        <w:t xml:space="preserve"> o concesionar, en términos de ley, </w:t>
      </w:r>
      <w:r w:rsidRPr="000959FC">
        <w:rPr>
          <w:rFonts w:ascii="Palatino Linotype" w:eastAsia="Palatino Linotype" w:hAnsi="Palatino Linotype" w:cs="Palatino Linotype"/>
          <w:b/>
          <w:i/>
          <w:sz w:val="22"/>
          <w:szCs w:val="22"/>
        </w:rPr>
        <w:t>la ejecución de obras</w:t>
      </w:r>
      <w:r w:rsidRPr="000959FC">
        <w:rPr>
          <w:rFonts w:ascii="Palatino Linotype" w:eastAsia="Palatino Linotype" w:hAnsi="Palatino Linotype" w:cs="Palatino Linotype"/>
          <w:i/>
          <w:sz w:val="22"/>
          <w:szCs w:val="22"/>
        </w:rPr>
        <w:t xml:space="preserve"> y la prestación de servicios públicos, con el Estado, con otros municipios de la entidad o con particulares, recabando, cuando proceda, la autorización de la Legislatura del Estado;</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VIII</w:t>
      </w:r>
      <w:r w:rsidRPr="000959FC">
        <w:rPr>
          <w:rFonts w:ascii="Palatino Linotype" w:eastAsia="Palatino Linotype" w:hAnsi="Palatino Linotype" w:cs="Palatino Linotype"/>
          <w:i/>
          <w:sz w:val="22"/>
          <w:szCs w:val="22"/>
        </w:rPr>
        <w:t xml:space="preserve">. Concluir las obras iniciadas por administraciones anteriores y dar mantenimiento a la infraestructura e instalaciones de los servicios públicos municipales;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XVIII</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b/>
          <w:i/>
          <w:sz w:val="22"/>
          <w:szCs w:val="22"/>
        </w:rPr>
        <w:t>Administrar su hacienda en términos de ley</w:t>
      </w:r>
      <w:r w:rsidRPr="000959FC">
        <w:rPr>
          <w:rFonts w:ascii="Palatino Linotype" w:eastAsia="Palatino Linotype" w:hAnsi="Palatino Linotype" w:cs="Palatino Linotype"/>
          <w:i/>
          <w:sz w:val="22"/>
          <w:szCs w:val="22"/>
        </w:rPr>
        <w:t xml:space="preserve">, y controlar a través del presidente y síndico la </w:t>
      </w:r>
      <w:r w:rsidRPr="000959FC">
        <w:rPr>
          <w:rFonts w:ascii="Palatino Linotype" w:eastAsia="Palatino Linotype" w:hAnsi="Palatino Linotype" w:cs="Palatino Linotype"/>
          <w:b/>
          <w:i/>
          <w:sz w:val="22"/>
          <w:szCs w:val="22"/>
        </w:rPr>
        <w:t>aplicación del presupuesto de egresos</w:t>
      </w:r>
      <w:r w:rsidRPr="000959FC">
        <w:rPr>
          <w:rFonts w:ascii="Palatino Linotype" w:eastAsia="Palatino Linotype" w:hAnsi="Palatino Linotype" w:cs="Palatino Linotype"/>
          <w:i/>
          <w:sz w:val="22"/>
          <w:szCs w:val="22"/>
        </w:rPr>
        <w:t xml:space="preserve"> del municipio;</w:t>
      </w:r>
    </w:p>
    <w:p w:rsidR="003C1162" w:rsidRPr="000959FC" w:rsidRDefault="00F47EF3">
      <w:pPr>
        <w:ind w:left="567" w:right="539"/>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i/>
          <w:sz w:val="22"/>
          <w:szCs w:val="22"/>
        </w:rPr>
        <w:t>(…)”</w:t>
      </w:r>
    </w:p>
    <w:p w:rsidR="003C1162" w:rsidRPr="000959FC" w:rsidRDefault="003C1162">
      <w:pPr>
        <w:rPr>
          <w:rFonts w:ascii="Palatino Linotype" w:eastAsia="Palatino Linotype" w:hAnsi="Palatino Linotype" w:cs="Palatino Linotype"/>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rPr>
      </w:pPr>
      <w:r w:rsidRPr="000959FC">
        <w:rPr>
          <w:rFonts w:ascii="Palatino Linotype" w:eastAsia="Palatino Linotype" w:hAnsi="Palatino Linotype" w:cs="Palatino Linotype"/>
        </w:rPr>
        <w:t>Del precepto citado, se advierte que los Ayuntamientos tienen la atribución de contratar la ejecución de obras, concluir aquellas que no fueron terminadas en administraciones anteriores y administrar los recursos obtenidos de su hacienda, en los términos de la legislación aplicable.</w:t>
      </w:r>
    </w:p>
    <w:p w:rsidR="003C1162" w:rsidRPr="000959FC" w:rsidRDefault="003C1162">
      <w:pPr>
        <w:spacing w:line="360" w:lineRule="auto"/>
        <w:ind w:right="49"/>
        <w:jc w:val="both"/>
        <w:rPr>
          <w:rFonts w:ascii="Palatino Linotype" w:eastAsia="Palatino Linotype" w:hAnsi="Palatino Linotype" w:cs="Palatino Linotype"/>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rPr>
      </w:pPr>
      <w:r w:rsidRPr="000959FC">
        <w:rPr>
          <w:rFonts w:ascii="Palatino Linotype" w:eastAsia="Palatino Linotype" w:hAnsi="Palatino Linotype" w:cs="Palatino Linotype"/>
        </w:rPr>
        <w:lastRenderedPageBreak/>
        <w:t>Correlativo a lo anterior, los artículos 12.1 fracción III, 12.8 primer párrafo, 12.20, 12.21, 12.38, 12.60 y 12.64 del Reglamento del Libro Décimo Segundo del Código Administrativo del Estado de México, señalan lo siguiente:</w:t>
      </w:r>
    </w:p>
    <w:p w:rsidR="003C1162" w:rsidRPr="000959FC" w:rsidRDefault="003C1162">
      <w:pPr>
        <w:spacing w:line="360" w:lineRule="auto"/>
        <w:ind w:right="49"/>
        <w:jc w:val="both"/>
        <w:rPr>
          <w:rFonts w:ascii="Palatino Linotype" w:eastAsia="Palatino Linotype" w:hAnsi="Palatino Linotype" w:cs="Palatino Linotype"/>
          <w:sz w:val="22"/>
          <w:szCs w:val="22"/>
        </w:rPr>
      </w:pP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“Artículo 12.1.-</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b/>
          <w:i/>
          <w:sz w:val="22"/>
          <w:szCs w:val="22"/>
        </w:rPr>
        <w:t>Este Libro tiene por objeto regular los actos relativos a la</w:t>
      </w:r>
      <w:r w:rsidRPr="000959FC">
        <w:rPr>
          <w:rFonts w:ascii="Palatino Linotype" w:eastAsia="Palatino Linotype" w:hAnsi="Palatino Linotype" w:cs="Palatino Linotype"/>
          <w:i/>
          <w:sz w:val="22"/>
          <w:szCs w:val="22"/>
        </w:rPr>
        <w:t xml:space="preserve"> planeación, programación, </w:t>
      </w:r>
      <w:proofErr w:type="spellStart"/>
      <w:r w:rsidRPr="000959FC">
        <w:rPr>
          <w:rFonts w:ascii="Palatino Linotype" w:eastAsia="Palatino Linotype" w:hAnsi="Palatino Linotype" w:cs="Palatino Linotype"/>
          <w:i/>
          <w:sz w:val="22"/>
          <w:szCs w:val="22"/>
        </w:rPr>
        <w:t>presupuestación</w:t>
      </w:r>
      <w:proofErr w:type="spellEnd"/>
      <w:r w:rsidRPr="000959FC">
        <w:rPr>
          <w:rFonts w:ascii="Palatino Linotype" w:eastAsia="Palatino Linotype" w:hAnsi="Palatino Linotype" w:cs="Palatino Linotype"/>
          <w:i/>
          <w:sz w:val="22"/>
          <w:szCs w:val="22"/>
        </w:rPr>
        <w:t xml:space="preserve">, adjudicación, </w:t>
      </w:r>
      <w:r w:rsidRPr="000959FC">
        <w:rPr>
          <w:rFonts w:ascii="Palatino Linotype" w:eastAsia="Palatino Linotype" w:hAnsi="Palatino Linotype" w:cs="Palatino Linotype"/>
          <w:b/>
          <w:i/>
          <w:sz w:val="22"/>
          <w:szCs w:val="22"/>
        </w:rPr>
        <w:t>contratación</w:t>
      </w:r>
      <w:r w:rsidRPr="000959FC">
        <w:rPr>
          <w:rFonts w:ascii="Palatino Linotype" w:eastAsia="Palatino Linotype" w:hAnsi="Palatino Linotype" w:cs="Palatino Linotype"/>
          <w:i/>
          <w:sz w:val="22"/>
          <w:szCs w:val="22"/>
        </w:rPr>
        <w:t xml:space="preserve">, ejecución y control </w:t>
      </w:r>
      <w:r w:rsidRPr="000959FC">
        <w:rPr>
          <w:rFonts w:ascii="Palatino Linotype" w:eastAsia="Palatino Linotype" w:hAnsi="Palatino Linotype" w:cs="Palatino Linotype"/>
          <w:b/>
          <w:i/>
          <w:sz w:val="22"/>
          <w:szCs w:val="22"/>
        </w:rPr>
        <w:t>de la obra pública, así como los servicios relacionados con la misma</w:t>
      </w:r>
      <w:r w:rsidRPr="000959FC">
        <w:rPr>
          <w:rFonts w:ascii="Palatino Linotype" w:eastAsia="Palatino Linotype" w:hAnsi="Palatino Linotype" w:cs="Palatino Linotype"/>
          <w:i/>
          <w:sz w:val="22"/>
          <w:szCs w:val="22"/>
        </w:rPr>
        <w:t xml:space="preserve"> que, por sí o </w:t>
      </w:r>
      <w:r w:rsidRPr="000959FC">
        <w:rPr>
          <w:rFonts w:ascii="Palatino Linotype" w:eastAsia="Palatino Linotype" w:hAnsi="Palatino Linotype" w:cs="Palatino Linotype"/>
          <w:b/>
          <w:i/>
          <w:sz w:val="22"/>
          <w:szCs w:val="22"/>
        </w:rPr>
        <w:t>por conducto de terceros, realicen:</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III. Los ayuntamientos de los municipios del Estado</w:t>
      </w:r>
      <w:r w:rsidRPr="000959FC">
        <w:rPr>
          <w:rFonts w:ascii="Palatino Linotype" w:eastAsia="Palatino Linotype" w:hAnsi="Palatino Linotype" w:cs="Palatino Linotype"/>
          <w:i/>
          <w:sz w:val="22"/>
          <w:szCs w:val="22"/>
        </w:rPr>
        <w:t>;</w:t>
      </w:r>
    </w:p>
    <w:p w:rsidR="003C1162" w:rsidRPr="000959FC" w:rsidRDefault="00F47EF3">
      <w:pPr>
        <w:ind w:left="567" w:right="539"/>
        <w:jc w:val="both"/>
        <w:rPr>
          <w:rFonts w:ascii="Palatino Linotype" w:eastAsia="Palatino Linotype" w:hAnsi="Palatino Linotype" w:cs="Palatino Linotype"/>
          <w:b/>
          <w:i/>
          <w:sz w:val="22"/>
          <w:szCs w:val="22"/>
        </w:rPr>
      </w:pPr>
      <w:r w:rsidRPr="000959FC">
        <w:rPr>
          <w:rFonts w:ascii="Palatino Linotype" w:eastAsia="Palatino Linotype" w:hAnsi="Palatino Linotype" w:cs="Palatino Linotype"/>
          <w:b/>
          <w:i/>
          <w:sz w:val="22"/>
          <w:szCs w:val="22"/>
        </w:rPr>
        <w:t>(…)</w:t>
      </w:r>
    </w:p>
    <w:p w:rsidR="003C1162" w:rsidRPr="000959FC" w:rsidRDefault="003C1162">
      <w:pPr>
        <w:ind w:left="567" w:right="539"/>
        <w:jc w:val="both"/>
        <w:rPr>
          <w:rFonts w:ascii="Palatino Linotype" w:eastAsia="Palatino Linotype" w:hAnsi="Palatino Linotype" w:cs="Palatino Linotype"/>
          <w:b/>
          <w:i/>
          <w:sz w:val="22"/>
          <w:szCs w:val="22"/>
        </w:rPr>
      </w:pP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Artículo 12.8.-</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b/>
          <w:i/>
          <w:sz w:val="22"/>
          <w:szCs w:val="22"/>
        </w:rPr>
        <w:t>Corresponde</w:t>
      </w:r>
      <w:r w:rsidRPr="000959FC">
        <w:rPr>
          <w:rFonts w:ascii="Palatino Linotype" w:eastAsia="Palatino Linotype" w:hAnsi="Palatino Linotype" w:cs="Palatino Linotype"/>
          <w:i/>
          <w:sz w:val="22"/>
          <w:szCs w:val="22"/>
        </w:rPr>
        <w:t xml:space="preserve"> a la Secretaría del Ramo y </w:t>
      </w:r>
      <w:r w:rsidRPr="000959FC">
        <w:rPr>
          <w:rFonts w:ascii="Palatino Linotype" w:eastAsia="Palatino Linotype" w:hAnsi="Palatino Linotype" w:cs="Palatino Linotype"/>
          <w:b/>
          <w:i/>
          <w:sz w:val="22"/>
          <w:szCs w:val="22"/>
        </w:rPr>
        <w:t>a los ayuntamientos</w:t>
      </w:r>
      <w:r w:rsidRPr="000959FC">
        <w:rPr>
          <w:rFonts w:ascii="Palatino Linotype" w:eastAsia="Palatino Linotype" w:hAnsi="Palatino Linotype" w:cs="Palatino Linotype"/>
          <w:i/>
          <w:sz w:val="22"/>
          <w:szCs w:val="22"/>
        </w:rPr>
        <w:t xml:space="preserve">, en el ámbito de sus respectivas competencias, </w:t>
      </w:r>
      <w:r w:rsidRPr="000959FC">
        <w:rPr>
          <w:rFonts w:ascii="Palatino Linotype" w:eastAsia="Palatino Linotype" w:hAnsi="Palatino Linotype" w:cs="Palatino Linotype"/>
          <w:b/>
          <w:i/>
          <w:sz w:val="22"/>
          <w:szCs w:val="22"/>
        </w:rPr>
        <w:t>ejecutar la obra pública, mediante contrato con terceros o por administración directa</w:t>
      </w:r>
      <w:r w:rsidRPr="000959FC">
        <w:rPr>
          <w:rFonts w:ascii="Palatino Linotype" w:eastAsia="Palatino Linotype" w:hAnsi="Palatino Linotype" w:cs="Palatino Linotype"/>
          <w:i/>
          <w:sz w:val="22"/>
          <w:szCs w:val="22"/>
        </w:rPr>
        <w:t>.</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w:t>
      </w:r>
    </w:p>
    <w:p w:rsidR="003C1162" w:rsidRPr="000959FC" w:rsidRDefault="003C1162">
      <w:pPr>
        <w:ind w:left="567" w:right="539"/>
        <w:jc w:val="both"/>
        <w:rPr>
          <w:rFonts w:ascii="Palatino Linotype" w:eastAsia="Palatino Linotype" w:hAnsi="Palatino Linotype" w:cs="Palatino Linotype"/>
          <w:i/>
          <w:sz w:val="22"/>
          <w:szCs w:val="22"/>
        </w:rPr>
      </w:pP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Artículo 12.20.-</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b/>
          <w:i/>
          <w:sz w:val="22"/>
          <w:szCs w:val="22"/>
        </w:rPr>
        <w:t>Los contratos a que se refiere este Libro, se adjudicarán a través de licitaciones públicas</w:t>
      </w:r>
      <w:r w:rsidRPr="000959FC">
        <w:rPr>
          <w:rFonts w:ascii="Palatino Linotype" w:eastAsia="Palatino Linotype" w:hAnsi="Palatino Linotype" w:cs="Palatino Linotype"/>
          <w:i/>
          <w:sz w:val="22"/>
          <w:szCs w:val="22"/>
        </w:rPr>
        <w:t>, mediante convocatoria pública.</w:t>
      </w:r>
    </w:p>
    <w:p w:rsidR="003C1162" w:rsidRPr="000959FC" w:rsidRDefault="003C1162">
      <w:pPr>
        <w:ind w:left="567" w:right="539"/>
        <w:jc w:val="both"/>
        <w:rPr>
          <w:rFonts w:ascii="Palatino Linotype" w:eastAsia="Palatino Linotype" w:hAnsi="Palatino Linotype" w:cs="Palatino Linotype"/>
          <w:i/>
          <w:sz w:val="22"/>
          <w:szCs w:val="22"/>
        </w:rPr>
      </w:pPr>
    </w:p>
    <w:p w:rsidR="003C1162" w:rsidRPr="000959FC" w:rsidRDefault="00F47EF3">
      <w:pPr>
        <w:ind w:left="567" w:right="539"/>
        <w:jc w:val="both"/>
        <w:rPr>
          <w:rFonts w:ascii="Palatino Linotype" w:eastAsia="Palatino Linotype" w:hAnsi="Palatino Linotype" w:cs="Palatino Linotype"/>
          <w:b/>
          <w:i/>
          <w:sz w:val="22"/>
          <w:szCs w:val="22"/>
        </w:rPr>
      </w:pPr>
      <w:r w:rsidRPr="000959FC">
        <w:rPr>
          <w:rFonts w:ascii="Palatino Linotype" w:eastAsia="Palatino Linotype" w:hAnsi="Palatino Linotype" w:cs="Palatino Linotype"/>
          <w:b/>
          <w:i/>
          <w:sz w:val="22"/>
          <w:szCs w:val="22"/>
        </w:rPr>
        <w:t>Artículo 12.21.-</w:t>
      </w:r>
      <w:r w:rsidRPr="000959FC">
        <w:rPr>
          <w:rFonts w:ascii="Palatino Linotype" w:eastAsia="Palatino Linotype" w:hAnsi="Palatino Linotype" w:cs="Palatino Linotype"/>
          <w:i/>
          <w:sz w:val="22"/>
          <w:szCs w:val="22"/>
        </w:rPr>
        <w:t xml:space="preserve"> Las dependencias, entidades y </w:t>
      </w:r>
      <w:r w:rsidRPr="000959FC">
        <w:rPr>
          <w:rFonts w:ascii="Palatino Linotype" w:eastAsia="Palatino Linotype" w:hAnsi="Palatino Linotype" w:cs="Palatino Linotype"/>
          <w:b/>
          <w:i/>
          <w:sz w:val="22"/>
          <w:szCs w:val="22"/>
        </w:rPr>
        <w:t xml:space="preserve">ayuntamientos podrán adjudicar contratos para la ejecución de obra pública </w:t>
      </w:r>
      <w:r w:rsidRPr="000959FC">
        <w:rPr>
          <w:rFonts w:ascii="Palatino Linotype" w:eastAsia="Palatino Linotype" w:hAnsi="Palatino Linotype" w:cs="Palatino Linotype"/>
          <w:i/>
          <w:sz w:val="22"/>
          <w:szCs w:val="22"/>
        </w:rPr>
        <w:t>o servicios relacionados con la misma mediante las excepciones al procedimiento de licitación siguientes</w:t>
      </w:r>
      <w:r w:rsidRPr="000959FC">
        <w:rPr>
          <w:rFonts w:ascii="Palatino Linotype" w:eastAsia="Palatino Linotype" w:hAnsi="Palatino Linotype" w:cs="Palatino Linotype"/>
          <w:b/>
          <w:i/>
          <w:sz w:val="22"/>
          <w:szCs w:val="22"/>
        </w:rPr>
        <w:t>:</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 Invitación restringida</w:t>
      </w:r>
      <w:r w:rsidRPr="000959FC">
        <w:rPr>
          <w:rFonts w:ascii="Palatino Linotype" w:eastAsia="Palatino Linotype" w:hAnsi="Palatino Linotype" w:cs="Palatino Linotype"/>
          <w:i/>
          <w:sz w:val="22"/>
          <w:szCs w:val="22"/>
        </w:rPr>
        <w:t>;</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II. Adjudicación directa</w:t>
      </w:r>
      <w:r w:rsidRPr="000959FC">
        <w:rPr>
          <w:rFonts w:ascii="Palatino Linotype" w:eastAsia="Palatino Linotype" w:hAnsi="Palatino Linotype" w:cs="Palatino Linotype"/>
          <w:i/>
          <w:sz w:val="22"/>
          <w:szCs w:val="22"/>
        </w:rPr>
        <w:t>.</w:t>
      </w:r>
    </w:p>
    <w:p w:rsidR="003C1162" w:rsidRPr="000959FC" w:rsidRDefault="003C1162">
      <w:pPr>
        <w:ind w:left="567" w:right="539"/>
        <w:jc w:val="both"/>
        <w:rPr>
          <w:rFonts w:ascii="Palatino Linotype" w:eastAsia="Palatino Linotype" w:hAnsi="Palatino Linotype" w:cs="Palatino Linotype"/>
          <w:i/>
          <w:sz w:val="22"/>
          <w:szCs w:val="22"/>
        </w:rPr>
      </w:pPr>
    </w:p>
    <w:p w:rsidR="003C1162" w:rsidRPr="000959FC" w:rsidRDefault="00F47EF3">
      <w:pPr>
        <w:ind w:left="567" w:right="539"/>
        <w:jc w:val="both"/>
        <w:rPr>
          <w:rFonts w:ascii="Palatino Linotype" w:eastAsia="Palatino Linotype" w:hAnsi="Palatino Linotype" w:cs="Palatino Linotype"/>
          <w:b/>
          <w:i/>
          <w:sz w:val="22"/>
          <w:szCs w:val="22"/>
        </w:rPr>
      </w:pPr>
      <w:r w:rsidRPr="000959FC">
        <w:rPr>
          <w:rFonts w:ascii="Palatino Linotype" w:eastAsia="Palatino Linotype" w:hAnsi="Palatino Linotype" w:cs="Palatino Linotype"/>
          <w:b/>
          <w:i/>
          <w:sz w:val="22"/>
          <w:szCs w:val="22"/>
        </w:rPr>
        <w:t>Artículo 12.64.-</w:t>
      </w:r>
      <w:r w:rsidRPr="000959FC">
        <w:rPr>
          <w:rFonts w:ascii="Palatino Linotype" w:eastAsia="Palatino Linotype" w:hAnsi="Palatino Linotype" w:cs="Palatino Linotype"/>
          <w:i/>
          <w:sz w:val="22"/>
          <w:szCs w:val="22"/>
        </w:rPr>
        <w:t xml:space="preserve"> Las dependencias, entidades y </w:t>
      </w:r>
      <w:r w:rsidRPr="000959FC">
        <w:rPr>
          <w:rFonts w:ascii="Palatino Linotype" w:eastAsia="Palatino Linotype" w:hAnsi="Palatino Linotype" w:cs="Palatino Linotype"/>
          <w:b/>
          <w:i/>
          <w:sz w:val="22"/>
          <w:szCs w:val="22"/>
        </w:rPr>
        <w:t>ayuntamientos conservarán, archivando en forma ordenada la documentación comprobatoria de los actos y contratos materia de este Libro, cuando menos por el lapso de cinco años, contados a partir de la fecha de la recepción de los trabajos</w:t>
      </w:r>
      <w:r w:rsidRPr="000959FC">
        <w:rPr>
          <w:rFonts w:ascii="Palatino Linotype" w:eastAsia="Palatino Linotype" w:hAnsi="Palatino Linotype" w:cs="Palatino Linotype"/>
          <w:i/>
          <w:sz w:val="22"/>
          <w:szCs w:val="22"/>
        </w:rPr>
        <w:t>.</w:t>
      </w:r>
      <w:r w:rsidRPr="000959FC">
        <w:rPr>
          <w:rFonts w:ascii="Palatino Linotype" w:eastAsia="Palatino Linotype" w:hAnsi="Palatino Linotype" w:cs="Palatino Linotype"/>
          <w:b/>
          <w:i/>
          <w:sz w:val="22"/>
          <w:szCs w:val="22"/>
        </w:rPr>
        <w:t>”</w:t>
      </w:r>
    </w:p>
    <w:p w:rsidR="003C1162" w:rsidRPr="000959FC" w:rsidRDefault="003C1162">
      <w:pPr>
        <w:spacing w:line="360" w:lineRule="auto"/>
        <w:ind w:right="49"/>
        <w:jc w:val="both"/>
        <w:rPr>
          <w:rFonts w:ascii="Palatino Linotype" w:eastAsia="Palatino Linotype" w:hAnsi="Palatino Linotype" w:cs="Palatino Linotype"/>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rPr>
      </w:pPr>
      <w:r w:rsidRPr="000959FC">
        <w:rPr>
          <w:rFonts w:ascii="Palatino Linotype" w:eastAsia="Palatino Linotype" w:hAnsi="Palatino Linotype" w:cs="Palatino Linotype"/>
        </w:rPr>
        <w:t xml:space="preserve">En este sentido, la ejecución de obras se realiza a través de dos vías, la administración directa, o bien, mediante la contratación de terceros, ésta última forma, se desarrolla a través de los procedimientos de licitación correspondiente, esto </w:t>
      </w:r>
      <w:r w:rsidRPr="000959FC">
        <w:rPr>
          <w:rFonts w:ascii="Palatino Linotype" w:eastAsia="Palatino Linotype" w:hAnsi="Palatino Linotype" w:cs="Palatino Linotype"/>
        </w:rPr>
        <w:lastRenderedPageBreak/>
        <w:t>es, a través de licitaciones, o de manera excepcional, mediante los procedimientos de invitación restringida y adjudicación directa, en cuyo caso, requiere la generación de diversa información, entre ella, de manera enunciativa más no limitativa, la referida en el artículo 92, fracción XXIX, de la Ley de la materia.</w:t>
      </w:r>
    </w:p>
    <w:p w:rsidR="003C1162" w:rsidRPr="000959FC" w:rsidRDefault="003C1162">
      <w:pPr>
        <w:spacing w:line="360" w:lineRule="auto"/>
        <w:ind w:right="49"/>
        <w:jc w:val="both"/>
        <w:rPr>
          <w:rFonts w:ascii="Palatino Linotype" w:eastAsia="Palatino Linotype" w:hAnsi="Palatino Linotype" w:cs="Palatino Linotype"/>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rPr>
      </w:pPr>
      <w:r w:rsidRPr="000959FC">
        <w:rPr>
          <w:rFonts w:ascii="Palatino Linotype" w:eastAsia="Palatino Linotype" w:hAnsi="Palatino Linotype" w:cs="Palatino Linotype"/>
        </w:rPr>
        <w:t>Aunado a lo anterior, debe observarse lo establecido en los artículos 8, 214, 215, 217, 218 y 219 del Reglamento del Libro Décimo Segundo del Código Administrativo del Estado de México:</w:t>
      </w:r>
    </w:p>
    <w:p w:rsidR="003C1162" w:rsidRPr="000959FC" w:rsidRDefault="003C1162">
      <w:pPr>
        <w:spacing w:line="360" w:lineRule="auto"/>
        <w:ind w:right="49"/>
        <w:jc w:val="both"/>
        <w:rPr>
          <w:rFonts w:ascii="Palatino Linotype" w:eastAsia="Palatino Linotype" w:hAnsi="Palatino Linotype" w:cs="Palatino Linotype"/>
        </w:rPr>
      </w:pP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w:t>
      </w:r>
      <w:r w:rsidRPr="000959FC">
        <w:rPr>
          <w:rFonts w:ascii="Palatino Linotype" w:eastAsia="Palatino Linotype" w:hAnsi="Palatino Linotype" w:cs="Palatino Linotype"/>
          <w:b/>
          <w:i/>
          <w:sz w:val="22"/>
          <w:szCs w:val="22"/>
        </w:rPr>
        <w:t>Artículo 8.</w:t>
      </w:r>
      <w:r w:rsidRPr="000959FC">
        <w:rPr>
          <w:rFonts w:ascii="Palatino Linotype" w:eastAsia="Palatino Linotype" w:hAnsi="Palatino Linotype" w:cs="Palatino Linotype"/>
          <w:i/>
          <w:sz w:val="22"/>
          <w:szCs w:val="22"/>
        </w:rPr>
        <w:t>- Las dependencias, entidades y, en su caso</w:t>
      </w:r>
      <w:r w:rsidRPr="000959FC">
        <w:rPr>
          <w:rFonts w:ascii="Palatino Linotype" w:eastAsia="Palatino Linotype" w:hAnsi="Palatino Linotype" w:cs="Palatino Linotype"/>
          <w:b/>
          <w:i/>
          <w:sz w:val="22"/>
          <w:szCs w:val="22"/>
        </w:rPr>
        <w:t>, los ayuntamientos, al realizar la planeación de una obra pública o servicio, deberán considerar, además de lo previsto en el Libro, lo siguiente</w:t>
      </w:r>
      <w:r w:rsidRPr="000959FC">
        <w:rPr>
          <w:rFonts w:ascii="Palatino Linotype" w:eastAsia="Palatino Linotype" w:hAnsi="Palatino Linotype" w:cs="Palatino Linotype"/>
          <w:i/>
          <w:sz w:val="22"/>
          <w:szCs w:val="22"/>
        </w:rPr>
        <w:t>:</w:t>
      </w:r>
    </w:p>
    <w:p w:rsidR="003C1162" w:rsidRPr="000959FC" w:rsidRDefault="003C1162">
      <w:pPr>
        <w:ind w:left="567" w:right="539"/>
        <w:jc w:val="both"/>
        <w:rPr>
          <w:rFonts w:ascii="Palatino Linotype" w:eastAsia="Palatino Linotype" w:hAnsi="Palatino Linotype" w:cs="Palatino Linotype"/>
          <w:i/>
          <w:sz w:val="22"/>
          <w:szCs w:val="22"/>
        </w:rPr>
      </w:pP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 Que los proyectos arquitectónicos y de ingeniería aseguren condiciones adecuadas de accesibilidad y libertad de movimiento para todas las personas</w:t>
      </w:r>
      <w:r w:rsidRPr="000959FC">
        <w:rPr>
          <w:rFonts w:ascii="Palatino Linotype" w:eastAsia="Palatino Linotype" w:hAnsi="Palatino Linotype" w:cs="Palatino Linotype"/>
          <w:i/>
          <w:sz w:val="22"/>
          <w:szCs w:val="22"/>
        </w:rPr>
        <w:t xml:space="preserve">, sin barreras arquitectónicas; y la necesaria facilidad de evacuación y cumplan con las normas de diseño y de señalización vigentes en el Estado relativas a las personas con capacidades diferentes, en cuanto a instalaciones, circulaciones, servicios sanitarios e instalaciones análogas.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II. La debida realización del análisis de factibilidad técnica, económica, social, ecológica, ambiental y, en su caso, los estudios de costo beneficio</w:t>
      </w:r>
      <w:r w:rsidRPr="000959FC">
        <w:rPr>
          <w:rFonts w:ascii="Palatino Linotype" w:eastAsia="Palatino Linotype" w:hAnsi="Palatino Linotype" w:cs="Palatino Linotype"/>
          <w:i/>
          <w:sz w:val="22"/>
          <w:szCs w:val="22"/>
        </w:rPr>
        <w:t xml:space="preserve">;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III.</w:t>
      </w:r>
      <w:r w:rsidRPr="000959FC">
        <w:rPr>
          <w:rFonts w:ascii="Palatino Linotype" w:eastAsia="Palatino Linotype" w:hAnsi="Palatino Linotype" w:cs="Palatino Linotype"/>
          <w:i/>
          <w:sz w:val="22"/>
          <w:szCs w:val="22"/>
        </w:rPr>
        <w:t xml:space="preserve"> La congruencia de la obra con las características ambientales, climáticas y geográficas de la región donde se realizará, así como </w:t>
      </w:r>
      <w:r w:rsidRPr="000959FC">
        <w:rPr>
          <w:rFonts w:ascii="Palatino Linotype" w:eastAsia="Palatino Linotype" w:hAnsi="Palatino Linotype" w:cs="Palatino Linotype"/>
          <w:b/>
          <w:i/>
          <w:sz w:val="22"/>
          <w:szCs w:val="22"/>
        </w:rPr>
        <w:t>los impactos previsibles</w:t>
      </w:r>
      <w:r w:rsidRPr="000959FC">
        <w:rPr>
          <w:rFonts w:ascii="Palatino Linotype" w:eastAsia="Palatino Linotype" w:hAnsi="Palatino Linotype" w:cs="Palatino Linotype"/>
          <w:i/>
          <w:sz w:val="22"/>
          <w:szCs w:val="22"/>
        </w:rPr>
        <w:t xml:space="preserve">;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IV. La determinación de la forma de ejecución, por contrato o administración directa</w:t>
      </w:r>
      <w:r w:rsidRPr="000959FC">
        <w:rPr>
          <w:rFonts w:ascii="Palatino Linotype" w:eastAsia="Palatino Linotype" w:hAnsi="Palatino Linotype" w:cs="Palatino Linotype"/>
          <w:i/>
          <w:sz w:val="22"/>
          <w:szCs w:val="22"/>
        </w:rPr>
        <w:t xml:space="preserve">. En el caso de contrato, precisar las áreas responsables de la contratación y la supervisión de los trabajos; y en el caso de obras por administración directa, de los responsables de las áreas de ejecución;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V. La coordinación con otras dependencias, entidades o ayuntamientos que realicen trabajos en el lugar de ejecución</w:t>
      </w:r>
      <w:r w:rsidRPr="000959FC">
        <w:rPr>
          <w:rFonts w:ascii="Palatino Linotype" w:eastAsia="Palatino Linotype" w:hAnsi="Palatino Linotype" w:cs="Palatino Linotype"/>
          <w:i/>
          <w:sz w:val="22"/>
          <w:szCs w:val="22"/>
        </w:rPr>
        <w:t>, o bien, que cuenten con instalaciones en operación, con el propósito de identificar aquellos trabajos que pudieran ocasionar daños, interferencias o suspensiones de los servicios públicos. Para tal efecto</w:t>
      </w:r>
      <w:r w:rsidRPr="000959FC">
        <w:rPr>
          <w:rFonts w:ascii="Palatino Linotype" w:eastAsia="Palatino Linotype" w:hAnsi="Palatino Linotype" w:cs="Palatino Linotype"/>
          <w:b/>
          <w:i/>
          <w:sz w:val="22"/>
          <w:szCs w:val="22"/>
        </w:rPr>
        <w:t xml:space="preserve">, las dependencias o entidades y, en su caso, ayuntamientos, delimitarán los alcances de los trabajos </w:t>
      </w:r>
      <w:r w:rsidRPr="000959FC">
        <w:rPr>
          <w:rFonts w:ascii="Palatino Linotype" w:eastAsia="Palatino Linotype" w:hAnsi="Palatino Linotype" w:cs="Palatino Linotype"/>
          <w:b/>
          <w:i/>
          <w:sz w:val="22"/>
          <w:szCs w:val="22"/>
        </w:rPr>
        <w:lastRenderedPageBreak/>
        <w:t>que a cada una de ellas corresponda realizar</w:t>
      </w:r>
      <w:r w:rsidRPr="000959FC">
        <w:rPr>
          <w:rFonts w:ascii="Palatino Linotype" w:eastAsia="Palatino Linotype" w:hAnsi="Palatino Linotype" w:cs="Palatino Linotype"/>
          <w:i/>
          <w:sz w:val="22"/>
          <w:szCs w:val="22"/>
        </w:rPr>
        <w:t xml:space="preserve">. El programa de ejecución preverá una secuencia de actividades, que evite la duplicidad o repetición de acciones y trabajos;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VI. La determinación de los materiales, productos, equipos y procedimientos de construcción que satisfagan los requerimientos técnicos y económicos del proyecto</w:t>
      </w:r>
      <w:r w:rsidRPr="000959FC">
        <w:rPr>
          <w:rFonts w:ascii="Palatino Linotype" w:eastAsia="Palatino Linotype" w:hAnsi="Palatino Linotype" w:cs="Palatino Linotype"/>
          <w:i/>
          <w:sz w:val="22"/>
          <w:szCs w:val="22"/>
        </w:rPr>
        <w:t xml:space="preserve">, considerando preferentemente el empleo de los recursos humanos y los materiales propios de la región donde se ubiquen las obras;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 xml:space="preserve">VII. El análisis de los avances tecnológicos y la determinación de los criterios de tecnología aplicables en función de la naturaleza de la obra pública </w:t>
      </w:r>
      <w:r w:rsidRPr="000959FC">
        <w:rPr>
          <w:rFonts w:ascii="Palatino Linotype" w:eastAsia="Palatino Linotype" w:hAnsi="Palatino Linotype" w:cs="Palatino Linotype"/>
          <w:i/>
          <w:sz w:val="22"/>
          <w:szCs w:val="22"/>
        </w:rPr>
        <w:t xml:space="preserve">y los servicios que satisfagan los requerimientos técnicos, económicos, ambientales y culturales;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VIII. La definición de las obras principales, de infraestructura; de las complementarias, inducidas y accesorias; y de las acciones requeridas para ponerlas en servicio e incorporarlas en el programa general de la obra;</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IX. La determinación del presupuesto total de la obra</w:t>
      </w:r>
      <w:r w:rsidRPr="000959FC">
        <w:rPr>
          <w:rFonts w:ascii="Palatino Linotype" w:eastAsia="Palatino Linotype" w:hAnsi="Palatino Linotype" w:cs="Palatino Linotype"/>
          <w:i/>
          <w:sz w:val="22"/>
          <w:szCs w:val="22"/>
        </w:rPr>
        <w:t xml:space="preserve"> y, en su caso, por ejercicios presupuéstales;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X. La determinación de acciones de adquisición</w:t>
      </w:r>
      <w:r w:rsidRPr="000959FC">
        <w:rPr>
          <w:rFonts w:ascii="Palatino Linotype" w:eastAsia="Palatino Linotype" w:hAnsi="Palatino Linotype" w:cs="Palatino Linotype"/>
          <w:i/>
          <w:sz w:val="22"/>
          <w:szCs w:val="22"/>
        </w:rPr>
        <w:t xml:space="preserve"> y, en su caso, de regularización de la tenencia de la tierra; y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XI.</w:t>
      </w:r>
      <w:r w:rsidRPr="000959FC">
        <w:rPr>
          <w:rFonts w:ascii="Palatino Linotype" w:eastAsia="Palatino Linotype" w:hAnsi="Palatino Linotype" w:cs="Palatino Linotype"/>
          <w:i/>
          <w:sz w:val="22"/>
          <w:szCs w:val="22"/>
        </w:rPr>
        <w:t xml:space="preserve"> En el caso de las obras por administración directa</w:t>
      </w:r>
      <w:r w:rsidRPr="000959FC">
        <w:rPr>
          <w:rFonts w:ascii="Palatino Linotype" w:eastAsia="Palatino Linotype" w:hAnsi="Palatino Linotype" w:cs="Palatino Linotype"/>
          <w:b/>
          <w:i/>
          <w:sz w:val="22"/>
          <w:szCs w:val="22"/>
        </w:rPr>
        <w:t>, la evaluación de la disponibilidad de personal</w:t>
      </w:r>
      <w:r w:rsidRPr="000959FC">
        <w:rPr>
          <w:rFonts w:ascii="Palatino Linotype" w:eastAsia="Palatino Linotype" w:hAnsi="Palatino Linotype" w:cs="Palatino Linotype"/>
          <w:i/>
          <w:sz w:val="22"/>
          <w:szCs w:val="22"/>
        </w:rPr>
        <w:t xml:space="preserve"> en las áreas responsables de la ejecución, así como de la maquinaria y equipo, que determine la capacidad real para ejecutar la obra con recursos propios.</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Artículo 214</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b/>
          <w:i/>
          <w:sz w:val="22"/>
          <w:szCs w:val="22"/>
        </w:rPr>
        <w:t>La ejecución de los trabajos deberá realizarse en el orden y tiempo previstos</w:t>
      </w:r>
      <w:r w:rsidRPr="000959FC">
        <w:rPr>
          <w:rFonts w:ascii="Palatino Linotype" w:eastAsia="Palatino Linotype" w:hAnsi="Palatino Linotype" w:cs="Palatino Linotype"/>
          <w:i/>
          <w:sz w:val="22"/>
          <w:szCs w:val="22"/>
        </w:rPr>
        <w:t xml:space="preserve"> en los programas pactados en el contrato. </w:t>
      </w:r>
    </w:p>
    <w:p w:rsidR="003C1162" w:rsidRPr="000959FC" w:rsidRDefault="003C1162">
      <w:pPr>
        <w:ind w:left="567" w:right="539"/>
        <w:jc w:val="both"/>
        <w:rPr>
          <w:rFonts w:ascii="Palatino Linotype" w:eastAsia="Palatino Linotype" w:hAnsi="Palatino Linotype" w:cs="Palatino Linotype"/>
          <w:i/>
          <w:sz w:val="22"/>
          <w:szCs w:val="22"/>
        </w:rPr>
      </w:pP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Artículo 215.-</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b/>
          <w:i/>
          <w:sz w:val="22"/>
          <w:szCs w:val="22"/>
        </w:rPr>
        <w:t>Para dar inicio a la ejecución de los trabajos, el contratante nombrará al servidor público residente de obra</w:t>
      </w:r>
      <w:r w:rsidRPr="000959FC">
        <w:rPr>
          <w:rFonts w:ascii="Palatino Linotype" w:eastAsia="Palatino Linotype" w:hAnsi="Palatino Linotype" w:cs="Palatino Linotype"/>
          <w:i/>
          <w:sz w:val="22"/>
          <w:szCs w:val="22"/>
        </w:rPr>
        <w:t>; y el contratista, al superintendente de la obra que lo representará. Cuando la supervisión sea contratada con terceras personas, es conveniente que participe desde el fallo del procedimiento de adjudicación del contrato de obra.</w:t>
      </w:r>
    </w:p>
    <w:p w:rsidR="003C1162" w:rsidRPr="000959FC" w:rsidRDefault="003C1162">
      <w:pPr>
        <w:ind w:left="567" w:right="539"/>
        <w:jc w:val="both"/>
        <w:rPr>
          <w:rFonts w:ascii="Palatino Linotype" w:eastAsia="Palatino Linotype" w:hAnsi="Palatino Linotype" w:cs="Palatino Linotype"/>
          <w:i/>
          <w:sz w:val="22"/>
          <w:szCs w:val="22"/>
        </w:rPr>
      </w:pP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Artículo 217.- Las funciones de la residencia de obra serán</w:t>
      </w:r>
      <w:r w:rsidRPr="000959FC">
        <w:rPr>
          <w:rFonts w:ascii="Palatino Linotype" w:eastAsia="Palatino Linotype" w:hAnsi="Palatino Linotype" w:cs="Palatino Linotype"/>
          <w:i/>
          <w:sz w:val="22"/>
          <w:szCs w:val="22"/>
        </w:rPr>
        <w:t>:</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 Vigilar que se cuente con el oficio de autorización de los recursos presupuestales</w:t>
      </w:r>
      <w:r w:rsidRPr="000959FC">
        <w:rPr>
          <w:rFonts w:ascii="Palatino Linotype" w:eastAsia="Palatino Linotype" w:hAnsi="Palatino Linotype" w:cs="Palatino Linotype"/>
          <w:i/>
          <w:sz w:val="22"/>
          <w:szCs w:val="22"/>
        </w:rPr>
        <w:t xml:space="preserve">;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II.</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b/>
          <w:i/>
          <w:sz w:val="22"/>
          <w:szCs w:val="22"/>
        </w:rPr>
        <w:t>Verificar que, antes del inicio de la obra, se cuente con los proyectos arquitectónicos y de ingeniería, especificaciones de calidad de los materiales y especificaciones generales y particulares de construcción</w:t>
      </w:r>
      <w:r w:rsidRPr="000959FC">
        <w:rPr>
          <w:rFonts w:ascii="Palatino Linotype" w:eastAsia="Palatino Linotype" w:hAnsi="Palatino Linotype" w:cs="Palatino Linotype"/>
          <w:i/>
          <w:sz w:val="22"/>
          <w:szCs w:val="22"/>
        </w:rPr>
        <w:t xml:space="preserve">, catálogo de conceptos con sus análisis de precios unitarios o alcance de las actividades de obra, programas de ejecución y suministros o utilización, términos de referencia y alcance de servicios; en caso contrario, informar a su inmediato superior;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lastRenderedPageBreak/>
        <w:t>III. Abrir la bitácora de obra</w:t>
      </w:r>
      <w:r w:rsidRPr="000959FC">
        <w:rPr>
          <w:rFonts w:ascii="Palatino Linotype" w:eastAsia="Palatino Linotype" w:hAnsi="Palatino Linotype" w:cs="Palatino Linotype"/>
          <w:i/>
          <w:sz w:val="22"/>
          <w:szCs w:val="22"/>
        </w:rPr>
        <w:t xml:space="preserve">, la cual quedará bajo su resguardo, y por medio de ella dar las instrucciones pertinentes, y recibir las solicitudes que le formule la supervisión y el contratista;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IV. Supervisar, revisar, vigilar y controlar los trabajos</w:t>
      </w:r>
      <w:r w:rsidRPr="000959FC">
        <w:rPr>
          <w:rFonts w:ascii="Palatino Linotype" w:eastAsia="Palatino Linotype" w:hAnsi="Palatino Linotype" w:cs="Palatino Linotype"/>
          <w:i/>
          <w:sz w:val="22"/>
          <w:szCs w:val="22"/>
        </w:rPr>
        <w:t xml:space="preserve">;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V. Vigilar y controlar el desarrollo de los trabajos</w:t>
      </w:r>
      <w:r w:rsidRPr="000959FC">
        <w:rPr>
          <w:rFonts w:ascii="Palatino Linotype" w:eastAsia="Palatino Linotype" w:hAnsi="Palatino Linotype" w:cs="Palatino Linotype"/>
          <w:i/>
          <w:sz w:val="22"/>
          <w:szCs w:val="22"/>
        </w:rPr>
        <w:t xml:space="preserve">, en sus aspectos de tiempo, calidad, costo y apego a los programas de ejecución de los trabajos de acuerdo con los avances, recursos asignados, rendimientos y consumos pactados en el contrato; </w:t>
      </w:r>
    </w:p>
    <w:p w:rsidR="003C1162" w:rsidRPr="000959FC" w:rsidRDefault="003C1162">
      <w:pPr>
        <w:ind w:left="567" w:right="539"/>
        <w:jc w:val="both"/>
        <w:rPr>
          <w:rFonts w:ascii="Palatino Linotype" w:eastAsia="Palatino Linotype" w:hAnsi="Palatino Linotype" w:cs="Palatino Linotype"/>
          <w:i/>
          <w:sz w:val="22"/>
          <w:szCs w:val="22"/>
        </w:rPr>
      </w:pP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Artículo 218.- La supervisión es el auxiliar de la residencia de obra</w:t>
      </w:r>
      <w:r w:rsidRPr="000959FC">
        <w:rPr>
          <w:rFonts w:ascii="Palatino Linotype" w:eastAsia="Palatino Linotype" w:hAnsi="Palatino Linotype" w:cs="Palatino Linotype"/>
          <w:i/>
          <w:sz w:val="22"/>
          <w:szCs w:val="22"/>
        </w:rPr>
        <w:t>. Tendrá las funciones que se señalan en este Reglamento, así como las que, en su caso, se pacten en el contrato de supervisión. Para tal función se deberá contar con la certificación de conocimientos y habilidades en la materia.</w:t>
      </w:r>
    </w:p>
    <w:p w:rsidR="003C1162" w:rsidRPr="000959FC" w:rsidRDefault="003C1162">
      <w:pPr>
        <w:ind w:left="567" w:right="539"/>
        <w:jc w:val="both"/>
        <w:rPr>
          <w:rFonts w:ascii="Palatino Linotype" w:eastAsia="Palatino Linotype" w:hAnsi="Palatino Linotype" w:cs="Palatino Linotype"/>
          <w:i/>
          <w:sz w:val="22"/>
          <w:szCs w:val="22"/>
        </w:rPr>
      </w:pP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Artículo 219.- Las funciones de la supervisión serán</w:t>
      </w:r>
      <w:r w:rsidRPr="000959FC">
        <w:rPr>
          <w:rFonts w:ascii="Palatino Linotype" w:eastAsia="Palatino Linotype" w:hAnsi="Palatino Linotype" w:cs="Palatino Linotype"/>
          <w:i/>
          <w:sz w:val="22"/>
          <w:szCs w:val="22"/>
        </w:rPr>
        <w:t xml:space="preserve">: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 Revisar, antes del inicio de los trabajos, la información que le proporcione la residencia de obra respecto del contrato</w:t>
      </w:r>
      <w:r w:rsidRPr="000959FC">
        <w:rPr>
          <w:rFonts w:ascii="Palatino Linotype" w:eastAsia="Palatino Linotype" w:hAnsi="Palatino Linotype" w:cs="Palatino Linotype"/>
          <w:i/>
          <w:sz w:val="22"/>
          <w:szCs w:val="22"/>
        </w:rPr>
        <w:t xml:space="preserve">, con el objeto de enterarse con detalle de las características del proyecto y del sitio de la obra, obteniendo la información que le permita iniciar los trabajos de supervisión según lo programado y ejecutarlos ininterrumpidamente hasta su conclusión; </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w:t>
      </w:r>
    </w:p>
    <w:p w:rsidR="003C1162" w:rsidRPr="000959FC" w:rsidRDefault="00F47EF3">
      <w:pPr>
        <w:ind w:left="567" w:right="539"/>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III. Integrar y mantener en orden y actualizado el archivo y documentación derivada de la realización de los trabajos, el que contendrá, entre otros</w:t>
      </w:r>
      <w:r w:rsidRPr="000959FC">
        <w:rPr>
          <w:rFonts w:ascii="Palatino Linotype" w:eastAsia="Palatino Linotype" w:hAnsi="Palatino Linotype" w:cs="Palatino Linotype"/>
          <w:i/>
          <w:sz w:val="22"/>
          <w:szCs w:val="22"/>
        </w:rPr>
        <w:t xml:space="preserve">: </w:t>
      </w:r>
    </w:p>
    <w:p w:rsidR="003C1162" w:rsidRPr="000959FC" w:rsidRDefault="00F47EF3">
      <w:pPr>
        <w:tabs>
          <w:tab w:val="left" w:pos="1701"/>
        </w:tabs>
        <w:ind w:left="567" w:right="539" w:firstLine="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a.</w:t>
      </w:r>
      <w:r w:rsidRPr="000959FC">
        <w:rPr>
          <w:rFonts w:ascii="Palatino Linotype" w:eastAsia="Palatino Linotype" w:hAnsi="Palatino Linotype" w:cs="Palatino Linotype"/>
          <w:b/>
          <w:i/>
          <w:sz w:val="22"/>
          <w:szCs w:val="22"/>
        </w:rPr>
        <w:tab/>
      </w:r>
      <w:r w:rsidRPr="000959FC">
        <w:rPr>
          <w:rFonts w:ascii="Palatino Linotype" w:eastAsia="Palatino Linotype" w:hAnsi="Palatino Linotype" w:cs="Palatino Linotype"/>
          <w:i/>
          <w:sz w:val="22"/>
          <w:szCs w:val="22"/>
        </w:rPr>
        <w:t xml:space="preserve">Contrato, convenios, programas de obra y suministros, números generadores, cantidades de obra realizadas y faltantes de ejecutar y presupuesto; </w:t>
      </w:r>
    </w:p>
    <w:p w:rsidR="003C1162" w:rsidRPr="000959FC" w:rsidRDefault="00F47EF3">
      <w:pPr>
        <w:tabs>
          <w:tab w:val="left" w:pos="1701"/>
        </w:tabs>
        <w:ind w:left="567" w:right="539" w:firstLine="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b.</w:t>
      </w:r>
      <w:r w:rsidRPr="000959FC">
        <w:rPr>
          <w:rFonts w:ascii="Palatino Linotype" w:eastAsia="Palatino Linotype" w:hAnsi="Palatino Linotype" w:cs="Palatino Linotype"/>
          <w:i/>
          <w:sz w:val="22"/>
          <w:szCs w:val="22"/>
        </w:rPr>
        <w:tab/>
        <w:t>Permisos, licencias y autorizaciones;</w:t>
      </w:r>
    </w:p>
    <w:p w:rsidR="003C1162" w:rsidRPr="000959FC" w:rsidRDefault="00F47EF3">
      <w:pPr>
        <w:tabs>
          <w:tab w:val="left" w:pos="1701"/>
        </w:tabs>
        <w:ind w:left="567" w:right="539" w:firstLine="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c.</w:t>
      </w:r>
      <w:r w:rsidRPr="000959FC">
        <w:rPr>
          <w:rFonts w:ascii="Palatino Linotype" w:eastAsia="Palatino Linotype" w:hAnsi="Palatino Linotype" w:cs="Palatino Linotype"/>
          <w:i/>
          <w:sz w:val="22"/>
          <w:szCs w:val="22"/>
        </w:rPr>
        <w:tab/>
        <w:t>Especificaciones de construcción y procedimientos constructivos;</w:t>
      </w:r>
    </w:p>
    <w:p w:rsidR="003C1162" w:rsidRPr="000959FC" w:rsidRDefault="00F47EF3">
      <w:pPr>
        <w:tabs>
          <w:tab w:val="left" w:pos="1701"/>
        </w:tabs>
        <w:ind w:left="567" w:right="539" w:firstLine="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d.</w:t>
      </w:r>
      <w:r w:rsidRPr="000959FC">
        <w:rPr>
          <w:rFonts w:ascii="Palatino Linotype" w:eastAsia="Palatino Linotype" w:hAnsi="Palatino Linotype" w:cs="Palatino Linotype"/>
          <w:i/>
          <w:sz w:val="22"/>
          <w:szCs w:val="22"/>
        </w:rPr>
        <w:tab/>
        <w:t xml:space="preserve">Registro y control de la bitácora y de las minutas de las juntas de obra; </w:t>
      </w:r>
    </w:p>
    <w:p w:rsidR="003C1162" w:rsidRPr="000959FC" w:rsidRDefault="00F47EF3">
      <w:pPr>
        <w:tabs>
          <w:tab w:val="left" w:pos="1701"/>
        </w:tabs>
        <w:ind w:left="567" w:right="539" w:firstLine="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e.</w:t>
      </w:r>
      <w:r w:rsidRPr="000959FC">
        <w:rPr>
          <w:rFonts w:ascii="Palatino Linotype" w:eastAsia="Palatino Linotype" w:hAnsi="Palatino Linotype" w:cs="Palatino Linotype"/>
          <w:i/>
          <w:sz w:val="22"/>
          <w:szCs w:val="22"/>
        </w:rPr>
        <w:tab/>
        <w:t xml:space="preserve">Copia de planos y sus modificaciones; </w:t>
      </w:r>
    </w:p>
    <w:p w:rsidR="003C1162" w:rsidRPr="000959FC" w:rsidRDefault="00F47EF3">
      <w:pPr>
        <w:tabs>
          <w:tab w:val="left" w:pos="1701"/>
        </w:tabs>
        <w:ind w:left="567" w:right="539" w:firstLine="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f.</w:t>
      </w:r>
      <w:r w:rsidRPr="000959FC">
        <w:rPr>
          <w:rFonts w:ascii="Palatino Linotype" w:eastAsia="Palatino Linotype" w:hAnsi="Palatino Linotype" w:cs="Palatino Linotype"/>
          <w:b/>
          <w:i/>
          <w:sz w:val="22"/>
          <w:szCs w:val="22"/>
        </w:rPr>
        <w:tab/>
      </w:r>
      <w:r w:rsidRPr="000959FC">
        <w:rPr>
          <w:rFonts w:ascii="Palatino Linotype" w:eastAsia="Palatino Linotype" w:hAnsi="Palatino Linotype" w:cs="Palatino Linotype"/>
          <w:i/>
          <w:sz w:val="22"/>
          <w:szCs w:val="22"/>
        </w:rPr>
        <w:t>Matrices de precios unitarios o cédula de avances y pagos programados, según corresponda;</w:t>
      </w:r>
    </w:p>
    <w:p w:rsidR="003C1162" w:rsidRPr="000959FC" w:rsidRDefault="00F47EF3">
      <w:pPr>
        <w:tabs>
          <w:tab w:val="left" w:pos="1701"/>
        </w:tabs>
        <w:ind w:left="567" w:right="539" w:firstLine="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g.</w:t>
      </w:r>
      <w:r w:rsidRPr="000959FC">
        <w:rPr>
          <w:rFonts w:ascii="Palatino Linotype" w:eastAsia="Palatino Linotype" w:hAnsi="Palatino Linotype" w:cs="Palatino Linotype"/>
          <w:i/>
          <w:sz w:val="22"/>
          <w:szCs w:val="22"/>
        </w:rPr>
        <w:tab/>
        <w:t xml:space="preserve">Estimaciones; </w:t>
      </w:r>
    </w:p>
    <w:p w:rsidR="003C1162" w:rsidRPr="000959FC" w:rsidRDefault="00F47EF3">
      <w:pPr>
        <w:tabs>
          <w:tab w:val="left" w:pos="1701"/>
        </w:tabs>
        <w:ind w:left="567" w:right="539" w:firstLine="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h.</w:t>
      </w:r>
      <w:r w:rsidRPr="000959FC">
        <w:rPr>
          <w:rFonts w:ascii="Palatino Linotype" w:eastAsia="Palatino Linotype" w:hAnsi="Palatino Linotype" w:cs="Palatino Linotype"/>
          <w:b/>
          <w:i/>
          <w:sz w:val="22"/>
          <w:szCs w:val="22"/>
        </w:rPr>
        <w:tab/>
      </w:r>
      <w:r w:rsidRPr="000959FC">
        <w:rPr>
          <w:rFonts w:ascii="Palatino Linotype" w:eastAsia="Palatino Linotype" w:hAnsi="Palatino Linotype" w:cs="Palatino Linotype"/>
          <w:i/>
          <w:sz w:val="22"/>
          <w:szCs w:val="22"/>
        </w:rPr>
        <w:t>Reportes de laboratorio y resultado de las pruebas, y</w:t>
      </w:r>
    </w:p>
    <w:p w:rsidR="003C1162" w:rsidRPr="000959FC" w:rsidRDefault="00F47EF3">
      <w:pPr>
        <w:tabs>
          <w:tab w:val="left" w:pos="1701"/>
        </w:tabs>
        <w:ind w:left="567" w:right="539" w:firstLine="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i</w:t>
      </w:r>
      <w:r w:rsidRPr="000959FC">
        <w:rPr>
          <w:rFonts w:ascii="Palatino Linotype" w:eastAsia="Palatino Linotype" w:hAnsi="Palatino Linotype" w:cs="Palatino Linotype"/>
          <w:i/>
          <w:sz w:val="22"/>
          <w:szCs w:val="22"/>
        </w:rPr>
        <w:t>.</w:t>
      </w:r>
      <w:r w:rsidRPr="000959FC">
        <w:rPr>
          <w:rFonts w:ascii="Palatino Linotype" w:eastAsia="Palatino Linotype" w:hAnsi="Palatino Linotype" w:cs="Palatino Linotype"/>
          <w:i/>
          <w:sz w:val="22"/>
          <w:szCs w:val="22"/>
        </w:rPr>
        <w:tab/>
        <w:t>Manuales y garantía de la maquinaria y equipo;</w:t>
      </w:r>
    </w:p>
    <w:p w:rsidR="003C1162" w:rsidRPr="000959FC" w:rsidRDefault="00F47EF3">
      <w:pPr>
        <w:tabs>
          <w:tab w:val="left" w:pos="1701"/>
        </w:tabs>
        <w:ind w:left="567" w:right="539" w:firstLine="567"/>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w:t>
      </w:r>
    </w:p>
    <w:p w:rsidR="003C1162" w:rsidRPr="000959FC" w:rsidRDefault="003C1162">
      <w:pPr>
        <w:spacing w:line="360" w:lineRule="auto"/>
        <w:ind w:right="49"/>
        <w:jc w:val="both"/>
        <w:rPr>
          <w:rFonts w:ascii="Palatino Linotype" w:eastAsia="Palatino Linotype" w:hAnsi="Palatino Linotype" w:cs="Palatino Linotype"/>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rPr>
      </w:pPr>
      <w:r w:rsidRPr="000959FC">
        <w:rPr>
          <w:rFonts w:ascii="Palatino Linotype" w:eastAsia="Palatino Linotype" w:hAnsi="Palatino Linotype" w:cs="Palatino Linotype"/>
        </w:rPr>
        <w:t xml:space="preserve">Ahora bien, de conformidad con el Acuerdo del Secretario de Infraestructura por el que se establece el Índice de Expediente Único de Obra Pública e Instructivos </w:t>
      </w:r>
      <w:r w:rsidRPr="000959FC">
        <w:rPr>
          <w:rFonts w:ascii="Palatino Linotype" w:eastAsia="Palatino Linotype" w:hAnsi="Palatino Linotype" w:cs="Palatino Linotype"/>
        </w:rPr>
        <w:lastRenderedPageBreak/>
        <w:t xml:space="preserve">de llenado en las modalidades de adjudicación directa, invitación restringida y licitación pública, se establecieron los Índices de Expedientes Únicos de Obra e instructivos de llenado, en las modalidades de Adjudicación Directa, Invitación Restringida y Licitación Pública, </w:t>
      </w:r>
      <w:r w:rsidRPr="000959FC">
        <w:rPr>
          <w:rFonts w:ascii="Palatino Linotype" w:eastAsia="Palatino Linotype" w:hAnsi="Palatino Linotype" w:cs="Palatino Linotype"/>
          <w:b/>
        </w:rPr>
        <w:t>para la integración del expediente único de obra pública que para tal efecto integran las dependencias, entidades, ayuntamientos y tribunales administrativos que ejecuten obra pública.</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En ese sentido, también es necesario precisar que el Sujeto Obligado no negó contar con la información solicitada, por el contrario, asumió que contaba con la misma, tan es así que señaló el cambio de modalidad a consulta directa para la entrega de la información. </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bookmarkStart w:id="7" w:name="_heading=h.1t3h5sf" w:colFirst="0" w:colLast="0"/>
      <w:bookmarkEnd w:id="7"/>
      <w:r w:rsidRPr="000959FC">
        <w:rPr>
          <w:rFonts w:ascii="Palatino Linotype" w:eastAsia="Palatino Linotype" w:hAnsi="Palatino Linotype" w:cs="Palatino Linotype"/>
          <w:color w:val="000000"/>
          <w:sz w:val="22"/>
          <w:szCs w:val="22"/>
        </w:rPr>
        <w:t xml:space="preserve">En efecto, el hecho de que </w:t>
      </w:r>
      <w:r w:rsidRPr="000959FC">
        <w:rPr>
          <w:rFonts w:ascii="Palatino Linotype" w:eastAsia="Palatino Linotype" w:hAnsi="Palatino Linotype" w:cs="Palatino Linotype"/>
          <w:b/>
          <w:color w:val="000000"/>
          <w:sz w:val="22"/>
          <w:szCs w:val="22"/>
        </w:rPr>
        <w:t>EL SUJETO OBLIGADO</w:t>
      </w:r>
      <w:r w:rsidRPr="000959FC">
        <w:rPr>
          <w:rFonts w:ascii="Palatino Linotype" w:eastAsia="Palatino Linotype" w:hAnsi="Palatino Linotype" w:cs="Palatino Linotype"/>
          <w:color w:val="000000"/>
          <w:sz w:val="22"/>
          <w:szCs w:val="22"/>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w:t>
      </w:r>
      <w:r w:rsidRPr="000959FC">
        <w:rPr>
          <w:rFonts w:ascii="Palatino Linotype" w:eastAsia="Palatino Linotype" w:hAnsi="Palatino Linotype" w:cs="Palatino Linotype"/>
          <w:b/>
          <w:i/>
          <w:color w:val="000000"/>
          <w:sz w:val="22"/>
          <w:szCs w:val="22"/>
        </w:rPr>
        <w:t>Artículo 12.</w:t>
      </w:r>
      <w:r w:rsidRPr="000959FC">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w:t>
      </w:r>
    </w:p>
    <w:p w:rsidR="003C1162" w:rsidRPr="000959FC" w:rsidRDefault="003C1162">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p>
    <w:p w:rsidR="003C1162" w:rsidRPr="000959FC" w:rsidRDefault="00F47EF3">
      <w:pPr>
        <w:pBdr>
          <w:top w:val="nil"/>
          <w:left w:val="nil"/>
          <w:bottom w:val="nil"/>
          <w:right w:val="nil"/>
          <w:between w:val="nil"/>
        </w:pBdr>
        <w:spacing w:line="276" w:lineRule="auto"/>
        <w:ind w:left="851" w:right="616"/>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lastRenderedPageBreak/>
        <w:t>Por otro lado, es necesario señalar que dentro de la página oficial del Sujeto Obligado se localizó el documento de la Cuenta Pública 2022</w:t>
      </w:r>
      <w:r w:rsidRPr="000959FC">
        <w:rPr>
          <w:rFonts w:ascii="Palatino Linotype" w:eastAsia="Palatino Linotype" w:hAnsi="Palatino Linotype" w:cs="Palatino Linotype"/>
          <w:color w:val="000000"/>
          <w:sz w:val="22"/>
          <w:szCs w:val="22"/>
          <w:vertAlign w:val="superscript"/>
        </w:rPr>
        <w:footnoteReference w:id="2"/>
      </w:r>
      <w:r w:rsidRPr="000959FC">
        <w:rPr>
          <w:rFonts w:ascii="Palatino Linotype" w:eastAsia="Palatino Linotype" w:hAnsi="Palatino Linotype" w:cs="Palatino Linotype"/>
          <w:color w:val="000000"/>
          <w:sz w:val="22"/>
          <w:szCs w:val="22"/>
        </w:rPr>
        <w:t xml:space="preserve"> y 2023</w:t>
      </w:r>
      <w:r w:rsidRPr="000959FC">
        <w:rPr>
          <w:rFonts w:ascii="Palatino Linotype" w:eastAsia="Palatino Linotype" w:hAnsi="Palatino Linotype" w:cs="Palatino Linotype"/>
          <w:color w:val="000000"/>
          <w:sz w:val="22"/>
          <w:szCs w:val="22"/>
          <w:vertAlign w:val="superscript"/>
        </w:rPr>
        <w:footnoteReference w:id="3"/>
      </w:r>
      <w:r w:rsidRPr="000959FC">
        <w:rPr>
          <w:rFonts w:ascii="Palatino Linotype" w:eastAsia="Palatino Linotype" w:hAnsi="Palatino Linotype" w:cs="Palatino Linotype"/>
          <w:color w:val="000000"/>
          <w:sz w:val="22"/>
          <w:szCs w:val="22"/>
        </w:rPr>
        <w:t xml:space="preserve"> el “Informe de Obras Programadas y Ejecutadas”, en el que se advierten algunas de las obras señaladas por el Recurrente:</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noProof/>
          <w:color w:val="000000"/>
          <w:sz w:val="22"/>
          <w:szCs w:val="22"/>
        </w:rPr>
        <w:drawing>
          <wp:inline distT="0" distB="0" distL="0" distR="0">
            <wp:extent cx="5742940" cy="3759835"/>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8"/>
                    <a:srcRect/>
                    <a:stretch>
                      <a:fillRect/>
                    </a:stretch>
                  </pic:blipFill>
                  <pic:spPr>
                    <a:xfrm>
                      <a:off x="0" y="0"/>
                      <a:ext cx="5742940" cy="3759835"/>
                    </a:xfrm>
                    <a:prstGeom prst="rect">
                      <a:avLst/>
                    </a:prstGeom>
                    <a:ln/>
                  </pic:spPr>
                </pic:pic>
              </a:graphicData>
            </a:graphic>
          </wp:inline>
        </w:drawing>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noProof/>
          <w:color w:val="000000"/>
          <w:sz w:val="22"/>
          <w:szCs w:val="22"/>
        </w:rPr>
        <w:lastRenderedPageBreak/>
        <w:drawing>
          <wp:inline distT="0" distB="0" distL="0" distR="0">
            <wp:extent cx="5742940" cy="3789680"/>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9"/>
                    <a:srcRect/>
                    <a:stretch>
                      <a:fillRect/>
                    </a:stretch>
                  </pic:blipFill>
                  <pic:spPr>
                    <a:xfrm>
                      <a:off x="0" y="0"/>
                      <a:ext cx="5742940" cy="3789680"/>
                    </a:xfrm>
                    <a:prstGeom prst="rect">
                      <a:avLst/>
                    </a:prstGeom>
                    <a:ln/>
                  </pic:spPr>
                </pic:pic>
              </a:graphicData>
            </a:graphic>
          </wp:inline>
        </w:drawing>
      </w:r>
    </w:p>
    <w:p w:rsidR="003C1162" w:rsidRPr="000959FC" w:rsidRDefault="00F47EF3">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noProof/>
          <w:color w:val="000000"/>
          <w:sz w:val="22"/>
          <w:szCs w:val="22"/>
        </w:rPr>
        <w:drawing>
          <wp:inline distT="0" distB="0" distL="0" distR="0">
            <wp:extent cx="5742940" cy="202565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0"/>
                    <a:srcRect/>
                    <a:stretch>
                      <a:fillRect/>
                    </a:stretch>
                  </pic:blipFill>
                  <pic:spPr>
                    <a:xfrm>
                      <a:off x="0" y="0"/>
                      <a:ext cx="5742940" cy="2025650"/>
                    </a:xfrm>
                    <a:prstGeom prst="rect">
                      <a:avLst/>
                    </a:prstGeom>
                    <a:ln/>
                  </pic:spPr>
                </pic:pic>
              </a:graphicData>
            </a:graphic>
          </wp:inline>
        </w:drawing>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lastRenderedPageBreak/>
        <w:t xml:space="preserve">Aunado a ello, dentro del Segundo Informe de Gobierno de </w:t>
      </w:r>
      <w:proofErr w:type="spellStart"/>
      <w:r w:rsidRPr="000959FC">
        <w:rPr>
          <w:rFonts w:ascii="Palatino Linotype" w:eastAsia="Palatino Linotype" w:hAnsi="Palatino Linotype" w:cs="Palatino Linotype"/>
          <w:color w:val="000000"/>
          <w:sz w:val="22"/>
          <w:szCs w:val="22"/>
        </w:rPr>
        <w:t>Temamatla</w:t>
      </w:r>
      <w:proofErr w:type="spellEnd"/>
      <w:r w:rsidRPr="000959FC">
        <w:rPr>
          <w:rFonts w:ascii="Palatino Linotype" w:eastAsia="Palatino Linotype" w:hAnsi="Palatino Linotype" w:cs="Palatino Linotype"/>
          <w:color w:val="000000"/>
          <w:sz w:val="22"/>
          <w:szCs w:val="22"/>
        </w:rPr>
        <w:t xml:space="preserve"> 2022-2024</w:t>
      </w:r>
      <w:r w:rsidRPr="000959FC">
        <w:rPr>
          <w:rFonts w:ascii="Palatino Linotype" w:eastAsia="Palatino Linotype" w:hAnsi="Palatino Linotype" w:cs="Palatino Linotype"/>
          <w:color w:val="000000"/>
          <w:sz w:val="22"/>
          <w:szCs w:val="22"/>
          <w:vertAlign w:val="superscript"/>
        </w:rPr>
        <w:footnoteReference w:id="4"/>
      </w:r>
      <w:r w:rsidRPr="000959FC">
        <w:rPr>
          <w:rFonts w:ascii="Palatino Linotype" w:eastAsia="Palatino Linotype" w:hAnsi="Palatino Linotype" w:cs="Palatino Linotype"/>
          <w:color w:val="000000"/>
          <w:sz w:val="22"/>
          <w:szCs w:val="22"/>
        </w:rPr>
        <w:t>, también se localizó información referente a las obras señaladas por el Recurrente, se anexan las siguiente imágenes a modo de ejemplo:</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noProof/>
          <w:color w:val="000000"/>
          <w:sz w:val="22"/>
          <w:szCs w:val="22"/>
        </w:rPr>
        <w:drawing>
          <wp:inline distT="0" distB="0" distL="0" distR="0">
            <wp:extent cx="4736029" cy="1316495"/>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1"/>
                    <a:srcRect/>
                    <a:stretch>
                      <a:fillRect/>
                    </a:stretch>
                  </pic:blipFill>
                  <pic:spPr>
                    <a:xfrm>
                      <a:off x="0" y="0"/>
                      <a:ext cx="4736029" cy="1316495"/>
                    </a:xfrm>
                    <a:prstGeom prst="rect">
                      <a:avLst/>
                    </a:prstGeom>
                    <a:ln/>
                  </pic:spPr>
                </pic:pic>
              </a:graphicData>
            </a:graphic>
          </wp:inline>
        </w:drawing>
      </w:r>
    </w:p>
    <w:p w:rsidR="003C1162" w:rsidRPr="000959FC" w:rsidRDefault="003C1162">
      <w:pPr>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p>
    <w:p w:rsidR="003C1162" w:rsidRPr="000959FC" w:rsidRDefault="00F47EF3">
      <w:pPr>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noProof/>
          <w:color w:val="000000"/>
          <w:sz w:val="22"/>
          <w:szCs w:val="22"/>
        </w:rPr>
        <w:drawing>
          <wp:inline distT="0" distB="0" distL="0" distR="0">
            <wp:extent cx="4113277" cy="1729632"/>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2"/>
                    <a:srcRect/>
                    <a:stretch>
                      <a:fillRect/>
                    </a:stretch>
                  </pic:blipFill>
                  <pic:spPr>
                    <a:xfrm>
                      <a:off x="0" y="0"/>
                      <a:ext cx="4113277" cy="1729632"/>
                    </a:xfrm>
                    <a:prstGeom prst="rect">
                      <a:avLst/>
                    </a:prstGeom>
                    <a:ln/>
                  </pic:spPr>
                </pic:pic>
              </a:graphicData>
            </a:graphic>
          </wp:inline>
        </w:drawing>
      </w:r>
    </w:p>
    <w:p w:rsidR="003C1162" w:rsidRPr="000959FC" w:rsidRDefault="003C1162">
      <w:pPr>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p>
    <w:p w:rsidR="003C1162" w:rsidRPr="000959FC" w:rsidRDefault="00F47EF3">
      <w:pPr>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noProof/>
          <w:color w:val="000000"/>
          <w:sz w:val="22"/>
          <w:szCs w:val="22"/>
        </w:rPr>
        <w:lastRenderedPageBreak/>
        <w:drawing>
          <wp:inline distT="0" distB="0" distL="0" distR="0">
            <wp:extent cx="4366311" cy="1726924"/>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3"/>
                    <a:srcRect/>
                    <a:stretch>
                      <a:fillRect/>
                    </a:stretch>
                  </pic:blipFill>
                  <pic:spPr>
                    <a:xfrm>
                      <a:off x="0" y="0"/>
                      <a:ext cx="4366311" cy="1726924"/>
                    </a:xfrm>
                    <a:prstGeom prst="rect">
                      <a:avLst/>
                    </a:prstGeom>
                    <a:ln/>
                  </pic:spPr>
                </pic:pic>
              </a:graphicData>
            </a:graphic>
          </wp:inline>
        </w:drawing>
      </w:r>
    </w:p>
    <w:p w:rsidR="003C1162" w:rsidRPr="000959FC" w:rsidRDefault="00F47EF3">
      <w:pPr>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noProof/>
          <w:color w:val="000000"/>
          <w:sz w:val="22"/>
          <w:szCs w:val="22"/>
        </w:rPr>
        <w:drawing>
          <wp:inline distT="0" distB="0" distL="0" distR="0">
            <wp:extent cx="4228849" cy="1358338"/>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4"/>
                    <a:srcRect/>
                    <a:stretch>
                      <a:fillRect/>
                    </a:stretch>
                  </pic:blipFill>
                  <pic:spPr>
                    <a:xfrm>
                      <a:off x="0" y="0"/>
                      <a:ext cx="4228849" cy="1358338"/>
                    </a:xfrm>
                    <a:prstGeom prst="rect">
                      <a:avLst/>
                    </a:prstGeom>
                    <a:ln/>
                  </pic:spPr>
                </pic:pic>
              </a:graphicData>
            </a:graphic>
          </wp:inline>
        </w:drawing>
      </w:r>
    </w:p>
    <w:p w:rsidR="003C1162" w:rsidRPr="000959FC" w:rsidRDefault="003C1162">
      <w:pPr>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p>
    <w:p w:rsidR="003C1162" w:rsidRPr="000959FC" w:rsidRDefault="00F47EF3">
      <w:pPr>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noProof/>
          <w:color w:val="000000"/>
          <w:sz w:val="22"/>
          <w:szCs w:val="22"/>
        </w:rPr>
        <w:drawing>
          <wp:inline distT="0" distB="0" distL="0" distR="0">
            <wp:extent cx="4180167" cy="1622796"/>
            <wp:effectExtent l="0" t="0" r="0" b="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5"/>
                    <a:srcRect/>
                    <a:stretch>
                      <a:fillRect/>
                    </a:stretch>
                  </pic:blipFill>
                  <pic:spPr>
                    <a:xfrm>
                      <a:off x="0" y="0"/>
                      <a:ext cx="4180167" cy="1622796"/>
                    </a:xfrm>
                    <a:prstGeom prst="rect">
                      <a:avLst/>
                    </a:prstGeom>
                    <a:ln/>
                  </pic:spPr>
                </pic:pic>
              </a:graphicData>
            </a:graphic>
          </wp:inline>
        </w:drawing>
      </w:r>
    </w:p>
    <w:p w:rsidR="003C1162" w:rsidRPr="000959FC" w:rsidRDefault="003C1162">
      <w:pPr>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bookmarkStart w:id="8" w:name="_heading=h.4d34og8" w:colFirst="0" w:colLast="0"/>
      <w:bookmarkEnd w:id="8"/>
    </w:p>
    <w:p w:rsidR="003C1162" w:rsidRPr="000959FC" w:rsidRDefault="00F47EF3">
      <w:pPr>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noProof/>
          <w:color w:val="000000"/>
          <w:sz w:val="22"/>
          <w:szCs w:val="22"/>
        </w:rPr>
        <w:drawing>
          <wp:inline distT="0" distB="0" distL="0" distR="0">
            <wp:extent cx="4267851" cy="123543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6"/>
                    <a:srcRect/>
                    <a:stretch>
                      <a:fillRect/>
                    </a:stretch>
                  </pic:blipFill>
                  <pic:spPr>
                    <a:xfrm>
                      <a:off x="0" y="0"/>
                      <a:ext cx="4267851" cy="1235430"/>
                    </a:xfrm>
                    <a:prstGeom prst="rect">
                      <a:avLst/>
                    </a:prstGeom>
                    <a:ln/>
                  </pic:spPr>
                </pic:pic>
              </a:graphicData>
            </a:graphic>
          </wp:inline>
        </w:drawing>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lastRenderedPageBreak/>
        <w:t>Ahora bien, la Ley de Transparencia y Acceso a la Información Pública del Estado de México y Municipios establece en los artículos 155 fracción V, 158 y 164 lo siguiente:</w:t>
      </w:r>
    </w:p>
    <w:p w:rsidR="003C1162" w:rsidRPr="000959FC" w:rsidRDefault="003C1162">
      <w:pPr>
        <w:pBdr>
          <w:top w:val="nil"/>
          <w:left w:val="nil"/>
          <w:bottom w:val="nil"/>
          <w:right w:val="nil"/>
          <w:between w:val="nil"/>
        </w:pBdr>
        <w:tabs>
          <w:tab w:val="left" w:pos="851"/>
        </w:tabs>
        <w:spacing w:line="360" w:lineRule="auto"/>
        <w:ind w:left="720" w:right="49"/>
        <w:jc w:val="both"/>
        <w:rPr>
          <w:rFonts w:ascii="Palatino Linotype" w:eastAsia="Palatino Linotype" w:hAnsi="Palatino Linotype" w:cs="Palatino Linotype"/>
          <w:color w:val="000000"/>
          <w:sz w:val="22"/>
          <w:szCs w:val="22"/>
        </w:rPr>
      </w:pPr>
    </w:p>
    <w:p w:rsidR="003C1162" w:rsidRPr="000959FC" w:rsidRDefault="00F47EF3">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Artículo 155. Para presentar una solicitud por escrito, no se podrán exigir mayores requisitos que los siguientes:</w:t>
      </w:r>
    </w:p>
    <w:p w:rsidR="003C1162" w:rsidRPr="000959FC" w:rsidRDefault="00F47EF3">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I. a IV. …</w:t>
      </w:r>
    </w:p>
    <w:p w:rsidR="003C1162" w:rsidRPr="000959FC" w:rsidRDefault="00F47EF3">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V. La modalidad en la que prefiere se otorgue el acceso a la información</w:t>
      </w:r>
      <w:r w:rsidRPr="000959FC">
        <w:rPr>
          <w:rFonts w:ascii="Palatino Linotype" w:eastAsia="Palatino Linotype" w:hAnsi="Palatino Linotype" w:cs="Palatino Linotype"/>
          <w:i/>
          <w:color w:val="000000"/>
          <w:sz w:val="22"/>
          <w:szCs w:val="22"/>
        </w:rPr>
        <w:t>, la cual podrá ser verbal, siempre y cuando sea para fines de orientación, mediante consulta directa, mediante la expedición de copias simples o certificadas o la reproducción en cualquier otro medio, incluidos los electrónicos</w:t>
      </w:r>
    </w:p>
    <w:p w:rsidR="003C1162" w:rsidRPr="000959FC" w:rsidRDefault="00F47EF3">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w:t>
      </w:r>
    </w:p>
    <w:p w:rsidR="003C1162" w:rsidRPr="000959FC" w:rsidRDefault="003C1162">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color w:val="000000"/>
          <w:sz w:val="22"/>
          <w:szCs w:val="22"/>
        </w:rPr>
      </w:pPr>
    </w:p>
    <w:p w:rsidR="003C1162" w:rsidRPr="000959FC" w:rsidRDefault="00F47EF3">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rsidR="003C1162" w:rsidRPr="000959FC" w:rsidRDefault="00F47EF3">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En todo caso, se facilitará su copia simple o certificada, así como su reproducción por cualquier medio disponible en las instalaciones del sujeto obligado o que, en su caso, aporte el solicitante</w:t>
      </w:r>
    </w:p>
    <w:p w:rsidR="003C1162" w:rsidRPr="000959FC" w:rsidRDefault="003C1162">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color w:val="000000"/>
          <w:sz w:val="22"/>
          <w:szCs w:val="22"/>
        </w:rPr>
      </w:pPr>
    </w:p>
    <w:p w:rsidR="003C1162" w:rsidRPr="000959FC" w:rsidRDefault="00F47EF3">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 xml:space="preserve">Artículo 164. El acceso se dará en la modalidad de entrega y, en su caso, de envío elegidos por el solicitante. Cuando la información no pueda entregarse o enviarse en </w:t>
      </w:r>
      <w:r w:rsidRPr="000959FC">
        <w:rPr>
          <w:rFonts w:ascii="Palatino Linotype" w:eastAsia="Palatino Linotype" w:hAnsi="Palatino Linotype" w:cs="Palatino Linotype"/>
          <w:i/>
          <w:color w:val="000000"/>
          <w:sz w:val="22"/>
          <w:szCs w:val="22"/>
        </w:rPr>
        <w:lastRenderedPageBreak/>
        <w:t>la modalidad solicitada, el sujeto obligado deberá ofrecer otra u otras modalidades de entrega.</w:t>
      </w:r>
    </w:p>
    <w:p w:rsidR="003C1162" w:rsidRPr="000959FC" w:rsidRDefault="003C1162">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rsidR="003C1162" w:rsidRPr="000959FC" w:rsidRDefault="003C116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El Sujeto Obligado manifestó que la información se encuentra disponible para su consulta en sus oficinas, lo que a todas luces se trata de un cambio de modalidad a consulta directa. Es necesario precisar que la Ley en la materia establece que, </w:t>
      </w:r>
      <w:r w:rsidRPr="000959FC">
        <w:rPr>
          <w:rFonts w:ascii="Palatino Linotype" w:eastAsia="Palatino Linotype" w:hAnsi="Palatino Linotype" w:cs="Palatino Linotype"/>
          <w:i/>
          <w:color w:val="000000"/>
          <w:sz w:val="22"/>
          <w:szCs w:val="22"/>
        </w:rPr>
        <w:t xml:space="preserve">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0959FC">
        <w:rPr>
          <w:rFonts w:ascii="Palatino Linotype" w:eastAsia="Palatino Linotype" w:hAnsi="Palatino Linotype" w:cs="Palatino Linotype"/>
          <w:b/>
          <w:i/>
          <w:color w:val="000000"/>
          <w:sz w:val="22"/>
          <w:szCs w:val="22"/>
        </w:rPr>
        <w:t>sobrepase las capacidades técnicas administrativas y humanas</w:t>
      </w:r>
      <w:r w:rsidRPr="000959FC">
        <w:rPr>
          <w:rFonts w:ascii="Palatino Linotype" w:eastAsia="Palatino Linotype" w:hAnsi="Palatino Linotype" w:cs="Palatino Linotype"/>
          <w:i/>
          <w:color w:val="000000"/>
          <w:sz w:val="22"/>
          <w:szCs w:val="22"/>
        </w:rPr>
        <w:t xml:space="preserve"> del sujeto obligado para cumplir con la solicitud, en los plazos establecidos para dichos efectos, se podrá poner a disposición del solicitante los documentos en consulta directa, salvo la información clasificada.</w:t>
      </w:r>
    </w:p>
    <w:p w:rsidR="003C1162" w:rsidRPr="000959FC" w:rsidRDefault="003C1162">
      <w:pPr>
        <w:pBdr>
          <w:top w:val="nil"/>
          <w:left w:val="nil"/>
          <w:bottom w:val="nil"/>
          <w:right w:val="nil"/>
          <w:between w:val="nil"/>
        </w:pBdr>
        <w:tabs>
          <w:tab w:val="left" w:pos="0"/>
        </w:tabs>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 w:val="left" w:pos="426"/>
        </w:tabs>
        <w:spacing w:line="360" w:lineRule="auto"/>
        <w:ind w:left="0" w:right="51"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 Referente a la capacidad administrativa, ésta es definida como la habilidad institucional de un gobierno, para formular y realizar planes, políticas, programas, actividades, operaciones u otras medidas para cumplir con los propósitos de desarrollo. En palabras más simples, es la </w:t>
      </w:r>
      <w:r w:rsidRPr="000959FC">
        <w:rPr>
          <w:rFonts w:ascii="Palatino Linotype" w:eastAsia="Palatino Linotype" w:hAnsi="Palatino Linotype" w:cs="Palatino Linotype"/>
          <w:b/>
          <w:color w:val="000000"/>
          <w:sz w:val="22"/>
          <w:szCs w:val="22"/>
        </w:rPr>
        <w:t>eficiencia organizacional para efectuar funciones esenciales</w:t>
      </w:r>
      <w:r w:rsidRPr="000959FC">
        <w:rPr>
          <w:rFonts w:ascii="Palatino Linotype" w:eastAsia="Palatino Linotype" w:hAnsi="Palatino Linotype" w:cs="Palatino Linotype"/>
          <w:color w:val="000000"/>
          <w:sz w:val="22"/>
          <w:szCs w:val="22"/>
        </w:rPr>
        <w:t>.</w:t>
      </w:r>
    </w:p>
    <w:p w:rsidR="003C1162" w:rsidRPr="000959FC" w:rsidRDefault="003C1162">
      <w:pPr>
        <w:pBdr>
          <w:top w:val="nil"/>
          <w:left w:val="nil"/>
          <w:bottom w:val="nil"/>
          <w:right w:val="nil"/>
          <w:between w:val="nil"/>
        </w:pBdr>
        <w:tabs>
          <w:tab w:val="left" w:pos="0"/>
          <w:tab w:val="left" w:pos="426"/>
        </w:tabs>
        <w:spacing w:line="360" w:lineRule="auto"/>
        <w:ind w:right="51"/>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 w:val="left" w:pos="426"/>
        </w:tabs>
        <w:spacing w:line="360" w:lineRule="auto"/>
        <w:ind w:left="0" w:right="51"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La capacidad administrativa resulta ser un mandato para un gobierno eficaz, la cual engloba, previsión, organización, coordinación y control en actos y esfuerzos con la finalidad de cumplir con sus responsabilidades y funciones de manera eficaz, eficiente y sostenible. </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 w:val="left" w:pos="426"/>
        </w:tabs>
        <w:spacing w:line="360" w:lineRule="auto"/>
        <w:ind w:left="0" w:right="51"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Desde una perspectiva institucional, la </w:t>
      </w:r>
      <w:r w:rsidRPr="000959FC">
        <w:rPr>
          <w:rFonts w:ascii="Palatino Linotype" w:eastAsia="Palatino Linotype" w:hAnsi="Palatino Linotype" w:cs="Palatino Linotype"/>
          <w:b/>
          <w:color w:val="000000"/>
          <w:sz w:val="22"/>
          <w:szCs w:val="22"/>
        </w:rPr>
        <w:t>capacidad administrativa</w:t>
      </w:r>
      <w:r w:rsidRPr="000959FC">
        <w:rPr>
          <w:rFonts w:ascii="Palatino Linotype" w:eastAsia="Palatino Linotype" w:hAnsi="Palatino Linotype" w:cs="Palatino Linotype"/>
          <w:color w:val="000000"/>
          <w:sz w:val="22"/>
          <w:szCs w:val="22"/>
        </w:rPr>
        <w:t xml:space="preserve"> es entendida como “</w:t>
      </w:r>
      <w:r w:rsidRPr="000959FC">
        <w:rPr>
          <w:rFonts w:ascii="Palatino Linotype" w:eastAsia="Palatino Linotype" w:hAnsi="Palatino Linotype" w:cs="Palatino Linotype"/>
          <w:i/>
          <w:color w:val="000000"/>
          <w:sz w:val="22"/>
          <w:szCs w:val="22"/>
        </w:rPr>
        <w:t xml:space="preserve">las habilidades técnico-burocráticas del aparato estatal requeridas para alcanzar sus objetos. En este componente se ubican el nivel micro y meso de la Capacidad Institucional. El </w:t>
      </w:r>
      <w:r w:rsidRPr="000959FC">
        <w:rPr>
          <w:rFonts w:ascii="Palatino Linotype" w:eastAsia="Palatino Linotype" w:hAnsi="Palatino Linotype" w:cs="Palatino Linotype"/>
          <w:b/>
          <w:i/>
          <w:color w:val="000000"/>
          <w:sz w:val="22"/>
          <w:szCs w:val="22"/>
        </w:rPr>
        <w:t>primero</w:t>
      </w:r>
      <w:r w:rsidRPr="000959FC">
        <w:rPr>
          <w:rFonts w:ascii="Palatino Linotype" w:eastAsia="Palatino Linotype" w:hAnsi="Palatino Linotype" w:cs="Palatino Linotype"/>
          <w:i/>
          <w:color w:val="000000"/>
          <w:sz w:val="22"/>
          <w:szCs w:val="22"/>
        </w:rPr>
        <w:t xml:space="preserve"> hace alusión al individuo, al </w:t>
      </w:r>
      <w:r w:rsidRPr="000959FC">
        <w:rPr>
          <w:rFonts w:ascii="Palatino Linotype" w:eastAsia="Palatino Linotype" w:hAnsi="Palatino Linotype" w:cs="Palatino Linotype"/>
          <w:b/>
          <w:i/>
          <w:color w:val="000000"/>
          <w:sz w:val="22"/>
          <w:szCs w:val="22"/>
        </w:rPr>
        <w:t>recurso humano</w:t>
      </w:r>
      <w:r w:rsidRPr="000959FC">
        <w:rPr>
          <w:rFonts w:ascii="Palatino Linotype" w:eastAsia="Palatino Linotype" w:hAnsi="Palatino Linotype" w:cs="Palatino Linotype"/>
          <w:i/>
          <w:color w:val="000000"/>
          <w:sz w:val="22"/>
          <w:szCs w:val="22"/>
        </w:rPr>
        <w:t xml:space="preserve">. En el segundo nivel, se ubica la </w:t>
      </w:r>
      <w:r w:rsidRPr="000959FC">
        <w:rPr>
          <w:rFonts w:ascii="Palatino Linotype" w:eastAsia="Palatino Linotype" w:hAnsi="Palatino Linotype" w:cs="Palatino Linotype"/>
          <w:b/>
          <w:i/>
          <w:color w:val="000000"/>
          <w:sz w:val="22"/>
          <w:szCs w:val="22"/>
        </w:rPr>
        <w:t>capacidad de gestión</w:t>
      </w:r>
      <w:r w:rsidRPr="000959FC">
        <w:rPr>
          <w:rFonts w:ascii="Palatino Linotype" w:eastAsia="Palatino Linotype" w:hAnsi="Palatino Linotype" w:cs="Palatino Linotype"/>
          <w:i/>
          <w:color w:val="000000"/>
          <w:sz w:val="22"/>
          <w:szCs w:val="22"/>
        </w:rPr>
        <w:t>, el cual se centra en el fortalecimiento organizacional como área de intervención para construir capacidad; cultura organizacional, sistemas de comunicación u organización</w:t>
      </w:r>
      <w:proofErr w:type="gramStart"/>
      <w:r w:rsidRPr="000959FC">
        <w:rPr>
          <w:rFonts w:ascii="Palatino Linotype" w:eastAsia="Palatino Linotype" w:hAnsi="Palatino Linotype" w:cs="Palatino Linotype"/>
          <w:color w:val="000000"/>
          <w:sz w:val="22"/>
          <w:szCs w:val="22"/>
        </w:rPr>
        <w:t>”</w:t>
      </w:r>
      <w:r w:rsidRPr="000959FC">
        <w:rPr>
          <w:rFonts w:ascii="Palatino Linotype" w:eastAsia="Palatino Linotype" w:hAnsi="Palatino Linotype" w:cs="Palatino Linotype"/>
          <w:i/>
          <w:color w:val="000000"/>
          <w:sz w:val="22"/>
          <w:szCs w:val="22"/>
          <w:vertAlign w:val="superscript"/>
        </w:rPr>
        <w:t xml:space="preserve"> </w:t>
      </w:r>
      <w:proofErr w:type="gramEnd"/>
      <w:r w:rsidRPr="000959FC">
        <w:rPr>
          <w:rFonts w:ascii="Century Gothic" w:eastAsia="Century Gothic" w:hAnsi="Century Gothic" w:cs="Century Gothic"/>
          <w:color w:val="000000"/>
          <w:sz w:val="22"/>
          <w:szCs w:val="22"/>
          <w:vertAlign w:val="superscript"/>
        </w:rPr>
        <w:footnoteReference w:id="5"/>
      </w:r>
      <w:r w:rsidRPr="000959FC">
        <w:rPr>
          <w:rFonts w:ascii="Palatino Linotype" w:eastAsia="Palatino Linotype" w:hAnsi="Palatino Linotype" w:cs="Palatino Linotype"/>
          <w:color w:val="000000"/>
          <w:sz w:val="22"/>
          <w:szCs w:val="22"/>
        </w:rPr>
        <w:t xml:space="preserve">. </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 w:val="left" w:pos="426"/>
        </w:tabs>
        <w:spacing w:line="360" w:lineRule="auto"/>
        <w:ind w:left="0" w:right="51"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 w:val="left" w:pos="426"/>
        </w:tabs>
        <w:spacing w:line="360" w:lineRule="auto"/>
        <w:ind w:left="0" w:right="51"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Ahora bien, respecto de las capacidades humanas, vale la pena precisar lo que se denomina por </w:t>
      </w:r>
      <w:r w:rsidRPr="000959FC">
        <w:rPr>
          <w:rFonts w:ascii="Palatino Linotype" w:eastAsia="Palatino Linotype" w:hAnsi="Palatino Linotype" w:cs="Palatino Linotype"/>
          <w:b/>
          <w:i/>
          <w:color w:val="000000"/>
          <w:sz w:val="22"/>
          <w:szCs w:val="22"/>
        </w:rPr>
        <w:t>recursos humanos</w:t>
      </w:r>
      <w:r w:rsidRPr="000959FC">
        <w:rPr>
          <w:rFonts w:ascii="Palatino Linotype" w:eastAsia="Palatino Linotype" w:hAnsi="Palatino Linotype" w:cs="Palatino Linotype"/>
          <w:color w:val="000000"/>
          <w:sz w:val="22"/>
          <w:szCs w:val="22"/>
        </w:rPr>
        <w:t xml:space="preserve">, lo cual podemos identificar como el conjunto de personas con las que cuenta una determinada organización, para desarrollar y ejecutar de manera correcta las acciones, actividades, labores y tareas que deben realizarse y que han sido solicitadas. </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 w:val="left" w:pos="426"/>
        </w:tabs>
        <w:spacing w:line="360" w:lineRule="auto"/>
        <w:ind w:left="0" w:right="51"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w:t>
      </w:r>
      <w:r w:rsidRPr="000959FC">
        <w:rPr>
          <w:rFonts w:ascii="Palatino Linotype" w:eastAsia="Palatino Linotype" w:hAnsi="Palatino Linotype" w:cs="Palatino Linotype"/>
          <w:color w:val="000000"/>
          <w:sz w:val="22"/>
          <w:szCs w:val="22"/>
        </w:rPr>
        <w:lastRenderedPageBreak/>
        <w:t xml:space="preserve">coexistir uno con otro, de otra forma, el desarrollo no sería el apropiado y el cumplimiento de metas, inasequible. </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 w:val="left" w:pos="426"/>
        </w:tabs>
        <w:spacing w:line="360" w:lineRule="auto"/>
        <w:ind w:left="0" w:right="51"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Es así que, el </w:t>
      </w:r>
      <w:r w:rsidRPr="000959FC">
        <w:rPr>
          <w:rFonts w:ascii="Palatino Linotype" w:eastAsia="Palatino Linotype" w:hAnsi="Palatino Linotype" w:cs="Palatino Linotype"/>
          <w:b/>
          <w:color w:val="000000"/>
          <w:sz w:val="22"/>
          <w:szCs w:val="22"/>
        </w:rPr>
        <w:t>SUJETO OBLIGADO</w:t>
      </w:r>
      <w:r w:rsidRPr="000959FC">
        <w:rPr>
          <w:rFonts w:ascii="Palatino Linotype" w:eastAsia="Palatino Linotype" w:hAnsi="Palatino Linotype" w:cs="Palatino Linotype"/>
          <w:color w:val="000000"/>
          <w:sz w:val="22"/>
          <w:szCs w:val="22"/>
        </w:rPr>
        <w:t xml:space="preserve"> pretendió realizar el cambio de modalidad ofreciendo consulta directa, por ello, es necesario traer a contexto el Criterio número 8/2013 del entonces Instituto Federal de Acceso a la Información, cuyo texto y sentido literal es el siguiente:</w:t>
      </w:r>
    </w:p>
    <w:p w:rsidR="003C1162" w:rsidRPr="000959FC" w:rsidRDefault="003C1162">
      <w:pPr>
        <w:pBdr>
          <w:top w:val="nil"/>
          <w:left w:val="nil"/>
          <w:bottom w:val="nil"/>
          <w:right w:val="nil"/>
          <w:between w:val="nil"/>
        </w:pBdr>
        <w:rPr>
          <w:rFonts w:ascii="Palatino Linotype" w:eastAsia="Palatino Linotype" w:hAnsi="Palatino Linotype" w:cs="Palatino Linotype"/>
          <w:color w:val="000000"/>
          <w:sz w:val="22"/>
          <w:szCs w:val="22"/>
        </w:rPr>
      </w:pP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Cuando exista impedimento justificado de atender la modalidad de entrega elegida por el solicitante, procede ofrecer todas las demás opciones previstas en la Ley.</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i/>
          <w:sz w:val="22"/>
          <w:szCs w:val="22"/>
          <w:u w:val="single"/>
        </w:rPr>
        <w:t>De conformidad con lo dispuesto en los artículos 42 y 44 de la Ley Federal de Transparencia y Acceso a la Información Pública Gubernamental, y 54 de su Reglamento, la entrega de la información debe hacerse, en la medida de lo posible, en la forma solicitada por el interesado</w:t>
      </w:r>
      <w:r w:rsidRPr="000959FC">
        <w:rPr>
          <w:rFonts w:ascii="Palatino Linotype" w:eastAsia="Palatino Linotype" w:hAnsi="Palatino Linotype" w:cs="Palatino Linotype"/>
          <w:i/>
          <w:sz w:val="22"/>
          <w:szCs w:val="22"/>
        </w:rPr>
        <w:t xml:space="preserve">, salvo que exista un impedimento justificado para atenderla, en cuyo caso, deberán exponerse las razones por las cuales no es posible utilizar el medio de reproducción solicitado. </w:t>
      </w:r>
      <w:r w:rsidRPr="000959FC">
        <w:rPr>
          <w:rFonts w:ascii="Palatino Linotype" w:eastAsia="Palatino Linotype" w:hAnsi="Palatino Linotype" w:cs="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0959FC">
        <w:rPr>
          <w:rFonts w:ascii="Palatino Linotype" w:eastAsia="Palatino Linotype" w:hAnsi="Palatino Linotype" w:cs="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w:t>
      </w:r>
      <w:r w:rsidRPr="000959FC">
        <w:rPr>
          <w:rFonts w:ascii="Palatino Linotype" w:eastAsia="Palatino Linotype" w:hAnsi="Palatino Linotype" w:cs="Palatino Linotype"/>
          <w:i/>
          <w:sz w:val="22"/>
          <w:szCs w:val="22"/>
        </w:rPr>
        <w:lastRenderedPageBreak/>
        <w:t xml:space="preserve">los costos de entrega de la información y garantizar el debido equilibrio entre el legítimo derecho de acceso a la información y las posibilidades materiales de otorgar acceso a los documentos. </w:t>
      </w: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 xml:space="preserve">Resoluciones </w:t>
      </w: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 xml:space="preserve">RDA 2012/12. Interpuesto en contra de la Secretaría de Comunicaciones y Transportes. Comisionada Ponente Jacqueline </w:t>
      </w:r>
      <w:proofErr w:type="spellStart"/>
      <w:r w:rsidRPr="000959FC">
        <w:rPr>
          <w:rFonts w:ascii="Palatino Linotype" w:eastAsia="Palatino Linotype" w:hAnsi="Palatino Linotype" w:cs="Palatino Linotype"/>
          <w:i/>
          <w:sz w:val="22"/>
          <w:szCs w:val="22"/>
        </w:rPr>
        <w:t>Peschard</w:t>
      </w:r>
      <w:proofErr w:type="spellEnd"/>
      <w:r w:rsidRPr="000959FC">
        <w:rPr>
          <w:rFonts w:ascii="Palatino Linotype" w:eastAsia="Palatino Linotype" w:hAnsi="Palatino Linotype" w:cs="Palatino Linotype"/>
          <w:i/>
          <w:sz w:val="22"/>
          <w:szCs w:val="22"/>
        </w:rPr>
        <w:t xml:space="preserve"> Mariscal. </w:t>
      </w: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 xml:space="preserve">RDA 0973/12. Interpuesto en contra de la Secretaría de Educación Pública. Comisionada Ponente Sigrid </w:t>
      </w:r>
      <w:proofErr w:type="spellStart"/>
      <w:r w:rsidRPr="000959FC">
        <w:rPr>
          <w:rFonts w:ascii="Palatino Linotype" w:eastAsia="Palatino Linotype" w:hAnsi="Palatino Linotype" w:cs="Palatino Linotype"/>
          <w:i/>
          <w:sz w:val="22"/>
          <w:szCs w:val="22"/>
        </w:rPr>
        <w:t>Arzt</w:t>
      </w:r>
      <w:proofErr w:type="spellEnd"/>
      <w:r w:rsidRPr="000959FC">
        <w:rPr>
          <w:rFonts w:ascii="Palatino Linotype" w:eastAsia="Palatino Linotype" w:hAnsi="Palatino Linotype" w:cs="Palatino Linotype"/>
          <w:i/>
          <w:sz w:val="22"/>
          <w:szCs w:val="22"/>
        </w:rPr>
        <w:t xml:space="preserve"> Colunga. </w:t>
      </w: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 xml:space="preserve">RDA 0112/12. Interpuesto en contra de Petróleos Mexicanos. Comisionado Ponente Ángel Trinidad Zaldívar. </w:t>
      </w: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 xml:space="preserve">RDA 0085/12. Interpuesto en contra del Instituto Nacional de Ciencias Médicas y Nutrición Salvador </w:t>
      </w:r>
      <w:proofErr w:type="spellStart"/>
      <w:r w:rsidRPr="000959FC">
        <w:rPr>
          <w:rFonts w:ascii="Palatino Linotype" w:eastAsia="Palatino Linotype" w:hAnsi="Palatino Linotype" w:cs="Palatino Linotype"/>
          <w:i/>
          <w:sz w:val="22"/>
          <w:szCs w:val="22"/>
        </w:rPr>
        <w:t>Zubirán</w:t>
      </w:r>
      <w:proofErr w:type="spellEnd"/>
      <w:r w:rsidRPr="000959FC">
        <w:rPr>
          <w:rFonts w:ascii="Palatino Linotype" w:eastAsia="Palatino Linotype" w:hAnsi="Palatino Linotype" w:cs="Palatino Linotype"/>
          <w:i/>
          <w:sz w:val="22"/>
          <w:szCs w:val="22"/>
        </w:rPr>
        <w:t xml:space="preserve">. Comisionada Ponente Sigrid </w:t>
      </w:r>
      <w:proofErr w:type="spellStart"/>
      <w:r w:rsidRPr="000959FC">
        <w:rPr>
          <w:rFonts w:ascii="Palatino Linotype" w:eastAsia="Palatino Linotype" w:hAnsi="Palatino Linotype" w:cs="Palatino Linotype"/>
          <w:i/>
          <w:sz w:val="22"/>
          <w:szCs w:val="22"/>
        </w:rPr>
        <w:t>Arzt</w:t>
      </w:r>
      <w:proofErr w:type="spellEnd"/>
      <w:r w:rsidRPr="000959FC">
        <w:rPr>
          <w:rFonts w:ascii="Palatino Linotype" w:eastAsia="Palatino Linotype" w:hAnsi="Palatino Linotype" w:cs="Palatino Linotype"/>
          <w:i/>
          <w:sz w:val="22"/>
          <w:szCs w:val="22"/>
        </w:rPr>
        <w:t xml:space="preserve"> Colunga. </w:t>
      </w: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3068/11. Interpuesto en contra de la Presidencia de la República. Comisionada Ponente María Elena Pérez-Jaén Zermeño. “</w:t>
      </w:r>
    </w:p>
    <w:p w:rsidR="003C1162" w:rsidRPr="000959FC" w:rsidRDefault="003C1162">
      <w:pPr>
        <w:spacing w:line="360" w:lineRule="auto"/>
        <w:ind w:left="567" w:right="567"/>
        <w:jc w:val="both"/>
        <w:rPr>
          <w:rFonts w:ascii="Palatino Linotype" w:eastAsia="Palatino Linotype" w:hAnsi="Palatino Linotype" w:cs="Palatino Linotype"/>
          <w:i/>
          <w:sz w:val="22"/>
          <w:szCs w:val="22"/>
        </w:rPr>
      </w:pP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Criterio 02/2004 INFORMACIÓN DISPERSA</w:t>
      </w:r>
      <w:r w:rsidRPr="000959FC">
        <w:rPr>
          <w:rFonts w:ascii="Palatino Linotype" w:eastAsia="Palatino Linotype" w:hAnsi="Palatino Linotype" w:cs="Palatino Linotype"/>
          <w:b/>
          <w:sz w:val="22"/>
          <w:szCs w:val="22"/>
        </w:rPr>
        <w:t xml:space="preserve"> </w:t>
      </w:r>
      <w:r w:rsidRPr="000959FC">
        <w:rPr>
          <w:rFonts w:ascii="Palatino Linotype" w:eastAsia="Palatino Linotype" w:hAnsi="Palatino Linotype" w:cs="Palatino Linotype"/>
          <w:b/>
          <w:i/>
          <w:sz w:val="22"/>
          <w:szCs w:val="22"/>
        </w:rPr>
        <w:t>EN DIVERSOS DOCUMENTOS. PARA RESPETAR EL DERECHO DE ACCESO A LA INFORMACIÓN BASTA CON QUE SE PERMITA LA CONSULTA FÍSICA DE AQUÉLLOS, SALVO EN EL CASO DE QUE EL RESPECTIVO ÓRGANO DEL ESTADO TENGA LA OBLIGACIÓN DE CONTAR CON UN DOCUMENTO QUE CONCENTRÉ AQUÉLLA.</w:t>
      </w:r>
      <w:r w:rsidRPr="000959FC">
        <w:rPr>
          <w:rFonts w:ascii="Palatino Linotype" w:eastAsia="Palatino Linotype" w:hAnsi="Palatino Linotype" w:cs="Palatino Linotype"/>
          <w:i/>
          <w:sz w:val="22"/>
          <w:szCs w:val="22"/>
        </w:rPr>
        <w:t xml:space="preserve"> </w:t>
      </w:r>
      <w:r w:rsidRPr="000959FC">
        <w:rPr>
          <w:rFonts w:ascii="Palatino Linotype" w:eastAsia="Palatino Linotype" w:hAnsi="Palatino Linotype" w:cs="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0959FC">
        <w:rPr>
          <w:rFonts w:ascii="Palatino Linotype" w:eastAsia="Palatino Linotype" w:hAnsi="Palatino Linotype" w:cs="Palatino Linotype"/>
          <w:i/>
          <w:sz w:val="22"/>
          <w:szCs w:val="22"/>
        </w:rPr>
        <w:t xml:space="preserve">como lo prevé el artículo 29 del Reglamento de la Suprema Corte de Justicia de la Nación y del Consejo de la Judicatura Federal para la </w:t>
      </w:r>
      <w:r w:rsidRPr="000959FC">
        <w:rPr>
          <w:rFonts w:ascii="Palatino Linotype" w:eastAsia="Palatino Linotype" w:hAnsi="Palatino Linotype" w:cs="Palatino Linotype"/>
          <w:i/>
          <w:sz w:val="22"/>
          <w:szCs w:val="22"/>
        </w:rPr>
        <w:lastRenderedPageBreak/>
        <w:t xml:space="preserve">aplicación de la Ley Federal de Transparencia y Acceso a la Información Pública Gubernamental, </w:t>
      </w:r>
      <w:r w:rsidRPr="000959FC">
        <w:rPr>
          <w:rFonts w:ascii="Palatino Linotype" w:eastAsia="Palatino Linotype" w:hAnsi="Palatino Linotype" w:cs="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0959FC">
        <w:rPr>
          <w:rFonts w:ascii="Palatino Linotype" w:eastAsia="Palatino Linotype" w:hAnsi="Palatino Linotype" w:cs="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(Énfasis añadido)</w:t>
      </w:r>
    </w:p>
    <w:p w:rsidR="003C1162" w:rsidRPr="000959FC" w:rsidRDefault="00F47EF3">
      <w:pPr>
        <w:numPr>
          <w:ilvl w:val="0"/>
          <w:numId w:val="1"/>
        </w:numPr>
        <w:pBdr>
          <w:top w:val="nil"/>
          <w:left w:val="nil"/>
          <w:bottom w:val="nil"/>
          <w:right w:val="nil"/>
          <w:between w:val="nil"/>
        </w:pBdr>
        <w:tabs>
          <w:tab w:val="left" w:pos="0"/>
        </w:tabs>
        <w:spacing w:before="240" w:line="360" w:lineRule="auto"/>
        <w:ind w:left="0" w:right="49"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Los criterios refieren puntualmente que, cuando exista </w:t>
      </w:r>
      <w:r w:rsidRPr="000959FC">
        <w:rPr>
          <w:rFonts w:ascii="Palatino Linotype" w:eastAsia="Palatino Linotype" w:hAnsi="Palatino Linotype" w:cs="Palatino Linotype"/>
          <w:b/>
          <w:color w:val="000000"/>
          <w:sz w:val="22"/>
          <w:szCs w:val="22"/>
        </w:rPr>
        <w:t xml:space="preserve">impedimento justificado </w:t>
      </w:r>
      <w:r w:rsidRPr="000959FC">
        <w:rPr>
          <w:rFonts w:ascii="Palatino Linotype" w:eastAsia="Palatino Linotype" w:hAnsi="Palatino Linotype" w:cs="Palatino Linotype"/>
          <w:color w:val="000000"/>
          <w:sz w:val="22"/>
          <w:szCs w:val="22"/>
        </w:rPr>
        <w:t>para entregar la información solicitada, sólo entonces se procederá a ofrecer otras modalidades.</w:t>
      </w:r>
    </w:p>
    <w:p w:rsidR="003C1162" w:rsidRPr="000959FC" w:rsidRDefault="003C1162">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Correlativo a lo anterior, los </w:t>
      </w:r>
      <w:r w:rsidRPr="000959FC">
        <w:rPr>
          <w:rFonts w:ascii="Palatino Linotype" w:eastAsia="Palatino Linotype" w:hAnsi="Palatino Linotype" w:cs="Palatino Linotype"/>
          <w:i/>
          <w:color w:val="000000"/>
          <w:sz w:val="22"/>
          <w:szCs w:val="22"/>
        </w:rPr>
        <w:t>Lineamientos Generales en Materia de Clasificación y Desclasificación de la Información, así como para la Elaboración de Versiones Públicas</w:t>
      </w:r>
      <w:r w:rsidRPr="000959FC">
        <w:rPr>
          <w:rFonts w:ascii="Palatino Linotype" w:eastAsia="Palatino Linotype" w:hAnsi="Palatino Linotype" w:cs="Palatino Linotype"/>
          <w:color w:val="000000"/>
          <w:sz w:val="22"/>
          <w:szCs w:val="22"/>
        </w:rPr>
        <w:t>, publicados por el Sistema Nacional de Transparencia, Acceso a la Información Pública y Protección de Datos Personales, en su Capítulo X, contemplan una serie de elementos, los cuales, los Sujetos Obligados deberán acreditar, a fin de realizar un cambio de modalidad a Consulta Directa apegada a derecho. A continuación, se vierten los Lineamientos aplicables:</w:t>
      </w:r>
    </w:p>
    <w:p w:rsidR="003C1162" w:rsidRPr="000959FC" w:rsidRDefault="003C116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3C1162" w:rsidRPr="000959FC" w:rsidRDefault="00F47EF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lastRenderedPageBreak/>
        <w:t>“</w:t>
      </w:r>
      <w:r w:rsidRPr="000959FC">
        <w:rPr>
          <w:rFonts w:ascii="Palatino Linotype" w:eastAsia="Palatino Linotype" w:hAnsi="Palatino Linotype" w:cs="Palatino Linotype"/>
          <w:b/>
          <w:i/>
          <w:color w:val="000000"/>
          <w:sz w:val="22"/>
          <w:szCs w:val="22"/>
        </w:rPr>
        <w:t>Sexagésimo séptimo. </w:t>
      </w:r>
      <w:r w:rsidRPr="000959FC">
        <w:rPr>
          <w:rFonts w:ascii="Palatino Linotype" w:eastAsia="Palatino Linotype" w:hAnsi="Palatino Linotype" w:cs="Palatino Linotype"/>
          <w:i/>
          <w:color w:val="000000"/>
          <w:sz w:val="22"/>
          <w:szCs w:val="22"/>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rsidR="003C1162" w:rsidRPr="000959FC" w:rsidRDefault="003C1162">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3C1162" w:rsidRPr="000959FC" w:rsidRDefault="00F47EF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Sexagésimo octavo. </w:t>
      </w:r>
      <w:r w:rsidRPr="000959FC">
        <w:rPr>
          <w:rFonts w:ascii="Palatino Linotype" w:eastAsia="Palatino Linotype" w:hAnsi="Palatino Linotype" w:cs="Palatino Linotype"/>
          <w:i/>
          <w:color w:val="000000"/>
          <w:sz w:val="22"/>
          <w:szCs w:val="22"/>
        </w:rPr>
        <w:t>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rsidR="003C1162" w:rsidRPr="000959FC" w:rsidRDefault="003C1162">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3C1162" w:rsidRPr="000959FC" w:rsidRDefault="00F47EF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Sexagésimo noveno. </w:t>
      </w:r>
      <w:r w:rsidRPr="000959FC">
        <w:rPr>
          <w:rFonts w:ascii="Palatino Linotype" w:eastAsia="Palatino Linotype" w:hAnsi="Palatino Linotype" w:cs="Palatino Linotype"/>
          <w:i/>
          <w:color w:val="000000"/>
          <w:sz w:val="22"/>
          <w:szCs w:val="22"/>
        </w:rPr>
        <w:t>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rsidR="003C1162" w:rsidRPr="000959FC" w:rsidRDefault="003C1162">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3C1162" w:rsidRPr="000959FC" w:rsidRDefault="00F47EF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Septuagésimo. </w:t>
      </w:r>
      <w:r w:rsidRPr="000959FC">
        <w:rPr>
          <w:rFonts w:ascii="Palatino Linotype" w:eastAsia="Palatino Linotype" w:hAnsi="Palatino Linotype" w:cs="Palatino Linotype"/>
          <w:i/>
          <w:color w:val="000000"/>
          <w:sz w:val="22"/>
          <w:szCs w:val="22"/>
        </w:rPr>
        <w:t>Para el desahogo de las actuaciones tendientes a permitir la consulta directa, en los casos en que ésta resulte procedente, los sujetos obligados deberán observar lo siguiente:</w:t>
      </w:r>
    </w:p>
    <w:p w:rsidR="003C1162" w:rsidRPr="000959FC" w:rsidRDefault="003C1162">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3C1162" w:rsidRPr="000959FC" w:rsidRDefault="00F47EF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I.</w:t>
      </w:r>
      <w:r w:rsidRPr="000959FC">
        <w:rPr>
          <w:rFonts w:ascii="Palatino Linotype" w:eastAsia="Palatino Linotype" w:hAnsi="Palatino Linotype" w:cs="Palatino Linotype"/>
          <w:i/>
          <w:color w:val="000000"/>
          <w:sz w:val="22"/>
          <w:szCs w:val="22"/>
        </w:rPr>
        <w:t>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rsidR="003C1162" w:rsidRPr="000959FC" w:rsidRDefault="00F47EF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II.</w:t>
      </w:r>
      <w:r w:rsidRPr="000959FC">
        <w:rPr>
          <w:rFonts w:ascii="Palatino Linotype" w:eastAsia="Palatino Linotype" w:hAnsi="Palatino Linotype" w:cs="Palatino Linotype"/>
          <w:i/>
          <w:color w:val="000000"/>
          <w:sz w:val="22"/>
          <w:szCs w:val="22"/>
        </w:rPr>
        <w:t> En su caso, la procedencia de los ajustes razonables solicitados y/o la procedencia de acceso en la lengua indígena requerida;</w:t>
      </w:r>
    </w:p>
    <w:p w:rsidR="003C1162" w:rsidRPr="000959FC" w:rsidRDefault="00F47EF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III.</w:t>
      </w:r>
      <w:r w:rsidRPr="000959FC">
        <w:rPr>
          <w:rFonts w:ascii="Palatino Linotype" w:eastAsia="Palatino Linotype" w:hAnsi="Palatino Linotype" w:cs="Palatino Linotype"/>
          <w:i/>
          <w:color w:val="000000"/>
          <w:sz w:val="22"/>
          <w:szCs w:val="22"/>
        </w:rPr>
        <w:t xml:space="preserve"> Indicar claramente la ubicación del lugar en que el solicitante podrá llevar a cabo la consulta de la información debiendo ser éste, en la medida de lo posible, el domicilio de </w:t>
      </w:r>
      <w:r w:rsidRPr="000959FC">
        <w:rPr>
          <w:rFonts w:ascii="Palatino Linotype" w:eastAsia="Palatino Linotype" w:hAnsi="Palatino Linotype" w:cs="Palatino Linotype"/>
          <w:i/>
          <w:color w:val="000000"/>
          <w:sz w:val="22"/>
          <w:szCs w:val="22"/>
        </w:rPr>
        <w:lastRenderedPageBreak/>
        <w:t>la Unidad de Transparencia, así como el nombre, cargo y datos de contacto del personal que le permitirá el acceso;</w:t>
      </w:r>
    </w:p>
    <w:p w:rsidR="003C1162" w:rsidRPr="000959FC" w:rsidRDefault="00F47EF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IV.</w:t>
      </w:r>
      <w:r w:rsidRPr="000959FC">
        <w:rPr>
          <w:rFonts w:ascii="Palatino Linotype" w:eastAsia="Palatino Linotype" w:hAnsi="Palatino Linotype" w:cs="Palatino Linotype"/>
          <w:i/>
          <w:color w:val="000000"/>
          <w:sz w:val="22"/>
          <w:szCs w:val="22"/>
        </w:rPr>
        <w:t xml:space="preserve"> Proporcionar al solicitante las facilidades y asistencia requerida para la consulta de los documentos;</w:t>
      </w:r>
    </w:p>
    <w:p w:rsidR="003C1162" w:rsidRPr="000959FC" w:rsidRDefault="00F47EF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V.</w:t>
      </w:r>
      <w:r w:rsidRPr="000959FC">
        <w:rPr>
          <w:rFonts w:ascii="Palatino Linotype" w:eastAsia="Palatino Linotype" w:hAnsi="Palatino Linotype" w:cs="Palatino Linotype"/>
          <w:i/>
          <w:color w:val="000000"/>
          <w:sz w:val="22"/>
          <w:szCs w:val="22"/>
        </w:rPr>
        <w:t> Abstenerse de requerir al solicitante que acredite interés alguno;</w:t>
      </w:r>
    </w:p>
    <w:p w:rsidR="003C1162" w:rsidRPr="000959FC" w:rsidRDefault="00F47EF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VI.</w:t>
      </w:r>
      <w:r w:rsidRPr="000959FC">
        <w:rPr>
          <w:rFonts w:ascii="Palatino Linotype" w:eastAsia="Palatino Linotype" w:hAnsi="Palatino Linotype" w:cs="Palatino Linotype"/>
          <w:i/>
          <w:color w:val="000000"/>
          <w:sz w:val="22"/>
          <w:szCs w:val="22"/>
        </w:rPr>
        <w:t> Adoptar las medidas técnicas, físicas, administrativas y demás que resulten necesarias para</w:t>
      </w:r>
    </w:p>
    <w:p w:rsidR="003C1162" w:rsidRPr="000959FC" w:rsidRDefault="00F47EF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proofErr w:type="gramStart"/>
      <w:r w:rsidRPr="000959FC">
        <w:rPr>
          <w:rFonts w:ascii="Palatino Linotype" w:eastAsia="Palatino Linotype" w:hAnsi="Palatino Linotype" w:cs="Palatino Linotype"/>
          <w:i/>
          <w:color w:val="000000"/>
          <w:sz w:val="22"/>
          <w:szCs w:val="22"/>
        </w:rPr>
        <w:t>garantizar</w:t>
      </w:r>
      <w:proofErr w:type="gramEnd"/>
      <w:r w:rsidRPr="000959FC">
        <w:rPr>
          <w:rFonts w:ascii="Palatino Linotype" w:eastAsia="Palatino Linotype" w:hAnsi="Palatino Linotype" w:cs="Palatino Linotype"/>
          <w:i/>
          <w:color w:val="000000"/>
          <w:sz w:val="22"/>
          <w:szCs w:val="22"/>
        </w:rPr>
        <w:t xml:space="preserve"> la integridad de la información a consultar, de conformidad con las características específicas del documento solicitado, tales como:</w:t>
      </w:r>
    </w:p>
    <w:p w:rsidR="003C1162" w:rsidRPr="000959FC" w:rsidRDefault="00F47EF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a)</w:t>
      </w:r>
      <w:r w:rsidRPr="000959FC">
        <w:rPr>
          <w:rFonts w:ascii="Palatino Linotype" w:eastAsia="Palatino Linotype" w:hAnsi="Palatino Linotype" w:cs="Palatino Linotype"/>
          <w:i/>
          <w:color w:val="000000"/>
          <w:sz w:val="22"/>
          <w:szCs w:val="22"/>
        </w:rPr>
        <w:t xml:space="preserve"> Contar con instalaciones y mobiliario adecuado para asegurar tanto la integridad del documento consultado, como para proporcionar al solicitante las mejores condiciones para poder llevar a cabo la consulta directa;</w:t>
      </w:r>
    </w:p>
    <w:p w:rsidR="003C1162" w:rsidRPr="000959FC" w:rsidRDefault="00F47EF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b)</w:t>
      </w:r>
      <w:r w:rsidRPr="000959FC">
        <w:rPr>
          <w:rFonts w:ascii="Palatino Linotype" w:eastAsia="Palatino Linotype" w:hAnsi="Palatino Linotype" w:cs="Palatino Linotype"/>
          <w:i/>
          <w:color w:val="000000"/>
          <w:sz w:val="22"/>
          <w:szCs w:val="22"/>
        </w:rPr>
        <w:t> Equipo y personal de vigilancia;</w:t>
      </w:r>
    </w:p>
    <w:p w:rsidR="003C1162" w:rsidRPr="000959FC" w:rsidRDefault="00F47EF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c)</w:t>
      </w:r>
      <w:r w:rsidRPr="000959FC">
        <w:rPr>
          <w:rFonts w:ascii="Palatino Linotype" w:eastAsia="Palatino Linotype" w:hAnsi="Palatino Linotype" w:cs="Palatino Linotype"/>
          <w:i/>
          <w:color w:val="000000"/>
          <w:sz w:val="22"/>
          <w:szCs w:val="22"/>
        </w:rPr>
        <w:t> Plan de acción contra robo o vandalismo;</w:t>
      </w:r>
    </w:p>
    <w:p w:rsidR="003C1162" w:rsidRPr="000959FC" w:rsidRDefault="00F47EF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d)</w:t>
      </w:r>
      <w:r w:rsidRPr="000959FC">
        <w:rPr>
          <w:rFonts w:ascii="Palatino Linotype" w:eastAsia="Palatino Linotype" w:hAnsi="Palatino Linotype" w:cs="Palatino Linotype"/>
          <w:i/>
          <w:color w:val="000000"/>
          <w:sz w:val="22"/>
          <w:szCs w:val="22"/>
        </w:rPr>
        <w:t> Extintores de fuego de gas inocuo;</w:t>
      </w:r>
    </w:p>
    <w:p w:rsidR="003C1162" w:rsidRPr="000959FC" w:rsidRDefault="00F47EF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e)</w:t>
      </w:r>
      <w:r w:rsidRPr="000959FC">
        <w:rPr>
          <w:rFonts w:ascii="Palatino Linotype" w:eastAsia="Palatino Linotype" w:hAnsi="Palatino Linotype" w:cs="Palatino Linotype"/>
          <w:i/>
          <w:color w:val="000000"/>
          <w:sz w:val="22"/>
          <w:szCs w:val="22"/>
        </w:rPr>
        <w:t> Registro e identificación del personal autorizado para el tratamiento de los documentos o expedientes a revisar;</w:t>
      </w:r>
    </w:p>
    <w:p w:rsidR="003C1162" w:rsidRPr="000959FC" w:rsidRDefault="00F47EF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f)</w:t>
      </w:r>
      <w:r w:rsidRPr="000959FC">
        <w:rPr>
          <w:rFonts w:ascii="Palatino Linotype" w:eastAsia="Palatino Linotype" w:hAnsi="Palatino Linotype" w:cs="Palatino Linotype"/>
          <w:i/>
          <w:color w:val="000000"/>
          <w:sz w:val="22"/>
          <w:szCs w:val="22"/>
        </w:rPr>
        <w:t> Registro e identificación de los particulares autorizados para llevar a cabo la consulta directa, y</w:t>
      </w:r>
    </w:p>
    <w:p w:rsidR="003C1162" w:rsidRPr="000959FC" w:rsidRDefault="00F47EF3">
      <w:pPr>
        <w:pBdr>
          <w:top w:val="nil"/>
          <w:left w:val="nil"/>
          <w:bottom w:val="nil"/>
          <w:right w:val="nil"/>
          <w:between w:val="nil"/>
        </w:pBdr>
        <w:tabs>
          <w:tab w:val="left" w:pos="426"/>
        </w:tabs>
        <w:spacing w:line="276" w:lineRule="auto"/>
        <w:ind w:left="1134"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g)</w:t>
      </w:r>
      <w:r w:rsidRPr="000959FC">
        <w:rPr>
          <w:rFonts w:ascii="Palatino Linotype" w:eastAsia="Palatino Linotype" w:hAnsi="Palatino Linotype" w:cs="Palatino Linotype"/>
          <w:i/>
          <w:color w:val="000000"/>
          <w:sz w:val="22"/>
          <w:szCs w:val="22"/>
        </w:rPr>
        <w:t> Las demás que, a criterio de los sujetos obligados, resulten necesarias.</w:t>
      </w:r>
    </w:p>
    <w:p w:rsidR="003C1162" w:rsidRPr="000959FC" w:rsidRDefault="00F47EF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VII. </w:t>
      </w:r>
      <w:r w:rsidRPr="000959FC">
        <w:rPr>
          <w:rFonts w:ascii="Palatino Linotype" w:eastAsia="Palatino Linotype" w:hAnsi="Palatino Linotype" w:cs="Palatino Linotype"/>
          <w:i/>
          <w:color w:val="000000"/>
          <w:sz w:val="22"/>
          <w:szCs w:val="22"/>
        </w:rPr>
        <w:t>Hacer del conocimiento del solicitante, previo al acceso a la información, las reglas a que se sujetará la consulta para garantizar la integridad de los documentos, y</w:t>
      </w:r>
    </w:p>
    <w:p w:rsidR="003C1162" w:rsidRPr="000959FC" w:rsidRDefault="00F47EF3">
      <w:pPr>
        <w:pBdr>
          <w:top w:val="nil"/>
          <w:left w:val="nil"/>
          <w:bottom w:val="nil"/>
          <w:right w:val="nil"/>
          <w:between w:val="nil"/>
        </w:pBdr>
        <w:tabs>
          <w:tab w:val="left" w:pos="426"/>
        </w:tabs>
        <w:spacing w:line="276" w:lineRule="auto"/>
        <w:ind w:left="851"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VIII.</w:t>
      </w:r>
      <w:r w:rsidRPr="000959FC">
        <w:rPr>
          <w:rFonts w:ascii="Palatino Linotype" w:eastAsia="Palatino Linotype" w:hAnsi="Palatino Linotype" w:cs="Palatino Linotype"/>
          <w:i/>
          <w:color w:val="000000"/>
          <w:sz w:val="22"/>
          <w:szCs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rsidR="003C1162" w:rsidRPr="000959FC" w:rsidRDefault="003C1162">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b/>
          <w:i/>
          <w:color w:val="000000"/>
          <w:sz w:val="22"/>
          <w:szCs w:val="22"/>
        </w:rPr>
      </w:pPr>
    </w:p>
    <w:p w:rsidR="003C1162" w:rsidRPr="000959FC" w:rsidRDefault="00F47EF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Septuagésimo primero. </w:t>
      </w:r>
      <w:r w:rsidRPr="000959FC">
        <w:rPr>
          <w:rFonts w:ascii="Palatino Linotype" w:eastAsia="Palatino Linotype" w:hAnsi="Palatino Linotype" w:cs="Palatino Linotype"/>
          <w:i/>
          <w:color w:val="000000"/>
          <w:sz w:val="22"/>
          <w:szCs w:val="22"/>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rsidR="003C1162" w:rsidRPr="000959FC" w:rsidRDefault="00F47EF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lastRenderedPageBreak/>
        <w:t>El solicitante deberá observar en todo momento las reglas que el sujeto obligado haya hecho de su conocimiento para efectos de la conservación de los documentos.</w:t>
      </w:r>
    </w:p>
    <w:p w:rsidR="003C1162" w:rsidRPr="000959FC" w:rsidRDefault="003C1162">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3C1162" w:rsidRPr="000959FC" w:rsidRDefault="00F47EF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Septuagésimo segundo. </w:t>
      </w:r>
      <w:r w:rsidRPr="000959FC">
        <w:rPr>
          <w:rFonts w:ascii="Palatino Linotype" w:eastAsia="Palatino Linotype" w:hAnsi="Palatino Linotype" w:cs="Palatino Linotype"/>
          <w:i/>
          <w:color w:val="000000"/>
          <w:sz w:val="22"/>
          <w:szCs w:val="22"/>
        </w:rPr>
        <w:t>El solicitante deberá realizar la consulta de los documentos requeridos en el lugar, horarios y con la persona destinada para tal efecto.</w:t>
      </w:r>
    </w:p>
    <w:p w:rsidR="003C1162" w:rsidRPr="000959FC" w:rsidRDefault="00F47EF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rsidR="003C1162" w:rsidRPr="000959FC" w:rsidRDefault="003C1162">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p>
    <w:p w:rsidR="003C1162" w:rsidRPr="000959FC" w:rsidRDefault="00F47EF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Septuagésimo tercero. </w:t>
      </w:r>
      <w:r w:rsidRPr="000959FC">
        <w:rPr>
          <w:rFonts w:ascii="Palatino Linotype" w:eastAsia="Palatino Linotype" w:hAnsi="Palatino Linotype" w:cs="Palatino Linotype"/>
          <w:i/>
          <w:color w:val="000000"/>
          <w:sz w:val="22"/>
          <w:szCs w:val="22"/>
        </w:rPr>
        <w:t>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rsidR="003C1162" w:rsidRPr="000959FC" w:rsidRDefault="00F47EF3">
      <w:pPr>
        <w:pBdr>
          <w:top w:val="nil"/>
          <w:left w:val="nil"/>
          <w:bottom w:val="nil"/>
          <w:right w:val="nil"/>
          <w:between w:val="nil"/>
        </w:pBdr>
        <w:tabs>
          <w:tab w:val="left" w:pos="426"/>
        </w:tabs>
        <w:spacing w:line="276" w:lineRule="auto"/>
        <w:ind w:left="567"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La información deberá ser entregada sin costo, cuando implique la entrega de no más de veinte hojas simples.”</w:t>
      </w:r>
    </w:p>
    <w:p w:rsidR="003C1162" w:rsidRPr="000959FC" w:rsidRDefault="003C1162">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color w:val="000000"/>
          <w:sz w:val="22"/>
          <w:szCs w:val="22"/>
        </w:rPr>
        <w:t>En ese contexto, se solicitó al área de Soporte Técnico indicara si existe reporte de incidencias por parte del Sujeto Obligado para justificar la necesidad de realizar un cambio de modalidad. El área referida respondió de la siguiente manera:</w:t>
      </w:r>
    </w:p>
    <w:p w:rsidR="003C1162" w:rsidRPr="000959FC" w:rsidRDefault="003C1162">
      <w:pPr>
        <w:pBdr>
          <w:top w:val="nil"/>
          <w:left w:val="nil"/>
          <w:bottom w:val="nil"/>
          <w:right w:val="nil"/>
          <w:between w:val="nil"/>
        </w:pBdr>
        <w:spacing w:line="360" w:lineRule="auto"/>
        <w:ind w:right="-93"/>
        <w:jc w:val="both"/>
        <w:rPr>
          <w:rFonts w:ascii="Palatino Linotype" w:eastAsia="Palatino Linotype" w:hAnsi="Palatino Linotype" w:cs="Palatino Linotype"/>
          <w:color w:val="000000"/>
          <w:sz w:val="22"/>
          <w:szCs w:val="22"/>
        </w:rPr>
      </w:pPr>
    </w:p>
    <w:p w:rsidR="003C1162" w:rsidRPr="000959FC" w:rsidRDefault="00F47EF3">
      <w:pPr>
        <w:pBdr>
          <w:top w:val="nil"/>
          <w:left w:val="nil"/>
          <w:bottom w:val="nil"/>
          <w:right w:val="nil"/>
          <w:between w:val="nil"/>
        </w:pBdr>
        <w:spacing w:line="360" w:lineRule="auto"/>
        <w:ind w:right="-93"/>
        <w:jc w:val="center"/>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noProof/>
          <w:color w:val="000000"/>
          <w:sz w:val="22"/>
          <w:szCs w:val="22"/>
        </w:rPr>
        <w:drawing>
          <wp:inline distT="0" distB="0" distL="0" distR="0">
            <wp:extent cx="5766518" cy="1055191"/>
            <wp:effectExtent l="0" t="0" r="0" b="0"/>
            <wp:docPr id="2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7"/>
                    <a:srcRect/>
                    <a:stretch>
                      <a:fillRect/>
                    </a:stretch>
                  </pic:blipFill>
                  <pic:spPr>
                    <a:xfrm>
                      <a:off x="0" y="0"/>
                      <a:ext cx="5766518" cy="1055191"/>
                    </a:xfrm>
                    <a:prstGeom prst="rect">
                      <a:avLst/>
                    </a:prstGeom>
                    <a:ln/>
                  </pic:spPr>
                </pic:pic>
              </a:graphicData>
            </a:graphic>
          </wp:inline>
        </w:drawing>
      </w:r>
    </w:p>
    <w:p w:rsidR="003C1162" w:rsidRPr="000959FC" w:rsidRDefault="003C1162">
      <w:pPr>
        <w:pBdr>
          <w:top w:val="nil"/>
          <w:left w:val="nil"/>
          <w:bottom w:val="nil"/>
          <w:right w:val="nil"/>
          <w:between w:val="nil"/>
        </w:pBdr>
        <w:spacing w:line="360" w:lineRule="auto"/>
        <w:ind w:right="-93"/>
        <w:jc w:val="center"/>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lastRenderedPageBreak/>
        <w:t xml:space="preserve">En el mismo sentido, se realizó un requerimiento de información adicional al Sujeto Obligado, en el que se le solicitó se refiere el número de fojas y el peso que constituye la información solicitada, sin embargo, no se obtuvo respuesta por parte del Sujeto Obligado.  </w:t>
      </w:r>
    </w:p>
    <w:p w:rsidR="003C1162" w:rsidRPr="000959FC" w:rsidRDefault="003C1162">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De lo anterior, si bien es cierto, el Sujeto Obligado asumió contar con la información, también lo es que este Instituto debe garantizar el derecho de acceso a la información de los particulares, por lo que, tomando en consideración la información que fue solicitada, se determina que no existe una justificación que sustente la necesidad de realizar un cambio de modalidad, pues no hay impedimento técnico administrativo y humano para realizar el cambio de modalidad a consulta directa.</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s>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Por lo tanto, en consecuencia y en mérito de lo expuesto en líneas anteriores, resultan fundadas las razones o motivos de inconformidad hechos valer por el </w:t>
      </w:r>
      <w:r w:rsidRPr="000959FC">
        <w:rPr>
          <w:rFonts w:ascii="Palatino Linotype" w:eastAsia="Palatino Linotype" w:hAnsi="Palatino Linotype" w:cs="Palatino Linotype"/>
          <w:b/>
          <w:color w:val="000000"/>
          <w:sz w:val="22"/>
          <w:szCs w:val="22"/>
        </w:rPr>
        <w:t>RECURRENTE</w:t>
      </w:r>
      <w:r w:rsidRPr="000959FC">
        <w:rPr>
          <w:rFonts w:ascii="Palatino Linotype" w:eastAsia="Palatino Linotype" w:hAnsi="Palatino Linotype" w:cs="Palatino Linotype"/>
          <w:color w:val="000000"/>
          <w:sz w:val="22"/>
          <w:szCs w:val="22"/>
        </w:rPr>
        <w:t xml:space="preserve">; por ello, y con fundamento en la fracción III del numeral 186 de la Ley de Transparencia y Acceso a la Información Pública del Estado de México y Municipios, se </w:t>
      </w:r>
      <w:r w:rsidRPr="000959FC">
        <w:rPr>
          <w:rFonts w:ascii="Palatino Linotype" w:eastAsia="Palatino Linotype" w:hAnsi="Palatino Linotype" w:cs="Palatino Linotype"/>
          <w:b/>
          <w:color w:val="000000"/>
          <w:sz w:val="22"/>
          <w:szCs w:val="22"/>
        </w:rPr>
        <w:t>REVOCAN</w:t>
      </w:r>
      <w:r w:rsidRPr="000959FC">
        <w:rPr>
          <w:rFonts w:ascii="Palatino Linotype" w:eastAsia="Palatino Linotype" w:hAnsi="Palatino Linotype" w:cs="Palatino Linotype"/>
          <w:color w:val="000000"/>
          <w:sz w:val="22"/>
          <w:szCs w:val="22"/>
        </w:rPr>
        <w:t xml:space="preserve"> las respuesta a las solicitudes de información que dieron origen a los recursos </w:t>
      </w:r>
      <w:r w:rsidRPr="000959FC">
        <w:rPr>
          <w:rFonts w:ascii="Palatino Linotype" w:eastAsia="Palatino Linotype" w:hAnsi="Palatino Linotype" w:cs="Palatino Linotype"/>
          <w:b/>
          <w:color w:val="000000"/>
          <w:sz w:val="22"/>
          <w:szCs w:val="22"/>
        </w:rPr>
        <w:t>06718/INFOEM/IP/RR/2024, 06719/INFOEM/IP/RR/2024, 06720/INFOEM/IP/RR/2024, 06721/INFOEM/IP/RR/2024, 06722/INFOEM/IP/RR/2024, 06723/INFOEM/IP/RR/2024, 06744/INFOEM/IP/RR/2024, 06794/INFOEM/IP/RR/2024, 06795/INFOEM/IP/RR/2024, 06796/INFOEM/IP/RR/2024, 06797/INFOEM/IP/RR/2024, 06798/INFOEM/IP/RR/2024, 06799/INFOEM/IP/RR/2024, 06800/INFOEM/IP/RR/2024, 06801/INFOEM/IP/RR/2024, 06805/INFOEM/IP/RR/2024, 06806/INFOEM/IP/RR/2024, 06807/INFOEM/IP/RR/2024, 06815/INFOEM/IP/RR/2024, 06820/INFOEM/IP/RR/2024, 06824/INFOEM/IP/RR/2024, 06825/INFOEM/IP/RR/2024, 06826/INFOEM/IP/RR/2024, 06828/INFOEM/IP/RR/2024, 06829/INFOEM/IP/RR/2024, 06830/INFOEM/IP/RR/2024, 06831/INFOEM/IP/RR/2024, 06845/INFOEM/IP/RR/2024 y 06846/INFOEM/IP/RR/2024.</w:t>
      </w:r>
    </w:p>
    <w:p w:rsidR="003C1162" w:rsidRPr="000959FC" w:rsidRDefault="003C1162">
      <w:pPr>
        <w:spacing w:line="360" w:lineRule="auto"/>
        <w:ind w:right="49"/>
        <w:jc w:val="both"/>
        <w:rPr>
          <w:rFonts w:ascii="Palatino Linotype" w:eastAsia="Palatino Linotype" w:hAnsi="Palatino Linotype" w:cs="Palatino Linotype"/>
          <w:b/>
          <w:sz w:val="22"/>
          <w:szCs w:val="22"/>
        </w:rPr>
      </w:pPr>
    </w:p>
    <w:p w:rsidR="003C1162" w:rsidRPr="000959FC" w:rsidRDefault="00F47EF3">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Del recurso de revisión 06745/INFOEM/IP/RR/2024.</w:t>
      </w:r>
    </w:p>
    <w:p w:rsidR="003C1162" w:rsidRPr="000959FC" w:rsidRDefault="003C1162">
      <w:pPr>
        <w:spacing w:line="360" w:lineRule="auto"/>
        <w:ind w:right="49"/>
        <w:jc w:val="both"/>
        <w:rPr>
          <w:rFonts w:ascii="Palatino Linotype" w:eastAsia="Palatino Linotype" w:hAnsi="Palatino Linotype" w:cs="Palatino Linotype"/>
          <w:sz w:val="22"/>
          <w:szCs w:val="22"/>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Primeramente, es necesario señalar que el particular solicitó el expediente completo de la rehabilitación del UBRIS </w:t>
      </w:r>
      <w:proofErr w:type="spellStart"/>
      <w:r w:rsidRPr="000959FC">
        <w:rPr>
          <w:rFonts w:ascii="Palatino Linotype" w:eastAsia="Palatino Linotype" w:hAnsi="Palatino Linotype" w:cs="Palatino Linotype"/>
          <w:sz w:val="22"/>
          <w:szCs w:val="22"/>
        </w:rPr>
        <w:t>Temamatla</w:t>
      </w:r>
      <w:proofErr w:type="spellEnd"/>
      <w:r w:rsidRPr="000959FC">
        <w:rPr>
          <w:rFonts w:ascii="Palatino Linotype" w:eastAsia="Palatino Linotype" w:hAnsi="Palatino Linotype" w:cs="Palatino Linotype"/>
          <w:sz w:val="22"/>
          <w:szCs w:val="22"/>
        </w:rPr>
        <w:t>, el su costo de habilitación, recurso mediante el que se realizó y el nombre de la empresa que lo realizo, esto durante la administración 2022-2024.</w:t>
      </w:r>
    </w:p>
    <w:p w:rsidR="003C1162" w:rsidRPr="000959FC" w:rsidRDefault="003C1162">
      <w:pPr>
        <w:spacing w:line="360" w:lineRule="auto"/>
        <w:ind w:right="49"/>
        <w:jc w:val="both"/>
        <w:rPr>
          <w:rFonts w:ascii="Palatino Linotype" w:eastAsia="Palatino Linotype" w:hAnsi="Palatino Linotype" w:cs="Palatino Linotype"/>
          <w:sz w:val="22"/>
          <w:szCs w:val="22"/>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Ahora bien, d</w:t>
      </w:r>
      <w:r w:rsidRPr="000959FC">
        <w:rPr>
          <w:rFonts w:ascii="Palatino Linotype" w:eastAsia="Palatino Linotype" w:hAnsi="Palatino Linotype" w:cs="Palatino Linotype"/>
        </w:rPr>
        <w:t xml:space="preserve">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0959FC">
        <w:rPr>
          <w:rFonts w:ascii="Palatino Linotype" w:eastAsia="Palatino Linotype" w:hAnsi="Palatino Linotype" w:cs="Palatino Linotype"/>
          <w:i/>
        </w:rPr>
        <w:t xml:space="preserve">en el ámbito de sus atribuciones, de promover, respetar, proteger y </w:t>
      </w:r>
      <w:r w:rsidRPr="000959FC">
        <w:rPr>
          <w:rFonts w:ascii="Palatino Linotype" w:eastAsia="Palatino Linotype" w:hAnsi="Palatino Linotype" w:cs="Palatino Linotype"/>
          <w:b/>
          <w:i/>
        </w:rPr>
        <w:t>garantizar</w:t>
      </w:r>
      <w:r w:rsidRPr="000959FC">
        <w:rPr>
          <w:rFonts w:ascii="Palatino Linotype" w:eastAsia="Palatino Linotype" w:hAnsi="Palatino Linotype" w:cs="Palatino Linotype"/>
          <w:i/>
        </w:rPr>
        <w:t xml:space="preserve"> los derechos humanos. </w:t>
      </w:r>
      <w:r w:rsidRPr="000959FC">
        <w:rPr>
          <w:rFonts w:ascii="Palatino Linotype" w:eastAsia="Palatino Linotype" w:hAnsi="Palatino Linotype" w:cs="Palatino Linotype"/>
          <w:b/>
          <w:i/>
        </w:rPr>
        <w:t>En cuanto al derecho de acceso a la información, la Ley de Transparencia y Acceso a la Información Pública del Estado de México y Municipios prevé establece que e</w:t>
      </w:r>
      <w:r w:rsidRPr="000959FC">
        <w:rPr>
          <w:rFonts w:ascii="Palatino Linotype" w:eastAsia="Palatino Linotype" w:hAnsi="Palatino Linotype" w:cs="Palatino Linotype"/>
          <w:i/>
        </w:rPr>
        <w:t>l procedimiento de acceso a la información es la garantía primaria del derecho en cuestión y se rige por los principios de simplicidad, rapidez y gratuidad del procedimiento, auxilio y orientación a los particulares</w:t>
      </w:r>
      <w:r w:rsidRPr="000959FC">
        <w:rPr>
          <w:i/>
          <w:vertAlign w:val="superscript"/>
        </w:rPr>
        <w:footnoteReference w:id="6"/>
      </w:r>
      <w:r w:rsidRPr="000959FC">
        <w:rPr>
          <w:rFonts w:ascii="Palatino Linotype" w:eastAsia="Palatino Linotype" w:hAnsi="Palatino Linotype" w:cs="Palatino Linotype"/>
          <w:i/>
        </w:rPr>
        <w:t xml:space="preserve">, </w:t>
      </w:r>
      <w:r w:rsidRPr="000959FC">
        <w:rPr>
          <w:rFonts w:ascii="Palatino Linotype" w:eastAsia="Palatino Linotype" w:hAnsi="Palatino Linotype" w:cs="Palatino Linotype"/>
        </w:rPr>
        <w:t>asimismo establece</w:t>
      </w:r>
      <w:r w:rsidRPr="000959FC">
        <w:rPr>
          <w:rFonts w:ascii="Palatino Linotype" w:eastAsia="Palatino Linotype" w:hAnsi="Palatino Linotype" w:cs="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rPr>
        <w:lastRenderedPageBreak/>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rPr>
        <w:t xml:space="preserve">Es así que, su obligación es </w:t>
      </w:r>
      <w:r w:rsidRPr="000959FC">
        <w:rPr>
          <w:rFonts w:ascii="Palatino Linotype" w:eastAsia="Palatino Linotype" w:hAnsi="Palatino Linotype" w:cs="Palatino Linotype"/>
          <w:i/>
        </w:rPr>
        <w:t>realizar, con efectividad, los trámites internos necesarios para la atención de las solicitudes de información</w:t>
      </w:r>
      <w:r w:rsidRPr="000959FC">
        <w:rPr>
          <w:vertAlign w:val="superscript"/>
        </w:rPr>
        <w:footnoteReference w:id="7"/>
      </w:r>
      <w:r w:rsidRPr="000959FC">
        <w:rPr>
          <w:rFonts w:ascii="Palatino Linotype" w:eastAsia="Palatino Linotype" w:hAnsi="Palatino Linotype" w:cs="Palatino Linotype"/>
        </w:rPr>
        <w:t>, es decir, deben otorgar respuestas concisas, contundentes y sobre todo que den la certeza de los actos que realizan.</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3C1162" w:rsidRPr="000959FC" w:rsidRDefault="003C1162">
      <w:pPr>
        <w:spacing w:line="360" w:lineRule="auto"/>
        <w:jc w:val="both"/>
        <w:rPr>
          <w:rFonts w:ascii="Palatino Linotype" w:eastAsia="Palatino Linotype" w:hAnsi="Palatino Linotype" w:cs="Palatino Linotype"/>
        </w:rPr>
      </w:pP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b/>
          <w:i/>
        </w:rPr>
        <w:t xml:space="preserve">Artículo 50. </w:t>
      </w:r>
      <w:r w:rsidRPr="000959FC">
        <w:rPr>
          <w:rFonts w:ascii="Palatino Linotype" w:eastAsia="Palatino Linotype" w:hAnsi="Palatino Linotype" w:cs="Palatino Linotype"/>
          <w:i/>
        </w:rPr>
        <w:t>Los sujetos obligados contarán con un área responsable para la atención de las solicitudes de información, a la que se le denominará Unidad de Transparencia.</w:t>
      </w:r>
    </w:p>
    <w:p w:rsidR="003C1162" w:rsidRPr="000959FC" w:rsidRDefault="003C1162">
      <w:pPr>
        <w:ind w:left="851" w:right="822"/>
        <w:jc w:val="both"/>
        <w:rPr>
          <w:rFonts w:ascii="Palatino Linotype" w:eastAsia="Palatino Linotype" w:hAnsi="Palatino Linotype" w:cs="Palatino Linotype"/>
          <w:i/>
        </w:rPr>
      </w:pP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b/>
          <w:i/>
        </w:rPr>
        <w:t xml:space="preserve">Artículo 53. </w:t>
      </w:r>
      <w:r w:rsidRPr="000959FC">
        <w:rPr>
          <w:rFonts w:ascii="Palatino Linotype" w:eastAsia="Palatino Linotype" w:hAnsi="Palatino Linotype" w:cs="Palatino Linotype"/>
          <w:i/>
        </w:rPr>
        <w:t>Las Unidades de Transparencia tendrán las siguientes funciones:</w:t>
      </w: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i/>
        </w:rPr>
        <w:t>(…)</w:t>
      </w: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b/>
          <w:i/>
        </w:rPr>
        <w:lastRenderedPageBreak/>
        <w:t>II.</w:t>
      </w:r>
      <w:r w:rsidRPr="000959FC">
        <w:rPr>
          <w:rFonts w:ascii="Palatino Linotype" w:eastAsia="Palatino Linotype" w:hAnsi="Palatino Linotype" w:cs="Palatino Linotype"/>
          <w:i/>
        </w:rPr>
        <w:t xml:space="preserve"> Recibir, tramitar y dar respuesta a las solicitudes de acceso a la información;</w:t>
      </w: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i/>
        </w:rPr>
        <w:t>(…)</w:t>
      </w: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b/>
          <w:i/>
        </w:rPr>
        <w:t>IV.</w:t>
      </w:r>
      <w:r w:rsidRPr="000959FC">
        <w:rPr>
          <w:rFonts w:ascii="Palatino Linotype" w:eastAsia="Palatino Linotype" w:hAnsi="Palatino Linotype" w:cs="Palatino Linotype"/>
          <w:i/>
        </w:rPr>
        <w:t xml:space="preserve"> Realizar, con efectividad, los trámites internos necesarios para la atención de las solicitudes de acceso a la información;</w:t>
      </w: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b/>
          <w:i/>
        </w:rPr>
        <w:t>V.</w:t>
      </w:r>
      <w:r w:rsidRPr="000959FC">
        <w:rPr>
          <w:rFonts w:ascii="Palatino Linotype" w:eastAsia="Palatino Linotype" w:hAnsi="Palatino Linotype" w:cs="Palatino Linotype"/>
          <w:i/>
        </w:rPr>
        <w:t xml:space="preserve"> Entregar, en su caso, a los particulares la información solicitada;</w:t>
      </w: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i/>
        </w:rPr>
        <w:t>(…)</w:t>
      </w:r>
    </w:p>
    <w:p w:rsidR="003C1162" w:rsidRPr="000959FC" w:rsidRDefault="003C1162">
      <w:pPr>
        <w:ind w:left="851" w:right="822"/>
        <w:jc w:val="both"/>
        <w:rPr>
          <w:rFonts w:ascii="Palatino Linotype" w:eastAsia="Palatino Linotype" w:hAnsi="Palatino Linotype" w:cs="Palatino Linotype"/>
          <w:i/>
        </w:rPr>
      </w:pP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b/>
          <w:i/>
        </w:rPr>
        <w:t xml:space="preserve">Artículo 58. </w:t>
      </w:r>
      <w:r w:rsidRPr="000959FC">
        <w:rPr>
          <w:rFonts w:ascii="Palatino Linotype" w:eastAsia="Palatino Linotype" w:hAnsi="Palatino Linotype" w:cs="Palatino Linotype"/>
          <w:i/>
        </w:rPr>
        <w:t>Los servidores públicos habilitados serán designados por el titular del sujeto obligado a propuesta del responsable de la Unidad de Transparencia.</w:t>
      </w:r>
    </w:p>
    <w:p w:rsidR="003C1162" w:rsidRPr="000959FC" w:rsidRDefault="003C1162">
      <w:pPr>
        <w:ind w:left="851" w:right="822"/>
        <w:jc w:val="both"/>
        <w:rPr>
          <w:rFonts w:ascii="Palatino Linotype" w:eastAsia="Palatino Linotype" w:hAnsi="Palatino Linotype" w:cs="Palatino Linotype"/>
          <w:i/>
        </w:rPr>
      </w:pP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b/>
          <w:i/>
        </w:rPr>
        <w:t xml:space="preserve">Artículo 59. </w:t>
      </w:r>
      <w:r w:rsidRPr="000959FC">
        <w:rPr>
          <w:rFonts w:ascii="Palatino Linotype" w:eastAsia="Palatino Linotype" w:hAnsi="Palatino Linotype" w:cs="Palatino Linotype"/>
          <w:i/>
        </w:rPr>
        <w:t>Los servidores públicos habilitados tendrán las funciones siguientes:</w:t>
      </w:r>
    </w:p>
    <w:p w:rsidR="003C1162" w:rsidRPr="000959FC" w:rsidRDefault="003C1162">
      <w:pPr>
        <w:ind w:left="851" w:right="822"/>
        <w:jc w:val="both"/>
        <w:rPr>
          <w:rFonts w:ascii="Palatino Linotype" w:eastAsia="Palatino Linotype" w:hAnsi="Palatino Linotype" w:cs="Palatino Linotype"/>
          <w:i/>
        </w:rPr>
      </w:pP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b/>
          <w:i/>
        </w:rPr>
        <w:t>I.</w:t>
      </w:r>
      <w:r w:rsidRPr="000959FC">
        <w:rPr>
          <w:rFonts w:ascii="Palatino Linotype" w:eastAsia="Palatino Linotype" w:hAnsi="Palatino Linotype" w:cs="Palatino Linotype"/>
          <w:i/>
        </w:rPr>
        <w:t xml:space="preserve"> Localizar la información que le solicite la Unidad de Transparencia;</w:t>
      </w: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b/>
          <w:i/>
        </w:rPr>
        <w:t>II.</w:t>
      </w:r>
      <w:r w:rsidRPr="000959FC">
        <w:rPr>
          <w:rFonts w:ascii="Palatino Linotype" w:eastAsia="Palatino Linotype" w:hAnsi="Palatino Linotype" w:cs="Palatino Linotype"/>
          <w:i/>
        </w:rPr>
        <w:t xml:space="preserve"> Proporcionar la información que obre en los archivos y que le sea solicitada por la Unidad de Transparencia;</w:t>
      </w: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i/>
        </w:rPr>
        <w:t>(...)</w:t>
      </w:r>
    </w:p>
    <w:p w:rsidR="003C1162" w:rsidRPr="000959FC" w:rsidRDefault="003C1162">
      <w:pPr>
        <w:ind w:left="851" w:right="822"/>
        <w:jc w:val="both"/>
        <w:rPr>
          <w:rFonts w:ascii="Palatino Linotype" w:eastAsia="Palatino Linotype" w:hAnsi="Palatino Linotype" w:cs="Palatino Linotype"/>
          <w:i/>
        </w:rPr>
      </w:pPr>
    </w:p>
    <w:p w:rsidR="003C1162" w:rsidRPr="000959FC" w:rsidRDefault="00F47EF3">
      <w:pPr>
        <w:ind w:left="851" w:right="822"/>
        <w:jc w:val="both"/>
        <w:rPr>
          <w:rFonts w:ascii="Palatino Linotype" w:eastAsia="Palatino Linotype" w:hAnsi="Palatino Linotype" w:cs="Palatino Linotype"/>
          <w:i/>
        </w:rPr>
      </w:pPr>
      <w:r w:rsidRPr="000959FC">
        <w:rPr>
          <w:rFonts w:ascii="Palatino Linotype" w:eastAsia="Palatino Linotype" w:hAnsi="Palatino Linotype" w:cs="Palatino Linotype"/>
          <w:b/>
          <w:i/>
        </w:rPr>
        <w:t xml:space="preserve">Artículo 162. </w:t>
      </w:r>
      <w:r w:rsidRPr="000959FC">
        <w:rPr>
          <w:rFonts w:ascii="Palatino Linotype" w:eastAsia="Palatino Linotype" w:hAnsi="Palatino Linotype" w:cs="Palatino Linotype"/>
          <w:i/>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3C1162" w:rsidRPr="000959FC" w:rsidRDefault="003C1162">
      <w:pPr>
        <w:spacing w:line="360" w:lineRule="auto"/>
        <w:ind w:left="851" w:right="822"/>
        <w:jc w:val="both"/>
        <w:rPr>
          <w:rFonts w:ascii="Palatino Linotype" w:eastAsia="Palatino Linotype" w:hAnsi="Palatino Linotype" w:cs="Palatino Linotype"/>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w:t>
      </w:r>
      <w:r w:rsidRPr="000959FC">
        <w:rPr>
          <w:rFonts w:ascii="Palatino Linotype" w:eastAsia="Palatino Linotype" w:hAnsi="Palatino Linotype" w:cs="Palatino Linotype"/>
          <w:color w:val="000000"/>
          <w:sz w:val="22"/>
          <w:szCs w:val="22"/>
        </w:rPr>
        <w:lastRenderedPageBreak/>
        <w:t>Unidades de Transparencia localizando la información solicitada y proporcionando la misma que obre en sus archivos. Asimismo, es una obligación de las Unidades de Transparencia turnar a todas las áreas que se consideren competentes para que realicen una búsqueda exhaustiva y razonable de la información solicitada a fin de que ésta sea entregada a los solicitantes.</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 </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En este caso, la respuesta fue emitida por la Directora del Sistema Municipal DIF, quien señaló que no cuanta con los solicitado por no haber realizado la gestión, como tampoco el recurso.  De la respuesta, se puede advertir que fue emitida por la servidora pública habilitada con facultades para generar, poseer y administrar la información solicitada, por lo que con su respuesta se podría tener por atendido el requerimiento del particular, sin embargo, en aras de garantizar el derecho de acceso a la información del Recurrente, este Órgano Garante se dio a la tarea de realizar una búsqueda en la páginas de internet oficiales del Sujeto Obligado y se localizó el Segundo Informe del Gobierno de </w:t>
      </w:r>
      <w:proofErr w:type="spellStart"/>
      <w:r w:rsidRPr="000959FC">
        <w:rPr>
          <w:rFonts w:ascii="Palatino Linotype" w:eastAsia="Palatino Linotype" w:hAnsi="Palatino Linotype" w:cs="Palatino Linotype"/>
          <w:color w:val="000000"/>
          <w:sz w:val="22"/>
          <w:szCs w:val="22"/>
        </w:rPr>
        <w:t>Temamatla</w:t>
      </w:r>
      <w:proofErr w:type="spellEnd"/>
      <w:r w:rsidRPr="000959FC">
        <w:rPr>
          <w:rFonts w:ascii="Palatino Linotype" w:eastAsia="Palatino Linotype" w:hAnsi="Palatino Linotype" w:cs="Palatino Linotype"/>
          <w:color w:val="000000"/>
          <w:sz w:val="22"/>
          <w:szCs w:val="22"/>
        </w:rPr>
        <w:t>, en el que se advierte lo siguiente:</w:t>
      </w:r>
    </w:p>
    <w:p w:rsidR="003C1162" w:rsidRPr="000959FC" w:rsidRDefault="003C1162">
      <w:pPr>
        <w:pBdr>
          <w:top w:val="nil"/>
          <w:left w:val="nil"/>
          <w:bottom w:val="nil"/>
          <w:right w:val="nil"/>
          <w:between w:val="nil"/>
        </w:pBdr>
        <w:rPr>
          <w:rFonts w:ascii="Palatino Linotype" w:eastAsia="Palatino Linotype" w:hAnsi="Palatino Linotype" w:cs="Palatino Linotype"/>
          <w:color w:val="000000"/>
          <w:sz w:val="22"/>
          <w:szCs w:val="22"/>
        </w:rPr>
      </w:pP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rPr>
          <w:rFonts w:ascii="Palatino Linotype" w:eastAsia="Palatino Linotype" w:hAnsi="Palatino Linotype" w:cs="Palatino Linotype"/>
        </w:rPr>
      </w:pPr>
      <w:r w:rsidRPr="000959FC">
        <w:rPr>
          <w:rFonts w:ascii="Palatino Linotype" w:eastAsia="Palatino Linotype" w:hAnsi="Palatino Linotype" w:cs="Palatino Linotype"/>
          <w:noProof/>
        </w:rPr>
        <w:lastRenderedPageBreak/>
        <w:drawing>
          <wp:inline distT="0" distB="0" distL="0" distR="0">
            <wp:extent cx="5742940" cy="320929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8"/>
                    <a:srcRect/>
                    <a:stretch>
                      <a:fillRect/>
                    </a:stretch>
                  </pic:blipFill>
                  <pic:spPr>
                    <a:xfrm>
                      <a:off x="0" y="0"/>
                      <a:ext cx="5742940" cy="3209290"/>
                    </a:xfrm>
                    <a:prstGeom prst="rect">
                      <a:avLst/>
                    </a:prstGeom>
                    <a:ln/>
                  </pic:spPr>
                </pic:pic>
              </a:graphicData>
            </a:graphic>
          </wp:inline>
        </w:drawing>
      </w:r>
    </w:p>
    <w:p w:rsidR="003C1162" w:rsidRPr="000959FC" w:rsidRDefault="003C1162">
      <w:pPr>
        <w:spacing w:line="360" w:lineRule="auto"/>
        <w:ind w:right="49"/>
        <w:jc w:val="both"/>
        <w:rPr>
          <w:rFonts w:ascii="Palatino Linotype" w:eastAsia="Palatino Linotype" w:hAnsi="Palatino Linotype" w:cs="Palatino Linotype"/>
          <w:b/>
          <w:sz w:val="22"/>
          <w:szCs w:val="22"/>
        </w:rPr>
      </w:pPr>
    </w:p>
    <w:p w:rsidR="003C1162" w:rsidRPr="000959FC" w:rsidRDefault="003C1162">
      <w:pPr>
        <w:spacing w:line="360" w:lineRule="auto"/>
        <w:ind w:right="49"/>
        <w:jc w:val="both"/>
        <w:rPr>
          <w:rFonts w:ascii="Palatino Linotype" w:eastAsia="Palatino Linotype" w:hAnsi="Palatino Linotype" w:cs="Palatino Linotype"/>
          <w:sz w:val="22"/>
          <w:szCs w:val="22"/>
        </w:rPr>
      </w:pPr>
    </w:p>
    <w:p w:rsidR="003C1162" w:rsidRPr="000959FC" w:rsidRDefault="00F47EF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Como se puede observar, dentro del informe se advierte la instalación de la Unidad Básica de Rehabilitación e Integración Social, por lo que se presume la existencia de las obras que se realizaron para su funcionamiento. Aunado a ello, dentro de la solicitud de información número </w:t>
      </w:r>
      <w:r w:rsidRPr="000959FC">
        <w:rPr>
          <w:rFonts w:ascii="Palatino Linotype" w:eastAsia="Palatino Linotype" w:hAnsi="Palatino Linotype" w:cs="Palatino Linotype"/>
          <w:b/>
          <w:color w:val="000000"/>
          <w:sz w:val="22"/>
          <w:szCs w:val="22"/>
        </w:rPr>
        <w:t xml:space="preserve">00645/TEMAMATL/IP/2024 </w:t>
      </w:r>
      <w:r w:rsidRPr="000959FC">
        <w:rPr>
          <w:rFonts w:ascii="Palatino Linotype" w:eastAsia="Palatino Linotype" w:hAnsi="Palatino Linotype" w:cs="Palatino Linotype"/>
          <w:color w:val="000000"/>
          <w:sz w:val="22"/>
          <w:szCs w:val="22"/>
        </w:rPr>
        <w:t>que dio origen al recurso de revisión</w:t>
      </w:r>
      <w:r w:rsidRPr="000959FC">
        <w:rPr>
          <w:rFonts w:ascii="Palatino Linotype" w:eastAsia="Palatino Linotype" w:hAnsi="Palatino Linotype" w:cs="Palatino Linotype"/>
          <w:b/>
          <w:color w:val="000000"/>
          <w:sz w:val="22"/>
          <w:szCs w:val="22"/>
        </w:rPr>
        <w:t xml:space="preserve"> 06795/INFOEM/IP/RR/2024 </w:t>
      </w:r>
      <w:r w:rsidRPr="000959FC">
        <w:rPr>
          <w:rFonts w:ascii="Palatino Linotype" w:eastAsia="Palatino Linotype" w:hAnsi="Palatino Linotype" w:cs="Palatino Linotype"/>
          <w:color w:val="000000"/>
          <w:sz w:val="22"/>
          <w:szCs w:val="22"/>
        </w:rPr>
        <w:t xml:space="preserve">y que se encuentra integrada en esta misma resolución, se solicitó el expediente de obra por la rehabilitación del denominado UBRIS, y en respuesta se señaló que la información podía ser consultada de forma directa, por lo que se entiende que la información existe. </w:t>
      </w:r>
    </w:p>
    <w:p w:rsidR="003C1162" w:rsidRPr="000959FC" w:rsidRDefault="003C1162">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Es decir, que en ambos recurso de revisión se solicitó la misma información y mientras que, en uno se señaló que no se generó en el otro se señaló que la información puede ser </w:t>
      </w:r>
      <w:r w:rsidRPr="000959FC">
        <w:rPr>
          <w:rFonts w:ascii="Palatino Linotype" w:eastAsia="Palatino Linotype" w:hAnsi="Palatino Linotype" w:cs="Palatino Linotype"/>
          <w:color w:val="000000"/>
          <w:sz w:val="22"/>
          <w:szCs w:val="22"/>
        </w:rPr>
        <w:lastRenderedPageBreak/>
        <w:t xml:space="preserve">consultada de forma directa, lo que genera incertidumbre al particular sobre la existencia o no de la información solicitada. </w:t>
      </w:r>
    </w:p>
    <w:p w:rsidR="003C1162" w:rsidRPr="000959FC" w:rsidRDefault="00F47EF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Por lo tanto, en consecuencia y en mérito de lo expuesto en líneas anteriores, resultan fundadas las razones o motivos de inconformidad hechos valer por el </w:t>
      </w:r>
      <w:r w:rsidRPr="000959FC">
        <w:rPr>
          <w:rFonts w:ascii="Palatino Linotype" w:eastAsia="Palatino Linotype" w:hAnsi="Palatino Linotype" w:cs="Palatino Linotype"/>
          <w:b/>
          <w:color w:val="000000"/>
          <w:sz w:val="22"/>
          <w:szCs w:val="22"/>
        </w:rPr>
        <w:t>RECURRENTE</w:t>
      </w:r>
      <w:r w:rsidRPr="000959FC">
        <w:rPr>
          <w:rFonts w:ascii="Palatino Linotype" w:eastAsia="Palatino Linotype" w:hAnsi="Palatino Linotype" w:cs="Palatino Linotype"/>
          <w:color w:val="000000"/>
          <w:sz w:val="22"/>
          <w:szCs w:val="22"/>
        </w:rPr>
        <w:t xml:space="preserve">; por ello, y con fundamento en la fracción III del numeral 186 de la Ley de Transparencia y Acceso a la Información Pública del Estado de México y Municipios, se </w:t>
      </w:r>
      <w:r w:rsidRPr="000959FC">
        <w:rPr>
          <w:rFonts w:ascii="Palatino Linotype" w:eastAsia="Palatino Linotype" w:hAnsi="Palatino Linotype" w:cs="Palatino Linotype"/>
          <w:b/>
          <w:color w:val="000000"/>
          <w:sz w:val="22"/>
          <w:szCs w:val="22"/>
        </w:rPr>
        <w:t>REVOCA</w:t>
      </w:r>
      <w:r w:rsidRPr="000959FC">
        <w:rPr>
          <w:rFonts w:ascii="Palatino Linotype" w:eastAsia="Palatino Linotype" w:hAnsi="Palatino Linotype" w:cs="Palatino Linotype"/>
          <w:color w:val="000000"/>
          <w:sz w:val="22"/>
          <w:szCs w:val="22"/>
        </w:rPr>
        <w:t xml:space="preserve"> la respuesta a la solicitudes de información </w:t>
      </w:r>
      <w:r w:rsidRPr="000959FC">
        <w:rPr>
          <w:rFonts w:ascii="Palatino Linotype" w:eastAsia="Palatino Linotype" w:hAnsi="Palatino Linotype" w:cs="Palatino Linotype"/>
          <w:b/>
          <w:color w:val="000000"/>
          <w:sz w:val="22"/>
          <w:szCs w:val="22"/>
        </w:rPr>
        <w:t xml:space="preserve">00557/TEMAMATL/IP/2024  </w:t>
      </w:r>
      <w:r w:rsidRPr="000959FC">
        <w:rPr>
          <w:rFonts w:ascii="Palatino Linotype" w:eastAsia="Palatino Linotype" w:hAnsi="Palatino Linotype" w:cs="Palatino Linotype"/>
          <w:color w:val="000000"/>
          <w:sz w:val="22"/>
          <w:szCs w:val="22"/>
        </w:rPr>
        <w:t>y se</w:t>
      </w:r>
      <w:r w:rsidRPr="000959FC">
        <w:rPr>
          <w:rFonts w:ascii="Palatino Linotype" w:eastAsia="Palatino Linotype" w:hAnsi="Palatino Linotype" w:cs="Palatino Linotype"/>
          <w:b/>
          <w:color w:val="000000"/>
          <w:sz w:val="22"/>
          <w:szCs w:val="22"/>
        </w:rPr>
        <w:t xml:space="preserve"> ORDENA </w:t>
      </w:r>
      <w:r w:rsidRPr="000959FC">
        <w:rPr>
          <w:rFonts w:ascii="Palatino Linotype" w:eastAsia="Palatino Linotype" w:hAnsi="Palatino Linotype" w:cs="Palatino Linotype"/>
          <w:color w:val="000000"/>
          <w:sz w:val="22"/>
          <w:szCs w:val="22"/>
        </w:rPr>
        <w:t xml:space="preserve">la entrega del expediente de la obra de rehabilitación de la Unidad Básica de Rehabilitación e Integración Social (UBRIS), en donde se advierta el costo, los recursos con los que se realizó y el nombre de la empresa.  </w:t>
      </w:r>
    </w:p>
    <w:p w:rsidR="003C1162" w:rsidRPr="000959FC" w:rsidRDefault="003C1162">
      <w:pPr>
        <w:spacing w:line="360" w:lineRule="auto"/>
        <w:ind w:right="49"/>
        <w:jc w:val="both"/>
        <w:rPr>
          <w:rFonts w:ascii="Palatino Linotype" w:eastAsia="Palatino Linotype" w:hAnsi="Palatino Linotype" w:cs="Palatino Linotype"/>
          <w:b/>
          <w:sz w:val="22"/>
          <w:szCs w:val="22"/>
        </w:rPr>
      </w:pPr>
    </w:p>
    <w:p w:rsidR="003C1162" w:rsidRPr="000959FC" w:rsidRDefault="00F47EF3">
      <w:pPr>
        <w:numPr>
          <w:ilvl w:val="0"/>
          <w:numId w:val="11"/>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Del recurso de revisión 06764/INFOEM/IP/RR/2024.</w:t>
      </w:r>
    </w:p>
    <w:p w:rsidR="003C1162" w:rsidRPr="000959FC" w:rsidRDefault="003C1162">
      <w:pPr>
        <w:spacing w:line="360" w:lineRule="auto"/>
        <w:ind w:right="49"/>
        <w:jc w:val="both"/>
        <w:rPr>
          <w:rFonts w:ascii="Palatino Linotype" w:eastAsia="Palatino Linotype" w:hAnsi="Palatino Linotype" w:cs="Palatino Linotype"/>
          <w:b/>
          <w:sz w:val="22"/>
          <w:szCs w:val="22"/>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En el recurso de revisión que se analiza, el particular requirió el expediente completo de obra que se está llevando a cabo en la Colonia Guadalupe por la administración 2022- 2024, en respuesta, el Sujeto Obligado, a través del Director de Obras Públicas señaló que la información solicitada no puede ser entregada porque se encuentra en proceso de integración. </w:t>
      </w:r>
    </w:p>
    <w:p w:rsidR="003C1162" w:rsidRPr="000959FC" w:rsidRDefault="003C1162">
      <w:pPr>
        <w:spacing w:line="360" w:lineRule="auto"/>
        <w:ind w:right="49"/>
        <w:jc w:val="both"/>
        <w:rPr>
          <w:rFonts w:ascii="Palatino Linotype" w:eastAsia="Palatino Linotype" w:hAnsi="Palatino Linotype" w:cs="Palatino Linotype"/>
          <w:sz w:val="22"/>
          <w:szCs w:val="22"/>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rPr>
        <w:t xml:space="preserve">La respuesta del Sujeto Obligado en ningún momento niega la existencia de la información, sino por el contrario, asume que cuenta con ella, tan es así, que señaló que se encuentra en proceso de integración. </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rPr>
        <w:lastRenderedPageBreak/>
        <w:t xml:space="preserve">No debemos perder de vista que, el derecho de acceso a la información </w:t>
      </w:r>
      <w:r w:rsidRPr="000959FC">
        <w:rPr>
          <w:rFonts w:ascii="Palatino Linotype" w:eastAsia="Palatino Linotype" w:hAnsi="Palatino Linotype" w:cs="Palatino Linotype"/>
          <w:color w:val="000000"/>
          <w:sz w:val="22"/>
          <w:szCs w:val="22"/>
        </w:rPr>
        <w:t xml:space="preserve">es la </w:t>
      </w:r>
      <w:r w:rsidRPr="000959FC">
        <w:rPr>
          <w:rFonts w:ascii="Palatino Linotype" w:eastAsia="Palatino Linotype" w:hAnsi="Palatino Linotype" w:cs="Palatino Linotype"/>
          <w:i/>
          <w:color w:val="000000"/>
          <w:sz w:val="22"/>
          <w:szCs w:val="22"/>
        </w:rPr>
        <w:t>igualdad de oportunidades para recibir, buscar e impartir información</w:t>
      </w:r>
      <w:r w:rsidRPr="000959FC">
        <w:rPr>
          <w:rFonts w:ascii="Palatino Linotype" w:eastAsia="Palatino Linotype" w:hAnsi="Palatino Linotype" w:cs="Palatino Linotype"/>
          <w:i/>
          <w:color w:val="000000"/>
          <w:sz w:val="22"/>
          <w:szCs w:val="22"/>
          <w:vertAlign w:val="superscript"/>
        </w:rPr>
        <w:footnoteReference w:id="8"/>
      </w:r>
      <w:r w:rsidRPr="000959FC">
        <w:rPr>
          <w:rFonts w:ascii="Palatino Linotype" w:eastAsia="Palatino Linotype" w:hAnsi="Palatino Linotype" w:cs="Palatino Linotype"/>
          <w:i/>
          <w:color w:val="000000"/>
          <w:sz w:val="22"/>
          <w:szCs w:val="22"/>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959FC">
        <w:rPr>
          <w:rFonts w:ascii="Palatino Linotype" w:eastAsia="Palatino Linotype" w:hAnsi="Palatino Linotype" w:cs="Palatino Linotype"/>
          <w:color w:val="000000"/>
          <w:sz w:val="22"/>
          <w:szCs w:val="22"/>
          <w:vertAlign w:val="superscript"/>
        </w:rPr>
        <w:footnoteReference w:id="9"/>
      </w:r>
      <w:r w:rsidRPr="000959FC">
        <w:rPr>
          <w:rFonts w:ascii="Palatino Linotype" w:eastAsia="Palatino Linotype" w:hAnsi="Palatino Linotype" w:cs="Palatino Linotype"/>
          <w:i/>
          <w:color w:val="000000"/>
          <w:sz w:val="22"/>
          <w:szCs w:val="22"/>
        </w:rPr>
        <w:t xml:space="preserve"> </w:t>
      </w:r>
      <w:r w:rsidRPr="000959FC">
        <w:rPr>
          <w:rFonts w:ascii="Palatino Linotype" w:eastAsia="Palatino Linotype" w:hAnsi="Palatino Linotype" w:cs="Palatino Linotype"/>
          <w:color w:val="000000"/>
        </w:rPr>
        <w:t xml:space="preserve">que se constituye como una herramienta fundamental para </w:t>
      </w:r>
      <w:r w:rsidRPr="000959FC">
        <w:rPr>
          <w:rFonts w:ascii="Palatino Linotype" w:eastAsia="Palatino Linotype" w:hAnsi="Palatino Linotype" w:cs="Palatino Linotype"/>
          <w:i/>
          <w:color w:val="000000"/>
          <w:sz w:val="22"/>
          <w:szCs w:val="22"/>
        </w:rPr>
        <w:t>ejercer control democrático de las gestiones estatales, de forma tal que puedan cuestionar, indagar y considerar si se está dando un adecuado cumplimiento de las funciones públicas,</w:t>
      </w:r>
      <w:r w:rsidRPr="000959FC">
        <w:rPr>
          <w:rFonts w:ascii="Palatino Linotype" w:eastAsia="Palatino Linotype" w:hAnsi="Palatino Linotype" w:cs="Palatino Linotype"/>
          <w:i/>
          <w:color w:val="000000"/>
          <w:sz w:val="22"/>
          <w:szCs w:val="22"/>
          <w:vertAlign w:val="superscript"/>
        </w:rPr>
        <w:footnoteReference w:id="10"/>
      </w:r>
      <w:r w:rsidRPr="000959FC">
        <w:rPr>
          <w:rFonts w:ascii="Palatino Linotype" w:eastAsia="Palatino Linotype" w:hAnsi="Palatino Linotype" w:cs="Palatino Linotype"/>
          <w:color w:val="000000"/>
        </w:rPr>
        <w:t>fomentando</w:t>
      </w:r>
      <w:r w:rsidRPr="000959FC">
        <w:rPr>
          <w:rFonts w:ascii="Palatino Linotype" w:eastAsia="Palatino Linotype" w:hAnsi="Palatino Linotype" w:cs="Palatino Linotype"/>
          <w:i/>
          <w:color w:val="000000"/>
          <w:sz w:val="22"/>
          <w:szCs w:val="22"/>
        </w:rPr>
        <w:t xml:space="preserve"> la transparencia de las actividades estatales y</w:t>
      </w:r>
      <w:r w:rsidRPr="000959FC">
        <w:rPr>
          <w:rFonts w:ascii="Palatino Linotype" w:eastAsia="Palatino Linotype" w:hAnsi="Palatino Linotype" w:cs="Palatino Linotype"/>
          <w:color w:val="000000"/>
          <w:sz w:val="22"/>
          <w:szCs w:val="22"/>
        </w:rPr>
        <w:t xml:space="preserve"> promoviendo</w:t>
      </w:r>
      <w:r w:rsidRPr="000959FC">
        <w:rPr>
          <w:rFonts w:ascii="Palatino Linotype" w:eastAsia="Palatino Linotype" w:hAnsi="Palatino Linotype" w:cs="Palatino Linotype"/>
          <w:i/>
          <w:color w:val="000000"/>
          <w:sz w:val="22"/>
          <w:szCs w:val="22"/>
        </w:rPr>
        <w:t xml:space="preserve"> la responsabilidad de los funcionarios sobre su gestión pública</w:t>
      </w:r>
      <w:r w:rsidRPr="000959FC">
        <w:rPr>
          <w:rFonts w:ascii="Palatino Linotype" w:eastAsia="Palatino Linotype" w:hAnsi="Palatino Linotype" w:cs="Palatino Linotype"/>
          <w:i/>
          <w:color w:val="000000"/>
          <w:sz w:val="22"/>
          <w:szCs w:val="22"/>
          <w:vertAlign w:val="superscript"/>
        </w:rPr>
        <w:footnoteReference w:id="11"/>
      </w:r>
      <w:r w:rsidRPr="000959FC">
        <w:rPr>
          <w:rFonts w:ascii="Palatino Linotype" w:eastAsia="Palatino Linotype" w:hAnsi="Palatino Linotype" w:cs="Palatino Linotype"/>
          <w:i/>
          <w:color w:val="000000"/>
          <w:sz w:val="22"/>
          <w:szCs w:val="22"/>
        </w:rPr>
        <w:t xml:space="preserve"> </w:t>
      </w:r>
      <w:r w:rsidRPr="000959FC">
        <w:rPr>
          <w:rFonts w:ascii="Palatino Linotype" w:eastAsia="Palatino Linotype" w:hAnsi="Palatino Linotype" w:cs="Palatino Linotype"/>
          <w:color w:val="000000"/>
        </w:rPr>
        <w:t>que permite</w:t>
      </w:r>
      <w:r w:rsidRPr="000959FC">
        <w:rPr>
          <w:rFonts w:ascii="Palatino Linotype" w:eastAsia="Palatino Linotype" w:hAnsi="Palatino Linotype" w:cs="Palatino Linotype"/>
          <w:i/>
          <w:color w:val="000000"/>
        </w:rPr>
        <w:t xml:space="preserve"> </w:t>
      </w:r>
      <w:r w:rsidRPr="000959FC">
        <w:rPr>
          <w:rFonts w:ascii="Palatino Linotype" w:eastAsia="Palatino Linotype" w:hAnsi="Palatino Linotype" w:cs="Palatino Linotype"/>
          <w:i/>
          <w:color w:val="000000"/>
          <w:sz w:val="22"/>
          <w:szCs w:val="22"/>
        </w:rPr>
        <w:t>saber qué están haciendo los gobiernos por sus pueblos, sin lo cual la verdad languidecería y la participación en el gobierno permanecería fragmentada.</w:t>
      </w:r>
      <w:r w:rsidRPr="000959FC">
        <w:rPr>
          <w:rFonts w:ascii="Palatino Linotype" w:eastAsia="Palatino Linotype" w:hAnsi="Palatino Linotype" w:cs="Palatino Linotype"/>
          <w:i/>
          <w:color w:val="000000"/>
          <w:sz w:val="22"/>
          <w:szCs w:val="22"/>
          <w:vertAlign w:val="superscript"/>
        </w:rPr>
        <w:footnoteReference w:id="12"/>
      </w:r>
      <w:r w:rsidRPr="000959FC">
        <w:rPr>
          <w:rFonts w:ascii="Palatino Linotype" w:eastAsia="Palatino Linotype" w:hAnsi="Palatino Linotype" w:cs="Palatino Linotype"/>
          <w:color w:val="000000"/>
          <w:sz w:val="22"/>
          <w:szCs w:val="22"/>
        </w:rPr>
        <w:t xml:space="preserve"> ”</w:t>
      </w:r>
    </w:p>
    <w:p w:rsidR="003C1162" w:rsidRPr="000959FC" w:rsidRDefault="003C1162">
      <w:pPr>
        <w:pBdr>
          <w:top w:val="nil"/>
          <w:left w:val="nil"/>
          <w:bottom w:val="nil"/>
          <w:right w:val="nil"/>
          <w:between w:val="nil"/>
        </w:pBdr>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rPr>
        <w:t>El acceso a la información es un derecho humano constitucional y convencionalmente reconocido y para tal efecto el párrafo tercero del artículo primero de la Constitución Política de los Estados Unidos Mexicanos establece el deber de todas las autoridades</w:t>
      </w:r>
      <w:r w:rsidRPr="000959FC">
        <w:rPr>
          <w:rFonts w:ascii="Palatino Linotype" w:eastAsia="Palatino Linotype" w:hAnsi="Palatino Linotype" w:cs="Palatino Linotype"/>
          <w:color w:val="000000"/>
          <w:sz w:val="22"/>
          <w:szCs w:val="22"/>
        </w:rPr>
        <w:t xml:space="preserve">, </w:t>
      </w:r>
      <w:r w:rsidRPr="000959FC">
        <w:rPr>
          <w:rFonts w:ascii="Palatino Linotype" w:eastAsia="Palatino Linotype" w:hAnsi="Palatino Linotype" w:cs="Palatino Linotype"/>
          <w:i/>
          <w:color w:val="000000"/>
          <w:sz w:val="22"/>
          <w:szCs w:val="22"/>
        </w:rPr>
        <w:t xml:space="preserve">en el ámbito de sus atribuciones, de promover, respetar, proteger y </w:t>
      </w:r>
      <w:r w:rsidRPr="000959FC">
        <w:rPr>
          <w:rFonts w:ascii="Palatino Linotype" w:eastAsia="Palatino Linotype" w:hAnsi="Palatino Linotype" w:cs="Palatino Linotype"/>
          <w:b/>
          <w:i/>
          <w:color w:val="000000"/>
          <w:sz w:val="22"/>
          <w:szCs w:val="22"/>
        </w:rPr>
        <w:t>garantizar</w:t>
      </w:r>
      <w:r w:rsidRPr="000959FC">
        <w:rPr>
          <w:rFonts w:ascii="Palatino Linotype" w:eastAsia="Palatino Linotype" w:hAnsi="Palatino Linotype" w:cs="Palatino Linotype"/>
          <w:i/>
          <w:color w:val="000000"/>
          <w:sz w:val="22"/>
          <w:szCs w:val="22"/>
        </w:rPr>
        <w:t xml:space="preserve"> los derechos humanos. </w:t>
      </w:r>
      <w:r w:rsidRPr="000959FC">
        <w:rPr>
          <w:rFonts w:ascii="Palatino Linotype" w:eastAsia="Palatino Linotype" w:hAnsi="Palatino Linotype" w:cs="Palatino Linotype"/>
          <w:color w:val="000000"/>
          <w:sz w:val="22"/>
          <w:szCs w:val="22"/>
        </w:rPr>
        <w:t xml:space="preserve">En cuanto al derecho de acceso a la información, la Ley de Transparencia y Acceso a la Información Pública del Estado de México y Municipios prevé </w:t>
      </w:r>
      <w:r w:rsidRPr="000959FC">
        <w:rPr>
          <w:rFonts w:ascii="Palatino Linotype" w:eastAsia="Palatino Linotype" w:hAnsi="Palatino Linotype" w:cs="Palatino Linotype"/>
          <w:color w:val="000000"/>
          <w:sz w:val="22"/>
          <w:szCs w:val="22"/>
        </w:rPr>
        <w:lastRenderedPageBreak/>
        <w:t>establece que</w:t>
      </w:r>
      <w:r w:rsidRPr="000959FC">
        <w:rPr>
          <w:rFonts w:ascii="Palatino Linotype" w:eastAsia="Palatino Linotype" w:hAnsi="Palatino Linotype" w:cs="Palatino Linotype"/>
          <w:b/>
          <w:i/>
          <w:color w:val="000000"/>
          <w:sz w:val="22"/>
          <w:szCs w:val="22"/>
        </w:rPr>
        <w:t xml:space="preserve"> e</w:t>
      </w:r>
      <w:r w:rsidRPr="000959FC">
        <w:rPr>
          <w:rFonts w:ascii="Palatino Linotype" w:eastAsia="Palatino Linotype" w:hAnsi="Palatino Linotype" w:cs="Palatino Linotype"/>
          <w:i/>
          <w:color w:val="000000"/>
          <w:sz w:val="22"/>
          <w:szCs w:val="22"/>
        </w:rPr>
        <w:t>l procedimiento de acceso a la información es la garantía primaria del derecho en cuestión y se rige por los principios de simplicidad, rapidez y gratuidad del procedimiento, auxilio y orientación a los particulares</w:t>
      </w:r>
      <w:r w:rsidRPr="000959FC">
        <w:rPr>
          <w:rFonts w:ascii="Palatino Linotype" w:eastAsia="Palatino Linotype" w:hAnsi="Palatino Linotype" w:cs="Palatino Linotype"/>
          <w:i/>
          <w:color w:val="000000"/>
          <w:sz w:val="22"/>
          <w:szCs w:val="22"/>
          <w:vertAlign w:val="superscript"/>
        </w:rPr>
        <w:footnoteReference w:id="13"/>
      </w:r>
      <w:r w:rsidRPr="000959FC">
        <w:rPr>
          <w:rFonts w:ascii="Palatino Linotype" w:eastAsia="Palatino Linotype" w:hAnsi="Palatino Linotype" w:cs="Palatino Linotype"/>
          <w:i/>
          <w:color w:val="000000"/>
          <w:sz w:val="22"/>
          <w:szCs w:val="22"/>
        </w:rPr>
        <w:t xml:space="preserve">, </w:t>
      </w:r>
      <w:r w:rsidRPr="000959FC">
        <w:rPr>
          <w:rFonts w:ascii="Palatino Linotype" w:eastAsia="Palatino Linotype" w:hAnsi="Palatino Linotype" w:cs="Palatino Linotype"/>
          <w:color w:val="000000"/>
          <w:sz w:val="22"/>
          <w:szCs w:val="22"/>
        </w:rPr>
        <w:t>asimismo establece</w:t>
      </w:r>
      <w:r w:rsidRPr="000959FC">
        <w:rPr>
          <w:rFonts w:ascii="Palatino Linotype" w:eastAsia="Palatino Linotype" w:hAnsi="Palatino Linotype" w:cs="Palatino Linotype"/>
          <w:i/>
          <w:color w:val="000000"/>
          <w:sz w:val="22"/>
          <w:szCs w:val="22"/>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color w:val="000000"/>
        </w:rPr>
      </w:pPr>
      <w:r w:rsidRPr="000959FC">
        <w:rPr>
          <w:rFonts w:ascii="Palatino Linotype" w:eastAsia="Palatino Linotype" w:hAnsi="Palatino Linotype" w:cs="Palatino Linotype"/>
          <w:color w:val="00000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0959FC">
        <w:rPr>
          <w:rFonts w:ascii="Palatino Linotype" w:eastAsia="Palatino Linotype" w:hAnsi="Palatino Linotype" w:cs="Palatino Linotype"/>
          <w:b/>
          <w:color w:val="000000"/>
        </w:rPr>
        <w:t>los Sujetos Obligados deberán documentar todo acto que se derive del ejercicio de sus facultades, competencias o funciones,</w:t>
      </w:r>
      <w:r w:rsidRPr="000959FC">
        <w:rPr>
          <w:rFonts w:ascii="Palatino Linotype" w:eastAsia="Palatino Linotype" w:hAnsi="Palatino Linotype" w:cs="Palatino Linotype"/>
          <w:color w:val="000000"/>
        </w:rPr>
        <w:t xml:space="preserve"> considerando desde su origen la eventual publicidad y reutilización de la información que generen, posean o administren.</w:t>
      </w:r>
    </w:p>
    <w:p w:rsidR="003C1162" w:rsidRPr="000959FC" w:rsidRDefault="003C1162">
      <w:pPr>
        <w:pBdr>
          <w:top w:val="nil"/>
          <w:left w:val="nil"/>
          <w:bottom w:val="nil"/>
          <w:right w:val="nil"/>
          <w:between w:val="nil"/>
        </w:pBdr>
        <w:spacing w:line="360" w:lineRule="auto"/>
        <w:rPr>
          <w:rFonts w:ascii="Palatino Linotype" w:eastAsia="Palatino Linotype" w:hAnsi="Palatino Linotype" w:cs="Palatino Linotype"/>
          <w:i/>
          <w:color w:val="000000"/>
          <w:sz w:val="22"/>
          <w:szCs w:val="22"/>
        </w:rPr>
      </w:pPr>
    </w:p>
    <w:p w:rsidR="003C1162" w:rsidRPr="000959FC" w:rsidRDefault="00F47EF3">
      <w:pPr>
        <w:numPr>
          <w:ilvl w:val="0"/>
          <w:numId w:val="1"/>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959FC">
        <w:rPr>
          <w:rFonts w:ascii="Palatino Linotype" w:eastAsia="Palatino Linotype" w:hAnsi="Palatino Linotype" w:cs="Palatino Linotype"/>
          <w:color w:val="000000"/>
        </w:rPr>
        <w:t>Además, debemos tomar en cuenta los artículos 4 y 12, de la Ley de Transparencia y Acceso a la Información Pública del Estado de México y Municipios, los cuales establecen lo siguiente:</w:t>
      </w:r>
    </w:p>
    <w:p w:rsidR="003C1162" w:rsidRPr="000959FC" w:rsidRDefault="003C116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lastRenderedPageBreak/>
        <w:t xml:space="preserve">Artículo 4. </w:t>
      </w:r>
      <w:r w:rsidRPr="000959FC">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rsidR="003C1162" w:rsidRPr="000959FC" w:rsidRDefault="003C1162">
      <w:pPr>
        <w:spacing w:line="360" w:lineRule="auto"/>
        <w:ind w:left="567" w:right="567"/>
        <w:jc w:val="both"/>
        <w:rPr>
          <w:rFonts w:ascii="Palatino Linotype" w:eastAsia="Palatino Linotype" w:hAnsi="Palatino Linotype" w:cs="Palatino Linotype"/>
          <w:i/>
          <w:sz w:val="22"/>
          <w:szCs w:val="22"/>
        </w:rPr>
      </w:pP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C1162" w:rsidRPr="000959FC" w:rsidRDefault="003C1162">
      <w:pPr>
        <w:spacing w:line="360" w:lineRule="auto"/>
        <w:ind w:left="567" w:right="567"/>
        <w:jc w:val="both"/>
        <w:rPr>
          <w:rFonts w:ascii="Palatino Linotype" w:eastAsia="Palatino Linotype" w:hAnsi="Palatino Linotype" w:cs="Palatino Linotype"/>
          <w:i/>
          <w:sz w:val="22"/>
          <w:szCs w:val="22"/>
        </w:rPr>
      </w:pP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3C1162" w:rsidRPr="000959FC" w:rsidRDefault="003C1162">
      <w:pPr>
        <w:spacing w:line="360" w:lineRule="auto"/>
        <w:ind w:right="567"/>
        <w:jc w:val="both"/>
        <w:rPr>
          <w:rFonts w:ascii="Palatino Linotype" w:eastAsia="Palatino Linotype" w:hAnsi="Palatino Linotype" w:cs="Palatino Linotype"/>
          <w:i/>
          <w:color w:val="000000"/>
          <w:sz w:val="28"/>
          <w:szCs w:val="28"/>
        </w:rPr>
      </w:pP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b/>
          <w:i/>
          <w:sz w:val="22"/>
          <w:szCs w:val="22"/>
        </w:rPr>
        <w:t xml:space="preserve">Artículo 12. </w:t>
      </w:r>
      <w:r w:rsidRPr="000959FC">
        <w:rPr>
          <w:rFonts w:ascii="Palatino Linotype" w:eastAsia="Palatino Linotype" w:hAnsi="Palatino Linotype" w:cs="Palatino Linotype"/>
          <w:i/>
          <w:sz w:val="22"/>
          <w:szCs w:val="22"/>
        </w:rPr>
        <w:t xml:space="preserve">Quienes generen, recopilen, administren, manejen, procesen, archiven o conserven información pública serán responsables de la misma en los términos de las disposiciones jurídicas aplicables. </w:t>
      </w:r>
    </w:p>
    <w:p w:rsidR="003C1162" w:rsidRPr="000959FC" w:rsidRDefault="003C1162">
      <w:pPr>
        <w:spacing w:line="360" w:lineRule="auto"/>
        <w:ind w:left="567" w:right="567"/>
        <w:jc w:val="both"/>
        <w:rPr>
          <w:rFonts w:ascii="Palatino Linotype" w:eastAsia="Palatino Linotype" w:hAnsi="Palatino Linotype" w:cs="Palatino Linotype"/>
          <w:i/>
          <w:sz w:val="22"/>
          <w:szCs w:val="22"/>
        </w:rPr>
      </w:pPr>
    </w:p>
    <w:p w:rsidR="003C1162" w:rsidRPr="000959FC" w:rsidRDefault="00F47EF3">
      <w:pPr>
        <w:spacing w:line="360" w:lineRule="auto"/>
        <w:ind w:left="567" w:right="567"/>
        <w:jc w:val="both"/>
        <w:rPr>
          <w:rFonts w:ascii="Palatino Linotype" w:eastAsia="Palatino Linotype" w:hAnsi="Palatino Linotype" w:cs="Palatino Linotype"/>
          <w:i/>
          <w:sz w:val="22"/>
          <w:szCs w:val="22"/>
        </w:rPr>
      </w:pPr>
      <w:r w:rsidRPr="000959FC">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w:t>
      </w:r>
      <w:r w:rsidRPr="000959FC">
        <w:rPr>
          <w:rFonts w:ascii="Palatino Linotype" w:eastAsia="Palatino Linotype" w:hAnsi="Palatino Linotype" w:cs="Palatino Linotype"/>
          <w:b/>
          <w:i/>
          <w:sz w:val="22"/>
          <w:szCs w:val="22"/>
        </w:rPr>
        <w:t xml:space="preserve">La obligación de proporcionar información no comprende el procesamiento de la misma, ni el </w:t>
      </w:r>
      <w:r w:rsidRPr="000959FC">
        <w:rPr>
          <w:rFonts w:ascii="Palatino Linotype" w:eastAsia="Palatino Linotype" w:hAnsi="Palatino Linotype" w:cs="Palatino Linotype"/>
          <w:b/>
          <w:i/>
          <w:sz w:val="22"/>
          <w:szCs w:val="22"/>
        </w:rPr>
        <w:lastRenderedPageBreak/>
        <w:t>presentarla conforme al interés del solicitante; no estarán obligados a generarla, resumirla, efectuar cálculos o practicar investigaciones.</w:t>
      </w:r>
    </w:p>
    <w:p w:rsidR="003C1162" w:rsidRPr="000959FC" w:rsidRDefault="003C1162">
      <w:pPr>
        <w:spacing w:line="360" w:lineRule="auto"/>
        <w:ind w:left="567" w:right="567"/>
        <w:jc w:val="both"/>
        <w:rPr>
          <w:rFonts w:ascii="Palatino Linotype" w:eastAsia="Palatino Linotype" w:hAnsi="Palatino Linotype" w:cs="Palatino Linotype"/>
          <w:i/>
          <w:color w:val="000000"/>
          <w:sz w:val="28"/>
          <w:szCs w:val="28"/>
        </w:rPr>
      </w:pPr>
    </w:p>
    <w:p w:rsidR="003C1162" w:rsidRPr="000959FC" w:rsidRDefault="00F47EF3">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0959FC">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0959FC">
        <w:rPr>
          <w:rFonts w:ascii="Palatino Linotype" w:eastAsia="Palatino Linotype" w:hAnsi="Palatino Linotype" w:cs="Palatino Linotype"/>
          <w:color w:val="000000"/>
          <w:vertAlign w:val="superscript"/>
        </w:rPr>
        <w:footnoteReference w:id="14"/>
      </w:r>
      <w:r w:rsidRPr="000959FC">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3C1162" w:rsidRPr="000959FC" w:rsidRDefault="003C1162">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3C1162" w:rsidRPr="000959FC" w:rsidRDefault="00F47EF3">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0959FC">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3C1162" w:rsidRPr="000959FC" w:rsidRDefault="003C116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3C1162" w:rsidRPr="000959FC" w:rsidRDefault="00F47EF3">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0959FC">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w:t>
      </w:r>
      <w:r w:rsidRPr="000959FC">
        <w:rPr>
          <w:rFonts w:ascii="Palatino Linotype" w:eastAsia="Palatino Linotype" w:hAnsi="Palatino Linotype" w:cs="Palatino Linotype"/>
          <w:i/>
          <w:color w:val="000000"/>
          <w:sz w:val="22"/>
          <w:szCs w:val="22"/>
        </w:rPr>
        <w:lastRenderedPageBreak/>
        <w:t xml:space="preserve">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3C1162" w:rsidRPr="000959FC" w:rsidRDefault="003C1162">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sz w:val="22"/>
          <w:szCs w:val="22"/>
        </w:rPr>
      </w:pPr>
    </w:p>
    <w:p w:rsidR="003C1162" w:rsidRPr="000959FC" w:rsidRDefault="00F47EF3">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 xml:space="preserve">CUARTO TRIBUNAL COLEGIADO EN MATERIA ADMINISTRATIVA DEL PRIMER CIRCUITO. </w:t>
      </w:r>
    </w:p>
    <w:p w:rsidR="003C1162" w:rsidRPr="000959FC" w:rsidRDefault="003C1162">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sz w:val="22"/>
          <w:szCs w:val="22"/>
        </w:rPr>
      </w:pPr>
    </w:p>
    <w:p w:rsidR="003C1162" w:rsidRPr="000959FC" w:rsidRDefault="00F47EF3">
      <w:pPr>
        <w:pBdr>
          <w:top w:val="nil"/>
          <w:left w:val="nil"/>
          <w:bottom w:val="nil"/>
          <w:right w:val="nil"/>
          <w:between w:val="nil"/>
        </w:pBdr>
        <w:tabs>
          <w:tab w:val="left" w:pos="851"/>
        </w:tabs>
        <w:spacing w:line="360" w:lineRule="auto"/>
        <w:ind w:left="567" w:right="567"/>
        <w:jc w:val="both"/>
        <w:rPr>
          <w:rFonts w:ascii="Palatino Linotype" w:eastAsia="Palatino Linotype" w:hAnsi="Palatino Linotype" w:cs="Palatino Linotype"/>
          <w:i/>
          <w:color w:val="000000"/>
          <w:sz w:val="22"/>
          <w:szCs w:val="22"/>
        </w:rPr>
      </w:pPr>
      <w:r w:rsidRPr="000959FC">
        <w:rPr>
          <w:rFonts w:ascii="Palatino Linotype" w:eastAsia="Palatino Linotype" w:hAnsi="Palatino Linotype" w:cs="Palatino Linotype"/>
          <w:i/>
          <w:color w:val="000000"/>
          <w:sz w:val="22"/>
          <w:szCs w:val="22"/>
        </w:rPr>
        <w:t xml:space="preserve">Amparo en revisión 257/2012. Ruth Corona Muñoz. 6 de diciembre de 2012. Unanimidad de votos. Ponente: Jean Claude </w:t>
      </w:r>
      <w:proofErr w:type="spellStart"/>
      <w:r w:rsidRPr="000959FC">
        <w:rPr>
          <w:rFonts w:ascii="Palatino Linotype" w:eastAsia="Palatino Linotype" w:hAnsi="Palatino Linotype" w:cs="Palatino Linotype"/>
          <w:i/>
          <w:color w:val="000000"/>
          <w:sz w:val="22"/>
          <w:szCs w:val="22"/>
        </w:rPr>
        <w:t>Tron</w:t>
      </w:r>
      <w:proofErr w:type="spellEnd"/>
      <w:r w:rsidRPr="000959FC">
        <w:rPr>
          <w:rFonts w:ascii="Palatino Linotype" w:eastAsia="Palatino Linotype" w:hAnsi="Palatino Linotype" w:cs="Palatino Linotype"/>
          <w:i/>
          <w:color w:val="000000"/>
          <w:sz w:val="22"/>
          <w:szCs w:val="22"/>
        </w:rPr>
        <w:t xml:space="preserve"> </w:t>
      </w:r>
      <w:proofErr w:type="spellStart"/>
      <w:r w:rsidRPr="000959FC">
        <w:rPr>
          <w:rFonts w:ascii="Palatino Linotype" w:eastAsia="Palatino Linotype" w:hAnsi="Palatino Linotype" w:cs="Palatino Linotype"/>
          <w:i/>
          <w:color w:val="000000"/>
          <w:sz w:val="22"/>
          <w:szCs w:val="22"/>
        </w:rPr>
        <w:t>Petit</w:t>
      </w:r>
      <w:proofErr w:type="spellEnd"/>
      <w:r w:rsidRPr="000959FC">
        <w:rPr>
          <w:rFonts w:ascii="Palatino Linotype" w:eastAsia="Palatino Linotype" w:hAnsi="Palatino Linotype" w:cs="Palatino Linotype"/>
          <w:i/>
          <w:color w:val="000000"/>
          <w:sz w:val="22"/>
          <w:szCs w:val="22"/>
        </w:rPr>
        <w:t>. Secretaria: Mayra Susana Martínez López.</w:t>
      </w:r>
    </w:p>
    <w:p w:rsidR="003C1162" w:rsidRPr="000959FC" w:rsidRDefault="003C1162">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851"/>
        </w:tabs>
        <w:spacing w:after="240" w:line="360" w:lineRule="auto"/>
        <w:ind w:left="0" w:right="49" w:firstLine="0"/>
        <w:jc w:val="both"/>
        <w:rPr>
          <w:rFonts w:ascii="Palatino Linotype" w:eastAsia="Palatino Linotype" w:hAnsi="Palatino Linotype" w:cs="Palatino Linotype"/>
          <w:color w:val="000000"/>
          <w:sz w:val="32"/>
          <w:szCs w:val="32"/>
        </w:rPr>
      </w:pPr>
      <w:r w:rsidRPr="000959FC">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3C1162" w:rsidRPr="000959FC" w:rsidRDefault="00F47EF3">
      <w:pPr>
        <w:spacing w:line="360" w:lineRule="auto"/>
        <w:ind w:left="567" w:right="567"/>
        <w:jc w:val="both"/>
        <w:rPr>
          <w:rFonts w:ascii="Palatino Linotype" w:eastAsia="Palatino Linotype" w:hAnsi="Palatino Linotype" w:cs="Palatino Linotype"/>
          <w:i/>
          <w:sz w:val="28"/>
          <w:szCs w:val="28"/>
        </w:rPr>
      </w:pPr>
      <w:r w:rsidRPr="000959FC">
        <w:rPr>
          <w:rFonts w:ascii="Palatino Linotype" w:eastAsia="Palatino Linotype" w:hAnsi="Palatino Linotype" w:cs="Palatino Linotype"/>
          <w:b/>
          <w:i/>
          <w:sz w:val="22"/>
          <w:szCs w:val="22"/>
        </w:rPr>
        <w:t xml:space="preserve">XI. Documento: </w:t>
      </w:r>
      <w:r w:rsidRPr="000959FC">
        <w:rPr>
          <w:rFonts w:ascii="Palatino Linotype" w:eastAsia="Palatino Linotype" w:hAnsi="Palatino Linotype" w:cs="Palatino Linotype"/>
          <w:i/>
          <w:sz w:val="22"/>
          <w:szCs w:val="22"/>
        </w:rPr>
        <w:t xml:space="preserve">Los expedientes, reportes, estudios, actas, resoluciones, oficios, correspondencia, acuerdos, directivas, directrices, circulares, contratos, convenios, instructivos, notas, memorandos, estadísticas o bien, </w:t>
      </w:r>
      <w:r w:rsidRPr="000959FC">
        <w:rPr>
          <w:rFonts w:ascii="Palatino Linotype" w:eastAsia="Palatino Linotype" w:hAnsi="Palatino Linotype" w:cs="Palatino Linotype"/>
          <w:b/>
          <w:i/>
          <w:sz w:val="22"/>
          <w:szCs w:val="22"/>
        </w:rPr>
        <w:t>cualquier otro registro</w:t>
      </w:r>
      <w:r w:rsidRPr="000959FC">
        <w:rPr>
          <w:rFonts w:ascii="Palatino Linotype" w:eastAsia="Palatino Linotype" w:hAnsi="Palatino Linotype" w:cs="Palatino Linotype"/>
          <w:i/>
          <w:sz w:val="22"/>
          <w:szCs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C1162" w:rsidRPr="000959FC" w:rsidRDefault="003C1162">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0959FC">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3C1162" w:rsidRPr="000959FC" w:rsidRDefault="003C1162">
      <w:pPr>
        <w:spacing w:line="360" w:lineRule="auto"/>
        <w:ind w:right="49"/>
        <w:jc w:val="both"/>
        <w:rPr>
          <w:rFonts w:ascii="Palatino Linotype" w:eastAsia="Palatino Linotype" w:hAnsi="Palatino Linotype" w:cs="Palatino Linotype"/>
          <w:b/>
          <w:sz w:val="22"/>
          <w:szCs w:val="22"/>
        </w:rPr>
      </w:pPr>
    </w:p>
    <w:p w:rsidR="003C1162" w:rsidRPr="000959FC" w:rsidRDefault="00F47EF3">
      <w:pPr>
        <w:numPr>
          <w:ilvl w:val="0"/>
          <w:numId w:val="1"/>
        </w:numPr>
        <w:spacing w:line="360" w:lineRule="auto"/>
        <w:ind w:left="0" w:right="49" w:firstLine="0"/>
        <w:jc w:val="both"/>
        <w:rPr>
          <w:rFonts w:ascii="Palatino Linotype" w:eastAsia="Palatino Linotype" w:hAnsi="Palatino Linotype" w:cs="Palatino Linotype"/>
          <w:b/>
          <w:sz w:val="22"/>
          <w:szCs w:val="22"/>
        </w:rPr>
      </w:pPr>
      <w:r w:rsidRPr="000959FC">
        <w:rPr>
          <w:rFonts w:ascii="Palatino Linotype" w:eastAsia="Palatino Linotype" w:hAnsi="Palatino Linotype" w:cs="Palatino Linotype"/>
          <w:sz w:val="22"/>
          <w:szCs w:val="22"/>
        </w:rPr>
        <w:t xml:space="preserve">En consecuencia y en mérito de los expuesto anteriormente, resultan  fundadas las razones o motivos de inconformidad hechos valer por el </w:t>
      </w:r>
      <w:r w:rsidRPr="000959FC">
        <w:rPr>
          <w:rFonts w:ascii="Palatino Linotype" w:eastAsia="Palatino Linotype" w:hAnsi="Palatino Linotype" w:cs="Palatino Linotype"/>
          <w:b/>
          <w:sz w:val="22"/>
          <w:szCs w:val="22"/>
        </w:rPr>
        <w:t>RECURRENTE</w:t>
      </w:r>
      <w:r w:rsidRPr="000959FC">
        <w:rPr>
          <w:rFonts w:ascii="Palatino Linotype" w:eastAsia="Palatino Linotype" w:hAnsi="Palatino Linotype" w:cs="Palatino Linotype"/>
          <w:sz w:val="22"/>
          <w:szCs w:val="22"/>
        </w:rPr>
        <w:t xml:space="preserve"> dentro de los recursos de revisión </w:t>
      </w:r>
      <w:r w:rsidRPr="000959FC">
        <w:rPr>
          <w:rFonts w:ascii="Palatino Linotype" w:eastAsia="Palatino Linotype" w:hAnsi="Palatino Linotype" w:cs="Palatino Linotype"/>
          <w:b/>
          <w:sz w:val="22"/>
          <w:szCs w:val="22"/>
        </w:rPr>
        <w:t>06764/INFOEM/IP/RR/2024</w:t>
      </w:r>
      <w:r w:rsidRPr="000959FC">
        <w:rPr>
          <w:rFonts w:ascii="Palatino Linotype" w:eastAsia="Palatino Linotype" w:hAnsi="Palatino Linotype" w:cs="Palatino Linotype"/>
          <w:sz w:val="22"/>
          <w:szCs w:val="22"/>
        </w:rPr>
        <w:t xml:space="preserve">; por ello, y con fundamento en la fracción III del numeral 186 de la Ley de Transparencia y Acceso a la Información Pública del Estado de México y Municipios, se </w:t>
      </w:r>
      <w:r w:rsidRPr="000959FC">
        <w:rPr>
          <w:rFonts w:ascii="Palatino Linotype" w:eastAsia="Palatino Linotype" w:hAnsi="Palatino Linotype" w:cs="Palatino Linotype"/>
          <w:b/>
          <w:sz w:val="22"/>
          <w:szCs w:val="22"/>
        </w:rPr>
        <w:t>REVOCA</w:t>
      </w:r>
      <w:r w:rsidRPr="000959FC">
        <w:rPr>
          <w:rFonts w:ascii="Palatino Linotype" w:eastAsia="Palatino Linotype" w:hAnsi="Palatino Linotype" w:cs="Palatino Linotype"/>
          <w:sz w:val="22"/>
          <w:szCs w:val="22"/>
        </w:rPr>
        <w:t xml:space="preserve"> la respuesta del Sujeto Obligado y se ORDENA entregar al Recurrente el expediente de obra que se lleva a cabo en la Colonia Guadalupana. </w:t>
      </w:r>
    </w:p>
    <w:p w:rsidR="003C1162" w:rsidRPr="000959FC" w:rsidRDefault="003C1162">
      <w:pPr>
        <w:pBdr>
          <w:top w:val="nil"/>
          <w:left w:val="nil"/>
          <w:bottom w:val="nil"/>
          <w:right w:val="nil"/>
          <w:between w:val="nil"/>
        </w:pBdr>
        <w:ind w:left="720"/>
        <w:rPr>
          <w:rFonts w:ascii="Palatino Linotype" w:eastAsia="Palatino Linotype" w:hAnsi="Palatino Linotype" w:cs="Palatino Linotype"/>
          <w:color w:val="000000"/>
          <w:sz w:val="22"/>
          <w:szCs w:val="22"/>
        </w:rPr>
      </w:pPr>
    </w:p>
    <w:p w:rsidR="003C1162" w:rsidRPr="000959FC" w:rsidRDefault="00F47EF3">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color w:val="000000"/>
          <w:sz w:val="22"/>
          <w:szCs w:val="22"/>
        </w:rPr>
      </w:pPr>
      <w:bookmarkStart w:id="9" w:name="_heading=h.2s8eyo1" w:colFirst="0" w:colLast="0"/>
      <w:bookmarkEnd w:id="9"/>
      <w:r w:rsidRPr="000959FC">
        <w:rPr>
          <w:rFonts w:ascii="Palatino Linotype" w:eastAsia="Palatino Linotype" w:hAnsi="Palatino Linotype" w:cs="Palatino Linotype"/>
          <w:b/>
          <w:color w:val="000000"/>
          <w:sz w:val="22"/>
          <w:szCs w:val="22"/>
        </w:rPr>
        <w:t>QUINTO. De la versión pública.</w:t>
      </w:r>
    </w:p>
    <w:p w:rsidR="003C1162" w:rsidRPr="000959FC" w:rsidRDefault="003C116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Debe destacarse que, debido a la naturaleza de la información solicitada</w:t>
      </w:r>
      <w:r w:rsidRPr="000959FC">
        <w:rPr>
          <w:rFonts w:ascii="Palatino Linotype" w:eastAsia="Palatino Linotype" w:hAnsi="Palatino Linotype" w:cs="Palatino Linotype"/>
          <w:b/>
          <w:color w:val="000000"/>
          <w:sz w:val="22"/>
          <w:szCs w:val="22"/>
        </w:rPr>
        <w:t xml:space="preserve"> </w:t>
      </w:r>
      <w:r w:rsidRPr="000959FC">
        <w:rPr>
          <w:rFonts w:ascii="Palatino Linotype" w:eastAsia="Palatino Linotype" w:hAnsi="Palatino Linotype" w:cs="Palatino Linotype"/>
          <w:color w:val="000000"/>
          <w:sz w:val="22"/>
          <w:szCs w:val="22"/>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rsidR="003C1162" w:rsidRPr="000959FC" w:rsidRDefault="003C116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p w:rsidR="003C1162" w:rsidRPr="000959FC" w:rsidRDefault="00F47EF3">
      <w:pPr>
        <w:numPr>
          <w:ilvl w:val="0"/>
          <w:numId w:val="1"/>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La clasificación total o parcial de la información requerida, mediante solicitud de acceso a la información pública, constituye una restricción al derecho humano de acceso a la información, por lo que es menester reiterar los mismos:</w:t>
      </w:r>
    </w:p>
    <w:p w:rsidR="003C1162" w:rsidRPr="000959FC" w:rsidRDefault="003C116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sz w:val="22"/>
          <w:szCs w:val="22"/>
        </w:rPr>
      </w:pPr>
    </w:p>
    <w:tbl>
      <w:tblPr>
        <w:tblStyle w:val="a2"/>
        <w:tblW w:w="8828"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838"/>
        <w:gridCol w:w="6990"/>
      </w:tblGrid>
      <w:tr w:rsidR="003C1162" w:rsidRPr="000959FC" w:rsidTr="003C11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C1162" w:rsidRPr="000959FC" w:rsidRDefault="00F47EF3">
            <w:pPr>
              <w:spacing w:line="360" w:lineRule="auto"/>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a) Requisitos previos.</w:t>
            </w:r>
          </w:p>
        </w:tc>
        <w:tc>
          <w:tcPr>
            <w:tcW w:w="6990" w:type="dxa"/>
          </w:tcPr>
          <w:p w:rsidR="003C1162" w:rsidRPr="000959FC" w:rsidRDefault="00F47EF3">
            <w:pPr>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3C1162" w:rsidRPr="000959FC" w:rsidRDefault="00F47EF3">
            <w:pPr>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Al hacerlo tienen que precisar de qué información se trata, señalando el supuesto de clasificación (confidencialidad o reserva).</w:t>
            </w:r>
          </w:p>
          <w:p w:rsidR="003C1162" w:rsidRPr="000959FC" w:rsidRDefault="00F47EF3">
            <w:pPr>
              <w:spacing w:line="360" w:lineRule="auto"/>
              <w:ind w:right="49"/>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Además, se debe señalar el procedimiento, de los tres que establecen los artículos 132 y 106 de la Ley Estatal y General, respectivamente.</w:t>
            </w:r>
          </w:p>
          <w:p w:rsidR="003C1162" w:rsidRPr="000959FC" w:rsidRDefault="00F47EF3">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El último de estos requisitos previos consiste en que no se pueden emitir acuerdos de carácter general ni particular, esto es, </w:t>
            </w:r>
            <w:r w:rsidRPr="000959FC">
              <w:rPr>
                <w:rFonts w:ascii="Palatino Linotype" w:eastAsia="Palatino Linotype" w:hAnsi="Palatino Linotype" w:cs="Palatino Linotype"/>
                <w:b w:val="0"/>
                <w:sz w:val="22"/>
                <w:szCs w:val="22"/>
                <w:u w:val="single"/>
              </w:rPr>
              <w:t xml:space="preserve">no se puede hacer un acuerdo para clasificar de manera general todos los documentos de un expediente o área,  </w:t>
            </w:r>
            <w:r w:rsidRPr="000959FC">
              <w:rPr>
                <w:rFonts w:ascii="Palatino Linotype" w:eastAsia="Palatino Linotype" w:hAnsi="Palatino Linotype" w:cs="Palatino Linotype"/>
                <w:b w:val="0"/>
                <w:sz w:val="22"/>
                <w:szCs w:val="22"/>
              </w:rPr>
              <w:t xml:space="preserve">sin individualizar su análisis y </w:t>
            </w:r>
            <w:r w:rsidRPr="000959FC">
              <w:rPr>
                <w:rFonts w:ascii="Palatino Linotype" w:eastAsia="Palatino Linotype" w:hAnsi="Palatino Linotype" w:cs="Palatino Linotype"/>
                <w:b w:val="0"/>
                <w:sz w:val="22"/>
                <w:szCs w:val="22"/>
              </w:rPr>
              <w:lastRenderedPageBreak/>
              <w:t>tampoco se puede hacer un acuerdo por cada dato que se vaya a clasificar dentro de un documento con diez datos, por ejemplo, susceptibles de ser clasificados.</w:t>
            </w: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C1162" w:rsidRPr="000959FC" w:rsidRDefault="00F47EF3">
            <w:pPr>
              <w:spacing w:line="360" w:lineRule="auto"/>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b) Supuestos de clasificación.</w:t>
            </w:r>
          </w:p>
        </w:tc>
        <w:tc>
          <w:tcPr>
            <w:tcW w:w="6990" w:type="dxa"/>
          </w:tcPr>
          <w:p w:rsidR="003C1162" w:rsidRPr="000959FC" w:rsidRDefault="00F47EF3">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Las disposiciones constitucionales y legales en la materia establecen los dos supuestos generales para clasificar la información: por reserva y por confidencialidad.</w:t>
            </w:r>
          </w:p>
          <w:p w:rsidR="003C1162" w:rsidRPr="000959FC" w:rsidRDefault="00F47EF3">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3C1162" w:rsidRPr="000959FC" w:rsidRDefault="00F47EF3">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El SUJETO OBLIGADO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C1162" w:rsidRPr="000959FC" w:rsidTr="003C1162">
        <w:tc>
          <w:tcPr>
            <w:cnfStyle w:val="001000000000" w:firstRow="0" w:lastRow="0" w:firstColumn="1" w:lastColumn="0" w:oddVBand="0" w:evenVBand="0" w:oddHBand="0" w:evenHBand="0" w:firstRowFirstColumn="0" w:firstRowLastColumn="0" w:lastRowFirstColumn="0" w:lastRowLastColumn="0"/>
            <w:tcW w:w="1838" w:type="dxa"/>
          </w:tcPr>
          <w:p w:rsidR="003C1162" w:rsidRPr="000959FC" w:rsidRDefault="00F47EF3">
            <w:pPr>
              <w:spacing w:line="360" w:lineRule="auto"/>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c) Formalidades para emitir el acuerdo de clasificación.</w:t>
            </w:r>
          </w:p>
        </w:tc>
        <w:tc>
          <w:tcPr>
            <w:tcW w:w="6990" w:type="dxa"/>
          </w:tcPr>
          <w:p w:rsidR="003C1162" w:rsidRPr="000959FC" w:rsidRDefault="00F47EF3">
            <w:pPr>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El Comité de Transparencia, según lo dispuesto en los artículos cuenta con las facultades para aprobar, modificar o revocar la clasificación de la información que haya propuesto. </w:t>
            </w:r>
          </w:p>
          <w:p w:rsidR="003C1162" w:rsidRPr="000959FC" w:rsidRDefault="00F47EF3">
            <w:pPr>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Es necesario que </w:t>
            </w:r>
            <w:r w:rsidRPr="000959FC">
              <w:rPr>
                <w:rFonts w:ascii="Palatino Linotype" w:eastAsia="Palatino Linotype" w:hAnsi="Palatino Linotype" w:cs="Palatino Linotype"/>
                <w:sz w:val="22"/>
                <w:szCs w:val="22"/>
                <w:u w:val="single"/>
              </w:rPr>
              <w:t>el acto reúna con los requisitos elementales</w:t>
            </w:r>
            <w:r w:rsidRPr="000959FC">
              <w:rPr>
                <w:rFonts w:ascii="Palatino Linotype" w:eastAsia="Palatino Linotype" w:hAnsi="Palatino Linotype" w:cs="Palatino Linotype"/>
                <w:sz w:val="22"/>
                <w:szCs w:val="22"/>
              </w:rPr>
              <w:t>, entre ellos, que la autoridad que va a emitir el acto de autoridad sea la legalmente facultada para ello.</w:t>
            </w:r>
          </w:p>
          <w:p w:rsidR="003C1162" w:rsidRPr="000959FC" w:rsidRDefault="00F47EF3">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lastRenderedPageBreak/>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C1162" w:rsidRPr="000959FC" w:rsidTr="003C11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C1162" w:rsidRPr="000959FC" w:rsidRDefault="003C1162">
            <w:pPr>
              <w:spacing w:line="360" w:lineRule="auto"/>
              <w:rPr>
                <w:rFonts w:ascii="Palatino Linotype" w:eastAsia="Palatino Linotype" w:hAnsi="Palatino Linotype" w:cs="Palatino Linotype"/>
                <w:sz w:val="22"/>
                <w:szCs w:val="22"/>
              </w:rPr>
            </w:pPr>
          </w:p>
          <w:p w:rsidR="003C1162" w:rsidRPr="000959FC" w:rsidRDefault="00F47EF3">
            <w:pPr>
              <w:spacing w:line="360" w:lineRule="auto"/>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t xml:space="preserve">d) Requisitos de fondo del acuerdo de clasificación. </w:t>
            </w:r>
          </w:p>
        </w:tc>
        <w:tc>
          <w:tcPr>
            <w:tcW w:w="6990" w:type="dxa"/>
          </w:tcPr>
          <w:p w:rsidR="003C1162" w:rsidRPr="000959FC" w:rsidRDefault="00F47EF3">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Sujetos Obligados, por lo que deberán fundar y motivar debidamente la clasificación. </w:t>
            </w:r>
          </w:p>
          <w:p w:rsidR="003C1162" w:rsidRPr="000959FC" w:rsidRDefault="00F47EF3">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C1162" w:rsidRPr="000959FC" w:rsidRDefault="00F47EF3">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Así, en un acto de autoridad se cumple con la debida fundamentación cuando se cita el precepto legal aplicable al caso concreto y la debida motivación cuando se expresan las razones, motivos o circunstancias </w:t>
            </w:r>
            <w:r w:rsidRPr="000959FC">
              <w:rPr>
                <w:rFonts w:ascii="Palatino Linotype" w:eastAsia="Palatino Linotype" w:hAnsi="Palatino Linotype" w:cs="Palatino Linotype"/>
                <w:sz w:val="22"/>
                <w:szCs w:val="22"/>
              </w:rPr>
              <w:lastRenderedPageBreak/>
              <w:t>que tomó en cuenta la autoridad para adecuar el hecho a los fundamentos de derecho. De este modo, la persona que se sienta afectada pueda impugnar la decisión, permitiéndole una real y auténtica defensa.</w:t>
            </w:r>
          </w:p>
          <w:p w:rsidR="003C1162" w:rsidRPr="000959FC" w:rsidRDefault="00F47EF3">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En ese mismo sentido, el numeral trigésimo tercero fracción V de los Lineamientos Generales, precisa que para motivar la clasificación se deben acreditar las circunstancias de tiempo, modo y lugar.</w:t>
            </w:r>
          </w:p>
          <w:p w:rsidR="003C1162" w:rsidRPr="000959FC" w:rsidRDefault="00F47EF3">
            <w:pPr>
              <w:spacing w:line="360" w:lineRule="auto"/>
              <w:ind w:right="49"/>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Ahora bien, </w:t>
            </w:r>
            <w:r w:rsidRPr="000959FC">
              <w:rPr>
                <w:rFonts w:ascii="Palatino Linotype" w:eastAsia="Palatino Linotype" w:hAnsi="Palatino Linotype" w:cs="Palatino Linotype"/>
                <w:sz w:val="22"/>
                <w:szCs w:val="22"/>
                <w:u w:val="single"/>
              </w:rPr>
              <w:t>para cada caso además de fundar y motivar</w:t>
            </w:r>
            <w:r w:rsidRPr="000959FC">
              <w:rPr>
                <w:rFonts w:ascii="Palatino Linotype" w:eastAsia="Palatino Linotype" w:hAnsi="Palatino Linotype" w:cs="Palatino Linotype"/>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C1162" w:rsidRPr="000959FC" w:rsidTr="003C1162">
        <w:trPr>
          <w:trHeight w:val="352"/>
        </w:trPr>
        <w:tc>
          <w:tcPr>
            <w:cnfStyle w:val="001000000000" w:firstRow="0" w:lastRow="0" w:firstColumn="1" w:lastColumn="0" w:oddVBand="0" w:evenVBand="0" w:oddHBand="0" w:evenHBand="0" w:firstRowFirstColumn="0" w:firstRowLastColumn="0" w:lastRowFirstColumn="0" w:lastRowLastColumn="0"/>
            <w:tcW w:w="1838" w:type="dxa"/>
          </w:tcPr>
          <w:p w:rsidR="003C1162" w:rsidRPr="000959FC" w:rsidRDefault="00F47EF3">
            <w:pPr>
              <w:spacing w:line="360" w:lineRule="auto"/>
              <w:ind w:right="49"/>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val="0"/>
                <w:sz w:val="22"/>
                <w:szCs w:val="22"/>
              </w:rPr>
              <w:lastRenderedPageBreak/>
              <w:t xml:space="preserve">e) Condiciones especiales de la clasificación de la información como confidencial. </w:t>
            </w:r>
          </w:p>
          <w:p w:rsidR="003C1162" w:rsidRPr="000959FC" w:rsidRDefault="003C1162">
            <w:pPr>
              <w:spacing w:line="360" w:lineRule="auto"/>
              <w:rPr>
                <w:rFonts w:ascii="Palatino Linotype" w:eastAsia="Palatino Linotype" w:hAnsi="Palatino Linotype" w:cs="Palatino Linotype"/>
                <w:sz w:val="22"/>
                <w:szCs w:val="22"/>
              </w:rPr>
            </w:pPr>
          </w:p>
        </w:tc>
        <w:tc>
          <w:tcPr>
            <w:tcW w:w="6990" w:type="dxa"/>
          </w:tcPr>
          <w:p w:rsidR="003C1162" w:rsidRPr="000959FC" w:rsidRDefault="00F47EF3">
            <w:pPr>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Los artículos 148 y 120 de la Ley Estatal y de la Ley General, respectivamente, establecen que aun tratándose de datos personales, se podrán proporcionar, incluso sin solicitar el consentimiento de su titular. </w:t>
            </w:r>
          </w:p>
          <w:p w:rsidR="003C1162" w:rsidRPr="000959FC" w:rsidRDefault="00F47EF3">
            <w:pPr>
              <w:spacing w:line="360" w:lineRule="auto"/>
              <w:ind w:right="49"/>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C1162" w:rsidRPr="000959FC" w:rsidRDefault="00F47EF3">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22"/>
                <w:szCs w:val="22"/>
              </w:rPr>
            </w:pPr>
            <w:r w:rsidRPr="000959FC">
              <w:rPr>
                <w:rFonts w:ascii="Palatino Linotype" w:eastAsia="Palatino Linotype" w:hAnsi="Palatino Linotype" w:cs="Palatino Linotype"/>
                <w:sz w:val="22"/>
                <w:szCs w:val="22"/>
              </w:rPr>
              <w:t xml:space="preserve">Pero si la información que se pretende clasificar como confidencial no se encuentra en los supuestos de los artículos señalados y es posible, </w:t>
            </w:r>
            <w:r w:rsidRPr="000959FC">
              <w:rPr>
                <w:rFonts w:ascii="Palatino Linotype" w:eastAsia="Palatino Linotype" w:hAnsi="Palatino Linotype" w:cs="Palatino Linotype"/>
                <w:sz w:val="22"/>
                <w:szCs w:val="22"/>
              </w:rPr>
              <w:lastRenderedPageBreak/>
              <w:t>se deberá consultar al titular de los datos si permite o no el acceso. De no ser posible, la realización de la consulta, procede, fundando y motivando, la clasificación.</w:t>
            </w:r>
          </w:p>
        </w:tc>
      </w:tr>
    </w:tbl>
    <w:p w:rsidR="003C1162" w:rsidRPr="000959FC" w:rsidRDefault="003C1162">
      <w:pPr>
        <w:spacing w:line="360" w:lineRule="auto"/>
        <w:ind w:right="49"/>
        <w:jc w:val="both"/>
        <w:rPr>
          <w:rFonts w:ascii="Palatino Linotype" w:eastAsia="Palatino Linotype" w:hAnsi="Palatino Linotype" w:cs="Palatino Linotype"/>
          <w:sz w:val="22"/>
          <w:szCs w:val="22"/>
        </w:rPr>
      </w:pPr>
    </w:p>
    <w:p w:rsidR="003C1162" w:rsidRPr="000959FC" w:rsidRDefault="00F47EF3">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0959FC">
        <w:rPr>
          <w:rFonts w:ascii="Palatino Linotype" w:eastAsia="Palatino Linotype" w:hAnsi="Palatino Linotype" w:cs="Palatino Linotype"/>
          <w:color w:val="000000"/>
          <w:sz w:val="22"/>
          <w:szCs w:val="22"/>
        </w:rPr>
        <w:t xml:space="preserve">Por lo anteriormente expuesto y fundado, este </w:t>
      </w:r>
      <w:r w:rsidRPr="000959FC">
        <w:rPr>
          <w:rFonts w:ascii="Palatino Linotype" w:eastAsia="Palatino Linotype" w:hAnsi="Palatino Linotype" w:cs="Palatino Linotype"/>
          <w:b/>
          <w:color w:val="000000"/>
          <w:sz w:val="22"/>
          <w:szCs w:val="22"/>
        </w:rPr>
        <w:t>ÓRGANO GARANTE</w:t>
      </w:r>
      <w:r w:rsidRPr="000959FC">
        <w:rPr>
          <w:rFonts w:ascii="Palatino Linotype" w:eastAsia="Palatino Linotype" w:hAnsi="Palatino Linotype" w:cs="Palatino Linotype"/>
          <w:color w:val="000000"/>
          <w:sz w:val="22"/>
          <w:szCs w:val="22"/>
        </w:rPr>
        <w:t xml:space="preserve"> emite los siguientes:</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3C1162" w:rsidRPr="000959FC" w:rsidRDefault="00F47EF3">
      <w:pPr>
        <w:keepNext/>
        <w:keepLines/>
        <w:spacing w:line="360" w:lineRule="auto"/>
        <w:jc w:val="center"/>
        <w:rPr>
          <w:rFonts w:ascii="Palatino Linotype" w:eastAsia="Palatino Linotype" w:hAnsi="Palatino Linotype" w:cs="Palatino Linotype"/>
          <w:b/>
          <w:color w:val="000000"/>
          <w:sz w:val="22"/>
          <w:szCs w:val="22"/>
        </w:rPr>
      </w:pPr>
      <w:bookmarkStart w:id="10" w:name="_heading=h.17dp8vu" w:colFirst="0" w:colLast="0"/>
      <w:bookmarkEnd w:id="10"/>
      <w:r w:rsidRPr="000959FC">
        <w:rPr>
          <w:rFonts w:ascii="Palatino Linotype" w:eastAsia="Palatino Linotype" w:hAnsi="Palatino Linotype" w:cs="Palatino Linotype"/>
          <w:b/>
          <w:color w:val="000000"/>
          <w:sz w:val="22"/>
          <w:szCs w:val="22"/>
        </w:rPr>
        <w:t>R E S O L U T I V O S</w:t>
      </w:r>
    </w:p>
    <w:p w:rsidR="003C1162" w:rsidRPr="000959FC" w:rsidRDefault="003C1162">
      <w:pPr>
        <w:keepNext/>
        <w:keepLines/>
        <w:spacing w:line="360" w:lineRule="auto"/>
        <w:jc w:val="center"/>
        <w:rPr>
          <w:rFonts w:ascii="Palatino Linotype" w:eastAsia="Palatino Linotype" w:hAnsi="Palatino Linotype" w:cs="Palatino Linotype"/>
          <w:b/>
          <w:color w:val="000000"/>
          <w:sz w:val="22"/>
          <w:szCs w:val="22"/>
        </w:rPr>
      </w:pPr>
    </w:p>
    <w:p w:rsidR="003C1162" w:rsidRPr="000959FC" w:rsidRDefault="00F47EF3">
      <w:pPr>
        <w:spacing w:line="360" w:lineRule="auto"/>
        <w:ind w:right="48"/>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sz w:val="22"/>
          <w:szCs w:val="22"/>
        </w:rPr>
        <w:t xml:space="preserve">PRIMERO. </w:t>
      </w:r>
      <w:r w:rsidRPr="000959FC">
        <w:rPr>
          <w:rFonts w:ascii="Palatino Linotype" w:eastAsia="Palatino Linotype" w:hAnsi="Palatino Linotype" w:cs="Palatino Linotype"/>
          <w:sz w:val="22"/>
          <w:szCs w:val="22"/>
        </w:rPr>
        <w:t>Resultan fundadas las</w:t>
      </w:r>
      <w:r w:rsidRPr="000959FC">
        <w:rPr>
          <w:rFonts w:ascii="Palatino Linotype" w:eastAsia="Palatino Linotype" w:hAnsi="Palatino Linotype" w:cs="Palatino Linotype"/>
          <w:b/>
          <w:sz w:val="22"/>
          <w:szCs w:val="22"/>
        </w:rPr>
        <w:t xml:space="preserve"> </w:t>
      </w:r>
      <w:r w:rsidRPr="000959FC">
        <w:rPr>
          <w:rFonts w:ascii="Palatino Linotype" w:eastAsia="Palatino Linotype" w:hAnsi="Palatino Linotype" w:cs="Palatino Linotype"/>
          <w:sz w:val="22"/>
          <w:szCs w:val="22"/>
        </w:rPr>
        <w:t xml:space="preserve">razones o motivos de inconformidad hechos valer en los recursos de revisión </w:t>
      </w:r>
      <w:r w:rsidRPr="000959FC">
        <w:rPr>
          <w:rFonts w:ascii="Palatino Linotype" w:eastAsia="Palatino Linotype" w:hAnsi="Palatino Linotype" w:cs="Palatino Linotype"/>
          <w:b/>
          <w:sz w:val="22"/>
          <w:szCs w:val="22"/>
        </w:rPr>
        <w:t xml:space="preserve">06718/INFOEM/IP/RR/2024, 06719/INFOEM/IP/RR/2024, 06720/INFOEM/IP/RR/2024, 06721/INFOEM/IP/RR/2024, 06722/INFOEM/IP/RR/2024, 06723/INFOEM/IP/RR/2024, 06744/INFOEM/IP/RR/2024, 06745/INFOEM/IP/RR/2024, 06764/INFOEM/IP/RR/2024, 06794/INFOEM/IP/RR/2024, 06795/INFOEM/IP/RR/2024, 06796/INFOEM/IP/RR/2024, 06797/INFOEM/IP/RR/2024, 06798/INFOEM/IP/RR/2024, 06799/INFOEM/IP/RR/2024, 06800/INFOEM/IP/RR/2024, 06801/INFOEM/IP/RR/2024, 06805/INFOEM/IP/RR/2024, 06806/INFOEM/IP/RR/2024, 06807/INFOEM/IP/RR/2024, 06815/INFOEM/IP/RR/2024, 06820/INFOEM/IP/RR/2024, 06824/INFOEM/IP/RR/2024, 06825/INFOEM/IP/RR/2024, 06826/INFOEM/IP/RR/2024, 06828/INFOEM/IP/RR/2024, 06829/INFOEM/IP/RR/2024, 06830/INFOEM/IP/RR/2024, 06831/INFOEM/IP/RR/2024, 06845/INFOEM/IP/RR/2024 y 06846/INFOEM/IP/RR/2024, </w:t>
      </w:r>
      <w:r w:rsidRPr="000959FC">
        <w:rPr>
          <w:rFonts w:ascii="Palatino Linotype" w:eastAsia="Palatino Linotype" w:hAnsi="Palatino Linotype" w:cs="Palatino Linotype"/>
          <w:sz w:val="22"/>
          <w:szCs w:val="22"/>
        </w:rPr>
        <w:t xml:space="preserve">en términos de los </w:t>
      </w:r>
      <w:r w:rsidRPr="000959FC">
        <w:rPr>
          <w:rFonts w:ascii="Palatino Linotype" w:eastAsia="Palatino Linotype" w:hAnsi="Palatino Linotype" w:cs="Palatino Linotype"/>
          <w:b/>
          <w:sz w:val="22"/>
          <w:szCs w:val="22"/>
        </w:rPr>
        <w:t>Considerandos</w:t>
      </w:r>
      <w:r w:rsidRPr="000959FC">
        <w:rPr>
          <w:rFonts w:ascii="Palatino Linotype" w:eastAsia="Palatino Linotype" w:hAnsi="Palatino Linotype" w:cs="Palatino Linotype"/>
          <w:sz w:val="22"/>
          <w:szCs w:val="22"/>
        </w:rPr>
        <w:t xml:space="preserve"> </w:t>
      </w:r>
      <w:r w:rsidRPr="000959FC">
        <w:rPr>
          <w:rFonts w:ascii="Palatino Linotype" w:eastAsia="Palatino Linotype" w:hAnsi="Palatino Linotype" w:cs="Palatino Linotype"/>
          <w:b/>
          <w:sz w:val="22"/>
          <w:szCs w:val="22"/>
        </w:rPr>
        <w:t>CUARTO y QUINTO de</w:t>
      </w:r>
      <w:r w:rsidRPr="000959FC">
        <w:rPr>
          <w:rFonts w:ascii="Palatino Linotype" w:eastAsia="Palatino Linotype" w:hAnsi="Palatino Linotype" w:cs="Palatino Linotype"/>
          <w:sz w:val="22"/>
          <w:szCs w:val="22"/>
        </w:rPr>
        <w:t xml:space="preserve"> la presente resolución.</w:t>
      </w:r>
    </w:p>
    <w:p w:rsidR="003C1162" w:rsidRPr="000959FC" w:rsidRDefault="003C1162">
      <w:pPr>
        <w:spacing w:line="360" w:lineRule="auto"/>
        <w:ind w:right="48"/>
        <w:jc w:val="both"/>
        <w:rPr>
          <w:rFonts w:ascii="Palatino Linotype" w:eastAsia="Palatino Linotype" w:hAnsi="Palatino Linotype" w:cs="Palatino Linotype"/>
          <w:sz w:val="22"/>
          <w:szCs w:val="22"/>
        </w:rPr>
      </w:pPr>
    </w:p>
    <w:p w:rsidR="003C1162" w:rsidRPr="000959FC" w:rsidRDefault="00F47EF3">
      <w:pPr>
        <w:spacing w:line="360" w:lineRule="auto"/>
        <w:ind w:right="48"/>
        <w:jc w:val="both"/>
        <w:rPr>
          <w:rFonts w:ascii="Palatino Linotype" w:eastAsia="Palatino Linotype" w:hAnsi="Palatino Linotype" w:cs="Palatino Linotype"/>
          <w:b/>
          <w:sz w:val="22"/>
          <w:szCs w:val="22"/>
        </w:rPr>
      </w:pPr>
      <w:bookmarkStart w:id="11" w:name="_heading=h.3rdcrjn" w:colFirst="0" w:colLast="0"/>
      <w:bookmarkEnd w:id="11"/>
      <w:r w:rsidRPr="000959FC">
        <w:rPr>
          <w:rFonts w:ascii="Palatino Linotype" w:eastAsia="Palatino Linotype" w:hAnsi="Palatino Linotype" w:cs="Palatino Linotype"/>
          <w:b/>
          <w:sz w:val="22"/>
          <w:szCs w:val="22"/>
        </w:rPr>
        <w:t>SEGUNDO.</w:t>
      </w:r>
      <w:r w:rsidRPr="000959FC">
        <w:rPr>
          <w:rFonts w:ascii="Palatino Linotype" w:eastAsia="Palatino Linotype" w:hAnsi="Palatino Linotype" w:cs="Palatino Linotype"/>
          <w:color w:val="2F5496"/>
          <w:sz w:val="22"/>
          <w:szCs w:val="22"/>
        </w:rPr>
        <w:t xml:space="preserve"> </w:t>
      </w:r>
      <w:r w:rsidRPr="000959FC">
        <w:rPr>
          <w:rFonts w:ascii="Palatino Linotype" w:eastAsia="Palatino Linotype" w:hAnsi="Palatino Linotype" w:cs="Palatino Linotype"/>
          <w:sz w:val="22"/>
          <w:szCs w:val="22"/>
        </w:rPr>
        <w:t>Se</w:t>
      </w:r>
      <w:r w:rsidRPr="000959FC">
        <w:rPr>
          <w:rFonts w:ascii="Palatino Linotype" w:eastAsia="Palatino Linotype" w:hAnsi="Palatino Linotype" w:cs="Palatino Linotype"/>
          <w:b/>
          <w:sz w:val="22"/>
          <w:szCs w:val="22"/>
        </w:rPr>
        <w:t xml:space="preserve"> REVOCAN </w:t>
      </w:r>
      <w:r w:rsidRPr="000959FC">
        <w:rPr>
          <w:rFonts w:ascii="Palatino Linotype" w:eastAsia="Palatino Linotype" w:hAnsi="Palatino Linotype" w:cs="Palatino Linotype"/>
          <w:sz w:val="22"/>
          <w:szCs w:val="22"/>
        </w:rPr>
        <w:t>las respuestas emitidas a las solicitudes</w:t>
      </w:r>
      <w:r w:rsidRPr="000959FC">
        <w:rPr>
          <w:rFonts w:ascii="Palatino Linotype" w:eastAsia="Palatino Linotype" w:hAnsi="Palatino Linotype" w:cs="Palatino Linotype"/>
          <w:b/>
          <w:sz w:val="22"/>
          <w:szCs w:val="22"/>
        </w:rPr>
        <w:t xml:space="preserve"> 00508/TEMAMATL/IP/2024, 00509/TEMAMATL/IP/2024, 00510/TEMAMATL/IP/2024, 00511/TEMAMATL/IP/2024, 00512/TEMAMATL/IP/2024, 00513/TEMAMATL/IP/2024, 00556/TEMAMATL/IP/2024, 00557/TEMAMATL/IP/2024, 00572/TEMAMATL/IP/2024, 00646/TEMAMATL/IP/2024, 00645/TEMAMATL/IP/2024, 00644/TEMAMATL/IP/2024, 00643/TEMAMATL/IP/2024, 00642/TEMAMATL/IP/2024, 00641/TEMAMATL/IP/2024, 00640/TEMAMATL/IP/2024, 00639/TEMAMATL/IP/2024, 00632/TEMAMATL/IP/2024, 00631/TEMAMATL/IP/2024, 00630/TEMAMATL/IP/2024, 00622/TEMAMATL/IP/2024, 00609/TEMAMATL/IP/2024, 00654/TEMAMATL/IP/2024, 00655/TEMAMATL/IP/2024, 00656/TEMAMATL/IP/2024, 00657/TEMAMATL/IP/2024, 00658/TEMAMATL/IP/2024, 00659/TEMAMATL/IP/2024, 00660/TEMAMATL/IP/2024, 00713/TEMAMATL/IP/2024 y 00714/TEMAMATL/IP/2024 </w:t>
      </w:r>
      <w:r w:rsidRPr="000959FC">
        <w:rPr>
          <w:rFonts w:ascii="Palatino Linotype" w:eastAsia="Palatino Linotype" w:hAnsi="Palatino Linotype" w:cs="Palatino Linotype"/>
          <w:sz w:val="22"/>
          <w:szCs w:val="22"/>
        </w:rPr>
        <w:t xml:space="preserve">por el </w:t>
      </w:r>
      <w:r w:rsidRPr="000959FC">
        <w:rPr>
          <w:rFonts w:ascii="Palatino Linotype" w:eastAsia="Palatino Linotype" w:hAnsi="Palatino Linotype" w:cs="Palatino Linotype"/>
          <w:b/>
          <w:sz w:val="22"/>
          <w:szCs w:val="22"/>
        </w:rPr>
        <w:t xml:space="preserve">Ayuntamiento de </w:t>
      </w:r>
      <w:proofErr w:type="spellStart"/>
      <w:r w:rsidRPr="000959FC">
        <w:rPr>
          <w:rFonts w:ascii="Palatino Linotype" w:eastAsia="Palatino Linotype" w:hAnsi="Palatino Linotype" w:cs="Palatino Linotype"/>
          <w:b/>
          <w:sz w:val="22"/>
          <w:szCs w:val="22"/>
        </w:rPr>
        <w:t>Temamatla</w:t>
      </w:r>
      <w:proofErr w:type="spellEnd"/>
      <w:r w:rsidRPr="000959FC">
        <w:rPr>
          <w:rFonts w:ascii="Palatino Linotype" w:eastAsia="Palatino Linotype" w:hAnsi="Palatino Linotype" w:cs="Palatino Linotype"/>
          <w:b/>
          <w:sz w:val="22"/>
          <w:szCs w:val="22"/>
        </w:rPr>
        <w:t xml:space="preserve"> </w:t>
      </w:r>
      <w:r w:rsidRPr="000959FC">
        <w:rPr>
          <w:rFonts w:ascii="Palatino Linotype" w:eastAsia="Palatino Linotype" w:hAnsi="Palatino Linotype" w:cs="Palatino Linotype"/>
          <w:sz w:val="22"/>
          <w:szCs w:val="22"/>
        </w:rPr>
        <w:t>y se</w:t>
      </w:r>
      <w:r w:rsidRPr="000959FC">
        <w:rPr>
          <w:rFonts w:ascii="Palatino Linotype" w:eastAsia="Palatino Linotype" w:hAnsi="Palatino Linotype" w:cs="Palatino Linotype"/>
          <w:b/>
          <w:sz w:val="22"/>
          <w:szCs w:val="22"/>
        </w:rPr>
        <w:t xml:space="preserve"> ORDENA </w:t>
      </w:r>
      <w:r w:rsidRPr="000959FC">
        <w:rPr>
          <w:rFonts w:ascii="Palatino Linotype" w:eastAsia="Palatino Linotype" w:hAnsi="Palatino Linotype" w:cs="Palatino Linotype"/>
          <w:sz w:val="22"/>
          <w:szCs w:val="22"/>
        </w:rPr>
        <w:t>entregar vía Sistema de Acceso a la Información Mexiquense (SAIMEX), de ser procedente en versión pública, los documentos donde conste la siguiente información:</w:t>
      </w:r>
    </w:p>
    <w:p w:rsidR="003C1162" w:rsidRPr="000959FC" w:rsidRDefault="003C1162">
      <w:pPr>
        <w:spacing w:line="360" w:lineRule="auto"/>
        <w:ind w:right="48"/>
        <w:jc w:val="both"/>
        <w:rPr>
          <w:rFonts w:ascii="Palatino Linotype" w:eastAsia="Palatino Linotype" w:hAnsi="Palatino Linotype" w:cs="Palatino Linotype"/>
          <w:sz w:val="22"/>
          <w:szCs w:val="22"/>
        </w:rPr>
      </w:pPr>
    </w:p>
    <w:p w:rsidR="003C1162" w:rsidRPr="000959FC" w:rsidRDefault="00F47EF3">
      <w:pPr>
        <w:numPr>
          <w:ilvl w:val="0"/>
          <w:numId w:val="12"/>
        </w:numPr>
        <w:pBdr>
          <w:top w:val="nil"/>
          <w:left w:val="nil"/>
          <w:bottom w:val="nil"/>
          <w:right w:val="nil"/>
          <w:between w:val="nil"/>
        </w:pBdr>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Los expedientes de las siguientes las obras realizadas del primero de enero de dos mil veintidós al dos de octubre de dos mil veinticuatro:</w:t>
      </w:r>
    </w:p>
    <w:p w:rsidR="003C1162" w:rsidRPr="000959FC" w:rsidRDefault="003C1162">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1. De las obras realizadas en el primer cuadro de la cabecera municipal;</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2. De la obra realizada en la calle paseo de los viveros; </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3. De la obra denominada rehabilitación de la red de drenaje sanitario en calle Durango; y </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4. De las obras de ampliaciones de red de energía eléctrica.</w:t>
      </w:r>
    </w:p>
    <w:p w:rsidR="003C1162" w:rsidRPr="000959FC" w:rsidRDefault="003C1162">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p>
    <w:p w:rsidR="003C1162" w:rsidRPr="000959FC" w:rsidRDefault="00F47EF3">
      <w:pPr>
        <w:numPr>
          <w:ilvl w:val="0"/>
          <w:numId w:val="12"/>
        </w:numPr>
        <w:pBdr>
          <w:top w:val="nil"/>
          <w:left w:val="nil"/>
          <w:bottom w:val="nil"/>
          <w:right w:val="nil"/>
          <w:between w:val="nil"/>
        </w:pBdr>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lastRenderedPageBreak/>
        <w:t>Los expedientes de las siguientes las obras realizadas del primero de enero de dos mil veintidós al cuatro de octubre de dos mil veinticuatro:</w:t>
      </w:r>
    </w:p>
    <w:p w:rsidR="003C1162" w:rsidRPr="000959FC" w:rsidRDefault="003C1162">
      <w:pPr>
        <w:spacing w:line="360" w:lineRule="auto"/>
        <w:ind w:left="360" w:right="822"/>
        <w:jc w:val="both"/>
        <w:rPr>
          <w:rFonts w:ascii="Palatino Linotype" w:eastAsia="Palatino Linotype" w:hAnsi="Palatino Linotype" w:cs="Palatino Linotype"/>
          <w:b/>
        </w:rPr>
      </w:pP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1. De la obra denominada </w:t>
      </w:r>
      <w:proofErr w:type="spellStart"/>
      <w:r w:rsidRPr="000959FC">
        <w:rPr>
          <w:rFonts w:ascii="Palatino Linotype" w:eastAsia="Palatino Linotype" w:hAnsi="Palatino Linotype" w:cs="Palatino Linotype"/>
          <w:b/>
          <w:color w:val="000000"/>
          <w:sz w:val="22"/>
          <w:szCs w:val="22"/>
        </w:rPr>
        <w:t>ciclovía</w:t>
      </w:r>
      <w:proofErr w:type="spellEnd"/>
      <w:r w:rsidRPr="000959FC">
        <w:rPr>
          <w:rFonts w:ascii="Palatino Linotype" w:eastAsia="Palatino Linotype" w:hAnsi="Palatino Linotype" w:cs="Palatino Linotype"/>
          <w:b/>
          <w:color w:val="000000"/>
          <w:sz w:val="22"/>
          <w:szCs w:val="22"/>
        </w:rPr>
        <w:t>;</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2. De la obra del puente en el </w:t>
      </w:r>
      <w:r w:rsidRPr="000959FC">
        <w:rPr>
          <w:rFonts w:ascii="Palatino Linotype" w:eastAsia="Palatino Linotype" w:hAnsi="Palatino Linotype" w:cs="Palatino Linotype"/>
          <w:b/>
          <w:sz w:val="22"/>
          <w:szCs w:val="22"/>
        </w:rPr>
        <w:t>río</w:t>
      </w:r>
      <w:r w:rsidRPr="000959FC">
        <w:rPr>
          <w:rFonts w:ascii="Palatino Linotype" w:eastAsia="Palatino Linotype" w:hAnsi="Palatino Linotype" w:cs="Palatino Linotype"/>
          <w:b/>
          <w:color w:val="000000"/>
          <w:sz w:val="22"/>
          <w:szCs w:val="22"/>
        </w:rPr>
        <w:t xml:space="preserve"> San Juan;</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3. Del albergue canino realizado en la plaza Estado de México; y</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4. De la obra que se está llevando a cabo en la Colonia Guadalupana.</w:t>
      </w:r>
    </w:p>
    <w:p w:rsidR="003C1162" w:rsidRPr="000959FC" w:rsidRDefault="003C1162">
      <w:pPr>
        <w:spacing w:line="360" w:lineRule="auto"/>
        <w:ind w:right="822"/>
        <w:jc w:val="both"/>
        <w:rPr>
          <w:rFonts w:ascii="Palatino Linotype" w:eastAsia="Palatino Linotype" w:hAnsi="Palatino Linotype" w:cs="Palatino Linotype"/>
          <w:b/>
        </w:rPr>
      </w:pPr>
    </w:p>
    <w:p w:rsidR="003C1162" w:rsidRPr="000959FC" w:rsidRDefault="00F47EF3">
      <w:pPr>
        <w:numPr>
          <w:ilvl w:val="0"/>
          <w:numId w:val="12"/>
        </w:numPr>
        <w:pBdr>
          <w:top w:val="nil"/>
          <w:left w:val="nil"/>
          <w:bottom w:val="nil"/>
          <w:right w:val="nil"/>
          <w:between w:val="nil"/>
        </w:pBdr>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Los expedientes de las siguientes las obras realizadas del primero de enero de dos mil veintidós al siete de octubre de dos mil veinticuatro:</w:t>
      </w:r>
    </w:p>
    <w:p w:rsidR="003C1162" w:rsidRPr="000959FC" w:rsidRDefault="003C1162">
      <w:pPr>
        <w:spacing w:line="360" w:lineRule="auto"/>
        <w:ind w:right="822"/>
        <w:jc w:val="both"/>
        <w:rPr>
          <w:rFonts w:ascii="Palatino Linotype" w:eastAsia="Palatino Linotype" w:hAnsi="Palatino Linotype" w:cs="Palatino Linotype"/>
          <w:b/>
        </w:rPr>
      </w:pPr>
    </w:p>
    <w:p w:rsidR="003C1162" w:rsidRPr="000959FC" w:rsidRDefault="003C1162">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1. De la obra denominada rehabilitación de Acceso a Colonia Guadalupana en calle Sonora;</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2. De la rehabilitación del </w:t>
      </w:r>
      <w:proofErr w:type="spellStart"/>
      <w:r w:rsidRPr="000959FC">
        <w:rPr>
          <w:rFonts w:ascii="Palatino Linotype" w:eastAsia="Palatino Linotype" w:hAnsi="Palatino Linotype" w:cs="Palatino Linotype"/>
          <w:b/>
          <w:color w:val="000000"/>
          <w:sz w:val="22"/>
          <w:szCs w:val="22"/>
        </w:rPr>
        <w:t>Ubris</w:t>
      </w:r>
      <w:proofErr w:type="spellEnd"/>
      <w:r w:rsidRPr="000959FC">
        <w:rPr>
          <w:rFonts w:ascii="Palatino Linotype" w:eastAsia="Palatino Linotype" w:hAnsi="Palatino Linotype" w:cs="Palatino Linotype"/>
          <w:b/>
          <w:color w:val="000000"/>
          <w:sz w:val="22"/>
          <w:szCs w:val="22"/>
        </w:rPr>
        <w:t xml:space="preserve"> </w:t>
      </w:r>
      <w:proofErr w:type="spellStart"/>
      <w:r w:rsidRPr="000959FC">
        <w:rPr>
          <w:rFonts w:ascii="Palatino Linotype" w:eastAsia="Palatino Linotype" w:hAnsi="Palatino Linotype" w:cs="Palatino Linotype"/>
          <w:b/>
          <w:color w:val="000000"/>
          <w:sz w:val="22"/>
          <w:szCs w:val="22"/>
        </w:rPr>
        <w:t>Temamatla</w:t>
      </w:r>
      <w:proofErr w:type="spellEnd"/>
      <w:r w:rsidRPr="000959FC">
        <w:rPr>
          <w:rFonts w:ascii="Palatino Linotype" w:eastAsia="Palatino Linotype" w:hAnsi="Palatino Linotype" w:cs="Palatino Linotype"/>
          <w:b/>
          <w:color w:val="000000"/>
          <w:sz w:val="22"/>
          <w:szCs w:val="22"/>
        </w:rPr>
        <w:t xml:space="preserve">, costo de habilitación, recurso mediante el cual se realizó, empresa que lo </w:t>
      </w:r>
      <w:r w:rsidRPr="000959FC">
        <w:rPr>
          <w:rFonts w:ascii="Palatino Linotype" w:eastAsia="Palatino Linotype" w:hAnsi="Palatino Linotype" w:cs="Palatino Linotype"/>
          <w:b/>
          <w:sz w:val="22"/>
          <w:szCs w:val="22"/>
        </w:rPr>
        <w:t>realizó</w:t>
      </w:r>
      <w:r w:rsidRPr="000959FC">
        <w:rPr>
          <w:rFonts w:ascii="Palatino Linotype" w:eastAsia="Palatino Linotype" w:hAnsi="Palatino Linotype" w:cs="Palatino Linotype"/>
          <w:b/>
          <w:color w:val="000000"/>
          <w:sz w:val="22"/>
          <w:szCs w:val="22"/>
        </w:rPr>
        <w:t>;</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3. De la obra denominada desazolve del Canal Río San Juan;</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4. De la obra denominada ampliación de drenaje sanitario en calle paseo de los viveros;</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5. De la obra denominada construcción del módulo de protección civil en los Reyes </w:t>
      </w:r>
      <w:proofErr w:type="spellStart"/>
      <w:r w:rsidRPr="000959FC">
        <w:rPr>
          <w:rFonts w:ascii="Palatino Linotype" w:eastAsia="Palatino Linotype" w:hAnsi="Palatino Linotype" w:cs="Palatino Linotype"/>
          <w:b/>
          <w:color w:val="000000"/>
          <w:sz w:val="22"/>
          <w:szCs w:val="22"/>
        </w:rPr>
        <w:t>Acatlixhuayan</w:t>
      </w:r>
      <w:proofErr w:type="spellEnd"/>
      <w:r w:rsidRPr="000959FC">
        <w:rPr>
          <w:rFonts w:ascii="Palatino Linotype" w:eastAsia="Palatino Linotype" w:hAnsi="Palatino Linotype" w:cs="Palatino Linotype"/>
          <w:b/>
          <w:color w:val="000000"/>
          <w:sz w:val="22"/>
          <w:szCs w:val="22"/>
        </w:rPr>
        <w:t>;</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6. De la obra denominada rehabilitación de alumbrado público;</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7. De la obra denominada ampliación de electrificación en </w:t>
      </w:r>
      <w:proofErr w:type="spellStart"/>
      <w:r w:rsidRPr="000959FC">
        <w:rPr>
          <w:rFonts w:ascii="Palatino Linotype" w:eastAsia="Palatino Linotype" w:hAnsi="Palatino Linotype" w:cs="Palatino Linotype"/>
          <w:b/>
          <w:color w:val="000000"/>
          <w:sz w:val="22"/>
          <w:szCs w:val="22"/>
        </w:rPr>
        <w:t>Temamatla</w:t>
      </w:r>
      <w:proofErr w:type="spellEnd"/>
      <w:r w:rsidRPr="000959FC">
        <w:rPr>
          <w:rFonts w:ascii="Palatino Linotype" w:eastAsia="Palatino Linotype" w:hAnsi="Palatino Linotype" w:cs="Palatino Linotype"/>
          <w:b/>
          <w:color w:val="000000"/>
          <w:sz w:val="22"/>
          <w:szCs w:val="22"/>
        </w:rPr>
        <w:t>;</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8. De la obra denominada rehabilitación de pavimento asfaltico en calle 2 de Marzo;</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lastRenderedPageBreak/>
        <w:t>9. De la obra denominada construcción del reloj monumental musical;</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10. De la obra construcción de fuentes danzantes en la explanada el centro de </w:t>
      </w:r>
      <w:proofErr w:type="spellStart"/>
      <w:r w:rsidRPr="000959FC">
        <w:rPr>
          <w:rFonts w:ascii="Palatino Linotype" w:eastAsia="Palatino Linotype" w:hAnsi="Palatino Linotype" w:cs="Palatino Linotype"/>
          <w:b/>
          <w:color w:val="000000"/>
          <w:sz w:val="22"/>
          <w:szCs w:val="22"/>
        </w:rPr>
        <w:t>Temamatla</w:t>
      </w:r>
      <w:proofErr w:type="spellEnd"/>
      <w:r w:rsidRPr="000959FC">
        <w:rPr>
          <w:rFonts w:ascii="Palatino Linotype" w:eastAsia="Palatino Linotype" w:hAnsi="Palatino Linotype" w:cs="Palatino Linotype"/>
          <w:b/>
          <w:color w:val="000000"/>
          <w:sz w:val="22"/>
          <w:szCs w:val="22"/>
        </w:rPr>
        <w:t>;</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11. De la obra Construcción de albergue canino en situación de calle de san juan </w:t>
      </w:r>
      <w:proofErr w:type="spellStart"/>
      <w:r w:rsidRPr="000959FC">
        <w:rPr>
          <w:rFonts w:ascii="Palatino Linotype" w:eastAsia="Palatino Linotype" w:hAnsi="Palatino Linotype" w:cs="Palatino Linotype"/>
          <w:b/>
          <w:color w:val="000000"/>
          <w:sz w:val="22"/>
          <w:szCs w:val="22"/>
        </w:rPr>
        <w:t>Temamatla</w:t>
      </w:r>
      <w:proofErr w:type="spellEnd"/>
      <w:r w:rsidRPr="000959FC">
        <w:rPr>
          <w:rFonts w:ascii="Palatino Linotype" w:eastAsia="Palatino Linotype" w:hAnsi="Palatino Linotype" w:cs="Palatino Linotype"/>
          <w:b/>
          <w:color w:val="000000"/>
          <w:sz w:val="22"/>
          <w:szCs w:val="22"/>
        </w:rPr>
        <w:t>;</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12. De las obras realizadas mediante recursos propios, así como la información de las adecuaciones realizadas en el presupuesto de egresos autorizado en la fuente de financiamiento de recursos propios, por concepto de ampliaciones, reducciones y transferencias;</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13. De la obra denominada construcción de módulos de protección civil en San Juan </w:t>
      </w:r>
      <w:proofErr w:type="spellStart"/>
      <w:r w:rsidRPr="000959FC">
        <w:rPr>
          <w:rFonts w:ascii="Palatino Linotype" w:eastAsia="Palatino Linotype" w:hAnsi="Palatino Linotype" w:cs="Palatino Linotype"/>
          <w:b/>
          <w:color w:val="000000"/>
          <w:sz w:val="22"/>
          <w:szCs w:val="22"/>
        </w:rPr>
        <w:t>Temamatla</w:t>
      </w:r>
      <w:proofErr w:type="spellEnd"/>
      <w:r w:rsidRPr="000959FC">
        <w:rPr>
          <w:rFonts w:ascii="Palatino Linotype" w:eastAsia="Palatino Linotype" w:hAnsi="Palatino Linotype" w:cs="Palatino Linotype"/>
          <w:b/>
          <w:color w:val="000000"/>
          <w:sz w:val="22"/>
          <w:szCs w:val="22"/>
        </w:rPr>
        <w:t xml:space="preserve">, Santiago </w:t>
      </w:r>
      <w:proofErr w:type="spellStart"/>
      <w:r w:rsidRPr="000959FC">
        <w:rPr>
          <w:rFonts w:ascii="Palatino Linotype" w:eastAsia="Palatino Linotype" w:hAnsi="Palatino Linotype" w:cs="Palatino Linotype"/>
          <w:b/>
          <w:color w:val="000000"/>
          <w:sz w:val="22"/>
          <w:szCs w:val="22"/>
        </w:rPr>
        <w:t>Zula</w:t>
      </w:r>
      <w:proofErr w:type="spellEnd"/>
      <w:r w:rsidRPr="000959FC">
        <w:rPr>
          <w:rFonts w:ascii="Palatino Linotype" w:eastAsia="Palatino Linotype" w:hAnsi="Palatino Linotype" w:cs="Palatino Linotype"/>
          <w:b/>
          <w:color w:val="000000"/>
          <w:sz w:val="22"/>
          <w:szCs w:val="22"/>
        </w:rPr>
        <w:t xml:space="preserve"> y Los Reyes </w:t>
      </w:r>
      <w:proofErr w:type="spellStart"/>
      <w:r w:rsidRPr="000959FC">
        <w:rPr>
          <w:rFonts w:ascii="Palatino Linotype" w:eastAsia="Palatino Linotype" w:hAnsi="Palatino Linotype" w:cs="Palatino Linotype"/>
          <w:b/>
          <w:color w:val="000000"/>
          <w:sz w:val="22"/>
          <w:szCs w:val="22"/>
        </w:rPr>
        <w:t>Acatlixhuayan</w:t>
      </w:r>
      <w:proofErr w:type="spellEnd"/>
      <w:r w:rsidRPr="000959FC">
        <w:rPr>
          <w:rFonts w:ascii="Palatino Linotype" w:eastAsia="Palatino Linotype" w:hAnsi="Palatino Linotype" w:cs="Palatino Linotype"/>
          <w:b/>
          <w:color w:val="000000"/>
          <w:sz w:val="22"/>
          <w:szCs w:val="22"/>
        </w:rPr>
        <w:t>;</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14. De la obra denominada construcción de cancha de futbol rápido con pasto sintético en la delegación de Los Reyes </w:t>
      </w:r>
      <w:proofErr w:type="spellStart"/>
      <w:r w:rsidRPr="000959FC">
        <w:rPr>
          <w:rFonts w:ascii="Palatino Linotype" w:eastAsia="Palatino Linotype" w:hAnsi="Palatino Linotype" w:cs="Palatino Linotype"/>
          <w:b/>
          <w:color w:val="000000"/>
          <w:sz w:val="22"/>
          <w:szCs w:val="22"/>
        </w:rPr>
        <w:t>Acatlixhuayan</w:t>
      </w:r>
      <w:proofErr w:type="spellEnd"/>
      <w:r w:rsidRPr="000959FC">
        <w:rPr>
          <w:rFonts w:ascii="Palatino Linotype" w:eastAsia="Palatino Linotype" w:hAnsi="Palatino Linotype" w:cs="Palatino Linotype"/>
          <w:b/>
          <w:color w:val="000000"/>
          <w:sz w:val="22"/>
          <w:szCs w:val="22"/>
        </w:rPr>
        <w:t xml:space="preserve"> a través de recurso FEFOM;</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15. De la obra denominada pavimentación con concreto </w:t>
      </w:r>
      <w:r w:rsidRPr="000959FC">
        <w:rPr>
          <w:rFonts w:ascii="Palatino Linotype" w:eastAsia="Palatino Linotype" w:hAnsi="Palatino Linotype" w:cs="Palatino Linotype"/>
          <w:b/>
          <w:sz w:val="22"/>
          <w:szCs w:val="22"/>
        </w:rPr>
        <w:t>asfáltico</w:t>
      </w:r>
      <w:r w:rsidRPr="000959FC">
        <w:rPr>
          <w:rFonts w:ascii="Palatino Linotype" w:eastAsia="Palatino Linotype" w:hAnsi="Palatino Linotype" w:cs="Palatino Linotype"/>
          <w:b/>
          <w:color w:val="000000"/>
          <w:sz w:val="22"/>
          <w:szCs w:val="22"/>
        </w:rPr>
        <w:t>, guarniciones y banquetas en calle sonora a través de recurso FEFOM;</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16. De la obra denominada pavimentación con concreto </w:t>
      </w:r>
      <w:r w:rsidRPr="000959FC">
        <w:rPr>
          <w:rFonts w:ascii="Palatino Linotype" w:eastAsia="Palatino Linotype" w:hAnsi="Palatino Linotype" w:cs="Palatino Linotype"/>
          <w:b/>
          <w:sz w:val="22"/>
          <w:szCs w:val="22"/>
        </w:rPr>
        <w:t>asfáltico</w:t>
      </w:r>
      <w:r w:rsidRPr="000959FC">
        <w:rPr>
          <w:rFonts w:ascii="Palatino Linotype" w:eastAsia="Palatino Linotype" w:hAnsi="Palatino Linotype" w:cs="Palatino Linotype"/>
          <w:b/>
          <w:color w:val="000000"/>
          <w:sz w:val="22"/>
          <w:szCs w:val="22"/>
        </w:rPr>
        <w:t>, guarniciones y banquetas en Calle Río San Juan a través de recurso FEFOM;</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17. De la obra denominada remodelación del auditorio delegación </w:t>
      </w:r>
      <w:proofErr w:type="spellStart"/>
      <w:r w:rsidRPr="000959FC">
        <w:rPr>
          <w:rFonts w:ascii="Palatino Linotype" w:eastAsia="Palatino Linotype" w:hAnsi="Palatino Linotype" w:cs="Palatino Linotype"/>
          <w:b/>
          <w:color w:val="000000"/>
          <w:sz w:val="22"/>
          <w:szCs w:val="22"/>
        </w:rPr>
        <w:t>Zula</w:t>
      </w:r>
      <w:proofErr w:type="spellEnd"/>
      <w:r w:rsidRPr="000959FC">
        <w:rPr>
          <w:rFonts w:ascii="Palatino Linotype" w:eastAsia="Palatino Linotype" w:hAnsi="Palatino Linotype" w:cs="Palatino Linotype"/>
          <w:b/>
          <w:color w:val="000000"/>
          <w:sz w:val="22"/>
          <w:szCs w:val="22"/>
        </w:rPr>
        <w:t xml:space="preserve"> ejecutada, a través de recurso FEFOM”; y</w:t>
      </w: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 xml:space="preserve">18. De la obra denominada rehabilitación de barda perimetral del Deportivo Bicentenario En San Juan </w:t>
      </w:r>
      <w:proofErr w:type="spellStart"/>
      <w:r w:rsidRPr="000959FC">
        <w:rPr>
          <w:rFonts w:ascii="Palatino Linotype" w:eastAsia="Palatino Linotype" w:hAnsi="Palatino Linotype" w:cs="Palatino Linotype"/>
          <w:b/>
          <w:color w:val="000000"/>
          <w:sz w:val="22"/>
          <w:szCs w:val="22"/>
        </w:rPr>
        <w:t>Temamatla</w:t>
      </w:r>
      <w:proofErr w:type="spellEnd"/>
      <w:r w:rsidRPr="000959FC">
        <w:rPr>
          <w:rFonts w:ascii="Palatino Linotype" w:eastAsia="Palatino Linotype" w:hAnsi="Palatino Linotype" w:cs="Palatino Linotype"/>
          <w:b/>
          <w:color w:val="000000"/>
          <w:sz w:val="22"/>
          <w:szCs w:val="22"/>
        </w:rPr>
        <w:t xml:space="preserve"> a través de recurso FEFOM. </w:t>
      </w:r>
    </w:p>
    <w:p w:rsidR="003C1162" w:rsidRPr="000959FC" w:rsidRDefault="003C1162">
      <w:pPr>
        <w:spacing w:line="360" w:lineRule="auto"/>
        <w:ind w:right="822"/>
        <w:jc w:val="both"/>
        <w:rPr>
          <w:rFonts w:ascii="Palatino Linotype" w:eastAsia="Palatino Linotype" w:hAnsi="Palatino Linotype" w:cs="Palatino Linotype"/>
          <w:b/>
        </w:rPr>
      </w:pPr>
    </w:p>
    <w:p w:rsidR="003C1162" w:rsidRPr="000959FC" w:rsidRDefault="00F47EF3">
      <w:pPr>
        <w:numPr>
          <w:ilvl w:val="0"/>
          <w:numId w:val="12"/>
        </w:numPr>
        <w:pBdr>
          <w:top w:val="nil"/>
          <w:left w:val="nil"/>
          <w:bottom w:val="nil"/>
          <w:right w:val="nil"/>
          <w:between w:val="nil"/>
        </w:pBdr>
        <w:spacing w:line="360" w:lineRule="auto"/>
        <w:ind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Los expedientes de las siguientes las obras realizadas del primero de enero de dos mil veintidós al ocho de octubre de dos mil veinticuatro:</w:t>
      </w:r>
    </w:p>
    <w:p w:rsidR="003C1162" w:rsidRPr="000959FC" w:rsidRDefault="003C1162">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p>
    <w:p w:rsidR="003C1162" w:rsidRPr="000959FC" w:rsidRDefault="00F47EF3">
      <w:pPr>
        <w:pBdr>
          <w:top w:val="nil"/>
          <w:left w:val="nil"/>
          <w:bottom w:val="nil"/>
          <w:right w:val="nil"/>
          <w:between w:val="nil"/>
        </w:pBdr>
        <w:spacing w:line="360" w:lineRule="auto"/>
        <w:ind w:left="720" w:right="822"/>
        <w:jc w:val="both"/>
        <w:rPr>
          <w:rFonts w:ascii="Palatino Linotype" w:eastAsia="Palatino Linotype" w:hAnsi="Palatino Linotype" w:cs="Palatino Linotype"/>
          <w:b/>
          <w:color w:val="000000"/>
          <w:sz w:val="22"/>
          <w:szCs w:val="22"/>
        </w:rPr>
      </w:pPr>
      <w:r w:rsidRPr="000959FC">
        <w:rPr>
          <w:rFonts w:ascii="Palatino Linotype" w:eastAsia="Palatino Linotype" w:hAnsi="Palatino Linotype" w:cs="Palatino Linotype"/>
          <w:b/>
          <w:color w:val="000000"/>
          <w:sz w:val="22"/>
          <w:szCs w:val="22"/>
        </w:rPr>
        <w:t>1. De la obra denominada ampliación de red de drenaje sanitario y de red de agua potable en Calle Prolongación Tabasco.</w:t>
      </w:r>
    </w:p>
    <w:p w:rsidR="003C1162" w:rsidRPr="000959FC" w:rsidRDefault="003C1162">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p>
    <w:p w:rsidR="003C1162" w:rsidRPr="000959FC" w:rsidRDefault="00F47EF3">
      <w:pPr>
        <w:tabs>
          <w:tab w:val="left" w:pos="8080"/>
        </w:tabs>
        <w:spacing w:line="360" w:lineRule="auto"/>
        <w:ind w:right="48"/>
        <w:jc w:val="both"/>
        <w:rPr>
          <w:rFonts w:ascii="Palatino Linotype" w:eastAsia="Palatino Linotype" w:hAnsi="Palatino Linotype" w:cs="Palatino Linotype"/>
          <w:b/>
          <w:sz w:val="22"/>
          <w:szCs w:val="22"/>
        </w:rPr>
      </w:pPr>
      <w:r w:rsidRPr="000959FC">
        <w:rPr>
          <w:rFonts w:ascii="Palatino Linotype" w:eastAsia="Palatino Linotype" w:hAnsi="Palatino Linotype" w:cs="Palatino Linotype"/>
          <w:sz w:val="22"/>
          <w:szCs w:val="22"/>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0959FC">
        <w:rPr>
          <w:rFonts w:ascii="Palatino Linotype" w:eastAsia="Palatino Linotype" w:hAnsi="Palatino Linotype" w:cs="Palatino Linotype"/>
          <w:b/>
          <w:sz w:val="22"/>
          <w:szCs w:val="22"/>
        </w:rPr>
        <w:t>EL RECURRENTE.</w:t>
      </w:r>
    </w:p>
    <w:p w:rsidR="003C1162" w:rsidRPr="000959FC" w:rsidRDefault="003C1162">
      <w:pPr>
        <w:tabs>
          <w:tab w:val="left" w:pos="8080"/>
        </w:tabs>
        <w:spacing w:line="360" w:lineRule="auto"/>
        <w:ind w:right="48"/>
        <w:jc w:val="both"/>
        <w:rPr>
          <w:rFonts w:ascii="Palatino Linotype" w:eastAsia="Palatino Linotype" w:hAnsi="Palatino Linotype" w:cs="Palatino Linotype"/>
          <w:b/>
          <w:sz w:val="22"/>
          <w:szCs w:val="22"/>
        </w:rPr>
      </w:pPr>
    </w:p>
    <w:p w:rsidR="003C1162" w:rsidRPr="000959FC" w:rsidRDefault="00F47EF3">
      <w:pPr>
        <w:tabs>
          <w:tab w:val="left" w:pos="8080"/>
        </w:tabs>
        <w:spacing w:line="360" w:lineRule="auto"/>
        <w:ind w:right="48"/>
        <w:jc w:val="both"/>
        <w:rPr>
          <w:rFonts w:ascii="Palatino Linotype" w:eastAsia="Palatino Linotype" w:hAnsi="Palatino Linotype" w:cs="Palatino Linotype"/>
          <w:color w:val="222222"/>
          <w:sz w:val="22"/>
          <w:szCs w:val="22"/>
        </w:rPr>
      </w:pPr>
      <w:r w:rsidRPr="000959FC">
        <w:rPr>
          <w:rFonts w:ascii="Palatino Linotype" w:eastAsia="Palatino Linotype" w:hAnsi="Palatino Linotype" w:cs="Palatino Linotype"/>
          <w:b/>
          <w:sz w:val="22"/>
          <w:szCs w:val="22"/>
        </w:rPr>
        <w:t xml:space="preserve">TERCERO. Notifíquese </w:t>
      </w:r>
      <w:r w:rsidRPr="000959FC">
        <w:rPr>
          <w:rFonts w:ascii="Palatino Linotype" w:eastAsia="Palatino Linotype" w:hAnsi="Palatino Linotype" w:cs="Palatino Linotype"/>
          <w:sz w:val="22"/>
          <w:szCs w:val="22"/>
        </w:rPr>
        <w:t xml:space="preserve">vía </w:t>
      </w:r>
      <w:r w:rsidRPr="000959FC">
        <w:rPr>
          <w:rFonts w:ascii="Palatino Linotype" w:eastAsia="Palatino Linotype" w:hAnsi="Palatino Linotype" w:cs="Palatino Linotype"/>
          <w:b/>
          <w:sz w:val="22"/>
          <w:szCs w:val="22"/>
        </w:rPr>
        <w:t>SAIMEX,</w:t>
      </w:r>
      <w:r w:rsidRPr="000959FC">
        <w:rPr>
          <w:rFonts w:ascii="Palatino Linotype" w:eastAsia="Palatino Linotype" w:hAnsi="Palatino Linotype" w:cs="Palatino Linotype"/>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3C1162" w:rsidRPr="000959FC" w:rsidRDefault="003C1162">
      <w:pPr>
        <w:tabs>
          <w:tab w:val="left" w:pos="8080"/>
        </w:tabs>
        <w:spacing w:line="360" w:lineRule="auto"/>
        <w:ind w:right="48"/>
        <w:jc w:val="both"/>
        <w:rPr>
          <w:rFonts w:ascii="Palatino Linotype" w:eastAsia="Palatino Linotype" w:hAnsi="Palatino Linotype" w:cs="Palatino Linotype"/>
          <w:color w:val="222222"/>
          <w:sz w:val="22"/>
          <w:szCs w:val="22"/>
        </w:rPr>
      </w:pPr>
    </w:p>
    <w:p w:rsidR="003C1162" w:rsidRPr="000959FC" w:rsidRDefault="00F47EF3">
      <w:pPr>
        <w:shd w:val="clear" w:color="auto" w:fill="FFFFFF"/>
        <w:spacing w:line="360" w:lineRule="auto"/>
        <w:ind w:right="48"/>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sz w:val="22"/>
          <w:szCs w:val="22"/>
        </w:rPr>
        <w:t>CUARTO. Notifíquese al RECURRENTE</w:t>
      </w:r>
      <w:r w:rsidRPr="000959FC">
        <w:rPr>
          <w:rFonts w:ascii="Palatino Linotype" w:eastAsia="Palatino Linotype" w:hAnsi="Palatino Linotype" w:cs="Palatino Linotype"/>
          <w:sz w:val="22"/>
          <w:szCs w:val="22"/>
        </w:rPr>
        <w:t xml:space="preserve"> la presente resolución vía SAIMEX.</w:t>
      </w:r>
    </w:p>
    <w:p w:rsidR="003C1162" w:rsidRPr="000959FC" w:rsidRDefault="003C1162">
      <w:pPr>
        <w:shd w:val="clear" w:color="auto" w:fill="FFFFFF"/>
        <w:spacing w:line="360" w:lineRule="auto"/>
        <w:ind w:right="48"/>
        <w:jc w:val="both"/>
        <w:rPr>
          <w:rFonts w:ascii="Palatino Linotype" w:eastAsia="Palatino Linotype" w:hAnsi="Palatino Linotype" w:cs="Palatino Linotype"/>
          <w:b/>
          <w:color w:val="FF0000"/>
          <w:sz w:val="22"/>
          <w:szCs w:val="22"/>
        </w:rPr>
      </w:pPr>
    </w:p>
    <w:p w:rsidR="003C1162" w:rsidRPr="000959FC" w:rsidRDefault="00F47EF3">
      <w:pPr>
        <w:spacing w:line="360" w:lineRule="auto"/>
        <w:ind w:right="48"/>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sz w:val="22"/>
          <w:szCs w:val="22"/>
        </w:rPr>
        <w:t>QUINTO.</w:t>
      </w:r>
      <w:r w:rsidRPr="000959FC">
        <w:rPr>
          <w:rFonts w:ascii="Palatino Linotype" w:eastAsia="Palatino Linotype" w:hAnsi="Palatino Linotype" w:cs="Palatino Linotype"/>
          <w:sz w:val="22"/>
          <w:szCs w:val="22"/>
        </w:rPr>
        <w:t xml:space="preserve"> Se hace del conocimiento del </w:t>
      </w:r>
      <w:r w:rsidRPr="000959FC">
        <w:rPr>
          <w:rFonts w:ascii="Palatino Linotype" w:eastAsia="Palatino Linotype" w:hAnsi="Palatino Linotype" w:cs="Palatino Linotype"/>
          <w:b/>
          <w:sz w:val="22"/>
          <w:szCs w:val="22"/>
        </w:rPr>
        <w:t>RECURRENTE</w:t>
      </w:r>
      <w:r w:rsidRPr="000959FC">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w:t>
      </w:r>
      <w:r w:rsidRPr="000959FC">
        <w:rPr>
          <w:rFonts w:ascii="Palatino Linotype" w:eastAsia="Palatino Linotype" w:hAnsi="Palatino Linotype" w:cs="Palatino Linotype"/>
          <w:sz w:val="22"/>
          <w:szCs w:val="22"/>
        </w:rPr>
        <w:lastRenderedPageBreak/>
        <w:t>del Estado de México y Municipios, en caso de que considere que la resolución le cause algún perjuicio podrá impugnarla vía juicio de amparo en los términos de las leyes aplicables.</w:t>
      </w:r>
    </w:p>
    <w:p w:rsidR="003C1162" w:rsidRPr="000959FC" w:rsidRDefault="003C1162">
      <w:pPr>
        <w:spacing w:line="360" w:lineRule="auto"/>
        <w:ind w:right="48"/>
        <w:jc w:val="both"/>
        <w:rPr>
          <w:rFonts w:ascii="Palatino Linotype" w:eastAsia="Palatino Linotype" w:hAnsi="Palatino Linotype" w:cs="Palatino Linotype"/>
          <w:color w:val="000000"/>
          <w:sz w:val="22"/>
          <w:szCs w:val="22"/>
        </w:rPr>
      </w:pPr>
    </w:p>
    <w:p w:rsidR="003C1162" w:rsidRPr="000959FC" w:rsidRDefault="00F47EF3">
      <w:pPr>
        <w:spacing w:line="360" w:lineRule="auto"/>
        <w:ind w:right="48"/>
        <w:jc w:val="both"/>
        <w:rPr>
          <w:rFonts w:ascii="Palatino Linotype" w:eastAsia="Palatino Linotype" w:hAnsi="Palatino Linotype" w:cs="Palatino Linotype"/>
          <w:sz w:val="22"/>
          <w:szCs w:val="22"/>
        </w:rPr>
      </w:pPr>
      <w:r w:rsidRPr="000959FC">
        <w:rPr>
          <w:rFonts w:ascii="Palatino Linotype" w:eastAsia="Palatino Linotype" w:hAnsi="Palatino Linotype" w:cs="Palatino Linotype"/>
          <w:b/>
          <w:color w:val="000000"/>
          <w:sz w:val="22"/>
          <w:szCs w:val="22"/>
        </w:rPr>
        <w:t xml:space="preserve">SEXTO. </w:t>
      </w:r>
      <w:r w:rsidRPr="000959FC">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C1162" w:rsidRPr="000959FC" w:rsidRDefault="003C1162">
      <w:pPr>
        <w:shd w:val="clear" w:color="auto" w:fill="FFFFFF"/>
        <w:spacing w:line="360" w:lineRule="auto"/>
        <w:jc w:val="both"/>
        <w:rPr>
          <w:rFonts w:ascii="Palatino Linotype" w:eastAsia="Palatino Linotype" w:hAnsi="Palatino Linotype" w:cs="Palatino Linotype"/>
          <w:sz w:val="22"/>
          <w:szCs w:val="22"/>
        </w:rPr>
      </w:pPr>
    </w:p>
    <w:p w:rsidR="00080F9C" w:rsidRPr="003C7186" w:rsidRDefault="00080F9C" w:rsidP="00080F9C">
      <w:pPr>
        <w:spacing w:line="360" w:lineRule="auto"/>
        <w:ind w:left="-142" w:right="-234" w:firstLine="1"/>
        <w:jc w:val="both"/>
        <w:rPr>
          <w:rFonts w:ascii="Palatino Linotype" w:hAnsi="Palatino Linotype"/>
        </w:rPr>
      </w:pPr>
      <w:r w:rsidRPr="000959FC">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ONCE (11) DE DICIEMBRE DE DOS MIL VEINTICUATRO, ANTE EL SECRETARIO TÉCNICO DEL PLENO ALEXIS TAPIA RAMÍREZ.</w:t>
      </w:r>
      <w:bookmarkStart w:id="12" w:name="_GoBack"/>
      <w:bookmarkEnd w:id="12"/>
      <w:r w:rsidRPr="003C7186">
        <w:rPr>
          <w:rFonts w:ascii="Palatino Linotype" w:hAnsi="Palatino Linotype"/>
        </w:rPr>
        <w:t xml:space="preserve"> </w:t>
      </w:r>
    </w:p>
    <w:p w:rsidR="00080F9C" w:rsidRPr="00902BA4" w:rsidRDefault="00080F9C" w:rsidP="00080F9C">
      <w:pPr>
        <w:widowControl w:val="0"/>
        <w:autoSpaceDE w:val="0"/>
        <w:autoSpaceDN w:val="0"/>
        <w:adjustRightInd w:val="0"/>
        <w:spacing w:after="200" w:line="276" w:lineRule="auto"/>
        <w:ind w:left="-142" w:right="-234"/>
        <w:rPr>
          <w:rFonts w:ascii="Calibri" w:hAnsi="Calibri" w:cs="Calibri"/>
        </w:rPr>
      </w:pPr>
    </w:p>
    <w:p w:rsidR="003C1162" w:rsidRDefault="003C1162">
      <w:pPr>
        <w:rPr>
          <w:rFonts w:ascii="Palatino Linotype" w:eastAsia="Palatino Linotype" w:hAnsi="Palatino Linotype" w:cs="Palatino Linotype"/>
          <w:sz w:val="22"/>
          <w:szCs w:val="22"/>
        </w:rPr>
      </w:pPr>
    </w:p>
    <w:p w:rsidR="003C1162" w:rsidRDefault="003C1162">
      <w:pPr>
        <w:rPr>
          <w:rFonts w:ascii="Palatino Linotype" w:eastAsia="Palatino Linotype" w:hAnsi="Palatino Linotype" w:cs="Palatino Linotype"/>
          <w:sz w:val="22"/>
          <w:szCs w:val="22"/>
        </w:rPr>
      </w:pPr>
    </w:p>
    <w:p w:rsidR="003C1162" w:rsidRDefault="003C1162">
      <w:pPr>
        <w:rPr>
          <w:rFonts w:ascii="Palatino Linotype" w:eastAsia="Palatino Linotype" w:hAnsi="Palatino Linotype" w:cs="Palatino Linotype"/>
          <w:sz w:val="22"/>
          <w:szCs w:val="22"/>
        </w:rPr>
      </w:pPr>
    </w:p>
    <w:p w:rsidR="003C1162" w:rsidRDefault="003C1162">
      <w:pPr>
        <w:rPr>
          <w:rFonts w:ascii="Palatino Linotype" w:eastAsia="Palatino Linotype" w:hAnsi="Palatino Linotype" w:cs="Palatino Linotype"/>
          <w:sz w:val="22"/>
          <w:szCs w:val="22"/>
        </w:rPr>
      </w:pPr>
    </w:p>
    <w:p w:rsidR="003C1162" w:rsidRDefault="003C1162">
      <w:pPr>
        <w:rPr>
          <w:rFonts w:ascii="Palatino Linotype" w:eastAsia="Palatino Linotype" w:hAnsi="Palatino Linotype" w:cs="Palatino Linotype"/>
          <w:sz w:val="22"/>
          <w:szCs w:val="22"/>
        </w:rPr>
      </w:pPr>
    </w:p>
    <w:p w:rsidR="003C1162" w:rsidRDefault="003C1162">
      <w:pPr>
        <w:rPr>
          <w:rFonts w:ascii="Palatino Linotype" w:eastAsia="Palatino Linotype" w:hAnsi="Palatino Linotype" w:cs="Palatino Linotype"/>
          <w:sz w:val="22"/>
          <w:szCs w:val="22"/>
        </w:rPr>
      </w:pPr>
    </w:p>
    <w:p w:rsidR="003C1162" w:rsidRDefault="003C1162">
      <w:pPr>
        <w:rPr>
          <w:rFonts w:ascii="Palatino Linotype" w:eastAsia="Palatino Linotype" w:hAnsi="Palatino Linotype" w:cs="Palatino Linotype"/>
          <w:sz w:val="22"/>
          <w:szCs w:val="22"/>
        </w:rPr>
      </w:pPr>
    </w:p>
    <w:sectPr w:rsidR="003C1162">
      <w:headerReference w:type="even" r:id="rId109"/>
      <w:headerReference w:type="default" r:id="rId110"/>
      <w:footerReference w:type="default" r:id="rId111"/>
      <w:headerReference w:type="first" r:id="rId112"/>
      <w:footerReference w:type="first" r:id="rId113"/>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A1B" w:rsidRDefault="00833A1B">
      <w:r>
        <w:separator/>
      </w:r>
    </w:p>
  </w:endnote>
  <w:endnote w:type="continuationSeparator" w:id="0">
    <w:p w:rsidR="00833A1B" w:rsidRDefault="00833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F3" w:rsidRDefault="00F47EF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959FC">
      <w:rPr>
        <w:b/>
        <w:noProof/>
        <w:color w:val="000000"/>
      </w:rPr>
      <w:t>89</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959FC">
      <w:rPr>
        <w:b/>
        <w:noProof/>
        <w:color w:val="000000"/>
      </w:rPr>
      <w:t>90</w:t>
    </w:r>
    <w:r>
      <w:rPr>
        <w:b/>
        <w:color w:val="000000"/>
      </w:rPr>
      <w:fldChar w:fldCharType="end"/>
    </w:r>
  </w:p>
  <w:p w:rsidR="00F47EF3" w:rsidRDefault="00F47EF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F3" w:rsidRDefault="00F47EF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0959FC">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0959FC">
      <w:rPr>
        <w:b/>
        <w:noProof/>
        <w:color w:val="000000"/>
      </w:rPr>
      <w:t>90</w:t>
    </w:r>
    <w:r>
      <w:rPr>
        <w:b/>
        <w:color w:val="000000"/>
      </w:rPr>
      <w:fldChar w:fldCharType="end"/>
    </w:r>
  </w:p>
  <w:p w:rsidR="00F47EF3" w:rsidRDefault="00F47EF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A1B" w:rsidRDefault="00833A1B">
      <w:r>
        <w:separator/>
      </w:r>
    </w:p>
  </w:footnote>
  <w:footnote w:type="continuationSeparator" w:id="0">
    <w:p w:rsidR="00833A1B" w:rsidRDefault="00833A1B">
      <w:r>
        <w:continuationSeparator/>
      </w:r>
    </w:p>
  </w:footnote>
  <w:footnote w:id="1">
    <w:p w:rsidR="00F47EF3" w:rsidRDefault="00F47EF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rsidR="00F47EF3" w:rsidRDefault="00F47EF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1">
        <w:r>
          <w:rPr>
            <w:rFonts w:ascii="Calibri" w:eastAsia="Calibri" w:hAnsi="Calibri" w:cs="Calibri"/>
            <w:color w:val="0563C1"/>
            <w:sz w:val="20"/>
            <w:szCs w:val="20"/>
            <w:u w:val="single"/>
          </w:rPr>
          <w:t>https://temamatla-digital.com/conac_2022/archivos_conac_cuenta22/ayuntamiento_lgcg_2022_4t_informe-de-obras-program_240830_135320.pdf</w:t>
        </w:r>
      </w:hyperlink>
      <w:r>
        <w:rPr>
          <w:rFonts w:ascii="Calibri" w:eastAsia="Calibri" w:hAnsi="Calibri" w:cs="Calibri"/>
          <w:color w:val="000000"/>
          <w:sz w:val="20"/>
          <w:szCs w:val="20"/>
        </w:rPr>
        <w:t xml:space="preserve"> </w:t>
      </w:r>
    </w:p>
  </w:footnote>
  <w:footnote w:id="3">
    <w:p w:rsidR="00F47EF3" w:rsidRDefault="00F47EF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2">
        <w:r>
          <w:rPr>
            <w:rFonts w:ascii="Calibri" w:eastAsia="Calibri" w:hAnsi="Calibri" w:cs="Calibri"/>
            <w:color w:val="0563C1"/>
            <w:sz w:val="20"/>
            <w:szCs w:val="20"/>
            <w:u w:val="single"/>
          </w:rPr>
          <w:t>https://temamatla-digital.com/conac_2023/cuenta_1trim/informes%20de%20obras%201.pdf</w:t>
        </w:r>
      </w:hyperlink>
      <w:r>
        <w:rPr>
          <w:rFonts w:ascii="Calibri" w:eastAsia="Calibri" w:hAnsi="Calibri" w:cs="Calibri"/>
          <w:color w:val="000000"/>
          <w:sz w:val="20"/>
          <w:szCs w:val="20"/>
        </w:rPr>
        <w:t xml:space="preserve"> </w:t>
      </w:r>
    </w:p>
  </w:footnote>
  <w:footnote w:id="4">
    <w:p w:rsidR="00F47EF3" w:rsidRDefault="00F47EF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3">
        <w:r>
          <w:rPr>
            <w:rFonts w:ascii="Calibri" w:eastAsia="Calibri" w:hAnsi="Calibri" w:cs="Calibri"/>
            <w:color w:val="0563C1"/>
            <w:sz w:val="20"/>
            <w:szCs w:val="20"/>
            <w:u w:val="single"/>
          </w:rPr>
          <w:t>https://temamatla-digital.com/archivos_gacetas24/Gaceta%2081%20SEGUNDO%20INFORME-comprimido_compressed-comprimido%20(1)-comprimido.pdf</w:t>
        </w:r>
      </w:hyperlink>
      <w:r>
        <w:rPr>
          <w:rFonts w:ascii="Calibri" w:eastAsia="Calibri" w:hAnsi="Calibri" w:cs="Calibri"/>
          <w:color w:val="000000"/>
          <w:sz w:val="20"/>
          <w:szCs w:val="20"/>
        </w:rPr>
        <w:t xml:space="preserve"> </w:t>
      </w:r>
    </w:p>
  </w:footnote>
  <w:footnote w:id="5">
    <w:p w:rsidR="00F47EF3" w:rsidRDefault="00F47EF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Políticas Públicas y Cambio Climático. Angélica Rosas Huerta. Profesora- investigadora. Departamento Política y Cultura. División de Ciencias Sociales y Humanidades. </w:t>
      </w:r>
    </w:p>
  </w:footnote>
  <w:footnote w:id="6">
    <w:p w:rsidR="00F47EF3" w:rsidRDefault="00F47EF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F47EF3" w:rsidRDefault="00F47EF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7">
    <w:p w:rsidR="00F47EF3" w:rsidRDefault="00F47EF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 w:id="8">
    <w:p w:rsidR="00F47EF3" w:rsidRDefault="00F47EF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9">
    <w:p w:rsidR="00F47EF3" w:rsidRDefault="00F47EF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10">
    <w:p w:rsidR="00F47EF3" w:rsidRDefault="00F47EF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11">
    <w:p w:rsidR="00F47EF3" w:rsidRDefault="00F47EF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Párr. 87.</w:t>
      </w:r>
    </w:p>
  </w:footnote>
  <w:footnote w:id="12">
    <w:p w:rsidR="00F47EF3" w:rsidRDefault="00F47EF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4">
        <w:r>
          <w:rPr>
            <w:rFonts w:ascii="Calibri" w:eastAsia="Calibri" w:hAnsi="Calibri" w:cs="Calibri"/>
            <w:color w:val="0563C1"/>
            <w:sz w:val="20"/>
            <w:szCs w:val="20"/>
            <w:u w:val="single"/>
          </w:rPr>
          <w:t>http://www.oas.org/es/cidh/expresion/documentos_basicos/declaraciones.asp</w:t>
        </w:r>
      </w:hyperlink>
      <w:r>
        <w:rPr>
          <w:rFonts w:ascii="Calibri" w:eastAsia="Calibri" w:hAnsi="Calibri" w:cs="Calibri"/>
          <w:color w:val="000000"/>
          <w:sz w:val="20"/>
          <w:szCs w:val="20"/>
        </w:rPr>
        <w:t>.</w:t>
      </w:r>
    </w:p>
  </w:footnote>
  <w:footnote w:id="13">
    <w:p w:rsidR="00F47EF3" w:rsidRDefault="00F47EF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F47EF3" w:rsidRDefault="00F47EF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14">
    <w:p w:rsidR="00F47EF3" w:rsidRDefault="00F47EF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rsidR="00F47EF3" w:rsidRDefault="00F47EF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rsidR="00F47EF3" w:rsidRDefault="00F47EF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F3" w:rsidRDefault="00833A1B">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F3" w:rsidRDefault="00F47EF3">
    <w:pPr>
      <w:widowControl w:val="0"/>
      <w:pBdr>
        <w:top w:val="nil"/>
        <w:left w:val="nil"/>
        <w:bottom w:val="nil"/>
        <w:right w:val="nil"/>
        <w:between w:val="nil"/>
      </w:pBdr>
      <w:spacing w:line="276" w:lineRule="auto"/>
      <w:rPr>
        <w:color w:val="000000"/>
      </w:rPr>
    </w:pPr>
  </w:p>
  <w:tbl>
    <w:tblPr>
      <w:tblStyle w:val="a3"/>
      <w:tblW w:w="9214" w:type="dxa"/>
      <w:tblInd w:w="0" w:type="dxa"/>
      <w:tblLayout w:type="fixed"/>
      <w:tblLook w:val="0400" w:firstRow="0" w:lastRow="0" w:firstColumn="0" w:lastColumn="0" w:noHBand="0" w:noVBand="1"/>
    </w:tblPr>
    <w:tblGrid>
      <w:gridCol w:w="2268"/>
      <w:gridCol w:w="6946"/>
    </w:tblGrid>
    <w:tr w:rsidR="00F47EF3">
      <w:trPr>
        <w:trHeight w:val="1435"/>
      </w:trPr>
      <w:tc>
        <w:tcPr>
          <w:tcW w:w="2268" w:type="dxa"/>
          <w:shd w:val="clear" w:color="auto" w:fill="auto"/>
        </w:tcPr>
        <w:p w:rsidR="00F47EF3" w:rsidRDefault="00F47EF3">
          <w:pPr>
            <w:tabs>
              <w:tab w:val="right" w:pos="4273"/>
            </w:tabs>
            <w:rPr>
              <w:rFonts w:ascii="Garamond" w:eastAsia="Garamond" w:hAnsi="Garamond" w:cs="Garamond"/>
              <w:sz w:val="16"/>
              <w:szCs w:val="16"/>
            </w:rPr>
          </w:pPr>
        </w:p>
      </w:tc>
      <w:tc>
        <w:tcPr>
          <w:tcW w:w="6946" w:type="dxa"/>
          <w:shd w:val="clear" w:color="auto" w:fill="auto"/>
        </w:tcPr>
        <w:p w:rsidR="00F47EF3" w:rsidRDefault="00F47EF3"/>
        <w:tbl>
          <w:tblPr>
            <w:tblStyle w:val="a4"/>
            <w:tblW w:w="6662" w:type="dxa"/>
            <w:tblInd w:w="40" w:type="dxa"/>
            <w:tblLayout w:type="fixed"/>
            <w:tblLook w:val="0400" w:firstRow="0" w:lastRow="0" w:firstColumn="0" w:lastColumn="0" w:noHBand="0" w:noVBand="1"/>
          </w:tblPr>
          <w:tblGrid>
            <w:gridCol w:w="2551"/>
            <w:gridCol w:w="4111"/>
          </w:tblGrid>
          <w:tr w:rsidR="00F47EF3">
            <w:trPr>
              <w:trHeight w:val="150"/>
            </w:trPr>
            <w:tc>
              <w:tcPr>
                <w:tcW w:w="2551" w:type="dxa"/>
                <w:shd w:val="clear" w:color="auto" w:fill="auto"/>
              </w:tcPr>
              <w:p w:rsidR="00F47EF3" w:rsidRDefault="00F47EF3">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tcPr>
              <w:p w:rsidR="00F47EF3" w:rsidRDefault="00F47EF3">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06718/INFOEM/IP/RR/2024 y Acumulados</w:t>
                </w:r>
              </w:p>
            </w:tc>
          </w:tr>
          <w:tr w:rsidR="00F47EF3">
            <w:trPr>
              <w:trHeight w:val="295"/>
            </w:trPr>
            <w:tc>
              <w:tcPr>
                <w:tcW w:w="2551" w:type="dxa"/>
                <w:shd w:val="clear" w:color="auto" w:fill="auto"/>
              </w:tcPr>
              <w:p w:rsidR="00F47EF3" w:rsidRDefault="00F47EF3">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tcPr>
              <w:p w:rsidR="00F47EF3" w:rsidRDefault="00F47EF3">
                <w:pPr>
                  <w:tabs>
                    <w:tab w:val="left" w:pos="2834"/>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Ayuntamiento de </w:t>
                </w:r>
                <w:proofErr w:type="spellStart"/>
                <w:r>
                  <w:rPr>
                    <w:rFonts w:ascii="Palatino Linotype" w:eastAsia="Palatino Linotype" w:hAnsi="Palatino Linotype" w:cs="Palatino Linotype"/>
                    <w:sz w:val="22"/>
                    <w:szCs w:val="22"/>
                  </w:rPr>
                  <w:t>Temamatla</w:t>
                </w:r>
                <w:proofErr w:type="spellEnd"/>
              </w:p>
            </w:tc>
          </w:tr>
          <w:tr w:rsidR="00F47EF3">
            <w:trPr>
              <w:trHeight w:val="295"/>
            </w:trPr>
            <w:tc>
              <w:tcPr>
                <w:tcW w:w="2551" w:type="dxa"/>
                <w:shd w:val="clear" w:color="auto" w:fill="auto"/>
              </w:tcPr>
              <w:p w:rsidR="00F47EF3" w:rsidRDefault="00F47EF3">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tcPr>
              <w:p w:rsidR="00F47EF3" w:rsidRDefault="00F47EF3">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F47EF3" w:rsidRDefault="00F47EF3">
                <w:pPr>
                  <w:tabs>
                    <w:tab w:val="right" w:pos="8838"/>
                  </w:tabs>
                  <w:ind w:left="-108" w:right="171"/>
                  <w:jc w:val="both"/>
                  <w:rPr>
                    <w:rFonts w:ascii="Palatino Linotype" w:eastAsia="Palatino Linotype" w:hAnsi="Palatino Linotype" w:cs="Palatino Linotype"/>
                    <w:b/>
                    <w:sz w:val="22"/>
                    <w:szCs w:val="22"/>
                  </w:rPr>
                </w:pPr>
              </w:p>
            </w:tc>
          </w:tr>
        </w:tbl>
        <w:p w:rsidR="00F47EF3" w:rsidRDefault="00F47EF3">
          <w:pPr>
            <w:tabs>
              <w:tab w:val="right" w:pos="8838"/>
            </w:tabs>
            <w:ind w:left="-28"/>
            <w:jc w:val="both"/>
            <w:rPr>
              <w:rFonts w:ascii="Arial" w:eastAsia="Arial" w:hAnsi="Arial" w:cs="Arial"/>
              <w:b/>
              <w:sz w:val="22"/>
              <w:szCs w:val="22"/>
            </w:rPr>
          </w:pPr>
        </w:p>
      </w:tc>
    </w:tr>
  </w:tbl>
  <w:p w:rsidR="00F47EF3" w:rsidRDefault="00833A1B">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EF3" w:rsidRDefault="00F47EF3">
    <w:pPr>
      <w:widowControl w:val="0"/>
      <w:pBdr>
        <w:top w:val="nil"/>
        <w:left w:val="nil"/>
        <w:bottom w:val="nil"/>
        <w:right w:val="nil"/>
        <w:between w:val="nil"/>
      </w:pBdr>
      <w:spacing w:line="276" w:lineRule="auto"/>
      <w:rPr>
        <w:color w:val="000000"/>
        <w:sz w:val="14"/>
        <w:szCs w:val="14"/>
      </w:rPr>
    </w:pPr>
  </w:p>
  <w:tbl>
    <w:tblPr>
      <w:tblStyle w:val="a5"/>
      <w:tblW w:w="9072" w:type="dxa"/>
      <w:tblInd w:w="0" w:type="dxa"/>
      <w:tblLayout w:type="fixed"/>
      <w:tblLook w:val="0400" w:firstRow="0" w:lastRow="0" w:firstColumn="0" w:lastColumn="0" w:noHBand="0" w:noVBand="1"/>
    </w:tblPr>
    <w:tblGrid>
      <w:gridCol w:w="2268"/>
      <w:gridCol w:w="6804"/>
    </w:tblGrid>
    <w:tr w:rsidR="00F47EF3">
      <w:trPr>
        <w:trHeight w:val="1435"/>
      </w:trPr>
      <w:tc>
        <w:tcPr>
          <w:tcW w:w="2268" w:type="dxa"/>
          <w:shd w:val="clear" w:color="auto" w:fill="auto"/>
        </w:tcPr>
        <w:p w:rsidR="00F47EF3" w:rsidRDefault="00F47EF3">
          <w:pPr>
            <w:tabs>
              <w:tab w:val="right" w:pos="4273"/>
            </w:tabs>
            <w:rPr>
              <w:rFonts w:ascii="Garamond" w:eastAsia="Garamond" w:hAnsi="Garamond" w:cs="Garamond"/>
              <w:sz w:val="22"/>
              <w:szCs w:val="22"/>
            </w:rPr>
          </w:pPr>
        </w:p>
      </w:tc>
      <w:tc>
        <w:tcPr>
          <w:tcW w:w="6804" w:type="dxa"/>
          <w:shd w:val="clear" w:color="auto" w:fill="auto"/>
        </w:tcPr>
        <w:p w:rsidR="00F47EF3" w:rsidRDefault="00F47EF3">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6"/>
            <w:tblW w:w="6662" w:type="dxa"/>
            <w:tblInd w:w="40" w:type="dxa"/>
            <w:tblLayout w:type="fixed"/>
            <w:tblLook w:val="0400" w:firstRow="0" w:lastRow="0" w:firstColumn="0" w:lastColumn="0" w:noHBand="0" w:noVBand="1"/>
          </w:tblPr>
          <w:tblGrid>
            <w:gridCol w:w="2444"/>
            <w:gridCol w:w="4218"/>
          </w:tblGrid>
          <w:tr w:rsidR="00F47EF3">
            <w:trPr>
              <w:trHeight w:val="144"/>
            </w:trPr>
            <w:tc>
              <w:tcPr>
                <w:tcW w:w="2444" w:type="dxa"/>
                <w:shd w:val="clear" w:color="auto" w:fill="auto"/>
              </w:tcPr>
              <w:p w:rsidR="00F47EF3" w:rsidRDefault="00F47EF3">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18" w:type="dxa"/>
                <w:shd w:val="clear" w:color="auto" w:fill="auto"/>
              </w:tcPr>
              <w:p w:rsidR="00F47EF3" w:rsidRDefault="00F47EF3">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06718/INFOEM/IP/RR/2024 y Acumulados</w:t>
                </w:r>
              </w:p>
            </w:tc>
          </w:tr>
          <w:tr w:rsidR="00F47EF3">
            <w:trPr>
              <w:trHeight w:val="144"/>
            </w:trPr>
            <w:tc>
              <w:tcPr>
                <w:tcW w:w="2444" w:type="dxa"/>
                <w:shd w:val="clear" w:color="auto" w:fill="auto"/>
              </w:tcPr>
              <w:p w:rsidR="00F47EF3" w:rsidRDefault="00F47EF3">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rsidR="00F47EF3" w:rsidRDefault="00F47EF3">
                <w:pPr>
                  <w:tabs>
                    <w:tab w:val="left" w:pos="3122"/>
                    <w:tab w:val="right" w:pos="8838"/>
                  </w:tabs>
                  <w:ind w:left="-74" w:right="-105"/>
                  <w:jc w:val="both"/>
                  <w:rPr>
                    <w:rFonts w:ascii="Palatino Linotype" w:eastAsia="Palatino Linotype" w:hAnsi="Palatino Linotype" w:cs="Palatino Linotype"/>
                    <w:sz w:val="22"/>
                    <w:szCs w:val="22"/>
                  </w:rPr>
                </w:pPr>
              </w:p>
            </w:tc>
          </w:tr>
          <w:tr w:rsidR="00F47EF3">
            <w:trPr>
              <w:trHeight w:val="283"/>
            </w:trPr>
            <w:tc>
              <w:tcPr>
                <w:tcW w:w="2444" w:type="dxa"/>
                <w:shd w:val="clear" w:color="auto" w:fill="auto"/>
              </w:tcPr>
              <w:p w:rsidR="00F47EF3" w:rsidRDefault="00F47EF3">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rsidR="00F47EF3" w:rsidRDefault="00F47EF3">
                <w:pPr>
                  <w:tabs>
                    <w:tab w:val="left" w:pos="2834"/>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Ayuntamiento de </w:t>
                </w:r>
                <w:proofErr w:type="spellStart"/>
                <w:r>
                  <w:rPr>
                    <w:rFonts w:ascii="Palatino Linotype" w:eastAsia="Palatino Linotype" w:hAnsi="Palatino Linotype" w:cs="Palatino Linotype"/>
                    <w:sz w:val="22"/>
                    <w:szCs w:val="22"/>
                  </w:rPr>
                  <w:t>Temamatla</w:t>
                </w:r>
                <w:proofErr w:type="spellEnd"/>
              </w:p>
            </w:tc>
          </w:tr>
          <w:tr w:rsidR="00F47EF3">
            <w:trPr>
              <w:trHeight w:val="283"/>
            </w:trPr>
            <w:tc>
              <w:tcPr>
                <w:tcW w:w="2444" w:type="dxa"/>
                <w:shd w:val="clear" w:color="auto" w:fill="auto"/>
              </w:tcPr>
              <w:p w:rsidR="00F47EF3" w:rsidRDefault="00F47EF3">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18" w:type="dxa"/>
                <w:shd w:val="clear" w:color="auto" w:fill="auto"/>
              </w:tcPr>
              <w:p w:rsidR="00F47EF3" w:rsidRDefault="00F47EF3">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F47EF3" w:rsidRDefault="00F47EF3">
                <w:pPr>
                  <w:tabs>
                    <w:tab w:val="right" w:pos="8838"/>
                  </w:tabs>
                  <w:ind w:left="-74" w:right="-105"/>
                  <w:jc w:val="both"/>
                  <w:rPr>
                    <w:rFonts w:ascii="Palatino Linotype" w:eastAsia="Palatino Linotype" w:hAnsi="Palatino Linotype" w:cs="Palatino Linotype"/>
                    <w:b/>
                    <w:sz w:val="22"/>
                    <w:szCs w:val="22"/>
                  </w:rPr>
                </w:pPr>
              </w:p>
            </w:tc>
          </w:tr>
        </w:tbl>
        <w:p w:rsidR="00F47EF3" w:rsidRDefault="00F47EF3">
          <w:pPr>
            <w:tabs>
              <w:tab w:val="right" w:pos="8838"/>
            </w:tabs>
            <w:ind w:left="-28"/>
            <w:jc w:val="both"/>
            <w:rPr>
              <w:rFonts w:ascii="Arial" w:eastAsia="Arial" w:hAnsi="Arial" w:cs="Arial"/>
              <w:b/>
              <w:sz w:val="22"/>
              <w:szCs w:val="22"/>
            </w:rPr>
          </w:pPr>
        </w:p>
      </w:tc>
    </w:tr>
  </w:tbl>
  <w:p w:rsidR="00F47EF3" w:rsidRDefault="00833A1B">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17634"/>
    <w:multiLevelType w:val="multilevel"/>
    <w:tmpl w:val="1722D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5E5FA0"/>
    <w:multiLevelType w:val="multilevel"/>
    <w:tmpl w:val="7B143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4868C8"/>
    <w:multiLevelType w:val="multilevel"/>
    <w:tmpl w:val="24A67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375836"/>
    <w:multiLevelType w:val="multilevel"/>
    <w:tmpl w:val="BC50030E"/>
    <w:lvl w:ilvl="0">
      <w:start w:val="1"/>
      <w:numFmt w:val="bullet"/>
      <w:lvlText w:val="●"/>
      <w:lvlJc w:val="left"/>
      <w:pPr>
        <w:ind w:left="1037" w:hanging="360"/>
      </w:pPr>
      <w:rPr>
        <w:rFonts w:ascii="Noto Sans Symbols" w:eastAsia="Noto Sans Symbols" w:hAnsi="Noto Sans Symbols" w:cs="Noto Sans Symbols"/>
      </w:rPr>
    </w:lvl>
    <w:lvl w:ilvl="1">
      <w:start w:val="1"/>
      <w:numFmt w:val="bullet"/>
      <w:lvlText w:val="o"/>
      <w:lvlJc w:val="left"/>
      <w:pPr>
        <w:ind w:left="1757" w:hanging="360"/>
      </w:pPr>
      <w:rPr>
        <w:rFonts w:ascii="Courier New" w:eastAsia="Courier New" w:hAnsi="Courier New" w:cs="Courier New"/>
      </w:rPr>
    </w:lvl>
    <w:lvl w:ilvl="2">
      <w:start w:val="1"/>
      <w:numFmt w:val="bullet"/>
      <w:lvlText w:val="▪"/>
      <w:lvlJc w:val="left"/>
      <w:pPr>
        <w:ind w:left="2477" w:hanging="360"/>
      </w:pPr>
      <w:rPr>
        <w:rFonts w:ascii="Noto Sans Symbols" w:eastAsia="Noto Sans Symbols" w:hAnsi="Noto Sans Symbols" w:cs="Noto Sans Symbols"/>
      </w:rPr>
    </w:lvl>
    <w:lvl w:ilvl="3">
      <w:start w:val="1"/>
      <w:numFmt w:val="bullet"/>
      <w:lvlText w:val="●"/>
      <w:lvlJc w:val="left"/>
      <w:pPr>
        <w:ind w:left="3197" w:hanging="360"/>
      </w:pPr>
      <w:rPr>
        <w:rFonts w:ascii="Noto Sans Symbols" w:eastAsia="Noto Sans Symbols" w:hAnsi="Noto Sans Symbols" w:cs="Noto Sans Symbols"/>
      </w:rPr>
    </w:lvl>
    <w:lvl w:ilvl="4">
      <w:start w:val="1"/>
      <w:numFmt w:val="bullet"/>
      <w:lvlText w:val="o"/>
      <w:lvlJc w:val="left"/>
      <w:pPr>
        <w:ind w:left="3917" w:hanging="360"/>
      </w:pPr>
      <w:rPr>
        <w:rFonts w:ascii="Courier New" w:eastAsia="Courier New" w:hAnsi="Courier New" w:cs="Courier New"/>
      </w:rPr>
    </w:lvl>
    <w:lvl w:ilvl="5">
      <w:start w:val="1"/>
      <w:numFmt w:val="bullet"/>
      <w:lvlText w:val="▪"/>
      <w:lvlJc w:val="left"/>
      <w:pPr>
        <w:ind w:left="4637" w:hanging="360"/>
      </w:pPr>
      <w:rPr>
        <w:rFonts w:ascii="Noto Sans Symbols" w:eastAsia="Noto Sans Symbols" w:hAnsi="Noto Sans Symbols" w:cs="Noto Sans Symbols"/>
      </w:rPr>
    </w:lvl>
    <w:lvl w:ilvl="6">
      <w:start w:val="1"/>
      <w:numFmt w:val="bullet"/>
      <w:lvlText w:val="●"/>
      <w:lvlJc w:val="left"/>
      <w:pPr>
        <w:ind w:left="5357" w:hanging="360"/>
      </w:pPr>
      <w:rPr>
        <w:rFonts w:ascii="Noto Sans Symbols" w:eastAsia="Noto Sans Symbols" w:hAnsi="Noto Sans Symbols" w:cs="Noto Sans Symbols"/>
      </w:rPr>
    </w:lvl>
    <w:lvl w:ilvl="7">
      <w:start w:val="1"/>
      <w:numFmt w:val="bullet"/>
      <w:lvlText w:val="o"/>
      <w:lvlJc w:val="left"/>
      <w:pPr>
        <w:ind w:left="6077" w:hanging="360"/>
      </w:pPr>
      <w:rPr>
        <w:rFonts w:ascii="Courier New" w:eastAsia="Courier New" w:hAnsi="Courier New" w:cs="Courier New"/>
      </w:rPr>
    </w:lvl>
    <w:lvl w:ilvl="8">
      <w:start w:val="1"/>
      <w:numFmt w:val="bullet"/>
      <w:lvlText w:val="▪"/>
      <w:lvlJc w:val="left"/>
      <w:pPr>
        <w:ind w:left="6797" w:hanging="360"/>
      </w:pPr>
      <w:rPr>
        <w:rFonts w:ascii="Noto Sans Symbols" w:eastAsia="Noto Sans Symbols" w:hAnsi="Noto Sans Symbols" w:cs="Noto Sans Symbols"/>
      </w:rPr>
    </w:lvl>
  </w:abstractNum>
  <w:abstractNum w:abstractNumId="4" w15:restartNumberingAfterBreak="0">
    <w:nsid w:val="1BF66CE1"/>
    <w:multiLevelType w:val="multilevel"/>
    <w:tmpl w:val="6A06D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DE0316"/>
    <w:multiLevelType w:val="multilevel"/>
    <w:tmpl w:val="3BD60084"/>
    <w:lvl w:ilvl="0">
      <w:start w:val="1"/>
      <w:numFmt w:val="bullet"/>
      <w:lvlText w:val="●"/>
      <w:lvlJc w:val="left"/>
      <w:pPr>
        <w:ind w:left="1037" w:hanging="360"/>
      </w:pPr>
      <w:rPr>
        <w:rFonts w:ascii="Noto Sans Symbols" w:eastAsia="Noto Sans Symbols" w:hAnsi="Noto Sans Symbols" w:cs="Noto Sans Symbols"/>
      </w:rPr>
    </w:lvl>
    <w:lvl w:ilvl="1">
      <w:start w:val="1"/>
      <w:numFmt w:val="bullet"/>
      <w:lvlText w:val="o"/>
      <w:lvlJc w:val="left"/>
      <w:pPr>
        <w:ind w:left="1757" w:hanging="360"/>
      </w:pPr>
      <w:rPr>
        <w:rFonts w:ascii="Courier New" w:eastAsia="Courier New" w:hAnsi="Courier New" w:cs="Courier New"/>
      </w:rPr>
    </w:lvl>
    <w:lvl w:ilvl="2">
      <w:start w:val="1"/>
      <w:numFmt w:val="bullet"/>
      <w:lvlText w:val="▪"/>
      <w:lvlJc w:val="left"/>
      <w:pPr>
        <w:ind w:left="2477" w:hanging="360"/>
      </w:pPr>
      <w:rPr>
        <w:rFonts w:ascii="Noto Sans Symbols" w:eastAsia="Noto Sans Symbols" w:hAnsi="Noto Sans Symbols" w:cs="Noto Sans Symbols"/>
      </w:rPr>
    </w:lvl>
    <w:lvl w:ilvl="3">
      <w:start w:val="1"/>
      <w:numFmt w:val="bullet"/>
      <w:lvlText w:val="●"/>
      <w:lvlJc w:val="left"/>
      <w:pPr>
        <w:ind w:left="3197" w:hanging="360"/>
      </w:pPr>
      <w:rPr>
        <w:rFonts w:ascii="Noto Sans Symbols" w:eastAsia="Noto Sans Symbols" w:hAnsi="Noto Sans Symbols" w:cs="Noto Sans Symbols"/>
      </w:rPr>
    </w:lvl>
    <w:lvl w:ilvl="4">
      <w:start w:val="1"/>
      <w:numFmt w:val="bullet"/>
      <w:lvlText w:val="o"/>
      <w:lvlJc w:val="left"/>
      <w:pPr>
        <w:ind w:left="3917" w:hanging="360"/>
      </w:pPr>
      <w:rPr>
        <w:rFonts w:ascii="Courier New" w:eastAsia="Courier New" w:hAnsi="Courier New" w:cs="Courier New"/>
      </w:rPr>
    </w:lvl>
    <w:lvl w:ilvl="5">
      <w:start w:val="1"/>
      <w:numFmt w:val="bullet"/>
      <w:lvlText w:val="▪"/>
      <w:lvlJc w:val="left"/>
      <w:pPr>
        <w:ind w:left="4637" w:hanging="360"/>
      </w:pPr>
      <w:rPr>
        <w:rFonts w:ascii="Noto Sans Symbols" w:eastAsia="Noto Sans Symbols" w:hAnsi="Noto Sans Symbols" w:cs="Noto Sans Symbols"/>
      </w:rPr>
    </w:lvl>
    <w:lvl w:ilvl="6">
      <w:start w:val="1"/>
      <w:numFmt w:val="bullet"/>
      <w:lvlText w:val="●"/>
      <w:lvlJc w:val="left"/>
      <w:pPr>
        <w:ind w:left="5357" w:hanging="360"/>
      </w:pPr>
      <w:rPr>
        <w:rFonts w:ascii="Noto Sans Symbols" w:eastAsia="Noto Sans Symbols" w:hAnsi="Noto Sans Symbols" w:cs="Noto Sans Symbols"/>
      </w:rPr>
    </w:lvl>
    <w:lvl w:ilvl="7">
      <w:start w:val="1"/>
      <w:numFmt w:val="bullet"/>
      <w:lvlText w:val="o"/>
      <w:lvlJc w:val="left"/>
      <w:pPr>
        <w:ind w:left="6077" w:hanging="360"/>
      </w:pPr>
      <w:rPr>
        <w:rFonts w:ascii="Courier New" w:eastAsia="Courier New" w:hAnsi="Courier New" w:cs="Courier New"/>
      </w:rPr>
    </w:lvl>
    <w:lvl w:ilvl="8">
      <w:start w:val="1"/>
      <w:numFmt w:val="bullet"/>
      <w:lvlText w:val="▪"/>
      <w:lvlJc w:val="left"/>
      <w:pPr>
        <w:ind w:left="6797" w:hanging="360"/>
      </w:pPr>
      <w:rPr>
        <w:rFonts w:ascii="Noto Sans Symbols" w:eastAsia="Noto Sans Symbols" w:hAnsi="Noto Sans Symbols" w:cs="Noto Sans Symbols"/>
      </w:rPr>
    </w:lvl>
  </w:abstractNum>
  <w:abstractNum w:abstractNumId="6" w15:restartNumberingAfterBreak="0">
    <w:nsid w:val="3BCD5789"/>
    <w:multiLevelType w:val="multilevel"/>
    <w:tmpl w:val="E8DE4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E56A9B"/>
    <w:multiLevelType w:val="multilevel"/>
    <w:tmpl w:val="F012A13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7422F2"/>
    <w:multiLevelType w:val="multilevel"/>
    <w:tmpl w:val="A5182278"/>
    <w:lvl w:ilvl="0">
      <w:start w:val="1"/>
      <w:numFmt w:val="bullet"/>
      <w:lvlText w:val="●"/>
      <w:lvlJc w:val="left"/>
      <w:pPr>
        <w:ind w:left="1037" w:hanging="360"/>
      </w:pPr>
      <w:rPr>
        <w:rFonts w:ascii="Noto Sans Symbols" w:eastAsia="Noto Sans Symbols" w:hAnsi="Noto Sans Symbols" w:cs="Noto Sans Symbols"/>
      </w:rPr>
    </w:lvl>
    <w:lvl w:ilvl="1">
      <w:start w:val="1"/>
      <w:numFmt w:val="bullet"/>
      <w:lvlText w:val="o"/>
      <w:lvlJc w:val="left"/>
      <w:pPr>
        <w:ind w:left="1757" w:hanging="360"/>
      </w:pPr>
      <w:rPr>
        <w:rFonts w:ascii="Courier New" w:eastAsia="Courier New" w:hAnsi="Courier New" w:cs="Courier New"/>
      </w:rPr>
    </w:lvl>
    <w:lvl w:ilvl="2">
      <w:start w:val="1"/>
      <w:numFmt w:val="bullet"/>
      <w:lvlText w:val="▪"/>
      <w:lvlJc w:val="left"/>
      <w:pPr>
        <w:ind w:left="2477" w:hanging="360"/>
      </w:pPr>
      <w:rPr>
        <w:rFonts w:ascii="Noto Sans Symbols" w:eastAsia="Noto Sans Symbols" w:hAnsi="Noto Sans Symbols" w:cs="Noto Sans Symbols"/>
      </w:rPr>
    </w:lvl>
    <w:lvl w:ilvl="3">
      <w:start w:val="1"/>
      <w:numFmt w:val="bullet"/>
      <w:lvlText w:val="●"/>
      <w:lvlJc w:val="left"/>
      <w:pPr>
        <w:ind w:left="3197" w:hanging="360"/>
      </w:pPr>
      <w:rPr>
        <w:rFonts w:ascii="Noto Sans Symbols" w:eastAsia="Noto Sans Symbols" w:hAnsi="Noto Sans Symbols" w:cs="Noto Sans Symbols"/>
      </w:rPr>
    </w:lvl>
    <w:lvl w:ilvl="4">
      <w:start w:val="1"/>
      <w:numFmt w:val="bullet"/>
      <w:lvlText w:val="o"/>
      <w:lvlJc w:val="left"/>
      <w:pPr>
        <w:ind w:left="3917" w:hanging="360"/>
      </w:pPr>
      <w:rPr>
        <w:rFonts w:ascii="Courier New" w:eastAsia="Courier New" w:hAnsi="Courier New" w:cs="Courier New"/>
      </w:rPr>
    </w:lvl>
    <w:lvl w:ilvl="5">
      <w:start w:val="1"/>
      <w:numFmt w:val="bullet"/>
      <w:lvlText w:val="▪"/>
      <w:lvlJc w:val="left"/>
      <w:pPr>
        <w:ind w:left="4637" w:hanging="360"/>
      </w:pPr>
      <w:rPr>
        <w:rFonts w:ascii="Noto Sans Symbols" w:eastAsia="Noto Sans Symbols" w:hAnsi="Noto Sans Symbols" w:cs="Noto Sans Symbols"/>
      </w:rPr>
    </w:lvl>
    <w:lvl w:ilvl="6">
      <w:start w:val="1"/>
      <w:numFmt w:val="bullet"/>
      <w:lvlText w:val="●"/>
      <w:lvlJc w:val="left"/>
      <w:pPr>
        <w:ind w:left="5357" w:hanging="360"/>
      </w:pPr>
      <w:rPr>
        <w:rFonts w:ascii="Noto Sans Symbols" w:eastAsia="Noto Sans Symbols" w:hAnsi="Noto Sans Symbols" w:cs="Noto Sans Symbols"/>
      </w:rPr>
    </w:lvl>
    <w:lvl w:ilvl="7">
      <w:start w:val="1"/>
      <w:numFmt w:val="bullet"/>
      <w:lvlText w:val="o"/>
      <w:lvlJc w:val="left"/>
      <w:pPr>
        <w:ind w:left="6077" w:hanging="360"/>
      </w:pPr>
      <w:rPr>
        <w:rFonts w:ascii="Courier New" w:eastAsia="Courier New" w:hAnsi="Courier New" w:cs="Courier New"/>
      </w:rPr>
    </w:lvl>
    <w:lvl w:ilvl="8">
      <w:start w:val="1"/>
      <w:numFmt w:val="bullet"/>
      <w:lvlText w:val="▪"/>
      <w:lvlJc w:val="left"/>
      <w:pPr>
        <w:ind w:left="6797" w:hanging="360"/>
      </w:pPr>
      <w:rPr>
        <w:rFonts w:ascii="Noto Sans Symbols" w:eastAsia="Noto Sans Symbols" w:hAnsi="Noto Sans Symbols" w:cs="Noto Sans Symbols"/>
      </w:rPr>
    </w:lvl>
  </w:abstractNum>
  <w:abstractNum w:abstractNumId="9" w15:restartNumberingAfterBreak="0">
    <w:nsid w:val="5A8C72B8"/>
    <w:multiLevelType w:val="multilevel"/>
    <w:tmpl w:val="A3EAE3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CE03774"/>
    <w:multiLevelType w:val="multilevel"/>
    <w:tmpl w:val="3B242EA4"/>
    <w:lvl w:ilvl="0">
      <w:start w:val="1"/>
      <w:numFmt w:val="bullet"/>
      <w:lvlText w:val="●"/>
      <w:lvlJc w:val="left"/>
      <w:pPr>
        <w:ind w:left="1037" w:hanging="360"/>
      </w:pPr>
      <w:rPr>
        <w:rFonts w:ascii="Noto Sans Symbols" w:eastAsia="Noto Sans Symbols" w:hAnsi="Noto Sans Symbols" w:cs="Noto Sans Symbols"/>
      </w:rPr>
    </w:lvl>
    <w:lvl w:ilvl="1">
      <w:start w:val="1"/>
      <w:numFmt w:val="bullet"/>
      <w:lvlText w:val="o"/>
      <w:lvlJc w:val="left"/>
      <w:pPr>
        <w:ind w:left="1757" w:hanging="360"/>
      </w:pPr>
      <w:rPr>
        <w:rFonts w:ascii="Courier New" w:eastAsia="Courier New" w:hAnsi="Courier New" w:cs="Courier New"/>
      </w:rPr>
    </w:lvl>
    <w:lvl w:ilvl="2">
      <w:start w:val="1"/>
      <w:numFmt w:val="bullet"/>
      <w:lvlText w:val="▪"/>
      <w:lvlJc w:val="left"/>
      <w:pPr>
        <w:ind w:left="2477" w:hanging="360"/>
      </w:pPr>
      <w:rPr>
        <w:rFonts w:ascii="Noto Sans Symbols" w:eastAsia="Noto Sans Symbols" w:hAnsi="Noto Sans Symbols" w:cs="Noto Sans Symbols"/>
      </w:rPr>
    </w:lvl>
    <w:lvl w:ilvl="3">
      <w:start w:val="1"/>
      <w:numFmt w:val="bullet"/>
      <w:lvlText w:val="●"/>
      <w:lvlJc w:val="left"/>
      <w:pPr>
        <w:ind w:left="3197" w:hanging="360"/>
      </w:pPr>
      <w:rPr>
        <w:rFonts w:ascii="Noto Sans Symbols" w:eastAsia="Noto Sans Symbols" w:hAnsi="Noto Sans Symbols" w:cs="Noto Sans Symbols"/>
      </w:rPr>
    </w:lvl>
    <w:lvl w:ilvl="4">
      <w:start w:val="1"/>
      <w:numFmt w:val="bullet"/>
      <w:lvlText w:val="o"/>
      <w:lvlJc w:val="left"/>
      <w:pPr>
        <w:ind w:left="3917" w:hanging="360"/>
      </w:pPr>
      <w:rPr>
        <w:rFonts w:ascii="Courier New" w:eastAsia="Courier New" w:hAnsi="Courier New" w:cs="Courier New"/>
      </w:rPr>
    </w:lvl>
    <w:lvl w:ilvl="5">
      <w:start w:val="1"/>
      <w:numFmt w:val="bullet"/>
      <w:lvlText w:val="▪"/>
      <w:lvlJc w:val="left"/>
      <w:pPr>
        <w:ind w:left="4637" w:hanging="360"/>
      </w:pPr>
      <w:rPr>
        <w:rFonts w:ascii="Noto Sans Symbols" w:eastAsia="Noto Sans Symbols" w:hAnsi="Noto Sans Symbols" w:cs="Noto Sans Symbols"/>
      </w:rPr>
    </w:lvl>
    <w:lvl w:ilvl="6">
      <w:start w:val="1"/>
      <w:numFmt w:val="bullet"/>
      <w:lvlText w:val="●"/>
      <w:lvlJc w:val="left"/>
      <w:pPr>
        <w:ind w:left="5357" w:hanging="360"/>
      </w:pPr>
      <w:rPr>
        <w:rFonts w:ascii="Noto Sans Symbols" w:eastAsia="Noto Sans Symbols" w:hAnsi="Noto Sans Symbols" w:cs="Noto Sans Symbols"/>
      </w:rPr>
    </w:lvl>
    <w:lvl w:ilvl="7">
      <w:start w:val="1"/>
      <w:numFmt w:val="bullet"/>
      <w:lvlText w:val="o"/>
      <w:lvlJc w:val="left"/>
      <w:pPr>
        <w:ind w:left="6077" w:hanging="360"/>
      </w:pPr>
      <w:rPr>
        <w:rFonts w:ascii="Courier New" w:eastAsia="Courier New" w:hAnsi="Courier New" w:cs="Courier New"/>
      </w:rPr>
    </w:lvl>
    <w:lvl w:ilvl="8">
      <w:start w:val="1"/>
      <w:numFmt w:val="bullet"/>
      <w:lvlText w:val="▪"/>
      <w:lvlJc w:val="left"/>
      <w:pPr>
        <w:ind w:left="6797" w:hanging="360"/>
      </w:pPr>
      <w:rPr>
        <w:rFonts w:ascii="Noto Sans Symbols" w:eastAsia="Noto Sans Symbols" w:hAnsi="Noto Sans Symbols" w:cs="Noto Sans Symbols"/>
      </w:rPr>
    </w:lvl>
  </w:abstractNum>
  <w:abstractNum w:abstractNumId="11" w15:restartNumberingAfterBreak="0">
    <w:nsid w:val="638658E4"/>
    <w:multiLevelType w:val="multilevel"/>
    <w:tmpl w:val="FA262472"/>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5F12530"/>
    <w:multiLevelType w:val="multilevel"/>
    <w:tmpl w:val="A6FC8D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CB47869"/>
    <w:multiLevelType w:val="multilevel"/>
    <w:tmpl w:val="2B748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
  </w:num>
  <w:num w:numId="3">
    <w:abstractNumId w:val="0"/>
  </w:num>
  <w:num w:numId="4">
    <w:abstractNumId w:val="2"/>
  </w:num>
  <w:num w:numId="5">
    <w:abstractNumId w:val="9"/>
  </w:num>
  <w:num w:numId="6">
    <w:abstractNumId w:val="13"/>
  </w:num>
  <w:num w:numId="7">
    <w:abstractNumId w:val="5"/>
  </w:num>
  <w:num w:numId="8">
    <w:abstractNumId w:val="3"/>
  </w:num>
  <w:num w:numId="9">
    <w:abstractNumId w:val="8"/>
  </w:num>
  <w:num w:numId="10">
    <w:abstractNumId w:val="10"/>
  </w:num>
  <w:num w:numId="11">
    <w:abstractNumId w:val="12"/>
  </w:num>
  <w:num w:numId="12">
    <w:abstractNumId w:val="11"/>
  </w:num>
  <w:num w:numId="13">
    <w:abstractNumId w:val="6"/>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162"/>
    <w:rsid w:val="00080F9C"/>
    <w:rsid w:val="000959FC"/>
    <w:rsid w:val="003C1162"/>
    <w:rsid w:val="004D3263"/>
    <w:rsid w:val="00833A1B"/>
    <w:rsid w:val="009054A9"/>
    <w:rsid w:val="00A10F07"/>
    <w:rsid w:val="00CC5CCC"/>
    <w:rsid w:val="00F47E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24B4E55-A891-49A0-80FC-7CD550A2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C0C"/>
  </w:style>
  <w:style w:type="paragraph" w:styleId="Ttulo1">
    <w:name w:val="heading 1"/>
    <w:basedOn w:val="Normal"/>
    <w:next w:val="Normal"/>
    <w:link w:val="Ttulo1Car"/>
    <w:uiPriority w:val="9"/>
    <w:qFormat/>
    <w:rsid w:val="00DA425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DA425F"/>
    <w:rPr>
      <w:rFonts w:asciiTheme="majorHAnsi" w:eastAsiaTheme="majorEastAsia" w:hAnsiTheme="majorHAnsi" w:cstheme="majorBidi"/>
      <w:color w:val="2E74B5" w:themeColor="accent1" w:themeShade="BF"/>
      <w:sz w:val="32"/>
      <w:szCs w:val="32"/>
      <w:lang w:eastAsia="es-MX"/>
    </w:rPr>
  </w:style>
  <w:style w:type="paragraph" w:styleId="Encabezado">
    <w:name w:val="header"/>
    <w:basedOn w:val="Normal"/>
    <w:link w:val="EncabezadoCar"/>
    <w:uiPriority w:val="99"/>
    <w:unhideWhenUsed/>
    <w:rsid w:val="00DA425F"/>
    <w:pPr>
      <w:tabs>
        <w:tab w:val="center" w:pos="4419"/>
        <w:tab w:val="right" w:pos="8838"/>
      </w:tabs>
    </w:pPr>
  </w:style>
  <w:style w:type="character" w:customStyle="1" w:styleId="EncabezadoCar">
    <w:name w:val="Encabezado Car"/>
    <w:basedOn w:val="Fuentedeprrafopredeter"/>
    <w:link w:val="Encabezado"/>
    <w:uiPriority w:val="99"/>
    <w:rsid w:val="00DA425F"/>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DA425F"/>
    <w:pPr>
      <w:tabs>
        <w:tab w:val="center" w:pos="4419"/>
        <w:tab w:val="right" w:pos="8838"/>
      </w:tabs>
    </w:pPr>
  </w:style>
  <w:style w:type="character" w:customStyle="1" w:styleId="PiedepginaCar">
    <w:name w:val="Pie de página Car"/>
    <w:basedOn w:val="Fuentedeprrafopredeter"/>
    <w:link w:val="Piedepgina"/>
    <w:uiPriority w:val="99"/>
    <w:rsid w:val="00DA425F"/>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A425F"/>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DA425F"/>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DA425F"/>
    <w:rPr>
      <w:color w:val="0563C1"/>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A425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A425F"/>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DA425F"/>
    <w:rPr>
      <w:vertAlign w:val="superscript"/>
    </w:rPr>
  </w:style>
  <w:style w:type="paragraph" w:customStyle="1" w:styleId="Default">
    <w:name w:val="Default"/>
    <w:rsid w:val="00DA425F"/>
    <w:pPr>
      <w:autoSpaceDE w:val="0"/>
      <w:autoSpaceDN w:val="0"/>
      <w:adjustRightInd w:val="0"/>
    </w:pPr>
    <w:rPr>
      <w:rFonts w:ascii="Arial" w:hAnsi="Arial" w:cs="Arial"/>
      <w:color w:val="000000"/>
    </w:rPr>
  </w:style>
  <w:style w:type="table" w:styleId="Tabladecuadrcula6concolores">
    <w:name w:val="Grid Table 6 Colorful"/>
    <w:basedOn w:val="Tablanormal"/>
    <w:uiPriority w:val="51"/>
    <w:rsid w:val="00DA425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angradetextonormal">
    <w:name w:val="Body Text Indent"/>
    <w:basedOn w:val="Normal"/>
    <w:link w:val="SangradetextonormalCar"/>
    <w:uiPriority w:val="99"/>
    <w:semiHidden/>
    <w:unhideWhenUsed/>
    <w:rsid w:val="00DA425F"/>
    <w:pPr>
      <w:spacing w:after="120"/>
      <w:ind w:left="283"/>
    </w:pPr>
  </w:style>
  <w:style w:type="character" w:customStyle="1" w:styleId="SangradetextonormalCar">
    <w:name w:val="Sangría de texto normal Car"/>
    <w:basedOn w:val="Fuentedeprrafopredeter"/>
    <w:link w:val="Sangradetextonormal"/>
    <w:uiPriority w:val="99"/>
    <w:semiHidden/>
    <w:rsid w:val="00DA425F"/>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DA425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A425F"/>
    <w:rPr>
      <w:rFonts w:ascii="Times New Roman" w:eastAsia="Times New Roman" w:hAnsi="Times New Roman" w:cs="Times New Roman"/>
      <w:sz w:val="24"/>
      <w:szCs w:val="24"/>
      <w:lang w:eastAsia="es-MX"/>
    </w:rPr>
  </w:style>
  <w:style w:type="table" w:styleId="Tablaconcuadrcula">
    <w:name w:val="Table Grid"/>
    <w:basedOn w:val="Tablanormal"/>
    <w:uiPriority w:val="39"/>
    <w:rsid w:val="00DA42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425F"/>
    <w:pPr>
      <w:spacing w:before="100" w:beforeAutospacing="1" w:after="100" w:afterAutospacing="1"/>
    </w:pPr>
  </w:style>
  <w:style w:type="character" w:customStyle="1" w:styleId="c1">
    <w:name w:val="c1"/>
    <w:basedOn w:val="Fuentedeprrafopredeter"/>
    <w:rsid w:val="00DA425F"/>
  </w:style>
  <w:style w:type="table" w:styleId="Tabladecuadrcula4-nfasis3">
    <w:name w:val="Grid Table 4 Accent 3"/>
    <w:basedOn w:val="Tablanormal"/>
    <w:uiPriority w:val="49"/>
    <w:rsid w:val="00D0088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www.saimex.org.mx/saimex/solicitud/downloadAttach/2256424.page" TargetMode="External"/><Relationship Id="rId21" Type="http://schemas.openxmlformats.org/officeDocument/2006/relationships/hyperlink" Target="https://www.saimex.org.mx/saimex/solicitud/downloadAttach/2246514.page" TargetMode="External"/><Relationship Id="rId42" Type="http://schemas.openxmlformats.org/officeDocument/2006/relationships/hyperlink" Target="https://www.saimex.org.mx/saimex/solicitud/downloadAttach/2255310.page" TargetMode="External"/><Relationship Id="rId47" Type="http://schemas.openxmlformats.org/officeDocument/2006/relationships/hyperlink" Target="https://www.saimex.org.mx/saimex/solicitud/downloadAttach/2255311.page" TargetMode="External"/><Relationship Id="rId63" Type="http://schemas.openxmlformats.org/officeDocument/2006/relationships/hyperlink" Target="https://www.saimex.org.mx/saimex/solicitud/downloadAttach/2255204.page" TargetMode="External"/><Relationship Id="rId68" Type="http://schemas.openxmlformats.org/officeDocument/2006/relationships/hyperlink" Target="https://www.saimex.org.mx/saimex/solicitud/downloadAttach/2255310.page" TargetMode="External"/><Relationship Id="rId84" Type="http://schemas.openxmlformats.org/officeDocument/2006/relationships/hyperlink" Target="https://www.saimex.org.mx/saimex/solicitud/downloadAttach/2255310.page" TargetMode="External"/><Relationship Id="rId89" Type="http://schemas.openxmlformats.org/officeDocument/2006/relationships/hyperlink" Target="https://www.saimex.org.mx/saimex/solicitud/downloadAttach/2255310.page" TargetMode="External"/><Relationship Id="rId112" Type="http://schemas.openxmlformats.org/officeDocument/2006/relationships/header" Target="header3.xml"/><Relationship Id="rId16" Type="http://schemas.openxmlformats.org/officeDocument/2006/relationships/hyperlink" Target="https://www.saimex.org.mx/saimex/solicitud/downloadAttach/2249085.page" TargetMode="External"/><Relationship Id="rId107" Type="http://schemas.openxmlformats.org/officeDocument/2006/relationships/image" Target="media/image10.png"/><Relationship Id="rId11" Type="http://schemas.openxmlformats.org/officeDocument/2006/relationships/hyperlink" Target="https://www.saimex.org.mx/saimex/solicitud/downloadAttach/2256424.page" TargetMode="External"/><Relationship Id="rId32" Type="http://schemas.openxmlformats.org/officeDocument/2006/relationships/hyperlink" Target="https://www.saimex.org.mx/saimex/solicitud/downloadAttach/2255311.page" TargetMode="External"/><Relationship Id="rId37" Type="http://schemas.openxmlformats.org/officeDocument/2006/relationships/hyperlink" Target="https://www.saimex.org.mx/saimex/solicitud/downloadAttach/2260434.page" TargetMode="External"/><Relationship Id="rId53" Type="http://schemas.openxmlformats.org/officeDocument/2006/relationships/hyperlink" Target="https://www.saimex.org.mx/saimex/solicitud/downloadAttach/2255311.page" TargetMode="External"/><Relationship Id="rId58" Type="http://schemas.openxmlformats.org/officeDocument/2006/relationships/hyperlink" Target="https://www.saimex.org.mx/saimex/solicitud/downloadAttach/2260434.page" TargetMode="External"/><Relationship Id="rId74" Type="http://schemas.openxmlformats.org/officeDocument/2006/relationships/hyperlink" Target="https://www.saimex.org.mx/saimex/solicitud/downloadAttach/2255310.page" TargetMode="External"/><Relationship Id="rId79" Type="http://schemas.openxmlformats.org/officeDocument/2006/relationships/hyperlink" Target="https://www.saimex.org.mx/saimex/solicitud/downloadAttach/2260434.page" TargetMode="External"/><Relationship Id="rId102" Type="http://schemas.openxmlformats.org/officeDocument/2006/relationships/image" Target="media/image5.png"/><Relationship Id="rId5" Type="http://schemas.openxmlformats.org/officeDocument/2006/relationships/webSettings" Target="webSettings.xml"/><Relationship Id="rId90" Type="http://schemas.openxmlformats.org/officeDocument/2006/relationships/hyperlink" Target="https://www.saimex.org.mx/saimex/solicitud/downloadAttach/2255311.page" TargetMode="External"/><Relationship Id="rId95" Type="http://schemas.openxmlformats.org/officeDocument/2006/relationships/hyperlink" Target="https://www.saimex.org.mx/saimex/solicitud/downloadAttach/2255310.page" TargetMode="External"/><Relationship Id="rId22" Type="http://schemas.openxmlformats.org/officeDocument/2006/relationships/hyperlink" Target="https://www.saimex.org.mx/saimex/solicitud/downloadAttach/2249085.page" TargetMode="External"/><Relationship Id="rId27" Type="http://schemas.openxmlformats.org/officeDocument/2006/relationships/hyperlink" Target="https://www.saimex.org.mx/saimex/solicitud/downloadAttach/2254263.page" TargetMode="External"/><Relationship Id="rId43" Type="http://schemas.openxmlformats.org/officeDocument/2006/relationships/hyperlink" Target="https://www.saimex.org.mx/saimex/solicitud/downloadAttach/2260434.page" TargetMode="External"/><Relationship Id="rId48" Type="http://schemas.openxmlformats.org/officeDocument/2006/relationships/hyperlink" Target="https://www.saimex.org.mx/saimex/solicitud/downloadAttach/2255310.page" TargetMode="External"/><Relationship Id="rId64" Type="http://schemas.openxmlformats.org/officeDocument/2006/relationships/hyperlink" Target="https://www.saimex.org.mx/saimex/solicitud/downloadAttach/2255205.page" TargetMode="External"/><Relationship Id="rId69" Type="http://schemas.openxmlformats.org/officeDocument/2006/relationships/hyperlink" Target="https://www.saimex.org.mx/saimex/solicitud/downloadAttach/2255311.page" TargetMode="External"/><Relationship Id="rId113" Type="http://schemas.openxmlformats.org/officeDocument/2006/relationships/footer" Target="footer2.xml"/><Relationship Id="rId80" Type="http://schemas.openxmlformats.org/officeDocument/2006/relationships/hyperlink" Target="https://www.saimex.org.mx/saimex/solicitud/downloadAttach/2255310.page" TargetMode="External"/><Relationship Id="rId85" Type="http://schemas.openxmlformats.org/officeDocument/2006/relationships/hyperlink" Target="https://www.saimex.org.mx/saimex/solicitud/downloadAttach/2260434.page" TargetMode="External"/><Relationship Id="rId12" Type="http://schemas.openxmlformats.org/officeDocument/2006/relationships/hyperlink" Target="https://www.saimex.org.mx/saimex/solicitud/downloadAttach/2246504.page" TargetMode="External"/><Relationship Id="rId17" Type="http://schemas.openxmlformats.org/officeDocument/2006/relationships/hyperlink" Target="https://www.saimex.org.mx/saimex/solicitud/downloadAttach/2256424.page" TargetMode="External"/><Relationship Id="rId33" Type="http://schemas.openxmlformats.org/officeDocument/2006/relationships/hyperlink" Target="https://www.saimex.org.mx/saimex/solicitud/downloadAttach/2255310.page" TargetMode="External"/><Relationship Id="rId38" Type="http://schemas.openxmlformats.org/officeDocument/2006/relationships/hyperlink" Target="https://www.saimex.org.mx/saimex/solicitud/downloadAttach/2255311.page" TargetMode="External"/><Relationship Id="rId59" Type="http://schemas.openxmlformats.org/officeDocument/2006/relationships/hyperlink" Target="https://www.saimex.org.mx/saimex/solicitud/downloadAttach/2255311.page" TargetMode="External"/><Relationship Id="rId103" Type="http://schemas.openxmlformats.org/officeDocument/2006/relationships/image" Target="media/image6.png"/><Relationship Id="rId108" Type="http://schemas.openxmlformats.org/officeDocument/2006/relationships/image" Target="media/image11.png"/><Relationship Id="rId54" Type="http://schemas.openxmlformats.org/officeDocument/2006/relationships/hyperlink" Target="https://www.saimex.org.mx/saimex/solicitud/downloadAttach/2255310.page" TargetMode="External"/><Relationship Id="rId70" Type="http://schemas.openxmlformats.org/officeDocument/2006/relationships/hyperlink" Target="https://www.saimex.org.mx/saimex/solicitud/downloadAttach/2260434.page" TargetMode="External"/><Relationship Id="rId75" Type="http://schemas.openxmlformats.org/officeDocument/2006/relationships/hyperlink" Target="https://www.saimex.org.mx/saimex/solicitud/downloadAttach/2255311.page" TargetMode="External"/><Relationship Id="rId91" Type="http://schemas.openxmlformats.org/officeDocument/2006/relationships/hyperlink" Target="https://www.saimex.org.mx/saimex/solicitud/downloadAttach/2260434.page" TargetMode="External"/><Relationship Id="rId96" Type="http://schemas.openxmlformats.org/officeDocument/2006/relationships/hyperlink" Target="https://www.saimex.org.mx/saimex/solicitud/downloadAttach/2255311.pag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imex.org.mx/saimex/solicitud/downloadAttach/2246504.page" TargetMode="External"/><Relationship Id="rId23" Type="http://schemas.openxmlformats.org/officeDocument/2006/relationships/hyperlink" Target="https://www.saimex.org.mx/saimex/solicitud/downloadAttach/2256424.page" TargetMode="External"/><Relationship Id="rId28" Type="http://schemas.openxmlformats.org/officeDocument/2006/relationships/hyperlink" Target="https://www.saimex.org.mx/saimex/solicitud/downloadAttach/2246522.page" TargetMode="External"/><Relationship Id="rId36" Type="http://schemas.openxmlformats.org/officeDocument/2006/relationships/hyperlink" Target="https://www.saimex.org.mx/saimex/solicitud/downloadAttach/2255310.page" TargetMode="External"/><Relationship Id="rId49" Type="http://schemas.openxmlformats.org/officeDocument/2006/relationships/hyperlink" Target="https://www.saimex.org.mx/saimex/solicitud/downloadAttach/2260434.page" TargetMode="External"/><Relationship Id="rId57" Type="http://schemas.openxmlformats.org/officeDocument/2006/relationships/hyperlink" Target="https://www.saimex.org.mx/saimex/solicitud/downloadAttach/2255310.page" TargetMode="External"/><Relationship Id="rId106" Type="http://schemas.openxmlformats.org/officeDocument/2006/relationships/image" Target="media/image9.png"/><Relationship Id="rId114" Type="http://schemas.openxmlformats.org/officeDocument/2006/relationships/fontTable" Target="fontTable.xml"/><Relationship Id="rId10" Type="http://schemas.openxmlformats.org/officeDocument/2006/relationships/hyperlink" Target="https://www.saimex.org.mx/saimex/solicitud/downloadAttach/2249085.page" TargetMode="External"/><Relationship Id="rId31" Type="http://schemas.openxmlformats.org/officeDocument/2006/relationships/hyperlink" Target="https://www.saimex.org.mx/saimex/solicitud/downloadAttach/2260434.page" TargetMode="External"/><Relationship Id="rId44" Type="http://schemas.openxmlformats.org/officeDocument/2006/relationships/hyperlink" Target="https://www.saimex.org.mx/saimex/solicitud/downloadAttach/2255311.page" TargetMode="External"/><Relationship Id="rId52" Type="http://schemas.openxmlformats.org/officeDocument/2006/relationships/hyperlink" Target="https://www.saimex.org.mx/saimex/solicitud/downloadAttach/2260434.page" TargetMode="External"/><Relationship Id="rId60" Type="http://schemas.openxmlformats.org/officeDocument/2006/relationships/hyperlink" Target="https://www.saimex.org.mx/saimex/solicitud/downloadAttach/2255310.page" TargetMode="External"/><Relationship Id="rId65" Type="http://schemas.openxmlformats.org/officeDocument/2006/relationships/hyperlink" Target="https://www.saimex.org.mx/saimex/solicitud/downloadAttach/2255206.page" TargetMode="External"/><Relationship Id="rId73" Type="http://schemas.openxmlformats.org/officeDocument/2006/relationships/hyperlink" Target="https://www.saimex.org.mx/saimex/solicitud/downloadAttach/2260434.page" TargetMode="External"/><Relationship Id="rId78" Type="http://schemas.openxmlformats.org/officeDocument/2006/relationships/hyperlink" Target="https://www.saimex.org.mx/saimex/solicitud/downloadAttach/2255310.page" TargetMode="External"/><Relationship Id="rId81" Type="http://schemas.openxmlformats.org/officeDocument/2006/relationships/hyperlink" Target="https://www.saimex.org.mx/saimex/solicitud/downloadAttach/2255311.page" TargetMode="External"/><Relationship Id="rId86" Type="http://schemas.openxmlformats.org/officeDocument/2006/relationships/hyperlink" Target="https://www.saimex.org.mx/saimex/solicitud/downloadAttach/2255310.page" TargetMode="External"/><Relationship Id="rId94" Type="http://schemas.openxmlformats.org/officeDocument/2006/relationships/hyperlink" Target="https://www.saimex.org.mx/saimex/solicitud/downloadAttach/2260434.page" TargetMode="External"/><Relationship Id="rId99" Type="http://schemas.openxmlformats.org/officeDocument/2006/relationships/image" Target="media/image2.png"/><Relationship Id="rId10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2256424.page" TargetMode="External"/><Relationship Id="rId13" Type="http://schemas.openxmlformats.org/officeDocument/2006/relationships/hyperlink" Target="https://www.saimex.org.mx/saimex/solicitud/downloadAttach/2249085.page" TargetMode="External"/><Relationship Id="rId18" Type="http://schemas.openxmlformats.org/officeDocument/2006/relationships/hyperlink" Target="https://www.saimex.org.mx/saimex/solicitud/downloadAttach/2249085.page" TargetMode="External"/><Relationship Id="rId39" Type="http://schemas.openxmlformats.org/officeDocument/2006/relationships/hyperlink" Target="https://www.saimex.org.mx/saimex/solicitud/downloadAttach/2255310.page" TargetMode="External"/><Relationship Id="rId109" Type="http://schemas.openxmlformats.org/officeDocument/2006/relationships/header" Target="header1.xml"/><Relationship Id="rId34" Type="http://schemas.openxmlformats.org/officeDocument/2006/relationships/hyperlink" Target="https://www.saimex.org.mx/saimex/solicitud/downloadAttach/2260434.page" TargetMode="External"/><Relationship Id="rId50" Type="http://schemas.openxmlformats.org/officeDocument/2006/relationships/hyperlink" Target="https://www.saimex.org.mx/saimex/solicitud/downloadAttach/2255311.page" TargetMode="External"/><Relationship Id="rId55" Type="http://schemas.openxmlformats.org/officeDocument/2006/relationships/hyperlink" Target="https://www.saimex.org.mx/saimex/solicitud/downloadAttach/2260434.page" TargetMode="External"/><Relationship Id="rId76" Type="http://schemas.openxmlformats.org/officeDocument/2006/relationships/hyperlink" Target="https://www.saimex.org.mx/saimex/solicitud/downloadAttach/2260434.page" TargetMode="External"/><Relationship Id="rId97" Type="http://schemas.openxmlformats.org/officeDocument/2006/relationships/hyperlink" Target="https://www.saimex.org.mx/saimex/solicitud/downloadAttach/2260434.page" TargetMode="External"/><Relationship Id="rId104"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www.saimex.org.mx/saimex/solicitud/downloadAttach/2255310.page" TargetMode="External"/><Relationship Id="rId92" Type="http://schemas.openxmlformats.org/officeDocument/2006/relationships/hyperlink" Target="https://www.saimex.org.mx/saimex/solicitud/downloadAttach/2255310.page" TargetMode="External"/><Relationship Id="rId2" Type="http://schemas.openxmlformats.org/officeDocument/2006/relationships/numbering" Target="numbering.xml"/><Relationship Id="rId29" Type="http://schemas.openxmlformats.org/officeDocument/2006/relationships/hyperlink" Target="https://www.saimex.org.mx/saimex/solicitud/downloadAttach/2255310.page" TargetMode="External"/><Relationship Id="rId24" Type="http://schemas.openxmlformats.org/officeDocument/2006/relationships/hyperlink" Target="https://www.saimex.org.mx/saimex/solicitud/downloadAttach/2246514.page" TargetMode="External"/><Relationship Id="rId40" Type="http://schemas.openxmlformats.org/officeDocument/2006/relationships/hyperlink" Target="https://www.saimex.org.mx/saimex/solicitud/downloadAttach/2260434.page" TargetMode="External"/><Relationship Id="rId45" Type="http://schemas.openxmlformats.org/officeDocument/2006/relationships/hyperlink" Target="https://www.saimex.org.mx/saimex/solicitud/downloadAttach/2255310.page" TargetMode="External"/><Relationship Id="rId66" Type="http://schemas.openxmlformats.org/officeDocument/2006/relationships/hyperlink" Target="https://www.saimex.org.mx/saimex/solicitud/downloadAttach/2255207.page" TargetMode="External"/><Relationship Id="rId87" Type="http://schemas.openxmlformats.org/officeDocument/2006/relationships/hyperlink" Target="https://www.saimex.org.mx/saimex/solicitud/downloadAttach/2255311.page" TargetMode="External"/><Relationship Id="rId110" Type="http://schemas.openxmlformats.org/officeDocument/2006/relationships/header" Target="header2.xml"/><Relationship Id="rId115" Type="http://schemas.openxmlformats.org/officeDocument/2006/relationships/theme" Target="theme/theme1.xml"/><Relationship Id="rId61" Type="http://schemas.openxmlformats.org/officeDocument/2006/relationships/hyperlink" Target="https://www.saimex.org.mx/saimex/solicitud/downloadAttach/2260434.page" TargetMode="External"/><Relationship Id="rId82" Type="http://schemas.openxmlformats.org/officeDocument/2006/relationships/hyperlink" Target="https://www.saimex.org.mx/saimex/solicitud/downloadAttach/2260434.page" TargetMode="External"/><Relationship Id="rId19" Type="http://schemas.openxmlformats.org/officeDocument/2006/relationships/hyperlink" Target="https://www.saimex.org.mx/saimex/solicitud/downloadAttach/2246504.page" TargetMode="External"/><Relationship Id="rId14" Type="http://schemas.openxmlformats.org/officeDocument/2006/relationships/hyperlink" Target="https://www.saimex.org.mx/saimex/solicitud/downloadAttach/2256424.page" TargetMode="External"/><Relationship Id="rId30" Type="http://schemas.openxmlformats.org/officeDocument/2006/relationships/hyperlink" Target="https://www.saimex.org.mx/saimex/solicitud/downloadAttach/2255311.page" TargetMode="External"/><Relationship Id="rId35" Type="http://schemas.openxmlformats.org/officeDocument/2006/relationships/hyperlink" Target="https://www.saimex.org.mx/saimex/solicitud/downloadAttach/2255311.page" TargetMode="External"/><Relationship Id="rId56" Type="http://schemas.openxmlformats.org/officeDocument/2006/relationships/hyperlink" Target="https://www.saimex.org.mx/saimex/solicitud/downloadAttach/2255311.page" TargetMode="External"/><Relationship Id="rId77" Type="http://schemas.openxmlformats.org/officeDocument/2006/relationships/hyperlink" Target="https://www.saimex.org.mx/saimex/solicitud/downloadAttach/2255311.page" TargetMode="External"/><Relationship Id="rId100" Type="http://schemas.openxmlformats.org/officeDocument/2006/relationships/image" Target="media/image3.png"/><Relationship Id="rId105" Type="http://schemas.openxmlformats.org/officeDocument/2006/relationships/image" Target="media/image8.png"/><Relationship Id="rId8" Type="http://schemas.openxmlformats.org/officeDocument/2006/relationships/hyperlink" Target="https://www.saimex.org.mx/saimex/solicitud/downloadAttach/2249085.page" TargetMode="External"/><Relationship Id="rId51" Type="http://schemas.openxmlformats.org/officeDocument/2006/relationships/hyperlink" Target="https://www.saimex.org.mx/saimex/solicitud/downloadAttach/2255310.page" TargetMode="External"/><Relationship Id="rId72" Type="http://schemas.openxmlformats.org/officeDocument/2006/relationships/hyperlink" Target="https://www.saimex.org.mx/saimex/solicitud/downloadAttach/2255311.page" TargetMode="External"/><Relationship Id="rId93" Type="http://schemas.openxmlformats.org/officeDocument/2006/relationships/hyperlink" Target="https://www.saimex.org.mx/saimex/solicitud/downloadAttach/2255311.page" TargetMode="External"/><Relationship Id="rId98" Type="http://schemas.openxmlformats.org/officeDocument/2006/relationships/image" Target="media/image1.png"/><Relationship Id="rId3" Type="http://schemas.openxmlformats.org/officeDocument/2006/relationships/styles" Target="styles.xml"/><Relationship Id="rId25" Type="http://schemas.openxmlformats.org/officeDocument/2006/relationships/hyperlink" Target="https://www.saimex.org.mx/saimex/solicitud/downloadAttach/2249085.page" TargetMode="External"/><Relationship Id="rId46" Type="http://schemas.openxmlformats.org/officeDocument/2006/relationships/hyperlink" Target="https://www.saimex.org.mx/saimex/solicitud/downloadAttach/2260434.page" TargetMode="External"/><Relationship Id="rId67" Type="http://schemas.openxmlformats.org/officeDocument/2006/relationships/hyperlink" Target="https://www.saimex.org.mx/saimex/solicitud/downloadAttach/2260389.page" TargetMode="External"/><Relationship Id="rId20" Type="http://schemas.openxmlformats.org/officeDocument/2006/relationships/hyperlink" Target="https://www.saimex.org.mx/saimex/solicitud/downloadAttach/2256424.page" TargetMode="External"/><Relationship Id="rId41" Type="http://schemas.openxmlformats.org/officeDocument/2006/relationships/hyperlink" Target="https://www.saimex.org.mx/saimex/solicitud/downloadAttach/2255311.page" TargetMode="External"/><Relationship Id="rId62" Type="http://schemas.openxmlformats.org/officeDocument/2006/relationships/hyperlink" Target="https://www.saimex.org.mx/saimex/solicitud/downloadAttach/2255203.page" TargetMode="External"/><Relationship Id="rId83" Type="http://schemas.openxmlformats.org/officeDocument/2006/relationships/hyperlink" Target="https://www.saimex.org.mx/saimex/solicitud/downloadAttach/2255311.page" TargetMode="External"/><Relationship Id="rId88" Type="http://schemas.openxmlformats.org/officeDocument/2006/relationships/hyperlink" Target="https://www.saimex.org.mx/saimex/solicitud/downloadAttach/2260434.page" TargetMode="External"/><Relationship Id="rId11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temamatla-digital.com/archivos_gacetas24/Gaceta%2081%20SEGUNDO%20INFORME-comprimido_compressed-comprimido%20(1)-comprimido.pdf" TargetMode="External"/><Relationship Id="rId2" Type="http://schemas.openxmlformats.org/officeDocument/2006/relationships/hyperlink" Target="https://temamatla-digital.com/conac_2023/cuenta_1trim/informes%20de%20obras%201.pdf" TargetMode="External"/><Relationship Id="rId1" Type="http://schemas.openxmlformats.org/officeDocument/2006/relationships/hyperlink" Target="https://temamatla-digital.com/conac_2022/archivos_conac_cuenta22/ayuntamiento_lgcg_2022_4t_informe-de-obras-program_240830_135320.pdf" TargetMode="External"/><Relationship Id="rId4"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HS29l1vhT+UOmovMwPenybg/w==">CgMxLjAyCGguZ2pkZ3hzMgloLjMwajB6bGwyCWguMWZvYjl0ZTIJaC4zem55c2g3MgloLjJldDkycDAyCGgudHlqY3d0MgloLjNkeTZ2a20yCWguMXQzaDVzZjIJaC40ZDM0b2c4MgloLjJzOGV5bzEyCWguMnM4ZXlvMTIJaC4xN2RwOHZ1MgloLjNyZGNyam44AHIhMTcwenZLaHBKUG1kSVg4ZEYzejZMbXN5TENzV0FRaTZO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90</Pages>
  <Words>21421</Words>
  <Characters>117818</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138962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INFOEM403</cp:lastModifiedBy>
  <cp:revision>5</cp:revision>
  <dcterms:created xsi:type="dcterms:W3CDTF">2024-12-09T19:31:00Z</dcterms:created>
  <dcterms:modified xsi:type="dcterms:W3CDTF">2025-01-22T17:29:00Z</dcterms:modified>
</cp:coreProperties>
</file>