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E96DE"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seis de noviembre de dos mil veinticuatro. </w:t>
      </w:r>
    </w:p>
    <w:p w14:paraId="1DDE86C3"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7CE4AA16" w14:textId="5BBECEF2"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sz w:val="22"/>
          <w:szCs w:val="22"/>
        </w:rPr>
        <w:t>Visto</w:t>
      </w:r>
      <w:r w:rsidRPr="00910078">
        <w:rPr>
          <w:rFonts w:ascii="Palatino Linotype" w:eastAsia="Palatino Linotype" w:hAnsi="Palatino Linotype" w:cs="Palatino Linotype"/>
          <w:sz w:val="22"/>
          <w:szCs w:val="22"/>
        </w:rPr>
        <w:t xml:space="preserve"> el expediente relativo al recurso de revisión </w:t>
      </w:r>
      <w:r w:rsidRPr="00910078">
        <w:rPr>
          <w:rFonts w:ascii="Palatino Linotype" w:eastAsia="Palatino Linotype" w:hAnsi="Palatino Linotype" w:cs="Palatino Linotype"/>
          <w:b/>
          <w:sz w:val="22"/>
          <w:szCs w:val="22"/>
        </w:rPr>
        <w:t>05899/INFOEM/IP/RR/2024</w:t>
      </w:r>
      <w:r w:rsidRPr="00910078">
        <w:rPr>
          <w:rFonts w:ascii="Palatino Linotype" w:eastAsia="Palatino Linotype" w:hAnsi="Palatino Linotype" w:cs="Palatino Linotype"/>
          <w:sz w:val="22"/>
          <w:szCs w:val="22"/>
        </w:rPr>
        <w:t xml:space="preserve">, interpuesto por </w:t>
      </w:r>
      <w:r w:rsidR="00F251C9">
        <w:rPr>
          <w:rFonts w:ascii="Palatino Linotype" w:eastAsia="Palatino Linotype" w:hAnsi="Palatino Linotype" w:cs="Palatino Linotype"/>
          <w:b/>
          <w:sz w:val="22"/>
          <w:szCs w:val="22"/>
        </w:rPr>
        <w:t>XXXX XXX XXXXXX</w:t>
      </w:r>
      <w:r w:rsidRPr="00910078">
        <w:rPr>
          <w:rFonts w:ascii="Palatino Linotype" w:eastAsia="Palatino Linotype" w:hAnsi="Palatino Linotype" w:cs="Palatino Linotype"/>
          <w:b/>
          <w:sz w:val="22"/>
          <w:szCs w:val="22"/>
        </w:rPr>
        <w:t xml:space="preserve">, </w:t>
      </w:r>
      <w:r w:rsidRPr="00910078">
        <w:rPr>
          <w:rFonts w:ascii="Palatino Linotype" w:eastAsia="Palatino Linotype" w:hAnsi="Palatino Linotype" w:cs="Palatino Linotype"/>
          <w:sz w:val="22"/>
          <w:szCs w:val="22"/>
        </w:rPr>
        <w:t>en lo sucesivo se le denominará la parte</w:t>
      </w:r>
      <w:r w:rsidRPr="00910078">
        <w:rPr>
          <w:rFonts w:ascii="Palatino Linotype" w:eastAsia="Palatino Linotype" w:hAnsi="Palatino Linotype" w:cs="Palatino Linotype"/>
          <w:b/>
          <w:sz w:val="22"/>
          <w:szCs w:val="22"/>
        </w:rPr>
        <w:t xml:space="preserve"> Recurrente</w:t>
      </w:r>
      <w:r w:rsidRPr="00910078">
        <w:rPr>
          <w:rFonts w:ascii="Palatino Linotype" w:eastAsia="Palatino Linotype" w:hAnsi="Palatino Linotype" w:cs="Palatino Linotype"/>
          <w:sz w:val="22"/>
          <w:szCs w:val="22"/>
        </w:rPr>
        <w:t>, en contra de la falta de respuesta a su solicitud de información con número de folio</w:t>
      </w:r>
      <w:r w:rsidRPr="00910078">
        <w:rPr>
          <w:rFonts w:ascii="Palatino Linotype" w:eastAsia="Palatino Linotype" w:hAnsi="Palatino Linotype" w:cs="Palatino Linotype"/>
          <w:b/>
          <w:sz w:val="22"/>
          <w:szCs w:val="22"/>
        </w:rPr>
        <w:t xml:space="preserve"> 00161/TEPETLIX/IP/2024</w:t>
      </w:r>
      <w:r w:rsidRPr="00910078">
        <w:rPr>
          <w:rFonts w:ascii="Palatino Linotype" w:eastAsia="Palatino Linotype" w:hAnsi="Palatino Linotype" w:cs="Palatino Linotype"/>
          <w:sz w:val="22"/>
          <w:szCs w:val="22"/>
        </w:rPr>
        <w:t xml:space="preserve">, por parte del </w:t>
      </w:r>
      <w:r w:rsidRPr="00910078">
        <w:rPr>
          <w:rFonts w:ascii="Palatino Linotype" w:eastAsia="Palatino Linotype" w:hAnsi="Palatino Linotype" w:cs="Palatino Linotype"/>
          <w:b/>
          <w:sz w:val="22"/>
          <w:szCs w:val="22"/>
        </w:rPr>
        <w:t xml:space="preserve">Ayuntamiento de Tepetlixpa </w:t>
      </w:r>
      <w:r w:rsidRPr="00910078">
        <w:rPr>
          <w:rFonts w:ascii="Palatino Linotype" w:eastAsia="Palatino Linotype" w:hAnsi="Palatino Linotype" w:cs="Palatino Linotype"/>
          <w:sz w:val="22"/>
          <w:szCs w:val="22"/>
        </w:rPr>
        <w:t xml:space="preserve">en lo sucesivo 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w:t>
      </w:r>
      <w:r w:rsidRPr="00910078">
        <w:rPr>
          <w:rFonts w:ascii="Palatino Linotype" w:eastAsia="Palatino Linotype" w:hAnsi="Palatino Linotype" w:cs="Palatino Linotype"/>
          <w:b/>
          <w:sz w:val="22"/>
          <w:szCs w:val="22"/>
        </w:rPr>
        <w:t xml:space="preserve"> </w:t>
      </w:r>
      <w:r w:rsidRPr="00910078">
        <w:rPr>
          <w:rFonts w:ascii="Palatino Linotype" w:eastAsia="Palatino Linotype" w:hAnsi="Palatino Linotype" w:cs="Palatino Linotype"/>
          <w:sz w:val="22"/>
          <w:szCs w:val="22"/>
        </w:rPr>
        <w:t xml:space="preserve">se procede a dictar la presente resolución, con base en los siguientes: </w:t>
      </w:r>
    </w:p>
    <w:p w14:paraId="6B5DFBDF" w14:textId="77777777" w:rsidR="004634F9" w:rsidRPr="00910078" w:rsidRDefault="00E75A4A">
      <w:pPr>
        <w:numPr>
          <w:ilvl w:val="0"/>
          <w:numId w:val="6"/>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910078">
        <w:rPr>
          <w:rFonts w:ascii="Palatino Linotype" w:eastAsia="Palatino Linotype" w:hAnsi="Palatino Linotype" w:cs="Palatino Linotype"/>
          <w:b/>
          <w:sz w:val="22"/>
          <w:szCs w:val="22"/>
        </w:rPr>
        <w:t>A N T E C E D E N T E S:</w:t>
      </w:r>
    </w:p>
    <w:p w14:paraId="0F949592" w14:textId="77777777" w:rsidR="004634F9" w:rsidRPr="00910078" w:rsidRDefault="004634F9">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523AC9BF" w14:textId="77777777" w:rsidR="004634F9" w:rsidRPr="00910078" w:rsidRDefault="00E75A4A">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910078">
        <w:rPr>
          <w:rFonts w:ascii="Palatino Linotype" w:eastAsia="Palatino Linotype" w:hAnsi="Palatino Linotype" w:cs="Palatino Linotype"/>
          <w:b/>
          <w:sz w:val="22"/>
          <w:szCs w:val="22"/>
        </w:rPr>
        <w:t xml:space="preserve">Solicitud de acceso a la información. </w:t>
      </w:r>
      <w:r w:rsidRPr="00910078">
        <w:rPr>
          <w:rFonts w:ascii="Palatino Linotype" w:eastAsia="Palatino Linotype" w:hAnsi="Palatino Linotype" w:cs="Palatino Linotype"/>
          <w:sz w:val="22"/>
          <w:szCs w:val="22"/>
        </w:rPr>
        <w:t xml:space="preserve">Con fecha </w:t>
      </w:r>
      <w:r w:rsidRPr="00910078">
        <w:rPr>
          <w:rFonts w:ascii="Palatino Linotype" w:eastAsia="Palatino Linotype" w:hAnsi="Palatino Linotype" w:cs="Palatino Linotype"/>
          <w:b/>
          <w:sz w:val="22"/>
          <w:szCs w:val="22"/>
        </w:rPr>
        <w:t>tres de septiembre de dos mil veinticuatro</w:t>
      </w:r>
      <w:r w:rsidRPr="00910078">
        <w:rPr>
          <w:rFonts w:ascii="Palatino Linotype" w:eastAsia="Palatino Linotype" w:hAnsi="Palatino Linotype" w:cs="Palatino Linotype"/>
          <w:sz w:val="22"/>
          <w:szCs w:val="22"/>
        </w:rPr>
        <w:t xml:space="preserve">, la parte </w:t>
      </w:r>
      <w:r w:rsidRPr="00910078">
        <w:rPr>
          <w:rFonts w:ascii="Palatino Linotype" w:eastAsia="Palatino Linotype" w:hAnsi="Palatino Linotype" w:cs="Palatino Linotype"/>
          <w:b/>
          <w:sz w:val="22"/>
          <w:szCs w:val="22"/>
        </w:rPr>
        <w:t>Recurrente</w:t>
      </w:r>
      <w:r w:rsidRPr="00910078">
        <w:rPr>
          <w:rFonts w:ascii="Palatino Linotype" w:eastAsia="Palatino Linotype" w:hAnsi="Palatino Linotype" w:cs="Palatino Linotype"/>
          <w:sz w:val="22"/>
          <w:szCs w:val="22"/>
        </w:rPr>
        <w:t xml:space="preserve"> formuló solicitud de acceso a información pública al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xml:space="preserve"> a través del Sistema de Acceso a la Información Mexiquense, en adelante </w:t>
      </w:r>
      <w:r w:rsidRPr="00910078">
        <w:rPr>
          <w:rFonts w:ascii="Palatino Linotype" w:eastAsia="Palatino Linotype" w:hAnsi="Palatino Linotype" w:cs="Palatino Linotype"/>
          <w:b/>
          <w:sz w:val="22"/>
          <w:szCs w:val="22"/>
        </w:rPr>
        <w:t>SAIMEX</w:t>
      </w:r>
      <w:r w:rsidRPr="00910078">
        <w:rPr>
          <w:rFonts w:ascii="Palatino Linotype" w:eastAsia="Palatino Linotype" w:hAnsi="Palatino Linotype" w:cs="Palatino Linotype"/>
          <w:sz w:val="22"/>
          <w:szCs w:val="22"/>
        </w:rPr>
        <w:t>, requiriéndole lo siguiente:</w:t>
      </w:r>
    </w:p>
    <w:p w14:paraId="345A77B5" w14:textId="77777777" w:rsidR="004634F9" w:rsidRPr="00910078" w:rsidRDefault="004634F9">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DAF33FF"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 xml:space="preserve">“Por este conducto solicito se me proporcione de manera clara, legible y detallada la siguiente información: 1- Copia del Acta de Instalación del Comité de Adquisiciones y Servicios del Ayuntamiento de Tepetlixpa, Administración 2022-2024. 2- Copia de Acta de Instalación del Comité de Arrendamiento del Ayuntamiento de Tepetlixpa, Administración 2022-2024. 3- Copia de todas y cada una de las Actas celebradas por el Comité de Adquisiciones y Servicios del Ayuntamiento de Tepetlixpa, Administración 2022-2024, durante el ejercicio fiscal 2022. 4- Copia de todas y cada una de las Actas celebradas por el Comité de Adquisiciones y Servicios del Ayuntamiento de Tepetlixpa, Administración 2022-2024, durante el ejercicio fiscal 2023. 5- Copia de todas y cada una de las Actas celebradas por el Comité de Adquisiciones y Servicios del Ayuntamiento de Tepetlixpa, Administración 2022-2024, durante el ejercicio fiscal 2024. 6- Copia de todas y cada una de las Actas celebradas por el Comité de Arrendamiento del Ayuntamiento de Tepetlixpa, </w:t>
      </w:r>
      <w:r w:rsidRPr="00910078">
        <w:rPr>
          <w:rFonts w:ascii="Palatino Linotype" w:eastAsia="Palatino Linotype" w:hAnsi="Palatino Linotype" w:cs="Palatino Linotype"/>
          <w:i/>
          <w:sz w:val="22"/>
          <w:szCs w:val="22"/>
        </w:rPr>
        <w:lastRenderedPageBreak/>
        <w:t>Administración 2022-2024, durante el ejercicio fiscal 2024. 7- Lista de Proveedores que prestan o prestaron servicio al Ayuntamiento de Tepetlixpa, Administración 2022-2024, durante los Ejercicios Fiscales 2023 y 2024. 8- Nombre completo y cargo del Servidor Público que funge con el cargo de presidente o presidenta del Comité de Adquisiciones y Servicios del Ayuntamiento de Tepetlixpa, Administración 2022-2024. 9- Nombre completo y cargo de Servidor Público que funge con el cargo de presidente o presidenta del Comité de Arrendamiento del Ayuntamiento de Tepetlixpa, Administración 2022-2024. 10- Nomina del 31 de agosto 2024. 11- Copia de la Bitácora de distribución de combustible (gasolina) del ejercicio fiscal 2024.”</w:t>
      </w:r>
    </w:p>
    <w:p w14:paraId="156A7DEE" w14:textId="77777777" w:rsidR="004634F9" w:rsidRPr="00910078" w:rsidRDefault="004634F9">
      <w:pPr>
        <w:spacing w:line="360" w:lineRule="auto"/>
        <w:ind w:left="709" w:right="900"/>
        <w:jc w:val="both"/>
        <w:rPr>
          <w:rFonts w:ascii="Palatino Linotype" w:eastAsia="Palatino Linotype" w:hAnsi="Palatino Linotype" w:cs="Palatino Linotype"/>
          <w:b/>
          <w:i/>
          <w:sz w:val="22"/>
          <w:szCs w:val="22"/>
        </w:rPr>
      </w:pPr>
    </w:p>
    <w:p w14:paraId="316DC118"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sz w:val="22"/>
          <w:szCs w:val="22"/>
        </w:rPr>
        <w:t xml:space="preserve">Modalidad elegida para la entrega de la información: </w:t>
      </w:r>
      <w:r w:rsidRPr="00910078">
        <w:rPr>
          <w:rFonts w:ascii="Palatino Linotype" w:eastAsia="Palatino Linotype" w:hAnsi="Palatino Linotype" w:cs="Palatino Linotype"/>
          <w:sz w:val="22"/>
          <w:szCs w:val="22"/>
        </w:rPr>
        <w:t xml:space="preserve">a través del Sistema de Acceso a la Información Mexiquense. </w:t>
      </w:r>
    </w:p>
    <w:p w14:paraId="5A9580F2"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3480ABD7" w14:textId="77777777" w:rsidR="004634F9" w:rsidRPr="00910078" w:rsidRDefault="00E75A4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910078">
        <w:rPr>
          <w:rFonts w:ascii="Palatino Linotype" w:eastAsia="Palatino Linotype" w:hAnsi="Palatino Linotype" w:cs="Palatino Linotype"/>
          <w:b/>
          <w:sz w:val="22"/>
          <w:szCs w:val="22"/>
        </w:rPr>
        <w:t xml:space="preserve">Respuesta. </w:t>
      </w:r>
      <w:r w:rsidRPr="00910078">
        <w:rPr>
          <w:rFonts w:ascii="Palatino Linotype" w:eastAsia="Palatino Linotype" w:hAnsi="Palatino Linotype" w:cs="Palatino Linotype"/>
          <w:sz w:val="22"/>
          <w:szCs w:val="22"/>
        </w:rPr>
        <w:t xml:space="preserve">Del expediente electrónico se advierte que 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xml:space="preserve"> fue omiso en emitir respuesta a la solicitud de acceso a la información pública, dentro del plazo de quince días otorgado por el artículo 163 de la Ley de Transparencia y Acceso a la Información Pública de la entidad. </w:t>
      </w:r>
    </w:p>
    <w:p w14:paraId="474D2E79" w14:textId="77777777" w:rsidR="004634F9" w:rsidRPr="00910078" w:rsidRDefault="004634F9">
      <w:pPr>
        <w:pBdr>
          <w:top w:val="nil"/>
          <w:left w:val="nil"/>
          <w:bottom w:val="nil"/>
          <w:right w:val="nil"/>
          <w:between w:val="nil"/>
        </w:pBdr>
        <w:spacing w:line="276" w:lineRule="auto"/>
        <w:ind w:left="720" w:right="49"/>
        <w:jc w:val="both"/>
        <w:rPr>
          <w:rFonts w:ascii="Palatino Linotype" w:eastAsia="Palatino Linotype" w:hAnsi="Palatino Linotype" w:cs="Palatino Linotype"/>
          <w:b/>
          <w:i/>
          <w:sz w:val="22"/>
          <w:szCs w:val="22"/>
        </w:rPr>
      </w:pPr>
    </w:p>
    <w:p w14:paraId="76FCA9DA" w14:textId="77777777" w:rsidR="004634F9" w:rsidRPr="00910078" w:rsidRDefault="00E75A4A">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sz w:val="22"/>
          <w:szCs w:val="22"/>
        </w:rPr>
        <w:t xml:space="preserve">Interposición del recurso de revisión. </w:t>
      </w:r>
      <w:r w:rsidRPr="00910078">
        <w:rPr>
          <w:rFonts w:ascii="Palatino Linotype" w:eastAsia="Palatino Linotype" w:hAnsi="Palatino Linotype" w:cs="Palatino Linotype"/>
          <w:sz w:val="22"/>
          <w:szCs w:val="22"/>
        </w:rPr>
        <w:t xml:space="preserve">Inconforme con la respuesta del </w:t>
      </w:r>
      <w:r w:rsidRPr="00910078">
        <w:rPr>
          <w:rFonts w:ascii="Palatino Linotype" w:eastAsia="Palatino Linotype" w:hAnsi="Palatino Linotype" w:cs="Palatino Linotype"/>
          <w:b/>
          <w:sz w:val="22"/>
          <w:szCs w:val="22"/>
        </w:rPr>
        <w:t xml:space="preserve">Sujeto Obligado </w:t>
      </w:r>
      <w:r w:rsidRPr="00910078">
        <w:rPr>
          <w:rFonts w:ascii="Palatino Linotype" w:eastAsia="Palatino Linotype" w:hAnsi="Palatino Linotype" w:cs="Palatino Linotype"/>
          <w:sz w:val="22"/>
          <w:szCs w:val="22"/>
        </w:rPr>
        <w:t>la parte</w:t>
      </w:r>
      <w:r w:rsidRPr="00910078">
        <w:rPr>
          <w:rFonts w:ascii="Palatino Linotype" w:eastAsia="Palatino Linotype" w:hAnsi="Palatino Linotype" w:cs="Palatino Linotype"/>
          <w:b/>
          <w:sz w:val="22"/>
          <w:szCs w:val="22"/>
        </w:rPr>
        <w:t xml:space="preserve"> Recurrente</w:t>
      </w:r>
      <w:r w:rsidRPr="00910078">
        <w:rPr>
          <w:rFonts w:ascii="Palatino Linotype" w:eastAsia="Palatino Linotype" w:hAnsi="Palatino Linotype" w:cs="Palatino Linotype"/>
          <w:sz w:val="22"/>
          <w:szCs w:val="22"/>
        </w:rPr>
        <w:t xml:space="preserve"> interpuso recurso de revisión a través del SAIMEX en fecha </w:t>
      </w:r>
      <w:r w:rsidRPr="00910078">
        <w:rPr>
          <w:rFonts w:ascii="Palatino Linotype" w:eastAsia="Palatino Linotype" w:hAnsi="Palatino Linotype" w:cs="Palatino Linotype"/>
          <w:b/>
          <w:sz w:val="22"/>
          <w:szCs w:val="22"/>
        </w:rPr>
        <w:t>veintisiete de septiembre de dos mil veinticuatro</w:t>
      </w:r>
      <w:r w:rsidRPr="00910078">
        <w:rPr>
          <w:rFonts w:ascii="Palatino Linotype" w:eastAsia="Palatino Linotype" w:hAnsi="Palatino Linotype" w:cs="Palatino Linotype"/>
          <w:sz w:val="22"/>
          <w:szCs w:val="22"/>
        </w:rPr>
        <w:t>, a través del cual expresó lo siguiente:</w:t>
      </w:r>
    </w:p>
    <w:p w14:paraId="560CFE7D" w14:textId="77777777" w:rsidR="004634F9" w:rsidRPr="00910078" w:rsidRDefault="004634F9">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4B8BE9A3" w14:textId="77777777" w:rsidR="004634F9" w:rsidRPr="00910078" w:rsidRDefault="00E75A4A">
      <w:pPr>
        <w:spacing w:line="360" w:lineRule="auto"/>
        <w:ind w:left="851" w:right="616"/>
        <w:jc w:val="both"/>
        <w:rPr>
          <w:rFonts w:ascii="Palatino Linotype" w:eastAsia="Palatino Linotype" w:hAnsi="Palatino Linotype" w:cs="Palatino Linotype"/>
          <w:b/>
          <w:sz w:val="22"/>
          <w:szCs w:val="22"/>
        </w:rPr>
      </w:pPr>
      <w:r w:rsidRPr="00910078">
        <w:rPr>
          <w:rFonts w:ascii="Palatino Linotype" w:eastAsia="Palatino Linotype" w:hAnsi="Palatino Linotype" w:cs="Palatino Linotype"/>
          <w:b/>
          <w:sz w:val="22"/>
          <w:szCs w:val="22"/>
        </w:rPr>
        <w:t xml:space="preserve">Acto impugnado. </w:t>
      </w:r>
    </w:p>
    <w:p w14:paraId="518EDF17" w14:textId="77777777" w:rsidR="004634F9" w:rsidRPr="00910078" w:rsidRDefault="00E75A4A">
      <w:pPr>
        <w:spacing w:line="360"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 xml:space="preserve">“No proporcionaron la información requerida.” </w:t>
      </w:r>
    </w:p>
    <w:p w14:paraId="71115D21" w14:textId="77777777" w:rsidR="004634F9" w:rsidRPr="00910078" w:rsidRDefault="004634F9">
      <w:pPr>
        <w:spacing w:line="360" w:lineRule="auto"/>
        <w:ind w:left="851" w:right="616"/>
        <w:rPr>
          <w:rFonts w:ascii="Palatino Linotype" w:eastAsia="Palatino Linotype" w:hAnsi="Palatino Linotype" w:cs="Palatino Linotype"/>
          <w:sz w:val="22"/>
          <w:szCs w:val="22"/>
        </w:rPr>
      </w:pPr>
    </w:p>
    <w:p w14:paraId="422EAAC8" w14:textId="77777777" w:rsidR="004634F9" w:rsidRPr="00910078" w:rsidRDefault="00E75A4A">
      <w:pPr>
        <w:pBdr>
          <w:top w:val="nil"/>
          <w:left w:val="nil"/>
          <w:bottom w:val="nil"/>
          <w:right w:val="nil"/>
          <w:between w:val="nil"/>
        </w:pBdr>
        <w:spacing w:line="360" w:lineRule="auto"/>
        <w:ind w:left="851" w:right="616"/>
        <w:jc w:val="both"/>
        <w:rPr>
          <w:rFonts w:ascii="Palatino Linotype" w:eastAsia="Palatino Linotype" w:hAnsi="Palatino Linotype" w:cs="Palatino Linotype"/>
          <w:b/>
          <w:sz w:val="22"/>
          <w:szCs w:val="22"/>
        </w:rPr>
      </w:pPr>
      <w:r w:rsidRPr="00910078">
        <w:rPr>
          <w:rFonts w:ascii="Palatino Linotype" w:eastAsia="Palatino Linotype" w:hAnsi="Palatino Linotype" w:cs="Palatino Linotype"/>
          <w:b/>
          <w:sz w:val="22"/>
          <w:szCs w:val="22"/>
        </w:rPr>
        <w:t xml:space="preserve">Motivos de inconformidad. </w:t>
      </w:r>
    </w:p>
    <w:p w14:paraId="135A94CC" w14:textId="77777777" w:rsidR="004634F9" w:rsidRPr="00910078" w:rsidRDefault="00E75A4A">
      <w:pPr>
        <w:pBdr>
          <w:top w:val="nil"/>
          <w:left w:val="nil"/>
          <w:bottom w:val="nil"/>
          <w:right w:val="nil"/>
          <w:between w:val="nil"/>
        </w:pBdr>
        <w:spacing w:line="360" w:lineRule="auto"/>
        <w:ind w:left="851" w:right="616"/>
        <w:jc w:val="both"/>
        <w:rPr>
          <w:rFonts w:ascii="Palatino Linotype" w:eastAsia="Palatino Linotype" w:hAnsi="Palatino Linotype" w:cs="Palatino Linotype"/>
          <w:b/>
          <w:i/>
          <w:sz w:val="22"/>
          <w:szCs w:val="22"/>
          <w:u w:val="single"/>
        </w:rPr>
      </w:pPr>
      <w:r w:rsidRPr="00910078">
        <w:rPr>
          <w:rFonts w:ascii="Palatino Linotype" w:eastAsia="Palatino Linotype" w:hAnsi="Palatino Linotype" w:cs="Palatino Linotype"/>
          <w:i/>
          <w:sz w:val="22"/>
          <w:szCs w:val="22"/>
        </w:rPr>
        <w:t>“El sujeto obligado NO proporciono la información requerida.”</w:t>
      </w:r>
    </w:p>
    <w:p w14:paraId="150B1D4B" w14:textId="77777777" w:rsidR="004634F9" w:rsidRPr="00910078" w:rsidRDefault="004634F9">
      <w:pPr>
        <w:pBdr>
          <w:top w:val="nil"/>
          <w:left w:val="nil"/>
          <w:bottom w:val="nil"/>
          <w:right w:val="nil"/>
          <w:between w:val="nil"/>
        </w:pBdr>
        <w:spacing w:line="360" w:lineRule="auto"/>
        <w:ind w:left="567"/>
        <w:jc w:val="both"/>
        <w:rPr>
          <w:rFonts w:ascii="Palatino Linotype" w:eastAsia="Palatino Linotype" w:hAnsi="Palatino Linotype" w:cs="Palatino Linotype"/>
          <w:i/>
          <w:sz w:val="22"/>
          <w:szCs w:val="22"/>
        </w:rPr>
      </w:pPr>
    </w:p>
    <w:p w14:paraId="666F8F26" w14:textId="77777777" w:rsidR="004634F9" w:rsidRPr="00910078" w:rsidRDefault="00E75A4A">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sz w:val="22"/>
          <w:szCs w:val="22"/>
        </w:rPr>
        <w:t xml:space="preserve">Turno. </w:t>
      </w:r>
      <w:r w:rsidRPr="00910078">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910078">
        <w:rPr>
          <w:rFonts w:ascii="Palatino Linotype" w:eastAsia="Palatino Linotype" w:hAnsi="Palatino Linotype" w:cs="Palatino Linotype"/>
          <w:b/>
          <w:sz w:val="22"/>
          <w:szCs w:val="22"/>
        </w:rPr>
        <w:t>05899/INFOEM/IP/RR/2024</w:t>
      </w:r>
      <w:r w:rsidRPr="00910078">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910078">
        <w:rPr>
          <w:rFonts w:ascii="Palatino Linotype" w:eastAsia="Palatino Linotype" w:hAnsi="Palatino Linotype" w:cs="Palatino Linotype"/>
          <w:b/>
          <w:sz w:val="22"/>
          <w:szCs w:val="22"/>
        </w:rPr>
        <w:t>Guadalupe Ramírez Peña</w:t>
      </w:r>
      <w:r w:rsidRPr="00910078">
        <w:rPr>
          <w:rFonts w:ascii="Palatino Linotype" w:eastAsia="Palatino Linotype" w:hAnsi="Palatino Linotype" w:cs="Palatino Linotype"/>
          <w:sz w:val="22"/>
          <w:szCs w:val="22"/>
        </w:rPr>
        <w:t>, para su análisis, estudio, elaboración del proyecto y presentación ante el Pleno de este Instituto.</w:t>
      </w:r>
    </w:p>
    <w:p w14:paraId="60D39AE4" w14:textId="77777777" w:rsidR="004634F9" w:rsidRPr="00910078" w:rsidRDefault="004634F9">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30EA00DC" w14:textId="77777777" w:rsidR="004634F9" w:rsidRPr="00910078" w:rsidRDefault="00E75A4A">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0" w:name="_heading=h.gjdgxs" w:colFirst="0" w:colLast="0"/>
      <w:bookmarkEnd w:id="0"/>
      <w:r w:rsidRPr="00910078">
        <w:rPr>
          <w:rFonts w:ascii="Palatino Linotype" w:eastAsia="Palatino Linotype" w:hAnsi="Palatino Linotype" w:cs="Palatino Linotype"/>
          <w:b/>
          <w:sz w:val="22"/>
          <w:szCs w:val="22"/>
        </w:rPr>
        <w:t xml:space="preserve">Admisión del recurso de revisión: </w:t>
      </w:r>
      <w:r w:rsidRPr="00910078">
        <w:rPr>
          <w:rFonts w:ascii="Palatino Linotype" w:eastAsia="Palatino Linotype" w:hAnsi="Palatino Linotype" w:cs="Palatino Linotype"/>
          <w:sz w:val="22"/>
          <w:szCs w:val="22"/>
        </w:rPr>
        <w:t xml:space="preserve">En fecha </w:t>
      </w:r>
      <w:r w:rsidRPr="00910078">
        <w:rPr>
          <w:rFonts w:ascii="Palatino Linotype" w:eastAsia="Palatino Linotype" w:hAnsi="Palatino Linotype" w:cs="Palatino Linotype"/>
          <w:b/>
          <w:sz w:val="22"/>
          <w:szCs w:val="22"/>
        </w:rPr>
        <w:t>tres de octubre de dos mil veinticuatro</w:t>
      </w:r>
      <w:r w:rsidRPr="00910078">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xml:space="preserve"> presentara su informe justificado.</w:t>
      </w:r>
    </w:p>
    <w:p w14:paraId="1C2FBE35" w14:textId="77777777" w:rsidR="004634F9" w:rsidRPr="00910078" w:rsidRDefault="004634F9">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6EA0B943" w14:textId="77777777" w:rsidR="004634F9" w:rsidRPr="00910078" w:rsidRDefault="00E75A4A">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sz w:val="22"/>
          <w:szCs w:val="22"/>
        </w:rPr>
        <w:t>Manifestaciones</w:t>
      </w:r>
      <w:r w:rsidRPr="00910078">
        <w:rPr>
          <w:rFonts w:ascii="Palatino Linotype" w:eastAsia="Palatino Linotype" w:hAnsi="Palatino Linotype" w:cs="Palatino Linotype"/>
          <w:sz w:val="22"/>
          <w:szCs w:val="22"/>
        </w:rPr>
        <w:t xml:space="preserve">: De las constancias que obran en el expediente electrónico del </w:t>
      </w:r>
      <w:r w:rsidRPr="00910078">
        <w:rPr>
          <w:rFonts w:ascii="Palatino Linotype" w:eastAsia="Palatino Linotype" w:hAnsi="Palatino Linotype" w:cs="Palatino Linotype"/>
          <w:b/>
          <w:sz w:val="22"/>
          <w:szCs w:val="22"/>
        </w:rPr>
        <w:t>SAIMEX</w:t>
      </w:r>
      <w:r w:rsidRPr="00910078">
        <w:rPr>
          <w:rFonts w:ascii="Palatino Linotype" w:eastAsia="Palatino Linotype" w:hAnsi="Palatino Linotype" w:cs="Palatino Linotype"/>
          <w:sz w:val="22"/>
          <w:szCs w:val="22"/>
        </w:rPr>
        <w:t xml:space="preserve"> se desprende que 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xml:space="preserve"> en fecha </w:t>
      </w:r>
      <w:r w:rsidRPr="00910078">
        <w:rPr>
          <w:rFonts w:ascii="Palatino Linotype" w:eastAsia="Palatino Linotype" w:hAnsi="Palatino Linotype" w:cs="Palatino Linotype"/>
          <w:b/>
          <w:sz w:val="22"/>
          <w:szCs w:val="22"/>
        </w:rPr>
        <w:t>diez de octubre de dos mil veinticuatro</w:t>
      </w:r>
      <w:r w:rsidRPr="00910078">
        <w:rPr>
          <w:rFonts w:ascii="Palatino Linotype" w:eastAsia="Palatino Linotype" w:hAnsi="Palatino Linotype" w:cs="Palatino Linotype"/>
          <w:sz w:val="22"/>
          <w:szCs w:val="22"/>
        </w:rPr>
        <w:t xml:space="preserve"> rindió su informe justificado a través de los siguientes archivos electrónicos: </w:t>
      </w:r>
    </w:p>
    <w:p w14:paraId="26F04085" w14:textId="77777777" w:rsidR="004634F9" w:rsidRPr="00910078" w:rsidRDefault="004634F9">
      <w:pPr>
        <w:rPr>
          <w:rFonts w:ascii="Palatino Linotype" w:eastAsia="Palatino Linotype" w:hAnsi="Palatino Linotype" w:cs="Palatino Linotype"/>
          <w:sz w:val="22"/>
          <w:szCs w:val="22"/>
        </w:rPr>
      </w:pPr>
    </w:p>
    <w:p w14:paraId="69E7E77C" w14:textId="77777777" w:rsidR="004634F9" w:rsidRPr="00910078" w:rsidRDefault="00E75A4A">
      <w:pPr>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 xml:space="preserve">of320 </w:t>
      </w:r>
      <w:proofErr w:type="spellStart"/>
      <w:r w:rsidRPr="00910078">
        <w:rPr>
          <w:rFonts w:ascii="Palatino Linotype" w:eastAsia="Palatino Linotype" w:hAnsi="Palatino Linotype" w:cs="Palatino Linotype"/>
          <w:b/>
          <w:i/>
          <w:sz w:val="22"/>
          <w:szCs w:val="22"/>
        </w:rPr>
        <w:t>inf</w:t>
      </w:r>
      <w:proofErr w:type="spellEnd"/>
      <w:r w:rsidRPr="00910078">
        <w:rPr>
          <w:rFonts w:ascii="Palatino Linotype" w:eastAsia="Palatino Linotype" w:hAnsi="Palatino Linotype" w:cs="Palatino Linotype"/>
          <w:b/>
          <w:i/>
          <w:sz w:val="22"/>
          <w:szCs w:val="22"/>
        </w:rPr>
        <w:t xml:space="preserve"> </w:t>
      </w:r>
      <w:proofErr w:type="spellStart"/>
      <w:r w:rsidRPr="00910078">
        <w:rPr>
          <w:rFonts w:ascii="Palatino Linotype" w:eastAsia="Palatino Linotype" w:hAnsi="Palatino Linotype" w:cs="Palatino Linotype"/>
          <w:b/>
          <w:i/>
          <w:sz w:val="22"/>
          <w:szCs w:val="22"/>
        </w:rPr>
        <w:t>cump</w:t>
      </w:r>
      <w:proofErr w:type="spellEnd"/>
      <w:r w:rsidRPr="00910078">
        <w:rPr>
          <w:rFonts w:ascii="Palatino Linotype" w:eastAsia="Palatino Linotype" w:hAnsi="Palatino Linotype" w:cs="Palatino Linotype"/>
          <w:b/>
          <w:i/>
          <w:sz w:val="22"/>
          <w:szCs w:val="22"/>
        </w:rPr>
        <w:t xml:space="preserve"> infoem.pdf</w:t>
      </w:r>
      <w:r w:rsidRPr="00910078">
        <w:rPr>
          <w:rFonts w:ascii="Palatino Linotype" w:eastAsia="Palatino Linotype" w:hAnsi="Palatino Linotype" w:cs="Palatino Linotype"/>
          <w:sz w:val="22"/>
          <w:szCs w:val="22"/>
        </w:rPr>
        <w:t xml:space="preserve">: contiene los siguientes documentos: </w:t>
      </w:r>
    </w:p>
    <w:p w14:paraId="00A87098" w14:textId="77777777" w:rsidR="004634F9" w:rsidRPr="00910078" w:rsidRDefault="00E75A4A">
      <w:pPr>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Oficio número UTAIPTEP/322/2024 de fecha diez de octubre de dos mil veinticuatro, signado por el Titular de la Unidad de Transparencia, mediante el cual informó que se solicitó la información al servidor público habilitado mediante el oficio número UTAIPTEP/290/2024, el cual anexó en copia simple; sin embargo, por exceso de carga de trabajo por el área de Tesorería fue contestado en fecha nueve de octubre de dos mil veinticuatro y se subió </w:t>
      </w:r>
      <w:r w:rsidRPr="00910078">
        <w:rPr>
          <w:rFonts w:ascii="Palatino Linotype" w:eastAsia="Palatino Linotype" w:hAnsi="Palatino Linotype" w:cs="Palatino Linotype"/>
          <w:sz w:val="22"/>
          <w:szCs w:val="22"/>
        </w:rPr>
        <w:lastRenderedPageBreak/>
        <w:t xml:space="preserve">la información solicitada por el recurrente en 1 archivo comprimido en formato RAR, en las manifestaciones del portal SAIMEX. </w:t>
      </w:r>
    </w:p>
    <w:p w14:paraId="58F423F3" w14:textId="77777777" w:rsidR="004634F9" w:rsidRPr="00910078" w:rsidRDefault="00E75A4A">
      <w:pPr>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Oficio número UTAIPTEP/290/2024 de fecha tres de septiembre de dos mil veinticuatro, signado por el Titular de la Unidad de Transparencia, mediante el cual solicitó a la Tesorera Municipal de contestación a las solicitudes de información número 00160/TEPETLIX/IP/2024 y 00161/TEPETLIX/IP/2024, en un término de tres días hábiles por el mismo medio. </w:t>
      </w:r>
    </w:p>
    <w:p w14:paraId="29140BFA" w14:textId="77777777" w:rsidR="004634F9" w:rsidRPr="00910078" w:rsidRDefault="00E75A4A">
      <w:pPr>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Oficio número TEPE/TES/0570/2024 de fecha nueve de octubre de dos mil veinticuatro, signado por la Tesorera Municipal, mediante el cual informó la entrega de lo requerido en las solicitudes de información 00060/TEPETLIX/IP/2024 y 00061/TEPETLIX/IP/2024, para dar cumplimiento con lo requerido. </w:t>
      </w:r>
    </w:p>
    <w:p w14:paraId="011C4DF1" w14:textId="77777777" w:rsidR="004634F9" w:rsidRPr="00910078" w:rsidRDefault="004634F9">
      <w:pPr>
        <w:rPr>
          <w:rFonts w:ascii="Palatino Linotype" w:eastAsia="Palatino Linotype" w:hAnsi="Palatino Linotype" w:cs="Palatino Linotype"/>
          <w:sz w:val="22"/>
          <w:szCs w:val="22"/>
        </w:rPr>
      </w:pPr>
    </w:p>
    <w:p w14:paraId="35E6BB0B" w14:textId="77777777" w:rsidR="004634F9" w:rsidRPr="00910078" w:rsidRDefault="00E75A4A">
      <w:pPr>
        <w:numPr>
          <w:ilvl w:val="0"/>
          <w:numId w:val="14"/>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SIP 160 161 RR 5899 5900 2024.rar</w:t>
      </w:r>
      <w:r w:rsidRPr="00910078">
        <w:rPr>
          <w:rFonts w:ascii="Palatino Linotype" w:eastAsia="Palatino Linotype" w:hAnsi="Palatino Linotype" w:cs="Palatino Linotype"/>
          <w:sz w:val="22"/>
          <w:szCs w:val="22"/>
        </w:rPr>
        <w:t xml:space="preserve">: Carpeta comprimida que contiene los siguientes documentos: </w:t>
      </w:r>
    </w:p>
    <w:p w14:paraId="6FA25A14" w14:textId="77777777" w:rsidR="004634F9" w:rsidRPr="00910078" w:rsidRDefault="004634F9">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rPr>
      </w:pPr>
    </w:p>
    <w:p w14:paraId="4266A8B4" w14:textId="77777777" w:rsidR="004634F9" w:rsidRPr="00910078" w:rsidRDefault="00E75A4A">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 xml:space="preserve">1 </w:t>
      </w:r>
      <w:proofErr w:type="gramStart"/>
      <w:r w:rsidRPr="00910078">
        <w:rPr>
          <w:rFonts w:ascii="Palatino Linotype" w:eastAsia="Palatino Linotype" w:hAnsi="Palatino Linotype" w:cs="Palatino Linotype"/>
          <w:i/>
          <w:sz w:val="22"/>
          <w:szCs w:val="22"/>
        </w:rPr>
        <w:t>Acta</w:t>
      </w:r>
      <w:proofErr w:type="gramEnd"/>
      <w:r w:rsidRPr="00910078">
        <w:rPr>
          <w:rFonts w:ascii="Palatino Linotype" w:eastAsia="Palatino Linotype" w:hAnsi="Palatino Linotype" w:cs="Palatino Linotype"/>
          <w:i/>
          <w:sz w:val="22"/>
          <w:szCs w:val="22"/>
        </w:rPr>
        <w:t xml:space="preserve"> instalación comité adquisiciones</w:t>
      </w:r>
      <w:r w:rsidRPr="00910078">
        <w:rPr>
          <w:rFonts w:ascii="Palatino Linotype" w:eastAsia="Palatino Linotype" w:hAnsi="Palatino Linotype" w:cs="Palatino Linotype"/>
          <w:sz w:val="22"/>
          <w:szCs w:val="22"/>
        </w:rPr>
        <w:t xml:space="preserve">: Contiene el Acta de Instalación del Comité de Adquisiciones y de Servicios del Municipio de Tepetlixpa, Estado de México, de fecha tres de enero de dos mil veintidós. </w:t>
      </w:r>
    </w:p>
    <w:p w14:paraId="7762C98B" w14:textId="77777777" w:rsidR="004634F9" w:rsidRPr="00910078" w:rsidRDefault="004634F9">
      <w:pPr>
        <w:pBdr>
          <w:top w:val="nil"/>
          <w:left w:val="nil"/>
          <w:bottom w:val="nil"/>
          <w:right w:val="nil"/>
          <w:between w:val="nil"/>
        </w:pBdr>
        <w:spacing w:line="360" w:lineRule="auto"/>
        <w:ind w:left="1440"/>
        <w:rPr>
          <w:rFonts w:ascii="Palatino Linotype" w:eastAsia="Palatino Linotype" w:hAnsi="Palatino Linotype" w:cs="Palatino Linotype"/>
          <w:sz w:val="22"/>
          <w:szCs w:val="22"/>
        </w:rPr>
      </w:pPr>
    </w:p>
    <w:p w14:paraId="23DAD6A1" w14:textId="77777777" w:rsidR="004634F9" w:rsidRPr="00910078" w:rsidRDefault="00E75A4A">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 xml:space="preserve">2 </w:t>
      </w:r>
      <w:proofErr w:type="gramStart"/>
      <w:r w:rsidRPr="00910078">
        <w:rPr>
          <w:rFonts w:ascii="Palatino Linotype" w:eastAsia="Palatino Linotype" w:hAnsi="Palatino Linotype" w:cs="Palatino Linotype"/>
          <w:i/>
          <w:sz w:val="22"/>
          <w:szCs w:val="22"/>
        </w:rPr>
        <w:t>Acta</w:t>
      </w:r>
      <w:proofErr w:type="gramEnd"/>
      <w:r w:rsidRPr="00910078">
        <w:rPr>
          <w:rFonts w:ascii="Palatino Linotype" w:eastAsia="Palatino Linotype" w:hAnsi="Palatino Linotype" w:cs="Palatino Linotype"/>
          <w:i/>
          <w:sz w:val="22"/>
          <w:szCs w:val="22"/>
        </w:rPr>
        <w:t xml:space="preserve"> </w:t>
      </w:r>
      <w:proofErr w:type="spellStart"/>
      <w:r w:rsidRPr="00910078">
        <w:rPr>
          <w:rFonts w:ascii="Palatino Linotype" w:eastAsia="Palatino Linotype" w:hAnsi="Palatino Linotype" w:cs="Palatino Linotype"/>
          <w:i/>
          <w:sz w:val="22"/>
          <w:szCs w:val="22"/>
        </w:rPr>
        <w:t>instalacion</w:t>
      </w:r>
      <w:proofErr w:type="spellEnd"/>
      <w:r w:rsidRPr="00910078">
        <w:rPr>
          <w:rFonts w:ascii="Palatino Linotype" w:eastAsia="Palatino Linotype" w:hAnsi="Palatino Linotype" w:cs="Palatino Linotype"/>
          <w:i/>
          <w:sz w:val="22"/>
          <w:szCs w:val="22"/>
        </w:rPr>
        <w:t xml:space="preserve"> </w:t>
      </w:r>
      <w:proofErr w:type="spellStart"/>
      <w:r w:rsidRPr="00910078">
        <w:rPr>
          <w:rFonts w:ascii="Palatino Linotype" w:eastAsia="Palatino Linotype" w:hAnsi="Palatino Linotype" w:cs="Palatino Linotype"/>
          <w:i/>
          <w:sz w:val="22"/>
          <w:szCs w:val="22"/>
        </w:rPr>
        <w:t>comite</w:t>
      </w:r>
      <w:proofErr w:type="spellEnd"/>
      <w:r w:rsidRPr="00910078">
        <w:rPr>
          <w:rFonts w:ascii="Palatino Linotype" w:eastAsia="Palatino Linotype" w:hAnsi="Palatino Linotype" w:cs="Palatino Linotype"/>
          <w:i/>
          <w:sz w:val="22"/>
          <w:szCs w:val="22"/>
        </w:rPr>
        <w:t xml:space="preserve"> arrendamiento</w:t>
      </w:r>
      <w:r w:rsidRPr="00910078">
        <w:rPr>
          <w:rFonts w:ascii="Palatino Linotype" w:eastAsia="Palatino Linotype" w:hAnsi="Palatino Linotype" w:cs="Palatino Linotype"/>
          <w:sz w:val="22"/>
          <w:szCs w:val="22"/>
        </w:rPr>
        <w:t>: Contiene el Acta de Instalación del Comité de Arrendamientos, Adquisiciones de Inmuebles y Enajenaciones del Municipio de Tepetlixpa, Estado de México, de fecha quince de julio de dos mil veintidós.</w:t>
      </w:r>
    </w:p>
    <w:p w14:paraId="1D689F27" w14:textId="77777777" w:rsidR="004634F9" w:rsidRPr="00910078" w:rsidRDefault="004634F9">
      <w:pPr>
        <w:pBdr>
          <w:top w:val="nil"/>
          <w:left w:val="nil"/>
          <w:bottom w:val="nil"/>
          <w:right w:val="nil"/>
          <w:between w:val="nil"/>
        </w:pBdr>
        <w:spacing w:line="360" w:lineRule="auto"/>
        <w:ind w:left="1440"/>
        <w:rPr>
          <w:rFonts w:ascii="Palatino Linotype" w:eastAsia="Palatino Linotype" w:hAnsi="Palatino Linotype" w:cs="Palatino Linotype"/>
          <w:sz w:val="22"/>
          <w:szCs w:val="22"/>
        </w:rPr>
      </w:pPr>
    </w:p>
    <w:p w14:paraId="51AE6BA4" w14:textId="77777777" w:rsidR="004634F9" w:rsidRPr="00910078" w:rsidRDefault="00E75A4A">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 xml:space="preserve">3 </w:t>
      </w:r>
      <w:proofErr w:type="gramStart"/>
      <w:r w:rsidRPr="00910078">
        <w:rPr>
          <w:rFonts w:ascii="Palatino Linotype" w:eastAsia="Palatino Linotype" w:hAnsi="Palatino Linotype" w:cs="Palatino Linotype"/>
          <w:i/>
          <w:sz w:val="22"/>
          <w:szCs w:val="22"/>
        </w:rPr>
        <w:t>Actas</w:t>
      </w:r>
      <w:proofErr w:type="gramEnd"/>
      <w:r w:rsidRPr="00910078">
        <w:rPr>
          <w:rFonts w:ascii="Palatino Linotype" w:eastAsia="Palatino Linotype" w:hAnsi="Palatino Linotype" w:cs="Palatino Linotype"/>
          <w:i/>
          <w:sz w:val="22"/>
          <w:szCs w:val="22"/>
        </w:rPr>
        <w:t xml:space="preserve"> comité adquisiciones 2022</w:t>
      </w:r>
      <w:r w:rsidRPr="00910078">
        <w:rPr>
          <w:rFonts w:ascii="Palatino Linotype" w:eastAsia="Palatino Linotype" w:hAnsi="Palatino Linotype" w:cs="Palatino Linotype"/>
          <w:sz w:val="22"/>
          <w:szCs w:val="22"/>
        </w:rPr>
        <w:t xml:space="preserve">: Contiene las actas del Comité de Adquisiciones y Servicios del Municipio de Tepetlixpa, Estado de México de </w:t>
      </w:r>
      <w:r w:rsidRPr="00910078">
        <w:rPr>
          <w:rFonts w:ascii="Palatino Linotype" w:eastAsia="Palatino Linotype" w:hAnsi="Palatino Linotype" w:cs="Palatino Linotype"/>
          <w:sz w:val="22"/>
          <w:szCs w:val="22"/>
        </w:rPr>
        <w:lastRenderedPageBreak/>
        <w:t xml:space="preserve">la primera a la vigésima cuarta sesión ordinaria, correspondientes al año dos mil veintidós; así como el Acta de la primera sesión extraordinaria del Comité de Adquisiciones y Servicios del Municipio de Tepetlixpa, Estado de México; del dieciséis de julio de dos mil veintidós. </w:t>
      </w:r>
    </w:p>
    <w:p w14:paraId="2B644F91" w14:textId="77777777" w:rsidR="004634F9" w:rsidRPr="00910078" w:rsidRDefault="004634F9">
      <w:pPr>
        <w:pBdr>
          <w:top w:val="nil"/>
          <w:left w:val="nil"/>
          <w:bottom w:val="nil"/>
          <w:right w:val="nil"/>
          <w:between w:val="nil"/>
        </w:pBdr>
        <w:spacing w:line="360" w:lineRule="auto"/>
        <w:ind w:left="1440"/>
        <w:jc w:val="both"/>
        <w:rPr>
          <w:rFonts w:ascii="Palatino Linotype" w:eastAsia="Palatino Linotype" w:hAnsi="Palatino Linotype" w:cs="Palatino Linotype"/>
          <w:sz w:val="22"/>
          <w:szCs w:val="22"/>
        </w:rPr>
      </w:pPr>
    </w:p>
    <w:p w14:paraId="424D311D" w14:textId="77777777" w:rsidR="004634F9" w:rsidRPr="00910078" w:rsidRDefault="00E75A4A">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 xml:space="preserve">4 5 Actas </w:t>
      </w:r>
      <w:proofErr w:type="spellStart"/>
      <w:r w:rsidRPr="00910078">
        <w:rPr>
          <w:rFonts w:ascii="Palatino Linotype" w:eastAsia="Palatino Linotype" w:hAnsi="Palatino Linotype" w:cs="Palatino Linotype"/>
          <w:i/>
          <w:sz w:val="22"/>
          <w:szCs w:val="22"/>
        </w:rPr>
        <w:t>comite</w:t>
      </w:r>
      <w:proofErr w:type="spellEnd"/>
      <w:r w:rsidRPr="00910078">
        <w:rPr>
          <w:rFonts w:ascii="Palatino Linotype" w:eastAsia="Palatino Linotype" w:hAnsi="Palatino Linotype" w:cs="Palatino Linotype"/>
          <w:i/>
          <w:sz w:val="22"/>
          <w:szCs w:val="22"/>
        </w:rPr>
        <w:t xml:space="preserve"> adquisiciones 2023 2024</w:t>
      </w:r>
      <w:r w:rsidRPr="00910078">
        <w:rPr>
          <w:rFonts w:ascii="Palatino Linotype" w:eastAsia="Palatino Linotype" w:hAnsi="Palatino Linotype" w:cs="Palatino Linotype"/>
          <w:sz w:val="22"/>
          <w:szCs w:val="22"/>
        </w:rPr>
        <w:t xml:space="preserve">: Contiene las actas del Comité de Adquisiciones y Servicios del Municipio de Tepetlixpa, Estado de México, de la vigésima sexta a la quincuagésima tercera sesión ordinaria, de enero dos mil veintitrés a marzo dos mil veinticuatro; así como las Actas de la primera y segunda sesión extraordinaria del Comité de Adquisiciones y Servicios del Municipio de Tepetlixpa, Estado de México; correspondientes al año dos mil veintitrés. </w:t>
      </w:r>
    </w:p>
    <w:p w14:paraId="2661EB4C" w14:textId="77777777" w:rsidR="004634F9" w:rsidRPr="00910078" w:rsidRDefault="004634F9">
      <w:pPr>
        <w:pBdr>
          <w:top w:val="nil"/>
          <w:left w:val="nil"/>
          <w:bottom w:val="nil"/>
          <w:right w:val="nil"/>
          <w:between w:val="nil"/>
        </w:pBdr>
        <w:spacing w:line="360" w:lineRule="auto"/>
        <w:ind w:left="1440"/>
        <w:jc w:val="both"/>
        <w:rPr>
          <w:rFonts w:ascii="Palatino Linotype" w:eastAsia="Palatino Linotype" w:hAnsi="Palatino Linotype" w:cs="Palatino Linotype"/>
          <w:sz w:val="22"/>
          <w:szCs w:val="22"/>
        </w:rPr>
      </w:pPr>
    </w:p>
    <w:p w14:paraId="158C7A36" w14:textId="77777777" w:rsidR="004634F9" w:rsidRPr="00910078" w:rsidRDefault="00E75A4A">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 xml:space="preserve">6 Actas </w:t>
      </w:r>
      <w:proofErr w:type="spellStart"/>
      <w:r w:rsidRPr="00910078">
        <w:rPr>
          <w:rFonts w:ascii="Palatino Linotype" w:eastAsia="Palatino Linotype" w:hAnsi="Palatino Linotype" w:cs="Palatino Linotype"/>
          <w:i/>
          <w:sz w:val="22"/>
          <w:szCs w:val="22"/>
        </w:rPr>
        <w:t>comite</w:t>
      </w:r>
      <w:proofErr w:type="spellEnd"/>
      <w:r w:rsidRPr="00910078">
        <w:rPr>
          <w:rFonts w:ascii="Palatino Linotype" w:eastAsia="Palatino Linotype" w:hAnsi="Palatino Linotype" w:cs="Palatino Linotype"/>
          <w:i/>
          <w:sz w:val="22"/>
          <w:szCs w:val="22"/>
        </w:rPr>
        <w:t xml:space="preserve"> arrendamiento 2024 y 9 nombre presidente </w:t>
      </w:r>
      <w:proofErr w:type="spellStart"/>
      <w:r w:rsidRPr="00910078">
        <w:rPr>
          <w:rFonts w:ascii="Palatino Linotype" w:eastAsia="Palatino Linotype" w:hAnsi="Palatino Linotype" w:cs="Palatino Linotype"/>
          <w:i/>
          <w:sz w:val="22"/>
          <w:szCs w:val="22"/>
        </w:rPr>
        <w:t>comite</w:t>
      </w:r>
      <w:proofErr w:type="spellEnd"/>
      <w:r w:rsidRPr="00910078">
        <w:rPr>
          <w:rFonts w:ascii="Palatino Linotype" w:eastAsia="Palatino Linotype" w:hAnsi="Palatino Linotype" w:cs="Palatino Linotype"/>
          <w:i/>
          <w:sz w:val="22"/>
          <w:szCs w:val="22"/>
        </w:rPr>
        <w:t xml:space="preserve"> arrendamiento</w:t>
      </w:r>
      <w:r w:rsidRPr="00910078">
        <w:rPr>
          <w:rFonts w:ascii="Palatino Linotype" w:eastAsia="Palatino Linotype" w:hAnsi="Palatino Linotype" w:cs="Palatino Linotype"/>
          <w:sz w:val="22"/>
          <w:szCs w:val="22"/>
        </w:rPr>
        <w:t xml:space="preserve">: Contienen el oficio número CP/040/2024 de fecha nueve de septiembre de dos mil veinticuatro, signado por la encargada de bienes, mediante el cual informó que la entrega de la Primera Sesión Extraordinaria del Comité de Arrendamientos, Adquisiciones de Inmuebles y Enajenaciones del Municipio de Tepetlixpa, para el ejercicio fiscal 2024; asimismo informó que, la persona servidora pública que funge como presidente del Comité en mención es la C. Alejandra Vidal Valencia, Secretaria del Ayuntamiento. </w:t>
      </w:r>
    </w:p>
    <w:p w14:paraId="4939148D" w14:textId="77777777" w:rsidR="004634F9" w:rsidRPr="00910078" w:rsidRDefault="004634F9">
      <w:pPr>
        <w:pBdr>
          <w:top w:val="nil"/>
          <w:left w:val="nil"/>
          <w:bottom w:val="nil"/>
          <w:right w:val="nil"/>
          <w:between w:val="nil"/>
        </w:pBdr>
        <w:spacing w:line="360" w:lineRule="auto"/>
        <w:ind w:left="1440"/>
        <w:jc w:val="both"/>
        <w:rPr>
          <w:rFonts w:ascii="Palatino Linotype" w:eastAsia="Palatino Linotype" w:hAnsi="Palatino Linotype" w:cs="Palatino Linotype"/>
          <w:sz w:val="22"/>
          <w:szCs w:val="22"/>
        </w:rPr>
      </w:pPr>
    </w:p>
    <w:p w14:paraId="2DD64223" w14:textId="77777777" w:rsidR="004634F9" w:rsidRPr="00910078" w:rsidRDefault="00E75A4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 de la Primera Sesión Extraordinaria del Comité de Arrendamientos, Adquisiciones de Inmuebles y Enajenaciones del Municipio de Tepetlixpa para el ejercicio fiscal 2024, de fecha dos de abril de dos mil veinticuatro. </w:t>
      </w:r>
    </w:p>
    <w:p w14:paraId="0FB3F52F" w14:textId="77777777" w:rsidR="004634F9" w:rsidRPr="00910078" w:rsidRDefault="004634F9">
      <w:pPr>
        <w:pBdr>
          <w:top w:val="nil"/>
          <w:left w:val="nil"/>
          <w:bottom w:val="nil"/>
          <w:right w:val="nil"/>
          <w:between w:val="nil"/>
        </w:pBdr>
        <w:spacing w:line="360" w:lineRule="auto"/>
        <w:ind w:left="1440"/>
        <w:jc w:val="both"/>
        <w:rPr>
          <w:rFonts w:ascii="Palatino Linotype" w:eastAsia="Palatino Linotype" w:hAnsi="Palatino Linotype" w:cs="Palatino Linotype"/>
          <w:sz w:val="22"/>
          <w:szCs w:val="22"/>
        </w:rPr>
      </w:pPr>
    </w:p>
    <w:p w14:paraId="05D1D5F5" w14:textId="77777777" w:rsidR="004634F9" w:rsidRPr="00910078" w:rsidRDefault="00E75A4A">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 xml:space="preserve">7 </w:t>
      </w:r>
      <w:proofErr w:type="gramStart"/>
      <w:r w:rsidRPr="00910078">
        <w:rPr>
          <w:rFonts w:ascii="Palatino Linotype" w:eastAsia="Palatino Linotype" w:hAnsi="Palatino Linotype" w:cs="Palatino Linotype"/>
          <w:i/>
          <w:sz w:val="22"/>
          <w:szCs w:val="22"/>
        </w:rPr>
        <w:t>Lista</w:t>
      </w:r>
      <w:proofErr w:type="gramEnd"/>
      <w:r w:rsidRPr="00910078">
        <w:rPr>
          <w:rFonts w:ascii="Palatino Linotype" w:eastAsia="Palatino Linotype" w:hAnsi="Palatino Linotype" w:cs="Palatino Linotype"/>
          <w:i/>
          <w:sz w:val="22"/>
          <w:szCs w:val="22"/>
        </w:rPr>
        <w:t xml:space="preserve"> proveedores 2023 2024</w:t>
      </w:r>
      <w:r w:rsidRPr="00910078">
        <w:rPr>
          <w:rFonts w:ascii="Palatino Linotype" w:eastAsia="Palatino Linotype" w:hAnsi="Palatino Linotype" w:cs="Palatino Linotype"/>
          <w:sz w:val="22"/>
          <w:szCs w:val="22"/>
        </w:rPr>
        <w:t xml:space="preserve">: Relación de proveedores de los años dos mil veintitrés y dos mil veinticuatro, del que se advierte número de contrato, nombre de la empresa, RFC, servicios contratado e importe total. </w:t>
      </w:r>
    </w:p>
    <w:p w14:paraId="5E09CF39" w14:textId="77777777" w:rsidR="004634F9" w:rsidRPr="00910078" w:rsidRDefault="004634F9">
      <w:pPr>
        <w:pBdr>
          <w:top w:val="nil"/>
          <w:left w:val="nil"/>
          <w:bottom w:val="nil"/>
          <w:right w:val="nil"/>
          <w:between w:val="nil"/>
        </w:pBdr>
        <w:spacing w:line="360" w:lineRule="auto"/>
        <w:ind w:left="1440"/>
        <w:jc w:val="both"/>
        <w:rPr>
          <w:rFonts w:ascii="Palatino Linotype" w:eastAsia="Palatino Linotype" w:hAnsi="Palatino Linotype" w:cs="Palatino Linotype"/>
          <w:sz w:val="22"/>
          <w:szCs w:val="22"/>
        </w:rPr>
      </w:pPr>
    </w:p>
    <w:p w14:paraId="395FB8E4" w14:textId="77777777" w:rsidR="004634F9" w:rsidRPr="00910078" w:rsidRDefault="00E75A4A">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 xml:space="preserve">8 </w:t>
      </w:r>
      <w:proofErr w:type="spellStart"/>
      <w:r w:rsidRPr="00910078">
        <w:rPr>
          <w:rFonts w:ascii="Palatino Linotype" w:eastAsia="Palatino Linotype" w:hAnsi="Palatino Linotype" w:cs="Palatino Linotype"/>
          <w:i/>
          <w:sz w:val="22"/>
          <w:szCs w:val="22"/>
        </w:rPr>
        <w:t>nombnre</w:t>
      </w:r>
      <w:proofErr w:type="spellEnd"/>
      <w:r w:rsidRPr="00910078">
        <w:rPr>
          <w:rFonts w:ascii="Palatino Linotype" w:eastAsia="Palatino Linotype" w:hAnsi="Palatino Linotype" w:cs="Palatino Linotype"/>
          <w:i/>
          <w:sz w:val="22"/>
          <w:szCs w:val="22"/>
        </w:rPr>
        <w:t xml:space="preserve"> presidente </w:t>
      </w:r>
      <w:proofErr w:type="spellStart"/>
      <w:r w:rsidRPr="00910078">
        <w:rPr>
          <w:rFonts w:ascii="Palatino Linotype" w:eastAsia="Palatino Linotype" w:hAnsi="Palatino Linotype" w:cs="Palatino Linotype"/>
          <w:i/>
          <w:sz w:val="22"/>
          <w:szCs w:val="22"/>
        </w:rPr>
        <w:t>comite</w:t>
      </w:r>
      <w:proofErr w:type="spellEnd"/>
      <w:r w:rsidRPr="00910078">
        <w:rPr>
          <w:rFonts w:ascii="Palatino Linotype" w:eastAsia="Palatino Linotype" w:hAnsi="Palatino Linotype" w:cs="Palatino Linotype"/>
          <w:i/>
          <w:sz w:val="22"/>
          <w:szCs w:val="22"/>
        </w:rPr>
        <w:t xml:space="preserve"> adquisiciones</w:t>
      </w:r>
      <w:r w:rsidRPr="00910078">
        <w:rPr>
          <w:rFonts w:ascii="Palatino Linotype" w:eastAsia="Palatino Linotype" w:hAnsi="Palatino Linotype" w:cs="Palatino Linotype"/>
          <w:sz w:val="22"/>
          <w:szCs w:val="22"/>
        </w:rPr>
        <w:t xml:space="preserve">: Contiene el Acta del Comité de Adquisiciones y Servicios del Municipio de Tepetlixpa, de fecha veintitrés de febrero de dos mil veintitrés </w:t>
      </w:r>
    </w:p>
    <w:p w14:paraId="2844CDFC" w14:textId="77777777" w:rsidR="004634F9" w:rsidRPr="00910078" w:rsidRDefault="004634F9">
      <w:pPr>
        <w:pBdr>
          <w:top w:val="nil"/>
          <w:left w:val="nil"/>
          <w:bottom w:val="nil"/>
          <w:right w:val="nil"/>
          <w:between w:val="nil"/>
        </w:pBdr>
        <w:spacing w:line="360" w:lineRule="auto"/>
        <w:ind w:left="1440"/>
        <w:jc w:val="both"/>
        <w:rPr>
          <w:rFonts w:ascii="Palatino Linotype" w:eastAsia="Palatino Linotype" w:hAnsi="Palatino Linotype" w:cs="Palatino Linotype"/>
          <w:sz w:val="22"/>
          <w:szCs w:val="22"/>
        </w:rPr>
      </w:pPr>
    </w:p>
    <w:p w14:paraId="729EF723" w14:textId="77777777" w:rsidR="004634F9" w:rsidRPr="00910078" w:rsidRDefault="00E75A4A">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 xml:space="preserve">10 </w:t>
      </w:r>
      <w:proofErr w:type="gramStart"/>
      <w:r w:rsidRPr="00910078">
        <w:rPr>
          <w:rFonts w:ascii="Palatino Linotype" w:eastAsia="Palatino Linotype" w:hAnsi="Palatino Linotype" w:cs="Palatino Linotype"/>
          <w:i/>
          <w:sz w:val="22"/>
          <w:szCs w:val="22"/>
        </w:rPr>
        <w:t>Nomina</w:t>
      </w:r>
      <w:proofErr w:type="gramEnd"/>
      <w:r w:rsidRPr="00910078">
        <w:rPr>
          <w:rFonts w:ascii="Palatino Linotype" w:eastAsia="Palatino Linotype" w:hAnsi="Palatino Linotype" w:cs="Palatino Linotype"/>
          <w:i/>
          <w:sz w:val="22"/>
          <w:szCs w:val="22"/>
        </w:rPr>
        <w:t xml:space="preserve"> 31 </w:t>
      </w:r>
      <w:proofErr w:type="spellStart"/>
      <w:r w:rsidRPr="00910078">
        <w:rPr>
          <w:rFonts w:ascii="Palatino Linotype" w:eastAsia="Palatino Linotype" w:hAnsi="Palatino Linotype" w:cs="Palatino Linotype"/>
          <w:i/>
          <w:sz w:val="22"/>
          <w:szCs w:val="22"/>
        </w:rPr>
        <w:t>ago</w:t>
      </w:r>
      <w:proofErr w:type="spellEnd"/>
      <w:r w:rsidRPr="00910078">
        <w:rPr>
          <w:rFonts w:ascii="Palatino Linotype" w:eastAsia="Palatino Linotype" w:hAnsi="Palatino Linotype" w:cs="Palatino Linotype"/>
          <w:i/>
          <w:sz w:val="22"/>
          <w:szCs w:val="22"/>
        </w:rPr>
        <w:t xml:space="preserve"> 2024</w:t>
      </w:r>
      <w:r w:rsidRPr="00910078">
        <w:rPr>
          <w:rFonts w:ascii="Palatino Linotype" w:eastAsia="Palatino Linotype" w:hAnsi="Palatino Linotype" w:cs="Palatino Linotype"/>
          <w:sz w:val="22"/>
          <w:szCs w:val="22"/>
        </w:rPr>
        <w:t xml:space="preserve">: Contiene la nómina del Ayuntamiento de Tepetlixpa de forma íntegra, en el que se advierten percepciones y deducciones entre ellas descuentos por pensiones. </w:t>
      </w:r>
    </w:p>
    <w:p w14:paraId="577BFB91" w14:textId="77777777" w:rsidR="004634F9" w:rsidRPr="00910078" w:rsidRDefault="004634F9">
      <w:pPr>
        <w:pBdr>
          <w:top w:val="nil"/>
          <w:left w:val="nil"/>
          <w:bottom w:val="nil"/>
          <w:right w:val="nil"/>
          <w:between w:val="nil"/>
        </w:pBdr>
        <w:spacing w:line="360" w:lineRule="auto"/>
        <w:ind w:left="1440"/>
        <w:jc w:val="both"/>
        <w:rPr>
          <w:rFonts w:ascii="Palatino Linotype" w:eastAsia="Palatino Linotype" w:hAnsi="Palatino Linotype" w:cs="Palatino Linotype"/>
          <w:sz w:val="22"/>
          <w:szCs w:val="22"/>
        </w:rPr>
      </w:pPr>
    </w:p>
    <w:p w14:paraId="4A6EBB46" w14:textId="77777777" w:rsidR="004634F9" w:rsidRPr="00910078" w:rsidRDefault="00E75A4A">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 xml:space="preserve">11 </w:t>
      </w:r>
      <w:proofErr w:type="spellStart"/>
      <w:r w:rsidRPr="00910078">
        <w:rPr>
          <w:rFonts w:ascii="Palatino Linotype" w:eastAsia="Palatino Linotype" w:hAnsi="Palatino Linotype" w:cs="Palatino Linotype"/>
          <w:i/>
          <w:sz w:val="22"/>
          <w:szCs w:val="22"/>
        </w:rPr>
        <w:t>Bitacora</w:t>
      </w:r>
      <w:proofErr w:type="spellEnd"/>
      <w:r w:rsidRPr="00910078">
        <w:rPr>
          <w:rFonts w:ascii="Palatino Linotype" w:eastAsia="Palatino Linotype" w:hAnsi="Palatino Linotype" w:cs="Palatino Linotype"/>
          <w:i/>
          <w:sz w:val="22"/>
          <w:szCs w:val="22"/>
        </w:rPr>
        <w:t xml:space="preserve"> combustible 2024</w:t>
      </w:r>
      <w:r w:rsidRPr="00910078">
        <w:rPr>
          <w:rFonts w:ascii="Palatino Linotype" w:eastAsia="Palatino Linotype" w:hAnsi="Palatino Linotype" w:cs="Palatino Linotype"/>
          <w:sz w:val="22"/>
          <w:szCs w:val="22"/>
        </w:rPr>
        <w:t xml:space="preserve">: Contiene un documento elaborado en el que se advierte un listado de gastos por gasolina, diésel, por mes de enero a julio del 2024. </w:t>
      </w:r>
    </w:p>
    <w:p w14:paraId="15133EDB" w14:textId="77777777" w:rsidR="004634F9" w:rsidRPr="00910078" w:rsidRDefault="004634F9">
      <w:pPr>
        <w:jc w:val="both"/>
        <w:rPr>
          <w:rFonts w:ascii="Palatino Linotype" w:eastAsia="Palatino Linotype" w:hAnsi="Palatino Linotype" w:cs="Palatino Linotype"/>
          <w:sz w:val="22"/>
          <w:szCs w:val="22"/>
        </w:rPr>
      </w:pPr>
    </w:p>
    <w:p w14:paraId="1E5F038B" w14:textId="77777777" w:rsidR="004634F9" w:rsidRPr="00910078" w:rsidRDefault="00E75A4A">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Es así que en fecha </w:t>
      </w:r>
      <w:r w:rsidRPr="00910078">
        <w:rPr>
          <w:rFonts w:ascii="Palatino Linotype" w:eastAsia="Palatino Linotype" w:hAnsi="Palatino Linotype" w:cs="Palatino Linotype"/>
          <w:b/>
          <w:sz w:val="22"/>
          <w:szCs w:val="22"/>
        </w:rPr>
        <w:t>veintinueve de octubre de dos mil veinticuatro</w:t>
      </w:r>
      <w:r w:rsidRPr="00910078">
        <w:rPr>
          <w:rFonts w:ascii="Palatino Linotype" w:eastAsia="Palatino Linotype" w:hAnsi="Palatino Linotype" w:cs="Palatino Linotype"/>
          <w:sz w:val="22"/>
          <w:szCs w:val="22"/>
        </w:rPr>
        <w:t xml:space="preserve"> fue puesto a la vista de la parte </w:t>
      </w:r>
      <w:r w:rsidRPr="00910078">
        <w:rPr>
          <w:rFonts w:ascii="Palatino Linotype" w:eastAsia="Palatino Linotype" w:hAnsi="Palatino Linotype" w:cs="Palatino Linotype"/>
          <w:b/>
          <w:sz w:val="22"/>
          <w:szCs w:val="22"/>
        </w:rPr>
        <w:t>Recurrente</w:t>
      </w:r>
      <w:r w:rsidRPr="00910078">
        <w:rPr>
          <w:rFonts w:ascii="Palatino Linotype" w:eastAsia="Palatino Linotype" w:hAnsi="Palatino Linotype" w:cs="Palatino Linotype"/>
          <w:sz w:val="22"/>
          <w:szCs w:val="22"/>
        </w:rPr>
        <w:t xml:space="preserve"> únicamente el archivo electrónico </w:t>
      </w:r>
      <w:r w:rsidRPr="00910078">
        <w:rPr>
          <w:rFonts w:ascii="Palatino Linotype" w:eastAsia="Palatino Linotype" w:hAnsi="Palatino Linotype" w:cs="Palatino Linotype"/>
          <w:b/>
          <w:i/>
          <w:sz w:val="22"/>
          <w:szCs w:val="22"/>
        </w:rPr>
        <w:t xml:space="preserve">“of320 </w:t>
      </w:r>
      <w:proofErr w:type="spellStart"/>
      <w:r w:rsidRPr="00910078">
        <w:rPr>
          <w:rFonts w:ascii="Palatino Linotype" w:eastAsia="Palatino Linotype" w:hAnsi="Palatino Linotype" w:cs="Palatino Linotype"/>
          <w:b/>
          <w:i/>
          <w:sz w:val="22"/>
          <w:szCs w:val="22"/>
        </w:rPr>
        <w:t>inf</w:t>
      </w:r>
      <w:proofErr w:type="spellEnd"/>
      <w:r w:rsidRPr="00910078">
        <w:rPr>
          <w:rFonts w:ascii="Palatino Linotype" w:eastAsia="Palatino Linotype" w:hAnsi="Palatino Linotype" w:cs="Palatino Linotype"/>
          <w:b/>
          <w:i/>
          <w:sz w:val="22"/>
          <w:szCs w:val="22"/>
        </w:rPr>
        <w:t xml:space="preserve"> </w:t>
      </w:r>
      <w:proofErr w:type="spellStart"/>
      <w:r w:rsidRPr="00910078">
        <w:rPr>
          <w:rFonts w:ascii="Palatino Linotype" w:eastAsia="Palatino Linotype" w:hAnsi="Palatino Linotype" w:cs="Palatino Linotype"/>
          <w:b/>
          <w:i/>
          <w:sz w:val="22"/>
          <w:szCs w:val="22"/>
        </w:rPr>
        <w:t>cump</w:t>
      </w:r>
      <w:proofErr w:type="spellEnd"/>
      <w:r w:rsidRPr="00910078">
        <w:rPr>
          <w:rFonts w:ascii="Palatino Linotype" w:eastAsia="Palatino Linotype" w:hAnsi="Palatino Linotype" w:cs="Palatino Linotype"/>
          <w:b/>
          <w:i/>
          <w:sz w:val="22"/>
          <w:szCs w:val="22"/>
        </w:rPr>
        <w:t xml:space="preserve"> infoem.pdf”</w:t>
      </w:r>
      <w:r w:rsidRPr="00910078">
        <w:rPr>
          <w:rFonts w:ascii="Palatino Linotype" w:eastAsia="Palatino Linotype" w:hAnsi="Palatino Linotype" w:cs="Palatino Linotype"/>
          <w:sz w:val="22"/>
          <w:szCs w:val="22"/>
        </w:rPr>
        <w:t xml:space="preserve">; no obstante, fue omisa en ejercer dicha prerrogativa. </w:t>
      </w:r>
    </w:p>
    <w:p w14:paraId="3E17B6E0" w14:textId="77777777" w:rsidR="004634F9" w:rsidRPr="00910078" w:rsidRDefault="004634F9">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ECF7EE0" w14:textId="77777777" w:rsidR="004634F9" w:rsidRPr="00910078" w:rsidRDefault="00E75A4A">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Por lo que hace al archivo electrónico denominado </w:t>
      </w:r>
      <w:r w:rsidRPr="00910078">
        <w:rPr>
          <w:rFonts w:ascii="Palatino Linotype" w:eastAsia="Palatino Linotype" w:hAnsi="Palatino Linotype" w:cs="Palatino Linotype"/>
          <w:b/>
          <w:i/>
          <w:sz w:val="22"/>
          <w:szCs w:val="22"/>
        </w:rPr>
        <w:t>“SIP 160 161 RR 5899 5900 2024.rar”</w:t>
      </w:r>
      <w:r w:rsidRPr="00910078">
        <w:rPr>
          <w:rFonts w:ascii="Palatino Linotype" w:eastAsia="Palatino Linotype" w:hAnsi="Palatino Linotype" w:cs="Palatino Linotype"/>
          <w:sz w:val="22"/>
          <w:szCs w:val="22"/>
        </w:rPr>
        <w:t xml:space="preserve">, no fue puesto a la vista del particular, toda vez que de la revisión se advierte que 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xml:space="preserve"> dejo datos visibles que son considerados como confidenciales, como son descuentos personales en la nómina y características del armamento de la Dirección de Seguridad Publica en las actas del Comité de adquisiciones y servicios. </w:t>
      </w:r>
    </w:p>
    <w:p w14:paraId="6943267F" w14:textId="77777777" w:rsidR="004634F9" w:rsidRPr="00910078" w:rsidRDefault="004634F9">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5028CF25" w14:textId="77777777" w:rsidR="004634F9" w:rsidRPr="00910078" w:rsidRDefault="00E75A4A">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sz w:val="22"/>
          <w:szCs w:val="22"/>
        </w:rPr>
        <w:t xml:space="preserve">Cierre de instrucción. </w:t>
      </w:r>
      <w:r w:rsidRPr="00910078">
        <w:rPr>
          <w:rFonts w:ascii="Palatino Linotype" w:eastAsia="Palatino Linotype" w:hAnsi="Palatino Linotype" w:cs="Palatino Linotype"/>
          <w:sz w:val="22"/>
          <w:szCs w:val="22"/>
        </w:rPr>
        <w:t xml:space="preserve">El </w:t>
      </w:r>
      <w:r w:rsidR="00B02885" w:rsidRPr="00910078">
        <w:rPr>
          <w:rFonts w:ascii="Palatino Linotype" w:eastAsia="Palatino Linotype" w:hAnsi="Palatino Linotype" w:cs="Palatino Linotype"/>
          <w:b/>
          <w:sz w:val="22"/>
          <w:szCs w:val="22"/>
        </w:rPr>
        <w:t xml:space="preserve">siete </w:t>
      </w:r>
      <w:r w:rsidRPr="00910078">
        <w:rPr>
          <w:rFonts w:ascii="Palatino Linotype" w:eastAsia="Palatino Linotype" w:hAnsi="Palatino Linotype" w:cs="Palatino Linotype"/>
          <w:b/>
          <w:sz w:val="22"/>
          <w:szCs w:val="22"/>
        </w:rPr>
        <w:t>de noviembre de dos mil veinticuatro</w:t>
      </w:r>
      <w:r w:rsidRPr="00910078">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89FA5B1" w14:textId="77777777" w:rsidR="004634F9" w:rsidRPr="00910078" w:rsidRDefault="004634F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2FA45CAE"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F844FD5"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21F7894E" w14:textId="77777777" w:rsidR="004634F9" w:rsidRPr="00910078" w:rsidRDefault="00E75A4A">
      <w:pPr>
        <w:numPr>
          <w:ilvl w:val="0"/>
          <w:numId w:val="6"/>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 w:name="_heading=h.30j0zll" w:colFirst="0" w:colLast="0"/>
      <w:bookmarkEnd w:id="1"/>
      <w:r w:rsidRPr="00910078">
        <w:rPr>
          <w:rFonts w:ascii="Palatino Linotype" w:eastAsia="Palatino Linotype" w:hAnsi="Palatino Linotype" w:cs="Palatino Linotype"/>
          <w:b/>
          <w:sz w:val="22"/>
          <w:szCs w:val="22"/>
        </w:rPr>
        <w:t>C O N S I D E R A N D O:</w:t>
      </w:r>
    </w:p>
    <w:p w14:paraId="305B3088" w14:textId="77777777" w:rsidR="004634F9" w:rsidRPr="00910078" w:rsidRDefault="004634F9">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356197EA"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sz w:val="22"/>
          <w:szCs w:val="22"/>
        </w:rPr>
        <w:t xml:space="preserve">Primero. Competencia. </w:t>
      </w:r>
      <w:r w:rsidRPr="00910078">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C0DC2EC" w14:textId="77777777" w:rsidR="004634F9" w:rsidRPr="00910078" w:rsidRDefault="004634F9">
      <w:pPr>
        <w:spacing w:line="360" w:lineRule="auto"/>
        <w:jc w:val="both"/>
        <w:rPr>
          <w:rFonts w:ascii="Palatino Linotype" w:eastAsia="Palatino Linotype" w:hAnsi="Palatino Linotype" w:cs="Palatino Linotype"/>
          <w:b/>
          <w:sz w:val="22"/>
          <w:szCs w:val="22"/>
        </w:rPr>
      </w:pPr>
    </w:p>
    <w:p w14:paraId="36FBCC8C"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sz w:val="22"/>
          <w:szCs w:val="22"/>
        </w:rPr>
        <w:t>Segundo. Oportunidad y Procedibilidad del Recurso de Revisión</w:t>
      </w:r>
      <w:r w:rsidRPr="00910078">
        <w:rPr>
          <w:rFonts w:ascii="Palatino Linotype" w:eastAsia="Palatino Linotype" w:hAnsi="Palatino Linotype" w:cs="Palatino Linotype"/>
          <w:sz w:val="22"/>
          <w:szCs w:val="22"/>
        </w:rPr>
        <w:t>. Es de precisar que la</w:t>
      </w:r>
      <w:r w:rsidRPr="00910078">
        <w:rPr>
          <w:rFonts w:ascii="Palatino Linotype" w:eastAsia="Palatino Linotype" w:hAnsi="Palatino Linotype" w:cs="Palatino Linotype"/>
          <w:b/>
          <w:sz w:val="22"/>
          <w:szCs w:val="22"/>
        </w:rPr>
        <w:t xml:space="preserve"> </w:t>
      </w:r>
      <w:r w:rsidRPr="00910078">
        <w:rPr>
          <w:rFonts w:ascii="Palatino Linotype" w:eastAsia="Palatino Linotype" w:hAnsi="Palatino Linotype" w:cs="Palatino Linotype"/>
          <w:sz w:val="22"/>
          <w:szCs w:val="22"/>
        </w:rPr>
        <w:t xml:space="preserve">Ley de Transparencia y Acceso a la Información Pública del Estado de México y Municipios, </w:t>
      </w:r>
      <w:r w:rsidRPr="00910078">
        <w:rPr>
          <w:rFonts w:ascii="Palatino Linotype" w:eastAsia="Palatino Linotype" w:hAnsi="Palatino Linotype" w:cs="Palatino Linotype"/>
          <w:sz w:val="22"/>
          <w:szCs w:val="22"/>
        </w:rPr>
        <w:lastRenderedPageBreak/>
        <w:t xml:space="preserve">describe el mecanismo de procedencia de los recursos de revisión, como se dispone en los artículos 163 y 166, del tenor literal siguiente: </w:t>
      </w:r>
    </w:p>
    <w:p w14:paraId="74E2F797"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424148CD"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w:t>
      </w:r>
      <w:r w:rsidRPr="00910078">
        <w:rPr>
          <w:rFonts w:ascii="Palatino Linotype" w:eastAsia="Palatino Linotype" w:hAnsi="Palatino Linotype" w:cs="Palatino Linotype"/>
          <w:b/>
          <w:i/>
          <w:sz w:val="22"/>
          <w:szCs w:val="22"/>
        </w:rPr>
        <w:t xml:space="preserve">Artículo 163. </w:t>
      </w:r>
      <w:r w:rsidRPr="00910078">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5D92BE82"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w:t>
      </w:r>
    </w:p>
    <w:p w14:paraId="61A3597E"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Artículo 166.</w:t>
      </w:r>
      <w:r w:rsidRPr="00910078">
        <w:rPr>
          <w:rFonts w:ascii="Palatino Linotype" w:eastAsia="Palatino Linotype" w:hAnsi="Palatino Linotype" w:cs="Palatino Linotype"/>
          <w:i/>
          <w:sz w:val="22"/>
          <w:szCs w:val="22"/>
        </w:rPr>
        <w:t xml:space="preserve"> […]</w:t>
      </w:r>
    </w:p>
    <w:p w14:paraId="52AD0F90"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14:paraId="543AEA84" w14:textId="77777777" w:rsidR="004634F9" w:rsidRPr="00910078" w:rsidRDefault="00E75A4A">
      <w:pPr>
        <w:spacing w:before="240" w:after="240"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14:paraId="7343B6AC" w14:textId="77777777" w:rsidR="004634F9" w:rsidRPr="00910078" w:rsidRDefault="00E75A4A">
      <w:pPr>
        <w:spacing w:before="240" w:after="240"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07C3D3D5" w14:textId="77777777" w:rsidR="004634F9" w:rsidRPr="00910078" w:rsidRDefault="00E75A4A">
      <w:pPr>
        <w:spacing w:before="240" w:after="240" w:line="360" w:lineRule="auto"/>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sz w:val="22"/>
          <w:szCs w:val="22"/>
        </w:rPr>
        <w:t>Por su parte, el artículo 178 del citado ordenamiento, establece:</w:t>
      </w:r>
    </w:p>
    <w:p w14:paraId="7EA242DB" w14:textId="77777777" w:rsidR="004634F9" w:rsidRPr="00910078" w:rsidRDefault="00E75A4A">
      <w:pPr>
        <w:spacing w:before="120" w:after="120"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w:t>
      </w:r>
      <w:r w:rsidRPr="00910078">
        <w:rPr>
          <w:rFonts w:ascii="Palatino Linotype" w:eastAsia="Palatino Linotype" w:hAnsi="Palatino Linotype" w:cs="Palatino Linotype"/>
          <w:b/>
          <w:i/>
          <w:sz w:val="22"/>
          <w:szCs w:val="22"/>
        </w:rPr>
        <w:t xml:space="preserve">Artículo 178. </w:t>
      </w:r>
      <w:r w:rsidRPr="00910078">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1EBB968" w14:textId="77777777" w:rsidR="004634F9" w:rsidRPr="00910078" w:rsidRDefault="00E75A4A">
      <w:pPr>
        <w:spacing w:before="120" w:after="120"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B348959" w14:textId="77777777" w:rsidR="004634F9" w:rsidRPr="00910078" w:rsidRDefault="00E75A4A">
      <w:pPr>
        <w:spacing w:before="240" w:after="240"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De lo anterior, se advierte que el recurso de revisión se ha de interponer dentro del plazo de quince días hábiles, a partir de la fecha en que el </w:t>
      </w:r>
      <w:r w:rsidRPr="00910078">
        <w:rPr>
          <w:rFonts w:ascii="Palatino Linotype" w:eastAsia="Palatino Linotype" w:hAnsi="Palatino Linotype" w:cs="Palatino Linotype"/>
          <w:b/>
          <w:sz w:val="22"/>
          <w:szCs w:val="22"/>
        </w:rPr>
        <w:t xml:space="preserve">Sujeto Obligado </w:t>
      </w:r>
      <w:r w:rsidRPr="00910078">
        <w:rPr>
          <w:rFonts w:ascii="Palatino Linotype" w:eastAsia="Palatino Linotype" w:hAnsi="Palatino Linotype" w:cs="Palatino Linotype"/>
          <w:sz w:val="22"/>
          <w:szCs w:val="22"/>
        </w:rPr>
        <w:t>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14:paraId="6985E882" w14:textId="77777777" w:rsidR="004634F9" w:rsidRPr="00910078" w:rsidRDefault="00E75A4A">
      <w:pPr>
        <w:spacing w:before="240" w:after="240"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La negativa ficta constituye una presunción legal, en el entendido de que donde no hubo respuesta por parte del </w:t>
      </w:r>
      <w:r w:rsidRPr="00910078">
        <w:rPr>
          <w:rFonts w:ascii="Palatino Linotype" w:eastAsia="Palatino Linotype" w:hAnsi="Palatino Linotype" w:cs="Palatino Linotype"/>
          <w:b/>
          <w:sz w:val="22"/>
          <w:szCs w:val="22"/>
        </w:rPr>
        <w:t xml:space="preserve">Sujeto Obligado </w:t>
      </w:r>
      <w:r w:rsidRPr="00910078">
        <w:rPr>
          <w:rFonts w:ascii="Palatino Linotype" w:eastAsia="Palatino Linotype" w:hAnsi="Palatino Linotype" w:cs="Palatino Linotype"/>
          <w:sz w:val="22"/>
          <w:szCs w:val="22"/>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5135A083" w14:textId="77777777" w:rsidR="004634F9" w:rsidRPr="00910078" w:rsidRDefault="00E75A4A">
      <w:pPr>
        <w:spacing w:before="240" w:after="240"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sidRPr="00910078">
        <w:rPr>
          <w:rFonts w:ascii="Palatino Linotype" w:eastAsia="Palatino Linotype" w:hAnsi="Palatino Linotype" w:cs="Palatino Linotype"/>
          <w:sz w:val="22"/>
          <w:szCs w:val="22"/>
        </w:rPr>
        <w:t>desechamiento</w:t>
      </w:r>
      <w:proofErr w:type="spellEnd"/>
      <w:r w:rsidRPr="00910078">
        <w:rPr>
          <w:rFonts w:ascii="Palatino Linotype" w:eastAsia="Palatino Linotype" w:hAnsi="Palatino Linotype" w:cs="Palatino Linotype"/>
          <w:sz w:val="22"/>
          <w:szCs w:val="22"/>
        </w:rPr>
        <w:t xml:space="preserve"> del mismo.</w:t>
      </w:r>
    </w:p>
    <w:p w14:paraId="115BA0E7" w14:textId="77777777" w:rsidR="004634F9" w:rsidRPr="00910078" w:rsidRDefault="00E75A4A">
      <w:pPr>
        <w:spacing w:before="240" w:after="240" w:line="360" w:lineRule="auto"/>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sz w:val="22"/>
          <w:szCs w:val="22"/>
        </w:rPr>
        <w:lastRenderedPageBreak/>
        <w:t xml:space="preserve">Por lo tanto, con la finalidad de no reducir ni limitar el derecho de acceso a la información y concederle una protección más eficaz al solicitante para impugnar el silencio del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03387332"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“CRITERIO 0001-15. NEGATIVA FICTA. PLAZO PARA INTERPONER EL RECURSO DE REVISIÓN TRATÁNDOSE DE</w:t>
      </w:r>
      <w:r w:rsidRPr="00910078">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 </w:t>
      </w:r>
    </w:p>
    <w:p w14:paraId="27A7FE43" w14:textId="77777777" w:rsidR="004634F9" w:rsidRPr="00910078" w:rsidRDefault="00E75A4A">
      <w:pPr>
        <w:spacing w:before="240" w:after="240"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72D2138D" w14:textId="77777777" w:rsidR="004634F9" w:rsidRPr="00910078" w:rsidRDefault="00E75A4A">
      <w:pPr>
        <w:spacing w:before="240" w:after="240"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lastRenderedPageBreak/>
        <w:t>Finalmente, antes de entrar al estudio de la presente resolución es preciso determinar si resulta procedente la interposición de los recursos de revisión, toda vez que se actualiza la hipótesis prevista en el artículo 179, fracción VII de la ley de la materia, que a la letra dice:</w:t>
      </w:r>
    </w:p>
    <w:p w14:paraId="0044F672" w14:textId="77777777" w:rsidR="004634F9" w:rsidRPr="00910078" w:rsidRDefault="00E75A4A" w:rsidP="009F5545">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w:t>
      </w:r>
      <w:r w:rsidRPr="00910078">
        <w:rPr>
          <w:rFonts w:ascii="Palatino Linotype" w:eastAsia="Palatino Linotype" w:hAnsi="Palatino Linotype" w:cs="Palatino Linotype"/>
          <w:b/>
          <w:i/>
          <w:sz w:val="22"/>
          <w:szCs w:val="22"/>
        </w:rPr>
        <w:t xml:space="preserve">Artículo 179. </w:t>
      </w:r>
      <w:r w:rsidRPr="00910078">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0AF2E61" w14:textId="77777777" w:rsidR="004634F9" w:rsidRPr="00910078" w:rsidRDefault="00E75A4A" w:rsidP="009F5545">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w:t>
      </w:r>
    </w:p>
    <w:p w14:paraId="0B933D93" w14:textId="77777777" w:rsidR="004634F9" w:rsidRPr="00910078" w:rsidRDefault="00E75A4A" w:rsidP="009F5545">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 xml:space="preserve">VII. </w:t>
      </w:r>
      <w:r w:rsidRPr="00910078">
        <w:rPr>
          <w:rFonts w:ascii="Palatino Linotype" w:eastAsia="Palatino Linotype" w:hAnsi="Palatino Linotype" w:cs="Palatino Linotype"/>
          <w:i/>
          <w:sz w:val="22"/>
          <w:szCs w:val="22"/>
        </w:rPr>
        <w:t>La falta de respuesta a una solicitud de acceso a la información;”</w:t>
      </w:r>
    </w:p>
    <w:p w14:paraId="2AADD558" w14:textId="77777777" w:rsidR="004634F9" w:rsidRPr="00910078" w:rsidRDefault="00E75A4A">
      <w:pPr>
        <w:spacing w:before="240" w:after="240" w:line="360" w:lineRule="auto"/>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sz w:val="22"/>
          <w:szCs w:val="22"/>
        </w:rPr>
        <w:t xml:space="preserve">El precepto legal citado, establece como supuesto de procedencia del recurso de revisión, en aquellos casos en que la parte </w:t>
      </w:r>
      <w:r w:rsidRPr="00910078">
        <w:rPr>
          <w:rFonts w:ascii="Palatino Linotype" w:eastAsia="Palatino Linotype" w:hAnsi="Palatino Linotype" w:cs="Palatino Linotype"/>
          <w:b/>
          <w:sz w:val="22"/>
          <w:szCs w:val="22"/>
        </w:rPr>
        <w:t xml:space="preserve">Recurrente </w:t>
      </w:r>
      <w:r w:rsidRPr="00910078">
        <w:rPr>
          <w:rFonts w:ascii="Palatino Linotype" w:eastAsia="Palatino Linotype" w:hAnsi="Palatino Linotype" w:cs="Palatino Linotype"/>
          <w:sz w:val="22"/>
          <w:szCs w:val="22"/>
        </w:rPr>
        <w:t xml:space="preserve">estime negado el acceso a la información por la falta de respuesta por 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xml:space="preserve">, en este asunto se actualiza la hipótesis jurídica citada, en atención a que la parte </w:t>
      </w:r>
      <w:r w:rsidRPr="00910078">
        <w:rPr>
          <w:rFonts w:ascii="Palatino Linotype" w:eastAsia="Palatino Linotype" w:hAnsi="Palatino Linotype" w:cs="Palatino Linotype"/>
          <w:b/>
          <w:sz w:val="22"/>
          <w:szCs w:val="22"/>
        </w:rPr>
        <w:t>Recurrente</w:t>
      </w:r>
      <w:r w:rsidRPr="00910078">
        <w:rPr>
          <w:rFonts w:ascii="Palatino Linotype" w:eastAsia="Palatino Linotype" w:hAnsi="Palatino Linotype" w:cs="Palatino Linotype"/>
          <w:sz w:val="22"/>
          <w:szCs w:val="22"/>
        </w:rPr>
        <w:t xml:space="preserve"> combate falta de trámite por 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xml:space="preserve"> y expresa motivos de inconformidad en contra de dicha circunstancia.</w:t>
      </w:r>
    </w:p>
    <w:p w14:paraId="69DE597F"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sz w:val="22"/>
          <w:szCs w:val="22"/>
        </w:rPr>
        <w:t>Tercero. Materia de Revisión</w:t>
      </w:r>
      <w:r w:rsidRPr="00910078">
        <w:rPr>
          <w:rFonts w:ascii="Palatino Linotype" w:eastAsia="Palatino Linotype" w:hAnsi="Palatino Linotype" w:cs="Palatino Linotype"/>
          <w:sz w:val="22"/>
          <w:szCs w:val="22"/>
        </w:rPr>
        <w:t xml:space="preserve">: Este Organismo Garante procede del análisis de los agravios hechos valer por la parte </w:t>
      </w:r>
      <w:r w:rsidRPr="00910078">
        <w:rPr>
          <w:rFonts w:ascii="Palatino Linotype" w:eastAsia="Palatino Linotype" w:hAnsi="Palatino Linotype" w:cs="Palatino Linotype"/>
          <w:b/>
          <w:sz w:val="22"/>
          <w:szCs w:val="22"/>
        </w:rPr>
        <w:t>Recurrente</w:t>
      </w:r>
      <w:r w:rsidRPr="00910078">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121C56C0"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6438AFA8"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sz w:val="22"/>
          <w:szCs w:val="22"/>
        </w:rPr>
        <w:t xml:space="preserve">Cuarto. Estudio de fondo del asunto. </w:t>
      </w:r>
      <w:r w:rsidRPr="00910078">
        <w:rPr>
          <w:rFonts w:ascii="Palatino Linotype" w:eastAsia="Palatino Linotype" w:hAnsi="Palatino Linotype" w:cs="Palatino Linotype"/>
          <w:sz w:val="22"/>
          <w:szCs w:val="22"/>
        </w:rPr>
        <w:t xml:space="preserve">Como se puede observar en los antecedentes de la presente resolución, 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xml:space="preserve"> fue omiso en emitir respuesta a la solicitud de información; sin embargo, con posterioridad mediante Informe Justificado remitió un documento a través del cual atiende la solicitud de acceso a la información. </w:t>
      </w:r>
    </w:p>
    <w:p w14:paraId="6DB7AACD"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3A207475"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En razón de ello, con el fin de no dejar en estado de indefensión al </w:t>
      </w:r>
      <w:r w:rsidRPr="00910078">
        <w:rPr>
          <w:rFonts w:ascii="Palatino Linotype" w:eastAsia="Palatino Linotype" w:hAnsi="Palatino Linotype" w:cs="Palatino Linotype"/>
          <w:b/>
          <w:sz w:val="22"/>
          <w:szCs w:val="22"/>
        </w:rPr>
        <w:t>Recurrente</w:t>
      </w:r>
      <w:r w:rsidRPr="00910078">
        <w:rPr>
          <w:rFonts w:ascii="Palatino Linotype" w:eastAsia="Palatino Linotype" w:hAnsi="Palatino Linotype" w:cs="Palatino Linotype"/>
          <w:sz w:val="22"/>
          <w:szCs w:val="22"/>
        </w:rPr>
        <w:t xml:space="preserve">, resulta oportuno analizar y determinar si la información proporcionada vía Informe Justificado, </w:t>
      </w:r>
      <w:r w:rsidRPr="00910078">
        <w:rPr>
          <w:rFonts w:ascii="Palatino Linotype" w:eastAsia="Palatino Linotype" w:hAnsi="Palatino Linotype" w:cs="Palatino Linotype"/>
          <w:sz w:val="22"/>
          <w:szCs w:val="22"/>
        </w:rPr>
        <w:lastRenderedPageBreak/>
        <w:t>satisface el alcance y contenido del derecho de acceso a la información en términos del artículo 4 de la Ley de la materia, esto es, que cualquier persona tiene derecho al acceso de la información pública, información que consiste en aquella que sea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A207B42"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1B2542C9" w14:textId="77777777" w:rsidR="004634F9" w:rsidRPr="00910078" w:rsidRDefault="00E75A4A">
      <w:pPr>
        <w:tabs>
          <w:tab w:val="left" w:pos="851"/>
        </w:tabs>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w:t>
      </w:r>
      <w:r w:rsidRPr="00910078">
        <w:rPr>
          <w:rFonts w:ascii="Palatino Linotype" w:eastAsia="Palatino Linotype" w:hAnsi="Palatino Linotype" w:cs="Palatino Linotype"/>
          <w:b/>
          <w:i/>
          <w:sz w:val="22"/>
          <w:szCs w:val="22"/>
        </w:rPr>
        <w:t>Artículo 4</w:t>
      </w:r>
      <w:r w:rsidRPr="0091007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F7FC825" w14:textId="77777777" w:rsidR="004634F9" w:rsidRPr="00910078" w:rsidRDefault="00E75A4A">
      <w:pPr>
        <w:tabs>
          <w:tab w:val="left" w:pos="851"/>
        </w:tabs>
        <w:spacing w:line="276" w:lineRule="auto"/>
        <w:ind w:left="851" w:right="616"/>
        <w:jc w:val="both"/>
        <w:rPr>
          <w:rFonts w:ascii="Palatino Linotype" w:eastAsia="Palatino Linotype" w:hAnsi="Palatino Linotype" w:cs="Palatino Linotype"/>
          <w:b/>
          <w:i/>
          <w:sz w:val="22"/>
          <w:szCs w:val="22"/>
        </w:rPr>
      </w:pPr>
      <w:r w:rsidRPr="0091007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42E3D4F" w14:textId="77777777" w:rsidR="004634F9" w:rsidRPr="00910078" w:rsidRDefault="00E75A4A">
      <w:pPr>
        <w:tabs>
          <w:tab w:val="left" w:pos="851"/>
        </w:tabs>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910078">
        <w:rPr>
          <w:rFonts w:ascii="Palatino Linotype" w:eastAsia="Palatino Linotype" w:hAnsi="Palatino Linotype" w:cs="Palatino Linotype"/>
          <w:i/>
          <w:sz w:val="22"/>
          <w:szCs w:val="22"/>
        </w:rPr>
        <w:t>.”(</w:t>
      </w:r>
      <w:proofErr w:type="gramEnd"/>
      <w:r w:rsidRPr="00910078">
        <w:rPr>
          <w:rFonts w:ascii="Palatino Linotype" w:eastAsia="Palatino Linotype" w:hAnsi="Palatino Linotype" w:cs="Palatino Linotype"/>
          <w:i/>
          <w:sz w:val="22"/>
          <w:szCs w:val="22"/>
        </w:rPr>
        <w:t>Sic)</w:t>
      </w:r>
    </w:p>
    <w:p w14:paraId="5CF2E1EE"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6CD24651"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w:t>
      </w:r>
      <w:r w:rsidRPr="00910078">
        <w:rPr>
          <w:rFonts w:ascii="Palatino Linotype" w:eastAsia="Palatino Linotype" w:hAnsi="Palatino Linotype" w:cs="Palatino Linotype"/>
          <w:sz w:val="22"/>
          <w:szCs w:val="22"/>
        </w:rPr>
        <w:lastRenderedPageBreak/>
        <w:t>lo establece el artículo 12 de la Ley de Transparencia y Acceso a la Información Pública del Estado de México y Municipios, que a la letra dice:</w:t>
      </w:r>
    </w:p>
    <w:p w14:paraId="59E08FFA" w14:textId="77777777" w:rsidR="004634F9" w:rsidRPr="00910078" w:rsidRDefault="004634F9">
      <w:pPr>
        <w:spacing w:line="276" w:lineRule="auto"/>
        <w:ind w:left="567" w:right="616"/>
        <w:jc w:val="both"/>
        <w:rPr>
          <w:rFonts w:ascii="Palatino Linotype" w:eastAsia="Palatino Linotype" w:hAnsi="Palatino Linotype" w:cs="Palatino Linotype"/>
          <w:sz w:val="22"/>
          <w:szCs w:val="22"/>
        </w:rPr>
      </w:pPr>
    </w:p>
    <w:p w14:paraId="17006215"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w:t>
      </w:r>
      <w:r w:rsidRPr="00910078">
        <w:rPr>
          <w:rFonts w:ascii="Palatino Linotype" w:eastAsia="Palatino Linotype" w:hAnsi="Palatino Linotype" w:cs="Palatino Linotype"/>
          <w:b/>
          <w:i/>
          <w:sz w:val="22"/>
          <w:szCs w:val="22"/>
        </w:rPr>
        <w:t>Artículo 12.-</w:t>
      </w:r>
      <w:r w:rsidRPr="0091007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4BF8790" w14:textId="77777777" w:rsidR="004634F9" w:rsidRPr="00910078" w:rsidRDefault="004634F9">
      <w:pPr>
        <w:spacing w:line="276" w:lineRule="auto"/>
        <w:ind w:left="851" w:right="616"/>
        <w:jc w:val="both"/>
        <w:rPr>
          <w:rFonts w:ascii="Palatino Linotype" w:eastAsia="Palatino Linotype" w:hAnsi="Palatino Linotype" w:cs="Palatino Linotype"/>
          <w:i/>
          <w:sz w:val="22"/>
          <w:szCs w:val="22"/>
        </w:rPr>
      </w:pPr>
    </w:p>
    <w:p w14:paraId="42C0612D"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10078">
        <w:rPr>
          <w:rFonts w:ascii="Palatino Linotype" w:eastAsia="Palatino Linotype" w:hAnsi="Palatino Linotype" w:cs="Palatino Linotype"/>
          <w:i/>
          <w:sz w:val="22"/>
          <w:szCs w:val="22"/>
        </w:rPr>
        <w:t xml:space="preserve">. </w:t>
      </w:r>
      <w:r w:rsidRPr="00910078">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910078">
        <w:rPr>
          <w:rFonts w:ascii="Palatino Linotype" w:eastAsia="Palatino Linotype" w:hAnsi="Palatino Linotype" w:cs="Palatino Linotype"/>
          <w:i/>
          <w:sz w:val="22"/>
          <w:szCs w:val="22"/>
        </w:rPr>
        <w:t xml:space="preserve">.” </w:t>
      </w:r>
    </w:p>
    <w:p w14:paraId="695CC839" w14:textId="77777777" w:rsidR="004634F9" w:rsidRPr="00910078" w:rsidRDefault="004634F9">
      <w:pPr>
        <w:spacing w:line="360" w:lineRule="auto"/>
        <w:ind w:right="-93"/>
        <w:jc w:val="both"/>
        <w:rPr>
          <w:rFonts w:ascii="Palatino Linotype" w:eastAsia="Palatino Linotype" w:hAnsi="Palatino Linotype" w:cs="Palatino Linotype"/>
          <w:sz w:val="22"/>
          <w:szCs w:val="22"/>
        </w:rPr>
      </w:pPr>
    </w:p>
    <w:p w14:paraId="277A1A7C" w14:textId="77777777" w:rsidR="004634F9" w:rsidRPr="00910078" w:rsidRDefault="00E75A4A">
      <w:pPr>
        <w:spacing w:line="360" w:lineRule="auto"/>
        <w:ind w:right="-93"/>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1256D07B" w14:textId="77777777" w:rsidR="004634F9" w:rsidRPr="00910078" w:rsidRDefault="004634F9">
      <w:pPr>
        <w:spacing w:line="360" w:lineRule="auto"/>
        <w:ind w:right="-93"/>
        <w:jc w:val="both"/>
        <w:rPr>
          <w:rFonts w:ascii="Palatino Linotype" w:eastAsia="Palatino Linotype" w:hAnsi="Palatino Linotype" w:cs="Palatino Linotype"/>
          <w:sz w:val="22"/>
          <w:szCs w:val="22"/>
        </w:rPr>
      </w:pPr>
    </w:p>
    <w:p w14:paraId="2788B276" w14:textId="77777777" w:rsidR="004634F9" w:rsidRPr="00910078" w:rsidRDefault="00E75A4A">
      <w:pPr>
        <w:spacing w:line="360" w:lineRule="auto"/>
        <w:jc w:val="both"/>
        <w:rPr>
          <w:rFonts w:ascii="Palatino Linotype" w:eastAsia="Palatino Linotype" w:hAnsi="Palatino Linotype" w:cs="Palatino Linotype"/>
          <w:b/>
          <w:sz w:val="22"/>
          <w:szCs w:val="22"/>
        </w:rPr>
      </w:pPr>
      <w:r w:rsidRPr="00910078">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910078">
        <w:rPr>
          <w:rFonts w:ascii="Palatino Linotype" w:eastAsia="Palatino Linotype" w:hAnsi="Palatino Linotype" w:cs="Palatino Linotype"/>
          <w:b/>
          <w:sz w:val="22"/>
          <w:szCs w:val="22"/>
        </w:rPr>
        <w:t xml:space="preserve"> </w:t>
      </w:r>
    </w:p>
    <w:p w14:paraId="4233200D" w14:textId="77777777" w:rsidR="004634F9" w:rsidRPr="00910078" w:rsidRDefault="004634F9">
      <w:pPr>
        <w:spacing w:line="276" w:lineRule="auto"/>
        <w:ind w:left="851" w:right="850"/>
        <w:jc w:val="both"/>
        <w:rPr>
          <w:rFonts w:ascii="Palatino Linotype" w:eastAsia="Palatino Linotype" w:hAnsi="Palatino Linotype" w:cs="Palatino Linotype"/>
          <w:sz w:val="22"/>
          <w:szCs w:val="22"/>
        </w:rPr>
      </w:pPr>
    </w:p>
    <w:p w14:paraId="3E615BA1"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w:t>
      </w:r>
      <w:r w:rsidRPr="00910078">
        <w:rPr>
          <w:rFonts w:ascii="Palatino Linotype" w:eastAsia="Palatino Linotype" w:hAnsi="Palatino Linotype" w:cs="Palatino Linotype"/>
          <w:b/>
          <w:i/>
          <w:sz w:val="22"/>
          <w:szCs w:val="22"/>
        </w:rPr>
        <w:t>No existe obligación de elaborar documentos ad hoc para atender las solicitudes de acceso a la información.</w:t>
      </w:r>
      <w:r w:rsidRPr="00910078">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w:t>
      </w:r>
      <w:r w:rsidRPr="00910078">
        <w:rPr>
          <w:rFonts w:ascii="Palatino Linotype" w:eastAsia="Palatino Linotype" w:hAnsi="Palatino Linotype" w:cs="Palatino Linotype"/>
          <w:i/>
          <w:sz w:val="22"/>
          <w:szCs w:val="22"/>
        </w:rPr>
        <w:lastRenderedPageBreak/>
        <w:t xml:space="preserve">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804FF36" w14:textId="77777777" w:rsidR="004634F9" w:rsidRPr="00910078" w:rsidRDefault="004634F9">
      <w:pPr>
        <w:spacing w:line="276" w:lineRule="auto"/>
        <w:ind w:left="567" w:right="616"/>
        <w:jc w:val="both"/>
        <w:rPr>
          <w:rFonts w:ascii="Palatino Linotype" w:eastAsia="Palatino Linotype" w:hAnsi="Palatino Linotype" w:cs="Palatino Linotype"/>
          <w:i/>
          <w:sz w:val="22"/>
          <w:szCs w:val="22"/>
        </w:rPr>
      </w:pPr>
    </w:p>
    <w:p w14:paraId="32BF9EA6"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C360C96"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408DBEDE"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8E0258A"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6A0CDF45"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w:t>
      </w:r>
      <w:r w:rsidRPr="00910078">
        <w:rPr>
          <w:rFonts w:ascii="Palatino Linotype" w:eastAsia="Palatino Linotype" w:hAnsi="Palatino Linotype" w:cs="Palatino Linotype"/>
          <w:b/>
          <w:i/>
          <w:sz w:val="22"/>
          <w:szCs w:val="22"/>
        </w:rPr>
        <w:t xml:space="preserve">Artículo 3. </w:t>
      </w:r>
      <w:r w:rsidRPr="00910078">
        <w:rPr>
          <w:rFonts w:ascii="Palatino Linotype" w:eastAsia="Palatino Linotype" w:hAnsi="Palatino Linotype" w:cs="Palatino Linotype"/>
          <w:i/>
          <w:sz w:val="22"/>
          <w:szCs w:val="22"/>
        </w:rPr>
        <w:t>Para los efectos de la presente Ley se entenderá por:</w:t>
      </w:r>
    </w:p>
    <w:p w14:paraId="0ADE467E"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w:t>
      </w:r>
    </w:p>
    <w:p w14:paraId="0C42FCE2"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XI. Documento:</w:t>
      </w:r>
      <w:r w:rsidRPr="00910078">
        <w:rPr>
          <w:rFonts w:ascii="Palatino Linotype" w:eastAsia="Palatino Linotype" w:hAnsi="Palatino Linotype" w:cs="Palatino Linotype"/>
          <w:i/>
          <w:sz w:val="22"/>
          <w:szCs w:val="22"/>
        </w:rPr>
        <w:t xml:space="preserve"> Los expedientes, reportes, estudios, actas</w:t>
      </w:r>
      <w:r w:rsidRPr="00910078">
        <w:rPr>
          <w:rFonts w:ascii="Palatino Linotype" w:eastAsia="Palatino Linotype" w:hAnsi="Palatino Linotype" w:cs="Palatino Linotype"/>
          <w:b/>
          <w:i/>
          <w:sz w:val="22"/>
          <w:szCs w:val="22"/>
        </w:rPr>
        <w:t>,</w:t>
      </w:r>
      <w:r w:rsidRPr="00910078">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910078">
        <w:rPr>
          <w:rFonts w:ascii="Palatino Linotype" w:eastAsia="Palatino Linotype" w:hAnsi="Palatino Linotype" w:cs="Palatino Linotype"/>
          <w:i/>
          <w:sz w:val="22"/>
          <w:szCs w:val="22"/>
        </w:rPr>
        <w:lastRenderedPageBreak/>
        <w:t>elaboración. Los documentos podrán estar en cualquier medio, sea escrito, impreso, sonoro, visual, electrónico, informático u holográfico…” (Sic)</w:t>
      </w:r>
    </w:p>
    <w:p w14:paraId="00EC2AEB" w14:textId="77777777" w:rsidR="004634F9" w:rsidRPr="00910078" w:rsidRDefault="004634F9">
      <w:pPr>
        <w:spacing w:line="360" w:lineRule="auto"/>
        <w:ind w:left="851" w:right="899"/>
        <w:jc w:val="both"/>
        <w:rPr>
          <w:rFonts w:ascii="Palatino Linotype" w:eastAsia="Palatino Linotype" w:hAnsi="Palatino Linotype" w:cs="Palatino Linotype"/>
          <w:sz w:val="22"/>
          <w:szCs w:val="22"/>
        </w:rPr>
      </w:pPr>
    </w:p>
    <w:p w14:paraId="7F37316A"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36FAA9F" w14:textId="77777777" w:rsidR="004634F9" w:rsidRPr="00910078" w:rsidRDefault="004634F9">
      <w:pPr>
        <w:spacing w:line="360" w:lineRule="auto"/>
        <w:ind w:left="851" w:right="899"/>
        <w:jc w:val="both"/>
        <w:rPr>
          <w:rFonts w:ascii="Palatino Linotype" w:eastAsia="Palatino Linotype" w:hAnsi="Palatino Linotype" w:cs="Palatino Linotype"/>
          <w:sz w:val="22"/>
          <w:szCs w:val="22"/>
        </w:rPr>
      </w:pPr>
    </w:p>
    <w:p w14:paraId="6DF13F32" w14:textId="77777777" w:rsidR="004634F9" w:rsidRPr="00910078" w:rsidRDefault="00E75A4A">
      <w:pPr>
        <w:spacing w:line="276" w:lineRule="auto"/>
        <w:ind w:left="851" w:right="616"/>
        <w:jc w:val="both"/>
        <w:rPr>
          <w:rFonts w:ascii="Palatino Linotype" w:eastAsia="Palatino Linotype" w:hAnsi="Palatino Linotype" w:cs="Palatino Linotype"/>
          <w:b/>
          <w:i/>
          <w:sz w:val="22"/>
          <w:szCs w:val="22"/>
        </w:rPr>
      </w:pPr>
      <w:r w:rsidRPr="00910078">
        <w:rPr>
          <w:rFonts w:ascii="Palatino Linotype" w:eastAsia="Palatino Linotype" w:hAnsi="Palatino Linotype" w:cs="Palatino Linotype"/>
          <w:b/>
          <w:sz w:val="22"/>
          <w:szCs w:val="22"/>
        </w:rPr>
        <w:t>“</w:t>
      </w:r>
      <w:r w:rsidRPr="00910078">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91007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B124C29"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 xml:space="preserve">En </w:t>
      </w:r>
      <w:proofErr w:type="gramStart"/>
      <w:r w:rsidRPr="00910078">
        <w:rPr>
          <w:rFonts w:ascii="Palatino Linotype" w:eastAsia="Palatino Linotype" w:hAnsi="Palatino Linotype" w:cs="Palatino Linotype"/>
          <w:i/>
          <w:sz w:val="22"/>
          <w:szCs w:val="22"/>
        </w:rPr>
        <w:t>consecuencia</w:t>
      </w:r>
      <w:proofErr w:type="gramEnd"/>
      <w:r w:rsidRPr="00910078">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800A96B"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 xml:space="preserve">1) Que se trate de información registrada en cualquier soporte documental, </w:t>
      </w:r>
      <w:proofErr w:type="gramStart"/>
      <w:r w:rsidRPr="00910078">
        <w:rPr>
          <w:rFonts w:ascii="Palatino Linotype" w:eastAsia="Palatino Linotype" w:hAnsi="Palatino Linotype" w:cs="Palatino Linotype"/>
          <w:i/>
          <w:sz w:val="22"/>
          <w:szCs w:val="22"/>
        </w:rPr>
        <w:t>que</w:t>
      </w:r>
      <w:proofErr w:type="gramEnd"/>
      <w:r w:rsidRPr="00910078">
        <w:rPr>
          <w:rFonts w:ascii="Palatino Linotype" w:eastAsia="Palatino Linotype" w:hAnsi="Palatino Linotype" w:cs="Palatino Linotype"/>
          <w:i/>
          <w:sz w:val="22"/>
          <w:szCs w:val="22"/>
        </w:rPr>
        <w:t xml:space="preserve"> en ejercicio de las atribuciones conferidas, sea generada por los Sujetos Obligados;</w:t>
      </w:r>
    </w:p>
    <w:p w14:paraId="7C70569E" w14:textId="77777777" w:rsidR="004634F9" w:rsidRPr="00910078" w:rsidRDefault="00E75A4A">
      <w:pPr>
        <w:spacing w:line="276" w:lineRule="auto"/>
        <w:ind w:left="851" w:right="616"/>
        <w:jc w:val="both"/>
        <w:rPr>
          <w:rFonts w:ascii="Palatino Linotype" w:eastAsia="Palatino Linotype" w:hAnsi="Palatino Linotype" w:cs="Palatino Linotype"/>
          <w:b/>
          <w:i/>
          <w:sz w:val="22"/>
          <w:szCs w:val="22"/>
        </w:rPr>
      </w:pPr>
      <w:r w:rsidRPr="00910078">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910078">
        <w:rPr>
          <w:rFonts w:ascii="Palatino Linotype" w:eastAsia="Palatino Linotype" w:hAnsi="Palatino Linotype" w:cs="Palatino Linotype"/>
          <w:b/>
          <w:i/>
          <w:sz w:val="22"/>
          <w:szCs w:val="22"/>
        </w:rPr>
        <w:t>que</w:t>
      </w:r>
      <w:proofErr w:type="gramEnd"/>
      <w:r w:rsidRPr="00910078">
        <w:rPr>
          <w:rFonts w:ascii="Palatino Linotype" w:eastAsia="Palatino Linotype" w:hAnsi="Palatino Linotype" w:cs="Palatino Linotype"/>
          <w:b/>
          <w:i/>
          <w:sz w:val="22"/>
          <w:szCs w:val="22"/>
        </w:rPr>
        <w:t xml:space="preserve"> en ejercicio de las atribuciones conferidas, sea administrada por los Sujetos Obligados, y</w:t>
      </w:r>
    </w:p>
    <w:p w14:paraId="7CB7E90D" w14:textId="77777777" w:rsidR="004634F9" w:rsidRPr="00910078" w:rsidRDefault="00E75A4A">
      <w:pPr>
        <w:spacing w:line="276" w:lineRule="auto"/>
        <w:ind w:left="851" w:right="616"/>
        <w:jc w:val="both"/>
        <w:rPr>
          <w:rFonts w:ascii="Palatino Linotype" w:eastAsia="Palatino Linotype" w:hAnsi="Palatino Linotype" w:cs="Palatino Linotype"/>
          <w:b/>
          <w:i/>
          <w:sz w:val="22"/>
          <w:szCs w:val="22"/>
        </w:rPr>
      </w:pPr>
      <w:r w:rsidRPr="00910078">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910078">
        <w:rPr>
          <w:rFonts w:ascii="Palatino Linotype" w:eastAsia="Palatino Linotype" w:hAnsi="Palatino Linotype" w:cs="Palatino Linotype"/>
          <w:b/>
          <w:i/>
          <w:sz w:val="22"/>
          <w:szCs w:val="22"/>
        </w:rPr>
        <w:t>que</w:t>
      </w:r>
      <w:proofErr w:type="gramEnd"/>
      <w:r w:rsidRPr="00910078">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36748917"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2FBC0A74" w14:textId="77777777" w:rsidR="004634F9" w:rsidRPr="00910078" w:rsidRDefault="00E75A4A">
      <w:pPr>
        <w:spacing w:line="360" w:lineRule="auto"/>
        <w:ind w:right="49"/>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w:t>
      </w:r>
      <w:r w:rsidRPr="00910078">
        <w:rPr>
          <w:rFonts w:ascii="Palatino Linotype" w:eastAsia="Palatino Linotype" w:hAnsi="Palatino Linotype" w:cs="Palatino Linotype"/>
          <w:sz w:val="22"/>
          <w:szCs w:val="22"/>
        </w:rPr>
        <w:lastRenderedPageBreak/>
        <w:t>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BE9C879"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32BCBCF9"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0DAA6F55" w14:textId="77777777" w:rsidR="004634F9" w:rsidRPr="00910078" w:rsidRDefault="00E75A4A">
      <w:pPr>
        <w:spacing w:before="240" w:after="240" w:line="360" w:lineRule="auto"/>
        <w:ind w:right="51"/>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910078">
        <w:rPr>
          <w:rFonts w:ascii="Palatino Linotype" w:eastAsia="Palatino Linotype" w:hAnsi="Palatino Linotype" w:cs="Palatino Linotype"/>
          <w:b/>
          <w:sz w:val="22"/>
          <w:szCs w:val="22"/>
        </w:rPr>
        <w:t>Recurrente</w:t>
      </w:r>
      <w:r w:rsidRPr="00910078">
        <w:rPr>
          <w:rFonts w:ascii="Palatino Linotype" w:eastAsia="Palatino Linotype" w:hAnsi="Palatino Linotype" w:cs="Palatino Linotype"/>
          <w:sz w:val="22"/>
          <w:szCs w:val="22"/>
        </w:rPr>
        <w:t xml:space="preserve"> requirió al </w:t>
      </w:r>
      <w:r w:rsidRPr="00910078">
        <w:rPr>
          <w:rFonts w:ascii="Palatino Linotype" w:eastAsia="Palatino Linotype" w:hAnsi="Palatino Linotype" w:cs="Palatino Linotype"/>
          <w:b/>
          <w:sz w:val="22"/>
          <w:szCs w:val="22"/>
        </w:rPr>
        <w:t xml:space="preserve">Sujeto Obligado </w:t>
      </w:r>
      <w:r w:rsidRPr="00910078">
        <w:rPr>
          <w:rFonts w:ascii="Palatino Linotype" w:eastAsia="Palatino Linotype" w:hAnsi="Palatino Linotype" w:cs="Palatino Linotype"/>
          <w:sz w:val="22"/>
          <w:szCs w:val="22"/>
        </w:rPr>
        <w:t>le proporcione, información consistente en lo siguiente:</w:t>
      </w:r>
    </w:p>
    <w:p w14:paraId="5E7DBF4F" w14:textId="77777777" w:rsidR="004634F9" w:rsidRPr="00910078" w:rsidRDefault="00E75A4A">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 de Instalación del Comité de Adquisiciones y Servicios del Ayuntamiento de Tepetlixpa, Administración 2022-2024. </w:t>
      </w:r>
    </w:p>
    <w:p w14:paraId="192112B7" w14:textId="77777777" w:rsidR="004634F9" w:rsidRPr="00910078" w:rsidRDefault="00E75A4A">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 de Instalación del Comité de Arrendamiento del Ayuntamiento de Tepetlixpa, Administración 2022-2024. </w:t>
      </w:r>
    </w:p>
    <w:p w14:paraId="24D7C83B" w14:textId="77777777" w:rsidR="004634F9" w:rsidRPr="00910078" w:rsidRDefault="00E75A4A">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lastRenderedPageBreak/>
        <w:t xml:space="preserve">Todas y cada una de las Actas celebradas por el Comité de Adquisiciones y Servicios del Ayuntamiento de Tepetlixpa, Administración 2022-2024, durante el ejercicio fiscal 2022. </w:t>
      </w:r>
    </w:p>
    <w:p w14:paraId="0529396F" w14:textId="77777777" w:rsidR="004634F9" w:rsidRPr="00910078" w:rsidRDefault="00E75A4A">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Todas y cada una de las Actas celebradas por el Comité de Adquisiciones y Servicios del Ayuntamiento de Tepetlixpa, Administración 2022-2024, durante el ejercicio fiscal 2023. </w:t>
      </w:r>
    </w:p>
    <w:p w14:paraId="198CFB11" w14:textId="77777777" w:rsidR="004634F9" w:rsidRPr="00910078" w:rsidRDefault="00E75A4A">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Todas y cada una de las Actas celebradas por el Comité de Adquisiciones y Servicios del Ayuntamiento de Tepetlixpa, Administración 2022-2024, durante el ejercicio fiscal 2024. </w:t>
      </w:r>
    </w:p>
    <w:p w14:paraId="5088874D" w14:textId="77777777" w:rsidR="004634F9" w:rsidRPr="00910078" w:rsidRDefault="00E75A4A">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Todas y cada una de las Actas celebradas por el Comité de Arrendamiento del Ayuntamiento de Tepetlixpa, Administración 2022-2024, durante el ejercicio fiscal 2024. </w:t>
      </w:r>
    </w:p>
    <w:p w14:paraId="20BB83CB" w14:textId="77777777" w:rsidR="004634F9" w:rsidRPr="00910078" w:rsidRDefault="00E75A4A">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Lista de Proveedores que prestan o prestaron servicio al Ayuntamiento de Tepetlixpa, Administración 2022-2024, durante los Ejercicios Fiscales 2023 y 2024. </w:t>
      </w:r>
    </w:p>
    <w:p w14:paraId="54BBCF06" w14:textId="77777777" w:rsidR="004634F9" w:rsidRPr="00910078" w:rsidRDefault="00E75A4A">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Nombre completo y cargo del Servidor Público que funge con el cargo de presidente o presidenta del Comité de Adquisiciones y Servicios del Ayuntamiento de Tepetlixpa, Administración 2022-2024. </w:t>
      </w:r>
    </w:p>
    <w:p w14:paraId="4401EF92" w14:textId="77777777" w:rsidR="004634F9" w:rsidRPr="00910078" w:rsidRDefault="00E75A4A">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Nombre completo y cargo de Servidor Público que funge con el cargo de presidente o presidenta del Comité de Arrendamiento del Ayuntamiento de Tepetlixpa, Administración 2022-2024. </w:t>
      </w:r>
    </w:p>
    <w:p w14:paraId="19509E71" w14:textId="77777777" w:rsidR="004634F9" w:rsidRPr="00910078" w:rsidRDefault="00E75A4A">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Nómina correspondiente al 31 de agosto de 2024. </w:t>
      </w:r>
    </w:p>
    <w:p w14:paraId="44DB05D4" w14:textId="77777777" w:rsidR="004634F9" w:rsidRPr="00910078" w:rsidRDefault="00E75A4A">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Bitácora de distribución de combustible (gasolina) del ejercicio fiscal 2024. </w:t>
      </w:r>
    </w:p>
    <w:p w14:paraId="217B795F" w14:textId="77777777" w:rsidR="004634F9" w:rsidRPr="00910078" w:rsidRDefault="004634F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8EC05CF" w14:textId="77777777" w:rsidR="004634F9" w:rsidRPr="00910078" w:rsidRDefault="00E75A4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Por su parte, 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xml:space="preserve"> omitió dar respuesta al requerimiento del particular.</w:t>
      </w:r>
    </w:p>
    <w:p w14:paraId="31A796F0" w14:textId="77777777" w:rsidR="004634F9" w:rsidRPr="00910078" w:rsidRDefault="00E75A4A">
      <w:pPr>
        <w:spacing w:before="240" w:after="240"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Inconforme por la falta de respuesta, la parte </w:t>
      </w:r>
      <w:r w:rsidRPr="00910078">
        <w:rPr>
          <w:rFonts w:ascii="Palatino Linotype" w:eastAsia="Palatino Linotype" w:hAnsi="Palatino Linotype" w:cs="Palatino Linotype"/>
          <w:b/>
          <w:sz w:val="22"/>
          <w:szCs w:val="22"/>
        </w:rPr>
        <w:t>Recurrente</w:t>
      </w:r>
      <w:r w:rsidRPr="00910078">
        <w:rPr>
          <w:rFonts w:ascii="Palatino Linotype" w:eastAsia="Palatino Linotype" w:hAnsi="Palatino Linotype" w:cs="Palatino Linotype"/>
          <w:sz w:val="22"/>
          <w:szCs w:val="22"/>
        </w:rPr>
        <w:t xml:space="preserve"> interpuso el recurso de revisión. </w:t>
      </w:r>
    </w:p>
    <w:p w14:paraId="05564CA2"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lastRenderedPageBreak/>
        <w:t xml:space="preserve">Una vez notificado el recurso de revisión al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xml:space="preserve">, mediante informe justificado rendido por la Tesorera Municipal, hizo entrega de lo siguiente: </w:t>
      </w:r>
    </w:p>
    <w:p w14:paraId="5AC6955A" w14:textId="77777777" w:rsidR="004634F9" w:rsidRPr="00910078" w:rsidRDefault="004634F9">
      <w:pPr>
        <w:spacing w:line="276" w:lineRule="auto"/>
        <w:jc w:val="both"/>
        <w:rPr>
          <w:rFonts w:ascii="Palatino Linotype" w:eastAsia="Palatino Linotype" w:hAnsi="Palatino Linotype" w:cs="Palatino Linotype"/>
          <w:sz w:val="22"/>
          <w:szCs w:val="22"/>
        </w:rPr>
      </w:pPr>
    </w:p>
    <w:p w14:paraId="0F5C87DF" w14:textId="77777777" w:rsidR="004634F9" w:rsidRPr="00910078" w:rsidRDefault="00E75A4A" w:rsidP="009F5545">
      <w:pPr>
        <w:numPr>
          <w:ilvl w:val="0"/>
          <w:numId w:val="15"/>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 de Instalación del Comité de Adquisiciones y de Servicios del Municipio de Tepetlixpa, Estado de México, de fecha tres de enero de dos mil veintidós. </w:t>
      </w:r>
    </w:p>
    <w:p w14:paraId="6BD5383F" w14:textId="77777777" w:rsidR="004634F9" w:rsidRPr="00910078" w:rsidRDefault="004634F9" w:rsidP="009F5545">
      <w:pPr>
        <w:pBdr>
          <w:top w:val="nil"/>
          <w:left w:val="nil"/>
          <w:bottom w:val="nil"/>
          <w:right w:val="nil"/>
          <w:between w:val="nil"/>
        </w:pBdr>
        <w:spacing w:line="276" w:lineRule="auto"/>
        <w:ind w:left="851" w:right="616"/>
        <w:rPr>
          <w:rFonts w:ascii="Palatino Linotype" w:eastAsia="Palatino Linotype" w:hAnsi="Palatino Linotype" w:cs="Palatino Linotype"/>
          <w:sz w:val="22"/>
          <w:szCs w:val="22"/>
        </w:rPr>
      </w:pPr>
    </w:p>
    <w:p w14:paraId="6DDBB89A" w14:textId="77777777" w:rsidR="004634F9" w:rsidRPr="00910078" w:rsidRDefault="00E75A4A" w:rsidP="009F5545">
      <w:pPr>
        <w:numPr>
          <w:ilvl w:val="0"/>
          <w:numId w:val="15"/>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Acta de Instalación del Comité de Arrendamientos, Adquisiciones de Inmuebles y Enajenaciones del Municipio de Tepetlixpa, Estado de México, de fecha quince de julio de dos mil veintidós.</w:t>
      </w:r>
    </w:p>
    <w:p w14:paraId="2145E58E" w14:textId="77777777" w:rsidR="004634F9" w:rsidRPr="00910078" w:rsidRDefault="004634F9" w:rsidP="009F5545">
      <w:pPr>
        <w:pBdr>
          <w:top w:val="nil"/>
          <w:left w:val="nil"/>
          <w:bottom w:val="nil"/>
          <w:right w:val="nil"/>
          <w:between w:val="nil"/>
        </w:pBdr>
        <w:spacing w:line="276" w:lineRule="auto"/>
        <w:ind w:left="851" w:right="616"/>
        <w:rPr>
          <w:rFonts w:ascii="Palatino Linotype" w:eastAsia="Palatino Linotype" w:hAnsi="Palatino Linotype" w:cs="Palatino Linotype"/>
          <w:sz w:val="22"/>
          <w:szCs w:val="22"/>
        </w:rPr>
      </w:pPr>
    </w:p>
    <w:p w14:paraId="11844AEF" w14:textId="77777777" w:rsidR="004634F9" w:rsidRPr="00910078" w:rsidRDefault="00E75A4A" w:rsidP="009F5545">
      <w:pPr>
        <w:numPr>
          <w:ilvl w:val="0"/>
          <w:numId w:val="15"/>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Actas del Comité de Adquisiciones y Servicios del Municipio de Tepetlixpa, Estado de México de la primera a la vigésima cuarta sesión ordinaria, correspondientes al año dos mil veintidós; así como el Acta de la primera sesión extraordinaria del Comité de Adquisiciones y Servicios del Municipio de Tepetlixpa, Estado de México; del dieciséis de julio de dos mil veintidós. </w:t>
      </w:r>
    </w:p>
    <w:p w14:paraId="1B3B7E34" w14:textId="77777777" w:rsidR="004634F9" w:rsidRPr="00910078" w:rsidRDefault="004634F9"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p>
    <w:p w14:paraId="54656063" w14:textId="77777777" w:rsidR="004634F9" w:rsidRPr="00910078" w:rsidRDefault="00E75A4A" w:rsidP="009F5545">
      <w:pPr>
        <w:numPr>
          <w:ilvl w:val="0"/>
          <w:numId w:val="15"/>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Actas del Comité de Adquisiciones y Servicios del Municipio de Tepetlixpa, Estado de México, de la vigésima quinta a la quincuagésima tercera sesión ordinaria, de enero dos mil veintitrés a marzo dos mil veinticuatro; así como las Actas de la primera y segunda sesión extraordinaria del Comité de Adquisiciones y Servicios del Municipio de Tepetlixpa, Estado de México; correspondientes al año dos mil veintitrés. </w:t>
      </w:r>
    </w:p>
    <w:p w14:paraId="502FAB74" w14:textId="77777777" w:rsidR="004634F9" w:rsidRPr="00910078" w:rsidRDefault="004634F9"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p>
    <w:p w14:paraId="4FD153C9" w14:textId="77777777" w:rsidR="004634F9" w:rsidRPr="00910078" w:rsidRDefault="00E75A4A" w:rsidP="009F5545">
      <w:pPr>
        <w:numPr>
          <w:ilvl w:val="0"/>
          <w:numId w:val="15"/>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Informó que, la persona servidora pública que funge como presidente del Comité en mención es la C. Alejandra Vidal Valencia, </w:t>
      </w:r>
      <w:proofErr w:type="gramStart"/>
      <w:r w:rsidRPr="00910078">
        <w:rPr>
          <w:rFonts w:ascii="Palatino Linotype" w:eastAsia="Palatino Linotype" w:hAnsi="Palatino Linotype" w:cs="Palatino Linotype"/>
          <w:sz w:val="22"/>
          <w:szCs w:val="22"/>
        </w:rPr>
        <w:t>Secretaria</w:t>
      </w:r>
      <w:proofErr w:type="gramEnd"/>
      <w:r w:rsidRPr="00910078">
        <w:rPr>
          <w:rFonts w:ascii="Palatino Linotype" w:eastAsia="Palatino Linotype" w:hAnsi="Palatino Linotype" w:cs="Palatino Linotype"/>
          <w:sz w:val="22"/>
          <w:szCs w:val="22"/>
        </w:rPr>
        <w:t xml:space="preserve"> del Ayuntamiento. </w:t>
      </w:r>
    </w:p>
    <w:p w14:paraId="2C882D46" w14:textId="77777777" w:rsidR="004634F9" w:rsidRPr="00910078" w:rsidRDefault="004634F9" w:rsidP="009F5545">
      <w:pPr>
        <w:pBdr>
          <w:top w:val="nil"/>
          <w:left w:val="nil"/>
          <w:bottom w:val="nil"/>
          <w:right w:val="nil"/>
          <w:between w:val="nil"/>
        </w:pBdr>
        <w:spacing w:line="276" w:lineRule="auto"/>
        <w:ind w:left="851" w:right="616"/>
        <w:rPr>
          <w:rFonts w:ascii="Palatino Linotype" w:eastAsia="Palatino Linotype" w:hAnsi="Palatino Linotype" w:cs="Palatino Linotype"/>
          <w:sz w:val="22"/>
          <w:szCs w:val="22"/>
        </w:rPr>
      </w:pPr>
    </w:p>
    <w:p w14:paraId="7F3D9571" w14:textId="77777777" w:rsidR="004634F9" w:rsidRPr="00910078" w:rsidRDefault="00E75A4A" w:rsidP="009F5545">
      <w:pPr>
        <w:numPr>
          <w:ilvl w:val="0"/>
          <w:numId w:val="15"/>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 de la Primera Sesión Extraordinaria del Comité de Arrendamientos, Adquisiciones de Inmuebles y Enajenaciones del Municipio de Tepetlixpa para el ejercicio fiscal 2024, de fecha dos de abril de dos mil veinticuatro. </w:t>
      </w:r>
    </w:p>
    <w:p w14:paraId="789B0709" w14:textId="77777777" w:rsidR="004634F9" w:rsidRPr="00910078" w:rsidRDefault="004634F9"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p>
    <w:p w14:paraId="6E69CF31" w14:textId="77777777" w:rsidR="004634F9" w:rsidRPr="00910078" w:rsidRDefault="00E75A4A" w:rsidP="009F5545">
      <w:pPr>
        <w:numPr>
          <w:ilvl w:val="0"/>
          <w:numId w:val="15"/>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Relación de Proveedores de los años dos mil veintitrés y dos mil veinticuatro, del que se advierte número de contrato, nombre de la empresa, RFC, servicios contratados e importe total. </w:t>
      </w:r>
    </w:p>
    <w:p w14:paraId="6C3E6C6E" w14:textId="77777777" w:rsidR="004634F9" w:rsidRPr="00910078" w:rsidRDefault="004634F9"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p>
    <w:p w14:paraId="31D2ABE0" w14:textId="77777777" w:rsidR="004634F9" w:rsidRPr="00910078" w:rsidRDefault="00E75A4A" w:rsidP="009F5545">
      <w:pPr>
        <w:numPr>
          <w:ilvl w:val="0"/>
          <w:numId w:val="15"/>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 del Comité de Adquisiciones y Servicios del Municipio de Tepetlixpa, de fecha veintitrés de febrero de dos mil veintitrés. </w:t>
      </w:r>
    </w:p>
    <w:p w14:paraId="7A188A36" w14:textId="77777777" w:rsidR="004634F9" w:rsidRPr="00910078" w:rsidRDefault="004634F9"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p>
    <w:p w14:paraId="1A7B31A8" w14:textId="77777777" w:rsidR="004634F9" w:rsidRPr="00910078" w:rsidRDefault="00E75A4A" w:rsidP="009F5545">
      <w:pPr>
        <w:numPr>
          <w:ilvl w:val="0"/>
          <w:numId w:val="15"/>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Nómina del Ayuntamiento de Tepetlixpa de forma íntegra. </w:t>
      </w:r>
    </w:p>
    <w:p w14:paraId="032CAD36" w14:textId="77777777" w:rsidR="004634F9" w:rsidRPr="00910078" w:rsidRDefault="004634F9"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p>
    <w:p w14:paraId="63FDA66A" w14:textId="77777777" w:rsidR="004634F9" w:rsidRPr="00910078" w:rsidRDefault="00E75A4A" w:rsidP="009F5545">
      <w:pPr>
        <w:numPr>
          <w:ilvl w:val="0"/>
          <w:numId w:val="15"/>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Listado de gastos por gasolina, diésel, por mes de enero a julio del 2024. </w:t>
      </w:r>
    </w:p>
    <w:p w14:paraId="14E61A63"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5A8F0554"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Expuestas las posturas de las partes, se procede analizar la naturaleza de la información solicitada, conforme a lo siguiente: </w:t>
      </w:r>
    </w:p>
    <w:p w14:paraId="3BCC5EA7"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2A57FF2A" w14:textId="77777777" w:rsidR="004634F9" w:rsidRPr="00910078" w:rsidRDefault="00E75A4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10078">
        <w:rPr>
          <w:rFonts w:ascii="Palatino Linotype" w:eastAsia="Palatino Linotype" w:hAnsi="Palatino Linotype" w:cs="Palatino Linotype"/>
          <w:b/>
          <w:sz w:val="22"/>
          <w:szCs w:val="22"/>
        </w:rPr>
        <w:t>Comité de Adquisiciones y Servicios</w:t>
      </w:r>
    </w:p>
    <w:p w14:paraId="0CE4C793"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En principio, resulta necesario traer a colación, los artículos 22 y 23 de la Ley de Contratación Pública del Estado de México y Municipios, que establecen que el Ayuntamiento se auxiliará de un Comité de Adquisiciones y de Servicios, organismo colegiado encargado de apoyar en la sustanciación de los procedimientos de adquisiciones y servicios; de dictaminar la procedencia de los casos de excepción de los procedimientos de licitación pública; así como, de participar en los procedimientos de licitación, invitación restringida y adjudicación directa, hasta dejarlos en estado de dictar el fallo correspondiente y emite los dictámenes de adjudicación. </w:t>
      </w:r>
    </w:p>
    <w:p w14:paraId="3FC919A9"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20EA3845"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En ese contexto, de conformidad con el artículo 48, fracciones I y II, del Reglamento de la Ley de Contratación Pública del Estado de México y Municipios, el Comité de Adquisiciones y de Servicios, realizarán los siguientes tipos de sesiones:</w:t>
      </w:r>
    </w:p>
    <w:p w14:paraId="547D7AAB"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6CD7D686" w14:textId="77777777" w:rsidR="004634F9" w:rsidRPr="00910078" w:rsidRDefault="00E75A4A">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sz w:val="22"/>
          <w:szCs w:val="22"/>
        </w:rPr>
        <w:t>Ordinarias:</w:t>
      </w:r>
      <w:r w:rsidRPr="00910078">
        <w:rPr>
          <w:rFonts w:ascii="Palatino Linotype" w:eastAsia="Palatino Linotype" w:hAnsi="Palatino Linotype" w:cs="Palatino Linotype"/>
          <w:sz w:val="22"/>
          <w:szCs w:val="22"/>
        </w:rPr>
        <w:t xml:space="preserve"> Se llevarán a cabo, cuando menos cada quince días, salvo que no existan asuntos a tratar. </w:t>
      </w:r>
    </w:p>
    <w:p w14:paraId="2F4DBBCE" w14:textId="77777777" w:rsidR="004634F9" w:rsidRPr="00910078" w:rsidRDefault="00E75A4A">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sz w:val="22"/>
          <w:szCs w:val="22"/>
        </w:rPr>
        <w:t>Extraordinarias:</w:t>
      </w:r>
      <w:r w:rsidRPr="00910078">
        <w:rPr>
          <w:rFonts w:ascii="Palatino Linotype" w:eastAsia="Palatino Linotype" w:hAnsi="Palatino Linotype" w:cs="Palatino Linotype"/>
          <w:sz w:val="22"/>
          <w:szCs w:val="22"/>
        </w:rPr>
        <w:t xml:space="preserve"> Cada vez que se requieran.</w:t>
      </w:r>
    </w:p>
    <w:p w14:paraId="542AA1AE"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028973DF"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Asimismo, dicho artículo precisa que, en cada sesión del Comité, se levantará un Acta de la misma, la cual será aprobada y firmada por los integrantes asistentes, en el que se registrarán los acuerdos tomados y se indicará el sentido del voto de los miembros del órgano colegiado. Además, el artículo 49, del Bando Municipal de Tepetlixpa dos mil veinticuatro, establece que, 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xml:space="preserve"> para su eficaz desempeño, podrá auxiliarse del Comité de Adquisiciones y Servicios.</w:t>
      </w:r>
    </w:p>
    <w:p w14:paraId="6E2ED573" w14:textId="77777777" w:rsidR="004634F9" w:rsidRPr="00910078" w:rsidRDefault="004634F9">
      <w:pPr>
        <w:pBdr>
          <w:top w:val="nil"/>
          <w:left w:val="nil"/>
          <w:bottom w:val="nil"/>
          <w:right w:val="nil"/>
          <w:between w:val="nil"/>
        </w:pBdr>
        <w:spacing w:line="360" w:lineRule="auto"/>
        <w:ind w:left="1800"/>
        <w:jc w:val="both"/>
        <w:rPr>
          <w:rFonts w:ascii="Palatino Linotype" w:eastAsia="Palatino Linotype" w:hAnsi="Palatino Linotype" w:cs="Palatino Linotype"/>
          <w:sz w:val="22"/>
          <w:szCs w:val="22"/>
        </w:rPr>
      </w:pPr>
    </w:p>
    <w:p w14:paraId="15BF99C3" w14:textId="77777777" w:rsidR="004634F9" w:rsidRPr="00910078" w:rsidRDefault="00E75A4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sz w:val="22"/>
          <w:szCs w:val="22"/>
        </w:rPr>
        <w:t xml:space="preserve">Comité de Arrendamientos, Adquisiciones de Inmuebles y Enajenaciones. </w:t>
      </w:r>
    </w:p>
    <w:p w14:paraId="727A977E" w14:textId="77777777" w:rsidR="004634F9" w:rsidRPr="00910078" w:rsidRDefault="004634F9">
      <w:pPr>
        <w:pBdr>
          <w:top w:val="nil"/>
          <w:left w:val="nil"/>
          <w:bottom w:val="nil"/>
          <w:right w:val="nil"/>
          <w:between w:val="nil"/>
        </w:pBdr>
        <w:spacing w:line="360" w:lineRule="auto"/>
        <w:ind w:left="1800"/>
        <w:jc w:val="both"/>
        <w:rPr>
          <w:rFonts w:ascii="Palatino Linotype" w:eastAsia="Palatino Linotype" w:hAnsi="Palatino Linotype" w:cs="Palatino Linotype"/>
          <w:sz w:val="22"/>
          <w:szCs w:val="22"/>
        </w:rPr>
      </w:pPr>
    </w:p>
    <w:p w14:paraId="6412ABD1"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Del mismo modo, el artículo 24 de la Ley de Contratación Pública del Estado de México y Municipios, establece que el referido comité tiene como funciones dictaminar la procedencia de los casos de excepción de los procedimientos de licitación pública, tratándose de adquisición de inmuebles y arrendamientos; participa en los procedimientos de licitación, invitación restringida y adjudicación directa, hasta dejarlos en estado de dictar el fallo correspondiente tratándose de inmuebles y arrendamientos; emite los dictámenes de adjudicación y participar en los procedimientos de subasta pública, hasta dejarlos en estado de dictar el fallo de adjudicación.</w:t>
      </w:r>
    </w:p>
    <w:p w14:paraId="3B565242"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799E85F0"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lastRenderedPageBreak/>
        <w:t>Por su parte, el artículo 58 fracciones I y II, del Reglamento de la Ley de Contratación Pública del Estado de México y Municipios, establece que el Comité de Arrendamientos, Adquisiciones de Inmuebles y Enajenaciones, se desarrollara de la siguiente forma:</w:t>
      </w:r>
    </w:p>
    <w:p w14:paraId="518551D4"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02A125C9" w14:textId="77777777" w:rsidR="004634F9" w:rsidRPr="00910078" w:rsidRDefault="00E75A4A">
      <w:pPr>
        <w:numPr>
          <w:ilvl w:val="0"/>
          <w:numId w:val="5"/>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sz w:val="22"/>
          <w:szCs w:val="22"/>
        </w:rPr>
        <w:t>Ordinarias:</w:t>
      </w:r>
      <w:r w:rsidRPr="00910078">
        <w:rPr>
          <w:rFonts w:ascii="Palatino Linotype" w:eastAsia="Palatino Linotype" w:hAnsi="Palatino Linotype" w:cs="Palatino Linotype"/>
          <w:sz w:val="22"/>
          <w:szCs w:val="22"/>
        </w:rPr>
        <w:t xml:space="preserve"> Se llevarán a cabo, por lo menos cada dos meses, salvo que no existan asuntos por tratar;</w:t>
      </w:r>
    </w:p>
    <w:p w14:paraId="7B33357B" w14:textId="77777777" w:rsidR="004634F9" w:rsidRPr="00910078" w:rsidRDefault="00E75A4A">
      <w:pPr>
        <w:numPr>
          <w:ilvl w:val="0"/>
          <w:numId w:val="5"/>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sz w:val="22"/>
          <w:szCs w:val="22"/>
        </w:rPr>
        <w:t>Extraordinarias:</w:t>
      </w:r>
      <w:r w:rsidRPr="00910078">
        <w:rPr>
          <w:rFonts w:ascii="Palatino Linotype" w:eastAsia="Palatino Linotype" w:hAnsi="Palatino Linotype" w:cs="Palatino Linotype"/>
          <w:sz w:val="22"/>
          <w:szCs w:val="22"/>
        </w:rPr>
        <w:t xml:space="preserve"> Cuando se requieran.</w:t>
      </w:r>
    </w:p>
    <w:p w14:paraId="7697A8FE"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333B0C0A"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Aunado a ello, precisa que, en cada sesión del Comité, se levantará un Acta de la misma, la cual será aprobada y firmada por los asistentes, en el que se registrarán los acuerdos tomados y se indicará el sentido del voto; asimismo, señala que en la Primera Sesión de cada ejercicio fiscal se presentará a consideración del Comité el Calendario Oficial de Sesiones Ordinarias, y el Volumen Anual autorizado para arrendamientos y para la adquisición de bienes inmuebles. Además, el artículo 49, del Bando Municipal de Tepetlixpa dos mil veinticuatro, establece que, 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xml:space="preserve"> para su eficaz desempeño, podrá auxiliarse del Comité de Arrendamientos, Adquisiciones de Inmuebles y Enajenaciones.</w:t>
      </w:r>
    </w:p>
    <w:p w14:paraId="7B49A788"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53AD0CAF"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Conforme a lo anterior, se logra vislumbrar que la pretensión del ahora </w:t>
      </w:r>
      <w:r w:rsidRPr="00910078">
        <w:rPr>
          <w:rFonts w:ascii="Palatino Linotype" w:eastAsia="Palatino Linotype" w:hAnsi="Palatino Linotype" w:cs="Palatino Linotype"/>
          <w:b/>
          <w:sz w:val="22"/>
          <w:szCs w:val="22"/>
        </w:rPr>
        <w:t>Recurrente</w:t>
      </w:r>
      <w:r w:rsidRPr="00910078">
        <w:rPr>
          <w:rFonts w:ascii="Palatino Linotype" w:eastAsia="Palatino Linotype" w:hAnsi="Palatino Linotype" w:cs="Palatino Linotype"/>
          <w:sz w:val="22"/>
          <w:szCs w:val="22"/>
        </w:rPr>
        <w:t>, es obtener, todas las Actas de las Sesiones del Comité Municipal de Adquisiciones y Servicios, de los ejercicios fiscales dos mil veintidós, dos mil veintitrés y dos mil veinticuatro; así como las Actas de las sesiones del Comité de Arrendamientos, Adquisiciones de Inmuebles y Enajenaciones del ejercicio fiscal dos mil veinticuatro, incluyendo las actas de instalación de cada uno.</w:t>
      </w:r>
    </w:p>
    <w:p w14:paraId="30CC6E37"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2DAD0940"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Ahora bien, se procede analizar la información proporcionada por 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xml:space="preserve">, conforme al siguiente cuadro de análisis: </w:t>
      </w:r>
    </w:p>
    <w:p w14:paraId="6248AAD9" w14:textId="77777777" w:rsidR="004634F9" w:rsidRPr="00910078" w:rsidRDefault="004634F9">
      <w:pPr>
        <w:spacing w:line="360" w:lineRule="auto"/>
        <w:jc w:val="both"/>
        <w:rPr>
          <w:rFonts w:ascii="Palatino Linotype" w:eastAsia="Palatino Linotype" w:hAnsi="Palatino Linotype" w:cs="Palatino Linotype"/>
          <w:sz w:val="22"/>
          <w:szCs w:val="22"/>
        </w:rPr>
      </w:pPr>
    </w:p>
    <w:tbl>
      <w:tblPr>
        <w:tblStyle w:val="af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910078" w:rsidRPr="00910078" w14:paraId="33160720" w14:textId="77777777">
        <w:tc>
          <w:tcPr>
            <w:tcW w:w="2942" w:type="dxa"/>
            <w:shd w:val="clear" w:color="auto" w:fill="E2EFD9"/>
          </w:tcPr>
          <w:p w14:paraId="18CF356E" w14:textId="77777777" w:rsidR="004634F9" w:rsidRPr="00910078" w:rsidRDefault="00E75A4A">
            <w:pPr>
              <w:jc w:val="center"/>
              <w:rPr>
                <w:rFonts w:ascii="Palatino Linotype" w:eastAsia="Palatino Linotype" w:hAnsi="Palatino Linotype" w:cs="Palatino Linotype"/>
                <w:b/>
                <w:sz w:val="20"/>
                <w:szCs w:val="20"/>
              </w:rPr>
            </w:pPr>
            <w:r w:rsidRPr="00910078">
              <w:rPr>
                <w:rFonts w:ascii="Palatino Linotype" w:eastAsia="Palatino Linotype" w:hAnsi="Palatino Linotype" w:cs="Palatino Linotype"/>
                <w:b/>
                <w:sz w:val="20"/>
                <w:szCs w:val="20"/>
              </w:rPr>
              <w:t>Solicitó</w:t>
            </w:r>
          </w:p>
        </w:tc>
        <w:tc>
          <w:tcPr>
            <w:tcW w:w="2943" w:type="dxa"/>
            <w:shd w:val="clear" w:color="auto" w:fill="E2EFD9"/>
          </w:tcPr>
          <w:p w14:paraId="60417455" w14:textId="77777777" w:rsidR="004634F9" w:rsidRPr="00910078" w:rsidRDefault="00E75A4A">
            <w:pPr>
              <w:jc w:val="center"/>
              <w:rPr>
                <w:rFonts w:ascii="Palatino Linotype" w:eastAsia="Palatino Linotype" w:hAnsi="Palatino Linotype" w:cs="Palatino Linotype"/>
                <w:b/>
                <w:sz w:val="20"/>
                <w:szCs w:val="20"/>
              </w:rPr>
            </w:pPr>
            <w:r w:rsidRPr="00910078">
              <w:rPr>
                <w:rFonts w:ascii="Palatino Linotype" w:eastAsia="Palatino Linotype" w:hAnsi="Palatino Linotype" w:cs="Palatino Linotype"/>
                <w:b/>
                <w:sz w:val="20"/>
                <w:szCs w:val="20"/>
              </w:rPr>
              <w:t>Informe Justificado</w:t>
            </w:r>
          </w:p>
        </w:tc>
        <w:tc>
          <w:tcPr>
            <w:tcW w:w="2943" w:type="dxa"/>
            <w:shd w:val="clear" w:color="auto" w:fill="E2EFD9"/>
          </w:tcPr>
          <w:p w14:paraId="4A18C3A2" w14:textId="77777777" w:rsidR="004634F9" w:rsidRPr="00910078" w:rsidRDefault="00E75A4A">
            <w:pPr>
              <w:jc w:val="center"/>
              <w:rPr>
                <w:rFonts w:ascii="Palatino Linotype" w:eastAsia="Palatino Linotype" w:hAnsi="Palatino Linotype" w:cs="Palatino Linotype"/>
                <w:b/>
                <w:sz w:val="20"/>
                <w:szCs w:val="20"/>
              </w:rPr>
            </w:pPr>
            <w:r w:rsidRPr="00910078">
              <w:rPr>
                <w:rFonts w:ascii="Palatino Linotype" w:eastAsia="Palatino Linotype" w:hAnsi="Palatino Linotype" w:cs="Palatino Linotype"/>
                <w:b/>
                <w:sz w:val="20"/>
                <w:szCs w:val="20"/>
              </w:rPr>
              <w:t>Observaciones</w:t>
            </w:r>
          </w:p>
        </w:tc>
      </w:tr>
      <w:tr w:rsidR="00910078" w:rsidRPr="00910078" w14:paraId="67FBEB15" w14:textId="77777777">
        <w:tc>
          <w:tcPr>
            <w:tcW w:w="2942" w:type="dxa"/>
          </w:tcPr>
          <w:p w14:paraId="6F1C3854"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t>Copia del Acta de Instalación del Comité de Adquisiciones y Servicios del Ayuntamiento de Tepetlixpa, Administración 2022-2024.</w:t>
            </w:r>
          </w:p>
        </w:tc>
        <w:tc>
          <w:tcPr>
            <w:tcW w:w="2943" w:type="dxa"/>
          </w:tcPr>
          <w:p w14:paraId="28A9E953"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t>Hizo entrega del Acta de Instalación del Comité de Adquisiciones y de Servicios del Municipio de Tepetlixpa, de fecha tres de enero de dos mil veintidós.</w:t>
            </w:r>
          </w:p>
        </w:tc>
        <w:tc>
          <w:tcPr>
            <w:tcW w:w="2943" w:type="dxa"/>
            <w:vMerge w:val="restart"/>
          </w:tcPr>
          <w:p w14:paraId="1968E3E8"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t xml:space="preserve">Si bien, pudo dar atención al punto de análisis, no fue puesto a la vista por estar inmerso en los documentos que contienen información susceptible de ser clasificada; por lo que, procede ordenar su entrega. </w:t>
            </w:r>
          </w:p>
        </w:tc>
      </w:tr>
      <w:tr w:rsidR="00910078" w:rsidRPr="00910078" w14:paraId="06891001" w14:textId="77777777">
        <w:tc>
          <w:tcPr>
            <w:tcW w:w="2942" w:type="dxa"/>
          </w:tcPr>
          <w:p w14:paraId="4676807C"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t>Copia de Acta de Instalación del Comité de Arrendamiento del Ayuntamiento de Tepetlixpa, Administración 2022-2024.</w:t>
            </w:r>
          </w:p>
        </w:tc>
        <w:tc>
          <w:tcPr>
            <w:tcW w:w="2943" w:type="dxa"/>
          </w:tcPr>
          <w:p w14:paraId="4B2BF88D"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t>Hizo entrega del Acta de Instalación del Comité de Arrendamientos, Adquisiciones de Inmuebles y Enajenaciones del Municipio de Tepetlixpa, Estado de México, de fecha quince de julio de dos mil veintidós.</w:t>
            </w:r>
          </w:p>
        </w:tc>
        <w:tc>
          <w:tcPr>
            <w:tcW w:w="2943" w:type="dxa"/>
            <w:vMerge/>
          </w:tcPr>
          <w:p w14:paraId="70EB1B73" w14:textId="77777777" w:rsidR="004634F9" w:rsidRPr="00910078" w:rsidRDefault="004634F9">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910078" w:rsidRPr="00910078" w14:paraId="3FEAA4D8" w14:textId="77777777">
        <w:tc>
          <w:tcPr>
            <w:tcW w:w="2942" w:type="dxa"/>
          </w:tcPr>
          <w:p w14:paraId="5337A857"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t xml:space="preserve">Copia de todas y cada una de las Actas celebradas por el Comité de Adquisiciones y Servicios del Ayuntamiento de Tepetlixpa, durante el ejercicio fiscal 2022. </w:t>
            </w:r>
          </w:p>
          <w:p w14:paraId="1941F15E" w14:textId="77777777" w:rsidR="004634F9" w:rsidRPr="00910078" w:rsidRDefault="004634F9">
            <w:pPr>
              <w:jc w:val="both"/>
              <w:rPr>
                <w:rFonts w:ascii="Palatino Linotype" w:eastAsia="Palatino Linotype" w:hAnsi="Palatino Linotype" w:cs="Palatino Linotype"/>
                <w:sz w:val="20"/>
                <w:szCs w:val="20"/>
              </w:rPr>
            </w:pPr>
          </w:p>
        </w:tc>
        <w:tc>
          <w:tcPr>
            <w:tcW w:w="2943" w:type="dxa"/>
          </w:tcPr>
          <w:p w14:paraId="11D55BDF"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t>Hizo entrega de las actas del Comité de Adquisiciones y Servicios del Municipio de Tepetlixpa, de la primera a la vigésima cuarta sesión ordinaria, correspondientes al año dos mil veintidós; así como el Acta de la primera sesión extraordinaria del Comité de Adquisiciones y Servicios del Municipio de Tepetlixpa; del dieciséis de julio de dos mil veintidós.</w:t>
            </w:r>
          </w:p>
        </w:tc>
        <w:tc>
          <w:tcPr>
            <w:tcW w:w="2943" w:type="dxa"/>
          </w:tcPr>
          <w:p w14:paraId="413240BF"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t xml:space="preserve">De </w:t>
            </w:r>
            <w:proofErr w:type="gramStart"/>
            <w:r w:rsidRPr="00910078">
              <w:rPr>
                <w:rFonts w:ascii="Palatino Linotype" w:eastAsia="Palatino Linotype" w:hAnsi="Palatino Linotype" w:cs="Palatino Linotype"/>
                <w:sz w:val="20"/>
                <w:szCs w:val="20"/>
              </w:rPr>
              <w:t>las revisión</w:t>
            </w:r>
            <w:proofErr w:type="gramEnd"/>
            <w:r w:rsidRPr="00910078">
              <w:rPr>
                <w:rFonts w:ascii="Palatino Linotype" w:eastAsia="Palatino Linotype" w:hAnsi="Palatino Linotype" w:cs="Palatino Linotype"/>
                <w:sz w:val="20"/>
                <w:szCs w:val="20"/>
              </w:rPr>
              <w:t xml:space="preserve"> a cada una de las actas, se advierte que la correspondiente a la décima cuarta y décima sexta se encuentran repetidas, haciendo falta la décima tercera y décima cuarta sesión ordinaria. </w:t>
            </w:r>
          </w:p>
        </w:tc>
      </w:tr>
      <w:tr w:rsidR="00910078" w:rsidRPr="00910078" w14:paraId="1C74F127" w14:textId="77777777">
        <w:tc>
          <w:tcPr>
            <w:tcW w:w="2942" w:type="dxa"/>
          </w:tcPr>
          <w:p w14:paraId="27C2DAEC"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t>Copia de todas y cada una de las Actas celebradas por el Comité de Adquisiciones y Servicios del Ayuntamiento de Tepetlixpa, durante el ejercicio fiscal 2023.</w:t>
            </w:r>
          </w:p>
        </w:tc>
        <w:tc>
          <w:tcPr>
            <w:tcW w:w="2943" w:type="dxa"/>
          </w:tcPr>
          <w:p w14:paraId="79554B26"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t>Hizo entrega de las actas del Comité de Adquisiciones y Servicios del Municipio de Tepetlixpa, de la vigésima quinta sesión a la cuadragésima octava sesión ordinaria correspondientes al ejercicio fiscal dos mil veintitrés; así como, el acta de la primera y segunda sesión extraordinaria, correspondientes al año dos mil veintitrés.</w:t>
            </w:r>
          </w:p>
        </w:tc>
        <w:tc>
          <w:tcPr>
            <w:tcW w:w="2943" w:type="dxa"/>
          </w:tcPr>
          <w:p w14:paraId="5830F294"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t xml:space="preserve">Las actas de las sesiones ordinarias corresponden con el calendario de sesiones correspondientes al año dos mil veintitrés, el cual se advierte en el acta de la vigésima quinta sesión ordinaria de fecha doce de enero de dos mil veintitrés. </w:t>
            </w:r>
          </w:p>
          <w:p w14:paraId="68D708AE" w14:textId="77777777" w:rsidR="004634F9" w:rsidRPr="00910078" w:rsidRDefault="004634F9">
            <w:pPr>
              <w:jc w:val="both"/>
              <w:rPr>
                <w:rFonts w:ascii="Palatino Linotype" w:eastAsia="Palatino Linotype" w:hAnsi="Palatino Linotype" w:cs="Palatino Linotype"/>
                <w:sz w:val="20"/>
                <w:szCs w:val="20"/>
              </w:rPr>
            </w:pPr>
          </w:p>
        </w:tc>
      </w:tr>
      <w:tr w:rsidR="00910078" w:rsidRPr="00910078" w14:paraId="4CBDD882" w14:textId="77777777">
        <w:tc>
          <w:tcPr>
            <w:tcW w:w="2942" w:type="dxa"/>
          </w:tcPr>
          <w:p w14:paraId="4D5414E6"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lastRenderedPageBreak/>
              <w:t>Copia de todas y cada una de las Actas celebradas por el Comité de Adquisiciones y Servicios del Ayuntamiento de Tepetlixpa, durante el ejercicio fiscal 2024.</w:t>
            </w:r>
          </w:p>
        </w:tc>
        <w:tc>
          <w:tcPr>
            <w:tcW w:w="2943" w:type="dxa"/>
          </w:tcPr>
          <w:p w14:paraId="2DB28A15"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t xml:space="preserve">Hizo entrega de las actas del Comité de Adquisiciones y Servicios del Municipio de Tepetlixpa, de la cuadragésima novena sesión a la quincuagésima tercera sesión ordinaria, de fechas cuatro y veinticinco de enero, ocho y veintidós de febrero y siete de marzo de dos mil veinticuatro. </w:t>
            </w:r>
          </w:p>
        </w:tc>
        <w:tc>
          <w:tcPr>
            <w:tcW w:w="2943" w:type="dxa"/>
          </w:tcPr>
          <w:p w14:paraId="356808E4"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t xml:space="preserve">De la revisión a las actas si bien corresponden con el calendario de sesiones ordinarias que se encuentra inmerso en el acta de la cuadragésima novena sesión ordinaria, lo cierto es la solicitud refiere del ejercicio fiscal dos mil veinticuatro, por lo que, lo procedente es a la fecha de la solicitud, es decir al tres de septiembre de dos mil veinticuatro. </w:t>
            </w:r>
          </w:p>
          <w:p w14:paraId="7329F4AF"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t xml:space="preserve">Derivado de lo anterior, el Sujeto Obligado fue omiso en pronunciarse de las sesiones celebradas en los meses de marzo, abril, mayo, junio, julio y agosto, de conformidad con el calendario de sesiones. </w:t>
            </w:r>
          </w:p>
          <w:p w14:paraId="2B9CBFF5" w14:textId="77777777" w:rsidR="004634F9" w:rsidRPr="00910078" w:rsidRDefault="004634F9">
            <w:pPr>
              <w:jc w:val="both"/>
              <w:rPr>
                <w:rFonts w:ascii="Palatino Linotype" w:eastAsia="Palatino Linotype" w:hAnsi="Palatino Linotype" w:cs="Palatino Linotype"/>
                <w:sz w:val="20"/>
                <w:szCs w:val="20"/>
              </w:rPr>
            </w:pPr>
          </w:p>
          <w:p w14:paraId="377CE083"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t xml:space="preserve">Aunado a ello, fue omiso en pronunciarse de las sesiones extraordinarias. </w:t>
            </w:r>
          </w:p>
        </w:tc>
      </w:tr>
      <w:tr w:rsidR="00910078" w:rsidRPr="00910078" w14:paraId="6174B07D" w14:textId="77777777">
        <w:tc>
          <w:tcPr>
            <w:tcW w:w="2942" w:type="dxa"/>
          </w:tcPr>
          <w:p w14:paraId="2A27C1AE"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t>Copia de todas y cada una de las Actas celebradas por el Comité de Arrendamiento del Ayuntamiento de Tepetlixpa, Administración 2022-2024, durante el ejercicio fiscal 2024.</w:t>
            </w:r>
          </w:p>
        </w:tc>
        <w:tc>
          <w:tcPr>
            <w:tcW w:w="2943" w:type="dxa"/>
          </w:tcPr>
          <w:p w14:paraId="523DEA81"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t xml:space="preserve">Hizo entrega del Acta de la Primera Sesión Extraordinaria del dos de abril de dos mil veinticuatro. </w:t>
            </w:r>
          </w:p>
          <w:p w14:paraId="2C5A3CD8" w14:textId="77777777" w:rsidR="004634F9" w:rsidRPr="00910078" w:rsidRDefault="004634F9">
            <w:pPr>
              <w:rPr>
                <w:rFonts w:ascii="Palatino Linotype" w:eastAsia="Palatino Linotype" w:hAnsi="Palatino Linotype" w:cs="Palatino Linotype"/>
                <w:sz w:val="20"/>
                <w:szCs w:val="20"/>
              </w:rPr>
            </w:pPr>
          </w:p>
        </w:tc>
        <w:tc>
          <w:tcPr>
            <w:tcW w:w="2943" w:type="dxa"/>
          </w:tcPr>
          <w:p w14:paraId="1CDCE61D"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t xml:space="preserve">Fue omiso en pronunciarse de las sesiones ordinarias y no se tiene certeza de que sea la única sesión extraordinaria celebrada al tres de septiembre de dos mil veinticuatro. </w:t>
            </w:r>
          </w:p>
        </w:tc>
      </w:tr>
      <w:tr w:rsidR="00910078" w:rsidRPr="00910078" w14:paraId="68D9A2D8" w14:textId="77777777">
        <w:tc>
          <w:tcPr>
            <w:tcW w:w="2942" w:type="dxa"/>
          </w:tcPr>
          <w:p w14:paraId="54A38FF7"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t xml:space="preserve">Nombre completo y cargo del Servidor Público que funge con el cargo de presidente o presidenta del Comité de Adquisiciones y Servicios del Ayuntamiento de Tepetlixpa, Administración 2022-2024. </w:t>
            </w:r>
          </w:p>
        </w:tc>
        <w:tc>
          <w:tcPr>
            <w:tcW w:w="2943" w:type="dxa"/>
          </w:tcPr>
          <w:p w14:paraId="21D6C76E"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t xml:space="preserve">Hizo entrega de las actas de las Sesiones del Comité de Adquisiciones y Servicios. </w:t>
            </w:r>
          </w:p>
        </w:tc>
        <w:tc>
          <w:tcPr>
            <w:tcW w:w="2943" w:type="dxa"/>
          </w:tcPr>
          <w:p w14:paraId="47AD927D"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t>De las actas del comité se advierte el nombre de los servidores públicos integrantes del Comité, del que se advierte el del presidente.</w:t>
            </w:r>
          </w:p>
        </w:tc>
      </w:tr>
      <w:tr w:rsidR="004634F9" w:rsidRPr="00910078" w14:paraId="0F3A8208" w14:textId="77777777">
        <w:tc>
          <w:tcPr>
            <w:tcW w:w="2942" w:type="dxa"/>
          </w:tcPr>
          <w:p w14:paraId="004925B8"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t xml:space="preserve">Nombre completo y cargo de Servidor Público que funge con el cargo de presidente o presidenta del Comité de Arrendamiento del </w:t>
            </w:r>
            <w:r w:rsidRPr="00910078">
              <w:rPr>
                <w:rFonts w:ascii="Palatino Linotype" w:eastAsia="Palatino Linotype" w:hAnsi="Palatino Linotype" w:cs="Palatino Linotype"/>
                <w:sz w:val="20"/>
                <w:szCs w:val="20"/>
              </w:rPr>
              <w:lastRenderedPageBreak/>
              <w:t>Ayuntamiento de Tepetlixpa, Administración 2022-2024.</w:t>
            </w:r>
          </w:p>
        </w:tc>
        <w:tc>
          <w:tcPr>
            <w:tcW w:w="2943" w:type="dxa"/>
          </w:tcPr>
          <w:p w14:paraId="1138B0E1"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lastRenderedPageBreak/>
              <w:t xml:space="preserve">Mediante oficio número CP/040/2024, la encargada de bienes informó que la persona servidora pública que funge como presidente del Comité en mención es la C. Alejandra </w:t>
            </w:r>
            <w:r w:rsidRPr="00910078">
              <w:rPr>
                <w:rFonts w:ascii="Palatino Linotype" w:eastAsia="Palatino Linotype" w:hAnsi="Palatino Linotype" w:cs="Palatino Linotype"/>
                <w:sz w:val="20"/>
                <w:szCs w:val="20"/>
              </w:rPr>
              <w:lastRenderedPageBreak/>
              <w:t xml:space="preserve">Vidal Valencia, </w:t>
            </w:r>
            <w:proofErr w:type="gramStart"/>
            <w:r w:rsidRPr="00910078">
              <w:rPr>
                <w:rFonts w:ascii="Palatino Linotype" w:eastAsia="Palatino Linotype" w:hAnsi="Palatino Linotype" w:cs="Palatino Linotype"/>
                <w:sz w:val="20"/>
                <w:szCs w:val="20"/>
              </w:rPr>
              <w:t>Secretaria</w:t>
            </w:r>
            <w:proofErr w:type="gramEnd"/>
            <w:r w:rsidRPr="00910078">
              <w:rPr>
                <w:rFonts w:ascii="Palatino Linotype" w:eastAsia="Palatino Linotype" w:hAnsi="Palatino Linotype" w:cs="Palatino Linotype"/>
                <w:sz w:val="20"/>
                <w:szCs w:val="20"/>
              </w:rPr>
              <w:t xml:space="preserve"> del Ayuntamiento. </w:t>
            </w:r>
          </w:p>
        </w:tc>
        <w:tc>
          <w:tcPr>
            <w:tcW w:w="2943" w:type="dxa"/>
          </w:tcPr>
          <w:p w14:paraId="46E66196" w14:textId="77777777" w:rsidR="004634F9" w:rsidRPr="00910078" w:rsidRDefault="00E75A4A">
            <w:pPr>
              <w:jc w:val="both"/>
              <w:rPr>
                <w:rFonts w:ascii="Palatino Linotype" w:eastAsia="Palatino Linotype" w:hAnsi="Palatino Linotype" w:cs="Palatino Linotype"/>
                <w:sz w:val="20"/>
                <w:szCs w:val="20"/>
              </w:rPr>
            </w:pPr>
            <w:r w:rsidRPr="00910078">
              <w:rPr>
                <w:rFonts w:ascii="Palatino Linotype" w:eastAsia="Palatino Linotype" w:hAnsi="Palatino Linotype" w:cs="Palatino Linotype"/>
                <w:sz w:val="20"/>
                <w:szCs w:val="20"/>
              </w:rPr>
              <w:lastRenderedPageBreak/>
              <w:t xml:space="preserve">El nombre de la servidora pública corresponde con el del acta que remitió, en el que se advierten los integrantes del referido Comité. </w:t>
            </w:r>
          </w:p>
        </w:tc>
      </w:tr>
    </w:tbl>
    <w:p w14:paraId="529B1DFC"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23DA256A"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De lo anterior se puede advertir que si bien 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xml:space="preserve"> en aras de garantizar el derecho de acceso a la información de la parte </w:t>
      </w:r>
      <w:r w:rsidRPr="00910078">
        <w:rPr>
          <w:rFonts w:ascii="Palatino Linotype" w:eastAsia="Palatino Linotype" w:hAnsi="Palatino Linotype" w:cs="Palatino Linotype"/>
          <w:b/>
          <w:sz w:val="22"/>
          <w:szCs w:val="22"/>
        </w:rPr>
        <w:t>Recurrente</w:t>
      </w:r>
      <w:r w:rsidRPr="00910078">
        <w:rPr>
          <w:rFonts w:ascii="Palatino Linotype" w:eastAsia="Palatino Linotype" w:hAnsi="Palatino Linotype" w:cs="Palatino Linotype"/>
          <w:sz w:val="22"/>
          <w:szCs w:val="22"/>
        </w:rPr>
        <w:t xml:space="preserve">, mediante Informe Justificado hizo entrega de la información que puede colmar algunos puntos de lo solicitado, lo cierto es que no fue hecho de su conocimiento, toda vez que de la revisión a la referida información, este Instituto advirtió que en el contenido de una de las actas del Comité de Adquisiciones y Servicios, se dejó visible información susceptible de ser clasificada, como lo es la Adquisición, Compra y/o suministro de material de seguridad pública, específicamente, características del armamento utilizado por la Dirección de Seguridad Pública y Vialidad. </w:t>
      </w:r>
    </w:p>
    <w:p w14:paraId="02DA1752"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03BD6708" w14:textId="77777777" w:rsidR="004634F9" w:rsidRPr="00910078" w:rsidRDefault="00E75A4A">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En atención a lo anterior, este Instituto considera que la información que revela el tipo de armamento que maneja el personal operativo (policías) adscrito a la Dirección de Seguridad Pública, podría ocasionar que los entes delincuenciales busquen allegarse de instrumentos para disminuir o destruir estos, con el fin de aumentar la inseguridad del Sujeto Obligado, pues podría ser utilizada dicha información para buscar las debilidades de las mismas y poderse aprovechar de dichas situaciones para realizar diversos delitos, lo cual va en detrimento de la paz y orden social.</w:t>
      </w:r>
    </w:p>
    <w:p w14:paraId="142640E7" w14:textId="77777777" w:rsidR="004634F9" w:rsidRPr="00910078" w:rsidRDefault="004634F9">
      <w:pPr>
        <w:spacing w:line="360" w:lineRule="auto"/>
        <w:rPr>
          <w:rFonts w:ascii="Palatino Linotype" w:eastAsia="Palatino Linotype" w:hAnsi="Palatino Linotype" w:cs="Palatino Linotype"/>
          <w:sz w:val="22"/>
          <w:szCs w:val="22"/>
        </w:rPr>
      </w:pPr>
    </w:p>
    <w:p w14:paraId="1A94A1B9" w14:textId="77777777" w:rsidR="004634F9" w:rsidRPr="00910078" w:rsidRDefault="00E75A4A">
      <w:pPr>
        <w:spacing w:line="360" w:lineRule="auto"/>
        <w:jc w:val="both"/>
        <w:rPr>
          <w:rFonts w:ascii="Palatino Linotype" w:eastAsia="Palatino Linotype" w:hAnsi="Palatino Linotype" w:cs="Palatino Linotype"/>
          <w:b/>
          <w:sz w:val="22"/>
          <w:szCs w:val="22"/>
        </w:rPr>
      </w:pPr>
      <w:r w:rsidRPr="00910078">
        <w:rPr>
          <w:rFonts w:ascii="Palatino Linotype" w:eastAsia="Palatino Linotype" w:hAnsi="Palatino Linotype" w:cs="Palatino Linotype"/>
          <w:sz w:val="22"/>
          <w:szCs w:val="22"/>
        </w:rPr>
        <w:t xml:space="preserve">Aunado a ello, se considera que dejar visible dicha información podría comprometer la seguridad pública, al poner en peligro las funciones a cargo del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xml:space="preserve">, tendientes a preservar y resguardar la vida, la salud, la integridad y el ejercicio de los derechos de las personas, así como para el mantenimiento del orden público, toda vez que da cuenta del armamento utilizado por la Dirección General de Seguridad Pública y Vialidad y por lo </w:t>
      </w:r>
      <w:r w:rsidRPr="00910078">
        <w:rPr>
          <w:rFonts w:ascii="Palatino Linotype" w:eastAsia="Palatino Linotype" w:hAnsi="Palatino Linotype" w:cs="Palatino Linotype"/>
          <w:sz w:val="22"/>
          <w:szCs w:val="22"/>
        </w:rPr>
        <w:lastRenderedPageBreak/>
        <w:t>tanto, acredita la causal de clasificación prevista en el artículo 140, fracción I de la Ley de Transparencia y Acceso a la Información Pública del Estado de México</w:t>
      </w:r>
      <w:r w:rsidRPr="00910078">
        <w:rPr>
          <w:rFonts w:ascii="Palatino Linotype" w:eastAsia="Palatino Linotype" w:hAnsi="Palatino Linotype" w:cs="Palatino Linotype"/>
          <w:b/>
          <w:sz w:val="22"/>
          <w:szCs w:val="22"/>
        </w:rPr>
        <w:t>.</w:t>
      </w:r>
    </w:p>
    <w:p w14:paraId="530CE932"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315B0117"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Derivado de lo expuesto, se estima procedente ordenar la entrega de la siguiente información, en versión pública en términos del considerando quinto: </w:t>
      </w:r>
    </w:p>
    <w:p w14:paraId="0B4589F4" w14:textId="77777777" w:rsidR="004634F9" w:rsidRPr="00910078" w:rsidRDefault="00E75A4A">
      <w:pPr>
        <w:numPr>
          <w:ilvl w:val="0"/>
          <w:numId w:val="2"/>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 de Instalación del Comité de Adquisiciones y Servicios del Ayuntamiento de Tepetlixpa, Administración 2022-2024, remitida en Informe Justificado. </w:t>
      </w:r>
    </w:p>
    <w:p w14:paraId="05CA0AC5" w14:textId="77777777" w:rsidR="004634F9" w:rsidRPr="00910078" w:rsidRDefault="00E75A4A">
      <w:pPr>
        <w:numPr>
          <w:ilvl w:val="0"/>
          <w:numId w:val="2"/>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Acta de Instalación del Comité de Arrendamientos, Adquisiciones de Inmuebles y Enajenaciones, del Ayuntamiento de Tepetlixpa, Administración 2022-2024, remitida en Informe Justificado.</w:t>
      </w:r>
    </w:p>
    <w:p w14:paraId="330BD2BA" w14:textId="77777777" w:rsidR="004634F9" w:rsidRPr="00910078" w:rsidRDefault="00E75A4A">
      <w:pPr>
        <w:numPr>
          <w:ilvl w:val="0"/>
          <w:numId w:val="2"/>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Actas de las sesiones ordinarias y extraordinarias del Comité de Adquisiciones y Servicios del Ayuntamiento de Tepetlixpa, durante el ejercicio fiscal 2022, remitidas en Informe Justificado. </w:t>
      </w:r>
    </w:p>
    <w:p w14:paraId="679FF505" w14:textId="77777777" w:rsidR="004634F9" w:rsidRPr="00910078" w:rsidRDefault="00E75A4A">
      <w:pPr>
        <w:numPr>
          <w:ilvl w:val="0"/>
          <w:numId w:val="2"/>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Actas de décima tercera y décima cuarta sesión ordinaria del Comité de Adquisiciones y Servicios del Ayuntamiento de Tepetlixpa, durante el ejercicio fiscal 2022. </w:t>
      </w:r>
    </w:p>
    <w:p w14:paraId="7E87BDA5" w14:textId="77777777" w:rsidR="004634F9" w:rsidRPr="00910078" w:rsidRDefault="00E75A4A">
      <w:pPr>
        <w:numPr>
          <w:ilvl w:val="0"/>
          <w:numId w:val="2"/>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Actas de las Sesiones Ordinarias y Extraordinarias del Comité de Adquisiciones y Servicios del Ayuntamiento de Tepetlixpa, durante el ejercicio fiscal 2023, remitida en Informe Justificado </w:t>
      </w:r>
    </w:p>
    <w:p w14:paraId="3883544F" w14:textId="77777777" w:rsidR="004634F9" w:rsidRPr="00910078" w:rsidRDefault="00E75A4A">
      <w:pPr>
        <w:numPr>
          <w:ilvl w:val="0"/>
          <w:numId w:val="2"/>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Actas de las sesiones ordinarias del Comité de Adquisiciones y Servicios del Ayuntamiento de Tepetlixpa, durante el ejercicio fiscal 2024, remitidas en Informe Justificado. </w:t>
      </w:r>
    </w:p>
    <w:p w14:paraId="21462DCC" w14:textId="77777777" w:rsidR="004634F9" w:rsidRPr="00910078" w:rsidRDefault="00E75A4A">
      <w:pPr>
        <w:numPr>
          <w:ilvl w:val="0"/>
          <w:numId w:val="2"/>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Actas de las sesiones ordinarias del Comité de Adquisiciones y Servicios del Ayuntamiento de Tepetlixpa, faltantes al tres de septiembre de dos mil veinticuatro. </w:t>
      </w:r>
    </w:p>
    <w:p w14:paraId="1C57AF72" w14:textId="77777777" w:rsidR="004634F9" w:rsidRPr="00910078" w:rsidRDefault="00E75A4A">
      <w:pPr>
        <w:numPr>
          <w:ilvl w:val="0"/>
          <w:numId w:val="2"/>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lastRenderedPageBreak/>
        <w:t xml:space="preserve">Actas de las sesiones extraordinarias del Comité de Adquisiciones y Servicios del Ayuntamiento de Tepetlixpa, del primero de enero al tres de septiembre de dos mil veinticuatro. </w:t>
      </w:r>
    </w:p>
    <w:p w14:paraId="6AF27510" w14:textId="77777777" w:rsidR="004634F9" w:rsidRPr="00910078" w:rsidRDefault="00E75A4A">
      <w:pPr>
        <w:numPr>
          <w:ilvl w:val="0"/>
          <w:numId w:val="2"/>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Actas de las sesiones ordinarias del Comité de Arrendamiento del Ayuntamiento de Tepetlixpa, Administración 2022-2024, del primero de enero al tres de septiembre de dos mil veinticuatro. </w:t>
      </w:r>
    </w:p>
    <w:p w14:paraId="7281E00B" w14:textId="77777777" w:rsidR="004634F9" w:rsidRPr="00910078" w:rsidRDefault="00E75A4A">
      <w:pPr>
        <w:numPr>
          <w:ilvl w:val="0"/>
          <w:numId w:val="2"/>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Actas de primera sesión extraordinaria del Comité de Arrendamiento del Ayuntamiento de Tepetlixpa, Administración 2022-2024, remitida en Informe Justificado. </w:t>
      </w:r>
    </w:p>
    <w:p w14:paraId="7B7D024D" w14:textId="77777777" w:rsidR="004634F9" w:rsidRPr="00910078" w:rsidRDefault="00E75A4A">
      <w:pPr>
        <w:numPr>
          <w:ilvl w:val="0"/>
          <w:numId w:val="2"/>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Actas de las sesiones extraordinarias del Comité de Arrendamiento del Ayuntamiento de Tepetlixpa, faltantes al tres de septiembre de dos mil veinticuatro. </w:t>
      </w:r>
    </w:p>
    <w:p w14:paraId="05CE2B01" w14:textId="77777777" w:rsidR="004634F9" w:rsidRPr="00910078" w:rsidRDefault="00E75A4A">
      <w:pPr>
        <w:numPr>
          <w:ilvl w:val="0"/>
          <w:numId w:val="2"/>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Nombre completo y cargo del Servidor Público que funge con el cargo de presidente o presidenta del Comité de Adquisiciones y Servicios, en función al tres de septiembre de dos mil veinticuatro. </w:t>
      </w:r>
    </w:p>
    <w:p w14:paraId="51546F8C" w14:textId="77777777" w:rsidR="004634F9" w:rsidRPr="00910078" w:rsidRDefault="00E75A4A">
      <w:pPr>
        <w:numPr>
          <w:ilvl w:val="0"/>
          <w:numId w:val="2"/>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Nombre completo y cargo del Servidor Público que funge con el cargo de presidente o presidenta del Comité de Arrendamientos, Adquisiciones de Inmuebles y Enajenaciones, Administración 2022-2024, en función al tres de septiembre de dos mil veinticuatro. </w:t>
      </w:r>
    </w:p>
    <w:p w14:paraId="2F4831D1"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7FABDE3D" w14:textId="77777777" w:rsidR="004634F9" w:rsidRPr="00910078" w:rsidRDefault="00E75A4A">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10078">
        <w:rPr>
          <w:rFonts w:ascii="Palatino Linotype" w:eastAsia="Palatino Linotype" w:hAnsi="Palatino Linotype" w:cs="Palatino Linotype"/>
          <w:b/>
          <w:sz w:val="22"/>
          <w:szCs w:val="22"/>
        </w:rPr>
        <w:t xml:space="preserve">Lista de Proveedores durante los Ejercicios Fiscales 2023 y 2024. </w:t>
      </w:r>
    </w:p>
    <w:p w14:paraId="7F79B6A7" w14:textId="77777777" w:rsidR="004634F9" w:rsidRPr="00910078" w:rsidRDefault="004634F9">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7B612577"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Referente a este punto, 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xml:space="preserve"> en Informe Justificado hizo entrega del Listado de Proveedores del Ayuntamiento de Tepetlixpa de los ejercicios fiscales dos mil veintidós y dos mil veintitrés, tal y como se muestra a continuación: </w:t>
      </w:r>
    </w:p>
    <w:p w14:paraId="58E74FB9"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noProof/>
          <w:sz w:val="22"/>
          <w:szCs w:val="22"/>
          <w:lang w:val="es-MX" w:eastAsia="es-MX"/>
        </w:rPr>
        <w:lastRenderedPageBreak/>
        <w:drawing>
          <wp:inline distT="0" distB="0" distL="0" distR="0" wp14:anchorId="537552B4" wp14:editId="56F2A10D">
            <wp:extent cx="5612130" cy="1097915"/>
            <wp:effectExtent l="0" t="0" r="0" b="0"/>
            <wp:docPr id="8319354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612130" cy="1097915"/>
                    </a:xfrm>
                    <a:prstGeom prst="rect">
                      <a:avLst/>
                    </a:prstGeom>
                    <a:ln/>
                  </pic:spPr>
                </pic:pic>
              </a:graphicData>
            </a:graphic>
          </wp:inline>
        </w:drawing>
      </w:r>
    </w:p>
    <w:p w14:paraId="3CEA5209"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noProof/>
          <w:sz w:val="22"/>
          <w:szCs w:val="22"/>
          <w:lang w:val="es-MX" w:eastAsia="es-MX"/>
        </w:rPr>
        <w:drawing>
          <wp:inline distT="0" distB="0" distL="0" distR="0" wp14:anchorId="35194B83" wp14:editId="2672A7A0">
            <wp:extent cx="5633905" cy="1867918"/>
            <wp:effectExtent l="0" t="0" r="0" b="0"/>
            <wp:docPr id="8319354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633905" cy="1867918"/>
                    </a:xfrm>
                    <a:prstGeom prst="rect">
                      <a:avLst/>
                    </a:prstGeom>
                    <a:ln/>
                  </pic:spPr>
                </pic:pic>
              </a:graphicData>
            </a:graphic>
          </wp:inline>
        </w:drawing>
      </w:r>
    </w:p>
    <w:p w14:paraId="0459F758" w14:textId="77777777" w:rsidR="004634F9" w:rsidRPr="00910078" w:rsidRDefault="00E75A4A">
      <w:pPr>
        <w:spacing w:line="360" w:lineRule="auto"/>
        <w:jc w:val="center"/>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w:t>
      </w:r>
    </w:p>
    <w:p w14:paraId="0A7296CE"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De las imágenes insertadas con anterioridad, se advierte que estos pueden dan cuenta de la información a la cual desea acceder el particular; sin embargo, dicho documento no fue puesto a la vista de la parte </w:t>
      </w:r>
      <w:r w:rsidRPr="00910078">
        <w:rPr>
          <w:rFonts w:ascii="Palatino Linotype" w:eastAsia="Palatino Linotype" w:hAnsi="Palatino Linotype" w:cs="Palatino Linotype"/>
          <w:b/>
          <w:sz w:val="22"/>
          <w:szCs w:val="22"/>
        </w:rPr>
        <w:t>Recurrente</w:t>
      </w:r>
      <w:r w:rsidRPr="00910078">
        <w:rPr>
          <w:rFonts w:ascii="Palatino Linotype" w:eastAsia="Palatino Linotype" w:hAnsi="Palatino Linotype" w:cs="Palatino Linotype"/>
          <w:sz w:val="22"/>
          <w:szCs w:val="22"/>
        </w:rPr>
        <w:t xml:space="preserve"> por estar inmerso en la carpeta comprimida de la cual se advierten documentos que contienen información que es clasificada como confidencial. </w:t>
      </w:r>
    </w:p>
    <w:p w14:paraId="69101A46"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29CCED89" w14:textId="77777777" w:rsidR="004634F9" w:rsidRPr="00910078" w:rsidRDefault="00E75A4A">
      <w:pPr>
        <w:spacing w:line="360" w:lineRule="auto"/>
        <w:ind w:right="49"/>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Por otro lado, es de mencionar que, de acuerdo con el artículo 3.17 del Código Reglamentario para el Municipio de Tepetlixpa, la actualización del padrón de proveedores corresponde a la </w:t>
      </w:r>
      <w:proofErr w:type="spellStart"/>
      <w:r w:rsidRPr="00910078">
        <w:rPr>
          <w:rFonts w:ascii="Palatino Linotype" w:eastAsia="Palatino Linotype" w:hAnsi="Palatino Linotype" w:cs="Palatino Linotype"/>
          <w:sz w:val="22"/>
          <w:szCs w:val="22"/>
        </w:rPr>
        <w:t>Subcoordinación</w:t>
      </w:r>
      <w:proofErr w:type="spellEnd"/>
      <w:r w:rsidRPr="00910078">
        <w:rPr>
          <w:rFonts w:ascii="Palatino Linotype" w:eastAsia="Palatino Linotype" w:hAnsi="Palatino Linotype" w:cs="Palatino Linotype"/>
          <w:sz w:val="22"/>
          <w:szCs w:val="22"/>
        </w:rPr>
        <w:t xml:space="preserve"> de los Recursos Materiales, no obstante, derivado de las constancias que integran el expediente electrónico, la Unidad administrativa que emitió un pronunciamiento, es la Tesorería Municipal, por lo que, se determina que la Unidad de Transparencia no siguió el procedimiento de búsqueda exhaustiva de la información referido en el artículo 162 de la Ley de Transparencia de la Entidad, siendo procedente ordenar, previa búsqueda exhaustiva y razonable, la entrega del documento o documentos </w:t>
      </w:r>
      <w:r w:rsidRPr="00910078">
        <w:rPr>
          <w:rFonts w:ascii="Palatino Linotype" w:eastAsia="Palatino Linotype" w:hAnsi="Palatino Linotype" w:cs="Palatino Linotype"/>
          <w:sz w:val="22"/>
          <w:szCs w:val="22"/>
        </w:rPr>
        <w:lastRenderedPageBreak/>
        <w:t xml:space="preserve">en donde conste la denominación o razón social de los proveedores que le han facturado algún servicio al Ayuntamiento de Tepetlixpa, durante los años 2022 y 2023. </w:t>
      </w:r>
    </w:p>
    <w:p w14:paraId="35C16F25"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58D1B821" w14:textId="77777777" w:rsidR="004634F9" w:rsidRPr="00910078" w:rsidRDefault="00E75A4A">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10078">
        <w:rPr>
          <w:rFonts w:ascii="Palatino Linotype" w:eastAsia="Palatino Linotype" w:hAnsi="Palatino Linotype" w:cs="Palatino Linotype"/>
          <w:b/>
          <w:sz w:val="22"/>
          <w:szCs w:val="22"/>
        </w:rPr>
        <w:t xml:space="preserve">Respecto a la Nómina. </w:t>
      </w:r>
    </w:p>
    <w:p w14:paraId="0091B417" w14:textId="77777777" w:rsidR="004634F9" w:rsidRPr="00910078" w:rsidRDefault="004634F9">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tbl>
      <w:tblPr>
        <w:tblStyle w:val="af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9"/>
        <w:gridCol w:w="3546"/>
        <w:gridCol w:w="2673"/>
      </w:tblGrid>
      <w:tr w:rsidR="00910078" w:rsidRPr="00910078" w14:paraId="14B695EF" w14:textId="77777777">
        <w:tc>
          <w:tcPr>
            <w:tcW w:w="2609" w:type="dxa"/>
          </w:tcPr>
          <w:p w14:paraId="70B6919F" w14:textId="77777777" w:rsidR="004634F9" w:rsidRPr="00910078" w:rsidRDefault="00E75A4A">
            <w:pPr>
              <w:jc w:val="center"/>
              <w:rPr>
                <w:rFonts w:ascii="Palatino Linotype" w:eastAsia="Palatino Linotype" w:hAnsi="Palatino Linotype" w:cs="Palatino Linotype"/>
                <w:b/>
                <w:sz w:val="22"/>
                <w:szCs w:val="22"/>
              </w:rPr>
            </w:pPr>
            <w:r w:rsidRPr="00910078">
              <w:rPr>
                <w:rFonts w:ascii="Palatino Linotype" w:eastAsia="Palatino Linotype" w:hAnsi="Palatino Linotype" w:cs="Palatino Linotype"/>
                <w:b/>
                <w:sz w:val="22"/>
                <w:szCs w:val="22"/>
              </w:rPr>
              <w:t>Solicitud</w:t>
            </w:r>
          </w:p>
        </w:tc>
        <w:tc>
          <w:tcPr>
            <w:tcW w:w="3546" w:type="dxa"/>
          </w:tcPr>
          <w:p w14:paraId="26FD749B" w14:textId="77777777" w:rsidR="004634F9" w:rsidRPr="00910078" w:rsidRDefault="00E75A4A">
            <w:pPr>
              <w:jc w:val="center"/>
              <w:rPr>
                <w:rFonts w:ascii="Palatino Linotype" w:eastAsia="Palatino Linotype" w:hAnsi="Palatino Linotype" w:cs="Palatino Linotype"/>
                <w:b/>
                <w:sz w:val="22"/>
                <w:szCs w:val="22"/>
              </w:rPr>
            </w:pPr>
            <w:r w:rsidRPr="00910078">
              <w:rPr>
                <w:rFonts w:ascii="Palatino Linotype" w:eastAsia="Palatino Linotype" w:hAnsi="Palatino Linotype" w:cs="Palatino Linotype"/>
                <w:b/>
                <w:sz w:val="22"/>
                <w:szCs w:val="22"/>
              </w:rPr>
              <w:t>Informe Justificado</w:t>
            </w:r>
          </w:p>
        </w:tc>
        <w:tc>
          <w:tcPr>
            <w:tcW w:w="2673" w:type="dxa"/>
          </w:tcPr>
          <w:p w14:paraId="646F1647" w14:textId="77777777" w:rsidR="004634F9" w:rsidRPr="00910078" w:rsidRDefault="00E75A4A">
            <w:pPr>
              <w:jc w:val="center"/>
              <w:rPr>
                <w:rFonts w:ascii="Palatino Linotype" w:eastAsia="Palatino Linotype" w:hAnsi="Palatino Linotype" w:cs="Palatino Linotype"/>
                <w:b/>
                <w:sz w:val="22"/>
                <w:szCs w:val="22"/>
              </w:rPr>
            </w:pPr>
            <w:r w:rsidRPr="00910078">
              <w:rPr>
                <w:rFonts w:ascii="Palatino Linotype" w:eastAsia="Palatino Linotype" w:hAnsi="Palatino Linotype" w:cs="Palatino Linotype"/>
                <w:b/>
                <w:sz w:val="22"/>
                <w:szCs w:val="22"/>
              </w:rPr>
              <w:t>Observaciones</w:t>
            </w:r>
          </w:p>
        </w:tc>
      </w:tr>
      <w:tr w:rsidR="004634F9" w:rsidRPr="00910078" w14:paraId="00D4B68D" w14:textId="77777777">
        <w:tc>
          <w:tcPr>
            <w:tcW w:w="2609" w:type="dxa"/>
          </w:tcPr>
          <w:p w14:paraId="3BA2BA21" w14:textId="77777777" w:rsidR="004634F9" w:rsidRPr="00910078" w:rsidRDefault="00E75A4A">
            <w:pPr>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Nómina del 31 de agosto de 2024.</w:t>
            </w:r>
          </w:p>
        </w:tc>
        <w:tc>
          <w:tcPr>
            <w:tcW w:w="3546" w:type="dxa"/>
          </w:tcPr>
          <w:p w14:paraId="6CCB68B1" w14:textId="77777777" w:rsidR="004634F9" w:rsidRPr="00910078" w:rsidRDefault="00E75A4A">
            <w:pPr>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Hace entrega de la nómina del Ayuntamiento de Tepetlixpa de forma íntegra, en el que se advierten percepciones y deducciones.</w:t>
            </w:r>
          </w:p>
        </w:tc>
        <w:tc>
          <w:tcPr>
            <w:tcW w:w="2673" w:type="dxa"/>
          </w:tcPr>
          <w:p w14:paraId="527C2CEF" w14:textId="77777777" w:rsidR="004634F9" w:rsidRPr="00910078" w:rsidRDefault="00E75A4A">
            <w:pPr>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Se envió documento íntegro, dejándose visibles deducciones de carácter personal, falta información del personal de seguridad pública. </w:t>
            </w:r>
          </w:p>
        </w:tc>
      </w:tr>
    </w:tbl>
    <w:p w14:paraId="7B6BFE02"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78FC9B2B"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Expuesto lo anterior, sobre la naturaleza de la información, es conviene señalar que, respecto de la nómina solicitada, nos lleva a precisar que en nuestra legislación del Estado de México no existe como tal una definición de </w:t>
      </w:r>
      <w:r w:rsidRPr="00910078">
        <w:rPr>
          <w:rFonts w:ascii="Palatino Linotype" w:eastAsia="Palatino Linotype" w:hAnsi="Palatino Linotype" w:cs="Palatino Linotype"/>
          <w:b/>
          <w:i/>
          <w:sz w:val="22"/>
          <w:szCs w:val="22"/>
        </w:rPr>
        <w:t>“nómina”</w:t>
      </w:r>
      <w:r w:rsidRPr="00910078">
        <w:rPr>
          <w:rFonts w:ascii="Palatino Linotype" w:eastAsia="Palatino Linotype" w:hAnsi="Palatino Linotype" w:cs="Palatino Linotype"/>
          <w:sz w:val="22"/>
          <w:szCs w:val="22"/>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0DD9C386" w14:textId="77777777" w:rsidR="004634F9" w:rsidRPr="00910078" w:rsidRDefault="004634F9">
      <w:pPr>
        <w:tabs>
          <w:tab w:val="left" w:pos="4962"/>
        </w:tabs>
        <w:spacing w:line="360" w:lineRule="auto"/>
        <w:ind w:right="-28"/>
        <w:jc w:val="both"/>
        <w:rPr>
          <w:rFonts w:ascii="Palatino Linotype" w:eastAsia="Palatino Linotype" w:hAnsi="Palatino Linotype" w:cs="Palatino Linotype"/>
          <w:sz w:val="22"/>
          <w:szCs w:val="22"/>
        </w:rPr>
      </w:pPr>
    </w:p>
    <w:p w14:paraId="762EABBE"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w:t>
      </w:r>
      <w:r w:rsidRPr="00910078">
        <w:rPr>
          <w:rFonts w:ascii="Palatino Linotype" w:eastAsia="Palatino Linotype" w:hAnsi="Palatino Linotype" w:cs="Palatino Linotype"/>
          <w:b/>
          <w:i/>
          <w:sz w:val="22"/>
          <w:szCs w:val="22"/>
        </w:rPr>
        <w:t xml:space="preserve">NÓMINA </w:t>
      </w:r>
      <w:r w:rsidRPr="00910078">
        <w:rPr>
          <w:rFonts w:ascii="Palatino Linotype" w:eastAsia="Palatino Linotype" w:hAnsi="Palatino Linotype" w:cs="Palatino Linotype"/>
          <w:i/>
          <w:sz w:val="22"/>
          <w:szCs w:val="22"/>
        </w:rPr>
        <w:t>Listado general de los trabajadores de una institución, en</w:t>
      </w:r>
      <w:r w:rsidRPr="00910078">
        <w:rPr>
          <w:rFonts w:ascii="Palatino Linotype" w:eastAsia="Palatino Linotype" w:hAnsi="Palatino Linotype" w:cs="Palatino Linotype"/>
          <w:b/>
          <w:i/>
          <w:sz w:val="22"/>
          <w:szCs w:val="22"/>
        </w:rPr>
        <w:t xml:space="preserve"> </w:t>
      </w:r>
      <w:r w:rsidRPr="00910078">
        <w:rPr>
          <w:rFonts w:ascii="Palatino Linotype" w:eastAsia="Palatino Linotype" w:hAnsi="Palatino Linotype" w:cs="Palatino Linotype"/>
          <w:i/>
          <w:sz w:val="22"/>
          <w:szCs w:val="22"/>
        </w:rPr>
        <w:t>el cual se asientan las percepciones brutas, deducciones y</w:t>
      </w:r>
      <w:r w:rsidRPr="00910078">
        <w:rPr>
          <w:rFonts w:ascii="Palatino Linotype" w:eastAsia="Palatino Linotype" w:hAnsi="Palatino Linotype" w:cs="Palatino Linotype"/>
          <w:b/>
          <w:i/>
          <w:sz w:val="22"/>
          <w:szCs w:val="22"/>
        </w:rPr>
        <w:t xml:space="preserve"> </w:t>
      </w:r>
      <w:r w:rsidRPr="00910078">
        <w:rPr>
          <w:rFonts w:ascii="Palatino Linotype" w:eastAsia="Palatino Linotype" w:hAnsi="Palatino Linotype" w:cs="Palatino Linotype"/>
          <w:i/>
          <w:sz w:val="22"/>
          <w:szCs w:val="22"/>
        </w:rPr>
        <w:t>alcance neto de las mismas; la nómina es utilizada para</w:t>
      </w:r>
      <w:r w:rsidRPr="00910078">
        <w:rPr>
          <w:rFonts w:ascii="Palatino Linotype" w:eastAsia="Palatino Linotype" w:hAnsi="Palatino Linotype" w:cs="Palatino Linotype"/>
          <w:b/>
          <w:i/>
          <w:sz w:val="22"/>
          <w:szCs w:val="22"/>
        </w:rPr>
        <w:t xml:space="preserve"> </w:t>
      </w:r>
      <w:r w:rsidRPr="00910078">
        <w:rPr>
          <w:rFonts w:ascii="Palatino Linotype" w:eastAsia="Palatino Linotype" w:hAnsi="Palatino Linotype" w:cs="Palatino Linotype"/>
          <w:i/>
          <w:sz w:val="22"/>
          <w:szCs w:val="22"/>
        </w:rPr>
        <w:t>efectuar los pagos periódicos (semanales, quincenales o</w:t>
      </w:r>
      <w:r w:rsidRPr="00910078">
        <w:rPr>
          <w:rFonts w:ascii="Palatino Linotype" w:eastAsia="Palatino Linotype" w:hAnsi="Palatino Linotype" w:cs="Palatino Linotype"/>
          <w:b/>
          <w:i/>
          <w:sz w:val="22"/>
          <w:szCs w:val="22"/>
        </w:rPr>
        <w:t xml:space="preserve"> </w:t>
      </w:r>
      <w:r w:rsidRPr="00910078">
        <w:rPr>
          <w:rFonts w:ascii="Palatino Linotype" w:eastAsia="Palatino Linotype" w:hAnsi="Palatino Linotype" w:cs="Palatino Linotype"/>
          <w:i/>
          <w:sz w:val="22"/>
          <w:szCs w:val="22"/>
        </w:rPr>
        <w:t>mensuales) a los trabajadores por concepto de sueldos y</w:t>
      </w:r>
      <w:r w:rsidRPr="00910078">
        <w:rPr>
          <w:rFonts w:ascii="Palatino Linotype" w:eastAsia="Palatino Linotype" w:hAnsi="Palatino Linotype" w:cs="Palatino Linotype"/>
          <w:b/>
          <w:i/>
          <w:sz w:val="22"/>
          <w:szCs w:val="22"/>
        </w:rPr>
        <w:t xml:space="preserve"> </w:t>
      </w:r>
      <w:r w:rsidRPr="00910078">
        <w:rPr>
          <w:rFonts w:ascii="Palatino Linotype" w:eastAsia="Palatino Linotype" w:hAnsi="Palatino Linotype" w:cs="Palatino Linotype"/>
          <w:i/>
          <w:sz w:val="22"/>
          <w:szCs w:val="22"/>
        </w:rPr>
        <w:t>salarios</w:t>
      </w:r>
      <w:proofErr w:type="gramStart"/>
      <w:r w:rsidRPr="00910078">
        <w:rPr>
          <w:rFonts w:ascii="Palatino Linotype" w:eastAsia="Palatino Linotype" w:hAnsi="Palatino Linotype" w:cs="Palatino Linotype"/>
          <w:i/>
          <w:sz w:val="22"/>
          <w:szCs w:val="22"/>
        </w:rPr>
        <w:t>.”(</w:t>
      </w:r>
      <w:proofErr w:type="gramEnd"/>
      <w:r w:rsidRPr="00910078">
        <w:rPr>
          <w:rFonts w:ascii="Palatino Linotype" w:eastAsia="Palatino Linotype" w:hAnsi="Palatino Linotype" w:cs="Palatino Linotype"/>
          <w:i/>
          <w:sz w:val="22"/>
          <w:szCs w:val="22"/>
        </w:rPr>
        <w:t>Sic)</w:t>
      </w:r>
    </w:p>
    <w:p w14:paraId="777F7D79" w14:textId="77777777" w:rsidR="004634F9" w:rsidRPr="00910078" w:rsidRDefault="004634F9">
      <w:pPr>
        <w:spacing w:line="360" w:lineRule="auto"/>
        <w:ind w:right="-93"/>
        <w:jc w:val="both"/>
        <w:rPr>
          <w:rFonts w:ascii="Palatino Linotype" w:eastAsia="Palatino Linotype" w:hAnsi="Palatino Linotype" w:cs="Palatino Linotype"/>
          <w:sz w:val="22"/>
          <w:szCs w:val="22"/>
        </w:rPr>
      </w:pPr>
    </w:p>
    <w:p w14:paraId="70FD890F" w14:textId="77777777" w:rsidR="004634F9" w:rsidRPr="00910078" w:rsidRDefault="00E75A4A">
      <w:pPr>
        <w:spacing w:after="240"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De lo precedente, se concluye que la nómina, </w:t>
      </w:r>
      <w:r w:rsidRPr="00910078">
        <w:rPr>
          <w:rFonts w:ascii="Palatino Linotype" w:eastAsia="Palatino Linotype" w:hAnsi="Palatino Linotype" w:cs="Palatino Linotype"/>
          <w:sz w:val="22"/>
          <w:szCs w:val="22"/>
          <w:u w:val="single"/>
        </w:rPr>
        <w:t>es el registro utilizado para efectuar los pagos a los trabajadores por concepto de sueldos y salarios</w:t>
      </w:r>
      <w:r w:rsidRPr="00910078">
        <w:rPr>
          <w:rFonts w:ascii="Palatino Linotype" w:eastAsia="Palatino Linotype" w:hAnsi="Palatino Linotype" w:cs="Palatino Linotype"/>
          <w:sz w:val="22"/>
          <w:szCs w:val="22"/>
        </w:rPr>
        <w:t xml:space="preserve">, el cual se compone por el conjunto de trabajadores en el que </w:t>
      </w:r>
      <w:r w:rsidRPr="00910078">
        <w:rPr>
          <w:rFonts w:ascii="Palatino Linotype" w:eastAsia="Palatino Linotype" w:hAnsi="Palatino Linotype" w:cs="Palatino Linotype"/>
          <w:b/>
          <w:sz w:val="22"/>
          <w:szCs w:val="22"/>
        </w:rPr>
        <w:t>se asientan las percepciones brutas, deducciones y la cantidad neta a pagar</w:t>
      </w:r>
      <w:r w:rsidRPr="00910078">
        <w:rPr>
          <w:rFonts w:ascii="Palatino Linotype" w:eastAsia="Palatino Linotype" w:hAnsi="Palatino Linotype" w:cs="Palatino Linotype"/>
          <w:sz w:val="22"/>
          <w:szCs w:val="22"/>
        </w:rPr>
        <w:t>.</w:t>
      </w:r>
    </w:p>
    <w:p w14:paraId="497FF943" w14:textId="77777777" w:rsidR="004634F9" w:rsidRPr="00910078" w:rsidRDefault="00E75A4A">
      <w:pPr>
        <w:spacing w:before="240" w:after="240" w:line="360" w:lineRule="auto"/>
        <w:ind w:right="49"/>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En ese contexto, tratándose de servidores públicos de los Municipios la Ley del Trabajo de los Servidores Públicos del Estado y Municipios, en su artículo 220-K, establece lo siguiente:</w:t>
      </w:r>
    </w:p>
    <w:p w14:paraId="4D8A6012" w14:textId="77777777" w:rsidR="004634F9" w:rsidRPr="00910078" w:rsidRDefault="00E75A4A">
      <w:pPr>
        <w:tabs>
          <w:tab w:val="left" w:pos="9072"/>
        </w:tabs>
        <w:spacing w:before="240"/>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“ARTÍCULO 220 K.-</w:t>
      </w:r>
      <w:r w:rsidRPr="00910078">
        <w:rPr>
          <w:rFonts w:ascii="Palatino Linotype" w:eastAsia="Palatino Linotype" w:hAnsi="Palatino Linotype" w:cs="Palatino Linotype"/>
          <w:i/>
          <w:sz w:val="22"/>
          <w:szCs w:val="22"/>
        </w:rPr>
        <w:t xml:space="preserve"> La </w:t>
      </w:r>
      <w:r w:rsidRPr="00910078">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sidRPr="00910078">
        <w:rPr>
          <w:rFonts w:ascii="Palatino Linotype" w:eastAsia="Palatino Linotype" w:hAnsi="Palatino Linotype" w:cs="Palatino Linotype"/>
          <w:i/>
          <w:sz w:val="22"/>
          <w:szCs w:val="22"/>
        </w:rPr>
        <w:t xml:space="preserve"> </w:t>
      </w:r>
      <w:r w:rsidRPr="00910078">
        <w:rPr>
          <w:rFonts w:ascii="Palatino Linotype" w:eastAsia="Palatino Linotype" w:hAnsi="Palatino Linotype" w:cs="Palatino Linotype"/>
          <w:b/>
          <w:i/>
          <w:sz w:val="22"/>
          <w:szCs w:val="22"/>
        </w:rPr>
        <w:t>se precisan</w:t>
      </w:r>
      <w:r w:rsidRPr="00910078">
        <w:rPr>
          <w:rFonts w:ascii="Palatino Linotype" w:eastAsia="Palatino Linotype" w:hAnsi="Palatino Linotype" w:cs="Palatino Linotype"/>
          <w:i/>
          <w:sz w:val="22"/>
          <w:szCs w:val="22"/>
        </w:rPr>
        <w:t>:</w:t>
      </w:r>
    </w:p>
    <w:p w14:paraId="50947F7C" w14:textId="77777777" w:rsidR="004634F9" w:rsidRPr="00910078" w:rsidRDefault="00E75A4A">
      <w:pPr>
        <w:tabs>
          <w:tab w:val="left" w:pos="9072"/>
        </w:tabs>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w:t>
      </w:r>
    </w:p>
    <w:p w14:paraId="6BEB95EE" w14:textId="77777777" w:rsidR="004634F9" w:rsidRPr="00910078" w:rsidRDefault="00E75A4A">
      <w:pPr>
        <w:tabs>
          <w:tab w:val="left" w:pos="9072"/>
        </w:tabs>
        <w:ind w:left="851" w:right="616"/>
        <w:jc w:val="both"/>
        <w:rPr>
          <w:rFonts w:ascii="Palatino Linotype" w:eastAsia="Palatino Linotype" w:hAnsi="Palatino Linotype" w:cs="Palatino Linotype"/>
          <w:b/>
          <w:i/>
          <w:sz w:val="22"/>
          <w:szCs w:val="22"/>
        </w:rPr>
      </w:pPr>
      <w:r w:rsidRPr="00910078">
        <w:rPr>
          <w:rFonts w:ascii="Palatino Linotype" w:eastAsia="Palatino Linotype" w:hAnsi="Palatino Linotype" w:cs="Palatino Linotype"/>
          <w:i/>
          <w:sz w:val="22"/>
          <w:szCs w:val="22"/>
        </w:rPr>
        <w:t xml:space="preserve">II. </w:t>
      </w:r>
      <w:r w:rsidRPr="00910078">
        <w:rPr>
          <w:rFonts w:ascii="Palatino Linotype" w:eastAsia="Palatino Linotype" w:hAnsi="Palatino Linotype" w:cs="Palatino Linotype"/>
          <w:b/>
          <w:i/>
          <w:sz w:val="22"/>
          <w:szCs w:val="22"/>
        </w:rPr>
        <w:t>Recibos de pagos de salarios o</w:t>
      </w:r>
      <w:r w:rsidRPr="00910078">
        <w:rPr>
          <w:rFonts w:ascii="Palatino Linotype" w:eastAsia="Palatino Linotype" w:hAnsi="Palatino Linotype" w:cs="Palatino Linotype"/>
          <w:i/>
          <w:sz w:val="22"/>
          <w:szCs w:val="22"/>
        </w:rPr>
        <w:t xml:space="preserve"> </w:t>
      </w:r>
      <w:r w:rsidRPr="00910078">
        <w:rPr>
          <w:rFonts w:ascii="Palatino Linotype" w:eastAsia="Palatino Linotype" w:hAnsi="Palatino Linotype" w:cs="Palatino Linotype"/>
          <w:b/>
          <w:i/>
          <w:sz w:val="22"/>
          <w:szCs w:val="22"/>
        </w:rPr>
        <w:t>las constancias documentales del pago de salario</w:t>
      </w:r>
      <w:r w:rsidRPr="00910078">
        <w:rPr>
          <w:rFonts w:ascii="Palatino Linotype" w:eastAsia="Palatino Linotype" w:hAnsi="Palatino Linotype" w:cs="Palatino Linotype"/>
          <w:i/>
          <w:sz w:val="22"/>
          <w:szCs w:val="22"/>
        </w:rPr>
        <w:t xml:space="preserve"> </w:t>
      </w:r>
      <w:r w:rsidRPr="00910078">
        <w:rPr>
          <w:rFonts w:ascii="Palatino Linotype" w:eastAsia="Palatino Linotype" w:hAnsi="Palatino Linotype" w:cs="Palatino Linotype"/>
          <w:b/>
          <w:i/>
          <w:sz w:val="22"/>
          <w:szCs w:val="22"/>
        </w:rPr>
        <w:t xml:space="preserve">cuando </w:t>
      </w:r>
      <w:r w:rsidRPr="00910078">
        <w:rPr>
          <w:rFonts w:ascii="Palatino Linotype" w:eastAsia="Palatino Linotype" w:hAnsi="Palatino Linotype" w:cs="Palatino Linotype"/>
          <w:b/>
          <w:i/>
          <w:sz w:val="22"/>
          <w:szCs w:val="22"/>
          <w:u w:val="single"/>
        </w:rPr>
        <w:t>sea por depósito o mediante información electrónica</w:t>
      </w:r>
      <w:r w:rsidRPr="00910078">
        <w:rPr>
          <w:rFonts w:ascii="Palatino Linotype" w:eastAsia="Palatino Linotype" w:hAnsi="Palatino Linotype" w:cs="Palatino Linotype"/>
          <w:b/>
          <w:i/>
          <w:sz w:val="22"/>
          <w:szCs w:val="22"/>
        </w:rPr>
        <w:t>;</w:t>
      </w:r>
    </w:p>
    <w:p w14:paraId="47E3BC27" w14:textId="77777777" w:rsidR="004634F9" w:rsidRPr="00910078" w:rsidRDefault="00E75A4A">
      <w:pPr>
        <w:tabs>
          <w:tab w:val="left" w:pos="9072"/>
        </w:tabs>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w:t>
      </w:r>
    </w:p>
    <w:p w14:paraId="06B60534" w14:textId="77777777" w:rsidR="004634F9" w:rsidRPr="00910078" w:rsidRDefault="00E75A4A">
      <w:pPr>
        <w:tabs>
          <w:tab w:val="left" w:pos="9072"/>
        </w:tabs>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FF257FD" w14:textId="77777777" w:rsidR="004634F9" w:rsidRPr="00910078" w:rsidRDefault="00E75A4A">
      <w:pPr>
        <w:tabs>
          <w:tab w:val="left" w:pos="9072"/>
        </w:tabs>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5F262BF2" w14:textId="77777777" w:rsidR="004634F9" w:rsidRPr="00910078" w:rsidRDefault="004634F9">
      <w:pPr>
        <w:tabs>
          <w:tab w:val="left" w:pos="9072"/>
        </w:tabs>
        <w:ind w:left="851" w:right="851"/>
        <w:jc w:val="both"/>
        <w:rPr>
          <w:rFonts w:ascii="Palatino Linotype" w:eastAsia="Palatino Linotype" w:hAnsi="Palatino Linotype" w:cs="Palatino Linotype"/>
          <w:i/>
          <w:sz w:val="22"/>
          <w:szCs w:val="22"/>
        </w:rPr>
      </w:pPr>
    </w:p>
    <w:p w14:paraId="5670D51B" w14:textId="77777777" w:rsidR="004634F9" w:rsidRPr="00910078" w:rsidRDefault="00E75A4A">
      <w:pPr>
        <w:spacing w:line="360" w:lineRule="auto"/>
        <w:ind w:right="51"/>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41AC3FC1" w14:textId="77777777" w:rsidR="004634F9" w:rsidRPr="00910078" w:rsidRDefault="004634F9">
      <w:pPr>
        <w:spacing w:line="360" w:lineRule="auto"/>
        <w:ind w:right="51"/>
        <w:jc w:val="both"/>
        <w:rPr>
          <w:rFonts w:ascii="Palatino Linotype" w:eastAsia="Palatino Linotype" w:hAnsi="Palatino Linotype" w:cs="Palatino Linotype"/>
          <w:sz w:val="22"/>
          <w:szCs w:val="22"/>
        </w:rPr>
      </w:pPr>
    </w:p>
    <w:p w14:paraId="0816ABE1" w14:textId="77777777" w:rsidR="004634F9" w:rsidRPr="00910078" w:rsidRDefault="00E75A4A">
      <w:pPr>
        <w:tabs>
          <w:tab w:val="right" w:pos="8505"/>
        </w:tabs>
        <w:spacing w:after="240"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lastRenderedPageBreak/>
        <w:t xml:space="preserve">Una vez precisado lo que antecede, es necesario analizar la Ley de Fiscalización Superior del Estado de México, toda vez que señala que los municipios que conforman el Estado de México, entre ellos 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es considerado como ente fiscalizable, como así lo señala el artículo 4 fracción II de la Ley de Fiscalización Superior del Estado de México, el cual refiere:</w:t>
      </w:r>
    </w:p>
    <w:p w14:paraId="68CC8544"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 xml:space="preserve">“Artículo 4. </w:t>
      </w:r>
      <w:r w:rsidRPr="00910078">
        <w:rPr>
          <w:rFonts w:ascii="Palatino Linotype" w:eastAsia="Palatino Linotype" w:hAnsi="Palatino Linotype" w:cs="Palatino Linotype"/>
          <w:i/>
          <w:sz w:val="22"/>
          <w:szCs w:val="22"/>
        </w:rPr>
        <w:t>Son sujetos de fiscalización:</w:t>
      </w:r>
    </w:p>
    <w:p w14:paraId="09217A31"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w:t>
      </w:r>
    </w:p>
    <w:p w14:paraId="64596046" w14:textId="77777777" w:rsidR="004634F9" w:rsidRPr="00910078" w:rsidRDefault="00E75A4A">
      <w:pPr>
        <w:numPr>
          <w:ilvl w:val="0"/>
          <w:numId w:val="8"/>
        </w:numPr>
        <w:pBdr>
          <w:top w:val="nil"/>
          <w:left w:val="nil"/>
          <w:bottom w:val="nil"/>
          <w:right w:val="nil"/>
          <w:between w:val="nil"/>
        </w:pBdr>
        <w:spacing w:after="160" w:line="276" w:lineRule="auto"/>
        <w:ind w:left="851" w:right="616" w:firstLine="0"/>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Los municipios del Estado de México…” (Sic)</w:t>
      </w:r>
    </w:p>
    <w:p w14:paraId="53CF394A" w14:textId="77777777" w:rsidR="004634F9" w:rsidRPr="00910078" w:rsidRDefault="004634F9">
      <w:pPr>
        <w:spacing w:before="240"/>
        <w:ind w:left="851" w:right="851"/>
        <w:jc w:val="both"/>
        <w:rPr>
          <w:rFonts w:ascii="Palatino Linotype" w:eastAsia="Palatino Linotype" w:hAnsi="Palatino Linotype" w:cs="Palatino Linotype"/>
          <w:b/>
          <w:sz w:val="22"/>
          <w:szCs w:val="22"/>
        </w:rPr>
      </w:pPr>
    </w:p>
    <w:p w14:paraId="4FD5C03F" w14:textId="77777777" w:rsidR="004634F9" w:rsidRPr="00910078" w:rsidRDefault="00E75A4A">
      <w:pPr>
        <w:spacing w:line="360" w:lineRule="auto"/>
        <w:ind w:right="49"/>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2024, como así se advierte a continuación:</w:t>
      </w:r>
    </w:p>
    <w:p w14:paraId="563D0E19" w14:textId="77777777" w:rsidR="004634F9" w:rsidRPr="00910078" w:rsidRDefault="004634F9">
      <w:pPr>
        <w:spacing w:line="360" w:lineRule="auto"/>
        <w:ind w:right="49"/>
        <w:jc w:val="both"/>
        <w:rPr>
          <w:rFonts w:ascii="Palatino Linotype" w:eastAsia="Palatino Linotype" w:hAnsi="Palatino Linotype" w:cs="Palatino Linotype"/>
          <w:sz w:val="22"/>
          <w:szCs w:val="22"/>
        </w:rPr>
      </w:pPr>
    </w:p>
    <w:p w14:paraId="7F52AD6B"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 xml:space="preserve">“Artículo 8. </w:t>
      </w:r>
      <w:r w:rsidRPr="00910078">
        <w:rPr>
          <w:rFonts w:ascii="Palatino Linotype" w:eastAsia="Palatino Linotype" w:hAnsi="Palatino Linotype" w:cs="Palatino Linotype"/>
          <w:i/>
          <w:sz w:val="22"/>
          <w:szCs w:val="22"/>
        </w:rPr>
        <w:t>El Órgano Superior tendrá las siguientes atribuciones:</w:t>
      </w:r>
    </w:p>
    <w:p w14:paraId="21D3E7FF"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w:t>
      </w:r>
    </w:p>
    <w:p w14:paraId="5977DA82" w14:textId="77777777" w:rsidR="004634F9" w:rsidRPr="00910078" w:rsidRDefault="00E75A4A">
      <w:pPr>
        <w:ind w:left="851" w:right="616"/>
        <w:jc w:val="both"/>
        <w:rPr>
          <w:rFonts w:ascii="Palatino Linotype" w:eastAsia="Palatino Linotype" w:hAnsi="Palatino Linotype" w:cs="Palatino Linotype"/>
          <w:b/>
          <w:i/>
          <w:sz w:val="22"/>
          <w:szCs w:val="22"/>
        </w:rPr>
      </w:pPr>
      <w:r w:rsidRPr="00910078">
        <w:rPr>
          <w:rFonts w:ascii="Palatino Linotype" w:eastAsia="Palatino Linotype" w:hAnsi="Palatino Linotype" w:cs="Palatino Linotype"/>
          <w:b/>
          <w:i/>
          <w:sz w:val="22"/>
          <w:szCs w:val="22"/>
        </w:rPr>
        <w:t>XI. Establecer los lineamientos</w:t>
      </w:r>
      <w:r w:rsidRPr="00910078">
        <w:rPr>
          <w:rFonts w:ascii="Palatino Linotype" w:eastAsia="Palatino Linotype" w:hAnsi="Palatino Linotype" w:cs="Palatino Linotype"/>
          <w:i/>
          <w:sz w:val="22"/>
          <w:szCs w:val="22"/>
        </w:rPr>
        <w:t xml:space="preserve">, criterios, procedimientos, métodos y sistemas </w:t>
      </w:r>
      <w:r w:rsidRPr="00910078">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910078">
        <w:rPr>
          <w:rFonts w:ascii="Palatino Linotype" w:eastAsia="Palatino Linotype" w:hAnsi="Palatino Linotype" w:cs="Palatino Linotype"/>
          <w:i/>
          <w:sz w:val="22"/>
          <w:szCs w:val="22"/>
        </w:rPr>
        <w:t>…</w:t>
      </w:r>
      <w:r w:rsidRPr="00910078">
        <w:rPr>
          <w:rFonts w:ascii="Palatino Linotype" w:eastAsia="Palatino Linotype" w:hAnsi="Palatino Linotype" w:cs="Palatino Linotype"/>
          <w:sz w:val="22"/>
          <w:szCs w:val="22"/>
        </w:rPr>
        <w:t>” (</w:t>
      </w:r>
      <w:r w:rsidRPr="00910078">
        <w:rPr>
          <w:rFonts w:ascii="Palatino Linotype" w:eastAsia="Palatino Linotype" w:hAnsi="Palatino Linotype" w:cs="Palatino Linotype"/>
          <w:i/>
          <w:sz w:val="22"/>
          <w:szCs w:val="22"/>
        </w:rPr>
        <w:t>Sic)</w:t>
      </w:r>
    </w:p>
    <w:p w14:paraId="660681E5" w14:textId="77777777" w:rsidR="004634F9" w:rsidRPr="00910078" w:rsidRDefault="004634F9">
      <w:pPr>
        <w:ind w:left="851" w:right="851"/>
        <w:jc w:val="both"/>
        <w:rPr>
          <w:rFonts w:ascii="Palatino Linotype" w:eastAsia="Palatino Linotype" w:hAnsi="Palatino Linotype" w:cs="Palatino Linotype"/>
          <w:b/>
          <w:i/>
          <w:sz w:val="22"/>
          <w:szCs w:val="22"/>
        </w:rPr>
      </w:pPr>
    </w:p>
    <w:p w14:paraId="22B211C6"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Dentro de los cuales ubicamos en su módulo cuatro la información relacionada a la nómina, como se advierte en las siguientes imágenes sustraídas de dichos lineamientos:</w:t>
      </w:r>
    </w:p>
    <w:p w14:paraId="24609BC5" w14:textId="77777777" w:rsidR="004634F9" w:rsidRPr="00910078" w:rsidRDefault="00E75A4A">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910078">
        <w:rPr>
          <w:rFonts w:ascii="Palatino Linotype" w:eastAsia="Palatino Linotype" w:hAnsi="Palatino Linotype" w:cs="Palatino Linotype"/>
          <w:noProof/>
          <w:sz w:val="22"/>
          <w:szCs w:val="22"/>
          <w:lang w:val="es-MX" w:eastAsia="es-MX"/>
        </w:rPr>
        <w:lastRenderedPageBreak/>
        <w:drawing>
          <wp:inline distT="0" distB="0" distL="0" distR="0" wp14:anchorId="17956019" wp14:editId="589450AF">
            <wp:extent cx="3943350" cy="3695700"/>
            <wp:effectExtent l="0" t="0" r="0" b="0"/>
            <wp:docPr id="8319354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943350" cy="3695700"/>
                    </a:xfrm>
                    <a:prstGeom prst="rect">
                      <a:avLst/>
                    </a:prstGeom>
                    <a:ln/>
                  </pic:spPr>
                </pic:pic>
              </a:graphicData>
            </a:graphic>
          </wp:inline>
        </w:drawing>
      </w:r>
      <w:r w:rsidRPr="00910078">
        <w:rPr>
          <w:noProof/>
          <w:lang w:val="es-MX" w:eastAsia="es-MX"/>
        </w:rPr>
        <mc:AlternateContent>
          <mc:Choice Requires="wpg">
            <w:drawing>
              <wp:anchor distT="0" distB="0" distL="114300" distR="114300" simplePos="0" relativeHeight="251658240" behindDoc="0" locked="0" layoutInCell="1" hidden="0" allowOverlap="1" wp14:anchorId="4CE82CDB" wp14:editId="020D9AE4">
                <wp:simplePos x="0" y="0"/>
                <wp:positionH relativeFrom="column">
                  <wp:posOffset>1155700</wp:posOffset>
                </wp:positionH>
                <wp:positionV relativeFrom="paragraph">
                  <wp:posOffset>1231900</wp:posOffset>
                </wp:positionV>
                <wp:extent cx="3571875" cy="266700"/>
                <wp:effectExtent l="0" t="0" r="0" b="0"/>
                <wp:wrapNone/>
                <wp:docPr id="831935478" name="Rectángulo 831935478"/>
                <wp:cNvGraphicFramePr/>
                <a:graphic xmlns:a="http://schemas.openxmlformats.org/drawingml/2006/main">
                  <a:graphicData uri="http://schemas.microsoft.com/office/word/2010/wordprocessingShape">
                    <wps:wsp>
                      <wps:cNvSpPr/>
                      <wps:spPr>
                        <a:xfrm>
                          <a:off x="3579113" y="3665700"/>
                          <a:ext cx="3533775" cy="228600"/>
                        </a:xfrm>
                        <a:prstGeom prst="rect">
                          <a:avLst/>
                        </a:prstGeom>
                        <a:noFill/>
                        <a:ln w="19050" cap="flat" cmpd="sng">
                          <a:solidFill>
                            <a:srgbClr val="FF0000"/>
                          </a:solidFill>
                          <a:prstDash val="solid"/>
                          <a:round/>
                          <a:headEnd type="none" w="sm" len="sm"/>
                          <a:tailEnd type="none" w="sm" len="sm"/>
                        </a:ln>
                      </wps:spPr>
                      <wps:txbx>
                        <w:txbxContent>
                          <w:p w14:paraId="6CDF470F" w14:textId="77777777" w:rsidR="004634F9" w:rsidRDefault="004634F9">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1155700</wp:posOffset>
                </wp:positionH>
                <wp:positionV relativeFrom="paragraph">
                  <wp:posOffset>1231900</wp:posOffset>
                </wp:positionV>
                <wp:extent cx="3571875" cy="266700"/>
                <wp:effectExtent b="0" l="0" r="0" t="0"/>
                <wp:wrapNone/>
                <wp:docPr id="831935478"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3571875" cy="266700"/>
                        </a:xfrm>
                        <a:prstGeom prst="rect"/>
                        <a:ln/>
                      </pic:spPr>
                    </pic:pic>
                  </a:graphicData>
                </a:graphic>
              </wp:anchor>
            </w:drawing>
          </mc:Fallback>
        </mc:AlternateContent>
      </w:r>
    </w:p>
    <w:p w14:paraId="294488F1" w14:textId="77777777" w:rsidR="004634F9" w:rsidRPr="00910078" w:rsidRDefault="004634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5465E1E"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Dentro de los cuales ubicamos, la información referente a la conciliación de nómina que de manera enunciativa más no limitativa pudiera colmar la petición de la parte </w:t>
      </w:r>
      <w:r w:rsidRPr="00910078">
        <w:rPr>
          <w:rFonts w:ascii="Palatino Linotype" w:eastAsia="Palatino Linotype" w:hAnsi="Palatino Linotype" w:cs="Palatino Linotype"/>
          <w:b/>
          <w:sz w:val="22"/>
          <w:szCs w:val="22"/>
        </w:rPr>
        <w:t>Recurrente</w:t>
      </w:r>
      <w:r w:rsidRPr="00910078">
        <w:rPr>
          <w:rFonts w:ascii="Palatino Linotype" w:eastAsia="Palatino Linotype" w:hAnsi="Palatino Linotype" w:cs="Palatino Linotype"/>
          <w:sz w:val="22"/>
          <w:szCs w:val="22"/>
        </w:rPr>
        <w:t>, toda vez que es información que se genera de forma quincenal, como se advierte en las siguientes imágenes sustraídas de dichos lineamientos:</w:t>
      </w:r>
    </w:p>
    <w:p w14:paraId="37957333" w14:textId="77777777" w:rsidR="004634F9" w:rsidRPr="00910078" w:rsidRDefault="004634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B713E3F" w14:textId="77777777" w:rsidR="004634F9" w:rsidRPr="00910078" w:rsidRDefault="00E75A4A">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910078">
        <w:rPr>
          <w:rFonts w:ascii="Palatino Linotype" w:eastAsia="Palatino Linotype" w:hAnsi="Palatino Linotype" w:cs="Palatino Linotype"/>
          <w:noProof/>
          <w:sz w:val="22"/>
          <w:szCs w:val="22"/>
          <w:lang w:val="es-MX" w:eastAsia="es-MX"/>
        </w:rPr>
        <w:lastRenderedPageBreak/>
        <w:drawing>
          <wp:inline distT="0" distB="0" distL="0" distR="0" wp14:anchorId="5EFBBB53" wp14:editId="7A4E3638">
            <wp:extent cx="4738820" cy="5439080"/>
            <wp:effectExtent l="0" t="0" r="0" b="0"/>
            <wp:docPr id="8319354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738820" cy="5439080"/>
                    </a:xfrm>
                    <a:prstGeom prst="rect">
                      <a:avLst/>
                    </a:prstGeom>
                    <a:ln/>
                  </pic:spPr>
                </pic:pic>
              </a:graphicData>
            </a:graphic>
          </wp:inline>
        </w:drawing>
      </w:r>
    </w:p>
    <w:p w14:paraId="426DE51B" w14:textId="77777777" w:rsidR="004634F9" w:rsidRPr="00910078" w:rsidRDefault="004634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CFB1E25" w14:textId="77777777" w:rsidR="004634F9" w:rsidRPr="00910078" w:rsidRDefault="00E75A4A">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910078">
        <w:rPr>
          <w:rFonts w:ascii="Palatino Linotype" w:eastAsia="Palatino Linotype" w:hAnsi="Palatino Linotype" w:cs="Palatino Linotype"/>
          <w:noProof/>
          <w:sz w:val="22"/>
          <w:szCs w:val="22"/>
          <w:lang w:val="es-MX" w:eastAsia="es-MX"/>
        </w:rPr>
        <w:drawing>
          <wp:inline distT="0" distB="0" distL="0" distR="0" wp14:anchorId="2582F5BC" wp14:editId="2C19FCA6">
            <wp:extent cx="5004868" cy="1397602"/>
            <wp:effectExtent l="0" t="0" r="0" b="0"/>
            <wp:docPr id="8319354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004868" cy="1397602"/>
                    </a:xfrm>
                    <a:prstGeom prst="rect">
                      <a:avLst/>
                    </a:prstGeom>
                    <a:ln/>
                  </pic:spPr>
                </pic:pic>
              </a:graphicData>
            </a:graphic>
          </wp:inline>
        </w:drawing>
      </w:r>
    </w:p>
    <w:p w14:paraId="18C0230C" w14:textId="77777777" w:rsidR="004634F9" w:rsidRPr="00910078" w:rsidRDefault="00E75A4A">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910078">
        <w:rPr>
          <w:rFonts w:ascii="Palatino Linotype" w:eastAsia="Palatino Linotype" w:hAnsi="Palatino Linotype" w:cs="Palatino Linotype"/>
          <w:noProof/>
          <w:sz w:val="22"/>
          <w:szCs w:val="22"/>
          <w:lang w:val="es-MX" w:eastAsia="es-MX"/>
        </w:rPr>
        <w:lastRenderedPageBreak/>
        <w:drawing>
          <wp:inline distT="0" distB="0" distL="0" distR="0" wp14:anchorId="7BFE2D7D" wp14:editId="612415A9">
            <wp:extent cx="5000971" cy="5467728"/>
            <wp:effectExtent l="0" t="0" r="0" b="0"/>
            <wp:docPr id="8319354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000971" cy="5467728"/>
                    </a:xfrm>
                    <a:prstGeom prst="rect">
                      <a:avLst/>
                    </a:prstGeom>
                    <a:ln/>
                  </pic:spPr>
                </pic:pic>
              </a:graphicData>
            </a:graphic>
          </wp:inline>
        </w:drawing>
      </w:r>
      <w:r w:rsidRPr="00910078">
        <w:rPr>
          <w:noProof/>
          <w:lang w:val="es-MX" w:eastAsia="es-MX"/>
        </w:rPr>
        <mc:AlternateContent>
          <mc:Choice Requires="wpg">
            <w:drawing>
              <wp:anchor distT="0" distB="0" distL="114300" distR="114300" simplePos="0" relativeHeight="251659264" behindDoc="0" locked="0" layoutInCell="1" hidden="0" allowOverlap="1" wp14:anchorId="405FDAF9" wp14:editId="38604F7C">
                <wp:simplePos x="0" y="0"/>
                <wp:positionH relativeFrom="column">
                  <wp:posOffset>304800</wp:posOffset>
                </wp:positionH>
                <wp:positionV relativeFrom="paragraph">
                  <wp:posOffset>4165600</wp:posOffset>
                </wp:positionV>
                <wp:extent cx="5143141" cy="709164"/>
                <wp:effectExtent l="0" t="0" r="0" b="0"/>
                <wp:wrapNone/>
                <wp:docPr id="831935479" name="Rectángulo 831935479"/>
                <wp:cNvGraphicFramePr/>
                <a:graphic xmlns:a="http://schemas.openxmlformats.org/drawingml/2006/main">
                  <a:graphicData uri="http://schemas.microsoft.com/office/word/2010/wordprocessingShape">
                    <wps:wsp>
                      <wps:cNvSpPr/>
                      <wps:spPr>
                        <a:xfrm>
                          <a:off x="2783955" y="3434943"/>
                          <a:ext cx="5124091" cy="690114"/>
                        </a:xfrm>
                        <a:prstGeom prst="rect">
                          <a:avLst/>
                        </a:prstGeom>
                        <a:noFill/>
                        <a:ln w="19050" cap="flat" cmpd="sng">
                          <a:solidFill>
                            <a:srgbClr val="FF0000"/>
                          </a:solidFill>
                          <a:prstDash val="solid"/>
                          <a:miter lim="800000"/>
                          <a:headEnd type="none" w="sm" len="sm"/>
                          <a:tailEnd type="none" w="sm" len="sm"/>
                        </a:ln>
                      </wps:spPr>
                      <wps:txbx>
                        <w:txbxContent>
                          <w:p w14:paraId="7D8FE82D" w14:textId="77777777" w:rsidR="004634F9" w:rsidRDefault="004634F9">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304800</wp:posOffset>
                </wp:positionH>
                <wp:positionV relativeFrom="paragraph">
                  <wp:posOffset>4165600</wp:posOffset>
                </wp:positionV>
                <wp:extent cx="5143141" cy="709164"/>
                <wp:effectExtent b="0" l="0" r="0" t="0"/>
                <wp:wrapNone/>
                <wp:docPr id="831935479"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5143141" cy="709164"/>
                        </a:xfrm>
                        <a:prstGeom prst="rect"/>
                        <a:ln/>
                      </pic:spPr>
                    </pic:pic>
                  </a:graphicData>
                </a:graphic>
              </wp:anchor>
            </w:drawing>
          </mc:Fallback>
        </mc:AlternateContent>
      </w:r>
    </w:p>
    <w:p w14:paraId="1E0D4047" w14:textId="77777777" w:rsidR="004634F9" w:rsidRPr="00910078" w:rsidRDefault="00E75A4A">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910078">
        <w:rPr>
          <w:rFonts w:ascii="Palatino Linotype" w:eastAsia="Palatino Linotype" w:hAnsi="Palatino Linotype" w:cs="Palatino Linotype"/>
          <w:noProof/>
          <w:sz w:val="22"/>
          <w:szCs w:val="22"/>
          <w:lang w:val="es-MX" w:eastAsia="es-MX"/>
        </w:rPr>
        <w:lastRenderedPageBreak/>
        <w:drawing>
          <wp:inline distT="0" distB="0" distL="0" distR="0" wp14:anchorId="61D61765" wp14:editId="6D4C653D">
            <wp:extent cx="4997558" cy="5089728"/>
            <wp:effectExtent l="0" t="0" r="0" b="0"/>
            <wp:docPr id="8319354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997558" cy="5089728"/>
                    </a:xfrm>
                    <a:prstGeom prst="rect">
                      <a:avLst/>
                    </a:prstGeom>
                    <a:ln/>
                  </pic:spPr>
                </pic:pic>
              </a:graphicData>
            </a:graphic>
          </wp:inline>
        </w:drawing>
      </w:r>
    </w:p>
    <w:p w14:paraId="7D67B11E" w14:textId="77777777" w:rsidR="004634F9" w:rsidRPr="00910078" w:rsidRDefault="004634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E02B720"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En observancia a las imágenes anteriores, se acredita que 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xml:space="preserve">, debió generar la información relativa a la conciliación de nómina de manera quincenal, aunado a que de ella se puede advertir el contenido de los sueldos, salarios y deducciones de todos de los Servidores Públicos del Municipio, y que es información que 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debió haber</w:t>
      </w:r>
      <w:r w:rsidRPr="00910078">
        <w:rPr>
          <w:rFonts w:ascii="Palatino Linotype" w:eastAsia="Palatino Linotype" w:hAnsi="Palatino Linotype" w:cs="Palatino Linotype"/>
          <w:b/>
          <w:sz w:val="22"/>
          <w:szCs w:val="22"/>
        </w:rPr>
        <w:t xml:space="preserve"> </w:t>
      </w:r>
      <w:r w:rsidRPr="00910078">
        <w:rPr>
          <w:rFonts w:ascii="Palatino Linotype" w:eastAsia="Palatino Linotype" w:hAnsi="Palatino Linotype" w:cs="Palatino Linotype"/>
          <w:sz w:val="22"/>
          <w:szCs w:val="22"/>
        </w:rPr>
        <w:t xml:space="preserve">generado, administrado o poseído de acuerdo a lo establecido en el presente considerando. </w:t>
      </w:r>
    </w:p>
    <w:p w14:paraId="1937F768" w14:textId="77777777" w:rsidR="004634F9" w:rsidRPr="00910078" w:rsidRDefault="004634F9">
      <w:pPr>
        <w:spacing w:line="360" w:lineRule="auto"/>
        <w:ind w:right="51"/>
        <w:jc w:val="both"/>
        <w:rPr>
          <w:rFonts w:ascii="Palatino Linotype" w:eastAsia="Palatino Linotype" w:hAnsi="Palatino Linotype" w:cs="Palatino Linotype"/>
          <w:sz w:val="22"/>
          <w:szCs w:val="22"/>
        </w:rPr>
      </w:pPr>
    </w:p>
    <w:p w14:paraId="131B0DC7" w14:textId="77777777" w:rsidR="004634F9" w:rsidRPr="00910078" w:rsidRDefault="00E75A4A">
      <w:pPr>
        <w:tabs>
          <w:tab w:val="left" w:pos="709"/>
        </w:tabs>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lastRenderedPageBreak/>
        <w:t>Aunado a que, se trata de una obligación de transparencia en términos de lo señalado por el artículo 92 fracción VIII de la Ley de Transparencia y Acceso a la Información Pública del Estado de México y Municipios vigente, que señala:</w:t>
      </w:r>
    </w:p>
    <w:p w14:paraId="0FEC393A" w14:textId="77777777" w:rsidR="004634F9" w:rsidRPr="00910078" w:rsidRDefault="004634F9">
      <w:pPr>
        <w:tabs>
          <w:tab w:val="left" w:pos="709"/>
        </w:tabs>
        <w:spacing w:line="360" w:lineRule="auto"/>
        <w:jc w:val="both"/>
        <w:rPr>
          <w:rFonts w:ascii="Palatino Linotype" w:eastAsia="Palatino Linotype" w:hAnsi="Palatino Linotype" w:cs="Palatino Linotype"/>
          <w:sz w:val="22"/>
          <w:szCs w:val="22"/>
        </w:rPr>
      </w:pPr>
    </w:p>
    <w:p w14:paraId="745C26CE"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w:t>
      </w:r>
      <w:r w:rsidRPr="00910078">
        <w:rPr>
          <w:rFonts w:ascii="Palatino Linotype" w:eastAsia="Palatino Linotype" w:hAnsi="Palatino Linotype" w:cs="Palatino Linotype"/>
          <w:b/>
          <w:i/>
          <w:sz w:val="22"/>
          <w:szCs w:val="22"/>
        </w:rPr>
        <w:t>Artículo 92.</w:t>
      </w:r>
      <w:r w:rsidRPr="00910078">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E49AAA5"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w:t>
      </w:r>
    </w:p>
    <w:p w14:paraId="3B242E85"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VIII.</w:t>
      </w:r>
      <w:r w:rsidRPr="00910078">
        <w:rPr>
          <w:rFonts w:ascii="Palatino Linotype" w:eastAsia="Palatino Linotype" w:hAnsi="Palatino Linotype" w:cs="Palatino Linotype"/>
          <w:i/>
          <w:sz w:val="22"/>
          <w:szCs w:val="22"/>
        </w:rPr>
        <w:t xml:space="preserve"> </w:t>
      </w:r>
      <w:r w:rsidRPr="00910078">
        <w:rPr>
          <w:rFonts w:ascii="Palatino Linotype" w:eastAsia="Palatino Linotype" w:hAnsi="Palatino Linotype" w:cs="Palatino Linotype"/>
          <w:i/>
          <w:sz w:val="22"/>
          <w:szCs w:val="22"/>
          <w:u w:val="single"/>
        </w:rPr>
        <w:t>La remuneración bruta y neta de todos los servidores públicos de base o de confianza, de todas las percepciones, incluyendo sueldos, prestaciones, gratificaciones, primas, comisiones, dietas, bonos, estímulos, ingresos y sistemas de compensación</w:t>
      </w:r>
      <w:r w:rsidRPr="00910078">
        <w:rPr>
          <w:rFonts w:ascii="Palatino Linotype" w:eastAsia="Palatino Linotype" w:hAnsi="Palatino Linotype" w:cs="Palatino Linotype"/>
          <w:i/>
          <w:sz w:val="22"/>
          <w:szCs w:val="22"/>
        </w:rPr>
        <w:t>, señalando la periodicidad de dicha remuneración;</w:t>
      </w:r>
    </w:p>
    <w:p w14:paraId="76196F18"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48C7D033"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Por consiguiente, se reitera que es información que el Ayuntamiento de Tepetlixpa genera, posee y administra en ejercicio de sus funciones. </w:t>
      </w:r>
    </w:p>
    <w:p w14:paraId="348AFE55"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534BD97F"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Ahora bien, de la solicitud de información de mérito se advierte que el hoy </w:t>
      </w:r>
      <w:r w:rsidRPr="00910078">
        <w:rPr>
          <w:rFonts w:ascii="Palatino Linotype" w:eastAsia="Palatino Linotype" w:hAnsi="Palatino Linotype" w:cs="Palatino Linotype"/>
          <w:b/>
          <w:sz w:val="22"/>
          <w:szCs w:val="22"/>
        </w:rPr>
        <w:t>Recurrente</w:t>
      </w:r>
      <w:r w:rsidRPr="00910078">
        <w:rPr>
          <w:rFonts w:ascii="Palatino Linotype" w:eastAsia="Palatino Linotype" w:hAnsi="Palatino Linotype" w:cs="Palatino Linotype"/>
          <w:sz w:val="22"/>
          <w:szCs w:val="22"/>
        </w:rPr>
        <w:t xml:space="preserve">, desea conocer la nómina de todo el personal del Ayuntamiento; por lo que conviene traer a colación el artículo 44 del Bando Municipal del Ayuntamiento de Tepetlixpa vigente, el cual dispone que el ayuntamiento en el ejercicio de sus atribuciones se auxiliara de las siguientes dependencias y unidades administrativas: </w:t>
      </w:r>
    </w:p>
    <w:p w14:paraId="1FE3B614" w14:textId="77777777" w:rsidR="004634F9" w:rsidRPr="00910078" w:rsidRDefault="004634F9">
      <w:pPr>
        <w:ind w:left="851" w:right="616"/>
        <w:jc w:val="both"/>
        <w:rPr>
          <w:rFonts w:ascii="Palatino Linotype" w:eastAsia="Palatino Linotype" w:hAnsi="Palatino Linotype" w:cs="Palatino Linotype"/>
          <w:b/>
          <w:i/>
          <w:sz w:val="22"/>
          <w:szCs w:val="22"/>
        </w:rPr>
      </w:pPr>
    </w:p>
    <w:p w14:paraId="7DCCE80A" w14:textId="77777777" w:rsidR="004634F9" w:rsidRPr="00910078" w:rsidRDefault="00E75A4A">
      <w:pPr>
        <w:ind w:left="851" w:right="616"/>
        <w:jc w:val="both"/>
        <w:rPr>
          <w:rFonts w:ascii="Palatino Linotype" w:eastAsia="Palatino Linotype" w:hAnsi="Palatino Linotype" w:cs="Palatino Linotype"/>
          <w:i/>
          <w:sz w:val="22"/>
          <w:szCs w:val="22"/>
        </w:rPr>
      </w:pPr>
      <w:bookmarkStart w:id="2" w:name="_heading=h.tyjcwt" w:colFirst="0" w:colLast="0"/>
      <w:bookmarkEnd w:id="2"/>
      <w:r w:rsidRPr="00910078">
        <w:rPr>
          <w:rFonts w:ascii="Palatino Linotype" w:eastAsia="Palatino Linotype" w:hAnsi="Palatino Linotype" w:cs="Palatino Linotype"/>
          <w:i/>
          <w:sz w:val="22"/>
          <w:szCs w:val="22"/>
        </w:rPr>
        <w:t>“</w:t>
      </w:r>
      <w:r w:rsidRPr="00910078">
        <w:rPr>
          <w:rFonts w:ascii="Palatino Linotype" w:eastAsia="Palatino Linotype" w:hAnsi="Palatino Linotype" w:cs="Palatino Linotype"/>
          <w:b/>
          <w:i/>
          <w:sz w:val="22"/>
          <w:szCs w:val="22"/>
        </w:rPr>
        <w:t xml:space="preserve">Artículo 44. </w:t>
      </w:r>
      <w:r w:rsidRPr="00910078">
        <w:rPr>
          <w:rFonts w:ascii="Palatino Linotype" w:eastAsia="Palatino Linotype" w:hAnsi="Palatino Linotype" w:cs="Palatino Linotype"/>
          <w:i/>
          <w:sz w:val="22"/>
          <w:szCs w:val="22"/>
        </w:rPr>
        <w:t xml:space="preserve">Para el ejercicio de sus atribuciones, el Ayuntamiento se auxiliará de las siguientes Dependencias y Unidades Administrativas que estarán subordinadas al </w:t>
      </w:r>
      <w:proofErr w:type="gramStart"/>
      <w:r w:rsidRPr="00910078">
        <w:rPr>
          <w:rFonts w:ascii="Palatino Linotype" w:eastAsia="Palatino Linotype" w:hAnsi="Palatino Linotype" w:cs="Palatino Linotype"/>
          <w:i/>
          <w:sz w:val="22"/>
          <w:szCs w:val="22"/>
        </w:rPr>
        <w:t>Presidente</w:t>
      </w:r>
      <w:proofErr w:type="gramEnd"/>
      <w:r w:rsidRPr="00910078">
        <w:rPr>
          <w:rFonts w:ascii="Palatino Linotype" w:eastAsia="Palatino Linotype" w:hAnsi="Palatino Linotype" w:cs="Palatino Linotype"/>
          <w:i/>
          <w:sz w:val="22"/>
          <w:szCs w:val="22"/>
        </w:rPr>
        <w:t xml:space="preserve"> Municipal:</w:t>
      </w:r>
    </w:p>
    <w:p w14:paraId="38EED27A" w14:textId="77777777" w:rsidR="004634F9" w:rsidRPr="00910078" w:rsidRDefault="004634F9">
      <w:pPr>
        <w:ind w:left="851" w:right="616"/>
        <w:jc w:val="both"/>
        <w:rPr>
          <w:rFonts w:ascii="Palatino Linotype" w:eastAsia="Palatino Linotype" w:hAnsi="Palatino Linotype" w:cs="Palatino Linotype"/>
          <w:i/>
          <w:sz w:val="22"/>
          <w:szCs w:val="22"/>
        </w:rPr>
      </w:pPr>
    </w:p>
    <w:p w14:paraId="3D0D5C20"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I. Secretaría del Ayuntamiento.</w:t>
      </w:r>
    </w:p>
    <w:p w14:paraId="44940E3E"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II. Tesorería.</w:t>
      </w:r>
    </w:p>
    <w:p w14:paraId="7EF33976"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III. Contraloría Interna.</w:t>
      </w:r>
    </w:p>
    <w:p w14:paraId="53F05502"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IV. Las Direcciones.</w:t>
      </w:r>
    </w:p>
    <w:p w14:paraId="45FA125B"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lastRenderedPageBreak/>
        <w:t>a. Administración de Personal</w:t>
      </w:r>
    </w:p>
    <w:p w14:paraId="259F04BA"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b. Agua potable, Drenaje y Alcantarillado</w:t>
      </w:r>
    </w:p>
    <w:p w14:paraId="60851AFA"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c. Comunicación Social</w:t>
      </w:r>
    </w:p>
    <w:p w14:paraId="6D68C6A1"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d. Desarrollo Urbano</w:t>
      </w:r>
    </w:p>
    <w:p w14:paraId="6798F836"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e. Obras Públicas</w:t>
      </w:r>
    </w:p>
    <w:p w14:paraId="727714D8"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f. Desarrollo Social</w:t>
      </w:r>
    </w:p>
    <w:p w14:paraId="5D678B84"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g. Desarrollo Económico</w:t>
      </w:r>
    </w:p>
    <w:p w14:paraId="68603A44"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h. Educación</w:t>
      </w:r>
    </w:p>
    <w:p w14:paraId="4EA83172"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i. Instituto de la Mujer</w:t>
      </w:r>
    </w:p>
    <w:p w14:paraId="257DCE17"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j. Asesoría Jurídica y Consultiva</w:t>
      </w:r>
    </w:p>
    <w:p w14:paraId="6657FC81"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k. Ecología</w:t>
      </w:r>
    </w:p>
    <w:p w14:paraId="587ECAE3"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l. Movilidad</w:t>
      </w:r>
    </w:p>
    <w:p w14:paraId="133A4122"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m. Servicios Públicos</w:t>
      </w:r>
    </w:p>
    <w:p w14:paraId="3CE16096"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n. Seguridad Pública y Vialidad;</w:t>
      </w:r>
    </w:p>
    <w:p w14:paraId="2D432CEA"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o. Salud Pública</w:t>
      </w:r>
    </w:p>
    <w:p w14:paraId="051EDF5C"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p. Reglamentos</w:t>
      </w:r>
    </w:p>
    <w:p w14:paraId="0C6B7171"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q. Turismo</w:t>
      </w:r>
    </w:p>
    <w:p w14:paraId="10EBA531"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r. Protección Civil</w:t>
      </w:r>
    </w:p>
    <w:p w14:paraId="3B2CF190"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s. Casa de Cultura</w:t>
      </w:r>
    </w:p>
    <w:p w14:paraId="463BF3F5"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t. Fomento Agropecuario y Forestal</w:t>
      </w:r>
    </w:p>
    <w:p w14:paraId="050AE542"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V. Las Coordinaciones Municipales de:</w:t>
      </w:r>
    </w:p>
    <w:p w14:paraId="0E09D3FF"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a. Mejora Regulatoria</w:t>
      </w:r>
    </w:p>
    <w:p w14:paraId="2A1687E6"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b. Fomento al Empleo</w:t>
      </w:r>
    </w:p>
    <w:p w14:paraId="3D68471D"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c. Alumbrado Público</w:t>
      </w:r>
    </w:p>
    <w:p w14:paraId="647D0517"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d. Mercado y Tianguis</w:t>
      </w:r>
    </w:p>
    <w:p w14:paraId="2B39303A"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e. Parques, Jardines y Panteones</w:t>
      </w:r>
    </w:p>
    <w:p w14:paraId="4BFBF7FD"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f. De la Juventud</w:t>
      </w:r>
    </w:p>
    <w:p w14:paraId="1C65735D"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g. Asuntos Internacionales y Apoyo al Migrante</w:t>
      </w:r>
    </w:p>
    <w:p w14:paraId="7B077113"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VI. Defensoría Municipal de los Derechos Humanos.</w:t>
      </w:r>
    </w:p>
    <w:p w14:paraId="6789F23E"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VII. Organismos Públicos Descentralizados:</w:t>
      </w:r>
    </w:p>
    <w:p w14:paraId="321F169B"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a. Sistema Municipal para el Desarrollo Integral de la Familia;</w:t>
      </w:r>
    </w:p>
    <w:p w14:paraId="6DB3093B"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b. Instituto Municipal de Cultura Física y Deporte</w:t>
      </w:r>
    </w:p>
    <w:p w14:paraId="0875FCDF"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VIII. Secretaría Técnica de Seguridad Pública;</w:t>
      </w:r>
    </w:p>
    <w:p w14:paraId="3172A1CC"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X. Oficialías:</w:t>
      </w:r>
    </w:p>
    <w:p w14:paraId="15B5DE16"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a. Del Registro Civil</w:t>
      </w:r>
    </w:p>
    <w:p w14:paraId="7D15B6B3"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X. Unidades:</w:t>
      </w:r>
    </w:p>
    <w:p w14:paraId="450EE085"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a. Unidad de Información, Planeación, Programación y Evaluación.</w:t>
      </w:r>
    </w:p>
    <w:p w14:paraId="66C832F1"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b. Unidad de Transparencia y Acceso a la Información Pública.</w:t>
      </w:r>
    </w:p>
    <w:p w14:paraId="29574595"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c. Unidad Municipal de Control y Bienestar Animal</w:t>
      </w:r>
    </w:p>
    <w:p w14:paraId="14152C8A" w14:textId="77777777" w:rsidR="004634F9" w:rsidRPr="00910078" w:rsidRDefault="00E75A4A">
      <w:pPr>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lastRenderedPageBreak/>
        <w:t>XI. Defensoría Municipal de los Derechos Humanos</w:t>
      </w:r>
      <w:proofErr w:type="gramStart"/>
      <w:r w:rsidRPr="00910078">
        <w:rPr>
          <w:rFonts w:ascii="Palatino Linotype" w:eastAsia="Palatino Linotype" w:hAnsi="Palatino Linotype" w:cs="Palatino Linotype"/>
          <w:i/>
          <w:sz w:val="22"/>
          <w:szCs w:val="22"/>
        </w:rPr>
        <w:t>. ”</w:t>
      </w:r>
      <w:proofErr w:type="gramEnd"/>
    </w:p>
    <w:p w14:paraId="0B5A6195"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255E547E"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De lo anterior, cabe hacer la precisión que los organismos descentralizados del Ayuntamiento de Tepetlixpa, no son Sujetos Obligados independientes, de acuerdo con el Padrón de Sujetos Obligados en materia de Datos Personales del Estado de México y Municipios, por lo que, dependen directamente del propio Ayuntamiento. </w:t>
      </w:r>
    </w:p>
    <w:p w14:paraId="2EDC2491"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4E738A65"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Ahora bien, el artículo 3.16 del Código Reglamentario para el Municipio de Tepetlixpa, advierte que el </w:t>
      </w:r>
      <w:proofErr w:type="gramStart"/>
      <w:r w:rsidRPr="00910078">
        <w:rPr>
          <w:rFonts w:ascii="Palatino Linotype" w:eastAsia="Palatino Linotype" w:hAnsi="Palatino Linotype" w:cs="Palatino Linotype"/>
          <w:sz w:val="22"/>
          <w:szCs w:val="22"/>
        </w:rPr>
        <w:t>Director</w:t>
      </w:r>
      <w:proofErr w:type="gramEnd"/>
      <w:r w:rsidRPr="00910078">
        <w:rPr>
          <w:rFonts w:ascii="Palatino Linotype" w:eastAsia="Palatino Linotype" w:hAnsi="Palatino Linotype" w:cs="Palatino Linotype"/>
          <w:sz w:val="22"/>
          <w:szCs w:val="22"/>
        </w:rPr>
        <w:t xml:space="preserve"> de Recursos Humanos, tendrá las siguientes atribuciones:</w:t>
      </w:r>
    </w:p>
    <w:p w14:paraId="4191159D"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75F70877"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w:t>
      </w:r>
      <w:r w:rsidRPr="00910078">
        <w:rPr>
          <w:rFonts w:ascii="Palatino Linotype" w:eastAsia="Palatino Linotype" w:hAnsi="Palatino Linotype" w:cs="Palatino Linotype"/>
          <w:b/>
          <w:i/>
          <w:sz w:val="22"/>
          <w:szCs w:val="22"/>
        </w:rPr>
        <w:t xml:space="preserve">Artículo 3.16.- </w:t>
      </w:r>
      <w:r w:rsidRPr="00910078">
        <w:rPr>
          <w:rFonts w:ascii="Palatino Linotype" w:eastAsia="Palatino Linotype" w:hAnsi="Palatino Linotype" w:cs="Palatino Linotype"/>
          <w:i/>
          <w:sz w:val="22"/>
          <w:szCs w:val="22"/>
        </w:rPr>
        <w:t>El Encargado de la Dirección de los Recursos Humanos cuenta con las siguientes atribuciones:</w:t>
      </w:r>
    </w:p>
    <w:p w14:paraId="210CB4AB"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I. Elaborar mecanismos de control para la selección, contratación, inducción, rotación y promoción del personal al servicio del Ayuntamiento;</w:t>
      </w:r>
    </w:p>
    <w:p w14:paraId="7F7BCC46"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II. Analizar y vigilar que se cumplan las disposiciones en materia de trabajo, seguridad e higiene, así como las demás normas vigentes en la institución, respecto de los derechos y obligaciones del personal;</w:t>
      </w:r>
    </w:p>
    <w:p w14:paraId="4B58968F"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III. Aplicar las disposiciones legales laborales que rigen al personal del Ayuntamiento;</w:t>
      </w:r>
    </w:p>
    <w:p w14:paraId="2094D2FA"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IV. Registrar las altas, bajas, cambios de categoría y adscripción, permisos y licencias por incapacidad, entre otras, del personal, y su correcta aplicación en el archivo de expedientes;</w:t>
      </w:r>
    </w:p>
    <w:p w14:paraId="086E914C" w14:textId="77777777" w:rsidR="004634F9" w:rsidRPr="00910078" w:rsidRDefault="00E75A4A">
      <w:pPr>
        <w:spacing w:line="276" w:lineRule="auto"/>
        <w:ind w:left="851" w:right="616"/>
        <w:jc w:val="both"/>
        <w:rPr>
          <w:rFonts w:ascii="Palatino Linotype" w:eastAsia="Palatino Linotype" w:hAnsi="Palatino Linotype" w:cs="Palatino Linotype"/>
          <w:b/>
          <w:i/>
          <w:sz w:val="22"/>
          <w:szCs w:val="22"/>
          <w:u w:val="single"/>
        </w:rPr>
      </w:pPr>
      <w:r w:rsidRPr="00910078">
        <w:rPr>
          <w:rFonts w:ascii="Palatino Linotype" w:eastAsia="Palatino Linotype" w:hAnsi="Palatino Linotype" w:cs="Palatino Linotype"/>
          <w:b/>
          <w:i/>
          <w:sz w:val="22"/>
          <w:szCs w:val="22"/>
          <w:u w:val="single"/>
        </w:rPr>
        <w:t>V. Elaborar y distribuir oportunamente la nómina para el pago al personal que labora en el Ayuntamiento, apegándose al presupuesto autorizado y aplicar los descuentos procedentes;</w:t>
      </w:r>
    </w:p>
    <w:p w14:paraId="14C8C73C"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VI. Elaborar programas de capacitación y adiestramiento del personal con el objeto de profesionalizar a los servidores públicos, conforme a las necesidades institucionales y a las del mismo personal;</w:t>
      </w:r>
    </w:p>
    <w:p w14:paraId="75900C3B"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VII. Fortalecer las relaciones con las agrupaciones sindicales del Ayuntamiento para acordar los asuntos laborales del personal, con apoyo del Titular de la Coordinación de Asuntos Jurídicos y de Gobierno;</w:t>
      </w:r>
    </w:p>
    <w:p w14:paraId="32321F8E"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lastRenderedPageBreak/>
        <w:t>VIII. Verificar el correcto cumplimiento de los lineamientos laborales establecidos en los convenios de condiciones de trabajo del personal sindicalizado;</w:t>
      </w:r>
    </w:p>
    <w:p w14:paraId="47F1689F"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IX. Las demás que le confieran otros ordenamientos.”</w:t>
      </w:r>
    </w:p>
    <w:p w14:paraId="13477408" w14:textId="77777777" w:rsidR="004634F9" w:rsidRPr="00910078" w:rsidRDefault="00E75A4A">
      <w:pPr>
        <w:spacing w:line="276" w:lineRule="auto"/>
        <w:ind w:left="851"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(Énfasis Añadido)</w:t>
      </w:r>
    </w:p>
    <w:p w14:paraId="373B0955"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6EE1E515" w14:textId="77777777" w:rsidR="004634F9" w:rsidRPr="00910078" w:rsidRDefault="00E75A4A">
      <w:pPr>
        <w:widowControl w:val="0"/>
        <w:tabs>
          <w:tab w:val="left" w:pos="1701"/>
          <w:tab w:val="left" w:pos="1843"/>
        </w:tabs>
        <w:spacing w:line="360" w:lineRule="auto"/>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sz w:val="22"/>
          <w:szCs w:val="22"/>
        </w:rPr>
        <w:t>Entonces, podemos definir que el pronunciamiento respecto de la información solicitada fue por parte de la Tesorera Municipal y no por la Dirección de Recursos Humanos, entendiéndose que la Unidad de Transparencia no cumplió con lo expresado en el artículo 162 de la Ley de Transparencia y Acceso a la Información Pública del Estado de México y Municipios</w:t>
      </w:r>
      <w:r w:rsidRPr="00910078">
        <w:rPr>
          <w:rFonts w:ascii="Palatino Linotype" w:eastAsia="Palatino Linotype" w:hAnsi="Palatino Linotype" w:cs="Palatino Linotype"/>
          <w:i/>
          <w:sz w:val="22"/>
          <w:szCs w:val="22"/>
        </w:rPr>
        <w:t>.</w:t>
      </w:r>
    </w:p>
    <w:p w14:paraId="6B1E4359"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030A9CC1"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Puntualizado lo anterior, cabe recordar que el</w:t>
      </w:r>
      <w:r w:rsidRPr="00910078">
        <w:rPr>
          <w:rFonts w:ascii="Palatino Linotype" w:eastAsia="Palatino Linotype" w:hAnsi="Palatino Linotype" w:cs="Palatino Linotype"/>
          <w:b/>
          <w:sz w:val="22"/>
          <w:szCs w:val="22"/>
        </w:rPr>
        <w:t xml:space="preserve"> Sujeto Obligado</w:t>
      </w:r>
      <w:r w:rsidRPr="00910078">
        <w:rPr>
          <w:rFonts w:ascii="Palatino Linotype" w:eastAsia="Palatino Linotype" w:hAnsi="Palatino Linotype" w:cs="Palatino Linotype"/>
          <w:sz w:val="22"/>
          <w:szCs w:val="22"/>
        </w:rPr>
        <w:t xml:space="preserve"> a través de la Tesorería Municipal, hizo entrega de la nómina general del Municipio de Tepetlixpa de la segunda quincena de agosto de dos mil veinticuatro de forma íntegra, la cual contiene fecha, nombre completo del trabajador, departamento, puesto, percepciones, deducciones y neto pagado, no obstante este Instituto advierte que, de dicho documento se puede advertir las deducciones de carácter personal; por lo que, resulta pertinente analizar la procedencia de clasificación de esta información, en los siguientes términos: </w:t>
      </w:r>
    </w:p>
    <w:p w14:paraId="492C4F7C" w14:textId="77777777" w:rsidR="004634F9" w:rsidRPr="00910078" w:rsidRDefault="00E75A4A">
      <w:pPr>
        <w:numPr>
          <w:ilvl w:val="0"/>
          <w:numId w:val="10"/>
        </w:numPr>
        <w:pBdr>
          <w:top w:val="nil"/>
          <w:left w:val="nil"/>
          <w:bottom w:val="nil"/>
          <w:right w:val="nil"/>
          <w:between w:val="nil"/>
        </w:pBdr>
        <w:spacing w:before="240" w:after="240" w:line="276" w:lineRule="auto"/>
        <w:ind w:right="900"/>
        <w:jc w:val="both"/>
        <w:rPr>
          <w:rFonts w:ascii="Palatino Linotype" w:eastAsia="Palatino Linotype" w:hAnsi="Palatino Linotype" w:cs="Palatino Linotype"/>
          <w:b/>
          <w:sz w:val="22"/>
          <w:szCs w:val="22"/>
        </w:rPr>
      </w:pPr>
      <w:r w:rsidRPr="00910078">
        <w:rPr>
          <w:rFonts w:ascii="Palatino Linotype" w:eastAsia="Palatino Linotype" w:hAnsi="Palatino Linotype" w:cs="Palatino Linotype"/>
          <w:b/>
          <w:sz w:val="22"/>
          <w:szCs w:val="22"/>
        </w:rPr>
        <w:t>Deducciones de carácter personal</w:t>
      </w:r>
    </w:p>
    <w:p w14:paraId="43F22ACE"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En este caso, respecto de los </w:t>
      </w:r>
      <w:r w:rsidRPr="00910078">
        <w:rPr>
          <w:rFonts w:ascii="Palatino Linotype" w:eastAsia="Palatino Linotype" w:hAnsi="Palatino Linotype" w:cs="Palatino Linotype"/>
          <w:b/>
          <w:sz w:val="22"/>
          <w:szCs w:val="22"/>
        </w:rPr>
        <w:t>descuentos</w:t>
      </w:r>
      <w:r w:rsidRPr="00910078">
        <w:rPr>
          <w:rFonts w:ascii="Palatino Linotype" w:eastAsia="Palatino Linotype" w:hAnsi="Palatino Linotype" w:cs="Palatino Linotype"/>
          <w:sz w:val="22"/>
          <w:szCs w:val="22"/>
        </w:rPr>
        <w:t xml:space="preserve"> </w:t>
      </w:r>
      <w:r w:rsidRPr="00910078">
        <w:rPr>
          <w:rFonts w:ascii="Palatino Linotype" w:eastAsia="Palatino Linotype" w:hAnsi="Palatino Linotype" w:cs="Palatino Linotype"/>
          <w:b/>
          <w:sz w:val="22"/>
          <w:szCs w:val="22"/>
        </w:rPr>
        <w:t>de carácter personal</w:t>
      </w:r>
      <w:r w:rsidRPr="00910078">
        <w:rPr>
          <w:rFonts w:ascii="Palatino Linotype" w:eastAsia="Palatino Linotype" w:hAnsi="Palatino Linotype" w:cs="Palatino Linotype"/>
          <w:sz w:val="22"/>
          <w:szCs w:val="22"/>
        </w:rPr>
        <w:t>, se debe tomar en consideración que si estos no tienen relación con la prestación del servicio; deben entonces ser considerados como son confidenciales, ya que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3C60FAC0"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6F807063"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Por su parte, el artículo 84 de la Ley del Trabajo de los Servidores Públicos del Estado y Municipios, señala:</w:t>
      </w:r>
    </w:p>
    <w:p w14:paraId="2D648199"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03CC9956" w14:textId="77777777" w:rsidR="004634F9" w:rsidRPr="00910078" w:rsidRDefault="00E75A4A">
      <w:pPr>
        <w:spacing w:line="276" w:lineRule="auto"/>
        <w:ind w:left="851"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w:t>
      </w:r>
      <w:r w:rsidRPr="00910078">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5B23280C" w14:textId="77777777" w:rsidR="004634F9" w:rsidRPr="00910078" w:rsidRDefault="00E75A4A">
      <w:pPr>
        <w:spacing w:line="276" w:lineRule="auto"/>
        <w:ind w:left="851"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I. Gravámenes fiscales relacionados con el sueldo;</w:t>
      </w:r>
    </w:p>
    <w:p w14:paraId="6EC429DA" w14:textId="77777777" w:rsidR="004634F9" w:rsidRPr="00910078" w:rsidRDefault="00E75A4A">
      <w:pPr>
        <w:spacing w:line="276" w:lineRule="auto"/>
        <w:ind w:left="851"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II. Deudas contraídas con las instituciones públicas o dependencias</w:t>
      </w:r>
      <w:r w:rsidRPr="00910078">
        <w:rPr>
          <w:rFonts w:ascii="Palatino Linotype" w:eastAsia="Palatino Linotype" w:hAnsi="Palatino Linotype" w:cs="Palatino Linotype"/>
          <w:i/>
          <w:sz w:val="22"/>
          <w:szCs w:val="22"/>
        </w:rPr>
        <w:t xml:space="preserve"> por concepto de anticipos de sueldo, pagos hechos con exceso, errores o pérdidas debidamente comprobados;</w:t>
      </w:r>
    </w:p>
    <w:p w14:paraId="768673B2" w14:textId="77777777" w:rsidR="004634F9" w:rsidRPr="00910078" w:rsidRDefault="00E75A4A">
      <w:pPr>
        <w:spacing w:line="276" w:lineRule="auto"/>
        <w:ind w:left="851"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III. Cuotas sindicales</w:t>
      </w:r>
      <w:r w:rsidRPr="00910078">
        <w:rPr>
          <w:rFonts w:ascii="Palatino Linotype" w:eastAsia="Palatino Linotype" w:hAnsi="Palatino Linotype" w:cs="Palatino Linotype"/>
          <w:i/>
          <w:sz w:val="22"/>
          <w:szCs w:val="22"/>
        </w:rPr>
        <w:t>;</w:t>
      </w:r>
    </w:p>
    <w:p w14:paraId="1F117C43" w14:textId="77777777" w:rsidR="004634F9" w:rsidRPr="00910078" w:rsidRDefault="00E75A4A">
      <w:pPr>
        <w:spacing w:line="276" w:lineRule="auto"/>
        <w:ind w:left="851"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7CD8CEE8" w14:textId="77777777" w:rsidR="004634F9" w:rsidRPr="00910078" w:rsidRDefault="00E75A4A">
      <w:pPr>
        <w:spacing w:line="276" w:lineRule="auto"/>
        <w:ind w:left="851"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24869FCE" w14:textId="77777777" w:rsidR="004634F9" w:rsidRPr="00910078" w:rsidRDefault="00E75A4A">
      <w:pPr>
        <w:spacing w:line="276" w:lineRule="auto"/>
        <w:ind w:left="851"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VI. Obligaciones a cargo del servidor público con las que haya consentido</w:t>
      </w:r>
      <w:r w:rsidRPr="00910078">
        <w:rPr>
          <w:rFonts w:ascii="Palatino Linotype" w:eastAsia="Palatino Linotype" w:hAnsi="Palatino Linotype" w:cs="Palatino Linotype"/>
          <w:i/>
          <w:sz w:val="22"/>
          <w:szCs w:val="22"/>
        </w:rPr>
        <w:t>, derivadas de la adquisición o del uso de habitaciones consideradas como de interés social;</w:t>
      </w:r>
    </w:p>
    <w:p w14:paraId="5BAD6FAF" w14:textId="77777777" w:rsidR="004634F9" w:rsidRPr="00910078" w:rsidRDefault="00E75A4A">
      <w:pPr>
        <w:spacing w:line="276" w:lineRule="auto"/>
        <w:ind w:left="851"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VII. Faltas de puntualidad o de asistencia injustificadas;</w:t>
      </w:r>
    </w:p>
    <w:p w14:paraId="27A28237" w14:textId="77777777" w:rsidR="004634F9" w:rsidRPr="00910078" w:rsidRDefault="00E75A4A">
      <w:pPr>
        <w:spacing w:line="276" w:lineRule="auto"/>
        <w:ind w:left="851"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VIII. Pensiones alimenticias ordenadas por la autoridad judicial;</w:t>
      </w:r>
      <w:r w:rsidRPr="00910078">
        <w:rPr>
          <w:rFonts w:ascii="Palatino Linotype" w:eastAsia="Palatino Linotype" w:hAnsi="Palatino Linotype" w:cs="Palatino Linotype"/>
          <w:i/>
          <w:sz w:val="22"/>
          <w:szCs w:val="22"/>
        </w:rPr>
        <w:t xml:space="preserve"> o</w:t>
      </w:r>
    </w:p>
    <w:p w14:paraId="206A3234" w14:textId="77777777" w:rsidR="004634F9" w:rsidRPr="00910078" w:rsidRDefault="00E75A4A">
      <w:pPr>
        <w:spacing w:line="276" w:lineRule="auto"/>
        <w:ind w:left="851"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IX. Cualquier otro convenido con instituciones de servicios y aceptado por el servidor público.</w:t>
      </w:r>
    </w:p>
    <w:p w14:paraId="2514AD8A" w14:textId="77777777" w:rsidR="004634F9" w:rsidRPr="00910078" w:rsidRDefault="00E75A4A">
      <w:pPr>
        <w:spacing w:line="276" w:lineRule="auto"/>
        <w:ind w:left="851"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255246E6" w14:textId="77777777" w:rsidR="004634F9" w:rsidRPr="00910078" w:rsidRDefault="00E75A4A">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(Énfasis añadido)</w:t>
      </w:r>
    </w:p>
    <w:p w14:paraId="6076AF22"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4429936D"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Derivado de lo anterior, la ley establece claramente cuáles son esos descuentos o gravámenes que directamente se relacionan con las obligaciones adquiridas como servidores públicos y aquéllos que </w:t>
      </w:r>
      <w:r w:rsidRPr="00910078">
        <w:rPr>
          <w:rFonts w:ascii="Palatino Linotype" w:eastAsia="Palatino Linotype" w:hAnsi="Palatino Linotype" w:cs="Palatino Linotype"/>
          <w:b/>
          <w:sz w:val="22"/>
          <w:szCs w:val="22"/>
        </w:rPr>
        <w:t>únicamente inciden en su vida privada</w:t>
      </w:r>
      <w:r w:rsidRPr="00910078">
        <w:rPr>
          <w:rFonts w:ascii="Palatino Linotype" w:eastAsia="Palatino Linotype" w:hAnsi="Palatino Linotype" w:cs="Palatino Linotype"/>
          <w:sz w:val="22"/>
          <w:szCs w:val="22"/>
        </w:rPr>
        <w:t>. De este modo, descuentos por pensiones alimenticias o créditos adquiridos con instituciones privadas o públicas pero que fueron contraídas en forma individual, son información que debe clasificarse como confidencial.</w:t>
      </w:r>
    </w:p>
    <w:p w14:paraId="0A09A1E8"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2E94E493"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 Con base en lo expuesto, se insiste que los datos mencionados, que como se ha dicho, deben ser clasificados como confidenciales por tratarse de información privada, toda vez que los datos personales son irrenunciables, intransferibles e indelegables, por lo </w:t>
      </w:r>
      <w:proofErr w:type="gramStart"/>
      <w:r w:rsidRPr="00910078">
        <w:rPr>
          <w:rFonts w:ascii="Palatino Linotype" w:eastAsia="Palatino Linotype" w:hAnsi="Palatino Linotype" w:cs="Palatino Linotype"/>
          <w:sz w:val="22"/>
          <w:szCs w:val="22"/>
        </w:rPr>
        <w:t>tanto</w:t>
      </w:r>
      <w:proofErr w:type="gramEnd"/>
      <w:r w:rsidRPr="00910078">
        <w:rPr>
          <w:rFonts w:ascii="Palatino Linotype" w:eastAsia="Palatino Linotype" w:hAnsi="Palatino Linotype" w:cs="Palatino Linotype"/>
          <w:sz w:val="22"/>
          <w:szCs w:val="22"/>
        </w:rPr>
        <w:t xml:space="preserve"> los sujetos obligados no deben hacer entrega de éstos a persona ajena a su titular, sobre todo cuando traiga implícita que se ponga en riesgo la vida o integridad de una persona.</w:t>
      </w:r>
    </w:p>
    <w:p w14:paraId="2111A416"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3CD09AD0"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Sirven de sustento a lo anterior, las tesis jurisprudenciales </w:t>
      </w:r>
      <w:r w:rsidRPr="00910078">
        <w:rPr>
          <w:rFonts w:ascii="Palatino Linotype" w:eastAsia="Palatino Linotype" w:hAnsi="Palatino Linotype" w:cs="Palatino Linotype"/>
          <w:i/>
          <w:sz w:val="22"/>
          <w:szCs w:val="22"/>
        </w:rPr>
        <w:t xml:space="preserve">P. LX/2000 </w:t>
      </w:r>
      <w:r w:rsidRPr="00910078">
        <w:rPr>
          <w:rFonts w:ascii="Palatino Linotype" w:eastAsia="Palatino Linotype" w:hAnsi="Palatino Linotype" w:cs="Palatino Linotype"/>
          <w:sz w:val="22"/>
          <w:szCs w:val="22"/>
        </w:rPr>
        <w:t xml:space="preserve">y </w:t>
      </w:r>
      <w:r w:rsidRPr="00910078">
        <w:rPr>
          <w:rFonts w:ascii="Palatino Linotype" w:eastAsia="Palatino Linotype" w:hAnsi="Palatino Linotype" w:cs="Palatino Linotype"/>
          <w:i/>
          <w:sz w:val="22"/>
          <w:szCs w:val="22"/>
        </w:rPr>
        <w:t>2a. XLIII/2008</w:t>
      </w:r>
      <w:r w:rsidRPr="00910078">
        <w:rPr>
          <w:rFonts w:ascii="Palatino Linotype" w:eastAsia="Palatino Linotype" w:hAnsi="Palatino Linotype" w:cs="Palatino Linotype"/>
          <w:b/>
          <w:sz w:val="22"/>
          <w:szCs w:val="22"/>
        </w:rPr>
        <w:t xml:space="preserve"> </w:t>
      </w:r>
      <w:r w:rsidRPr="00910078">
        <w:rPr>
          <w:rFonts w:ascii="Palatino Linotype" w:eastAsia="Palatino Linotype" w:hAnsi="Palatino Linotype" w:cs="Palatino Linotype"/>
          <w:sz w:val="22"/>
          <w:szCs w:val="22"/>
        </w:rPr>
        <w:t>emitidas por el Peno y la Segunda Sala de la Suprema Corte de Justicia de la Nación, respectivamente, que son del tenor literal siguiente:</w:t>
      </w:r>
    </w:p>
    <w:p w14:paraId="29CFE798"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27F47761" w14:textId="77777777" w:rsidR="004634F9" w:rsidRPr="00910078" w:rsidRDefault="00E75A4A">
      <w:pPr>
        <w:spacing w:line="276" w:lineRule="auto"/>
        <w:ind w:left="851" w:right="851"/>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910078">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w:t>
      </w:r>
      <w:r w:rsidRPr="00910078">
        <w:rPr>
          <w:rFonts w:ascii="Palatino Linotype" w:eastAsia="Palatino Linotype" w:hAnsi="Palatino Linotype" w:cs="Palatino Linotype"/>
          <w:i/>
          <w:sz w:val="22"/>
          <w:szCs w:val="22"/>
        </w:rPr>
        <w:lastRenderedPageBreak/>
        <w:t xml:space="preserve">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910078">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910078">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910078">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sidRPr="00910078">
        <w:rPr>
          <w:rFonts w:ascii="Palatino Linotype" w:eastAsia="Palatino Linotype" w:hAnsi="Palatino Linotype" w:cs="Palatino Linotype"/>
          <w:i/>
          <w:sz w:val="22"/>
          <w:szCs w:val="22"/>
        </w:rPr>
        <w:t>.”</w:t>
      </w:r>
    </w:p>
    <w:p w14:paraId="689490D0" w14:textId="77777777" w:rsidR="004634F9" w:rsidRPr="00910078" w:rsidRDefault="004634F9">
      <w:pPr>
        <w:spacing w:line="276" w:lineRule="auto"/>
        <w:ind w:left="851" w:right="851"/>
        <w:jc w:val="both"/>
        <w:rPr>
          <w:rFonts w:ascii="Palatino Linotype" w:eastAsia="Palatino Linotype" w:hAnsi="Palatino Linotype" w:cs="Palatino Linotype"/>
          <w:i/>
          <w:sz w:val="22"/>
          <w:szCs w:val="22"/>
        </w:rPr>
      </w:pPr>
    </w:p>
    <w:p w14:paraId="26846DD4" w14:textId="77777777" w:rsidR="004634F9" w:rsidRPr="00910078" w:rsidRDefault="00E75A4A">
      <w:pPr>
        <w:spacing w:line="276" w:lineRule="auto"/>
        <w:ind w:left="851" w:right="851"/>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 xml:space="preserve">“TRANSPARENCIA Y ACCESO A LA INFORMACIÓN PÚBLICA GUBERNAMENTAL. EL ARTÍCULO 14, FRACCIÓN I, DE LA LEY FEDERAL RELATIVA, NO VIOLA LA GARANTÍA DE ACCESO A LA INFORMACIÓN. </w:t>
      </w:r>
      <w:r w:rsidRPr="00910078">
        <w:rPr>
          <w:rFonts w:ascii="Palatino Linotype" w:eastAsia="Palatino Linotype" w:hAnsi="Palatino Linotype" w:cs="Palatino Linotype"/>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910078">
        <w:rPr>
          <w:rFonts w:ascii="Palatino Linotype" w:eastAsia="Palatino Linotype" w:hAnsi="Palatino Linotype" w:cs="Palatino Linotype"/>
          <w:b/>
          <w:i/>
          <w:sz w:val="22"/>
          <w:szCs w:val="22"/>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w:t>
      </w:r>
      <w:r w:rsidRPr="00910078">
        <w:rPr>
          <w:rFonts w:ascii="Palatino Linotype" w:eastAsia="Palatino Linotype" w:hAnsi="Palatino Linotype" w:cs="Palatino Linotype"/>
          <w:b/>
          <w:i/>
          <w:sz w:val="22"/>
          <w:szCs w:val="22"/>
        </w:rPr>
        <w:lastRenderedPageBreak/>
        <w:t>exista proporcionalidad y congruencia entre el derecho fundamental de que se trata y la razón que motive la restricción legislativa correspondiente,</w:t>
      </w:r>
      <w:r w:rsidRPr="00910078">
        <w:rPr>
          <w:rFonts w:ascii="Palatino Linotype" w:eastAsia="Palatino Linotype" w:hAnsi="Palatino Linotype" w:cs="Palatino Linotype"/>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417637EE" w14:textId="77777777" w:rsidR="004634F9" w:rsidRPr="00910078" w:rsidRDefault="004634F9">
      <w:pPr>
        <w:spacing w:line="276" w:lineRule="auto"/>
        <w:ind w:left="851" w:right="851"/>
        <w:jc w:val="both"/>
        <w:rPr>
          <w:rFonts w:ascii="Palatino Linotype" w:eastAsia="Palatino Linotype" w:hAnsi="Palatino Linotype" w:cs="Palatino Linotype"/>
          <w:i/>
          <w:sz w:val="22"/>
          <w:szCs w:val="22"/>
        </w:rPr>
      </w:pPr>
    </w:p>
    <w:p w14:paraId="6F4C7E19" w14:textId="77777777" w:rsidR="004634F9" w:rsidRPr="00910078" w:rsidRDefault="00E75A4A">
      <w:pPr>
        <w:widowControl w:val="0"/>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Bajo ese orden de ideas, se tiene que si bien el </w:t>
      </w:r>
      <w:r w:rsidRPr="00910078">
        <w:rPr>
          <w:rFonts w:ascii="Palatino Linotype" w:eastAsia="Palatino Linotype" w:hAnsi="Palatino Linotype" w:cs="Palatino Linotype"/>
          <w:b/>
          <w:sz w:val="22"/>
          <w:szCs w:val="22"/>
        </w:rPr>
        <w:t xml:space="preserve">Sujeto Obligado </w:t>
      </w:r>
      <w:r w:rsidRPr="00910078">
        <w:rPr>
          <w:rFonts w:ascii="Palatino Linotype" w:eastAsia="Palatino Linotype" w:hAnsi="Palatino Linotype" w:cs="Palatino Linotype"/>
          <w:sz w:val="22"/>
          <w:szCs w:val="22"/>
        </w:rPr>
        <w:t xml:space="preserve">hizo entrega del documento que pudiera atender el punto de análisis, lo cierto es que dejo datos personales susceptibles de ser clasificados como confidenciales en términos del artículo 143 fracción I de la Ley de Transparencia y Acceso a la Información Pública del Estado de México y Municipios, aunado al hecho de que no se advierten todas las áreas que integran al Ayuntamiento; por lo que, lo procedente es ordenar, la entrega de la nómina del ayuntamiento de Tepetlixpa, de la segunda quincena de agosto de dos mil veinticuatro, en versión pública. </w:t>
      </w:r>
    </w:p>
    <w:p w14:paraId="648E80B6"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49ECBB3B" w14:textId="77777777" w:rsidR="004634F9" w:rsidRPr="00910078" w:rsidRDefault="00E75A4A">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10078">
        <w:rPr>
          <w:rFonts w:ascii="Palatino Linotype" w:eastAsia="Palatino Linotype" w:hAnsi="Palatino Linotype" w:cs="Palatino Linotype"/>
          <w:b/>
          <w:sz w:val="22"/>
          <w:szCs w:val="22"/>
        </w:rPr>
        <w:t>Respecto a las bitácoras de gasolina.</w:t>
      </w:r>
    </w:p>
    <w:tbl>
      <w:tblPr>
        <w:tblStyle w:val="af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9"/>
        <w:gridCol w:w="3546"/>
        <w:gridCol w:w="2673"/>
      </w:tblGrid>
      <w:tr w:rsidR="00910078" w:rsidRPr="00910078" w14:paraId="0CB0B309" w14:textId="77777777">
        <w:tc>
          <w:tcPr>
            <w:tcW w:w="2609" w:type="dxa"/>
          </w:tcPr>
          <w:p w14:paraId="19D79C9B" w14:textId="77777777" w:rsidR="004634F9" w:rsidRPr="00910078" w:rsidRDefault="00E75A4A">
            <w:pPr>
              <w:jc w:val="center"/>
              <w:rPr>
                <w:rFonts w:ascii="Palatino Linotype" w:eastAsia="Palatino Linotype" w:hAnsi="Palatino Linotype" w:cs="Palatino Linotype"/>
                <w:b/>
                <w:sz w:val="22"/>
                <w:szCs w:val="22"/>
              </w:rPr>
            </w:pPr>
            <w:r w:rsidRPr="00910078">
              <w:rPr>
                <w:rFonts w:ascii="Palatino Linotype" w:eastAsia="Palatino Linotype" w:hAnsi="Palatino Linotype" w:cs="Palatino Linotype"/>
                <w:b/>
                <w:sz w:val="22"/>
                <w:szCs w:val="22"/>
              </w:rPr>
              <w:t>Solicitud</w:t>
            </w:r>
          </w:p>
        </w:tc>
        <w:tc>
          <w:tcPr>
            <w:tcW w:w="3546" w:type="dxa"/>
          </w:tcPr>
          <w:p w14:paraId="7F9F956F" w14:textId="77777777" w:rsidR="004634F9" w:rsidRPr="00910078" w:rsidRDefault="00E75A4A">
            <w:pPr>
              <w:jc w:val="center"/>
              <w:rPr>
                <w:rFonts w:ascii="Palatino Linotype" w:eastAsia="Palatino Linotype" w:hAnsi="Palatino Linotype" w:cs="Palatino Linotype"/>
                <w:b/>
                <w:sz w:val="22"/>
                <w:szCs w:val="22"/>
              </w:rPr>
            </w:pPr>
            <w:r w:rsidRPr="00910078">
              <w:rPr>
                <w:rFonts w:ascii="Palatino Linotype" w:eastAsia="Palatino Linotype" w:hAnsi="Palatino Linotype" w:cs="Palatino Linotype"/>
                <w:b/>
                <w:sz w:val="22"/>
                <w:szCs w:val="22"/>
              </w:rPr>
              <w:t>Informe Justificado</w:t>
            </w:r>
          </w:p>
        </w:tc>
        <w:tc>
          <w:tcPr>
            <w:tcW w:w="2673" w:type="dxa"/>
          </w:tcPr>
          <w:p w14:paraId="2834CD32" w14:textId="77777777" w:rsidR="004634F9" w:rsidRPr="00910078" w:rsidRDefault="00E75A4A">
            <w:pPr>
              <w:jc w:val="center"/>
              <w:rPr>
                <w:rFonts w:ascii="Palatino Linotype" w:eastAsia="Palatino Linotype" w:hAnsi="Palatino Linotype" w:cs="Palatino Linotype"/>
                <w:b/>
                <w:sz w:val="22"/>
                <w:szCs w:val="22"/>
              </w:rPr>
            </w:pPr>
            <w:r w:rsidRPr="00910078">
              <w:rPr>
                <w:rFonts w:ascii="Palatino Linotype" w:eastAsia="Palatino Linotype" w:hAnsi="Palatino Linotype" w:cs="Palatino Linotype"/>
                <w:b/>
                <w:sz w:val="22"/>
                <w:szCs w:val="22"/>
              </w:rPr>
              <w:t>Observaciones</w:t>
            </w:r>
          </w:p>
        </w:tc>
      </w:tr>
      <w:tr w:rsidR="004634F9" w:rsidRPr="00910078" w14:paraId="14B8EE1E" w14:textId="77777777">
        <w:tc>
          <w:tcPr>
            <w:tcW w:w="2609" w:type="dxa"/>
          </w:tcPr>
          <w:p w14:paraId="71D118C3" w14:textId="77777777" w:rsidR="004634F9" w:rsidRPr="00910078" w:rsidRDefault="00E75A4A">
            <w:pPr>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Bitácora de distribución de combustible (gasolina) del ejercicio fiscal 2024.</w:t>
            </w:r>
          </w:p>
        </w:tc>
        <w:tc>
          <w:tcPr>
            <w:tcW w:w="3546" w:type="dxa"/>
          </w:tcPr>
          <w:p w14:paraId="7DAFEF64" w14:textId="77777777" w:rsidR="004634F9" w:rsidRPr="00910078" w:rsidRDefault="00E75A4A">
            <w:pPr>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El Tesorero Municipal informó la entrega de un documento de gastos por gasolina, diésel, por mes de enero a julio del 2024.</w:t>
            </w:r>
          </w:p>
          <w:p w14:paraId="617FC796" w14:textId="77777777" w:rsidR="004634F9" w:rsidRPr="00910078" w:rsidRDefault="00E75A4A">
            <w:pPr>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noProof/>
                <w:sz w:val="22"/>
                <w:szCs w:val="22"/>
                <w:lang w:val="es-MX" w:eastAsia="es-MX"/>
              </w:rPr>
              <w:drawing>
                <wp:inline distT="0" distB="0" distL="0" distR="0" wp14:anchorId="26D4D66A" wp14:editId="4E3260B9">
                  <wp:extent cx="2166309" cy="1244338"/>
                  <wp:effectExtent l="0" t="0" r="0" b="0"/>
                  <wp:docPr id="83193548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166309" cy="1244338"/>
                          </a:xfrm>
                          <a:prstGeom prst="rect">
                            <a:avLst/>
                          </a:prstGeom>
                          <a:ln/>
                        </pic:spPr>
                      </pic:pic>
                    </a:graphicData>
                  </a:graphic>
                </wp:inline>
              </w:drawing>
            </w:r>
          </w:p>
        </w:tc>
        <w:tc>
          <w:tcPr>
            <w:tcW w:w="2673" w:type="dxa"/>
          </w:tcPr>
          <w:p w14:paraId="7E18B3DC" w14:textId="77777777" w:rsidR="004634F9" w:rsidRPr="00910078" w:rsidRDefault="00E75A4A">
            <w:pPr>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Del análisis realizado al documento remitido en informe se advierte que este únicamente da cuenta de los gastos por concepto de gasolina diésel por mes; sin embargo, la parte Recurrente solicito expresamente las bitácoras. </w:t>
            </w:r>
          </w:p>
        </w:tc>
      </w:tr>
    </w:tbl>
    <w:p w14:paraId="1593BDA8"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5FDF97D1"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De este modo, conviene traer a colación la siguiente normatividad:</w:t>
      </w:r>
    </w:p>
    <w:p w14:paraId="1FD01933" w14:textId="77777777" w:rsidR="004634F9" w:rsidRPr="00910078" w:rsidRDefault="00E75A4A">
      <w:pPr>
        <w:spacing w:line="276" w:lineRule="auto"/>
        <w:ind w:left="851" w:right="899"/>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“Código Reglamentario Para El Municipio De Tepetlixpa, Estado De México.</w:t>
      </w:r>
    </w:p>
    <w:p w14:paraId="0D637F10" w14:textId="77777777" w:rsidR="004634F9" w:rsidRPr="00910078" w:rsidRDefault="00E75A4A">
      <w:pPr>
        <w:spacing w:line="276" w:lineRule="auto"/>
        <w:ind w:left="851" w:right="899"/>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lastRenderedPageBreak/>
        <w:t>DE LA DIRECCION DE RECURSOS HUMANOS</w:t>
      </w:r>
      <w:r w:rsidRPr="00910078">
        <w:rPr>
          <w:rFonts w:ascii="Palatino Linotype" w:eastAsia="Palatino Linotype" w:hAnsi="Palatino Linotype" w:cs="Palatino Linotype"/>
          <w:i/>
          <w:sz w:val="22"/>
          <w:szCs w:val="22"/>
        </w:rPr>
        <w:t>.</w:t>
      </w:r>
    </w:p>
    <w:p w14:paraId="3D0E51DE" w14:textId="77777777" w:rsidR="004634F9" w:rsidRPr="00910078" w:rsidRDefault="00E75A4A">
      <w:pPr>
        <w:spacing w:line="276" w:lineRule="auto"/>
        <w:ind w:left="851" w:right="899"/>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w:t>
      </w:r>
    </w:p>
    <w:p w14:paraId="69678F4E" w14:textId="77777777" w:rsidR="004634F9" w:rsidRPr="00910078" w:rsidRDefault="00E75A4A">
      <w:pPr>
        <w:spacing w:line="276" w:lineRule="auto"/>
        <w:ind w:left="851" w:right="899"/>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 xml:space="preserve">Artículo 3.17.- El Encargado de la </w:t>
      </w:r>
      <w:proofErr w:type="spellStart"/>
      <w:r w:rsidRPr="00910078">
        <w:rPr>
          <w:rFonts w:ascii="Palatino Linotype" w:eastAsia="Palatino Linotype" w:hAnsi="Palatino Linotype" w:cs="Palatino Linotype"/>
          <w:i/>
          <w:sz w:val="22"/>
          <w:szCs w:val="22"/>
        </w:rPr>
        <w:t>Subcoordinación</w:t>
      </w:r>
      <w:proofErr w:type="spellEnd"/>
      <w:r w:rsidRPr="00910078">
        <w:rPr>
          <w:rFonts w:ascii="Palatino Linotype" w:eastAsia="Palatino Linotype" w:hAnsi="Palatino Linotype" w:cs="Palatino Linotype"/>
          <w:i/>
          <w:sz w:val="22"/>
          <w:szCs w:val="22"/>
        </w:rPr>
        <w:t xml:space="preserve"> los Recursos Materiales tiene las siguientes atribuciones: </w:t>
      </w:r>
      <w:r w:rsidRPr="00910078">
        <w:rPr>
          <w:rFonts w:ascii="Palatino Linotype" w:eastAsia="Palatino Linotype" w:hAnsi="Palatino Linotype" w:cs="Palatino Linotype"/>
          <w:i/>
          <w:sz w:val="22"/>
          <w:szCs w:val="22"/>
        </w:rPr>
        <w:br/>
      </w:r>
      <w:r w:rsidRPr="00910078">
        <w:rPr>
          <w:rFonts w:ascii="Palatino Linotype" w:eastAsia="Palatino Linotype" w:hAnsi="Palatino Linotype" w:cs="Palatino Linotype"/>
          <w:sz w:val="22"/>
          <w:szCs w:val="22"/>
        </w:rPr>
        <w:t>…</w:t>
      </w:r>
    </w:p>
    <w:p w14:paraId="44F1A57D" w14:textId="77777777" w:rsidR="004634F9" w:rsidRPr="00910078" w:rsidRDefault="00E75A4A">
      <w:pPr>
        <w:spacing w:line="276" w:lineRule="auto"/>
        <w:ind w:left="851" w:right="899"/>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VII. Integrar el sistema anual de adquisiciones de bienes y servicios;</w:t>
      </w:r>
    </w:p>
    <w:p w14:paraId="05667372" w14:textId="77777777" w:rsidR="004634F9" w:rsidRPr="00910078" w:rsidRDefault="00E75A4A">
      <w:pPr>
        <w:spacing w:line="276" w:lineRule="auto"/>
        <w:ind w:left="851" w:right="899"/>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VIII. Otorgar el mantenimiento preventivo y correctivo al parque vehicular de la Administración Pública Municipal y el suministro de combustible requerido;</w:t>
      </w:r>
    </w:p>
    <w:p w14:paraId="46679762" w14:textId="77777777" w:rsidR="004634F9" w:rsidRPr="00910078" w:rsidRDefault="00E75A4A">
      <w:pPr>
        <w:spacing w:line="276" w:lineRule="auto"/>
        <w:ind w:left="851" w:right="899"/>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w:t>
      </w:r>
    </w:p>
    <w:p w14:paraId="0F276292" w14:textId="77777777" w:rsidR="004634F9" w:rsidRPr="00910078" w:rsidRDefault="00E75A4A">
      <w:pPr>
        <w:spacing w:line="276" w:lineRule="auto"/>
        <w:ind w:left="851" w:right="899"/>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“LINEAMIENTOS DE CONTROL FINANCIERO Y ADMINISTRATIVO PARA LAS ENTIDADES FISCALIZABLES MUNICIPALES DEL ESTADO DE MÉXICO</w:t>
      </w:r>
      <w:r w:rsidRPr="00910078">
        <w:rPr>
          <w:rFonts w:ascii="Palatino Linotype" w:eastAsia="Palatino Linotype" w:hAnsi="Palatino Linotype" w:cs="Palatino Linotype"/>
          <w:i/>
          <w:sz w:val="22"/>
          <w:szCs w:val="22"/>
        </w:rPr>
        <w:t xml:space="preserve">. </w:t>
      </w:r>
    </w:p>
    <w:p w14:paraId="74FD37F4" w14:textId="77777777" w:rsidR="004634F9" w:rsidRPr="00910078" w:rsidRDefault="00E75A4A">
      <w:pPr>
        <w:spacing w:line="276" w:lineRule="auto"/>
        <w:ind w:left="851" w:right="899"/>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 xml:space="preserve">VIGÉSIMO OCTAVO: Los servidores públicos municipales responsables de llevar el control del consumo de los combustibles y lubricantes de cada uno de los vehículos y maquinaria de la entidad fiscalizable municipal, por medio de los vales de gasolina o por los consumos foráneos que realicen fuera del municipio, deberán llevar una bitácora de acuerdo al anexo 3. </w:t>
      </w:r>
    </w:p>
    <w:p w14:paraId="31587F55" w14:textId="77777777" w:rsidR="004634F9" w:rsidRPr="00910078" w:rsidRDefault="004634F9">
      <w:pPr>
        <w:spacing w:line="276" w:lineRule="auto"/>
        <w:ind w:right="899"/>
        <w:jc w:val="both"/>
        <w:rPr>
          <w:rFonts w:ascii="Palatino Linotype" w:eastAsia="Palatino Linotype" w:hAnsi="Palatino Linotype" w:cs="Palatino Linotype"/>
          <w:i/>
          <w:sz w:val="22"/>
          <w:szCs w:val="22"/>
        </w:rPr>
      </w:pPr>
    </w:p>
    <w:p w14:paraId="2B19A4BD" w14:textId="77777777" w:rsidR="004634F9" w:rsidRPr="00910078" w:rsidRDefault="00E75A4A">
      <w:pPr>
        <w:spacing w:line="276" w:lineRule="auto"/>
        <w:ind w:right="899"/>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noProof/>
          <w:sz w:val="22"/>
          <w:szCs w:val="22"/>
          <w:lang w:val="es-MX" w:eastAsia="es-MX"/>
        </w:rPr>
        <w:drawing>
          <wp:inline distT="0" distB="0" distL="0" distR="0" wp14:anchorId="7DB5663B" wp14:editId="331FDB26">
            <wp:extent cx="5612130" cy="2586355"/>
            <wp:effectExtent l="0" t="0" r="0" b="0"/>
            <wp:docPr id="83193548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612130" cy="2586355"/>
                    </a:xfrm>
                    <a:prstGeom prst="rect">
                      <a:avLst/>
                    </a:prstGeom>
                    <a:ln/>
                  </pic:spPr>
                </pic:pic>
              </a:graphicData>
            </a:graphic>
          </wp:inline>
        </w:drawing>
      </w:r>
    </w:p>
    <w:p w14:paraId="11D1BDBB" w14:textId="77777777" w:rsidR="004634F9" w:rsidRPr="00910078" w:rsidRDefault="004634F9">
      <w:pPr>
        <w:spacing w:line="276" w:lineRule="auto"/>
        <w:ind w:right="899"/>
        <w:jc w:val="both"/>
        <w:rPr>
          <w:rFonts w:ascii="Palatino Linotype" w:eastAsia="Palatino Linotype" w:hAnsi="Palatino Linotype" w:cs="Palatino Linotype"/>
          <w:i/>
          <w:sz w:val="22"/>
          <w:szCs w:val="22"/>
        </w:rPr>
      </w:pPr>
    </w:p>
    <w:p w14:paraId="366864F5"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En cuanto a lo previamente citado la </w:t>
      </w:r>
      <w:proofErr w:type="spellStart"/>
      <w:r w:rsidRPr="00910078">
        <w:rPr>
          <w:rFonts w:ascii="Palatino Linotype" w:eastAsia="Palatino Linotype" w:hAnsi="Palatino Linotype" w:cs="Palatino Linotype"/>
          <w:sz w:val="22"/>
          <w:szCs w:val="22"/>
        </w:rPr>
        <w:t>Subcoordinación</w:t>
      </w:r>
      <w:proofErr w:type="spellEnd"/>
      <w:r w:rsidRPr="00910078">
        <w:rPr>
          <w:rFonts w:ascii="Palatino Linotype" w:eastAsia="Palatino Linotype" w:hAnsi="Palatino Linotype" w:cs="Palatino Linotype"/>
          <w:sz w:val="22"/>
          <w:szCs w:val="22"/>
        </w:rPr>
        <w:t xml:space="preserve"> de Recursos Materiales, supervisa el mantenimiento preventivo y correctivo al parque vehicular de la administración pública </w:t>
      </w:r>
      <w:r w:rsidRPr="00910078">
        <w:rPr>
          <w:rFonts w:ascii="Palatino Linotype" w:eastAsia="Palatino Linotype" w:hAnsi="Palatino Linotype" w:cs="Palatino Linotype"/>
          <w:sz w:val="22"/>
          <w:szCs w:val="22"/>
        </w:rPr>
        <w:lastRenderedPageBreak/>
        <w:t xml:space="preserve">municipal, así como del suministro de combustible requerido, además los servidores públicos municipales responsables de llevar el control del consumo de los combustibles y lubricantes de cada uno de los vehículos, deberán llevar una bitácora de consumo de gasolina diésel, por lo que se advierte que es el documento que desea obtener la parte </w:t>
      </w:r>
      <w:r w:rsidRPr="00910078">
        <w:rPr>
          <w:rFonts w:ascii="Palatino Linotype" w:eastAsia="Palatino Linotype" w:hAnsi="Palatino Linotype" w:cs="Palatino Linotype"/>
          <w:b/>
          <w:sz w:val="22"/>
          <w:szCs w:val="22"/>
        </w:rPr>
        <w:t>Recurrente</w:t>
      </w:r>
      <w:r w:rsidRPr="00910078">
        <w:rPr>
          <w:rFonts w:ascii="Palatino Linotype" w:eastAsia="Palatino Linotype" w:hAnsi="Palatino Linotype" w:cs="Palatino Linotype"/>
          <w:sz w:val="22"/>
          <w:szCs w:val="22"/>
        </w:rPr>
        <w:t>, de modo que resulta conveniente ordenar de ser procedente en versión pública en términos del considerando quinto, el documento en que conste la bitácora de consumo de gasolina generados del primero de enero al tres de septiembre de dos mil veinticuatro.</w:t>
      </w:r>
    </w:p>
    <w:p w14:paraId="5DF5E36B"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3D226699" w14:textId="77777777" w:rsidR="004634F9" w:rsidRPr="00910078" w:rsidRDefault="00E75A4A">
      <w:pPr>
        <w:tabs>
          <w:tab w:val="left" w:pos="6103"/>
        </w:tabs>
        <w:spacing w:before="240" w:after="240" w:line="360" w:lineRule="auto"/>
        <w:jc w:val="both"/>
        <w:rPr>
          <w:rFonts w:ascii="Palatino Linotype" w:eastAsia="Palatino Linotype" w:hAnsi="Palatino Linotype" w:cs="Palatino Linotype"/>
          <w:b/>
          <w:sz w:val="22"/>
          <w:szCs w:val="22"/>
        </w:rPr>
      </w:pPr>
      <w:r w:rsidRPr="00910078">
        <w:rPr>
          <w:rFonts w:ascii="Palatino Linotype" w:eastAsia="Palatino Linotype" w:hAnsi="Palatino Linotype" w:cs="Palatino Linotype"/>
          <w:sz w:val="22"/>
          <w:szCs w:val="22"/>
        </w:rPr>
        <w:t xml:space="preserve">Por otro lado, no pasa por desapercibido que la parte </w:t>
      </w:r>
      <w:r w:rsidRPr="00910078">
        <w:rPr>
          <w:rFonts w:ascii="Palatino Linotype" w:eastAsia="Palatino Linotype" w:hAnsi="Palatino Linotype" w:cs="Palatino Linotype"/>
          <w:b/>
          <w:sz w:val="22"/>
          <w:szCs w:val="22"/>
        </w:rPr>
        <w:t xml:space="preserve">Recurrente </w:t>
      </w:r>
      <w:r w:rsidRPr="00910078">
        <w:rPr>
          <w:rFonts w:ascii="Palatino Linotype" w:eastAsia="Palatino Linotype" w:hAnsi="Palatino Linotype" w:cs="Palatino Linotype"/>
          <w:sz w:val="22"/>
          <w:szCs w:val="22"/>
        </w:rPr>
        <w:t xml:space="preserve">requirió copia de la información; en este sentido, lo idóneo es ordenar la entrega de la información, a través del </w:t>
      </w:r>
      <w:r w:rsidRPr="00910078">
        <w:rPr>
          <w:rFonts w:ascii="Palatino Linotype" w:eastAsia="Palatino Linotype" w:hAnsi="Palatino Linotype" w:cs="Palatino Linotype"/>
          <w:b/>
          <w:sz w:val="22"/>
          <w:szCs w:val="22"/>
        </w:rPr>
        <w:t>SAIMEX</w:t>
      </w:r>
      <w:r w:rsidRPr="00910078">
        <w:rPr>
          <w:rFonts w:ascii="Palatino Linotype" w:eastAsia="Palatino Linotype" w:hAnsi="Palatino Linotype" w:cs="Palatino Linotype"/>
          <w:sz w:val="22"/>
          <w:szCs w:val="22"/>
        </w:rPr>
        <w:t xml:space="preserve">, puesto que, al ser un documento electrónico o digitalizado, cuentan con la característica de ser descargable a cualquier equipo de cómputo para la libre manipulación de los Particulares, es decir, si la información se encuentra en documentos electrónicos, estos se pueden descargar de manera fácil y sencilla a un equipo de cómputo para que, posteriormente por cuenta de la persona solicitante, sea transferido a los dispositivos de almacenamiento que desee, o en su caso, sea impreso, lo que se configura como copia simple; de lo anterior, tenemos que, al ser entregado de forma digital o electrónica a través del </w:t>
      </w:r>
      <w:r w:rsidRPr="00910078">
        <w:rPr>
          <w:rFonts w:ascii="Palatino Linotype" w:eastAsia="Palatino Linotype" w:hAnsi="Palatino Linotype" w:cs="Palatino Linotype"/>
          <w:b/>
          <w:sz w:val="22"/>
          <w:szCs w:val="22"/>
        </w:rPr>
        <w:t>SAIMEX</w:t>
      </w:r>
      <w:r w:rsidRPr="00910078">
        <w:rPr>
          <w:rFonts w:ascii="Palatino Linotype" w:eastAsia="Palatino Linotype" w:hAnsi="Palatino Linotype" w:cs="Palatino Linotype"/>
          <w:sz w:val="22"/>
          <w:szCs w:val="22"/>
        </w:rPr>
        <w:t xml:space="preserve">, como es el caso, la hoy parte </w:t>
      </w:r>
      <w:r w:rsidRPr="00910078">
        <w:rPr>
          <w:rFonts w:ascii="Palatino Linotype" w:eastAsia="Palatino Linotype" w:hAnsi="Palatino Linotype" w:cs="Palatino Linotype"/>
          <w:b/>
          <w:sz w:val="22"/>
          <w:szCs w:val="22"/>
        </w:rPr>
        <w:t>Recurrente</w:t>
      </w:r>
      <w:r w:rsidRPr="00910078">
        <w:rPr>
          <w:rFonts w:ascii="Palatino Linotype" w:eastAsia="Palatino Linotype" w:hAnsi="Palatino Linotype" w:cs="Palatino Linotype"/>
          <w:sz w:val="22"/>
          <w:szCs w:val="22"/>
        </w:rPr>
        <w:t xml:space="preserve"> puede hacer uso de la información a su libre elección.</w:t>
      </w:r>
    </w:p>
    <w:p w14:paraId="6BC6D68B" w14:textId="77777777" w:rsidR="004634F9" w:rsidRPr="00910078" w:rsidRDefault="00E75A4A">
      <w:pPr>
        <w:spacing w:before="240" w:line="360" w:lineRule="auto"/>
        <w:ind w:right="49"/>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Finalmente, es de señalar que, como ya se mencionó 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xml:space="preserve">, omitió proporcionar la respuesta a la solicitud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ordena dar vista a la </w:t>
      </w:r>
      <w:r w:rsidRPr="00910078">
        <w:rPr>
          <w:rFonts w:ascii="Palatino Linotype" w:eastAsia="Palatino Linotype" w:hAnsi="Palatino Linotype" w:cs="Palatino Linotype"/>
          <w:b/>
          <w:sz w:val="22"/>
          <w:szCs w:val="22"/>
        </w:rPr>
        <w:t>Secretaría Técnica del Pleno</w:t>
      </w:r>
      <w:r w:rsidRPr="00910078">
        <w:rPr>
          <w:rFonts w:ascii="Palatino Linotype" w:eastAsia="Palatino Linotype" w:hAnsi="Palatino Linotype" w:cs="Palatino Linotype"/>
          <w:sz w:val="22"/>
          <w:szCs w:val="22"/>
        </w:rPr>
        <w:t xml:space="preserve"> a efecto de que ejerza las atribuciones previstas en la normatividad </w:t>
      </w:r>
      <w:r w:rsidRPr="00910078">
        <w:rPr>
          <w:rFonts w:ascii="Palatino Linotype" w:eastAsia="Palatino Linotype" w:hAnsi="Palatino Linotype" w:cs="Palatino Linotype"/>
          <w:sz w:val="22"/>
          <w:szCs w:val="22"/>
        </w:rPr>
        <w:lastRenderedPageBreak/>
        <w:t>aplicable y comunique al Órgano de Control Interno competente para que este último en ejercicio de sus atribuciones resuelva lo conducente y determine en su caso el grado de responsabilidad en el incumplimiento de las obligaciones establecidas en la citada Ley.</w:t>
      </w:r>
    </w:p>
    <w:p w14:paraId="46217FF7" w14:textId="77777777" w:rsidR="004634F9" w:rsidRPr="00910078" w:rsidRDefault="00E75A4A">
      <w:pPr>
        <w:spacing w:before="240" w:after="240" w:line="360" w:lineRule="auto"/>
        <w:ind w:right="49"/>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sz w:val="22"/>
          <w:szCs w:val="22"/>
        </w:rPr>
        <w:t xml:space="preserve">Quinto. Versión Pública. </w:t>
      </w:r>
      <w:r w:rsidRPr="00910078">
        <w:rPr>
          <w:rFonts w:ascii="Palatino Linotype" w:eastAsia="Palatino Linotype" w:hAnsi="Palatino Linotype" w:cs="Palatino Linotype"/>
          <w:sz w:val="22"/>
          <w:szCs w:val="22"/>
        </w:rPr>
        <w:t>Como fue debidamente apuntado, el</w:t>
      </w:r>
      <w:r w:rsidRPr="00910078">
        <w:rPr>
          <w:rFonts w:ascii="Palatino Linotype" w:eastAsia="Palatino Linotype" w:hAnsi="Palatino Linotype" w:cs="Palatino Linotype"/>
          <w:b/>
          <w:sz w:val="22"/>
          <w:szCs w:val="22"/>
        </w:rPr>
        <w:t xml:space="preserve"> Sujeto Obligado</w:t>
      </w:r>
      <w:r w:rsidRPr="00910078">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0E370F1C" w14:textId="77777777" w:rsidR="004634F9" w:rsidRPr="00910078" w:rsidRDefault="00E75A4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714B599E" w14:textId="77777777" w:rsidR="004634F9" w:rsidRPr="00910078" w:rsidRDefault="004634F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2BA084B" w14:textId="77777777" w:rsidR="004634F9" w:rsidRPr="00910078" w:rsidRDefault="00E75A4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65DD15DD" w14:textId="77777777" w:rsidR="004634F9" w:rsidRPr="00910078" w:rsidRDefault="004634F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D9C996C" w14:textId="77777777" w:rsidR="004634F9" w:rsidRPr="00910078" w:rsidRDefault="00E75A4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Al respecto, los artículos 3, fracciones IX, XX, XXI, XXXII, XLV; 6, 91, 137, 143 fracción I, de la Ley de Transparencia y Acceso a la Información Pública del Estado de México y Municipios vigente establecen:</w:t>
      </w:r>
    </w:p>
    <w:p w14:paraId="2BB6B1C8" w14:textId="77777777" w:rsidR="004634F9" w:rsidRPr="00910078" w:rsidRDefault="004634F9" w:rsidP="009F5545">
      <w:pPr>
        <w:spacing w:line="360" w:lineRule="auto"/>
        <w:rPr>
          <w:rFonts w:ascii="Palatino Linotype" w:eastAsia="Palatino Linotype" w:hAnsi="Palatino Linotype" w:cs="Palatino Linotype"/>
          <w:sz w:val="22"/>
          <w:szCs w:val="22"/>
        </w:rPr>
      </w:pPr>
    </w:p>
    <w:p w14:paraId="1ACF0EB7"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 </w:t>
      </w:r>
      <w:r w:rsidRPr="00910078">
        <w:rPr>
          <w:rFonts w:ascii="Palatino Linotype" w:eastAsia="Palatino Linotype" w:hAnsi="Palatino Linotype" w:cs="Palatino Linotype"/>
          <w:b/>
          <w:i/>
          <w:sz w:val="22"/>
          <w:szCs w:val="22"/>
        </w:rPr>
        <w:t>Artículo 3.</w:t>
      </w:r>
      <w:r w:rsidRPr="00910078">
        <w:rPr>
          <w:rFonts w:ascii="Palatino Linotype" w:eastAsia="Palatino Linotype" w:hAnsi="Palatino Linotype" w:cs="Palatino Linotype"/>
          <w:i/>
          <w:sz w:val="22"/>
          <w:szCs w:val="22"/>
        </w:rPr>
        <w:t xml:space="preserve"> Para los efectos de la presente Ley se entenderá por:</w:t>
      </w:r>
    </w:p>
    <w:p w14:paraId="147439C8"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w:t>
      </w:r>
    </w:p>
    <w:p w14:paraId="49D96314"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lastRenderedPageBreak/>
        <w:t>IX. Datos personales</w:t>
      </w:r>
      <w:r w:rsidRPr="00910078">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33BAE3A9"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w:t>
      </w:r>
    </w:p>
    <w:p w14:paraId="23BCABBA"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XX. Información clasificada</w:t>
      </w:r>
      <w:r w:rsidRPr="00910078">
        <w:rPr>
          <w:rFonts w:ascii="Palatino Linotype" w:eastAsia="Palatino Linotype" w:hAnsi="Palatino Linotype" w:cs="Palatino Linotype"/>
          <w:i/>
          <w:sz w:val="22"/>
          <w:szCs w:val="22"/>
        </w:rPr>
        <w:t>: Aquella considerada por la presente Ley como reservada o confidencial;</w:t>
      </w:r>
    </w:p>
    <w:p w14:paraId="1814D68A"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XXI. Información confidencial</w:t>
      </w:r>
      <w:r w:rsidRPr="00910078">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277290C"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w:t>
      </w:r>
    </w:p>
    <w:p w14:paraId="606EA50C"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XXXII. Protección de Datos Personales</w:t>
      </w:r>
      <w:r w:rsidRPr="00910078">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0FBEA896"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w:t>
      </w:r>
    </w:p>
    <w:p w14:paraId="20563333"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XLV. Versión pública</w:t>
      </w:r>
      <w:r w:rsidRPr="00910078">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25F6E18D"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 Artículo 6</w:t>
      </w:r>
      <w:r w:rsidRPr="00910078">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B37B6A4"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 (…)</w:t>
      </w:r>
    </w:p>
    <w:p w14:paraId="736671F0"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Artículo 91.</w:t>
      </w:r>
      <w:r w:rsidRPr="00910078">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C2E0584"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w:t>
      </w:r>
    </w:p>
    <w:p w14:paraId="4C966036"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Artículo 137.</w:t>
      </w:r>
      <w:r w:rsidRPr="00910078">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FF5C77E"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lastRenderedPageBreak/>
        <w:t> Artículo 143.</w:t>
      </w:r>
      <w:r w:rsidRPr="00910078">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52F2F860"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I.</w:t>
      </w:r>
      <w:r w:rsidRPr="00910078">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E2F5F47"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w:t>
      </w:r>
    </w:p>
    <w:p w14:paraId="0A670FEC" w14:textId="77777777" w:rsidR="004634F9" w:rsidRPr="00910078" w:rsidRDefault="004634F9">
      <w:pPr>
        <w:spacing w:line="360" w:lineRule="auto"/>
        <w:rPr>
          <w:rFonts w:ascii="Palatino Linotype" w:eastAsia="Palatino Linotype" w:hAnsi="Palatino Linotype" w:cs="Palatino Linotype"/>
          <w:sz w:val="22"/>
          <w:szCs w:val="22"/>
        </w:rPr>
      </w:pPr>
    </w:p>
    <w:p w14:paraId="2EDA7E24" w14:textId="77777777" w:rsidR="004634F9" w:rsidRPr="00910078" w:rsidRDefault="00E75A4A">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910078">
        <w:rPr>
          <w:rFonts w:ascii="Palatino Linotype" w:eastAsia="Palatino Linotype" w:hAnsi="Palatino Linotype" w:cs="Palatino Linotype"/>
          <w:b/>
          <w:sz w:val="22"/>
          <w:szCs w:val="22"/>
        </w:rPr>
        <w:t xml:space="preserve">Sujeto Obligado </w:t>
      </w:r>
      <w:r w:rsidRPr="00910078">
        <w:rPr>
          <w:rFonts w:ascii="Palatino Linotype" w:eastAsia="Palatino Linotype" w:hAnsi="Palatino Linotype" w:cs="Palatino Linotype"/>
          <w:sz w:val="22"/>
          <w:szCs w:val="22"/>
        </w:rPr>
        <w:t>deberá proceder a testar los datos personales que se encuentre contenidos en los documentos a entregar para satisfacer el derecho de acceso a la información pública de la parte</w:t>
      </w:r>
      <w:r w:rsidRPr="00910078">
        <w:rPr>
          <w:rFonts w:ascii="Palatino Linotype" w:eastAsia="Palatino Linotype" w:hAnsi="Palatino Linotype" w:cs="Palatino Linotype"/>
          <w:b/>
          <w:sz w:val="22"/>
          <w:szCs w:val="22"/>
        </w:rPr>
        <w:t xml:space="preserve"> Recurrente,</w:t>
      </w:r>
      <w:r w:rsidRPr="00910078">
        <w:rPr>
          <w:rFonts w:ascii="Palatino Linotype" w:eastAsia="Palatino Linotype" w:hAnsi="Palatino Linotype" w:cs="Palatino Linotype"/>
          <w:sz w:val="22"/>
          <w:szCs w:val="22"/>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0F2607C5" w14:textId="77777777" w:rsidR="004634F9" w:rsidRPr="00910078" w:rsidRDefault="004634F9">
      <w:pPr>
        <w:spacing w:line="360" w:lineRule="auto"/>
        <w:rPr>
          <w:rFonts w:ascii="Palatino Linotype" w:eastAsia="Palatino Linotype" w:hAnsi="Palatino Linotype" w:cs="Palatino Linotype"/>
          <w:sz w:val="22"/>
          <w:szCs w:val="22"/>
        </w:rPr>
      </w:pPr>
    </w:p>
    <w:p w14:paraId="4104B821" w14:textId="77777777" w:rsidR="004634F9" w:rsidRPr="00910078" w:rsidRDefault="00E75A4A">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estos a personas ajenas a su titular.</w:t>
      </w:r>
    </w:p>
    <w:p w14:paraId="6D18A03A" w14:textId="77777777" w:rsidR="004634F9" w:rsidRPr="00910078" w:rsidRDefault="004634F9">
      <w:pPr>
        <w:spacing w:line="360" w:lineRule="auto"/>
        <w:rPr>
          <w:rFonts w:ascii="Palatino Linotype" w:eastAsia="Palatino Linotype" w:hAnsi="Palatino Linotype" w:cs="Palatino Linotype"/>
          <w:sz w:val="22"/>
          <w:szCs w:val="22"/>
        </w:rPr>
      </w:pPr>
    </w:p>
    <w:p w14:paraId="64C7D3E5"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En el caso específico, dada la naturaleza de la información que se ordena, si bien tiene el carácter información pública en razón de que se trata de documentos que se encuentran en posesión del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w:t>
      </w:r>
      <w:r w:rsidRPr="00910078">
        <w:rPr>
          <w:rFonts w:ascii="Palatino Linotype" w:eastAsia="Palatino Linotype" w:hAnsi="Palatino Linotype" w:cs="Palatino Linotype"/>
          <w:sz w:val="22"/>
          <w:szCs w:val="22"/>
        </w:rPr>
        <w:lastRenderedPageBreak/>
        <w:t xml:space="preserve">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910078">
        <w:rPr>
          <w:rFonts w:ascii="Palatino Linotype" w:eastAsia="Palatino Linotype" w:hAnsi="Palatino Linotype" w:cs="Palatino Linotype"/>
          <w:b/>
          <w:sz w:val="22"/>
          <w:szCs w:val="22"/>
        </w:rPr>
        <w:t>Registro Federal de Contribuyentes</w:t>
      </w:r>
      <w:r w:rsidRPr="00910078">
        <w:rPr>
          <w:rFonts w:ascii="Palatino Linotype" w:eastAsia="Palatino Linotype" w:hAnsi="Palatino Linotype" w:cs="Palatino Linotype"/>
          <w:sz w:val="22"/>
          <w:szCs w:val="22"/>
        </w:rPr>
        <w:t xml:space="preserve"> (RFC), la </w:t>
      </w:r>
      <w:r w:rsidRPr="00910078">
        <w:rPr>
          <w:rFonts w:ascii="Palatino Linotype" w:eastAsia="Palatino Linotype" w:hAnsi="Palatino Linotype" w:cs="Palatino Linotype"/>
          <w:b/>
          <w:sz w:val="22"/>
          <w:szCs w:val="22"/>
        </w:rPr>
        <w:t>Clave Única de Registro de Población</w:t>
      </w:r>
      <w:r w:rsidRPr="00910078">
        <w:rPr>
          <w:rFonts w:ascii="Palatino Linotype" w:eastAsia="Palatino Linotype" w:hAnsi="Palatino Linotype" w:cs="Palatino Linotype"/>
          <w:sz w:val="22"/>
          <w:szCs w:val="22"/>
        </w:rPr>
        <w:t xml:space="preserve"> (CURP), la </w:t>
      </w:r>
      <w:r w:rsidRPr="00910078">
        <w:rPr>
          <w:rFonts w:ascii="Palatino Linotype" w:eastAsia="Palatino Linotype" w:hAnsi="Palatino Linotype" w:cs="Palatino Linotype"/>
          <w:b/>
          <w:sz w:val="22"/>
          <w:szCs w:val="22"/>
        </w:rPr>
        <w:t>Clave de cualquier tipo de seguridad social</w:t>
      </w:r>
      <w:r w:rsidRPr="00910078">
        <w:rPr>
          <w:rFonts w:ascii="Palatino Linotype" w:eastAsia="Palatino Linotype" w:hAnsi="Palatino Linotype" w:cs="Palatino Linotype"/>
          <w:sz w:val="22"/>
          <w:szCs w:val="22"/>
        </w:rPr>
        <w:t xml:space="preserve"> (ISSEMYM, u otros), los </w:t>
      </w:r>
      <w:r w:rsidRPr="00910078">
        <w:rPr>
          <w:rFonts w:ascii="Palatino Linotype" w:eastAsia="Palatino Linotype" w:hAnsi="Palatino Linotype" w:cs="Palatino Linotype"/>
          <w:b/>
          <w:sz w:val="22"/>
          <w:szCs w:val="22"/>
        </w:rPr>
        <w:t>números de cuentas bancarias</w:t>
      </w:r>
      <w:r w:rsidRPr="00910078">
        <w:rPr>
          <w:rFonts w:ascii="Palatino Linotype" w:eastAsia="Palatino Linotype" w:hAnsi="Palatino Linotype" w:cs="Palatino Linotype"/>
          <w:sz w:val="22"/>
          <w:szCs w:val="22"/>
        </w:rPr>
        <w:t xml:space="preserve">, claves estandarizadas – interbancarias - (CLABES) y de tarjetas, los </w:t>
      </w:r>
      <w:r w:rsidRPr="00910078">
        <w:rPr>
          <w:rFonts w:ascii="Palatino Linotype" w:eastAsia="Palatino Linotype" w:hAnsi="Palatino Linotype" w:cs="Palatino Linotype"/>
          <w:b/>
          <w:sz w:val="22"/>
          <w:szCs w:val="22"/>
        </w:rPr>
        <w:t>préstamos o descuentos</w:t>
      </w:r>
      <w:r w:rsidRPr="00910078">
        <w:rPr>
          <w:rFonts w:ascii="Palatino Linotype" w:eastAsia="Palatino Linotype" w:hAnsi="Palatino Linotype" w:cs="Palatino Linotype"/>
          <w:sz w:val="22"/>
          <w:szCs w:val="22"/>
        </w:rPr>
        <w:t xml:space="preserve"> que se le hagan a la persona y que no tengan relación con los impuestos o la cuota por seguridad social, el</w:t>
      </w:r>
      <w:r w:rsidRPr="00910078">
        <w:rPr>
          <w:rFonts w:ascii="Palatino Linotype" w:eastAsia="Palatino Linotype" w:hAnsi="Palatino Linotype" w:cs="Palatino Linotype"/>
          <w:b/>
          <w:sz w:val="22"/>
          <w:szCs w:val="22"/>
        </w:rPr>
        <w:t xml:space="preserve"> número de empleado, </w:t>
      </w:r>
      <w:r w:rsidRPr="00910078">
        <w:rPr>
          <w:rFonts w:ascii="Palatino Linotype" w:eastAsia="Palatino Linotype" w:hAnsi="Palatino Linotype" w:cs="Palatino Linotype"/>
          <w:sz w:val="22"/>
          <w:szCs w:val="22"/>
        </w:rPr>
        <w:t xml:space="preserve">así como de ser el caso, el </w:t>
      </w:r>
      <w:r w:rsidRPr="00910078">
        <w:rPr>
          <w:rFonts w:ascii="Palatino Linotype" w:eastAsia="Palatino Linotype" w:hAnsi="Palatino Linotype" w:cs="Palatino Linotype"/>
          <w:b/>
          <w:sz w:val="22"/>
          <w:szCs w:val="22"/>
        </w:rPr>
        <w:t>folio fiscal</w:t>
      </w:r>
      <w:r w:rsidRPr="00910078">
        <w:rPr>
          <w:rFonts w:ascii="Palatino Linotype" w:eastAsia="Palatino Linotype" w:hAnsi="Palatino Linotype" w:cs="Palatino Linotype"/>
          <w:sz w:val="22"/>
          <w:szCs w:val="22"/>
        </w:rPr>
        <w:t xml:space="preserve">, la  </w:t>
      </w:r>
      <w:r w:rsidRPr="00910078">
        <w:rPr>
          <w:rFonts w:ascii="Palatino Linotype" w:eastAsia="Palatino Linotype" w:hAnsi="Palatino Linotype" w:cs="Palatino Linotype"/>
          <w:b/>
          <w:sz w:val="22"/>
          <w:szCs w:val="22"/>
        </w:rPr>
        <w:t xml:space="preserve">cadena original, </w:t>
      </w:r>
      <w:r w:rsidRPr="00910078">
        <w:rPr>
          <w:rFonts w:ascii="Palatino Linotype" w:eastAsia="Palatino Linotype" w:hAnsi="Palatino Linotype" w:cs="Palatino Linotype"/>
          <w:sz w:val="22"/>
          <w:szCs w:val="22"/>
        </w:rPr>
        <w:t>los</w:t>
      </w:r>
      <w:r w:rsidRPr="00910078">
        <w:rPr>
          <w:rFonts w:ascii="Palatino Linotype" w:eastAsia="Palatino Linotype" w:hAnsi="Palatino Linotype" w:cs="Palatino Linotype"/>
          <w:b/>
          <w:sz w:val="22"/>
          <w:szCs w:val="22"/>
        </w:rPr>
        <w:t xml:space="preserve"> códigos bidimensionales o códigos QR,</w:t>
      </w:r>
      <w:r w:rsidRPr="00910078">
        <w:rPr>
          <w:rFonts w:ascii="Palatino Linotype" w:eastAsia="Palatino Linotype" w:hAnsi="Palatino Linotype" w:cs="Palatino Linotype"/>
          <w:sz w:val="22"/>
          <w:szCs w:val="22"/>
        </w:rPr>
        <w:t xml:space="preserve"> y cualquier información de carácter fiscal, bajo las siguientes consideraciones. </w:t>
      </w:r>
    </w:p>
    <w:p w14:paraId="6118D7B9" w14:textId="77777777" w:rsidR="004634F9" w:rsidRPr="00910078" w:rsidRDefault="004634F9">
      <w:pPr>
        <w:spacing w:line="360" w:lineRule="auto"/>
        <w:rPr>
          <w:rFonts w:ascii="Palatino Linotype" w:eastAsia="Palatino Linotype" w:hAnsi="Palatino Linotype" w:cs="Palatino Linotype"/>
          <w:sz w:val="22"/>
          <w:szCs w:val="22"/>
        </w:rPr>
      </w:pPr>
    </w:p>
    <w:p w14:paraId="1118C4C1" w14:textId="77777777" w:rsidR="004634F9" w:rsidRPr="00910078" w:rsidRDefault="00E75A4A">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estos a personas ajenas a su titular.</w:t>
      </w:r>
    </w:p>
    <w:p w14:paraId="7E40CCD8" w14:textId="77777777" w:rsidR="004634F9" w:rsidRPr="00910078" w:rsidRDefault="004634F9">
      <w:pPr>
        <w:spacing w:line="360" w:lineRule="auto"/>
        <w:rPr>
          <w:rFonts w:ascii="Palatino Linotype" w:eastAsia="Palatino Linotype" w:hAnsi="Palatino Linotype" w:cs="Palatino Linotype"/>
          <w:sz w:val="22"/>
          <w:szCs w:val="22"/>
        </w:rPr>
      </w:pPr>
    </w:p>
    <w:p w14:paraId="16FF652B"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910078">
        <w:rPr>
          <w:rFonts w:ascii="Palatino Linotype" w:eastAsia="Palatino Linotype" w:hAnsi="Palatino Linotype" w:cs="Palatino Linotype"/>
          <w:sz w:val="22"/>
          <w:szCs w:val="22"/>
        </w:rPr>
        <w:t>homoclave</w:t>
      </w:r>
      <w:proofErr w:type="spellEnd"/>
      <w:r w:rsidRPr="00910078">
        <w:rPr>
          <w:rFonts w:ascii="Palatino Linotype" w:eastAsia="Palatino Linotype" w:hAnsi="Palatino Linotype" w:cs="Palatino Linotype"/>
          <w:sz w:val="22"/>
          <w:szCs w:val="22"/>
        </w:rPr>
        <w:t>, por lo que para su obtención es necesario acreditar ante la autoridad fiscal previamente la identidad de la persona, su fecha de nacimiento, entre otros aspectos.</w:t>
      </w:r>
    </w:p>
    <w:p w14:paraId="5ED8EF45" w14:textId="77777777" w:rsidR="004634F9" w:rsidRPr="00910078" w:rsidRDefault="004634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360234D"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A3716C4" w14:textId="77777777" w:rsidR="004634F9" w:rsidRPr="00910078" w:rsidRDefault="004634F9">
      <w:pPr>
        <w:spacing w:line="360" w:lineRule="auto"/>
        <w:rPr>
          <w:rFonts w:ascii="Palatino Linotype" w:eastAsia="Palatino Linotype" w:hAnsi="Palatino Linotype" w:cs="Palatino Linotype"/>
          <w:sz w:val="22"/>
          <w:szCs w:val="22"/>
        </w:rPr>
      </w:pPr>
    </w:p>
    <w:p w14:paraId="0E713639"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Lo anterior es compartido por el Instituto Nacional de Transparencia, Acceso a la Información y Protección de Datos Personales, INAI, a través del Criterio 19/17, el cual es del tenor literal siguiente:</w:t>
      </w:r>
    </w:p>
    <w:p w14:paraId="2839D418" w14:textId="77777777" w:rsidR="004634F9" w:rsidRPr="00910078" w:rsidRDefault="004634F9">
      <w:pPr>
        <w:spacing w:line="360" w:lineRule="auto"/>
        <w:rPr>
          <w:rFonts w:ascii="Palatino Linotype" w:eastAsia="Palatino Linotype" w:hAnsi="Palatino Linotype" w:cs="Palatino Linotype"/>
          <w:sz w:val="22"/>
          <w:szCs w:val="22"/>
        </w:rPr>
      </w:pPr>
    </w:p>
    <w:p w14:paraId="4D8A56B6" w14:textId="77777777" w:rsidR="004634F9" w:rsidRPr="00910078" w:rsidRDefault="00E75A4A" w:rsidP="009F5545">
      <w:pPr>
        <w:pBdr>
          <w:top w:val="nil"/>
          <w:left w:val="nil"/>
          <w:bottom w:val="nil"/>
          <w:right w:val="nil"/>
          <w:between w:val="nil"/>
        </w:pBdr>
        <w:ind w:left="864"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 Registro Federal de Contribuyentes (RFC) de personas físicas</w:t>
      </w:r>
      <w:r w:rsidRPr="00910078">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4F2D7495" w14:textId="77777777" w:rsidR="004634F9" w:rsidRPr="00910078" w:rsidRDefault="004634F9">
      <w:pPr>
        <w:rPr>
          <w:rFonts w:ascii="Palatino Linotype" w:eastAsia="Palatino Linotype" w:hAnsi="Palatino Linotype" w:cs="Palatino Linotype"/>
          <w:sz w:val="22"/>
          <w:szCs w:val="22"/>
        </w:rPr>
      </w:pPr>
    </w:p>
    <w:p w14:paraId="1DDE6A9F"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Así, el Registro Federal de Contribuyentes, RFC, se vincula al nombre de su titular y permite identificar la edad de la persona, su fecha de nacimiento, así como su </w:t>
      </w:r>
      <w:proofErr w:type="spellStart"/>
      <w:r w:rsidRPr="00910078">
        <w:rPr>
          <w:rFonts w:ascii="Palatino Linotype" w:eastAsia="Palatino Linotype" w:hAnsi="Palatino Linotype" w:cs="Palatino Linotype"/>
          <w:sz w:val="22"/>
          <w:szCs w:val="22"/>
        </w:rPr>
        <w:t>homoclave</w:t>
      </w:r>
      <w:proofErr w:type="spellEnd"/>
      <w:r w:rsidRPr="00910078">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78AD1E37" w14:textId="77777777" w:rsidR="004634F9" w:rsidRPr="00910078" w:rsidRDefault="004634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46D169F"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0809A84F" w14:textId="77777777" w:rsidR="004634F9" w:rsidRPr="00910078" w:rsidRDefault="004634F9">
      <w:pPr>
        <w:spacing w:line="360" w:lineRule="auto"/>
        <w:rPr>
          <w:rFonts w:ascii="Palatino Linotype" w:eastAsia="Palatino Linotype" w:hAnsi="Palatino Linotype" w:cs="Palatino Linotype"/>
          <w:sz w:val="22"/>
          <w:szCs w:val="22"/>
        </w:rPr>
      </w:pPr>
    </w:p>
    <w:p w14:paraId="758A8A4E"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lastRenderedPageBreak/>
        <w:t>Argumento que es compartido por el Instituto Nacional de Transparencia, Acceso a la Información y Protección de Datos Personales, INAI, conforme al criterio 18/17, el cual refiere:</w:t>
      </w:r>
    </w:p>
    <w:p w14:paraId="5EE8C799" w14:textId="77777777" w:rsidR="004634F9" w:rsidRPr="00910078" w:rsidRDefault="00E75A4A">
      <w:pPr>
        <w:pBdr>
          <w:top w:val="nil"/>
          <w:left w:val="nil"/>
          <w:bottom w:val="nil"/>
          <w:right w:val="nil"/>
          <w:between w:val="nil"/>
        </w:pBdr>
        <w:spacing w:line="360" w:lineRule="auto"/>
        <w:ind w:left="864" w:right="864"/>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 </w:t>
      </w:r>
    </w:p>
    <w:p w14:paraId="233E1CC3"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0E23910" w14:textId="77777777" w:rsidR="004634F9" w:rsidRPr="00910078" w:rsidRDefault="004634F9">
      <w:pPr>
        <w:spacing w:line="360" w:lineRule="auto"/>
        <w:rPr>
          <w:rFonts w:ascii="Palatino Linotype" w:eastAsia="Palatino Linotype" w:hAnsi="Palatino Linotype" w:cs="Palatino Linotype"/>
          <w:sz w:val="22"/>
          <w:szCs w:val="22"/>
        </w:rPr>
      </w:pPr>
    </w:p>
    <w:p w14:paraId="21B3D496"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0AEF33B2" w14:textId="77777777" w:rsidR="004634F9" w:rsidRPr="00910078" w:rsidRDefault="004634F9">
      <w:pPr>
        <w:spacing w:line="360" w:lineRule="auto"/>
        <w:rPr>
          <w:rFonts w:ascii="Palatino Linotype" w:eastAsia="Palatino Linotype" w:hAnsi="Palatino Linotype" w:cs="Palatino Linotype"/>
          <w:sz w:val="22"/>
          <w:szCs w:val="22"/>
        </w:rPr>
      </w:pPr>
    </w:p>
    <w:p w14:paraId="159EE5CB"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0BE26415" w14:textId="77777777" w:rsidR="004634F9" w:rsidRPr="00910078" w:rsidRDefault="004634F9">
      <w:pPr>
        <w:spacing w:line="360" w:lineRule="auto"/>
        <w:rPr>
          <w:rFonts w:ascii="Palatino Linotype" w:eastAsia="Palatino Linotype" w:hAnsi="Palatino Linotype" w:cs="Palatino Linotype"/>
          <w:sz w:val="22"/>
          <w:szCs w:val="22"/>
        </w:rPr>
      </w:pPr>
    </w:p>
    <w:p w14:paraId="07262A1C"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5E2A3BA7" w14:textId="77777777" w:rsidR="004634F9" w:rsidRPr="00910078" w:rsidRDefault="004634F9">
      <w:pPr>
        <w:spacing w:line="360" w:lineRule="auto"/>
        <w:rPr>
          <w:rFonts w:ascii="Palatino Linotype" w:eastAsia="Palatino Linotype" w:hAnsi="Palatino Linotype" w:cs="Palatino Linotype"/>
          <w:sz w:val="22"/>
          <w:szCs w:val="22"/>
        </w:rPr>
      </w:pPr>
    </w:p>
    <w:p w14:paraId="153F5A73"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Por lo anterior, el número de cuenta bancaria debe ser clasificado como confidencial con fundamento en las fracciones I y II del artículo 143 de la Ley de la Materia vigente en la </w:t>
      </w:r>
      <w:r w:rsidRPr="00910078">
        <w:rPr>
          <w:rFonts w:ascii="Palatino Linotype" w:eastAsia="Palatino Linotype" w:hAnsi="Palatino Linotype" w:cs="Palatino Linotype"/>
          <w:sz w:val="22"/>
          <w:szCs w:val="22"/>
        </w:rPr>
        <w:lastRenderedPageBreak/>
        <w:t>Entidad; en razón de que con su difusión se estaría poniendo en riesgo la seguridad de su titular.</w:t>
      </w:r>
    </w:p>
    <w:p w14:paraId="3A7DAD04" w14:textId="77777777" w:rsidR="004634F9" w:rsidRPr="00910078" w:rsidRDefault="004634F9">
      <w:pPr>
        <w:spacing w:line="360" w:lineRule="auto"/>
        <w:rPr>
          <w:rFonts w:ascii="Palatino Linotype" w:eastAsia="Palatino Linotype" w:hAnsi="Palatino Linotype" w:cs="Palatino Linotype"/>
          <w:sz w:val="22"/>
          <w:szCs w:val="22"/>
        </w:rPr>
      </w:pPr>
    </w:p>
    <w:p w14:paraId="026357FC"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En esa virtud, este Pleno determina que dicha información no puede ser del dominio público, toda vez que se podría dar un uso inadecuado a la misma o cometer algún ilícito o fraude como ya ha sido expuesto. </w:t>
      </w:r>
    </w:p>
    <w:p w14:paraId="383316BE" w14:textId="77777777" w:rsidR="004634F9" w:rsidRPr="00910078" w:rsidRDefault="004634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AFC59B5"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5E0A47B3" w14:textId="77777777" w:rsidR="004634F9" w:rsidRPr="00910078" w:rsidRDefault="004634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B6D7ACA"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Lo argumentado encuentra sustento en los criterios 10/17 y 11/17 emitidos por el Instituto Nacional de Transparencia, Acceso a la Información y Protección de Datos Personales, INAI, que llevan por rubro y texto los siguientes:</w:t>
      </w:r>
    </w:p>
    <w:p w14:paraId="420C6C47" w14:textId="77777777" w:rsidR="004634F9" w:rsidRPr="00910078" w:rsidRDefault="004634F9">
      <w:pPr>
        <w:spacing w:line="360" w:lineRule="auto"/>
        <w:rPr>
          <w:rFonts w:ascii="Palatino Linotype" w:eastAsia="Palatino Linotype" w:hAnsi="Palatino Linotype" w:cs="Palatino Linotype"/>
          <w:sz w:val="22"/>
          <w:szCs w:val="22"/>
        </w:rPr>
      </w:pPr>
    </w:p>
    <w:p w14:paraId="71A2B1E9" w14:textId="77777777" w:rsidR="004634F9" w:rsidRPr="00910078" w:rsidRDefault="00E75A4A" w:rsidP="009F5545">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Cuentas bancarias y/o CLABE interbancaria de personas físicas y morales privadas.</w:t>
      </w:r>
      <w:r w:rsidRPr="00910078">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9903AD9" w14:textId="77777777" w:rsidR="004634F9" w:rsidRPr="00910078" w:rsidRDefault="004634F9" w:rsidP="009F5545">
      <w:pPr>
        <w:spacing w:line="276" w:lineRule="auto"/>
        <w:ind w:left="864" w:right="616"/>
        <w:rPr>
          <w:rFonts w:ascii="Palatino Linotype" w:eastAsia="Palatino Linotype" w:hAnsi="Palatino Linotype" w:cs="Palatino Linotype"/>
          <w:sz w:val="22"/>
          <w:szCs w:val="22"/>
        </w:rPr>
      </w:pPr>
    </w:p>
    <w:p w14:paraId="7D2E4C67" w14:textId="77777777" w:rsidR="004634F9" w:rsidRPr="00910078" w:rsidRDefault="00E75A4A" w:rsidP="009F5545">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910078">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w:t>
      </w:r>
      <w:r w:rsidRPr="00910078">
        <w:rPr>
          <w:rFonts w:ascii="Palatino Linotype" w:eastAsia="Palatino Linotype" w:hAnsi="Palatino Linotype" w:cs="Palatino Linotype"/>
          <w:i/>
          <w:sz w:val="22"/>
          <w:szCs w:val="22"/>
        </w:rPr>
        <w:lastRenderedPageBreak/>
        <w:t>administran los recursos públicos, razón por la cual no pueden considerarse como información clasificada.</w:t>
      </w:r>
    </w:p>
    <w:p w14:paraId="743606BF" w14:textId="77777777" w:rsidR="004634F9" w:rsidRPr="00910078" w:rsidRDefault="004634F9">
      <w:pPr>
        <w:rPr>
          <w:rFonts w:ascii="Palatino Linotype" w:eastAsia="Palatino Linotype" w:hAnsi="Palatino Linotype" w:cs="Palatino Linotype"/>
          <w:sz w:val="22"/>
          <w:szCs w:val="22"/>
        </w:rPr>
      </w:pPr>
    </w:p>
    <w:p w14:paraId="57ADCCFD"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Por cuanto hace a los </w:t>
      </w:r>
      <w:r w:rsidRPr="00910078">
        <w:rPr>
          <w:rFonts w:ascii="Palatino Linotype" w:eastAsia="Palatino Linotype" w:hAnsi="Palatino Linotype" w:cs="Palatino Linotype"/>
          <w:b/>
          <w:sz w:val="22"/>
          <w:szCs w:val="22"/>
        </w:rPr>
        <w:t>préstamos o descuentos de carácter personal</w:t>
      </w:r>
      <w:r w:rsidRPr="00910078">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14:paraId="419DECA3" w14:textId="77777777" w:rsidR="004634F9" w:rsidRPr="00910078" w:rsidRDefault="004634F9">
      <w:pPr>
        <w:spacing w:line="360" w:lineRule="auto"/>
        <w:rPr>
          <w:rFonts w:ascii="Palatino Linotype" w:eastAsia="Palatino Linotype" w:hAnsi="Palatino Linotype" w:cs="Palatino Linotype"/>
          <w:sz w:val="22"/>
          <w:szCs w:val="22"/>
        </w:rPr>
      </w:pPr>
    </w:p>
    <w:p w14:paraId="628C042D"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14:paraId="30891FD2" w14:textId="77777777" w:rsidR="004634F9" w:rsidRPr="00910078" w:rsidRDefault="004634F9">
      <w:pPr>
        <w:spacing w:line="360" w:lineRule="auto"/>
        <w:rPr>
          <w:rFonts w:ascii="Palatino Linotype" w:eastAsia="Palatino Linotype" w:hAnsi="Palatino Linotype" w:cs="Palatino Linotype"/>
          <w:sz w:val="22"/>
          <w:szCs w:val="22"/>
        </w:rPr>
      </w:pPr>
    </w:p>
    <w:p w14:paraId="17967D3B"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 xml:space="preserve">ARTÍCULO 84. </w:t>
      </w:r>
      <w:r w:rsidRPr="00910078">
        <w:rPr>
          <w:rFonts w:ascii="Palatino Linotype" w:eastAsia="Palatino Linotype" w:hAnsi="Palatino Linotype" w:cs="Palatino Linotype"/>
          <w:i/>
          <w:sz w:val="22"/>
          <w:szCs w:val="22"/>
        </w:rPr>
        <w:t>Sólo podrán hacerse retenciones, descuentos o deducciones al sueldo de los servidores públicos por concepto de:</w:t>
      </w:r>
    </w:p>
    <w:p w14:paraId="034EEDEB"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I. Gravámenes fiscales relacionados con el sueldo;</w:t>
      </w:r>
    </w:p>
    <w:p w14:paraId="060A0DAB"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4ABAFC90"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III. Cuotas sindicales;</w:t>
      </w:r>
    </w:p>
    <w:p w14:paraId="02780DED"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52BAFDAF"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6AA31271"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0D07712A"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VII. Faltas de puntualidad o de asistencia injustificadas;</w:t>
      </w:r>
    </w:p>
    <w:p w14:paraId="718D1240"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VIII. Pensiones alimenticias ordenadas por la autoridad judicial;</w:t>
      </w:r>
      <w:r w:rsidRPr="00910078">
        <w:rPr>
          <w:rFonts w:ascii="Palatino Linotype" w:eastAsia="Palatino Linotype" w:hAnsi="Palatino Linotype" w:cs="Palatino Linotype"/>
          <w:i/>
          <w:sz w:val="22"/>
          <w:szCs w:val="22"/>
        </w:rPr>
        <w:t xml:space="preserve"> o</w:t>
      </w:r>
    </w:p>
    <w:p w14:paraId="4C0211B8"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IX. Cualquier otro convenido con instituciones de servicios y aceptado por el servidor público.</w:t>
      </w:r>
    </w:p>
    <w:p w14:paraId="066E8C0D"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w:t>
      </w:r>
      <w:r w:rsidRPr="00910078">
        <w:rPr>
          <w:rFonts w:ascii="Palatino Linotype" w:eastAsia="Palatino Linotype" w:hAnsi="Palatino Linotype" w:cs="Palatino Linotype"/>
          <w:i/>
          <w:sz w:val="22"/>
          <w:szCs w:val="22"/>
        </w:rPr>
        <w:lastRenderedPageBreak/>
        <w:t>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59FF77C8" w14:textId="77777777" w:rsidR="004634F9" w:rsidRPr="00910078" w:rsidRDefault="004634F9">
      <w:pPr>
        <w:spacing w:line="360" w:lineRule="auto"/>
        <w:rPr>
          <w:rFonts w:ascii="Palatino Linotype" w:eastAsia="Palatino Linotype" w:hAnsi="Palatino Linotype" w:cs="Palatino Linotype"/>
          <w:sz w:val="22"/>
          <w:szCs w:val="22"/>
        </w:rPr>
      </w:pPr>
    </w:p>
    <w:p w14:paraId="38A3222D"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6562EF1D" w14:textId="77777777" w:rsidR="004634F9" w:rsidRPr="00910078" w:rsidRDefault="004634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F7C126A"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Con relación al </w:t>
      </w:r>
      <w:r w:rsidRPr="00910078">
        <w:rPr>
          <w:rFonts w:ascii="Palatino Linotype" w:eastAsia="Palatino Linotype" w:hAnsi="Palatino Linotype" w:cs="Palatino Linotype"/>
          <w:b/>
          <w:sz w:val="22"/>
          <w:szCs w:val="22"/>
        </w:rPr>
        <w:t>número de empleado</w:t>
      </w:r>
      <w:r w:rsidRPr="00910078">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75DB2F0B"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14:paraId="74A89E39" w14:textId="77777777" w:rsidR="004634F9" w:rsidRPr="00910078" w:rsidRDefault="004634F9">
      <w:pPr>
        <w:spacing w:line="360" w:lineRule="auto"/>
        <w:rPr>
          <w:rFonts w:ascii="Palatino Linotype" w:eastAsia="Palatino Linotype" w:hAnsi="Palatino Linotype" w:cs="Palatino Linotype"/>
          <w:sz w:val="22"/>
          <w:szCs w:val="22"/>
        </w:rPr>
      </w:pPr>
    </w:p>
    <w:p w14:paraId="03CAD9D6"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 xml:space="preserve">Número de empleado. </w:t>
      </w:r>
      <w:r w:rsidRPr="00910078">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1813943A" w14:textId="77777777" w:rsidR="004634F9" w:rsidRPr="00910078" w:rsidRDefault="004634F9">
      <w:pPr>
        <w:spacing w:line="360" w:lineRule="auto"/>
        <w:rPr>
          <w:rFonts w:ascii="Palatino Linotype" w:eastAsia="Palatino Linotype" w:hAnsi="Palatino Linotype" w:cs="Palatino Linotype"/>
          <w:sz w:val="22"/>
          <w:szCs w:val="22"/>
        </w:rPr>
      </w:pPr>
    </w:p>
    <w:p w14:paraId="422A325D"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w:t>
      </w:r>
      <w:r w:rsidRPr="00910078">
        <w:rPr>
          <w:rFonts w:ascii="Palatino Linotype" w:eastAsia="Palatino Linotype" w:hAnsi="Palatino Linotype" w:cs="Palatino Linotype"/>
          <w:b/>
          <w:sz w:val="22"/>
          <w:szCs w:val="22"/>
        </w:rPr>
        <w:t>EL SUJETO OBLIGADO</w:t>
      </w:r>
      <w:r w:rsidRPr="00910078">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67DAE396" w14:textId="77777777" w:rsidR="004634F9" w:rsidRPr="00910078" w:rsidRDefault="00E75A4A">
      <w:pPr>
        <w:spacing w:line="360" w:lineRule="auto"/>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br/>
      </w:r>
      <w:r w:rsidRPr="00910078">
        <w:rPr>
          <w:rFonts w:ascii="Palatino Linotype" w:eastAsia="Palatino Linotype" w:hAnsi="Palatino Linotype" w:cs="Palatino Linotype"/>
          <w:b/>
          <w:sz w:val="22"/>
          <w:szCs w:val="22"/>
        </w:rPr>
        <w:t>De la información fiscal</w:t>
      </w:r>
      <w:r w:rsidRPr="00910078">
        <w:rPr>
          <w:rFonts w:ascii="Palatino Linotype" w:eastAsia="Palatino Linotype" w:hAnsi="Palatino Linotype" w:cs="Palatino Linotype"/>
          <w:sz w:val="22"/>
          <w:szCs w:val="22"/>
        </w:rPr>
        <w:t>: </w:t>
      </w:r>
    </w:p>
    <w:p w14:paraId="5359EE79"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La </w:t>
      </w:r>
      <w:r w:rsidRPr="00910078">
        <w:rPr>
          <w:rFonts w:ascii="Palatino Linotype" w:eastAsia="Palatino Linotype" w:hAnsi="Palatino Linotype" w:cs="Palatino Linotype"/>
          <w:b/>
          <w:sz w:val="22"/>
          <w:szCs w:val="22"/>
        </w:rPr>
        <w:t>Cadena Original</w:t>
      </w:r>
      <w:r w:rsidRPr="00910078">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xml:space="preserve"> analizar dicha circunstancia con la finalidad de proteger, de ser el caso, la información a través de su clasificación por actualizarse el supuesto de confidencialidad.</w:t>
      </w:r>
    </w:p>
    <w:p w14:paraId="3C1E70E6" w14:textId="77777777" w:rsidR="004634F9" w:rsidRPr="00910078" w:rsidRDefault="004634F9">
      <w:pPr>
        <w:spacing w:line="360" w:lineRule="auto"/>
        <w:rPr>
          <w:rFonts w:ascii="Palatino Linotype" w:eastAsia="Palatino Linotype" w:hAnsi="Palatino Linotype" w:cs="Palatino Linotype"/>
          <w:sz w:val="22"/>
          <w:szCs w:val="22"/>
        </w:rPr>
      </w:pPr>
    </w:p>
    <w:p w14:paraId="76DDF255"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Los </w:t>
      </w:r>
      <w:r w:rsidRPr="00910078">
        <w:rPr>
          <w:rFonts w:ascii="Palatino Linotype" w:eastAsia="Palatino Linotype" w:hAnsi="Palatino Linotype" w:cs="Palatino Linotype"/>
          <w:b/>
          <w:sz w:val="22"/>
          <w:szCs w:val="22"/>
        </w:rPr>
        <w:t>códigos bidimensionales</w:t>
      </w:r>
      <w:r w:rsidRPr="00910078">
        <w:rPr>
          <w:rFonts w:ascii="Palatino Linotype" w:eastAsia="Palatino Linotype" w:hAnsi="Palatino Linotype" w:cs="Palatino Linotype"/>
          <w:sz w:val="22"/>
          <w:szCs w:val="22"/>
        </w:rPr>
        <w:t xml:space="preserve"> o </w:t>
      </w:r>
      <w:r w:rsidRPr="00910078">
        <w:rPr>
          <w:rFonts w:ascii="Palatino Linotype" w:eastAsia="Palatino Linotype" w:hAnsi="Palatino Linotype" w:cs="Palatino Linotype"/>
          <w:b/>
          <w:sz w:val="22"/>
          <w:szCs w:val="22"/>
        </w:rPr>
        <w:t xml:space="preserve">códigos QR, </w:t>
      </w:r>
      <w:r w:rsidRPr="00910078">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910078">
        <w:rPr>
          <w:rFonts w:ascii="Palatino Linotype" w:eastAsia="Palatino Linotype" w:hAnsi="Palatino Linotype" w:cs="Palatino Linotype"/>
          <w:b/>
          <w:sz w:val="22"/>
          <w:szCs w:val="22"/>
        </w:rPr>
        <w:t xml:space="preserve">Sujeto Obligado </w:t>
      </w:r>
      <w:r w:rsidRPr="00910078">
        <w:rPr>
          <w:rFonts w:ascii="Palatino Linotype" w:eastAsia="Palatino Linotype" w:hAnsi="Palatino Linotype" w:cs="Palatino Linotype"/>
          <w:sz w:val="22"/>
          <w:szCs w:val="22"/>
        </w:rPr>
        <w:t xml:space="preserve">analizar dicha </w:t>
      </w:r>
      <w:r w:rsidRPr="00910078">
        <w:rPr>
          <w:rFonts w:ascii="Palatino Linotype" w:eastAsia="Palatino Linotype" w:hAnsi="Palatino Linotype" w:cs="Palatino Linotype"/>
          <w:sz w:val="22"/>
          <w:szCs w:val="22"/>
        </w:rPr>
        <w:lastRenderedPageBreak/>
        <w:t>circunstancia con la finalidad de determinar si se actualiza algún supuesto de confidencialidad.</w:t>
      </w:r>
    </w:p>
    <w:p w14:paraId="3BA68B5C" w14:textId="77777777" w:rsidR="004634F9" w:rsidRPr="00910078" w:rsidRDefault="004634F9">
      <w:pPr>
        <w:spacing w:line="360" w:lineRule="auto"/>
        <w:rPr>
          <w:rFonts w:ascii="Palatino Linotype" w:eastAsia="Palatino Linotype" w:hAnsi="Palatino Linotype" w:cs="Palatino Linotype"/>
          <w:sz w:val="22"/>
          <w:szCs w:val="22"/>
        </w:rPr>
      </w:pPr>
    </w:p>
    <w:p w14:paraId="7F3D1239"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En tal sentido, si derivado del análisis efectuado por </w:t>
      </w:r>
      <w:r w:rsidRPr="00910078">
        <w:rPr>
          <w:rFonts w:ascii="Palatino Linotype" w:eastAsia="Palatino Linotype" w:hAnsi="Palatino Linotype" w:cs="Palatino Linotype"/>
          <w:b/>
          <w:sz w:val="22"/>
          <w:szCs w:val="22"/>
        </w:rPr>
        <w:t xml:space="preserve">EL SUJETO OBLIGADO </w:t>
      </w:r>
      <w:r w:rsidRPr="00910078">
        <w:rPr>
          <w:rFonts w:ascii="Palatino Linotype" w:eastAsia="Palatino Linotype" w:hAnsi="Palatino Linotype" w:cs="Palatino Linotype"/>
          <w:sz w:val="22"/>
          <w:szCs w:val="22"/>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64F111AF" w14:textId="77777777" w:rsidR="004634F9" w:rsidRPr="00910078" w:rsidRDefault="004634F9">
      <w:pPr>
        <w:spacing w:line="360" w:lineRule="auto"/>
        <w:rPr>
          <w:rFonts w:ascii="Palatino Linotype" w:eastAsia="Palatino Linotype" w:hAnsi="Palatino Linotype" w:cs="Palatino Linotype"/>
          <w:sz w:val="22"/>
          <w:szCs w:val="22"/>
        </w:rPr>
      </w:pPr>
    </w:p>
    <w:p w14:paraId="0F4065E1"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Por otro lado, derivado de la información que se ordena entregar pudiera existir información de la </w:t>
      </w:r>
      <w:r w:rsidRPr="00910078">
        <w:rPr>
          <w:rFonts w:ascii="Palatino Linotype" w:eastAsia="Palatino Linotype" w:hAnsi="Palatino Linotype" w:cs="Palatino Linotype"/>
          <w:b/>
          <w:sz w:val="22"/>
          <w:szCs w:val="22"/>
        </w:rPr>
        <w:t>Dirección de Seguridad Pública del Ayuntamiento o su equivalente,</w:t>
      </w:r>
      <w:r w:rsidRPr="00910078">
        <w:rPr>
          <w:rFonts w:ascii="Palatino Linotype" w:eastAsia="Palatino Linotype" w:hAnsi="Palatino Linotype" w:cs="Palatino Linotype"/>
          <w:sz w:val="22"/>
          <w:szCs w:val="22"/>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910078">
        <w:rPr>
          <w:rFonts w:ascii="Palatino Linotype" w:eastAsia="Palatino Linotype" w:hAnsi="Palatino Linotype" w:cs="Palatino Linotype"/>
          <w:b/>
          <w:sz w:val="22"/>
          <w:szCs w:val="22"/>
        </w:rPr>
        <w:t>que desempeñen funciones operativas</w:t>
      </w:r>
      <w:r w:rsidRPr="00910078">
        <w:rPr>
          <w:rFonts w:ascii="Palatino Linotype" w:eastAsia="Palatino Linotype" w:hAnsi="Palatino Linotype" w:cs="Palatino Linotype"/>
          <w:sz w:val="22"/>
          <w:szCs w:val="22"/>
        </w:rPr>
        <w:t>.</w:t>
      </w:r>
    </w:p>
    <w:p w14:paraId="34913385" w14:textId="77777777" w:rsidR="004634F9" w:rsidRPr="00910078" w:rsidRDefault="004634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172336F"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Al respecto, la información </w:t>
      </w:r>
      <w:r w:rsidRPr="00910078">
        <w:rPr>
          <w:rFonts w:ascii="Palatino Linotype" w:eastAsia="Palatino Linotype" w:hAnsi="Palatino Linotype" w:cs="Palatino Linotype"/>
          <w:b/>
          <w:sz w:val="22"/>
          <w:szCs w:val="22"/>
        </w:rPr>
        <w:t>de los elementos que realizan funciones operativas, entre ellos su nombre debe ser protegido</w:t>
      </w:r>
      <w:r w:rsidRPr="00910078">
        <w:rPr>
          <w:rFonts w:ascii="Palatino Linotype" w:eastAsia="Palatino Linotype" w:hAnsi="Palatino Linotype" w:cs="Palatino Linotype"/>
          <w:sz w:val="22"/>
          <w:szCs w:val="22"/>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552BF30D"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12182FBD"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44EC1C5C" w14:textId="77777777" w:rsidR="004634F9" w:rsidRPr="00910078" w:rsidRDefault="004634F9">
      <w:pPr>
        <w:spacing w:line="360" w:lineRule="auto"/>
        <w:rPr>
          <w:rFonts w:ascii="Palatino Linotype" w:eastAsia="Palatino Linotype" w:hAnsi="Palatino Linotype" w:cs="Palatino Linotype"/>
          <w:sz w:val="22"/>
          <w:szCs w:val="22"/>
        </w:rPr>
      </w:pPr>
    </w:p>
    <w:p w14:paraId="3108BFD4"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w:t>
      </w:r>
      <w:r w:rsidRPr="00910078">
        <w:rPr>
          <w:rFonts w:ascii="Palatino Linotype" w:eastAsia="Palatino Linotype" w:hAnsi="Palatino Linotype" w:cs="Palatino Linotype"/>
          <w:sz w:val="22"/>
          <w:szCs w:val="22"/>
        </w:rPr>
        <w:lastRenderedPageBreak/>
        <w:t>pública para la preservación del orden y la paz pública, por lo que, no se trata de una medida desproporcional, ni excesiva.</w:t>
      </w:r>
    </w:p>
    <w:p w14:paraId="37B3E9A7" w14:textId="77777777" w:rsidR="004634F9" w:rsidRPr="00910078" w:rsidRDefault="004634F9">
      <w:pPr>
        <w:spacing w:line="360" w:lineRule="auto"/>
        <w:rPr>
          <w:rFonts w:ascii="Palatino Linotype" w:eastAsia="Palatino Linotype" w:hAnsi="Palatino Linotype" w:cs="Palatino Linotype"/>
          <w:sz w:val="22"/>
          <w:szCs w:val="22"/>
        </w:rPr>
      </w:pPr>
    </w:p>
    <w:p w14:paraId="0C178A02"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En ese entendido, la leyenda de clasificación que se genere deberá establecer ambos supuestos de clasificación: reserva y confidencialidad, en congruencia con los requisitos establecidos en los lineamientos citados.</w:t>
      </w:r>
    </w:p>
    <w:p w14:paraId="7E161623" w14:textId="77777777" w:rsidR="004634F9" w:rsidRPr="00910078" w:rsidRDefault="004634F9">
      <w:pPr>
        <w:spacing w:line="360" w:lineRule="auto"/>
        <w:rPr>
          <w:rFonts w:ascii="Palatino Linotype" w:eastAsia="Palatino Linotype" w:hAnsi="Palatino Linotype" w:cs="Palatino Linotype"/>
          <w:sz w:val="22"/>
          <w:szCs w:val="22"/>
        </w:rPr>
      </w:pPr>
    </w:p>
    <w:p w14:paraId="305C2B63"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5AF93361" w14:textId="77777777" w:rsidR="004634F9" w:rsidRPr="00910078" w:rsidRDefault="004634F9">
      <w:pPr>
        <w:spacing w:line="360" w:lineRule="auto"/>
        <w:rPr>
          <w:rFonts w:ascii="Palatino Linotype" w:eastAsia="Palatino Linotype" w:hAnsi="Palatino Linotype" w:cs="Palatino Linotype"/>
          <w:sz w:val="22"/>
          <w:szCs w:val="22"/>
        </w:rPr>
      </w:pPr>
    </w:p>
    <w:p w14:paraId="2534F5D8" w14:textId="77777777" w:rsidR="004634F9" w:rsidRPr="00910078" w:rsidRDefault="00E75A4A" w:rsidP="009F5545">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910078">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910078">
        <w:rPr>
          <w:rFonts w:ascii="Palatino Linotype" w:eastAsia="Palatino Linotype" w:hAnsi="Palatino Linotype" w:cs="Palatino Linotype"/>
          <w:i/>
          <w:sz w:val="22"/>
          <w:szCs w:val="22"/>
        </w:rPr>
        <w:t>obstante</w:t>
      </w:r>
      <w:proofErr w:type="gramEnd"/>
      <w:r w:rsidRPr="00910078">
        <w:rPr>
          <w:rFonts w:ascii="Palatino Linotype" w:eastAsia="Palatino Linotype" w:hAnsi="Palatino Linotype" w:cs="Palatino Linotype"/>
          <w:i/>
          <w:sz w:val="22"/>
          <w:szCs w:val="22"/>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w:t>
      </w:r>
      <w:r w:rsidRPr="00910078">
        <w:rPr>
          <w:rFonts w:ascii="Palatino Linotype" w:eastAsia="Palatino Linotype" w:hAnsi="Palatino Linotype" w:cs="Palatino Linotype"/>
          <w:i/>
          <w:sz w:val="22"/>
          <w:szCs w:val="22"/>
        </w:rPr>
        <w:lastRenderedPageBreak/>
        <w:t>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7BC81EA1" w14:textId="77777777" w:rsidR="004634F9" w:rsidRPr="00910078" w:rsidRDefault="004634F9">
      <w:pPr>
        <w:spacing w:line="360" w:lineRule="auto"/>
        <w:rPr>
          <w:rFonts w:ascii="Palatino Linotype" w:eastAsia="Palatino Linotype" w:hAnsi="Palatino Linotype" w:cs="Palatino Linotype"/>
          <w:sz w:val="22"/>
          <w:szCs w:val="22"/>
        </w:rPr>
      </w:pPr>
    </w:p>
    <w:p w14:paraId="474C0B69"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910078">
        <w:rPr>
          <w:rFonts w:ascii="Palatino Linotype" w:eastAsia="Palatino Linotype" w:hAnsi="Palatino Linotype" w:cs="Palatino Linotype"/>
          <w:b/>
          <w:sz w:val="22"/>
          <w:szCs w:val="22"/>
        </w:rPr>
        <w:t>funciones de carácter operativo.</w:t>
      </w:r>
    </w:p>
    <w:p w14:paraId="4B5E9DF9" w14:textId="77777777" w:rsidR="004634F9" w:rsidRPr="00910078" w:rsidRDefault="004634F9">
      <w:pPr>
        <w:spacing w:line="360" w:lineRule="auto"/>
        <w:rPr>
          <w:rFonts w:ascii="Palatino Linotype" w:eastAsia="Palatino Linotype" w:hAnsi="Palatino Linotype" w:cs="Palatino Linotype"/>
          <w:sz w:val="22"/>
          <w:szCs w:val="22"/>
        </w:rPr>
      </w:pPr>
    </w:p>
    <w:p w14:paraId="07DF49B4"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Sirven de sustento a lo anterior las tesis jurisprudenciales emitidas por la Suprema corte de Justicia de la Nación, que son del literal siguiente:</w:t>
      </w:r>
    </w:p>
    <w:p w14:paraId="1C1B359E" w14:textId="77777777" w:rsidR="004634F9" w:rsidRPr="00910078" w:rsidRDefault="004634F9">
      <w:pPr>
        <w:spacing w:line="360" w:lineRule="auto"/>
        <w:rPr>
          <w:rFonts w:ascii="Palatino Linotype" w:eastAsia="Palatino Linotype" w:hAnsi="Palatino Linotype" w:cs="Palatino Linotype"/>
          <w:sz w:val="22"/>
          <w:szCs w:val="22"/>
        </w:rPr>
      </w:pPr>
    </w:p>
    <w:p w14:paraId="5AE49CDA" w14:textId="77777777" w:rsidR="004634F9" w:rsidRPr="00910078" w:rsidRDefault="00E75A4A" w:rsidP="009F5545">
      <w:pPr>
        <w:pBdr>
          <w:top w:val="nil"/>
          <w:left w:val="nil"/>
          <w:bottom w:val="nil"/>
          <w:right w:val="nil"/>
          <w:between w:val="nil"/>
        </w:pBdr>
        <w:ind w:left="864"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910078">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w:t>
      </w:r>
      <w:r w:rsidRPr="00910078">
        <w:rPr>
          <w:rFonts w:ascii="Palatino Linotype" w:eastAsia="Palatino Linotype" w:hAnsi="Palatino Linotype" w:cs="Palatino Linotype"/>
          <w:i/>
          <w:sz w:val="22"/>
          <w:szCs w:val="22"/>
        </w:rPr>
        <w:lastRenderedPageBreak/>
        <w:t xml:space="preserve">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910078">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910078">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910078">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p>
    <w:p w14:paraId="0F6248B7" w14:textId="77777777" w:rsidR="004634F9" w:rsidRPr="00910078" w:rsidRDefault="004634F9" w:rsidP="009F5545">
      <w:pPr>
        <w:ind w:left="864" w:right="616"/>
        <w:rPr>
          <w:rFonts w:ascii="Palatino Linotype" w:eastAsia="Palatino Linotype" w:hAnsi="Palatino Linotype" w:cs="Palatino Linotype"/>
          <w:sz w:val="22"/>
          <w:szCs w:val="22"/>
        </w:rPr>
      </w:pPr>
    </w:p>
    <w:p w14:paraId="488C4F13" w14:textId="77777777" w:rsidR="004634F9" w:rsidRPr="00910078" w:rsidRDefault="00E75A4A" w:rsidP="009F5545">
      <w:pPr>
        <w:pBdr>
          <w:top w:val="nil"/>
          <w:left w:val="nil"/>
          <w:bottom w:val="nil"/>
          <w:right w:val="nil"/>
          <w:between w:val="nil"/>
        </w:pBdr>
        <w:ind w:left="864"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sidRPr="00910078">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910078">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910078">
        <w:rPr>
          <w:rFonts w:ascii="Palatino Linotype" w:eastAsia="Palatino Linotype" w:hAnsi="Palatino Linotype" w:cs="Palatino Linotype"/>
          <w:i/>
          <w:sz w:val="22"/>
          <w:szCs w:val="22"/>
        </w:rPr>
        <w:t xml:space="preserve">, la cual debe ser adecuada y necesaria para alcanzar el fin perseguido, de manera que las ventajas obtenidas con </w:t>
      </w:r>
      <w:r w:rsidRPr="00910078">
        <w:rPr>
          <w:rFonts w:ascii="Palatino Linotype" w:eastAsia="Palatino Linotype" w:hAnsi="Palatino Linotype" w:cs="Palatino Linotype"/>
          <w:i/>
          <w:sz w:val="22"/>
          <w:szCs w:val="22"/>
        </w:rPr>
        <w:lastRenderedPageBreak/>
        <w:t>la reserva compensen el sacrificio que ésta implique para los titulares de la garantía individual mencionada o para la sociedad en general.</w:t>
      </w:r>
    </w:p>
    <w:p w14:paraId="49C26764" w14:textId="77777777" w:rsidR="004634F9" w:rsidRPr="00910078" w:rsidRDefault="004634F9">
      <w:pPr>
        <w:spacing w:line="360" w:lineRule="auto"/>
        <w:rPr>
          <w:rFonts w:ascii="Palatino Linotype" w:eastAsia="Palatino Linotype" w:hAnsi="Palatino Linotype" w:cs="Palatino Linotype"/>
          <w:sz w:val="22"/>
          <w:szCs w:val="22"/>
        </w:rPr>
      </w:pPr>
    </w:p>
    <w:p w14:paraId="420538DA"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910078">
        <w:rPr>
          <w:rFonts w:ascii="Palatino Linotype" w:eastAsia="Palatino Linotype" w:hAnsi="Palatino Linotype" w:cs="Palatino Linotype"/>
          <w:b/>
          <w:sz w:val="22"/>
          <w:szCs w:val="22"/>
          <w:u w:val="single"/>
        </w:rPr>
        <w:t>razones, motivos o circunstancias especiales</w:t>
      </w:r>
      <w:r w:rsidRPr="00910078">
        <w:rPr>
          <w:rFonts w:ascii="Palatino Linotype" w:eastAsia="Palatino Linotype" w:hAnsi="Palatino Linotype" w:cs="Palatino Linotype"/>
          <w:sz w:val="22"/>
          <w:szCs w:val="22"/>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5D62CEA6" w14:textId="77777777" w:rsidR="004634F9" w:rsidRPr="00910078" w:rsidRDefault="004634F9">
      <w:pPr>
        <w:spacing w:line="360" w:lineRule="auto"/>
        <w:rPr>
          <w:rFonts w:ascii="Palatino Linotype" w:eastAsia="Palatino Linotype" w:hAnsi="Palatino Linotype" w:cs="Palatino Linotype"/>
          <w:sz w:val="22"/>
          <w:szCs w:val="22"/>
        </w:rPr>
      </w:pPr>
    </w:p>
    <w:p w14:paraId="329E8CC6" w14:textId="77777777" w:rsidR="004634F9" w:rsidRPr="00910078" w:rsidRDefault="00E75A4A">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910078">
        <w:rPr>
          <w:rFonts w:ascii="Palatino Linotype" w:eastAsia="Palatino Linotype" w:hAnsi="Palatino Linotype" w:cs="Palatino Linotype"/>
          <w:sz w:val="22"/>
          <w:szCs w:val="22"/>
        </w:rPr>
        <w:t>Responsable</w:t>
      </w:r>
      <w:proofErr w:type="gramEnd"/>
      <w:r w:rsidRPr="00910078">
        <w:rPr>
          <w:rFonts w:ascii="Palatino Linotype" w:eastAsia="Palatino Linotype" w:hAnsi="Palatino Linotype" w:cs="Palatino Linotype"/>
          <w:sz w:val="22"/>
          <w:szCs w:val="22"/>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078B52F0" w14:textId="77777777" w:rsidR="004634F9" w:rsidRPr="00910078" w:rsidRDefault="004634F9">
      <w:pPr>
        <w:spacing w:line="360" w:lineRule="auto"/>
        <w:rPr>
          <w:rFonts w:ascii="Palatino Linotype" w:eastAsia="Palatino Linotype" w:hAnsi="Palatino Linotype" w:cs="Palatino Linotype"/>
          <w:sz w:val="22"/>
          <w:szCs w:val="22"/>
        </w:rPr>
      </w:pPr>
    </w:p>
    <w:p w14:paraId="06F96DD9" w14:textId="77777777" w:rsidR="004634F9" w:rsidRPr="00910078" w:rsidRDefault="00E75A4A" w:rsidP="009F5545">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lastRenderedPageBreak/>
        <w:t>Artículo 49.</w:t>
      </w:r>
      <w:r w:rsidRPr="00910078">
        <w:rPr>
          <w:rFonts w:ascii="Palatino Linotype" w:eastAsia="Palatino Linotype" w:hAnsi="Palatino Linotype" w:cs="Palatino Linotype"/>
          <w:i/>
          <w:sz w:val="22"/>
          <w:szCs w:val="22"/>
        </w:rPr>
        <w:t xml:space="preserve"> Los Comités de Transparencia tendrán las siguientes atribuciones:</w:t>
      </w:r>
    </w:p>
    <w:p w14:paraId="29F7DB33" w14:textId="77777777" w:rsidR="004634F9" w:rsidRPr="00910078" w:rsidRDefault="00E75A4A" w:rsidP="009F5545">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w:t>
      </w:r>
    </w:p>
    <w:p w14:paraId="24A1044D" w14:textId="77777777" w:rsidR="004634F9" w:rsidRPr="00910078" w:rsidRDefault="00E75A4A" w:rsidP="009F5545">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VIII. Aprobar, modificar o revocar la clasificación de la información;</w:t>
      </w:r>
    </w:p>
    <w:p w14:paraId="502ED078" w14:textId="77777777" w:rsidR="004634F9" w:rsidRPr="00910078" w:rsidRDefault="00E75A4A" w:rsidP="009F5545">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w:t>
      </w:r>
    </w:p>
    <w:p w14:paraId="2F0064E9" w14:textId="77777777" w:rsidR="004634F9" w:rsidRPr="00910078" w:rsidRDefault="00E75A4A" w:rsidP="009F5545">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Artículo 53.</w:t>
      </w:r>
      <w:r w:rsidRPr="00910078">
        <w:rPr>
          <w:rFonts w:ascii="Palatino Linotype" w:eastAsia="Palatino Linotype" w:hAnsi="Palatino Linotype" w:cs="Palatino Linotype"/>
          <w:i/>
          <w:sz w:val="22"/>
          <w:szCs w:val="22"/>
        </w:rPr>
        <w:t xml:space="preserve"> Las Unidades de Transparencia tendrán las siguientes funciones:</w:t>
      </w:r>
    </w:p>
    <w:p w14:paraId="3D2C05E7" w14:textId="77777777" w:rsidR="004634F9" w:rsidRPr="00910078" w:rsidRDefault="00E75A4A" w:rsidP="009F5545">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w:t>
      </w:r>
    </w:p>
    <w:p w14:paraId="5CEB3ECA" w14:textId="77777777" w:rsidR="004634F9" w:rsidRPr="00910078" w:rsidRDefault="00E75A4A" w:rsidP="009F5545">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X. Presentar ante el Comité, el proyecto de clasificación de información…</w:t>
      </w:r>
    </w:p>
    <w:p w14:paraId="47D4BD59" w14:textId="77777777" w:rsidR="004634F9" w:rsidRPr="00910078" w:rsidRDefault="00E75A4A" w:rsidP="009F5545">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w:t>
      </w:r>
    </w:p>
    <w:p w14:paraId="4770E3BC" w14:textId="77777777" w:rsidR="004634F9" w:rsidRPr="00910078" w:rsidRDefault="00E75A4A" w:rsidP="009F5545">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Artículo 59.</w:t>
      </w:r>
      <w:r w:rsidRPr="00910078">
        <w:rPr>
          <w:rFonts w:ascii="Palatino Linotype" w:eastAsia="Palatino Linotype" w:hAnsi="Palatino Linotype" w:cs="Palatino Linotype"/>
          <w:i/>
          <w:sz w:val="22"/>
          <w:szCs w:val="22"/>
        </w:rPr>
        <w:t xml:space="preserve"> Los servidores públicos habilitados tendrán las funciones siguientes:</w:t>
      </w:r>
    </w:p>
    <w:p w14:paraId="50DD8C6C" w14:textId="77777777" w:rsidR="004634F9" w:rsidRPr="00910078" w:rsidRDefault="00E75A4A" w:rsidP="009F5545">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w:t>
      </w:r>
    </w:p>
    <w:p w14:paraId="5E60DF01" w14:textId="77777777" w:rsidR="004634F9" w:rsidRPr="00910078" w:rsidRDefault="00E75A4A" w:rsidP="009F5545">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4558060D" w14:textId="77777777" w:rsidR="004634F9" w:rsidRPr="00910078" w:rsidRDefault="00E75A4A" w:rsidP="009F5545">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w:t>
      </w:r>
    </w:p>
    <w:p w14:paraId="5CECEEA6" w14:textId="77777777" w:rsidR="004634F9" w:rsidRPr="00910078" w:rsidRDefault="004634F9">
      <w:pPr>
        <w:rPr>
          <w:rFonts w:ascii="Palatino Linotype" w:eastAsia="Palatino Linotype" w:hAnsi="Palatino Linotype" w:cs="Palatino Linotype"/>
          <w:sz w:val="22"/>
          <w:szCs w:val="22"/>
        </w:rPr>
      </w:pPr>
    </w:p>
    <w:p w14:paraId="088C2C8D"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495D353" w14:textId="77777777" w:rsidR="004634F9" w:rsidRPr="00910078" w:rsidRDefault="004634F9">
      <w:pPr>
        <w:spacing w:line="360" w:lineRule="auto"/>
        <w:rPr>
          <w:rFonts w:ascii="Palatino Linotype" w:eastAsia="Palatino Linotype" w:hAnsi="Palatino Linotype" w:cs="Palatino Linotype"/>
          <w:sz w:val="22"/>
          <w:szCs w:val="22"/>
        </w:rPr>
      </w:pPr>
    </w:p>
    <w:p w14:paraId="02D8D02D"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52B70A97" w14:textId="77777777" w:rsidR="004634F9" w:rsidRPr="00910078" w:rsidRDefault="004634F9">
      <w:pPr>
        <w:spacing w:line="360" w:lineRule="auto"/>
        <w:rPr>
          <w:rFonts w:ascii="Palatino Linotype" w:eastAsia="Palatino Linotype" w:hAnsi="Palatino Linotype" w:cs="Palatino Linotype"/>
          <w:sz w:val="22"/>
          <w:szCs w:val="22"/>
        </w:rPr>
      </w:pPr>
    </w:p>
    <w:p w14:paraId="531E1E32" w14:textId="77777777" w:rsidR="004634F9" w:rsidRPr="00910078" w:rsidRDefault="00E75A4A" w:rsidP="009F5545">
      <w:pPr>
        <w:pBdr>
          <w:top w:val="nil"/>
          <w:left w:val="nil"/>
          <w:bottom w:val="nil"/>
          <w:right w:val="nil"/>
          <w:between w:val="nil"/>
        </w:pBdr>
        <w:ind w:left="864"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Artículo 149.</w:t>
      </w:r>
      <w:r w:rsidRPr="00910078">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w:t>
      </w:r>
    </w:p>
    <w:p w14:paraId="45793EC1" w14:textId="77777777" w:rsidR="004634F9" w:rsidRPr="00910078" w:rsidRDefault="004634F9">
      <w:pPr>
        <w:rPr>
          <w:rFonts w:ascii="Palatino Linotype" w:eastAsia="Palatino Linotype" w:hAnsi="Palatino Linotype" w:cs="Palatino Linotype"/>
          <w:sz w:val="22"/>
          <w:szCs w:val="22"/>
        </w:rPr>
      </w:pPr>
    </w:p>
    <w:p w14:paraId="57693CBE" w14:textId="77777777" w:rsidR="004634F9" w:rsidRPr="00910078" w:rsidRDefault="00E75A4A">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lastRenderedPageBreak/>
        <w:t xml:space="preserve">Es decir, </w:t>
      </w:r>
      <w:r w:rsidRPr="00910078">
        <w:rPr>
          <w:rFonts w:ascii="Palatino Linotype" w:eastAsia="Palatino Linotype" w:hAnsi="Palatino Linotype" w:cs="Palatino Linotype"/>
          <w:b/>
          <w:sz w:val="22"/>
          <w:szCs w:val="22"/>
        </w:rPr>
        <w:t>EL SUJETO OBLIGADO</w:t>
      </w:r>
      <w:r w:rsidRPr="00910078">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B4C1B90" w14:textId="77777777" w:rsidR="004634F9" w:rsidRPr="00910078" w:rsidRDefault="004634F9">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31CA5BA6" w14:textId="77777777" w:rsidR="004634F9" w:rsidRPr="00910078" w:rsidRDefault="00E75A4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Por último, respecto a la versión pública de los documentos que contenga la información solicitada, cabe señalar que el Comité de Transparencia del </w:t>
      </w:r>
      <w:r w:rsidRPr="00910078">
        <w:rPr>
          <w:rFonts w:ascii="Palatino Linotype" w:eastAsia="Palatino Linotype" w:hAnsi="Palatino Linotype" w:cs="Palatino Linotype"/>
          <w:b/>
          <w:sz w:val="22"/>
          <w:szCs w:val="22"/>
        </w:rPr>
        <w:t xml:space="preserve">SUJETO OBLIGADO, </w:t>
      </w:r>
      <w:r w:rsidRPr="00910078">
        <w:rPr>
          <w:rFonts w:ascii="Palatino Linotype" w:eastAsia="Palatino Linotype" w:hAnsi="Palatino Linotype" w:cs="Palatino Linotype"/>
          <w:sz w:val="22"/>
          <w:szCs w:val="22"/>
        </w:rPr>
        <w:t>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3B2ABE5B" w14:textId="77777777" w:rsidR="004634F9" w:rsidRPr="00910078" w:rsidRDefault="004634F9">
      <w:pPr>
        <w:pBdr>
          <w:top w:val="nil"/>
          <w:left w:val="nil"/>
          <w:bottom w:val="nil"/>
          <w:right w:val="nil"/>
          <w:between w:val="nil"/>
        </w:pBdr>
        <w:spacing w:line="360" w:lineRule="auto"/>
        <w:ind w:left="851" w:right="851"/>
        <w:jc w:val="both"/>
        <w:rPr>
          <w:rFonts w:ascii="Palatino Linotype" w:eastAsia="Palatino Linotype" w:hAnsi="Palatino Linotype" w:cs="Palatino Linotype"/>
          <w:i/>
          <w:sz w:val="22"/>
          <w:szCs w:val="22"/>
        </w:rPr>
      </w:pPr>
    </w:p>
    <w:p w14:paraId="71D574BC"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Artículo 132.</w:t>
      </w:r>
      <w:r w:rsidRPr="00910078">
        <w:rPr>
          <w:rFonts w:ascii="Palatino Linotype" w:eastAsia="Palatino Linotype" w:hAnsi="Palatino Linotype" w:cs="Palatino Linotype"/>
          <w:i/>
          <w:sz w:val="22"/>
          <w:szCs w:val="22"/>
        </w:rPr>
        <w:t xml:space="preserve"> </w:t>
      </w:r>
      <w:r w:rsidRPr="00910078">
        <w:rPr>
          <w:rFonts w:ascii="Palatino Linotype" w:eastAsia="Palatino Linotype" w:hAnsi="Palatino Linotype" w:cs="Palatino Linotype"/>
          <w:b/>
          <w:i/>
          <w:sz w:val="22"/>
          <w:szCs w:val="22"/>
        </w:rPr>
        <w:t>La clasificación de la información se llevará a cabo en el momento en que:</w:t>
      </w:r>
    </w:p>
    <w:p w14:paraId="24EC3BAC"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w:t>
      </w:r>
    </w:p>
    <w:p w14:paraId="15B9F434"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II.</w:t>
      </w:r>
      <w:r w:rsidRPr="00910078">
        <w:rPr>
          <w:rFonts w:ascii="Palatino Linotype" w:eastAsia="Palatino Linotype" w:hAnsi="Palatino Linotype" w:cs="Palatino Linotype"/>
          <w:i/>
          <w:sz w:val="22"/>
          <w:szCs w:val="22"/>
        </w:rPr>
        <w:t xml:space="preserve"> Se determine mediante resolución de autoridad competente; o</w:t>
      </w:r>
    </w:p>
    <w:p w14:paraId="19DA23A5"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III</w:t>
      </w:r>
      <w:r w:rsidRPr="00910078">
        <w:rPr>
          <w:rFonts w:ascii="Palatino Linotype" w:eastAsia="Palatino Linotype" w:hAnsi="Palatino Linotype" w:cs="Palatino Linotype"/>
          <w:i/>
          <w:sz w:val="22"/>
          <w:szCs w:val="22"/>
        </w:rPr>
        <w:t xml:space="preserve">. </w:t>
      </w:r>
      <w:r w:rsidRPr="00910078">
        <w:rPr>
          <w:rFonts w:ascii="Palatino Linotype" w:eastAsia="Palatino Linotype" w:hAnsi="Palatino Linotype" w:cs="Palatino Linotype"/>
          <w:b/>
          <w:i/>
          <w:sz w:val="22"/>
          <w:szCs w:val="22"/>
        </w:rPr>
        <w:t>Se generen versiones públicas para dar cumplimiento a las obligaciones de transparencia previstas en esta Ley</w:t>
      </w:r>
      <w:r w:rsidRPr="00910078">
        <w:rPr>
          <w:rFonts w:ascii="Palatino Linotype" w:eastAsia="Palatino Linotype" w:hAnsi="Palatino Linotype" w:cs="Palatino Linotype"/>
          <w:i/>
          <w:sz w:val="22"/>
          <w:szCs w:val="22"/>
        </w:rPr>
        <w:t>.</w:t>
      </w:r>
    </w:p>
    <w:p w14:paraId="60961F9F" w14:textId="77777777" w:rsidR="004634F9" w:rsidRPr="00910078" w:rsidRDefault="004634F9"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7A47F6D1"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roofErr w:type="gramStart"/>
      <w:r w:rsidRPr="00910078">
        <w:rPr>
          <w:rFonts w:ascii="Palatino Linotype" w:eastAsia="Palatino Linotype" w:hAnsi="Palatino Linotype" w:cs="Palatino Linotype"/>
          <w:b/>
          <w:i/>
          <w:sz w:val="22"/>
          <w:szCs w:val="22"/>
        </w:rPr>
        <w:t>Segundo.-</w:t>
      </w:r>
      <w:proofErr w:type="gramEnd"/>
      <w:r w:rsidRPr="00910078">
        <w:rPr>
          <w:rFonts w:ascii="Palatino Linotype" w:eastAsia="Palatino Linotype" w:hAnsi="Palatino Linotype" w:cs="Palatino Linotype"/>
          <w:i/>
          <w:sz w:val="22"/>
          <w:szCs w:val="22"/>
        </w:rPr>
        <w:t xml:space="preserve"> Para efectos de los presentes Lineamientos Generales, se entenderá por:</w:t>
      </w:r>
    </w:p>
    <w:p w14:paraId="35D4AAE2"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w:t>
      </w:r>
      <w:r w:rsidRPr="00910078">
        <w:rPr>
          <w:rFonts w:ascii="Palatino Linotype" w:eastAsia="Palatino Linotype" w:hAnsi="Palatino Linotype" w:cs="Palatino Linotype"/>
          <w:i/>
          <w:sz w:val="22"/>
          <w:szCs w:val="22"/>
        </w:rPr>
        <w:t>)</w:t>
      </w:r>
    </w:p>
    <w:p w14:paraId="3AAC7CCA"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lastRenderedPageBreak/>
        <w:t>XVIII.</w:t>
      </w:r>
      <w:r w:rsidRPr="00910078">
        <w:rPr>
          <w:rFonts w:ascii="Palatino Linotype" w:eastAsia="Palatino Linotype" w:hAnsi="Palatino Linotype" w:cs="Palatino Linotype"/>
          <w:i/>
          <w:sz w:val="22"/>
          <w:szCs w:val="22"/>
        </w:rPr>
        <w:t xml:space="preserve"> </w:t>
      </w:r>
      <w:r w:rsidRPr="00910078">
        <w:rPr>
          <w:rFonts w:ascii="Palatino Linotype" w:eastAsia="Palatino Linotype" w:hAnsi="Palatino Linotype" w:cs="Palatino Linotype"/>
          <w:b/>
          <w:i/>
          <w:sz w:val="22"/>
          <w:szCs w:val="22"/>
        </w:rPr>
        <w:t>Versión pública:</w:t>
      </w:r>
      <w:r w:rsidRPr="00910078">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910078">
        <w:rPr>
          <w:rFonts w:ascii="Palatino Linotype" w:eastAsia="Palatino Linotype" w:hAnsi="Palatino Linotype" w:cs="Palatino Linotype"/>
          <w:b/>
          <w:i/>
          <w:sz w:val="22"/>
          <w:szCs w:val="22"/>
        </w:rPr>
        <w:t>fundando y motivando la</w:t>
      </w:r>
      <w:r w:rsidRPr="00910078">
        <w:rPr>
          <w:rFonts w:ascii="Palatino Linotype" w:eastAsia="Palatino Linotype" w:hAnsi="Palatino Linotype" w:cs="Palatino Linotype"/>
          <w:i/>
          <w:sz w:val="22"/>
          <w:szCs w:val="22"/>
        </w:rPr>
        <w:t xml:space="preserve"> reserva o </w:t>
      </w:r>
      <w:r w:rsidRPr="00910078">
        <w:rPr>
          <w:rFonts w:ascii="Palatino Linotype" w:eastAsia="Palatino Linotype" w:hAnsi="Palatino Linotype" w:cs="Palatino Linotype"/>
          <w:b/>
          <w:i/>
          <w:sz w:val="22"/>
          <w:szCs w:val="22"/>
        </w:rPr>
        <w:t>confidencialidad</w:t>
      </w:r>
      <w:r w:rsidRPr="00910078">
        <w:rPr>
          <w:rFonts w:ascii="Palatino Linotype" w:eastAsia="Palatino Linotype" w:hAnsi="Palatino Linotype" w:cs="Palatino Linotype"/>
          <w:i/>
          <w:sz w:val="22"/>
          <w:szCs w:val="22"/>
        </w:rPr>
        <w:t>, a través de la resolución que para tal efecto emita el Comité de Transparencia.</w:t>
      </w:r>
    </w:p>
    <w:p w14:paraId="063C1F50"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w:t>
      </w:r>
      <w:r w:rsidRPr="00910078">
        <w:rPr>
          <w:rFonts w:ascii="Palatino Linotype" w:eastAsia="Palatino Linotype" w:hAnsi="Palatino Linotype" w:cs="Palatino Linotype"/>
          <w:i/>
          <w:sz w:val="22"/>
          <w:szCs w:val="22"/>
        </w:rPr>
        <w:t>)</w:t>
      </w:r>
    </w:p>
    <w:p w14:paraId="4B89EFF1"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Cuarto.</w:t>
      </w:r>
      <w:r w:rsidRPr="00910078">
        <w:rPr>
          <w:rFonts w:ascii="Palatino Linotype" w:eastAsia="Palatino Linotype" w:hAnsi="Palatino Linotype" w:cs="Palatino Linotype"/>
          <w:i/>
          <w:sz w:val="22"/>
          <w:szCs w:val="22"/>
        </w:rPr>
        <w:t xml:space="preserve"> </w:t>
      </w:r>
      <w:r w:rsidRPr="00910078">
        <w:rPr>
          <w:rFonts w:ascii="Palatino Linotype" w:eastAsia="Palatino Linotype" w:hAnsi="Palatino Linotype" w:cs="Palatino Linotype"/>
          <w:b/>
          <w:i/>
          <w:sz w:val="22"/>
          <w:szCs w:val="22"/>
        </w:rPr>
        <w:t>Para clasificar la información como</w:t>
      </w:r>
      <w:r w:rsidRPr="00910078">
        <w:rPr>
          <w:rFonts w:ascii="Palatino Linotype" w:eastAsia="Palatino Linotype" w:hAnsi="Palatino Linotype" w:cs="Palatino Linotype"/>
          <w:i/>
          <w:sz w:val="22"/>
          <w:szCs w:val="22"/>
        </w:rPr>
        <w:t xml:space="preserve"> reservada o </w:t>
      </w:r>
      <w:r w:rsidRPr="00910078">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910078">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5C6CD04"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6B3CB79" w14:textId="77777777" w:rsidR="004634F9" w:rsidRPr="00910078" w:rsidRDefault="004634F9"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2A91C390"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Quinto.</w:t>
      </w:r>
      <w:r w:rsidRPr="00910078">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50846A7" w14:textId="77777777" w:rsidR="004634F9" w:rsidRPr="00910078" w:rsidRDefault="004634F9"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198B3842"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Sexto.</w:t>
      </w:r>
      <w:r w:rsidRPr="00910078">
        <w:rPr>
          <w:rFonts w:ascii="Palatino Linotype" w:eastAsia="Palatino Linotype" w:hAnsi="Palatino Linotype" w:cs="Palatino Linotype"/>
          <w:i/>
          <w:sz w:val="22"/>
          <w:szCs w:val="22"/>
        </w:rPr>
        <w:t xml:space="preserve"> Se deroga. </w:t>
      </w:r>
    </w:p>
    <w:p w14:paraId="0CF9E950" w14:textId="77777777" w:rsidR="004634F9" w:rsidRPr="00910078" w:rsidRDefault="004634F9"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6A78516A"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Séptimo.</w:t>
      </w:r>
      <w:r w:rsidRPr="00910078">
        <w:rPr>
          <w:rFonts w:ascii="Palatino Linotype" w:eastAsia="Palatino Linotype" w:hAnsi="Palatino Linotype" w:cs="Palatino Linotype"/>
          <w:i/>
          <w:sz w:val="22"/>
          <w:szCs w:val="22"/>
        </w:rPr>
        <w:t xml:space="preserve"> La clasificación de la información se llevará a cabo en el momento en que:</w:t>
      </w:r>
    </w:p>
    <w:p w14:paraId="24D847EB"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I.</w:t>
      </w:r>
      <w:r w:rsidRPr="00910078">
        <w:rPr>
          <w:rFonts w:ascii="Palatino Linotype" w:eastAsia="Palatino Linotype" w:hAnsi="Palatino Linotype" w:cs="Palatino Linotype"/>
          <w:i/>
          <w:sz w:val="22"/>
          <w:szCs w:val="22"/>
        </w:rPr>
        <w:t xml:space="preserve"> Se reciba una solicitud de acceso a la información;</w:t>
      </w:r>
    </w:p>
    <w:p w14:paraId="184BD83E"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II: Se determine mediante resolución del Comité de Transparencia, el órgano garante competente, o en cumplimiento a una sentencia del Poder Judicial; o</w:t>
      </w:r>
    </w:p>
    <w:p w14:paraId="30B37C25"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 xml:space="preserve">III. </w:t>
      </w:r>
      <w:r w:rsidRPr="00910078">
        <w:rPr>
          <w:rFonts w:ascii="Palatino Linotype" w:eastAsia="Palatino Linotype" w:hAnsi="Palatino Linotype" w:cs="Palatino Linotype"/>
          <w:i/>
          <w:sz w:val="22"/>
          <w:szCs w:val="22"/>
        </w:rPr>
        <w:t xml:space="preserve">Se generen versiones públicas para dar cumplimiento a las obligaciones </w:t>
      </w:r>
      <w:proofErr w:type="spellStart"/>
      <w:r w:rsidRPr="00910078">
        <w:rPr>
          <w:rFonts w:ascii="Palatino Linotype" w:eastAsia="Palatino Linotype" w:hAnsi="Palatino Linotype" w:cs="Palatino Linotype"/>
          <w:i/>
          <w:sz w:val="22"/>
          <w:szCs w:val="22"/>
        </w:rPr>
        <w:t>detransparencia</w:t>
      </w:r>
      <w:proofErr w:type="spellEnd"/>
      <w:r w:rsidRPr="00910078">
        <w:rPr>
          <w:rFonts w:ascii="Palatino Linotype" w:eastAsia="Palatino Linotype" w:hAnsi="Palatino Linotype" w:cs="Palatino Linotype"/>
          <w:i/>
          <w:sz w:val="22"/>
          <w:szCs w:val="22"/>
        </w:rPr>
        <w:t xml:space="preserve"> previstas en la Ley General, la Ley Federal y las correspondientes de </w:t>
      </w:r>
      <w:proofErr w:type="spellStart"/>
      <w:r w:rsidRPr="00910078">
        <w:rPr>
          <w:rFonts w:ascii="Palatino Linotype" w:eastAsia="Palatino Linotype" w:hAnsi="Palatino Linotype" w:cs="Palatino Linotype"/>
          <w:i/>
          <w:sz w:val="22"/>
          <w:szCs w:val="22"/>
        </w:rPr>
        <w:t>laentidades</w:t>
      </w:r>
      <w:proofErr w:type="spellEnd"/>
      <w:r w:rsidRPr="00910078">
        <w:rPr>
          <w:rFonts w:ascii="Palatino Linotype" w:eastAsia="Palatino Linotype" w:hAnsi="Palatino Linotype" w:cs="Palatino Linotype"/>
          <w:i/>
          <w:sz w:val="22"/>
          <w:szCs w:val="22"/>
        </w:rPr>
        <w:t xml:space="preserve"> federativas.</w:t>
      </w:r>
    </w:p>
    <w:p w14:paraId="70AE6511"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lastRenderedPageBreak/>
        <w:t xml:space="preserve">Los titulares de las áreas deberán revisar la información requerida al momento de </w:t>
      </w:r>
      <w:proofErr w:type="spellStart"/>
      <w:r w:rsidRPr="00910078">
        <w:rPr>
          <w:rFonts w:ascii="Palatino Linotype" w:eastAsia="Palatino Linotype" w:hAnsi="Palatino Linotype" w:cs="Palatino Linotype"/>
          <w:i/>
          <w:sz w:val="22"/>
          <w:szCs w:val="22"/>
        </w:rPr>
        <w:t>larecepción</w:t>
      </w:r>
      <w:proofErr w:type="spellEnd"/>
      <w:r w:rsidRPr="00910078">
        <w:rPr>
          <w:rFonts w:ascii="Palatino Linotype" w:eastAsia="Palatino Linotype" w:hAnsi="Palatino Linotype" w:cs="Palatino Linotype"/>
          <w:i/>
          <w:sz w:val="22"/>
          <w:szCs w:val="22"/>
        </w:rPr>
        <w:t xml:space="preserve"> de una solicitud de acceso, para verificar, conforme a su naturaleza, si </w:t>
      </w:r>
      <w:proofErr w:type="spellStart"/>
      <w:r w:rsidRPr="00910078">
        <w:rPr>
          <w:rFonts w:ascii="Palatino Linotype" w:eastAsia="Palatino Linotype" w:hAnsi="Palatino Linotype" w:cs="Palatino Linotype"/>
          <w:i/>
          <w:sz w:val="22"/>
          <w:szCs w:val="22"/>
        </w:rPr>
        <w:t>encuadraen</w:t>
      </w:r>
      <w:proofErr w:type="spellEnd"/>
      <w:r w:rsidRPr="00910078">
        <w:rPr>
          <w:rFonts w:ascii="Palatino Linotype" w:eastAsia="Palatino Linotype" w:hAnsi="Palatino Linotype" w:cs="Palatino Linotype"/>
          <w:i/>
          <w:sz w:val="22"/>
          <w:szCs w:val="22"/>
        </w:rPr>
        <w:t xml:space="preserve"> una causal de reserva o de confidencialidad.</w:t>
      </w:r>
    </w:p>
    <w:p w14:paraId="6D681DE8" w14:textId="77777777" w:rsidR="004634F9" w:rsidRPr="00910078" w:rsidRDefault="004634F9"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4E503A4D"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Octavo.</w:t>
      </w:r>
      <w:r w:rsidRPr="00910078">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76D980E6"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1132EB19"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w:t>
      </w:r>
    </w:p>
    <w:p w14:paraId="6971D527" w14:textId="77777777" w:rsidR="004634F9" w:rsidRPr="00910078" w:rsidRDefault="004634F9"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4F0B266A"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Noveno.</w:t>
      </w:r>
      <w:r w:rsidRPr="00910078">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9CD83E6" w14:textId="77777777" w:rsidR="004634F9" w:rsidRPr="00910078" w:rsidRDefault="004634F9"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5C4A1520"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Décimo.</w:t>
      </w:r>
      <w:r w:rsidRPr="00910078">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 </w:t>
      </w:r>
    </w:p>
    <w:p w14:paraId="21194F28"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62FE85E6" w14:textId="77777777" w:rsidR="004634F9" w:rsidRPr="00910078" w:rsidRDefault="004634F9"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5963B6A0"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Décimo primero.</w:t>
      </w:r>
      <w:r w:rsidRPr="00910078">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w:t>
      </w:r>
      <w:r w:rsidRPr="00910078">
        <w:rPr>
          <w:rFonts w:ascii="Palatino Linotype" w:eastAsia="Palatino Linotype" w:hAnsi="Palatino Linotype" w:cs="Palatino Linotype"/>
          <w:i/>
          <w:sz w:val="22"/>
          <w:szCs w:val="22"/>
        </w:rPr>
        <w:lastRenderedPageBreak/>
        <w:t>llevar la leyenda correspondiente de conformidad con lo dispuesto en el Capítulo VIII de los presentes lineamientos.</w:t>
      </w:r>
    </w:p>
    <w:p w14:paraId="6161EB72" w14:textId="77777777" w:rsidR="004634F9" w:rsidRPr="00910078" w:rsidRDefault="004634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4924DA8"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Asimismo, deberá observar los numerales Quincuagésimo tercero y Quincuagésimo quinto de los Lineamientos Generales en Materia de Clasificación y Desclasificación de la Información </w:t>
      </w:r>
      <w:proofErr w:type="spellStart"/>
      <w:r w:rsidRPr="00910078">
        <w:rPr>
          <w:rFonts w:ascii="Palatino Linotype" w:eastAsia="Palatino Linotype" w:hAnsi="Palatino Linotype" w:cs="Palatino Linotype"/>
          <w:sz w:val="22"/>
          <w:szCs w:val="22"/>
        </w:rPr>
        <w:t>supraindicados</w:t>
      </w:r>
      <w:proofErr w:type="spellEnd"/>
      <w:r w:rsidRPr="00910078">
        <w:rPr>
          <w:rFonts w:ascii="Palatino Linotype" w:eastAsia="Palatino Linotype" w:hAnsi="Palatino Linotype" w:cs="Palatino Linotype"/>
          <w:sz w:val="22"/>
          <w:szCs w:val="22"/>
        </w:rPr>
        <w:t>, que establecen los formatos para la clasificación parcial y total de los documentos, conforme a lo siguiente: </w:t>
      </w:r>
    </w:p>
    <w:p w14:paraId="7BB9E651" w14:textId="77777777" w:rsidR="004634F9" w:rsidRPr="00910078" w:rsidRDefault="004634F9">
      <w:pPr>
        <w:spacing w:line="360" w:lineRule="auto"/>
        <w:rPr>
          <w:rFonts w:ascii="Palatino Linotype" w:eastAsia="Palatino Linotype" w:hAnsi="Palatino Linotype" w:cs="Palatino Linotype"/>
          <w:sz w:val="22"/>
          <w:szCs w:val="22"/>
        </w:rPr>
      </w:pPr>
    </w:p>
    <w:p w14:paraId="25C5ABC9" w14:textId="77777777" w:rsidR="004634F9" w:rsidRPr="00910078" w:rsidRDefault="00E75A4A" w:rsidP="009F5545">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CAPÍTULO VIII</w:t>
      </w:r>
    </w:p>
    <w:p w14:paraId="2B5C0953" w14:textId="77777777" w:rsidR="004634F9" w:rsidRPr="00910078" w:rsidRDefault="00E75A4A" w:rsidP="009F5545">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DE LA LEYENDA DE CLASIFICACIÓN</w:t>
      </w:r>
    </w:p>
    <w:p w14:paraId="04DE7DB0" w14:textId="77777777" w:rsidR="004634F9" w:rsidRPr="00910078" w:rsidRDefault="00E75A4A" w:rsidP="009F5545">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w:t>
      </w:r>
    </w:p>
    <w:p w14:paraId="668875D1" w14:textId="77777777" w:rsidR="004634F9" w:rsidRPr="00910078" w:rsidRDefault="00E75A4A" w:rsidP="009F5545">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 xml:space="preserve">Quincuagésimo tercero. </w:t>
      </w:r>
      <w:r w:rsidRPr="00910078">
        <w:rPr>
          <w:rFonts w:ascii="Palatino Linotype" w:eastAsia="Palatino Linotype" w:hAnsi="Palatino Linotype" w:cs="Palatino Linotype"/>
          <w:i/>
          <w:sz w:val="22"/>
          <w:szCs w:val="22"/>
          <w:u w:val="single"/>
        </w:rPr>
        <w:t>El formato para señalar la clasificación parcial de un documento</w:t>
      </w:r>
      <w:r w:rsidRPr="00910078">
        <w:rPr>
          <w:rFonts w:ascii="Palatino Linotype" w:eastAsia="Palatino Linotype" w:hAnsi="Palatino Linotype" w:cs="Palatino Linotype"/>
          <w:i/>
          <w:sz w:val="22"/>
          <w:szCs w:val="22"/>
        </w:rPr>
        <w:t>, es el siguiente:</w:t>
      </w:r>
    </w:p>
    <w:p w14:paraId="1C1CCB90" w14:textId="77777777" w:rsidR="004634F9" w:rsidRPr="00910078" w:rsidRDefault="004634F9">
      <w:pPr>
        <w:pBdr>
          <w:top w:val="nil"/>
          <w:left w:val="nil"/>
          <w:bottom w:val="nil"/>
          <w:right w:val="nil"/>
          <w:between w:val="nil"/>
        </w:pBdr>
        <w:spacing w:line="276" w:lineRule="auto"/>
        <w:ind w:right="864"/>
        <w:jc w:val="both"/>
        <w:rPr>
          <w:rFonts w:ascii="Palatino Linotype" w:eastAsia="Palatino Linotype" w:hAnsi="Palatino Linotype" w:cs="Palatino Linotype"/>
          <w:i/>
          <w:sz w:val="22"/>
          <w:szCs w:val="22"/>
        </w:rPr>
      </w:pPr>
    </w:p>
    <w:tbl>
      <w:tblPr>
        <w:tblStyle w:val="af4"/>
        <w:tblW w:w="6946" w:type="dxa"/>
        <w:jc w:val="center"/>
        <w:tblInd w:w="0" w:type="dxa"/>
        <w:tblLayout w:type="fixed"/>
        <w:tblLook w:val="0400" w:firstRow="0" w:lastRow="0" w:firstColumn="0" w:lastColumn="0" w:noHBand="0" w:noVBand="1"/>
      </w:tblPr>
      <w:tblGrid>
        <w:gridCol w:w="1173"/>
        <w:gridCol w:w="1710"/>
        <w:gridCol w:w="4063"/>
      </w:tblGrid>
      <w:tr w:rsidR="00910078" w:rsidRPr="00910078" w14:paraId="1BF9FB60" w14:textId="77777777">
        <w:trPr>
          <w:jc w:val="center"/>
        </w:trPr>
        <w:tc>
          <w:tcPr>
            <w:tcW w:w="1173" w:type="dxa"/>
            <w:tcBorders>
              <w:bottom w:val="single" w:sz="4" w:space="0" w:color="000000"/>
              <w:right w:val="single" w:sz="4" w:space="0" w:color="000000"/>
            </w:tcBorders>
            <w:tcMar>
              <w:top w:w="0" w:type="dxa"/>
              <w:left w:w="115" w:type="dxa"/>
              <w:bottom w:w="0" w:type="dxa"/>
              <w:right w:w="115" w:type="dxa"/>
            </w:tcMar>
          </w:tcPr>
          <w:p w14:paraId="17BA17BA" w14:textId="77777777" w:rsidR="004634F9" w:rsidRPr="00910078" w:rsidRDefault="004634F9">
            <w:pPr>
              <w:spacing w:line="276" w:lineRule="auto"/>
              <w:rPr>
                <w:rFonts w:ascii="Palatino Linotype" w:eastAsia="Palatino Linotype" w:hAnsi="Palatino Linotype" w:cs="Palatino Linotype"/>
                <w:sz w:val="22"/>
                <w:szCs w:val="22"/>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2CE7D3" w14:textId="77777777" w:rsidR="004634F9" w:rsidRPr="00910078" w:rsidRDefault="00E75A4A">
            <w:pPr>
              <w:pBdr>
                <w:top w:val="nil"/>
                <w:left w:val="nil"/>
                <w:bottom w:val="nil"/>
                <w:right w:val="nil"/>
                <w:between w:val="nil"/>
              </w:pBdr>
              <w:spacing w:line="276" w:lineRule="auto"/>
              <w:jc w:val="center"/>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Concepto</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C67EC4" w14:textId="77777777" w:rsidR="004634F9" w:rsidRPr="00910078" w:rsidRDefault="00E75A4A">
            <w:pPr>
              <w:pBdr>
                <w:top w:val="nil"/>
                <w:left w:val="nil"/>
                <w:bottom w:val="nil"/>
                <w:right w:val="nil"/>
                <w:between w:val="nil"/>
              </w:pBdr>
              <w:spacing w:line="276" w:lineRule="auto"/>
              <w:jc w:val="center"/>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Dónde:</w:t>
            </w:r>
          </w:p>
        </w:tc>
      </w:tr>
      <w:tr w:rsidR="00910078" w:rsidRPr="00910078" w14:paraId="3721BA99" w14:textId="77777777">
        <w:trPr>
          <w:jc w:val="center"/>
        </w:trPr>
        <w:tc>
          <w:tcPr>
            <w:tcW w:w="117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2D4101" w14:textId="77777777" w:rsidR="004634F9" w:rsidRPr="00910078" w:rsidRDefault="00E75A4A">
            <w:pPr>
              <w:pBdr>
                <w:top w:val="nil"/>
                <w:left w:val="nil"/>
                <w:bottom w:val="nil"/>
                <w:right w:val="nil"/>
                <w:between w:val="nil"/>
              </w:pBdr>
              <w:spacing w:line="276" w:lineRule="auto"/>
              <w:jc w:val="center"/>
              <w:rPr>
                <w:rFonts w:ascii="Palatino Linotype" w:eastAsia="Palatino Linotype" w:hAnsi="Palatino Linotype" w:cs="Palatino Linotype"/>
                <w:sz w:val="22"/>
                <w:szCs w:val="22"/>
              </w:rPr>
            </w:pPr>
            <w:r w:rsidRPr="00910078">
              <w:rPr>
                <w:rFonts w:ascii="Palatino Linotype" w:eastAsia="Palatino Linotype" w:hAnsi="Palatino Linotype" w:cs="Palatino Linotype"/>
                <w:b/>
                <w:i/>
                <w:sz w:val="22"/>
                <w:szCs w:val="22"/>
              </w:rPr>
              <w:t>Sello oficial o logotipo del sujeto obligado</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23A6DE" w14:textId="77777777" w:rsidR="004634F9" w:rsidRPr="00910078" w:rsidRDefault="00E75A4A">
            <w:pPr>
              <w:pBdr>
                <w:top w:val="nil"/>
                <w:left w:val="nil"/>
                <w:bottom w:val="nil"/>
                <w:right w:val="nil"/>
                <w:between w:val="nil"/>
              </w:pBdr>
              <w:spacing w:line="276" w:lineRule="auto"/>
              <w:jc w:val="center"/>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Fecha de clasificación</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C574E1" w14:textId="77777777" w:rsidR="004634F9" w:rsidRPr="00910078" w:rsidRDefault="00E75A4A">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Se anotará la fecha en la que el Comité de Transparencia confirmó la clasificación del documento o expediente, en su caso.</w:t>
            </w:r>
          </w:p>
        </w:tc>
      </w:tr>
      <w:tr w:rsidR="00910078" w:rsidRPr="00910078" w14:paraId="4B807640"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0057C6" w14:textId="77777777" w:rsidR="004634F9" w:rsidRPr="00910078" w:rsidRDefault="004634F9">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3418C0" w14:textId="77777777" w:rsidR="004634F9" w:rsidRPr="00910078" w:rsidRDefault="00E75A4A">
            <w:pPr>
              <w:pBdr>
                <w:top w:val="nil"/>
                <w:left w:val="nil"/>
                <w:bottom w:val="nil"/>
                <w:right w:val="nil"/>
                <w:between w:val="nil"/>
              </w:pBdr>
              <w:spacing w:line="276" w:lineRule="auto"/>
              <w:jc w:val="center"/>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Área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A66514" w14:textId="77777777" w:rsidR="004634F9" w:rsidRPr="00910078" w:rsidRDefault="00E75A4A">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Se señalará el nombre del área del cual es titular quien clasifica.</w:t>
            </w:r>
          </w:p>
        </w:tc>
      </w:tr>
      <w:tr w:rsidR="00910078" w:rsidRPr="00910078" w14:paraId="7836FB07"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4541C1" w14:textId="77777777" w:rsidR="004634F9" w:rsidRPr="00910078" w:rsidRDefault="004634F9">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F84E0B" w14:textId="77777777" w:rsidR="004634F9" w:rsidRPr="00910078" w:rsidRDefault="00E75A4A">
            <w:pPr>
              <w:pBdr>
                <w:top w:val="nil"/>
                <w:left w:val="nil"/>
                <w:bottom w:val="nil"/>
                <w:right w:val="nil"/>
                <w:between w:val="nil"/>
              </w:pBdr>
              <w:spacing w:line="276" w:lineRule="auto"/>
              <w:jc w:val="center"/>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Información reservada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D70064" w14:textId="77777777" w:rsidR="004634F9" w:rsidRPr="00910078" w:rsidRDefault="00E75A4A">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Se indicarán las partes o páginas del documento que se clasifican como reservadas, o, en su caso, se precisará que se ha reservado el documento o expediente en su totalidad.</w:t>
            </w:r>
          </w:p>
        </w:tc>
      </w:tr>
      <w:tr w:rsidR="00910078" w:rsidRPr="00910078" w14:paraId="51D21200"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4941A9" w14:textId="77777777" w:rsidR="004634F9" w:rsidRPr="00910078" w:rsidRDefault="004634F9">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68F5FE" w14:textId="77777777" w:rsidR="004634F9" w:rsidRPr="00910078" w:rsidRDefault="00E75A4A">
            <w:pPr>
              <w:pBdr>
                <w:top w:val="nil"/>
                <w:left w:val="nil"/>
                <w:bottom w:val="nil"/>
                <w:right w:val="nil"/>
                <w:between w:val="nil"/>
              </w:pBdr>
              <w:spacing w:line="276" w:lineRule="auto"/>
              <w:jc w:val="center"/>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Periodo de reserva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B1E604" w14:textId="77777777" w:rsidR="004634F9" w:rsidRPr="00910078" w:rsidRDefault="00E75A4A">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Se anotará el número de años o meses por los que se mantendrá reservado el documento, el expediente o, en su caso, las partes o secciones reservadas.</w:t>
            </w:r>
          </w:p>
        </w:tc>
      </w:tr>
      <w:tr w:rsidR="00910078" w:rsidRPr="00910078" w14:paraId="08483C39"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096F15" w14:textId="77777777" w:rsidR="004634F9" w:rsidRPr="00910078" w:rsidRDefault="004634F9">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F72D62" w14:textId="77777777" w:rsidR="004634F9" w:rsidRPr="00910078" w:rsidRDefault="00E75A4A">
            <w:pPr>
              <w:pBdr>
                <w:top w:val="nil"/>
                <w:left w:val="nil"/>
                <w:bottom w:val="nil"/>
                <w:right w:val="nil"/>
                <w:between w:val="nil"/>
              </w:pBdr>
              <w:spacing w:line="276" w:lineRule="auto"/>
              <w:jc w:val="center"/>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Fundamento legal</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94B748" w14:textId="77777777" w:rsidR="004634F9" w:rsidRPr="00910078" w:rsidRDefault="00E75A4A">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Se señalará el nombre del ordenamiento, el o los artículos, fracción(es), párrafo(s) con base en los cuales se sustente la reserva.</w:t>
            </w:r>
          </w:p>
        </w:tc>
      </w:tr>
      <w:tr w:rsidR="00910078" w:rsidRPr="00910078" w14:paraId="4B629FFE"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3AFBF2" w14:textId="77777777" w:rsidR="004634F9" w:rsidRPr="00910078" w:rsidRDefault="004634F9">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E05752" w14:textId="77777777" w:rsidR="004634F9" w:rsidRPr="00910078" w:rsidRDefault="00E75A4A">
            <w:pPr>
              <w:pBdr>
                <w:top w:val="nil"/>
                <w:left w:val="nil"/>
                <w:bottom w:val="nil"/>
                <w:right w:val="nil"/>
                <w:between w:val="nil"/>
              </w:pBdr>
              <w:spacing w:line="276" w:lineRule="auto"/>
              <w:jc w:val="center"/>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Ampliación del periodo de reserva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82A78D" w14:textId="77777777" w:rsidR="004634F9" w:rsidRPr="00910078" w:rsidRDefault="00E75A4A">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En caso de haber solicitado la ampliación del periodo de reserva originalmente establecido, se deberá anotar el número de años o meses por los que se amplía la reserva.</w:t>
            </w:r>
          </w:p>
        </w:tc>
      </w:tr>
      <w:tr w:rsidR="00910078" w:rsidRPr="00910078" w14:paraId="0DCA2CE0"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A0AFF6" w14:textId="77777777" w:rsidR="004634F9" w:rsidRPr="00910078" w:rsidRDefault="004634F9">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8B3E4B" w14:textId="77777777" w:rsidR="004634F9" w:rsidRPr="00910078" w:rsidRDefault="00E75A4A">
            <w:pPr>
              <w:pBdr>
                <w:top w:val="nil"/>
                <w:left w:val="nil"/>
                <w:bottom w:val="nil"/>
                <w:right w:val="nil"/>
                <w:between w:val="nil"/>
              </w:pBdr>
              <w:spacing w:line="276" w:lineRule="auto"/>
              <w:jc w:val="center"/>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Rúbrica del titular del área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E1997C" w14:textId="77777777" w:rsidR="004634F9" w:rsidRPr="00910078" w:rsidRDefault="00E75A4A">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Rúbrica autógrafa o firma digital de quien clasifica.</w:t>
            </w:r>
          </w:p>
        </w:tc>
      </w:tr>
      <w:tr w:rsidR="00910078" w:rsidRPr="00910078" w14:paraId="0FF69F45"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28468C" w14:textId="77777777" w:rsidR="004634F9" w:rsidRPr="00910078" w:rsidRDefault="004634F9">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27330A" w14:textId="77777777" w:rsidR="004634F9" w:rsidRPr="00910078" w:rsidRDefault="00E75A4A">
            <w:pPr>
              <w:pBdr>
                <w:top w:val="nil"/>
                <w:left w:val="nil"/>
                <w:bottom w:val="nil"/>
                <w:right w:val="nil"/>
                <w:between w:val="nil"/>
              </w:pBdr>
              <w:spacing w:line="276" w:lineRule="auto"/>
              <w:jc w:val="center"/>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Fecha de desclasificación</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DDD9BB" w14:textId="77777777" w:rsidR="004634F9" w:rsidRPr="00910078" w:rsidRDefault="00E75A4A">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Se anotará la fecha en que se desclasifica el documento.</w:t>
            </w:r>
          </w:p>
        </w:tc>
      </w:tr>
      <w:tr w:rsidR="00910078" w:rsidRPr="00910078" w14:paraId="08E83274" w14:textId="77777777">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48E6B9" w14:textId="77777777" w:rsidR="004634F9" w:rsidRPr="00910078" w:rsidRDefault="004634F9">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C7F3B7" w14:textId="77777777" w:rsidR="004634F9" w:rsidRPr="00910078" w:rsidRDefault="00E75A4A">
            <w:pPr>
              <w:pBdr>
                <w:top w:val="nil"/>
                <w:left w:val="nil"/>
                <w:bottom w:val="nil"/>
                <w:right w:val="nil"/>
                <w:between w:val="nil"/>
              </w:pBdr>
              <w:spacing w:line="276" w:lineRule="auto"/>
              <w:jc w:val="center"/>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Rúbrica y cargo del servidor público</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DD8946" w14:textId="77777777" w:rsidR="004634F9" w:rsidRPr="00910078" w:rsidRDefault="00E75A4A">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Rúbrica autógrafa o firma digital de quien desclasifica.</w:t>
            </w:r>
          </w:p>
        </w:tc>
      </w:tr>
      <w:tr w:rsidR="004634F9" w:rsidRPr="00910078" w14:paraId="202DD6DC" w14:textId="77777777">
        <w:trPr>
          <w:gridAfter w:val="1"/>
          <w:wAfter w:w="4063" w:type="dxa"/>
          <w:trHeight w:val="317"/>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E42E88" w14:textId="77777777" w:rsidR="004634F9" w:rsidRPr="00910078" w:rsidRDefault="004634F9">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710" w:type="dxa"/>
            <w:vAlign w:val="center"/>
          </w:tcPr>
          <w:p w14:paraId="22D9FF8F" w14:textId="77777777" w:rsidR="004634F9" w:rsidRPr="00910078" w:rsidRDefault="004634F9">
            <w:pPr>
              <w:spacing w:line="276" w:lineRule="auto"/>
              <w:rPr>
                <w:rFonts w:ascii="Palatino Linotype" w:eastAsia="Palatino Linotype" w:hAnsi="Palatino Linotype" w:cs="Palatino Linotype"/>
                <w:sz w:val="22"/>
                <w:szCs w:val="22"/>
              </w:rPr>
            </w:pPr>
          </w:p>
        </w:tc>
      </w:tr>
    </w:tbl>
    <w:p w14:paraId="19987B75" w14:textId="77777777" w:rsidR="004634F9" w:rsidRPr="00910078" w:rsidRDefault="004634F9">
      <w:pPr>
        <w:pBdr>
          <w:top w:val="nil"/>
          <w:left w:val="nil"/>
          <w:bottom w:val="nil"/>
          <w:right w:val="nil"/>
          <w:between w:val="nil"/>
        </w:pBdr>
        <w:spacing w:line="276" w:lineRule="auto"/>
        <w:ind w:right="851"/>
        <w:jc w:val="both"/>
        <w:rPr>
          <w:rFonts w:ascii="Palatino Linotype" w:eastAsia="Palatino Linotype" w:hAnsi="Palatino Linotype" w:cs="Palatino Linotype"/>
          <w:i/>
          <w:sz w:val="22"/>
          <w:szCs w:val="22"/>
        </w:rPr>
      </w:pPr>
    </w:p>
    <w:p w14:paraId="09C50090" w14:textId="77777777" w:rsidR="004634F9" w:rsidRPr="00910078" w:rsidRDefault="00E75A4A" w:rsidP="009F554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910078">
        <w:rPr>
          <w:rFonts w:ascii="Palatino Linotype" w:eastAsia="Palatino Linotype" w:hAnsi="Palatino Linotype" w:cs="Palatino Linotype"/>
          <w:i/>
          <w:sz w:val="22"/>
          <w:szCs w:val="22"/>
        </w:rPr>
        <w:t>testado</w:t>
      </w:r>
      <w:proofErr w:type="spellEnd"/>
      <w:r w:rsidRPr="00910078">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5B34B9C" w14:textId="77777777" w:rsidR="004634F9" w:rsidRPr="00910078" w:rsidRDefault="004634F9" w:rsidP="009F5545">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p>
    <w:p w14:paraId="2A687B76" w14:textId="77777777" w:rsidR="004634F9" w:rsidRPr="00910078" w:rsidRDefault="00E75A4A" w:rsidP="009F5545">
      <w:pPr>
        <w:spacing w:line="276" w:lineRule="auto"/>
        <w:ind w:left="567"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Los documentos que integren un expediente reservado en su totalidad no deberán marcarse en lo individual.</w:t>
      </w:r>
    </w:p>
    <w:p w14:paraId="055524E7" w14:textId="77777777" w:rsidR="004634F9" w:rsidRPr="00910078" w:rsidRDefault="004634F9" w:rsidP="009F5545">
      <w:pPr>
        <w:spacing w:line="276" w:lineRule="auto"/>
        <w:ind w:left="567" w:right="616"/>
        <w:jc w:val="both"/>
        <w:rPr>
          <w:rFonts w:ascii="Palatino Linotype" w:eastAsia="Palatino Linotype" w:hAnsi="Palatino Linotype" w:cs="Palatino Linotype"/>
          <w:i/>
          <w:sz w:val="22"/>
          <w:szCs w:val="22"/>
        </w:rPr>
      </w:pPr>
    </w:p>
    <w:p w14:paraId="2E756CE3" w14:textId="77777777" w:rsidR="004634F9" w:rsidRPr="00910078" w:rsidRDefault="00E75A4A" w:rsidP="009F5545">
      <w:pPr>
        <w:spacing w:line="276" w:lineRule="auto"/>
        <w:ind w:left="567"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r w:rsidRPr="00910078">
        <w:rPr>
          <w:rFonts w:ascii="Palatino Linotype" w:eastAsia="Palatino Linotype" w:hAnsi="Palatino Linotype" w:cs="Palatino Linotype"/>
          <w:sz w:val="22"/>
          <w:szCs w:val="22"/>
        </w:rPr>
        <w:t xml:space="preserve"> </w:t>
      </w:r>
    </w:p>
    <w:p w14:paraId="69DF186E"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2EB9173E"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Asimismo, deberá observar los Lineamientos Quincuagésimo sexto, Quincuagésimo séptimo y Quincuagésimo octavo, establecen lo siguiente:</w:t>
      </w:r>
    </w:p>
    <w:p w14:paraId="0DBD72DA"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37EBDA0E" w14:textId="77777777" w:rsidR="004634F9" w:rsidRPr="00910078" w:rsidRDefault="00E75A4A" w:rsidP="009F5545">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w:t>
      </w:r>
      <w:r w:rsidRPr="00910078">
        <w:rPr>
          <w:rFonts w:ascii="Palatino Linotype" w:eastAsia="Palatino Linotype" w:hAnsi="Palatino Linotype" w:cs="Palatino Linotype"/>
          <w:b/>
          <w:i/>
          <w:sz w:val="22"/>
          <w:szCs w:val="22"/>
        </w:rPr>
        <w:t>Quincuagésimo sexto</w:t>
      </w:r>
      <w:r w:rsidRPr="00910078">
        <w:rPr>
          <w:rFonts w:ascii="Palatino Linotype" w:eastAsia="Palatino Linotype" w:hAnsi="Palatino Linotype" w:cs="Palatino Linotype"/>
          <w:i/>
          <w:sz w:val="22"/>
          <w:szCs w:val="22"/>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6E192226" w14:textId="77777777" w:rsidR="004634F9" w:rsidRPr="00910078" w:rsidRDefault="00E75A4A" w:rsidP="009F5545">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Quincuagésimo séptimo</w:t>
      </w:r>
      <w:r w:rsidRPr="00910078">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5400E8E" w14:textId="77777777" w:rsidR="004634F9" w:rsidRPr="00910078" w:rsidRDefault="00E75A4A" w:rsidP="009F5545">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I</w:t>
      </w:r>
      <w:r w:rsidRPr="00910078">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57B3614" w14:textId="77777777" w:rsidR="004634F9" w:rsidRPr="00910078" w:rsidRDefault="00E75A4A" w:rsidP="009F5545">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II.</w:t>
      </w:r>
      <w:r w:rsidRPr="00910078">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32D66499" w14:textId="77777777" w:rsidR="004634F9" w:rsidRPr="00910078" w:rsidRDefault="00E75A4A" w:rsidP="009F5545">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III</w:t>
      </w:r>
      <w:r w:rsidRPr="00910078">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5DE186C" w14:textId="77777777" w:rsidR="004634F9" w:rsidRPr="00910078" w:rsidRDefault="00E75A4A" w:rsidP="009F5545">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145BD515" w14:textId="77777777" w:rsidR="004634F9" w:rsidRPr="00910078" w:rsidRDefault="00E75A4A" w:rsidP="009F5545">
      <w:pP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b/>
          <w:i/>
          <w:sz w:val="22"/>
          <w:szCs w:val="22"/>
        </w:rPr>
        <w:t>Quincuagésimo octavo</w:t>
      </w:r>
      <w:r w:rsidRPr="00910078">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220A450C" w14:textId="77777777" w:rsidR="004634F9" w:rsidRPr="00910078" w:rsidRDefault="004634F9">
      <w:pPr>
        <w:spacing w:line="360" w:lineRule="auto"/>
        <w:ind w:left="851" w:right="902"/>
        <w:jc w:val="both"/>
        <w:rPr>
          <w:rFonts w:ascii="Palatino Linotype" w:eastAsia="Palatino Linotype" w:hAnsi="Palatino Linotype" w:cs="Palatino Linotype"/>
          <w:i/>
          <w:sz w:val="22"/>
          <w:szCs w:val="22"/>
        </w:rPr>
      </w:pPr>
    </w:p>
    <w:p w14:paraId="7F079C98" w14:textId="77777777" w:rsidR="004634F9" w:rsidRPr="00910078" w:rsidRDefault="00E75A4A">
      <w:pPr>
        <w:spacing w:line="360" w:lineRule="auto"/>
        <w:jc w:val="both"/>
        <w:rPr>
          <w:rFonts w:ascii="Palatino Linotype" w:eastAsia="Palatino Linotype" w:hAnsi="Palatino Linotype" w:cs="Palatino Linotype"/>
          <w:b/>
          <w:sz w:val="22"/>
          <w:szCs w:val="22"/>
        </w:rPr>
      </w:pPr>
      <w:r w:rsidRPr="00910078">
        <w:rPr>
          <w:rFonts w:ascii="Palatino Linotype" w:eastAsia="Palatino Linotype" w:hAnsi="Palatino Linotype" w:cs="Palatino Linotype"/>
          <w:sz w:val="22"/>
          <w:szCs w:val="22"/>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 </w:t>
      </w:r>
    </w:p>
    <w:p w14:paraId="620F7F1C" w14:textId="77777777" w:rsidR="004634F9" w:rsidRPr="00910078" w:rsidRDefault="00E75A4A">
      <w:pPr>
        <w:numPr>
          <w:ilvl w:val="0"/>
          <w:numId w:val="11"/>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910078">
        <w:rPr>
          <w:rFonts w:ascii="Palatino Linotype" w:eastAsia="Palatino Linotype" w:hAnsi="Palatino Linotype" w:cs="Palatino Linotype"/>
          <w:b/>
          <w:sz w:val="22"/>
          <w:szCs w:val="22"/>
        </w:rPr>
        <w:t>R E S U E L V E:</w:t>
      </w:r>
    </w:p>
    <w:p w14:paraId="078C33CF" w14:textId="77777777" w:rsidR="004634F9" w:rsidRPr="00910078" w:rsidRDefault="004634F9">
      <w:pPr>
        <w:pBdr>
          <w:top w:val="nil"/>
          <w:left w:val="nil"/>
          <w:bottom w:val="nil"/>
          <w:right w:val="nil"/>
          <w:between w:val="nil"/>
        </w:pBdr>
        <w:spacing w:line="360" w:lineRule="auto"/>
        <w:ind w:left="1080"/>
        <w:rPr>
          <w:rFonts w:ascii="Palatino Linotype" w:eastAsia="Palatino Linotype" w:hAnsi="Palatino Linotype" w:cs="Palatino Linotype"/>
          <w:b/>
          <w:sz w:val="22"/>
          <w:szCs w:val="22"/>
        </w:rPr>
      </w:pPr>
    </w:p>
    <w:p w14:paraId="28AC4F7D" w14:textId="77777777" w:rsidR="004634F9" w:rsidRPr="00910078" w:rsidRDefault="00E75A4A">
      <w:pPr>
        <w:spacing w:line="360" w:lineRule="auto"/>
        <w:jc w:val="both"/>
        <w:rPr>
          <w:rFonts w:ascii="Palatino Linotype" w:eastAsia="Palatino Linotype" w:hAnsi="Palatino Linotype" w:cs="Palatino Linotype"/>
          <w:b/>
          <w:sz w:val="22"/>
          <w:szCs w:val="22"/>
        </w:rPr>
      </w:pPr>
      <w:r w:rsidRPr="00910078">
        <w:rPr>
          <w:rFonts w:ascii="Palatino Linotype" w:eastAsia="Palatino Linotype" w:hAnsi="Palatino Linotype" w:cs="Palatino Linotype"/>
          <w:b/>
          <w:sz w:val="22"/>
          <w:szCs w:val="22"/>
        </w:rPr>
        <w:lastRenderedPageBreak/>
        <w:t xml:space="preserve">Primero. </w:t>
      </w:r>
      <w:r w:rsidRPr="00910078">
        <w:rPr>
          <w:rFonts w:ascii="Palatino Linotype" w:eastAsia="Palatino Linotype" w:hAnsi="Palatino Linotype" w:cs="Palatino Linotype"/>
          <w:sz w:val="22"/>
          <w:szCs w:val="22"/>
        </w:rPr>
        <w:t xml:space="preserve">Resultan </w:t>
      </w:r>
      <w:r w:rsidRPr="00910078">
        <w:rPr>
          <w:rFonts w:ascii="Palatino Linotype" w:eastAsia="Palatino Linotype" w:hAnsi="Palatino Linotype" w:cs="Palatino Linotype"/>
          <w:b/>
          <w:sz w:val="22"/>
          <w:szCs w:val="22"/>
        </w:rPr>
        <w:t>fundadas</w:t>
      </w:r>
      <w:r w:rsidRPr="00910078">
        <w:rPr>
          <w:rFonts w:ascii="Palatino Linotype" w:eastAsia="Palatino Linotype" w:hAnsi="Palatino Linotype" w:cs="Palatino Linotype"/>
          <w:sz w:val="22"/>
          <w:szCs w:val="22"/>
        </w:rPr>
        <w:t xml:space="preserve"> las</w:t>
      </w:r>
      <w:r w:rsidRPr="00910078">
        <w:rPr>
          <w:rFonts w:ascii="Palatino Linotype" w:eastAsia="Palatino Linotype" w:hAnsi="Palatino Linotype" w:cs="Palatino Linotype"/>
          <w:b/>
          <w:sz w:val="22"/>
          <w:szCs w:val="22"/>
        </w:rPr>
        <w:t xml:space="preserve"> </w:t>
      </w:r>
      <w:r w:rsidRPr="00910078">
        <w:rPr>
          <w:rFonts w:ascii="Palatino Linotype" w:eastAsia="Palatino Linotype" w:hAnsi="Palatino Linotype" w:cs="Palatino Linotype"/>
          <w:sz w:val="22"/>
          <w:szCs w:val="22"/>
        </w:rPr>
        <w:t xml:space="preserve">razones o motivos de inconformidad hechos valer por la parte </w:t>
      </w:r>
      <w:r w:rsidRPr="00910078">
        <w:rPr>
          <w:rFonts w:ascii="Palatino Linotype" w:eastAsia="Palatino Linotype" w:hAnsi="Palatino Linotype" w:cs="Palatino Linotype"/>
          <w:b/>
          <w:sz w:val="22"/>
          <w:szCs w:val="22"/>
        </w:rPr>
        <w:t>Recurrente</w:t>
      </w:r>
      <w:r w:rsidRPr="00910078">
        <w:rPr>
          <w:rFonts w:ascii="Palatino Linotype" w:eastAsia="Palatino Linotype" w:hAnsi="Palatino Linotype" w:cs="Palatino Linotype"/>
          <w:sz w:val="22"/>
          <w:szCs w:val="22"/>
        </w:rPr>
        <w:t xml:space="preserve"> en el Recurso de Revisión </w:t>
      </w:r>
      <w:r w:rsidRPr="00910078">
        <w:rPr>
          <w:rFonts w:ascii="Palatino Linotype" w:eastAsia="Palatino Linotype" w:hAnsi="Palatino Linotype" w:cs="Palatino Linotype"/>
          <w:b/>
          <w:sz w:val="22"/>
          <w:szCs w:val="22"/>
        </w:rPr>
        <w:t>05899/INFOEM/IP/RR/2024;</w:t>
      </w:r>
      <w:r w:rsidRPr="00910078">
        <w:rPr>
          <w:rFonts w:ascii="Palatino Linotype" w:eastAsia="Palatino Linotype" w:hAnsi="Palatino Linotype" w:cs="Palatino Linotype"/>
          <w:sz w:val="22"/>
          <w:szCs w:val="22"/>
        </w:rPr>
        <w:t xml:space="preserve"> en términos del Considerando </w:t>
      </w:r>
      <w:r w:rsidRPr="00910078">
        <w:rPr>
          <w:rFonts w:ascii="Palatino Linotype" w:eastAsia="Palatino Linotype" w:hAnsi="Palatino Linotype" w:cs="Palatino Linotype"/>
          <w:b/>
          <w:sz w:val="22"/>
          <w:szCs w:val="22"/>
        </w:rPr>
        <w:t>Cuarto</w:t>
      </w:r>
      <w:r w:rsidRPr="00910078">
        <w:rPr>
          <w:rFonts w:ascii="Palatino Linotype" w:eastAsia="Palatino Linotype" w:hAnsi="Palatino Linotype" w:cs="Palatino Linotype"/>
          <w:sz w:val="22"/>
          <w:szCs w:val="22"/>
        </w:rPr>
        <w:t xml:space="preserve"> de la presente resolución.</w:t>
      </w:r>
      <w:r w:rsidRPr="00910078">
        <w:rPr>
          <w:rFonts w:ascii="Palatino Linotype" w:eastAsia="Palatino Linotype" w:hAnsi="Palatino Linotype" w:cs="Palatino Linotype"/>
          <w:b/>
          <w:sz w:val="22"/>
          <w:szCs w:val="22"/>
        </w:rPr>
        <w:t xml:space="preserve"> </w:t>
      </w:r>
    </w:p>
    <w:p w14:paraId="7572263B" w14:textId="77777777" w:rsidR="004634F9" w:rsidRPr="00910078" w:rsidRDefault="004634F9">
      <w:pPr>
        <w:spacing w:line="360" w:lineRule="auto"/>
        <w:jc w:val="both"/>
        <w:rPr>
          <w:rFonts w:ascii="Palatino Linotype" w:eastAsia="Palatino Linotype" w:hAnsi="Palatino Linotype" w:cs="Palatino Linotype"/>
          <w:b/>
          <w:sz w:val="22"/>
          <w:szCs w:val="22"/>
        </w:rPr>
      </w:pPr>
    </w:p>
    <w:p w14:paraId="37318BA3" w14:textId="77777777" w:rsidR="004634F9" w:rsidRPr="00910078" w:rsidRDefault="00E75A4A">
      <w:pP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sz w:val="22"/>
          <w:szCs w:val="22"/>
        </w:rPr>
        <w:t xml:space="preserve">Segundo. </w:t>
      </w:r>
      <w:r w:rsidRPr="00910078">
        <w:rPr>
          <w:rFonts w:ascii="Palatino Linotype" w:eastAsia="Palatino Linotype" w:hAnsi="Palatino Linotype" w:cs="Palatino Linotype"/>
          <w:sz w:val="22"/>
          <w:szCs w:val="22"/>
        </w:rPr>
        <w:t xml:space="preserve">Se </w:t>
      </w:r>
      <w:r w:rsidRPr="00910078">
        <w:rPr>
          <w:rFonts w:ascii="Palatino Linotype" w:eastAsia="Palatino Linotype" w:hAnsi="Palatino Linotype" w:cs="Palatino Linotype"/>
          <w:b/>
          <w:sz w:val="22"/>
          <w:szCs w:val="22"/>
        </w:rPr>
        <w:t>ordena</w:t>
      </w:r>
      <w:r w:rsidRPr="00910078">
        <w:rPr>
          <w:rFonts w:ascii="Palatino Linotype" w:eastAsia="Palatino Linotype" w:hAnsi="Palatino Linotype" w:cs="Palatino Linotype"/>
          <w:sz w:val="22"/>
          <w:szCs w:val="22"/>
        </w:rPr>
        <w:t xml:space="preserve"> al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xml:space="preserve"> que en términos del </w:t>
      </w:r>
      <w:r w:rsidRPr="00910078">
        <w:rPr>
          <w:rFonts w:ascii="Palatino Linotype" w:eastAsia="Palatino Linotype" w:hAnsi="Palatino Linotype" w:cs="Palatino Linotype"/>
          <w:b/>
          <w:sz w:val="22"/>
          <w:szCs w:val="22"/>
        </w:rPr>
        <w:t>Considerando Cuarto y Quinto</w:t>
      </w:r>
      <w:r w:rsidRPr="00910078">
        <w:rPr>
          <w:rFonts w:ascii="Palatino Linotype" w:eastAsia="Palatino Linotype" w:hAnsi="Palatino Linotype" w:cs="Palatino Linotype"/>
          <w:sz w:val="22"/>
          <w:szCs w:val="22"/>
        </w:rPr>
        <w:t xml:space="preserve"> y haga entrega vía Sistema de Acceso a la Información Mexiquense, de ser el caso en versión pública, de lo siguiente: </w:t>
      </w:r>
    </w:p>
    <w:p w14:paraId="02C6BCC4" w14:textId="77777777" w:rsidR="004634F9" w:rsidRPr="00910078" w:rsidRDefault="004634F9">
      <w:pPr>
        <w:spacing w:line="360" w:lineRule="auto"/>
        <w:jc w:val="both"/>
        <w:rPr>
          <w:rFonts w:ascii="Palatino Linotype" w:eastAsia="Palatino Linotype" w:hAnsi="Palatino Linotype" w:cs="Palatino Linotype"/>
          <w:sz w:val="22"/>
          <w:szCs w:val="22"/>
        </w:rPr>
      </w:pPr>
    </w:p>
    <w:p w14:paraId="1D4468CC" w14:textId="77777777" w:rsidR="004634F9" w:rsidRPr="00910078" w:rsidRDefault="00E75A4A">
      <w:pPr>
        <w:numPr>
          <w:ilvl w:val="0"/>
          <w:numId w:val="9"/>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 de Instalación del Comité de Adquisiciones y Servicios del Ayuntamiento de Tepetlixpa, Administración 2022-2024, remitida en Informe Justificado. </w:t>
      </w:r>
    </w:p>
    <w:p w14:paraId="6475196D" w14:textId="77777777" w:rsidR="004634F9" w:rsidRPr="00910078" w:rsidRDefault="00E75A4A">
      <w:pPr>
        <w:numPr>
          <w:ilvl w:val="0"/>
          <w:numId w:val="9"/>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Acta de Instalación del Comité de Arrendamientos, Adquisiciones de Inmuebles y Enajenaciones, del Ayuntamiento de Tepetlixpa, Administración 2022-2024, remitida en Informe Justificado.</w:t>
      </w:r>
    </w:p>
    <w:p w14:paraId="7B5D47BB" w14:textId="77777777" w:rsidR="004634F9" w:rsidRPr="00910078" w:rsidRDefault="00E75A4A">
      <w:pPr>
        <w:numPr>
          <w:ilvl w:val="0"/>
          <w:numId w:val="9"/>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Actas de las sesiones ordinarias y extraordinarias del Comité de Adquisiciones y Servicios del Ayuntamiento de Tepetlixpa, durante el ejercicio fiscal 2022, remitidas en Informe Justificado. </w:t>
      </w:r>
    </w:p>
    <w:p w14:paraId="4495C8AB" w14:textId="77777777" w:rsidR="004634F9" w:rsidRPr="00910078" w:rsidRDefault="00E75A4A">
      <w:pPr>
        <w:numPr>
          <w:ilvl w:val="0"/>
          <w:numId w:val="9"/>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Actas de décima tercera y décima cuarta sesión ordinaria del Comité de Adquisiciones y Servicios del Ayuntamiento de Tepetlixpa, del ejercicio fiscal 2022. </w:t>
      </w:r>
    </w:p>
    <w:p w14:paraId="41402C27" w14:textId="77777777" w:rsidR="004634F9" w:rsidRPr="00910078" w:rsidRDefault="00E75A4A">
      <w:pPr>
        <w:numPr>
          <w:ilvl w:val="0"/>
          <w:numId w:val="9"/>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Actas de las Sesiones Ordinarias y Extraordinarias del Comité de Adquisiciones y Servicios del Ayuntamiento de Tepetlixpa, durante el ejercicio fiscal 2023, remitida en Informe Justificado </w:t>
      </w:r>
    </w:p>
    <w:p w14:paraId="55EA9A73" w14:textId="77777777" w:rsidR="004634F9" w:rsidRPr="00910078" w:rsidRDefault="00E75A4A">
      <w:pPr>
        <w:numPr>
          <w:ilvl w:val="0"/>
          <w:numId w:val="9"/>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Actas de las sesiones ordinarias del Comité de Adquisiciones y Servicios del Ayuntamiento de Tepetlixpa, del ejercicio fiscal 2024, remitidas en Informe Justificado. </w:t>
      </w:r>
    </w:p>
    <w:p w14:paraId="24341628" w14:textId="77777777" w:rsidR="004634F9" w:rsidRPr="00910078" w:rsidRDefault="00E75A4A">
      <w:pPr>
        <w:numPr>
          <w:ilvl w:val="0"/>
          <w:numId w:val="9"/>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lastRenderedPageBreak/>
        <w:t xml:space="preserve">Actas de las sesiones ordinarias del Comité de Adquisiciones y Servicios del Ayuntamiento de Tepetlixpa, faltantes al tres de septiembre de dos mil veinticuatro. </w:t>
      </w:r>
    </w:p>
    <w:p w14:paraId="7D42B0FA" w14:textId="77777777" w:rsidR="004634F9" w:rsidRPr="00910078" w:rsidRDefault="00E75A4A">
      <w:pPr>
        <w:numPr>
          <w:ilvl w:val="0"/>
          <w:numId w:val="9"/>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Actas de las sesiones extraordinarias del Comité de Adquisiciones y Servicios del Ayuntamiento de Tepetlixpa, del primero de enero al tres de septiembre de dos mil veinticuatro. </w:t>
      </w:r>
    </w:p>
    <w:p w14:paraId="028C6CB9" w14:textId="77777777" w:rsidR="004634F9" w:rsidRPr="00910078" w:rsidRDefault="00E75A4A">
      <w:pPr>
        <w:numPr>
          <w:ilvl w:val="0"/>
          <w:numId w:val="9"/>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Actas de las sesiones ordinarias del Comité de Arrendamiento del Ayuntamiento de Tepetlixpa, Administración 2022-2024, del primero de enero al tres de septiembre de dos mil veinticuatro. </w:t>
      </w:r>
    </w:p>
    <w:p w14:paraId="60339919" w14:textId="77777777" w:rsidR="004634F9" w:rsidRPr="00910078" w:rsidRDefault="00E75A4A">
      <w:pPr>
        <w:numPr>
          <w:ilvl w:val="0"/>
          <w:numId w:val="9"/>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Actas de primera sesión extraordinaria del Comité de Arrendamiento del Ayuntamiento de Tepetlixpa, Administración 2022-2024, remitida en Informe Justificado. </w:t>
      </w:r>
    </w:p>
    <w:p w14:paraId="36852E26" w14:textId="77777777" w:rsidR="004634F9" w:rsidRPr="00910078" w:rsidRDefault="00E75A4A">
      <w:pPr>
        <w:numPr>
          <w:ilvl w:val="0"/>
          <w:numId w:val="9"/>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Actas de las sesiones extraordinarias del Comité de Arrendamiento del Ayuntamiento de Tepetlixpa, faltantes al tres de septiembre de dos mil veinticuatro. </w:t>
      </w:r>
    </w:p>
    <w:p w14:paraId="2E483F06" w14:textId="77777777" w:rsidR="004634F9" w:rsidRPr="00910078" w:rsidRDefault="00E75A4A">
      <w:pPr>
        <w:numPr>
          <w:ilvl w:val="0"/>
          <w:numId w:val="9"/>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Nombre completo y cargo del Servidor Público que funge con el cargo de presidente o presidenta del Comité de Adquisiciones y Servicios, en función al tres de septiembre de dos mil veinticuatro. </w:t>
      </w:r>
    </w:p>
    <w:p w14:paraId="24A68D24" w14:textId="77777777" w:rsidR="004634F9" w:rsidRPr="00910078" w:rsidRDefault="00E75A4A">
      <w:pPr>
        <w:numPr>
          <w:ilvl w:val="0"/>
          <w:numId w:val="9"/>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 xml:space="preserve">Nombre completo y cargo del Servidor Público que funge con el cargo de presidente o presidenta del Comité de Arrendamientos, Adquisiciones de Inmuebles y Enajenaciones, Administración 2022-2024, en función al tres de septiembre de dos mil veinticuatro. </w:t>
      </w:r>
    </w:p>
    <w:p w14:paraId="24816E41" w14:textId="77777777" w:rsidR="004634F9" w:rsidRPr="00910078" w:rsidRDefault="00E75A4A">
      <w:pPr>
        <w:numPr>
          <w:ilvl w:val="0"/>
          <w:numId w:val="9"/>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El documento o documentos en donde conste la denominación o razón social de los proveedores que le han facturado algún servicio al Ayuntamiento de Tepetlixpa, durante los años 2022 y 2023.</w:t>
      </w:r>
    </w:p>
    <w:p w14:paraId="146F74BB" w14:textId="77777777" w:rsidR="004634F9" w:rsidRPr="00910078" w:rsidRDefault="00E75A4A">
      <w:pPr>
        <w:numPr>
          <w:ilvl w:val="0"/>
          <w:numId w:val="9"/>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lastRenderedPageBreak/>
        <w:t>La nómina del ayuntamiento de Tepetlixpa, de la segunda quincena de agosto de dos mil veinticuatro.</w:t>
      </w:r>
    </w:p>
    <w:p w14:paraId="12DDD77E" w14:textId="77777777" w:rsidR="004634F9" w:rsidRPr="00910078" w:rsidRDefault="00E75A4A">
      <w:pPr>
        <w:numPr>
          <w:ilvl w:val="0"/>
          <w:numId w:val="9"/>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sz w:val="22"/>
          <w:szCs w:val="22"/>
        </w:rPr>
        <w:t>Bitácoras de consumo de gasolina generados del primero de enero al tres de septiembre de dos mil veinticuatro.</w:t>
      </w:r>
    </w:p>
    <w:p w14:paraId="63A0C108" w14:textId="77777777" w:rsidR="004634F9" w:rsidRPr="00910078" w:rsidRDefault="004634F9">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p>
    <w:p w14:paraId="291A3BF4" w14:textId="77777777" w:rsidR="004634F9" w:rsidRPr="00910078" w:rsidRDefault="00E75A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que se deberá poner a disposición de la parte Recurrente</w:t>
      </w:r>
      <w:r w:rsidRPr="00910078">
        <w:rPr>
          <w:rFonts w:ascii="Palatino Linotype" w:eastAsia="Palatino Linotype" w:hAnsi="Palatino Linotype" w:cs="Palatino Linotype"/>
          <w:sz w:val="22"/>
          <w:szCs w:val="22"/>
        </w:rPr>
        <w:t>.</w:t>
      </w:r>
    </w:p>
    <w:p w14:paraId="6E7AD6A1" w14:textId="77777777" w:rsidR="004634F9" w:rsidRPr="00910078" w:rsidRDefault="004634F9">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p>
    <w:p w14:paraId="7988DA44" w14:textId="77777777" w:rsidR="004634F9" w:rsidRPr="00910078" w:rsidRDefault="00E75A4A">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10078">
        <w:rPr>
          <w:rFonts w:ascii="Palatino Linotype" w:eastAsia="Palatino Linotype" w:hAnsi="Palatino Linotype" w:cs="Palatino Linotype"/>
          <w:i/>
          <w:sz w:val="22"/>
          <w:szCs w:val="22"/>
        </w:rPr>
        <w:t xml:space="preserve">Para el caso de que la información ordenada en los puntos 8) y 11), no obre en los archivos del </w:t>
      </w:r>
      <w:r w:rsidRPr="00910078">
        <w:rPr>
          <w:rFonts w:ascii="Palatino Linotype" w:eastAsia="Palatino Linotype" w:hAnsi="Palatino Linotype" w:cs="Palatino Linotype"/>
          <w:b/>
          <w:i/>
          <w:sz w:val="22"/>
          <w:szCs w:val="22"/>
        </w:rPr>
        <w:t>Sujeto Obligado</w:t>
      </w:r>
      <w:r w:rsidRPr="00910078">
        <w:rPr>
          <w:rFonts w:ascii="Palatino Linotype" w:eastAsia="Palatino Linotype" w:hAnsi="Palatino Linotype" w:cs="Palatino Linotype"/>
          <w:i/>
          <w:sz w:val="22"/>
          <w:szCs w:val="22"/>
        </w:rPr>
        <w:t xml:space="preserve">, por no haberse generado, poseído y/o administrado, bastará con que así se haga del conocimiento de la parte </w:t>
      </w:r>
      <w:r w:rsidRPr="00910078">
        <w:rPr>
          <w:rFonts w:ascii="Palatino Linotype" w:eastAsia="Palatino Linotype" w:hAnsi="Palatino Linotype" w:cs="Palatino Linotype"/>
          <w:b/>
          <w:i/>
          <w:sz w:val="22"/>
          <w:szCs w:val="22"/>
        </w:rPr>
        <w:t>Recurrente</w:t>
      </w:r>
      <w:r w:rsidRPr="00910078">
        <w:rPr>
          <w:rFonts w:ascii="Palatino Linotype" w:eastAsia="Palatino Linotype" w:hAnsi="Palatino Linotype" w:cs="Palatino Linotype"/>
          <w:i/>
          <w:sz w:val="22"/>
          <w:szCs w:val="22"/>
        </w:rPr>
        <w:t xml:space="preserve">, en términos del artículo 19, párrafo segundo de la Ley de Transparencia y Acceso a la Información Pública del Estado de México y Municipios. </w:t>
      </w:r>
    </w:p>
    <w:p w14:paraId="122A659B" w14:textId="77777777" w:rsidR="004634F9" w:rsidRPr="00910078" w:rsidRDefault="004634F9">
      <w:pPr>
        <w:spacing w:line="360" w:lineRule="auto"/>
        <w:ind w:right="49"/>
        <w:jc w:val="both"/>
        <w:rPr>
          <w:rFonts w:ascii="Palatino Linotype" w:eastAsia="Palatino Linotype" w:hAnsi="Palatino Linotype" w:cs="Palatino Linotype"/>
          <w:b/>
          <w:sz w:val="22"/>
          <w:szCs w:val="22"/>
        </w:rPr>
      </w:pPr>
    </w:p>
    <w:p w14:paraId="7F88AB5E" w14:textId="77777777" w:rsidR="004634F9" w:rsidRPr="00910078" w:rsidRDefault="00E75A4A">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sz w:val="22"/>
          <w:szCs w:val="22"/>
        </w:rPr>
        <w:t xml:space="preserve">Tercero. Notifíquese </w:t>
      </w:r>
      <w:r w:rsidRPr="00910078">
        <w:rPr>
          <w:rFonts w:ascii="Palatino Linotype" w:eastAsia="Palatino Linotype" w:hAnsi="Palatino Linotype" w:cs="Palatino Linotype"/>
          <w:sz w:val="22"/>
          <w:szCs w:val="22"/>
        </w:rPr>
        <w:t>vía</w:t>
      </w:r>
      <w:r w:rsidRPr="00910078">
        <w:rPr>
          <w:rFonts w:ascii="Palatino Linotype" w:eastAsia="Palatino Linotype" w:hAnsi="Palatino Linotype" w:cs="Palatino Linotype"/>
          <w:b/>
          <w:sz w:val="22"/>
          <w:szCs w:val="22"/>
        </w:rPr>
        <w:t xml:space="preserve"> SAIMEX</w:t>
      </w:r>
      <w:r w:rsidRPr="00910078">
        <w:rPr>
          <w:rFonts w:ascii="Palatino Linotype" w:eastAsia="Palatino Linotype" w:hAnsi="Palatino Linotype" w:cs="Palatino Linotype"/>
          <w:sz w:val="22"/>
          <w:szCs w:val="22"/>
        </w:rPr>
        <w:t xml:space="preserve"> la presente resolución al Titular de la Unidad de Transparencia del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92340F7" w14:textId="77777777" w:rsidR="004634F9" w:rsidRPr="00910078" w:rsidRDefault="00E75A4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sz w:val="22"/>
          <w:szCs w:val="22"/>
        </w:rPr>
        <w:lastRenderedPageBreak/>
        <w:t xml:space="preserve">Cuarto. Notifíquese </w:t>
      </w:r>
      <w:r w:rsidRPr="00910078">
        <w:rPr>
          <w:rFonts w:ascii="Palatino Linotype" w:eastAsia="Palatino Linotype" w:hAnsi="Palatino Linotype" w:cs="Palatino Linotype"/>
          <w:sz w:val="22"/>
          <w:szCs w:val="22"/>
        </w:rPr>
        <w:t>vía</w:t>
      </w:r>
      <w:r w:rsidRPr="00910078">
        <w:rPr>
          <w:rFonts w:ascii="Palatino Linotype" w:eastAsia="Palatino Linotype" w:hAnsi="Palatino Linotype" w:cs="Palatino Linotype"/>
          <w:b/>
          <w:sz w:val="22"/>
          <w:szCs w:val="22"/>
        </w:rPr>
        <w:t xml:space="preserve"> SAIMEX </w:t>
      </w:r>
      <w:r w:rsidRPr="00910078">
        <w:rPr>
          <w:rFonts w:ascii="Palatino Linotype" w:eastAsia="Palatino Linotype" w:hAnsi="Palatino Linotype" w:cs="Palatino Linotype"/>
          <w:sz w:val="22"/>
          <w:szCs w:val="22"/>
        </w:rPr>
        <w:t>a la parte</w:t>
      </w:r>
      <w:r w:rsidRPr="00910078">
        <w:rPr>
          <w:rFonts w:ascii="Palatino Linotype" w:eastAsia="Palatino Linotype" w:hAnsi="Palatino Linotype" w:cs="Palatino Linotype"/>
          <w:b/>
          <w:sz w:val="22"/>
          <w:szCs w:val="22"/>
        </w:rPr>
        <w:t xml:space="preserve"> Recurrente, </w:t>
      </w:r>
      <w:r w:rsidRPr="00910078">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o bien, vía Juicio de Amparo en los términos de las leyes aplicables. </w:t>
      </w:r>
    </w:p>
    <w:p w14:paraId="18801B79" w14:textId="77777777" w:rsidR="004634F9" w:rsidRPr="00910078" w:rsidRDefault="00E75A4A">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sz w:val="22"/>
          <w:szCs w:val="22"/>
        </w:rPr>
        <w:t xml:space="preserve">Quinto. Notifíquese </w:t>
      </w:r>
      <w:r w:rsidRPr="00910078">
        <w:rPr>
          <w:rFonts w:ascii="Palatino Linotype" w:eastAsia="Palatino Linotype" w:hAnsi="Palatino Linotype" w:cs="Palatino Linotype"/>
          <w:sz w:val="22"/>
          <w:szCs w:val="22"/>
        </w:rPr>
        <w:t>vía</w:t>
      </w:r>
      <w:r w:rsidRPr="00910078">
        <w:rPr>
          <w:rFonts w:ascii="Palatino Linotype" w:eastAsia="Palatino Linotype" w:hAnsi="Palatino Linotype" w:cs="Palatino Linotype"/>
          <w:b/>
          <w:sz w:val="22"/>
          <w:szCs w:val="22"/>
        </w:rPr>
        <w:t xml:space="preserve"> SAIMEX </w:t>
      </w:r>
      <w:r w:rsidRPr="00910078">
        <w:rPr>
          <w:rFonts w:ascii="Palatino Linotype" w:eastAsia="Palatino Linotype" w:hAnsi="Palatino Linotype" w:cs="Palatino Linotype"/>
          <w:sz w:val="22"/>
          <w:szCs w:val="22"/>
        </w:rPr>
        <w:t>a la parte</w:t>
      </w:r>
      <w:r w:rsidRPr="00910078">
        <w:rPr>
          <w:rFonts w:ascii="Palatino Linotype" w:eastAsia="Palatino Linotype" w:hAnsi="Palatino Linotype" w:cs="Palatino Linotype"/>
          <w:b/>
          <w:sz w:val="22"/>
          <w:szCs w:val="22"/>
        </w:rPr>
        <w:t xml:space="preserve"> Recurrente </w:t>
      </w:r>
      <w:r w:rsidRPr="00910078">
        <w:rPr>
          <w:rFonts w:ascii="Palatino Linotype" w:eastAsia="Palatino Linotype" w:hAnsi="Palatino Linotype" w:cs="Palatino Linotype"/>
          <w:sz w:val="22"/>
          <w:szCs w:val="22"/>
        </w:rPr>
        <w:t xml:space="preserve">que la respuesta que dé el </w:t>
      </w:r>
      <w:r w:rsidRPr="00910078">
        <w:rPr>
          <w:rFonts w:ascii="Palatino Linotype" w:eastAsia="Palatino Linotype" w:hAnsi="Palatino Linotype" w:cs="Palatino Linotype"/>
          <w:b/>
          <w:sz w:val="22"/>
          <w:szCs w:val="22"/>
        </w:rPr>
        <w:t>Sujeto Obligado</w:t>
      </w:r>
      <w:r w:rsidRPr="00910078">
        <w:rPr>
          <w:rFonts w:ascii="Palatino Linotype" w:eastAsia="Palatino Linotype" w:hAnsi="Palatino Linotype" w:cs="Palatino Linotype"/>
          <w:sz w:val="22"/>
          <w:szCs w:val="22"/>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05AABF56" w14:textId="77777777" w:rsidR="004634F9" w:rsidRPr="00910078" w:rsidRDefault="00E75A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10078">
        <w:rPr>
          <w:rFonts w:ascii="Palatino Linotype" w:eastAsia="Palatino Linotype" w:hAnsi="Palatino Linotype" w:cs="Palatino Linotype"/>
          <w:b/>
          <w:sz w:val="22"/>
          <w:szCs w:val="22"/>
        </w:rPr>
        <w:t>Sexto.</w:t>
      </w:r>
      <w:r w:rsidRPr="00910078">
        <w:rPr>
          <w:rFonts w:ascii="Palatino Linotype" w:eastAsia="Palatino Linotype" w:hAnsi="Palatino Linotype" w:cs="Palatino Linotype"/>
          <w:sz w:val="22"/>
          <w:szCs w:val="22"/>
        </w:rPr>
        <w:t xml:space="preserve"> Gírese oficio a la </w:t>
      </w:r>
      <w:r w:rsidRPr="00910078">
        <w:rPr>
          <w:rFonts w:ascii="Palatino Linotype" w:eastAsia="Palatino Linotype" w:hAnsi="Palatino Linotype" w:cs="Palatino Linotype"/>
          <w:b/>
          <w:sz w:val="22"/>
          <w:szCs w:val="22"/>
        </w:rPr>
        <w:t>Secretaría Técnica del Pleno</w:t>
      </w:r>
      <w:r w:rsidRPr="00910078">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 de la presente resolución.</w:t>
      </w:r>
    </w:p>
    <w:p w14:paraId="027AF992" w14:textId="77777777" w:rsidR="004634F9" w:rsidRPr="00910078" w:rsidRDefault="004634F9">
      <w:pPr>
        <w:spacing w:line="360" w:lineRule="auto"/>
        <w:ind w:right="49"/>
        <w:jc w:val="both"/>
        <w:rPr>
          <w:rFonts w:ascii="Palatino Linotype" w:eastAsia="Palatino Linotype" w:hAnsi="Palatino Linotype" w:cs="Palatino Linotype"/>
          <w:sz w:val="22"/>
          <w:szCs w:val="22"/>
        </w:rPr>
      </w:pPr>
    </w:p>
    <w:p w14:paraId="42C519C6" w14:textId="77777777" w:rsidR="004634F9" w:rsidRPr="00910078" w:rsidRDefault="00E75A4A">
      <w:pPr>
        <w:spacing w:line="360" w:lineRule="auto"/>
        <w:jc w:val="both"/>
        <w:rPr>
          <w:rFonts w:ascii="Palatino Linotype" w:eastAsia="Palatino Linotype" w:hAnsi="Palatino Linotype" w:cs="Palatino Linotype"/>
          <w:sz w:val="22"/>
          <w:szCs w:val="22"/>
        </w:rPr>
        <w:sectPr w:rsidR="004634F9" w:rsidRPr="00910078">
          <w:headerReference w:type="default" r:id="rId19"/>
          <w:footerReference w:type="default" r:id="rId20"/>
          <w:headerReference w:type="first" r:id="rId21"/>
          <w:footerReference w:type="first" r:id="rId22"/>
          <w:pgSz w:w="12240" w:h="15840"/>
          <w:pgMar w:top="2041" w:right="1701" w:bottom="1701" w:left="1701" w:header="709" w:footer="709" w:gutter="0"/>
          <w:pgNumType w:start="1"/>
          <w:cols w:space="720"/>
          <w:titlePg/>
        </w:sectPr>
      </w:pPr>
      <w:bookmarkStart w:id="3" w:name="_heading=h.1fob9te" w:colFirst="0" w:colLast="0"/>
      <w:bookmarkEnd w:id="3"/>
      <w:r w:rsidRPr="00910078">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9F5545" w:rsidRPr="00910078">
        <w:rPr>
          <w:rFonts w:ascii="Palatino Linotype" w:eastAsia="Palatino Linotype" w:hAnsi="Palatino Linotype" w:cs="Palatino Linotype"/>
          <w:sz w:val="22"/>
          <w:szCs w:val="22"/>
        </w:rPr>
        <w:t xml:space="preserve"> (EMITIENDO VOTO PARTICULAR)</w:t>
      </w:r>
      <w:r w:rsidRPr="00910078">
        <w:rPr>
          <w:rFonts w:ascii="Palatino Linotype" w:eastAsia="Palatino Linotype" w:hAnsi="Palatino Linotype" w:cs="Palatino Linotype"/>
          <w:sz w:val="22"/>
          <w:szCs w:val="22"/>
        </w:rPr>
        <w:t xml:space="preserve"> Y GUADALUPE RAMÍREZ PEÑA</w:t>
      </w:r>
      <w:r w:rsidR="009F5545" w:rsidRPr="00910078">
        <w:rPr>
          <w:rFonts w:ascii="Palatino Linotype" w:eastAsia="Palatino Linotype" w:hAnsi="Palatino Linotype" w:cs="Palatino Linotype"/>
          <w:sz w:val="22"/>
          <w:szCs w:val="22"/>
        </w:rPr>
        <w:t xml:space="preserve"> (EMITIENDO VOTO PARTICULAR)</w:t>
      </w:r>
      <w:r w:rsidRPr="00910078">
        <w:rPr>
          <w:rFonts w:ascii="Palatino Linotype" w:eastAsia="Palatino Linotype" w:hAnsi="Palatino Linotype" w:cs="Palatino Linotype"/>
          <w:sz w:val="22"/>
          <w:szCs w:val="22"/>
        </w:rPr>
        <w:t xml:space="preserve">; EN LA TRIGÉSIMA OCTAVA SESIÓN ORDINARIA CELEBRADA EL SEIS DE NOVIEMBRE DE DOS MIL VEINTICUATRO, ANTE EL SECRETARIO TÉCNICO DEL PLENO ALEXIS TAPIA RAMÍREZ.                              </w:t>
      </w:r>
    </w:p>
    <w:p w14:paraId="1E7AA291" w14:textId="77777777" w:rsidR="004634F9" w:rsidRPr="00910078" w:rsidRDefault="004634F9">
      <w:pPr>
        <w:spacing w:line="360" w:lineRule="auto"/>
        <w:ind w:right="49"/>
        <w:jc w:val="both"/>
        <w:rPr>
          <w:rFonts w:ascii="Palatino Linotype" w:eastAsia="Palatino Linotype" w:hAnsi="Palatino Linotype" w:cs="Palatino Linotype"/>
          <w:sz w:val="22"/>
          <w:szCs w:val="22"/>
        </w:rPr>
      </w:pPr>
    </w:p>
    <w:p w14:paraId="61BB52CA" w14:textId="77777777" w:rsidR="004634F9" w:rsidRPr="00910078" w:rsidRDefault="004634F9">
      <w:pPr>
        <w:spacing w:line="360" w:lineRule="auto"/>
        <w:ind w:right="49"/>
        <w:jc w:val="both"/>
        <w:rPr>
          <w:rFonts w:ascii="Palatino Linotype" w:eastAsia="Palatino Linotype" w:hAnsi="Palatino Linotype" w:cs="Palatino Linotype"/>
          <w:sz w:val="22"/>
          <w:szCs w:val="22"/>
        </w:rPr>
      </w:pPr>
    </w:p>
    <w:p w14:paraId="6A63FF79" w14:textId="77777777" w:rsidR="004634F9" w:rsidRPr="00910078" w:rsidRDefault="004634F9">
      <w:pPr>
        <w:spacing w:line="360" w:lineRule="auto"/>
        <w:ind w:right="49"/>
        <w:jc w:val="both"/>
        <w:rPr>
          <w:rFonts w:ascii="Palatino Linotype" w:eastAsia="Palatino Linotype" w:hAnsi="Palatino Linotype" w:cs="Palatino Linotype"/>
          <w:sz w:val="22"/>
          <w:szCs w:val="22"/>
        </w:rPr>
      </w:pPr>
    </w:p>
    <w:p w14:paraId="194CBAF9" w14:textId="77777777" w:rsidR="004634F9" w:rsidRPr="00910078" w:rsidRDefault="004634F9">
      <w:pPr>
        <w:spacing w:line="360" w:lineRule="auto"/>
        <w:ind w:right="49"/>
        <w:jc w:val="both"/>
        <w:rPr>
          <w:rFonts w:ascii="Palatino Linotype" w:eastAsia="Palatino Linotype" w:hAnsi="Palatino Linotype" w:cs="Palatino Linotype"/>
          <w:sz w:val="22"/>
          <w:szCs w:val="22"/>
        </w:rPr>
      </w:pPr>
    </w:p>
    <w:p w14:paraId="2FAD9928" w14:textId="77777777" w:rsidR="004634F9" w:rsidRPr="00910078" w:rsidRDefault="004634F9">
      <w:pPr>
        <w:spacing w:line="360" w:lineRule="auto"/>
        <w:ind w:right="49"/>
        <w:jc w:val="both"/>
        <w:rPr>
          <w:rFonts w:ascii="Palatino Linotype" w:eastAsia="Palatino Linotype" w:hAnsi="Palatino Linotype" w:cs="Palatino Linotype"/>
          <w:sz w:val="22"/>
          <w:szCs w:val="22"/>
        </w:rPr>
      </w:pPr>
    </w:p>
    <w:p w14:paraId="31D95DF0" w14:textId="77777777" w:rsidR="004634F9" w:rsidRPr="00910078" w:rsidRDefault="004634F9">
      <w:pPr>
        <w:spacing w:line="360" w:lineRule="auto"/>
        <w:ind w:right="49"/>
        <w:jc w:val="both"/>
        <w:rPr>
          <w:rFonts w:ascii="Palatino Linotype" w:eastAsia="Palatino Linotype" w:hAnsi="Palatino Linotype" w:cs="Palatino Linotype"/>
          <w:sz w:val="22"/>
          <w:szCs w:val="22"/>
        </w:rPr>
      </w:pPr>
    </w:p>
    <w:p w14:paraId="7AF581D2" w14:textId="77777777" w:rsidR="004634F9" w:rsidRPr="00910078" w:rsidRDefault="004634F9">
      <w:pPr>
        <w:spacing w:line="360" w:lineRule="auto"/>
        <w:ind w:right="49"/>
        <w:jc w:val="both"/>
        <w:rPr>
          <w:rFonts w:ascii="Palatino Linotype" w:eastAsia="Palatino Linotype" w:hAnsi="Palatino Linotype" w:cs="Palatino Linotype"/>
          <w:sz w:val="22"/>
          <w:szCs w:val="22"/>
        </w:rPr>
      </w:pPr>
    </w:p>
    <w:p w14:paraId="378259FD" w14:textId="77777777" w:rsidR="004634F9" w:rsidRPr="00910078" w:rsidRDefault="004634F9">
      <w:pPr>
        <w:spacing w:line="360" w:lineRule="auto"/>
        <w:ind w:right="49"/>
        <w:jc w:val="both"/>
        <w:rPr>
          <w:rFonts w:ascii="Palatino Linotype" w:eastAsia="Palatino Linotype" w:hAnsi="Palatino Linotype" w:cs="Palatino Linotype"/>
          <w:sz w:val="22"/>
          <w:szCs w:val="22"/>
        </w:rPr>
      </w:pPr>
    </w:p>
    <w:p w14:paraId="1EC30CC3" w14:textId="77777777" w:rsidR="004634F9" w:rsidRPr="00910078" w:rsidRDefault="004634F9">
      <w:pPr>
        <w:spacing w:line="360" w:lineRule="auto"/>
        <w:ind w:right="49"/>
        <w:jc w:val="both"/>
        <w:rPr>
          <w:rFonts w:ascii="Palatino Linotype" w:eastAsia="Palatino Linotype" w:hAnsi="Palatino Linotype" w:cs="Palatino Linotype"/>
          <w:sz w:val="22"/>
          <w:szCs w:val="22"/>
        </w:rPr>
      </w:pPr>
    </w:p>
    <w:p w14:paraId="3BCD641D" w14:textId="77777777" w:rsidR="004634F9" w:rsidRPr="00910078" w:rsidRDefault="004634F9">
      <w:pPr>
        <w:spacing w:line="360" w:lineRule="auto"/>
        <w:ind w:right="49"/>
        <w:jc w:val="both"/>
        <w:rPr>
          <w:rFonts w:ascii="Palatino Linotype" w:eastAsia="Palatino Linotype" w:hAnsi="Palatino Linotype" w:cs="Palatino Linotype"/>
          <w:sz w:val="22"/>
          <w:szCs w:val="22"/>
        </w:rPr>
      </w:pPr>
    </w:p>
    <w:p w14:paraId="51868D1E" w14:textId="77777777" w:rsidR="004634F9" w:rsidRPr="00910078" w:rsidRDefault="004634F9">
      <w:pPr>
        <w:spacing w:line="360" w:lineRule="auto"/>
        <w:ind w:right="49"/>
        <w:jc w:val="both"/>
        <w:rPr>
          <w:rFonts w:ascii="Palatino Linotype" w:eastAsia="Palatino Linotype" w:hAnsi="Palatino Linotype" w:cs="Palatino Linotype"/>
          <w:sz w:val="22"/>
          <w:szCs w:val="22"/>
        </w:rPr>
      </w:pPr>
    </w:p>
    <w:p w14:paraId="31E096E9" w14:textId="77777777" w:rsidR="004634F9" w:rsidRPr="00910078" w:rsidRDefault="004634F9">
      <w:pPr>
        <w:spacing w:line="360" w:lineRule="auto"/>
        <w:ind w:right="49"/>
        <w:jc w:val="both"/>
        <w:rPr>
          <w:rFonts w:ascii="Palatino Linotype" w:eastAsia="Palatino Linotype" w:hAnsi="Palatino Linotype" w:cs="Palatino Linotype"/>
          <w:sz w:val="22"/>
          <w:szCs w:val="22"/>
        </w:rPr>
      </w:pPr>
    </w:p>
    <w:p w14:paraId="100A2869" w14:textId="77777777" w:rsidR="004634F9" w:rsidRPr="00910078" w:rsidRDefault="004634F9">
      <w:pPr>
        <w:spacing w:line="360" w:lineRule="auto"/>
        <w:ind w:right="49"/>
        <w:jc w:val="both"/>
        <w:rPr>
          <w:rFonts w:ascii="Palatino Linotype" w:eastAsia="Palatino Linotype" w:hAnsi="Palatino Linotype" w:cs="Palatino Linotype"/>
          <w:sz w:val="22"/>
          <w:szCs w:val="22"/>
        </w:rPr>
      </w:pPr>
    </w:p>
    <w:p w14:paraId="70BD0DB9" w14:textId="77777777" w:rsidR="004634F9" w:rsidRPr="00910078" w:rsidRDefault="004634F9">
      <w:pPr>
        <w:spacing w:line="360" w:lineRule="auto"/>
        <w:ind w:right="49"/>
        <w:jc w:val="both"/>
        <w:rPr>
          <w:rFonts w:ascii="Palatino Linotype" w:eastAsia="Palatino Linotype" w:hAnsi="Palatino Linotype" w:cs="Palatino Linotype"/>
          <w:sz w:val="22"/>
          <w:szCs w:val="22"/>
        </w:rPr>
      </w:pPr>
    </w:p>
    <w:p w14:paraId="1FC45A49" w14:textId="77777777" w:rsidR="004634F9" w:rsidRPr="00910078" w:rsidRDefault="004634F9">
      <w:pPr>
        <w:spacing w:line="360" w:lineRule="auto"/>
        <w:ind w:right="49"/>
        <w:jc w:val="both"/>
        <w:rPr>
          <w:rFonts w:ascii="Palatino Linotype" w:eastAsia="Palatino Linotype" w:hAnsi="Palatino Linotype" w:cs="Palatino Linotype"/>
          <w:sz w:val="22"/>
          <w:szCs w:val="22"/>
        </w:rPr>
      </w:pPr>
    </w:p>
    <w:p w14:paraId="4AC86189" w14:textId="77777777" w:rsidR="004634F9" w:rsidRPr="00910078" w:rsidRDefault="004634F9">
      <w:pPr>
        <w:spacing w:line="360" w:lineRule="auto"/>
        <w:ind w:right="49"/>
        <w:jc w:val="both"/>
        <w:rPr>
          <w:rFonts w:ascii="Palatino Linotype" w:eastAsia="Palatino Linotype" w:hAnsi="Palatino Linotype" w:cs="Palatino Linotype"/>
          <w:sz w:val="22"/>
          <w:szCs w:val="22"/>
        </w:rPr>
      </w:pPr>
    </w:p>
    <w:p w14:paraId="04529565" w14:textId="77777777" w:rsidR="004634F9" w:rsidRPr="00910078" w:rsidRDefault="004634F9">
      <w:pPr>
        <w:spacing w:line="360" w:lineRule="auto"/>
        <w:ind w:right="49"/>
        <w:jc w:val="both"/>
        <w:rPr>
          <w:rFonts w:ascii="Palatino Linotype" w:eastAsia="Palatino Linotype" w:hAnsi="Palatino Linotype" w:cs="Palatino Linotype"/>
          <w:sz w:val="22"/>
          <w:szCs w:val="22"/>
        </w:rPr>
      </w:pPr>
    </w:p>
    <w:p w14:paraId="6F3A0840" w14:textId="77777777" w:rsidR="004634F9" w:rsidRPr="00910078" w:rsidRDefault="004634F9">
      <w:pPr>
        <w:spacing w:line="360" w:lineRule="auto"/>
        <w:ind w:right="49"/>
        <w:jc w:val="both"/>
        <w:rPr>
          <w:rFonts w:ascii="Palatino Linotype" w:eastAsia="Palatino Linotype" w:hAnsi="Palatino Linotype" w:cs="Palatino Linotype"/>
          <w:sz w:val="22"/>
          <w:szCs w:val="22"/>
        </w:rPr>
      </w:pPr>
    </w:p>
    <w:p w14:paraId="205B60CF" w14:textId="77777777" w:rsidR="004634F9" w:rsidRPr="00910078" w:rsidRDefault="004634F9">
      <w:pPr>
        <w:spacing w:line="360" w:lineRule="auto"/>
        <w:ind w:right="49"/>
        <w:jc w:val="both"/>
        <w:rPr>
          <w:rFonts w:ascii="Palatino Linotype" w:eastAsia="Palatino Linotype" w:hAnsi="Palatino Linotype" w:cs="Palatino Linotype"/>
          <w:sz w:val="22"/>
          <w:szCs w:val="22"/>
        </w:rPr>
      </w:pPr>
    </w:p>
    <w:p w14:paraId="6C9DABDB" w14:textId="77777777" w:rsidR="004634F9" w:rsidRPr="00910078" w:rsidRDefault="004634F9">
      <w:pPr>
        <w:spacing w:line="360" w:lineRule="auto"/>
        <w:ind w:right="49"/>
        <w:jc w:val="both"/>
        <w:rPr>
          <w:rFonts w:ascii="Palatino Linotype" w:eastAsia="Palatino Linotype" w:hAnsi="Palatino Linotype" w:cs="Palatino Linotype"/>
          <w:sz w:val="22"/>
          <w:szCs w:val="22"/>
        </w:rPr>
      </w:pPr>
    </w:p>
    <w:p w14:paraId="77D6D569" w14:textId="77777777" w:rsidR="004634F9" w:rsidRPr="00910078" w:rsidRDefault="004634F9">
      <w:pPr>
        <w:spacing w:line="360" w:lineRule="auto"/>
        <w:ind w:right="49"/>
        <w:jc w:val="both"/>
        <w:rPr>
          <w:rFonts w:ascii="Palatino Linotype" w:eastAsia="Palatino Linotype" w:hAnsi="Palatino Linotype" w:cs="Palatino Linotype"/>
          <w:sz w:val="22"/>
          <w:szCs w:val="22"/>
        </w:rPr>
      </w:pPr>
    </w:p>
    <w:p w14:paraId="07C609DF" w14:textId="77777777" w:rsidR="004634F9" w:rsidRPr="00910078" w:rsidRDefault="004634F9">
      <w:pPr>
        <w:spacing w:line="360" w:lineRule="auto"/>
        <w:jc w:val="both"/>
        <w:rPr>
          <w:rFonts w:ascii="Palatino Linotype" w:eastAsia="Palatino Linotype" w:hAnsi="Palatino Linotype" w:cs="Palatino Linotype"/>
          <w:sz w:val="22"/>
          <w:szCs w:val="22"/>
        </w:rPr>
      </w:pPr>
    </w:p>
    <w:sectPr w:rsidR="004634F9" w:rsidRPr="00910078">
      <w:headerReference w:type="first" r:id="rId23"/>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7F255" w14:textId="77777777" w:rsidR="00370DE0" w:rsidRDefault="00370DE0">
      <w:r>
        <w:separator/>
      </w:r>
    </w:p>
  </w:endnote>
  <w:endnote w:type="continuationSeparator" w:id="0">
    <w:p w14:paraId="3F0C3A8F" w14:textId="77777777" w:rsidR="00370DE0" w:rsidRDefault="00370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6CBA1" w14:textId="77777777" w:rsidR="004634F9" w:rsidRDefault="00E75A4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746B6">
      <w:rPr>
        <w:rFonts w:ascii="Arial" w:eastAsia="Arial" w:hAnsi="Arial" w:cs="Arial"/>
        <w:b/>
        <w:noProof/>
        <w:color w:val="000000"/>
        <w:sz w:val="20"/>
        <w:szCs w:val="20"/>
      </w:rPr>
      <w:t>71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746B6">
      <w:rPr>
        <w:rFonts w:ascii="Arial" w:eastAsia="Arial" w:hAnsi="Arial" w:cs="Arial"/>
        <w:b/>
        <w:noProof/>
        <w:color w:val="000000"/>
        <w:sz w:val="20"/>
        <w:szCs w:val="20"/>
      </w:rPr>
      <w:t>72</w:t>
    </w:r>
    <w:r>
      <w:rPr>
        <w:rFonts w:ascii="Arial" w:eastAsia="Arial" w:hAnsi="Arial" w:cs="Arial"/>
        <w:b/>
        <w:color w:val="000000"/>
        <w:sz w:val="20"/>
        <w:szCs w:val="20"/>
      </w:rPr>
      <w:fldChar w:fldCharType="end"/>
    </w:r>
  </w:p>
  <w:p w14:paraId="642EAA6A" w14:textId="77777777" w:rsidR="004634F9" w:rsidRDefault="004634F9">
    <w:pPr>
      <w:pBdr>
        <w:top w:val="nil"/>
        <w:left w:val="nil"/>
        <w:bottom w:val="nil"/>
        <w:right w:val="nil"/>
        <w:between w:val="nil"/>
      </w:pBdr>
      <w:tabs>
        <w:tab w:val="center" w:pos="4252"/>
        <w:tab w:val="right" w:pos="8504"/>
      </w:tabs>
      <w:rPr>
        <w:color w:val="000000"/>
      </w:rPr>
    </w:pPr>
  </w:p>
  <w:p w14:paraId="6D4C96EC" w14:textId="77777777" w:rsidR="004634F9" w:rsidRDefault="004634F9">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DF2B1" w14:textId="77777777" w:rsidR="004634F9" w:rsidRDefault="00E75A4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746B6">
      <w:rPr>
        <w:rFonts w:ascii="Arial" w:eastAsia="Arial" w:hAnsi="Arial" w:cs="Arial"/>
        <w:b/>
        <w:noProof/>
        <w:color w:val="000000"/>
        <w:sz w:val="20"/>
        <w:szCs w:val="20"/>
      </w:rPr>
      <w:t>72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746B6">
      <w:rPr>
        <w:rFonts w:ascii="Arial" w:eastAsia="Arial" w:hAnsi="Arial" w:cs="Arial"/>
        <w:b/>
        <w:noProof/>
        <w:color w:val="000000"/>
        <w:sz w:val="20"/>
        <w:szCs w:val="20"/>
      </w:rPr>
      <w:t>72</w:t>
    </w:r>
    <w:r>
      <w:rPr>
        <w:rFonts w:ascii="Arial" w:eastAsia="Arial" w:hAnsi="Arial" w:cs="Arial"/>
        <w:b/>
        <w:color w:val="000000"/>
        <w:sz w:val="20"/>
        <w:szCs w:val="20"/>
      </w:rPr>
      <w:fldChar w:fldCharType="end"/>
    </w:r>
  </w:p>
  <w:p w14:paraId="6564438B" w14:textId="77777777" w:rsidR="004634F9" w:rsidRDefault="004634F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3468F" w14:textId="77777777" w:rsidR="00370DE0" w:rsidRDefault="00370DE0">
      <w:r>
        <w:separator/>
      </w:r>
    </w:p>
  </w:footnote>
  <w:footnote w:type="continuationSeparator" w:id="0">
    <w:p w14:paraId="267D0374" w14:textId="77777777" w:rsidR="00370DE0" w:rsidRDefault="00370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45081" w14:textId="77777777" w:rsidR="004634F9" w:rsidRDefault="00E75A4A">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746D782B" wp14:editId="26A7ED21">
          <wp:simplePos x="0" y="0"/>
          <wp:positionH relativeFrom="column">
            <wp:posOffset>-638173</wp:posOffset>
          </wp:positionH>
          <wp:positionV relativeFrom="paragraph">
            <wp:posOffset>-450213</wp:posOffset>
          </wp:positionV>
          <wp:extent cx="7809876" cy="10165823"/>
          <wp:effectExtent l="0" t="0" r="0" b="0"/>
          <wp:wrapNone/>
          <wp:docPr id="8319354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5"/>
      <w:tblW w:w="5528" w:type="dxa"/>
      <w:tblInd w:w="3261" w:type="dxa"/>
      <w:tblLayout w:type="fixed"/>
      <w:tblLook w:val="0400" w:firstRow="0" w:lastRow="0" w:firstColumn="0" w:lastColumn="0" w:noHBand="0" w:noVBand="1"/>
    </w:tblPr>
    <w:tblGrid>
      <w:gridCol w:w="2551"/>
      <w:gridCol w:w="2977"/>
    </w:tblGrid>
    <w:tr w:rsidR="004634F9" w14:paraId="4B4F2BE0" w14:textId="77777777">
      <w:tc>
        <w:tcPr>
          <w:tcW w:w="2551" w:type="dxa"/>
          <w:vAlign w:val="center"/>
        </w:tcPr>
        <w:p w14:paraId="2D41534F" w14:textId="77777777" w:rsidR="004634F9" w:rsidRDefault="00E75A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3E25CDA6" w14:textId="77777777" w:rsidR="004634F9" w:rsidRDefault="00E75A4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05899/INFOEM/IP/RR/2024</w:t>
          </w:r>
        </w:p>
      </w:tc>
    </w:tr>
    <w:tr w:rsidR="004634F9" w14:paraId="5242BFA7" w14:textId="77777777">
      <w:trPr>
        <w:trHeight w:val="228"/>
      </w:trPr>
      <w:tc>
        <w:tcPr>
          <w:tcW w:w="2551" w:type="dxa"/>
          <w:vAlign w:val="center"/>
        </w:tcPr>
        <w:p w14:paraId="375310A9" w14:textId="77777777" w:rsidR="004634F9" w:rsidRDefault="00E75A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08B2E689" w14:textId="77777777" w:rsidR="004634F9" w:rsidRDefault="00E75A4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Tepetlixpa</w:t>
          </w:r>
        </w:p>
      </w:tc>
    </w:tr>
    <w:tr w:rsidR="004634F9" w14:paraId="4B7947E0" w14:textId="77777777">
      <w:tc>
        <w:tcPr>
          <w:tcW w:w="2551" w:type="dxa"/>
          <w:vAlign w:val="center"/>
        </w:tcPr>
        <w:p w14:paraId="65BF581C" w14:textId="77777777" w:rsidR="004634F9" w:rsidRDefault="00E75A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78A42055" w14:textId="77777777" w:rsidR="004634F9" w:rsidRDefault="00E75A4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6C744E7" w14:textId="77777777" w:rsidR="004634F9" w:rsidRDefault="00E75A4A">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A220A" w14:textId="77777777" w:rsidR="004634F9" w:rsidRDefault="00E75A4A">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1340C6DC" wp14:editId="37199E6B">
          <wp:simplePos x="0" y="0"/>
          <wp:positionH relativeFrom="column">
            <wp:posOffset>-798191</wp:posOffset>
          </wp:positionH>
          <wp:positionV relativeFrom="paragraph">
            <wp:posOffset>-399411</wp:posOffset>
          </wp:positionV>
          <wp:extent cx="7809876" cy="10165823"/>
          <wp:effectExtent l="0" t="0" r="0" b="0"/>
          <wp:wrapNone/>
          <wp:docPr id="8319354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70" w:type="dxa"/>
      <w:tblInd w:w="3119" w:type="dxa"/>
      <w:tblLayout w:type="fixed"/>
      <w:tblLook w:val="0400" w:firstRow="0" w:lastRow="0" w:firstColumn="0" w:lastColumn="0" w:noHBand="0" w:noVBand="1"/>
    </w:tblPr>
    <w:tblGrid>
      <w:gridCol w:w="2551"/>
      <w:gridCol w:w="3119"/>
    </w:tblGrid>
    <w:tr w:rsidR="004634F9" w14:paraId="7D1862DB" w14:textId="77777777">
      <w:tc>
        <w:tcPr>
          <w:tcW w:w="2551" w:type="dxa"/>
          <w:vAlign w:val="center"/>
        </w:tcPr>
        <w:p w14:paraId="4488BD96" w14:textId="77777777" w:rsidR="004634F9" w:rsidRDefault="00E75A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4CDE0952" w14:textId="77777777" w:rsidR="004634F9" w:rsidRDefault="00E75A4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05899/INFOEM/IP/RR/2024 </w:t>
          </w:r>
        </w:p>
      </w:tc>
    </w:tr>
    <w:tr w:rsidR="004634F9" w14:paraId="2426CF01" w14:textId="77777777">
      <w:tc>
        <w:tcPr>
          <w:tcW w:w="2551" w:type="dxa"/>
          <w:vAlign w:val="center"/>
        </w:tcPr>
        <w:p w14:paraId="2B95641F" w14:textId="77777777" w:rsidR="004634F9" w:rsidRDefault="00E75A4A">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1D2EB6C8" w14:textId="69028197" w:rsidR="004634F9" w:rsidRDefault="00F251C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 XXXXXX </w:t>
          </w:r>
        </w:p>
      </w:tc>
    </w:tr>
    <w:tr w:rsidR="004634F9" w14:paraId="61401B98" w14:textId="77777777">
      <w:trPr>
        <w:trHeight w:val="228"/>
      </w:trPr>
      <w:tc>
        <w:tcPr>
          <w:tcW w:w="2551" w:type="dxa"/>
          <w:vAlign w:val="center"/>
        </w:tcPr>
        <w:p w14:paraId="7FE0239D" w14:textId="77777777" w:rsidR="004634F9" w:rsidRDefault="00E75A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4C33E76" w14:textId="77777777" w:rsidR="004634F9" w:rsidRDefault="00E75A4A">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Tepetlixpa</w:t>
          </w:r>
        </w:p>
      </w:tc>
    </w:tr>
    <w:tr w:rsidR="004634F9" w14:paraId="1A5FD017" w14:textId="77777777">
      <w:tc>
        <w:tcPr>
          <w:tcW w:w="2551" w:type="dxa"/>
          <w:vAlign w:val="center"/>
        </w:tcPr>
        <w:p w14:paraId="736F712E" w14:textId="77777777" w:rsidR="004634F9" w:rsidRDefault="00E75A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1555DF2F" w14:textId="77777777" w:rsidR="004634F9" w:rsidRDefault="00E75A4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8BEB6CE" w14:textId="77777777" w:rsidR="004634F9" w:rsidRDefault="004634F9">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6F0C4" w14:textId="77777777" w:rsidR="004634F9" w:rsidRDefault="004634F9">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47F3C75" w14:textId="77777777" w:rsidR="004634F9" w:rsidRDefault="004634F9">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54B8"/>
    <w:multiLevelType w:val="multilevel"/>
    <w:tmpl w:val="9A1A71A2"/>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 w15:restartNumberingAfterBreak="0">
    <w:nsid w:val="08AE1B40"/>
    <w:multiLevelType w:val="multilevel"/>
    <w:tmpl w:val="394A431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8B2D89"/>
    <w:multiLevelType w:val="multilevel"/>
    <w:tmpl w:val="2EE0C8C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6B6C62"/>
    <w:multiLevelType w:val="multilevel"/>
    <w:tmpl w:val="7CA43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E21C36"/>
    <w:multiLevelType w:val="multilevel"/>
    <w:tmpl w:val="0556F20E"/>
    <w:lvl w:ilvl="0">
      <w:start w:val="1"/>
      <w:numFmt w:val="decimal"/>
      <w:lvlText w:val="%1)"/>
      <w:lvlJc w:val="left"/>
      <w:pPr>
        <w:ind w:left="720" w:hanging="360"/>
      </w:pPr>
    </w:lvl>
    <w:lvl w:ilvl="1">
      <w:numFmt w:val="bullet"/>
      <w:lvlText w:val="•"/>
      <w:lvlJc w:val="left"/>
      <w:pPr>
        <w:ind w:left="1800" w:hanging="720"/>
      </w:pPr>
      <w:rPr>
        <w:rFonts w:ascii="Palatino Linotype" w:eastAsia="Palatino Linotype" w:hAnsi="Palatino Linotype" w:cs="Palatino Linotyp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EC1FEB"/>
    <w:multiLevelType w:val="multilevel"/>
    <w:tmpl w:val="45C27B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E16448"/>
    <w:multiLevelType w:val="multilevel"/>
    <w:tmpl w:val="C26AEE0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 w15:restartNumberingAfterBreak="0">
    <w:nsid w:val="349B5757"/>
    <w:multiLevelType w:val="multilevel"/>
    <w:tmpl w:val="EB40AC82"/>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1A474B8"/>
    <w:multiLevelType w:val="multilevel"/>
    <w:tmpl w:val="F808CBA6"/>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 w15:restartNumberingAfterBreak="0">
    <w:nsid w:val="43066FDE"/>
    <w:multiLevelType w:val="multilevel"/>
    <w:tmpl w:val="CE10B5D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5056363B"/>
    <w:multiLevelType w:val="multilevel"/>
    <w:tmpl w:val="6B7849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2ED0EF8"/>
    <w:multiLevelType w:val="multilevel"/>
    <w:tmpl w:val="E6CA6466"/>
    <w:lvl w:ilvl="0">
      <w:start w:val="5"/>
      <w:numFmt w:val="bullet"/>
      <w:lvlText w:val="-"/>
      <w:lvlJc w:val="left"/>
      <w:pPr>
        <w:ind w:left="720" w:hanging="360"/>
      </w:pPr>
      <w:rPr>
        <w:rFonts w:ascii="Palatino Linotype" w:eastAsia="Palatino Linotype" w:hAnsi="Palatino Linotype" w:cs="Palatino Linotype"/>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4E154E0"/>
    <w:multiLevelType w:val="multilevel"/>
    <w:tmpl w:val="975E54CC"/>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CC7575A"/>
    <w:multiLevelType w:val="multilevel"/>
    <w:tmpl w:val="B2C6F3B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73C76DE0"/>
    <w:multiLevelType w:val="multilevel"/>
    <w:tmpl w:val="DB527F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6"/>
  </w:num>
  <w:num w:numId="3">
    <w:abstractNumId w:val="7"/>
  </w:num>
  <w:num w:numId="4">
    <w:abstractNumId w:val="10"/>
  </w:num>
  <w:num w:numId="5">
    <w:abstractNumId w:val="5"/>
  </w:num>
  <w:num w:numId="6">
    <w:abstractNumId w:val="0"/>
  </w:num>
  <w:num w:numId="7">
    <w:abstractNumId w:val="12"/>
  </w:num>
  <w:num w:numId="8">
    <w:abstractNumId w:val="8"/>
  </w:num>
  <w:num w:numId="9">
    <w:abstractNumId w:val="4"/>
  </w:num>
  <w:num w:numId="10">
    <w:abstractNumId w:val="11"/>
  </w:num>
  <w:num w:numId="11">
    <w:abstractNumId w:val="2"/>
  </w:num>
  <w:num w:numId="12">
    <w:abstractNumId w:val="14"/>
  </w:num>
  <w:num w:numId="13">
    <w:abstractNumId w:val="9"/>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4F9"/>
    <w:rsid w:val="000746B6"/>
    <w:rsid w:val="00370DE0"/>
    <w:rsid w:val="004634F9"/>
    <w:rsid w:val="00910078"/>
    <w:rsid w:val="009F5545"/>
    <w:rsid w:val="00B02885"/>
    <w:rsid w:val="00B26EE6"/>
    <w:rsid w:val="00E75A4A"/>
    <w:rsid w:val="00F251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5267"/>
  <w15:docId w15:val="{68D89A35-1EDE-49C4-AA4B-B4757274A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3"/>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nOYYzlJqQL58inQWi9pABjgDIg==">CgMxLjAyCGguZ2pkZ3hzMgloLjMwajB6bGwyCGgudHlqY3d0MgloLjFmb2I5dGU4AHIhMWg0ZV8yUGktclJuNC00bTY2X2l4b0RyRTI2NmNiVC1v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18567</Words>
  <Characters>102119</Characters>
  <Application>Microsoft Office Word</Application>
  <DocSecurity>0</DocSecurity>
  <Lines>850</Lines>
  <Paragraphs>240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2024-11-08T17:48:00Z</cp:lastPrinted>
  <dcterms:created xsi:type="dcterms:W3CDTF">2024-12-02T22:12:00Z</dcterms:created>
  <dcterms:modified xsi:type="dcterms:W3CDTF">2024-12-02T22:12:00Z</dcterms:modified>
</cp:coreProperties>
</file>