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74BCA"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veintisiete de noviembre de dos mil veinticuatro. </w:t>
      </w:r>
    </w:p>
    <w:p w14:paraId="11D35E3A"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74D28260" w14:textId="77777777" w:rsidR="006E20E7" w:rsidRPr="00C03673" w:rsidRDefault="00CA27F1">
      <w:pPr>
        <w:spacing w:line="360" w:lineRule="auto"/>
        <w:jc w:val="both"/>
        <w:rPr>
          <w:rFonts w:ascii="Palatino Linotype" w:eastAsia="Palatino Linotype" w:hAnsi="Palatino Linotype" w:cs="Palatino Linotype"/>
          <w:sz w:val="22"/>
          <w:szCs w:val="22"/>
        </w:rPr>
      </w:pPr>
      <w:bookmarkStart w:id="0" w:name="_heading=h.1fob9te" w:colFirst="0" w:colLast="0"/>
      <w:bookmarkEnd w:id="0"/>
      <w:r w:rsidRPr="00C03673">
        <w:rPr>
          <w:rFonts w:ascii="Palatino Linotype" w:eastAsia="Palatino Linotype" w:hAnsi="Palatino Linotype" w:cs="Palatino Linotype"/>
          <w:b/>
          <w:sz w:val="22"/>
          <w:szCs w:val="22"/>
        </w:rPr>
        <w:t>Vistos</w:t>
      </w:r>
      <w:r w:rsidRPr="00C03673">
        <w:rPr>
          <w:rFonts w:ascii="Palatino Linotype" w:eastAsia="Palatino Linotype" w:hAnsi="Palatino Linotype" w:cs="Palatino Linotype"/>
          <w:sz w:val="22"/>
          <w:szCs w:val="22"/>
        </w:rPr>
        <w:t xml:space="preserve"> los expedientes relativos a los recursos de revisión </w:t>
      </w:r>
      <w:r w:rsidRPr="00C03673">
        <w:rPr>
          <w:rFonts w:ascii="Palatino Linotype" w:eastAsia="Palatino Linotype" w:hAnsi="Palatino Linotype" w:cs="Palatino Linotype"/>
          <w:b/>
          <w:sz w:val="22"/>
          <w:szCs w:val="22"/>
        </w:rPr>
        <w:t xml:space="preserve">06729/INFOEM/IP/RR/2024, 06816/INFOEM/IP/RR/2024 </w:t>
      </w:r>
      <w:r w:rsidRPr="00C03673">
        <w:rPr>
          <w:rFonts w:ascii="Palatino Linotype" w:eastAsia="Palatino Linotype" w:hAnsi="Palatino Linotype" w:cs="Palatino Linotype"/>
          <w:sz w:val="22"/>
          <w:szCs w:val="22"/>
        </w:rPr>
        <w:t>y</w:t>
      </w:r>
      <w:r w:rsidRPr="00C03673">
        <w:rPr>
          <w:rFonts w:ascii="Palatino Linotype" w:eastAsia="Palatino Linotype" w:hAnsi="Palatino Linotype" w:cs="Palatino Linotype"/>
          <w:b/>
          <w:sz w:val="22"/>
          <w:szCs w:val="22"/>
        </w:rPr>
        <w:t xml:space="preserve"> 06847/INFOEM/IP/RR/2024 Acumulados</w:t>
      </w:r>
      <w:r w:rsidRPr="00C03673">
        <w:rPr>
          <w:rFonts w:ascii="Palatino Linotype" w:eastAsia="Palatino Linotype" w:hAnsi="Palatino Linotype" w:cs="Palatino Linotype"/>
          <w:sz w:val="22"/>
          <w:szCs w:val="22"/>
        </w:rPr>
        <w:t xml:space="preserve">, interpuestos por el </w:t>
      </w:r>
      <w:r w:rsidRPr="00C03673">
        <w:rPr>
          <w:rFonts w:ascii="Palatino Linotype" w:eastAsia="Palatino Linotype" w:hAnsi="Palatino Linotype" w:cs="Palatino Linotype"/>
          <w:b/>
          <w:sz w:val="22"/>
          <w:szCs w:val="22"/>
        </w:rPr>
        <w:t xml:space="preserve">un particular que no proporcionó nombre o seudónimo, </w:t>
      </w:r>
      <w:r w:rsidRPr="00C03673">
        <w:rPr>
          <w:rFonts w:ascii="Palatino Linotype" w:eastAsia="Palatino Linotype" w:hAnsi="Palatino Linotype" w:cs="Palatino Linotype"/>
          <w:sz w:val="22"/>
          <w:szCs w:val="22"/>
        </w:rPr>
        <w:t>en lo sucesivo se le denominará la parte</w:t>
      </w:r>
      <w:r w:rsidRPr="00C03673">
        <w:rPr>
          <w:rFonts w:ascii="Palatino Linotype" w:eastAsia="Palatino Linotype" w:hAnsi="Palatino Linotype" w:cs="Palatino Linotype"/>
          <w:b/>
          <w:sz w:val="22"/>
          <w:szCs w:val="22"/>
        </w:rPr>
        <w:t xml:space="preserve"> Recurrente</w:t>
      </w:r>
      <w:r w:rsidRPr="00C03673">
        <w:rPr>
          <w:rFonts w:ascii="Palatino Linotype" w:eastAsia="Palatino Linotype" w:hAnsi="Palatino Linotype" w:cs="Palatino Linotype"/>
          <w:sz w:val="22"/>
          <w:szCs w:val="22"/>
        </w:rPr>
        <w:t>, en contra de las respuestas a sus solicitudes de información con número de folio</w:t>
      </w:r>
      <w:r w:rsidRPr="00C03673">
        <w:rPr>
          <w:rFonts w:ascii="Palatino Linotype" w:eastAsia="Palatino Linotype" w:hAnsi="Palatino Linotype" w:cs="Palatino Linotype"/>
          <w:b/>
          <w:sz w:val="22"/>
          <w:szCs w:val="22"/>
        </w:rPr>
        <w:t xml:space="preserve"> 00519/TEMAMATL/IP/2024, 00616/TEMAMATL/IP/2024 </w:t>
      </w:r>
      <w:r w:rsidRPr="00C03673">
        <w:rPr>
          <w:rFonts w:ascii="Palatino Linotype" w:eastAsia="Palatino Linotype" w:hAnsi="Palatino Linotype" w:cs="Palatino Linotype"/>
          <w:sz w:val="22"/>
          <w:szCs w:val="22"/>
        </w:rPr>
        <w:t xml:space="preserve">y </w:t>
      </w:r>
      <w:r w:rsidRPr="00C03673">
        <w:rPr>
          <w:rFonts w:ascii="Palatino Linotype" w:eastAsia="Palatino Linotype" w:hAnsi="Palatino Linotype" w:cs="Palatino Linotype"/>
          <w:b/>
          <w:sz w:val="22"/>
          <w:szCs w:val="22"/>
        </w:rPr>
        <w:t>00718/TEMAMATL/IP/2024</w:t>
      </w:r>
      <w:r w:rsidRPr="00C03673">
        <w:rPr>
          <w:rFonts w:ascii="Palatino Linotype" w:eastAsia="Palatino Linotype" w:hAnsi="Palatino Linotype" w:cs="Palatino Linotype"/>
          <w:sz w:val="22"/>
          <w:szCs w:val="22"/>
        </w:rPr>
        <w:t xml:space="preserve">, por parte del </w:t>
      </w:r>
      <w:r w:rsidRPr="00C03673">
        <w:rPr>
          <w:rFonts w:ascii="Palatino Linotype" w:eastAsia="Palatino Linotype" w:hAnsi="Palatino Linotype" w:cs="Palatino Linotype"/>
          <w:b/>
          <w:sz w:val="22"/>
          <w:szCs w:val="22"/>
        </w:rPr>
        <w:t xml:space="preserve">Ayuntamiento de Temamatla </w:t>
      </w:r>
      <w:r w:rsidRPr="00C03673">
        <w:rPr>
          <w:rFonts w:ascii="Palatino Linotype" w:eastAsia="Palatino Linotype" w:hAnsi="Palatino Linotype" w:cs="Palatino Linotype"/>
          <w:sz w:val="22"/>
          <w:szCs w:val="22"/>
        </w:rPr>
        <w:t xml:space="preserve">en lo sucesivo el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w:t>
      </w:r>
      <w:r w:rsidRPr="00C03673">
        <w:rPr>
          <w:rFonts w:ascii="Palatino Linotype" w:eastAsia="Palatino Linotype" w:hAnsi="Palatino Linotype" w:cs="Palatino Linotype"/>
          <w:b/>
          <w:sz w:val="22"/>
          <w:szCs w:val="22"/>
        </w:rPr>
        <w:t xml:space="preserve"> </w:t>
      </w:r>
      <w:r w:rsidRPr="00C03673">
        <w:rPr>
          <w:rFonts w:ascii="Palatino Linotype" w:eastAsia="Palatino Linotype" w:hAnsi="Palatino Linotype" w:cs="Palatino Linotype"/>
          <w:sz w:val="22"/>
          <w:szCs w:val="22"/>
        </w:rPr>
        <w:t>se procede a dictar la presente resolución, con base en los siguientes:</w:t>
      </w:r>
    </w:p>
    <w:p w14:paraId="4AE09CA1" w14:textId="77777777" w:rsidR="006E20E7" w:rsidRPr="00C03673" w:rsidRDefault="006E20E7">
      <w:pPr>
        <w:spacing w:line="360" w:lineRule="auto"/>
        <w:jc w:val="both"/>
        <w:rPr>
          <w:rFonts w:ascii="Palatino Linotype" w:eastAsia="Palatino Linotype" w:hAnsi="Palatino Linotype" w:cs="Palatino Linotype"/>
          <w:sz w:val="22"/>
          <w:szCs w:val="22"/>
        </w:rPr>
      </w:pPr>
      <w:bookmarkStart w:id="1" w:name="_heading=h.op4eohwe6k8t" w:colFirst="0" w:colLast="0"/>
      <w:bookmarkEnd w:id="1"/>
    </w:p>
    <w:p w14:paraId="25E59ACA" w14:textId="77777777" w:rsidR="006E20E7" w:rsidRPr="00C03673" w:rsidRDefault="00CA27F1">
      <w:pPr>
        <w:numPr>
          <w:ilvl w:val="0"/>
          <w:numId w:val="2"/>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t>A N T E C E D E N T E S:</w:t>
      </w:r>
    </w:p>
    <w:p w14:paraId="74700A1A" w14:textId="77777777" w:rsidR="006E20E7" w:rsidRPr="00C03673" w:rsidRDefault="006E20E7">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094075AB" w14:textId="77777777" w:rsidR="006E20E7" w:rsidRPr="00C03673" w:rsidRDefault="00CA27F1">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t xml:space="preserve">Solicitudes de acceso a la información. </w:t>
      </w:r>
      <w:r w:rsidRPr="00C03673">
        <w:rPr>
          <w:rFonts w:ascii="Palatino Linotype" w:eastAsia="Palatino Linotype" w:hAnsi="Palatino Linotype" w:cs="Palatino Linotype"/>
          <w:sz w:val="22"/>
          <w:szCs w:val="22"/>
        </w:rPr>
        <w:t xml:space="preserve">Con fechas </w:t>
      </w:r>
      <w:r w:rsidRPr="00C03673">
        <w:rPr>
          <w:rFonts w:ascii="Palatino Linotype" w:eastAsia="Palatino Linotype" w:hAnsi="Palatino Linotype" w:cs="Palatino Linotype"/>
          <w:b/>
          <w:sz w:val="22"/>
          <w:szCs w:val="22"/>
        </w:rPr>
        <w:t>cuatro, siete y once de octubre de dos mil veinticuatro</w:t>
      </w:r>
      <w:r w:rsidRPr="00C03673">
        <w:rPr>
          <w:rFonts w:ascii="Palatino Linotype" w:eastAsia="Palatino Linotype" w:hAnsi="Palatino Linotype" w:cs="Palatino Linotype"/>
          <w:sz w:val="22"/>
          <w:szCs w:val="22"/>
        </w:rPr>
        <w:t xml:space="preserve">, la parte </w:t>
      </w:r>
      <w:r w:rsidRPr="00C03673">
        <w:rPr>
          <w:rFonts w:ascii="Palatino Linotype" w:eastAsia="Palatino Linotype" w:hAnsi="Palatino Linotype" w:cs="Palatino Linotype"/>
          <w:b/>
          <w:sz w:val="22"/>
          <w:szCs w:val="22"/>
        </w:rPr>
        <w:t>Recurrente</w:t>
      </w:r>
      <w:r w:rsidRPr="00C03673">
        <w:rPr>
          <w:rFonts w:ascii="Palatino Linotype" w:eastAsia="Palatino Linotype" w:hAnsi="Palatino Linotype" w:cs="Palatino Linotype"/>
          <w:sz w:val="22"/>
          <w:szCs w:val="22"/>
        </w:rPr>
        <w:t xml:space="preserve"> formuló solicitudes de acceso a información pública al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 xml:space="preserve"> a través del Sistema de Acceso a la Información Mexiquense, en adelante </w:t>
      </w:r>
      <w:r w:rsidRPr="00C03673">
        <w:rPr>
          <w:rFonts w:ascii="Palatino Linotype" w:eastAsia="Palatino Linotype" w:hAnsi="Palatino Linotype" w:cs="Palatino Linotype"/>
          <w:b/>
          <w:sz w:val="22"/>
          <w:szCs w:val="22"/>
        </w:rPr>
        <w:t>SAIMEX</w:t>
      </w:r>
      <w:r w:rsidRPr="00C03673">
        <w:rPr>
          <w:rFonts w:ascii="Palatino Linotype" w:eastAsia="Palatino Linotype" w:hAnsi="Palatino Linotype" w:cs="Palatino Linotype"/>
          <w:sz w:val="22"/>
          <w:szCs w:val="22"/>
        </w:rPr>
        <w:t>, requiriéndole lo siguiente:</w:t>
      </w:r>
    </w:p>
    <w:p w14:paraId="08EEDC18" w14:textId="77777777" w:rsidR="006E20E7" w:rsidRPr="00C03673" w:rsidRDefault="006E20E7">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sz w:val="22"/>
          <w:szCs w:val="22"/>
        </w:rPr>
      </w:pPr>
    </w:p>
    <w:tbl>
      <w:tblPr>
        <w:tblStyle w:val="afd"/>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C03673" w:rsidRPr="00C03673" w14:paraId="48D93EDD" w14:textId="77777777">
        <w:tc>
          <w:tcPr>
            <w:tcW w:w="3823" w:type="dxa"/>
            <w:shd w:val="clear" w:color="auto" w:fill="D9E2F3"/>
          </w:tcPr>
          <w:p w14:paraId="4E7E3652" w14:textId="77777777" w:rsidR="006E20E7" w:rsidRPr="00C03673" w:rsidRDefault="00CA27F1">
            <w:pPr>
              <w:spacing w:before="240" w:after="240"/>
              <w:jc w:val="center"/>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t>Número de solicitud y recurso de revisión</w:t>
            </w:r>
          </w:p>
        </w:tc>
        <w:tc>
          <w:tcPr>
            <w:tcW w:w="5098" w:type="dxa"/>
            <w:shd w:val="clear" w:color="auto" w:fill="D9E2F3"/>
          </w:tcPr>
          <w:p w14:paraId="5AF6CB11" w14:textId="77777777" w:rsidR="006E20E7" w:rsidRPr="00C03673" w:rsidRDefault="00CA27F1">
            <w:pPr>
              <w:spacing w:before="240" w:after="240" w:line="360" w:lineRule="auto"/>
              <w:jc w:val="center"/>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t>Información requerida</w:t>
            </w:r>
          </w:p>
        </w:tc>
      </w:tr>
      <w:tr w:rsidR="00C03673" w:rsidRPr="00C03673" w14:paraId="0B7A2AA3" w14:textId="77777777">
        <w:tc>
          <w:tcPr>
            <w:tcW w:w="3823" w:type="dxa"/>
          </w:tcPr>
          <w:p w14:paraId="514D8F82" w14:textId="77777777" w:rsidR="006E20E7" w:rsidRPr="00C03673" w:rsidRDefault="00CA27F1">
            <w:pPr>
              <w:spacing w:before="240" w:after="240"/>
              <w:jc w:val="center"/>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t xml:space="preserve">00519/TEMAMATL/IP/2024, </w:t>
            </w:r>
            <w:r w:rsidRPr="00C03673">
              <w:rPr>
                <w:rFonts w:ascii="Palatino Linotype" w:eastAsia="Palatino Linotype" w:hAnsi="Palatino Linotype" w:cs="Palatino Linotype"/>
                <w:sz w:val="22"/>
                <w:szCs w:val="22"/>
              </w:rPr>
              <w:t xml:space="preserve">correspondiente al Recurso de </w:t>
            </w:r>
            <w:r w:rsidRPr="00C03673">
              <w:rPr>
                <w:rFonts w:ascii="Palatino Linotype" w:eastAsia="Palatino Linotype" w:hAnsi="Palatino Linotype" w:cs="Palatino Linotype"/>
                <w:sz w:val="22"/>
                <w:szCs w:val="22"/>
              </w:rPr>
              <w:lastRenderedPageBreak/>
              <w:t>Revisión</w:t>
            </w:r>
            <w:r w:rsidRPr="00C03673">
              <w:rPr>
                <w:rFonts w:ascii="Palatino Linotype" w:eastAsia="Palatino Linotype" w:hAnsi="Palatino Linotype" w:cs="Palatino Linotype"/>
                <w:b/>
                <w:sz w:val="22"/>
                <w:szCs w:val="22"/>
              </w:rPr>
              <w:t xml:space="preserve"> 06729/INFOEM/IP/RR/2024</w:t>
            </w:r>
          </w:p>
        </w:tc>
        <w:tc>
          <w:tcPr>
            <w:tcW w:w="5098" w:type="dxa"/>
          </w:tcPr>
          <w:p w14:paraId="2787454C" w14:textId="77777777" w:rsidR="006E20E7" w:rsidRPr="00C03673" w:rsidRDefault="00CA27F1">
            <w:pPr>
              <w:spacing w:before="240" w:after="240"/>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lastRenderedPageBreak/>
              <w:t xml:space="preserve">“Solicito organigrama Municipal, con nombre y cargo de los diversos directores municipales, así </w:t>
            </w:r>
            <w:proofErr w:type="spellStart"/>
            <w:r w:rsidRPr="00C03673">
              <w:rPr>
                <w:rFonts w:ascii="Palatino Linotype" w:eastAsia="Palatino Linotype" w:hAnsi="Palatino Linotype" w:cs="Palatino Linotype"/>
                <w:i/>
                <w:sz w:val="22"/>
                <w:szCs w:val="22"/>
              </w:rPr>
              <w:t>cómo</w:t>
            </w:r>
            <w:proofErr w:type="spellEnd"/>
            <w:r w:rsidRPr="00C03673">
              <w:rPr>
                <w:rFonts w:ascii="Palatino Linotype" w:eastAsia="Palatino Linotype" w:hAnsi="Palatino Linotype" w:cs="Palatino Linotype"/>
                <w:i/>
                <w:sz w:val="22"/>
                <w:szCs w:val="22"/>
              </w:rPr>
              <w:t xml:space="preserve"> el </w:t>
            </w:r>
            <w:r w:rsidRPr="00C03673">
              <w:rPr>
                <w:rFonts w:ascii="Palatino Linotype" w:eastAsia="Palatino Linotype" w:hAnsi="Palatino Linotype" w:cs="Palatino Linotype"/>
                <w:i/>
                <w:sz w:val="22"/>
                <w:szCs w:val="22"/>
              </w:rPr>
              <w:lastRenderedPageBreak/>
              <w:t xml:space="preserve">expediente de cada uno de los servidores públicos que deben contar con certificación de competencia laboral obligatoria” (Sic) </w:t>
            </w:r>
          </w:p>
        </w:tc>
      </w:tr>
      <w:tr w:rsidR="00C03673" w:rsidRPr="00C03673" w14:paraId="0125DAEE" w14:textId="77777777">
        <w:tc>
          <w:tcPr>
            <w:tcW w:w="3823" w:type="dxa"/>
          </w:tcPr>
          <w:p w14:paraId="68C26144" w14:textId="77777777" w:rsidR="006E20E7" w:rsidRPr="00C03673" w:rsidRDefault="00CA27F1">
            <w:pPr>
              <w:spacing w:before="240" w:after="240"/>
              <w:jc w:val="center"/>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lastRenderedPageBreak/>
              <w:t xml:space="preserve">00616/TEMAMATL/IP/2024, </w:t>
            </w:r>
            <w:r w:rsidRPr="00C03673">
              <w:rPr>
                <w:rFonts w:ascii="Palatino Linotype" w:eastAsia="Palatino Linotype" w:hAnsi="Palatino Linotype" w:cs="Palatino Linotype"/>
                <w:sz w:val="22"/>
                <w:szCs w:val="22"/>
              </w:rPr>
              <w:t>correspondiente al Recurso de Revisión</w:t>
            </w:r>
            <w:r w:rsidRPr="00C03673">
              <w:rPr>
                <w:rFonts w:ascii="Palatino Linotype" w:eastAsia="Palatino Linotype" w:hAnsi="Palatino Linotype" w:cs="Palatino Linotype"/>
                <w:b/>
                <w:sz w:val="22"/>
                <w:szCs w:val="22"/>
              </w:rPr>
              <w:t xml:space="preserve"> 06816/INFOEM/IP/RR/2024</w:t>
            </w:r>
          </w:p>
        </w:tc>
        <w:tc>
          <w:tcPr>
            <w:tcW w:w="5098" w:type="dxa"/>
          </w:tcPr>
          <w:p w14:paraId="041A546F" w14:textId="77777777" w:rsidR="006E20E7" w:rsidRPr="00C03673" w:rsidRDefault="00CA27F1">
            <w:pPr>
              <w:spacing w:before="240" w:after="240"/>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“Solicito organigrama Municipal, con nombre y cargo de los diversos directores municipales, así </w:t>
            </w:r>
            <w:proofErr w:type="spellStart"/>
            <w:r w:rsidRPr="00C03673">
              <w:rPr>
                <w:rFonts w:ascii="Palatino Linotype" w:eastAsia="Palatino Linotype" w:hAnsi="Palatino Linotype" w:cs="Palatino Linotype"/>
                <w:i/>
                <w:sz w:val="22"/>
                <w:szCs w:val="22"/>
              </w:rPr>
              <w:t>cómo</w:t>
            </w:r>
            <w:proofErr w:type="spellEnd"/>
            <w:r w:rsidRPr="00C03673">
              <w:rPr>
                <w:rFonts w:ascii="Palatino Linotype" w:eastAsia="Palatino Linotype" w:hAnsi="Palatino Linotype" w:cs="Palatino Linotype"/>
                <w:i/>
                <w:sz w:val="22"/>
                <w:szCs w:val="22"/>
              </w:rPr>
              <w:t xml:space="preserve"> el expediente de cada uno de los servidores públicos que deben contar con certificación de competencia laborales obligatoria” (Sic) </w:t>
            </w:r>
          </w:p>
        </w:tc>
      </w:tr>
      <w:tr w:rsidR="006E20E7" w:rsidRPr="00C03673" w14:paraId="3F826326" w14:textId="77777777">
        <w:tc>
          <w:tcPr>
            <w:tcW w:w="3823" w:type="dxa"/>
          </w:tcPr>
          <w:p w14:paraId="244C7D35" w14:textId="77777777" w:rsidR="006E20E7" w:rsidRPr="00C03673" w:rsidRDefault="00CA27F1">
            <w:pPr>
              <w:spacing w:before="240" w:after="240"/>
              <w:jc w:val="center"/>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t xml:space="preserve">00718/TEMAMATL/IP/2024, </w:t>
            </w:r>
            <w:r w:rsidRPr="00C03673">
              <w:rPr>
                <w:rFonts w:ascii="Palatino Linotype" w:eastAsia="Palatino Linotype" w:hAnsi="Palatino Linotype" w:cs="Palatino Linotype"/>
                <w:sz w:val="22"/>
                <w:szCs w:val="22"/>
              </w:rPr>
              <w:t>correspondiente al Recurso de Revisión</w:t>
            </w:r>
            <w:r w:rsidRPr="00C03673">
              <w:rPr>
                <w:rFonts w:ascii="Palatino Linotype" w:eastAsia="Palatino Linotype" w:hAnsi="Palatino Linotype" w:cs="Palatino Linotype"/>
                <w:b/>
                <w:sz w:val="22"/>
                <w:szCs w:val="22"/>
              </w:rPr>
              <w:t xml:space="preserve"> 06847/INFOEM/IP/RR/2024</w:t>
            </w:r>
          </w:p>
        </w:tc>
        <w:tc>
          <w:tcPr>
            <w:tcW w:w="5098" w:type="dxa"/>
          </w:tcPr>
          <w:p w14:paraId="256C1C32" w14:textId="77777777" w:rsidR="006E20E7" w:rsidRPr="00C03673" w:rsidRDefault="00CA27F1">
            <w:pPr>
              <w:spacing w:before="240" w:after="240"/>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“Solicito organigrama Municipal, con nombre y cargo de los diversos directores municipales, así </w:t>
            </w:r>
            <w:proofErr w:type="spellStart"/>
            <w:r w:rsidRPr="00C03673">
              <w:rPr>
                <w:rFonts w:ascii="Palatino Linotype" w:eastAsia="Palatino Linotype" w:hAnsi="Palatino Linotype" w:cs="Palatino Linotype"/>
                <w:i/>
                <w:sz w:val="22"/>
                <w:szCs w:val="22"/>
              </w:rPr>
              <w:t>cómo</w:t>
            </w:r>
            <w:proofErr w:type="spellEnd"/>
            <w:r w:rsidRPr="00C03673">
              <w:rPr>
                <w:rFonts w:ascii="Palatino Linotype" w:eastAsia="Palatino Linotype" w:hAnsi="Palatino Linotype" w:cs="Palatino Linotype"/>
                <w:i/>
                <w:sz w:val="22"/>
                <w:szCs w:val="22"/>
              </w:rPr>
              <w:t xml:space="preserve"> el expediente de cada uno de los servidores públicos que deben contar con certificación de competencia laborales obligatoria” (Sic)</w:t>
            </w:r>
          </w:p>
        </w:tc>
      </w:tr>
    </w:tbl>
    <w:p w14:paraId="082274C0" w14:textId="77777777" w:rsidR="006E20E7" w:rsidRPr="00C03673" w:rsidRDefault="006E20E7">
      <w:pPr>
        <w:spacing w:line="276" w:lineRule="auto"/>
        <w:ind w:right="900"/>
        <w:jc w:val="both"/>
        <w:rPr>
          <w:rFonts w:ascii="Palatino Linotype" w:eastAsia="Palatino Linotype" w:hAnsi="Palatino Linotype" w:cs="Palatino Linotype"/>
          <w:i/>
          <w:sz w:val="22"/>
          <w:szCs w:val="22"/>
        </w:rPr>
      </w:pPr>
    </w:p>
    <w:p w14:paraId="2CE58D91"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b/>
          <w:sz w:val="22"/>
          <w:szCs w:val="22"/>
        </w:rPr>
        <w:t xml:space="preserve">Modalidad elegida para la entrega de la información: </w:t>
      </w:r>
      <w:r w:rsidRPr="00C03673">
        <w:rPr>
          <w:rFonts w:ascii="Palatino Linotype" w:eastAsia="Palatino Linotype" w:hAnsi="Palatino Linotype" w:cs="Palatino Linotype"/>
          <w:sz w:val="22"/>
          <w:szCs w:val="22"/>
        </w:rPr>
        <w:t xml:space="preserve">a través del Sistema de Acceso a la Información Mexiquense. </w:t>
      </w:r>
    </w:p>
    <w:p w14:paraId="7D74C6C5"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03FA5E45" w14:textId="77777777" w:rsidR="006E20E7" w:rsidRPr="00C03673" w:rsidRDefault="00CA27F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b/>
          <w:sz w:val="22"/>
          <w:szCs w:val="22"/>
        </w:rPr>
        <w:t xml:space="preserve">Respuestas. </w:t>
      </w:r>
      <w:r w:rsidRPr="00C03673">
        <w:rPr>
          <w:rFonts w:ascii="Palatino Linotype" w:eastAsia="Palatino Linotype" w:hAnsi="Palatino Linotype" w:cs="Palatino Linotype"/>
          <w:sz w:val="22"/>
          <w:szCs w:val="22"/>
        </w:rPr>
        <w:t xml:space="preserve">En fechas </w:t>
      </w:r>
      <w:r w:rsidRPr="00C03673">
        <w:rPr>
          <w:rFonts w:ascii="Palatino Linotype" w:eastAsia="Palatino Linotype" w:hAnsi="Palatino Linotype" w:cs="Palatino Linotype"/>
          <w:b/>
          <w:sz w:val="22"/>
          <w:szCs w:val="22"/>
        </w:rPr>
        <w:t>veintitrés y veinticuatro de octubre de dos mil veinticuatro</w:t>
      </w:r>
      <w:r w:rsidRPr="00C03673">
        <w:rPr>
          <w:rFonts w:ascii="Palatino Linotype" w:eastAsia="Palatino Linotype" w:hAnsi="Palatino Linotype" w:cs="Palatino Linotype"/>
          <w:sz w:val="22"/>
          <w:szCs w:val="22"/>
        </w:rPr>
        <w:t xml:space="preserve">, el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 xml:space="preserve"> envió sus respuestas a las solicitudes de acceso a la información a través del SAIMEX, las cuales versan como sigue: </w:t>
      </w:r>
    </w:p>
    <w:p w14:paraId="36FF235B" w14:textId="77777777" w:rsidR="006E20E7" w:rsidRPr="00C03673" w:rsidRDefault="006E20E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tbl>
      <w:tblPr>
        <w:tblStyle w:val="afe"/>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C03673" w:rsidRPr="00C03673" w14:paraId="092FA2B5" w14:textId="77777777">
        <w:tc>
          <w:tcPr>
            <w:tcW w:w="3823" w:type="dxa"/>
            <w:shd w:val="clear" w:color="auto" w:fill="D9E2F3"/>
          </w:tcPr>
          <w:p w14:paraId="74FC2CED" w14:textId="77777777" w:rsidR="006E20E7" w:rsidRPr="00C03673" w:rsidRDefault="00CA27F1">
            <w:pPr>
              <w:spacing w:before="240" w:after="240"/>
              <w:jc w:val="center"/>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t>Número de recurso de revisión</w:t>
            </w:r>
          </w:p>
        </w:tc>
        <w:tc>
          <w:tcPr>
            <w:tcW w:w="5098" w:type="dxa"/>
            <w:shd w:val="clear" w:color="auto" w:fill="D9E2F3"/>
          </w:tcPr>
          <w:p w14:paraId="09547C42" w14:textId="77777777" w:rsidR="006E20E7" w:rsidRPr="00C03673" w:rsidRDefault="00CA27F1">
            <w:pPr>
              <w:spacing w:before="240" w:after="240" w:line="360" w:lineRule="auto"/>
              <w:jc w:val="center"/>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t>Descripción de las respuestas</w:t>
            </w:r>
          </w:p>
        </w:tc>
      </w:tr>
      <w:tr w:rsidR="00C03673" w:rsidRPr="00C03673" w14:paraId="4A32F75A" w14:textId="77777777">
        <w:tc>
          <w:tcPr>
            <w:tcW w:w="3823" w:type="dxa"/>
          </w:tcPr>
          <w:p w14:paraId="0381AC1C" w14:textId="77777777" w:rsidR="006E20E7" w:rsidRPr="00C03673" w:rsidRDefault="00CA27F1">
            <w:pPr>
              <w:spacing w:before="240" w:after="240"/>
              <w:jc w:val="center"/>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t xml:space="preserve">00519/TEMAMATL/IP/2024, </w:t>
            </w:r>
            <w:r w:rsidRPr="00C03673">
              <w:rPr>
                <w:rFonts w:ascii="Palatino Linotype" w:eastAsia="Palatino Linotype" w:hAnsi="Palatino Linotype" w:cs="Palatino Linotype"/>
                <w:sz w:val="22"/>
                <w:szCs w:val="22"/>
              </w:rPr>
              <w:t>correspondiente al Recurso de Revisión</w:t>
            </w:r>
            <w:r w:rsidRPr="00C03673">
              <w:rPr>
                <w:rFonts w:ascii="Palatino Linotype" w:eastAsia="Palatino Linotype" w:hAnsi="Palatino Linotype" w:cs="Palatino Linotype"/>
                <w:b/>
                <w:sz w:val="22"/>
                <w:szCs w:val="22"/>
              </w:rPr>
              <w:t xml:space="preserve"> 06729/INFOEM/IP/RR/2024</w:t>
            </w:r>
          </w:p>
        </w:tc>
        <w:tc>
          <w:tcPr>
            <w:tcW w:w="5098" w:type="dxa"/>
          </w:tcPr>
          <w:p w14:paraId="20B4640C" w14:textId="77777777" w:rsidR="006E20E7" w:rsidRPr="00C03673" w:rsidRDefault="00CA27F1">
            <w:pPr>
              <w:spacing w:line="276" w:lineRule="auto"/>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36EEAD7" w14:textId="77777777" w:rsidR="006E20E7" w:rsidRPr="00C03673" w:rsidRDefault="00CA27F1">
            <w:pPr>
              <w:spacing w:line="276" w:lineRule="auto"/>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lastRenderedPageBreak/>
              <w:t xml:space="preserve">SOLICITANTE SEA ESTE EL MEDIO IDÓNEO PARA SALUDARLO Y A SU VEZ DAR CONTESTACIÓN A LA SOLICITUD EN CITA, CON FUNDAMENTO EN EL ARTICULO 6° DE LA CARTA MAGNA, 5° DE LA CONSTITUCIÓN LOCAL Y 4° DE LA LEY DE TRANSPARENCIA Y ACCESO A LA INFORMACIÓN PUBLICA DEL ESTADO DE MÉXICO Y MUNICIPIOS. SE DA CABAL CUMPLIMIENTO, OBSERVANDO LOS PRINCIPIOS DE CERTEZA, EFICIENCIA, IMPARCIALIDAD, INDEPENDENCIA. LEGALIDAD, MÁXIMA PUBLICIDAD, OBJETIVIDAD, PROFESIONALISMO Y TRANSPARENCIA. CABE PUNTUALIZAR QUE ESTE SUJETO OBLIGADO AYUNTAMIENTO DE TEMAMATLA, TIENE COMO PRINCIPAL OBJETIVO GARANTIZAR EL DERECHO DE ACCESO A LA INFORMACIÓN Y DARLE CERTEZA QUE LA RESPUESTA QUE SE ENTREGA ES CUIDANDO EN TODO MOMENTO LOS PRINCIPIOS DEL INFOEM Y LA PROTECCIÓN DE DATOS PERSONALES. ASÍ MISMO EN RELACIÓN AL NUMERAL 12. LTAIPEMYM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w:t>
            </w:r>
            <w:r w:rsidRPr="00C03673">
              <w:rPr>
                <w:rFonts w:ascii="Palatino Linotype" w:eastAsia="Palatino Linotype" w:hAnsi="Palatino Linotype" w:cs="Palatino Linotype"/>
                <w:i/>
                <w:sz w:val="22"/>
                <w:szCs w:val="22"/>
              </w:rPr>
              <w:lastRenderedPageBreak/>
              <w:t xml:space="preserve">ÉSTA SE ENCUENTRE. LA OBLIGACIÓN DE PROPORCIONAR INFORMACIÓN NO COMPRENDE EL PROCESAMIENTO DE LA MISMA, NI EL PRESENTARLA CONFORME AL INTERÉS DEL SOLICITANTE; NO ESTARÁN OBLIGADOS A GENERARLA, RESUMIRLA, EFECTUAR CÁLCULOS O PRACTICAR INVESTIGACIONES. SE ENTREGA LA INFORMACIÓN EN EL ESTADO EN QUE SE ENCUENTRA, REFORZANDO LO ANTERIORMENTE EXPRESADO EL NUMERAL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 POR LO QUE SE DA CERTEZA QUE LA INFORMACION QUE SE ENTREGA, ES LA QUE OBRA EN LOS ARCHIVOS DE ESTE SUJETO OBLIGADO. RESPUESTA FUNDADA Y MOTIVADA EN EL CONTENIDO DEL OFICIO QUE SE ADJUNTA, DANDO RESPUESTA CLARA Y PRECISA DADA LA INDAGATORIA </w:t>
            </w:r>
            <w:r w:rsidRPr="00C03673">
              <w:rPr>
                <w:rFonts w:ascii="Palatino Linotype" w:eastAsia="Palatino Linotype" w:hAnsi="Palatino Linotype" w:cs="Palatino Linotype"/>
                <w:i/>
                <w:sz w:val="22"/>
                <w:szCs w:val="22"/>
              </w:rPr>
              <w:lastRenderedPageBreak/>
              <w:t>DEL SOLICITANTE. SIN OTRA PARTICULAR QUEDA A LA ORDEN ESTA UNIDAD DE TRANSPARENCIA DEL MUNICIPIO DE TEMAMATLA, CON DOMICILIO EN CALLE GUERRERO NO. 40, TEMAMATLA. PARA CUALQUIER DUDA O ACLARACIÓN. ATENTAMENTE TITULAR DE LA UNIDAD DE TRANSPARENCIA Y ACCESO A LA INFORMACIÓN PÚBLICA DEL MUNICIPIO DE TEMAMATLA, ESTADO DE MÉXICO</w:t>
            </w:r>
          </w:p>
          <w:p w14:paraId="113402B7" w14:textId="77777777" w:rsidR="006E20E7" w:rsidRPr="00C03673" w:rsidRDefault="00CA27F1">
            <w:pPr>
              <w:spacing w:line="276" w:lineRule="auto"/>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ATENTAMENTE</w:t>
            </w:r>
          </w:p>
          <w:p w14:paraId="1358DA55" w14:textId="77777777" w:rsidR="006E20E7" w:rsidRPr="00C03673" w:rsidRDefault="00CA27F1">
            <w:pPr>
              <w:spacing w:line="276" w:lineRule="auto"/>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Lic. Derecho Claudia </w:t>
            </w:r>
            <w:proofErr w:type="spellStart"/>
            <w:r w:rsidRPr="00C03673">
              <w:rPr>
                <w:rFonts w:ascii="Palatino Linotype" w:eastAsia="Palatino Linotype" w:hAnsi="Palatino Linotype" w:cs="Palatino Linotype"/>
                <w:i/>
                <w:sz w:val="22"/>
                <w:szCs w:val="22"/>
              </w:rPr>
              <w:t>Jimenéz</w:t>
            </w:r>
            <w:proofErr w:type="spellEnd"/>
            <w:r w:rsidRPr="00C03673">
              <w:rPr>
                <w:rFonts w:ascii="Palatino Linotype" w:eastAsia="Palatino Linotype" w:hAnsi="Palatino Linotype" w:cs="Palatino Linotype"/>
                <w:i/>
                <w:sz w:val="22"/>
                <w:szCs w:val="22"/>
              </w:rPr>
              <w:t xml:space="preserve"> </w:t>
            </w:r>
            <w:proofErr w:type="spellStart"/>
            <w:r w:rsidRPr="00C03673">
              <w:rPr>
                <w:rFonts w:ascii="Palatino Linotype" w:eastAsia="Palatino Linotype" w:hAnsi="Palatino Linotype" w:cs="Palatino Linotype"/>
                <w:i/>
                <w:sz w:val="22"/>
                <w:szCs w:val="22"/>
              </w:rPr>
              <w:t>Maldonad</w:t>
            </w:r>
            <w:proofErr w:type="spellEnd"/>
            <w:r w:rsidRPr="00C03673">
              <w:rPr>
                <w:rFonts w:ascii="Palatino Linotype" w:eastAsia="Palatino Linotype" w:hAnsi="Palatino Linotype" w:cs="Palatino Linotype"/>
                <w:i/>
                <w:sz w:val="22"/>
                <w:szCs w:val="22"/>
              </w:rPr>
              <w:t>”</w:t>
            </w:r>
          </w:p>
          <w:p w14:paraId="52BCBD07" w14:textId="77777777" w:rsidR="006E20E7" w:rsidRPr="00C03673" w:rsidRDefault="00CA27F1">
            <w:pPr>
              <w:spacing w:line="276"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Adjuntando el archivo electrónico denominado </w:t>
            </w:r>
            <w:r w:rsidRPr="00C03673">
              <w:rPr>
                <w:rFonts w:ascii="Palatino Linotype" w:eastAsia="Palatino Linotype" w:hAnsi="Palatino Linotype" w:cs="Palatino Linotype"/>
                <w:b/>
                <w:i/>
                <w:sz w:val="22"/>
                <w:szCs w:val="22"/>
              </w:rPr>
              <w:t>“519.pdf”</w:t>
            </w:r>
            <w:r w:rsidRPr="00C03673">
              <w:rPr>
                <w:rFonts w:ascii="Palatino Linotype" w:eastAsia="Palatino Linotype" w:hAnsi="Palatino Linotype" w:cs="Palatino Linotype"/>
                <w:sz w:val="22"/>
                <w:szCs w:val="22"/>
              </w:rPr>
              <w:t xml:space="preserve">, el cual contiene el oficio número ADMON/380/OI/08/10/2024 de fecha ocho de octubre de dos mil veinticuatro signado por el Director de Administración, en el que informa que en referencia al organigrama lo puede checar en el siguiente link: </w:t>
            </w:r>
          </w:p>
          <w:p w14:paraId="2DACA0B1" w14:textId="77777777" w:rsidR="006E20E7" w:rsidRPr="00C03673" w:rsidRDefault="00CA27F1">
            <w:pPr>
              <w:spacing w:line="276"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noProof/>
                <w:sz w:val="22"/>
                <w:szCs w:val="22"/>
                <w:lang w:val="es-MX" w:eastAsia="es-MX"/>
              </w:rPr>
              <w:drawing>
                <wp:inline distT="0" distB="0" distL="0" distR="0" wp14:anchorId="1EF3F5C7" wp14:editId="102885F3">
                  <wp:extent cx="3100070" cy="923925"/>
                  <wp:effectExtent l="0" t="0" r="0" b="0"/>
                  <wp:docPr id="7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100070" cy="923925"/>
                          </a:xfrm>
                          <a:prstGeom prst="rect">
                            <a:avLst/>
                          </a:prstGeom>
                          <a:ln/>
                        </pic:spPr>
                      </pic:pic>
                    </a:graphicData>
                  </a:graphic>
                </wp:inline>
              </w:drawing>
            </w:r>
          </w:p>
          <w:p w14:paraId="529D7666" w14:textId="77777777" w:rsidR="006E20E7" w:rsidRPr="00C03673" w:rsidRDefault="00CA27F1">
            <w:pPr>
              <w:spacing w:line="276"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Con referencia a los expedientes de los directores municipales, los puede checar en el siguiente link: </w:t>
            </w:r>
          </w:p>
          <w:p w14:paraId="7DD4078F" w14:textId="77777777" w:rsidR="006E20E7" w:rsidRPr="00C03673" w:rsidRDefault="00CA27F1">
            <w:pPr>
              <w:spacing w:line="276" w:lineRule="auto"/>
              <w:jc w:val="both"/>
              <w:rPr>
                <w:rFonts w:ascii="Palatino Linotype" w:eastAsia="Palatino Linotype" w:hAnsi="Palatino Linotype" w:cs="Palatino Linotype"/>
                <w:b/>
                <w:sz w:val="22"/>
                <w:szCs w:val="22"/>
              </w:rPr>
            </w:pPr>
            <w:r w:rsidRPr="00C03673">
              <w:rPr>
                <w:rFonts w:ascii="Palatino Linotype" w:eastAsia="Palatino Linotype" w:hAnsi="Palatino Linotype" w:cs="Palatino Linotype"/>
                <w:noProof/>
                <w:sz w:val="22"/>
                <w:szCs w:val="22"/>
                <w:lang w:val="es-MX" w:eastAsia="es-MX"/>
              </w:rPr>
              <w:drawing>
                <wp:inline distT="0" distB="0" distL="0" distR="0" wp14:anchorId="7DA766A8" wp14:editId="1A1A41C1">
                  <wp:extent cx="3100070" cy="134620"/>
                  <wp:effectExtent l="0" t="0" r="0" b="0"/>
                  <wp:docPr id="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100070" cy="134620"/>
                          </a:xfrm>
                          <a:prstGeom prst="rect">
                            <a:avLst/>
                          </a:prstGeom>
                          <a:ln/>
                        </pic:spPr>
                      </pic:pic>
                    </a:graphicData>
                  </a:graphic>
                </wp:inline>
              </w:drawing>
            </w:r>
          </w:p>
        </w:tc>
      </w:tr>
      <w:tr w:rsidR="00C03673" w:rsidRPr="00C03673" w14:paraId="6F21108C" w14:textId="77777777">
        <w:tc>
          <w:tcPr>
            <w:tcW w:w="3823" w:type="dxa"/>
          </w:tcPr>
          <w:p w14:paraId="20482205" w14:textId="77777777" w:rsidR="006E20E7" w:rsidRPr="00C03673" w:rsidRDefault="00CA27F1">
            <w:pPr>
              <w:spacing w:before="240" w:after="240"/>
              <w:jc w:val="center"/>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lastRenderedPageBreak/>
              <w:t xml:space="preserve">00616/TEMAMATL/IP/2024, </w:t>
            </w:r>
            <w:r w:rsidRPr="00C03673">
              <w:rPr>
                <w:rFonts w:ascii="Palatino Linotype" w:eastAsia="Palatino Linotype" w:hAnsi="Palatino Linotype" w:cs="Palatino Linotype"/>
                <w:sz w:val="22"/>
                <w:szCs w:val="22"/>
              </w:rPr>
              <w:t>correspondiente al Recurso de Revisión</w:t>
            </w:r>
            <w:r w:rsidRPr="00C03673">
              <w:rPr>
                <w:rFonts w:ascii="Palatino Linotype" w:eastAsia="Palatino Linotype" w:hAnsi="Palatino Linotype" w:cs="Palatino Linotype"/>
                <w:b/>
                <w:sz w:val="22"/>
                <w:szCs w:val="22"/>
              </w:rPr>
              <w:t xml:space="preserve"> 06816/INFOEM/IP/RR/2024</w:t>
            </w:r>
          </w:p>
        </w:tc>
        <w:tc>
          <w:tcPr>
            <w:tcW w:w="5098" w:type="dxa"/>
          </w:tcPr>
          <w:p w14:paraId="0A4DE9FE" w14:textId="77777777" w:rsidR="006E20E7" w:rsidRPr="00C03673" w:rsidRDefault="00CA27F1">
            <w:pPr>
              <w:spacing w:line="276" w:lineRule="auto"/>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167662" w14:textId="77777777" w:rsidR="006E20E7" w:rsidRPr="00C03673" w:rsidRDefault="00CA27F1">
            <w:pPr>
              <w:spacing w:line="276" w:lineRule="auto"/>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lastRenderedPageBreak/>
              <w:t xml:space="preserve">SOLICITANTE SEA ESTE EL MEDIO IDÓNEO PARA SALUDARLO Y A SU VEZ DAR CONTESTACIÓN A LA SOLICITUD EN CITA, CON FUNDAMENTO EN EL ARTICULO 6° DE LA CARTA MAGNA, 5° DE LA CONSTITUCIÓN LOCAL Y 4° DE LA LEY DE TRANSPARENCIA Y ACCESO A LA INFORMACIÓN PUBLICA DEL ESTADO DE MÉXICO Y MUNICIPIOS. SE DA CABAL CUMPLIMIENTO, OBSERVANDO LOS PRINCIPIOS DE CERTEZA, EFICIENCIA, IMPARCIALIDAD, INDEPENDENCIA. LEGALIDAD, MÁXIMA PUBLICIDAD, OBJETIVIDAD, PROFESIONALISMO Y TRANSPARENCIA. CABE PUNTUALIZAR QUE ESTE SUJETO OBLIGADO AYUNTAMIENTO DE TEMAMATLA, TIENE COMO PRINCIPAL OBJETIVO GARANTIZAR EL DERECHO DE ACCESO A LA INFORMACIÓN Y DARLE CERTEZA QUE LA RESPUESTA QUE SE ENTREGA ES CUIDANDO EN TODO MOMENTO LOS PRINCIPIOS DEL INFOEM Y LA PROTECCIÓN DE DATOS PERSONALES. ASÍ MISMO EN RELACIÓN AL NUMERAL 12. LTAIPEMYM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w:t>
            </w:r>
            <w:r w:rsidRPr="00C03673">
              <w:rPr>
                <w:rFonts w:ascii="Palatino Linotype" w:eastAsia="Palatino Linotype" w:hAnsi="Palatino Linotype" w:cs="Palatino Linotype"/>
                <w:i/>
                <w:sz w:val="22"/>
                <w:szCs w:val="22"/>
              </w:rPr>
              <w:lastRenderedPageBreak/>
              <w:t xml:space="preserve">ÉSTA SE ENCUENTRE. LA OBLIGACIÓN DE PROPORCIONAR INFORMACIÓN NO COMPRENDE EL PROCESAMIENTO DE LA MISMA, NI EL PRESENTARLA CONFORME AL INTERÉS DEL SOLICITANTE; NO ESTARÁN OBLIGADOS A GENERARLA, RESUMIRLA, EFECTUAR CÁLCULOS O PRACTICAR INVESTIGACIONES. SE ENTREGA LA INFORMACIÓN EN EL ESTADO EN QUE SE ENCUENTRA, REFORZANDO LO ANTERIORMENTE EXPRESADO EL NUMERAL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 POR LO QUE SE DA CERTEZA QUE LA INFORMACION QUE SE ENTREGA, ES LA QUE OBRA EN LOS ARCHIVOS DE ESTE SUJETO OBLIGADO. RESPUESTA FUNDADA Y MOTIVADA EN EL CONTENIDO DEL OFICIO QUE SE ADJUNTA, DANDO RESPUESTA CLARA Y PRECISA DADA LA INDAGATORIA </w:t>
            </w:r>
            <w:r w:rsidRPr="00C03673">
              <w:rPr>
                <w:rFonts w:ascii="Palatino Linotype" w:eastAsia="Palatino Linotype" w:hAnsi="Palatino Linotype" w:cs="Palatino Linotype"/>
                <w:i/>
                <w:sz w:val="22"/>
                <w:szCs w:val="22"/>
              </w:rPr>
              <w:lastRenderedPageBreak/>
              <w:t>DEL SOLICITANTE. SIN OTRA PARTICULAR QUEDA A LA ORDEN ESTA UNIDAD DE TRANSPARENCIA DEL MUNICIPIO DE TEMAMATLA, CON DOMICILIO EN CALLE GUERRERO NO. 40, TEMAMATLA. PARA CUALQUIER DUDA O ACLARACIÓN. ATENTAMENTE TITULAR DE LA UNIDAD DE TRANSPARENCIA Y ACCESO A LA INFORMACIÓN PÚBLICA DEL MUNICIPIO DE TEMAMATLA, ESTADO DE MÉXICO</w:t>
            </w:r>
          </w:p>
          <w:p w14:paraId="7AC887E2" w14:textId="77777777" w:rsidR="006E20E7" w:rsidRPr="00C03673" w:rsidRDefault="00CA27F1">
            <w:pPr>
              <w:spacing w:line="276" w:lineRule="auto"/>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Lic. Derecho Claudia </w:t>
            </w:r>
            <w:proofErr w:type="spellStart"/>
            <w:r w:rsidRPr="00C03673">
              <w:rPr>
                <w:rFonts w:ascii="Palatino Linotype" w:eastAsia="Palatino Linotype" w:hAnsi="Palatino Linotype" w:cs="Palatino Linotype"/>
                <w:i/>
                <w:sz w:val="22"/>
                <w:szCs w:val="22"/>
              </w:rPr>
              <w:t>Jimenéz</w:t>
            </w:r>
            <w:proofErr w:type="spellEnd"/>
            <w:r w:rsidRPr="00C03673">
              <w:rPr>
                <w:rFonts w:ascii="Palatino Linotype" w:eastAsia="Palatino Linotype" w:hAnsi="Palatino Linotype" w:cs="Palatino Linotype"/>
                <w:i/>
                <w:sz w:val="22"/>
                <w:szCs w:val="22"/>
              </w:rPr>
              <w:t xml:space="preserve"> </w:t>
            </w:r>
            <w:proofErr w:type="spellStart"/>
            <w:r w:rsidRPr="00C03673">
              <w:rPr>
                <w:rFonts w:ascii="Palatino Linotype" w:eastAsia="Palatino Linotype" w:hAnsi="Palatino Linotype" w:cs="Palatino Linotype"/>
                <w:i/>
                <w:sz w:val="22"/>
                <w:szCs w:val="22"/>
              </w:rPr>
              <w:t>Maldonad</w:t>
            </w:r>
            <w:proofErr w:type="spellEnd"/>
            <w:r w:rsidRPr="00C03673">
              <w:rPr>
                <w:rFonts w:ascii="Palatino Linotype" w:eastAsia="Palatino Linotype" w:hAnsi="Palatino Linotype" w:cs="Palatino Linotype"/>
                <w:i/>
                <w:sz w:val="22"/>
                <w:szCs w:val="22"/>
              </w:rPr>
              <w:t>”</w:t>
            </w:r>
          </w:p>
          <w:p w14:paraId="7A11D3B9" w14:textId="77777777" w:rsidR="006E20E7" w:rsidRPr="00C03673" w:rsidRDefault="00CA27F1">
            <w:pPr>
              <w:spacing w:line="276"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Adjuntando el archivo electrónico denominado </w:t>
            </w:r>
            <w:r w:rsidRPr="00C03673">
              <w:rPr>
                <w:rFonts w:ascii="Palatino Linotype" w:eastAsia="Palatino Linotype" w:hAnsi="Palatino Linotype" w:cs="Palatino Linotype"/>
                <w:b/>
                <w:i/>
                <w:sz w:val="22"/>
                <w:szCs w:val="22"/>
              </w:rPr>
              <w:t>“616.pdf”</w:t>
            </w:r>
            <w:r w:rsidRPr="00C03673">
              <w:rPr>
                <w:rFonts w:ascii="Palatino Linotype" w:eastAsia="Palatino Linotype" w:hAnsi="Palatino Linotype" w:cs="Palatino Linotype"/>
                <w:sz w:val="22"/>
                <w:szCs w:val="22"/>
              </w:rPr>
              <w:t xml:space="preserve">, el cual contiene el oficio número ADMON/426/OI/17/10/2024 de fecha diecisiete de octubre de dos mil veinticuatro signado por el Director de Administración, en el que informa que podrá consultar la información en los siguientes links: </w:t>
            </w:r>
          </w:p>
          <w:p w14:paraId="18F44C55" w14:textId="77777777" w:rsidR="006E20E7" w:rsidRPr="00C03673" w:rsidRDefault="00CA27F1">
            <w:pPr>
              <w:spacing w:line="276"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noProof/>
                <w:sz w:val="22"/>
                <w:szCs w:val="22"/>
                <w:lang w:val="es-MX" w:eastAsia="es-MX"/>
              </w:rPr>
              <w:drawing>
                <wp:inline distT="0" distB="0" distL="0" distR="0" wp14:anchorId="7C59535D" wp14:editId="09E01737">
                  <wp:extent cx="3100070" cy="342265"/>
                  <wp:effectExtent l="0" t="0" r="0" b="0"/>
                  <wp:docPr id="7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3100070" cy="342265"/>
                          </a:xfrm>
                          <a:prstGeom prst="rect">
                            <a:avLst/>
                          </a:prstGeom>
                          <a:ln/>
                        </pic:spPr>
                      </pic:pic>
                    </a:graphicData>
                  </a:graphic>
                </wp:inline>
              </w:drawing>
            </w:r>
          </w:p>
        </w:tc>
      </w:tr>
      <w:tr w:rsidR="006E20E7" w:rsidRPr="00C03673" w14:paraId="492CC464" w14:textId="77777777">
        <w:tc>
          <w:tcPr>
            <w:tcW w:w="3823" w:type="dxa"/>
          </w:tcPr>
          <w:p w14:paraId="6284C97D" w14:textId="77777777" w:rsidR="006E20E7" w:rsidRPr="00C03673" w:rsidRDefault="00CA27F1">
            <w:pPr>
              <w:spacing w:before="240" w:after="240"/>
              <w:jc w:val="center"/>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lastRenderedPageBreak/>
              <w:t xml:space="preserve">00718/TEMAMATL/IP/2024, </w:t>
            </w:r>
            <w:r w:rsidRPr="00C03673">
              <w:rPr>
                <w:rFonts w:ascii="Palatino Linotype" w:eastAsia="Palatino Linotype" w:hAnsi="Palatino Linotype" w:cs="Palatino Linotype"/>
                <w:sz w:val="22"/>
                <w:szCs w:val="22"/>
              </w:rPr>
              <w:t>correspondiente al Recurso de Revisión</w:t>
            </w:r>
            <w:r w:rsidRPr="00C03673">
              <w:rPr>
                <w:rFonts w:ascii="Palatino Linotype" w:eastAsia="Palatino Linotype" w:hAnsi="Palatino Linotype" w:cs="Palatino Linotype"/>
                <w:b/>
                <w:sz w:val="22"/>
                <w:szCs w:val="22"/>
              </w:rPr>
              <w:t xml:space="preserve"> 06847/INFOEM/IP/RR/2024</w:t>
            </w:r>
          </w:p>
        </w:tc>
        <w:tc>
          <w:tcPr>
            <w:tcW w:w="5098" w:type="dxa"/>
          </w:tcPr>
          <w:p w14:paraId="1B32995A" w14:textId="77777777" w:rsidR="006E20E7" w:rsidRPr="00C03673" w:rsidRDefault="00CA27F1">
            <w:pPr>
              <w:spacing w:line="276" w:lineRule="auto"/>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“SOLICITANTE SEA ESTE EL MEDIO IDÓNEO PARA SALUDARLO Y A SU VEZ DAR CONTESTACIÓN A LA SOLICITUD EN CITA, CON FUNDAMENTO EN EL ARTICULO 6° DE LA CARTA MAGNA, 5° DE LA CONSTITUCIÓN LOCAL Y 4° DE LA LEY DE TRANSPARENCIA Y ACCESO A LA INFORMACIÓN PUBLICA DEL ESTADO DE MÉXICO Y MUNICIPIOS. SE DA CABAL CUMPLIMIENTO, OBSERVANDO LOS PRINCIPIOS DE CERTEZA, EFICIENCIA, IMPARCIALIDAD, INDEPENDENCIA. LEGALIDAD, MÁXIMA PUBLICIDAD, OBJETIVIDAD, PROFESIONALISMO Y </w:t>
            </w:r>
            <w:r w:rsidRPr="00C03673">
              <w:rPr>
                <w:rFonts w:ascii="Palatino Linotype" w:eastAsia="Palatino Linotype" w:hAnsi="Palatino Linotype" w:cs="Palatino Linotype"/>
                <w:i/>
                <w:sz w:val="22"/>
                <w:szCs w:val="22"/>
              </w:rPr>
              <w:lastRenderedPageBreak/>
              <w:t xml:space="preserve">TRANSPARENCIA. CABE PUNTUALIZAR QUE ESTE SUJETO OBLIGADO AYUNTAMIENTO DE TEMAMATLA, TIENE COMO PRINCIPAL OBJETIVO GARANTIZAR EL DERECHO DE ACCESO A LA INFORMACIÓN Y DARLE CERTEZA QUE LA RESPUESTA QUE SE ENTREGA ES CUIDANDO EN TODO MOMENTO LOS PRINCIPIOS DEL INFOEM Y LA PROTECCIÓN DE DATOS PERSONALES. ASÍ MISMO EN RELACIÓN AL NUMERAL 12. LTAIPEMYM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ENTREGA LA INFORMACIÓN EN EL ESTADO EN QUE SE ENCUENTRA, REFORZANDO LO ANTERIORMENTE EXPRESADO EL NUMERAL 160. LOS SUJETOS OBLIGADOS DEBERÁN OTORGAR ACCESO A LOS DOCUMENTOS QUE </w:t>
            </w:r>
            <w:r w:rsidRPr="00C03673">
              <w:rPr>
                <w:rFonts w:ascii="Palatino Linotype" w:eastAsia="Palatino Linotype" w:hAnsi="Palatino Linotype" w:cs="Palatino Linotype"/>
                <w:i/>
                <w:sz w:val="22"/>
                <w:szCs w:val="22"/>
              </w:rPr>
              <w:lastRenderedPageBreak/>
              <w:t>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 POR LO QUE SE DA CERTEZA QUE LA INFORMACION QUE SE ENTREGA, ES LA QUE OBRA EN LOS ARCHIVOS DE ESTE SUJETO OBLIGADO. RESPUESTA FUNDADA Y MOTIVADA EN EL CONTENIDO DEL OFICIO QUE SE ADJUNTA, DANDO RESPUESTA CLARA Y PRECISA DADA LA INDAGATORIA DEL SOLICITANTE. SIN OTRA PARTICULAR QUEDA A LA ORDEN ESTA UNIDAD DE TRANSPARENCIA DEL MUNICIPIO DE TEMAMATLA, CON DOMICILIO EN CALLE GUERRERO NO. 40, TEMAMATLA. PARA CUALQUIER DUDA O ACLARACIÓN. ATENTAMENTE TITULAR DE LA UNIDAD DE TRANSPARENCIA Y ACCESO A LA INFORMACIÓN PÚBLICA DEL MUNICIPIO DE TEMAMATLA, ESTADO DE MÉXICO</w:t>
            </w:r>
          </w:p>
          <w:p w14:paraId="7F31DC78" w14:textId="77777777" w:rsidR="006E20E7" w:rsidRPr="00C03673" w:rsidRDefault="00CA27F1">
            <w:pPr>
              <w:spacing w:line="276" w:lineRule="auto"/>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Lic. Derecho Claudia </w:t>
            </w:r>
            <w:proofErr w:type="spellStart"/>
            <w:r w:rsidRPr="00C03673">
              <w:rPr>
                <w:rFonts w:ascii="Palatino Linotype" w:eastAsia="Palatino Linotype" w:hAnsi="Palatino Linotype" w:cs="Palatino Linotype"/>
                <w:i/>
                <w:sz w:val="22"/>
                <w:szCs w:val="22"/>
              </w:rPr>
              <w:t>Jimenéz</w:t>
            </w:r>
            <w:proofErr w:type="spellEnd"/>
            <w:r w:rsidRPr="00C03673">
              <w:rPr>
                <w:rFonts w:ascii="Palatino Linotype" w:eastAsia="Palatino Linotype" w:hAnsi="Palatino Linotype" w:cs="Palatino Linotype"/>
                <w:i/>
                <w:sz w:val="22"/>
                <w:szCs w:val="22"/>
              </w:rPr>
              <w:t xml:space="preserve"> </w:t>
            </w:r>
            <w:proofErr w:type="spellStart"/>
            <w:r w:rsidRPr="00C03673">
              <w:rPr>
                <w:rFonts w:ascii="Palatino Linotype" w:eastAsia="Palatino Linotype" w:hAnsi="Palatino Linotype" w:cs="Palatino Linotype"/>
                <w:i/>
                <w:sz w:val="22"/>
                <w:szCs w:val="22"/>
              </w:rPr>
              <w:t>Maldonad</w:t>
            </w:r>
            <w:proofErr w:type="spellEnd"/>
            <w:r w:rsidRPr="00C03673">
              <w:rPr>
                <w:rFonts w:ascii="Palatino Linotype" w:eastAsia="Palatino Linotype" w:hAnsi="Palatino Linotype" w:cs="Palatino Linotype"/>
                <w:i/>
                <w:sz w:val="22"/>
                <w:szCs w:val="22"/>
              </w:rPr>
              <w:t>”</w:t>
            </w:r>
          </w:p>
          <w:p w14:paraId="36E3F270" w14:textId="77777777" w:rsidR="006E20E7" w:rsidRPr="00C03673" w:rsidRDefault="00CA27F1">
            <w:pPr>
              <w:spacing w:line="276"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Adjuntando el archivo electrónico denominado </w:t>
            </w:r>
            <w:r w:rsidRPr="00C03673">
              <w:rPr>
                <w:rFonts w:ascii="Palatino Linotype" w:eastAsia="Palatino Linotype" w:hAnsi="Palatino Linotype" w:cs="Palatino Linotype"/>
                <w:b/>
                <w:i/>
                <w:sz w:val="22"/>
                <w:szCs w:val="22"/>
              </w:rPr>
              <w:t>“718.pdf”</w:t>
            </w:r>
            <w:r w:rsidRPr="00C03673">
              <w:rPr>
                <w:rFonts w:ascii="Palatino Linotype" w:eastAsia="Palatino Linotype" w:hAnsi="Palatino Linotype" w:cs="Palatino Linotype"/>
                <w:sz w:val="22"/>
                <w:szCs w:val="22"/>
              </w:rPr>
              <w:t xml:space="preserve">, el cual contiene el oficio número </w:t>
            </w:r>
            <w:r w:rsidRPr="00C03673">
              <w:rPr>
                <w:rFonts w:ascii="Palatino Linotype" w:eastAsia="Palatino Linotype" w:hAnsi="Palatino Linotype" w:cs="Palatino Linotype"/>
                <w:sz w:val="22"/>
                <w:szCs w:val="22"/>
              </w:rPr>
              <w:lastRenderedPageBreak/>
              <w:t xml:space="preserve">ADMON/425/OI/16/10/2024 de fecha diecisiete de octubre de dos mil veinticuatro signado por el Director de Administración, en el que informa que podrá consultar la información en los siguientes links: </w:t>
            </w:r>
          </w:p>
          <w:p w14:paraId="61D87C7D" w14:textId="77777777" w:rsidR="006E20E7" w:rsidRPr="00C03673" w:rsidRDefault="00CA27F1">
            <w:pPr>
              <w:spacing w:line="276" w:lineRule="auto"/>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noProof/>
                <w:sz w:val="22"/>
                <w:szCs w:val="22"/>
                <w:lang w:val="es-MX" w:eastAsia="es-MX"/>
              </w:rPr>
              <w:drawing>
                <wp:inline distT="0" distB="0" distL="0" distR="0" wp14:anchorId="74E75957" wp14:editId="6A5B5FEE">
                  <wp:extent cx="3100070" cy="479425"/>
                  <wp:effectExtent l="0" t="0" r="0" b="0"/>
                  <wp:docPr id="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3100070" cy="479425"/>
                          </a:xfrm>
                          <a:prstGeom prst="rect">
                            <a:avLst/>
                          </a:prstGeom>
                          <a:ln/>
                        </pic:spPr>
                      </pic:pic>
                    </a:graphicData>
                  </a:graphic>
                </wp:inline>
              </w:drawing>
            </w:r>
          </w:p>
        </w:tc>
      </w:tr>
    </w:tbl>
    <w:p w14:paraId="55770944" w14:textId="77777777" w:rsidR="006E20E7" w:rsidRPr="00C03673" w:rsidRDefault="006E20E7">
      <w:pPr>
        <w:tabs>
          <w:tab w:val="left" w:pos="7371"/>
        </w:tabs>
        <w:spacing w:line="360" w:lineRule="auto"/>
        <w:ind w:right="616"/>
        <w:jc w:val="both"/>
        <w:rPr>
          <w:rFonts w:ascii="Palatino Linotype" w:eastAsia="Palatino Linotype" w:hAnsi="Palatino Linotype" w:cs="Palatino Linotype"/>
          <w:b/>
          <w:sz w:val="22"/>
          <w:szCs w:val="22"/>
        </w:rPr>
      </w:pPr>
    </w:p>
    <w:p w14:paraId="52AB66D8" w14:textId="77777777" w:rsidR="006E20E7" w:rsidRPr="00C03673" w:rsidRDefault="00CA27F1">
      <w:pPr>
        <w:numPr>
          <w:ilvl w:val="0"/>
          <w:numId w:val="1"/>
        </w:numPr>
        <w:pBdr>
          <w:top w:val="nil"/>
          <w:left w:val="nil"/>
          <w:bottom w:val="nil"/>
          <w:right w:val="nil"/>
          <w:between w:val="nil"/>
        </w:pBdr>
        <w:tabs>
          <w:tab w:val="left" w:pos="426"/>
        </w:tabs>
        <w:spacing w:before="240" w:after="240" w:line="360" w:lineRule="auto"/>
        <w:ind w:left="0" w:right="49" w:firstLine="0"/>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b/>
          <w:sz w:val="22"/>
          <w:szCs w:val="22"/>
        </w:rPr>
        <w:t xml:space="preserve">Interposición de los recursos de revisión. </w:t>
      </w:r>
      <w:r w:rsidRPr="00C03673">
        <w:rPr>
          <w:rFonts w:ascii="Palatino Linotype" w:eastAsia="Palatino Linotype" w:hAnsi="Palatino Linotype" w:cs="Palatino Linotype"/>
          <w:sz w:val="22"/>
          <w:szCs w:val="22"/>
        </w:rPr>
        <w:t xml:space="preserve">Inconforme con las respuestas del </w:t>
      </w:r>
      <w:r w:rsidRPr="00C03673">
        <w:rPr>
          <w:rFonts w:ascii="Palatino Linotype" w:eastAsia="Palatino Linotype" w:hAnsi="Palatino Linotype" w:cs="Palatino Linotype"/>
          <w:b/>
          <w:sz w:val="22"/>
          <w:szCs w:val="22"/>
        </w:rPr>
        <w:t xml:space="preserve">Sujeto Obligado </w:t>
      </w:r>
      <w:r w:rsidRPr="00C03673">
        <w:rPr>
          <w:rFonts w:ascii="Palatino Linotype" w:eastAsia="Palatino Linotype" w:hAnsi="Palatino Linotype" w:cs="Palatino Linotype"/>
          <w:sz w:val="22"/>
          <w:szCs w:val="22"/>
        </w:rPr>
        <w:t>la parte</w:t>
      </w:r>
      <w:r w:rsidRPr="00C03673">
        <w:rPr>
          <w:rFonts w:ascii="Palatino Linotype" w:eastAsia="Palatino Linotype" w:hAnsi="Palatino Linotype" w:cs="Palatino Linotype"/>
          <w:b/>
          <w:sz w:val="22"/>
          <w:szCs w:val="22"/>
        </w:rPr>
        <w:t xml:space="preserve"> Recurrente</w:t>
      </w:r>
      <w:r w:rsidRPr="00C03673">
        <w:rPr>
          <w:rFonts w:ascii="Palatino Linotype" w:eastAsia="Palatino Linotype" w:hAnsi="Palatino Linotype" w:cs="Palatino Linotype"/>
          <w:sz w:val="22"/>
          <w:szCs w:val="22"/>
        </w:rPr>
        <w:t xml:space="preserve"> interpuso recursos de revisión a través del SAIMEX en fechas </w:t>
      </w:r>
      <w:r w:rsidRPr="00C03673">
        <w:rPr>
          <w:rFonts w:ascii="Palatino Linotype" w:eastAsia="Palatino Linotype" w:hAnsi="Palatino Linotype" w:cs="Palatino Linotype"/>
          <w:b/>
          <w:sz w:val="22"/>
          <w:szCs w:val="22"/>
        </w:rPr>
        <w:t>veintiocho, veintinueve y treinta de octubre de dos mil veinticuatro</w:t>
      </w:r>
      <w:r w:rsidRPr="00C03673">
        <w:rPr>
          <w:rFonts w:ascii="Palatino Linotype" w:eastAsia="Palatino Linotype" w:hAnsi="Palatino Linotype" w:cs="Palatino Linotype"/>
          <w:sz w:val="22"/>
          <w:szCs w:val="22"/>
        </w:rPr>
        <w:t>, a través del cual expresó lo siguiente:</w:t>
      </w:r>
    </w:p>
    <w:tbl>
      <w:tblPr>
        <w:tblStyle w:val="aff"/>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4"/>
        <w:gridCol w:w="2013"/>
        <w:gridCol w:w="4110"/>
      </w:tblGrid>
      <w:tr w:rsidR="00C03673" w:rsidRPr="00C03673" w14:paraId="5776CFEF" w14:textId="77777777">
        <w:tc>
          <w:tcPr>
            <w:tcW w:w="2944" w:type="dxa"/>
            <w:shd w:val="clear" w:color="auto" w:fill="D9E2F3"/>
          </w:tcPr>
          <w:p w14:paraId="149550F3" w14:textId="77777777" w:rsidR="006E20E7" w:rsidRPr="00C03673" w:rsidRDefault="00CA27F1">
            <w:pPr>
              <w:spacing w:before="240" w:after="240" w:line="360" w:lineRule="auto"/>
              <w:jc w:val="center"/>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t>Recurso de Revisión</w:t>
            </w:r>
          </w:p>
        </w:tc>
        <w:tc>
          <w:tcPr>
            <w:tcW w:w="2013" w:type="dxa"/>
            <w:shd w:val="clear" w:color="auto" w:fill="D9E2F3"/>
          </w:tcPr>
          <w:p w14:paraId="3F4F4402" w14:textId="77777777" w:rsidR="006E20E7" w:rsidRPr="00C03673" w:rsidRDefault="00CA27F1">
            <w:pPr>
              <w:spacing w:before="240" w:after="240" w:line="360" w:lineRule="auto"/>
              <w:jc w:val="center"/>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t>Acto impugnado</w:t>
            </w:r>
          </w:p>
        </w:tc>
        <w:tc>
          <w:tcPr>
            <w:tcW w:w="4110" w:type="dxa"/>
            <w:shd w:val="clear" w:color="auto" w:fill="D9E2F3"/>
          </w:tcPr>
          <w:p w14:paraId="5EF0D060" w14:textId="77777777" w:rsidR="006E20E7" w:rsidRPr="00C03673" w:rsidRDefault="00CA27F1">
            <w:pPr>
              <w:spacing w:before="240" w:after="240" w:line="276" w:lineRule="auto"/>
              <w:jc w:val="center"/>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t>Razones o Motivos de Inconformidad</w:t>
            </w:r>
          </w:p>
        </w:tc>
      </w:tr>
      <w:tr w:rsidR="00C03673" w:rsidRPr="00C03673" w14:paraId="593D1B66" w14:textId="77777777">
        <w:tc>
          <w:tcPr>
            <w:tcW w:w="2944" w:type="dxa"/>
          </w:tcPr>
          <w:p w14:paraId="0413F498" w14:textId="77777777" w:rsidR="006E20E7" w:rsidRPr="00C03673" w:rsidRDefault="00CA27F1">
            <w:pPr>
              <w:spacing w:before="240" w:after="240" w:line="360" w:lineRule="auto"/>
              <w:jc w:val="center"/>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t>06729/INFOEM/IP/RR/2024</w:t>
            </w:r>
          </w:p>
        </w:tc>
        <w:tc>
          <w:tcPr>
            <w:tcW w:w="2013" w:type="dxa"/>
          </w:tcPr>
          <w:p w14:paraId="0C9B2CDC" w14:textId="77777777" w:rsidR="006E20E7" w:rsidRPr="00C03673" w:rsidRDefault="00CA27F1">
            <w:pPr>
              <w:spacing w:before="240" w:after="240"/>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RESPUESTA OTORGADA</w:t>
            </w:r>
          </w:p>
        </w:tc>
        <w:tc>
          <w:tcPr>
            <w:tcW w:w="4110" w:type="dxa"/>
          </w:tcPr>
          <w:p w14:paraId="3814ABE5" w14:textId="77777777" w:rsidR="006E20E7" w:rsidRPr="00C03673" w:rsidRDefault="00CA27F1">
            <w:pPr>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EL SUJETO OBLIGADO PROPORCIONA UN LINK MANIFESTANDO QUE LA INFORMACION REQUERIDA SE ENCUENTRA EN ESE PORTAL, SIN EMBARGO </w:t>
            </w:r>
            <w:r w:rsidRPr="00C03673">
              <w:rPr>
                <w:rFonts w:ascii="Palatino Linotype" w:eastAsia="Palatino Linotype" w:hAnsi="Palatino Linotype" w:cs="Palatino Linotype"/>
                <w:b/>
                <w:i/>
                <w:sz w:val="22"/>
                <w:szCs w:val="22"/>
              </w:rPr>
              <w:t>EL LINK ES ERRONEO YA QUE AL SER CONSULTADO MARCA ERROR Y RESULTA IMPOSIBLE EL ACCESO A LA INFORMACION EN UN ACTO DE TOTAL IRREGULARIDAD CON EL PROPÓSITO DE OBSTACULIZAR LA ENTREGA DE INFORMACIÓN</w:t>
            </w:r>
            <w:r w:rsidRPr="00C03673">
              <w:rPr>
                <w:rFonts w:ascii="Palatino Linotype" w:eastAsia="Palatino Linotype" w:hAnsi="Palatino Linotype" w:cs="Palatino Linotype"/>
                <w:i/>
                <w:sz w:val="22"/>
                <w:szCs w:val="22"/>
              </w:rPr>
              <w:t xml:space="preserve">, ACTUANDO DE MANERA MALICIOSA Y MALINTENCIONADA MENOSCABANDO LO ESTIPULADO EN LOS ARTICULOS 4, 7 Y 24 </w:t>
            </w:r>
            <w:r w:rsidRPr="00C03673">
              <w:rPr>
                <w:rFonts w:ascii="Palatino Linotype" w:eastAsia="Palatino Linotype" w:hAnsi="Palatino Linotype" w:cs="Palatino Linotype"/>
                <w:i/>
                <w:sz w:val="22"/>
                <w:szCs w:val="22"/>
              </w:rPr>
              <w:lastRenderedPageBreak/>
              <w:t xml:space="preserve">FRACCION XVII, XIX, XXII, XXIII DE LA LEY DE TRANSPARENCIA Y ACCESO A LA INFORMACION PUBLICA DEL ESTADO DE MEXICO, DEMOSTRANDO DE MANERA RECURRENTE QUE EL SUJETO OBLIGADO ENTORPESE EL DERECHO AL ACCESO DE LA INFORMACION SOLICITADA, EN UN ACTO DE CLARA OPACIDAD, POR LO QUE SOLICITO QUE LA INFORMACION SEA ENTREGADA A TRAVES DE ESTA PLATAFORMA. </w:t>
            </w:r>
          </w:p>
          <w:p w14:paraId="0C133DF8" w14:textId="77777777" w:rsidR="006E20E7" w:rsidRPr="00C03673" w:rsidRDefault="00CA27F1">
            <w:pPr>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sz w:val="22"/>
                <w:szCs w:val="22"/>
              </w:rPr>
              <w:t>Adjuntando la siguiente imagen:</w:t>
            </w:r>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i/>
                <w:noProof/>
                <w:sz w:val="22"/>
                <w:szCs w:val="22"/>
                <w:lang w:val="es-MX" w:eastAsia="es-MX"/>
              </w:rPr>
              <w:drawing>
                <wp:inline distT="0" distB="0" distL="0" distR="0" wp14:anchorId="4E7C1B15" wp14:editId="0A27C482">
                  <wp:extent cx="2472690" cy="843915"/>
                  <wp:effectExtent l="0" t="0" r="0" b="0"/>
                  <wp:docPr id="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472690" cy="843915"/>
                          </a:xfrm>
                          <a:prstGeom prst="rect">
                            <a:avLst/>
                          </a:prstGeom>
                          <a:ln/>
                        </pic:spPr>
                      </pic:pic>
                    </a:graphicData>
                  </a:graphic>
                </wp:inline>
              </w:drawing>
            </w:r>
          </w:p>
        </w:tc>
      </w:tr>
      <w:tr w:rsidR="00C03673" w:rsidRPr="00C03673" w14:paraId="3F0ECB39" w14:textId="77777777">
        <w:tc>
          <w:tcPr>
            <w:tcW w:w="2944" w:type="dxa"/>
          </w:tcPr>
          <w:p w14:paraId="1850FCC3" w14:textId="77777777" w:rsidR="006E20E7" w:rsidRPr="00C03673" w:rsidRDefault="00CA27F1">
            <w:pPr>
              <w:spacing w:before="240" w:after="240" w:line="360" w:lineRule="auto"/>
              <w:jc w:val="center"/>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lastRenderedPageBreak/>
              <w:t>06816/INFOEM/IP/RR/2024</w:t>
            </w:r>
          </w:p>
        </w:tc>
        <w:tc>
          <w:tcPr>
            <w:tcW w:w="2013" w:type="dxa"/>
          </w:tcPr>
          <w:p w14:paraId="75FD7D1C" w14:textId="77777777" w:rsidR="006E20E7" w:rsidRPr="00C03673" w:rsidRDefault="00CA27F1">
            <w:pPr>
              <w:spacing w:before="240" w:after="240"/>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RESPUESTA OTORGADA</w:t>
            </w:r>
          </w:p>
        </w:tc>
        <w:tc>
          <w:tcPr>
            <w:tcW w:w="4110" w:type="dxa"/>
          </w:tcPr>
          <w:p w14:paraId="18B584D3" w14:textId="77777777" w:rsidR="006E20E7" w:rsidRPr="00C03673" w:rsidRDefault="00CA27F1">
            <w:pPr>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EL SUJETO OBLIGO MANIFIESTA QUE LA INFORMACION SOLICITADA SE ENCUENTRA EN LA PLATAFORMA DE IPOMEX, ADJUNTANDO CAPTURAS DE PANTALLA DE LA SUPUESTA EVIDENCIA DE LA EXISTENCIA DE LA MISMA, </w:t>
            </w:r>
            <w:r w:rsidRPr="00C03673">
              <w:rPr>
                <w:rFonts w:ascii="Palatino Linotype" w:eastAsia="Palatino Linotype" w:hAnsi="Palatino Linotype" w:cs="Palatino Linotype"/>
                <w:b/>
                <w:i/>
                <w:sz w:val="22"/>
                <w:szCs w:val="22"/>
              </w:rPr>
              <w:t>SIN EMBARGO EN LA PLATAFORMA NO HAY NINGUNA INFORMACION ADJUNTA, EN UN ACTO DE TOTAL OPACIDAD E IRREGULARIDAD,</w:t>
            </w:r>
            <w:r w:rsidRPr="00C03673">
              <w:rPr>
                <w:rFonts w:ascii="Palatino Linotype" w:eastAsia="Palatino Linotype" w:hAnsi="Palatino Linotype" w:cs="Palatino Linotype"/>
                <w:i/>
                <w:sz w:val="22"/>
                <w:szCs w:val="22"/>
              </w:rPr>
              <w:t xml:space="preserve"> MENOSCABANDO LO ESTIPULADO EN LOS ARTICULOS 4, 7 Y 24 FRACCION XVII, XIX, XXII, XXIII DE LA LEY DE TRANSPARENCIA Y ACCESO A LA INFORMACION PUBLICA DEL ESTADO DE MEXICO, DEMOSTRANDO DE MANERA </w:t>
            </w:r>
            <w:r w:rsidRPr="00C03673">
              <w:rPr>
                <w:rFonts w:ascii="Palatino Linotype" w:eastAsia="Palatino Linotype" w:hAnsi="Palatino Linotype" w:cs="Palatino Linotype"/>
                <w:i/>
                <w:sz w:val="22"/>
                <w:szCs w:val="22"/>
              </w:rPr>
              <w:lastRenderedPageBreak/>
              <w:t xml:space="preserve">RECURRENTE QUE EL SUJETO OBLIGADO ENTORPESE EL DERECHO AL ACCESO DE LA INFORMACION SOLICITADA, POR LO QUE SOLICITO QUE LA INFORMACION SEA ENTREGADA A TRAVES DE ESTA PLATAFORMA. </w:t>
            </w:r>
          </w:p>
          <w:p w14:paraId="06B54AA1" w14:textId="77777777" w:rsidR="006E20E7" w:rsidRPr="00C03673" w:rsidRDefault="00CA27F1">
            <w:pPr>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Adjuntando la siguiente imagen:</w:t>
            </w:r>
          </w:p>
          <w:p w14:paraId="73FCA9E6" w14:textId="77777777" w:rsidR="006E20E7" w:rsidRPr="00C03673" w:rsidRDefault="00CA27F1">
            <w:pPr>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noProof/>
                <w:sz w:val="22"/>
                <w:szCs w:val="22"/>
                <w:lang w:val="es-MX" w:eastAsia="es-MX"/>
              </w:rPr>
              <w:drawing>
                <wp:inline distT="0" distB="0" distL="0" distR="0" wp14:anchorId="32AA5478" wp14:editId="4B773DA2">
                  <wp:extent cx="2472690" cy="1384300"/>
                  <wp:effectExtent l="0" t="0" r="0" b="0"/>
                  <wp:docPr id="7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2472690" cy="1384300"/>
                          </a:xfrm>
                          <a:prstGeom prst="rect">
                            <a:avLst/>
                          </a:prstGeom>
                          <a:ln/>
                        </pic:spPr>
                      </pic:pic>
                    </a:graphicData>
                  </a:graphic>
                </wp:inline>
              </w:drawing>
            </w:r>
          </w:p>
        </w:tc>
      </w:tr>
      <w:tr w:rsidR="006E20E7" w:rsidRPr="00C03673" w14:paraId="77DCD5F4" w14:textId="77777777">
        <w:tc>
          <w:tcPr>
            <w:tcW w:w="2944" w:type="dxa"/>
          </w:tcPr>
          <w:p w14:paraId="35972E7D" w14:textId="77777777" w:rsidR="006E20E7" w:rsidRPr="00C03673" w:rsidRDefault="00CA27F1">
            <w:pPr>
              <w:spacing w:before="240" w:after="240" w:line="360" w:lineRule="auto"/>
              <w:jc w:val="center"/>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lastRenderedPageBreak/>
              <w:t>06847/INFOEM/IP/RR/2024</w:t>
            </w:r>
          </w:p>
        </w:tc>
        <w:tc>
          <w:tcPr>
            <w:tcW w:w="2013" w:type="dxa"/>
          </w:tcPr>
          <w:p w14:paraId="03DF30A7" w14:textId="77777777" w:rsidR="006E20E7" w:rsidRPr="00C03673" w:rsidRDefault="00CA27F1">
            <w:pPr>
              <w:spacing w:before="240" w:after="240"/>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RESPUESTA OTORGADA</w:t>
            </w:r>
          </w:p>
        </w:tc>
        <w:tc>
          <w:tcPr>
            <w:tcW w:w="4110" w:type="dxa"/>
          </w:tcPr>
          <w:p w14:paraId="245A35D6" w14:textId="77777777" w:rsidR="006E20E7" w:rsidRPr="00C03673" w:rsidRDefault="00CA27F1">
            <w:pPr>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EL SUJETO OBLIGO MANIFIESTA QUE LA INFORMACION SOLICITADA SE ENCUENTRA EN LA PLATAFORMA DE IPOMEX, ADJUNTANDO CAPTURAS DE PANTALLA DE LA SUPUESTA EVIDENCIA DE LA EXISTENCIA DE LA MISMA, SIN EMBARGO EN LA PLATAFORMA NO HAY NINGUNA INFORMACION ADJUNTA, EN UN ACTO DE TOTAL OPACIDAD E IRREGULARIDAD, MENOSCABANDO LO ESTIPULADO EN LOS ARTICULOS 4, 7 Y 24 FRACCION XVII, XIX, XXII, XXIII DE LA LEY DE TRANSPARENCIA Y ACCESO A LA INFORMACION PUBLICA DEL ESTADO DE MEXICO, DEMOSTRANDO DE MANERA RECURRENTE QUE EL SUJETO OBLIGADO ENTORPESE EL DERECHO AL ACCESO DE LA </w:t>
            </w:r>
            <w:r w:rsidRPr="00C03673">
              <w:rPr>
                <w:rFonts w:ascii="Palatino Linotype" w:eastAsia="Palatino Linotype" w:hAnsi="Palatino Linotype" w:cs="Palatino Linotype"/>
                <w:i/>
                <w:sz w:val="22"/>
                <w:szCs w:val="22"/>
              </w:rPr>
              <w:lastRenderedPageBreak/>
              <w:t xml:space="preserve">INFORMACION SOLICITADA, POR LO QUE SOLICITO QUE LA INFORMACION SEA ENTREGADA A TRAVES DE ESTA PLATAFORMA. </w:t>
            </w:r>
          </w:p>
          <w:p w14:paraId="33D00AF1" w14:textId="77777777" w:rsidR="006E20E7" w:rsidRPr="00C03673" w:rsidRDefault="00CA27F1">
            <w:pPr>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Adjuntando la siguiente imagen:</w:t>
            </w:r>
          </w:p>
          <w:p w14:paraId="4F407BDE" w14:textId="77777777" w:rsidR="006E20E7" w:rsidRPr="00C03673" w:rsidRDefault="00CA27F1">
            <w:pPr>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noProof/>
                <w:sz w:val="22"/>
                <w:szCs w:val="22"/>
                <w:lang w:val="es-MX" w:eastAsia="es-MX"/>
              </w:rPr>
              <w:drawing>
                <wp:inline distT="0" distB="0" distL="0" distR="0" wp14:anchorId="388458FA" wp14:editId="48564297">
                  <wp:extent cx="2434509" cy="1127852"/>
                  <wp:effectExtent l="0" t="0" r="0" b="0"/>
                  <wp:docPr id="7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2434509" cy="1127852"/>
                          </a:xfrm>
                          <a:prstGeom prst="rect">
                            <a:avLst/>
                          </a:prstGeom>
                          <a:ln/>
                        </pic:spPr>
                      </pic:pic>
                    </a:graphicData>
                  </a:graphic>
                </wp:inline>
              </w:drawing>
            </w:r>
          </w:p>
        </w:tc>
      </w:tr>
    </w:tbl>
    <w:p w14:paraId="6E08D777" w14:textId="77777777" w:rsidR="006E20E7" w:rsidRPr="00C03673" w:rsidRDefault="006E20E7">
      <w:pPr>
        <w:pBdr>
          <w:top w:val="nil"/>
          <w:left w:val="nil"/>
          <w:bottom w:val="nil"/>
          <w:right w:val="nil"/>
          <w:between w:val="nil"/>
        </w:pBdr>
        <w:spacing w:line="360" w:lineRule="auto"/>
        <w:ind w:left="567"/>
        <w:jc w:val="both"/>
        <w:rPr>
          <w:rFonts w:ascii="Palatino Linotype" w:eastAsia="Palatino Linotype" w:hAnsi="Palatino Linotype" w:cs="Palatino Linotype"/>
          <w:i/>
          <w:sz w:val="22"/>
          <w:szCs w:val="22"/>
        </w:rPr>
      </w:pPr>
    </w:p>
    <w:p w14:paraId="643EEABD" w14:textId="77777777" w:rsidR="006E20E7" w:rsidRPr="00C03673" w:rsidRDefault="00CA27F1">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b/>
          <w:sz w:val="22"/>
          <w:szCs w:val="22"/>
        </w:rPr>
        <w:t xml:space="preserve">Turno. </w:t>
      </w:r>
      <w:r w:rsidRPr="00C03673">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los recursos de revisión número </w:t>
      </w:r>
      <w:r w:rsidRPr="00C03673">
        <w:rPr>
          <w:rFonts w:ascii="Palatino Linotype" w:eastAsia="Palatino Linotype" w:hAnsi="Palatino Linotype" w:cs="Palatino Linotype"/>
          <w:b/>
          <w:sz w:val="22"/>
          <w:szCs w:val="22"/>
        </w:rPr>
        <w:t>06729/INFOEM/IP/RR/2024, 06816/INFOEM/IP/RR/2024</w:t>
      </w:r>
      <w:r w:rsidRPr="00C03673">
        <w:rPr>
          <w:rFonts w:ascii="Palatino Linotype" w:eastAsia="Palatino Linotype" w:hAnsi="Palatino Linotype" w:cs="Palatino Linotype"/>
          <w:sz w:val="22"/>
          <w:szCs w:val="22"/>
        </w:rPr>
        <w:t xml:space="preserve"> y </w:t>
      </w:r>
      <w:r w:rsidRPr="00C03673">
        <w:rPr>
          <w:rFonts w:ascii="Palatino Linotype" w:eastAsia="Palatino Linotype" w:hAnsi="Palatino Linotype" w:cs="Palatino Linotype"/>
          <w:b/>
          <w:sz w:val="22"/>
          <w:szCs w:val="22"/>
        </w:rPr>
        <w:t>06847/INFOEM/IP/RR/2024</w:t>
      </w:r>
      <w:r w:rsidRPr="00C03673">
        <w:rPr>
          <w:rFonts w:ascii="Palatino Linotype" w:eastAsia="Palatino Linotype" w:hAnsi="Palatino Linotype" w:cs="Palatino Linotype"/>
          <w:sz w:val="22"/>
          <w:szCs w:val="22"/>
        </w:rPr>
        <w:t xml:space="preserve">, se turnaron por el sistema electrónico del Instituto de Transparencia, Acceso a la Información Pública y Protección de Datos Personales del Estado de México y Municipios, a la Comisionada </w:t>
      </w:r>
      <w:r w:rsidRPr="00C03673">
        <w:rPr>
          <w:rFonts w:ascii="Palatino Linotype" w:eastAsia="Palatino Linotype" w:hAnsi="Palatino Linotype" w:cs="Palatino Linotype"/>
          <w:b/>
          <w:sz w:val="22"/>
          <w:szCs w:val="22"/>
        </w:rPr>
        <w:t>Guadalupe Ramírez Peña</w:t>
      </w:r>
      <w:r w:rsidRPr="00C03673">
        <w:rPr>
          <w:rFonts w:ascii="Palatino Linotype" w:eastAsia="Palatino Linotype" w:hAnsi="Palatino Linotype" w:cs="Palatino Linotype"/>
          <w:sz w:val="22"/>
          <w:szCs w:val="22"/>
        </w:rPr>
        <w:t>, para su análisis, estudio, elaboración del proyecto y presentación ante el Pleno de este Instituto.</w:t>
      </w:r>
    </w:p>
    <w:p w14:paraId="5CC02DE6" w14:textId="77777777" w:rsidR="006E20E7" w:rsidRPr="00C03673" w:rsidRDefault="006E20E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53ADB735" w14:textId="77777777" w:rsidR="006E20E7" w:rsidRPr="00C03673" w:rsidRDefault="00CA27F1">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2" w:name="_heading=h.gjdgxs" w:colFirst="0" w:colLast="0"/>
      <w:bookmarkEnd w:id="2"/>
      <w:r w:rsidRPr="00C03673">
        <w:rPr>
          <w:rFonts w:ascii="Palatino Linotype" w:eastAsia="Palatino Linotype" w:hAnsi="Palatino Linotype" w:cs="Palatino Linotype"/>
          <w:b/>
          <w:sz w:val="22"/>
          <w:szCs w:val="22"/>
        </w:rPr>
        <w:t xml:space="preserve">Admisión de los recursos de revisión: </w:t>
      </w:r>
      <w:r w:rsidRPr="00C03673">
        <w:rPr>
          <w:rFonts w:ascii="Palatino Linotype" w:eastAsia="Palatino Linotype" w:hAnsi="Palatino Linotype" w:cs="Palatino Linotype"/>
          <w:sz w:val="22"/>
          <w:szCs w:val="22"/>
        </w:rPr>
        <w:t xml:space="preserve">En fechas </w:t>
      </w:r>
      <w:r w:rsidRPr="00C03673">
        <w:rPr>
          <w:rFonts w:ascii="Palatino Linotype" w:eastAsia="Palatino Linotype" w:hAnsi="Palatino Linotype" w:cs="Palatino Linotype"/>
          <w:b/>
          <w:sz w:val="22"/>
          <w:szCs w:val="22"/>
        </w:rPr>
        <w:t>treinta y uno de octubre y cuatro de noviembre de dos mil veinticuatro,</w:t>
      </w:r>
      <w:r w:rsidRPr="00C03673">
        <w:rPr>
          <w:rFonts w:ascii="Palatino Linotype" w:eastAsia="Palatino Linotype" w:hAnsi="Palatino Linotype" w:cs="Palatino Linotype"/>
          <w:sz w:val="22"/>
          <w:szCs w:val="22"/>
        </w:rPr>
        <w:t xml:space="preserve"> la Comisionada Ponente admitió a trámite los recursos de revisión que ahora se resuelven, dando un plazo máximo de siete días hábiles para que las partes manifestaran lo que a su derecho resultara conveniente, ofrecieran pruebas, formularan alegatos y el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 xml:space="preserve"> presentara su informe justificado.</w:t>
      </w:r>
    </w:p>
    <w:p w14:paraId="4A5A4040" w14:textId="77777777" w:rsidR="006E20E7" w:rsidRPr="00C03673" w:rsidRDefault="006E20E7">
      <w:pPr>
        <w:pBdr>
          <w:top w:val="nil"/>
          <w:left w:val="nil"/>
          <w:bottom w:val="nil"/>
          <w:right w:val="nil"/>
          <w:between w:val="nil"/>
        </w:pBdr>
        <w:ind w:left="708"/>
        <w:rPr>
          <w:rFonts w:ascii="Palatino Linotype" w:eastAsia="Palatino Linotype" w:hAnsi="Palatino Linotype" w:cs="Palatino Linotype"/>
          <w:sz w:val="22"/>
          <w:szCs w:val="22"/>
        </w:rPr>
      </w:pPr>
    </w:p>
    <w:p w14:paraId="035FA27B" w14:textId="77777777" w:rsidR="006E20E7" w:rsidRPr="00C03673" w:rsidRDefault="00CA27F1">
      <w:pPr>
        <w:numPr>
          <w:ilvl w:val="0"/>
          <w:numId w:val="1"/>
        </w:numPr>
        <w:pBdr>
          <w:top w:val="nil"/>
          <w:left w:val="nil"/>
          <w:bottom w:val="nil"/>
          <w:right w:val="nil"/>
          <w:between w:val="nil"/>
        </w:pBdr>
        <w:tabs>
          <w:tab w:val="left" w:pos="284"/>
        </w:tabs>
        <w:spacing w:before="240" w:after="240" w:line="360" w:lineRule="auto"/>
        <w:ind w:left="0" w:firstLine="0"/>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b/>
          <w:sz w:val="22"/>
          <w:szCs w:val="22"/>
        </w:rPr>
        <w:t xml:space="preserve">Acumulación. </w:t>
      </w:r>
      <w:r w:rsidRPr="00C03673">
        <w:rPr>
          <w:rFonts w:ascii="Palatino Linotype" w:eastAsia="Palatino Linotype" w:hAnsi="Palatino Linotype" w:cs="Palatino Linotype"/>
          <w:sz w:val="22"/>
          <w:szCs w:val="22"/>
        </w:rPr>
        <w:t xml:space="preserve">En la </w:t>
      </w:r>
      <w:r w:rsidRPr="00C03673">
        <w:rPr>
          <w:rFonts w:ascii="Palatino Linotype" w:eastAsia="Palatino Linotype" w:hAnsi="Palatino Linotype" w:cs="Palatino Linotype"/>
          <w:b/>
          <w:sz w:val="22"/>
          <w:szCs w:val="22"/>
        </w:rPr>
        <w:t>Trigésima Novena Sesión Ordinaria</w:t>
      </w:r>
      <w:r w:rsidRPr="00C03673">
        <w:rPr>
          <w:rFonts w:ascii="Palatino Linotype" w:eastAsia="Palatino Linotype" w:hAnsi="Palatino Linotype" w:cs="Palatino Linotype"/>
          <w:sz w:val="22"/>
          <w:szCs w:val="22"/>
        </w:rPr>
        <w:t xml:space="preserve"> celebrada el </w:t>
      </w:r>
      <w:r w:rsidRPr="00C03673">
        <w:rPr>
          <w:rFonts w:ascii="Palatino Linotype" w:eastAsia="Palatino Linotype" w:hAnsi="Palatino Linotype" w:cs="Palatino Linotype"/>
          <w:b/>
          <w:sz w:val="22"/>
          <w:szCs w:val="22"/>
        </w:rPr>
        <w:t>trece de noviembre de dos mil veinticuatro</w:t>
      </w:r>
      <w:r w:rsidRPr="00C03673">
        <w:rPr>
          <w:rFonts w:ascii="Palatino Linotype" w:eastAsia="Palatino Linotype" w:hAnsi="Palatino Linotype" w:cs="Palatino Linotype"/>
          <w:sz w:val="22"/>
          <w:szCs w:val="22"/>
        </w:rPr>
        <w:t xml:space="preserve">, al advertir la conexidad de causa y con la finalidad de evitar que se dicten resoluciones contradictorias, de conformidad con el artículo 195 de la </w:t>
      </w:r>
      <w:r w:rsidRPr="00C03673">
        <w:rPr>
          <w:rFonts w:ascii="Palatino Linotype" w:eastAsia="Palatino Linotype" w:hAnsi="Palatino Linotype" w:cs="Palatino Linotype"/>
          <w:sz w:val="22"/>
          <w:szCs w:val="22"/>
        </w:rPr>
        <w:lastRenderedPageBreak/>
        <w:t xml:space="preserve">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Pr="00C03673">
        <w:rPr>
          <w:rFonts w:ascii="Palatino Linotype" w:eastAsia="Palatino Linotype" w:hAnsi="Palatino Linotype" w:cs="Palatino Linotype"/>
          <w:b/>
          <w:sz w:val="22"/>
          <w:szCs w:val="22"/>
        </w:rPr>
        <w:t>Comisionada</w:t>
      </w:r>
      <w:r w:rsidRPr="00C03673">
        <w:rPr>
          <w:rFonts w:ascii="Palatino Linotype" w:eastAsia="Palatino Linotype" w:hAnsi="Palatino Linotype" w:cs="Palatino Linotype"/>
          <w:sz w:val="22"/>
          <w:szCs w:val="22"/>
        </w:rPr>
        <w:t xml:space="preserve"> </w:t>
      </w:r>
      <w:r w:rsidRPr="00C03673">
        <w:rPr>
          <w:rFonts w:ascii="Palatino Linotype" w:eastAsia="Palatino Linotype" w:hAnsi="Palatino Linotype" w:cs="Palatino Linotype"/>
          <w:b/>
          <w:sz w:val="22"/>
          <w:szCs w:val="22"/>
        </w:rPr>
        <w:t>Guadalupe Ramírez Peña</w:t>
      </w:r>
      <w:r w:rsidRPr="00C03673">
        <w:rPr>
          <w:rFonts w:ascii="Palatino Linotype" w:eastAsia="Palatino Linotype" w:hAnsi="Palatino Linotype" w:cs="Palatino Linotype"/>
          <w:sz w:val="22"/>
          <w:szCs w:val="22"/>
        </w:rPr>
        <w:t xml:space="preserve">; que mediante acuerdo se notificó a las partes vía SAIMEX el </w:t>
      </w:r>
      <w:r w:rsidRPr="00C03673">
        <w:rPr>
          <w:rFonts w:ascii="Palatino Linotype" w:eastAsia="Palatino Linotype" w:hAnsi="Palatino Linotype" w:cs="Palatino Linotype"/>
          <w:b/>
          <w:sz w:val="22"/>
          <w:szCs w:val="22"/>
        </w:rPr>
        <w:t>diecinueve de noviembre de dos mil veinticuatro</w:t>
      </w:r>
      <w:r w:rsidRPr="00C03673">
        <w:rPr>
          <w:rFonts w:ascii="Palatino Linotype" w:eastAsia="Palatino Linotype" w:hAnsi="Palatino Linotype" w:cs="Palatino Linotype"/>
          <w:sz w:val="22"/>
          <w:szCs w:val="22"/>
        </w:rPr>
        <w:t xml:space="preserve">. </w:t>
      </w:r>
    </w:p>
    <w:p w14:paraId="06E90A40" w14:textId="77777777" w:rsidR="006E20E7" w:rsidRPr="00C03673" w:rsidRDefault="00CA27F1">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b/>
          <w:sz w:val="22"/>
          <w:szCs w:val="22"/>
        </w:rPr>
        <w:t>Manifestaciones</w:t>
      </w:r>
      <w:r w:rsidRPr="00C03673">
        <w:rPr>
          <w:rFonts w:ascii="Palatino Linotype" w:eastAsia="Palatino Linotype" w:hAnsi="Palatino Linotype" w:cs="Palatino Linotype"/>
          <w:sz w:val="22"/>
          <w:szCs w:val="22"/>
        </w:rPr>
        <w:t>: De las constancias que obran en los expedientes electrónicos del SAIMEX se desprende que el Sujeto Obligado no rindió sus informes justificados, del mismo modo la parte Recurrente omitió realizar manifestaciones, como se observa a continuación:</w:t>
      </w:r>
    </w:p>
    <w:p w14:paraId="353AEA41" w14:textId="77777777" w:rsidR="006E20E7" w:rsidRPr="00C03673" w:rsidRDefault="006E20E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30399183" w14:textId="77777777" w:rsidR="006E20E7" w:rsidRPr="00C03673" w:rsidRDefault="00CA27F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noProof/>
          <w:sz w:val="22"/>
          <w:szCs w:val="22"/>
          <w:lang w:val="es-MX" w:eastAsia="es-MX"/>
        </w:rPr>
        <w:drawing>
          <wp:inline distT="0" distB="0" distL="0" distR="0" wp14:anchorId="3045778B" wp14:editId="7407DD6B">
            <wp:extent cx="5612130" cy="1296670"/>
            <wp:effectExtent l="0" t="0" r="0" b="0"/>
            <wp:docPr id="8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612130" cy="1296670"/>
                    </a:xfrm>
                    <a:prstGeom prst="rect">
                      <a:avLst/>
                    </a:prstGeom>
                    <a:ln/>
                  </pic:spPr>
                </pic:pic>
              </a:graphicData>
            </a:graphic>
          </wp:inline>
        </w:drawing>
      </w:r>
    </w:p>
    <w:p w14:paraId="2B901686" w14:textId="77777777" w:rsidR="006E20E7" w:rsidRPr="00C03673" w:rsidRDefault="00CA27F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noProof/>
          <w:sz w:val="22"/>
          <w:szCs w:val="22"/>
          <w:lang w:val="es-MX" w:eastAsia="es-MX"/>
        </w:rPr>
        <w:drawing>
          <wp:inline distT="0" distB="0" distL="0" distR="0" wp14:anchorId="6CC64E79" wp14:editId="0EBD7ADC">
            <wp:extent cx="5612130" cy="1289685"/>
            <wp:effectExtent l="0" t="0" r="0" b="0"/>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612130" cy="1289685"/>
                    </a:xfrm>
                    <a:prstGeom prst="rect">
                      <a:avLst/>
                    </a:prstGeom>
                    <a:ln/>
                  </pic:spPr>
                </pic:pic>
              </a:graphicData>
            </a:graphic>
          </wp:inline>
        </w:drawing>
      </w:r>
    </w:p>
    <w:p w14:paraId="51BCD48A" w14:textId="77777777" w:rsidR="006E20E7" w:rsidRPr="00C03673" w:rsidRDefault="00CA27F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noProof/>
          <w:sz w:val="22"/>
          <w:szCs w:val="22"/>
          <w:lang w:val="es-MX" w:eastAsia="es-MX"/>
        </w:rPr>
        <w:drawing>
          <wp:inline distT="0" distB="0" distL="0" distR="0" wp14:anchorId="161F09FD" wp14:editId="3FCEEE00">
            <wp:extent cx="5612130" cy="1304290"/>
            <wp:effectExtent l="0" t="0" r="0" b="0"/>
            <wp:docPr id="8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5612130" cy="1304290"/>
                    </a:xfrm>
                    <a:prstGeom prst="rect">
                      <a:avLst/>
                    </a:prstGeom>
                    <a:ln/>
                  </pic:spPr>
                </pic:pic>
              </a:graphicData>
            </a:graphic>
          </wp:inline>
        </w:drawing>
      </w:r>
    </w:p>
    <w:p w14:paraId="5432A55F" w14:textId="77777777" w:rsidR="006E20E7" w:rsidRPr="00C03673" w:rsidRDefault="006E20E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35FF154A" w14:textId="77777777" w:rsidR="006E20E7" w:rsidRPr="00C03673" w:rsidRDefault="00CA27F1">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b/>
          <w:sz w:val="22"/>
          <w:szCs w:val="22"/>
        </w:rPr>
        <w:lastRenderedPageBreak/>
        <w:t xml:space="preserve">Cierre de instrucción. </w:t>
      </w:r>
      <w:r w:rsidRPr="00C03673">
        <w:rPr>
          <w:rFonts w:ascii="Palatino Linotype" w:eastAsia="Palatino Linotype" w:hAnsi="Palatino Linotype" w:cs="Palatino Linotype"/>
          <w:sz w:val="22"/>
          <w:szCs w:val="22"/>
        </w:rPr>
        <w:t xml:space="preserve">El </w:t>
      </w:r>
      <w:r w:rsidRPr="00C03673">
        <w:rPr>
          <w:rFonts w:ascii="Palatino Linotype" w:eastAsia="Palatino Linotype" w:hAnsi="Palatino Linotype" w:cs="Palatino Linotype"/>
          <w:b/>
          <w:sz w:val="22"/>
          <w:szCs w:val="22"/>
        </w:rPr>
        <w:t xml:space="preserve">veintiuno de noviembre de dos mil veinticuatro, </w:t>
      </w:r>
      <w:r w:rsidRPr="00C03673">
        <w:rPr>
          <w:rFonts w:ascii="Palatino Linotype" w:eastAsia="Palatino Linotype" w:hAnsi="Palatino Linotype" w:cs="Palatino Linotype"/>
          <w:sz w:val="22"/>
          <w:szCs w:val="22"/>
        </w:rPr>
        <w:t>la Comisionada Ponente determinó el cierre de instrucción en términos de la fracción VI del artículo 185 de la Ley de Transparencia y Acceso a la Información Pública del Estado de México y Municipios.</w:t>
      </w:r>
    </w:p>
    <w:p w14:paraId="15E08151" w14:textId="77777777" w:rsidR="006E20E7" w:rsidRPr="00C03673" w:rsidRDefault="006E20E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60CDB433"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En razón de que fueron debidamente sustanciados los expedientes electrónicos y no existe diligencia pendiente de desahogo, se emite la Resolución que conforme a Derecho proceda, de acuerdo con los siguientes: </w:t>
      </w:r>
    </w:p>
    <w:p w14:paraId="4E86F612"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2A9AFFCF" w14:textId="77777777" w:rsidR="006E20E7" w:rsidRPr="00C03673" w:rsidRDefault="00CA27F1">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3" w:name="_heading=h.30j0zll" w:colFirst="0" w:colLast="0"/>
      <w:bookmarkEnd w:id="3"/>
      <w:r w:rsidRPr="00C03673">
        <w:rPr>
          <w:rFonts w:ascii="Palatino Linotype" w:eastAsia="Palatino Linotype" w:hAnsi="Palatino Linotype" w:cs="Palatino Linotype"/>
          <w:b/>
          <w:sz w:val="22"/>
          <w:szCs w:val="22"/>
        </w:rPr>
        <w:t>C O N S I D E R A N D O S:</w:t>
      </w:r>
    </w:p>
    <w:p w14:paraId="175477ED" w14:textId="77777777" w:rsidR="006E20E7" w:rsidRPr="00C03673" w:rsidRDefault="006E20E7">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1E897CC4"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b/>
          <w:sz w:val="22"/>
          <w:szCs w:val="22"/>
        </w:rPr>
        <w:t xml:space="preserve">Primero. Competencia. </w:t>
      </w:r>
      <w:r w:rsidRPr="00C03673">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B84317D" w14:textId="77777777" w:rsidR="006E20E7" w:rsidRPr="00C03673" w:rsidRDefault="006E20E7">
      <w:pPr>
        <w:spacing w:line="360" w:lineRule="auto"/>
        <w:jc w:val="both"/>
        <w:rPr>
          <w:rFonts w:ascii="Palatino Linotype" w:eastAsia="Palatino Linotype" w:hAnsi="Palatino Linotype" w:cs="Palatino Linotype"/>
          <w:b/>
          <w:sz w:val="22"/>
          <w:szCs w:val="22"/>
        </w:rPr>
      </w:pPr>
    </w:p>
    <w:p w14:paraId="396B4A6C"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b/>
          <w:sz w:val="22"/>
          <w:szCs w:val="22"/>
        </w:rPr>
        <w:t>Segundo. Oportunidad y Procedibilidad del Recurso de Revisión</w:t>
      </w:r>
      <w:r w:rsidRPr="00C03673">
        <w:rPr>
          <w:rFonts w:ascii="Palatino Linotype" w:eastAsia="Palatino Linotype" w:hAnsi="Palatino Linotype" w:cs="Palatino Linotype"/>
          <w:sz w:val="22"/>
          <w:szCs w:val="22"/>
        </w:rPr>
        <w:t xml:space="preserve">. Previo al estudio del fondo del asunto, se procede a analizar los requisitos de oportunidad y procedibilidad que </w:t>
      </w:r>
      <w:r w:rsidRPr="00C03673">
        <w:rPr>
          <w:rFonts w:ascii="Palatino Linotype" w:eastAsia="Palatino Linotype" w:hAnsi="Palatino Linotype" w:cs="Palatino Linotype"/>
          <w:sz w:val="22"/>
          <w:szCs w:val="22"/>
        </w:rPr>
        <w:lastRenderedPageBreak/>
        <w:t>debe reunir el recurso de revisión interpuesto, previstos en los artículos 178 y 180 de la Ley de Transparencia y Acceso a la Información Pública del Estado de México y Municipios.</w:t>
      </w:r>
    </w:p>
    <w:p w14:paraId="6412EC0C"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44F667E5" w14:textId="77777777" w:rsidR="006E20E7" w:rsidRPr="00C03673" w:rsidRDefault="00CA27F1">
      <w:pPr>
        <w:spacing w:line="360" w:lineRule="auto"/>
        <w:ind w:right="49"/>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Los recursos de revisión fueron interpuestos dentro del plazo de quince días hábiles, previsto en el artículo 178 de la Ley de Transparencia y Acceso a la Información Pública del Estado de México y Municipios, ya que el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 xml:space="preserve"> proporcionó sus respuestas a las solicitudes de información el </w:t>
      </w:r>
      <w:r w:rsidRPr="00C03673">
        <w:rPr>
          <w:rFonts w:ascii="Palatino Linotype" w:eastAsia="Palatino Linotype" w:hAnsi="Palatino Linotype" w:cs="Palatino Linotype"/>
          <w:b/>
          <w:sz w:val="22"/>
          <w:szCs w:val="22"/>
        </w:rPr>
        <w:t>veintitrés y veinticuatro de octubre de dos mil veinticuatro</w:t>
      </w:r>
      <w:r w:rsidRPr="00C03673">
        <w:rPr>
          <w:rFonts w:ascii="Palatino Linotype" w:eastAsia="Palatino Linotype" w:hAnsi="Palatino Linotype" w:cs="Palatino Linotype"/>
          <w:sz w:val="22"/>
          <w:szCs w:val="22"/>
        </w:rPr>
        <w:t xml:space="preserve">, y la parte </w:t>
      </w:r>
      <w:r w:rsidRPr="00C03673">
        <w:rPr>
          <w:rFonts w:ascii="Palatino Linotype" w:eastAsia="Palatino Linotype" w:hAnsi="Palatino Linotype" w:cs="Palatino Linotype"/>
          <w:b/>
          <w:sz w:val="22"/>
          <w:szCs w:val="22"/>
        </w:rPr>
        <w:t>Recurrente</w:t>
      </w:r>
      <w:r w:rsidRPr="00C03673">
        <w:rPr>
          <w:rFonts w:ascii="Palatino Linotype" w:eastAsia="Palatino Linotype" w:hAnsi="Palatino Linotype" w:cs="Palatino Linotype"/>
          <w:sz w:val="22"/>
          <w:szCs w:val="22"/>
        </w:rPr>
        <w:t xml:space="preserve"> presentó sus recursos de revisión el </w:t>
      </w:r>
      <w:r w:rsidRPr="00C03673">
        <w:rPr>
          <w:rFonts w:ascii="Palatino Linotype" w:eastAsia="Palatino Linotype" w:hAnsi="Palatino Linotype" w:cs="Palatino Linotype"/>
          <w:b/>
          <w:sz w:val="22"/>
          <w:szCs w:val="22"/>
        </w:rPr>
        <w:t>veintiocho, veintinueve y treinta de octubre de dos mil veinticuatro respectivamente</w:t>
      </w:r>
      <w:r w:rsidRPr="00C03673">
        <w:rPr>
          <w:rFonts w:ascii="Palatino Linotype" w:eastAsia="Palatino Linotype" w:hAnsi="Palatino Linotype" w:cs="Palatino Linotype"/>
          <w:sz w:val="22"/>
          <w:szCs w:val="22"/>
        </w:rPr>
        <w:t>;</w:t>
      </w:r>
      <w:r w:rsidRPr="00C03673">
        <w:rPr>
          <w:rFonts w:ascii="Palatino Linotype" w:eastAsia="Palatino Linotype" w:hAnsi="Palatino Linotype" w:cs="Palatino Linotype"/>
          <w:b/>
          <w:sz w:val="22"/>
          <w:szCs w:val="22"/>
        </w:rPr>
        <w:t xml:space="preserve"> </w:t>
      </w:r>
      <w:r w:rsidRPr="00C03673">
        <w:rPr>
          <w:rFonts w:ascii="Palatino Linotype" w:eastAsia="Palatino Linotype" w:hAnsi="Palatino Linotype" w:cs="Palatino Linotype"/>
          <w:sz w:val="22"/>
          <w:szCs w:val="22"/>
        </w:rPr>
        <w:t xml:space="preserve">esto es al tercer y cuarto día hábil en que tuvo conocimiento de las respuestas. </w:t>
      </w:r>
    </w:p>
    <w:p w14:paraId="3BFC865F" w14:textId="77777777" w:rsidR="006E20E7" w:rsidRPr="00C03673" w:rsidRDefault="006E20E7">
      <w:pPr>
        <w:spacing w:line="360" w:lineRule="auto"/>
        <w:ind w:right="843"/>
        <w:jc w:val="both"/>
        <w:rPr>
          <w:rFonts w:ascii="Palatino Linotype" w:eastAsia="Palatino Linotype" w:hAnsi="Palatino Linotype" w:cs="Palatino Linotype"/>
          <w:i/>
          <w:sz w:val="22"/>
          <w:szCs w:val="22"/>
        </w:rPr>
      </w:pPr>
    </w:p>
    <w:p w14:paraId="61BBBD9B" w14:textId="77777777" w:rsidR="006E20E7" w:rsidRPr="00C03673" w:rsidRDefault="00CA27F1">
      <w:pPr>
        <w:spacing w:before="240"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Al mismo tiempo, por cuanto hace a la procedibilidad del recurso de revisión, es de suma importancia señalar que la parte recurrente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A65CE01" w14:textId="77777777" w:rsidR="006E20E7" w:rsidRPr="00C03673" w:rsidRDefault="006E20E7">
      <w:pPr>
        <w:ind w:left="567" w:right="474"/>
        <w:jc w:val="both"/>
        <w:rPr>
          <w:rFonts w:ascii="Palatino Linotype" w:eastAsia="Palatino Linotype" w:hAnsi="Palatino Linotype" w:cs="Palatino Linotype"/>
          <w:i/>
          <w:sz w:val="22"/>
          <w:szCs w:val="22"/>
        </w:rPr>
      </w:pPr>
    </w:p>
    <w:p w14:paraId="2E9CEF61"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r w:rsidRPr="00C03673">
        <w:rPr>
          <w:rFonts w:ascii="Palatino Linotype" w:eastAsia="Palatino Linotype" w:hAnsi="Palatino Linotype" w:cs="Palatino Linotype"/>
          <w:b/>
          <w:i/>
          <w:sz w:val="22"/>
          <w:szCs w:val="22"/>
        </w:rPr>
        <w:t>Las solicitudes anónimas</w:t>
      </w:r>
      <w:r w:rsidRPr="00C03673">
        <w:rPr>
          <w:rFonts w:ascii="Palatino Linotype" w:eastAsia="Palatino Linotype" w:hAnsi="Palatino Linotype" w:cs="Palatino Linotype"/>
          <w:i/>
          <w:sz w:val="22"/>
          <w:szCs w:val="22"/>
        </w:rPr>
        <w:t xml:space="preserve">, con nombre incompleto o seudónimo </w:t>
      </w:r>
      <w:r w:rsidRPr="00C03673">
        <w:rPr>
          <w:rFonts w:ascii="Palatino Linotype" w:eastAsia="Palatino Linotype" w:hAnsi="Palatino Linotype" w:cs="Palatino Linotype"/>
          <w:b/>
          <w:i/>
          <w:sz w:val="22"/>
          <w:szCs w:val="22"/>
        </w:rPr>
        <w:t>serán procedentes para su trámite por parte del sujeto obligado ante quien se presente</w:t>
      </w:r>
      <w:r w:rsidRPr="00C03673">
        <w:rPr>
          <w:rFonts w:ascii="Palatino Linotype" w:eastAsia="Palatino Linotype" w:hAnsi="Palatino Linotype" w:cs="Palatino Linotype"/>
          <w:i/>
          <w:sz w:val="22"/>
          <w:szCs w:val="22"/>
        </w:rPr>
        <w:t>. No podrá requerirse información adicional con motivo del nombre proporcionado por el solicitante."</w:t>
      </w:r>
    </w:p>
    <w:p w14:paraId="55982F2F" w14:textId="77777777" w:rsidR="006E20E7" w:rsidRPr="00C03673" w:rsidRDefault="00CA27F1">
      <w:pPr>
        <w:spacing w:before="240" w:after="240" w:line="360" w:lineRule="auto"/>
        <w:ind w:right="49"/>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4A56FAD6"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lastRenderedPageBreak/>
        <w:t>Asimismo, resulta procedente la interposición de los recursos de revisión al rubro anotado, toda vez que se actualiza las hipótesis previstas en el artículo 179, fracción IX de la ley de la materia, que a la letra dice:</w:t>
      </w:r>
    </w:p>
    <w:p w14:paraId="05E1B8A4"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3F751756" w14:textId="77777777" w:rsidR="006E20E7" w:rsidRPr="00C03673" w:rsidRDefault="00CA27F1">
      <w:pPr>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r w:rsidRPr="00C03673">
        <w:rPr>
          <w:rFonts w:ascii="Palatino Linotype" w:eastAsia="Palatino Linotype" w:hAnsi="Palatino Linotype" w:cs="Palatino Linotype"/>
          <w:b/>
          <w:i/>
          <w:sz w:val="22"/>
          <w:szCs w:val="22"/>
        </w:rPr>
        <w:t xml:space="preserve">Artículo 179. </w:t>
      </w:r>
      <w:r w:rsidRPr="00C03673">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A0D1B15" w14:textId="77777777" w:rsidR="006E20E7" w:rsidRPr="00C03673" w:rsidRDefault="00CA27F1">
      <w:pPr>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p>
    <w:p w14:paraId="33D4AA21" w14:textId="77777777" w:rsidR="006E20E7" w:rsidRPr="00C03673" w:rsidRDefault="00CA27F1">
      <w:pPr>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IX. La entrega o puesta a disposición de información en un formato incomprensible y/o no accesible para el solicitante;</w:t>
      </w:r>
    </w:p>
    <w:p w14:paraId="008F81FE" w14:textId="77777777" w:rsidR="006E20E7" w:rsidRPr="00C03673" w:rsidRDefault="00CA27F1">
      <w:pPr>
        <w:spacing w:line="360"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 </w:t>
      </w:r>
    </w:p>
    <w:p w14:paraId="1C7AA420" w14:textId="77777777" w:rsidR="006E20E7" w:rsidRPr="00C03673" w:rsidRDefault="006E20E7">
      <w:pPr>
        <w:spacing w:line="360" w:lineRule="auto"/>
        <w:ind w:left="567" w:right="616"/>
        <w:jc w:val="both"/>
        <w:rPr>
          <w:rFonts w:ascii="Palatino Linotype" w:eastAsia="Palatino Linotype" w:hAnsi="Palatino Linotype" w:cs="Palatino Linotype"/>
          <w:i/>
          <w:sz w:val="22"/>
          <w:szCs w:val="22"/>
        </w:rPr>
      </w:pPr>
    </w:p>
    <w:p w14:paraId="27F7119B"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b/>
          <w:sz w:val="22"/>
          <w:szCs w:val="22"/>
        </w:rPr>
        <w:t>Tercero. Materia de Revisión</w:t>
      </w:r>
      <w:r w:rsidRPr="00C03673">
        <w:rPr>
          <w:rFonts w:ascii="Palatino Linotype" w:eastAsia="Palatino Linotype" w:hAnsi="Palatino Linotype" w:cs="Palatino Linotype"/>
          <w:sz w:val="22"/>
          <w:szCs w:val="22"/>
        </w:rPr>
        <w:t xml:space="preserve">: De las constancias que integran los expedientes electrónicos se advierte que el tema sobre el que este Instituto se pronunciará será en determinar si se actualiza la fracción IX del artículo 179 de la Ley de Transparencia y Acceso a la Información Pública del Estado de México y Municipios.  </w:t>
      </w:r>
    </w:p>
    <w:p w14:paraId="4C6B2C34"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468BB49F"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b/>
          <w:sz w:val="22"/>
          <w:szCs w:val="22"/>
        </w:rPr>
        <w:t xml:space="preserve">Cuarto. Estudio de fondo del asunto. </w:t>
      </w:r>
      <w:r w:rsidRPr="00C03673">
        <w:rPr>
          <w:rFonts w:ascii="Palatino Linotype" w:eastAsia="Palatino Linotype" w:hAnsi="Palatino Linotype" w:cs="Palatino Linotype"/>
          <w:sz w:val="22"/>
          <w:szCs w:val="22"/>
        </w:rPr>
        <w:t>Es conveniente analizar si las respuestas del Sujeto Obligado</w:t>
      </w:r>
      <w:r w:rsidRPr="00C03673">
        <w:rPr>
          <w:rFonts w:ascii="Palatino Linotype" w:eastAsia="Palatino Linotype" w:hAnsi="Palatino Linotype" w:cs="Palatino Linotype"/>
          <w:b/>
          <w:sz w:val="22"/>
          <w:szCs w:val="22"/>
        </w:rPr>
        <w:t xml:space="preserve"> </w:t>
      </w:r>
      <w:r w:rsidRPr="00C03673">
        <w:rPr>
          <w:rFonts w:ascii="Palatino Linotype" w:eastAsia="Palatino Linotype" w:hAnsi="Palatino Linotype" w:cs="Palatino Linotype"/>
          <w:sz w:val="22"/>
          <w:szCs w:val="22"/>
        </w:rPr>
        <w:t>cumplen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89D254E" w14:textId="77777777" w:rsidR="006E20E7" w:rsidRPr="00C03673" w:rsidRDefault="006E20E7">
      <w:pPr>
        <w:spacing w:line="360" w:lineRule="auto"/>
        <w:ind w:left="709" w:right="616"/>
        <w:jc w:val="both"/>
        <w:rPr>
          <w:rFonts w:ascii="Palatino Linotype" w:eastAsia="Palatino Linotype" w:hAnsi="Palatino Linotype" w:cs="Palatino Linotype"/>
          <w:sz w:val="22"/>
          <w:szCs w:val="22"/>
        </w:rPr>
      </w:pPr>
    </w:p>
    <w:p w14:paraId="3FAD109B" w14:textId="77777777" w:rsidR="006E20E7" w:rsidRPr="00C03673" w:rsidRDefault="00CA27F1">
      <w:pPr>
        <w:tabs>
          <w:tab w:val="left" w:pos="851"/>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lastRenderedPageBreak/>
        <w:t>“</w:t>
      </w:r>
      <w:r w:rsidRPr="00C03673">
        <w:rPr>
          <w:rFonts w:ascii="Palatino Linotype" w:eastAsia="Palatino Linotype" w:hAnsi="Palatino Linotype" w:cs="Palatino Linotype"/>
          <w:b/>
          <w:i/>
          <w:sz w:val="22"/>
          <w:szCs w:val="22"/>
        </w:rPr>
        <w:t>Artículo 4</w:t>
      </w:r>
      <w:r w:rsidRPr="00C0367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D62DA1B" w14:textId="77777777" w:rsidR="006E20E7" w:rsidRPr="00C03673" w:rsidRDefault="00CA27F1">
      <w:pPr>
        <w:tabs>
          <w:tab w:val="left" w:pos="851"/>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0367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45628CF" w14:textId="77777777" w:rsidR="006E20E7" w:rsidRPr="00C03673" w:rsidRDefault="00CA27F1">
      <w:pPr>
        <w:tabs>
          <w:tab w:val="left" w:pos="851"/>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C03673">
        <w:rPr>
          <w:rFonts w:ascii="Palatino Linotype" w:eastAsia="Palatino Linotype" w:hAnsi="Palatino Linotype" w:cs="Palatino Linotype"/>
          <w:i/>
          <w:sz w:val="22"/>
          <w:szCs w:val="22"/>
        </w:rPr>
        <w:t>.”(Sic)</w:t>
      </w:r>
    </w:p>
    <w:p w14:paraId="78684F5C"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54B9652C"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76B206C" w14:textId="77777777" w:rsidR="006E20E7" w:rsidRPr="00C03673" w:rsidRDefault="006E20E7">
      <w:pPr>
        <w:spacing w:line="276" w:lineRule="auto"/>
        <w:ind w:left="567" w:right="616"/>
        <w:jc w:val="both"/>
        <w:rPr>
          <w:rFonts w:ascii="Palatino Linotype" w:eastAsia="Palatino Linotype" w:hAnsi="Palatino Linotype" w:cs="Palatino Linotype"/>
          <w:sz w:val="22"/>
          <w:szCs w:val="22"/>
        </w:rPr>
      </w:pPr>
    </w:p>
    <w:p w14:paraId="13C7CE77" w14:textId="77777777" w:rsidR="006E20E7" w:rsidRPr="00C03673" w:rsidRDefault="00CA27F1">
      <w:pPr>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r w:rsidRPr="00C03673">
        <w:rPr>
          <w:rFonts w:ascii="Palatino Linotype" w:eastAsia="Palatino Linotype" w:hAnsi="Palatino Linotype" w:cs="Palatino Linotype"/>
          <w:b/>
          <w:i/>
          <w:sz w:val="22"/>
          <w:szCs w:val="22"/>
        </w:rPr>
        <w:t>Artículo 12.-</w:t>
      </w:r>
      <w:r w:rsidRPr="00C0367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3486F0A" w14:textId="77777777" w:rsidR="006E20E7" w:rsidRPr="00C03673" w:rsidRDefault="006E20E7">
      <w:pPr>
        <w:spacing w:line="276" w:lineRule="auto"/>
        <w:ind w:left="851" w:right="616"/>
        <w:jc w:val="both"/>
        <w:rPr>
          <w:rFonts w:ascii="Palatino Linotype" w:eastAsia="Palatino Linotype" w:hAnsi="Palatino Linotype" w:cs="Palatino Linotype"/>
          <w:i/>
          <w:sz w:val="22"/>
          <w:szCs w:val="22"/>
        </w:rPr>
      </w:pPr>
    </w:p>
    <w:p w14:paraId="3CD8BB3C" w14:textId="77777777" w:rsidR="006E20E7" w:rsidRPr="00C03673" w:rsidRDefault="00CA27F1">
      <w:pPr>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b/>
          <w:i/>
          <w:sz w:val="22"/>
          <w:szCs w:val="22"/>
        </w:rPr>
        <w:t xml:space="preserve">La obligación de proporcionar información no comprende el procesamiento </w:t>
      </w:r>
      <w:r w:rsidRPr="00C03673">
        <w:rPr>
          <w:rFonts w:ascii="Palatino Linotype" w:eastAsia="Palatino Linotype" w:hAnsi="Palatino Linotype" w:cs="Palatino Linotype"/>
          <w:b/>
          <w:i/>
          <w:sz w:val="22"/>
          <w:szCs w:val="22"/>
        </w:rPr>
        <w:lastRenderedPageBreak/>
        <w:t>de la misma, ni el presentarla conforme al interés del solicitante; no estarán obligados a generarla, resumirla, efectuar cálculos o practicar investigaciones</w:t>
      </w:r>
      <w:r w:rsidRPr="00C03673">
        <w:rPr>
          <w:rFonts w:ascii="Palatino Linotype" w:eastAsia="Palatino Linotype" w:hAnsi="Palatino Linotype" w:cs="Palatino Linotype"/>
          <w:i/>
          <w:sz w:val="22"/>
          <w:szCs w:val="22"/>
        </w:rPr>
        <w:t xml:space="preserve">.” </w:t>
      </w:r>
    </w:p>
    <w:p w14:paraId="6193B626" w14:textId="77777777" w:rsidR="006E20E7" w:rsidRPr="00C03673" w:rsidRDefault="006E20E7">
      <w:pPr>
        <w:spacing w:line="360" w:lineRule="auto"/>
        <w:ind w:right="-93"/>
        <w:jc w:val="both"/>
        <w:rPr>
          <w:rFonts w:ascii="Palatino Linotype" w:eastAsia="Palatino Linotype" w:hAnsi="Palatino Linotype" w:cs="Palatino Linotype"/>
          <w:sz w:val="22"/>
          <w:szCs w:val="22"/>
        </w:rPr>
      </w:pPr>
    </w:p>
    <w:p w14:paraId="7ABFC956" w14:textId="77777777" w:rsidR="006E20E7" w:rsidRPr="00C03673" w:rsidRDefault="00CA27F1">
      <w:pPr>
        <w:spacing w:line="360" w:lineRule="auto"/>
        <w:ind w:right="-93"/>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2A9BD9E9" w14:textId="77777777" w:rsidR="006E20E7" w:rsidRPr="00C03673" w:rsidRDefault="006E20E7">
      <w:pPr>
        <w:spacing w:line="360" w:lineRule="auto"/>
        <w:ind w:right="-93"/>
        <w:jc w:val="both"/>
        <w:rPr>
          <w:rFonts w:ascii="Palatino Linotype" w:eastAsia="Palatino Linotype" w:hAnsi="Palatino Linotype" w:cs="Palatino Linotype"/>
          <w:sz w:val="22"/>
          <w:szCs w:val="22"/>
        </w:rPr>
      </w:pPr>
    </w:p>
    <w:p w14:paraId="38038840" w14:textId="77777777" w:rsidR="006E20E7" w:rsidRPr="00C03673" w:rsidRDefault="00CA27F1">
      <w:pPr>
        <w:spacing w:line="360" w:lineRule="auto"/>
        <w:jc w:val="both"/>
        <w:rPr>
          <w:rFonts w:ascii="Palatino Linotype" w:eastAsia="Palatino Linotype" w:hAnsi="Palatino Linotype" w:cs="Palatino Linotype"/>
          <w:b/>
          <w:sz w:val="22"/>
          <w:szCs w:val="22"/>
        </w:rPr>
      </w:pPr>
      <w:r w:rsidRPr="00C03673">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C03673">
        <w:rPr>
          <w:rFonts w:ascii="Palatino Linotype" w:eastAsia="Palatino Linotype" w:hAnsi="Palatino Linotype" w:cs="Palatino Linotype"/>
          <w:b/>
          <w:sz w:val="22"/>
          <w:szCs w:val="22"/>
        </w:rPr>
        <w:t xml:space="preserve"> </w:t>
      </w:r>
    </w:p>
    <w:p w14:paraId="7A8ED976" w14:textId="77777777" w:rsidR="006E20E7" w:rsidRPr="00C03673" w:rsidRDefault="006E20E7">
      <w:pPr>
        <w:spacing w:line="276" w:lineRule="auto"/>
        <w:ind w:left="851" w:right="850"/>
        <w:jc w:val="both"/>
        <w:rPr>
          <w:rFonts w:ascii="Palatino Linotype" w:eastAsia="Palatino Linotype" w:hAnsi="Palatino Linotype" w:cs="Palatino Linotype"/>
          <w:sz w:val="22"/>
          <w:szCs w:val="22"/>
        </w:rPr>
      </w:pPr>
    </w:p>
    <w:p w14:paraId="55397861" w14:textId="77777777" w:rsidR="006E20E7" w:rsidRPr="00C03673" w:rsidRDefault="00CA27F1">
      <w:pPr>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r w:rsidRPr="00C03673">
        <w:rPr>
          <w:rFonts w:ascii="Palatino Linotype" w:eastAsia="Palatino Linotype" w:hAnsi="Palatino Linotype" w:cs="Palatino Linotype"/>
          <w:b/>
          <w:i/>
          <w:sz w:val="22"/>
          <w:szCs w:val="22"/>
        </w:rPr>
        <w:t>No existe obligación de elaborar documentos ad hoc para atender las solicitudes de acceso a la información.</w:t>
      </w:r>
      <w:r w:rsidRPr="00C03673">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8CC0C77" w14:textId="77777777" w:rsidR="006E20E7" w:rsidRPr="00C03673" w:rsidRDefault="006E20E7">
      <w:pPr>
        <w:spacing w:line="276" w:lineRule="auto"/>
        <w:ind w:left="567" w:right="616"/>
        <w:jc w:val="both"/>
        <w:rPr>
          <w:rFonts w:ascii="Palatino Linotype" w:eastAsia="Palatino Linotype" w:hAnsi="Palatino Linotype" w:cs="Palatino Linotype"/>
          <w:i/>
          <w:sz w:val="22"/>
          <w:szCs w:val="22"/>
        </w:rPr>
      </w:pPr>
    </w:p>
    <w:p w14:paraId="6706E1EF"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En esa tesitura, el artículo 24 en su último párrafo de la Ley de la Materia, dispone que los Sujetos Obligados sólo proporcionarán la información pública que generen, administren o </w:t>
      </w:r>
      <w:r w:rsidRPr="00C03673">
        <w:rPr>
          <w:rFonts w:ascii="Palatino Linotype" w:eastAsia="Palatino Linotype" w:hAnsi="Palatino Linotype" w:cs="Palatino Linotype"/>
          <w:sz w:val="22"/>
          <w:szCs w:val="22"/>
        </w:rPr>
        <w:lastRenderedPageBreak/>
        <w:t>posean en el ejercicio de sus atribuciones; por consiguiente, la información pública se encuentra a disposición de cualquier persona, lo que implica que es deber de los Sujetos Obligados, garantizar el Derecho de Acceso a la Información Pública.</w:t>
      </w:r>
    </w:p>
    <w:p w14:paraId="0E166A37"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0CF57209"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F2483A2"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76DAB8D0" w14:textId="77777777" w:rsidR="006E20E7" w:rsidRPr="00C03673" w:rsidRDefault="00CA27F1">
      <w:pPr>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r w:rsidRPr="00C03673">
        <w:rPr>
          <w:rFonts w:ascii="Palatino Linotype" w:eastAsia="Palatino Linotype" w:hAnsi="Palatino Linotype" w:cs="Palatino Linotype"/>
          <w:b/>
          <w:i/>
          <w:sz w:val="22"/>
          <w:szCs w:val="22"/>
        </w:rPr>
        <w:t xml:space="preserve">Artículo 3. </w:t>
      </w:r>
      <w:r w:rsidRPr="00C03673">
        <w:rPr>
          <w:rFonts w:ascii="Palatino Linotype" w:eastAsia="Palatino Linotype" w:hAnsi="Palatino Linotype" w:cs="Palatino Linotype"/>
          <w:i/>
          <w:sz w:val="22"/>
          <w:szCs w:val="22"/>
        </w:rPr>
        <w:t>Para los efectos de la presente Ley se entenderá por:</w:t>
      </w:r>
    </w:p>
    <w:p w14:paraId="3FF0F108" w14:textId="77777777" w:rsidR="006E20E7" w:rsidRPr="00C03673" w:rsidRDefault="00CA27F1">
      <w:pPr>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p>
    <w:p w14:paraId="195BA849" w14:textId="77777777" w:rsidR="006E20E7" w:rsidRPr="00C03673" w:rsidRDefault="00CA27F1">
      <w:pPr>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XI. Documento:</w:t>
      </w:r>
      <w:r w:rsidRPr="00C03673">
        <w:rPr>
          <w:rFonts w:ascii="Palatino Linotype" w:eastAsia="Palatino Linotype" w:hAnsi="Palatino Linotype" w:cs="Palatino Linotype"/>
          <w:i/>
          <w:sz w:val="22"/>
          <w:szCs w:val="22"/>
        </w:rPr>
        <w:t xml:space="preserve"> Los expedientes, reportes, estudios, actas</w:t>
      </w:r>
      <w:r w:rsidRPr="00C03673">
        <w:rPr>
          <w:rFonts w:ascii="Palatino Linotype" w:eastAsia="Palatino Linotype" w:hAnsi="Palatino Linotype" w:cs="Palatino Linotype"/>
          <w:b/>
          <w:i/>
          <w:sz w:val="22"/>
          <w:szCs w:val="22"/>
        </w:rPr>
        <w:t>,</w:t>
      </w:r>
      <w:r w:rsidRPr="00C0367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C53ACF8" w14:textId="77777777" w:rsidR="006E20E7" w:rsidRPr="00C03673" w:rsidRDefault="006E20E7">
      <w:pPr>
        <w:spacing w:line="360" w:lineRule="auto"/>
        <w:ind w:left="851" w:right="899"/>
        <w:jc w:val="both"/>
        <w:rPr>
          <w:rFonts w:ascii="Palatino Linotype" w:eastAsia="Palatino Linotype" w:hAnsi="Palatino Linotype" w:cs="Palatino Linotype"/>
          <w:sz w:val="22"/>
          <w:szCs w:val="22"/>
        </w:rPr>
      </w:pPr>
    </w:p>
    <w:p w14:paraId="611F85A0"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w:t>
      </w:r>
      <w:r w:rsidRPr="00C03673">
        <w:rPr>
          <w:rFonts w:ascii="Palatino Linotype" w:eastAsia="Palatino Linotype" w:hAnsi="Palatino Linotype" w:cs="Palatino Linotype"/>
          <w:sz w:val="22"/>
          <w:szCs w:val="22"/>
        </w:rPr>
        <w:lastRenderedPageBreak/>
        <w:t>del Estado Libre y Soberano de México “Gaceta del Gobierno”, el diecinueve de octubre de dos mil once, cuyo rubro y texto refieren lo siguiente:</w:t>
      </w:r>
    </w:p>
    <w:p w14:paraId="11563BBF" w14:textId="77777777" w:rsidR="006E20E7" w:rsidRPr="00C03673" w:rsidRDefault="006E20E7">
      <w:pPr>
        <w:spacing w:line="360" w:lineRule="auto"/>
        <w:ind w:left="851" w:right="899"/>
        <w:jc w:val="both"/>
        <w:rPr>
          <w:rFonts w:ascii="Palatino Linotype" w:eastAsia="Palatino Linotype" w:hAnsi="Palatino Linotype" w:cs="Palatino Linotype"/>
          <w:sz w:val="22"/>
          <w:szCs w:val="22"/>
        </w:rPr>
      </w:pPr>
    </w:p>
    <w:p w14:paraId="343EC217" w14:textId="77777777" w:rsidR="006E20E7" w:rsidRPr="00C03673" w:rsidRDefault="00CA27F1">
      <w:pPr>
        <w:spacing w:line="276" w:lineRule="auto"/>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sz w:val="22"/>
          <w:szCs w:val="22"/>
        </w:rPr>
        <w:t>“</w:t>
      </w:r>
      <w:r w:rsidRPr="00C03673">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C0367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6A8AC91" w14:textId="77777777" w:rsidR="006E20E7" w:rsidRPr="00C03673" w:rsidRDefault="00CA27F1">
      <w:pPr>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FF12A10" w14:textId="77777777" w:rsidR="006E20E7" w:rsidRPr="00C03673" w:rsidRDefault="00CA27F1">
      <w:pPr>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11E79D87" w14:textId="77777777" w:rsidR="006E20E7" w:rsidRPr="00C03673" w:rsidRDefault="00CA27F1">
      <w:pPr>
        <w:spacing w:line="276" w:lineRule="auto"/>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7D93054D" w14:textId="77777777" w:rsidR="006E20E7" w:rsidRPr="00C03673" w:rsidRDefault="00CA27F1">
      <w:pPr>
        <w:spacing w:line="276" w:lineRule="auto"/>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0C3F6332"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76CD3154" w14:textId="77777777" w:rsidR="006E20E7" w:rsidRPr="00C03673" w:rsidRDefault="00CA27F1">
      <w:pPr>
        <w:spacing w:line="360" w:lineRule="auto"/>
        <w:ind w:right="49"/>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w:t>
      </w:r>
      <w:r w:rsidRPr="00C03673">
        <w:rPr>
          <w:rFonts w:ascii="Palatino Linotype" w:eastAsia="Palatino Linotype" w:hAnsi="Palatino Linotype" w:cs="Palatino Linotype"/>
          <w:sz w:val="22"/>
          <w:szCs w:val="22"/>
        </w:rPr>
        <w:lastRenderedPageBreak/>
        <w:t>establece en la Ley de Transparencia y Acceso a la Información Pública del Estado de México y Municipios.</w:t>
      </w:r>
    </w:p>
    <w:p w14:paraId="38EA5E40"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122E851C"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1DB53E11" w14:textId="77777777" w:rsidR="006E20E7" w:rsidRPr="00C03673" w:rsidRDefault="00CA27F1">
      <w:pPr>
        <w:spacing w:before="240" w:after="240" w:line="360" w:lineRule="auto"/>
        <w:ind w:right="51"/>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Ahora bien, del análisis de las solicitudes de información, motivo de los recursos de revisión que ahora se resuelven, se advierte que la parte </w:t>
      </w:r>
      <w:r w:rsidRPr="00C03673">
        <w:rPr>
          <w:rFonts w:ascii="Palatino Linotype" w:eastAsia="Palatino Linotype" w:hAnsi="Palatino Linotype" w:cs="Palatino Linotype"/>
          <w:b/>
          <w:sz w:val="22"/>
          <w:szCs w:val="22"/>
        </w:rPr>
        <w:t>Recurrente</w:t>
      </w:r>
      <w:r w:rsidRPr="00C03673">
        <w:rPr>
          <w:rFonts w:ascii="Palatino Linotype" w:eastAsia="Palatino Linotype" w:hAnsi="Palatino Linotype" w:cs="Palatino Linotype"/>
          <w:sz w:val="22"/>
          <w:szCs w:val="22"/>
        </w:rPr>
        <w:t xml:space="preserve"> requirió al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 la siguiente información:</w:t>
      </w:r>
    </w:p>
    <w:p w14:paraId="4D1AE32C"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1B89F663" w14:textId="77777777" w:rsidR="006E20E7" w:rsidRPr="00C03673" w:rsidRDefault="00CA27F1">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t xml:space="preserve">Organigrama Municipal, con nombre y cargo de los diversos directores municipales. </w:t>
      </w:r>
    </w:p>
    <w:p w14:paraId="16BE00EB" w14:textId="77777777" w:rsidR="006E20E7" w:rsidRPr="00C03673" w:rsidRDefault="00CA27F1">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t xml:space="preserve">Expediente de cada uno de los servidores públicos que deben contar con certificación de competencia laborales obligatoria. </w:t>
      </w:r>
    </w:p>
    <w:p w14:paraId="1235FFC1"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3CA1546C" w14:textId="77777777" w:rsidR="006E20E7" w:rsidRPr="00C03673" w:rsidRDefault="00CA27F1">
      <w:pPr>
        <w:spacing w:line="360" w:lineRule="auto"/>
        <w:ind w:right="49"/>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lastRenderedPageBreak/>
        <w:t xml:space="preserve">En respuesta el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 xml:space="preserve"> a través del Director de Administración informó que la información podía ser consultada en las siguientes ligas electrónicas: </w:t>
      </w:r>
    </w:p>
    <w:p w14:paraId="14308DC0" w14:textId="77777777" w:rsidR="006E20E7" w:rsidRPr="00C03673" w:rsidRDefault="006E20E7">
      <w:pPr>
        <w:spacing w:line="360" w:lineRule="auto"/>
        <w:ind w:right="49"/>
        <w:jc w:val="both"/>
        <w:rPr>
          <w:rFonts w:ascii="Palatino Linotype" w:eastAsia="Palatino Linotype" w:hAnsi="Palatino Linotype" w:cs="Palatino Linotype"/>
          <w:sz w:val="22"/>
          <w:szCs w:val="22"/>
        </w:rPr>
      </w:pPr>
    </w:p>
    <w:p w14:paraId="25BAC26A" w14:textId="77777777" w:rsidR="006E20E7" w:rsidRPr="00C03673" w:rsidRDefault="00CA27F1">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t xml:space="preserve">Organigrama lo puede checar en el siguiente link: </w:t>
      </w:r>
    </w:p>
    <w:p w14:paraId="08C110D0" w14:textId="77777777" w:rsidR="006E20E7" w:rsidRPr="00C03673" w:rsidRDefault="005F5584">
      <w:pPr>
        <w:numPr>
          <w:ilvl w:val="0"/>
          <w:numId w:val="7"/>
        </w:numPr>
        <w:pBdr>
          <w:top w:val="nil"/>
          <w:left w:val="nil"/>
          <w:bottom w:val="nil"/>
          <w:right w:val="nil"/>
          <w:between w:val="nil"/>
        </w:pBdr>
        <w:spacing w:line="360" w:lineRule="auto"/>
        <w:ind w:left="993" w:right="616"/>
        <w:jc w:val="both"/>
        <w:rPr>
          <w:rFonts w:ascii="Palatino Linotype" w:eastAsia="Palatino Linotype" w:hAnsi="Palatino Linotype" w:cs="Palatino Linotype"/>
          <w:sz w:val="22"/>
          <w:szCs w:val="22"/>
        </w:rPr>
      </w:pPr>
      <w:hyperlink r:id="rId18">
        <w:r w:rsidR="00CA27F1" w:rsidRPr="00C03673">
          <w:rPr>
            <w:rFonts w:ascii="Palatino Linotype" w:eastAsia="Palatino Linotype" w:hAnsi="Palatino Linotype" w:cs="Palatino Linotype"/>
            <w:sz w:val="22"/>
            <w:szCs w:val="22"/>
            <w:u w:val="single"/>
          </w:rPr>
          <w:t>https://ipomex.org.mx/ipo3/lgt/índice/TEMAMATLA/art_92_viii/5.web?token=03AFcWeA5y97XOmPtUnKi7EsalqsHRmfNEwja7lKdcpOZuC4f3H3kb6zYhseed2sQnPJ4eFBH6KQHSCz0VbV4KUUQbGhW5ShxWabnHzxdDdKYfngeE5YFj1c-1o8dVVPxVPk248JWOr3J_umSS4t-z_TwowpX9FBpVqDKpLH7k1bHtAHRFjXd1LS7VEc82WNYjzZDkhzRf5BTjmU6FMD9ElZQGHSZN_Y96C2BGBpDHLMu9UZ-QRyuAFEuktQGwsaM60sKid9C7ltyVTwSroPxE3q_Y94Enhl8SpSe87LZ0cldUk3qrF3DRxEg-3s6lhNswiFqHp7MsuUXh8oeBC01nTStr-VN5QFLL1ULMUT4FX7PQMCQRBSR7VZGQILPLT2kY3DbAlvl5g4QzHj4EDHbdwVcAsGQpxVnheCXhDGzYl_zaoLrRVjFYMFxx8kPsHtppmE_uRVSy1Or-sJIWZDHYtbwhB5FmOXUVGA4310KQYmzLU2ExkRruvbPl8C9FaaBFx0CEq7D2MyRQN5r6Jj1a7g5GEiQSDwrGcO72x-LeoNEpKW1Hvt-5TgrvYHo_mUmcRwPEPNZr5cd6XFkjCz_-lW-YAGDdNccQSDYpTxli19Qy6amG0QP3m-PuJg8DlYCPPFdTaKQVlvGEFBtq10WiB_DDNAc9KQzPuCjqsFgR-5h0Epz9lhDtzj0lgaY_St3Uslto0ZwfUWai_RrYCD-P5jMzo_eXjeQPryGQN6an1bmr7mbsoEmq0e0</w:t>
        </w:r>
      </w:hyperlink>
      <w:r w:rsidR="00CA27F1" w:rsidRPr="00C03673">
        <w:rPr>
          <w:rFonts w:ascii="Palatino Linotype" w:eastAsia="Palatino Linotype" w:hAnsi="Palatino Linotype" w:cs="Palatino Linotype"/>
          <w:sz w:val="22"/>
          <w:szCs w:val="22"/>
        </w:rPr>
        <w:t xml:space="preserve"> </w:t>
      </w:r>
    </w:p>
    <w:p w14:paraId="71AEA6CB" w14:textId="77777777" w:rsidR="006E20E7" w:rsidRPr="00C03673" w:rsidRDefault="005F5584">
      <w:pPr>
        <w:numPr>
          <w:ilvl w:val="0"/>
          <w:numId w:val="7"/>
        </w:numPr>
        <w:pBdr>
          <w:top w:val="nil"/>
          <w:left w:val="nil"/>
          <w:bottom w:val="nil"/>
          <w:right w:val="nil"/>
          <w:between w:val="nil"/>
        </w:pBdr>
        <w:spacing w:line="360" w:lineRule="auto"/>
        <w:ind w:left="993" w:right="49"/>
        <w:jc w:val="both"/>
        <w:rPr>
          <w:rFonts w:ascii="Palatino Linotype" w:eastAsia="Palatino Linotype" w:hAnsi="Palatino Linotype" w:cs="Palatino Linotype"/>
          <w:sz w:val="22"/>
          <w:szCs w:val="22"/>
        </w:rPr>
      </w:pPr>
      <w:hyperlink r:id="rId19">
        <w:r w:rsidR="00CA27F1" w:rsidRPr="00C03673">
          <w:rPr>
            <w:rFonts w:ascii="Palatino Linotype" w:eastAsia="Palatino Linotype" w:hAnsi="Palatino Linotype" w:cs="Palatino Linotype"/>
            <w:sz w:val="22"/>
            <w:szCs w:val="22"/>
            <w:u w:val="single"/>
          </w:rPr>
          <w:t>https://drive.google.com/file/d/1-0HWfQG1hghGVXmWd7RhpYut_xYLU4Cz/view</w:t>
        </w:r>
      </w:hyperlink>
      <w:r w:rsidR="00CA27F1" w:rsidRPr="00C03673">
        <w:rPr>
          <w:rFonts w:ascii="Palatino Linotype" w:eastAsia="Palatino Linotype" w:hAnsi="Palatino Linotype" w:cs="Palatino Linotype"/>
          <w:sz w:val="22"/>
          <w:szCs w:val="22"/>
        </w:rPr>
        <w:t xml:space="preserve"> </w:t>
      </w:r>
    </w:p>
    <w:p w14:paraId="5441B288" w14:textId="77777777" w:rsidR="006E20E7" w:rsidRPr="00C03673" w:rsidRDefault="006E20E7">
      <w:pPr>
        <w:spacing w:line="360" w:lineRule="auto"/>
        <w:ind w:right="49"/>
        <w:jc w:val="both"/>
        <w:rPr>
          <w:rFonts w:ascii="Palatino Linotype" w:eastAsia="Palatino Linotype" w:hAnsi="Palatino Linotype" w:cs="Palatino Linotype"/>
          <w:sz w:val="22"/>
          <w:szCs w:val="22"/>
        </w:rPr>
      </w:pPr>
    </w:p>
    <w:p w14:paraId="776ADDC0" w14:textId="77777777" w:rsidR="006E20E7" w:rsidRPr="00C03673" w:rsidRDefault="00CA27F1">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lastRenderedPageBreak/>
        <w:t xml:space="preserve">Con referencia a los expedientes de los directores municipales puede checar en el siguiente link: </w:t>
      </w:r>
    </w:p>
    <w:p w14:paraId="59CA007D" w14:textId="77777777" w:rsidR="006E20E7" w:rsidRPr="00C03673" w:rsidRDefault="005F5584">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hyperlink r:id="rId20">
        <w:r w:rsidR="00CA27F1" w:rsidRPr="00C03673">
          <w:rPr>
            <w:rFonts w:ascii="Palatino Linotype" w:eastAsia="Palatino Linotype" w:hAnsi="Palatino Linotype" w:cs="Palatino Linotype"/>
            <w:sz w:val="22"/>
            <w:szCs w:val="22"/>
            <w:u w:val="single"/>
          </w:rPr>
          <w:t>https://drive.google.com/drive/folders/1f104HLEV8UnXw0G4AJX7HwaUxUk55ZE-?usp=sharing</w:t>
        </w:r>
      </w:hyperlink>
      <w:r w:rsidR="00CA27F1" w:rsidRPr="00C03673">
        <w:rPr>
          <w:rFonts w:ascii="Palatino Linotype" w:eastAsia="Palatino Linotype" w:hAnsi="Palatino Linotype" w:cs="Palatino Linotype"/>
          <w:sz w:val="22"/>
          <w:szCs w:val="22"/>
        </w:rPr>
        <w:t xml:space="preserve"> </w:t>
      </w:r>
    </w:p>
    <w:p w14:paraId="3581B16C" w14:textId="77777777" w:rsidR="006E20E7" w:rsidRPr="00C03673" w:rsidRDefault="006E20E7">
      <w:pPr>
        <w:spacing w:line="360" w:lineRule="auto"/>
        <w:ind w:right="49"/>
        <w:jc w:val="both"/>
        <w:rPr>
          <w:rFonts w:ascii="Palatino Linotype" w:eastAsia="Palatino Linotype" w:hAnsi="Palatino Linotype" w:cs="Palatino Linotype"/>
          <w:sz w:val="22"/>
          <w:szCs w:val="22"/>
        </w:rPr>
      </w:pPr>
    </w:p>
    <w:p w14:paraId="4B80594C" w14:textId="77777777" w:rsidR="006E20E7" w:rsidRPr="00C03673" w:rsidRDefault="00CA27F1">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t xml:space="preserve">Perfil de los servidores públicos: </w:t>
      </w:r>
    </w:p>
    <w:p w14:paraId="15EE8304" w14:textId="77777777" w:rsidR="006E20E7" w:rsidRPr="00C03673" w:rsidRDefault="00CA27F1">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AYUNTAMIENTO_DE_TEMAMATLA-Perfil_de_los_puestos_de_los_servidores_publicos (ipomex.org.mx) </w:t>
      </w:r>
    </w:p>
    <w:p w14:paraId="7A24F216" w14:textId="77777777" w:rsidR="006E20E7" w:rsidRPr="00C03673" w:rsidRDefault="00CA27F1">
      <w:pPr>
        <w:spacing w:before="240" w:after="240" w:line="360" w:lineRule="auto"/>
        <w:ind w:right="49"/>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Derivado de ello, la parte solicitante, interpuso los recursos de revisión que se analizan en el presente asunto, por medio de los cuales se inconformó de los links que le fueron proporcionados, toda vez que, al ser consultados marca error y resulta imposible el acceso a la información, adjuntando con ello capturas de pantalla, como muestra de su dicho. </w:t>
      </w:r>
    </w:p>
    <w:p w14:paraId="76683AB0" w14:textId="77777777" w:rsidR="006E20E7" w:rsidRPr="00C03673" w:rsidRDefault="00CA27F1">
      <w:pPr>
        <w:spacing w:line="360" w:lineRule="auto"/>
        <w:ind w:right="49"/>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De este modo, </w:t>
      </w:r>
      <w:r w:rsidRPr="00C03673">
        <w:rPr>
          <w:rFonts w:ascii="Palatino Linotype" w:eastAsia="Palatino Linotype" w:hAnsi="Palatino Linotype" w:cs="Palatino Linotype"/>
          <w:b/>
          <w:sz w:val="22"/>
          <w:szCs w:val="22"/>
        </w:rPr>
        <w:t>el Sujeto Obligado</w:t>
      </w:r>
      <w:r w:rsidRPr="00C03673">
        <w:rPr>
          <w:rFonts w:ascii="Palatino Linotype" w:eastAsia="Palatino Linotype" w:hAnsi="Palatino Linotype" w:cs="Palatino Linotype"/>
          <w:sz w:val="22"/>
          <w:szCs w:val="22"/>
        </w:rPr>
        <w:t xml:space="preserve">, fue omiso en rendir Informes Justificados; mientras que el </w:t>
      </w:r>
      <w:r w:rsidRPr="00C03673">
        <w:rPr>
          <w:rFonts w:ascii="Palatino Linotype" w:eastAsia="Palatino Linotype" w:hAnsi="Palatino Linotype" w:cs="Palatino Linotype"/>
          <w:b/>
          <w:sz w:val="22"/>
          <w:szCs w:val="22"/>
        </w:rPr>
        <w:t>Recurrente</w:t>
      </w:r>
      <w:r w:rsidRPr="00C03673">
        <w:rPr>
          <w:rFonts w:ascii="Palatino Linotype" w:eastAsia="Palatino Linotype" w:hAnsi="Palatino Linotype" w:cs="Palatino Linotype"/>
          <w:sz w:val="22"/>
          <w:szCs w:val="22"/>
        </w:rPr>
        <w:t xml:space="preserve"> no realizó manifestaciones, alegatos o pruebas que a su derecho convinieran. </w:t>
      </w:r>
    </w:p>
    <w:p w14:paraId="17A06627" w14:textId="77777777" w:rsidR="006E20E7" w:rsidRPr="00C03673" w:rsidRDefault="00CA27F1">
      <w:pPr>
        <w:spacing w:before="240" w:after="240"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Expuestas las posturas de las partes, se procede a analizar la naturaleza de la información peticionada, con la finalidad de advertir si el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 xml:space="preserve"> cuenta con atribuciones para genera, posee o administrar la información, y en su caso ordenar su entrega. </w:t>
      </w:r>
    </w:p>
    <w:p w14:paraId="7F7BB583" w14:textId="77777777" w:rsidR="006E20E7" w:rsidRPr="00C03673" w:rsidRDefault="00CA27F1">
      <w:pPr>
        <w:spacing w:before="240" w:after="240" w:line="360" w:lineRule="auto"/>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sz w:val="22"/>
          <w:szCs w:val="22"/>
        </w:rPr>
        <w:t>•</w:t>
      </w:r>
      <w:r w:rsidRPr="00C03673">
        <w:rPr>
          <w:rFonts w:ascii="Palatino Linotype" w:eastAsia="Palatino Linotype" w:hAnsi="Palatino Linotype" w:cs="Palatino Linotype"/>
          <w:sz w:val="22"/>
          <w:szCs w:val="22"/>
        </w:rPr>
        <w:tab/>
      </w:r>
      <w:r w:rsidRPr="00C03673">
        <w:rPr>
          <w:rFonts w:ascii="Palatino Linotype" w:eastAsia="Palatino Linotype" w:hAnsi="Palatino Linotype" w:cs="Palatino Linotype"/>
          <w:b/>
          <w:sz w:val="22"/>
          <w:szCs w:val="22"/>
        </w:rPr>
        <w:t>Organigrama Municipal, con nombre y cargo de los diversos directores municipales.</w:t>
      </w:r>
    </w:p>
    <w:p w14:paraId="47EF7081" w14:textId="77777777" w:rsidR="006E20E7" w:rsidRPr="00C03673" w:rsidRDefault="00CA27F1">
      <w:pPr>
        <w:spacing w:before="240" w:after="240"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Referente a este punto, conviene precisar que, respecto al Organigrama Municipal, esta Autoridad estima importante traer a contexto lo dispuesto por el artículo 92, fracción II de la Ley de Transparencia y Acceso a la Información Pública del Estado de México y Municipios, el cual establece la obligación de mantener a disposición del público en general </w:t>
      </w:r>
      <w:r w:rsidRPr="00C03673">
        <w:rPr>
          <w:rFonts w:ascii="Palatino Linotype" w:eastAsia="Palatino Linotype" w:hAnsi="Palatino Linotype" w:cs="Palatino Linotype"/>
          <w:sz w:val="22"/>
          <w:szCs w:val="22"/>
        </w:rPr>
        <w:lastRenderedPageBreak/>
        <w:t xml:space="preserve">la información relativa a su </w:t>
      </w:r>
      <w:r w:rsidRPr="00C03673">
        <w:rPr>
          <w:rFonts w:ascii="Palatino Linotype" w:eastAsia="Palatino Linotype" w:hAnsi="Palatino Linotype" w:cs="Palatino Linotype"/>
          <w:b/>
          <w:sz w:val="22"/>
          <w:szCs w:val="22"/>
        </w:rPr>
        <w:t>estructura orgánica</w:t>
      </w:r>
      <w:r w:rsidRPr="00C03673">
        <w:rPr>
          <w:rFonts w:ascii="Palatino Linotype" w:eastAsia="Palatino Linotype" w:hAnsi="Palatino Linotype" w:cs="Palatino Linotype"/>
          <w:sz w:val="22"/>
          <w:szCs w:val="22"/>
        </w:rPr>
        <w:t>, refiriendo que ello debe ser en un formato que permita, vincular cada parte de la estructura, las atribuciones y responsabilidades que le corresponden a cada servidor público, tal y como se lee enseguida:</w:t>
      </w:r>
    </w:p>
    <w:p w14:paraId="47BBDFE7"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r w:rsidRPr="00C03673">
        <w:rPr>
          <w:rFonts w:ascii="Palatino Linotype" w:eastAsia="Palatino Linotype" w:hAnsi="Palatino Linotype" w:cs="Palatino Linotype"/>
          <w:b/>
          <w:i/>
          <w:sz w:val="22"/>
          <w:szCs w:val="22"/>
        </w:rPr>
        <w:t>Artículo 92</w:t>
      </w:r>
      <w:r w:rsidRPr="00C03673">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D896EFF"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r w:rsidRPr="00C03673">
        <w:rPr>
          <w:rFonts w:ascii="Palatino Linotype" w:eastAsia="Palatino Linotype" w:hAnsi="Palatino Linotype" w:cs="Palatino Linotype"/>
          <w:i/>
          <w:sz w:val="22"/>
          <w:szCs w:val="22"/>
        </w:rPr>
        <w:br/>
      </w:r>
      <w:r w:rsidRPr="00C03673">
        <w:rPr>
          <w:rFonts w:ascii="Palatino Linotype" w:eastAsia="Palatino Linotype" w:hAnsi="Palatino Linotype" w:cs="Palatino Linotype"/>
          <w:b/>
          <w:i/>
          <w:sz w:val="22"/>
          <w:szCs w:val="22"/>
        </w:rPr>
        <w:t>II.</w:t>
      </w:r>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b/>
          <w:i/>
          <w:sz w:val="22"/>
          <w:szCs w:val="22"/>
        </w:rPr>
        <w:t>Su estructura orgánica completa</w:t>
      </w:r>
      <w:r w:rsidRPr="00C03673">
        <w:rPr>
          <w:rFonts w:ascii="Palatino Linotype" w:eastAsia="Palatino Linotype" w:hAnsi="Palatino Linotype" w:cs="Palatino Linotype"/>
          <w:i/>
          <w:sz w:val="22"/>
          <w:szCs w:val="22"/>
        </w:rPr>
        <w:t xml:space="preserve">, en un </w:t>
      </w:r>
      <w:r w:rsidRPr="00C03673">
        <w:rPr>
          <w:rFonts w:ascii="Palatino Linotype" w:eastAsia="Palatino Linotype" w:hAnsi="Palatino Linotype" w:cs="Palatino Linotype"/>
          <w:b/>
          <w:i/>
          <w:sz w:val="22"/>
          <w:szCs w:val="22"/>
        </w:rPr>
        <w:t>formato que permita vincular cada parte de la estructura</w:t>
      </w:r>
      <w:r w:rsidRPr="00C03673">
        <w:rPr>
          <w:rFonts w:ascii="Palatino Linotype" w:eastAsia="Palatino Linotype" w:hAnsi="Palatino Linotype" w:cs="Palatino Linotype"/>
          <w:i/>
          <w:sz w:val="22"/>
          <w:szCs w:val="22"/>
        </w:rPr>
        <w:t>, las atribuciones y responsabilidades que le corresponden a cada servidor público, prestador de servicios profesionales o miembro de los sujetos obligados, de conformidad con las disposiciones jurídicas aplicables…” (Sic)</w:t>
      </w:r>
    </w:p>
    <w:p w14:paraId="6C73EA73"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(Énfasis añadido).</w:t>
      </w:r>
    </w:p>
    <w:p w14:paraId="35F6385C" w14:textId="77777777" w:rsidR="006E20E7" w:rsidRPr="00C03673" w:rsidRDefault="00CA27F1">
      <w:pPr>
        <w:spacing w:before="280" w:after="280"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Dicha disposición, recoge de lo establecido por la Ley General de Transparencia y Acceso a la Información Pública en su artículo 70, fracción II que refiere en los mismos términos </w:t>
      </w:r>
      <w:r w:rsidRPr="00C03673">
        <w:rPr>
          <w:rFonts w:ascii="Palatino Linotype" w:eastAsia="Palatino Linotype" w:hAnsi="Palatino Linotype" w:cs="Palatino Linotype"/>
          <w:b/>
          <w:sz w:val="22"/>
          <w:szCs w:val="22"/>
        </w:rPr>
        <w:t>la obligación de transparentar la estructura orgánica de parte de cada uno de los Sujetos Obligados</w:t>
      </w:r>
      <w:r w:rsidRPr="00C03673">
        <w:rPr>
          <w:rFonts w:ascii="Palatino Linotype" w:eastAsia="Palatino Linotype" w:hAnsi="Palatino Linotype" w:cs="Palatino Linotype"/>
          <w:sz w:val="22"/>
          <w:szCs w:val="22"/>
        </w:rPr>
        <w:t xml:space="preserve">; por lo que, resulta aplicable en la entidad lo dispuesto por los </w:t>
      </w:r>
      <w:r w:rsidRPr="00C03673">
        <w:rPr>
          <w:rFonts w:ascii="Palatino Linotype" w:eastAsia="Palatino Linotype" w:hAnsi="Palatino Linotype" w:cs="Palatino Linotype"/>
          <w:i/>
          <w:sz w:val="22"/>
          <w:szCs w:val="22"/>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C03673">
        <w:rPr>
          <w:rFonts w:ascii="Palatino Linotype" w:eastAsia="Palatino Linotype" w:hAnsi="Palatino Linotype" w:cs="Palatino Linotype"/>
          <w:sz w:val="22"/>
          <w:szCs w:val="22"/>
        </w:rPr>
        <w:t>, publicados en el Diario Oficial de la Federación; de los cuales, se desprende la estructura orgánica que se encuentran constreñidos a publicar los Sujetos Obligados, en los que se debe permitir la visualización de los niveles jerárquicos y sus relaciones de dependencia, de acuerdo con el estatuto orgánico u ordenamiento que les aplique, debiendo ser vigente, es decir la que esté en operación y haya sido aprobada o dictaminada por la autoridad competente.</w:t>
      </w:r>
    </w:p>
    <w:p w14:paraId="41DD018E" w14:textId="77777777" w:rsidR="006E20E7" w:rsidRPr="00C03673" w:rsidRDefault="00CA27F1">
      <w:pPr>
        <w:spacing w:before="280" w:after="280"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lastRenderedPageBreak/>
        <w:t xml:space="preserve">Asimismo, dichos Lineamientos Técnico Generales indican que la estructura orgánica debe incluir al titular del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 xml:space="preserve"> y todos los servidores públicos adscritos a las Unidades Administrativas, Áreas, Institutos o las que correspondan, incluyendo el personal de gabinete de apoyo </w:t>
      </w:r>
      <w:proofErr w:type="spellStart"/>
      <w:r w:rsidRPr="00C03673">
        <w:rPr>
          <w:rFonts w:ascii="Palatino Linotype" w:eastAsia="Palatino Linotype" w:hAnsi="Palatino Linotype" w:cs="Palatino Linotype"/>
          <w:sz w:val="22"/>
          <w:szCs w:val="22"/>
        </w:rPr>
        <w:t>u</w:t>
      </w:r>
      <w:proofErr w:type="spellEnd"/>
      <w:r w:rsidRPr="00C03673">
        <w:rPr>
          <w:rFonts w:ascii="Palatino Linotype" w:eastAsia="Palatino Linotype" w:hAnsi="Palatino Linotype" w:cs="Palatino Linotype"/>
          <w:sz w:val="22"/>
          <w:szCs w:val="22"/>
        </w:rPr>
        <w:t xml:space="preserve"> homólogo, prestadores de servicios profesionales, miembros de los Sujetos Obligados; así como, los respectivos niveles de adjunto, homólogo o cualquier otro equivalente, según la denominación que se les dé. </w:t>
      </w:r>
    </w:p>
    <w:p w14:paraId="56918026" w14:textId="77777777" w:rsidR="006E20E7" w:rsidRPr="00C03673" w:rsidRDefault="00CA27F1">
      <w:pPr>
        <w:spacing w:before="280" w:after="280"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Igualmente, refieren que cada nivel de la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w:t>
      </w:r>
    </w:p>
    <w:p w14:paraId="26EE0A4C" w14:textId="77777777" w:rsidR="006E20E7" w:rsidRPr="00C03673" w:rsidRDefault="00CA27F1">
      <w:pPr>
        <w:spacing w:before="280" w:after="280"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Por lo que, establecen los siguientes criterios de contenido para la publicación de dicha información, a saber:</w:t>
      </w:r>
    </w:p>
    <w:p w14:paraId="150DCCF2"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r w:rsidRPr="00C03673">
        <w:rPr>
          <w:rFonts w:ascii="Palatino Linotype" w:eastAsia="Palatino Linotype" w:hAnsi="Palatino Linotype" w:cs="Palatino Linotype"/>
          <w:b/>
          <w:i/>
          <w:sz w:val="22"/>
          <w:szCs w:val="22"/>
        </w:rPr>
        <w:t>Criterios sustantivos de contenido</w:t>
      </w:r>
      <w:r w:rsidRPr="00C03673">
        <w:rPr>
          <w:rFonts w:ascii="Palatino Linotype" w:eastAsia="Palatino Linotype" w:hAnsi="Palatino Linotype" w:cs="Palatino Linotype"/>
          <w:i/>
          <w:sz w:val="22"/>
          <w:szCs w:val="22"/>
        </w:rPr>
        <w:t xml:space="preserve"> </w:t>
      </w:r>
    </w:p>
    <w:p w14:paraId="4D7C1064"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Criterio 1</w:t>
      </w:r>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b/>
          <w:i/>
          <w:sz w:val="22"/>
          <w:szCs w:val="22"/>
        </w:rPr>
        <w:t>Denominación del Área</w:t>
      </w:r>
      <w:r w:rsidRPr="00C03673">
        <w:rPr>
          <w:rFonts w:ascii="Palatino Linotype" w:eastAsia="Palatino Linotype" w:hAnsi="Palatino Linotype" w:cs="Palatino Linotype"/>
          <w:i/>
          <w:sz w:val="22"/>
          <w:szCs w:val="22"/>
        </w:rPr>
        <w:t xml:space="preserve"> (de acuerdo con el catálogo que en su caso regule la actividad del sujeto obligado) </w:t>
      </w:r>
    </w:p>
    <w:p w14:paraId="2B8DBA2D"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Criterio 2</w:t>
      </w:r>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b/>
          <w:i/>
          <w:sz w:val="22"/>
          <w:szCs w:val="22"/>
        </w:rPr>
        <w:t>Denominación del puesto</w:t>
      </w:r>
      <w:r w:rsidRPr="00C03673">
        <w:rPr>
          <w:rFonts w:ascii="Palatino Linotype" w:eastAsia="Palatino Linotype" w:hAnsi="Palatino Linotype" w:cs="Palatino Linotype"/>
          <w:i/>
          <w:sz w:val="22"/>
          <w:szCs w:val="22"/>
        </w:rPr>
        <w:t xml:space="preserve"> (de acuerdo con el catálogo que en su caso regule la actividad del sujeto obligado). La información deberá estar ordenada de tal forma que sea posible visualizar los niveles de jerarquía y sus relaciones de dependencia </w:t>
      </w:r>
    </w:p>
    <w:p w14:paraId="772C0EC3"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Criterio 3</w:t>
      </w:r>
      <w:r w:rsidRPr="00C03673">
        <w:rPr>
          <w:rFonts w:ascii="Palatino Linotype" w:eastAsia="Palatino Linotype" w:hAnsi="Palatino Linotype" w:cs="Palatino Linotype"/>
          <w:i/>
          <w:sz w:val="22"/>
          <w:szCs w:val="22"/>
        </w:rPr>
        <w:t xml:space="preserve"> Denominación del cargo (de conformidad con nombramiento otorgado) </w:t>
      </w:r>
    </w:p>
    <w:p w14:paraId="703F3471"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Criterio 4</w:t>
      </w:r>
      <w:r w:rsidRPr="00C03673">
        <w:rPr>
          <w:rFonts w:ascii="Palatino Linotype" w:eastAsia="Palatino Linotype" w:hAnsi="Palatino Linotype" w:cs="Palatino Linotype"/>
          <w:i/>
          <w:sz w:val="22"/>
          <w:szCs w:val="22"/>
        </w:rPr>
        <w:t xml:space="preserve"> Clave o nivel del puesto (en su caso) de acuerdo con el catálogo que regule la actividad del sujeto obligado] </w:t>
      </w:r>
    </w:p>
    <w:p w14:paraId="43CBB894"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Criterio 5</w:t>
      </w:r>
      <w:r w:rsidRPr="00C03673">
        <w:rPr>
          <w:rFonts w:ascii="Palatino Linotype" w:eastAsia="Palatino Linotype" w:hAnsi="Palatino Linotype" w:cs="Palatino Linotype"/>
          <w:i/>
          <w:sz w:val="22"/>
          <w:szCs w:val="22"/>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14:paraId="7974E466"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Criterio 6</w:t>
      </w:r>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b/>
          <w:i/>
          <w:sz w:val="22"/>
          <w:szCs w:val="22"/>
        </w:rPr>
        <w:t>Área de adscripción</w:t>
      </w:r>
      <w:r w:rsidRPr="00C03673">
        <w:rPr>
          <w:rFonts w:ascii="Palatino Linotype" w:eastAsia="Palatino Linotype" w:hAnsi="Palatino Linotype" w:cs="Palatino Linotype"/>
          <w:i/>
          <w:sz w:val="22"/>
          <w:szCs w:val="22"/>
        </w:rPr>
        <w:t xml:space="preserve"> (Área inmediata superior) </w:t>
      </w:r>
    </w:p>
    <w:p w14:paraId="146B06B5"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lastRenderedPageBreak/>
        <w:t>Criterio 7</w:t>
      </w:r>
      <w:r w:rsidRPr="00C03673">
        <w:rPr>
          <w:rFonts w:ascii="Palatino Linotype" w:eastAsia="Palatino Linotype" w:hAnsi="Palatino Linotype" w:cs="Palatino Linotype"/>
          <w:i/>
          <w:sz w:val="22"/>
          <w:szCs w:val="22"/>
        </w:rPr>
        <w:t xml:space="preserve"> Por cada puesto y/o cargo de la estructura se deberá especificar la denominación de la norma que establece sus atribuciones, responsabilidades y/o funciones, según sea el caso </w:t>
      </w:r>
    </w:p>
    <w:p w14:paraId="68ED05B9"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Criterio 8</w:t>
      </w:r>
      <w:r w:rsidRPr="00C03673">
        <w:rPr>
          <w:rFonts w:ascii="Palatino Linotype" w:eastAsia="Palatino Linotype" w:hAnsi="Palatino Linotype" w:cs="Palatino Linotype"/>
          <w:i/>
          <w:sz w:val="22"/>
          <w:szCs w:val="22"/>
        </w:rPr>
        <w:t xml:space="preserve"> Fundamento legal (artículo y/o fracción) que sustenta el puesto </w:t>
      </w:r>
    </w:p>
    <w:p w14:paraId="68017E58"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Criterio 9</w:t>
      </w:r>
      <w:r w:rsidRPr="00C03673">
        <w:rPr>
          <w:rFonts w:ascii="Palatino Linotype" w:eastAsia="Palatino Linotype" w:hAnsi="Palatino Linotype" w:cs="Palatino Linotype"/>
          <w:i/>
          <w:sz w:val="22"/>
          <w:szCs w:val="22"/>
        </w:rPr>
        <w:t xml:space="preserve"> Por cada puesto o cargo deben desplegarse las atribuciones, responsabilidades y/o funciones, según sea el caso </w:t>
      </w:r>
    </w:p>
    <w:p w14:paraId="1C58E4A4"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Criterio 10</w:t>
      </w:r>
      <w:r w:rsidRPr="00C03673">
        <w:rPr>
          <w:rFonts w:ascii="Palatino Linotype" w:eastAsia="Palatino Linotype" w:hAnsi="Palatino Linotype" w:cs="Palatino Linotype"/>
          <w:i/>
          <w:sz w:val="22"/>
          <w:szCs w:val="22"/>
        </w:rPr>
        <w:t xml:space="preserve"> Hipervínculo al perfil y/o requerimientos del puesto o cargo, en caso de existir de acuerdo con la normatividad que aplique </w:t>
      </w:r>
    </w:p>
    <w:p w14:paraId="194825EC"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Criterio 11</w:t>
      </w:r>
      <w:r w:rsidRPr="00C03673">
        <w:rPr>
          <w:rFonts w:ascii="Palatino Linotype" w:eastAsia="Palatino Linotype" w:hAnsi="Palatino Linotype" w:cs="Palatino Linotype"/>
          <w:i/>
          <w:sz w:val="22"/>
          <w:szCs w:val="22"/>
        </w:rPr>
        <w:t xml:space="preserve"> En cada nivel de estructura se deben incluir, en su caso, a los prestadores de servicios profesionales o los miembros que se integren al sujeto obligado de conformidad con las disposiciones aplicables (por ejemplo, en puestos honoríficos) </w:t>
      </w:r>
    </w:p>
    <w:p w14:paraId="7FE38700"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Criterio 12</w:t>
      </w:r>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b/>
          <w:i/>
          <w:sz w:val="22"/>
          <w:szCs w:val="22"/>
        </w:rPr>
        <w:t>Hipervínculo al organigrama completo</w:t>
      </w:r>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b/>
          <w:i/>
          <w:sz w:val="22"/>
          <w:szCs w:val="22"/>
        </w:rPr>
        <w:t>(forma gráfica)</w:t>
      </w:r>
      <w:r w:rsidRPr="00C03673">
        <w:rPr>
          <w:rFonts w:ascii="Palatino Linotype" w:eastAsia="Palatino Linotype" w:hAnsi="Palatino Linotype" w:cs="Palatino Linotype"/>
          <w:i/>
          <w:sz w:val="22"/>
          <w:szCs w:val="22"/>
        </w:rPr>
        <w:t xml:space="preserve"> acorde a su normatividad, el cual deberá contener el número de dictamen o similar </w:t>
      </w:r>
    </w:p>
    <w:p w14:paraId="56BF1B03"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Criterio 13</w:t>
      </w:r>
      <w:r w:rsidRPr="00C03673">
        <w:rPr>
          <w:rFonts w:ascii="Palatino Linotype" w:eastAsia="Palatino Linotype" w:hAnsi="Palatino Linotype" w:cs="Palatino Linotype"/>
          <w:i/>
          <w:sz w:val="22"/>
          <w:szCs w:val="22"/>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(Sic)</w:t>
      </w:r>
    </w:p>
    <w:p w14:paraId="7C7C206C" w14:textId="77777777" w:rsidR="006E20E7" w:rsidRPr="00C03673" w:rsidRDefault="00CA27F1">
      <w:pPr>
        <w:ind w:left="851" w:right="616"/>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(Énfasis añadido)</w:t>
      </w:r>
    </w:p>
    <w:p w14:paraId="40F4C360" w14:textId="77777777" w:rsidR="006E20E7" w:rsidRPr="00C03673" w:rsidRDefault="00CA27F1">
      <w:pPr>
        <w:spacing w:before="280" w:after="280"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De lo expuesto, se colige que cada </w:t>
      </w:r>
      <w:r w:rsidRPr="00C03673">
        <w:rPr>
          <w:rFonts w:ascii="Palatino Linotype" w:eastAsia="Palatino Linotype" w:hAnsi="Palatino Linotype" w:cs="Palatino Linotype"/>
          <w:b/>
          <w:sz w:val="22"/>
          <w:szCs w:val="22"/>
        </w:rPr>
        <w:t xml:space="preserve">Sujeto Obligado </w:t>
      </w:r>
      <w:r w:rsidRPr="00C03673">
        <w:rPr>
          <w:rFonts w:ascii="Palatino Linotype" w:eastAsia="Palatino Linotype" w:hAnsi="Palatino Linotype" w:cs="Palatino Linotype"/>
          <w:sz w:val="22"/>
          <w:szCs w:val="22"/>
        </w:rPr>
        <w:t xml:space="preserve">deberá publicar su estructura orgánica vigente, conforme a criterios de jerarquía y especialización, ordenados y codificados, cuando así corresponda, mediante los catálogos de Áreas y de clave o nivel del puesto; cada nivel de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 xml:space="preserve"> hasta el nivel de jefatura de departamento </w:t>
      </w:r>
      <w:proofErr w:type="spellStart"/>
      <w:r w:rsidRPr="00C03673">
        <w:rPr>
          <w:rFonts w:ascii="Palatino Linotype" w:eastAsia="Palatino Linotype" w:hAnsi="Palatino Linotype" w:cs="Palatino Linotype"/>
          <w:sz w:val="22"/>
          <w:szCs w:val="22"/>
        </w:rPr>
        <w:t>u</w:t>
      </w:r>
      <w:proofErr w:type="spellEnd"/>
      <w:r w:rsidRPr="00C03673">
        <w:rPr>
          <w:rFonts w:ascii="Palatino Linotype" w:eastAsia="Palatino Linotype" w:hAnsi="Palatino Linotype" w:cs="Palatino Linotype"/>
          <w:sz w:val="22"/>
          <w:szCs w:val="22"/>
        </w:rPr>
        <w:t xml:space="preserve"> homólogo y, en su caso, los prestadores de servicios profesionales y/o cualquier otro tipo de personal adscrito.</w:t>
      </w:r>
    </w:p>
    <w:p w14:paraId="08F80256" w14:textId="77777777" w:rsidR="006E20E7" w:rsidRPr="00C03673" w:rsidRDefault="00CA27F1">
      <w:pPr>
        <w:spacing w:before="280" w:after="280"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lastRenderedPageBreak/>
        <w:t xml:space="preserve">Ahora bien, no pasa desapercibido para este Organismo Garante que la parte </w:t>
      </w:r>
      <w:r w:rsidRPr="00C03673">
        <w:rPr>
          <w:rFonts w:ascii="Palatino Linotype" w:eastAsia="Palatino Linotype" w:hAnsi="Palatino Linotype" w:cs="Palatino Linotype"/>
          <w:b/>
          <w:sz w:val="22"/>
          <w:szCs w:val="22"/>
        </w:rPr>
        <w:t>Recurrente</w:t>
      </w:r>
      <w:r w:rsidRPr="00C03673">
        <w:rPr>
          <w:rFonts w:ascii="Palatino Linotype" w:eastAsia="Palatino Linotype" w:hAnsi="Palatino Linotype" w:cs="Palatino Linotype"/>
          <w:sz w:val="22"/>
          <w:szCs w:val="22"/>
        </w:rPr>
        <w:t xml:space="preserve"> solicitó conocer puntualmente el organigrama con nombre y cargo de los diversos directores municipales; sin embargo, como se puede advertir de las líneas que anteceden, del organigrama no se puede advertir el nombre de los servidores públicos únicamente la áreas que conforman el Ayuntamiento de Temamatla; no obstante, es de vital importancia señalar que los Sujetos Obligados también tienen el deber de publicar la información referente al directorio de todos los servidores públicos, a partir del nivel de jefe de departamento o su equivalente o de menor nivel, en cumplimiento a lo dispuesto en el artículo 92 fracción VII de la Ley de Transparencia Local y de conformidad con lo establecido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2D7E4328" w14:textId="77777777" w:rsidR="006E20E7" w:rsidRPr="00C03673" w:rsidRDefault="00CA27F1">
      <w:pPr>
        <w:shd w:val="clear" w:color="auto" w:fill="FFFFFF"/>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r w:rsidRPr="00C03673">
        <w:rPr>
          <w:rFonts w:ascii="Palatino Linotype" w:eastAsia="Palatino Linotype" w:hAnsi="Palatino Linotype" w:cs="Palatino Linotype"/>
          <w:b/>
          <w:i/>
          <w:sz w:val="22"/>
          <w:szCs w:val="22"/>
        </w:rPr>
        <w:t>Artículo 92.</w:t>
      </w:r>
      <w:r w:rsidRPr="00C03673">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FE32BEC" w14:textId="77777777" w:rsidR="006E20E7" w:rsidRPr="00C03673" w:rsidRDefault="00CA27F1">
      <w:pPr>
        <w:shd w:val="clear" w:color="auto" w:fill="FFFFFF"/>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p>
    <w:p w14:paraId="2918E722" w14:textId="77777777" w:rsidR="006E20E7" w:rsidRPr="00C03673" w:rsidRDefault="00CA27F1">
      <w:pPr>
        <w:shd w:val="clear" w:color="auto" w:fill="FFFFFF"/>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3B67DA7E" w14:textId="77777777" w:rsidR="006E20E7" w:rsidRPr="00C03673" w:rsidRDefault="006E20E7">
      <w:pPr>
        <w:shd w:val="clear" w:color="auto" w:fill="FFFFFF"/>
        <w:spacing w:line="276" w:lineRule="auto"/>
        <w:ind w:left="851" w:right="616"/>
        <w:jc w:val="both"/>
        <w:rPr>
          <w:rFonts w:ascii="Palatino Linotype" w:eastAsia="Palatino Linotype" w:hAnsi="Palatino Linotype" w:cs="Palatino Linotype"/>
          <w:i/>
          <w:sz w:val="22"/>
          <w:szCs w:val="22"/>
        </w:rPr>
      </w:pPr>
    </w:p>
    <w:p w14:paraId="1A35F722" w14:textId="77777777" w:rsidR="006E20E7" w:rsidRPr="00C03673" w:rsidRDefault="00CA27F1">
      <w:pPr>
        <w:shd w:val="clear" w:color="auto" w:fill="FFFFFF"/>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 xml:space="preserve">LINEAMIENTOS TÉCNICOS GENERALES PARA LA PUBLICACIÓN, HOMOLOGACIÓN Y ESTANDARIZACIÓN DE LA INFORMACIÓN DE LAS OBLIGACIONES ESTABLECIDAS EN EL TÍTULO QUINTO Y EN LA </w:t>
      </w:r>
      <w:r w:rsidRPr="00C03673">
        <w:rPr>
          <w:rFonts w:ascii="Palatino Linotype" w:eastAsia="Palatino Linotype" w:hAnsi="Palatino Linotype" w:cs="Palatino Linotype"/>
          <w:b/>
          <w:i/>
          <w:sz w:val="22"/>
          <w:szCs w:val="22"/>
        </w:rPr>
        <w:lastRenderedPageBreak/>
        <w:t>FRACCIÓN IV DEL ARTÍCULO 31 DE LA LEY GENERAL DE TRANSPARENCIA Y ACCESO A LA INFORMACIÓN PÚBLICA, QUE DEBEN DE DIFUNDIR LOS SUJETOS OBLIGADOS EN LOS PORTALES DE INTERNET Y EN LA PLATAFORMA NACIONAL DE TRANSPARENCIA</w:t>
      </w:r>
    </w:p>
    <w:p w14:paraId="23568149" w14:textId="77777777" w:rsidR="006E20E7" w:rsidRPr="00C03673" w:rsidRDefault="006E20E7">
      <w:pPr>
        <w:shd w:val="clear" w:color="auto" w:fill="FFFFFF"/>
        <w:spacing w:line="276" w:lineRule="auto"/>
        <w:ind w:left="851" w:right="616"/>
        <w:jc w:val="both"/>
        <w:rPr>
          <w:rFonts w:ascii="Palatino Linotype" w:eastAsia="Palatino Linotype" w:hAnsi="Palatino Linotype" w:cs="Palatino Linotype"/>
          <w:i/>
          <w:sz w:val="22"/>
          <w:szCs w:val="22"/>
        </w:rPr>
      </w:pPr>
    </w:p>
    <w:p w14:paraId="48AA8E42" w14:textId="77777777" w:rsidR="006E20E7" w:rsidRPr="00C03673" w:rsidRDefault="00CA27F1">
      <w:pPr>
        <w:shd w:val="clear" w:color="auto" w:fill="FFFFFF"/>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p w14:paraId="5220516B" w14:textId="77777777" w:rsidR="006E20E7" w:rsidRPr="00C03673" w:rsidRDefault="006E20E7">
      <w:pPr>
        <w:shd w:val="clear" w:color="auto" w:fill="FFFFFF"/>
        <w:spacing w:line="276" w:lineRule="auto"/>
        <w:ind w:left="851" w:right="616"/>
        <w:jc w:val="both"/>
        <w:rPr>
          <w:rFonts w:ascii="Palatino Linotype" w:eastAsia="Palatino Linotype" w:hAnsi="Palatino Linotype" w:cs="Palatino Linotype"/>
          <w:i/>
          <w:sz w:val="22"/>
          <w:szCs w:val="22"/>
        </w:rPr>
      </w:pPr>
    </w:p>
    <w:p w14:paraId="3CE04EBD" w14:textId="77777777" w:rsidR="006E20E7" w:rsidRPr="00C03673" w:rsidRDefault="00CA27F1">
      <w:pPr>
        <w:shd w:val="clear" w:color="auto" w:fill="FFFFFF"/>
        <w:spacing w:line="276" w:lineRule="auto"/>
        <w:ind w:left="851" w:right="616"/>
        <w:jc w:val="both"/>
        <w:rPr>
          <w:rFonts w:ascii="Palatino Linotype" w:eastAsia="Palatino Linotype" w:hAnsi="Palatino Linotype" w:cs="Palatino Linotype"/>
          <w:b/>
          <w:i/>
          <w:sz w:val="22"/>
          <w:szCs w:val="22"/>
          <w:u w:val="single"/>
        </w:rPr>
      </w:pPr>
      <w:r w:rsidRPr="00C03673">
        <w:rPr>
          <w:rFonts w:ascii="Palatino Linotype" w:eastAsia="Palatino Linotype" w:hAnsi="Palatino Linotype" w:cs="Palatino Linotype"/>
          <w:i/>
          <w:sz w:val="22"/>
          <w:szCs w:val="22"/>
        </w:rPr>
        <w:t>Para el cumplimiento de la presente fracción</w:t>
      </w:r>
      <w:r w:rsidRPr="00C03673">
        <w:rPr>
          <w:rFonts w:ascii="Palatino Linotype" w:eastAsia="Palatino Linotype" w:hAnsi="Palatino Linotype" w:cs="Palatino Linotype"/>
          <w:b/>
          <w:i/>
          <w:sz w:val="22"/>
          <w:szCs w:val="22"/>
          <w:u w:val="single"/>
        </w:rPr>
        <w:t xml:space="preserve"> los sujetos obligados deberán integrar el directorio con los datos básicos </w:t>
      </w:r>
      <w:r w:rsidRPr="00C03673">
        <w:rPr>
          <w:rFonts w:ascii="Palatino Linotype" w:eastAsia="Palatino Linotype" w:hAnsi="Palatino Linotype" w:cs="Palatino Linotype"/>
          <w:i/>
          <w:sz w:val="22"/>
          <w:szCs w:val="22"/>
        </w:rPr>
        <w:t xml:space="preserve">para establecer contacto con sus servidores(as) públicos(as), integrantes y/o miembros, así como </w:t>
      </w:r>
      <w:r w:rsidRPr="00C03673">
        <w:rPr>
          <w:rFonts w:ascii="Palatino Linotype" w:eastAsia="Palatino Linotype" w:hAnsi="Palatino Linotype" w:cs="Palatino Linotype"/>
          <w:b/>
          <w:i/>
          <w:sz w:val="22"/>
          <w:szCs w:val="22"/>
          <w:u w:val="single"/>
        </w:rPr>
        <w:t xml:space="preserve">toda persona que desempeñe un empleo, cargo o comisión y/o ejerza actos de autoridad en los mismos. </w:t>
      </w:r>
    </w:p>
    <w:p w14:paraId="04396C79" w14:textId="77777777" w:rsidR="006E20E7" w:rsidRPr="00C03673" w:rsidRDefault="006E20E7">
      <w:pPr>
        <w:shd w:val="clear" w:color="auto" w:fill="FFFFFF"/>
        <w:spacing w:line="276" w:lineRule="auto"/>
        <w:ind w:left="851" w:right="616"/>
        <w:jc w:val="both"/>
        <w:rPr>
          <w:rFonts w:ascii="Palatino Linotype" w:eastAsia="Palatino Linotype" w:hAnsi="Palatino Linotype" w:cs="Palatino Linotype"/>
          <w:i/>
          <w:sz w:val="22"/>
          <w:szCs w:val="22"/>
        </w:rPr>
      </w:pPr>
    </w:p>
    <w:p w14:paraId="2A032032" w14:textId="77777777" w:rsidR="006E20E7" w:rsidRPr="00C03673" w:rsidRDefault="00CA27F1">
      <w:pPr>
        <w:shd w:val="clear" w:color="auto" w:fill="FFFFFF"/>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w:t>
      </w:r>
    </w:p>
    <w:p w14:paraId="54F6E785" w14:textId="77777777" w:rsidR="006E20E7" w:rsidRPr="00C03673" w:rsidRDefault="00CA27F1">
      <w:pPr>
        <w:spacing w:before="280" w:after="280"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Asimismo, dichos Lineamientos Técnico Generales indican los criterios de contenido para la publicación de dicha información, a saber:</w:t>
      </w:r>
    </w:p>
    <w:p w14:paraId="1F1CAC7D"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i/>
          <w:sz w:val="22"/>
          <w:szCs w:val="22"/>
        </w:rPr>
        <w:t>“</w:t>
      </w:r>
      <w:r w:rsidRPr="00C03673">
        <w:rPr>
          <w:rFonts w:ascii="Palatino Linotype" w:eastAsia="Palatino Linotype" w:hAnsi="Palatino Linotype" w:cs="Palatino Linotype"/>
          <w:b/>
          <w:i/>
          <w:sz w:val="22"/>
          <w:szCs w:val="22"/>
        </w:rPr>
        <w:t>Criterios sustantivos de contenido</w:t>
      </w:r>
    </w:p>
    <w:p w14:paraId="2A1202B7"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Criterio 1 Ejercicio.</w:t>
      </w:r>
    </w:p>
    <w:p w14:paraId="0FFEEF04"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lastRenderedPageBreak/>
        <w:t>Criterio 2 Periodo que se informa (fecha de inicio y fecha de término con el formato día/mes/año).</w:t>
      </w:r>
    </w:p>
    <w:p w14:paraId="42241956"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Criterio 3 Clave o nivel del puesto ([en su caso] de acuerdo con el catálogo que regule la actividad del sujeto obligado).</w:t>
      </w:r>
    </w:p>
    <w:p w14:paraId="7DECCA83" w14:textId="77777777" w:rsidR="006E20E7" w:rsidRPr="00C03673" w:rsidRDefault="00CA27F1">
      <w:pPr>
        <w:ind w:left="851" w:right="616"/>
        <w:jc w:val="both"/>
        <w:rPr>
          <w:rFonts w:ascii="Palatino Linotype" w:eastAsia="Palatino Linotype" w:hAnsi="Palatino Linotype" w:cs="Palatino Linotype"/>
          <w:b/>
          <w:i/>
          <w:sz w:val="22"/>
          <w:szCs w:val="22"/>
          <w:u w:val="single"/>
        </w:rPr>
      </w:pPr>
      <w:r w:rsidRPr="00C03673">
        <w:rPr>
          <w:rFonts w:ascii="Palatino Linotype" w:eastAsia="Palatino Linotype" w:hAnsi="Palatino Linotype" w:cs="Palatino Linotype"/>
          <w:b/>
          <w:i/>
          <w:sz w:val="22"/>
          <w:szCs w:val="22"/>
          <w:u w:val="single"/>
        </w:rPr>
        <w:t>Criterio 4 Denominación del cargo (de conformidad con el nombramiento otorgado).</w:t>
      </w:r>
    </w:p>
    <w:p w14:paraId="0021EE5E"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u w:val="single"/>
        </w:rPr>
        <w:t>Criterio 5 Nombre de la persona servidora pública</w:t>
      </w:r>
      <w:r w:rsidRPr="00C03673">
        <w:rPr>
          <w:rFonts w:ascii="Palatino Linotype" w:eastAsia="Palatino Linotype" w:hAnsi="Palatino Linotype" w:cs="Palatino Linotype"/>
          <w:i/>
          <w:sz w:val="22"/>
          <w:szCs w:val="22"/>
        </w:rPr>
        <w:t>(</w:t>
      </w:r>
      <w:r w:rsidRPr="00C03673">
        <w:rPr>
          <w:rFonts w:ascii="Palatino Linotype" w:eastAsia="Palatino Linotype" w:hAnsi="Palatino Linotype" w:cs="Palatino Linotype"/>
          <w:i/>
          <w:sz w:val="22"/>
          <w:szCs w:val="22"/>
          <w:u w:val="single"/>
        </w:rPr>
        <w:t>nombre[s], primer apellido, segundo apellido), integrante y/o miembro del sujeto obligado, y/o persona que desempeñe un empleo, cargo o comisión y/o ejerza actos de autoridad</w:t>
      </w:r>
      <w:r w:rsidRPr="00C03673">
        <w:rPr>
          <w:rFonts w:ascii="Palatino Linotype" w:eastAsia="Palatino Linotype" w:hAnsi="Palatino Linotype" w:cs="Palatino Linotype"/>
          <w:i/>
          <w:sz w:val="22"/>
          <w:szCs w:val="22"/>
        </w:rPr>
        <w:t>. En su caso, incluir una nota que especifique el motivo por el cual no existe persona servidora pública ocupando el cargo, por ejemplo: Vacante.</w:t>
      </w:r>
    </w:p>
    <w:p w14:paraId="30C2397B"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Criterio 6 Sexo (catálogo): Mujer/Hombre.</w:t>
      </w:r>
    </w:p>
    <w:p w14:paraId="2623F968"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u w:val="single"/>
        </w:rPr>
        <w:t>Criterio 7 Área de adscripción</w:t>
      </w:r>
      <w:r w:rsidRPr="00C03673">
        <w:rPr>
          <w:rFonts w:ascii="Palatino Linotype" w:eastAsia="Palatino Linotype" w:hAnsi="Palatino Linotype" w:cs="Palatino Linotype"/>
          <w:i/>
          <w:sz w:val="22"/>
          <w:szCs w:val="22"/>
        </w:rPr>
        <w:t xml:space="preserve"> (de acuerdo con el catálogo que, en su caso, regule la actividad del sujeto obligado).</w:t>
      </w:r>
    </w:p>
    <w:p w14:paraId="4D23C4DA"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Criterio 8 Fecha de alta en el cargo con el formato día/mes/año.</w:t>
      </w:r>
    </w:p>
    <w:p w14:paraId="7043B044"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Criterio 9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p w14:paraId="6FCE0F12"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Criterio 10 Número(s) de teléfono(s) oficial(es) y extensión (es).</w:t>
      </w:r>
      <w:r w:rsidRPr="00C03673">
        <w:rPr>
          <w:rFonts w:ascii="Palatino Linotype" w:eastAsia="Palatino Linotype" w:hAnsi="Palatino Linotype" w:cs="Palatino Linotype"/>
          <w:i/>
          <w:sz w:val="22"/>
          <w:szCs w:val="22"/>
        </w:rPr>
        <w:br/>
        <w:t xml:space="preserve"> Criterio 11 Correo electrónico oficial, en su caso.</w:t>
      </w:r>
    </w:p>
    <w:p w14:paraId="4F2514CF"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w:t>
      </w:r>
    </w:p>
    <w:p w14:paraId="5C9C18FF"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(Énfasis añadido)</w:t>
      </w:r>
    </w:p>
    <w:p w14:paraId="6B77D9A2"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6FE50460"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En este sentido, de los ordenamientos en cita se desprende que el Directorio contempla los titulares de las áreas, subdirectores o jefes de departamento, así como el registro de los servidores públicos que se encuentren en los siguientes supuestos: </w:t>
      </w:r>
    </w:p>
    <w:p w14:paraId="3FE5BFB3"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6BF8145C" w14:textId="77777777" w:rsidR="006E20E7" w:rsidRPr="00C03673" w:rsidRDefault="00CA27F1">
      <w:pPr>
        <w:numPr>
          <w:ilvl w:val="0"/>
          <w:numId w:val="8"/>
        </w:numPr>
        <w:spacing w:line="360" w:lineRule="auto"/>
        <w:ind w:left="1134"/>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Cuando brinden atención al público; </w:t>
      </w:r>
    </w:p>
    <w:p w14:paraId="27320190" w14:textId="77777777" w:rsidR="006E20E7" w:rsidRPr="00C03673" w:rsidRDefault="00CA27F1">
      <w:pPr>
        <w:numPr>
          <w:ilvl w:val="0"/>
          <w:numId w:val="8"/>
        </w:numPr>
        <w:spacing w:line="360" w:lineRule="auto"/>
        <w:ind w:left="1134"/>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Manejen o apliquen recursos públicos; </w:t>
      </w:r>
    </w:p>
    <w:p w14:paraId="4472B9C5" w14:textId="77777777" w:rsidR="006E20E7" w:rsidRPr="00C03673" w:rsidRDefault="00CA27F1">
      <w:pPr>
        <w:numPr>
          <w:ilvl w:val="0"/>
          <w:numId w:val="8"/>
        </w:numPr>
        <w:spacing w:line="360" w:lineRule="auto"/>
        <w:ind w:left="1134"/>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Realicen actos de autoridad; o, </w:t>
      </w:r>
    </w:p>
    <w:p w14:paraId="004D86D9" w14:textId="77777777" w:rsidR="006E20E7" w:rsidRPr="00C03673" w:rsidRDefault="00CA27F1">
      <w:pPr>
        <w:numPr>
          <w:ilvl w:val="0"/>
          <w:numId w:val="8"/>
        </w:numPr>
        <w:spacing w:line="360" w:lineRule="auto"/>
        <w:ind w:left="1134"/>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lastRenderedPageBreak/>
        <w:t xml:space="preserve">Presten servicios profesionales bajo el régimen de confianza u honorarios y personal de base. </w:t>
      </w:r>
    </w:p>
    <w:p w14:paraId="393AE2DD"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Por lo que, de los servidores públicos que se encuentren en alguno de estos supuestos, se deberán registrar en el directorio, al menos el nombre, cargo o nombramiento asignado, nivel del puesto en la estructura orgánica, fecha de alta en el cargo, número telefónico, domicilio para recibir correspondencia y dirección de correo electrónico oficiales. </w:t>
      </w:r>
    </w:p>
    <w:p w14:paraId="231DFC53"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5065BB51"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Por consiguiente, de las consideraciones antes señaladas se colige, que es el Directorio de servidores públicos, el documento que de manera enunciativa más no limitativa, puede dar cuenta del nombre y cargo de los servidores públicos adscritos a las direcciones contempladas en el organigrama del</w:t>
      </w:r>
      <w:r w:rsidRPr="00C03673">
        <w:rPr>
          <w:rFonts w:ascii="Palatino Linotype" w:eastAsia="Palatino Linotype" w:hAnsi="Palatino Linotype" w:cs="Palatino Linotype"/>
          <w:b/>
          <w:sz w:val="22"/>
          <w:szCs w:val="22"/>
        </w:rPr>
        <w:t xml:space="preserve"> Sujeto Obligado</w:t>
      </w:r>
      <w:r w:rsidRPr="00C03673">
        <w:rPr>
          <w:rFonts w:ascii="Palatino Linotype" w:eastAsia="Palatino Linotype" w:hAnsi="Palatino Linotype" w:cs="Palatino Linotype"/>
          <w:sz w:val="22"/>
          <w:szCs w:val="22"/>
        </w:rPr>
        <w:t xml:space="preserve">. </w:t>
      </w:r>
    </w:p>
    <w:p w14:paraId="69CFF0FC"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695CD63A" w14:textId="77777777" w:rsidR="006E20E7" w:rsidRPr="00C03673" w:rsidRDefault="00CA27F1">
      <w:pPr>
        <w:spacing w:line="360" w:lineRule="auto"/>
        <w:jc w:val="both"/>
        <w:rPr>
          <w:rFonts w:ascii="Palatino Linotype" w:eastAsia="Palatino Linotype" w:hAnsi="Palatino Linotype" w:cs="Palatino Linotype"/>
          <w:b/>
          <w:sz w:val="22"/>
          <w:szCs w:val="22"/>
        </w:rPr>
      </w:pPr>
      <w:r w:rsidRPr="00C03673">
        <w:rPr>
          <w:rFonts w:ascii="Palatino Linotype" w:eastAsia="Palatino Linotype" w:hAnsi="Palatino Linotype" w:cs="Palatino Linotype"/>
          <w:sz w:val="22"/>
          <w:szCs w:val="22"/>
        </w:rPr>
        <w:t>•</w:t>
      </w:r>
      <w:r w:rsidRPr="00C03673">
        <w:rPr>
          <w:rFonts w:ascii="Palatino Linotype" w:eastAsia="Palatino Linotype" w:hAnsi="Palatino Linotype" w:cs="Palatino Linotype"/>
          <w:sz w:val="22"/>
          <w:szCs w:val="22"/>
        </w:rPr>
        <w:tab/>
      </w:r>
      <w:r w:rsidRPr="00C03673">
        <w:rPr>
          <w:rFonts w:ascii="Palatino Linotype" w:eastAsia="Palatino Linotype" w:hAnsi="Palatino Linotype" w:cs="Palatino Linotype"/>
          <w:b/>
          <w:sz w:val="22"/>
          <w:szCs w:val="22"/>
        </w:rPr>
        <w:t>Expediente laboral de los servidores públicos que deben contar con certificación de competencia laboral obligatoria.</w:t>
      </w:r>
    </w:p>
    <w:p w14:paraId="29935161"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13A5B5B5" w14:textId="77777777" w:rsidR="006E20E7" w:rsidRPr="00C03673" w:rsidRDefault="00CA27F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Referente a este punto, resulta importante señalar que el artículo 98, fracción XVII, de la Ley del Trabajo de los Servidores Públicos del Estado y Municipios, establece que es obligación de las instituciones públicas, integrar los expedientes de los servidores públicos.</w:t>
      </w:r>
    </w:p>
    <w:p w14:paraId="57388E76" w14:textId="77777777" w:rsidR="006E20E7" w:rsidRPr="00C03673" w:rsidRDefault="006E20E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FBE1711" w14:textId="77777777" w:rsidR="006E20E7" w:rsidRPr="00C03673" w:rsidRDefault="00CA27F1">
      <w:pPr>
        <w:tabs>
          <w:tab w:val="left" w:pos="8222"/>
        </w:tabs>
        <w:spacing w:line="360" w:lineRule="auto"/>
        <w:ind w:right="49"/>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En este orden de ideas, resulta conveniente traer a colación lo establecido por los artículos 47, 48 y 49 de la Ley del Trabajo de los Servidores Públicos del Estado y Municipios, mismo que se inserta a continuación para mejor proveer del presente estudio: </w:t>
      </w:r>
    </w:p>
    <w:p w14:paraId="2A87A49E" w14:textId="77777777" w:rsidR="006E20E7" w:rsidRPr="00C03673" w:rsidRDefault="006E20E7">
      <w:pPr>
        <w:tabs>
          <w:tab w:val="left" w:pos="8222"/>
        </w:tabs>
        <w:spacing w:line="360" w:lineRule="auto"/>
        <w:ind w:right="49"/>
        <w:jc w:val="both"/>
        <w:rPr>
          <w:rFonts w:ascii="Palatino Linotype" w:eastAsia="Palatino Linotype" w:hAnsi="Palatino Linotype" w:cs="Palatino Linotype"/>
          <w:sz w:val="22"/>
          <w:szCs w:val="22"/>
        </w:rPr>
      </w:pPr>
    </w:p>
    <w:p w14:paraId="30C31924"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r w:rsidRPr="00C03673">
        <w:rPr>
          <w:rFonts w:ascii="Palatino Linotype" w:eastAsia="Palatino Linotype" w:hAnsi="Palatino Linotype" w:cs="Palatino Linotype"/>
          <w:b/>
          <w:i/>
          <w:sz w:val="22"/>
          <w:szCs w:val="22"/>
        </w:rPr>
        <w:t>ARTÍCULO 47. Para ingresar al servicio público se requiere:</w:t>
      </w:r>
    </w:p>
    <w:p w14:paraId="47A84874"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I. Presentar una solicitud utilizando la forma oficial que se autorice por la institución pública o dependencia correspondiente;</w:t>
      </w:r>
    </w:p>
    <w:p w14:paraId="1DF063D5"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lastRenderedPageBreak/>
        <w:t>II. Ser de nacionalidad mexicana, con la excepción prevista en el artículo 17 de la presente ley;</w:t>
      </w:r>
    </w:p>
    <w:p w14:paraId="2A32A61E"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III. Estar en pleno ejercicio de sus derechos civiles y políticos, en su caso;</w:t>
      </w:r>
    </w:p>
    <w:p w14:paraId="741B882A"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IV. Acreditar, cuando proceda, el cumplimiento de la Ley del Servicio Militar Nacional;</w:t>
      </w:r>
    </w:p>
    <w:p w14:paraId="5F43A718"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V. Derogada.</w:t>
      </w:r>
    </w:p>
    <w:p w14:paraId="416E3D07"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VI. No haber sido separado anteriormente del servicio por las causas previstas en el artículo 93 de la presente ley;</w:t>
      </w:r>
    </w:p>
    <w:p w14:paraId="3D28124E"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VII. Tener buena salud, lo que se comprobará con los certificados médicos correspondientes, en la forma en que se establezca en cada institución pública;</w:t>
      </w:r>
    </w:p>
    <w:p w14:paraId="45530F3B"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VIII. Cumplir con los requisitos que se establezcan para los diferentes puestos;</w:t>
      </w:r>
    </w:p>
    <w:p w14:paraId="1E7C1C8F"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IX. Acreditar por medio de los exámenes correspondientes los conocimientos y aptitudes necesarios para el desempeño del puesto; y</w:t>
      </w:r>
    </w:p>
    <w:p w14:paraId="1A60506D"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X. No estar inhabilitado para el ejercicio del servicio público.</w:t>
      </w:r>
    </w:p>
    <w:p w14:paraId="7BFA1B18"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XI. Presentar certificado expedido por la Unidad del Registro de Deudores Alimentarios Morosos en el que conste, si se encuentra inscrito o no en el mismo.</w:t>
      </w:r>
    </w:p>
    <w:p w14:paraId="44EE5C15"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074F6EEB" w14:textId="77777777" w:rsidR="006E20E7" w:rsidRPr="00C03673" w:rsidRDefault="006E20E7">
      <w:pPr>
        <w:tabs>
          <w:tab w:val="left" w:pos="8222"/>
        </w:tabs>
        <w:spacing w:line="276" w:lineRule="auto"/>
        <w:ind w:left="851" w:right="616"/>
        <w:jc w:val="both"/>
        <w:rPr>
          <w:rFonts w:ascii="Palatino Linotype" w:eastAsia="Palatino Linotype" w:hAnsi="Palatino Linotype" w:cs="Palatino Linotype"/>
          <w:i/>
          <w:sz w:val="22"/>
          <w:szCs w:val="22"/>
        </w:rPr>
      </w:pPr>
    </w:p>
    <w:p w14:paraId="0D5EE652"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 xml:space="preserve">“ARTÍCULO 48. Para iniciar la prestación de los servicios se requiere: </w:t>
      </w:r>
    </w:p>
    <w:p w14:paraId="0CB68D11"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 xml:space="preserve">I. Tener conferido el nombramiento, contrato respectivo o formato único de Movimientos de Personal; </w:t>
      </w:r>
    </w:p>
    <w:p w14:paraId="524E7E45"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II. Rendir la protesta de ley en caso de nombramiento; y </w:t>
      </w:r>
    </w:p>
    <w:p w14:paraId="284F06A4"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III. Tomar posesión del cargo.”</w:t>
      </w:r>
    </w:p>
    <w:p w14:paraId="7ABE98CB" w14:textId="77777777" w:rsidR="006E20E7" w:rsidRPr="00C03673" w:rsidRDefault="006E20E7">
      <w:pPr>
        <w:tabs>
          <w:tab w:val="left" w:pos="8222"/>
        </w:tabs>
        <w:spacing w:line="276" w:lineRule="auto"/>
        <w:ind w:left="851" w:right="616"/>
        <w:jc w:val="both"/>
        <w:rPr>
          <w:rFonts w:ascii="Palatino Linotype" w:eastAsia="Palatino Linotype" w:hAnsi="Palatino Linotype" w:cs="Palatino Linotype"/>
          <w:i/>
          <w:sz w:val="22"/>
          <w:szCs w:val="22"/>
        </w:rPr>
      </w:pPr>
    </w:p>
    <w:p w14:paraId="7CF88E11"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“ARTÍCULO 49.- Los nombramientos, contratos o formato único de Movimientos de Personal de los servidores públicos deberán contener:</w:t>
      </w:r>
    </w:p>
    <w:p w14:paraId="666F18C9"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I. Nombre completo del servidor público; </w:t>
      </w:r>
    </w:p>
    <w:p w14:paraId="4F16C58A"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II. Cargo para el que es designado, fecha de inicio de sus servicios y lugar de adscripción; III. Carácter del nombramiento, ya sea de servidores públicos generales o de confianza, así como la temporalidad del mismo; </w:t>
      </w:r>
    </w:p>
    <w:p w14:paraId="37A515E7"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lastRenderedPageBreak/>
        <w:t xml:space="preserve">IV. Remuneración correspondiente al puesto; </w:t>
      </w:r>
    </w:p>
    <w:p w14:paraId="5345FF6E"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V. </w:t>
      </w:r>
      <w:proofErr w:type="spellStart"/>
      <w:r w:rsidRPr="00C03673">
        <w:rPr>
          <w:rFonts w:ascii="Palatino Linotype" w:eastAsia="Palatino Linotype" w:hAnsi="Palatino Linotype" w:cs="Palatino Linotype"/>
          <w:i/>
          <w:sz w:val="22"/>
          <w:szCs w:val="22"/>
        </w:rPr>
        <w:t>Jornadade</w:t>
      </w:r>
      <w:proofErr w:type="spellEnd"/>
      <w:r w:rsidRPr="00C03673">
        <w:rPr>
          <w:rFonts w:ascii="Palatino Linotype" w:eastAsia="Palatino Linotype" w:hAnsi="Palatino Linotype" w:cs="Palatino Linotype"/>
          <w:i/>
          <w:sz w:val="22"/>
          <w:szCs w:val="22"/>
        </w:rPr>
        <w:t xml:space="preserve"> trabajo; </w:t>
      </w:r>
    </w:p>
    <w:p w14:paraId="3F6507DC"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VI. Derogada; </w:t>
      </w:r>
    </w:p>
    <w:p w14:paraId="21EB6827" w14:textId="77777777" w:rsidR="006E20E7" w:rsidRPr="00C03673" w:rsidRDefault="00CA27F1">
      <w:pPr>
        <w:tabs>
          <w:tab w:val="left" w:pos="8222"/>
        </w:tabs>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VII. Firma del servidor público autorizado para emitir el nombramiento, contrato o formato único de Movimientos de Personal, así como el fundamento legal de esa atribución.”</w:t>
      </w:r>
    </w:p>
    <w:p w14:paraId="5F0762DA" w14:textId="77777777" w:rsidR="006E20E7" w:rsidRPr="00C03673" w:rsidRDefault="00CA27F1">
      <w:pPr>
        <w:tabs>
          <w:tab w:val="left" w:pos="8222"/>
        </w:tabs>
        <w:spacing w:line="276" w:lineRule="auto"/>
        <w:ind w:left="851" w:right="616"/>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(Énfasis añadido)</w:t>
      </w:r>
    </w:p>
    <w:p w14:paraId="3968385C" w14:textId="77777777" w:rsidR="006E20E7" w:rsidRPr="00C03673" w:rsidRDefault="006E20E7">
      <w:pPr>
        <w:tabs>
          <w:tab w:val="left" w:pos="709"/>
        </w:tabs>
        <w:spacing w:line="360" w:lineRule="auto"/>
        <w:jc w:val="both"/>
        <w:rPr>
          <w:rFonts w:ascii="Palatino Linotype" w:eastAsia="Palatino Linotype" w:hAnsi="Palatino Linotype" w:cs="Palatino Linotype"/>
          <w:sz w:val="22"/>
          <w:szCs w:val="22"/>
        </w:rPr>
      </w:pPr>
    </w:p>
    <w:p w14:paraId="6E47023A" w14:textId="77777777" w:rsidR="006E20E7" w:rsidRPr="00C03673" w:rsidRDefault="00CA27F1">
      <w:pPr>
        <w:tabs>
          <w:tab w:val="left" w:pos="709"/>
        </w:tabs>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Conforme a lo anterior, se logra advertir que toda persona que ingrese al servicio público debe cumplir con las especificaciones señaladas, así como aquellos requisitos que se establezcan para los diferentes puestos, sin embargo, se observa que entre los requisitos que establece el artículo en cita, algunos hacen referencia a un documento en específico, mientras que otros no; por lo que es conveniente analizar qué documentos pueden colmar dichos requisitos, siendo estos los siguientes:</w:t>
      </w:r>
    </w:p>
    <w:p w14:paraId="352D5EFC" w14:textId="77777777" w:rsidR="006E20E7" w:rsidRPr="00C03673" w:rsidRDefault="006E20E7">
      <w:pPr>
        <w:rPr>
          <w:rFonts w:ascii="Palatino Linotype" w:eastAsia="Palatino Linotype" w:hAnsi="Palatino Linotype" w:cs="Palatino Linotype"/>
          <w:sz w:val="22"/>
          <w:szCs w:val="22"/>
        </w:rPr>
      </w:pPr>
    </w:p>
    <w:tbl>
      <w:tblPr>
        <w:tblStyle w:val="aff0"/>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7"/>
        <w:gridCol w:w="2607"/>
        <w:gridCol w:w="2410"/>
      </w:tblGrid>
      <w:tr w:rsidR="00C03673" w:rsidRPr="00C03673" w14:paraId="30946489" w14:textId="77777777">
        <w:trPr>
          <w:tblHeader/>
        </w:trPr>
        <w:tc>
          <w:tcPr>
            <w:tcW w:w="3767" w:type="dxa"/>
            <w:shd w:val="clear" w:color="auto" w:fill="DDD9C4"/>
            <w:vAlign w:val="center"/>
          </w:tcPr>
          <w:p w14:paraId="28A1C363" w14:textId="77777777" w:rsidR="006E20E7" w:rsidRPr="00C03673" w:rsidRDefault="00CA27F1">
            <w:pPr>
              <w:tabs>
                <w:tab w:val="left" w:pos="284"/>
                <w:tab w:val="left" w:pos="426"/>
              </w:tabs>
              <w:ind w:right="49"/>
              <w:jc w:val="center"/>
              <w:rPr>
                <w:rFonts w:ascii="Palatino Linotype" w:eastAsia="Palatino Linotype" w:hAnsi="Palatino Linotype" w:cs="Palatino Linotype"/>
                <w:b/>
                <w:sz w:val="20"/>
                <w:szCs w:val="20"/>
              </w:rPr>
            </w:pPr>
            <w:r w:rsidRPr="00C03673">
              <w:rPr>
                <w:rFonts w:ascii="Palatino Linotype" w:eastAsia="Palatino Linotype" w:hAnsi="Palatino Linotype" w:cs="Palatino Linotype"/>
                <w:b/>
                <w:sz w:val="20"/>
                <w:szCs w:val="20"/>
              </w:rPr>
              <w:t>Requisito establecido en la Ley del Trabajo de los Servidores Públicos del Estado y Municipios</w:t>
            </w:r>
          </w:p>
        </w:tc>
        <w:tc>
          <w:tcPr>
            <w:tcW w:w="2607" w:type="dxa"/>
            <w:shd w:val="clear" w:color="auto" w:fill="DDD9C4"/>
            <w:vAlign w:val="center"/>
          </w:tcPr>
          <w:p w14:paraId="60D17EA3" w14:textId="77777777" w:rsidR="006E20E7" w:rsidRPr="00C03673" w:rsidRDefault="00CA27F1">
            <w:pPr>
              <w:tabs>
                <w:tab w:val="left" w:pos="284"/>
                <w:tab w:val="left" w:pos="426"/>
              </w:tabs>
              <w:ind w:right="49"/>
              <w:jc w:val="center"/>
              <w:rPr>
                <w:rFonts w:ascii="Palatino Linotype" w:eastAsia="Palatino Linotype" w:hAnsi="Palatino Linotype" w:cs="Palatino Linotype"/>
                <w:b/>
                <w:sz w:val="20"/>
                <w:szCs w:val="20"/>
              </w:rPr>
            </w:pPr>
            <w:r w:rsidRPr="00C03673">
              <w:rPr>
                <w:rFonts w:ascii="Palatino Linotype" w:eastAsia="Palatino Linotype" w:hAnsi="Palatino Linotype" w:cs="Palatino Linotype"/>
                <w:b/>
                <w:sz w:val="20"/>
                <w:szCs w:val="20"/>
              </w:rPr>
              <w:t>Documento que lo acredita</w:t>
            </w:r>
          </w:p>
        </w:tc>
        <w:tc>
          <w:tcPr>
            <w:tcW w:w="2410" w:type="dxa"/>
            <w:shd w:val="clear" w:color="auto" w:fill="DDD9C4"/>
            <w:vAlign w:val="center"/>
          </w:tcPr>
          <w:p w14:paraId="5FF40C9A" w14:textId="77777777" w:rsidR="006E20E7" w:rsidRPr="00C03673" w:rsidRDefault="00CA27F1">
            <w:pPr>
              <w:tabs>
                <w:tab w:val="left" w:pos="284"/>
                <w:tab w:val="left" w:pos="426"/>
              </w:tabs>
              <w:ind w:right="49"/>
              <w:jc w:val="center"/>
              <w:rPr>
                <w:rFonts w:ascii="Palatino Linotype" w:eastAsia="Palatino Linotype" w:hAnsi="Palatino Linotype" w:cs="Palatino Linotype"/>
                <w:b/>
                <w:sz w:val="20"/>
                <w:szCs w:val="20"/>
              </w:rPr>
            </w:pPr>
            <w:r w:rsidRPr="00C03673">
              <w:rPr>
                <w:rFonts w:ascii="Palatino Linotype" w:eastAsia="Palatino Linotype" w:hAnsi="Palatino Linotype" w:cs="Palatino Linotype"/>
                <w:b/>
                <w:sz w:val="20"/>
                <w:szCs w:val="20"/>
              </w:rPr>
              <w:t>Clasificación de la Información</w:t>
            </w:r>
          </w:p>
        </w:tc>
      </w:tr>
      <w:tr w:rsidR="00C03673" w:rsidRPr="00C03673" w14:paraId="2700C187" w14:textId="77777777">
        <w:tc>
          <w:tcPr>
            <w:tcW w:w="3767" w:type="dxa"/>
            <w:vAlign w:val="center"/>
          </w:tcPr>
          <w:p w14:paraId="47E1A786" w14:textId="77777777" w:rsidR="006E20E7" w:rsidRPr="00C03673" w:rsidRDefault="00CA27F1">
            <w:pPr>
              <w:tabs>
                <w:tab w:val="left" w:pos="284"/>
                <w:tab w:val="left" w:pos="426"/>
              </w:tabs>
              <w:ind w:right="49"/>
              <w:jc w:val="both"/>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Presentar una solicitud utilizando la forma oficial que se autorice por la institución pública o dependencia correspondiente.</w:t>
            </w:r>
          </w:p>
        </w:tc>
        <w:tc>
          <w:tcPr>
            <w:tcW w:w="2607" w:type="dxa"/>
            <w:vAlign w:val="center"/>
          </w:tcPr>
          <w:p w14:paraId="36E48BA8" w14:textId="77777777" w:rsidR="006E20E7" w:rsidRPr="00C03673" w:rsidRDefault="00CA27F1">
            <w:pPr>
              <w:tabs>
                <w:tab w:val="left" w:pos="284"/>
                <w:tab w:val="left" w:pos="426"/>
              </w:tabs>
              <w:ind w:right="49"/>
              <w:jc w:val="both"/>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 xml:space="preserve">Solicitud de empleo, ficha curricular, </w:t>
            </w:r>
            <w:proofErr w:type="spellStart"/>
            <w:r w:rsidRPr="00C03673">
              <w:rPr>
                <w:rFonts w:ascii="Palatino Linotype" w:eastAsia="Palatino Linotype" w:hAnsi="Palatino Linotype" w:cs="Palatino Linotype"/>
                <w:sz w:val="20"/>
                <w:szCs w:val="20"/>
              </w:rPr>
              <w:t>curriculum</w:t>
            </w:r>
            <w:proofErr w:type="spellEnd"/>
            <w:r w:rsidRPr="00C03673">
              <w:rPr>
                <w:rFonts w:ascii="Palatino Linotype" w:eastAsia="Palatino Linotype" w:hAnsi="Palatino Linotype" w:cs="Palatino Linotype"/>
                <w:sz w:val="20"/>
                <w:szCs w:val="20"/>
              </w:rPr>
              <w:t xml:space="preserve"> vitae o documento análogo</w:t>
            </w:r>
          </w:p>
        </w:tc>
        <w:tc>
          <w:tcPr>
            <w:tcW w:w="2410" w:type="dxa"/>
            <w:vAlign w:val="center"/>
          </w:tcPr>
          <w:p w14:paraId="78CE8CE9" w14:textId="77777777" w:rsidR="006E20E7" w:rsidRPr="00C03673" w:rsidRDefault="00CA27F1">
            <w:pPr>
              <w:tabs>
                <w:tab w:val="left" w:pos="284"/>
                <w:tab w:val="left" w:pos="426"/>
              </w:tabs>
              <w:ind w:right="49"/>
              <w:jc w:val="center"/>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En versión Pública.</w:t>
            </w:r>
          </w:p>
        </w:tc>
      </w:tr>
      <w:tr w:rsidR="00C03673" w:rsidRPr="00C03673" w14:paraId="10FC39AA" w14:textId="77777777">
        <w:trPr>
          <w:trHeight w:val="517"/>
        </w:trPr>
        <w:tc>
          <w:tcPr>
            <w:tcW w:w="3767" w:type="dxa"/>
            <w:vAlign w:val="center"/>
          </w:tcPr>
          <w:p w14:paraId="630D2DAF" w14:textId="77777777" w:rsidR="006E20E7" w:rsidRPr="00C03673" w:rsidRDefault="00CA27F1">
            <w:pPr>
              <w:tabs>
                <w:tab w:val="left" w:pos="284"/>
                <w:tab w:val="left" w:pos="426"/>
              </w:tabs>
              <w:ind w:right="49"/>
              <w:jc w:val="both"/>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Ser de nacionalidad mexicana.</w:t>
            </w:r>
          </w:p>
        </w:tc>
        <w:tc>
          <w:tcPr>
            <w:tcW w:w="2607" w:type="dxa"/>
            <w:vAlign w:val="center"/>
          </w:tcPr>
          <w:p w14:paraId="0B9E8405" w14:textId="77777777" w:rsidR="006E20E7" w:rsidRPr="00C03673" w:rsidRDefault="00CA27F1">
            <w:pPr>
              <w:tabs>
                <w:tab w:val="left" w:pos="284"/>
                <w:tab w:val="left" w:pos="426"/>
              </w:tabs>
              <w:ind w:right="49"/>
              <w:jc w:val="both"/>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Acta de nacimiento</w:t>
            </w:r>
          </w:p>
        </w:tc>
        <w:tc>
          <w:tcPr>
            <w:tcW w:w="2410" w:type="dxa"/>
            <w:vAlign w:val="center"/>
          </w:tcPr>
          <w:p w14:paraId="5B3B6771" w14:textId="77777777" w:rsidR="006E20E7" w:rsidRPr="00C03673" w:rsidRDefault="00CA27F1">
            <w:pPr>
              <w:tabs>
                <w:tab w:val="left" w:pos="284"/>
                <w:tab w:val="left" w:pos="426"/>
              </w:tabs>
              <w:ind w:right="49"/>
              <w:jc w:val="center"/>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Confidencial</w:t>
            </w:r>
          </w:p>
        </w:tc>
      </w:tr>
      <w:tr w:rsidR="00C03673" w:rsidRPr="00C03673" w14:paraId="43FC2F40" w14:textId="77777777">
        <w:tc>
          <w:tcPr>
            <w:tcW w:w="3767" w:type="dxa"/>
            <w:vAlign w:val="center"/>
          </w:tcPr>
          <w:p w14:paraId="373CD98B" w14:textId="77777777" w:rsidR="006E20E7" w:rsidRPr="00C03673" w:rsidRDefault="00CA27F1">
            <w:pPr>
              <w:tabs>
                <w:tab w:val="left" w:pos="284"/>
                <w:tab w:val="left" w:pos="426"/>
              </w:tabs>
              <w:ind w:right="49"/>
              <w:jc w:val="both"/>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Estar en pleno ejercicio de sus derechos civiles y políticos.</w:t>
            </w:r>
          </w:p>
        </w:tc>
        <w:tc>
          <w:tcPr>
            <w:tcW w:w="2607" w:type="dxa"/>
            <w:vAlign w:val="center"/>
          </w:tcPr>
          <w:p w14:paraId="34727879" w14:textId="77777777" w:rsidR="006E20E7" w:rsidRPr="00C03673" w:rsidRDefault="00CA27F1">
            <w:pPr>
              <w:tabs>
                <w:tab w:val="left" w:pos="284"/>
                <w:tab w:val="left" w:pos="426"/>
              </w:tabs>
              <w:ind w:right="49"/>
              <w:jc w:val="both"/>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 xml:space="preserve">Credencial de Elector </w:t>
            </w:r>
          </w:p>
        </w:tc>
        <w:tc>
          <w:tcPr>
            <w:tcW w:w="2410" w:type="dxa"/>
            <w:vAlign w:val="center"/>
          </w:tcPr>
          <w:p w14:paraId="26847EAB" w14:textId="77777777" w:rsidR="006E20E7" w:rsidRPr="00C03673" w:rsidRDefault="00CA27F1">
            <w:pPr>
              <w:tabs>
                <w:tab w:val="left" w:pos="284"/>
                <w:tab w:val="left" w:pos="426"/>
              </w:tabs>
              <w:ind w:right="49"/>
              <w:jc w:val="center"/>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Confidencial</w:t>
            </w:r>
          </w:p>
        </w:tc>
      </w:tr>
      <w:tr w:rsidR="00C03673" w:rsidRPr="00C03673" w14:paraId="62A4E53F" w14:textId="77777777">
        <w:tc>
          <w:tcPr>
            <w:tcW w:w="3767" w:type="dxa"/>
            <w:vAlign w:val="center"/>
          </w:tcPr>
          <w:p w14:paraId="3CAD8EE1" w14:textId="77777777" w:rsidR="006E20E7" w:rsidRPr="00C03673" w:rsidRDefault="00CA27F1">
            <w:pPr>
              <w:tabs>
                <w:tab w:val="left" w:pos="284"/>
                <w:tab w:val="left" w:pos="426"/>
              </w:tabs>
              <w:ind w:right="49"/>
              <w:jc w:val="both"/>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Acreditar, cuando proceda, el cumplimiento de la Ley del Servicio Militar Nacional.</w:t>
            </w:r>
          </w:p>
        </w:tc>
        <w:tc>
          <w:tcPr>
            <w:tcW w:w="2607" w:type="dxa"/>
            <w:vAlign w:val="center"/>
          </w:tcPr>
          <w:p w14:paraId="694F2567" w14:textId="77777777" w:rsidR="006E20E7" w:rsidRPr="00C03673" w:rsidRDefault="00CA27F1">
            <w:pPr>
              <w:tabs>
                <w:tab w:val="left" w:pos="284"/>
                <w:tab w:val="left" w:pos="426"/>
              </w:tabs>
              <w:ind w:right="49"/>
              <w:jc w:val="both"/>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Cartilla de Servicio Militar</w:t>
            </w:r>
          </w:p>
        </w:tc>
        <w:tc>
          <w:tcPr>
            <w:tcW w:w="2410" w:type="dxa"/>
            <w:vAlign w:val="center"/>
          </w:tcPr>
          <w:p w14:paraId="1C5ACE31" w14:textId="77777777" w:rsidR="006E20E7" w:rsidRPr="00C03673" w:rsidRDefault="00CA27F1">
            <w:pPr>
              <w:tabs>
                <w:tab w:val="left" w:pos="284"/>
                <w:tab w:val="left" w:pos="426"/>
              </w:tabs>
              <w:ind w:right="49"/>
              <w:jc w:val="center"/>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Confidencial</w:t>
            </w:r>
          </w:p>
        </w:tc>
      </w:tr>
      <w:tr w:rsidR="00C03673" w:rsidRPr="00C03673" w14:paraId="534620F6" w14:textId="77777777">
        <w:tc>
          <w:tcPr>
            <w:tcW w:w="3767" w:type="dxa"/>
            <w:vAlign w:val="center"/>
          </w:tcPr>
          <w:p w14:paraId="6AFB8B9C" w14:textId="77777777" w:rsidR="006E20E7" w:rsidRPr="00C03673" w:rsidRDefault="00CA27F1">
            <w:pPr>
              <w:tabs>
                <w:tab w:val="left" w:pos="284"/>
                <w:tab w:val="left" w:pos="426"/>
              </w:tabs>
              <w:ind w:right="49"/>
              <w:jc w:val="both"/>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No haber sido separado anteriormente del servicio por las causas previstas en el artículo 93 de la presente ley.</w:t>
            </w:r>
          </w:p>
        </w:tc>
        <w:tc>
          <w:tcPr>
            <w:tcW w:w="2607" w:type="dxa"/>
            <w:vAlign w:val="center"/>
          </w:tcPr>
          <w:p w14:paraId="4F27C4D3" w14:textId="77777777" w:rsidR="006E20E7" w:rsidRPr="00C03673" w:rsidRDefault="00CA27F1">
            <w:pPr>
              <w:tabs>
                <w:tab w:val="left" w:pos="284"/>
                <w:tab w:val="left" w:pos="426"/>
              </w:tabs>
              <w:ind w:right="49"/>
              <w:jc w:val="both"/>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Manifestación bajo protesta de decir verdad.</w:t>
            </w:r>
          </w:p>
        </w:tc>
        <w:tc>
          <w:tcPr>
            <w:tcW w:w="2410" w:type="dxa"/>
            <w:vAlign w:val="center"/>
          </w:tcPr>
          <w:p w14:paraId="43B6B4E2" w14:textId="77777777" w:rsidR="006E20E7" w:rsidRPr="00C03673" w:rsidRDefault="00CA27F1">
            <w:pPr>
              <w:tabs>
                <w:tab w:val="left" w:pos="284"/>
                <w:tab w:val="left" w:pos="426"/>
              </w:tabs>
              <w:ind w:right="49"/>
              <w:jc w:val="center"/>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Documento íntegro</w:t>
            </w:r>
          </w:p>
        </w:tc>
      </w:tr>
      <w:tr w:rsidR="00C03673" w:rsidRPr="00C03673" w14:paraId="1C87732D" w14:textId="77777777">
        <w:tc>
          <w:tcPr>
            <w:tcW w:w="3767" w:type="dxa"/>
            <w:vAlign w:val="center"/>
          </w:tcPr>
          <w:p w14:paraId="446B558F" w14:textId="77777777" w:rsidR="006E20E7" w:rsidRPr="00C03673" w:rsidRDefault="00CA27F1">
            <w:pPr>
              <w:tabs>
                <w:tab w:val="left" w:pos="284"/>
                <w:tab w:val="left" w:pos="426"/>
              </w:tabs>
              <w:ind w:right="49"/>
              <w:jc w:val="both"/>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Tener buena salud, lo que se comprobará con los certificados médicos.</w:t>
            </w:r>
          </w:p>
        </w:tc>
        <w:tc>
          <w:tcPr>
            <w:tcW w:w="2607" w:type="dxa"/>
            <w:vAlign w:val="center"/>
          </w:tcPr>
          <w:p w14:paraId="64BE20C5" w14:textId="77777777" w:rsidR="006E20E7" w:rsidRPr="00C03673" w:rsidRDefault="00CA27F1">
            <w:pPr>
              <w:tabs>
                <w:tab w:val="left" w:pos="284"/>
                <w:tab w:val="left" w:pos="426"/>
              </w:tabs>
              <w:ind w:right="49"/>
              <w:jc w:val="both"/>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Certificado Médico</w:t>
            </w:r>
          </w:p>
        </w:tc>
        <w:tc>
          <w:tcPr>
            <w:tcW w:w="2410" w:type="dxa"/>
            <w:vAlign w:val="center"/>
          </w:tcPr>
          <w:p w14:paraId="6CFC0CE4" w14:textId="77777777" w:rsidR="006E20E7" w:rsidRPr="00C03673" w:rsidRDefault="00CA27F1">
            <w:pPr>
              <w:tabs>
                <w:tab w:val="left" w:pos="284"/>
                <w:tab w:val="left" w:pos="426"/>
              </w:tabs>
              <w:ind w:right="49"/>
              <w:jc w:val="center"/>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Confidencial</w:t>
            </w:r>
          </w:p>
        </w:tc>
      </w:tr>
      <w:tr w:rsidR="00C03673" w:rsidRPr="00C03673" w14:paraId="416773DA" w14:textId="77777777">
        <w:tc>
          <w:tcPr>
            <w:tcW w:w="3767" w:type="dxa"/>
            <w:vAlign w:val="center"/>
          </w:tcPr>
          <w:p w14:paraId="135A5201" w14:textId="77777777" w:rsidR="006E20E7" w:rsidRPr="00C03673" w:rsidRDefault="00CA27F1">
            <w:pPr>
              <w:tabs>
                <w:tab w:val="left" w:pos="284"/>
                <w:tab w:val="left" w:pos="426"/>
              </w:tabs>
              <w:ind w:right="49"/>
              <w:jc w:val="both"/>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lastRenderedPageBreak/>
              <w:t>Cumplir con los requisitos que se establezcan para los diferentes puestos.</w:t>
            </w:r>
          </w:p>
        </w:tc>
        <w:tc>
          <w:tcPr>
            <w:tcW w:w="2607" w:type="dxa"/>
            <w:vAlign w:val="center"/>
          </w:tcPr>
          <w:p w14:paraId="0B089CE0" w14:textId="77777777" w:rsidR="006E20E7" w:rsidRPr="00C03673" w:rsidRDefault="00CA27F1">
            <w:pPr>
              <w:tabs>
                <w:tab w:val="left" w:pos="284"/>
                <w:tab w:val="left" w:pos="426"/>
              </w:tabs>
              <w:ind w:right="49"/>
              <w:jc w:val="both"/>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Para el caso de los puestos de mandos medios y superiores de estructura, no existe una cédula de identificación del puesto ni un  catálogo general de puestos para estos niveles, según información obtenida de la fracción XII del artículo 92 de la Ley de Transparencia Local, relativa al “Perfil de puestos de los servidores públicos” contenida en el IPOMEX.</w:t>
            </w:r>
          </w:p>
        </w:tc>
        <w:tc>
          <w:tcPr>
            <w:tcW w:w="2410" w:type="dxa"/>
            <w:vAlign w:val="center"/>
          </w:tcPr>
          <w:p w14:paraId="6476ECCD" w14:textId="77777777" w:rsidR="006E20E7" w:rsidRPr="00C03673" w:rsidRDefault="00CA27F1">
            <w:pPr>
              <w:tabs>
                <w:tab w:val="left" w:pos="284"/>
                <w:tab w:val="left" w:pos="426"/>
              </w:tabs>
              <w:ind w:right="49"/>
              <w:jc w:val="center"/>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En versión Pública.</w:t>
            </w:r>
          </w:p>
        </w:tc>
      </w:tr>
      <w:tr w:rsidR="00C03673" w:rsidRPr="00C03673" w14:paraId="00F2E9E2" w14:textId="77777777">
        <w:tc>
          <w:tcPr>
            <w:tcW w:w="3767" w:type="dxa"/>
            <w:vAlign w:val="center"/>
          </w:tcPr>
          <w:p w14:paraId="38D443F1" w14:textId="77777777" w:rsidR="006E20E7" w:rsidRPr="00C03673" w:rsidRDefault="00CA27F1">
            <w:pPr>
              <w:tabs>
                <w:tab w:val="left" w:pos="284"/>
                <w:tab w:val="left" w:pos="426"/>
              </w:tabs>
              <w:ind w:right="49"/>
              <w:jc w:val="both"/>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Acreditar por medio de los exámenes correspondientes los conocimientos y aptitudes necesarios para el desempeño del puesto.</w:t>
            </w:r>
          </w:p>
        </w:tc>
        <w:tc>
          <w:tcPr>
            <w:tcW w:w="2607" w:type="dxa"/>
            <w:vAlign w:val="center"/>
          </w:tcPr>
          <w:p w14:paraId="423F54E9" w14:textId="77777777" w:rsidR="006E20E7" w:rsidRPr="00C03673" w:rsidRDefault="00CA27F1">
            <w:pPr>
              <w:tabs>
                <w:tab w:val="left" w:pos="284"/>
                <w:tab w:val="left" w:pos="426"/>
              </w:tabs>
              <w:ind w:right="49"/>
              <w:jc w:val="both"/>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El documento obtenido por haber acreditado los exámenes de oposición o de conocimientos o aptitudes necesarios para ejercer el cargo.</w:t>
            </w:r>
          </w:p>
        </w:tc>
        <w:tc>
          <w:tcPr>
            <w:tcW w:w="2410" w:type="dxa"/>
            <w:vAlign w:val="center"/>
          </w:tcPr>
          <w:p w14:paraId="12A938C0" w14:textId="77777777" w:rsidR="006E20E7" w:rsidRPr="00C03673" w:rsidRDefault="00CA27F1">
            <w:pPr>
              <w:tabs>
                <w:tab w:val="left" w:pos="284"/>
                <w:tab w:val="left" w:pos="426"/>
              </w:tabs>
              <w:ind w:right="49"/>
              <w:jc w:val="center"/>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En versión Pública.</w:t>
            </w:r>
          </w:p>
        </w:tc>
      </w:tr>
      <w:tr w:rsidR="00C03673" w:rsidRPr="00C03673" w14:paraId="536D62A2" w14:textId="77777777">
        <w:tc>
          <w:tcPr>
            <w:tcW w:w="3767" w:type="dxa"/>
            <w:vAlign w:val="center"/>
          </w:tcPr>
          <w:p w14:paraId="02032533" w14:textId="77777777" w:rsidR="006E20E7" w:rsidRPr="00C03673" w:rsidRDefault="00CA27F1">
            <w:pPr>
              <w:tabs>
                <w:tab w:val="left" w:pos="284"/>
                <w:tab w:val="left" w:pos="426"/>
              </w:tabs>
              <w:ind w:right="49"/>
              <w:jc w:val="both"/>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No estar inhabilitado para el ejercicio del servicio público.</w:t>
            </w:r>
          </w:p>
        </w:tc>
        <w:tc>
          <w:tcPr>
            <w:tcW w:w="2607" w:type="dxa"/>
            <w:vAlign w:val="center"/>
          </w:tcPr>
          <w:p w14:paraId="4DB6BB71" w14:textId="77777777" w:rsidR="006E20E7" w:rsidRPr="00C03673" w:rsidRDefault="00CA27F1">
            <w:pPr>
              <w:tabs>
                <w:tab w:val="left" w:pos="284"/>
                <w:tab w:val="left" w:pos="426"/>
              </w:tabs>
              <w:ind w:right="49"/>
              <w:jc w:val="both"/>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Constancia de no inhabilitación.</w:t>
            </w:r>
          </w:p>
        </w:tc>
        <w:tc>
          <w:tcPr>
            <w:tcW w:w="2410" w:type="dxa"/>
            <w:vAlign w:val="center"/>
          </w:tcPr>
          <w:p w14:paraId="7641BFF0" w14:textId="77777777" w:rsidR="006E20E7" w:rsidRPr="00C03673" w:rsidRDefault="00CA27F1">
            <w:pPr>
              <w:tabs>
                <w:tab w:val="left" w:pos="284"/>
                <w:tab w:val="left" w:pos="426"/>
              </w:tabs>
              <w:ind w:right="49"/>
              <w:jc w:val="center"/>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En versión Pública.</w:t>
            </w:r>
          </w:p>
        </w:tc>
      </w:tr>
      <w:tr w:rsidR="00C03673" w:rsidRPr="00C03673" w14:paraId="76E23121" w14:textId="77777777">
        <w:tc>
          <w:tcPr>
            <w:tcW w:w="3767" w:type="dxa"/>
            <w:vAlign w:val="center"/>
          </w:tcPr>
          <w:p w14:paraId="266DB1DA" w14:textId="77777777" w:rsidR="006E20E7" w:rsidRPr="00C03673" w:rsidRDefault="00CA27F1">
            <w:pPr>
              <w:tabs>
                <w:tab w:val="left" w:pos="284"/>
                <w:tab w:val="left" w:pos="426"/>
              </w:tabs>
              <w:ind w:right="49"/>
              <w:jc w:val="both"/>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Presentar certificado expedido por la Unidad del Registro de Deudores Alimentarios Morosos en el que conste, si se encuentra inscrito o no en el mismo.</w:t>
            </w:r>
          </w:p>
        </w:tc>
        <w:tc>
          <w:tcPr>
            <w:tcW w:w="2607" w:type="dxa"/>
            <w:vAlign w:val="center"/>
          </w:tcPr>
          <w:p w14:paraId="594CB93B" w14:textId="77777777" w:rsidR="006E20E7" w:rsidRPr="00C03673" w:rsidRDefault="00CA27F1">
            <w:pPr>
              <w:tabs>
                <w:tab w:val="left" w:pos="284"/>
                <w:tab w:val="left" w:pos="426"/>
              </w:tabs>
              <w:ind w:right="49"/>
              <w:jc w:val="both"/>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Certificado de No Deudor Alimentario Moroso.</w:t>
            </w:r>
          </w:p>
        </w:tc>
        <w:tc>
          <w:tcPr>
            <w:tcW w:w="2410" w:type="dxa"/>
            <w:vAlign w:val="center"/>
          </w:tcPr>
          <w:p w14:paraId="6F6AFFBF" w14:textId="77777777" w:rsidR="006E20E7" w:rsidRPr="00C03673" w:rsidRDefault="00CA27F1">
            <w:pPr>
              <w:tabs>
                <w:tab w:val="left" w:pos="284"/>
                <w:tab w:val="left" w:pos="426"/>
              </w:tabs>
              <w:ind w:right="49"/>
              <w:jc w:val="center"/>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En versión Pública.</w:t>
            </w:r>
          </w:p>
        </w:tc>
      </w:tr>
      <w:tr w:rsidR="006E20E7" w:rsidRPr="00C03673" w14:paraId="6AB27271" w14:textId="77777777">
        <w:tc>
          <w:tcPr>
            <w:tcW w:w="3767" w:type="dxa"/>
            <w:shd w:val="clear" w:color="auto" w:fill="auto"/>
            <w:vAlign w:val="center"/>
          </w:tcPr>
          <w:p w14:paraId="5E83AACF" w14:textId="77777777" w:rsidR="006E20E7" w:rsidRPr="00C03673" w:rsidRDefault="00CA27F1">
            <w:pPr>
              <w:tabs>
                <w:tab w:val="left" w:pos="284"/>
                <w:tab w:val="left" w:pos="426"/>
              </w:tabs>
              <w:ind w:right="49"/>
              <w:jc w:val="both"/>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Para iniciar la prestación de los servicios</w:t>
            </w:r>
          </w:p>
        </w:tc>
        <w:tc>
          <w:tcPr>
            <w:tcW w:w="2607" w:type="dxa"/>
            <w:shd w:val="clear" w:color="auto" w:fill="auto"/>
            <w:vAlign w:val="center"/>
          </w:tcPr>
          <w:p w14:paraId="7C3CAFB9" w14:textId="77777777" w:rsidR="006E20E7" w:rsidRPr="00C03673" w:rsidRDefault="00CA27F1">
            <w:pPr>
              <w:tabs>
                <w:tab w:val="left" w:pos="284"/>
                <w:tab w:val="left" w:pos="426"/>
              </w:tabs>
              <w:ind w:right="49"/>
              <w:jc w:val="both"/>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Nombramiento, contrato o formato único de Movimientos de Personal.</w:t>
            </w:r>
          </w:p>
        </w:tc>
        <w:tc>
          <w:tcPr>
            <w:tcW w:w="2410" w:type="dxa"/>
            <w:vAlign w:val="center"/>
          </w:tcPr>
          <w:p w14:paraId="3F2E34F5" w14:textId="77777777" w:rsidR="006E20E7" w:rsidRPr="00C03673" w:rsidRDefault="00CA27F1">
            <w:pPr>
              <w:tabs>
                <w:tab w:val="left" w:pos="284"/>
                <w:tab w:val="left" w:pos="426"/>
              </w:tabs>
              <w:ind w:right="49"/>
              <w:jc w:val="center"/>
              <w:rPr>
                <w:rFonts w:ascii="Palatino Linotype" w:eastAsia="Palatino Linotype" w:hAnsi="Palatino Linotype" w:cs="Palatino Linotype"/>
                <w:sz w:val="20"/>
                <w:szCs w:val="20"/>
              </w:rPr>
            </w:pPr>
            <w:r w:rsidRPr="00C03673">
              <w:rPr>
                <w:rFonts w:ascii="Palatino Linotype" w:eastAsia="Palatino Linotype" w:hAnsi="Palatino Linotype" w:cs="Palatino Linotype"/>
                <w:sz w:val="20"/>
                <w:szCs w:val="20"/>
              </w:rPr>
              <w:t>En versión Pública.</w:t>
            </w:r>
          </w:p>
        </w:tc>
      </w:tr>
    </w:tbl>
    <w:p w14:paraId="5ADD5847" w14:textId="77777777" w:rsidR="006E20E7" w:rsidRPr="00C03673" w:rsidRDefault="006E20E7">
      <w:pPr>
        <w:tabs>
          <w:tab w:val="left" w:pos="8222"/>
        </w:tabs>
        <w:spacing w:line="360" w:lineRule="auto"/>
        <w:ind w:right="49"/>
        <w:jc w:val="both"/>
        <w:rPr>
          <w:rFonts w:ascii="Palatino Linotype" w:eastAsia="Palatino Linotype" w:hAnsi="Palatino Linotype" w:cs="Palatino Linotype"/>
          <w:sz w:val="22"/>
          <w:szCs w:val="22"/>
        </w:rPr>
      </w:pPr>
    </w:p>
    <w:p w14:paraId="789085F7"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Ahora bien, conviene recordar que la parte </w:t>
      </w:r>
      <w:r w:rsidRPr="00C03673">
        <w:rPr>
          <w:rFonts w:ascii="Palatino Linotype" w:eastAsia="Palatino Linotype" w:hAnsi="Palatino Linotype" w:cs="Palatino Linotype"/>
          <w:b/>
          <w:sz w:val="22"/>
          <w:szCs w:val="22"/>
        </w:rPr>
        <w:t>Recurrente</w:t>
      </w:r>
      <w:r w:rsidRPr="00C03673">
        <w:rPr>
          <w:rFonts w:ascii="Palatino Linotype" w:eastAsia="Palatino Linotype" w:hAnsi="Palatino Linotype" w:cs="Palatino Linotype"/>
          <w:sz w:val="22"/>
          <w:szCs w:val="22"/>
        </w:rPr>
        <w:t xml:space="preserve"> solicitó únicamente los expedientes laborales de los servidores públicos que deben contar con certificación de competencia laboral; por lo que conviene traer a contexto, la Ley Orgánica Municipal del Estado de </w:t>
      </w:r>
      <w:r w:rsidRPr="00C03673">
        <w:rPr>
          <w:rFonts w:ascii="Palatino Linotype" w:eastAsia="Palatino Linotype" w:hAnsi="Palatino Linotype" w:cs="Palatino Linotype"/>
          <w:sz w:val="22"/>
          <w:szCs w:val="22"/>
        </w:rPr>
        <w:lastRenderedPageBreak/>
        <w:t xml:space="preserve">México en sus artículos 32, 81 Bis, 85 </w:t>
      </w:r>
      <w:proofErr w:type="spellStart"/>
      <w:r w:rsidRPr="00C03673">
        <w:rPr>
          <w:rFonts w:ascii="Palatino Linotype" w:eastAsia="Palatino Linotype" w:hAnsi="Palatino Linotype" w:cs="Palatino Linotype"/>
          <w:sz w:val="22"/>
          <w:szCs w:val="22"/>
        </w:rPr>
        <w:t>Sexies</w:t>
      </w:r>
      <w:proofErr w:type="spellEnd"/>
      <w:r w:rsidRPr="00C03673">
        <w:rPr>
          <w:rFonts w:ascii="Palatino Linotype" w:eastAsia="Palatino Linotype" w:hAnsi="Palatino Linotype" w:cs="Palatino Linotype"/>
          <w:sz w:val="22"/>
          <w:szCs w:val="22"/>
        </w:rPr>
        <w:t xml:space="preserve">, 92, 96 Bis, 96 </w:t>
      </w:r>
      <w:proofErr w:type="spellStart"/>
      <w:r w:rsidRPr="00C03673">
        <w:rPr>
          <w:rFonts w:ascii="Palatino Linotype" w:eastAsia="Palatino Linotype" w:hAnsi="Palatino Linotype" w:cs="Palatino Linotype"/>
          <w:sz w:val="22"/>
          <w:szCs w:val="22"/>
        </w:rPr>
        <w:t>Quintus</w:t>
      </w:r>
      <w:proofErr w:type="spellEnd"/>
      <w:r w:rsidRPr="00C03673">
        <w:rPr>
          <w:rFonts w:ascii="Palatino Linotype" w:eastAsia="Palatino Linotype" w:hAnsi="Palatino Linotype" w:cs="Palatino Linotype"/>
          <w:sz w:val="22"/>
          <w:szCs w:val="22"/>
        </w:rPr>
        <w:t xml:space="preserve">, 96 </w:t>
      </w:r>
      <w:proofErr w:type="spellStart"/>
      <w:r w:rsidRPr="00C03673">
        <w:rPr>
          <w:rFonts w:ascii="Palatino Linotype" w:eastAsia="Palatino Linotype" w:hAnsi="Palatino Linotype" w:cs="Palatino Linotype"/>
          <w:sz w:val="22"/>
          <w:szCs w:val="22"/>
        </w:rPr>
        <w:t>Septies</w:t>
      </w:r>
      <w:proofErr w:type="spellEnd"/>
      <w:r w:rsidRPr="00C03673">
        <w:rPr>
          <w:rFonts w:ascii="Palatino Linotype" w:eastAsia="Palatino Linotype" w:hAnsi="Palatino Linotype" w:cs="Palatino Linotype"/>
          <w:sz w:val="22"/>
          <w:szCs w:val="22"/>
        </w:rPr>
        <w:t xml:space="preserve">, 96 </w:t>
      </w:r>
      <w:proofErr w:type="spellStart"/>
      <w:r w:rsidRPr="00C03673">
        <w:rPr>
          <w:rFonts w:ascii="Palatino Linotype" w:eastAsia="Palatino Linotype" w:hAnsi="Palatino Linotype" w:cs="Palatino Linotype"/>
          <w:sz w:val="22"/>
          <w:szCs w:val="22"/>
        </w:rPr>
        <w:t>Nonies</w:t>
      </w:r>
      <w:proofErr w:type="spellEnd"/>
      <w:r w:rsidRPr="00C03673">
        <w:rPr>
          <w:rFonts w:ascii="Palatino Linotype" w:eastAsia="Palatino Linotype" w:hAnsi="Palatino Linotype" w:cs="Palatino Linotype"/>
          <w:sz w:val="22"/>
          <w:szCs w:val="22"/>
        </w:rPr>
        <w:t xml:space="preserve">, 96 </w:t>
      </w:r>
      <w:proofErr w:type="spellStart"/>
      <w:r w:rsidRPr="00C03673">
        <w:rPr>
          <w:rFonts w:ascii="Palatino Linotype" w:eastAsia="Palatino Linotype" w:hAnsi="Palatino Linotype" w:cs="Palatino Linotype"/>
          <w:sz w:val="22"/>
          <w:szCs w:val="22"/>
        </w:rPr>
        <w:t>Undecies</w:t>
      </w:r>
      <w:proofErr w:type="spellEnd"/>
      <w:r w:rsidRPr="00C03673">
        <w:rPr>
          <w:rFonts w:ascii="Palatino Linotype" w:eastAsia="Palatino Linotype" w:hAnsi="Palatino Linotype" w:cs="Palatino Linotype"/>
          <w:sz w:val="22"/>
          <w:szCs w:val="22"/>
        </w:rPr>
        <w:t xml:space="preserve">, 96 </w:t>
      </w:r>
      <w:proofErr w:type="spellStart"/>
      <w:r w:rsidRPr="00C03673">
        <w:rPr>
          <w:rFonts w:ascii="Palatino Linotype" w:eastAsia="Palatino Linotype" w:hAnsi="Palatino Linotype" w:cs="Palatino Linotype"/>
          <w:sz w:val="22"/>
          <w:szCs w:val="22"/>
        </w:rPr>
        <w:t>Terdecies</w:t>
      </w:r>
      <w:proofErr w:type="spellEnd"/>
      <w:r w:rsidRPr="00C03673">
        <w:rPr>
          <w:rFonts w:ascii="Palatino Linotype" w:eastAsia="Palatino Linotype" w:hAnsi="Palatino Linotype" w:cs="Palatino Linotype"/>
          <w:sz w:val="22"/>
          <w:szCs w:val="22"/>
        </w:rPr>
        <w:t xml:space="preserve">, 96 </w:t>
      </w:r>
      <w:proofErr w:type="spellStart"/>
      <w:r w:rsidRPr="00C03673">
        <w:rPr>
          <w:rFonts w:ascii="Palatino Linotype" w:eastAsia="Palatino Linotype" w:hAnsi="Palatino Linotype" w:cs="Palatino Linotype"/>
          <w:sz w:val="22"/>
          <w:szCs w:val="22"/>
        </w:rPr>
        <w:t>Quindecies</w:t>
      </w:r>
      <w:proofErr w:type="spellEnd"/>
      <w:r w:rsidRPr="00C03673">
        <w:rPr>
          <w:rFonts w:ascii="Palatino Linotype" w:eastAsia="Palatino Linotype" w:hAnsi="Palatino Linotype" w:cs="Palatino Linotype"/>
          <w:sz w:val="22"/>
          <w:szCs w:val="22"/>
        </w:rPr>
        <w:t xml:space="preserve">, 113, 123 Bis, 124 </w:t>
      </w:r>
      <w:proofErr w:type="spellStart"/>
      <w:r w:rsidRPr="00C03673">
        <w:rPr>
          <w:rFonts w:ascii="Palatino Linotype" w:eastAsia="Palatino Linotype" w:hAnsi="Palatino Linotype" w:cs="Palatino Linotype"/>
          <w:sz w:val="22"/>
          <w:szCs w:val="22"/>
        </w:rPr>
        <w:t>Quater</w:t>
      </w:r>
      <w:proofErr w:type="spellEnd"/>
      <w:r w:rsidRPr="00C03673">
        <w:rPr>
          <w:rFonts w:ascii="Palatino Linotype" w:eastAsia="Palatino Linotype" w:hAnsi="Palatino Linotype" w:cs="Palatino Linotype"/>
          <w:sz w:val="22"/>
          <w:szCs w:val="22"/>
        </w:rPr>
        <w:t xml:space="preserve"> y 147 fracción I, mismos en su parte conducente refieren:</w:t>
      </w:r>
    </w:p>
    <w:p w14:paraId="5B703D54"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7BEDAF3B"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r w:rsidRPr="00C03673">
        <w:rPr>
          <w:rFonts w:ascii="Palatino Linotype" w:eastAsia="Palatino Linotype" w:hAnsi="Palatino Linotype" w:cs="Palatino Linotype"/>
          <w:b/>
          <w:i/>
          <w:sz w:val="22"/>
          <w:szCs w:val="22"/>
        </w:rPr>
        <w:t>Artículo 32</w:t>
      </w:r>
      <w:r w:rsidRPr="00C03673">
        <w:rPr>
          <w:rFonts w:ascii="Palatino Linotype" w:eastAsia="Palatino Linotype" w:hAnsi="Palatino Linotype" w:cs="Palatino Linotype"/>
          <w:i/>
          <w:sz w:val="22"/>
          <w:szCs w:val="22"/>
        </w:rPr>
        <w:t>.</w:t>
      </w:r>
      <w:r w:rsidRPr="00C03673">
        <w:rPr>
          <w:rFonts w:ascii="Palatino Linotype" w:eastAsia="Palatino Linotype" w:hAnsi="Palatino Linotype" w:cs="Palatino Linotype"/>
          <w:b/>
          <w:i/>
          <w:sz w:val="22"/>
          <w:szCs w:val="22"/>
        </w:rPr>
        <w:t xml:space="preserve"> </w:t>
      </w:r>
      <w:r w:rsidRPr="00C03673">
        <w:rPr>
          <w:rFonts w:ascii="Palatino Linotype" w:eastAsia="Palatino Linotype" w:hAnsi="Palatino Linotype" w:cs="Palatino Linotype"/>
          <w:i/>
          <w:sz w:val="22"/>
          <w:szCs w:val="22"/>
        </w:rPr>
        <w:t xml:space="preserve">Para ocupar las titularidades </w:t>
      </w:r>
      <w:r w:rsidRPr="00C03673">
        <w:rPr>
          <w:rFonts w:ascii="Palatino Linotype" w:eastAsia="Palatino Linotype" w:hAnsi="Palatino Linotype" w:cs="Palatino Linotype"/>
          <w:b/>
          <w:i/>
          <w:sz w:val="22"/>
          <w:szCs w:val="22"/>
        </w:rPr>
        <w:t>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r w:rsidRPr="00C03673">
        <w:rPr>
          <w:rFonts w:ascii="Palatino Linotype" w:eastAsia="Palatino Linotype" w:hAnsi="Palatino Linotype" w:cs="Palatino Linotype"/>
          <w:i/>
          <w:sz w:val="22"/>
          <w:szCs w:val="22"/>
        </w:rPr>
        <w:t xml:space="preserve"> </w:t>
      </w:r>
    </w:p>
    <w:p w14:paraId="686863F7"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w:t>
      </w:r>
    </w:p>
    <w:p w14:paraId="07CFEC8D"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IV. Contar con certificación de competencia laboral en la materia del cargo que se desempeñará, expedida por institución con reconocimiento de validez oficial</w:t>
      </w:r>
      <w:r w:rsidRPr="00C03673">
        <w:rPr>
          <w:rFonts w:ascii="Palatino Linotype" w:eastAsia="Palatino Linotype" w:hAnsi="Palatino Linotype" w:cs="Palatino Linotype"/>
          <w:i/>
          <w:sz w:val="22"/>
          <w:szCs w:val="22"/>
        </w:rPr>
        <w:t xml:space="preserve">. </w:t>
      </w:r>
    </w:p>
    <w:p w14:paraId="4EB28D53"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Este requisito deberá acreditarse dentro de los seis meses siguientes a la fecha  en que inicien sus funciones; </w:t>
      </w:r>
    </w:p>
    <w:p w14:paraId="32E49A85"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p>
    <w:p w14:paraId="0708B357"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 </w:t>
      </w:r>
    </w:p>
    <w:p w14:paraId="73D4CDF8"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w:t>
      </w:r>
    </w:p>
    <w:p w14:paraId="45EE9A3B"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Artículo 81 Bis</w:t>
      </w:r>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b/>
          <w:i/>
          <w:sz w:val="22"/>
          <w:szCs w:val="22"/>
        </w:rPr>
        <w:t>Para ser</w:t>
      </w:r>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b/>
          <w:i/>
          <w:sz w:val="22"/>
          <w:szCs w:val="22"/>
        </w:rPr>
        <w:t>titular de la Coordinación Municipal de Protección Civil</w:t>
      </w:r>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b/>
          <w:i/>
          <w:sz w:val="22"/>
          <w:szCs w:val="22"/>
        </w:rPr>
        <w:t>se requiere</w:t>
      </w:r>
      <w:r w:rsidRPr="00C03673">
        <w:rPr>
          <w:rFonts w:ascii="Palatino Linotype" w:eastAsia="Palatino Linotype" w:hAnsi="Palatino Linotype" w:cs="Palatino Linotype"/>
          <w:i/>
          <w:sz w:val="22"/>
          <w:szCs w:val="22"/>
        </w:rPr>
        <w:t xml:space="preserve">, además de los requisitos del artículo 32 de esta Ley, tener los conocimientos suficientes debidamente acreditados en materia de protección civil para poder desempeñar el cargo y </w:t>
      </w:r>
      <w:r w:rsidRPr="00C03673">
        <w:rPr>
          <w:rFonts w:ascii="Palatino Linotype" w:eastAsia="Palatino Linotype" w:hAnsi="Palatino Linotype" w:cs="Palatino Linotype"/>
          <w:b/>
          <w:i/>
          <w:sz w:val="22"/>
          <w:szCs w:val="22"/>
        </w:rPr>
        <w:t xml:space="preserve">acreditar </w:t>
      </w:r>
      <w:r w:rsidRPr="00C03673">
        <w:rPr>
          <w:rFonts w:ascii="Palatino Linotype" w:eastAsia="Palatino Linotype" w:hAnsi="Palatino Linotype" w:cs="Palatino Linotype"/>
          <w:i/>
          <w:sz w:val="22"/>
          <w:szCs w:val="22"/>
        </w:rPr>
        <w:t>dentro de los seis meses siguientes a partir del  momento en que ocupe el cargo</w:t>
      </w:r>
      <w:r w:rsidRPr="00C03673">
        <w:rPr>
          <w:rFonts w:ascii="Palatino Linotype" w:eastAsia="Palatino Linotype" w:hAnsi="Palatino Linotype" w:cs="Palatino Linotype"/>
          <w:b/>
          <w:i/>
          <w:sz w:val="22"/>
          <w:szCs w:val="22"/>
        </w:rPr>
        <w:t xml:space="preserve">, a través del certificado respectivo, </w:t>
      </w:r>
      <w:r w:rsidRPr="00C03673">
        <w:rPr>
          <w:rFonts w:ascii="Palatino Linotype" w:eastAsia="Palatino Linotype" w:hAnsi="Palatino Linotype" w:cs="Palatino Linotype"/>
          <w:i/>
          <w:sz w:val="22"/>
          <w:szCs w:val="22"/>
        </w:rPr>
        <w:t>haber tomado cursos  de capacitación en la materia, impartidos por la Coordinación General de Protección  Civil</w:t>
      </w:r>
      <w:r w:rsidRPr="00C03673">
        <w:rPr>
          <w:rFonts w:ascii="Palatino Linotype" w:eastAsia="Palatino Linotype" w:hAnsi="Palatino Linotype" w:cs="Palatino Linotype"/>
          <w:b/>
          <w:i/>
          <w:sz w:val="22"/>
          <w:szCs w:val="22"/>
        </w:rPr>
        <w:t xml:space="preserve"> </w:t>
      </w:r>
      <w:r w:rsidRPr="00C03673">
        <w:rPr>
          <w:rFonts w:ascii="Palatino Linotype" w:eastAsia="Palatino Linotype" w:hAnsi="Palatino Linotype" w:cs="Palatino Linotype"/>
          <w:i/>
          <w:sz w:val="22"/>
          <w:szCs w:val="22"/>
        </w:rPr>
        <w:t xml:space="preserve">del Estado de México o por cualquier otra institución debidamente reconocida por  la misma. </w:t>
      </w:r>
    </w:p>
    <w:p w14:paraId="6D9F9C14"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p>
    <w:p w14:paraId="1F339285"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 xml:space="preserve">Artículo 85 </w:t>
      </w:r>
      <w:proofErr w:type="spellStart"/>
      <w:r w:rsidRPr="00C03673">
        <w:rPr>
          <w:rFonts w:ascii="Palatino Linotype" w:eastAsia="Palatino Linotype" w:hAnsi="Palatino Linotype" w:cs="Palatino Linotype"/>
          <w:b/>
          <w:i/>
          <w:sz w:val="22"/>
          <w:szCs w:val="22"/>
        </w:rPr>
        <w:t>Sexies</w:t>
      </w:r>
      <w:proofErr w:type="spellEnd"/>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b/>
          <w:i/>
          <w:sz w:val="22"/>
          <w:szCs w:val="22"/>
        </w:rPr>
        <w:t>El Coordinador General Municipal de Mejora Regulatoria</w:t>
      </w:r>
      <w:r w:rsidRPr="00C03673">
        <w:rPr>
          <w:rFonts w:ascii="Palatino Linotype" w:eastAsia="Palatino Linotype" w:hAnsi="Palatino Linotype" w:cs="Palatino Linotype"/>
          <w:i/>
          <w:sz w:val="22"/>
          <w:szCs w:val="22"/>
        </w:rPr>
        <w:t xml:space="preserve">,  además de los requisitos establecidos en el artículo 32 de esta Ley, requiere contar con  título profesional, además </w:t>
      </w:r>
      <w:r w:rsidRPr="00C03673">
        <w:rPr>
          <w:rFonts w:ascii="Palatino Linotype" w:eastAsia="Palatino Linotype" w:hAnsi="Palatino Linotype" w:cs="Palatino Linotype"/>
          <w:b/>
          <w:i/>
          <w:sz w:val="22"/>
          <w:szCs w:val="22"/>
        </w:rPr>
        <w:t>deberá acreditar</w:t>
      </w:r>
      <w:r w:rsidRPr="00C03673">
        <w:rPr>
          <w:rFonts w:ascii="Palatino Linotype" w:eastAsia="Palatino Linotype" w:hAnsi="Palatino Linotype" w:cs="Palatino Linotype"/>
          <w:i/>
          <w:sz w:val="22"/>
          <w:szCs w:val="22"/>
        </w:rPr>
        <w:t xml:space="preserve">, dentro de los seis meses siguientes a la fecha en que inicie sus funciones, </w:t>
      </w:r>
      <w:r w:rsidRPr="00C03673">
        <w:rPr>
          <w:rFonts w:ascii="Palatino Linotype" w:eastAsia="Palatino Linotype" w:hAnsi="Palatino Linotype" w:cs="Palatino Linotype"/>
          <w:b/>
          <w:i/>
          <w:sz w:val="22"/>
          <w:szCs w:val="22"/>
        </w:rPr>
        <w:t xml:space="preserve">el diplomado en materia de mejora regulatoria </w:t>
      </w:r>
      <w:r w:rsidRPr="00C03673">
        <w:rPr>
          <w:rFonts w:ascii="Palatino Linotype" w:eastAsia="Palatino Linotype" w:hAnsi="Palatino Linotype" w:cs="Palatino Linotype"/>
          <w:i/>
          <w:sz w:val="22"/>
          <w:szCs w:val="22"/>
        </w:rPr>
        <w:t xml:space="preserve">expedido por  el Instituto de Profesionalización de los </w:t>
      </w:r>
      <w:r w:rsidRPr="00C03673">
        <w:rPr>
          <w:rFonts w:ascii="Palatino Linotype" w:eastAsia="Palatino Linotype" w:hAnsi="Palatino Linotype" w:cs="Palatino Linotype"/>
          <w:i/>
          <w:sz w:val="22"/>
          <w:szCs w:val="22"/>
        </w:rPr>
        <w:lastRenderedPageBreak/>
        <w:t>Servidores Públicos del Estado de México</w:t>
      </w:r>
      <w:r w:rsidRPr="00C03673">
        <w:rPr>
          <w:rFonts w:ascii="Palatino Linotype" w:eastAsia="Palatino Linotype" w:hAnsi="Palatino Linotype" w:cs="Palatino Linotype"/>
          <w:b/>
          <w:i/>
          <w:sz w:val="22"/>
          <w:szCs w:val="22"/>
        </w:rPr>
        <w:t xml:space="preserve"> o la certificación de competencia laboral </w:t>
      </w:r>
      <w:r w:rsidRPr="00C03673">
        <w:rPr>
          <w:rFonts w:ascii="Palatino Linotype" w:eastAsia="Palatino Linotype" w:hAnsi="Palatino Linotype" w:cs="Palatino Linotype"/>
          <w:i/>
          <w:sz w:val="22"/>
          <w:szCs w:val="22"/>
        </w:rPr>
        <w:t xml:space="preserve">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w:t>
      </w:r>
    </w:p>
    <w:p w14:paraId="1888B77C"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w:t>
      </w:r>
    </w:p>
    <w:p w14:paraId="4FF3C83E"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Artículo 92.-</w:t>
      </w:r>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b/>
          <w:i/>
          <w:sz w:val="22"/>
          <w:szCs w:val="22"/>
        </w:rPr>
        <w:t>Para ser secretario del ayuntamiento</w:t>
      </w:r>
      <w:r w:rsidRPr="00C03673">
        <w:rPr>
          <w:rFonts w:ascii="Palatino Linotype" w:eastAsia="Palatino Linotype" w:hAnsi="Palatino Linotype" w:cs="Palatino Linotype"/>
          <w:i/>
          <w:sz w:val="22"/>
          <w:szCs w:val="22"/>
        </w:rPr>
        <w:t xml:space="preserve"> se requiere, además de los requisitos establecidos en el artículo 32 de esta Ley, los siguientes: </w:t>
      </w:r>
    </w:p>
    <w:p w14:paraId="5655D534"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 </w:t>
      </w:r>
    </w:p>
    <w:p w14:paraId="35E10E33"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IV. Contar con la certificación de competencia laboral en la materia,</w:t>
      </w:r>
      <w:r w:rsidRPr="00C03673">
        <w:rPr>
          <w:rFonts w:ascii="Palatino Linotype" w:eastAsia="Palatino Linotype" w:hAnsi="Palatino Linotype" w:cs="Palatino Linotype"/>
          <w:i/>
          <w:sz w:val="22"/>
          <w:szCs w:val="22"/>
        </w:rPr>
        <w:t xml:space="preserve">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 </w:t>
      </w:r>
    </w:p>
    <w:p w14:paraId="15EA79FF"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w:t>
      </w:r>
    </w:p>
    <w:p w14:paraId="5F56D957"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Artículo 96</w:t>
      </w:r>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b/>
          <w:i/>
          <w:sz w:val="22"/>
          <w:szCs w:val="22"/>
        </w:rPr>
        <w:t>Para ser tesorero municipal</w:t>
      </w:r>
      <w:r w:rsidRPr="00C03673">
        <w:rPr>
          <w:rFonts w:ascii="Palatino Linotype" w:eastAsia="Palatino Linotype" w:hAnsi="Palatino Linotype" w:cs="Palatino Linotype"/>
          <w:i/>
          <w:sz w:val="22"/>
          <w:szCs w:val="22"/>
        </w:rPr>
        <w:t xml:space="preserve"> se requiere, además de los requisitos </w:t>
      </w:r>
      <w:proofErr w:type="gramStart"/>
      <w:r w:rsidRPr="00C03673">
        <w:rPr>
          <w:rFonts w:ascii="Palatino Linotype" w:eastAsia="Palatino Linotype" w:hAnsi="Palatino Linotype" w:cs="Palatino Linotype"/>
          <w:i/>
          <w:sz w:val="22"/>
          <w:szCs w:val="22"/>
        </w:rPr>
        <w:t>del  artículos</w:t>
      </w:r>
      <w:proofErr w:type="gramEnd"/>
      <w:r w:rsidRPr="00C03673">
        <w:rPr>
          <w:rFonts w:ascii="Palatino Linotype" w:eastAsia="Palatino Linotype" w:hAnsi="Palatino Linotype" w:cs="Palatino Linotype"/>
          <w:i/>
          <w:sz w:val="22"/>
          <w:szCs w:val="22"/>
        </w:rPr>
        <w:t xml:space="preserve"> 32 de esta Ley:  </w:t>
      </w:r>
    </w:p>
    <w:p w14:paraId="21DCD72B"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I.</w:t>
      </w:r>
      <w:r w:rsidRPr="00C03673">
        <w:rPr>
          <w:rFonts w:ascii="Palatino Linotype" w:eastAsia="Palatino Linotype" w:hAnsi="Palatino Linotype" w:cs="Palatino Linotype"/>
          <w:i/>
          <w:sz w:val="22"/>
          <w:szCs w:val="22"/>
        </w:rPr>
        <w:t xml:space="preserve"> Tener los conocimientos suficientes para poder desempeñar el cargo, a juicio del  Ayuntamiento; contar con título profesional en las áreas jurídicas, económicas  o contables administrativas, con experiencia mínima de un año, con anterioridad  a la fecha de su designación, y </w:t>
      </w:r>
      <w:r w:rsidRPr="00C03673">
        <w:rPr>
          <w:rFonts w:ascii="Palatino Linotype" w:eastAsia="Palatino Linotype" w:hAnsi="Palatino Linotype" w:cs="Palatino Linotype"/>
          <w:b/>
          <w:i/>
          <w:sz w:val="22"/>
          <w:szCs w:val="22"/>
        </w:rPr>
        <w:t>con certificación de competencia laboral en  funciones</w:t>
      </w:r>
      <w:r w:rsidRPr="00C03673">
        <w:rPr>
          <w:rFonts w:ascii="Palatino Linotype" w:eastAsia="Palatino Linotype" w:hAnsi="Palatino Linotype" w:cs="Palatino Linotype"/>
          <w:i/>
          <w:sz w:val="22"/>
          <w:szCs w:val="22"/>
        </w:rPr>
        <w:t xml:space="preserve">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w:t>
      </w:r>
    </w:p>
    <w:p w14:paraId="30374A10"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El requisito de la certificación de competencia laboral, deberá  acreditarse dentro de los seis meses siguientes a la fecha en que inicie  funciones.  </w:t>
      </w:r>
    </w:p>
    <w:p w14:paraId="54211F8D"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p>
    <w:p w14:paraId="15C458F7"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Artículo 96 Ter</w:t>
      </w:r>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b/>
          <w:i/>
          <w:sz w:val="22"/>
          <w:szCs w:val="22"/>
        </w:rPr>
        <w:t>El Director de Obras Públicas o Titular de la Unidad  Administrativa equivalente</w:t>
      </w:r>
      <w:r w:rsidRPr="00C03673">
        <w:rPr>
          <w:rFonts w:ascii="Palatino Linotype" w:eastAsia="Palatino Linotype" w:hAnsi="Palatino Linotype" w:cs="Palatino Linotype"/>
          <w:i/>
          <w:sz w:val="22"/>
          <w:szCs w:val="22"/>
        </w:rPr>
        <w:t xml:space="preserve">, además de los requisitos del artículo 32 de  esta Ley, requiere contar con título profesional en ingeniería, arquitectura o  alguna área afín, o contar con una experiencia mínima de un año, con anterioridad  a la fecha de su designación.  </w:t>
      </w:r>
    </w:p>
    <w:p w14:paraId="2895AF0F"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i/>
          <w:sz w:val="22"/>
          <w:szCs w:val="22"/>
        </w:rPr>
        <w:t>Además,</w:t>
      </w:r>
      <w:r w:rsidRPr="00C03673">
        <w:rPr>
          <w:rFonts w:ascii="Palatino Linotype" w:eastAsia="Palatino Linotype" w:hAnsi="Palatino Linotype" w:cs="Palatino Linotype"/>
          <w:b/>
          <w:i/>
          <w:sz w:val="22"/>
          <w:szCs w:val="22"/>
        </w:rPr>
        <w:t xml:space="preserve"> deberá acreditar, </w:t>
      </w:r>
      <w:r w:rsidRPr="00C03673">
        <w:rPr>
          <w:rFonts w:ascii="Palatino Linotype" w:eastAsia="Palatino Linotype" w:hAnsi="Palatino Linotype" w:cs="Palatino Linotype"/>
          <w:i/>
          <w:sz w:val="22"/>
          <w:szCs w:val="22"/>
        </w:rPr>
        <w:t>dentro de los seis meses siguientes a la fecha en  que inicie funciones,</w:t>
      </w:r>
      <w:r w:rsidRPr="00C03673">
        <w:rPr>
          <w:rFonts w:ascii="Palatino Linotype" w:eastAsia="Palatino Linotype" w:hAnsi="Palatino Linotype" w:cs="Palatino Linotype"/>
          <w:b/>
          <w:i/>
          <w:sz w:val="22"/>
          <w:szCs w:val="22"/>
        </w:rPr>
        <w:t xml:space="preserve"> la certificación de competencia laboral </w:t>
      </w:r>
      <w:r w:rsidRPr="00C03673">
        <w:rPr>
          <w:rFonts w:ascii="Palatino Linotype" w:eastAsia="Palatino Linotype" w:hAnsi="Palatino Linotype" w:cs="Palatino Linotype"/>
          <w:i/>
          <w:sz w:val="22"/>
          <w:szCs w:val="22"/>
        </w:rPr>
        <w:t xml:space="preserve">expedida por  el Instituto Hacendario del Estado de México o por alguna otra institución  con reconocimiento de validez oficial, que asegure los conocimientos y habilidades para </w:t>
      </w:r>
      <w:r w:rsidRPr="00C03673">
        <w:rPr>
          <w:rFonts w:ascii="Palatino Linotype" w:eastAsia="Palatino Linotype" w:hAnsi="Palatino Linotype" w:cs="Palatino Linotype"/>
          <w:i/>
          <w:sz w:val="22"/>
          <w:szCs w:val="22"/>
        </w:rPr>
        <w:lastRenderedPageBreak/>
        <w:t>desempeñar el cargo, de conformidad con los aspectos técnicos y operativos  aplicables al Estado de México</w:t>
      </w:r>
      <w:r w:rsidRPr="00C03673">
        <w:rPr>
          <w:rFonts w:ascii="Palatino Linotype" w:eastAsia="Palatino Linotype" w:hAnsi="Palatino Linotype" w:cs="Palatino Linotype"/>
          <w:b/>
          <w:i/>
          <w:sz w:val="22"/>
          <w:szCs w:val="22"/>
        </w:rPr>
        <w:t xml:space="preserve">.  </w:t>
      </w:r>
    </w:p>
    <w:p w14:paraId="11699630"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w:t>
      </w:r>
    </w:p>
    <w:p w14:paraId="1AB36AB5"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 xml:space="preserve">Artículo 96 </w:t>
      </w:r>
      <w:proofErr w:type="spellStart"/>
      <w:r w:rsidRPr="00C03673">
        <w:rPr>
          <w:rFonts w:ascii="Palatino Linotype" w:eastAsia="Palatino Linotype" w:hAnsi="Palatino Linotype" w:cs="Palatino Linotype"/>
          <w:b/>
          <w:i/>
          <w:sz w:val="22"/>
          <w:szCs w:val="22"/>
        </w:rPr>
        <w:t>Quintus</w:t>
      </w:r>
      <w:proofErr w:type="spellEnd"/>
      <w:r w:rsidRPr="00C03673">
        <w:rPr>
          <w:rFonts w:ascii="Palatino Linotype" w:eastAsia="Palatino Linotype" w:hAnsi="Palatino Linotype" w:cs="Palatino Linotype"/>
          <w:b/>
          <w:i/>
          <w:sz w:val="22"/>
          <w:szCs w:val="22"/>
        </w:rPr>
        <w:t xml:space="preserve">. El Director de Desarrollo Económico o Titular de la </w:t>
      </w:r>
    </w:p>
    <w:p w14:paraId="70116F3A"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 xml:space="preserve">Unidad Administrativa equivalente, </w:t>
      </w:r>
      <w:r w:rsidRPr="00C03673">
        <w:rPr>
          <w:rFonts w:ascii="Palatino Linotype" w:eastAsia="Palatino Linotype" w:hAnsi="Palatino Linotype" w:cs="Palatino Linotype"/>
          <w:i/>
          <w:sz w:val="22"/>
          <w:szCs w:val="22"/>
        </w:rPr>
        <w:t xml:space="preserve">además de los requisitos del artículo 32 de esta  Ley, requiere contar con título profesional en el área económico-administrativa o contar con experiencia mínima de un año, con anterioridad a la fecha de su designación.  </w:t>
      </w:r>
    </w:p>
    <w:p w14:paraId="67E4FD3A"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i/>
          <w:sz w:val="22"/>
          <w:szCs w:val="22"/>
        </w:rPr>
        <w:t>Además,</w:t>
      </w:r>
      <w:r w:rsidRPr="00C03673">
        <w:rPr>
          <w:rFonts w:ascii="Palatino Linotype" w:eastAsia="Palatino Linotype" w:hAnsi="Palatino Linotype" w:cs="Palatino Linotype"/>
          <w:b/>
          <w:i/>
          <w:sz w:val="22"/>
          <w:szCs w:val="22"/>
        </w:rPr>
        <w:t xml:space="preserve"> deberá acreditar, </w:t>
      </w:r>
      <w:r w:rsidRPr="00C03673">
        <w:rPr>
          <w:rFonts w:ascii="Palatino Linotype" w:eastAsia="Palatino Linotype" w:hAnsi="Palatino Linotype" w:cs="Palatino Linotype"/>
          <w:i/>
          <w:sz w:val="22"/>
          <w:szCs w:val="22"/>
        </w:rPr>
        <w:t xml:space="preserve">dentro de los seis meses siguientes a la fecha en que  inicie funciones, </w:t>
      </w:r>
      <w:r w:rsidRPr="00C03673">
        <w:rPr>
          <w:rFonts w:ascii="Palatino Linotype" w:eastAsia="Palatino Linotype" w:hAnsi="Palatino Linotype" w:cs="Palatino Linotype"/>
          <w:b/>
          <w:i/>
          <w:sz w:val="22"/>
          <w:szCs w:val="22"/>
        </w:rPr>
        <w:t xml:space="preserve">la certificación de competencia laboral </w:t>
      </w:r>
      <w:r w:rsidRPr="00C03673">
        <w:rPr>
          <w:rFonts w:ascii="Palatino Linotype" w:eastAsia="Palatino Linotype" w:hAnsi="Palatino Linotype" w:cs="Palatino Linotype"/>
          <w:i/>
          <w:sz w:val="22"/>
          <w:szCs w:val="22"/>
        </w:rPr>
        <w:t>expedida por el Instituto Hacendario del Estado de México o por alguna otra institución con  reconocimiento de validez oficial,</w:t>
      </w:r>
      <w:r w:rsidRPr="00C03673">
        <w:rPr>
          <w:rFonts w:ascii="Palatino Linotype" w:eastAsia="Palatino Linotype" w:hAnsi="Palatino Linotype" w:cs="Palatino Linotype"/>
          <w:b/>
          <w:i/>
          <w:sz w:val="22"/>
          <w:szCs w:val="22"/>
        </w:rPr>
        <w:t xml:space="preserve"> </w:t>
      </w:r>
      <w:r w:rsidRPr="00C03673">
        <w:rPr>
          <w:rFonts w:ascii="Palatino Linotype" w:eastAsia="Palatino Linotype" w:hAnsi="Palatino Linotype" w:cs="Palatino Linotype"/>
          <w:i/>
          <w:sz w:val="22"/>
          <w:szCs w:val="22"/>
        </w:rPr>
        <w:t>que asegure los conocimientos y habilidades para desempeñar el cargo, de conformidad con los aspectos técnicos y operativos aplicables al  Estado de México.</w:t>
      </w:r>
      <w:r w:rsidRPr="00C03673">
        <w:rPr>
          <w:rFonts w:ascii="Palatino Linotype" w:eastAsia="Palatino Linotype" w:hAnsi="Palatino Linotype" w:cs="Palatino Linotype"/>
          <w:b/>
          <w:i/>
          <w:sz w:val="22"/>
          <w:szCs w:val="22"/>
        </w:rPr>
        <w:t xml:space="preserve"> </w:t>
      </w:r>
    </w:p>
    <w:p w14:paraId="56D38F55"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w:t>
      </w:r>
    </w:p>
    <w:p w14:paraId="0D2E93FD"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 xml:space="preserve">Artículo 96 </w:t>
      </w:r>
      <w:proofErr w:type="spellStart"/>
      <w:r w:rsidRPr="00C03673">
        <w:rPr>
          <w:rFonts w:ascii="Palatino Linotype" w:eastAsia="Palatino Linotype" w:hAnsi="Palatino Linotype" w:cs="Palatino Linotype"/>
          <w:b/>
          <w:i/>
          <w:sz w:val="22"/>
          <w:szCs w:val="22"/>
        </w:rPr>
        <w:t>Septies</w:t>
      </w:r>
      <w:proofErr w:type="spellEnd"/>
      <w:r w:rsidRPr="00C03673">
        <w:rPr>
          <w:rFonts w:ascii="Palatino Linotype" w:eastAsia="Palatino Linotype" w:hAnsi="Palatino Linotype" w:cs="Palatino Linotype"/>
          <w:b/>
          <w:i/>
          <w:sz w:val="22"/>
          <w:szCs w:val="22"/>
        </w:rPr>
        <w:t>. El Director de Desarrollo Urbano o el Titular de la Unidad  Administrativa equivalente</w:t>
      </w:r>
      <w:r w:rsidRPr="00C03673">
        <w:rPr>
          <w:rFonts w:ascii="Palatino Linotype" w:eastAsia="Palatino Linotype" w:hAnsi="Palatino Linotype" w:cs="Palatino Linotype"/>
          <w:i/>
          <w:sz w:val="22"/>
          <w:szCs w:val="22"/>
        </w:rPr>
        <w:t xml:space="preserve">, además de los requisitos establecidos en el artículo 32 de esta Ley, requiere contar con título profesional en el área de ingeniería civil-arquitectura o afín, o contar con una experiencia mínima de un año, con anterioridad a la fecha de su designación; además </w:t>
      </w:r>
      <w:r w:rsidRPr="00C03673">
        <w:rPr>
          <w:rFonts w:ascii="Palatino Linotype" w:eastAsia="Palatino Linotype" w:hAnsi="Palatino Linotype" w:cs="Palatino Linotype"/>
          <w:b/>
          <w:i/>
          <w:sz w:val="22"/>
          <w:szCs w:val="22"/>
        </w:rPr>
        <w:t xml:space="preserve">deberá acreditar, </w:t>
      </w:r>
      <w:r w:rsidRPr="00C03673">
        <w:rPr>
          <w:rFonts w:ascii="Palatino Linotype" w:eastAsia="Palatino Linotype" w:hAnsi="Palatino Linotype" w:cs="Palatino Linotype"/>
          <w:i/>
          <w:sz w:val="22"/>
          <w:szCs w:val="22"/>
        </w:rPr>
        <w:t>dentro de los seis meses siguientes a la fecha en que inicie sus funciones</w:t>
      </w:r>
      <w:r w:rsidRPr="00C03673">
        <w:rPr>
          <w:rFonts w:ascii="Palatino Linotype" w:eastAsia="Palatino Linotype" w:hAnsi="Palatino Linotype" w:cs="Palatino Linotype"/>
          <w:b/>
          <w:i/>
          <w:sz w:val="22"/>
          <w:szCs w:val="22"/>
        </w:rPr>
        <w:t xml:space="preserve">, la certificación de competencia laboral </w:t>
      </w:r>
      <w:r w:rsidRPr="00C03673">
        <w:rPr>
          <w:rFonts w:ascii="Palatino Linotype" w:eastAsia="Palatino Linotype" w:hAnsi="Palatino Linotype" w:cs="Palatino Linotype"/>
          <w:i/>
          <w:sz w:val="22"/>
          <w:szCs w:val="22"/>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r w:rsidRPr="00C03673">
        <w:rPr>
          <w:rFonts w:ascii="Palatino Linotype" w:eastAsia="Palatino Linotype" w:hAnsi="Palatino Linotype" w:cs="Palatino Linotype"/>
          <w:b/>
          <w:i/>
          <w:sz w:val="22"/>
          <w:szCs w:val="22"/>
        </w:rPr>
        <w:t xml:space="preserve">. </w:t>
      </w:r>
    </w:p>
    <w:p w14:paraId="4EEFF7CC"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w:t>
      </w:r>
    </w:p>
    <w:p w14:paraId="6702315D"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 xml:space="preserve">Artículo 96 </w:t>
      </w:r>
      <w:proofErr w:type="spellStart"/>
      <w:r w:rsidRPr="00C03673">
        <w:rPr>
          <w:rFonts w:ascii="Palatino Linotype" w:eastAsia="Palatino Linotype" w:hAnsi="Palatino Linotype" w:cs="Palatino Linotype"/>
          <w:b/>
          <w:i/>
          <w:sz w:val="22"/>
          <w:szCs w:val="22"/>
        </w:rPr>
        <w:t>Nonies</w:t>
      </w:r>
      <w:proofErr w:type="spellEnd"/>
      <w:r w:rsidRPr="00C03673">
        <w:rPr>
          <w:rFonts w:ascii="Palatino Linotype" w:eastAsia="Palatino Linotype" w:hAnsi="Palatino Linotype" w:cs="Palatino Linotype"/>
          <w:b/>
          <w:i/>
          <w:sz w:val="22"/>
          <w:szCs w:val="22"/>
        </w:rPr>
        <w:t>. El Director de Ecología</w:t>
      </w:r>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b/>
          <w:i/>
          <w:sz w:val="22"/>
          <w:szCs w:val="22"/>
        </w:rPr>
        <w:t>o el Titular de la Unidad Administrativa equivalente,</w:t>
      </w:r>
      <w:r w:rsidRPr="00C03673">
        <w:rPr>
          <w:rFonts w:ascii="Palatino Linotype" w:eastAsia="Palatino Linotype" w:hAnsi="Palatino Linotype" w:cs="Palatino Linotype"/>
          <w:i/>
          <w:sz w:val="22"/>
          <w:szCs w:val="22"/>
        </w:rPr>
        <w:t xml:space="preserve">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w:t>
      </w:r>
      <w:r w:rsidRPr="00C03673">
        <w:rPr>
          <w:rFonts w:ascii="Palatino Linotype" w:eastAsia="Palatino Linotype" w:hAnsi="Palatino Linotype" w:cs="Palatino Linotype"/>
          <w:b/>
          <w:i/>
          <w:sz w:val="22"/>
          <w:szCs w:val="22"/>
        </w:rPr>
        <w:t xml:space="preserve">deberá acreditar, </w:t>
      </w:r>
      <w:r w:rsidRPr="00C03673">
        <w:rPr>
          <w:rFonts w:ascii="Palatino Linotype" w:eastAsia="Palatino Linotype" w:hAnsi="Palatino Linotype" w:cs="Palatino Linotype"/>
          <w:i/>
          <w:sz w:val="22"/>
          <w:szCs w:val="22"/>
        </w:rPr>
        <w:t>dentro de los seis meses siguientes a la fecha en que inicie sus funciones</w:t>
      </w:r>
      <w:r w:rsidRPr="00C03673">
        <w:rPr>
          <w:rFonts w:ascii="Palatino Linotype" w:eastAsia="Palatino Linotype" w:hAnsi="Palatino Linotype" w:cs="Palatino Linotype"/>
          <w:b/>
          <w:i/>
          <w:sz w:val="22"/>
          <w:szCs w:val="22"/>
        </w:rPr>
        <w:t xml:space="preserve">, la certificación de competencia laboral </w:t>
      </w:r>
      <w:r w:rsidRPr="00C03673">
        <w:rPr>
          <w:rFonts w:ascii="Palatino Linotype" w:eastAsia="Palatino Linotype" w:hAnsi="Palatino Linotype" w:cs="Palatino Linotype"/>
          <w:i/>
          <w:sz w:val="22"/>
          <w:szCs w:val="22"/>
        </w:rPr>
        <w:t xml:space="preserve">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w:t>
      </w:r>
    </w:p>
    <w:p w14:paraId="5A2C97F9"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lastRenderedPageBreak/>
        <w:t xml:space="preserve">Artículo 96. </w:t>
      </w:r>
      <w:proofErr w:type="spellStart"/>
      <w:r w:rsidRPr="00C03673">
        <w:rPr>
          <w:rFonts w:ascii="Palatino Linotype" w:eastAsia="Palatino Linotype" w:hAnsi="Palatino Linotype" w:cs="Palatino Linotype"/>
          <w:b/>
          <w:i/>
          <w:sz w:val="22"/>
          <w:szCs w:val="22"/>
        </w:rPr>
        <w:t>Undecies</w:t>
      </w:r>
      <w:proofErr w:type="spellEnd"/>
      <w:r w:rsidRPr="00C03673">
        <w:rPr>
          <w:rFonts w:ascii="Palatino Linotype" w:eastAsia="Palatino Linotype" w:hAnsi="Palatino Linotype" w:cs="Palatino Linotype"/>
          <w:b/>
          <w:i/>
          <w:sz w:val="22"/>
          <w:szCs w:val="22"/>
        </w:rPr>
        <w:t xml:space="preserve">. El Director de Turismo, </w:t>
      </w:r>
      <w:r w:rsidRPr="00C03673">
        <w:rPr>
          <w:rFonts w:ascii="Palatino Linotype" w:eastAsia="Palatino Linotype" w:hAnsi="Palatino Linotype" w:cs="Palatino Linotype"/>
          <w:i/>
          <w:sz w:val="22"/>
          <w:szCs w:val="22"/>
        </w:rPr>
        <w:t xml:space="preserve">además de los requisitos establecidos en el artículo 32 de esta Ley, requiere contar con título profesional en el área de turismo o afín. </w:t>
      </w:r>
    </w:p>
    <w:p w14:paraId="7BCF0777"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 xml:space="preserve">Artículo 96 </w:t>
      </w:r>
      <w:proofErr w:type="spellStart"/>
      <w:r w:rsidRPr="00C03673">
        <w:rPr>
          <w:rFonts w:ascii="Palatino Linotype" w:eastAsia="Palatino Linotype" w:hAnsi="Palatino Linotype" w:cs="Palatino Linotype"/>
          <w:b/>
          <w:i/>
          <w:sz w:val="22"/>
          <w:szCs w:val="22"/>
        </w:rPr>
        <w:t>Terdecies</w:t>
      </w:r>
      <w:proofErr w:type="spellEnd"/>
      <w:r w:rsidRPr="00C03673">
        <w:rPr>
          <w:rFonts w:ascii="Palatino Linotype" w:eastAsia="Palatino Linotype" w:hAnsi="Palatino Linotype" w:cs="Palatino Linotype"/>
          <w:b/>
          <w:i/>
          <w:sz w:val="22"/>
          <w:szCs w:val="22"/>
        </w:rPr>
        <w:t>. El Director de Desarrollo Social o el Titular de la Unidad Administrativa equivalente,</w:t>
      </w:r>
      <w:r w:rsidRPr="00C03673">
        <w:rPr>
          <w:rFonts w:ascii="Palatino Linotype" w:eastAsia="Palatino Linotype" w:hAnsi="Palatino Linotype" w:cs="Palatino Linotype"/>
          <w:i/>
          <w:sz w:val="22"/>
          <w:szCs w:val="22"/>
        </w:rPr>
        <w:t xml:space="preserve"> además de los requisitos establecidos en el artículo 32 de esta Ley, requiere contar con título profesional en el área de Ciencias Sociales o a fin, o contar con una experiencia mínima de un año en la materia, con anterioridad a la fecha de su designación.</w:t>
      </w:r>
    </w:p>
    <w:p w14:paraId="505E6288"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 xml:space="preserve">Artículo 96 </w:t>
      </w:r>
      <w:proofErr w:type="spellStart"/>
      <w:r w:rsidRPr="00C03673">
        <w:rPr>
          <w:rFonts w:ascii="Palatino Linotype" w:eastAsia="Palatino Linotype" w:hAnsi="Palatino Linotype" w:cs="Palatino Linotype"/>
          <w:b/>
          <w:i/>
          <w:sz w:val="22"/>
          <w:szCs w:val="22"/>
        </w:rPr>
        <w:t>Quindecies</w:t>
      </w:r>
      <w:proofErr w:type="spellEnd"/>
      <w:r w:rsidRPr="00C03673">
        <w:rPr>
          <w:rFonts w:ascii="Palatino Linotype" w:eastAsia="Palatino Linotype" w:hAnsi="Palatino Linotype" w:cs="Palatino Linotype"/>
          <w:b/>
          <w:i/>
          <w:sz w:val="22"/>
          <w:szCs w:val="22"/>
        </w:rPr>
        <w:t xml:space="preserve">.- La persona titular de la Dirección de las Mujeres,  </w:t>
      </w:r>
      <w:r w:rsidRPr="00C03673">
        <w:rPr>
          <w:rFonts w:ascii="Palatino Linotype" w:eastAsia="Palatino Linotype" w:hAnsi="Palatino Linotype" w:cs="Palatino Linotype"/>
          <w:i/>
          <w:sz w:val="22"/>
          <w:szCs w:val="22"/>
        </w:rPr>
        <w:t xml:space="preserve">además de los requisitos establecidos en el artículo 32 de esta Ley, deberá contar con  título profesional en el área de las ciencias sociales o afines y conocimiento amplio del contexto en el municipio correspondiente. Además, </w:t>
      </w:r>
      <w:r w:rsidRPr="00C03673">
        <w:rPr>
          <w:rFonts w:ascii="Palatino Linotype" w:eastAsia="Palatino Linotype" w:hAnsi="Palatino Linotype" w:cs="Palatino Linotype"/>
          <w:b/>
          <w:i/>
          <w:sz w:val="22"/>
          <w:szCs w:val="22"/>
        </w:rPr>
        <w:t xml:space="preserve">deberá acreditar, </w:t>
      </w:r>
      <w:r w:rsidRPr="00C03673">
        <w:rPr>
          <w:rFonts w:ascii="Palatino Linotype" w:eastAsia="Palatino Linotype" w:hAnsi="Palatino Linotype" w:cs="Palatino Linotype"/>
          <w:i/>
          <w:sz w:val="22"/>
          <w:szCs w:val="22"/>
        </w:rPr>
        <w:t xml:space="preserve">dentro de los seis meses siguientes a la fecha en que inicie funciones, </w:t>
      </w:r>
      <w:r w:rsidRPr="00C03673">
        <w:rPr>
          <w:rFonts w:ascii="Palatino Linotype" w:eastAsia="Palatino Linotype" w:hAnsi="Palatino Linotype" w:cs="Palatino Linotype"/>
          <w:b/>
          <w:i/>
          <w:sz w:val="22"/>
          <w:szCs w:val="22"/>
        </w:rPr>
        <w:t xml:space="preserve">la certificación de competencia laboral </w:t>
      </w:r>
      <w:r w:rsidRPr="00C03673">
        <w:rPr>
          <w:rFonts w:ascii="Palatino Linotype" w:eastAsia="Palatino Linotype" w:hAnsi="Palatino Linotype" w:cs="Palatino Linotype"/>
          <w:i/>
          <w:sz w:val="22"/>
          <w:szCs w:val="22"/>
        </w:rPr>
        <w:t>en temas de prevención, atención integral y erradicación de la violencia contra las niñas, adolescentes y mujeres, en igualdad sustantiva o materias afines</w:t>
      </w:r>
      <w:r w:rsidRPr="00C03673">
        <w:rPr>
          <w:rFonts w:ascii="Palatino Linotype" w:eastAsia="Palatino Linotype" w:hAnsi="Palatino Linotype" w:cs="Palatino Linotype"/>
          <w:b/>
          <w:i/>
          <w:sz w:val="22"/>
          <w:szCs w:val="22"/>
        </w:rPr>
        <w:t xml:space="preserve">, </w:t>
      </w:r>
      <w:r w:rsidRPr="00C03673">
        <w:rPr>
          <w:rFonts w:ascii="Palatino Linotype" w:eastAsia="Palatino Linotype" w:hAnsi="Palatino Linotype" w:cs="Palatino Linotype"/>
          <w:i/>
          <w:sz w:val="22"/>
          <w:szCs w:val="22"/>
        </w:rPr>
        <w:t>expedida por el Instituto de Administración Pública del Estado de México, el Instituto Hacendario del Estado de México o alguna institución con reconocimiento de validez oficial, que asegure los conocimientos y habilidades para desempeñar el cargo.</w:t>
      </w:r>
      <w:r w:rsidRPr="00C03673">
        <w:rPr>
          <w:rFonts w:ascii="Palatino Linotype" w:eastAsia="Palatino Linotype" w:hAnsi="Palatino Linotype" w:cs="Palatino Linotype"/>
          <w:b/>
          <w:i/>
          <w:sz w:val="22"/>
          <w:szCs w:val="22"/>
        </w:rPr>
        <w:t xml:space="preserve"> </w:t>
      </w:r>
    </w:p>
    <w:p w14:paraId="4FF6D073"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 xml:space="preserve">Artículo 113.- Para ser contralor se requiere cumplir con los requisitos que se exigen para ser tesorero municipal, a excepción de la caución correspondiente. </w:t>
      </w:r>
    </w:p>
    <w:p w14:paraId="4AA7ABD6"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 xml:space="preserve">Artículo 123 Bis.- La persona titular de los organismos públicos descentralizados en materia de cultura física y deporte, </w:t>
      </w:r>
      <w:r w:rsidRPr="00C03673">
        <w:rPr>
          <w:rFonts w:ascii="Palatino Linotype" w:eastAsia="Palatino Linotype" w:hAnsi="Palatino Linotype" w:cs="Palatino Linotype"/>
          <w:i/>
          <w:sz w:val="22"/>
          <w:szCs w:val="22"/>
        </w:rPr>
        <w:t xml:space="preserve">a que se refiere el artículo anterior, además de los requisitos establecidos en el artículo 32 de esta Ley, preferentemente deberá contar con título profesional en el área de educación física o disciplina afín. </w:t>
      </w:r>
    </w:p>
    <w:p w14:paraId="1D780557"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Para acceder al cargo, </w:t>
      </w:r>
      <w:r w:rsidRPr="00C03673">
        <w:rPr>
          <w:rFonts w:ascii="Palatino Linotype" w:eastAsia="Palatino Linotype" w:hAnsi="Palatino Linotype" w:cs="Palatino Linotype"/>
          <w:b/>
          <w:i/>
          <w:sz w:val="22"/>
          <w:szCs w:val="22"/>
        </w:rPr>
        <w:t>la persona titular del Instituto Municipal de las Mujeres</w:t>
      </w:r>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b/>
          <w:i/>
          <w:sz w:val="22"/>
          <w:szCs w:val="22"/>
        </w:rPr>
        <w:t xml:space="preserve">deberá cumplir con los requisitos previstos en el artículo 96 </w:t>
      </w:r>
      <w:proofErr w:type="spellStart"/>
      <w:r w:rsidRPr="00C03673">
        <w:rPr>
          <w:rFonts w:ascii="Palatino Linotype" w:eastAsia="Palatino Linotype" w:hAnsi="Palatino Linotype" w:cs="Palatino Linotype"/>
          <w:b/>
          <w:i/>
          <w:sz w:val="22"/>
          <w:szCs w:val="22"/>
        </w:rPr>
        <w:t>Quindecies</w:t>
      </w:r>
      <w:proofErr w:type="spellEnd"/>
    </w:p>
    <w:p w14:paraId="207190DB"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w:t>
      </w:r>
    </w:p>
    <w:p w14:paraId="3FCEE884"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 xml:space="preserve">Artículo 124 </w:t>
      </w:r>
      <w:proofErr w:type="spellStart"/>
      <w:r w:rsidRPr="00C03673">
        <w:rPr>
          <w:rFonts w:ascii="Palatino Linotype" w:eastAsia="Palatino Linotype" w:hAnsi="Palatino Linotype" w:cs="Palatino Linotype"/>
          <w:b/>
          <w:i/>
          <w:sz w:val="22"/>
          <w:szCs w:val="22"/>
        </w:rPr>
        <w:t>Quater</w:t>
      </w:r>
      <w:proofErr w:type="spellEnd"/>
      <w:r w:rsidRPr="00C03673">
        <w:rPr>
          <w:rFonts w:ascii="Palatino Linotype" w:eastAsia="Palatino Linotype" w:hAnsi="Palatino Linotype" w:cs="Palatino Linotype"/>
          <w:b/>
          <w:i/>
          <w:sz w:val="22"/>
          <w:szCs w:val="22"/>
        </w:rPr>
        <w:t xml:space="preserve">.- Para ser titular de la Unidad Municipal de Control y Bienestar Animal, </w:t>
      </w:r>
      <w:r w:rsidRPr="00C03673">
        <w:rPr>
          <w:rFonts w:ascii="Palatino Linotype" w:eastAsia="Palatino Linotype" w:hAnsi="Palatino Linotype" w:cs="Palatino Linotype"/>
          <w:i/>
          <w:sz w:val="22"/>
          <w:szCs w:val="22"/>
        </w:rPr>
        <w:t>se requiere, además de los requisitos del artículo 32 de esta Ley, contar con Licenciatura y Cédula en Medicina Veterinaria, Zootecnista o profesión que se relacione con el conocimiento del cuidado y manejo de animales.</w:t>
      </w:r>
      <w:r w:rsidRPr="00C03673">
        <w:rPr>
          <w:rFonts w:ascii="Palatino Linotype" w:eastAsia="Palatino Linotype" w:hAnsi="Palatino Linotype" w:cs="Palatino Linotype"/>
          <w:b/>
          <w:i/>
          <w:sz w:val="22"/>
          <w:szCs w:val="22"/>
        </w:rPr>
        <w:t xml:space="preserve"> </w:t>
      </w:r>
    </w:p>
    <w:p w14:paraId="7FBAEA50"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w:t>
      </w:r>
    </w:p>
    <w:p w14:paraId="40BC0183"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Artículo 147 I.- La o el Defensor Municipal de Derechos Humanos debe reunir los requisitos siguientes:</w:t>
      </w:r>
    </w:p>
    <w:p w14:paraId="0792E193"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w:t>
      </w:r>
    </w:p>
    <w:p w14:paraId="28E475DB"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lastRenderedPageBreak/>
        <w:t>VIII. Certificación en materia de derechos humanos, que para tal efecto emita la Comisión de Derechos Humanos del Estado de México.”</w:t>
      </w:r>
    </w:p>
    <w:p w14:paraId="5F8A27E6"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(Énfasis añadido)</w:t>
      </w:r>
    </w:p>
    <w:p w14:paraId="52299E7C" w14:textId="77777777" w:rsidR="006E20E7" w:rsidRPr="00C03673" w:rsidRDefault="006E20E7">
      <w:pPr>
        <w:ind w:left="1134" w:right="900"/>
        <w:jc w:val="both"/>
        <w:rPr>
          <w:rFonts w:ascii="Palatino Linotype" w:eastAsia="Palatino Linotype" w:hAnsi="Palatino Linotype" w:cs="Palatino Linotype"/>
          <w:i/>
          <w:sz w:val="22"/>
          <w:szCs w:val="22"/>
        </w:rPr>
      </w:pPr>
    </w:p>
    <w:p w14:paraId="21B1E586" w14:textId="77777777" w:rsidR="006E20E7" w:rsidRPr="00C03673" w:rsidRDefault="00CA27F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En este sentido, si bien es cierto, la Ley Orgánica Municipal contempla de manera general en su artículo 32, la presentación de la certificación de competencia laboral, no menos cierto es que en los preceptos subsecuentes, se establece de manera específica los cargos que requieren contar con la certificación de competencia laboral expedida por el Instituto Hacendario del Estado de México o por alguna institución con reconocimiento de validez oficial; siendo estos concretamente, los de </w:t>
      </w:r>
      <w:r w:rsidRPr="00C03673">
        <w:rPr>
          <w:rFonts w:ascii="Palatino Linotype" w:eastAsia="Palatino Linotype" w:hAnsi="Palatino Linotype" w:cs="Palatino Linotype"/>
          <w:b/>
          <w:sz w:val="22"/>
          <w:szCs w:val="22"/>
        </w:rPr>
        <w:t>Secretario (a) del Ayuntamiento, Tesorero (a) Municipal, Contralor (a) Municipal, Director (a) de Obras Públicas, Director (a) de Desarrollo Económico, Director (a) de Desarrollo Urbano, Director (a) de Ecología o equivalente, Director (a) de las Mujeres o Titular del Instituto Municipal de las Mujeres, Coordinador (a) Municipal de Protección Civil, así como Defensor (a) Municipal de Derechos Humanos, mientras que en el caso de la persona Coordinadora General Municipal de Mejora Regulatoria</w:t>
      </w:r>
      <w:r w:rsidRPr="00C03673">
        <w:rPr>
          <w:rFonts w:ascii="Palatino Linotype" w:eastAsia="Palatino Linotype" w:hAnsi="Palatino Linotype" w:cs="Palatino Linotype"/>
          <w:sz w:val="22"/>
          <w:szCs w:val="22"/>
        </w:rPr>
        <w:t>, la normativa contempla la posibilidad de contar con un diploma en materia de mejora regulatoria, o bien, la certificación de competencia laboral, requisito que los titulares deben acreditar dentro de los seis meses siguientes a la fecha en la que inicien sus funciones, por lo tanto, no podemos interpretar este artículo como una regla general aplicable en todos los casos.</w:t>
      </w:r>
    </w:p>
    <w:p w14:paraId="40BEFD6D" w14:textId="77777777" w:rsidR="006E20E7" w:rsidRPr="00C03673" w:rsidRDefault="006E20E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A0D1DD4" w14:textId="77777777" w:rsidR="006E20E7" w:rsidRPr="00C03673" w:rsidRDefault="00CA27F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Así, una vez establecidos los cargos que están obligados a contar con certificación de conformidad con los numerales indicados de la Ley Orgánica Municipal del Estado de México, para mejor proveer del presente análisis, es oportuno señalar las dependencias que integran la estructura orgánica del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 para lo cual es indispensable traer a colación el contenido de los artículos 44, 46 y 47 del Bando Municipal de la Administración Pública Municipal de Temamatla 2024, a saber:</w:t>
      </w:r>
    </w:p>
    <w:p w14:paraId="643E490C" w14:textId="77777777" w:rsidR="006E20E7" w:rsidRPr="00C03673" w:rsidRDefault="006E20E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4853517"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r w:rsidRPr="00C03673">
        <w:rPr>
          <w:rFonts w:ascii="Palatino Linotype" w:eastAsia="Palatino Linotype" w:hAnsi="Palatino Linotype" w:cs="Palatino Linotype"/>
          <w:b/>
          <w:i/>
          <w:sz w:val="22"/>
          <w:szCs w:val="22"/>
        </w:rPr>
        <w:t>Artículo 44.-</w:t>
      </w:r>
      <w:r w:rsidRPr="00C03673">
        <w:rPr>
          <w:rFonts w:ascii="Palatino Linotype" w:eastAsia="Palatino Linotype" w:hAnsi="Palatino Linotype" w:cs="Palatino Linotype"/>
          <w:i/>
          <w:sz w:val="22"/>
          <w:szCs w:val="22"/>
        </w:rPr>
        <w:t xml:space="preserve"> Para el despacho, estudio y planeación de los diversos asuntos de la Administración Pública Municipal centralizada del Ayuntamiento de Temamatla, Estado de México contará con las siguientes Dependencias Administrativas Centralizadas:</w:t>
      </w:r>
    </w:p>
    <w:p w14:paraId="45528421"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i/>
          <w:sz w:val="22"/>
          <w:szCs w:val="22"/>
        </w:rPr>
        <w:t xml:space="preserve">I. </w:t>
      </w:r>
      <w:r w:rsidRPr="00C03673">
        <w:rPr>
          <w:rFonts w:ascii="Palatino Linotype" w:eastAsia="Palatino Linotype" w:hAnsi="Palatino Linotype" w:cs="Palatino Linotype"/>
          <w:b/>
          <w:i/>
          <w:sz w:val="22"/>
          <w:szCs w:val="22"/>
        </w:rPr>
        <w:t>Secretaría del Ayuntamiento;</w:t>
      </w:r>
    </w:p>
    <w:p w14:paraId="09A3B87D"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II. Tesorería Municipal;</w:t>
      </w:r>
    </w:p>
    <w:p w14:paraId="68E9465C"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III. Dirección de Obra Pública, Desarrollo Urbano y Ecología;</w:t>
      </w:r>
    </w:p>
    <w:p w14:paraId="583D250A"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IV. Dirección de Desarrollo Económico;</w:t>
      </w:r>
    </w:p>
    <w:p w14:paraId="3CC2E6DF"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V. Contraloría Interna Municipal;</w:t>
      </w:r>
    </w:p>
    <w:p w14:paraId="1C1FC49E"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VI. Dirección de Servicios Públicos;</w:t>
      </w:r>
    </w:p>
    <w:p w14:paraId="09C69F71"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VII. Dirección de Seguridad Pública Municipal;</w:t>
      </w:r>
    </w:p>
    <w:p w14:paraId="23DF74D0"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VIII. Dirección de Administración;</w:t>
      </w:r>
    </w:p>
    <w:p w14:paraId="4E912355"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IX. Dirección de Desarrollo Social;</w:t>
      </w:r>
    </w:p>
    <w:p w14:paraId="31055091"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X. Dirección de Educación y Cultura;</w:t>
      </w:r>
    </w:p>
    <w:p w14:paraId="33F0989A"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XI. Dirección Jurídica Municipal;</w:t>
      </w:r>
    </w:p>
    <w:p w14:paraId="301B2230"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XII. Dirección de Salud;</w:t>
      </w:r>
    </w:p>
    <w:p w14:paraId="1BFB67E7"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XIII. Oficialía Mediadora, Conciliadora y Calificadora;</w:t>
      </w:r>
    </w:p>
    <w:p w14:paraId="16CDC1F1"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XIV. Dirección General de Mejora Regulatoria e Información, Planeación, Programación, Evaluación;</w:t>
      </w:r>
      <w:r w:rsidRPr="00C03673">
        <w:rPr>
          <w:rFonts w:ascii="Palatino Linotype" w:eastAsia="Palatino Linotype" w:hAnsi="Palatino Linotype" w:cs="Palatino Linotype"/>
          <w:i/>
          <w:sz w:val="22"/>
          <w:szCs w:val="22"/>
        </w:rPr>
        <w:t xml:space="preserve"> y</w:t>
      </w:r>
    </w:p>
    <w:p w14:paraId="6E95F6CA"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XV. Dirección de Protección Civil;</w:t>
      </w:r>
    </w:p>
    <w:p w14:paraId="0A29A516"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XVI. Unidad Municipal de Transparencia y Acceso a la Información;</w:t>
      </w:r>
    </w:p>
    <w:p w14:paraId="7AAF00A6"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XVII. Secretario Técnico del Consejo Municipal de Seguridad Pública;</w:t>
      </w:r>
    </w:p>
    <w:p w14:paraId="26B8E155"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XVIII. Instituto Municipal de la Juventud;</w:t>
      </w:r>
    </w:p>
    <w:p w14:paraId="1DA94BA1"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XIX. Oficialía del Registro Civil;</w:t>
      </w:r>
    </w:p>
    <w:p w14:paraId="02C7197D"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XX. Área Coordinadora de Archivos; y</w:t>
      </w:r>
    </w:p>
    <w:p w14:paraId="2B297427"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XXI. Unidad Municipal de Bienestar y Protección Animal.</w:t>
      </w:r>
    </w:p>
    <w:p w14:paraId="7059C84B"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p>
    <w:p w14:paraId="3F65EB12"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Artículo 46.-</w:t>
      </w:r>
      <w:r w:rsidRPr="00C03673">
        <w:rPr>
          <w:rFonts w:ascii="Palatino Linotype" w:eastAsia="Palatino Linotype" w:hAnsi="Palatino Linotype" w:cs="Palatino Linotype"/>
          <w:i/>
          <w:sz w:val="22"/>
          <w:szCs w:val="22"/>
        </w:rPr>
        <w:t xml:space="preserve"> Para el despacho, estudio y planeación de los diversos asuntos de la Administración Pública Desconcentrada en el Ayuntamiento de Temamatla, Estado de México se contará con el siguiente:</w:t>
      </w:r>
    </w:p>
    <w:p w14:paraId="43F7D4E6" w14:textId="77777777" w:rsidR="006E20E7" w:rsidRPr="00C03673" w:rsidRDefault="00CA27F1">
      <w:pPr>
        <w:ind w:left="851" w:right="616"/>
        <w:jc w:val="both"/>
        <w:rPr>
          <w:rFonts w:ascii="Palatino Linotype" w:eastAsia="Palatino Linotype" w:hAnsi="Palatino Linotype" w:cs="Palatino Linotype"/>
          <w:b/>
          <w:i/>
          <w:sz w:val="22"/>
          <w:szCs w:val="22"/>
        </w:rPr>
      </w:pPr>
      <w:r w:rsidRPr="00C03673">
        <w:rPr>
          <w:rFonts w:ascii="Palatino Linotype" w:eastAsia="Palatino Linotype" w:hAnsi="Palatino Linotype" w:cs="Palatino Linotype"/>
          <w:b/>
          <w:i/>
          <w:sz w:val="22"/>
          <w:szCs w:val="22"/>
        </w:rPr>
        <w:t>I. Instituto Municipal de la Mujer; y</w:t>
      </w:r>
    </w:p>
    <w:p w14:paraId="15AF60B6"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II. Instituto de la Juventud.</w:t>
      </w:r>
    </w:p>
    <w:p w14:paraId="041DE1D7"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Artículo 47.- Para el funcionamiento de los diversos asuntos de los Organismos Autónomos del Municipio, el Ayuntamiento de Temamatla, Estado de México contará con los siguientes:</w:t>
      </w:r>
    </w:p>
    <w:p w14:paraId="096D9FAB"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I. </w:t>
      </w:r>
      <w:r w:rsidRPr="00C03673">
        <w:rPr>
          <w:rFonts w:ascii="Palatino Linotype" w:eastAsia="Palatino Linotype" w:hAnsi="Palatino Linotype" w:cs="Palatino Linotype"/>
          <w:b/>
          <w:i/>
          <w:sz w:val="22"/>
          <w:szCs w:val="22"/>
        </w:rPr>
        <w:t>Defensoría Municipal de los Derechos Humanos</w:t>
      </w:r>
      <w:r w:rsidRPr="00C03673">
        <w:rPr>
          <w:rFonts w:ascii="Palatino Linotype" w:eastAsia="Palatino Linotype" w:hAnsi="Palatino Linotype" w:cs="Palatino Linotype"/>
          <w:i/>
          <w:sz w:val="22"/>
          <w:szCs w:val="22"/>
        </w:rPr>
        <w:t>… ”</w:t>
      </w:r>
    </w:p>
    <w:p w14:paraId="4D931D31"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1FD3B1E0" w14:textId="77777777" w:rsidR="006E20E7" w:rsidRPr="00C03673" w:rsidRDefault="00CA27F1">
      <w:pPr>
        <w:spacing w:line="360" w:lineRule="auto"/>
        <w:ind w:right="49"/>
        <w:jc w:val="both"/>
        <w:rPr>
          <w:rFonts w:ascii="Palatino Linotype" w:eastAsia="Palatino Linotype" w:hAnsi="Palatino Linotype" w:cs="Palatino Linotype"/>
          <w:b/>
          <w:sz w:val="22"/>
          <w:szCs w:val="22"/>
        </w:rPr>
      </w:pPr>
      <w:r w:rsidRPr="00C03673">
        <w:rPr>
          <w:rFonts w:ascii="Palatino Linotype" w:eastAsia="Palatino Linotype" w:hAnsi="Palatino Linotype" w:cs="Palatino Linotype"/>
          <w:sz w:val="22"/>
          <w:szCs w:val="22"/>
        </w:rPr>
        <w:t xml:space="preserve">Ahora bien, en contraposición con las disposiciones previstas en la Ley Orgánica Municipal, previamente analizadas, se colige que los servidores públicos que cuentan con la obligación de acreditar la certificación de competencia laboral, en el caso concreto, son las personas titulares de la </w:t>
      </w:r>
      <w:r w:rsidRPr="00C03673">
        <w:rPr>
          <w:rFonts w:ascii="Palatino Linotype" w:eastAsia="Palatino Linotype" w:hAnsi="Palatino Linotype" w:cs="Palatino Linotype"/>
          <w:b/>
          <w:sz w:val="22"/>
          <w:szCs w:val="22"/>
        </w:rPr>
        <w:t>Secretaría del Ayuntamiento, la Tesorería Municipal, el Órgano Interno de Control, la Defensoría Municipal de los Derechos Humanos, Dirección de Obra Pública, Desarrollo Urbano y Ecología, Dirección de Desarrollo Económico, Dirección de Protección Civil e Instituto Municipal de la Mujer.</w:t>
      </w:r>
    </w:p>
    <w:p w14:paraId="175BA662" w14:textId="77777777" w:rsidR="006E20E7" w:rsidRPr="00C03673" w:rsidRDefault="006E20E7">
      <w:pPr>
        <w:spacing w:line="360" w:lineRule="auto"/>
        <w:ind w:right="49"/>
        <w:jc w:val="both"/>
        <w:rPr>
          <w:rFonts w:ascii="Palatino Linotype" w:eastAsia="Palatino Linotype" w:hAnsi="Palatino Linotype" w:cs="Palatino Linotype"/>
          <w:b/>
          <w:sz w:val="22"/>
          <w:szCs w:val="22"/>
        </w:rPr>
      </w:pPr>
    </w:p>
    <w:p w14:paraId="320AC66F" w14:textId="77777777" w:rsidR="006E20E7" w:rsidRPr="00C03673" w:rsidRDefault="00CA27F1">
      <w:pPr>
        <w:spacing w:line="360" w:lineRule="auto"/>
        <w:ind w:right="49"/>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En el caso, de la persona</w:t>
      </w:r>
      <w:r w:rsidRPr="00C03673">
        <w:rPr>
          <w:rFonts w:ascii="Palatino Linotype" w:eastAsia="Palatino Linotype" w:hAnsi="Palatino Linotype" w:cs="Palatino Linotype"/>
          <w:b/>
          <w:sz w:val="22"/>
          <w:szCs w:val="22"/>
        </w:rPr>
        <w:t xml:space="preserve"> Titular de la Dirección General de Mejora Regulatoria e Información, Planeación, Programación, Evaluación, </w:t>
      </w:r>
      <w:r w:rsidRPr="00C03673">
        <w:rPr>
          <w:rFonts w:ascii="Palatino Linotype" w:eastAsia="Palatino Linotype" w:hAnsi="Palatino Linotype" w:cs="Palatino Linotype"/>
          <w:sz w:val="22"/>
          <w:szCs w:val="22"/>
        </w:rPr>
        <w:t xml:space="preserve">es preciso mencionar que la Ley para la Mejora Regulatoria del Estado de México y Municipios, dispone en su artículo 19, que los municipios integrarán </w:t>
      </w:r>
      <w:r w:rsidRPr="00C03673">
        <w:rPr>
          <w:rFonts w:ascii="Palatino Linotype" w:eastAsia="Palatino Linotype" w:hAnsi="Palatino Linotype" w:cs="Palatino Linotype"/>
          <w:b/>
          <w:sz w:val="22"/>
          <w:szCs w:val="22"/>
        </w:rPr>
        <w:t xml:space="preserve">Comisiones Municipales de Mejora Regulatoria </w:t>
      </w:r>
      <w:r w:rsidRPr="00C03673">
        <w:rPr>
          <w:rFonts w:ascii="Palatino Linotype" w:eastAsia="Palatino Linotype" w:hAnsi="Palatino Linotype" w:cs="Palatino Linotype"/>
          <w:sz w:val="22"/>
          <w:szCs w:val="22"/>
        </w:rPr>
        <w:t>para el cumplimiento de los objetivos de dicha Ley, siendo atribución del o la Presidente municipal nombrar un Coordinador General Municipal de Mejora Regulatoria.</w:t>
      </w:r>
    </w:p>
    <w:p w14:paraId="626B5914" w14:textId="77777777" w:rsidR="006E20E7" w:rsidRPr="00C03673" w:rsidRDefault="006E20E7">
      <w:pPr>
        <w:spacing w:line="360" w:lineRule="auto"/>
        <w:ind w:right="49"/>
        <w:jc w:val="both"/>
        <w:rPr>
          <w:rFonts w:ascii="Palatino Linotype" w:eastAsia="Palatino Linotype" w:hAnsi="Palatino Linotype" w:cs="Palatino Linotype"/>
          <w:sz w:val="22"/>
          <w:szCs w:val="22"/>
        </w:rPr>
      </w:pPr>
    </w:p>
    <w:p w14:paraId="4B453C6A" w14:textId="77777777" w:rsidR="006E20E7" w:rsidRPr="00C03673" w:rsidRDefault="00CA27F1">
      <w:pPr>
        <w:spacing w:line="360" w:lineRule="auto"/>
        <w:ind w:right="51"/>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En este contexto, el artículo 44 fracción XIV del Bando Municipal de Temamatla 2024, anteriormente citado, dispone que el </w:t>
      </w:r>
      <w:r w:rsidRPr="00C03673">
        <w:rPr>
          <w:rFonts w:ascii="Palatino Linotype" w:eastAsia="Palatino Linotype" w:hAnsi="Palatino Linotype" w:cs="Palatino Linotype"/>
          <w:b/>
          <w:sz w:val="22"/>
          <w:szCs w:val="22"/>
        </w:rPr>
        <w:t xml:space="preserve">Sujeto Obligado, </w:t>
      </w:r>
      <w:r w:rsidRPr="00C03673">
        <w:rPr>
          <w:rFonts w:ascii="Palatino Linotype" w:eastAsia="Palatino Linotype" w:hAnsi="Palatino Linotype" w:cs="Palatino Linotype"/>
          <w:sz w:val="22"/>
          <w:szCs w:val="22"/>
        </w:rPr>
        <w:t xml:space="preserve">cuenta con el deber de tener una </w:t>
      </w:r>
      <w:r w:rsidRPr="00C03673">
        <w:rPr>
          <w:rFonts w:ascii="Palatino Linotype" w:eastAsia="Palatino Linotype" w:hAnsi="Palatino Linotype" w:cs="Palatino Linotype"/>
          <w:b/>
          <w:sz w:val="22"/>
          <w:szCs w:val="22"/>
        </w:rPr>
        <w:t>Dirección General de Mejora Regulatoria e Información, Planeación, Programación, Evaluación</w:t>
      </w:r>
      <w:r w:rsidRPr="00C03673">
        <w:rPr>
          <w:rFonts w:ascii="Palatino Linotype" w:eastAsia="Palatino Linotype" w:hAnsi="Palatino Linotype" w:cs="Palatino Linotype"/>
          <w:sz w:val="22"/>
          <w:szCs w:val="22"/>
        </w:rPr>
        <w:t>.</w:t>
      </w:r>
    </w:p>
    <w:p w14:paraId="3A2B9AC8" w14:textId="77777777" w:rsidR="006E20E7" w:rsidRPr="00C03673" w:rsidRDefault="006E20E7">
      <w:pPr>
        <w:spacing w:line="360" w:lineRule="auto"/>
        <w:ind w:right="51"/>
        <w:jc w:val="both"/>
        <w:rPr>
          <w:rFonts w:ascii="Palatino Linotype" w:eastAsia="Palatino Linotype" w:hAnsi="Palatino Linotype" w:cs="Palatino Linotype"/>
          <w:sz w:val="22"/>
          <w:szCs w:val="22"/>
        </w:rPr>
      </w:pPr>
    </w:p>
    <w:p w14:paraId="35DDB031" w14:textId="77777777" w:rsidR="006E20E7" w:rsidRPr="00C03673" w:rsidRDefault="00CA27F1">
      <w:pPr>
        <w:spacing w:line="360" w:lineRule="auto"/>
        <w:ind w:right="51"/>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Sin embargo, como fue precisado en líneas anteriores, en el caso particular, la normativa establece la posibilidad de que la persona servidora pública que ostente dicho cargo, debe acreditar contar con el </w:t>
      </w:r>
      <w:r w:rsidRPr="00C03673">
        <w:rPr>
          <w:rFonts w:ascii="Palatino Linotype" w:eastAsia="Palatino Linotype" w:hAnsi="Palatino Linotype" w:cs="Palatino Linotype"/>
          <w:sz w:val="22"/>
          <w:szCs w:val="22"/>
          <w:u w:val="single"/>
        </w:rPr>
        <w:t>diplomado en materia de mejora regulatoria expedido por el Instituto de Profesionalización de los Servidores Públicos del Estado de México,</w:t>
      </w:r>
      <w:r w:rsidRPr="00C03673">
        <w:rPr>
          <w:rFonts w:ascii="Palatino Linotype" w:eastAsia="Palatino Linotype" w:hAnsi="Palatino Linotype" w:cs="Palatino Linotype"/>
          <w:sz w:val="22"/>
          <w:szCs w:val="22"/>
        </w:rPr>
        <w:t xml:space="preserve"> o bien,  la </w:t>
      </w:r>
      <w:r w:rsidRPr="00C03673">
        <w:rPr>
          <w:rFonts w:ascii="Palatino Linotype" w:eastAsia="Palatino Linotype" w:hAnsi="Palatino Linotype" w:cs="Palatino Linotype"/>
          <w:sz w:val="22"/>
          <w:szCs w:val="22"/>
          <w:u w:val="single"/>
        </w:rPr>
        <w:lastRenderedPageBreak/>
        <w:t>certificación de competencia laboral expedida</w:t>
      </w:r>
      <w:r w:rsidRPr="00C03673">
        <w:rPr>
          <w:rFonts w:ascii="Palatino Linotype" w:eastAsia="Palatino Linotype" w:hAnsi="Palatino Linotype" w:cs="Palatino Linotype"/>
          <w:sz w:val="22"/>
          <w:szCs w:val="22"/>
        </w:rPr>
        <w:t xml:space="preserve"> por el Instituto Hacendario del Estado de México o por alguna otra institución con reconocimiento de validez oficial.</w:t>
      </w:r>
    </w:p>
    <w:p w14:paraId="14BD10DC" w14:textId="77777777" w:rsidR="006E20E7" w:rsidRPr="00C03673" w:rsidRDefault="006E20E7">
      <w:pPr>
        <w:spacing w:line="360" w:lineRule="auto"/>
        <w:ind w:right="51"/>
        <w:jc w:val="both"/>
        <w:rPr>
          <w:rFonts w:ascii="Palatino Linotype" w:eastAsia="Palatino Linotype" w:hAnsi="Palatino Linotype" w:cs="Palatino Linotype"/>
          <w:sz w:val="22"/>
          <w:szCs w:val="22"/>
        </w:rPr>
      </w:pPr>
    </w:p>
    <w:p w14:paraId="343C7F38" w14:textId="77777777" w:rsidR="006E20E7" w:rsidRPr="00C03673" w:rsidRDefault="00CA27F1">
      <w:pPr>
        <w:spacing w:line="360" w:lineRule="auto"/>
        <w:ind w:right="-28"/>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Del mismo modo, el artículo 57 de la Ley de Transparencia Acceso a la Información Pública del Estado de México y Municipios, nos enlista los requisitos específicos para ser Titular de la Unidad de Transparencia, siendo estos, los siguientes:</w:t>
      </w:r>
    </w:p>
    <w:p w14:paraId="0FE96322" w14:textId="77777777" w:rsidR="006E20E7" w:rsidRPr="00C03673" w:rsidRDefault="006E20E7">
      <w:pPr>
        <w:spacing w:line="360" w:lineRule="auto"/>
        <w:ind w:right="-28"/>
        <w:jc w:val="both"/>
        <w:rPr>
          <w:rFonts w:ascii="Palatino Linotype" w:eastAsia="Palatino Linotype" w:hAnsi="Palatino Linotype" w:cs="Palatino Linotype"/>
          <w:sz w:val="22"/>
          <w:szCs w:val="22"/>
        </w:rPr>
      </w:pPr>
    </w:p>
    <w:p w14:paraId="078CD663" w14:textId="77777777" w:rsidR="006E20E7" w:rsidRPr="00C03673" w:rsidRDefault="00CA27F1">
      <w:pPr>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r w:rsidRPr="00C03673">
        <w:rPr>
          <w:rFonts w:ascii="Palatino Linotype" w:eastAsia="Palatino Linotype" w:hAnsi="Palatino Linotype" w:cs="Palatino Linotype"/>
          <w:b/>
          <w:i/>
          <w:sz w:val="22"/>
          <w:szCs w:val="22"/>
        </w:rPr>
        <w:t>Artículo 57.</w:t>
      </w:r>
      <w:r w:rsidRPr="00C03673">
        <w:rPr>
          <w:rFonts w:ascii="Palatino Linotype" w:eastAsia="Palatino Linotype" w:hAnsi="Palatino Linotype" w:cs="Palatino Linotype"/>
          <w:i/>
          <w:sz w:val="22"/>
          <w:szCs w:val="22"/>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41094EEF" w14:textId="77777777" w:rsidR="006E20E7" w:rsidRPr="00C03673" w:rsidRDefault="006E20E7">
      <w:pPr>
        <w:spacing w:line="276" w:lineRule="auto"/>
        <w:ind w:left="851" w:right="616"/>
        <w:jc w:val="both"/>
        <w:rPr>
          <w:rFonts w:ascii="Palatino Linotype" w:eastAsia="Palatino Linotype" w:hAnsi="Palatino Linotype" w:cs="Palatino Linotype"/>
          <w:i/>
          <w:sz w:val="22"/>
          <w:szCs w:val="22"/>
        </w:rPr>
      </w:pPr>
    </w:p>
    <w:p w14:paraId="1D25FECB" w14:textId="77777777" w:rsidR="006E20E7" w:rsidRPr="00C03673" w:rsidRDefault="00CA27F1">
      <w:pPr>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I. Contar con conocimiento o, </w:t>
      </w:r>
      <w:r w:rsidRPr="00C03673">
        <w:rPr>
          <w:rFonts w:ascii="Palatino Linotype" w:eastAsia="Palatino Linotype" w:hAnsi="Palatino Linotype" w:cs="Palatino Linotype"/>
          <w:b/>
          <w:i/>
          <w:sz w:val="22"/>
          <w:szCs w:val="22"/>
        </w:rPr>
        <w:t xml:space="preserve">tratándose de las entidades gubernamentales estatales y los </w:t>
      </w:r>
      <w:r w:rsidRPr="00C03673">
        <w:rPr>
          <w:rFonts w:ascii="Palatino Linotype" w:eastAsia="Palatino Linotype" w:hAnsi="Palatino Linotype" w:cs="Palatino Linotype"/>
          <w:b/>
          <w:i/>
          <w:sz w:val="22"/>
          <w:szCs w:val="22"/>
          <w:u w:val="single"/>
        </w:rPr>
        <w:t>municipios certificación en materia de acceso a la información, transparencia y protección de datos personales, que para tal efecto emita el Instituto</w:t>
      </w:r>
      <w:r w:rsidRPr="00C03673">
        <w:rPr>
          <w:rFonts w:ascii="Palatino Linotype" w:eastAsia="Palatino Linotype" w:hAnsi="Palatino Linotype" w:cs="Palatino Linotype"/>
          <w:b/>
          <w:i/>
          <w:sz w:val="22"/>
          <w:szCs w:val="22"/>
        </w:rPr>
        <w:t>;</w:t>
      </w:r>
      <w:r w:rsidRPr="00C03673">
        <w:rPr>
          <w:rFonts w:ascii="Palatino Linotype" w:eastAsia="Palatino Linotype" w:hAnsi="Palatino Linotype" w:cs="Palatino Linotype"/>
          <w:i/>
          <w:sz w:val="22"/>
          <w:szCs w:val="22"/>
        </w:rPr>
        <w:t xml:space="preserve">  </w:t>
      </w:r>
    </w:p>
    <w:p w14:paraId="55AC6EA9" w14:textId="77777777" w:rsidR="006E20E7" w:rsidRPr="00C03673" w:rsidRDefault="00CA27F1">
      <w:pPr>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II. Experiencia en materia de acceso a la información y protección de datos personales; y </w:t>
      </w:r>
    </w:p>
    <w:p w14:paraId="531E3D15" w14:textId="77777777" w:rsidR="006E20E7" w:rsidRPr="00C03673" w:rsidRDefault="00CA27F1">
      <w:pPr>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III. Habilidades de organización y comunicación, así como visión y liderazgo.”</w:t>
      </w:r>
    </w:p>
    <w:p w14:paraId="4A1A39DA" w14:textId="77777777" w:rsidR="006E20E7" w:rsidRPr="00C03673" w:rsidRDefault="00CA27F1">
      <w:pPr>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(Énfasis añadido)</w:t>
      </w:r>
    </w:p>
    <w:p w14:paraId="6B2A3742"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4D96E1BA" w14:textId="77777777" w:rsidR="006E20E7" w:rsidRPr="00C03673" w:rsidRDefault="00CA27F1">
      <w:pPr>
        <w:spacing w:line="360" w:lineRule="auto"/>
        <w:jc w:val="both"/>
        <w:rPr>
          <w:rFonts w:ascii="Palatino Linotype" w:eastAsia="Palatino Linotype" w:hAnsi="Palatino Linotype" w:cs="Palatino Linotype"/>
          <w:b/>
          <w:sz w:val="22"/>
          <w:szCs w:val="22"/>
          <w:u w:val="single"/>
        </w:rPr>
      </w:pPr>
      <w:r w:rsidRPr="00C03673">
        <w:rPr>
          <w:rFonts w:ascii="Palatino Linotype" w:eastAsia="Palatino Linotype" w:hAnsi="Palatino Linotype" w:cs="Palatino Linotype"/>
          <w:sz w:val="22"/>
          <w:szCs w:val="22"/>
        </w:rPr>
        <w:t xml:space="preserve">En razón de lo anterior, la certificación de competencia laboral, se trata de una obligación normativa, pues la Ley de Transparencia y Acceso a la Información Pública del Estado de México y Municipios, señala en su numeral 57, fracción I, ya descrito anteriormente, que el responsable de la Unidad de Transparencia deberá tener el perfil adecuado para el cumplimiento de las obligaciones que se derivan de la presente Ley y para ser nombrado titular de la Unidad de Transparencia, debiendo cumplir, con diversos requisitos, entre ellos, tratándose de las entidades gubernamentales estatales y los municipios </w:t>
      </w:r>
      <w:r w:rsidRPr="00C03673">
        <w:rPr>
          <w:rFonts w:ascii="Palatino Linotype" w:eastAsia="Palatino Linotype" w:hAnsi="Palatino Linotype" w:cs="Palatino Linotype"/>
          <w:b/>
          <w:sz w:val="22"/>
          <w:szCs w:val="22"/>
          <w:u w:val="single"/>
        </w:rPr>
        <w:t xml:space="preserve">certificación </w:t>
      </w:r>
      <w:r w:rsidRPr="00C03673">
        <w:rPr>
          <w:rFonts w:ascii="Palatino Linotype" w:eastAsia="Palatino Linotype" w:hAnsi="Palatino Linotype" w:cs="Palatino Linotype"/>
          <w:b/>
          <w:sz w:val="22"/>
          <w:szCs w:val="22"/>
          <w:u w:val="single"/>
        </w:rPr>
        <w:lastRenderedPageBreak/>
        <w:t>en materia de acceso a la información, transparencia y protección de datos personales, que para tal efecto emita el Instituto.</w:t>
      </w:r>
    </w:p>
    <w:p w14:paraId="305E7510" w14:textId="77777777" w:rsidR="006E20E7" w:rsidRPr="00C03673" w:rsidRDefault="006E20E7">
      <w:pPr>
        <w:spacing w:line="360" w:lineRule="auto"/>
        <w:jc w:val="both"/>
        <w:rPr>
          <w:rFonts w:ascii="Palatino Linotype" w:eastAsia="Palatino Linotype" w:hAnsi="Palatino Linotype" w:cs="Palatino Linotype"/>
          <w:b/>
          <w:sz w:val="22"/>
          <w:szCs w:val="22"/>
          <w:u w:val="single"/>
        </w:rPr>
      </w:pPr>
    </w:p>
    <w:p w14:paraId="32BDAE25"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Para robustecer el presente estudio, debe apuntarse que en cumplimiento al artículo 36, fracción XI, de la Ley de Transparencia y Acceso a la Información Pública del Estado de México y Municipios, este Instituto es el encargado de certificar las competencias de los titulares de las unidades de transparencia; por lo que el Titular de la Unidad de Transparencia también se encuentra obligado a contar con certificación. </w:t>
      </w:r>
    </w:p>
    <w:p w14:paraId="31CE9849" w14:textId="77777777" w:rsidR="006E20E7" w:rsidRPr="00C03673" w:rsidRDefault="006E20E7">
      <w:pPr>
        <w:spacing w:line="360" w:lineRule="auto"/>
        <w:ind w:right="51"/>
        <w:jc w:val="both"/>
        <w:rPr>
          <w:rFonts w:ascii="Palatino Linotype" w:eastAsia="Palatino Linotype" w:hAnsi="Palatino Linotype" w:cs="Palatino Linotype"/>
          <w:sz w:val="22"/>
          <w:szCs w:val="22"/>
        </w:rPr>
      </w:pPr>
    </w:p>
    <w:p w14:paraId="5DB4F000" w14:textId="77777777" w:rsidR="006E20E7" w:rsidRPr="00C03673" w:rsidRDefault="00CA27F1">
      <w:pPr>
        <w:spacing w:line="360" w:lineRule="auto"/>
        <w:ind w:right="49"/>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Con base en los argumentos expuestos, toda vez que se comprobó la obligación del </w:t>
      </w:r>
      <w:r w:rsidRPr="00C03673">
        <w:rPr>
          <w:rFonts w:ascii="Palatino Linotype" w:eastAsia="Palatino Linotype" w:hAnsi="Palatino Linotype" w:cs="Palatino Linotype"/>
          <w:b/>
          <w:sz w:val="22"/>
          <w:szCs w:val="22"/>
        </w:rPr>
        <w:t xml:space="preserve">Sujeto Obligado </w:t>
      </w:r>
      <w:r w:rsidRPr="00C03673">
        <w:rPr>
          <w:rFonts w:ascii="Palatino Linotype" w:eastAsia="Palatino Linotype" w:hAnsi="Palatino Linotype" w:cs="Palatino Linotype"/>
          <w:sz w:val="22"/>
          <w:szCs w:val="22"/>
        </w:rPr>
        <w:t xml:space="preserve">de contar con la información que es del interés de la persona solicitante, se procede a analizar la información remitida por dicho ente público, por lo que conviene recordar que el Director de Administración en respuesta, refirió que la información solicitada, podía ser consultada en las siguientes ligas electrónicas: </w:t>
      </w:r>
    </w:p>
    <w:p w14:paraId="016814C8" w14:textId="77777777" w:rsidR="006E20E7" w:rsidRPr="00C03673" w:rsidRDefault="006E20E7">
      <w:pPr>
        <w:rPr>
          <w:rFonts w:ascii="Palatino Linotype" w:eastAsia="Palatino Linotype" w:hAnsi="Palatino Linotype" w:cs="Palatino Linotype"/>
          <w:sz w:val="22"/>
          <w:szCs w:val="22"/>
        </w:rPr>
      </w:pPr>
    </w:p>
    <w:p w14:paraId="10F1FBE6" w14:textId="77777777" w:rsidR="006E20E7" w:rsidRPr="00C03673" w:rsidRDefault="00CA27F1">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t xml:space="preserve">Organigrama lo puede checar en los siguientes links: </w:t>
      </w:r>
    </w:p>
    <w:p w14:paraId="2E5965B9" w14:textId="77777777" w:rsidR="006E20E7" w:rsidRPr="00C03673" w:rsidRDefault="005F5584">
      <w:pPr>
        <w:numPr>
          <w:ilvl w:val="0"/>
          <w:numId w:val="7"/>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hyperlink r:id="rId21">
        <w:r w:rsidR="00CA27F1" w:rsidRPr="00C03673">
          <w:rPr>
            <w:rFonts w:ascii="Palatino Linotype" w:eastAsia="Palatino Linotype" w:hAnsi="Palatino Linotype" w:cs="Palatino Linotype"/>
            <w:sz w:val="22"/>
            <w:szCs w:val="22"/>
            <w:u w:val="single"/>
          </w:rPr>
          <w:t>https://ipomex.org.mx/ipo3/lgt/índice/TEMAMATLA/art_92_viii/5.web?token=03AFcWeA5y97XOmPtUnKi7EsalqsHRmfNEwja7lKdcpOZuC4f3H3kb6zYhseed2sQnPJ4eFBH6KQHSCz0VbV4KUUQbGhW5ShxWabnHzxdDdKYfngeE5YFj1c-1o8dVVPxVPk248JWOr3J_umSS4t-z_TwowpX9FBpVqDKpLH7k1bHtAHRFjXd1LS7VEc82WNYjzZDkhzRf5BTjmU6FMD9ElZQGHSZN_Y96C2BGBpDHLMu9UZ-QRyuAFEuktQGwsaM60sKid9C7ltyVTwSroPxE3q_Y94Enhl8SpSe87LZ0cldUk3qrF3DRxEg-3s6lhNswiFqHp7MsuUXh8oeBC01nTStr-VN5QFLL1ULMUT4FX7PQMCQRBSR7VZGQILPLT2kY3DbAlvl5g4QzHj4EDHbdwVcAsGQpxVnheCXhDGzYl_zaoLrRVjFYMFxx8kPsHtppmE_uRV</w:t>
        </w:r>
        <w:r w:rsidR="00CA27F1" w:rsidRPr="00C03673">
          <w:rPr>
            <w:rFonts w:ascii="Palatino Linotype" w:eastAsia="Palatino Linotype" w:hAnsi="Palatino Linotype" w:cs="Palatino Linotype"/>
            <w:sz w:val="22"/>
            <w:szCs w:val="22"/>
            <w:u w:val="single"/>
          </w:rPr>
          <w:lastRenderedPageBreak/>
          <w:t>Sy1Or-sJIWZDHYtbwhB5FmOXUVGA4310KQYmzLU2ExkRruvbPl8C9FaaBFx0CEq7D2MyRQN5r6Jj1a7g5GEiQSDwrGcO72x-LeoNEpKW1Hvt-5TgrvYHo_mUmcRwPEPNZr5cd6XFkjCz_-lW-YAGDdNccQSDYpTxli19Qy6amG0QP3m-PuJg8DlYCPPFdTaKQVlvGEFBtq10WiB_DDNAc9KQzPuCjqsFgR-5h0Epz9lhDtzj0lgaY_St3Uslto0ZwfUWai_RrYCD-P5jMzo_eXjeQPryGQN6an1bmr7mbsoEmq0e0</w:t>
        </w:r>
      </w:hyperlink>
      <w:r w:rsidR="00CA27F1" w:rsidRPr="00C03673">
        <w:rPr>
          <w:rFonts w:ascii="Palatino Linotype" w:eastAsia="Palatino Linotype" w:hAnsi="Palatino Linotype" w:cs="Palatino Linotype"/>
          <w:sz w:val="22"/>
          <w:szCs w:val="22"/>
        </w:rPr>
        <w:t xml:space="preserve"> </w:t>
      </w:r>
    </w:p>
    <w:p w14:paraId="36A02DE8" w14:textId="77777777" w:rsidR="006E20E7" w:rsidRPr="00C03673" w:rsidRDefault="005F5584">
      <w:pPr>
        <w:numPr>
          <w:ilvl w:val="0"/>
          <w:numId w:val="7"/>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hyperlink r:id="rId22">
        <w:r w:rsidR="00CA27F1" w:rsidRPr="00C03673">
          <w:rPr>
            <w:rFonts w:ascii="Palatino Linotype" w:eastAsia="Palatino Linotype" w:hAnsi="Palatino Linotype" w:cs="Palatino Linotype"/>
            <w:sz w:val="22"/>
            <w:szCs w:val="22"/>
            <w:u w:val="single"/>
          </w:rPr>
          <w:t>https://drive.google.com/file/d/1-0HWfQG1hghGVXmWd7RhpYut_xYLU4Cz/view</w:t>
        </w:r>
      </w:hyperlink>
      <w:r w:rsidR="00CA27F1" w:rsidRPr="00C03673">
        <w:rPr>
          <w:rFonts w:ascii="Palatino Linotype" w:eastAsia="Palatino Linotype" w:hAnsi="Palatino Linotype" w:cs="Palatino Linotype"/>
          <w:sz w:val="22"/>
          <w:szCs w:val="22"/>
        </w:rPr>
        <w:t xml:space="preserve"> </w:t>
      </w:r>
    </w:p>
    <w:p w14:paraId="3A0DE83F" w14:textId="77777777" w:rsidR="006E20E7" w:rsidRPr="00C03673" w:rsidRDefault="006E20E7">
      <w:pPr>
        <w:spacing w:line="360" w:lineRule="auto"/>
        <w:ind w:right="49"/>
        <w:jc w:val="both"/>
        <w:rPr>
          <w:rFonts w:ascii="Palatino Linotype" w:eastAsia="Palatino Linotype" w:hAnsi="Palatino Linotype" w:cs="Palatino Linotype"/>
          <w:sz w:val="22"/>
          <w:szCs w:val="22"/>
        </w:rPr>
      </w:pPr>
    </w:p>
    <w:p w14:paraId="42939BA4" w14:textId="77777777" w:rsidR="006E20E7" w:rsidRPr="00C03673" w:rsidRDefault="00CA27F1">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t xml:space="preserve">Con referencia a los expedientes de los directores municipales puede checar en el siguiente link: </w:t>
      </w:r>
    </w:p>
    <w:p w14:paraId="33C6CBDA" w14:textId="77777777" w:rsidR="006E20E7" w:rsidRPr="00C03673" w:rsidRDefault="005F5584">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hyperlink r:id="rId23">
        <w:r w:rsidR="00CA27F1" w:rsidRPr="00C03673">
          <w:rPr>
            <w:rFonts w:ascii="Palatino Linotype" w:eastAsia="Palatino Linotype" w:hAnsi="Palatino Linotype" w:cs="Palatino Linotype"/>
            <w:sz w:val="22"/>
            <w:szCs w:val="22"/>
            <w:u w:val="single"/>
          </w:rPr>
          <w:t>https://drive.google.com/drive/folders/1f104HLEV8UnXw0G4AJX7HwaUxUk55ZE-?usp=sharing</w:t>
        </w:r>
      </w:hyperlink>
      <w:r w:rsidR="00CA27F1" w:rsidRPr="00C03673">
        <w:rPr>
          <w:rFonts w:ascii="Palatino Linotype" w:eastAsia="Palatino Linotype" w:hAnsi="Palatino Linotype" w:cs="Palatino Linotype"/>
          <w:sz w:val="22"/>
          <w:szCs w:val="22"/>
        </w:rPr>
        <w:t xml:space="preserve"> </w:t>
      </w:r>
    </w:p>
    <w:p w14:paraId="6C874BE6" w14:textId="77777777" w:rsidR="006E20E7" w:rsidRPr="00C03673" w:rsidRDefault="00CA27F1">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t xml:space="preserve">Perfil de los servidores públicos: </w:t>
      </w:r>
    </w:p>
    <w:p w14:paraId="1D77B15D" w14:textId="77777777" w:rsidR="006E20E7" w:rsidRPr="00C03673" w:rsidRDefault="00CA27F1">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AYUNTAMIENTO_DE_TEMAMATLA-Perfil_de_los_puestos_de_los_servidores_publicos (ipomex.org.mx) </w:t>
      </w:r>
    </w:p>
    <w:p w14:paraId="13DC0B8A" w14:textId="77777777" w:rsidR="006E20E7" w:rsidRPr="00C03673" w:rsidRDefault="006E20E7">
      <w:pPr>
        <w:spacing w:line="360" w:lineRule="auto"/>
        <w:rPr>
          <w:rFonts w:ascii="Palatino Linotype" w:eastAsia="Palatino Linotype" w:hAnsi="Palatino Linotype" w:cs="Palatino Linotype"/>
          <w:sz w:val="22"/>
          <w:szCs w:val="22"/>
        </w:rPr>
      </w:pPr>
    </w:p>
    <w:p w14:paraId="7BB35CEF"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Ligas que como se puede advertir de los expedientes electrónicos del Sistema de Acceso a la Información Mexiquense, estas se encuentra en formato cerrado, es decir, que no se puede copiar y pegar para tener acceso; sobre el tema, Trujillo, Humberto (2019), en el “Diccionario de Transparencia y Acceso a la Información Pública”, precisa que cuando un </w:t>
      </w:r>
      <w:r w:rsidRPr="00C03673">
        <w:rPr>
          <w:rFonts w:ascii="Palatino Linotype" w:eastAsia="Palatino Linotype" w:hAnsi="Palatino Linotype" w:cs="Palatino Linotype"/>
          <w:b/>
          <w:sz w:val="22"/>
          <w:szCs w:val="22"/>
        </w:rPr>
        <w:t xml:space="preserve">Sujeto Obligado </w:t>
      </w:r>
      <w:r w:rsidRPr="00C03673">
        <w:rPr>
          <w:rFonts w:ascii="Palatino Linotype" w:eastAsia="Palatino Linotype" w:hAnsi="Palatino Linotype" w:cs="Palatino Linotype"/>
          <w:sz w:val="22"/>
          <w:szCs w:val="22"/>
        </w:rPr>
        <w:t xml:space="preserve">proporciona información pública de manera electrónica es necesario garantizar su interoperabilidad, lo cual se traduce al hecho a que la información contenga datos en </w:t>
      </w:r>
      <w:r w:rsidRPr="00C03673">
        <w:rPr>
          <w:rFonts w:ascii="Palatino Linotype" w:eastAsia="Palatino Linotype" w:hAnsi="Palatino Linotype" w:cs="Palatino Linotype"/>
          <w:sz w:val="22"/>
          <w:szCs w:val="22"/>
        </w:rPr>
        <w:lastRenderedPageBreak/>
        <w:t>formatos y estándares abiertos para su reproducción y reutilización electrónica de manera libre y sin ninguna restricción.</w:t>
      </w:r>
    </w:p>
    <w:p w14:paraId="2B0138AF"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68E84ECA"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Asimismo, establece que al proporcionar información pública es necesario que sea en un formato que no tenga ninguna restricción en el acceso o reutilización, por lo que, es necesario que los datos digitales (como ligas electrónicas), se proporcionen en un formato abierto. </w:t>
      </w:r>
    </w:p>
    <w:p w14:paraId="33238495"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74A222DD"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0B207738"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 </w:t>
      </w:r>
    </w:p>
    <w:p w14:paraId="778A476D" w14:textId="77777777" w:rsidR="006E20E7" w:rsidRPr="00C03673" w:rsidRDefault="00CA27F1">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b/>
          <w:sz w:val="22"/>
          <w:szCs w:val="22"/>
        </w:rPr>
        <w:t>Dato abierto:</w:t>
      </w:r>
      <w:r w:rsidRPr="00C03673">
        <w:rPr>
          <w:rFonts w:ascii="Palatino Linotype" w:eastAsia="Palatino Linotype" w:hAnsi="Palatino Linotype" w:cs="Palatino Linotype"/>
          <w:sz w:val="22"/>
          <w:szCs w:val="22"/>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0EE3279F" w14:textId="77777777" w:rsidR="006E20E7" w:rsidRPr="00C03673" w:rsidRDefault="006E20E7">
      <w:pPr>
        <w:spacing w:line="360" w:lineRule="auto"/>
        <w:ind w:firstLine="60"/>
        <w:jc w:val="both"/>
        <w:rPr>
          <w:rFonts w:ascii="Palatino Linotype" w:eastAsia="Palatino Linotype" w:hAnsi="Palatino Linotype" w:cs="Palatino Linotype"/>
          <w:sz w:val="22"/>
          <w:szCs w:val="22"/>
        </w:rPr>
      </w:pPr>
    </w:p>
    <w:p w14:paraId="3B73BE87" w14:textId="77777777" w:rsidR="006E20E7" w:rsidRPr="00C03673" w:rsidRDefault="00CA27F1">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b/>
          <w:sz w:val="22"/>
          <w:szCs w:val="22"/>
        </w:rPr>
        <w:t xml:space="preserve">Formato accesible: </w:t>
      </w:r>
      <w:r w:rsidRPr="00C03673">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62610A9F"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3FE15DD6"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lastRenderedPageBreak/>
        <w:t xml:space="preserve">Conforme a lo anterior, se considera que en el caso de que la información peticionada obre en ligas electrónicas, el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 xml:space="preserve"> deberá privilegiar la entrega de estas, en datos abiertos, es decir, en un formato que permita la accesibilidad y facilidad a los Particulares, para obtener la información contenida en estas.</w:t>
      </w:r>
    </w:p>
    <w:p w14:paraId="43D9C00C"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13A95604"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Al respecto, el artículo 161 de la Ley de Transparencia y Acceso a la Información Pública del Estado de México y Municipios, establece que cuando la documentación peticionada ya se encuentre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6255A022"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09ED198A"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Como se logra observar, el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 xml:space="preserve"> si bien señaló unas ligas electrónicas, omitió proporcionarlas en formato abierto, lo cual implica la dificultad de acceder a la misma, pues se traduce al hecho de que el particular tendría que colocar cada dígito alfanumérico, y cuya equivocación implicaría no acceder a la información contenida en las mismas.</w:t>
      </w:r>
    </w:p>
    <w:p w14:paraId="67F966CC"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65E98BA1"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Sin menoscabar lo anterior, debido a que el particular intentó acceder a las mismas, este instituto también revisó las ligas electrónicas remitidas, las cuales redirigen a las siguientes páginas:</w:t>
      </w:r>
    </w:p>
    <w:p w14:paraId="4B9E926E" w14:textId="77777777" w:rsidR="006E20E7" w:rsidRPr="00C03673" w:rsidRDefault="00CA27F1">
      <w:pPr>
        <w:spacing w:line="360" w:lineRule="auto"/>
        <w:jc w:val="center"/>
        <w:rPr>
          <w:rFonts w:ascii="Palatino Linotype" w:eastAsia="Palatino Linotype" w:hAnsi="Palatino Linotype" w:cs="Palatino Linotype"/>
          <w:sz w:val="22"/>
          <w:szCs w:val="22"/>
        </w:rPr>
      </w:pPr>
      <w:r w:rsidRPr="00C03673">
        <w:rPr>
          <w:rFonts w:ascii="Palatino Linotype" w:eastAsia="Palatino Linotype" w:hAnsi="Palatino Linotype" w:cs="Palatino Linotype"/>
          <w:noProof/>
          <w:sz w:val="22"/>
          <w:szCs w:val="22"/>
          <w:lang w:val="es-MX" w:eastAsia="es-MX"/>
        </w:rPr>
        <w:drawing>
          <wp:inline distT="0" distB="0" distL="0" distR="0" wp14:anchorId="008D4D98" wp14:editId="47E680A8">
            <wp:extent cx="4921340" cy="1370601"/>
            <wp:effectExtent l="0" t="0" r="0" b="0"/>
            <wp:docPr id="8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4921340" cy="1370601"/>
                    </a:xfrm>
                    <a:prstGeom prst="rect">
                      <a:avLst/>
                    </a:prstGeom>
                    <a:ln/>
                  </pic:spPr>
                </pic:pic>
              </a:graphicData>
            </a:graphic>
          </wp:inline>
        </w:drawing>
      </w:r>
    </w:p>
    <w:p w14:paraId="1D6451DE" w14:textId="77777777" w:rsidR="006E20E7" w:rsidRPr="00C03673" w:rsidRDefault="00CA27F1">
      <w:pPr>
        <w:spacing w:line="360" w:lineRule="auto"/>
        <w:jc w:val="center"/>
        <w:rPr>
          <w:rFonts w:ascii="Palatino Linotype" w:eastAsia="Palatino Linotype" w:hAnsi="Palatino Linotype" w:cs="Palatino Linotype"/>
          <w:sz w:val="22"/>
          <w:szCs w:val="22"/>
        </w:rPr>
      </w:pPr>
      <w:r w:rsidRPr="00C03673">
        <w:rPr>
          <w:rFonts w:ascii="Palatino Linotype" w:eastAsia="Palatino Linotype" w:hAnsi="Palatino Linotype" w:cs="Palatino Linotype"/>
          <w:noProof/>
          <w:sz w:val="22"/>
          <w:szCs w:val="22"/>
          <w:lang w:val="es-MX" w:eastAsia="es-MX"/>
        </w:rPr>
        <w:lastRenderedPageBreak/>
        <w:drawing>
          <wp:inline distT="0" distB="0" distL="0" distR="0" wp14:anchorId="70E28EF6" wp14:editId="3E93682E">
            <wp:extent cx="5293024" cy="273096"/>
            <wp:effectExtent l="0" t="0" r="0" b="0"/>
            <wp:docPr id="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5293024" cy="273096"/>
                    </a:xfrm>
                    <a:prstGeom prst="rect">
                      <a:avLst/>
                    </a:prstGeom>
                    <a:ln/>
                  </pic:spPr>
                </pic:pic>
              </a:graphicData>
            </a:graphic>
          </wp:inline>
        </w:drawing>
      </w:r>
    </w:p>
    <w:p w14:paraId="2CA56533" w14:textId="77777777" w:rsidR="006E20E7" w:rsidRPr="00C03673" w:rsidRDefault="00CA27F1">
      <w:pPr>
        <w:spacing w:line="360" w:lineRule="auto"/>
        <w:jc w:val="center"/>
        <w:rPr>
          <w:rFonts w:ascii="Palatino Linotype" w:eastAsia="Palatino Linotype" w:hAnsi="Palatino Linotype" w:cs="Palatino Linotype"/>
          <w:sz w:val="22"/>
          <w:szCs w:val="22"/>
        </w:rPr>
      </w:pPr>
      <w:r w:rsidRPr="00C03673">
        <w:rPr>
          <w:rFonts w:ascii="Palatino Linotype" w:eastAsia="Palatino Linotype" w:hAnsi="Palatino Linotype" w:cs="Palatino Linotype"/>
          <w:noProof/>
          <w:sz w:val="22"/>
          <w:szCs w:val="22"/>
          <w:lang w:val="es-MX" w:eastAsia="es-MX"/>
        </w:rPr>
        <w:drawing>
          <wp:inline distT="0" distB="0" distL="0" distR="0" wp14:anchorId="38108D72" wp14:editId="6E0F14FE">
            <wp:extent cx="2459168" cy="1765784"/>
            <wp:effectExtent l="0" t="0" r="0" b="0"/>
            <wp:docPr id="8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2459168" cy="1765784"/>
                    </a:xfrm>
                    <a:prstGeom prst="rect">
                      <a:avLst/>
                    </a:prstGeom>
                    <a:ln/>
                  </pic:spPr>
                </pic:pic>
              </a:graphicData>
            </a:graphic>
          </wp:inline>
        </w:drawing>
      </w:r>
    </w:p>
    <w:p w14:paraId="60282E2A"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007FFCE5"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noProof/>
          <w:sz w:val="22"/>
          <w:szCs w:val="22"/>
          <w:lang w:val="es-MX" w:eastAsia="es-MX"/>
        </w:rPr>
        <w:drawing>
          <wp:inline distT="0" distB="0" distL="0" distR="0" wp14:anchorId="53A55885" wp14:editId="0941D716">
            <wp:extent cx="5572903" cy="333422"/>
            <wp:effectExtent l="0" t="0" r="0" b="0"/>
            <wp:docPr id="8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5572903" cy="333422"/>
                    </a:xfrm>
                    <a:prstGeom prst="rect">
                      <a:avLst/>
                    </a:prstGeom>
                    <a:ln/>
                  </pic:spPr>
                </pic:pic>
              </a:graphicData>
            </a:graphic>
          </wp:inline>
        </w:drawing>
      </w:r>
    </w:p>
    <w:p w14:paraId="4915856D"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noProof/>
          <w:sz w:val="22"/>
          <w:szCs w:val="22"/>
          <w:lang w:val="es-MX" w:eastAsia="es-MX"/>
        </w:rPr>
        <w:drawing>
          <wp:inline distT="0" distB="0" distL="0" distR="0" wp14:anchorId="3DE528A1" wp14:editId="1B5486D3">
            <wp:extent cx="5612130" cy="2980055"/>
            <wp:effectExtent l="0" t="0" r="0" b="0"/>
            <wp:docPr id="8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612130" cy="2980055"/>
                    </a:xfrm>
                    <a:prstGeom prst="rect">
                      <a:avLst/>
                    </a:prstGeom>
                    <a:ln/>
                  </pic:spPr>
                </pic:pic>
              </a:graphicData>
            </a:graphic>
          </wp:inline>
        </w:drawing>
      </w:r>
    </w:p>
    <w:p w14:paraId="59AC9531"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noProof/>
          <w:sz w:val="22"/>
          <w:szCs w:val="22"/>
          <w:lang w:val="es-MX" w:eastAsia="es-MX"/>
        </w:rPr>
        <w:drawing>
          <wp:inline distT="0" distB="0" distL="0" distR="0" wp14:anchorId="14C51A6E" wp14:editId="6893B644">
            <wp:extent cx="5612130" cy="103505"/>
            <wp:effectExtent l="0" t="0" r="0" b="0"/>
            <wp:docPr id="8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5612130" cy="103505"/>
                    </a:xfrm>
                    <a:prstGeom prst="rect">
                      <a:avLst/>
                    </a:prstGeom>
                    <a:ln/>
                  </pic:spPr>
                </pic:pic>
              </a:graphicData>
            </a:graphic>
          </wp:inline>
        </w:drawing>
      </w:r>
    </w:p>
    <w:p w14:paraId="4CE46200"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noProof/>
          <w:sz w:val="22"/>
          <w:szCs w:val="22"/>
          <w:lang w:val="es-MX" w:eastAsia="es-MX"/>
        </w:rPr>
        <w:lastRenderedPageBreak/>
        <w:drawing>
          <wp:inline distT="0" distB="0" distL="0" distR="0" wp14:anchorId="05C43369" wp14:editId="52F4FB6A">
            <wp:extent cx="5612130" cy="2510155"/>
            <wp:effectExtent l="0" t="0" r="0" b="0"/>
            <wp:docPr id="8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5612130" cy="2510155"/>
                    </a:xfrm>
                    <a:prstGeom prst="rect">
                      <a:avLst/>
                    </a:prstGeom>
                    <a:ln/>
                  </pic:spPr>
                </pic:pic>
              </a:graphicData>
            </a:graphic>
          </wp:inline>
        </w:drawing>
      </w:r>
    </w:p>
    <w:p w14:paraId="709074BC"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70DB4F39"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De lo anterior se advierte que dos de las ligas, si bien remiten al Organigrama del Sujeto Obligado y al perfil de puestos de veintiocho direcciones; lo cierto es que, el particular solicitó puntualmente conocer el nombre y cargo de los servidores públicos que ocupan cada una de las direcciones del organigrama del Sujeto Obligado; así como, los expedientes laborales de cada uno de los servidores públicos que deben contar con certificación de competencia laboral; sin embargo, se reitera que el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 xml:space="preserve"> proporcionó las ligas electrónicas en formato cerrado, en las que si bien, una de ellas de su transcripción permite el acceso al organigrama del Ayuntamiento de Temamatla, también lo es que, las ligas electrónicas remitidas en respuesta no bastan para tener por colmado el derecho de acceso a la información del particular, esto debido a que, como se ha mencionado, dichas ligas se proporcionaron en formato cerrado, lo cual implica que el particular tenga que colocar cada dígito alfanumérico, y cuya equivocación implicaría no acceder a la información contenida en las mismas, circunstancia que aconteció en el presente caso, dado que de la revisión a los expedientes electrónicos, la parte </w:t>
      </w:r>
      <w:r w:rsidRPr="00C03673">
        <w:rPr>
          <w:rFonts w:ascii="Palatino Linotype" w:eastAsia="Palatino Linotype" w:hAnsi="Palatino Linotype" w:cs="Palatino Linotype"/>
          <w:b/>
          <w:sz w:val="22"/>
          <w:szCs w:val="22"/>
        </w:rPr>
        <w:t>Recurrente</w:t>
      </w:r>
      <w:r w:rsidRPr="00C03673">
        <w:rPr>
          <w:rFonts w:ascii="Palatino Linotype" w:eastAsia="Palatino Linotype" w:hAnsi="Palatino Linotype" w:cs="Palatino Linotype"/>
          <w:sz w:val="22"/>
          <w:szCs w:val="22"/>
        </w:rPr>
        <w:t xml:space="preserve">, no obtuvo acceso a dichos documentos, </w:t>
      </w:r>
      <w:r w:rsidRPr="00C03673">
        <w:rPr>
          <w:rFonts w:ascii="Palatino Linotype" w:eastAsia="Palatino Linotype" w:hAnsi="Palatino Linotype" w:cs="Palatino Linotype"/>
          <w:sz w:val="22"/>
          <w:szCs w:val="22"/>
        </w:rPr>
        <w:lastRenderedPageBreak/>
        <w:t xml:space="preserve">situación que se pudo aseverar a través de las capturas de pantalla que adjuntó en la interposición de los recursos de inconformidad. </w:t>
      </w:r>
    </w:p>
    <w:p w14:paraId="287B3286"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194DF90D"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Aunado a ello, el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 xml:space="preserve"> omitió precisar el procedimiento para acceder a los datos solicitados, es decir, no refirió la forma y el lugar específico para poder obtener lo solicitado; por lo tanto, incumplió con lo establecido en el artículo 161 de la Ley de Transparencia y Acceso a la Información Pública del Estado de México y Municipios. </w:t>
      </w:r>
    </w:p>
    <w:p w14:paraId="5F582E4E"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54F54438"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Es por lo anteriormente expuesto, que este Órgano Garante considera oportuno ordenar al Sujeto Obligado la entrega, de ser procedente en versión pública, del documento en donde conste el Organigrama y Directorio del Ayuntamiento de Temamatla, vigente al once de octubre de dos mil veinticuatro; así como, los documentos que conforman los expedientes laborales de todos los servidores públicos que se encuentren obligados a contar con certificación de competencia laboral, y que se encuentren en funciones al once de octubre de dos mil veinticuatro.</w:t>
      </w:r>
    </w:p>
    <w:p w14:paraId="60470909" w14:textId="77777777" w:rsidR="006E20E7" w:rsidRPr="00C03673" w:rsidRDefault="006E20E7">
      <w:pPr>
        <w:spacing w:line="360" w:lineRule="auto"/>
        <w:ind w:right="49"/>
        <w:jc w:val="both"/>
        <w:rPr>
          <w:rFonts w:ascii="Palatino Linotype" w:eastAsia="Palatino Linotype" w:hAnsi="Palatino Linotype" w:cs="Palatino Linotype"/>
          <w:sz w:val="22"/>
          <w:szCs w:val="22"/>
        </w:rPr>
      </w:pPr>
    </w:p>
    <w:p w14:paraId="20327F4E" w14:textId="77777777" w:rsidR="006E20E7" w:rsidRPr="00C03673" w:rsidRDefault="00CA27F1">
      <w:pPr>
        <w:spacing w:line="360" w:lineRule="auto"/>
        <w:ind w:right="51"/>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Ahora bien, no pasa desapercibido para este Organismo Garante que dichos expedientes también deberán contener los certificados de competencia laboral de los servidores públicos que se encuentren obligados a contar con él; sin embargo, para el caso de que el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 xml:space="preserve"> no llegará a localizar dentro de los expedientes laborales que se ordena, el certificado de competencia laboral de los servidores públicos que ya tengan más de seis meses en el encargo, deberá emitir el acuerdo de inexistencia en términos del artículo 19, párrafo tercero, 49, fracciones II y XIII, 169 y 170 de la Ley de Transparencia y Acceso a la Información Pública del Estado de México y Municipios, que se leen como sigue:</w:t>
      </w:r>
    </w:p>
    <w:p w14:paraId="4C4A8F6E" w14:textId="77777777" w:rsidR="006E20E7" w:rsidRPr="00C03673" w:rsidRDefault="006E20E7">
      <w:pPr>
        <w:spacing w:line="360" w:lineRule="auto"/>
        <w:ind w:right="51"/>
        <w:jc w:val="both"/>
        <w:rPr>
          <w:rFonts w:ascii="Palatino Linotype" w:eastAsia="Palatino Linotype" w:hAnsi="Palatino Linotype" w:cs="Palatino Linotype"/>
          <w:sz w:val="22"/>
          <w:szCs w:val="22"/>
        </w:rPr>
      </w:pPr>
    </w:p>
    <w:p w14:paraId="636D3C5C" w14:textId="77777777" w:rsidR="006E20E7" w:rsidRPr="00C03673" w:rsidRDefault="00CA27F1">
      <w:pPr>
        <w:ind w:left="851" w:right="902"/>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lastRenderedPageBreak/>
        <w:t>“</w:t>
      </w:r>
      <w:r w:rsidRPr="00C03673">
        <w:rPr>
          <w:rFonts w:ascii="Palatino Linotype" w:eastAsia="Palatino Linotype" w:hAnsi="Palatino Linotype" w:cs="Palatino Linotype"/>
          <w:b/>
          <w:i/>
          <w:sz w:val="22"/>
          <w:szCs w:val="22"/>
        </w:rPr>
        <w:t>Artículo 19.</w:t>
      </w:r>
      <w:r w:rsidRPr="00C03673">
        <w:rPr>
          <w:rFonts w:ascii="Palatino Linotype" w:eastAsia="Palatino Linotype" w:hAnsi="Palatino Linotype" w:cs="Palatino Linotype"/>
          <w:i/>
          <w:sz w:val="22"/>
          <w:szCs w:val="22"/>
        </w:rPr>
        <w:t xml:space="preserve"> (…)</w:t>
      </w:r>
    </w:p>
    <w:p w14:paraId="70B1879C" w14:textId="77777777" w:rsidR="006E20E7" w:rsidRPr="00C03673" w:rsidRDefault="00CA27F1">
      <w:pPr>
        <w:ind w:left="851" w:right="902"/>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C03673">
        <w:rPr>
          <w:rFonts w:ascii="Palatino Linotype" w:eastAsia="Palatino Linotype" w:hAnsi="Palatino Linotype" w:cs="Palatino Linotype"/>
          <w:i/>
          <w:sz w:val="22"/>
          <w:szCs w:val="22"/>
        </w:rPr>
        <w:t>, debidamente fundado y motivado, en el que detalle las razones del por qué no obra en sus archivos.”</w:t>
      </w:r>
    </w:p>
    <w:p w14:paraId="65AC64FB" w14:textId="77777777" w:rsidR="006E20E7" w:rsidRPr="00C03673" w:rsidRDefault="00CA27F1">
      <w:pPr>
        <w:ind w:left="851" w:right="902"/>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r w:rsidRPr="00C03673">
        <w:rPr>
          <w:rFonts w:ascii="Palatino Linotype" w:eastAsia="Palatino Linotype" w:hAnsi="Palatino Linotype" w:cs="Palatino Linotype"/>
          <w:b/>
          <w:i/>
          <w:sz w:val="22"/>
          <w:szCs w:val="22"/>
        </w:rPr>
        <w:t>Artículo 49.</w:t>
      </w:r>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b/>
          <w:i/>
          <w:sz w:val="22"/>
          <w:szCs w:val="22"/>
        </w:rPr>
        <w:t>Los Comités de Transparencia</w:t>
      </w:r>
      <w:r w:rsidRPr="00C03673">
        <w:rPr>
          <w:rFonts w:ascii="Palatino Linotype" w:eastAsia="Palatino Linotype" w:hAnsi="Palatino Linotype" w:cs="Palatino Linotype"/>
          <w:i/>
          <w:sz w:val="22"/>
          <w:szCs w:val="22"/>
        </w:rPr>
        <w:t xml:space="preserve"> tendrán las siguientes </w:t>
      </w:r>
      <w:r w:rsidRPr="00C03673">
        <w:rPr>
          <w:rFonts w:ascii="Palatino Linotype" w:eastAsia="Palatino Linotype" w:hAnsi="Palatino Linotype" w:cs="Palatino Linotype"/>
          <w:b/>
          <w:i/>
          <w:sz w:val="22"/>
          <w:szCs w:val="22"/>
        </w:rPr>
        <w:t>atribuciones</w:t>
      </w:r>
      <w:r w:rsidRPr="00C03673">
        <w:rPr>
          <w:rFonts w:ascii="Palatino Linotype" w:eastAsia="Palatino Linotype" w:hAnsi="Palatino Linotype" w:cs="Palatino Linotype"/>
          <w:i/>
          <w:sz w:val="22"/>
          <w:szCs w:val="22"/>
        </w:rPr>
        <w:t>:</w:t>
      </w:r>
    </w:p>
    <w:p w14:paraId="21AACE06" w14:textId="77777777" w:rsidR="006E20E7" w:rsidRPr="00C03673" w:rsidRDefault="00CA27F1">
      <w:pPr>
        <w:ind w:left="1134" w:right="902"/>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II.</w:t>
      </w:r>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b/>
          <w:i/>
          <w:sz w:val="22"/>
          <w:szCs w:val="22"/>
        </w:rPr>
        <w:t>Confirmar, modificar o revocar las determinaciones que en materia de</w:t>
      </w:r>
      <w:r w:rsidRPr="00C03673">
        <w:rPr>
          <w:rFonts w:ascii="Palatino Linotype" w:eastAsia="Palatino Linotype" w:hAnsi="Palatino Linotype" w:cs="Palatino Linotype"/>
          <w:i/>
          <w:sz w:val="22"/>
          <w:szCs w:val="22"/>
        </w:rPr>
        <w:t xml:space="preserve"> ampliación del plazo de respuesta, clasificación de la información y </w:t>
      </w:r>
      <w:r w:rsidRPr="00C03673">
        <w:rPr>
          <w:rFonts w:ascii="Palatino Linotype" w:eastAsia="Palatino Linotype" w:hAnsi="Palatino Linotype" w:cs="Palatino Linotype"/>
          <w:b/>
          <w:i/>
          <w:sz w:val="22"/>
          <w:szCs w:val="22"/>
        </w:rPr>
        <w:t>declaración de inexistencia</w:t>
      </w:r>
      <w:r w:rsidRPr="00C03673">
        <w:rPr>
          <w:rFonts w:ascii="Palatino Linotype" w:eastAsia="Palatino Linotype" w:hAnsi="Palatino Linotype" w:cs="Palatino Linotype"/>
          <w:i/>
          <w:sz w:val="22"/>
          <w:szCs w:val="22"/>
        </w:rPr>
        <w:t xml:space="preserve"> o de incompetencia realicen los titulares de las áreas de los sujetos obligados;</w:t>
      </w:r>
    </w:p>
    <w:p w14:paraId="30AE71AE" w14:textId="77777777" w:rsidR="006E20E7" w:rsidRPr="00C03673" w:rsidRDefault="00CA27F1">
      <w:pPr>
        <w:ind w:left="1134" w:right="902"/>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XIII.</w:t>
      </w:r>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b/>
          <w:i/>
          <w:sz w:val="22"/>
          <w:szCs w:val="22"/>
        </w:rPr>
        <w:t>Dictaminar las declaratorias de inexistencia de la información</w:t>
      </w:r>
      <w:r w:rsidRPr="00C03673">
        <w:rPr>
          <w:rFonts w:ascii="Palatino Linotype" w:eastAsia="Palatino Linotype" w:hAnsi="Palatino Linotype" w:cs="Palatino Linotype"/>
          <w:i/>
          <w:sz w:val="22"/>
          <w:szCs w:val="22"/>
        </w:rPr>
        <w:t xml:space="preserve"> que les remitan las unidades administrativas y resolver en consecuencia…”</w:t>
      </w:r>
    </w:p>
    <w:p w14:paraId="2F4BEE36" w14:textId="77777777" w:rsidR="006E20E7" w:rsidRPr="00C03673" w:rsidRDefault="00CA27F1">
      <w:pPr>
        <w:ind w:left="851" w:right="902"/>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r w:rsidRPr="00C03673">
        <w:rPr>
          <w:rFonts w:ascii="Palatino Linotype" w:eastAsia="Palatino Linotype" w:hAnsi="Palatino Linotype" w:cs="Palatino Linotype"/>
          <w:b/>
          <w:i/>
          <w:sz w:val="22"/>
          <w:szCs w:val="22"/>
        </w:rPr>
        <w:t>Artículo 169</w:t>
      </w:r>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b/>
          <w:i/>
          <w:sz w:val="22"/>
          <w:szCs w:val="22"/>
        </w:rPr>
        <w:t>Cuando la información no se encuentre en los archivos del sujeto obligado, el Comité de Transparencia</w:t>
      </w:r>
      <w:r w:rsidRPr="00C03673">
        <w:rPr>
          <w:rFonts w:ascii="Palatino Linotype" w:eastAsia="Palatino Linotype" w:hAnsi="Palatino Linotype" w:cs="Palatino Linotype"/>
          <w:i/>
          <w:sz w:val="22"/>
          <w:szCs w:val="22"/>
        </w:rPr>
        <w:t xml:space="preserve">: </w:t>
      </w:r>
    </w:p>
    <w:p w14:paraId="0EFE6AD5" w14:textId="77777777" w:rsidR="006E20E7" w:rsidRPr="00C03673" w:rsidRDefault="00CA27F1">
      <w:pPr>
        <w:ind w:left="1134" w:right="902"/>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I.</w:t>
      </w:r>
      <w:r w:rsidRPr="00C03673">
        <w:rPr>
          <w:rFonts w:ascii="Palatino Linotype" w:eastAsia="Palatino Linotype" w:hAnsi="Palatino Linotype" w:cs="Palatino Linotype"/>
          <w:i/>
          <w:sz w:val="22"/>
          <w:szCs w:val="22"/>
        </w:rPr>
        <w:t xml:space="preserve"> Analizará el caso y tomará las medidas necesarias para localizar la información; </w:t>
      </w:r>
    </w:p>
    <w:p w14:paraId="51551F5B" w14:textId="77777777" w:rsidR="006E20E7" w:rsidRPr="00C03673" w:rsidRDefault="00CA27F1">
      <w:pPr>
        <w:ind w:left="1134" w:right="902"/>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II.</w:t>
      </w:r>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b/>
          <w:i/>
          <w:sz w:val="22"/>
          <w:szCs w:val="22"/>
        </w:rPr>
        <w:t>Expedirá una resolución que confirme la inexistencia del documento</w:t>
      </w:r>
      <w:r w:rsidRPr="00C03673">
        <w:rPr>
          <w:rFonts w:ascii="Palatino Linotype" w:eastAsia="Palatino Linotype" w:hAnsi="Palatino Linotype" w:cs="Palatino Linotype"/>
          <w:i/>
          <w:sz w:val="22"/>
          <w:szCs w:val="22"/>
        </w:rPr>
        <w:t xml:space="preserve">; </w:t>
      </w:r>
    </w:p>
    <w:p w14:paraId="49A0C5D1" w14:textId="77777777" w:rsidR="006E20E7" w:rsidRPr="00C03673" w:rsidRDefault="00CA27F1">
      <w:pPr>
        <w:ind w:left="1134" w:right="902"/>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III</w:t>
      </w:r>
      <w:r w:rsidRPr="00C03673">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37D1C203" w14:textId="77777777" w:rsidR="006E20E7" w:rsidRPr="00C03673" w:rsidRDefault="00CA27F1">
      <w:pPr>
        <w:ind w:left="1134" w:right="902"/>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 xml:space="preserve">IV. </w:t>
      </w:r>
      <w:r w:rsidRPr="00C03673">
        <w:rPr>
          <w:rFonts w:ascii="Palatino Linotype" w:eastAsia="Palatino Linotype" w:hAnsi="Palatino Linotype" w:cs="Palatino Linotype"/>
          <w:i/>
          <w:sz w:val="22"/>
          <w:szCs w:val="22"/>
        </w:rPr>
        <w:t xml:space="preserve">Notificará al órgano interno de control o equivalente del sujeto obligado quien, en su caso, deberá iniciar el procedimiento de responsabilidad administrativa que corresponda. </w:t>
      </w:r>
    </w:p>
    <w:p w14:paraId="050CB3D3" w14:textId="77777777" w:rsidR="006E20E7" w:rsidRPr="00C03673" w:rsidRDefault="00CA27F1">
      <w:pPr>
        <w:ind w:left="851" w:right="902"/>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535B6B1C" w14:textId="77777777" w:rsidR="006E20E7" w:rsidRPr="00C03673" w:rsidRDefault="00CA27F1">
      <w:pPr>
        <w:ind w:left="851" w:right="902"/>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7528F99E" w14:textId="77777777" w:rsidR="006E20E7" w:rsidRPr="00C03673" w:rsidRDefault="00CA27F1">
      <w:pPr>
        <w:ind w:left="851" w:right="902"/>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r w:rsidRPr="00C03673">
        <w:rPr>
          <w:rFonts w:ascii="Palatino Linotype" w:eastAsia="Palatino Linotype" w:hAnsi="Palatino Linotype" w:cs="Palatino Linotype"/>
          <w:b/>
          <w:i/>
          <w:sz w:val="22"/>
          <w:szCs w:val="22"/>
        </w:rPr>
        <w:t>Artículo 170.</w:t>
      </w:r>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C03673">
        <w:rPr>
          <w:rFonts w:ascii="Palatino Linotype" w:eastAsia="Palatino Linotype" w:hAnsi="Palatino Linotype" w:cs="Palatino Linotype"/>
          <w:i/>
          <w:sz w:val="22"/>
          <w:szCs w:val="22"/>
        </w:rPr>
        <w:t xml:space="preserve"> </w:t>
      </w:r>
      <w:r w:rsidRPr="00C03673">
        <w:rPr>
          <w:rFonts w:ascii="Palatino Linotype" w:eastAsia="Palatino Linotype" w:hAnsi="Palatino Linotype" w:cs="Palatino Linotype"/>
          <w:b/>
          <w:i/>
          <w:sz w:val="22"/>
          <w:szCs w:val="22"/>
        </w:rPr>
        <w:t xml:space="preserve">que permitan al solicitante tener la certeza de que se utilizó un </w:t>
      </w:r>
      <w:r w:rsidRPr="00C03673">
        <w:rPr>
          <w:rFonts w:ascii="Palatino Linotype" w:eastAsia="Palatino Linotype" w:hAnsi="Palatino Linotype" w:cs="Palatino Linotype"/>
          <w:b/>
          <w:i/>
          <w:sz w:val="22"/>
          <w:szCs w:val="22"/>
        </w:rPr>
        <w:lastRenderedPageBreak/>
        <w:t>criterio de búsqueda exhaustivo</w:t>
      </w:r>
      <w:r w:rsidRPr="00C03673">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3FFD2A8B" w14:textId="77777777" w:rsidR="006E20E7" w:rsidRPr="00C03673" w:rsidRDefault="006E20E7">
      <w:pPr>
        <w:ind w:left="851" w:right="902"/>
        <w:jc w:val="both"/>
        <w:rPr>
          <w:rFonts w:ascii="Palatino Linotype" w:eastAsia="Palatino Linotype" w:hAnsi="Palatino Linotype" w:cs="Palatino Linotype"/>
          <w:i/>
          <w:sz w:val="22"/>
          <w:szCs w:val="22"/>
        </w:rPr>
      </w:pPr>
    </w:p>
    <w:p w14:paraId="6E55F1FB"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Dicho de otro modo, deberá procederse a la emisión de una resolución que confirme la inexistencia de la información solicitada por parte del Comité de Transparencia del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C03673">
        <w:rPr>
          <w:rFonts w:ascii="Palatino Linotype" w:eastAsia="Palatino Linotype" w:hAnsi="Palatino Linotype" w:cs="Palatino Linotype"/>
          <w:b/>
          <w:sz w:val="22"/>
          <w:szCs w:val="22"/>
        </w:rPr>
        <w:t>Recurrente</w:t>
      </w:r>
      <w:r w:rsidRPr="00C03673">
        <w:rPr>
          <w:rFonts w:ascii="Palatino Linotype" w:eastAsia="Palatino Linotype" w:hAnsi="Palatino Linotype" w:cs="Palatino Linotype"/>
          <w:sz w:val="22"/>
          <w:szCs w:val="22"/>
        </w:rPr>
        <w:t xml:space="preserve"> y comprobar la inexistencia de la información.</w:t>
      </w:r>
    </w:p>
    <w:p w14:paraId="72312211"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61F4D7FD"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Asimismo, resulta aplicable el Criterio reiterado número 08/19 emitido por Acuerdo del Pleno del Instituto de Transparencia y Acceso a la Información Pública del Estado de México y Municipios, que precisa:</w:t>
      </w:r>
    </w:p>
    <w:p w14:paraId="090F01D2"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1FC580E6" w14:textId="77777777" w:rsidR="006E20E7" w:rsidRPr="00C03673" w:rsidRDefault="00CA27F1">
      <w:pPr>
        <w:ind w:left="851" w:right="902"/>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r w:rsidRPr="00C03673">
        <w:rPr>
          <w:rFonts w:ascii="Palatino Linotype" w:eastAsia="Palatino Linotype" w:hAnsi="Palatino Linotype" w:cs="Palatino Linotype"/>
          <w:b/>
          <w:i/>
          <w:sz w:val="22"/>
          <w:szCs w:val="22"/>
        </w:rPr>
        <w:t>INEXISTENCIA DE LA INFORMACIÓN. SUPUESTOS PARA EMITIR LA RESOLUCIÓN DE LA</w:t>
      </w:r>
      <w:r w:rsidRPr="00C03673">
        <w:rPr>
          <w:rFonts w:ascii="Palatino Linotype" w:eastAsia="Palatino Linotype" w:hAnsi="Palatino Linotype" w:cs="Palatino Linotype"/>
          <w:i/>
          <w:sz w:val="22"/>
          <w:szCs w:val="22"/>
        </w:rPr>
        <w:t xml:space="preserve">.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w:t>
      </w:r>
    </w:p>
    <w:p w14:paraId="76EEC673" w14:textId="77777777" w:rsidR="006E20E7" w:rsidRPr="00C03673" w:rsidRDefault="00CA27F1">
      <w:pPr>
        <w:ind w:left="851" w:right="902"/>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a) cuando no se generó, poseyó o administró el documento teniendo la obligación conforme a la presunción legal que deriva de las facultades, competencias y atribuciones que los ordenamientos jurídicos aplicables le otorgan; </w:t>
      </w:r>
    </w:p>
    <w:p w14:paraId="4140343F" w14:textId="77777777" w:rsidR="006E20E7" w:rsidRPr="00C03673" w:rsidRDefault="00CA27F1">
      <w:pPr>
        <w:ind w:left="851" w:right="902"/>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b) que habiendo sido generada, poseída o administrada, por algún motivo ya no se cuenta con la información solicitada; o bien, </w:t>
      </w:r>
    </w:p>
    <w:p w14:paraId="57212223" w14:textId="77777777" w:rsidR="006E20E7" w:rsidRPr="00C03673" w:rsidRDefault="00CA27F1">
      <w:pPr>
        <w:ind w:left="851" w:right="902"/>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lastRenderedPageBreak/>
        <w:t xml:space="preserve">c) cuando el Sujeto Obligado fue omiso en ejercer una facultad, competencia o atribución inexcusable. </w:t>
      </w:r>
    </w:p>
    <w:p w14:paraId="2D277CF8" w14:textId="77777777" w:rsidR="006E20E7" w:rsidRPr="00C03673" w:rsidRDefault="00CA27F1">
      <w:pPr>
        <w:ind w:left="851" w:right="902"/>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5EF21148" w14:textId="77777777" w:rsidR="006E20E7" w:rsidRPr="00C03673" w:rsidRDefault="006E20E7">
      <w:pPr>
        <w:ind w:left="851" w:right="902"/>
        <w:jc w:val="both"/>
        <w:rPr>
          <w:rFonts w:ascii="Palatino Linotype" w:eastAsia="Palatino Linotype" w:hAnsi="Palatino Linotype" w:cs="Palatino Linotype"/>
          <w:i/>
          <w:sz w:val="22"/>
          <w:szCs w:val="22"/>
        </w:rPr>
      </w:pPr>
    </w:p>
    <w:p w14:paraId="078DD32C"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Lo anterior, obedece a lo establecido por el artículo 12 de la Ley de Transparencia y Acceso a la Información Pública del Estado de México y Municipios, el cual destaca que quienes generen, recopilen, administren, manejen, procesen, archiven o conserven información pública serán responsables de esta; vinculando inminentemente al servidor público con los documentos que por el ejercicio de sus funciones obra en su poder, lo que impone un compromiso en su cuidado y resguardo.</w:t>
      </w:r>
    </w:p>
    <w:p w14:paraId="66EAF48E"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5EB4E6EB"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En ese orden de ideas, el Criterio de interpretación, de la Segunda Época, con clave de control SO/004/2019, emitido por el del Instituto Nacional de Transparencia, Acceso a la Información y Protección de Datos Personales, establece lo siguiente: </w:t>
      </w:r>
    </w:p>
    <w:p w14:paraId="5D0B9E76" w14:textId="77777777" w:rsidR="006E20E7" w:rsidRPr="00C03673" w:rsidRDefault="006E20E7">
      <w:pPr>
        <w:spacing w:line="360" w:lineRule="auto"/>
        <w:jc w:val="both"/>
        <w:rPr>
          <w:rFonts w:ascii="Palatino Linotype" w:eastAsia="Palatino Linotype" w:hAnsi="Palatino Linotype" w:cs="Palatino Linotype"/>
          <w:sz w:val="12"/>
          <w:szCs w:val="12"/>
        </w:rPr>
      </w:pPr>
    </w:p>
    <w:p w14:paraId="21CAED96" w14:textId="77777777" w:rsidR="006E20E7" w:rsidRPr="00C03673" w:rsidRDefault="00CA27F1">
      <w:pPr>
        <w:ind w:left="851" w:right="902"/>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r w:rsidRPr="00C03673">
        <w:rPr>
          <w:rFonts w:ascii="Palatino Linotype" w:eastAsia="Palatino Linotype" w:hAnsi="Palatino Linotype" w:cs="Palatino Linotype"/>
          <w:b/>
          <w:i/>
          <w:sz w:val="22"/>
          <w:szCs w:val="22"/>
        </w:rPr>
        <w:t>Propósito de la declaración formal de inexistencia.</w:t>
      </w:r>
      <w:r w:rsidRPr="00C03673">
        <w:rPr>
          <w:rFonts w:ascii="Palatino Linotype" w:eastAsia="Palatino Linotype" w:hAnsi="Palatino Linotype" w:cs="Palatino Linotype"/>
          <w:i/>
          <w:sz w:val="22"/>
          <w:szCs w:val="22"/>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0109495F" w14:textId="77777777" w:rsidR="006E20E7" w:rsidRPr="00C03673" w:rsidRDefault="006E20E7">
      <w:pPr>
        <w:ind w:left="851" w:right="902"/>
        <w:jc w:val="both"/>
        <w:rPr>
          <w:rFonts w:ascii="Palatino Linotype" w:eastAsia="Palatino Linotype" w:hAnsi="Palatino Linotype" w:cs="Palatino Linotype"/>
          <w:i/>
          <w:sz w:val="22"/>
          <w:szCs w:val="22"/>
        </w:rPr>
      </w:pPr>
    </w:p>
    <w:p w14:paraId="5C5065A0"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De lo anterior se colige que las declaraciones de inexistencia de los Comités de Transparencia, deben de contener los elementos suficientes para generar en los solicitantes, certeza de que la información no obra en sus archivos, esto es, deben fundar y motivar las </w:t>
      </w:r>
      <w:r w:rsidRPr="00C03673">
        <w:rPr>
          <w:rFonts w:ascii="Palatino Linotype" w:eastAsia="Palatino Linotype" w:hAnsi="Palatino Linotype" w:cs="Palatino Linotype"/>
          <w:sz w:val="22"/>
          <w:szCs w:val="22"/>
        </w:rPr>
        <w:lastRenderedPageBreak/>
        <w:t>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w:t>
      </w:r>
    </w:p>
    <w:p w14:paraId="13579A19"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22BF7066"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Asimismo, según Calero, Natalia (2016), en la “Ley General de Transparencia y Acceso a la Información Pública Comentada” (p. 419), las declaraciones de inexistencia, deben contener lo siguiente: </w:t>
      </w:r>
    </w:p>
    <w:p w14:paraId="2547BF31"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4C7E6EE0" w14:textId="77777777" w:rsidR="006E20E7" w:rsidRPr="00C03673" w:rsidRDefault="00CA27F1">
      <w:pPr>
        <w:spacing w:line="360" w:lineRule="auto"/>
        <w:ind w:left="284"/>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b/>
          <w:sz w:val="22"/>
          <w:szCs w:val="22"/>
        </w:rPr>
        <w:t>a) Los elementos que le permitan a los solicitantes tener certeza de que el Sujeto Obligado utilizó un criterio de búsqueda exhaustivo:</w:t>
      </w:r>
      <w:r w:rsidRPr="00C03673">
        <w:rPr>
          <w:rFonts w:ascii="Palatino Linotype" w:eastAsia="Palatino Linotype" w:hAnsi="Palatino Linotype" w:cs="Palatino Linotype"/>
          <w:sz w:val="22"/>
          <w:szCs w:val="22"/>
        </w:rPr>
        <w:t xml:space="preserve"> Para atender dicho supuesto, se debe precisar en qué unidades administrativas buscó, así como en el tipo de archivos y la manera en que realizó la indagación; </w:t>
      </w:r>
    </w:p>
    <w:p w14:paraId="29706A6F" w14:textId="77777777" w:rsidR="006E20E7" w:rsidRPr="00C03673" w:rsidRDefault="00CA27F1">
      <w:pPr>
        <w:spacing w:line="360" w:lineRule="auto"/>
        <w:ind w:left="284"/>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b/>
          <w:sz w:val="22"/>
          <w:szCs w:val="22"/>
        </w:rPr>
        <w:t>b) Las circunstancias de tiempo, modo y lugar que motiven las razones por las cuales la información es inexistente:</w:t>
      </w:r>
      <w:r w:rsidRPr="00C03673">
        <w:rPr>
          <w:rFonts w:ascii="Palatino Linotype" w:eastAsia="Palatino Linotype" w:hAnsi="Palatino Linotype" w:cs="Palatino Linotype"/>
          <w:sz w:val="22"/>
          <w:szCs w:val="22"/>
        </w:rPr>
        <w:t xml:space="preserve"> Al respecto, los sujetos obligados para acreditar dicho punto, deberán proveer la mayor cantidad de elementos posibles que permitan evidencia las razones por las cuales la información requerida no existe, y </w:t>
      </w:r>
    </w:p>
    <w:p w14:paraId="58AFDCBE" w14:textId="77777777" w:rsidR="006E20E7" w:rsidRPr="00C03673" w:rsidRDefault="00CA27F1">
      <w:pPr>
        <w:spacing w:line="360" w:lineRule="auto"/>
        <w:ind w:left="284"/>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b/>
          <w:sz w:val="22"/>
          <w:szCs w:val="22"/>
        </w:rPr>
        <w:t>c) El servidor público responsable de contar con ésta:</w:t>
      </w:r>
      <w:r w:rsidRPr="00C03673">
        <w:rPr>
          <w:rFonts w:ascii="Palatino Linotype" w:eastAsia="Palatino Linotype" w:hAnsi="Palatino Linotype" w:cs="Palatino Linotype"/>
          <w:sz w:val="22"/>
          <w:szCs w:val="22"/>
        </w:rPr>
        <w:t xml:space="preserve"> Es importante indicar, el cargo y las razones jurídicas por las cuales debió generar la información. </w:t>
      </w:r>
    </w:p>
    <w:p w14:paraId="6DB45C9B" w14:textId="77777777" w:rsidR="006E20E7" w:rsidRPr="00C03673" w:rsidRDefault="006E20E7">
      <w:pPr>
        <w:spacing w:line="360" w:lineRule="auto"/>
        <w:ind w:left="284"/>
        <w:jc w:val="both"/>
        <w:rPr>
          <w:rFonts w:ascii="Palatino Linotype" w:eastAsia="Palatino Linotype" w:hAnsi="Palatino Linotype" w:cs="Palatino Linotype"/>
          <w:sz w:val="22"/>
          <w:szCs w:val="22"/>
        </w:rPr>
      </w:pPr>
    </w:p>
    <w:p w14:paraId="3B51A29E"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Conforme a lo citado, se considera que es necesario que el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 xml:space="preserve">, declare por medio de su Comité de Transparencia, la inexistencia del soporte documental requerido, para el caso que no obre en sus archivos; para tal situación, deberá seguir el procedimiento establecido en el artículo 169 y 170 de la Ley de Transparencia y Acceso a la Información </w:t>
      </w:r>
      <w:r w:rsidRPr="00C03673">
        <w:rPr>
          <w:rFonts w:ascii="Palatino Linotype" w:eastAsia="Palatino Linotype" w:hAnsi="Palatino Linotype" w:cs="Palatino Linotype"/>
          <w:sz w:val="22"/>
          <w:szCs w:val="22"/>
        </w:rPr>
        <w:lastRenderedPageBreak/>
        <w:t xml:space="preserve">Pública del Estado de México y Municipios, que precisa que cuando la información no se encuentre en los archivos del Sujeto Obligado, el Comité de Transparencia deberá: </w:t>
      </w:r>
    </w:p>
    <w:p w14:paraId="45D84810"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15515E4A" w14:textId="77777777" w:rsidR="006E20E7" w:rsidRPr="00C03673" w:rsidRDefault="00CA27F1">
      <w:pPr>
        <w:spacing w:line="360" w:lineRule="auto"/>
        <w:ind w:left="284"/>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1. Analizar el caso y tomar las medidas necesarias para localizar la información;</w:t>
      </w:r>
    </w:p>
    <w:p w14:paraId="6D9AF381" w14:textId="77777777" w:rsidR="006E20E7" w:rsidRPr="00C03673" w:rsidRDefault="00CA27F1">
      <w:pPr>
        <w:spacing w:line="360" w:lineRule="auto"/>
        <w:ind w:left="284"/>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2. 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 </w:t>
      </w:r>
    </w:p>
    <w:p w14:paraId="6C7C85A9" w14:textId="77777777" w:rsidR="006E20E7" w:rsidRPr="00C03673" w:rsidRDefault="00CA27F1">
      <w:pPr>
        <w:spacing w:line="360" w:lineRule="auto"/>
        <w:ind w:left="284"/>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3. Ordenar, siempre que sea materialmente posible, que se genere o reponga la información en caso que ésta tuviera que existir o previa acreditación de la imposibilidad de su generación, exponga de forma fundada y motivada las razones de dicha situación, y </w:t>
      </w:r>
    </w:p>
    <w:p w14:paraId="00209085" w14:textId="77777777" w:rsidR="006E20E7" w:rsidRPr="00C03673" w:rsidRDefault="00CA27F1">
      <w:pPr>
        <w:spacing w:line="360" w:lineRule="auto"/>
        <w:ind w:left="284"/>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4. Notificar al Órgano Interno de Control o equivalente, a efecto de que inicie el procedimiento de responsabilidad administrativa correspondiente. </w:t>
      </w:r>
    </w:p>
    <w:p w14:paraId="7C54F5FC" w14:textId="77777777" w:rsidR="006E20E7" w:rsidRPr="00C03673" w:rsidRDefault="006E20E7">
      <w:pPr>
        <w:spacing w:line="360" w:lineRule="auto"/>
        <w:ind w:left="284"/>
        <w:jc w:val="both"/>
        <w:rPr>
          <w:rFonts w:ascii="Palatino Linotype" w:eastAsia="Palatino Linotype" w:hAnsi="Palatino Linotype" w:cs="Palatino Linotype"/>
          <w:sz w:val="22"/>
          <w:szCs w:val="22"/>
        </w:rPr>
      </w:pPr>
    </w:p>
    <w:p w14:paraId="626DC32D"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Por tales circunstancias, para dar atención al requerimiento de información, se considera que el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 xml:space="preserve"> deberá proporcionar las documentales que den cuenta de lo solicitado o declarar la inexistencia de manera formal, de manera fundada y motivada por el Comité de Transparencia, conforme a los criterios previamente establecidos.</w:t>
      </w:r>
    </w:p>
    <w:p w14:paraId="27E57C87"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29E6FF17" w14:textId="77777777" w:rsidR="006E20E7" w:rsidRPr="00C03673" w:rsidRDefault="00CA27F1">
      <w:pPr>
        <w:spacing w:line="360" w:lineRule="auto"/>
        <w:jc w:val="both"/>
        <w:rPr>
          <w:rFonts w:ascii="Palatino Linotype" w:eastAsia="Palatino Linotype" w:hAnsi="Palatino Linotype" w:cs="Palatino Linotype"/>
          <w:sz w:val="22"/>
          <w:szCs w:val="22"/>
        </w:rPr>
      </w:pPr>
      <w:bookmarkStart w:id="4" w:name="_heading=h.2et92p0" w:colFirst="0" w:colLast="0"/>
      <w:bookmarkEnd w:id="4"/>
      <w:r w:rsidRPr="00C03673">
        <w:rPr>
          <w:rFonts w:ascii="Palatino Linotype" w:eastAsia="Palatino Linotype" w:hAnsi="Palatino Linotype" w:cs="Palatino Linotype"/>
          <w:sz w:val="22"/>
          <w:szCs w:val="22"/>
        </w:rPr>
        <w:t xml:space="preserve">Ahora bien, para el caso de aquellos que no contaran con la certificación al no haber transcurrido los seis meses en el cargo, que prevé la Ley Orgánica Municipal del Estado de México, bastará con que así se haga del conocimiento de la parte Recurrente, en términos </w:t>
      </w:r>
      <w:r w:rsidRPr="00C03673">
        <w:rPr>
          <w:rFonts w:ascii="Palatino Linotype" w:eastAsia="Palatino Linotype" w:hAnsi="Palatino Linotype" w:cs="Palatino Linotype"/>
          <w:sz w:val="22"/>
          <w:szCs w:val="22"/>
        </w:rPr>
        <w:lastRenderedPageBreak/>
        <w:t>del artículo 19, párrafo segundo de la Ley de Transparencia y Acceso a la Información Pública del Estado de México y Municipios.</w:t>
      </w:r>
    </w:p>
    <w:p w14:paraId="1DD4EA1A"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0C25ABA2"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b/>
          <w:sz w:val="22"/>
          <w:szCs w:val="22"/>
        </w:rPr>
        <w:t xml:space="preserve">Quinto. Versión Pública. </w:t>
      </w:r>
      <w:r w:rsidRPr="00C03673">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datos que pueden ser de manera enunciativa, más no limitativa los siguientes: </w:t>
      </w:r>
    </w:p>
    <w:p w14:paraId="1C362492"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6425A9C9" w14:textId="77777777" w:rsidR="006E20E7" w:rsidRPr="00C03673" w:rsidRDefault="00CA27F1">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Por cuanto hace al </w:t>
      </w:r>
      <w:r w:rsidRPr="00C03673">
        <w:rPr>
          <w:rFonts w:ascii="Palatino Linotype" w:eastAsia="Palatino Linotype" w:hAnsi="Palatino Linotype" w:cs="Palatino Linotype"/>
          <w:b/>
          <w:sz w:val="22"/>
          <w:szCs w:val="22"/>
        </w:rPr>
        <w:t>Registro Federal de Contribuyentes (RFC),</w:t>
      </w:r>
      <w:r w:rsidRPr="00C03673">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w:t>
      </w:r>
      <w:proofErr w:type="spellStart"/>
      <w:r w:rsidRPr="00C03673">
        <w:rPr>
          <w:rFonts w:ascii="Palatino Linotype" w:eastAsia="Palatino Linotype" w:hAnsi="Palatino Linotype" w:cs="Palatino Linotype"/>
          <w:sz w:val="22"/>
          <w:szCs w:val="22"/>
        </w:rPr>
        <w:t>homoclave</w:t>
      </w:r>
      <w:proofErr w:type="spellEnd"/>
      <w:r w:rsidRPr="00C03673">
        <w:rPr>
          <w:rFonts w:ascii="Palatino Linotype" w:eastAsia="Palatino Linotype" w:hAnsi="Palatino Linotype" w:cs="Palatino Linotype"/>
          <w:sz w:val="22"/>
          <w:szCs w:val="22"/>
        </w:rPr>
        <w:t>, por lo que para su obtención es necesario acreditar ante la autoridad fiscal previamente la identidad de la persona, su fecha de nacimiento, entre otros aspectos.</w:t>
      </w:r>
    </w:p>
    <w:p w14:paraId="13EF7F6E"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65F858A7" w14:textId="77777777" w:rsidR="006E20E7" w:rsidRPr="00C03673" w:rsidRDefault="00CA27F1">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36DF9A1"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2D0E4BBD" w14:textId="77777777" w:rsidR="006E20E7" w:rsidRPr="00C03673" w:rsidRDefault="00CA27F1">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Lo anterior es compartido por el entonces Instituto Federal de Acceso a la Información Pública y Protección de Datos Personales (IFAI) a través del Criterio 19/17, el cual es del tenor literal siguiente:</w:t>
      </w:r>
    </w:p>
    <w:p w14:paraId="187C589F" w14:textId="77777777" w:rsidR="006E20E7" w:rsidRPr="00C03673" w:rsidRDefault="006E20E7">
      <w:pPr>
        <w:spacing w:line="360" w:lineRule="auto"/>
        <w:ind w:left="851" w:right="900"/>
        <w:jc w:val="both"/>
        <w:rPr>
          <w:rFonts w:ascii="Palatino Linotype" w:eastAsia="Palatino Linotype" w:hAnsi="Palatino Linotype" w:cs="Palatino Linotype"/>
          <w:b/>
          <w:i/>
          <w:sz w:val="22"/>
          <w:szCs w:val="22"/>
        </w:rPr>
      </w:pPr>
    </w:p>
    <w:p w14:paraId="75607FC2" w14:textId="77777777" w:rsidR="006E20E7" w:rsidRPr="00C03673" w:rsidRDefault="00CA27F1">
      <w:pPr>
        <w:spacing w:line="360" w:lineRule="auto"/>
        <w:ind w:left="851" w:right="900"/>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lastRenderedPageBreak/>
        <w:t>“Registro Federal de Contribuyentes (RFC) de personas físicas</w:t>
      </w:r>
      <w:r w:rsidRPr="00C03673">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121237EE"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5FF86214" w14:textId="77777777" w:rsidR="006E20E7" w:rsidRPr="00C03673" w:rsidRDefault="00CA27F1">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Así, el Registro Federal de Contribuyentes, RFC, se vincula al nombre de su titular y permite identificar la edad de la persona, su fecha de nacimiento, así como su </w:t>
      </w:r>
      <w:proofErr w:type="spellStart"/>
      <w:r w:rsidRPr="00C03673">
        <w:rPr>
          <w:rFonts w:ascii="Palatino Linotype" w:eastAsia="Palatino Linotype" w:hAnsi="Palatino Linotype" w:cs="Palatino Linotype"/>
          <w:sz w:val="22"/>
          <w:szCs w:val="22"/>
        </w:rPr>
        <w:t>homoclave</w:t>
      </w:r>
      <w:proofErr w:type="spellEnd"/>
      <w:r w:rsidRPr="00C03673">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56D77115" w14:textId="77777777" w:rsidR="006E20E7" w:rsidRPr="00C03673" w:rsidRDefault="006E20E7">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221A07F9" w14:textId="77777777" w:rsidR="006E20E7" w:rsidRPr="00C03673" w:rsidRDefault="00CA27F1">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De igual manera la </w:t>
      </w:r>
      <w:r w:rsidRPr="00C03673">
        <w:rPr>
          <w:rFonts w:ascii="Palatino Linotype" w:eastAsia="Palatino Linotype" w:hAnsi="Palatino Linotype" w:cs="Palatino Linotype"/>
          <w:b/>
          <w:sz w:val="22"/>
          <w:szCs w:val="22"/>
        </w:rPr>
        <w:t>Clave Única de Registro de Población (CURP)</w:t>
      </w:r>
      <w:r w:rsidRPr="00C03673">
        <w:rPr>
          <w:rFonts w:ascii="Palatino Linotype" w:eastAsia="Palatino Linotype" w:hAnsi="Palatino Linotype" w:cs="Palatino Linotype"/>
          <w:sz w:val="22"/>
          <w:szCs w:val="22"/>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5BB0B106"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24841DA8" w14:textId="77777777" w:rsidR="006E20E7" w:rsidRPr="00C03673" w:rsidRDefault="00CA27F1">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lastRenderedPageBreak/>
        <w:t>Argumento que es compartido por el Instituto Nacional de Transparencia, Acceso a la Información y Protección de Datos Personales, INAI</w:t>
      </w:r>
      <w:r w:rsidRPr="00C03673">
        <w:rPr>
          <w:rFonts w:ascii="Palatino Linotype" w:eastAsia="Palatino Linotype" w:hAnsi="Palatino Linotype" w:cs="Palatino Linotype"/>
          <w:b/>
          <w:sz w:val="22"/>
          <w:szCs w:val="22"/>
        </w:rPr>
        <w:t xml:space="preserve">, conforme al </w:t>
      </w:r>
      <w:r w:rsidRPr="00C03673">
        <w:rPr>
          <w:rFonts w:ascii="Palatino Linotype" w:eastAsia="Palatino Linotype" w:hAnsi="Palatino Linotype" w:cs="Palatino Linotype"/>
          <w:sz w:val="22"/>
          <w:szCs w:val="22"/>
        </w:rPr>
        <w:t xml:space="preserve">criterio 18/17, el cual refiere: </w:t>
      </w:r>
    </w:p>
    <w:p w14:paraId="7B726DC6" w14:textId="77777777" w:rsidR="006E20E7" w:rsidRPr="00C03673" w:rsidRDefault="006E20E7">
      <w:pPr>
        <w:spacing w:line="360" w:lineRule="auto"/>
        <w:ind w:left="851" w:right="851"/>
        <w:jc w:val="both"/>
        <w:rPr>
          <w:rFonts w:ascii="Palatino Linotype" w:eastAsia="Palatino Linotype" w:hAnsi="Palatino Linotype" w:cs="Palatino Linotype"/>
          <w:b/>
          <w:i/>
          <w:sz w:val="22"/>
          <w:szCs w:val="22"/>
        </w:rPr>
      </w:pPr>
    </w:p>
    <w:p w14:paraId="6FEA4A86" w14:textId="77777777" w:rsidR="006E20E7" w:rsidRPr="00C03673" w:rsidRDefault="00CA27F1">
      <w:pPr>
        <w:ind w:left="1276" w:right="851"/>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 xml:space="preserve">“Clave Única de Registro de Población (CURP). </w:t>
      </w:r>
      <w:r w:rsidRPr="00C03673">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A39F1CA"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6BFD96A4" w14:textId="77777777" w:rsidR="006E20E7" w:rsidRPr="00C03673" w:rsidRDefault="00CA27F1">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7A88FD9F" w14:textId="77777777" w:rsidR="006E20E7" w:rsidRPr="00C03673" w:rsidRDefault="00CA27F1">
      <w:pPr>
        <w:numPr>
          <w:ilvl w:val="0"/>
          <w:numId w:val="10"/>
        </w:num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b/>
          <w:sz w:val="22"/>
          <w:szCs w:val="22"/>
        </w:rPr>
        <w:t xml:space="preserve">Fotografía. </w:t>
      </w:r>
      <w:r w:rsidRPr="00C03673">
        <w:rPr>
          <w:rFonts w:ascii="Palatino Linotype" w:eastAsia="Palatino Linotype" w:hAnsi="Palatino Linotype" w:cs="Palatino Linotype"/>
          <w:sz w:val="22"/>
          <w:szCs w:val="22"/>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7476BA44" w14:textId="77777777" w:rsidR="006E20E7" w:rsidRPr="00C03673" w:rsidRDefault="006E20E7">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p>
    <w:p w14:paraId="09D4A623" w14:textId="77777777" w:rsidR="006E20E7" w:rsidRPr="00C03673" w:rsidRDefault="00CA27F1">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Así, dichos datos constituyen la reproducción fiel de las características físicas de una persona en un momento determinado, por lo que representan un instrumento de </w:t>
      </w:r>
      <w:r w:rsidRPr="00C03673">
        <w:rPr>
          <w:rFonts w:ascii="Palatino Linotype" w:eastAsia="Palatino Linotype" w:hAnsi="Palatino Linotype" w:cs="Palatino Linotype"/>
          <w:sz w:val="22"/>
          <w:szCs w:val="22"/>
        </w:rPr>
        <w:lastRenderedPageBreak/>
        <w:t>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3DF641B1" w14:textId="77777777" w:rsidR="006E20E7" w:rsidRPr="00C03673" w:rsidRDefault="006E20E7">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p>
    <w:p w14:paraId="2B42E6E3" w14:textId="77777777" w:rsidR="006E20E7" w:rsidRPr="00C03673" w:rsidRDefault="00CA27F1">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40A06629" w14:textId="77777777" w:rsidR="006E20E7" w:rsidRPr="00C03673" w:rsidRDefault="006E20E7">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p>
    <w:p w14:paraId="647C089C" w14:textId="77777777" w:rsidR="006E20E7" w:rsidRPr="00C03673" w:rsidRDefault="00CA27F1">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05634116" w14:textId="77777777" w:rsidR="006E20E7" w:rsidRPr="00C03673" w:rsidRDefault="006E20E7">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p>
    <w:p w14:paraId="4BC4987F" w14:textId="77777777" w:rsidR="006E20E7" w:rsidRPr="00C03673" w:rsidRDefault="00CA27F1">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Debe tenerse presente que el actuar de los servidores públicos incide de manera específica en los derechos de los particulares, pues el acto de un servidor público en </w:t>
      </w:r>
      <w:r w:rsidRPr="00C03673">
        <w:rPr>
          <w:rFonts w:ascii="Palatino Linotype" w:eastAsia="Palatino Linotype" w:hAnsi="Palatino Linotype" w:cs="Palatino Linotype"/>
          <w:sz w:val="22"/>
          <w:szCs w:val="22"/>
        </w:rPr>
        <w:lastRenderedPageBreak/>
        <w:t xml:space="preserve">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501B201F" w14:textId="77777777" w:rsidR="006E20E7" w:rsidRPr="00C03673" w:rsidRDefault="006E20E7">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p>
    <w:p w14:paraId="3BAC12E3" w14:textId="77777777" w:rsidR="006E20E7" w:rsidRPr="00C03673" w:rsidRDefault="00CA27F1">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535D6F32" w14:textId="77777777" w:rsidR="006E20E7" w:rsidRPr="00C03673" w:rsidRDefault="006E20E7">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p>
    <w:p w14:paraId="427FBE1C" w14:textId="77777777" w:rsidR="006E20E7" w:rsidRPr="00C03673" w:rsidRDefault="00CA27F1">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39AD160F" w14:textId="77777777" w:rsidR="006E20E7" w:rsidRPr="00C03673" w:rsidRDefault="006E20E7">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p>
    <w:p w14:paraId="403407C7" w14:textId="77777777" w:rsidR="006E20E7" w:rsidRPr="00C03673" w:rsidRDefault="00CA27F1">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w:t>
      </w:r>
      <w:r w:rsidRPr="00C03673">
        <w:rPr>
          <w:rFonts w:ascii="Palatino Linotype" w:eastAsia="Palatino Linotype" w:hAnsi="Palatino Linotype" w:cs="Palatino Linotype"/>
          <w:sz w:val="22"/>
          <w:szCs w:val="22"/>
        </w:rPr>
        <w:lastRenderedPageBreak/>
        <w:t xml:space="preserve">México y Municipios, por lo que en la versión pública que se ordena, no podrá clasificarse esa información. </w:t>
      </w:r>
      <w:r w:rsidRPr="00C03673">
        <w:rPr>
          <w:rFonts w:ascii="Palatino Linotype" w:eastAsia="Palatino Linotype" w:hAnsi="Palatino Linotype" w:cs="Palatino Linotype"/>
          <w:b/>
          <w:sz w:val="22"/>
          <w:szCs w:val="22"/>
        </w:rPr>
        <w:t xml:space="preserve">Cabe hacer la aclaración que aquellos documentos que sean clasificados en su totalidad por no revestir de interés público, como lo es la credencial de elector, la fotografía correrá la misma suerte que el documento en cuestión, únicamente para dicha expresión documental. </w:t>
      </w:r>
    </w:p>
    <w:p w14:paraId="271B3E54" w14:textId="77777777" w:rsidR="006E20E7" w:rsidRPr="00C03673" w:rsidRDefault="006E20E7">
      <w:pPr>
        <w:tabs>
          <w:tab w:val="left" w:pos="4962"/>
        </w:tabs>
        <w:spacing w:line="360" w:lineRule="auto"/>
        <w:ind w:left="567" w:right="-28"/>
        <w:jc w:val="both"/>
        <w:rPr>
          <w:rFonts w:ascii="Palatino Linotype" w:eastAsia="Palatino Linotype" w:hAnsi="Palatino Linotype" w:cs="Palatino Linotype"/>
          <w:sz w:val="22"/>
          <w:szCs w:val="22"/>
        </w:rPr>
      </w:pPr>
    </w:p>
    <w:p w14:paraId="5B32D89B" w14:textId="77777777" w:rsidR="006E20E7" w:rsidRPr="00C03673" w:rsidRDefault="00CA27F1">
      <w:pPr>
        <w:tabs>
          <w:tab w:val="left" w:pos="4962"/>
        </w:tabs>
        <w:spacing w:line="360" w:lineRule="auto"/>
        <w:ind w:left="567" w:right="-28"/>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Por cuanto hace a la </w:t>
      </w:r>
      <w:r w:rsidRPr="00C03673">
        <w:rPr>
          <w:rFonts w:ascii="Palatino Linotype" w:eastAsia="Palatino Linotype" w:hAnsi="Palatino Linotype" w:cs="Palatino Linotype"/>
          <w:b/>
          <w:sz w:val="22"/>
          <w:szCs w:val="22"/>
        </w:rPr>
        <w:t>firma</w:t>
      </w:r>
      <w:r w:rsidRPr="00C03673">
        <w:rPr>
          <w:rFonts w:ascii="Palatino Linotype" w:eastAsia="Palatino Linotype" w:hAnsi="Palatino Linotype" w:cs="Palatino Linotype"/>
          <w:sz w:val="22"/>
          <w:szCs w:val="22"/>
        </w:rPr>
        <w:t xml:space="preserve"> en comprobantes de estudios, cabe precisar que por regla general, este dato es considerado como confidencial, no obstante, en el caso de los servidores públicos, existen excepciones en aquellos casos en los que se vincule con el ejercicio de la función pública, en cuyo caso, su naturaleza es pública pues documenta y rinde cuentas sobre el debido ejercicio de sus atribuciones.</w:t>
      </w:r>
    </w:p>
    <w:p w14:paraId="48ACA613" w14:textId="77777777" w:rsidR="006E20E7" w:rsidRPr="00C03673" w:rsidRDefault="006E20E7">
      <w:pPr>
        <w:tabs>
          <w:tab w:val="left" w:pos="4962"/>
        </w:tabs>
        <w:spacing w:line="360" w:lineRule="auto"/>
        <w:ind w:left="567" w:right="-28"/>
        <w:jc w:val="both"/>
        <w:rPr>
          <w:rFonts w:ascii="Palatino Linotype" w:eastAsia="Palatino Linotype" w:hAnsi="Palatino Linotype" w:cs="Palatino Linotype"/>
          <w:sz w:val="22"/>
          <w:szCs w:val="22"/>
        </w:rPr>
      </w:pPr>
    </w:p>
    <w:p w14:paraId="226BF2BB" w14:textId="77777777" w:rsidR="006E20E7" w:rsidRPr="00C03673" w:rsidRDefault="00CA27F1">
      <w:pPr>
        <w:tabs>
          <w:tab w:val="left" w:pos="4962"/>
        </w:tabs>
        <w:spacing w:line="360" w:lineRule="auto"/>
        <w:ind w:left="567" w:right="-28"/>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La publicidad de dicho dato, se robustece, con el Criterio de interpretación, con clave de control SO/002/2019, emitido por el Instituto Nacional de Transparencia, Acceso a la Información y Protección de Datos Personales, INAI, que establece lo siguiente:</w:t>
      </w:r>
    </w:p>
    <w:p w14:paraId="224BC2E2" w14:textId="77777777" w:rsidR="006E20E7" w:rsidRPr="00C03673" w:rsidRDefault="00CA27F1">
      <w:pPr>
        <w:tabs>
          <w:tab w:val="left" w:pos="4962"/>
        </w:tabs>
        <w:spacing w:line="276" w:lineRule="auto"/>
        <w:ind w:left="1134" w:right="758"/>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sz w:val="22"/>
          <w:szCs w:val="22"/>
        </w:rPr>
        <w:t>“</w:t>
      </w:r>
      <w:r w:rsidRPr="00C03673">
        <w:rPr>
          <w:rFonts w:ascii="Palatino Linotype" w:eastAsia="Palatino Linotype" w:hAnsi="Palatino Linotype" w:cs="Palatino Linotype"/>
          <w:b/>
          <w:i/>
          <w:sz w:val="22"/>
          <w:szCs w:val="22"/>
        </w:rPr>
        <w:t>Firma y rúbrica de servidores públicos.</w:t>
      </w:r>
      <w:r w:rsidRPr="00C03673">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4F800E80" w14:textId="77777777" w:rsidR="006E20E7" w:rsidRPr="00C03673" w:rsidRDefault="006E20E7">
      <w:pPr>
        <w:tabs>
          <w:tab w:val="left" w:pos="4962"/>
        </w:tabs>
        <w:spacing w:line="360" w:lineRule="auto"/>
        <w:ind w:left="567" w:right="-28"/>
        <w:jc w:val="both"/>
        <w:rPr>
          <w:rFonts w:ascii="Palatino Linotype" w:eastAsia="Palatino Linotype" w:hAnsi="Palatino Linotype" w:cs="Palatino Linotype"/>
          <w:sz w:val="22"/>
          <w:szCs w:val="22"/>
        </w:rPr>
      </w:pPr>
    </w:p>
    <w:p w14:paraId="7EB91964" w14:textId="77777777" w:rsidR="006E20E7" w:rsidRPr="00C03673" w:rsidRDefault="00CA27F1">
      <w:pPr>
        <w:tabs>
          <w:tab w:val="left" w:pos="4962"/>
        </w:tabs>
        <w:spacing w:line="360" w:lineRule="auto"/>
        <w:ind w:left="567" w:right="-28"/>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No obstante, en el presente caso dicho supuesto no se actualiza, dado que la firma de los servidores públicos titulares de los comprobantes de estudios, de ser el caso, se plasmó en su calidad de particulares, por lo tanto, procede la clasificación de dicho dato de los servidores públicos en los documentos que acrediten su último grado de estudios, en términos del artículo 143, fracción I de la Ley de Transparencia y Acceso a la Información Pública del Estado de México y Municipios.</w:t>
      </w:r>
    </w:p>
    <w:p w14:paraId="1E1009D1"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68554D66"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 xml:space="preserve">En ese sentido, el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 xml:space="preserve">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14:paraId="2B871DEB"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79938E5E" w14:textId="77777777" w:rsidR="006E20E7" w:rsidRPr="00C03673" w:rsidRDefault="00CA27F1">
      <w:pPr>
        <w:spacing w:line="360" w:lineRule="auto"/>
        <w:ind w:right="50"/>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2CC9AFB9" w14:textId="77777777" w:rsidR="006E20E7" w:rsidRPr="00C03673" w:rsidRDefault="006E20E7">
      <w:pPr>
        <w:spacing w:line="360" w:lineRule="auto"/>
        <w:ind w:right="50"/>
        <w:jc w:val="both"/>
        <w:rPr>
          <w:rFonts w:ascii="Palatino Linotype" w:eastAsia="Palatino Linotype" w:hAnsi="Palatino Linotype" w:cs="Palatino Linotype"/>
          <w:sz w:val="22"/>
          <w:szCs w:val="22"/>
        </w:rPr>
      </w:pPr>
    </w:p>
    <w:p w14:paraId="5067248C"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r w:rsidRPr="00C03673">
        <w:rPr>
          <w:rFonts w:ascii="Palatino Linotype" w:eastAsia="Palatino Linotype" w:hAnsi="Palatino Linotype" w:cs="Palatino Linotype"/>
          <w:b/>
          <w:i/>
          <w:sz w:val="22"/>
          <w:szCs w:val="22"/>
        </w:rPr>
        <w:t>Artículo 3.</w:t>
      </w:r>
      <w:r w:rsidRPr="00C03673">
        <w:rPr>
          <w:rFonts w:ascii="Palatino Linotype" w:eastAsia="Palatino Linotype" w:hAnsi="Palatino Linotype" w:cs="Palatino Linotype"/>
          <w:i/>
          <w:sz w:val="22"/>
          <w:szCs w:val="22"/>
        </w:rPr>
        <w:t xml:space="preserve"> Para los efectos de la presente Ley se entenderá por:</w:t>
      </w:r>
    </w:p>
    <w:p w14:paraId="1FF1EE9F"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p>
    <w:p w14:paraId="1F5C027C"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27D815C8"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XX. Información clasificada: Aquella considerada por la presente Ley como reservada o confidencial;</w:t>
      </w:r>
    </w:p>
    <w:p w14:paraId="27C85F1E"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CF5C3FC"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0B6C7C55"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p>
    <w:p w14:paraId="5BEA7DED"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Artículo 91.</w:t>
      </w:r>
      <w:r w:rsidRPr="00C03673">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DEDDE04"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Artículo 132.</w:t>
      </w:r>
      <w:r w:rsidRPr="00C03673">
        <w:rPr>
          <w:rFonts w:ascii="Palatino Linotype" w:eastAsia="Palatino Linotype" w:hAnsi="Palatino Linotype" w:cs="Palatino Linotype"/>
          <w:i/>
          <w:sz w:val="22"/>
          <w:szCs w:val="22"/>
        </w:rPr>
        <w:t xml:space="preserve"> La clasificación de la información se llevará a cabo en el momento en que:</w:t>
      </w:r>
    </w:p>
    <w:p w14:paraId="396B0F07" w14:textId="77777777" w:rsidR="006E20E7" w:rsidRPr="00C03673" w:rsidRDefault="00CA27F1">
      <w:pPr>
        <w:tabs>
          <w:tab w:val="left" w:pos="1134"/>
        </w:tabs>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I. Se reciba una solicitud de acceso a la información;</w:t>
      </w:r>
    </w:p>
    <w:p w14:paraId="5B2C55A2" w14:textId="77777777" w:rsidR="006E20E7" w:rsidRPr="00C03673" w:rsidRDefault="00CA27F1">
      <w:pPr>
        <w:tabs>
          <w:tab w:val="left" w:pos="1134"/>
        </w:tabs>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II. Se determine mediante resolución de autoridad competente; o</w:t>
      </w:r>
    </w:p>
    <w:p w14:paraId="4EDE1CBD" w14:textId="77777777" w:rsidR="006E20E7" w:rsidRPr="00C03673" w:rsidRDefault="00CA27F1">
      <w:pPr>
        <w:tabs>
          <w:tab w:val="left" w:pos="1134"/>
        </w:tabs>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III. Se generen versiones públicas para dar cumplimiento a las obligaciones de transparencia previstas en esta Ley.</w:t>
      </w:r>
    </w:p>
    <w:p w14:paraId="3A016649"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w:t>
      </w:r>
    </w:p>
    <w:p w14:paraId="62BDE060"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lastRenderedPageBreak/>
        <w:t>Artículo 143</w:t>
      </w:r>
      <w:r w:rsidRPr="00C0367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955A542"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5B19B68"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9A3DB18"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3E18FA4A"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F46C92A"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9A039C2" w14:textId="77777777" w:rsidR="006E20E7" w:rsidRPr="00C03673" w:rsidRDefault="006E20E7">
      <w:pPr>
        <w:ind w:left="567" w:right="616"/>
        <w:jc w:val="both"/>
        <w:rPr>
          <w:rFonts w:ascii="Palatino Linotype" w:eastAsia="Palatino Linotype" w:hAnsi="Palatino Linotype" w:cs="Palatino Linotype"/>
          <w:i/>
          <w:sz w:val="22"/>
          <w:szCs w:val="22"/>
        </w:rPr>
      </w:pPr>
    </w:p>
    <w:p w14:paraId="52D497B9"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0CD82A7" w14:textId="77777777" w:rsidR="006E20E7" w:rsidRPr="00C03673" w:rsidRDefault="006E20E7">
      <w:pPr>
        <w:jc w:val="both"/>
        <w:rPr>
          <w:rFonts w:ascii="Palatino Linotype" w:eastAsia="Palatino Linotype" w:hAnsi="Palatino Linotype" w:cs="Palatino Linotype"/>
          <w:sz w:val="22"/>
          <w:szCs w:val="22"/>
        </w:rPr>
      </w:pPr>
    </w:p>
    <w:p w14:paraId="271A1078"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2DF6903B" w14:textId="77777777" w:rsidR="006E20E7" w:rsidRPr="00C03673" w:rsidRDefault="006E20E7">
      <w:pPr>
        <w:spacing w:line="360" w:lineRule="auto"/>
        <w:jc w:val="both"/>
        <w:rPr>
          <w:rFonts w:ascii="Palatino Linotype" w:eastAsia="Palatino Linotype" w:hAnsi="Palatino Linotype" w:cs="Palatino Linotype"/>
          <w:sz w:val="22"/>
          <w:szCs w:val="22"/>
        </w:rPr>
      </w:pPr>
    </w:p>
    <w:p w14:paraId="6707E998"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lastRenderedPageBreak/>
        <w:t xml:space="preserve"> “</w:t>
      </w:r>
      <w:r w:rsidRPr="00C03673">
        <w:rPr>
          <w:rFonts w:ascii="Palatino Linotype" w:eastAsia="Palatino Linotype" w:hAnsi="Palatino Linotype" w:cs="Palatino Linotype"/>
          <w:b/>
          <w:i/>
          <w:sz w:val="22"/>
          <w:szCs w:val="22"/>
        </w:rPr>
        <w:t>Quincuagésimo</w:t>
      </w:r>
      <w:r w:rsidRPr="00C03673">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59954F8" w14:textId="77777777" w:rsidR="006E20E7" w:rsidRPr="00C03673" w:rsidRDefault="00CA27F1">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Quincuagésimo primero.</w:t>
      </w:r>
      <w:r w:rsidRPr="00C03673">
        <w:rPr>
          <w:rFonts w:ascii="Palatino Linotype" w:eastAsia="Palatino Linotype" w:hAnsi="Palatino Linotype" w:cs="Palatino Linotype"/>
          <w:i/>
          <w:sz w:val="22"/>
          <w:szCs w:val="22"/>
        </w:rPr>
        <w:t xml:space="preserve"> Toda acta del Comité de Transparencia deberá contener: </w:t>
      </w:r>
    </w:p>
    <w:p w14:paraId="565D8562" w14:textId="77777777" w:rsidR="006E20E7" w:rsidRPr="00C03673" w:rsidRDefault="00CA27F1">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I. El número de sesión y fecha; </w:t>
      </w:r>
    </w:p>
    <w:p w14:paraId="5CD2F1E4" w14:textId="77777777" w:rsidR="006E20E7" w:rsidRPr="00C03673" w:rsidRDefault="00CA27F1">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II. El nombre del área que solicitó la clasificación de información; </w:t>
      </w:r>
    </w:p>
    <w:p w14:paraId="2396AA3F" w14:textId="77777777" w:rsidR="006E20E7" w:rsidRPr="00C03673" w:rsidRDefault="00CA27F1">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III. La fundamentación legal y motivación correspondiente; </w:t>
      </w:r>
    </w:p>
    <w:p w14:paraId="660DF45F" w14:textId="77777777" w:rsidR="006E20E7" w:rsidRPr="00C03673" w:rsidRDefault="00CA27F1">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IV. La resolución o resoluciones aprobadas; y </w:t>
      </w:r>
    </w:p>
    <w:p w14:paraId="4064D746" w14:textId="77777777" w:rsidR="006E20E7" w:rsidRPr="00C03673" w:rsidRDefault="00CA27F1">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V. La rúbrica o firma digital de cada integrante del Comité de Transparencia. </w:t>
      </w:r>
    </w:p>
    <w:p w14:paraId="77A36E72" w14:textId="77777777" w:rsidR="006E20E7" w:rsidRPr="00C03673" w:rsidRDefault="00CA27F1">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3D0F955" w14:textId="77777777" w:rsidR="006E20E7" w:rsidRPr="00C03673" w:rsidRDefault="00CA27F1">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I. Los motivos y razonamientos que sustenten la confirmación o modificación de la prueba de daño;</w:t>
      </w:r>
    </w:p>
    <w:p w14:paraId="12FA1DB4" w14:textId="77777777" w:rsidR="006E20E7" w:rsidRPr="00C03673" w:rsidRDefault="00CA27F1">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II. Descripción de las partes o secciones reservadas, en caso de clasificación parcial; </w:t>
      </w:r>
    </w:p>
    <w:p w14:paraId="2052447B" w14:textId="77777777" w:rsidR="006E20E7" w:rsidRPr="00C03673" w:rsidRDefault="00CA27F1">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III. El periodo por el que mantendrá su clasificación y fecha de expiración; y </w:t>
      </w:r>
    </w:p>
    <w:p w14:paraId="0F19DE1B" w14:textId="77777777" w:rsidR="006E20E7" w:rsidRPr="00C03673" w:rsidRDefault="00CA27F1">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6E6A66DB" w14:textId="77777777" w:rsidR="006E20E7" w:rsidRPr="00C03673" w:rsidRDefault="00CA27F1">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2F8D07B" w14:textId="77777777" w:rsidR="006E20E7" w:rsidRPr="00C03673" w:rsidRDefault="00CA27F1">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E62A7F9"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b/>
          <w:i/>
          <w:sz w:val="22"/>
          <w:szCs w:val="22"/>
        </w:rPr>
        <w:t>Quincuagésimo segundo.</w:t>
      </w:r>
      <w:r w:rsidRPr="00C03673">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9D2B228"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330989F0"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0FFD9B20"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0F34D36D"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III. Señalar las personas o instancias autorizadas a acceder a la información clasificada.</w:t>
      </w:r>
    </w:p>
    <w:p w14:paraId="789FA3EF" w14:textId="77777777" w:rsidR="006E20E7" w:rsidRPr="00C03673" w:rsidRDefault="00CA27F1">
      <w:pPr>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w:t>
      </w:r>
    </w:p>
    <w:p w14:paraId="1F60EF87" w14:textId="77777777" w:rsidR="006E20E7" w:rsidRPr="00C03673" w:rsidRDefault="006E20E7">
      <w:pPr>
        <w:spacing w:line="360" w:lineRule="auto"/>
        <w:jc w:val="both"/>
        <w:rPr>
          <w:rFonts w:ascii="Palatino Linotype" w:eastAsia="Palatino Linotype" w:hAnsi="Palatino Linotype" w:cs="Palatino Linotype"/>
          <w:b/>
          <w:sz w:val="22"/>
          <w:szCs w:val="22"/>
          <w:u w:val="single"/>
        </w:rPr>
      </w:pPr>
    </w:p>
    <w:p w14:paraId="64D1D081" w14:textId="77777777" w:rsidR="006E20E7" w:rsidRPr="00C03673" w:rsidRDefault="00CA27F1">
      <w:pPr>
        <w:spacing w:line="360" w:lineRule="auto"/>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6038C31F" w14:textId="77777777" w:rsidR="006E20E7" w:rsidRPr="00C03673" w:rsidRDefault="00CA27F1">
      <w:pPr>
        <w:spacing w:line="360" w:lineRule="auto"/>
        <w:ind w:left="567"/>
        <w:jc w:val="center"/>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t>R E S U E L V E</w:t>
      </w:r>
    </w:p>
    <w:p w14:paraId="7CA2696E" w14:textId="77777777" w:rsidR="006E20E7" w:rsidRPr="00C03673" w:rsidRDefault="006E20E7">
      <w:pPr>
        <w:spacing w:line="360" w:lineRule="auto"/>
        <w:ind w:left="1080"/>
        <w:rPr>
          <w:rFonts w:ascii="Palatino Linotype" w:eastAsia="Palatino Linotype" w:hAnsi="Palatino Linotype" w:cs="Palatino Linotype"/>
          <w:b/>
          <w:sz w:val="22"/>
          <w:szCs w:val="22"/>
        </w:rPr>
      </w:pPr>
    </w:p>
    <w:p w14:paraId="7DB393BF" w14:textId="77777777" w:rsidR="006E20E7" w:rsidRPr="00C03673" w:rsidRDefault="00CA27F1">
      <w:pPr>
        <w:spacing w:line="360" w:lineRule="auto"/>
        <w:ind w:right="49"/>
        <w:jc w:val="both"/>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t>Primero.</w:t>
      </w:r>
      <w:r w:rsidRPr="00C03673">
        <w:rPr>
          <w:rFonts w:ascii="Palatino Linotype" w:eastAsia="Palatino Linotype" w:hAnsi="Palatino Linotype" w:cs="Palatino Linotype"/>
          <w:sz w:val="22"/>
          <w:szCs w:val="22"/>
        </w:rPr>
        <w:t xml:space="preserve"> Resultan </w:t>
      </w:r>
      <w:r w:rsidRPr="00C03673">
        <w:rPr>
          <w:rFonts w:ascii="Palatino Linotype" w:eastAsia="Palatino Linotype" w:hAnsi="Palatino Linotype" w:cs="Palatino Linotype"/>
          <w:b/>
          <w:sz w:val="22"/>
          <w:szCs w:val="22"/>
        </w:rPr>
        <w:t>fundados</w:t>
      </w:r>
      <w:r w:rsidRPr="00C03673">
        <w:rPr>
          <w:rFonts w:ascii="Palatino Linotype" w:eastAsia="Palatino Linotype" w:hAnsi="Palatino Linotype" w:cs="Palatino Linotype"/>
          <w:sz w:val="22"/>
          <w:szCs w:val="22"/>
        </w:rPr>
        <w:t xml:space="preserve"> los motivos de inconformidad hechos valer por la parte </w:t>
      </w:r>
      <w:r w:rsidRPr="00C03673">
        <w:rPr>
          <w:rFonts w:ascii="Palatino Linotype" w:eastAsia="Palatino Linotype" w:hAnsi="Palatino Linotype" w:cs="Palatino Linotype"/>
          <w:b/>
          <w:sz w:val="22"/>
          <w:szCs w:val="22"/>
        </w:rPr>
        <w:t>Recurrente</w:t>
      </w:r>
      <w:r w:rsidRPr="00C03673">
        <w:rPr>
          <w:rFonts w:ascii="Palatino Linotype" w:eastAsia="Palatino Linotype" w:hAnsi="Palatino Linotype" w:cs="Palatino Linotype"/>
          <w:sz w:val="22"/>
          <w:szCs w:val="22"/>
        </w:rPr>
        <w:t xml:space="preserve"> en los Recursos de Revisión </w:t>
      </w:r>
      <w:r w:rsidRPr="00C03673">
        <w:rPr>
          <w:rFonts w:ascii="Palatino Linotype" w:eastAsia="Palatino Linotype" w:hAnsi="Palatino Linotype" w:cs="Palatino Linotype"/>
          <w:b/>
          <w:sz w:val="22"/>
          <w:szCs w:val="22"/>
        </w:rPr>
        <w:t xml:space="preserve">06729/INFOEM/IP/RR/2024, 06816/INFOEM/IP/RR/2024 </w:t>
      </w:r>
      <w:r w:rsidRPr="00C03673">
        <w:rPr>
          <w:rFonts w:ascii="Palatino Linotype" w:eastAsia="Palatino Linotype" w:hAnsi="Palatino Linotype" w:cs="Palatino Linotype"/>
          <w:sz w:val="22"/>
          <w:szCs w:val="22"/>
        </w:rPr>
        <w:t xml:space="preserve">y </w:t>
      </w:r>
      <w:r w:rsidRPr="00C03673">
        <w:rPr>
          <w:rFonts w:ascii="Palatino Linotype" w:eastAsia="Palatino Linotype" w:hAnsi="Palatino Linotype" w:cs="Palatino Linotype"/>
          <w:b/>
          <w:sz w:val="22"/>
          <w:szCs w:val="22"/>
        </w:rPr>
        <w:t>06847/INFOEM/IP/RR/2024 Acumulados</w:t>
      </w:r>
      <w:r w:rsidRPr="00C03673">
        <w:rPr>
          <w:rFonts w:ascii="Palatino Linotype" w:eastAsia="Palatino Linotype" w:hAnsi="Palatino Linotype" w:cs="Palatino Linotype"/>
          <w:sz w:val="22"/>
          <w:szCs w:val="22"/>
        </w:rPr>
        <w:t xml:space="preserve">, por lo que, en términos del </w:t>
      </w:r>
      <w:r w:rsidRPr="00C03673">
        <w:rPr>
          <w:rFonts w:ascii="Palatino Linotype" w:eastAsia="Palatino Linotype" w:hAnsi="Palatino Linotype" w:cs="Palatino Linotype"/>
          <w:b/>
          <w:sz w:val="22"/>
          <w:szCs w:val="22"/>
        </w:rPr>
        <w:t xml:space="preserve">Considerando Cuarto </w:t>
      </w:r>
      <w:r w:rsidRPr="00C03673">
        <w:rPr>
          <w:rFonts w:ascii="Palatino Linotype" w:eastAsia="Palatino Linotype" w:hAnsi="Palatino Linotype" w:cs="Palatino Linotype"/>
          <w:sz w:val="22"/>
          <w:szCs w:val="22"/>
        </w:rPr>
        <w:t xml:space="preserve">de esta resolución, se </w:t>
      </w:r>
      <w:r w:rsidRPr="00C03673">
        <w:rPr>
          <w:rFonts w:ascii="Palatino Linotype" w:eastAsia="Palatino Linotype" w:hAnsi="Palatino Linotype" w:cs="Palatino Linotype"/>
          <w:b/>
          <w:sz w:val="22"/>
          <w:szCs w:val="22"/>
        </w:rPr>
        <w:t>Revocan</w:t>
      </w:r>
      <w:r w:rsidRPr="00C03673">
        <w:rPr>
          <w:rFonts w:ascii="Palatino Linotype" w:eastAsia="Palatino Linotype" w:hAnsi="Palatino Linotype" w:cs="Palatino Linotype"/>
          <w:sz w:val="22"/>
          <w:szCs w:val="22"/>
        </w:rPr>
        <w:t xml:space="preserve"> las respuestas emitidas por el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w:t>
      </w:r>
    </w:p>
    <w:p w14:paraId="6D381114" w14:textId="77777777" w:rsidR="006E20E7" w:rsidRPr="00C03673" w:rsidRDefault="006E20E7">
      <w:pPr>
        <w:spacing w:line="360" w:lineRule="auto"/>
        <w:ind w:right="49"/>
        <w:jc w:val="both"/>
        <w:rPr>
          <w:rFonts w:ascii="Palatino Linotype" w:eastAsia="Palatino Linotype" w:hAnsi="Palatino Linotype" w:cs="Palatino Linotype"/>
          <w:sz w:val="22"/>
          <w:szCs w:val="22"/>
        </w:rPr>
      </w:pPr>
    </w:p>
    <w:p w14:paraId="1AF40E80" w14:textId="77777777" w:rsidR="006E20E7" w:rsidRPr="00C03673" w:rsidRDefault="00CA27F1">
      <w:pPr>
        <w:spacing w:line="360" w:lineRule="auto"/>
        <w:ind w:right="49"/>
        <w:jc w:val="both"/>
        <w:rPr>
          <w:rFonts w:ascii="Palatino Linotype" w:eastAsia="Palatino Linotype" w:hAnsi="Palatino Linotype" w:cs="Palatino Linotype"/>
          <w:sz w:val="22"/>
          <w:szCs w:val="22"/>
        </w:rPr>
      </w:pPr>
      <w:bookmarkStart w:id="5" w:name="_heading=h.3znysh7" w:colFirst="0" w:colLast="0"/>
      <w:bookmarkEnd w:id="5"/>
      <w:r w:rsidRPr="00C03673">
        <w:rPr>
          <w:rFonts w:ascii="Palatino Linotype" w:eastAsia="Palatino Linotype" w:hAnsi="Palatino Linotype" w:cs="Palatino Linotype"/>
          <w:b/>
          <w:sz w:val="22"/>
          <w:szCs w:val="22"/>
        </w:rPr>
        <w:t>Segundo</w:t>
      </w:r>
      <w:r w:rsidRPr="00C03673">
        <w:rPr>
          <w:rFonts w:ascii="Palatino Linotype" w:eastAsia="Palatino Linotype" w:hAnsi="Palatino Linotype" w:cs="Palatino Linotype"/>
          <w:sz w:val="22"/>
          <w:szCs w:val="22"/>
        </w:rPr>
        <w:t xml:space="preserve">. Se </w:t>
      </w:r>
      <w:r w:rsidRPr="00C03673">
        <w:rPr>
          <w:rFonts w:ascii="Palatino Linotype" w:eastAsia="Palatino Linotype" w:hAnsi="Palatino Linotype" w:cs="Palatino Linotype"/>
          <w:b/>
          <w:sz w:val="22"/>
          <w:szCs w:val="22"/>
        </w:rPr>
        <w:t>ordena</w:t>
      </w:r>
      <w:r w:rsidRPr="00C03673">
        <w:rPr>
          <w:rFonts w:ascii="Palatino Linotype" w:eastAsia="Palatino Linotype" w:hAnsi="Palatino Linotype" w:cs="Palatino Linotype"/>
          <w:sz w:val="22"/>
          <w:szCs w:val="22"/>
        </w:rPr>
        <w:t xml:space="preserve"> al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 xml:space="preserve"> que, en términos del </w:t>
      </w:r>
      <w:r w:rsidRPr="00C03673">
        <w:rPr>
          <w:rFonts w:ascii="Palatino Linotype" w:eastAsia="Palatino Linotype" w:hAnsi="Palatino Linotype" w:cs="Palatino Linotype"/>
          <w:b/>
          <w:sz w:val="22"/>
          <w:szCs w:val="22"/>
        </w:rPr>
        <w:t>Considerando Cuarto y Quinto</w:t>
      </w:r>
      <w:r w:rsidRPr="00C03673">
        <w:rPr>
          <w:rFonts w:ascii="Palatino Linotype" w:eastAsia="Palatino Linotype" w:hAnsi="Palatino Linotype" w:cs="Palatino Linotype"/>
          <w:sz w:val="22"/>
          <w:szCs w:val="22"/>
        </w:rPr>
        <w:t xml:space="preserve">, haga entrega vía Sistema de Acceso a la Información Mexiquense, en versión pública de ser procedente, de lo siguiente: </w:t>
      </w:r>
    </w:p>
    <w:p w14:paraId="1FDCFD13" w14:textId="77777777" w:rsidR="006E20E7" w:rsidRPr="00C03673" w:rsidRDefault="006E20E7">
      <w:pPr>
        <w:spacing w:line="276" w:lineRule="auto"/>
        <w:ind w:left="851" w:right="616"/>
        <w:jc w:val="both"/>
        <w:rPr>
          <w:rFonts w:ascii="Palatino Linotype" w:eastAsia="Palatino Linotype" w:hAnsi="Palatino Linotype" w:cs="Palatino Linotype"/>
          <w:sz w:val="22"/>
          <w:szCs w:val="22"/>
        </w:rPr>
      </w:pPr>
    </w:p>
    <w:p w14:paraId="7BE57AB2" w14:textId="77777777" w:rsidR="006E20E7" w:rsidRPr="00C03673" w:rsidRDefault="00CA27F1">
      <w:pPr>
        <w:numPr>
          <w:ilvl w:val="0"/>
          <w:numId w:val="3"/>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Organigrama del Ayuntamiento de Temamatla, vigente al once de octubre de dos mil veinticuatro.</w:t>
      </w:r>
    </w:p>
    <w:p w14:paraId="2DA0F2BB" w14:textId="77777777" w:rsidR="006E20E7" w:rsidRPr="00C03673" w:rsidRDefault="00CA27F1">
      <w:pPr>
        <w:numPr>
          <w:ilvl w:val="0"/>
          <w:numId w:val="3"/>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t>Documento en donde conste el nombre y cargo de los Titulares de las Direcciones de la Administración Pública Municipal, actualizado al once de octubre de dos mil veinticuatro.</w:t>
      </w:r>
    </w:p>
    <w:p w14:paraId="128CB159" w14:textId="77777777" w:rsidR="006E20E7" w:rsidRPr="00C03673" w:rsidRDefault="00CA27F1">
      <w:pPr>
        <w:numPr>
          <w:ilvl w:val="0"/>
          <w:numId w:val="3"/>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sz w:val="22"/>
          <w:szCs w:val="22"/>
        </w:rPr>
        <w:lastRenderedPageBreak/>
        <w:t xml:space="preserve">Documentos que conforman los expedientes laborales de todos los servidores públicos que se encuentren obligados a contar con certificación de competencia laboral y que se encuentren en funciones al once de octubre de dos mil veinticuatro. </w:t>
      </w:r>
    </w:p>
    <w:p w14:paraId="3A7C6CC3" w14:textId="77777777" w:rsidR="006E20E7" w:rsidRPr="00C03673" w:rsidRDefault="006E20E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52654EFA" w14:textId="77777777" w:rsidR="006E20E7" w:rsidRPr="00C03673" w:rsidRDefault="00CA27F1">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documentos clasificados en su totalidad como confidenciales, y se ponga a disposición de la parte </w:t>
      </w:r>
      <w:r w:rsidRPr="00C03673">
        <w:rPr>
          <w:rFonts w:ascii="Palatino Linotype" w:eastAsia="Palatino Linotype" w:hAnsi="Palatino Linotype" w:cs="Palatino Linotype"/>
          <w:b/>
          <w:i/>
          <w:sz w:val="22"/>
          <w:szCs w:val="22"/>
        </w:rPr>
        <w:t>Recurrente</w:t>
      </w:r>
      <w:r w:rsidRPr="00C03673">
        <w:rPr>
          <w:rFonts w:ascii="Palatino Linotype" w:eastAsia="Palatino Linotype" w:hAnsi="Palatino Linotype" w:cs="Palatino Linotype"/>
          <w:i/>
          <w:sz w:val="22"/>
          <w:szCs w:val="22"/>
        </w:rPr>
        <w:t>, en términos de los artículos 49, fracción VIII,  de la Ley de Transparencia y Acceso a la Información Pública del Estado de México y Municipios.</w:t>
      </w:r>
    </w:p>
    <w:p w14:paraId="1393BA5E" w14:textId="77777777" w:rsidR="006E20E7" w:rsidRPr="00C03673" w:rsidRDefault="006E20E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2561710E" w14:textId="77777777" w:rsidR="006E20E7" w:rsidRPr="00C03673" w:rsidRDefault="00CA27F1">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Para el caso de que en los documentos que se ordena entregar en el inciso c), no se localizara algún certificado de competencia laboral de los servidores públicos que tengan más de seis meses en el cargo, deberá emitir acuerdo de inexistencia en términos del artículo 19, párrafo tercero y 169 de la Ley de Transparencia y Acceso a la Información Pública del Estado de México y Municipios. </w:t>
      </w:r>
    </w:p>
    <w:p w14:paraId="263AF5D0" w14:textId="77777777" w:rsidR="006E20E7" w:rsidRPr="00C03673" w:rsidRDefault="006E20E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3EF4EA3B" w14:textId="77777777" w:rsidR="006E20E7" w:rsidRPr="00C03673" w:rsidRDefault="00CA27F1">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03673">
        <w:rPr>
          <w:rFonts w:ascii="Palatino Linotype" w:eastAsia="Palatino Linotype" w:hAnsi="Palatino Linotype" w:cs="Palatino Linotype"/>
          <w:i/>
          <w:sz w:val="22"/>
          <w:szCs w:val="22"/>
        </w:rPr>
        <w:t xml:space="preserve">Para el caso de aquellos que no contaran con la certificación por no haber transcurrido los seis meses en el cargo que prevé la Ley Orgánica Municipal del Estado de México, bastará con que así se haga del conocimiento de la parte </w:t>
      </w:r>
      <w:r w:rsidRPr="00C03673">
        <w:rPr>
          <w:rFonts w:ascii="Palatino Linotype" w:eastAsia="Palatino Linotype" w:hAnsi="Palatino Linotype" w:cs="Palatino Linotype"/>
          <w:b/>
          <w:i/>
          <w:sz w:val="22"/>
          <w:szCs w:val="22"/>
        </w:rPr>
        <w:t>Recurrente</w:t>
      </w:r>
      <w:r w:rsidRPr="00C03673">
        <w:rPr>
          <w:rFonts w:ascii="Palatino Linotype" w:eastAsia="Palatino Linotype" w:hAnsi="Palatino Linotype" w:cs="Palatino Linotype"/>
          <w:i/>
          <w:sz w:val="22"/>
          <w:szCs w:val="22"/>
        </w:rPr>
        <w:t>, en términos del artículo 19, párrafo segundo de la Ley de Transparencia y Acceso a la Información Pública del Estado de México y Municipios.</w:t>
      </w:r>
    </w:p>
    <w:p w14:paraId="54CA9FB7" w14:textId="77777777" w:rsidR="006E20E7" w:rsidRPr="00C03673" w:rsidRDefault="006E20E7">
      <w:pPr>
        <w:pBdr>
          <w:top w:val="nil"/>
          <w:left w:val="nil"/>
          <w:bottom w:val="nil"/>
          <w:right w:val="nil"/>
          <w:between w:val="nil"/>
        </w:pBdr>
        <w:spacing w:line="276" w:lineRule="auto"/>
        <w:ind w:left="720"/>
        <w:jc w:val="both"/>
        <w:rPr>
          <w:rFonts w:ascii="Palatino Linotype" w:eastAsia="Palatino Linotype" w:hAnsi="Palatino Linotype" w:cs="Palatino Linotype"/>
          <w:i/>
          <w:sz w:val="22"/>
          <w:szCs w:val="22"/>
        </w:rPr>
      </w:pPr>
    </w:p>
    <w:p w14:paraId="7C5E17DA" w14:textId="77777777" w:rsidR="006E20E7" w:rsidRPr="00C03673" w:rsidRDefault="00CA27F1">
      <w:pPr>
        <w:spacing w:line="360" w:lineRule="auto"/>
        <w:ind w:right="49"/>
        <w:jc w:val="both"/>
        <w:rPr>
          <w:rFonts w:ascii="Palatino Linotype" w:eastAsia="Palatino Linotype" w:hAnsi="Palatino Linotype" w:cs="Palatino Linotype"/>
          <w:b/>
          <w:sz w:val="22"/>
          <w:szCs w:val="22"/>
        </w:rPr>
      </w:pPr>
      <w:r w:rsidRPr="00C03673">
        <w:rPr>
          <w:rFonts w:ascii="Palatino Linotype" w:eastAsia="Palatino Linotype" w:hAnsi="Palatino Linotype" w:cs="Palatino Linotype"/>
          <w:b/>
          <w:sz w:val="22"/>
          <w:szCs w:val="22"/>
        </w:rPr>
        <w:t>Tercero.</w:t>
      </w:r>
      <w:r w:rsidRPr="00C03673">
        <w:rPr>
          <w:rFonts w:ascii="Palatino Linotype" w:eastAsia="Palatino Linotype" w:hAnsi="Palatino Linotype" w:cs="Palatino Linotype"/>
          <w:sz w:val="22"/>
          <w:szCs w:val="22"/>
        </w:rPr>
        <w:t xml:space="preserve"> </w:t>
      </w:r>
      <w:r w:rsidRPr="00C03673">
        <w:rPr>
          <w:rFonts w:ascii="Palatino Linotype" w:eastAsia="Palatino Linotype" w:hAnsi="Palatino Linotype" w:cs="Palatino Linotype"/>
          <w:b/>
          <w:sz w:val="22"/>
          <w:szCs w:val="22"/>
        </w:rPr>
        <w:t>Notifíquese</w:t>
      </w:r>
      <w:r w:rsidRPr="00C03673">
        <w:rPr>
          <w:rFonts w:ascii="Palatino Linotype" w:eastAsia="Palatino Linotype" w:hAnsi="Palatino Linotype" w:cs="Palatino Linotype"/>
          <w:sz w:val="22"/>
          <w:szCs w:val="22"/>
        </w:rPr>
        <w:t xml:space="preserve"> vía</w:t>
      </w:r>
      <w:r w:rsidRPr="00C03673">
        <w:rPr>
          <w:rFonts w:ascii="Palatino Linotype" w:eastAsia="Palatino Linotype" w:hAnsi="Palatino Linotype" w:cs="Palatino Linotype"/>
          <w:b/>
          <w:sz w:val="22"/>
          <w:szCs w:val="22"/>
        </w:rPr>
        <w:t xml:space="preserve"> SAIMEX </w:t>
      </w:r>
      <w:r w:rsidRPr="00C03673">
        <w:rPr>
          <w:rFonts w:ascii="Palatino Linotype" w:eastAsia="Palatino Linotype" w:hAnsi="Palatino Linotype" w:cs="Palatino Linotype"/>
          <w:sz w:val="22"/>
          <w:szCs w:val="22"/>
        </w:rPr>
        <w:t>la presente resolución al T</w:t>
      </w:r>
      <w:r w:rsidRPr="00C03673">
        <w:rPr>
          <w:rFonts w:ascii="Palatino Linotype" w:eastAsia="Palatino Linotype" w:hAnsi="Palatino Linotype" w:cs="Palatino Linotype"/>
          <w:b/>
          <w:sz w:val="22"/>
          <w:szCs w:val="22"/>
        </w:rPr>
        <w:t xml:space="preserve">itular de la Unidad de Transparencia </w:t>
      </w:r>
      <w:r w:rsidRPr="00C03673">
        <w:rPr>
          <w:rFonts w:ascii="Palatino Linotype" w:eastAsia="Palatino Linotype" w:hAnsi="Palatino Linotype" w:cs="Palatino Linotype"/>
          <w:sz w:val="22"/>
          <w:szCs w:val="22"/>
        </w:rPr>
        <w:t xml:space="preserve">del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w:t>
      </w:r>
      <w:r w:rsidRPr="00C03673">
        <w:rPr>
          <w:rFonts w:ascii="Palatino Linotype" w:eastAsia="Palatino Linotype" w:hAnsi="Palatino Linotype" w:cs="Palatino Linotype"/>
          <w:sz w:val="22"/>
          <w:szCs w:val="22"/>
        </w:rPr>
        <w:lastRenderedPageBreak/>
        <w:t>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0C6075F" w14:textId="77777777" w:rsidR="006E20E7" w:rsidRPr="00C03673" w:rsidRDefault="006E20E7">
      <w:pPr>
        <w:spacing w:line="360" w:lineRule="auto"/>
        <w:ind w:right="49"/>
        <w:jc w:val="both"/>
        <w:rPr>
          <w:rFonts w:ascii="Palatino Linotype" w:eastAsia="Palatino Linotype" w:hAnsi="Palatino Linotype" w:cs="Palatino Linotype"/>
          <w:sz w:val="22"/>
          <w:szCs w:val="22"/>
        </w:rPr>
      </w:pPr>
    </w:p>
    <w:p w14:paraId="0815A70D" w14:textId="77777777" w:rsidR="006E20E7" w:rsidRPr="00C03673" w:rsidRDefault="00CA27F1">
      <w:pPr>
        <w:spacing w:line="360" w:lineRule="auto"/>
        <w:ind w:right="49"/>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b/>
          <w:sz w:val="22"/>
          <w:szCs w:val="22"/>
        </w:rPr>
        <w:t>Cuarto.</w:t>
      </w:r>
      <w:r w:rsidRPr="00C03673">
        <w:rPr>
          <w:rFonts w:ascii="Palatino Linotype" w:eastAsia="Palatino Linotype" w:hAnsi="Palatino Linotype" w:cs="Palatino Linotype"/>
          <w:sz w:val="22"/>
          <w:szCs w:val="22"/>
        </w:rPr>
        <w:t xml:space="preserve"> </w:t>
      </w:r>
      <w:r w:rsidRPr="00C03673">
        <w:rPr>
          <w:rFonts w:ascii="Palatino Linotype" w:eastAsia="Palatino Linotype" w:hAnsi="Palatino Linotype" w:cs="Palatino Linotype"/>
          <w:b/>
          <w:sz w:val="22"/>
          <w:szCs w:val="22"/>
        </w:rPr>
        <w:t xml:space="preserve">Notifíquese </w:t>
      </w:r>
      <w:r w:rsidRPr="00C03673">
        <w:rPr>
          <w:rFonts w:ascii="Palatino Linotype" w:eastAsia="Palatino Linotype" w:hAnsi="Palatino Linotype" w:cs="Palatino Linotype"/>
          <w:sz w:val="22"/>
          <w:szCs w:val="22"/>
        </w:rPr>
        <w:t>vía</w:t>
      </w:r>
      <w:r w:rsidRPr="00C03673">
        <w:rPr>
          <w:rFonts w:ascii="Palatino Linotype" w:eastAsia="Palatino Linotype" w:hAnsi="Palatino Linotype" w:cs="Palatino Linotype"/>
          <w:b/>
          <w:sz w:val="22"/>
          <w:szCs w:val="22"/>
        </w:rPr>
        <w:t xml:space="preserve"> SAIMEX </w:t>
      </w:r>
      <w:r w:rsidRPr="00C03673">
        <w:rPr>
          <w:rFonts w:ascii="Palatino Linotype" w:eastAsia="Palatino Linotype" w:hAnsi="Palatino Linotype" w:cs="Palatino Linotype"/>
          <w:sz w:val="22"/>
          <w:szCs w:val="22"/>
        </w:rPr>
        <w:t xml:space="preserve">a la parte </w:t>
      </w:r>
      <w:r w:rsidRPr="00C03673">
        <w:rPr>
          <w:rFonts w:ascii="Palatino Linotype" w:eastAsia="Palatino Linotype" w:hAnsi="Palatino Linotype" w:cs="Palatino Linotype"/>
          <w:b/>
          <w:sz w:val="22"/>
          <w:szCs w:val="22"/>
        </w:rPr>
        <w:t xml:space="preserve">Recurrente </w:t>
      </w:r>
      <w:r w:rsidRPr="00C03673">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41B6418A" w14:textId="77777777" w:rsidR="006E20E7" w:rsidRPr="00C03673" w:rsidRDefault="006E20E7">
      <w:pPr>
        <w:spacing w:line="360" w:lineRule="auto"/>
        <w:ind w:right="49"/>
        <w:jc w:val="both"/>
        <w:rPr>
          <w:rFonts w:ascii="Palatino Linotype" w:eastAsia="Palatino Linotype" w:hAnsi="Palatino Linotype" w:cs="Palatino Linotype"/>
          <w:sz w:val="22"/>
          <w:szCs w:val="22"/>
        </w:rPr>
      </w:pPr>
    </w:p>
    <w:p w14:paraId="07FD1E3B" w14:textId="77777777" w:rsidR="006E20E7" w:rsidRPr="00C03673" w:rsidRDefault="00CA27F1">
      <w:pPr>
        <w:spacing w:line="360" w:lineRule="auto"/>
        <w:ind w:right="49"/>
        <w:jc w:val="both"/>
        <w:rPr>
          <w:rFonts w:ascii="Palatino Linotype" w:eastAsia="Palatino Linotype" w:hAnsi="Palatino Linotype" w:cs="Palatino Linotype"/>
          <w:sz w:val="22"/>
          <w:szCs w:val="22"/>
        </w:rPr>
      </w:pPr>
      <w:r w:rsidRPr="00C03673">
        <w:rPr>
          <w:rFonts w:ascii="Palatino Linotype" w:eastAsia="Palatino Linotype" w:hAnsi="Palatino Linotype" w:cs="Palatino Linotype"/>
          <w:b/>
          <w:sz w:val="22"/>
          <w:szCs w:val="22"/>
        </w:rPr>
        <w:t>Quinto.</w:t>
      </w:r>
      <w:r w:rsidRPr="00C03673">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C03673">
        <w:rPr>
          <w:rFonts w:ascii="Palatino Linotype" w:eastAsia="Palatino Linotype" w:hAnsi="Palatino Linotype" w:cs="Palatino Linotype"/>
          <w:b/>
          <w:sz w:val="22"/>
          <w:szCs w:val="22"/>
        </w:rPr>
        <w:t>Sujeto Obligado</w:t>
      </w:r>
      <w:r w:rsidRPr="00C03673">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147D81C5" w14:textId="77777777" w:rsidR="006E20E7" w:rsidRPr="00C03673" w:rsidRDefault="006E20E7">
      <w:pPr>
        <w:spacing w:line="360" w:lineRule="auto"/>
        <w:ind w:right="49"/>
        <w:jc w:val="both"/>
        <w:rPr>
          <w:rFonts w:ascii="Palatino Linotype" w:eastAsia="Palatino Linotype" w:hAnsi="Palatino Linotype" w:cs="Palatino Linotype"/>
          <w:sz w:val="22"/>
          <w:szCs w:val="22"/>
        </w:rPr>
      </w:pPr>
    </w:p>
    <w:p w14:paraId="2DE82F38" w14:textId="77777777" w:rsidR="006E20E7" w:rsidRPr="00C03673" w:rsidRDefault="00CA27F1">
      <w:pPr>
        <w:spacing w:line="360" w:lineRule="auto"/>
        <w:jc w:val="both"/>
        <w:rPr>
          <w:rFonts w:ascii="Palatino Linotype" w:eastAsia="Palatino Linotype" w:hAnsi="Palatino Linotype" w:cs="Palatino Linotype"/>
          <w:sz w:val="22"/>
          <w:szCs w:val="22"/>
        </w:rPr>
        <w:sectPr w:rsidR="006E20E7" w:rsidRPr="00C03673">
          <w:headerReference w:type="default" r:id="rId31"/>
          <w:footerReference w:type="default" r:id="rId32"/>
          <w:headerReference w:type="first" r:id="rId33"/>
          <w:footerReference w:type="first" r:id="rId34"/>
          <w:pgSz w:w="12240" w:h="15840"/>
          <w:pgMar w:top="2041" w:right="1701" w:bottom="1701" w:left="1701" w:header="709" w:footer="709" w:gutter="0"/>
          <w:pgNumType w:start="1"/>
          <w:cols w:space="720"/>
          <w:titlePg/>
        </w:sectPr>
      </w:pPr>
      <w:r w:rsidRPr="00C03673">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D151C2" w:rsidRPr="00C03673">
        <w:rPr>
          <w:rFonts w:ascii="Palatino Linotype" w:eastAsia="Palatino Linotype" w:hAnsi="Palatino Linotype" w:cs="Palatino Linotype"/>
          <w:sz w:val="22"/>
          <w:szCs w:val="22"/>
        </w:rPr>
        <w:t xml:space="preserve"> (EMITIENDO VOTO PARTICULAR CONCURRENTE)</w:t>
      </w:r>
      <w:r w:rsidRPr="00C03673">
        <w:rPr>
          <w:rFonts w:ascii="Palatino Linotype" w:eastAsia="Palatino Linotype" w:hAnsi="Palatino Linotype" w:cs="Palatino Linotype"/>
          <w:sz w:val="22"/>
          <w:szCs w:val="22"/>
        </w:rPr>
        <w:t xml:space="preserve">, SHARON CRISTINA MORALES MARTÍNEZ, LUIS GUSTAVO PARRA NORIEGA </w:t>
      </w:r>
      <w:r w:rsidR="00D151C2" w:rsidRPr="00C03673">
        <w:rPr>
          <w:rFonts w:ascii="Palatino Linotype" w:eastAsia="Palatino Linotype" w:hAnsi="Palatino Linotype" w:cs="Palatino Linotype"/>
          <w:sz w:val="22"/>
          <w:szCs w:val="22"/>
        </w:rPr>
        <w:t xml:space="preserve">(EMITIENDO VOTO PARTICULAR CONCURRENTE) </w:t>
      </w:r>
      <w:r w:rsidRPr="00C03673">
        <w:rPr>
          <w:rFonts w:ascii="Palatino Linotype" w:eastAsia="Palatino Linotype" w:hAnsi="Palatino Linotype" w:cs="Palatino Linotype"/>
          <w:sz w:val="22"/>
          <w:szCs w:val="22"/>
        </w:rPr>
        <w:t>Y GUADALUPE RAMÍREZ PEÑA</w:t>
      </w:r>
      <w:r w:rsidR="00D151C2" w:rsidRPr="00C03673">
        <w:rPr>
          <w:rFonts w:ascii="Palatino Linotype" w:eastAsia="Palatino Linotype" w:hAnsi="Palatino Linotype" w:cs="Palatino Linotype"/>
          <w:sz w:val="22"/>
          <w:szCs w:val="22"/>
        </w:rPr>
        <w:t xml:space="preserve"> (EMITIENDO VOTO PARTICULAR)</w:t>
      </w:r>
      <w:r w:rsidRPr="00C03673">
        <w:rPr>
          <w:rFonts w:ascii="Palatino Linotype" w:eastAsia="Palatino Linotype" w:hAnsi="Palatino Linotype" w:cs="Palatino Linotype"/>
          <w:sz w:val="22"/>
          <w:szCs w:val="22"/>
        </w:rPr>
        <w:t xml:space="preserve">; EN LA CUADRAGÉSIMA PRIMERA SESIÓN ORDINARIA CELEBRADA EL VEINTISIETE DE NOVIEMBRE DE DOS MIL VEINTICUATRO, ANTE EL SECRETARIO TÉCNICO DEL PLENO ALEXIS TAPIA RAMÍREZ.                              </w:t>
      </w:r>
    </w:p>
    <w:p w14:paraId="3F684A37" w14:textId="77777777" w:rsidR="006E20E7" w:rsidRPr="00C03673" w:rsidRDefault="006E20E7">
      <w:pPr>
        <w:spacing w:line="360" w:lineRule="auto"/>
        <w:jc w:val="both"/>
        <w:rPr>
          <w:rFonts w:ascii="Palatino Linotype" w:eastAsia="Palatino Linotype" w:hAnsi="Palatino Linotype" w:cs="Palatino Linotype"/>
          <w:sz w:val="22"/>
          <w:szCs w:val="22"/>
        </w:rPr>
      </w:pPr>
    </w:p>
    <w:sectPr w:rsidR="006E20E7" w:rsidRPr="00C03673">
      <w:headerReference w:type="first" r:id="rId35"/>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3C438" w14:textId="77777777" w:rsidR="00B213CD" w:rsidRDefault="00B213CD">
      <w:r>
        <w:separator/>
      </w:r>
    </w:p>
  </w:endnote>
  <w:endnote w:type="continuationSeparator" w:id="0">
    <w:p w14:paraId="4A8EB487" w14:textId="77777777" w:rsidR="00B213CD" w:rsidRDefault="00B21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588AE" w14:textId="77777777" w:rsidR="006E20E7" w:rsidRDefault="00CA27F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F3167">
      <w:rPr>
        <w:rFonts w:ascii="Arial" w:eastAsia="Arial" w:hAnsi="Arial" w:cs="Arial"/>
        <w:b/>
        <w:noProof/>
        <w:color w:val="000000"/>
        <w:sz w:val="20"/>
        <w:szCs w:val="20"/>
      </w:rPr>
      <w:t>67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F3167">
      <w:rPr>
        <w:rFonts w:ascii="Arial" w:eastAsia="Arial" w:hAnsi="Arial" w:cs="Arial"/>
        <w:b/>
        <w:noProof/>
        <w:color w:val="000000"/>
        <w:sz w:val="20"/>
        <w:szCs w:val="20"/>
      </w:rPr>
      <w:t>68</w:t>
    </w:r>
    <w:r>
      <w:rPr>
        <w:rFonts w:ascii="Arial" w:eastAsia="Arial" w:hAnsi="Arial" w:cs="Arial"/>
        <w:b/>
        <w:color w:val="000000"/>
        <w:sz w:val="20"/>
        <w:szCs w:val="20"/>
      </w:rPr>
      <w:fldChar w:fldCharType="end"/>
    </w:r>
  </w:p>
  <w:p w14:paraId="4A396276" w14:textId="77777777" w:rsidR="006E20E7" w:rsidRDefault="006E20E7">
    <w:pPr>
      <w:pBdr>
        <w:top w:val="nil"/>
        <w:left w:val="nil"/>
        <w:bottom w:val="nil"/>
        <w:right w:val="nil"/>
        <w:between w:val="nil"/>
      </w:pBdr>
      <w:tabs>
        <w:tab w:val="center" w:pos="4252"/>
        <w:tab w:val="right" w:pos="8504"/>
      </w:tabs>
      <w:rPr>
        <w:color w:val="000000"/>
      </w:rPr>
    </w:pPr>
  </w:p>
  <w:p w14:paraId="16832E3F" w14:textId="77777777" w:rsidR="006E20E7" w:rsidRDefault="006E20E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214E5" w14:textId="77777777" w:rsidR="006E20E7" w:rsidRDefault="00CA27F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F3167">
      <w:rPr>
        <w:rFonts w:ascii="Arial" w:eastAsia="Arial" w:hAnsi="Arial" w:cs="Arial"/>
        <w:b/>
        <w:noProof/>
        <w:color w:val="000000"/>
        <w:sz w:val="20"/>
        <w:szCs w:val="20"/>
      </w:rPr>
      <w:t>68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F3167">
      <w:rPr>
        <w:rFonts w:ascii="Arial" w:eastAsia="Arial" w:hAnsi="Arial" w:cs="Arial"/>
        <w:b/>
        <w:noProof/>
        <w:color w:val="000000"/>
        <w:sz w:val="20"/>
        <w:szCs w:val="20"/>
      </w:rPr>
      <w:t>68</w:t>
    </w:r>
    <w:r>
      <w:rPr>
        <w:rFonts w:ascii="Arial" w:eastAsia="Arial" w:hAnsi="Arial" w:cs="Arial"/>
        <w:b/>
        <w:color w:val="000000"/>
        <w:sz w:val="20"/>
        <w:szCs w:val="20"/>
      </w:rPr>
      <w:fldChar w:fldCharType="end"/>
    </w:r>
  </w:p>
  <w:p w14:paraId="0208661E" w14:textId="77777777" w:rsidR="006E20E7" w:rsidRDefault="006E20E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DFB29" w14:textId="77777777" w:rsidR="00B213CD" w:rsidRDefault="00B213CD">
      <w:r>
        <w:separator/>
      </w:r>
    </w:p>
  </w:footnote>
  <w:footnote w:type="continuationSeparator" w:id="0">
    <w:p w14:paraId="61C351AE" w14:textId="77777777" w:rsidR="00B213CD" w:rsidRDefault="00B213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146BE" w14:textId="77777777" w:rsidR="006E20E7" w:rsidRDefault="00CA27F1">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05E33BE6" wp14:editId="797DA57E">
          <wp:simplePos x="0" y="0"/>
          <wp:positionH relativeFrom="column">
            <wp:posOffset>-638172</wp:posOffset>
          </wp:positionH>
          <wp:positionV relativeFrom="paragraph">
            <wp:posOffset>-450211</wp:posOffset>
          </wp:positionV>
          <wp:extent cx="7809876" cy="10165823"/>
          <wp:effectExtent l="0" t="0" r="0" b="0"/>
          <wp:wrapNone/>
          <wp:docPr id="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f1"/>
      <w:tblW w:w="5528" w:type="dxa"/>
      <w:tblInd w:w="3261" w:type="dxa"/>
      <w:tblLayout w:type="fixed"/>
      <w:tblLook w:val="0400" w:firstRow="0" w:lastRow="0" w:firstColumn="0" w:lastColumn="0" w:noHBand="0" w:noVBand="1"/>
    </w:tblPr>
    <w:tblGrid>
      <w:gridCol w:w="2551"/>
      <w:gridCol w:w="2977"/>
    </w:tblGrid>
    <w:tr w:rsidR="006E20E7" w14:paraId="3250A829" w14:textId="77777777">
      <w:tc>
        <w:tcPr>
          <w:tcW w:w="2551" w:type="dxa"/>
          <w:vAlign w:val="center"/>
        </w:tcPr>
        <w:p w14:paraId="4D739F72" w14:textId="77777777" w:rsidR="006E20E7" w:rsidRDefault="00CA27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67B8A9A2" w14:textId="77777777" w:rsidR="006E20E7" w:rsidRDefault="00CA27F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06729/INFOEM/IP/RR/2024 y acumulados</w:t>
          </w:r>
        </w:p>
      </w:tc>
    </w:tr>
    <w:tr w:rsidR="006E20E7" w14:paraId="24353D55" w14:textId="77777777">
      <w:trPr>
        <w:trHeight w:val="228"/>
      </w:trPr>
      <w:tc>
        <w:tcPr>
          <w:tcW w:w="2551" w:type="dxa"/>
          <w:vAlign w:val="center"/>
        </w:tcPr>
        <w:p w14:paraId="5B4FED7B" w14:textId="77777777" w:rsidR="006E20E7" w:rsidRDefault="00CA27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2456778E" w14:textId="77777777" w:rsidR="006E20E7" w:rsidRDefault="00CA27F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Temamatla</w:t>
          </w:r>
        </w:p>
      </w:tc>
    </w:tr>
    <w:tr w:rsidR="006E20E7" w14:paraId="2C8E2D95" w14:textId="77777777">
      <w:tc>
        <w:tcPr>
          <w:tcW w:w="2551" w:type="dxa"/>
          <w:vAlign w:val="center"/>
        </w:tcPr>
        <w:p w14:paraId="297EA8F1" w14:textId="77777777" w:rsidR="006E20E7" w:rsidRDefault="00CA27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7B23EED4" w14:textId="77777777" w:rsidR="006E20E7" w:rsidRDefault="00CA27F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5777CA0" w14:textId="77777777" w:rsidR="006E20E7" w:rsidRDefault="00CA27F1">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2127" w14:textId="77777777" w:rsidR="006E20E7" w:rsidRDefault="00CA27F1">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6442C2CA" wp14:editId="7037AE80">
          <wp:simplePos x="0" y="0"/>
          <wp:positionH relativeFrom="column">
            <wp:posOffset>-798189</wp:posOffset>
          </wp:positionH>
          <wp:positionV relativeFrom="paragraph">
            <wp:posOffset>-399410</wp:posOffset>
          </wp:positionV>
          <wp:extent cx="7809876" cy="10165823"/>
          <wp:effectExtent l="0" t="0" r="0" b="0"/>
          <wp:wrapNone/>
          <wp:docPr id="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f2"/>
      <w:tblW w:w="6379" w:type="dxa"/>
      <w:tblInd w:w="2552" w:type="dxa"/>
      <w:tblLayout w:type="fixed"/>
      <w:tblLook w:val="0400" w:firstRow="0" w:lastRow="0" w:firstColumn="0" w:lastColumn="0" w:noHBand="0" w:noVBand="1"/>
    </w:tblPr>
    <w:tblGrid>
      <w:gridCol w:w="2126"/>
      <w:gridCol w:w="4253"/>
    </w:tblGrid>
    <w:tr w:rsidR="006E20E7" w14:paraId="1BCA422A" w14:textId="77777777">
      <w:tc>
        <w:tcPr>
          <w:tcW w:w="2126" w:type="dxa"/>
          <w:vAlign w:val="center"/>
        </w:tcPr>
        <w:p w14:paraId="4CF1905C" w14:textId="77777777" w:rsidR="006E20E7" w:rsidRDefault="00CA27F1">
          <w:pPr>
            <w:ind w:hanging="11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53" w:type="dxa"/>
          <w:vAlign w:val="center"/>
        </w:tcPr>
        <w:p w14:paraId="6A3C064A" w14:textId="77777777" w:rsidR="006E20E7" w:rsidRDefault="00CA27F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06729/INFOEM/IP/RR/2024 y Acumulados</w:t>
          </w:r>
        </w:p>
      </w:tc>
    </w:tr>
    <w:tr w:rsidR="006E20E7" w14:paraId="5F9B8D1F" w14:textId="77777777">
      <w:tc>
        <w:tcPr>
          <w:tcW w:w="2126" w:type="dxa"/>
          <w:vAlign w:val="center"/>
        </w:tcPr>
        <w:p w14:paraId="395913B5" w14:textId="77777777" w:rsidR="006E20E7" w:rsidRDefault="00CA27F1">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53" w:type="dxa"/>
          <w:vAlign w:val="center"/>
        </w:tcPr>
        <w:p w14:paraId="2955E76A" w14:textId="77777777" w:rsidR="006E20E7" w:rsidRDefault="006E20E7">
          <w:pPr>
            <w:ind w:right="-533"/>
            <w:jc w:val="both"/>
            <w:rPr>
              <w:rFonts w:ascii="Palatino Linotype" w:eastAsia="Palatino Linotype" w:hAnsi="Palatino Linotype" w:cs="Palatino Linotype"/>
              <w:b/>
              <w:sz w:val="22"/>
              <w:szCs w:val="22"/>
            </w:rPr>
          </w:pPr>
        </w:p>
      </w:tc>
    </w:tr>
    <w:tr w:rsidR="006E20E7" w14:paraId="66FA6171" w14:textId="77777777">
      <w:trPr>
        <w:trHeight w:val="228"/>
      </w:trPr>
      <w:tc>
        <w:tcPr>
          <w:tcW w:w="2126" w:type="dxa"/>
          <w:vAlign w:val="center"/>
        </w:tcPr>
        <w:p w14:paraId="6D81C044" w14:textId="77777777" w:rsidR="006E20E7" w:rsidRDefault="00CA27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53" w:type="dxa"/>
          <w:vAlign w:val="center"/>
        </w:tcPr>
        <w:p w14:paraId="25B9E106" w14:textId="77777777" w:rsidR="006E20E7" w:rsidRDefault="00CA27F1">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Temamatla</w:t>
          </w:r>
        </w:p>
      </w:tc>
    </w:tr>
    <w:tr w:rsidR="006E20E7" w14:paraId="14294A15" w14:textId="77777777">
      <w:tc>
        <w:tcPr>
          <w:tcW w:w="2126" w:type="dxa"/>
          <w:vAlign w:val="center"/>
        </w:tcPr>
        <w:p w14:paraId="2E792A15" w14:textId="77777777" w:rsidR="006E20E7" w:rsidRDefault="00CA27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53" w:type="dxa"/>
          <w:vAlign w:val="center"/>
        </w:tcPr>
        <w:p w14:paraId="79502F08" w14:textId="77777777" w:rsidR="006E20E7" w:rsidRDefault="00CA27F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F0BCAFE" w14:textId="77777777" w:rsidR="006E20E7" w:rsidRDefault="006E20E7">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9692B" w14:textId="77777777" w:rsidR="006E20E7" w:rsidRDefault="006E20E7">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23475A1" w14:textId="77777777" w:rsidR="006E20E7" w:rsidRDefault="006E20E7">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B0A8B"/>
    <w:multiLevelType w:val="multilevel"/>
    <w:tmpl w:val="5DD64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275BE1"/>
    <w:multiLevelType w:val="multilevel"/>
    <w:tmpl w:val="1CA06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505FB8"/>
    <w:multiLevelType w:val="multilevel"/>
    <w:tmpl w:val="CDF25B7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44F05F5F"/>
    <w:multiLevelType w:val="multilevel"/>
    <w:tmpl w:val="0D3E65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786EF1"/>
    <w:multiLevelType w:val="multilevel"/>
    <w:tmpl w:val="AC54C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8DB4C1C"/>
    <w:multiLevelType w:val="multilevel"/>
    <w:tmpl w:val="2CB8D95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1E61EF1"/>
    <w:multiLevelType w:val="multilevel"/>
    <w:tmpl w:val="957887D8"/>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7" w15:restartNumberingAfterBreak="0">
    <w:nsid w:val="59E73D45"/>
    <w:multiLevelType w:val="multilevel"/>
    <w:tmpl w:val="7A7A0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39A56F1"/>
    <w:multiLevelType w:val="multilevel"/>
    <w:tmpl w:val="4170F5E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9EB2224"/>
    <w:multiLevelType w:val="multilevel"/>
    <w:tmpl w:val="F27C0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C717158"/>
    <w:multiLevelType w:val="multilevel"/>
    <w:tmpl w:val="078CD8D6"/>
    <w:lvl w:ilvl="0">
      <w:start w:val="1"/>
      <w:numFmt w:val="lowerLetter"/>
      <w:pStyle w:val="Listaconvietas3"/>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5"/>
  </w:num>
  <w:num w:numId="2">
    <w:abstractNumId w:val="6"/>
  </w:num>
  <w:num w:numId="3">
    <w:abstractNumId w:val="10"/>
  </w:num>
  <w:num w:numId="4">
    <w:abstractNumId w:val="0"/>
  </w:num>
  <w:num w:numId="5">
    <w:abstractNumId w:val="1"/>
  </w:num>
  <w:num w:numId="6">
    <w:abstractNumId w:val="3"/>
  </w:num>
  <w:num w:numId="7">
    <w:abstractNumId w:val="2"/>
  </w:num>
  <w:num w:numId="8">
    <w:abstractNumId w:val="4"/>
  </w:num>
  <w:num w:numId="9">
    <w:abstractNumId w:val="9"/>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0E7"/>
    <w:rsid w:val="000D2534"/>
    <w:rsid w:val="005F5584"/>
    <w:rsid w:val="006E20E7"/>
    <w:rsid w:val="00B213CD"/>
    <w:rsid w:val="00BF3167"/>
    <w:rsid w:val="00C03673"/>
    <w:rsid w:val="00CA27F1"/>
    <w:rsid w:val="00D151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F68BA"/>
  <w15:docId w15:val="{AF6F1865-EE57-49F1-AFFF-AFCAE8060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68D"/>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108" w:type="dxa"/>
        <w:right w:w="108" w:type="dxa"/>
      </w:tblCellMar>
    </w:tblPr>
  </w:style>
  <w:style w:type="table" w:customStyle="1" w:styleId="a7">
    <w:basedOn w:val="TableNormal5"/>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08" w:type="dxa"/>
        <w:right w:w="108"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3"/>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character" w:customStyle="1" w:styleId="FootnoteCharacters">
    <w:name w:val="Footnote Characters"/>
    <w:basedOn w:val="Fuentedeprrafopredeter"/>
    <w:uiPriority w:val="99"/>
    <w:unhideWhenUsed/>
    <w:qFormat/>
    <w:rsid w:val="003A6E0F"/>
    <w:rPr>
      <w:vertAlign w:val="superscript"/>
    </w:rPr>
  </w:style>
  <w:style w:type="character" w:customStyle="1" w:styleId="FootnoteAnchor">
    <w:name w:val="Footnote Anchor"/>
    <w:rsid w:val="003A6E0F"/>
    <w:rPr>
      <w:vertAlign w:val="superscript"/>
    </w:r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ipomex.org.mx/ipo3/lgt/%C3%ADndice/TEMAMATLA/art_92_viii/5.web?token=03AFcWeA5y97XOmPtUnKi7EsalqsHRmfNEwja7lKdcpOZuC4f3H3kb6zYhseed2sQnPJ4eFBH6KQHSCz0VbV4KUUQbGhW5ShxWabnHzxdDdKYfngeE5YFj1c-1o8dVVPxVPk248JWOr3J_umSS4t-z_TwowpX9FBpVqDKpLH7k1bHtAHRFjXd1LS7VEc82WNYjzZDkhzRf5BTjmU6FMD9ElZQGHSZN_Y96C2BGBpDHLMu9UZ-QRyuAFEuktQGwsaM60sKid9C7ltyVTwSroPxE3q_Y94Enhl8SpSe87LZ0cldUk3qrF3DRxEg-3s6lhNswiFqHp7MsuUXh8oeBC01nTStr-VN5QFLL1ULMUT4FX7PQMCQRBSR7VZGQILPLT2kY3DbAlvl5g4QzHj4EDHbdwVcAsGQpxVnheCXhDGzYl_zaoLrRVjFYMFxx8kPsHtppmE_uRVSy1Or-sJIWZDHYtbwhB5FmOXUVGA4310KQYmzLU2ExkRruvbPl8C9FaaBFx0CEq7D2MyRQN5r6Jj1a7g5GEiQSDwrGcO72x-LeoNEpKW1Hvt-5TgrvYHo_mUmcRwPEPNZr5cd6XFkjCz_-lW-YAGDdNccQSDYpTxli19Qy6amG0QP3m-PuJg8DlYCPPFdTaKQVlvGEFBtq10WiB_DDNAc9KQzPuCjqsFgR-5h0Epz9lhDtzj0lgaY_St3Uslto0ZwfUWai_RrYCD-P5jMzo_eXjeQPryGQN6an1bmr7mbsoEmq0e0" TargetMode="External"/><Relationship Id="rId26" Type="http://schemas.openxmlformats.org/officeDocument/2006/relationships/image" Target="media/image13.png"/><Relationship Id="rId21" Type="http://schemas.openxmlformats.org/officeDocument/2006/relationships/hyperlink" Target="https://ipomex.org.mx/ipo3/lgt/%C3%ADndice/TEMAMATLA/art_92_viii/5.web?token=03AFcWeA5y97XOmPtUnKi7EsalqsHRmfNEwja7lKdcpOZuC4f3H3kb6zYhseed2sQnPJ4eFBH6KQHSCz0VbV4KUUQbGhW5ShxWabnHzxdDdKYfngeE5YFj1c-1o8dVVPxVPk248JWOr3J_umSS4t-z_TwowpX9FBpVqDKpLH7k1bHtAHRFjXd1LS7VEc82WNYjzZDkhzRf5BTjmU6FMD9ElZQGHSZN_Y96C2BGBpDHLMu9UZ-QRyuAFEuktQGwsaM60sKid9C7ltyVTwSroPxE3q_Y94Enhl8SpSe87LZ0cldUk3qrF3DRxEg-3s6lhNswiFqHp7MsuUXh8oeBC01nTStr-VN5QFLL1ULMUT4FX7PQMCQRBSR7VZGQILPLT2kY3DbAlvl5g4QzHj4EDHbdwVcAsGQpxVnheCXhDGzYl_zaoLrRVjFYMFxx8kPsHtppmE_uRVSy1Or-sJIWZDHYtbwhB5FmOXUVGA4310KQYmzLU2ExkRruvbPl8C9FaaBFx0CEq7D2MyRQN5r6Jj1a7g5GEiQSDwrGcO72x-LeoNEpKW1Hvt-5TgrvYHo_mUmcRwPEPNZr5cd6XFkjCz_-lW-YAGDdNccQSDYpTxli19Qy6amG0QP3m-PuJg8DlYCPPFdTaKQVlvGEFBtq10WiB_DDNAc9KQzPuCjqsFgR-5h0Epz9lhDtzj0lgaY_St3Uslto0ZwfUWai_RrYCD-P5jMzo_eXjeQPryGQN6an1bmr7mbsoEmq0e0"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rive.google.com/drive/folders/1f104HLEV8UnXw0G4AJX7HwaUxUk55ZE-?usp=sharing"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rive.google.com/drive/folders/1f104HLEV8UnXw0G4AJX7HwaUxUk55ZE-?usp=sharing" TargetMode="External"/><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rive.google.com/file/d/1-0HWfQG1hghGVXmWd7RhpYut_xYLU4Cz/view"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rive.google.com/file/d/1-0HWfQG1hghGVXmWd7RhpYut_xYLU4Cz/view"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6RBvderfGm9JyxRxPW/aULmMg==">CgMxLjAyCWguMWZvYjl0ZTIOaC5vcDRlb2h3ZTZrOHQyCGguZ2pkZ3hzMgloLjMwajB6bGwyCWguMmV0OTJwMDIJaC4zem55c2g3OAByITFLeENocFJDZGc0ZFRMWnk4ajl1X3dqeE5SMklmMGNtOA==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17104</Words>
  <Characters>94078</Characters>
  <Application>Microsoft Office Word</Application>
  <DocSecurity>0</DocSecurity>
  <Lines>783</Lines>
  <Paragraphs>221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2024-11-29T19:00:00Z</cp:lastPrinted>
  <dcterms:created xsi:type="dcterms:W3CDTF">2024-12-06T20:17:00Z</dcterms:created>
  <dcterms:modified xsi:type="dcterms:W3CDTF">2024-12-06T20:17:00Z</dcterms:modified>
</cp:coreProperties>
</file>