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3B" w:rsidRPr="005D66F5" w:rsidRDefault="00BB313B" w:rsidP="00BB313B">
      <w:pPr>
        <w:spacing w:before="240" w:line="360" w:lineRule="auto"/>
        <w:jc w:val="both"/>
        <w:rPr>
          <w:rFonts w:ascii="Palatino Linotype" w:eastAsia="Times New Roman" w:hAnsi="Palatino Linotype" w:cs="Arial"/>
          <w:color w:val="000000"/>
          <w:sz w:val="24"/>
          <w:szCs w:val="24"/>
          <w:lang w:eastAsia="es-MX"/>
        </w:rPr>
      </w:pPr>
      <w:r w:rsidRPr="005D66F5">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 veintiocho de agosto de dos mil veinticuatro.</w:t>
      </w:r>
    </w:p>
    <w:p w:rsidR="00BB313B" w:rsidRPr="005D66F5" w:rsidRDefault="00BB313B" w:rsidP="00B10D69">
      <w:pPr>
        <w:tabs>
          <w:tab w:val="left" w:pos="1701"/>
        </w:tabs>
        <w:spacing w:after="0" w:line="360" w:lineRule="auto"/>
        <w:jc w:val="both"/>
        <w:rPr>
          <w:rFonts w:ascii="Palatino Linotype" w:hAnsi="Palatino Linotype" w:cs="Arial"/>
          <w:sz w:val="28"/>
        </w:rPr>
      </w:pPr>
      <w:r w:rsidRPr="005D66F5">
        <w:rPr>
          <w:rFonts w:ascii="Palatino Linotype" w:hAnsi="Palatino Linotype" w:cs="Arial"/>
          <w:b/>
          <w:sz w:val="24"/>
        </w:rPr>
        <w:t>VISTOS</w:t>
      </w:r>
      <w:r w:rsidRPr="005D66F5">
        <w:rPr>
          <w:rFonts w:ascii="Palatino Linotype" w:hAnsi="Palatino Linotype" w:cs="Arial"/>
          <w:sz w:val="24"/>
        </w:rPr>
        <w:t xml:space="preserve"> los expedientes electrónicos formados con motivo de los recursos de revisión números</w:t>
      </w:r>
      <w:r w:rsidRPr="005D66F5">
        <w:rPr>
          <w:rFonts w:ascii="Palatino Linotype" w:hAnsi="Palatino Linotype" w:cs="Arial"/>
          <w:b/>
          <w:sz w:val="24"/>
        </w:rPr>
        <w:t xml:space="preserve"> </w:t>
      </w:r>
      <w:r w:rsidR="00B10D69" w:rsidRPr="005D66F5">
        <w:rPr>
          <w:rFonts w:ascii="Palatino Linotype" w:hAnsi="Palatino Linotype" w:cs="Arial"/>
          <w:b/>
          <w:sz w:val="24"/>
        </w:rPr>
        <w:t>0</w:t>
      </w:r>
      <w:r w:rsidRPr="005D66F5">
        <w:rPr>
          <w:rFonts w:ascii="Palatino Linotype" w:hAnsi="Palatino Linotype" w:cs="Arial"/>
          <w:b/>
          <w:bCs/>
          <w:sz w:val="24"/>
          <w:lang w:eastAsia="es-MX"/>
        </w:rPr>
        <w:t xml:space="preserve">4460/INFOEM/IP/RR/2024, </w:t>
      </w:r>
      <w:r w:rsidR="00B10D69" w:rsidRPr="005D66F5">
        <w:rPr>
          <w:rFonts w:ascii="Palatino Linotype" w:hAnsi="Palatino Linotype" w:cs="Arial"/>
          <w:b/>
          <w:bCs/>
          <w:sz w:val="24"/>
          <w:lang w:eastAsia="es-MX"/>
        </w:rPr>
        <w:t>0</w:t>
      </w:r>
      <w:r w:rsidRPr="005D66F5">
        <w:rPr>
          <w:rFonts w:ascii="Palatino Linotype" w:hAnsi="Palatino Linotype" w:cs="Arial"/>
          <w:b/>
          <w:bCs/>
          <w:sz w:val="24"/>
          <w:lang w:eastAsia="es-MX"/>
        </w:rPr>
        <w:t xml:space="preserve">4461/INFOEM/IP/RR/2024 y </w:t>
      </w:r>
      <w:r w:rsidR="00B10D69" w:rsidRPr="005D66F5">
        <w:rPr>
          <w:rFonts w:ascii="Palatino Linotype" w:hAnsi="Palatino Linotype" w:cs="Arial"/>
          <w:b/>
          <w:bCs/>
          <w:sz w:val="24"/>
          <w:lang w:eastAsia="es-MX"/>
        </w:rPr>
        <w:t>0</w:t>
      </w:r>
      <w:r w:rsidRPr="005D66F5">
        <w:rPr>
          <w:rFonts w:ascii="Palatino Linotype" w:hAnsi="Palatino Linotype" w:cs="Arial"/>
          <w:b/>
          <w:bCs/>
          <w:sz w:val="24"/>
          <w:lang w:eastAsia="es-MX"/>
        </w:rPr>
        <w:t xml:space="preserve">4462/INFOEM/IP/RR/2024, </w:t>
      </w:r>
      <w:r w:rsidRPr="005D66F5">
        <w:rPr>
          <w:rFonts w:ascii="Palatino Linotype" w:hAnsi="Palatino Linotype"/>
          <w:sz w:val="24"/>
        </w:rPr>
        <w:t xml:space="preserve">interpuestos por un particular que no proporcionó nombre o seudónimo, en lo sucesivo la parte </w:t>
      </w:r>
      <w:r w:rsidRPr="005D66F5">
        <w:rPr>
          <w:rFonts w:ascii="Palatino Linotype" w:hAnsi="Palatino Linotype"/>
          <w:b/>
          <w:sz w:val="24"/>
        </w:rPr>
        <w:t>Recurrente</w:t>
      </w:r>
      <w:r w:rsidRPr="005D66F5">
        <w:rPr>
          <w:rFonts w:ascii="Palatino Linotype" w:hAnsi="Palatino Linotype"/>
          <w:sz w:val="24"/>
        </w:rPr>
        <w:t xml:space="preserve">, en contra de la falta de respuestas del </w:t>
      </w:r>
      <w:r w:rsidRPr="005D66F5">
        <w:rPr>
          <w:rFonts w:ascii="Palatino Linotype" w:hAnsi="Palatino Linotype"/>
          <w:b/>
          <w:sz w:val="24"/>
        </w:rPr>
        <w:t>Ayuntamiento de San Felipe del Progreso</w:t>
      </w:r>
      <w:r w:rsidRPr="005D66F5">
        <w:rPr>
          <w:rFonts w:ascii="Palatino Linotype" w:hAnsi="Palatino Linotype"/>
          <w:sz w:val="24"/>
        </w:rPr>
        <w:t xml:space="preserve">, en lo subsecuente el </w:t>
      </w:r>
      <w:r w:rsidRPr="005D66F5">
        <w:rPr>
          <w:rFonts w:ascii="Palatino Linotype" w:hAnsi="Palatino Linotype"/>
          <w:b/>
          <w:sz w:val="24"/>
        </w:rPr>
        <w:t>Sujeto Obligado</w:t>
      </w:r>
      <w:r w:rsidRPr="005D66F5">
        <w:rPr>
          <w:rFonts w:ascii="Palatino Linotype" w:hAnsi="Palatino Linotype"/>
          <w:sz w:val="24"/>
        </w:rPr>
        <w:t xml:space="preserve">, se procede a dictar la presente resolución. </w:t>
      </w:r>
    </w:p>
    <w:p w:rsidR="00BB313B" w:rsidRPr="005D66F5" w:rsidRDefault="00BB313B" w:rsidP="00B10D69">
      <w:pPr>
        <w:tabs>
          <w:tab w:val="left" w:pos="1701"/>
        </w:tabs>
        <w:spacing w:after="0" w:line="360" w:lineRule="auto"/>
        <w:jc w:val="both"/>
        <w:rPr>
          <w:rFonts w:ascii="Palatino Linotype" w:hAnsi="Palatino Linotype" w:cs="Arial"/>
          <w:b/>
          <w:sz w:val="24"/>
        </w:rPr>
      </w:pPr>
    </w:p>
    <w:p w:rsidR="00BB313B" w:rsidRPr="005D66F5" w:rsidRDefault="00BB313B" w:rsidP="00B10D69">
      <w:pPr>
        <w:pStyle w:val="infoemcitas"/>
        <w:spacing w:before="0" w:after="0"/>
        <w:jc w:val="center"/>
        <w:rPr>
          <w:b/>
          <w:bCs/>
          <w:i w:val="0"/>
          <w:iCs/>
          <w:sz w:val="28"/>
          <w:szCs w:val="28"/>
        </w:rPr>
      </w:pPr>
      <w:r w:rsidRPr="005D66F5">
        <w:rPr>
          <w:b/>
          <w:bCs/>
          <w:i w:val="0"/>
          <w:iCs/>
          <w:sz w:val="28"/>
          <w:szCs w:val="28"/>
        </w:rPr>
        <w:t>A N T E C E D E N T E S   D E L   A S U N T O</w:t>
      </w:r>
    </w:p>
    <w:p w:rsidR="00BB313B" w:rsidRPr="005D66F5" w:rsidRDefault="00BB313B" w:rsidP="00BB313B">
      <w:pPr>
        <w:spacing w:before="240" w:after="240" w:line="360" w:lineRule="auto"/>
        <w:jc w:val="both"/>
        <w:rPr>
          <w:rFonts w:ascii="Palatino Linotype" w:hAnsi="Palatino Linotype"/>
        </w:rPr>
      </w:pPr>
      <w:r w:rsidRPr="005D66F5">
        <w:rPr>
          <w:rFonts w:ascii="Palatino Linotype" w:hAnsi="Palatino Linotype" w:cs="Arial"/>
          <w:b/>
          <w:sz w:val="28"/>
        </w:rPr>
        <w:t>PRIMERO.</w:t>
      </w:r>
      <w:r w:rsidRPr="005D66F5">
        <w:rPr>
          <w:rFonts w:ascii="Palatino Linotype" w:hAnsi="Palatino Linotype" w:cs="Arial"/>
        </w:rPr>
        <w:t xml:space="preserve"> </w:t>
      </w:r>
      <w:r w:rsidRPr="005D66F5">
        <w:rPr>
          <w:rFonts w:ascii="Palatino Linotype" w:hAnsi="Palatino Linotype"/>
          <w:b/>
          <w:sz w:val="28"/>
          <w:szCs w:val="28"/>
        </w:rPr>
        <w:t>De las Solicitudes de Información.</w:t>
      </w:r>
    </w:p>
    <w:p w:rsidR="00BB313B" w:rsidRPr="005D66F5" w:rsidRDefault="00BB313B" w:rsidP="00BB313B">
      <w:pPr>
        <w:spacing w:before="240" w:line="360" w:lineRule="auto"/>
        <w:jc w:val="both"/>
        <w:rPr>
          <w:rFonts w:ascii="Palatino Linotype" w:hAnsi="Palatino Linotype" w:cs="Arial"/>
          <w:sz w:val="24"/>
        </w:rPr>
      </w:pPr>
      <w:r w:rsidRPr="005D66F5">
        <w:rPr>
          <w:rFonts w:ascii="Palatino Linotype" w:hAnsi="Palatino Linotype" w:cs="Arial"/>
          <w:sz w:val="24"/>
        </w:rPr>
        <w:t xml:space="preserve">Con fecha </w:t>
      </w:r>
      <w:r w:rsidRPr="005D66F5">
        <w:rPr>
          <w:rFonts w:ascii="Palatino Linotype" w:hAnsi="Palatino Linotype" w:cs="Arial"/>
          <w:b/>
          <w:sz w:val="24"/>
        </w:rPr>
        <w:t>veinte de junio</w:t>
      </w:r>
      <w:r w:rsidRPr="005D66F5">
        <w:rPr>
          <w:rFonts w:ascii="Palatino Linotype" w:hAnsi="Palatino Linotype" w:cs="Arial"/>
          <w:sz w:val="24"/>
        </w:rPr>
        <w:t xml:space="preserve"> de dos mil veinticuatro, </w:t>
      </w:r>
      <w:r w:rsidRPr="005D66F5">
        <w:rPr>
          <w:rFonts w:ascii="Palatino Linotype" w:hAnsi="Palatino Linotype"/>
          <w:sz w:val="24"/>
        </w:rPr>
        <w:t xml:space="preserve">la parte </w:t>
      </w:r>
      <w:r w:rsidRPr="005D66F5">
        <w:rPr>
          <w:rFonts w:ascii="Palatino Linotype" w:hAnsi="Palatino Linotype" w:cs="Arial"/>
          <w:b/>
          <w:sz w:val="24"/>
        </w:rPr>
        <w:t xml:space="preserve">Recurrente </w:t>
      </w:r>
      <w:r w:rsidRPr="005D66F5">
        <w:rPr>
          <w:rFonts w:ascii="Palatino Linotype" w:hAnsi="Palatino Linotype" w:cs="Arial"/>
          <w:sz w:val="24"/>
        </w:rPr>
        <w:t>presentó a través del Sistema de Acceso a la Información Mexiquense (</w:t>
      </w:r>
      <w:r w:rsidRPr="005D66F5">
        <w:rPr>
          <w:rFonts w:ascii="Palatino Linotype" w:hAnsi="Palatino Linotype" w:cs="Arial"/>
          <w:b/>
          <w:sz w:val="24"/>
        </w:rPr>
        <w:t>SAIMEX)</w:t>
      </w:r>
      <w:r w:rsidRPr="005D66F5">
        <w:rPr>
          <w:rFonts w:ascii="Palatino Linotype" w:hAnsi="Palatino Linotype" w:cs="Arial"/>
          <w:sz w:val="24"/>
        </w:rPr>
        <w:t xml:space="preserve"> ante </w:t>
      </w:r>
      <w:r w:rsidRPr="005D66F5">
        <w:rPr>
          <w:rFonts w:ascii="Palatino Linotype" w:hAnsi="Palatino Linotype" w:cs="Arial"/>
          <w:b/>
          <w:sz w:val="24"/>
        </w:rPr>
        <w:t>El Sujeto Obligado</w:t>
      </w:r>
      <w:r w:rsidRPr="005D66F5">
        <w:rPr>
          <w:rFonts w:ascii="Palatino Linotype" w:hAnsi="Palatino Linotype" w:cs="Arial"/>
          <w:sz w:val="24"/>
        </w:rPr>
        <w:t>, solicitudes de acceso a la información pública, mediante la cual solicitó información en el tenor siguiente:</w:t>
      </w:r>
    </w:p>
    <w:p w:rsidR="00BB313B" w:rsidRPr="005D66F5" w:rsidRDefault="00BB313B" w:rsidP="00BB313B">
      <w:pPr>
        <w:pStyle w:val="Prrafodelista"/>
        <w:numPr>
          <w:ilvl w:val="0"/>
          <w:numId w:val="1"/>
        </w:numPr>
        <w:spacing w:before="240" w:line="360" w:lineRule="auto"/>
        <w:jc w:val="both"/>
        <w:rPr>
          <w:rFonts w:ascii="Palatino Linotype" w:hAnsi="Palatino Linotype" w:cs="Arial"/>
        </w:rPr>
      </w:pPr>
      <w:r w:rsidRPr="005D66F5">
        <w:rPr>
          <w:rFonts w:ascii="Palatino Linotype" w:hAnsi="Palatino Linotype" w:cs="Arial"/>
          <w:b/>
        </w:rPr>
        <w:t>00054/FELIPRO/IP/2024:</w:t>
      </w:r>
    </w:p>
    <w:p w:rsidR="00BB313B" w:rsidRPr="005D66F5" w:rsidRDefault="00BB313B" w:rsidP="00BB313B">
      <w:pPr>
        <w:pStyle w:val="INFOEM"/>
        <w:rPr>
          <w:rFonts w:cs="Arial"/>
        </w:rPr>
      </w:pPr>
      <w:r w:rsidRPr="005D66F5">
        <w:rPr>
          <w:lang w:val="es-ES_tradnl"/>
        </w:rPr>
        <w:t xml:space="preserve">“solicito los recibos de </w:t>
      </w:r>
      <w:proofErr w:type="spellStart"/>
      <w:r w:rsidRPr="005D66F5">
        <w:rPr>
          <w:lang w:val="es-ES_tradnl"/>
        </w:rPr>
        <w:t>nomina</w:t>
      </w:r>
      <w:proofErr w:type="spellEnd"/>
      <w:r w:rsidRPr="005D66F5">
        <w:rPr>
          <w:lang w:val="es-ES_tradnl"/>
        </w:rPr>
        <w:t xml:space="preserve"> </w:t>
      </w:r>
      <w:proofErr w:type="spellStart"/>
      <w:r w:rsidRPr="005D66F5">
        <w:rPr>
          <w:lang w:val="es-ES_tradnl"/>
        </w:rPr>
        <w:t>de el</w:t>
      </w:r>
      <w:proofErr w:type="spellEnd"/>
      <w:r w:rsidRPr="005D66F5">
        <w:rPr>
          <w:lang w:val="es-ES_tradnl"/>
        </w:rPr>
        <w:t xml:space="preserve"> cabildo </w:t>
      </w:r>
      <w:proofErr w:type="spellStart"/>
      <w:r w:rsidRPr="005D66F5">
        <w:rPr>
          <w:lang w:val="es-ES_tradnl"/>
        </w:rPr>
        <w:t>de el</w:t>
      </w:r>
      <w:proofErr w:type="spellEnd"/>
      <w:r w:rsidRPr="005D66F5">
        <w:rPr>
          <w:lang w:val="es-ES_tradnl"/>
        </w:rPr>
        <w:t xml:space="preserve"> año 2020, 2021, 2022, 2023 y 2024, incluyendo gratificaciones especiales y extemporáneas </w:t>
      </w:r>
      <w:proofErr w:type="spellStart"/>
      <w:r w:rsidRPr="005D66F5">
        <w:rPr>
          <w:lang w:val="es-ES_tradnl"/>
        </w:rPr>
        <w:t>asi</w:t>
      </w:r>
      <w:proofErr w:type="spellEnd"/>
      <w:r w:rsidRPr="005D66F5">
        <w:rPr>
          <w:lang w:val="es-ES_tradnl"/>
        </w:rPr>
        <w:t xml:space="preserve"> como dietas y de los directores, coordinadores y jefes de todas la </w:t>
      </w:r>
      <w:proofErr w:type="spellStart"/>
      <w:r w:rsidRPr="005D66F5">
        <w:rPr>
          <w:lang w:val="es-ES_tradnl"/>
        </w:rPr>
        <w:t>areas</w:t>
      </w:r>
      <w:proofErr w:type="spellEnd"/>
      <w:r w:rsidRPr="005D66F5">
        <w:rPr>
          <w:lang w:val="es-ES_tradnl"/>
        </w:rPr>
        <w:t xml:space="preserve"> del ayuntamiento” (sic)</w:t>
      </w:r>
    </w:p>
    <w:p w:rsidR="00BB313B" w:rsidRPr="005D66F5" w:rsidRDefault="00BB313B" w:rsidP="00BB313B">
      <w:pPr>
        <w:pStyle w:val="Prrafodelista"/>
        <w:numPr>
          <w:ilvl w:val="0"/>
          <w:numId w:val="1"/>
        </w:numPr>
        <w:spacing w:before="240" w:line="360" w:lineRule="auto"/>
        <w:jc w:val="both"/>
        <w:rPr>
          <w:rFonts w:ascii="Palatino Linotype" w:hAnsi="Palatino Linotype" w:cs="Arial"/>
        </w:rPr>
      </w:pPr>
      <w:r w:rsidRPr="005D66F5">
        <w:rPr>
          <w:rFonts w:ascii="Palatino Linotype" w:hAnsi="Palatino Linotype" w:cs="Arial"/>
          <w:b/>
        </w:rPr>
        <w:lastRenderedPageBreak/>
        <w:t>00053/FELIPRO/IP/2024:</w:t>
      </w:r>
    </w:p>
    <w:p w:rsidR="00BB313B" w:rsidRPr="005D66F5" w:rsidRDefault="00BB313B" w:rsidP="00BB313B">
      <w:pPr>
        <w:pStyle w:val="INFOEM"/>
        <w:ind w:left="720"/>
        <w:rPr>
          <w:rFonts w:cs="Arial"/>
        </w:rPr>
      </w:pPr>
      <w:r w:rsidRPr="005D66F5">
        <w:rPr>
          <w:lang w:val="es-ES_tradnl"/>
        </w:rPr>
        <w:t xml:space="preserve">“solicito los recibos de </w:t>
      </w:r>
      <w:proofErr w:type="spellStart"/>
      <w:r w:rsidRPr="005D66F5">
        <w:rPr>
          <w:lang w:val="es-ES_tradnl"/>
        </w:rPr>
        <w:t>nomina</w:t>
      </w:r>
      <w:proofErr w:type="spellEnd"/>
      <w:r w:rsidRPr="005D66F5">
        <w:rPr>
          <w:lang w:val="es-ES_tradnl"/>
        </w:rPr>
        <w:t xml:space="preserve"> de 2023 de los servidores públicos del ayuntamiento de san </w:t>
      </w:r>
      <w:proofErr w:type="spellStart"/>
      <w:r w:rsidRPr="005D66F5">
        <w:rPr>
          <w:lang w:val="es-ES_tradnl"/>
        </w:rPr>
        <w:t>felipe</w:t>
      </w:r>
      <w:proofErr w:type="spellEnd"/>
      <w:r w:rsidRPr="005D66F5">
        <w:rPr>
          <w:lang w:val="es-ES_tradnl"/>
        </w:rPr>
        <w:t xml:space="preserve"> del progreso” (sic)</w:t>
      </w:r>
    </w:p>
    <w:p w:rsidR="00BB313B" w:rsidRPr="005D66F5" w:rsidRDefault="00BB313B" w:rsidP="00BB313B">
      <w:pPr>
        <w:pStyle w:val="Prrafodelista"/>
        <w:numPr>
          <w:ilvl w:val="0"/>
          <w:numId w:val="1"/>
        </w:numPr>
        <w:spacing w:before="240" w:line="360" w:lineRule="auto"/>
        <w:jc w:val="both"/>
        <w:rPr>
          <w:rFonts w:ascii="Palatino Linotype" w:hAnsi="Palatino Linotype" w:cs="Arial"/>
        </w:rPr>
      </w:pPr>
      <w:r w:rsidRPr="005D66F5">
        <w:rPr>
          <w:rFonts w:ascii="Palatino Linotype" w:hAnsi="Palatino Linotype" w:cs="Arial"/>
          <w:b/>
        </w:rPr>
        <w:t>00052/FELIPRO/IP/2024:</w:t>
      </w:r>
    </w:p>
    <w:p w:rsidR="00BB313B" w:rsidRPr="005D66F5" w:rsidRDefault="00BB313B" w:rsidP="00BB313B">
      <w:pPr>
        <w:pStyle w:val="INFOEM"/>
        <w:ind w:left="720"/>
        <w:rPr>
          <w:rFonts w:cs="Arial"/>
        </w:rPr>
      </w:pPr>
      <w:r w:rsidRPr="005D66F5">
        <w:rPr>
          <w:lang w:val="es-ES_tradnl"/>
        </w:rPr>
        <w:t xml:space="preserve">“solicito los recibos de </w:t>
      </w:r>
      <w:proofErr w:type="spellStart"/>
      <w:r w:rsidRPr="005D66F5">
        <w:rPr>
          <w:lang w:val="es-ES_tradnl"/>
        </w:rPr>
        <w:t>nomina</w:t>
      </w:r>
      <w:proofErr w:type="spellEnd"/>
      <w:r w:rsidRPr="005D66F5">
        <w:rPr>
          <w:lang w:val="es-ES_tradnl"/>
        </w:rPr>
        <w:t xml:space="preserve"> de 2024 de todos los servidores públicos </w:t>
      </w:r>
      <w:proofErr w:type="spellStart"/>
      <w:r w:rsidRPr="005D66F5">
        <w:rPr>
          <w:lang w:val="es-ES_tradnl"/>
        </w:rPr>
        <w:t>de el</w:t>
      </w:r>
      <w:proofErr w:type="spellEnd"/>
      <w:r w:rsidRPr="005D66F5">
        <w:rPr>
          <w:lang w:val="es-ES_tradnl"/>
        </w:rPr>
        <w:t xml:space="preserve"> ayuntamiento de san </w:t>
      </w:r>
      <w:proofErr w:type="spellStart"/>
      <w:r w:rsidRPr="005D66F5">
        <w:rPr>
          <w:lang w:val="es-ES_tradnl"/>
        </w:rPr>
        <w:t>felipe</w:t>
      </w:r>
      <w:proofErr w:type="spellEnd"/>
      <w:r w:rsidRPr="005D66F5">
        <w:rPr>
          <w:lang w:val="es-ES_tradnl"/>
        </w:rPr>
        <w:t xml:space="preserve"> del progreso” (sic)</w:t>
      </w:r>
    </w:p>
    <w:p w:rsidR="00BB313B" w:rsidRPr="005D66F5" w:rsidRDefault="00BB313B" w:rsidP="00B10D69">
      <w:pPr>
        <w:spacing w:after="0" w:line="360" w:lineRule="auto"/>
        <w:jc w:val="both"/>
        <w:rPr>
          <w:rFonts w:ascii="Palatino Linotype" w:eastAsia="Times New Roman" w:hAnsi="Palatino Linotype" w:cs="Times New Roman"/>
          <w:b/>
          <w:sz w:val="24"/>
          <w:szCs w:val="24"/>
          <w:lang w:val="es-ES_tradnl" w:eastAsia="es-ES"/>
        </w:rPr>
      </w:pPr>
    </w:p>
    <w:p w:rsidR="00BB313B" w:rsidRPr="005D66F5" w:rsidRDefault="00BB313B" w:rsidP="00B10D69">
      <w:pPr>
        <w:spacing w:after="0" w:line="360" w:lineRule="auto"/>
        <w:jc w:val="both"/>
        <w:rPr>
          <w:rFonts w:ascii="Palatino Linotype" w:eastAsia="Times New Roman" w:hAnsi="Palatino Linotype" w:cs="Times New Roman"/>
          <w:sz w:val="24"/>
          <w:szCs w:val="24"/>
          <w:lang w:val="es-ES_tradnl" w:eastAsia="es-ES"/>
        </w:rPr>
      </w:pPr>
      <w:r w:rsidRPr="005D66F5">
        <w:rPr>
          <w:rFonts w:ascii="Palatino Linotype" w:eastAsia="Times New Roman" w:hAnsi="Palatino Linotype" w:cs="Times New Roman"/>
          <w:b/>
          <w:sz w:val="24"/>
          <w:szCs w:val="24"/>
          <w:lang w:val="es-ES_tradnl" w:eastAsia="es-ES"/>
        </w:rPr>
        <w:t>Modalidad de entrega:</w:t>
      </w:r>
      <w:r w:rsidRPr="005D66F5">
        <w:rPr>
          <w:rFonts w:ascii="Palatino Linotype" w:eastAsia="Times New Roman" w:hAnsi="Palatino Linotype" w:cs="Times New Roman"/>
          <w:sz w:val="24"/>
          <w:szCs w:val="24"/>
          <w:lang w:val="es-ES_tradnl" w:eastAsia="es-ES"/>
        </w:rPr>
        <w:t xml:space="preserve"> A través del SAIMEX.</w:t>
      </w:r>
    </w:p>
    <w:p w:rsidR="00BB313B" w:rsidRPr="005D66F5" w:rsidRDefault="00BB313B" w:rsidP="00B10D69">
      <w:pPr>
        <w:pBdr>
          <w:top w:val="nil"/>
          <w:left w:val="nil"/>
          <w:bottom w:val="nil"/>
          <w:right w:val="nil"/>
          <w:between w:val="nil"/>
        </w:pBdr>
        <w:spacing w:after="0" w:line="360" w:lineRule="auto"/>
        <w:jc w:val="both"/>
        <w:rPr>
          <w:rFonts w:ascii="Palatino Linotype" w:hAnsi="Palatino Linotype" w:cs="Arial"/>
          <w:b/>
          <w:sz w:val="28"/>
        </w:rPr>
      </w:pPr>
    </w:p>
    <w:p w:rsidR="00BB313B" w:rsidRPr="005D66F5" w:rsidRDefault="00BB313B" w:rsidP="00B10D6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5D66F5">
        <w:rPr>
          <w:rFonts w:ascii="Palatino Linotype" w:hAnsi="Palatino Linotype" w:cs="Arial"/>
          <w:b/>
          <w:sz w:val="28"/>
        </w:rPr>
        <w:t xml:space="preserve">SEGUNDO. </w:t>
      </w:r>
      <w:r w:rsidRPr="005D66F5">
        <w:rPr>
          <w:rFonts w:ascii="Palatino Linotype" w:eastAsia="Palatino Linotype" w:hAnsi="Palatino Linotype" w:cs="Palatino Linotype"/>
          <w:b/>
          <w:color w:val="000000"/>
          <w:sz w:val="28"/>
          <w:szCs w:val="26"/>
        </w:rPr>
        <w:t>De la falta de respuesta del Sujeto Obligado.</w:t>
      </w:r>
    </w:p>
    <w:p w:rsidR="00BB313B" w:rsidRPr="005D66F5" w:rsidRDefault="00BB313B" w:rsidP="00B10D69">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5D66F5">
        <w:rPr>
          <w:rFonts w:ascii="Palatino Linotype" w:eastAsia="Palatino Linotype" w:hAnsi="Palatino Linotype" w:cs="Palatino Linotype"/>
          <w:color w:val="000000"/>
          <w:sz w:val="24"/>
          <w:szCs w:val="24"/>
        </w:rPr>
        <w:t>E</w:t>
      </w:r>
      <w:r w:rsidRPr="005D66F5">
        <w:rPr>
          <w:rFonts w:ascii="Palatino Linotype" w:eastAsia="Palatino Linotype" w:hAnsi="Palatino Linotype" w:cs="Palatino Linotype"/>
          <w:sz w:val="24"/>
          <w:szCs w:val="24"/>
        </w:rPr>
        <w:t xml:space="preserve">l </w:t>
      </w:r>
      <w:r w:rsidRPr="005D66F5">
        <w:rPr>
          <w:rFonts w:ascii="Palatino Linotype" w:eastAsia="Palatino Linotype" w:hAnsi="Palatino Linotype" w:cs="Palatino Linotype"/>
          <w:b/>
          <w:sz w:val="24"/>
          <w:szCs w:val="24"/>
        </w:rPr>
        <w:t>Sujeto Obligado</w:t>
      </w:r>
      <w:r w:rsidRPr="005D66F5">
        <w:rPr>
          <w:rFonts w:ascii="Palatino Linotype" w:eastAsia="Palatino Linotype" w:hAnsi="Palatino Linotype" w:cs="Palatino Linotype"/>
          <w:sz w:val="24"/>
          <w:szCs w:val="24"/>
        </w:rPr>
        <w:t xml:space="preserve"> no proporcionó respuesta a las solicitudes de información </w:t>
      </w:r>
      <w:r w:rsidRPr="005D66F5">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rsidR="00BB313B" w:rsidRPr="005D66F5" w:rsidRDefault="00BB313B" w:rsidP="00B10D69">
      <w:pPr>
        <w:spacing w:after="0" w:line="360" w:lineRule="auto"/>
        <w:jc w:val="both"/>
        <w:rPr>
          <w:rFonts w:ascii="Palatino Linotype" w:hAnsi="Palatino Linotype" w:cs="Arial"/>
          <w:b/>
          <w:sz w:val="28"/>
        </w:rPr>
      </w:pPr>
    </w:p>
    <w:p w:rsidR="00BB313B" w:rsidRPr="005D66F5" w:rsidRDefault="00BB313B" w:rsidP="00B10D69">
      <w:pPr>
        <w:spacing w:after="0" w:line="360" w:lineRule="auto"/>
        <w:jc w:val="both"/>
        <w:rPr>
          <w:rFonts w:ascii="Palatino Linotype" w:hAnsi="Palatino Linotype" w:cs="Arial"/>
          <w:b/>
          <w:sz w:val="28"/>
        </w:rPr>
      </w:pPr>
      <w:r w:rsidRPr="005D66F5">
        <w:rPr>
          <w:rFonts w:ascii="Palatino Linotype" w:hAnsi="Palatino Linotype" w:cs="Arial"/>
          <w:b/>
          <w:sz w:val="28"/>
        </w:rPr>
        <w:t xml:space="preserve">TERCERO. </w:t>
      </w:r>
      <w:r w:rsidRPr="005D66F5">
        <w:rPr>
          <w:rFonts w:ascii="Palatino Linotype" w:hAnsi="Palatino Linotype"/>
          <w:b/>
          <w:sz w:val="28"/>
        </w:rPr>
        <w:t>De los recursos de revisión.</w:t>
      </w:r>
    </w:p>
    <w:p w:rsidR="00BB313B" w:rsidRPr="005D66F5" w:rsidRDefault="00BB313B" w:rsidP="00BB313B">
      <w:pPr>
        <w:spacing w:before="240" w:line="360" w:lineRule="auto"/>
        <w:jc w:val="both"/>
        <w:rPr>
          <w:rFonts w:ascii="Palatino Linotype" w:hAnsi="Palatino Linotype" w:cs="Arial"/>
          <w:sz w:val="24"/>
          <w:szCs w:val="24"/>
        </w:rPr>
      </w:pPr>
      <w:r w:rsidRPr="005D66F5">
        <w:rPr>
          <w:rFonts w:ascii="Palatino Linotype" w:hAnsi="Palatino Linotype" w:cs="Arial"/>
          <w:sz w:val="24"/>
          <w:szCs w:val="24"/>
        </w:rPr>
        <w:t xml:space="preserve">Inconforme con la falta de respuestas por </w:t>
      </w:r>
      <w:r w:rsidRPr="005D66F5">
        <w:rPr>
          <w:rFonts w:ascii="Palatino Linotype" w:hAnsi="Palatino Linotype" w:cs="Arial"/>
          <w:b/>
          <w:sz w:val="24"/>
          <w:szCs w:val="24"/>
        </w:rPr>
        <w:t xml:space="preserve">El Sujeto Obligado, </w:t>
      </w:r>
      <w:r w:rsidRPr="005D66F5">
        <w:rPr>
          <w:rFonts w:ascii="Palatino Linotype" w:hAnsi="Palatino Linotype"/>
          <w:sz w:val="24"/>
        </w:rPr>
        <w:t xml:space="preserve">la parte </w:t>
      </w:r>
      <w:r w:rsidRPr="005D66F5">
        <w:rPr>
          <w:rFonts w:ascii="Palatino Linotype" w:hAnsi="Palatino Linotype" w:cs="Arial"/>
          <w:b/>
          <w:sz w:val="24"/>
          <w:szCs w:val="24"/>
        </w:rPr>
        <w:t xml:space="preserve">Recurrente </w:t>
      </w:r>
      <w:r w:rsidRPr="005D66F5">
        <w:rPr>
          <w:rFonts w:ascii="Palatino Linotype" w:hAnsi="Palatino Linotype" w:cs="Arial"/>
          <w:sz w:val="24"/>
          <w:szCs w:val="24"/>
        </w:rPr>
        <w:t xml:space="preserve">interpuso recursos de revisión, en fecha </w:t>
      </w:r>
      <w:r w:rsidRPr="005D66F5">
        <w:rPr>
          <w:rFonts w:ascii="Palatino Linotype" w:hAnsi="Palatino Linotype" w:cs="Arial"/>
          <w:b/>
          <w:sz w:val="24"/>
        </w:rPr>
        <w:t>doce de julio de dos mil veinticuatro</w:t>
      </w:r>
      <w:r w:rsidRPr="005D66F5">
        <w:rPr>
          <w:rFonts w:ascii="Palatino Linotype" w:hAnsi="Palatino Linotype" w:cs="Arial"/>
          <w:sz w:val="24"/>
          <w:szCs w:val="24"/>
        </w:rPr>
        <w:t xml:space="preserve">, los cuales fueron registrados en el sistema electrónico con los expedientes números </w:t>
      </w:r>
      <w:r w:rsidR="00B10D69" w:rsidRPr="005D66F5">
        <w:rPr>
          <w:rFonts w:ascii="Palatino Linotype" w:hAnsi="Palatino Linotype" w:cs="Arial"/>
          <w:b/>
          <w:sz w:val="24"/>
          <w:szCs w:val="24"/>
        </w:rPr>
        <w:t>0</w:t>
      </w:r>
      <w:r w:rsidRPr="005D66F5">
        <w:rPr>
          <w:rFonts w:ascii="Palatino Linotype" w:hAnsi="Palatino Linotype" w:cs="Arial"/>
          <w:b/>
          <w:bCs/>
          <w:sz w:val="24"/>
          <w:lang w:eastAsia="es-MX"/>
        </w:rPr>
        <w:t xml:space="preserve">4460/INFOEM/IP/RR/2024, </w:t>
      </w:r>
      <w:r w:rsidR="00B10D69" w:rsidRPr="005D66F5">
        <w:rPr>
          <w:rFonts w:ascii="Palatino Linotype" w:hAnsi="Palatino Linotype" w:cs="Arial"/>
          <w:b/>
          <w:bCs/>
          <w:sz w:val="24"/>
          <w:lang w:eastAsia="es-MX"/>
        </w:rPr>
        <w:t>0</w:t>
      </w:r>
      <w:r w:rsidRPr="005D66F5">
        <w:rPr>
          <w:rFonts w:ascii="Palatino Linotype" w:hAnsi="Palatino Linotype" w:cs="Arial"/>
          <w:b/>
          <w:bCs/>
          <w:sz w:val="24"/>
          <w:lang w:eastAsia="es-MX"/>
        </w:rPr>
        <w:t xml:space="preserve">4461/INFOEM/IP/RR/2024 y </w:t>
      </w:r>
      <w:r w:rsidR="00B10D69" w:rsidRPr="005D66F5">
        <w:rPr>
          <w:rFonts w:ascii="Palatino Linotype" w:hAnsi="Palatino Linotype" w:cs="Arial"/>
          <w:b/>
          <w:bCs/>
          <w:sz w:val="24"/>
          <w:lang w:eastAsia="es-MX"/>
        </w:rPr>
        <w:t>0</w:t>
      </w:r>
      <w:r w:rsidRPr="005D66F5">
        <w:rPr>
          <w:rFonts w:ascii="Palatino Linotype" w:hAnsi="Palatino Linotype" w:cs="Arial"/>
          <w:b/>
          <w:bCs/>
          <w:sz w:val="24"/>
          <w:lang w:eastAsia="es-MX"/>
        </w:rPr>
        <w:t>4462/INFOEM/IP/RR/2024;</w:t>
      </w:r>
      <w:r w:rsidRPr="005D66F5">
        <w:rPr>
          <w:rFonts w:ascii="Palatino Linotype" w:hAnsi="Palatino Linotype" w:cs="Arial"/>
          <w:b/>
          <w:sz w:val="24"/>
          <w:szCs w:val="24"/>
        </w:rPr>
        <w:t xml:space="preserve"> </w:t>
      </w:r>
      <w:r w:rsidRPr="005D66F5">
        <w:rPr>
          <w:rFonts w:ascii="Palatino Linotype" w:hAnsi="Palatino Linotype" w:cs="Arial"/>
          <w:sz w:val="24"/>
          <w:szCs w:val="24"/>
        </w:rPr>
        <w:t>en los cuales arguye las siguientes manifestaciones:</w:t>
      </w:r>
    </w:p>
    <w:p w:rsidR="00BB313B" w:rsidRPr="005D66F5" w:rsidRDefault="00BB313B" w:rsidP="00BB313B">
      <w:pPr>
        <w:spacing w:before="240" w:line="360" w:lineRule="auto"/>
        <w:jc w:val="both"/>
        <w:rPr>
          <w:rFonts w:ascii="Palatino Linotype" w:hAnsi="Palatino Linotype" w:cs="Arial"/>
          <w:b/>
          <w:i/>
          <w:sz w:val="24"/>
          <w:szCs w:val="24"/>
        </w:rPr>
      </w:pPr>
      <w:r w:rsidRPr="005D66F5">
        <w:rPr>
          <w:rFonts w:ascii="Palatino Linotype" w:hAnsi="Palatino Linotype" w:cs="Arial"/>
          <w:b/>
          <w:i/>
          <w:sz w:val="24"/>
          <w:szCs w:val="24"/>
        </w:rPr>
        <w:lastRenderedPageBreak/>
        <w:t>Acto impugnado y Razones o motivos de inconformidad:</w:t>
      </w:r>
    </w:p>
    <w:p w:rsidR="00BB313B" w:rsidRPr="005D66F5" w:rsidRDefault="00BB313B" w:rsidP="00B10D69">
      <w:pPr>
        <w:spacing w:after="0" w:line="360" w:lineRule="auto"/>
        <w:jc w:val="both"/>
        <w:rPr>
          <w:rFonts w:ascii="Palatino Linotype" w:hAnsi="Palatino Linotype" w:cs="Arial"/>
          <w:b/>
          <w:i/>
          <w:sz w:val="24"/>
          <w:szCs w:val="24"/>
        </w:rPr>
      </w:pPr>
      <w:r w:rsidRPr="005D66F5">
        <w:rPr>
          <w:rFonts w:ascii="Palatino Linotype" w:hAnsi="Palatino Linotype" w:cs="Arial"/>
          <w:i/>
        </w:rPr>
        <w:t>“no hubo respuesta a la solicitud” (sic)</w:t>
      </w:r>
    </w:p>
    <w:p w:rsidR="00BB313B" w:rsidRPr="005D66F5" w:rsidRDefault="00BB313B" w:rsidP="00B10D69">
      <w:pPr>
        <w:spacing w:after="0" w:line="360" w:lineRule="auto"/>
        <w:jc w:val="both"/>
        <w:rPr>
          <w:rFonts w:ascii="Palatino Linotype" w:hAnsi="Palatino Linotype" w:cs="Arial"/>
          <w:b/>
          <w:sz w:val="28"/>
          <w:szCs w:val="28"/>
        </w:rPr>
      </w:pPr>
    </w:p>
    <w:p w:rsidR="00BB313B" w:rsidRPr="005D66F5" w:rsidRDefault="00BB313B" w:rsidP="00B10D69">
      <w:pPr>
        <w:spacing w:after="0" w:line="360" w:lineRule="auto"/>
        <w:jc w:val="both"/>
        <w:rPr>
          <w:rFonts w:ascii="Palatino Linotype" w:hAnsi="Palatino Linotype" w:cs="Arial"/>
          <w:b/>
          <w:sz w:val="28"/>
          <w:szCs w:val="28"/>
        </w:rPr>
      </w:pPr>
      <w:r w:rsidRPr="005D66F5">
        <w:rPr>
          <w:rFonts w:ascii="Palatino Linotype" w:hAnsi="Palatino Linotype" w:cs="Arial"/>
          <w:b/>
          <w:sz w:val="28"/>
          <w:szCs w:val="28"/>
        </w:rPr>
        <w:t>CUARTO. Del turno y admisión de los recursos de revisión.</w:t>
      </w:r>
    </w:p>
    <w:p w:rsidR="00BB313B" w:rsidRPr="005D66F5" w:rsidRDefault="00BB313B" w:rsidP="00B10D69">
      <w:pPr>
        <w:spacing w:after="0" w:line="360" w:lineRule="auto"/>
        <w:jc w:val="both"/>
        <w:rPr>
          <w:rFonts w:ascii="Palatino Linotype" w:hAnsi="Palatino Linotype" w:cs="Arial"/>
          <w:sz w:val="28"/>
          <w:szCs w:val="24"/>
        </w:rPr>
      </w:pPr>
      <w:r w:rsidRPr="005D66F5">
        <w:rPr>
          <w:rFonts w:ascii="Palatino Linotype" w:hAnsi="Palatino Linotype"/>
          <w:sz w:val="24"/>
        </w:rPr>
        <w:t>El medio de impugnación fue turnado a los Comisionados José Martínez Vilchis,</w:t>
      </w:r>
      <w:r w:rsidRPr="005D66F5">
        <w:rPr>
          <w:rFonts w:ascii="Palatino Linotype" w:hAnsi="Palatino Linotype"/>
          <w:b/>
          <w:sz w:val="24"/>
        </w:rPr>
        <w:t xml:space="preserve"> </w:t>
      </w:r>
      <w:r w:rsidRPr="005D66F5">
        <w:rPr>
          <w:rFonts w:ascii="Palatino Linotype" w:hAnsi="Palatino Linotype"/>
          <w:sz w:val="24"/>
        </w:rPr>
        <w:t xml:space="preserve">Luis Gustavo Parra Noriega y Sharon Cristina Morales Martínez, por medio del sistema electrónico SAIMEX, en términos del artículo 185, fracción I, de la Ley de Transparencia y Acceso a la información Pública del Estado de México y Municipios, del cual recayó acuerdo de </w:t>
      </w:r>
      <w:r w:rsidRPr="005D66F5">
        <w:rPr>
          <w:rFonts w:ascii="Palatino Linotype" w:hAnsi="Palatino Linotype"/>
          <w:b/>
          <w:sz w:val="24"/>
        </w:rPr>
        <w:t>admisión</w:t>
      </w:r>
      <w:r w:rsidRPr="005D66F5">
        <w:rPr>
          <w:rFonts w:ascii="Palatino Linotype" w:hAnsi="Palatino Linotype"/>
          <w:sz w:val="24"/>
        </w:rPr>
        <w:t xml:space="preserve"> en fecha </w:t>
      </w:r>
      <w:r w:rsidRPr="005D66F5">
        <w:rPr>
          <w:rFonts w:ascii="Palatino Linotype" w:hAnsi="Palatino Linotype"/>
          <w:b/>
          <w:sz w:val="24"/>
        </w:rPr>
        <w:t>diecisiete y dieciocho de julio de dos mil veinticuatro</w:t>
      </w:r>
      <w:r w:rsidRPr="005D66F5">
        <w:rPr>
          <w:rFonts w:ascii="Palatino Linotype" w:hAnsi="Palatino Linotype"/>
          <w:sz w:val="24"/>
        </w:rPr>
        <w:t>, determinándose en ellos, un plazo de siete días para que las partes manifestaran lo que a su derecho corresponda en términos del numeral ya citado.</w:t>
      </w:r>
    </w:p>
    <w:p w:rsidR="00BB313B" w:rsidRPr="005D66F5" w:rsidRDefault="00BB313B" w:rsidP="00B10D69">
      <w:pPr>
        <w:spacing w:after="0" w:line="360" w:lineRule="auto"/>
        <w:jc w:val="both"/>
        <w:rPr>
          <w:rFonts w:ascii="Palatino Linotype" w:hAnsi="Palatino Linotype" w:cs="Arial"/>
          <w:sz w:val="24"/>
          <w:szCs w:val="24"/>
        </w:rPr>
      </w:pPr>
    </w:p>
    <w:p w:rsidR="00BB313B" w:rsidRPr="005D66F5" w:rsidRDefault="00BB313B" w:rsidP="00B10D69">
      <w:pPr>
        <w:pStyle w:val="Prrafodelista"/>
        <w:spacing w:line="360" w:lineRule="auto"/>
        <w:ind w:left="0"/>
        <w:jc w:val="both"/>
        <w:rPr>
          <w:rFonts w:ascii="Palatino Linotype" w:hAnsi="Palatino Linotype" w:cs="Arial"/>
          <w:b/>
          <w:sz w:val="28"/>
          <w:szCs w:val="28"/>
        </w:rPr>
      </w:pPr>
      <w:r w:rsidRPr="005D66F5">
        <w:rPr>
          <w:rFonts w:ascii="Palatino Linotype" w:hAnsi="Palatino Linotype" w:cs="Arial"/>
          <w:b/>
          <w:sz w:val="28"/>
        </w:rPr>
        <w:t>QUINTO</w:t>
      </w:r>
      <w:r w:rsidRPr="005D66F5">
        <w:rPr>
          <w:rFonts w:ascii="Palatino Linotype" w:hAnsi="Palatino Linotype" w:cs="Arial"/>
          <w:b/>
          <w:sz w:val="28"/>
          <w:szCs w:val="28"/>
        </w:rPr>
        <w:t>. De la etapa de instrucción.</w:t>
      </w:r>
    </w:p>
    <w:p w:rsidR="00BB313B" w:rsidRPr="005D66F5" w:rsidRDefault="00BB313B" w:rsidP="00B10D69">
      <w:pPr>
        <w:spacing w:after="0" w:line="360" w:lineRule="auto"/>
        <w:jc w:val="both"/>
        <w:rPr>
          <w:rFonts w:ascii="Palatino Linotype" w:hAnsi="Palatino Linotype" w:cs="Arial"/>
          <w:sz w:val="24"/>
          <w:szCs w:val="24"/>
        </w:rPr>
      </w:pPr>
      <w:r w:rsidRPr="005D66F5">
        <w:rPr>
          <w:rFonts w:ascii="Palatino Linotype" w:hAnsi="Palatino Linotype" w:cs="Arial"/>
          <w:sz w:val="24"/>
          <w:szCs w:val="24"/>
        </w:rPr>
        <w:t>Una vez abierta la etapa de instrucción, se advierte que el Sujeto Obligado fue omiso en rendir su informe justificado. De igual manera, se advierte que el Recurrente</w:t>
      </w:r>
      <w:r w:rsidRPr="005D66F5">
        <w:rPr>
          <w:rFonts w:ascii="Palatino Linotype" w:hAnsi="Palatino Linotype" w:cs="Arial"/>
          <w:b/>
          <w:sz w:val="24"/>
          <w:szCs w:val="24"/>
        </w:rPr>
        <w:t>,</w:t>
      </w:r>
      <w:r w:rsidRPr="005D66F5">
        <w:rPr>
          <w:rFonts w:ascii="Palatino Linotype" w:hAnsi="Palatino Linotype" w:cs="Arial"/>
          <w:sz w:val="24"/>
          <w:szCs w:val="24"/>
        </w:rPr>
        <w:t xml:space="preserve"> omitió rendir dentro del término de Ley, las manifestaciones que a sus intereses conviniera.</w:t>
      </w:r>
    </w:p>
    <w:p w:rsidR="00BB313B" w:rsidRPr="005D66F5" w:rsidRDefault="00BB313B" w:rsidP="00BB313B">
      <w:pPr>
        <w:spacing w:line="360" w:lineRule="auto"/>
        <w:jc w:val="both"/>
        <w:rPr>
          <w:rFonts w:ascii="Palatino Linotype" w:hAnsi="Palatino Linotype" w:cs="Arial"/>
          <w:sz w:val="24"/>
        </w:rPr>
      </w:pPr>
      <w:r w:rsidRPr="005D66F5">
        <w:rPr>
          <w:rFonts w:ascii="Palatino Linotype" w:hAnsi="Palatino Linotype" w:cs="Arial"/>
          <w:sz w:val="24"/>
        </w:rPr>
        <w:t xml:space="preserve">Así mismo, se aprecia que no se llevaron a cabo audiencias durante la sustanciación del recurso de revisión, ni se ofrecieron pruebas por parte del </w:t>
      </w:r>
      <w:r w:rsidRPr="005D66F5">
        <w:rPr>
          <w:rFonts w:ascii="Palatino Linotype" w:hAnsi="Palatino Linotype" w:cs="Arial"/>
          <w:b/>
          <w:sz w:val="24"/>
        </w:rPr>
        <w:t>Recurrente</w:t>
      </w:r>
      <w:r w:rsidRPr="005D66F5">
        <w:rPr>
          <w:rFonts w:ascii="Palatino Linotype" w:hAnsi="Palatino Linotype" w:cs="Arial"/>
          <w:sz w:val="24"/>
        </w:rPr>
        <w:t>; todo lo anterior en términos de los artículos 185 fracciones II y IV, y 195 de la Ley de Transparencia y Acceso a la Información Pública del Estado de México y Municipios.</w:t>
      </w:r>
    </w:p>
    <w:p w:rsidR="00BB313B" w:rsidRPr="005D66F5" w:rsidRDefault="00BB313B" w:rsidP="00BB313B">
      <w:pPr>
        <w:spacing w:after="0" w:line="360" w:lineRule="auto"/>
        <w:jc w:val="both"/>
        <w:rPr>
          <w:rFonts w:ascii="Palatino Linotype" w:hAnsi="Palatino Linotype" w:cs="Arial"/>
          <w:b/>
          <w:sz w:val="28"/>
          <w:szCs w:val="28"/>
        </w:rPr>
      </w:pPr>
    </w:p>
    <w:p w:rsidR="00BB313B" w:rsidRPr="005D66F5" w:rsidRDefault="00BB313B" w:rsidP="00BB313B">
      <w:pPr>
        <w:spacing w:line="360" w:lineRule="auto"/>
        <w:jc w:val="both"/>
        <w:rPr>
          <w:rFonts w:ascii="Palatino Linotype" w:eastAsia="Calibri" w:hAnsi="Palatino Linotype" w:cs="Arial"/>
          <w:b/>
          <w:sz w:val="28"/>
          <w:szCs w:val="28"/>
        </w:rPr>
      </w:pPr>
      <w:r w:rsidRPr="005D66F5">
        <w:rPr>
          <w:rFonts w:ascii="Palatino Linotype" w:hAnsi="Palatino Linotype" w:cs="Arial"/>
          <w:b/>
          <w:sz w:val="28"/>
          <w:szCs w:val="28"/>
        </w:rPr>
        <w:lastRenderedPageBreak/>
        <w:t>SEXTO.</w:t>
      </w:r>
      <w:r w:rsidRPr="005D66F5">
        <w:rPr>
          <w:rFonts w:ascii="Palatino Linotype" w:hAnsi="Palatino Linotype" w:cs="Arial"/>
          <w:b/>
          <w:sz w:val="28"/>
        </w:rPr>
        <w:t xml:space="preserve"> </w:t>
      </w:r>
      <w:r w:rsidRPr="005D66F5">
        <w:rPr>
          <w:rFonts w:ascii="Palatino Linotype" w:eastAsia="Calibri" w:hAnsi="Palatino Linotype" w:cs="Arial"/>
          <w:b/>
          <w:sz w:val="28"/>
          <w:szCs w:val="28"/>
        </w:rPr>
        <w:t>De la Acumulación</w:t>
      </w:r>
    </w:p>
    <w:p w:rsidR="00BB313B" w:rsidRPr="005D66F5" w:rsidRDefault="00BB313B" w:rsidP="00BB313B">
      <w:pPr>
        <w:pStyle w:val="Prrafodelista"/>
        <w:spacing w:line="360" w:lineRule="auto"/>
        <w:ind w:left="0"/>
        <w:jc w:val="both"/>
        <w:rPr>
          <w:rFonts w:ascii="Palatino Linotype" w:hAnsi="Palatino Linotype"/>
        </w:rPr>
      </w:pPr>
      <w:r w:rsidRPr="005D66F5">
        <w:rPr>
          <w:rFonts w:ascii="Palatino Linotype" w:hAnsi="Palatino Linotype"/>
        </w:rPr>
        <w:t xml:space="preserve">Posteriormente por acuerdo del Pleno del Instituto, en la </w:t>
      </w:r>
      <w:r w:rsidRPr="005D66F5">
        <w:rPr>
          <w:rFonts w:ascii="Palatino Linotype" w:hAnsi="Palatino Linotype"/>
          <w:b/>
        </w:rPr>
        <w:t>Vigésima Séptima Sesión</w:t>
      </w:r>
      <w:r w:rsidRPr="005D66F5">
        <w:rPr>
          <w:rFonts w:ascii="Palatino Linotype" w:hAnsi="Palatino Linotype"/>
        </w:rPr>
        <w:t xml:space="preserve"> Ordinaria de Pleno, de fecha </w:t>
      </w:r>
      <w:r w:rsidRPr="005D66F5">
        <w:rPr>
          <w:rFonts w:ascii="Palatino Linotype" w:hAnsi="Palatino Linotype"/>
          <w:b/>
        </w:rPr>
        <w:t>siete de agosto de dos mil veinticuatro</w:t>
      </w:r>
      <w:r w:rsidRPr="005D66F5">
        <w:rPr>
          <w:rFonts w:ascii="Palatino Linotype" w:hAnsi="Palatino Linotype"/>
        </w:rPr>
        <w:t>, se determinó acumular los recursos de revisión en estudio, ya que existe identidad del solicitante, del Sujeto Obligado y similitud de causas y objeto de solicitud. 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rsidR="00BB313B" w:rsidRPr="005D66F5" w:rsidRDefault="00BB313B" w:rsidP="00BB313B">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316"/>
      </w:tblGrid>
      <w:tr w:rsidR="00BB313B" w:rsidRPr="005D66F5" w:rsidTr="00BA0593">
        <w:trPr>
          <w:trHeight w:val="1099"/>
        </w:trPr>
        <w:tc>
          <w:tcPr>
            <w:tcW w:w="7316" w:type="dxa"/>
            <w:tcBorders>
              <w:top w:val="nil"/>
              <w:left w:val="nil"/>
              <w:bottom w:val="nil"/>
              <w:right w:val="nil"/>
            </w:tcBorders>
          </w:tcPr>
          <w:p w:rsidR="00BB313B" w:rsidRPr="005D66F5" w:rsidRDefault="00BB313B" w:rsidP="00BA0593">
            <w:pPr>
              <w:pStyle w:val="Prrafodelista"/>
              <w:spacing w:line="360" w:lineRule="auto"/>
              <w:ind w:left="0"/>
              <w:jc w:val="both"/>
              <w:rPr>
                <w:rFonts w:ascii="Palatino Linotype" w:hAnsi="Palatino Linotype"/>
                <w:i/>
                <w:sz w:val="22"/>
              </w:rPr>
            </w:pPr>
            <w:r w:rsidRPr="005D66F5">
              <w:rPr>
                <w:rFonts w:ascii="Palatino Linotype" w:hAnsi="Palatino Linotype"/>
                <w:i/>
                <w:sz w:val="22"/>
              </w:rPr>
              <w:t xml:space="preserve">“Artículo 195. En la tramitación del recurso de revisión se aplicarán supletoriamente las disposiciones contenidas en el Código de Procedimientos Administrativos del Estado de México.” </w:t>
            </w:r>
          </w:p>
        </w:tc>
      </w:tr>
      <w:tr w:rsidR="00BB313B" w:rsidRPr="005D66F5" w:rsidTr="00BA0593">
        <w:trPr>
          <w:trHeight w:val="2187"/>
        </w:trPr>
        <w:tc>
          <w:tcPr>
            <w:tcW w:w="7316" w:type="dxa"/>
            <w:tcBorders>
              <w:top w:val="nil"/>
              <w:left w:val="nil"/>
              <w:bottom w:val="nil"/>
              <w:right w:val="nil"/>
            </w:tcBorders>
          </w:tcPr>
          <w:p w:rsidR="00BB313B" w:rsidRPr="005D66F5" w:rsidRDefault="00BB313B" w:rsidP="00BA0593">
            <w:pPr>
              <w:pStyle w:val="Prrafodelista"/>
              <w:spacing w:line="360" w:lineRule="auto"/>
              <w:ind w:left="0"/>
              <w:jc w:val="both"/>
              <w:rPr>
                <w:rFonts w:ascii="Palatino Linotype" w:hAnsi="Palatino Linotype"/>
                <w:i/>
                <w:sz w:val="22"/>
              </w:rPr>
            </w:pPr>
            <w:r w:rsidRPr="005D66F5">
              <w:rPr>
                <w:rFonts w:ascii="Palatino Linotype" w:hAnsi="Palatino Linotype"/>
                <w:i/>
                <w:sz w:val="22"/>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rsidR="00BB313B" w:rsidRPr="005D66F5" w:rsidRDefault="00BB313B" w:rsidP="00BB313B">
      <w:pPr>
        <w:spacing w:after="0" w:line="360" w:lineRule="auto"/>
        <w:jc w:val="both"/>
        <w:rPr>
          <w:rFonts w:ascii="Palatino Linotype" w:hAnsi="Palatino Linotype" w:cs="Arial"/>
          <w:b/>
          <w:sz w:val="28"/>
        </w:rPr>
      </w:pPr>
    </w:p>
    <w:p w:rsidR="00BB313B" w:rsidRPr="005D66F5" w:rsidRDefault="00BB313B" w:rsidP="00BB313B">
      <w:pPr>
        <w:spacing w:after="0" w:line="360" w:lineRule="auto"/>
        <w:jc w:val="both"/>
        <w:rPr>
          <w:rFonts w:ascii="Palatino Linotype" w:hAnsi="Palatino Linotype" w:cs="Arial"/>
          <w:b/>
          <w:sz w:val="28"/>
          <w:szCs w:val="28"/>
        </w:rPr>
      </w:pPr>
      <w:r w:rsidRPr="005D66F5">
        <w:rPr>
          <w:rFonts w:ascii="Palatino Linotype" w:hAnsi="Palatino Linotype" w:cs="Arial"/>
          <w:b/>
          <w:sz w:val="28"/>
        </w:rPr>
        <w:t xml:space="preserve">SÉPTIMO. </w:t>
      </w:r>
      <w:r w:rsidRPr="005D66F5">
        <w:rPr>
          <w:rFonts w:ascii="Palatino Linotype" w:hAnsi="Palatino Linotype" w:cs="Arial"/>
          <w:b/>
          <w:sz w:val="28"/>
          <w:szCs w:val="28"/>
        </w:rPr>
        <w:t>Del Cierre de Instrucción.</w:t>
      </w:r>
    </w:p>
    <w:p w:rsidR="00BB313B" w:rsidRPr="005D66F5" w:rsidRDefault="00BB313B" w:rsidP="00B10D69">
      <w:pPr>
        <w:spacing w:after="0" w:line="360" w:lineRule="auto"/>
        <w:jc w:val="both"/>
        <w:rPr>
          <w:rFonts w:ascii="Palatino Linotype" w:hAnsi="Palatino Linotype" w:cs="Arial"/>
          <w:sz w:val="24"/>
          <w:szCs w:val="24"/>
        </w:rPr>
      </w:pPr>
      <w:r w:rsidRPr="005D66F5">
        <w:rPr>
          <w:rFonts w:ascii="Palatino Linotype" w:hAnsi="Palatino Linotype" w:cs="Arial"/>
          <w:sz w:val="24"/>
          <w:szCs w:val="24"/>
        </w:rPr>
        <w:lastRenderedPageBreak/>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5D66F5">
        <w:rPr>
          <w:rFonts w:ascii="Palatino Linotype" w:hAnsi="Palatino Linotype" w:cs="Arial"/>
          <w:b/>
          <w:sz w:val="24"/>
          <w:szCs w:val="24"/>
        </w:rPr>
        <w:t>catorce de agosto de dos mil veinticuatro</w:t>
      </w:r>
      <w:r w:rsidRPr="005D66F5">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BB313B" w:rsidRPr="005D66F5" w:rsidRDefault="00BB313B" w:rsidP="00B10D69">
      <w:pPr>
        <w:spacing w:after="0" w:line="360" w:lineRule="auto"/>
        <w:rPr>
          <w:rFonts w:ascii="Palatino Linotype" w:hAnsi="Palatino Linotype" w:cs="Arial"/>
          <w:b/>
          <w:sz w:val="28"/>
        </w:rPr>
      </w:pPr>
    </w:p>
    <w:p w:rsidR="00BB313B" w:rsidRPr="005D66F5" w:rsidRDefault="00BB313B" w:rsidP="00B10D69">
      <w:pPr>
        <w:spacing w:after="0" w:line="360" w:lineRule="auto"/>
        <w:jc w:val="center"/>
        <w:rPr>
          <w:rFonts w:ascii="Palatino Linotype" w:hAnsi="Palatino Linotype" w:cs="Arial"/>
          <w:b/>
          <w:sz w:val="28"/>
        </w:rPr>
      </w:pPr>
      <w:r w:rsidRPr="005D66F5">
        <w:rPr>
          <w:rFonts w:ascii="Palatino Linotype" w:hAnsi="Palatino Linotype" w:cs="Arial"/>
          <w:b/>
          <w:sz w:val="28"/>
        </w:rPr>
        <w:t xml:space="preserve">C O N S I D E R A N D O </w:t>
      </w:r>
    </w:p>
    <w:p w:rsidR="00B10D69" w:rsidRPr="005D66F5" w:rsidRDefault="00B10D69" w:rsidP="00B10D69">
      <w:pPr>
        <w:spacing w:after="0" w:line="360" w:lineRule="auto"/>
        <w:jc w:val="center"/>
        <w:rPr>
          <w:rFonts w:ascii="Palatino Linotype" w:hAnsi="Palatino Linotype" w:cs="Arial"/>
          <w:b/>
          <w:sz w:val="28"/>
        </w:rPr>
      </w:pPr>
    </w:p>
    <w:p w:rsidR="00BB313B" w:rsidRPr="005D66F5" w:rsidRDefault="00BB313B" w:rsidP="00B10D69">
      <w:pPr>
        <w:spacing w:after="0" w:line="360" w:lineRule="auto"/>
        <w:jc w:val="both"/>
        <w:rPr>
          <w:rFonts w:ascii="Palatino Linotype" w:hAnsi="Palatino Linotype" w:cs="Arial"/>
          <w:sz w:val="28"/>
          <w:szCs w:val="28"/>
        </w:rPr>
      </w:pPr>
      <w:r w:rsidRPr="005D66F5">
        <w:rPr>
          <w:rFonts w:ascii="Palatino Linotype" w:hAnsi="Palatino Linotype" w:cs="Arial"/>
          <w:b/>
          <w:sz w:val="28"/>
        </w:rPr>
        <w:t>PRIMERO.</w:t>
      </w:r>
      <w:r w:rsidRPr="005D66F5">
        <w:rPr>
          <w:rFonts w:ascii="Palatino Linotype" w:hAnsi="Palatino Linotype" w:cs="Arial"/>
          <w:b/>
        </w:rPr>
        <w:t xml:space="preserve"> </w:t>
      </w:r>
      <w:r w:rsidRPr="005D66F5">
        <w:rPr>
          <w:rFonts w:ascii="Palatino Linotype" w:hAnsi="Palatino Linotype" w:cs="Arial"/>
          <w:b/>
          <w:sz w:val="28"/>
          <w:szCs w:val="28"/>
        </w:rPr>
        <w:t>De la competencia</w:t>
      </w:r>
      <w:r w:rsidRPr="005D66F5">
        <w:rPr>
          <w:rFonts w:ascii="Palatino Linotype" w:hAnsi="Palatino Linotype" w:cs="Arial"/>
          <w:sz w:val="28"/>
          <w:szCs w:val="28"/>
        </w:rPr>
        <w:t>.</w:t>
      </w:r>
    </w:p>
    <w:p w:rsidR="00BB313B" w:rsidRPr="005D66F5" w:rsidRDefault="00BB313B" w:rsidP="00B10D69">
      <w:pPr>
        <w:spacing w:after="0" w:line="360" w:lineRule="auto"/>
        <w:jc w:val="both"/>
        <w:rPr>
          <w:rFonts w:ascii="Palatino Linotype" w:hAnsi="Palatino Linotype" w:cs="Arial"/>
          <w:sz w:val="24"/>
          <w:szCs w:val="24"/>
        </w:rPr>
      </w:pPr>
      <w:r w:rsidRPr="005D66F5">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5D66F5">
        <w:rPr>
          <w:rFonts w:ascii="Palatino Linotype" w:hAnsi="Palatino Linotype" w:cs="Arial"/>
          <w:b/>
          <w:sz w:val="24"/>
          <w:szCs w:val="24"/>
        </w:rPr>
        <w:t>Recurrente</w:t>
      </w:r>
      <w:r w:rsidRPr="005D66F5">
        <w:rPr>
          <w:rFonts w:ascii="Palatino Linotype" w:hAnsi="Palatino Linotype" w:cs="Arial"/>
          <w:sz w:val="24"/>
          <w:szCs w:val="24"/>
        </w:rPr>
        <w:t xml:space="preserv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5D66F5">
        <w:rPr>
          <w:rFonts w:ascii="Palatino Linotype" w:hAnsi="Palatino Linotype"/>
          <w:sz w:val="24"/>
        </w:rPr>
        <w:t>6, 9 fracciones I y XXIII</w:t>
      </w:r>
      <w:r w:rsidRPr="005D66F5">
        <w:rPr>
          <w:rFonts w:ascii="Palatino Linotype" w:hAnsi="Palatino Linotype" w:cs="Arial"/>
          <w:sz w:val="24"/>
          <w:szCs w:val="24"/>
        </w:rPr>
        <w:t>, y 11 del Reglamento Interior del Instituto de Transparencia, Acceso a la Información Pública y Protección de Datos Personales del Estado de México y Municipios.</w:t>
      </w:r>
    </w:p>
    <w:p w:rsidR="00BB313B" w:rsidRPr="005D66F5" w:rsidRDefault="00BB313B" w:rsidP="00BB313B">
      <w:pPr>
        <w:spacing w:after="0" w:line="360" w:lineRule="auto"/>
        <w:jc w:val="both"/>
        <w:rPr>
          <w:rFonts w:ascii="Palatino Linotype" w:eastAsia="Palatino Linotype" w:hAnsi="Palatino Linotype" w:cs="Palatino Linotype"/>
          <w:sz w:val="28"/>
          <w:szCs w:val="24"/>
        </w:rPr>
      </w:pPr>
      <w:r w:rsidRPr="005D66F5">
        <w:rPr>
          <w:rFonts w:ascii="Palatino Linotype" w:eastAsia="Palatino Linotype" w:hAnsi="Palatino Linotype" w:cs="Palatino Linotype"/>
          <w:b/>
          <w:sz w:val="28"/>
          <w:szCs w:val="24"/>
        </w:rPr>
        <w:lastRenderedPageBreak/>
        <w:t>SEGUNDO. De la Oportunidad y Procedencia del Recurso de Revisión</w:t>
      </w:r>
      <w:r w:rsidRPr="005D66F5">
        <w:rPr>
          <w:rFonts w:ascii="Palatino Linotype" w:eastAsia="Palatino Linotype" w:hAnsi="Palatino Linotype" w:cs="Palatino Linotype"/>
          <w:sz w:val="28"/>
          <w:szCs w:val="24"/>
        </w:rPr>
        <w:t>.</w:t>
      </w:r>
    </w:p>
    <w:p w:rsidR="00BB313B" w:rsidRPr="005D66F5" w:rsidRDefault="00BB313B" w:rsidP="00BB313B">
      <w:pPr>
        <w:spacing w:after="0" w:line="360" w:lineRule="auto"/>
        <w:jc w:val="both"/>
        <w:rPr>
          <w:rFonts w:ascii="Palatino Linotype" w:eastAsia="Palatino Linotype" w:hAnsi="Palatino Linotype" w:cs="Palatino Linotype"/>
          <w:b/>
          <w:sz w:val="24"/>
          <w:szCs w:val="24"/>
        </w:rPr>
      </w:pPr>
      <w:r w:rsidRPr="005D66F5">
        <w:rPr>
          <w:rFonts w:ascii="Palatino Linotype" w:eastAsia="Palatino Linotype" w:hAnsi="Palatino Linotype" w:cs="Palatino Linotype"/>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rsidR="00BB313B" w:rsidRPr="005D66F5" w:rsidRDefault="00BB313B" w:rsidP="00BB313B">
      <w:pPr>
        <w:spacing w:after="0" w:line="360" w:lineRule="auto"/>
        <w:jc w:val="both"/>
        <w:rPr>
          <w:rFonts w:ascii="Palatino Linotype" w:eastAsia="Palatino Linotype" w:hAnsi="Palatino Linotype" w:cs="Palatino Linotype"/>
          <w:sz w:val="24"/>
          <w:szCs w:val="24"/>
        </w:rPr>
      </w:pPr>
    </w:p>
    <w:p w:rsidR="00BB313B" w:rsidRPr="005D66F5" w:rsidRDefault="00BB313B" w:rsidP="00BB313B">
      <w:pPr>
        <w:spacing w:after="0" w:line="360" w:lineRule="auto"/>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5D66F5">
        <w:rPr>
          <w:rFonts w:ascii="Palatino Linotype" w:eastAsia="Palatino Linotype" w:hAnsi="Palatino Linotype" w:cs="Palatino Linotype"/>
          <w:b/>
          <w:sz w:val="24"/>
          <w:szCs w:val="24"/>
        </w:rPr>
        <w:t>Recurrente</w:t>
      </w:r>
      <w:r w:rsidRPr="005D66F5">
        <w:rPr>
          <w:rFonts w:ascii="Palatino Linotype" w:eastAsia="Palatino Linotype" w:hAnsi="Palatino Linotype" w:cs="Palatino Linotype"/>
          <w:sz w:val="24"/>
          <w:szCs w:val="24"/>
        </w:rPr>
        <w:t xml:space="preserve">, por lo que, en el presente caso, al haber sido presentado el recurso de revisión vía </w:t>
      </w:r>
      <w:r w:rsidRPr="005D66F5">
        <w:rPr>
          <w:rFonts w:ascii="Palatino Linotype" w:eastAsia="Palatino Linotype" w:hAnsi="Palatino Linotype" w:cs="Palatino Linotype"/>
          <w:b/>
          <w:sz w:val="24"/>
          <w:szCs w:val="24"/>
        </w:rPr>
        <w:t>SAIMEX</w:t>
      </w:r>
      <w:r w:rsidRPr="005D66F5">
        <w:rPr>
          <w:rFonts w:ascii="Palatino Linotype" w:eastAsia="Palatino Linotype" w:hAnsi="Palatino Linotype" w:cs="Palatino Linotype"/>
          <w:sz w:val="24"/>
          <w:szCs w:val="24"/>
        </w:rPr>
        <w:t>, dicho requisito resulta innecesario.</w:t>
      </w:r>
    </w:p>
    <w:p w:rsidR="00BB313B" w:rsidRPr="005D66F5" w:rsidRDefault="00BB313B" w:rsidP="00BB313B">
      <w:pPr>
        <w:spacing w:after="0" w:line="360" w:lineRule="auto"/>
        <w:jc w:val="both"/>
        <w:rPr>
          <w:rFonts w:ascii="Palatino Linotype" w:eastAsia="Palatino Linotype" w:hAnsi="Palatino Linotype" w:cs="Palatino Linotype"/>
          <w:sz w:val="24"/>
          <w:szCs w:val="24"/>
        </w:rPr>
      </w:pPr>
    </w:p>
    <w:p w:rsidR="00BB313B" w:rsidRPr="005D66F5" w:rsidRDefault="00BB313B" w:rsidP="00BB313B">
      <w:pPr>
        <w:spacing w:before="240" w:after="240" w:line="360" w:lineRule="auto"/>
        <w:jc w:val="both"/>
        <w:rPr>
          <w:rFonts w:ascii="Palatino Linotype" w:eastAsia="Palatino Linotype" w:hAnsi="Palatino Linotype" w:cs="Palatino Linotype"/>
          <w:i/>
          <w:sz w:val="24"/>
          <w:szCs w:val="24"/>
        </w:rPr>
      </w:pPr>
      <w:r w:rsidRPr="005D66F5">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5D66F5">
        <w:rPr>
          <w:rFonts w:ascii="Palatino Linotype" w:eastAsia="Palatino Linotype" w:hAnsi="Palatino Linotype" w:cs="Palatino Linotype"/>
          <w:b/>
          <w:sz w:val="24"/>
          <w:szCs w:val="24"/>
        </w:rPr>
        <w:lastRenderedPageBreak/>
        <w:t>Sujeto Obligado</w:t>
      </w:r>
      <w:r w:rsidRPr="005D66F5">
        <w:rPr>
          <w:rFonts w:ascii="Palatino Linotype" w:eastAsia="Palatino Linotype" w:hAnsi="Palatino Linotype" w:cs="Palatino Linotype"/>
          <w:sz w:val="24"/>
          <w:szCs w:val="24"/>
        </w:rPr>
        <w:t xml:space="preserve">, hipótesis jurídica que se actualiza en este caso, aunado a que la parte </w:t>
      </w:r>
      <w:r w:rsidRPr="005D66F5">
        <w:rPr>
          <w:rFonts w:ascii="Palatino Linotype" w:eastAsia="Palatino Linotype" w:hAnsi="Palatino Linotype" w:cs="Palatino Linotype"/>
          <w:b/>
          <w:sz w:val="24"/>
          <w:szCs w:val="24"/>
        </w:rPr>
        <w:t>Recurrente</w:t>
      </w:r>
      <w:r w:rsidRPr="005D66F5">
        <w:rPr>
          <w:rFonts w:ascii="Palatino Linotype" w:eastAsia="Palatino Linotype" w:hAnsi="Palatino Linotype" w:cs="Palatino Linotype"/>
          <w:sz w:val="24"/>
          <w:szCs w:val="24"/>
        </w:rPr>
        <w:t xml:space="preserve"> combate falta de trámite por el </w:t>
      </w:r>
      <w:r w:rsidRPr="005D66F5">
        <w:rPr>
          <w:rFonts w:ascii="Palatino Linotype" w:eastAsia="Palatino Linotype" w:hAnsi="Palatino Linotype" w:cs="Palatino Linotype"/>
          <w:b/>
          <w:sz w:val="24"/>
          <w:szCs w:val="24"/>
        </w:rPr>
        <w:t>Sujeto Obligado</w:t>
      </w:r>
      <w:r w:rsidRPr="005D66F5">
        <w:rPr>
          <w:rFonts w:ascii="Palatino Linotype" w:eastAsia="Palatino Linotype" w:hAnsi="Palatino Linotype" w:cs="Palatino Linotype"/>
          <w:sz w:val="24"/>
          <w:szCs w:val="24"/>
        </w:rPr>
        <w:t xml:space="preserve"> y expresa motivos de inconformidad en contra de dicha circunstancia.</w:t>
      </w:r>
    </w:p>
    <w:p w:rsidR="00BB313B" w:rsidRPr="005D66F5" w:rsidRDefault="00BB313B" w:rsidP="00BB313B">
      <w:pPr>
        <w:spacing w:after="0" w:line="360" w:lineRule="auto"/>
        <w:jc w:val="both"/>
        <w:rPr>
          <w:rFonts w:ascii="Palatino Linotype" w:eastAsia="Palatino Linotype" w:hAnsi="Palatino Linotype" w:cs="Palatino Linotype"/>
          <w:sz w:val="24"/>
          <w:szCs w:val="24"/>
        </w:rPr>
      </w:pPr>
    </w:p>
    <w:p w:rsidR="00BB313B" w:rsidRPr="005D66F5" w:rsidRDefault="00BB313B" w:rsidP="00BB313B">
      <w:pPr>
        <w:spacing w:after="0" w:line="360" w:lineRule="auto"/>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BB313B" w:rsidRPr="005D66F5" w:rsidRDefault="00BB313B" w:rsidP="00BB313B">
      <w:pPr>
        <w:spacing w:after="0" w:line="360" w:lineRule="auto"/>
        <w:jc w:val="both"/>
        <w:rPr>
          <w:rFonts w:ascii="Palatino Linotype" w:eastAsia="Palatino Linotype" w:hAnsi="Palatino Linotype" w:cs="Palatino Linotype"/>
          <w:sz w:val="24"/>
          <w:szCs w:val="24"/>
        </w:rPr>
      </w:pPr>
    </w:p>
    <w:p w:rsidR="00BB313B" w:rsidRPr="005D66F5" w:rsidRDefault="00BB313B" w:rsidP="00BB313B">
      <w:pPr>
        <w:widowControl w:val="0"/>
        <w:spacing w:after="0" w:line="360" w:lineRule="auto"/>
        <w:jc w:val="both"/>
        <w:rPr>
          <w:rFonts w:ascii="Palatino Linotype" w:eastAsia="Palatino Linotype" w:hAnsi="Palatino Linotype" w:cs="Palatino Linotype"/>
          <w:b/>
          <w:sz w:val="28"/>
          <w:szCs w:val="28"/>
        </w:rPr>
      </w:pPr>
      <w:r w:rsidRPr="005D66F5">
        <w:rPr>
          <w:rFonts w:ascii="Palatino Linotype" w:eastAsia="Palatino Linotype" w:hAnsi="Palatino Linotype" w:cs="Palatino Linotype"/>
          <w:b/>
          <w:sz w:val="28"/>
          <w:szCs w:val="28"/>
        </w:rPr>
        <w:t xml:space="preserve">TERCERO. Estudio y resolución del asunto. </w:t>
      </w:r>
    </w:p>
    <w:p w:rsidR="00BB313B" w:rsidRPr="005D66F5" w:rsidRDefault="00BB313B" w:rsidP="00BB313B">
      <w:pPr>
        <w:spacing w:after="0" w:line="360" w:lineRule="auto"/>
        <w:jc w:val="both"/>
        <w:rPr>
          <w:rFonts w:ascii="Palatino Linotype" w:eastAsia="Palatino Linotype" w:hAnsi="Palatino Linotype" w:cs="Palatino Linotype"/>
          <w:color w:val="000000"/>
          <w:sz w:val="24"/>
          <w:szCs w:val="24"/>
        </w:rPr>
      </w:pPr>
      <w:r w:rsidRPr="005D66F5">
        <w:rPr>
          <w:rFonts w:ascii="Palatino Linotype" w:eastAsia="Palatino Linotype" w:hAnsi="Palatino Linotype" w:cs="Palatino Linotype"/>
          <w:sz w:val="24"/>
          <w:szCs w:val="24"/>
        </w:rPr>
        <w:t xml:space="preserve">El derecho de acceso a la información pública es un </w:t>
      </w:r>
      <w:r w:rsidRPr="005D66F5">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BB313B" w:rsidRPr="005D66F5" w:rsidRDefault="00BB313B" w:rsidP="00BB313B">
      <w:pPr>
        <w:spacing w:after="0" w:line="360" w:lineRule="auto"/>
        <w:jc w:val="both"/>
        <w:rPr>
          <w:rFonts w:ascii="Palatino Linotype" w:eastAsia="Palatino Linotype" w:hAnsi="Palatino Linotype" w:cs="Palatino Linotype"/>
          <w:sz w:val="24"/>
          <w:szCs w:val="24"/>
        </w:rPr>
      </w:pPr>
    </w:p>
    <w:p w:rsidR="00BB313B" w:rsidRPr="005D66F5" w:rsidRDefault="00BB313B" w:rsidP="00BB313B">
      <w:pPr>
        <w:spacing w:after="0" w:line="360" w:lineRule="auto"/>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sidRPr="005D66F5">
        <w:rPr>
          <w:rFonts w:ascii="Palatino Linotype" w:eastAsia="Palatino Linotype" w:hAnsi="Palatino Linotype" w:cs="Palatino Linotype"/>
          <w:b/>
          <w:sz w:val="24"/>
          <w:szCs w:val="24"/>
        </w:rPr>
        <w:t>Sujeto Obligado</w:t>
      </w:r>
      <w:r w:rsidRPr="005D66F5">
        <w:rPr>
          <w:rFonts w:ascii="Palatino Linotype" w:eastAsia="Palatino Linotype" w:hAnsi="Palatino Linotype" w:cs="Palatino Linotype"/>
          <w:sz w:val="24"/>
          <w:szCs w:val="24"/>
        </w:rPr>
        <w:t xml:space="preserve"> está </w:t>
      </w:r>
      <w:r w:rsidRPr="005D66F5">
        <w:rPr>
          <w:rFonts w:ascii="Palatino Linotype" w:eastAsia="Palatino Linotype" w:hAnsi="Palatino Linotype" w:cs="Palatino Linotype"/>
          <w:sz w:val="24"/>
          <w:szCs w:val="24"/>
        </w:rPr>
        <w:lastRenderedPageBreak/>
        <w:t xml:space="preserve">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5D66F5">
        <w:rPr>
          <w:rFonts w:ascii="Palatino Linotype" w:eastAsia="Palatino Linotype" w:hAnsi="Palatino Linotype" w:cs="Palatino Linotype"/>
          <w:b/>
          <w:sz w:val="24"/>
          <w:szCs w:val="24"/>
        </w:rPr>
        <w:t>Sujeto Obligado</w:t>
      </w:r>
      <w:r w:rsidRPr="005D66F5">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rsidR="00BB313B" w:rsidRPr="005D66F5" w:rsidRDefault="00BB313B" w:rsidP="00BB313B">
      <w:pPr>
        <w:spacing w:after="0" w:line="360" w:lineRule="auto"/>
        <w:jc w:val="both"/>
        <w:rPr>
          <w:rFonts w:ascii="Palatino Linotype" w:eastAsia="Palatino Linotype" w:hAnsi="Palatino Linotype" w:cs="Palatino Linotype"/>
          <w:sz w:val="24"/>
          <w:szCs w:val="24"/>
        </w:rPr>
      </w:pPr>
    </w:p>
    <w:p w:rsidR="00BB313B" w:rsidRPr="005D66F5" w:rsidRDefault="00BB313B" w:rsidP="00BB313B">
      <w:pPr>
        <w:spacing w:after="0" w:line="360" w:lineRule="auto"/>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sidRPr="005D66F5">
        <w:rPr>
          <w:rFonts w:ascii="Palatino Linotype" w:eastAsia="Palatino Linotype" w:hAnsi="Palatino Linotype" w:cs="Palatino Linotype"/>
          <w:color w:val="000000"/>
          <w:sz w:val="24"/>
          <w:szCs w:val="24"/>
        </w:rPr>
        <w:t>en la fracción VII del artículo 179 de la Ley de Transparencia y Acceso a la Información Pública del Estado de México y Municipios,</w:t>
      </w:r>
      <w:r w:rsidRPr="005D66F5">
        <w:rPr>
          <w:rFonts w:ascii="Palatino Linotype" w:eastAsia="Palatino Linotype" w:hAnsi="Palatino Linotype" w:cs="Palatino Linotype"/>
          <w:b/>
          <w:color w:val="000000"/>
          <w:sz w:val="24"/>
          <w:szCs w:val="24"/>
        </w:rPr>
        <w:t xml:space="preserve"> </w:t>
      </w:r>
      <w:r w:rsidRPr="005D66F5">
        <w:rPr>
          <w:rFonts w:ascii="Palatino Linotype" w:eastAsia="Palatino Linotype" w:hAnsi="Palatino Linotype" w:cs="Palatino Linotype"/>
          <w:color w:val="000000"/>
          <w:sz w:val="24"/>
          <w:szCs w:val="24"/>
        </w:rPr>
        <w:t>y</w:t>
      </w:r>
      <w:r w:rsidRPr="005D66F5">
        <w:rPr>
          <w:rFonts w:ascii="Palatino Linotype" w:eastAsia="Palatino Linotype" w:hAnsi="Palatino Linotype" w:cs="Palatino Linotype"/>
          <w:b/>
          <w:color w:val="000000"/>
          <w:sz w:val="24"/>
          <w:szCs w:val="24"/>
        </w:rPr>
        <w:t xml:space="preserve"> </w:t>
      </w:r>
      <w:r w:rsidRPr="005D66F5">
        <w:rPr>
          <w:rFonts w:ascii="Palatino Linotype" w:eastAsia="Palatino Linotype" w:hAnsi="Palatino Linotype" w:cs="Palatino Linotype"/>
          <w:sz w:val="24"/>
          <w:szCs w:val="24"/>
        </w:rPr>
        <w:t>por tanto, procedente la interposición del recurso de revisión.</w:t>
      </w:r>
    </w:p>
    <w:p w:rsidR="00BB313B" w:rsidRPr="005D66F5" w:rsidRDefault="00BB313B" w:rsidP="00BB313B">
      <w:pPr>
        <w:spacing w:after="0" w:line="360" w:lineRule="auto"/>
        <w:jc w:val="both"/>
        <w:rPr>
          <w:rFonts w:ascii="Palatino Linotype" w:eastAsia="Palatino Linotype" w:hAnsi="Palatino Linotype" w:cs="Palatino Linotype"/>
          <w:sz w:val="24"/>
          <w:szCs w:val="24"/>
        </w:rPr>
      </w:pPr>
    </w:p>
    <w:p w:rsidR="00BB313B" w:rsidRPr="005D66F5" w:rsidRDefault="00BB313B" w:rsidP="00BB313B">
      <w:pPr>
        <w:spacing w:after="0" w:line="360" w:lineRule="auto"/>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 xml:space="preserve">En consecuencia, las razones o motivos de inconformidad hechos valer, resultan </w:t>
      </w:r>
      <w:r w:rsidRPr="005D66F5">
        <w:rPr>
          <w:rFonts w:ascii="Palatino Linotype" w:eastAsia="Palatino Linotype" w:hAnsi="Palatino Linotype" w:cs="Palatino Linotype"/>
          <w:b/>
          <w:sz w:val="24"/>
          <w:szCs w:val="24"/>
        </w:rPr>
        <w:t>fundadas y procedentes</w:t>
      </w:r>
      <w:r w:rsidRPr="005D66F5">
        <w:rPr>
          <w:rFonts w:ascii="Palatino Linotype" w:eastAsia="Palatino Linotype" w:hAnsi="Palatino Linotype" w:cs="Palatino Linotype"/>
          <w:sz w:val="24"/>
          <w:szCs w:val="24"/>
        </w:rPr>
        <w:t xml:space="preserve">, en virtud de las constancias que obran en el expediente electrónico SAIMEX, se acredita que el </w:t>
      </w:r>
      <w:r w:rsidRPr="005D66F5">
        <w:rPr>
          <w:rFonts w:ascii="Palatino Linotype" w:eastAsia="Palatino Linotype" w:hAnsi="Palatino Linotype" w:cs="Palatino Linotype"/>
          <w:b/>
          <w:sz w:val="24"/>
          <w:szCs w:val="24"/>
        </w:rPr>
        <w:t>Sujeto Obligado</w:t>
      </w:r>
      <w:r w:rsidRPr="005D66F5">
        <w:rPr>
          <w:rFonts w:ascii="Palatino Linotype" w:eastAsia="Palatino Linotype" w:hAnsi="Palatino Linotype" w:cs="Palatino Linotype"/>
          <w:sz w:val="24"/>
          <w:szCs w:val="24"/>
        </w:rPr>
        <w:t xml:space="preserve"> fue omiso en responder las solicitudes de información hechas por la parte </w:t>
      </w:r>
      <w:r w:rsidRPr="005D66F5">
        <w:rPr>
          <w:rFonts w:ascii="Palatino Linotype" w:eastAsia="Palatino Linotype" w:hAnsi="Palatino Linotype" w:cs="Palatino Linotype"/>
          <w:b/>
          <w:sz w:val="24"/>
          <w:szCs w:val="24"/>
        </w:rPr>
        <w:t>Recurrente</w:t>
      </w:r>
      <w:r w:rsidRPr="005D66F5">
        <w:rPr>
          <w:rFonts w:ascii="Palatino Linotype" w:eastAsia="Palatino Linotype" w:hAnsi="Palatino Linotype" w:cs="Palatino Linotype"/>
          <w:sz w:val="24"/>
          <w:szCs w:val="24"/>
        </w:rPr>
        <w:t xml:space="preserve">, es decir, incumplió las obligaciones que se le imponen como </w:t>
      </w:r>
      <w:r w:rsidRPr="005D66F5">
        <w:rPr>
          <w:rFonts w:ascii="Palatino Linotype" w:eastAsia="Palatino Linotype" w:hAnsi="Palatino Linotype" w:cs="Palatino Linotype"/>
          <w:b/>
          <w:sz w:val="24"/>
          <w:szCs w:val="24"/>
        </w:rPr>
        <w:t>Sujeto Obligado</w:t>
      </w:r>
      <w:r w:rsidRPr="005D66F5">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rsidR="00BB313B" w:rsidRPr="005D66F5" w:rsidRDefault="00BB313B" w:rsidP="00BB313B">
      <w:pPr>
        <w:spacing w:after="0" w:line="360" w:lineRule="auto"/>
        <w:jc w:val="both"/>
        <w:rPr>
          <w:rFonts w:ascii="Palatino Linotype" w:eastAsia="Palatino Linotype" w:hAnsi="Palatino Linotype" w:cs="Palatino Linotype"/>
          <w:sz w:val="24"/>
          <w:szCs w:val="24"/>
        </w:rPr>
      </w:pPr>
    </w:p>
    <w:p w:rsidR="00BB313B" w:rsidRPr="005D66F5" w:rsidRDefault="00BB313B" w:rsidP="00BB313B">
      <w:pPr>
        <w:widowControl w:val="0"/>
        <w:tabs>
          <w:tab w:val="left" w:pos="1276"/>
        </w:tabs>
        <w:spacing w:line="360" w:lineRule="auto"/>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 xml:space="preserve">De conformidad con lo establecido en los artículos 50 y 51 de la Ley de Transparencia </w:t>
      </w:r>
      <w:r w:rsidRPr="005D66F5">
        <w:rPr>
          <w:rFonts w:ascii="Palatino Linotype" w:eastAsia="Palatino Linotype" w:hAnsi="Palatino Linotype" w:cs="Palatino Linotype"/>
          <w:sz w:val="24"/>
          <w:szCs w:val="24"/>
        </w:rPr>
        <w:lastRenderedPageBreak/>
        <w:t xml:space="preserve">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BB313B" w:rsidRPr="005D66F5" w:rsidRDefault="00BB313B" w:rsidP="00BB313B">
      <w:pPr>
        <w:widowControl w:val="0"/>
        <w:tabs>
          <w:tab w:val="left" w:pos="1276"/>
        </w:tabs>
        <w:spacing w:line="360" w:lineRule="auto"/>
        <w:jc w:val="both"/>
        <w:rPr>
          <w:rFonts w:ascii="Palatino Linotype" w:eastAsia="Palatino Linotype" w:hAnsi="Palatino Linotype" w:cs="Palatino Linotype"/>
          <w:sz w:val="24"/>
          <w:szCs w:val="24"/>
        </w:rPr>
      </w:pPr>
    </w:p>
    <w:p w:rsidR="00BB313B" w:rsidRPr="005D66F5" w:rsidRDefault="00BB313B" w:rsidP="00BB313B">
      <w:pPr>
        <w:widowControl w:val="0"/>
        <w:tabs>
          <w:tab w:val="left" w:pos="1276"/>
        </w:tabs>
        <w:spacing w:line="360" w:lineRule="auto"/>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BB313B" w:rsidRPr="005D66F5" w:rsidRDefault="00BB313B" w:rsidP="00BB313B">
      <w:pPr>
        <w:widowControl w:val="0"/>
        <w:tabs>
          <w:tab w:val="left" w:pos="1276"/>
        </w:tabs>
        <w:spacing w:line="360" w:lineRule="auto"/>
        <w:jc w:val="both"/>
        <w:rPr>
          <w:rFonts w:ascii="Palatino Linotype" w:eastAsia="Palatino Linotype" w:hAnsi="Palatino Linotype" w:cs="Palatino Linotype"/>
          <w:sz w:val="24"/>
          <w:szCs w:val="24"/>
        </w:rPr>
      </w:pPr>
    </w:p>
    <w:p w:rsidR="00BB313B" w:rsidRPr="005D66F5" w:rsidRDefault="00BB313B" w:rsidP="00BB313B">
      <w:pPr>
        <w:spacing w:line="360" w:lineRule="auto"/>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w:t>
      </w:r>
      <w:r w:rsidRPr="005D66F5">
        <w:rPr>
          <w:rFonts w:ascii="Palatino Linotype" w:eastAsia="Palatino Linotype" w:hAnsi="Palatino Linotype" w:cs="Palatino Linotype"/>
          <w:sz w:val="24"/>
          <w:szCs w:val="24"/>
        </w:rPr>
        <w:lastRenderedPageBreak/>
        <w:t>omisión del Titular de la Unidad de Transparencia, como primer responsable de atender la solicitud de información, se traduce en una conducta que ha vulnerado el derecho de acceso a la información consignado a favor del particular.</w:t>
      </w:r>
    </w:p>
    <w:p w:rsidR="00BB313B" w:rsidRPr="005D66F5" w:rsidRDefault="00BB313B" w:rsidP="00BB313B">
      <w:pPr>
        <w:spacing w:after="0" w:line="360" w:lineRule="auto"/>
        <w:jc w:val="both"/>
        <w:rPr>
          <w:rFonts w:ascii="Palatino Linotype" w:eastAsia="Palatino Linotype" w:hAnsi="Palatino Linotype" w:cs="Palatino Linotype"/>
          <w:sz w:val="24"/>
          <w:szCs w:val="24"/>
        </w:rPr>
      </w:pPr>
    </w:p>
    <w:p w:rsidR="00BB313B" w:rsidRPr="005D66F5" w:rsidRDefault="00BB313B" w:rsidP="00BB313B">
      <w:pPr>
        <w:spacing w:after="0" w:line="360" w:lineRule="auto"/>
        <w:jc w:val="both"/>
        <w:rPr>
          <w:rFonts w:ascii="Palatino Linotype" w:eastAsia="Palatino Linotype" w:hAnsi="Palatino Linotype" w:cs="Palatino Linotype"/>
          <w:i/>
          <w:sz w:val="24"/>
          <w:szCs w:val="24"/>
        </w:rPr>
      </w:pPr>
      <w:r w:rsidRPr="005D66F5">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sidRPr="005D66F5">
        <w:rPr>
          <w:rFonts w:ascii="Palatino Linotype" w:eastAsia="Palatino Linotype" w:hAnsi="Palatino Linotype" w:cs="Palatino Linotype"/>
          <w:i/>
          <w:sz w:val="24"/>
          <w:szCs w:val="24"/>
        </w:rPr>
        <w:t xml:space="preserve">procedimiento de acceso a la información es la garantía primaria del derecho en cuestión, </w:t>
      </w:r>
      <w:r w:rsidRPr="005D66F5">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sidRPr="005D66F5">
        <w:rPr>
          <w:rFonts w:ascii="Palatino Linotype" w:eastAsia="Palatino Linotype" w:hAnsi="Palatino Linotype" w:cs="Palatino Linotype"/>
          <w:b/>
          <w:sz w:val="24"/>
          <w:szCs w:val="24"/>
        </w:rPr>
        <w:t>Sujeto Obligado</w:t>
      </w:r>
      <w:r w:rsidRPr="005D66F5">
        <w:rPr>
          <w:rFonts w:ascii="Palatino Linotype" w:eastAsia="Palatino Linotype" w:hAnsi="Palatino Linotype" w:cs="Palatino Linotype"/>
          <w:sz w:val="24"/>
          <w:szCs w:val="24"/>
        </w:rPr>
        <w:t xml:space="preserve"> a su deber de garantizar el derecho, lo que constituye una vulneración al mismo.</w:t>
      </w:r>
    </w:p>
    <w:p w:rsidR="00BB313B" w:rsidRPr="005D66F5" w:rsidRDefault="00BB313B" w:rsidP="00BB313B">
      <w:pPr>
        <w:spacing w:after="0" w:line="360" w:lineRule="auto"/>
        <w:jc w:val="both"/>
        <w:rPr>
          <w:rFonts w:ascii="Palatino Linotype" w:eastAsia="Palatino Linotype" w:hAnsi="Palatino Linotype" w:cs="Palatino Linotype"/>
          <w:sz w:val="24"/>
          <w:szCs w:val="24"/>
        </w:rPr>
      </w:pPr>
    </w:p>
    <w:p w:rsidR="00BB313B" w:rsidRPr="005D66F5" w:rsidRDefault="00BB313B" w:rsidP="00BB313B">
      <w:pPr>
        <w:spacing w:after="0" w:line="360" w:lineRule="auto"/>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 xml:space="preserve">Por lo que, en cumplimiento a esta resolución, el </w:t>
      </w:r>
      <w:r w:rsidRPr="005D66F5">
        <w:rPr>
          <w:rFonts w:ascii="Palatino Linotype" w:eastAsia="Palatino Linotype" w:hAnsi="Palatino Linotype" w:cs="Palatino Linotype"/>
          <w:b/>
          <w:sz w:val="24"/>
          <w:szCs w:val="24"/>
        </w:rPr>
        <w:t xml:space="preserve">Sujeto Obligado </w:t>
      </w:r>
      <w:r w:rsidRPr="005D66F5">
        <w:rPr>
          <w:rFonts w:ascii="Palatino Linotype" w:eastAsia="Palatino Linotype" w:hAnsi="Palatino Linotype" w:cs="Palatino Linotype"/>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BB313B" w:rsidRPr="005D66F5" w:rsidRDefault="00BB313B" w:rsidP="00BB313B">
      <w:pPr>
        <w:spacing w:after="0" w:line="360" w:lineRule="auto"/>
        <w:jc w:val="both"/>
        <w:rPr>
          <w:rFonts w:ascii="Palatino Linotype" w:eastAsia="Palatino Linotype" w:hAnsi="Palatino Linotype" w:cs="Palatino Linotype"/>
          <w:sz w:val="24"/>
          <w:szCs w:val="24"/>
        </w:rPr>
      </w:pPr>
    </w:p>
    <w:p w:rsidR="00BB313B" w:rsidRPr="005D66F5" w:rsidRDefault="00BB313B" w:rsidP="00BB313B">
      <w:pPr>
        <w:numPr>
          <w:ilvl w:val="0"/>
          <w:numId w:val="2"/>
        </w:numPr>
        <w:spacing w:after="0" w:line="360" w:lineRule="auto"/>
        <w:jc w:val="both"/>
        <w:rPr>
          <w:b/>
          <w:sz w:val="28"/>
          <w:szCs w:val="28"/>
        </w:rPr>
      </w:pPr>
      <w:r w:rsidRPr="005D66F5">
        <w:rPr>
          <w:rFonts w:ascii="Palatino Linotype" w:eastAsia="Palatino Linotype" w:hAnsi="Palatino Linotype" w:cs="Palatino Linotype"/>
          <w:b/>
          <w:sz w:val="28"/>
          <w:szCs w:val="28"/>
        </w:rPr>
        <w:t>De la clasificación de la información</w:t>
      </w: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w:t>
      </w:r>
      <w:r w:rsidRPr="005D66F5">
        <w:rPr>
          <w:rFonts w:ascii="Palatino Linotype" w:eastAsia="Palatino Linotype" w:hAnsi="Palatino Linotype" w:cs="Palatino Linotype"/>
          <w:sz w:val="24"/>
          <w:szCs w:val="24"/>
        </w:rPr>
        <w:lastRenderedPageBreak/>
        <w:t xml:space="preserve">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BB313B" w:rsidRPr="005D66F5" w:rsidRDefault="00BB313B" w:rsidP="00BB313B">
      <w:pPr>
        <w:spacing w:line="360" w:lineRule="auto"/>
        <w:jc w:val="both"/>
        <w:rPr>
          <w:rFonts w:ascii="Palatino Linotype" w:eastAsia="Palatino Linotype" w:hAnsi="Palatino Linotype" w:cs="Palatino Linotype"/>
          <w:sz w:val="24"/>
          <w:szCs w:val="24"/>
        </w:rPr>
      </w:pP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p>
    <w:p w:rsidR="00BB313B" w:rsidRPr="005D66F5" w:rsidRDefault="00BB313B" w:rsidP="00BB313B">
      <w:pPr>
        <w:spacing w:line="360" w:lineRule="auto"/>
        <w:jc w:val="both"/>
        <w:rPr>
          <w:rFonts w:ascii="Palatino Linotype" w:eastAsia="Palatino Linotype" w:hAnsi="Palatino Linotype" w:cs="Palatino Linotype"/>
          <w:sz w:val="24"/>
          <w:szCs w:val="24"/>
        </w:rPr>
      </w:pPr>
      <w:bookmarkStart w:id="0" w:name="_gjdgxs" w:colFirst="0" w:colLast="0"/>
      <w:bookmarkEnd w:id="0"/>
      <w:r w:rsidRPr="005D66F5">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 xml:space="preserve">De este modo, en armonía entre los principios constitucionales de máxima publicidad y de protección de datos personales, la Ley permite la elaboración de versiones </w:t>
      </w:r>
      <w:r w:rsidRPr="005D66F5">
        <w:rPr>
          <w:rFonts w:ascii="Palatino Linotype" w:eastAsia="Palatino Linotype" w:hAnsi="Palatino Linotype" w:cs="Palatino Linotype"/>
          <w:sz w:val="24"/>
          <w:szCs w:val="24"/>
        </w:rPr>
        <w:lastRenderedPageBreak/>
        <w:t>públicas en las que se suprima aquella información relacionada con la vida privada de los particulares y de los servidores públicos.</w:t>
      </w: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5D66F5">
        <w:rPr>
          <w:rFonts w:ascii="Palatino Linotype" w:eastAsia="Palatino Linotype" w:hAnsi="Palatino Linotype" w:cs="Palatino Linotype"/>
          <w:b/>
          <w:sz w:val="24"/>
          <w:szCs w:val="24"/>
        </w:rPr>
        <w:t>Sujeto Obligado</w:t>
      </w:r>
      <w:r w:rsidRPr="005D66F5">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BB313B" w:rsidRPr="005D66F5" w:rsidRDefault="00BB313B" w:rsidP="00BB313B">
      <w:pPr>
        <w:spacing w:line="360" w:lineRule="auto"/>
        <w:ind w:right="51"/>
        <w:jc w:val="both"/>
        <w:rPr>
          <w:rFonts w:ascii="Palatino Linotype" w:eastAsia="Palatino Linotype" w:hAnsi="Palatino Linotype" w:cs="Palatino Linotype"/>
          <w:sz w:val="24"/>
          <w:szCs w:val="24"/>
        </w:rPr>
      </w:pPr>
    </w:p>
    <w:p w:rsidR="00BB313B" w:rsidRPr="005D66F5" w:rsidRDefault="00BB313B" w:rsidP="00BB313B">
      <w:pPr>
        <w:spacing w:line="360" w:lineRule="auto"/>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BB313B" w:rsidRPr="005D66F5" w:rsidRDefault="00BB313B" w:rsidP="00BB313B">
      <w:pPr>
        <w:spacing w:line="360" w:lineRule="auto"/>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p>
    <w:p w:rsidR="00BB313B" w:rsidRPr="005D66F5" w:rsidRDefault="00BB313B" w:rsidP="00BB313B">
      <w:pPr>
        <w:spacing w:after="0" w:line="360" w:lineRule="auto"/>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5D66F5">
        <w:rPr>
          <w:rFonts w:ascii="Palatino Linotype" w:eastAsia="Palatino Linotype" w:hAnsi="Palatino Linotype" w:cs="Palatino Linotype"/>
          <w:i/>
          <w:sz w:val="24"/>
          <w:szCs w:val="24"/>
        </w:rPr>
        <w:t>.</w:t>
      </w:r>
    </w:p>
    <w:p w:rsidR="00BB313B" w:rsidRPr="005D66F5" w:rsidRDefault="00BB313B" w:rsidP="00BB313B">
      <w:pPr>
        <w:spacing w:after="0" w:line="360" w:lineRule="auto"/>
        <w:jc w:val="both"/>
        <w:rPr>
          <w:rFonts w:ascii="Palatino Linotype" w:eastAsia="Palatino Linotype" w:hAnsi="Palatino Linotype" w:cs="Palatino Linotype"/>
          <w:sz w:val="24"/>
          <w:szCs w:val="24"/>
        </w:rPr>
      </w:pPr>
    </w:p>
    <w:p w:rsidR="00BB313B" w:rsidRPr="005D66F5" w:rsidRDefault="00BB313B" w:rsidP="00BB313B">
      <w:pPr>
        <w:numPr>
          <w:ilvl w:val="0"/>
          <w:numId w:val="3"/>
        </w:numPr>
        <w:tabs>
          <w:tab w:val="left" w:pos="7938"/>
        </w:tabs>
        <w:spacing w:after="0" w:line="360" w:lineRule="auto"/>
        <w:ind w:left="426"/>
        <w:jc w:val="both"/>
        <w:rPr>
          <w:b/>
          <w:sz w:val="28"/>
          <w:szCs w:val="28"/>
        </w:rPr>
      </w:pPr>
      <w:r w:rsidRPr="005D66F5">
        <w:rPr>
          <w:rFonts w:ascii="Palatino Linotype" w:eastAsia="Palatino Linotype" w:hAnsi="Palatino Linotype" w:cs="Palatino Linotype"/>
          <w:b/>
          <w:sz w:val="28"/>
          <w:szCs w:val="28"/>
        </w:rPr>
        <w:t>De la vista a los órganos interno</w:t>
      </w:r>
      <w:r w:rsidR="00B10D69" w:rsidRPr="005D66F5">
        <w:rPr>
          <w:rFonts w:ascii="Palatino Linotype" w:eastAsia="Palatino Linotype" w:hAnsi="Palatino Linotype" w:cs="Palatino Linotype"/>
          <w:b/>
          <w:sz w:val="28"/>
          <w:szCs w:val="28"/>
        </w:rPr>
        <w:t>s</w:t>
      </w:r>
      <w:r w:rsidRPr="005D66F5">
        <w:rPr>
          <w:rFonts w:ascii="Palatino Linotype" w:eastAsia="Palatino Linotype" w:hAnsi="Palatino Linotype" w:cs="Palatino Linotype"/>
          <w:b/>
          <w:sz w:val="28"/>
          <w:szCs w:val="28"/>
        </w:rPr>
        <w:t xml:space="preserve"> </w:t>
      </w:r>
      <w:r w:rsidR="00B10D69" w:rsidRPr="005D66F5">
        <w:rPr>
          <w:rFonts w:ascii="Palatino Linotype" w:eastAsia="Palatino Linotype" w:hAnsi="Palatino Linotype" w:cs="Palatino Linotype"/>
          <w:b/>
          <w:sz w:val="28"/>
          <w:szCs w:val="28"/>
        </w:rPr>
        <w:t xml:space="preserve">de control </w:t>
      </w:r>
      <w:r w:rsidRPr="005D66F5">
        <w:rPr>
          <w:rFonts w:ascii="Palatino Linotype" w:eastAsia="Palatino Linotype" w:hAnsi="Palatino Linotype" w:cs="Palatino Linotype"/>
          <w:b/>
          <w:sz w:val="28"/>
          <w:szCs w:val="28"/>
        </w:rPr>
        <w:t xml:space="preserve">competentes </w:t>
      </w:r>
    </w:p>
    <w:p w:rsidR="00BB313B" w:rsidRPr="005D66F5" w:rsidRDefault="00BB313B" w:rsidP="00B10D69">
      <w:pPr>
        <w:spacing w:after="0" w:line="360" w:lineRule="auto"/>
        <w:ind w:right="49"/>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lastRenderedPageBreak/>
        <w:t>Como ya se mencionó el</w:t>
      </w:r>
      <w:r w:rsidRPr="005D66F5">
        <w:rPr>
          <w:rFonts w:ascii="Palatino Linotype" w:eastAsia="Palatino Linotype" w:hAnsi="Palatino Linotype" w:cs="Palatino Linotype"/>
          <w:b/>
          <w:sz w:val="24"/>
          <w:szCs w:val="24"/>
        </w:rPr>
        <w:t xml:space="preserve"> Sujeto Obligado</w:t>
      </w:r>
      <w:r w:rsidRPr="005D66F5">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5D66F5">
        <w:rPr>
          <w:rFonts w:ascii="Palatino Linotype" w:eastAsia="Palatino Linotype" w:hAnsi="Palatino Linotype" w:cs="Palatino Linotype"/>
          <w:b/>
          <w:sz w:val="24"/>
          <w:szCs w:val="24"/>
        </w:rPr>
        <w:t xml:space="preserve"> </w:t>
      </w:r>
      <w:r w:rsidRPr="005D66F5">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BB313B" w:rsidRPr="005D66F5" w:rsidRDefault="00BB313B" w:rsidP="00B10D69">
      <w:pPr>
        <w:spacing w:after="0" w:line="360" w:lineRule="auto"/>
        <w:ind w:right="49"/>
        <w:jc w:val="both"/>
        <w:rPr>
          <w:rFonts w:ascii="Palatino Linotype" w:eastAsia="Palatino Linotype" w:hAnsi="Palatino Linotype" w:cs="Palatino Linotype"/>
          <w:sz w:val="24"/>
          <w:szCs w:val="24"/>
        </w:rPr>
      </w:pPr>
    </w:p>
    <w:p w:rsidR="00BB313B" w:rsidRPr="005D66F5" w:rsidRDefault="00BB313B" w:rsidP="00B10D69">
      <w:pPr>
        <w:spacing w:after="0" w:line="360" w:lineRule="auto"/>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sidRPr="005D66F5">
        <w:rPr>
          <w:rFonts w:ascii="Palatino Linotype" w:eastAsia="Palatino Linotype" w:hAnsi="Palatino Linotype" w:cs="Palatino Linotype"/>
          <w:b/>
          <w:sz w:val="24"/>
          <w:szCs w:val="24"/>
        </w:rPr>
        <w:t>ORDENA</w:t>
      </w:r>
      <w:r w:rsidRPr="005D66F5">
        <w:rPr>
          <w:rFonts w:ascii="Palatino Linotype" w:eastAsia="Palatino Linotype" w:hAnsi="Palatino Linotype" w:cs="Palatino Linotype"/>
          <w:sz w:val="24"/>
          <w:szCs w:val="24"/>
        </w:rPr>
        <w:t xml:space="preserve"> al </w:t>
      </w:r>
      <w:r w:rsidRPr="005D66F5">
        <w:rPr>
          <w:rFonts w:ascii="Palatino Linotype" w:eastAsia="Palatino Linotype" w:hAnsi="Palatino Linotype" w:cs="Palatino Linotype"/>
          <w:b/>
          <w:sz w:val="24"/>
          <w:szCs w:val="24"/>
        </w:rPr>
        <w:t>Sujeto Obligado</w:t>
      </w:r>
      <w:r w:rsidRPr="005D66F5">
        <w:rPr>
          <w:rFonts w:ascii="Palatino Linotype" w:eastAsia="Palatino Linotype" w:hAnsi="Palatino Linotype" w:cs="Palatino Linotype"/>
          <w:sz w:val="24"/>
          <w:szCs w:val="24"/>
        </w:rPr>
        <w:t xml:space="preserve">, atienda las solicitudes de información </w:t>
      </w:r>
      <w:r w:rsidRPr="005D66F5">
        <w:rPr>
          <w:rFonts w:ascii="Palatino Linotype" w:eastAsia="Palatino Linotype" w:hAnsi="Palatino Linotype" w:cs="Palatino Linotype"/>
          <w:b/>
          <w:sz w:val="24"/>
          <w:szCs w:val="24"/>
        </w:rPr>
        <w:t>00054/FELIPRO/IP/2024, 00053/FELIPRO/IP/2024 y 00052/FELIPRO/IP/2024,</w:t>
      </w:r>
      <w:r w:rsidRPr="005D66F5">
        <w:rPr>
          <w:rFonts w:ascii="Palatino Linotype" w:eastAsia="Palatino Linotype" w:hAnsi="Palatino Linotype" w:cs="Palatino Linotype"/>
          <w:sz w:val="24"/>
          <w:szCs w:val="24"/>
        </w:rPr>
        <w:t xml:space="preserve"> que han sido materia del presente fallo.</w:t>
      </w:r>
    </w:p>
    <w:p w:rsidR="00BB313B" w:rsidRPr="005D66F5" w:rsidRDefault="00BB313B" w:rsidP="00BB313B">
      <w:pPr>
        <w:spacing w:after="0" w:line="360" w:lineRule="auto"/>
        <w:jc w:val="both"/>
        <w:rPr>
          <w:rFonts w:ascii="Palatino Linotype" w:eastAsia="Times New Roman" w:hAnsi="Palatino Linotype" w:cs="Times New Roman"/>
          <w:sz w:val="24"/>
          <w:szCs w:val="24"/>
          <w:lang w:eastAsia="es-ES"/>
        </w:rPr>
      </w:pPr>
    </w:p>
    <w:p w:rsidR="00BB313B" w:rsidRPr="005D66F5" w:rsidRDefault="00BB313B" w:rsidP="00BB313B">
      <w:pPr>
        <w:spacing w:after="0" w:line="360" w:lineRule="auto"/>
        <w:jc w:val="both"/>
        <w:rPr>
          <w:rFonts w:ascii="Palatino Linotype" w:eastAsia="Times New Roman" w:hAnsi="Palatino Linotype" w:cs="Times New Roman"/>
          <w:sz w:val="24"/>
          <w:szCs w:val="24"/>
          <w:lang w:eastAsia="es-ES"/>
        </w:rPr>
      </w:pPr>
      <w:r w:rsidRPr="005D66F5">
        <w:rPr>
          <w:rFonts w:ascii="Palatino Linotype" w:eastAsia="Times New Roman" w:hAnsi="Palatino Linotype" w:cs="Times New Roman"/>
          <w:sz w:val="24"/>
          <w:szCs w:val="24"/>
          <w:lang w:eastAsia="es-ES"/>
        </w:rPr>
        <w:t>Por lo antes expuesto y fundado es de resolverse y,</w:t>
      </w:r>
    </w:p>
    <w:p w:rsidR="00BB313B" w:rsidRPr="005D66F5" w:rsidRDefault="00BB313B" w:rsidP="00BB313B">
      <w:pPr>
        <w:autoSpaceDE w:val="0"/>
        <w:autoSpaceDN w:val="0"/>
        <w:adjustRightInd w:val="0"/>
        <w:spacing w:after="0" w:line="360" w:lineRule="auto"/>
        <w:jc w:val="both"/>
        <w:rPr>
          <w:rFonts w:ascii="Palatino Linotype" w:hAnsi="Palatino Linotype" w:cs="Arial"/>
          <w:sz w:val="24"/>
          <w:szCs w:val="24"/>
        </w:rPr>
      </w:pPr>
    </w:p>
    <w:p w:rsidR="00BB313B" w:rsidRPr="005D66F5" w:rsidRDefault="00BB313B" w:rsidP="00B10D69">
      <w:pPr>
        <w:spacing w:after="0" w:line="360" w:lineRule="auto"/>
        <w:ind w:left="426"/>
        <w:jc w:val="center"/>
        <w:rPr>
          <w:rFonts w:ascii="Palatino Linotype" w:eastAsia="Times New Roman" w:hAnsi="Palatino Linotype" w:cs="Times New Roman"/>
          <w:b/>
          <w:color w:val="000000"/>
          <w:sz w:val="28"/>
          <w:szCs w:val="24"/>
          <w:lang w:val="es-ES" w:eastAsia="es-ES"/>
        </w:rPr>
      </w:pPr>
      <w:r w:rsidRPr="005D66F5">
        <w:rPr>
          <w:rFonts w:ascii="Palatino Linotype" w:eastAsia="Times New Roman" w:hAnsi="Palatino Linotype" w:cs="Times New Roman"/>
          <w:b/>
          <w:color w:val="000000"/>
          <w:sz w:val="28"/>
          <w:szCs w:val="24"/>
          <w:lang w:val="es-ES" w:eastAsia="es-ES"/>
        </w:rPr>
        <w:t>SE    RESUELVE</w:t>
      </w:r>
    </w:p>
    <w:p w:rsidR="00B10D69" w:rsidRPr="005D66F5" w:rsidRDefault="00B10D69" w:rsidP="00B10D69">
      <w:pPr>
        <w:spacing w:after="0" w:line="360" w:lineRule="auto"/>
        <w:ind w:left="426"/>
        <w:jc w:val="center"/>
        <w:rPr>
          <w:rFonts w:ascii="Palatino Linotype" w:eastAsia="Times New Roman" w:hAnsi="Palatino Linotype" w:cs="Times New Roman"/>
          <w:b/>
          <w:color w:val="000000"/>
          <w:sz w:val="28"/>
          <w:szCs w:val="24"/>
          <w:lang w:val="es-ES" w:eastAsia="es-ES"/>
        </w:rPr>
      </w:pP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b/>
          <w:sz w:val="28"/>
          <w:szCs w:val="28"/>
        </w:rPr>
        <w:lastRenderedPageBreak/>
        <w:t>PRIMERO.</w:t>
      </w:r>
      <w:r w:rsidRPr="005D66F5">
        <w:rPr>
          <w:rFonts w:ascii="Palatino Linotype" w:eastAsia="Palatino Linotype" w:hAnsi="Palatino Linotype" w:cs="Palatino Linotype"/>
          <w:sz w:val="24"/>
          <w:szCs w:val="24"/>
        </w:rPr>
        <w:t xml:space="preserve"> Resultan fundadas las razones o motivos de inconformidad hechos valer por la parte </w:t>
      </w:r>
      <w:r w:rsidRPr="005D66F5">
        <w:rPr>
          <w:rFonts w:ascii="Palatino Linotype" w:eastAsia="Palatino Linotype" w:hAnsi="Palatino Linotype" w:cs="Palatino Linotype"/>
          <w:b/>
          <w:sz w:val="24"/>
          <w:szCs w:val="24"/>
        </w:rPr>
        <w:t>Recurrente,</w:t>
      </w:r>
      <w:r w:rsidRPr="005D66F5">
        <w:rPr>
          <w:rFonts w:ascii="Palatino Linotype" w:eastAsia="Palatino Linotype" w:hAnsi="Palatino Linotype" w:cs="Palatino Linotype"/>
          <w:sz w:val="24"/>
          <w:szCs w:val="24"/>
        </w:rPr>
        <w:t xml:space="preserve"> en términos del considerando </w:t>
      </w:r>
      <w:r w:rsidRPr="005D66F5">
        <w:rPr>
          <w:rFonts w:ascii="Palatino Linotype" w:eastAsia="Palatino Linotype" w:hAnsi="Palatino Linotype" w:cs="Palatino Linotype"/>
          <w:b/>
          <w:sz w:val="24"/>
          <w:szCs w:val="24"/>
        </w:rPr>
        <w:t>TERCERO</w:t>
      </w:r>
      <w:r w:rsidRPr="005D66F5">
        <w:rPr>
          <w:rFonts w:ascii="Palatino Linotype" w:eastAsia="Palatino Linotype" w:hAnsi="Palatino Linotype" w:cs="Palatino Linotype"/>
          <w:sz w:val="24"/>
          <w:szCs w:val="24"/>
        </w:rPr>
        <w:t>, de la presente resolución.</w:t>
      </w: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b/>
          <w:sz w:val="28"/>
          <w:szCs w:val="28"/>
        </w:rPr>
        <w:t>SEGUNDO.</w:t>
      </w:r>
      <w:r w:rsidRPr="005D66F5">
        <w:rPr>
          <w:rFonts w:ascii="Palatino Linotype" w:eastAsia="Palatino Linotype" w:hAnsi="Palatino Linotype" w:cs="Palatino Linotype"/>
          <w:sz w:val="24"/>
          <w:szCs w:val="24"/>
        </w:rPr>
        <w:t xml:space="preserve"> Se </w:t>
      </w:r>
      <w:r w:rsidRPr="005D66F5">
        <w:rPr>
          <w:rFonts w:ascii="Palatino Linotype" w:eastAsia="Palatino Linotype" w:hAnsi="Palatino Linotype" w:cs="Palatino Linotype"/>
          <w:b/>
          <w:sz w:val="24"/>
          <w:szCs w:val="24"/>
        </w:rPr>
        <w:t>ORDENA</w:t>
      </w:r>
      <w:r w:rsidRPr="005D66F5">
        <w:rPr>
          <w:rFonts w:ascii="Palatino Linotype" w:eastAsia="Palatino Linotype" w:hAnsi="Palatino Linotype" w:cs="Palatino Linotype"/>
          <w:sz w:val="24"/>
          <w:szCs w:val="24"/>
        </w:rPr>
        <w:t xml:space="preserve"> al </w:t>
      </w:r>
      <w:r w:rsidRPr="005D66F5">
        <w:rPr>
          <w:rFonts w:ascii="Palatino Linotype" w:eastAsia="Palatino Linotype" w:hAnsi="Palatino Linotype" w:cs="Palatino Linotype"/>
          <w:b/>
          <w:sz w:val="24"/>
          <w:szCs w:val="24"/>
        </w:rPr>
        <w:t>Sujeto Obligado</w:t>
      </w:r>
      <w:r w:rsidRPr="005D66F5">
        <w:rPr>
          <w:rFonts w:ascii="Palatino Linotype" w:eastAsia="Palatino Linotype" w:hAnsi="Palatino Linotype" w:cs="Palatino Linotype"/>
          <w:sz w:val="24"/>
          <w:szCs w:val="24"/>
        </w:rPr>
        <w:t xml:space="preserve"> atienda las solicitudes de información </w:t>
      </w:r>
      <w:r w:rsidRPr="005D66F5">
        <w:rPr>
          <w:rFonts w:ascii="Palatino Linotype" w:eastAsia="Palatino Linotype" w:hAnsi="Palatino Linotype" w:cs="Palatino Linotype"/>
          <w:b/>
          <w:sz w:val="24"/>
          <w:szCs w:val="24"/>
        </w:rPr>
        <w:t xml:space="preserve">00054/FELIPRO/IP/2024, 00053/FELIPRO/IP/2024 y 00052/FELIPRO/IP/2024, </w:t>
      </w:r>
      <w:r w:rsidRPr="005D66F5">
        <w:rPr>
          <w:rFonts w:ascii="Palatino Linotype" w:eastAsia="Palatino Linotype" w:hAnsi="Palatino Linotype" w:cs="Palatino Linotype"/>
          <w:sz w:val="24"/>
          <w:szCs w:val="24"/>
        </w:rPr>
        <w:t xml:space="preserve">vía Sistema de Acceso a la Información Mexiquense (SAIMEX), en términos del Considerando </w:t>
      </w:r>
      <w:r w:rsidRPr="005D66F5">
        <w:rPr>
          <w:rFonts w:ascii="Palatino Linotype" w:eastAsia="Palatino Linotype" w:hAnsi="Palatino Linotype" w:cs="Palatino Linotype"/>
          <w:b/>
          <w:sz w:val="24"/>
          <w:szCs w:val="24"/>
        </w:rPr>
        <w:t xml:space="preserve">TERCERO </w:t>
      </w:r>
      <w:r w:rsidRPr="005D66F5">
        <w:rPr>
          <w:rFonts w:ascii="Palatino Linotype" w:eastAsia="Palatino Linotype" w:hAnsi="Palatino Linotype" w:cs="Palatino Linotype"/>
          <w:sz w:val="24"/>
          <w:szCs w:val="24"/>
        </w:rPr>
        <w:t>de esta resolución</w:t>
      </w:r>
      <w:r w:rsidRPr="005D66F5">
        <w:rPr>
          <w:rFonts w:ascii="Palatino Linotype" w:eastAsia="Palatino Linotype" w:hAnsi="Palatino Linotype" w:cs="Palatino Linotype"/>
          <w:b/>
          <w:sz w:val="24"/>
          <w:szCs w:val="24"/>
        </w:rPr>
        <w:t>.</w:t>
      </w: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p>
    <w:p w:rsidR="00BB313B" w:rsidRPr="005D66F5" w:rsidRDefault="00BB313B" w:rsidP="00BB313B">
      <w:pPr>
        <w:tabs>
          <w:tab w:val="left" w:pos="8647"/>
        </w:tabs>
        <w:spacing w:after="0" w:line="360" w:lineRule="auto"/>
        <w:ind w:right="51"/>
        <w:jc w:val="both"/>
        <w:rPr>
          <w:rFonts w:ascii="Palatino Linotype" w:eastAsia="Palatino Linotype" w:hAnsi="Palatino Linotype" w:cs="Palatino Linotype"/>
          <w:sz w:val="24"/>
          <w:szCs w:val="24"/>
        </w:rPr>
      </w:pPr>
      <w:r w:rsidRPr="005D66F5">
        <w:rPr>
          <w:rFonts w:ascii="Palatino Linotype" w:eastAsia="Palatino Linotype" w:hAnsi="Palatino Linotype" w:cs="Palatino Linotype"/>
          <w:b/>
          <w:sz w:val="28"/>
          <w:szCs w:val="28"/>
        </w:rPr>
        <w:t>TERCERO</w:t>
      </w:r>
      <w:r w:rsidRPr="005D66F5">
        <w:rPr>
          <w:rFonts w:ascii="Palatino Linotype" w:eastAsia="Palatino Linotype" w:hAnsi="Palatino Linotype" w:cs="Palatino Linotype"/>
          <w:sz w:val="24"/>
          <w:szCs w:val="24"/>
        </w:rPr>
        <w:t xml:space="preserve">. </w:t>
      </w:r>
      <w:r w:rsidRPr="005D66F5">
        <w:rPr>
          <w:rFonts w:ascii="Palatino Linotype" w:eastAsia="Palatino Linotype" w:hAnsi="Palatino Linotype" w:cs="Palatino Linotype"/>
          <w:b/>
          <w:sz w:val="24"/>
          <w:szCs w:val="24"/>
        </w:rPr>
        <w:t>Notifíquese</w:t>
      </w:r>
      <w:r w:rsidRPr="005D66F5">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w:t>
      </w:r>
      <w:r w:rsidRPr="005D66F5">
        <w:rPr>
          <w:rFonts w:ascii="Palatino Linotype" w:eastAsia="Palatino Linotype" w:hAnsi="Palatino Linotype" w:cs="Palatino Linotype"/>
          <w:b/>
          <w:sz w:val="24"/>
          <w:szCs w:val="24"/>
        </w:rPr>
        <w:t>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BB313B" w:rsidRPr="005D66F5" w:rsidRDefault="00BB313B" w:rsidP="00BB313B">
      <w:pPr>
        <w:spacing w:after="0" w:line="360" w:lineRule="auto"/>
        <w:jc w:val="both"/>
        <w:rPr>
          <w:rFonts w:ascii="Palatino Linotype" w:eastAsia="Palatino Linotype" w:hAnsi="Palatino Linotype" w:cs="Palatino Linotype"/>
          <w:sz w:val="24"/>
          <w:szCs w:val="24"/>
        </w:rPr>
      </w:pPr>
    </w:p>
    <w:p w:rsidR="00B93354" w:rsidRPr="005D66F5" w:rsidRDefault="00B93354" w:rsidP="00B93354">
      <w:pPr>
        <w:spacing w:after="0" w:line="360" w:lineRule="auto"/>
        <w:jc w:val="both"/>
        <w:rPr>
          <w:rFonts w:ascii="Palatino Linotype" w:eastAsia="Times New Roman" w:hAnsi="Palatino Linotype" w:cs="Arial"/>
          <w:sz w:val="24"/>
          <w:szCs w:val="24"/>
          <w:lang w:val="es-ES" w:eastAsia="es-ES"/>
        </w:rPr>
      </w:pPr>
      <w:r w:rsidRPr="005D66F5">
        <w:rPr>
          <w:rFonts w:ascii="Palatino Linotype" w:eastAsia="Times New Roman" w:hAnsi="Palatino Linotype" w:cs="Arial"/>
          <w:b/>
          <w:sz w:val="28"/>
          <w:szCs w:val="24"/>
          <w:lang w:val="es-ES" w:eastAsia="es-ES"/>
        </w:rPr>
        <w:lastRenderedPageBreak/>
        <w:t>CUARTO</w:t>
      </w:r>
      <w:r w:rsidRPr="005D66F5">
        <w:rPr>
          <w:rFonts w:ascii="Palatino Linotype" w:eastAsia="Times New Roman" w:hAnsi="Palatino Linotype" w:cs="Arial"/>
          <w:b/>
          <w:sz w:val="24"/>
          <w:szCs w:val="24"/>
          <w:lang w:val="es-ES" w:eastAsia="es-ES"/>
        </w:rPr>
        <w:t>. Notifíquese</w:t>
      </w:r>
      <w:r w:rsidRPr="005D66F5">
        <w:rPr>
          <w:rFonts w:ascii="Palatino Linotype" w:eastAsia="Times New Roman" w:hAnsi="Palatino Linotype" w:cs="Arial"/>
          <w:sz w:val="24"/>
          <w:szCs w:val="24"/>
          <w:lang w:val="es-ES" w:eastAsia="es-ES"/>
        </w:rPr>
        <w:t xml:space="preserve"> </w:t>
      </w:r>
      <w:r w:rsidRPr="005D66F5">
        <w:rPr>
          <w:rFonts w:ascii="Palatino Linotype" w:eastAsia="Times New Roman" w:hAnsi="Palatino Linotype" w:cs="Arial"/>
          <w:b/>
          <w:sz w:val="24"/>
          <w:szCs w:val="24"/>
          <w:lang w:val="es-ES" w:eastAsia="es-ES"/>
        </w:rPr>
        <w:t>a la Recurrente</w:t>
      </w:r>
      <w:r w:rsidRPr="005D66F5">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rsidR="00B93354" w:rsidRPr="005D66F5" w:rsidRDefault="00B93354" w:rsidP="00B93354">
      <w:pPr>
        <w:spacing w:after="0" w:line="360" w:lineRule="auto"/>
        <w:jc w:val="both"/>
        <w:rPr>
          <w:rFonts w:ascii="Palatino Linotype" w:hAnsi="Palatino Linotype"/>
          <w:sz w:val="24"/>
          <w:szCs w:val="24"/>
          <w:lang w:eastAsia="es-ES_tradnl"/>
        </w:rPr>
      </w:pPr>
    </w:p>
    <w:p w:rsidR="00B93354" w:rsidRPr="005D66F5" w:rsidRDefault="00B93354" w:rsidP="00B93354">
      <w:pPr>
        <w:spacing w:after="0" w:line="360" w:lineRule="auto"/>
        <w:jc w:val="both"/>
        <w:rPr>
          <w:rFonts w:ascii="Palatino Linotype" w:eastAsia="Calibri" w:hAnsi="Palatino Linotype" w:cs="Times New Roman"/>
          <w:sz w:val="24"/>
          <w:szCs w:val="24"/>
          <w:lang w:eastAsia="es-ES_tradnl"/>
        </w:rPr>
      </w:pPr>
      <w:r w:rsidRPr="005D66F5">
        <w:rPr>
          <w:rFonts w:ascii="Palatino Linotype" w:eastAsia="Calibri" w:hAnsi="Palatino Linotype" w:cs="Times New Roman"/>
          <w:b/>
          <w:sz w:val="28"/>
          <w:szCs w:val="24"/>
          <w:lang w:eastAsia="es-ES_tradnl"/>
        </w:rPr>
        <w:t>QUINTO</w:t>
      </w:r>
      <w:r w:rsidRPr="005D66F5">
        <w:rPr>
          <w:rFonts w:ascii="Palatino Linotype" w:eastAsia="Calibri" w:hAnsi="Palatino Linotype" w:cs="Times New Roman"/>
          <w:b/>
          <w:sz w:val="24"/>
          <w:szCs w:val="24"/>
          <w:lang w:eastAsia="es-ES_tradnl"/>
        </w:rPr>
        <w:t>.</w:t>
      </w:r>
      <w:r w:rsidRPr="005D66F5">
        <w:rPr>
          <w:rFonts w:ascii="Palatino Linotype" w:eastAsia="Calibri" w:hAnsi="Palatino Linotype" w:cs="Times New Roman"/>
          <w:sz w:val="24"/>
          <w:szCs w:val="24"/>
          <w:lang w:eastAsia="es-ES_tradnl"/>
        </w:rPr>
        <w:t xml:space="preserve"> </w:t>
      </w:r>
      <w:r w:rsidRPr="005D66F5">
        <w:rPr>
          <w:rFonts w:ascii="Palatino Linotype" w:eastAsia="Calibri" w:hAnsi="Palatino Linotype" w:cs="Times New Roman"/>
          <w:b/>
          <w:sz w:val="24"/>
          <w:szCs w:val="24"/>
          <w:lang w:eastAsia="es-ES_tradnl"/>
        </w:rPr>
        <w:t>Notifíquese</w:t>
      </w:r>
      <w:r w:rsidRPr="005D66F5">
        <w:rPr>
          <w:rFonts w:ascii="Palatino Linotype" w:eastAsia="Calibri" w:hAnsi="Palatino Linotype" w:cs="Times New Roman"/>
          <w:sz w:val="24"/>
          <w:szCs w:val="24"/>
          <w:lang w:eastAsia="es-ES_tradnl"/>
        </w:rPr>
        <w:t xml:space="preserve"> al </w:t>
      </w:r>
      <w:r w:rsidRPr="005D66F5">
        <w:rPr>
          <w:rFonts w:ascii="Palatino Linotype" w:eastAsia="Calibri" w:hAnsi="Palatino Linotype" w:cs="Times New Roman"/>
          <w:b/>
          <w:sz w:val="24"/>
          <w:szCs w:val="24"/>
          <w:lang w:eastAsia="es-ES_tradnl"/>
        </w:rPr>
        <w:t>Recurrente</w:t>
      </w:r>
      <w:r w:rsidRPr="005D66F5">
        <w:rPr>
          <w:rFonts w:ascii="Palatino Linotype" w:eastAsia="Calibri"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5D66F5">
        <w:rPr>
          <w:rFonts w:ascii="Palatino Linotype" w:eastAsia="Calibri" w:hAnsi="Palatino Linotype" w:cs="Times New Roman"/>
          <w:b/>
          <w:sz w:val="24"/>
          <w:szCs w:val="24"/>
          <w:lang w:eastAsia="es-ES_tradnl"/>
        </w:rPr>
        <w:t>Sujeto Obligado</w:t>
      </w:r>
      <w:r w:rsidRPr="005D66F5">
        <w:rPr>
          <w:rFonts w:ascii="Palatino Linotype" w:eastAsia="Calibri" w:hAnsi="Palatino Linotype" w:cs="Times New Roman"/>
          <w:sz w:val="24"/>
          <w:szCs w:val="24"/>
          <w:lang w:eastAsia="es-ES_tradnl"/>
        </w:rPr>
        <w:t>, en cumplimiento a esta Resolución.</w:t>
      </w:r>
    </w:p>
    <w:p w:rsidR="00B93354" w:rsidRPr="005D66F5" w:rsidRDefault="00B93354" w:rsidP="00B93354">
      <w:pPr>
        <w:spacing w:after="0" w:line="360" w:lineRule="auto"/>
        <w:jc w:val="both"/>
        <w:rPr>
          <w:rFonts w:ascii="Palatino Linotype" w:eastAsia="Calibri" w:hAnsi="Palatino Linotype" w:cs="Times New Roman"/>
          <w:sz w:val="24"/>
          <w:szCs w:val="24"/>
          <w:lang w:eastAsia="es-ES_tradnl"/>
        </w:rPr>
      </w:pPr>
    </w:p>
    <w:p w:rsidR="00B93354" w:rsidRPr="005D66F5" w:rsidRDefault="00B10D69" w:rsidP="00B93354">
      <w:pPr>
        <w:spacing w:after="0" w:line="360" w:lineRule="auto"/>
        <w:jc w:val="both"/>
        <w:rPr>
          <w:rFonts w:ascii="Palatino Linotype" w:hAnsi="Palatino Linotype"/>
          <w:sz w:val="24"/>
          <w:szCs w:val="24"/>
          <w:lang w:eastAsia="es-ES_tradnl"/>
        </w:rPr>
      </w:pPr>
      <w:r w:rsidRPr="005D66F5">
        <w:rPr>
          <w:rFonts w:ascii="Palatino Linotype" w:eastAsia="Calibri" w:hAnsi="Palatino Linotype" w:cs="Times New Roman"/>
          <w:b/>
          <w:noProof/>
          <w:sz w:val="28"/>
          <w:szCs w:val="24"/>
          <w:lang w:eastAsia="es-MX"/>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1542415</wp:posOffset>
                </wp:positionV>
                <wp:extent cx="5543550" cy="18669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543550" cy="1866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9887F"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121.45pt" to="440.7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RjugEAAMUDAAAOAAAAZHJzL2Uyb0RvYy54bWysU01v2zAMvQ/YfxB0X2x3S9AacXpI0V2G&#10;LdjaH6DKVCxAX6C02Pn3o5TEHboBw4peJFHiI/keqfXtZA07AEbtXcebRc0ZOOl77fYdf3y4/3DN&#10;WUzC9cJ4Bx0/QuS3m/fv1mNo4coP3vSAjIK42I6h40NKoa2qKAewIi58AEePyqMViUzcVz2KkaJb&#10;U13V9aoaPfYBvYQY6fbu9Mg3Jb5SINM3pSIkZjpOtaWyYlmf8lpt1qLdowiDlucyxCuqsEI7SjqH&#10;uhNJsJ+o/whltUQfvUoL6W3lldISCgdi09Qv2PwYRIDChcSJYZYpvl1Y+fWwQ6Z76h1nTlhq0ZYa&#10;JZNHhnljTdZoDLEl163b4dmKYYeZ8KTQ5p2osKnoepx1hSkxSZfL5aePyyXJL+mtuV6tbuqifPUM&#10;DxjTZ/CW5UPHjXaZuGjF4UtMlJJcLy5k5HJOBZRTOhrIzsZ9B0VkKGVT0GWMYGuQHQQNgJASXCqE&#10;KF7xzjCljZmB9b+BZ/8MhTJi/wOeESWzd2kGW+08/i17mi4lq5P/RYET7yzBk++PpTVFGpqVoth5&#10;rvMw/m4X+PPv2/wCAAD//wMAUEsDBBQABgAIAAAAIQAPYnZr4gAAAAkBAAAPAAAAZHJzL2Rvd25y&#10;ZXYueG1sTI9BT8JAEIXvJv6HzZh4ky0VSandEkJiRBJCBBI8Lt2xrXZnm+5Cy793POnxzXt575ts&#10;PthGXLDztSMF41EEAqlwpqZSwWH/8pCA8EGT0Y0jVHBFD/P89ibTqXE9veNlF0rBJeRTraAKoU2l&#10;9EWFVvuRa5HY+3Sd1YFlV0rT6Z7LbSPjKJpKq2vihUq3uKyw+N6drYJNt1otF+vrF20/bH+M18ft&#10;2/Cq1P3dsHgGEXAIf2H4xWd0yJnp5M5kvGgUJBMOKogn8QwE+0ky5stJwdPjdAYyz+T/D/IfAAAA&#10;//8DAFBLAQItABQABgAIAAAAIQC2gziS/gAAAOEBAAATAAAAAAAAAAAAAAAAAAAAAABbQ29udGVu&#10;dF9UeXBlc10ueG1sUEsBAi0AFAAGAAgAAAAhADj9If/WAAAAlAEAAAsAAAAAAAAAAAAAAAAALwEA&#10;AF9yZWxzLy5yZWxzUEsBAi0AFAAGAAgAAAAhADuulGO6AQAAxQMAAA4AAAAAAAAAAAAAAAAALgIA&#10;AGRycy9lMm9Eb2MueG1sUEsBAi0AFAAGAAgAAAAhAA9idmviAAAACQEAAA8AAAAAAAAAAAAAAAAA&#10;FAQAAGRycy9kb3ducmV2LnhtbFBLBQYAAAAABAAEAPMAAAAjBQAAAAA=&#10;" strokecolor="#5b9bd5 [3204]" strokeweight=".5pt">
                <v:stroke joinstyle="miter"/>
              </v:line>
            </w:pict>
          </mc:Fallback>
        </mc:AlternateContent>
      </w:r>
      <w:r w:rsidR="00B93354" w:rsidRPr="005D66F5">
        <w:rPr>
          <w:rFonts w:ascii="Palatino Linotype" w:eastAsia="Calibri" w:hAnsi="Palatino Linotype" w:cs="Times New Roman"/>
          <w:b/>
          <w:sz w:val="28"/>
          <w:szCs w:val="24"/>
          <w:lang w:eastAsia="es-ES_tradnl"/>
        </w:rPr>
        <w:t>SEXTO</w:t>
      </w:r>
      <w:r w:rsidR="00B93354" w:rsidRPr="005D66F5">
        <w:rPr>
          <w:rFonts w:ascii="Palatino Linotype" w:eastAsia="Calibri" w:hAnsi="Palatino Linotype" w:cs="Times New Roman"/>
          <w:b/>
          <w:sz w:val="24"/>
          <w:szCs w:val="24"/>
          <w:lang w:eastAsia="es-ES_tradnl"/>
        </w:rPr>
        <w:t xml:space="preserve">. - </w:t>
      </w:r>
      <w:r w:rsidR="00B93354" w:rsidRPr="005D66F5">
        <w:rPr>
          <w:rFonts w:ascii="Palatino Linotype" w:hAnsi="Palatino Linotype"/>
          <w:b/>
          <w:sz w:val="24"/>
          <w:szCs w:val="24"/>
          <w:lang w:eastAsia="es-ES_tradnl"/>
        </w:rPr>
        <w:t xml:space="preserve">Gírese </w:t>
      </w:r>
      <w:r w:rsidR="00B93354" w:rsidRPr="005D66F5">
        <w:rPr>
          <w:rFonts w:ascii="Palatino Linotype" w:hAnsi="Palatino Linotype"/>
          <w:sz w:val="24"/>
          <w:szCs w:val="24"/>
          <w:lang w:eastAsia="es-ES_tradnl"/>
        </w:rPr>
        <w:t xml:space="preserve">oficio a la Secretaría Técnica del Pleno de este Instituto para hacer del conocimiento del Órgano de Control Interno competente la presente resolución, a fin de que de conformidad con el artículo 190 de la Ley de Transparencia y Acceso a la Información Pública del Estado de México y Municipios se determine lo conducente, en términos de lo señalado en el Considerando </w:t>
      </w:r>
      <w:r w:rsidR="00B93354" w:rsidRPr="005D66F5">
        <w:rPr>
          <w:rFonts w:ascii="Palatino Linotype" w:hAnsi="Palatino Linotype"/>
          <w:b/>
          <w:bCs/>
          <w:sz w:val="24"/>
          <w:szCs w:val="24"/>
          <w:lang w:eastAsia="es-ES_tradnl"/>
        </w:rPr>
        <w:t>TERCERO</w:t>
      </w:r>
      <w:r w:rsidR="00B93354" w:rsidRPr="005D66F5">
        <w:rPr>
          <w:rFonts w:ascii="Palatino Linotype" w:hAnsi="Palatino Linotype"/>
          <w:sz w:val="24"/>
          <w:szCs w:val="24"/>
          <w:lang w:eastAsia="es-ES_tradnl"/>
        </w:rPr>
        <w:t xml:space="preserve"> de la presente resolución.</w:t>
      </w:r>
    </w:p>
    <w:p w:rsidR="00BB313B" w:rsidRPr="005D66F5" w:rsidRDefault="00BB313B" w:rsidP="00BB313B">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BB313B" w:rsidRPr="005D66F5" w:rsidRDefault="00BB313B" w:rsidP="00BB313B">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BB313B" w:rsidRPr="005D66F5" w:rsidRDefault="00BB313B" w:rsidP="00BB313B">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BB313B" w:rsidRPr="005D66F5" w:rsidRDefault="00BB313B" w:rsidP="00B10D69">
      <w:pPr>
        <w:autoSpaceDE w:val="0"/>
        <w:autoSpaceDN w:val="0"/>
        <w:adjustRightInd w:val="0"/>
        <w:spacing w:after="0" w:line="360" w:lineRule="auto"/>
        <w:jc w:val="both"/>
        <w:rPr>
          <w:rFonts w:ascii="Palatino Linotype" w:hAnsi="Palatino Linotype" w:cs="Arial"/>
        </w:rPr>
      </w:pPr>
      <w:r w:rsidRPr="005D66F5">
        <w:rPr>
          <w:rFonts w:ascii="Palatino Linotype" w:hAnsi="Palatino Linotype" w:cs="Arial"/>
          <w:sz w:val="24"/>
        </w:rPr>
        <w:lastRenderedPageBreak/>
        <w:t>ASÍ LO ACORDÓ, POR UNANIMIDAD DE VOTOS, EL PLENO DEL</w:t>
      </w:r>
      <w:r w:rsidRPr="005D66F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5D66F5">
        <w:rPr>
          <w:rFonts w:ascii="Palatino Linotype" w:hAnsi="Palatino Linotype" w:cs="Arial"/>
          <w:sz w:val="24"/>
        </w:rPr>
        <w:t>, CONFORMADO POR LOS COMISIONADOS JOSÉ MARTÍNEZ VILCHIS, MARÍA DEL ROSARIO MEJÍA AYALA, SHARON CRISTINA MORALES MARTÍNEZ, LUIS GUSTAVO PARRA NORIEGA Y GUADALUPE RAMÍREZ PEÑA; EN LA TRIGÉSIMA SESIÓN ORDINARIA CELEBRADA EL VIENTIOCHO DE AGOSTO DE DOS MIL VEINTICUATRO, ANTE EL SECRETARIO TÉCNICO DEL PLENO, ALEXIS TAPIA RAMÍREZ. ----------------------------------------------------------------------------------------</w:t>
      </w:r>
      <w:r w:rsidRPr="005D66F5">
        <w:rPr>
          <w:rFonts w:ascii="Palatino Linotype" w:hAnsi="Palatino Linotype" w:cs="Arial"/>
        </w:rPr>
        <w:t>-----------</w:t>
      </w:r>
    </w:p>
    <w:p w:rsidR="00BB313B" w:rsidRPr="005D66F5" w:rsidRDefault="00BB313B" w:rsidP="00B10D69">
      <w:pPr>
        <w:pStyle w:val="Prrafodelista"/>
        <w:autoSpaceDE w:val="0"/>
        <w:autoSpaceDN w:val="0"/>
        <w:adjustRightInd w:val="0"/>
        <w:spacing w:line="360" w:lineRule="auto"/>
        <w:ind w:left="0"/>
        <w:jc w:val="both"/>
        <w:rPr>
          <w:rFonts w:ascii="Palatino Linotype" w:hAnsi="Palatino Linotype" w:cs="Arial"/>
        </w:rPr>
      </w:pPr>
      <w:r w:rsidRPr="005D66F5">
        <w:rPr>
          <w:rFonts w:ascii="Palatino Linotype" w:hAnsi="Palatino Linotype" w:cs="Arial"/>
        </w:rPr>
        <w:t>-----------------------------------------------------------------------------------------------------------------</w:t>
      </w:r>
    </w:p>
    <w:p w:rsidR="00BB313B" w:rsidRPr="005D66F5" w:rsidRDefault="00BB313B" w:rsidP="00B10D69">
      <w:pPr>
        <w:pStyle w:val="Prrafodelista"/>
        <w:autoSpaceDE w:val="0"/>
        <w:autoSpaceDN w:val="0"/>
        <w:adjustRightInd w:val="0"/>
        <w:spacing w:line="360" w:lineRule="auto"/>
        <w:ind w:left="0"/>
        <w:jc w:val="both"/>
        <w:rPr>
          <w:rFonts w:ascii="Palatino Linotype" w:hAnsi="Palatino Linotype" w:cs="Arial"/>
        </w:rPr>
      </w:pPr>
      <w:r w:rsidRPr="005D66F5">
        <w:rPr>
          <w:rFonts w:ascii="Palatino Linotype" w:hAnsi="Palatino Linotype" w:cs="Arial"/>
        </w:rPr>
        <w:t>-----------------------------------------------------------------------------------------------------------------</w:t>
      </w:r>
    </w:p>
    <w:p w:rsidR="00BB313B" w:rsidRPr="005D66F5" w:rsidRDefault="00BB313B" w:rsidP="00B10D69">
      <w:pPr>
        <w:pStyle w:val="Prrafodelista"/>
        <w:autoSpaceDE w:val="0"/>
        <w:autoSpaceDN w:val="0"/>
        <w:adjustRightInd w:val="0"/>
        <w:spacing w:line="360" w:lineRule="auto"/>
        <w:ind w:left="0"/>
        <w:jc w:val="both"/>
        <w:rPr>
          <w:rFonts w:ascii="Palatino Linotype" w:hAnsi="Palatino Linotype" w:cs="Arial"/>
        </w:rPr>
      </w:pPr>
      <w:r w:rsidRPr="005D66F5">
        <w:rPr>
          <w:rFonts w:ascii="Palatino Linotype" w:hAnsi="Palatino Linotype" w:cs="Arial"/>
        </w:rPr>
        <w:t>-----------------------------------------------------------------------------------------------------------------</w:t>
      </w:r>
      <w:r w:rsidR="00B10D69" w:rsidRPr="005D66F5">
        <w:rPr>
          <w:rFonts w:ascii="Palatino Linotype" w:hAnsi="Palatino Linotype" w:cs="Arial"/>
        </w:rPr>
        <w:t>--------------------------------------------------------------------------------------------------------------------------------------------------------------------------------------------------------------------------------------------------------------------------------------------------------------------------------------------------------------------------------------------------------------------------------------------------------------------------------------------------------------------------------------------------------------------------------------------------------------------------------------------------------------------------------------------------------------------------------------------------------------------------------------------------------------------------------------------------------------------------------------------------------------------------------------------------------------------------------------------------------------------------------------------------------------------------------------------------------------------------------------------------------------------------</w:t>
      </w:r>
    </w:p>
    <w:p w:rsidR="00BB313B" w:rsidRPr="00AB0A3C" w:rsidRDefault="00BB313B" w:rsidP="00B10D69">
      <w:pPr>
        <w:spacing w:after="0" w:line="360" w:lineRule="auto"/>
        <w:jc w:val="both"/>
        <w:rPr>
          <w:sz w:val="20"/>
        </w:rPr>
      </w:pPr>
      <w:r w:rsidRPr="005D66F5">
        <w:rPr>
          <w:rFonts w:ascii="Palatino Linotype" w:hAnsi="Palatino Linotype"/>
          <w:bCs/>
          <w:sz w:val="16"/>
          <w:szCs w:val="18"/>
        </w:rPr>
        <w:t>CCR/LMST</w:t>
      </w:r>
      <w:bookmarkStart w:id="1" w:name="_GoBack"/>
      <w:bookmarkEnd w:id="1"/>
    </w:p>
    <w:p w:rsidR="00BB313B" w:rsidRDefault="00BB313B" w:rsidP="00BB313B"/>
    <w:p w:rsidR="00BB313B" w:rsidRDefault="00BB313B" w:rsidP="00BB313B"/>
    <w:p w:rsidR="00BB313B" w:rsidRDefault="00BB313B" w:rsidP="00BB313B"/>
    <w:p w:rsidR="00BB313B" w:rsidRDefault="00BB313B" w:rsidP="00BB313B"/>
    <w:p w:rsidR="00BB313B" w:rsidRDefault="00BB313B" w:rsidP="00BB313B"/>
    <w:p w:rsidR="00BB313B" w:rsidRDefault="00BB313B" w:rsidP="00BB313B"/>
    <w:p w:rsidR="00BB313B" w:rsidRDefault="00BB313B" w:rsidP="00BB313B"/>
    <w:p w:rsidR="00BB313B" w:rsidRDefault="00BB313B" w:rsidP="00BB313B"/>
    <w:p w:rsidR="00BB313B" w:rsidRDefault="00BB313B" w:rsidP="00BB313B"/>
    <w:p w:rsidR="00BB313B" w:rsidRDefault="00BB313B" w:rsidP="00BB313B"/>
    <w:p w:rsidR="00BB313B" w:rsidRDefault="00BB313B" w:rsidP="00BB313B"/>
    <w:p w:rsidR="00BB313B" w:rsidRDefault="00BB313B" w:rsidP="00BB313B"/>
    <w:p w:rsidR="00BB313B" w:rsidRDefault="00BB313B" w:rsidP="00BB313B"/>
    <w:p w:rsidR="00BB313B" w:rsidRDefault="00BB313B" w:rsidP="00BB313B"/>
    <w:p w:rsidR="00BB313B" w:rsidRDefault="00BB313B" w:rsidP="00BB313B"/>
    <w:p w:rsidR="00BB313B" w:rsidRDefault="00BB313B" w:rsidP="00BB313B"/>
    <w:p w:rsidR="006401AB" w:rsidRDefault="006401AB"/>
    <w:sectPr w:rsidR="006401AB" w:rsidSect="00E71F54">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D2E" w:rsidRDefault="00CF4D2E" w:rsidP="00CF4D2E">
      <w:pPr>
        <w:spacing w:after="0" w:line="240" w:lineRule="auto"/>
      </w:pPr>
      <w:r>
        <w:separator/>
      </w:r>
    </w:p>
  </w:endnote>
  <w:endnote w:type="continuationSeparator" w:id="0">
    <w:p w:rsidR="00CF4D2E" w:rsidRDefault="00CF4D2E" w:rsidP="00CF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D5" w:rsidRPr="000B69FA" w:rsidRDefault="00CF4D2E" w:rsidP="00E71F5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D66F5">
      <w:rPr>
        <w:rFonts w:ascii="Palatino Linotype" w:hAnsi="Palatino Linotype"/>
        <w:bCs/>
        <w:noProof/>
        <w:sz w:val="20"/>
      </w:rPr>
      <w:t>18</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D66F5">
      <w:rPr>
        <w:rFonts w:ascii="Palatino Linotype" w:hAnsi="Palatino Linotype"/>
        <w:bCs/>
        <w:noProof/>
        <w:sz w:val="20"/>
      </w:rPr>
      <w:t>18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D5" w:rsidRPr="000B69FA" w:rsidRDefault="00CF4D2E" w:rsidP="00E71F5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D66F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D66F5">
      <w:rPr>
        <w:rFonts w:ascii="Palatino Linotype" w:hAnsi="Palatino Linotype"/>
        <w:bCs/>
        <w:noProof/>
        <w:sz w:val="20"/>
      </w:rPr>
      <w:t>18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D2E" w:rsidRDefault="00CF4D2E" w:rsidP="00CF4D2E">
      <w:pPr>
        <w:spacing w:after="0" w:line="240" w:lineRule="auto"/>
      </w:pPr>
      <w:r>
        <w:separator/>
      </w:r>
    </w:p>
  </w:footnote>
  <w:footnote w:type="continuationSeparator" w:id="0">
    <w:p w:rsidR="00CF4D2E" w:rsidRDefault="00CF4D2E" w:rsidP="00CF4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4D5" w:rsidRDefault="00CF4D2E">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37A10C2" wp14:editId="5CE1D544">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D24D5" w:rsidTr="00E71F54">
      <w:trPr>
        <w:trHeight w:val="227"/>
      </w:trPr>
      <w:tc>
        <w:tcPr>
          <w:tcW w:w="5529" w:type="dxa"/>
          <w:hideMark/>
        </w:tcPr>
        <w:p w:rsidR="00ED24D5" w:rsidRDefault="00CF4D2E"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ED24D5" w:rsidRPr="00B4142F" w:rsidRDefault="00B10D69" w:rsidP="00E71F5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F4D2E">
            <w:rPr>
              <w:rFonts w:ascii="Palatino Linotype" w:hAnsi="Palatino Linotype" w:cs="Arial"/>
              <w:bCs/>
              <w:sz w:val="24"/>
              <w:lang w:eastAsia="es-MX"/>
            </w:rPr>
            <w:t>4460/INFOEM/IP/RR/2024 y acumulados</w:t>
          </w:r>
        </w:p>
      </w:tc>
    </w:tr>
    <w:tr w:rsidR="00ED24D5" w:rsidTr="00E71F54">
      <w:trPr>
        <w:trHeight w:val="242"/>
      </w:trPr>
      <w:tc>
        <w:tcPr>
          <w:tcW w:w="5529" w:type="dxa"/>
          <w:hideMark/>
        </w:tcPr>
        <w:p w:rsidR="00ED24D5" w:rsidRDefault="00CF4D2E"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ED24D5" w:rsidRPr="00F06FED" w:rsidRDefault="00CF4D2E" w:rsidP="00E71F54">
          <w:pPr>
            <w:spacing w:after="120" w:line="256" w:lineRule="auto"/>
            <w:ind w:left="639" w:right="214"/>
            <w:jc w:val="both"/>
            <w:rPr>
              <w:rFonts w:ascii="Palatino Linotype" w:hAnsi="Palatino Linotype" w:cs="Arial"/>
            </w:rPr>
          </w:pPr>
          <w:r w:rsidRPr="00A71D17">
            <w:rPr>
              <w:rFonts w:ascii="Palatino Linotype" w:hAnsi="Palatino Linotype" w:cs="Arial"/>
              <w:szCs w:val="20"/>
            </w:rPr>
            <w:t>Ayuntamiento de San Felipe del Progreso</w:t>
          </w:r>
        </w:p>
      </w:tc>
    </w:tr>
    <w:tr w:rsidR="00ED24D5" w:rsidTr="00E71F54">
      <w:trPr>
        <w:trHeight w:val="342"/>
      </w:trPr>
      <w:tc>
        <w:tcPr>
          <w:tcW w:w="5529" w:type="dxa"/>
          <w:hideMark/>
        </w:tcPr>
        <w:p w:rsidR="00ED24D5" w:rsidRDefault="00CF4D2E" w:rsidP="00E71F5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ED24D5" w:rsidRDefault="00CF4D2E" w:rsidP="00E71F54">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ED24D5" w:rsidRDefault="005D66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D24D5" w:rsidTr="00E71F54">
      <w:trPr>
        <w:trHeight w:val="227"/>
      </w:trPr>
      <w:tc>
        <w:tcPr>
          <w:tcW w:w="5529" w:type="dxa"/>
          <w:hideMark/>
        </w:tcPr>
        <w:p w:rsidR="00ED24D5" w:rsidRDefault="00CF4D2E"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ED24D5" w:rsidRPr="00B4142F" w:rsidRDefault="00B10D69" w:rsidP="00E71F5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F4D2E">
            <w:rPr>
              <w:rFonts w:ascii="Palatino Linotype" w:hAnsi="Palatino Linotype" w:cs="Arial"/>
              <w:bCs/>
              <w:sz w:val="24"/>
              <w:lang w:eastAsia="es-MX"/>
            </w:rPr>
            <w:t>4460/INFOEM/IP/RR/2024 y acumulados</w:t>
          </w:r>
        </w:p>
      </w:tc>
    </w:tr>
    <w:tr w:rsidR="00ED24D5" w:rsidTr="00E71F54">
      <w:trPr>
        <w:trHeight w:val="196"/>
      </w:trPr>
      <w:tc>
        <w:tcPr>
          <w:tcW w:w="5529" w:type="dxa"/>
          <w:hideMark/>
        </w:tcPr>
        <w:p w:rsidR="00ED24D5" w:rsidRDefault="00CF4D2E"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ED24D5" w:rsidRPr="00F06FED" w:rsidRDefault="004302DE" w:rsidP="00E71F54">
          <w:pPr>
            <w:spacing w:after="120" w:line="256" w:lineRule="auto"/>
            <w:ind w:left="639" w:right="214"/>
            <w:jc w:val="both"/>
            <w:rPr>
              <w:rFonts w:ascii="Palatino Linotype" w:hAnsi="Palatino Linotype" w:cs="Arial"/>
            </w:rPr>
          </w:pPr>
          <w:r>
            <w:rPr>
              <w:rFonts w:ascii="Palatino Linotype" w:hAnsi="Palatino Linotype" w:cs="Arial"/>
            </w:rPr>
            <w:t>XXXX</w:t>
          </w:r>
        </w:p>
      </w:tc>
    </w:tr>
    <w:tr w:rsidR="00ED24D5" w:rsidTr="00E71F54">
      <w:trPr>
        <w:trHeight w:val="242"/>
      </w:trPr>
      <w:tc>
        <w:tcPr>
          <w:tcW w:w="5529" w:type="dxa"/>
          <w:hideMark/>
        </w:tcPr>
        <w:p w:rsidR="00ED24D5" w:rsidRDefault="00CF4D2E"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ED24D5" w:rsidRDefault="00CF4D2E" w:rsidP="00E71F54">
          <w:pPr>
            <w:spacing w:after="120" w:line="256" w:lineRule="auto"/>
            <w:ind w:left="639" w:right="214"/>
            <w:jc w:val="both"/>
            <w:rPr>
              <w:rFonts w:ascii="Palatino Linotype" w:hAnsi="Palatino Linotype" w:cs="Arial"/>
              <w:szCs w:val="20"/>
            </w:rPr>
          </w:pPr>
          <w:r w:rsidRPr="00A71D17">
            <w:rPr>
              <w:rFonts w:ascii="Palatino Linotype" w:hAnsi="Palatino Linotype" w:cs="Arial"/>
              <w:szCs w:val="20"/>
            </w:rPr>
            <w:t>Ayuntamiento de San Felipe del Progreso</w:t>
          </w:r>
        </w:p>
      </w:tc>
    </w:tr>
    <w:tr w:rsidR="00ED24D5" w:rsidTr="00E71F54">
      <w:trPr>
        <w:trHeight w:val="342"/>
      </w:trPr>
      <w:tc>
        <w:tcPr>
          <w:tcW w:w="5529" w:type="dxa"/>
          <w:hideMark/>
        </w:tcPr>
        <w:p w:rsidR="00ED24D5" w:rsidRDefault="00CF4D2E" w:rsidP="00E71F5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ED24D5" w:rsidRDefault="00CF4D2E" w:rsidP="00E71F54">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ED24D5" w:rsidRDefault="00CF4D2E">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5EBF7608" wp14:editId="721FF30F">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95109A"/>
    <w:multiLevelType w:val="hybridMultilevel"/>
    <w:tmpl w:val="B298F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3B"/>
    <w:rsid w:val="004302DE"/>
    <w:rsid w:val="004B0B17"/>
    <w:rsid w:val="005D66F5"/>
    <w:rsid w:val="006401AB"/>
    <w:rsid w:val="0077088C"/>
    <w:rsid w:val="00B10D69"/>
    <w:rsid w:val="00B93354"/>
    <w:rsid w:val="00BB313B"/>
    <w:rsid w:val="00CF4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E0D8F-308E-456F-98F4-86F6F4A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1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313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B313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B313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B313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B313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B313B"/>
    <w:rPr>
      <w:rFonts w:ascii="Times New Roman" w:eastAsia="Times New Roman" w:hAnsi="Times New Roman" w:cs="Times New Roman"/>
      <w:sz w:val="24"/>
      <w:szCs w:val="24"/>
      <w:lang w:val="es-ES" w:eastAsia="es-ES"/>
    </w:rPr>
  </w:style>
  <w:style w:type="paragraph" w:customStyle="1" w:styleId="infoemcitas">
    <w:name w:val="infoem citas"/>
    <w:basedOn w:val="Normal"/>
    <w:qFormat/>
    <w:rsid w:val="00BB313B"/>
    <w:pPr>
      <w:spacing w:before="240" w:line="360" w:lineRule="auto"/>
      <w:ind w:left="851" w:right="851"/>
      <w:jc w:val="both"/>
    </w:pPr>
    <w:rPr>
      <w:rFonts w:ascii="Palatino Linotype" w:hAnsi="Palatino Linotype"/>
      <w:i/>
    </w:rPr>
  </w:style>
  <w:style w:type="paragraph" w:customStyle="1" w:styleId="INFOEM">
    <w:name w:val="INFOEM"/>
    <w:basedOn w:val="Normal"/>
    <w:qFormat/>
    <w:rsid w:val="00BB313B"/>
    <w:pPr>
      <w:spacing w:before="240" w:line="360" w:lineRule="auto"/>
      <w:ind w:left="851" w:right="851"/>
      <w:jc w:val="both"/>
    </w:pPr>
    <w:rPr>
      <w:rFonts w:ascii="Palatino Linotype" w:hAnsi="Palatino Linotype"/>
      <w:i/>
      <w:szCs w:val="14"/>
    </w:rPr>
  </w:style>
  <w:style w:type="table" w:styleId="Tablaconcuadrcula">
    <w:name w:val="Table Grid"/>
    <w:basedOn w:val="Tablanormal"/>
    <w:uiPriority w:val="39"/>
    <w:rsid w:val="00BB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3734</Words>
  <Characters>20543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3</cp:revision>
  <dcterms:created xsi:type="dcterms:W3CDTF">2024-09-09T15:57:00Z</dcterms:created>
  <dcterms:modified xsi:type="dcterms:W3CDTF">2024-10-22T22:18:00Z</dcterms:modified>
</cp:coreProperties>
</file>